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F161" w14:textId="405B3CDE" w:rsidR="008F21BA" w:rsidRPr="008F21BA" w:rsidRDefault="008F21BA" w:rsidP="008F21BA">
      <w:pPr>
        <w:keepNext/>
        <w:keepLines/>
        <w:pageBreakBefore/>
        <w:spacing w:before="480" w:after="360" w:line="240" w:lineRule="auto"/>
        <w:jc w:val="center"/>
        <w:outlineLvl w:val="0"/>
        <w:rPr>
          <w:rFonts w:ascii="Arial" w:eastAsia="SimSun" w:hAnsi="Arial" w:cs="Arial"/>
          <w:bCs/>
          <w:color w:val="000080"/>
          <w:sz w:val="36"/>
          <w:szCs w:val="36"/>
        </w:rPr>
      </w:pPr>
      <w:r w:rsidRPr="008F21BA">
        <w:rPr>
          <w:rFonts w:ascii="Arial" w:eastAsia="SimSun" w:hAnsi="Arial" w:cs="Arial"/>
          <w:b/>
          <w:bCs/>
          <w:color w:val="000080"/>
          <w:sz w:val="36"/>
          <w:szCs w:val="36"/>
        </w:rPr>
        <w:t>Medical Services Advisory Committee (MSAC)</w:t>
      </w:r>
      <w:r w:rsidRPr="008F21BA">
        <w:rPr>
          <w:rFonts w:ascii="Arial" w:eastAsia="SimSun" w:hAnsi="Arial" w:cs="Arial"/>
          <w:b/>
          <w:bCs/>
          <w:color w:val="000080"/>
          <w:sz w:val="36"/>
          <w:szCs w:val="36"/>
        </w:rPr>
        <w:br/>
        <w:t>Public Summary Document</w:t>
      </w:r>
    </w:p>
    <w:p w14:paraId="4E8013E7" w14:textId="2168F573" w:rsidR="00772829" w:rsidRPr="00496C73" w:rsidRDefault="00772829" w:rsidP="0069532F">
      <w:pPr>
        <w:pStyle w:val="Subtitle"/>
      </w:pPr>
      <w:r>
        <w:t xml:space="preserve">Application No. </w:t>
      </w:r>
      <w:r w:rsidR="003C2640">
        <w:t>1776</w:t>
      </w:r>
      <w:r>
        <w:t xml:space="preserve"> – </w:t>
      </w:r>
      <w:r w:rsidR="0039689D">
        <w:t xml:space="preserve">Newborn bloodspot screening for </w:t>
      </w:r>
      <w:r w:rsidR="00C526E2">
        <w:t>m</w:t>
      </w:r>
      <w:r w:rsidR="0039689D">
        <w:t>ucopolysaccharidosis Type II (MPS II)</w:t>
      </w:r>
    </w:p>
    <w:p w14:paraId="2288564B" w14:textId="6EB4FFE0" w:rsidR="00772829" w:rsidRPr="00496C73" w:rsidRDefault="6B94F985" w:rsidP="00221170">
      <w:pPr>
        <w:tabs>
          <w:tab w:val="left" w:pos="3686"/>
        </w:tabs>
        <w:spacing w:after="120"/>
        <w:ind w:left="3600" w:hanging="3600"/>
        <w:rPr>
          <w:rFonts w:ascii="Arial" w:hAnsi="Arial" w:cs="Arial"/>
          <w:b/>
          <w:bCs/>
        </w:rPr>
      </w:pPr>
      <w:r w:rsidRPr="7C4E3BA4">
        <w:rPr>
          <w:rFonts w:ascii="Arial" w:hAnsi="Arial" w:cs="Arial"/>
          <w:b/>
          <w:bCs/>
        </w:rPr>
        <w:t>Applicant:</w:t>
      </w:r>
      <w:r w:rsidR="00772829">
        <w:tab/>
      </w:r>
      <w:r w:rsidR="30FD20ED" w:rsidRPr="7C4E3BA4">
        <w:rPr>
          <w:rFonts w:ascii="Arial" w:hAnsi="Arial" w:cs="Arial"/>
          <w:b/>
          <w:bCs/>
        </w:rPr>
        <w:t xml:space="preserve">Department of Health and Aged Care </w:t>
      </w:r>
      <w:r w:rsidR="006260D6">
        <w:rPr>
          <w:rFonts w:ascii="Arial" w:hAnsi="Arial" w:cs="Arial"/>
          <w:b/>
          <w:bCs/>
        </w:rPr>
        <w:t xml:space="preserve">- </w:t>
      </w:r>
      <w:r w:rsidR="30FD20ED" w:rsidRPr="7C4E3BA4">
        <w:rPr>
          <w:rFonts w:ascii="Arial" w:hAnsi="Arial" w:cs="Arial"/>
          <w:b/>
          <w:bCs/>
        </w:rPr>
        <w:t>Newborn</w:t>
      </w:r>
      <w:r w:rsidR="3E614912" w:rsidRPr="7C4E3BA4">
        <w:rPr>
          <w:rFonts w:ascii="Arial" w:hAnsi="Arial" w:cs="Arial"/>
          <w:b/>
          <w:bCs/>
        </w:rPr>
        <w:t xml:space="preserve"> </w:t>
      </w:r>
      <w:r w:rsidR="30FD20ED" w:rsidRPr="7C4E3BA4">
        <w:rPr>
          <w:rFonts w:ascii="Arial" w:hAnsi="Arial" w:cs="Arial"/>
          <w:b/>
          <w:bCs/>
        </w:rPr>
        <w:t>bloodspot screening</w:t>
      </w:r>
      <w:r w:rsidR="006260D6">
        <w:rPr>
          <w:rFonts w:ascii="Arial" w:hAnsi="Arial" w:cs="Arial"/>
          <w:b/>
          <w:bCs/>
        </w:rPr>
        <w:t xml:space="preserve"> section</w:t>
      </w:r>
    </w:p>
    <w:p w14:paraId="6DD98B4F" w14:textId="723043C7" w:rsidR="005E2D40" w:rsidRDefault="78AB9898" w:rsidP="00221170">
      <w:pPr>
        <w:spacing w:after="240"/>
        <w:rPr>
          <w:rFonts w:ascii="Arial" w:hAnsi="Arial" w:cs="Arial"/>
          <w:b/>
          <w:bCs/>
        </w:rPr>
      </w:pPr>
      <w:r w:rsidRPr="7C4E3BA4">
        <w:rPr>
          <w:rFonts w:ascii="Arial" w:hAnsi="Arial" w:cs="Arial"/>
          <w:b/>
          <w:bCs/>
        </w:rPr>
        <w:t xml:space="preserve">Date of </w:t>
      </w:r>
      <w:r w:rsidR="00221170">
        <w:rPr>
          <w:rFonts w:ascii="Arial" w:hAnsi="Arial" w:cs="Arial"/>
          <w:b/>
          <w:bCs/>
        </w:rPr>
        <w:t>MSAC</w:t>
      </w:r>
      <w:r w:rsidRPr="7C4E3BA4">
        <w:rPr>
          <w:rFonts w:ascii="Arial" w:hAnsi="Arial" w:cs="Arial"/>
          <w:b/>
          <w:bCs/>
        </w:rPr>
        <w:t xml:space="preserve"> consideration:</w:t>
      </w:r>
      <w:r w:rsidR="00221170">
        <w:tab/>
      </w:r>
      <w:r w:rsidR="00221170">
        <w:rPr>
          <w:rFonts w:ascii="Arial" w:hAnsi="Arial" w:cs="Arial"/>
          <w:b/>
          <w:bCs/>
        </w:rPr>
        <w:t>3-4 April</w:t>
      </w:r>
      <w:r w:rsidRPr="7C4E3BA4">
        <w:rPr>
          <w:rFonts w:ascii="Arial" w:hAnsi="Arial" w:cs="Arial"/>
          <w:b/>
          <w:bCs/>
        </w:rPr>
        <w:t xml:space="preserve"> 2025</w:t>
      </w:r>
    </w:p>
    <w:p w14:paraId="34F88B3F" w14:textId="4AF1D75A" w:rsidR="00221170" w:rsidRPr="00221170" w:rsidRDefault="00221170" w:rsidP="00221170">
      <w:pPr>
        <w:spacing w:after="240"/>
        <w:rPr>
          <w:color w:val="0000FF"/>
          <w:u w:val="single"/>
        </w:rPr>
      </w:pPr>
      <w:r w:rsidRPr="00333EDF">
        <w:t xml:space="preserve">Context for decision: MSAC </w:t>
      </w:r>
      <w:r w:rsidR="72F1F774">
        <w:t>provides</w:t>
      </w:r>
      <w:r w:rsidRPr="00333EDF">
        <w:t xml:space="preserve"> its advice in accordance with its Terms of Reference, </w:t>
      </w:r>
      <w:hyperlink r:id="rId8">
        <w:r w:rsidR="73E41EC3" w:rsidRPr="3487C900">
          <w:rPr>
            <w:rStyle w:val="Hyperlink"/>
            <w:color w:val="007BB8"/>
          </w:rPr>
          <w:t>visit the MSAC website</w:t>
        </w:r>
      </w:hyperlink>
    </w:p>
    <w:p w14:paraId="67596F09" w14:textId="3FD93145" w:rsidR="00772829" w:rsidRPr="00496C73" w:rsidRDefault="00772829" w:rsidP="00BE0CE4">
      <w:pPr>
        <w:pStyle w:val="Heading2"/>
        <w:numPr>
          <w:ilvl w:val="0"/>
          <w:numId w:val="28"/>
        </w:numPr>
        <w:ind w:hanging="720"/>
      </w:pPr>
      <w:bookmarkStart w:id="0" w:name="_Toc185430518"/>
      <w:r w:rsidRPr="00496C73">
        <w:t xml:space="preserve">Purpose </w:t>
      </w:r>
      <w:r w:rsidRPr="00496C73">
        <w:rPr>
          <w:szCs w:val="32"/>
        </w:rPr>
        <w:t>of</w:t>
      </w:r>
      <w:r w:rsidRPr="00496C73">
        <w:t xml:space="preserve"> application</w:t>
      </w:r>
      <w:bookmarkEnd w:id="0"/>
    </w:p>
    <w:p w14:paraId="6D05A700" w14:textId="04F00C9D" w:rsidR="002328D2" w:rsidRDefault="1CCB1C0A" w:rsidP="00766078">
      <w:r>
        <w:t xml:space="preserve">An application requesting the addition of mucopolysaccharidosis type II (MPS II) to Australia’s newborn bloodspot screening (NBS) programs was developed by the Department of Health and Aged Care, following a request from the Minister for Health and Aged Care. </w:t>
      </w:r>
      <w:r w:rsidR="00E13CD8" w:rsidRPr="00011DA9">
        <w:rPr>
          <w:b/>
          <w:bCs/>
        </w:rPr>
        <w:t>REDACTED</w:t>
      </w:r>
      <w:r>
        <w:t xml:space="preserve">, metabolic physician at the </w:t>
      </w:r>
      <w:r w:rsidR="00E13CD8" w:rsidRPr="00005B99">
        <w:rPr>
          <w:b/>
          <w:bCs/>
        </w:rPr>
        <w:t>REDACTED</w:t>
      </w:r>
      <w:r>
        <w:t xml:space="preserve">, and </w:t>
      </w:r>
      <w:r w:rsidR="00E13CD8" w:rsidRPr="00005B99">
        <w:rPr>
          <w:b/>
          <w:bCs/>
        </w:rPr>
        <w:t>REDACTED</w:t>
      </w:r>
      <w:r>
        <w:t xml:space="preserve">, metabolic physician and clinical geneticist at the </w:t>
      </w:r>
      <w:r w:rsidR="00E13CD8" w:rsidRPr="00005B99">
        <w:rPr>
          <w:b/>
          <w:bCs/>
        </w:rPr>
        <w:t>REDACTED</w:t>
      </w:r>
      <w:r>
        <w:t>, were supporting clinical expert co-applicants.</w:t>
      </w:r>
    </w:p>
    <w:p w14:paraId="3DD25119" w14:textId="00ADD19B" w:rsidR="00221170" w:rsidRPr="00221170" w:rsidRDefault="00221170" w:rsidP="00BE0CE4">
      <w:pPr>
        <w:pStyle w:val="Heading2"/>
        <w:numPr>
          <w:ilvl w:val="0"/>
          <w:numId w:val="28"/>
        </w:numPr>
        <w:ind w:hanging="720"/>
      </w:pPr>
      <w:bookmarkStart w:id="1" w:name="_Hlk193982496"/>
      <w:r w:rsidRPr="003A793E">
        <w:t>MSAC’s advice to the Minister</w:t>
      </w:r>
    </w:p>
    <w:p w14:paraId="78F211D1" w14:textId="4B218712" w:rsidR="00CF041C" w:rsidRDefault="00221170" w:rsidP="00CF041C">
      <w:pPr>
        <w:rPr>
          <w:rFonts w:eastAsia="Franklin Gothic Book"/>
        </w:rPr>
      </w:pPr>
      <w:r w:rsidRPr="00333EDF">
        <w:t xml:space="preserve">After considering the strength of the available evidence in relation to comparative safety, clinical effectiveness, cost-effectiveness and total cost, </w:t>
      </w:r>
      <w:r w:rsidRPr="00333EDF">
        <w:rPr>
          <w:rFonts w:eastAsia="Franklin Gothic Book"/>
        </w:rPr>
        <w:t>MSAC</w:t>
      </w:r>
      <w:r w:rsidR="003F4187">
        <w:rPr>
          <w:rFonts w:eastAsia="Franklin Gothic Book"/>
        </w:rPr>
        <w:t xml:space="preserve"> </w:t>
      </w:r>
      <w:r w:rsidR="00CF041C" w:rsidRPr="56AC84A2">
        <w:rPr>
          <w:rFonts w:eastAsia="Franklin Gothic Book"/>
        </w:rPr>
        <w:t>supported adding mucopolysaccharidosis Type II (MPS II) to Australia’s newborn bloodspot screening (NBS) programs</w:t>
      </w:r>
      <w:r w:rsidR="00CF041C">
        <w:rPr>
          <w:rFonts w:eastAsia="Franklin Gothic Book"/>
        </w:rPr>
        <w:t xml:space="preserve"> because the potential benefits of screening </w:t>
      </w:r>
      <w:r w:rsidR="00AC0D6D">
        <w:rPr>
          <w:rFonts w:eastAsia="Franklin Gothic Book"/>
        </w:rPr>
        <w:t xml:space="preserve">newborns </w:t>
      </w:r>
      <w:r w:rsidR="00CF041C">
        <w:rPr>
          <w:rFonts w:eastAsia="Franklin Gothic Book"/>
        </w:rPr>
        <w:t>for MPS II outweigh the potential harms.</w:t>
      </w:r>
    </w:p>
    <w:p w14:paraId="6844BA22" w14:textId="7198050E" w:rsidR="00CF041C" w:rsidRDefault="00CF041C" w:rsidP="00CF041C">
      <w:pPr>
        <w:rPr>
          <w:rFonts w:eastAsia="Franklin Gothic Book"/>
        </w:rPr>
      </w:pPr>
      <w:r w:rsidRPr="342DBD82">
        <w:rPr>
          <w:rFonts w:eastAsia="Franklin Gothic Book"/>
        </w:rPr>
        <w:t xml:space="preserve">MSAC considered </w:t>
      </w:r>
      <w:r>
        <w:rPr>
          <w:rFonts w:eastAsia="Franklin Gothic Book"/>
        </w:rPr>
        <w:t xml:space="preserve">both its own </w:t>
      </w:r>
      <w:r w:rsidR="00D81624">
        <w:rPr>
          <w:rFonts w:eastAsia="Franklin Gothic Book"/>
        </w:rPr>
        <w:t>Terms of Reference (TOR)</w:t>
      </w:r>
      <w:r>
        <w:rPr>
          <w:rFonts w:eastAsia="Franklin Gothic Book"/>
        </w:rPr>
        <w:t xml:space="preserve"> and </w:t>
      </w:r>
      <w:r w:rsidRPr="342DBD82">
        <w:rPr>
          <w:rFonts w:eastAsia="Franklin Gothic Book"/>
        </w:rPr>
        <w:t xml:space="preserve">the </w:t>
      </w:r>
      <w:r w:rsidR="00AC0D6D">
        <w:rPr>
          <w:rFonts w:eastAsia="Franklin Gothic Book"/>
        </w:rPr>
        <w:t>NBS</w:t>
      </w:r>
      <w:r w:rsidRPr="342DBD82">
        <w:rPr>
          <w:rFonts w:eastAsia="Franklin Gothic Book"/>
        </w:rPr>
        <w:t xml:space="preserve"> National Policy Framework</w:t>
      </w:r>
      <w:r>
        <w:rPr>
          <w:rFonts w:eastAsia="Franklin Gothic Book"/>
        </w:rPr>
        <w:t xml:space="preserve"> (NPF) </w:t>
      </w:r>
      <w:r w:rsidRPr="342DBD82">
        <w:rPr>
          <w:rFonts w:eastAsia="Franklin Gothic Book"/>
        </w:rPr>
        <w:t>in providing</w:t>
      </w:r>
      <w:r>
        <w:rPr>
          <w:rFonts w:eastAsia="Franklin Gothic Book"/>
        </w:rPr>
        <w:t xml:space="preserve"> its</w:t>
      </w:r>
      <w:r w:rsidRPr="342DBD82">
        <w:rPr>
          <w:rFonts w:eastAsia="Franklin Gothic Book"/>
        </w:rPr>
        <w:t xml:space="preserve"> advice. </w:t>
      </w:r>
      <w:r>
        <w:rPr>
          <w:rFonts w:eastAsia="Franklin Gothic Book"/>
        </w:rPr>
        <w:t xml:space="preserve">MSAC considered the positive and negative impacts of screening </w:t>
      </w:r>
      <w:r w:rsidR="00AC0D6D">
        <w:rPr>
          <w:rFonts w:eastAsia="Franklin Gothic Book"/>
        </w:rPr>
        <w:t xml:space="preserve">newborns </w:t>
      </w:r>
      <w:r>
        <w:rPr>
          <w:rFonts w:eastAsia="Franklin Gothic Book"/>
        </w:rPr>
        <w:t xml:space="preserve">for </w:t>
      </w:r>
      <w:r w:rsidR="00AC0D6D">
        <w:rPr>
          <w:rFonts w:eastAsia="Franklin Gothic Book"/>
        </w:rPr>
        <w:t>MPS II</w:t>
      </w:r>
      <w:r>
        <w:rPr>
          <w:rFonts w:eastAsia="Franklin Gothic Book"/>
        </w:rPr>
        <w:t>, and the potential for unintended negative impacts on existing NBS program</w:t>
      </w:r>
      <w:r w:rsidR="00527000">
        <w:rPr>
          <w:rFonts w:eastAsia="Franklin Gothic Book"/>
        </w:rPr>
        <w:t>s</w:t>
      </w:r>
      <w:r w:rsidR="000F4099">
        <w:rPr>
          <w:rFonts w:eastAsia="Franklin Gothic Book"/>
        </w:rPr>
        <w:t>.</w:t>
      </w:r>
    </w:p>
    <w:p w14:paraId="7D70CA96" w14:textId="7B017ABA" w:rsidR="00CF041C" w:rsidRDefault="00CF041C" w:rsidP="00CF041C">
      <w:pPr>
        <w:rPr>
          <w:rFonts w:eastAsia="Franklin Gothic Book"/>
        </w:rPr>
      </w:pPr>
      <w:r w:rsidRPr="56AC84A2">
        <w:rPr>
          <w:rFonts w:eastAsia="Franklin Gothic Book"/>
        </w:rPr>
        <w:t xml:space="preserve">MSAC considered </w:t>
      </w:r>
      <w:r w:rsidR="00D67BFA">
        <w:rPr>
          <w:rFonts w:eastAsia="Franklin Gothic Book"/>
        </w:rPr>
        <w:t>that</w:t>
      </w:r>
      <w:r w:rsidRPr="56AC84A2">
        <w:rPr>
          <w:rFonts w:eastAsia="Franklin Gothic Book"/>
        </w:rPr>
        <w:t xml:space="preserve"> the following health technology assessment criteria were met. MSAC considered that the proposed 2-tier screening strategy ha</w:t>
      </w:r>
      <w:r w:rsidR="00350836">
        <w:rPr>
          <w:rFonts w:eastAsia="Franklin Gothic Book"/>
        </w:rPr>
        <w:t>s</w:t>
      </w:r>
      <w:r w:rsidRPr="56AC84A2">
        <w:rPr>
          <w:rFonts w:eastAsia="Franklin Gothic Book"/>
        </w:rPr>
        <w:t xml:space="preserve"> acceptable sensitivity to accurately identify newborns at risk </w:t>
      </w:r>
      <w:r w:rsidR="007027D9">
        <w:rPr>
          <w:rFonts w:eastAsia="Franklin Gothic Book"/>
        </w:rPr>
        <w:t>of</w:t>
      </w:r>
      <w:r w:rsidR="007027D9" w:rsidRPr="56AC84A2">
        <w:rPr>
          <w:rFonts w:eastAsia="Franklin Gothic Book"/>
        </w:rPr>
        <w:t xml:space="preserve"> </w:t>
      </w:r>
      <w:r w:rsidRPr="56AC84A2">
        <w:rPr>
          <w:rFonts w:eastAsia="Franklin Gothic Book"/>
        </w:rPr>
        <w:t xml:space="preserve">MPS II with low rates of false positives and false negatives. MSAC advised that there is evidence of additional benefit from an earlier diagnosis through NBS and earlier treatment. MSAC considered that an effective treatment </w:t>
      </w:r>
      <w:r w:rsidR="00350836">
        <w:rPr>
          <w:rFonts w:eastAsia="Franklin Gothic Book"/>
        </w:rPr>
        <w:t>is</w:t>
      </w:r>
      <w:r w:rsidRPr="56AC84A2">
        <w:rPr>
          <w:rFonts w:eastAsia="Franklin Gothic Book"/>
        </w:rPr>
        <w:t xml:space="preserve"> available for MPS II (enzyme replacement therapy [ERT]), although noted that this did not improve all disease signs or symptoms</w:t>
      </w:r>
      <w:r>
        <w:rPr>
          <w:rFonts w:eastAsia="Franklin Gothic Book"/>
        </w:rPr>
        <w:t xml:space="preserve"> (e.g. neurological</w:t>
      </w:r>
      <w:r w:rsidRPr="56AC84A2">
        <w:rPr>
          <w:rFonts w:eastAsia="Franklin Gothic Book"/>
        </w:rPr>
        <w:t xml:space="preserve"> symptoms</w:t>
      </w:r>
      <w:r>
        <w:rPr>
          <w:rFonts w:eastAsia="Franklin Gothic Book"/>
        </w:rPr>
        <w:t>)</w:t>
      </w:r>
      <w:r w:rsidRPr="56AC84A2">
        <w:rPr>
          <w:rFonts w:eastAsia="Franklin Gothic Book"/>
        </w:rPr>
        <w:t xml:space="preserve">, and that current funding </w:t>
      </w:r>
      <w:r>
        <w:rPr>
          <w:rFonts w:eastAsia="Franklin Gothic Book"/>
        </w:rPr>
        <w:t>for</w:t>
      </w:r>
      <w:r w:rsidRPr="56AC84A2">
        <w:rPr>
          <w:rFonts w:eastAsia="Franklin Gothic Book"/>
        </w:rPr>
        <w:t xml:space="preserve"> ERT </w:t>
      </w:r>
      <w:r>
        <w:rPr>
          <w:rFonts w:eastAsia="Franklin Gothic Book"/>
        </w:rPr>
        <w:t xml:space="preserve">through the </w:t>
      </w:r>
      <w:r w:rsidR="005848F9">
        <w:rPr>
          <w:rFonts w:eastAsia="Franklin Gothic Book"/>
        </w:rPr>
        <w:t>Life Saving Drugs Program (</w:t>
      </w:r>
      <w:r>
        <w:rPr>
          <w:rFonts w:eastAsia="Franklin Gothic Book"/>
        </w:rPr>
        <w:t>LSDP</w:t>
      </w:r>
      <w:r w:rsidR="005848F9">
        <w:rPr>
          <w:rFonts w:eastAsia="Franklin Gothic Book"/>
        </w:rPr>
        <w:t>)</w:t>
      </w:r>
      <w:r>
        <w:rPr>
          <w:rFonts w:eastAsia="Franklin Gothic Book"/>
        </w:rPr>
        <w:t xml:space="preserve"> </w:t>
      </w:r>
      <w:r w:rsidRPr="56AC84A2">
        <w:rPr>
          <w:rFonts w:eastAsia="Franklin Gothic Book"/>
        </w:rPr>
        <w:t xml:space="preserve">would not allow access for pre-symptomatic newborns who screened positive without prediction of severe disease. </w:t>
      </w:r>
      <w:r w:rsidR="00492EB6">
        <w:rPr>
          <w:rFonts w:eastAsia="Franklin Gothic Book" w:cs="Franklin Gothic Book"/>
          <w:color w:val="000000" w:themeColor="text1"/>
        </w:rPr>
        <w:t>LSDP eligibility criteria cannot be changed without reconsideration of clinical effectiveness by the</w:t>
      </w:r>
      <w:r w:rsidR="00AC2D87">
        <w:rPr>
          <w:rFonts w:eastAsia="Franklin Gothic Book" w:cs="Franklin Gothic Book"/>
          <w:color w:val="000000" w:themeColor="text1"/>
        </w:rPr>
        <w:t xml:space="preserve"> Pharmaceutical Benefits Advisory Committee</w:t>
      </w:r>
      <w:r w:rsidR="00492EB6">
        <w:rPr>
          <w:rFonts w:eastAsia="Franklin Gothic Book" w:cs="Franklin Gothic Book"/>
          <w:color w:val="000000" w:themeColor="text1"/>
        </w:rPr>
        <w:t xml:space="preserve"> </w:t>
      </w:r>
      <w:r w:rsidR="00AC2D87">
        <w:rPr>
          <w:rFonts w:eastAsia="Franklin Gothic Book" w:cs="Franklin Gothic Book"/>
          <w:color w:val="000000" w:themeColor="text1"/>
        </w:rPr>
        <w:t>(</w:t>
      </w:r>
      <w:r w:rsidR="00492EB6">
        <w:rPr>
          <w:rFonts w:eastAsia="Franklin Gothic Book" w:cs="Franklin Gothic Book"/>
          <w:color w:val="000000" w:themeColor="text1"/>
        </w:rPr>
        <w:t>PBAC</w:t>
      </w:r>
      <w:r w:rsidR="00AC2D87">
        <w:rPr>
          <w:rFonts w:eastAsia="Franklin Gothic Book" w:cs="Franklin Gothic Book"/>
          <w:color w:val="000000" w:themeColor="text1"/>
        </w:rPr>
        <w:t>)</w:t>
      </w:r>
      <w:r w:rsidR="00492EB6">
        <w:rPr>
          <w:rFonts w:eastAsia="Franklin Gothic Book" w:cs="Franklin Gothic Book"/>
          <w:color w:val="000000" w:themeColor="text1"/>
        </w:rPr>
        <w:t>.</w:t>
      </w:r>
    </w:p>
    <w:p w14:paraId="3597D63D" w14:textId="36ECD8FE" w:rsidR="00CF041C" w:rsidRDefault="00CF041C" w:rsidP="00CF041C">
      <w:pPr>
        <w:rPr>
          <w:rFonts w:eastAsia="Franklin Gothic Book"/>
        </w:rPr>
      </w:pPr>
      <w:r w:rsidRPr="00741401">
        <w:rPr>
          <w:rFonts w:eastAsia="Franklin Gothic Book"/>
        </w:rPr>
        <w:t>MSAC noted that NBS for MPS I</w:t>
      </w:r>
      <w:r>
        <w:rPr>
          <w:rFonts w:eastAsia="Franklin Gothic Book"/>
        </w:rPr>
        <w:t>I</w:t>
      </w:r>
      <w:r w:rsidRPr="00741401">
        <w:rPr>
          <w:rFonts w:eastAsia="Franklin Gothic Book"/>
        </w:rPr>
        <w:t xml:space="preserve"> </w:t>
      </w:r>
      <w:r>
        <w:rPr>
          <w:rFonts w:eastAsia="Franklin Gothic Book"/>
        </w:rPr>
        <w:t xml:space="preserve">is </w:t>
      </w:r>
      <w:r w:rsidRPr="00741401">
        <w:rPr>
          <w:rFonts w:eastAsia="Franklin Gothic Book"/>
        </w:rPr>
        <w:t xml:space="preserve">aligned with the primary </w:t>
      </w:r>
      <w:r>
        <w:rPr>
          <w:rFonts w:eastAsia="Franklin Gothic Book"/>
        </w:rPr>
        <w:t xml:space="preserve">objective of the NBS NPF </w:t>
      </w:r>
      <w:r w:rsidRPr="00741401">
        <w:rPr>
          <w:rFonts w:eastAsia="Franklin Gothic Book"/>
        </w:rPr>
        <w:t>decision-making criteria</w:t>
      </w:r>
      <w:r w:rsidR="00341B46">
        <w:rPr>
          <w:rFonts w:eastAsia="Franklin Gothic Book"/>
        </w:rPr>
        <w:t>,</w:t>
      </w:r>
      <w:r w:rsidRPr="00741401">
        <w:rPr>
          <w:rFonts w:eastAsia="Franklin Gothic Book"/>
        </w:rPr>
        <w:t xml:space="preserve"> as </w:t>
      </w:r>
      <w:r w:rsidR="00341B46">
        <w:rPr>
          <w:rFonts w:eastAsia="Franklin Gothic Book"/>
        </w:rPr>
        <w:t>the condition</w:t>
      </w:r>
      <w:r w:rsidR="00341B46" w:rsidRPr="00741401">
        <w:rPr>
          <w:rFonts w:eastAsia="Franklin Gothic Book"/>
        </w:rPr>
        <w:t xml:space="preserve"> </w:t>
      </w:r>
      <w:r w:rsidRPr="00741401">
        <w:rPr>
          <w:rFonts w:eastAsia="Franklin Gothic Book"/>
        </w:rPr>
        <w:t>is predominantly early-onset and severe</w:t>
      </w:r>
      <w:r>
        <w:rPr>
          <w:rFonts w:eastAsia="Franklin Gothic Book"/>
        </w:rPr>
        <w:t>,</w:t>
      </w:r>
      <w:r w:rsidRPr="00741401">
        <w:rPr>
          <w:rFonts w:eastAsia="Franklin Gothic Book"/>
        </w:rPr>
        <w:t xml:space="preserve"> has a reliable </w:t>
      </w:r>
      <w:r>
        <w:rPr>
          <w:rFonts w:eastAsia="Franklin Gothic Book"/>
        </w:rPr>
        <w:t>screening test strategy with acceptable sensitivity and specificity</w:t>
      </w:r>
      <w:r w:rsidR="00350836">
        <w:rPr>
          <w:rFonts w:eastAsia="Franklin Gothic Book"/>
        </w:rPr>
        <w:t>,</w:t>
      </w:r>
      <w:r w:rsidRPr="00741401">
        <w:rPr>
          <w:rFonts w:eastAsia="Franklin Gothic Book"/>
        </w:rPr>
        <w:t xml:space="preserve"> and </w:t>
      </w:r>
      <w:r w:rsidR="00350836">
        <w:rPr>
          <w:rFonts w:eastAsia="Franklin Gothic Book"/>
        </w:rPr>
        <w:t xml:space="preserve">there is </w:t>
      </w:r>
      <w:r w:rsidRPr="00741401">
        <w:rPr>
          <w:rFonts w:eastAsia="Franklin Gothic Book"/>
        </w:rPr>
        <w:t xml:space="preserve">an available </w:t>
      </w:r>
      <w:r w:rsidRPr="00741401">
        <w:rPr>
          <w:rFonts w:eastAsia="Franklin Gothic Book"/>
        </w:rPr>
        <w:lastRenderedPageBreak/>
        <w:t xml:space="preserve">treatment </w:t>
      </w:r>
      <w:r>
        <w:rPr>
          <w:rFonts w:eastAsia="Franklin Gothic Book"/>
        </w:rPr>
        <w:t xml:space="preserve">that can be commenced </w:t>
      </w:r>
      <w:r w:rsidRPr="00741401">
        <w:rPr>
          <w:rFonts w:eastAsia="Franklin Gothic Book"/>
        </w:rPr>
        <w:t>during the newborn period.</w:t>
      </w:r>
      <w:r>
        <w:t xml:space="preserve"> </w:t>
      </w:r>
      <w:r w:rsidR="00BB2E21">
        <w:t>By applying</w:t>
      </w:r>
      <w:r w:rsidR="008F529B">
        <w:t xml:space="preserve"> the </w:t>
      </w:r>
      <w:r w:rsidR="002275B8">
        <w:t>average</w:t>
      </w:r>
      <w:r w:rsidR="008F529B">
        <w:t xml:space="preserve"> true positive rate</w:t>
      </w:r>
      <w:r w:rsidR="00196854">
        <w:t xml:space="preserve"> </w:t>
      </w:r>
      <w:r w:rsidR="009C4AB8">
        <w:t xml:space="preserve">of MPS II </w:t>
      </w:r>
      <w:r w:rsidR="00196854">
        <w:t>from overseas N</w:t>
      </w:r>
      <w:r w:rsidR="003B605F">
        <w:t>BS</w:t>
      </w:r>
      <w:r w:rsidR="009C4AB8">
        <w:t xml:space="preserve"> programs </w:t>
      </w:r>
      <w:r w:rsidR="00281F1B">
        <w:t>to</w:t>
      </w:r>
      <w:r w:rsidR="002275B8">
        <w:t xml:space="preserve"> Australia</w:t>
      </w:r>
      <w:r w:rsidR="00BB2E21">
        <w:t>,</w:t>
      </w:r>
      <w:r w:rsidR="00BB2E21">
        <w:rPr>
          <w:rFonts w:eastAsia="Franklin Gothic Book"/>
        </w:rPr>
        <w:t xml:space="preserve"> i</w:t>
      </w:r>
      <w:r w:rsidR="00D867A3">
        <w:rPr>
          <w:rFonts w:eastAsia="Franklin Gothic Book"/>
        </w:rPr>
        <w:t xml:space="preserve">t </w:t>
      </w:r>
      <w:r w:rsidR="00CF4F5B">
        <w:rPr>
          <w:rFonts w:eastAsia="Franklin Gothic Book"/>
        </w:rPr>
        <w:t>wa</w:t>
      </w:r>
      <w:r w:rsidR="00D867A3">
        <w:rPr>
          <w:rFonts w:eastAsia="Franklin Gothic Book"/>
        </w:rPr>
        <w:t xml:space="preserve">s estimated that </w:t>
      </w:r>
      <w:r>
        <w:rPr>
          <w:rFonts w:eastAsia="Franklin Gothic Book"/>
        </w:rPr>
        <w:t>approximately 4 newborns</w:t>
      </w:r>
      <w:r w:rsidR="00BB2E21">
        <w:rPr>
          <w:rFonts w:eastAsia="Franklin Gothic Book"/>
        </w:rPr>
        <w:t xml:space="preserve"> would be diagnosed with MPS II </w:t>
      </w:r>
      <w:r w:rsidR="00925FCD">
        <w:rPr>
          <w:rFonts w:eastAsia="Franklin Gothic Book"/>
        </w:rPr>
        <w:t>via NBS</w:t>
      </w:r>
      <w:r w:rsidR="00AE1DF8">
        <w:rPr>
          <w:rFonts w:eastAsia="Franklin Gothic Book"/>
        </w:rPr>
        <w:t xml:space="preserve"> in 2025-26. </w:t>
      </w:r>
      <w:r w:rsidR="00647654">
        <w:rPr>
          <w:rFonts w:eastAsia="Franklin Gothic Book"/>
        </w:rPr>
        <w:t xml:space="preserve"> </w:t>
      </w:r>
      <w:r w:rsidR="00AE1DF8">
        <w:rPr>
          <w:rFonts w:eastAsia="Franklin Gothic Book"/>
        </w:rPr>
        <w:t>O</w:t>
      </w:r>
      <w:r w:rsidR="00647654">
        <w:rPr>
          <w:rFonts w:eastAsia="Franklin Gothic Book"/>
        </w:rPr>
        <w:t xml:space="preserve">f </w:t>
      </w:r>
      <w:r w:rsidR="00AE1DF8">
        <w:rPr>
          <w:rFonts w:eastAsia="Franklin Gothic Book"/>
        </w:rPr>
        <w:t>these</w:t>
      </w:r>
      <w:r w:rsidR="00647654">
        <w:rPr>
          <w:rFonts w:eastAsia="Franklin Gothic Book"/>
        </w:rPr>
        <w:t xml:space="preserve"> </w:t>
      </w:r>
      <w:r>
        <w:rPr>
          <w:rFonts w:eastAsia="Franklin Gothic Book"/>
        </w:rPr>
        <w:t xml:space="preserve">approximately </w:t>
      </w:r>
      <w:r w:rsidR="009A6FD0">
        <w:rPr>
          <w:rFonts w:eastAsia="Franklin Gothic Book"/>
        </w:rPr>
        <w:t>one</w:t>
      </w:r>
      <w:r>
        <w:rPr>
          <w:rFonts w:eastAsia="Franklin Gothic Book"/>
        </w:rPr>
        <w:t xml:space="preserve"> newborn w</w:t>
      </w:r>
      <w:r w:rsidR="007B78F2">
        <w:rPr>
          <w:rFonts w:eastAsia="Franklin Gothic Book"/>
        </w:rPr>
        <w:t>ou</w:t>
      </w:r>
      <w:r>
        <w:rPr>
          <w:rFonts w:eastAsia="Franklin Gothic Book"/>
        </w:rPr>
        <w:t>l</w:t>
      </w:r>
      <w:r w:rsidR="007B78F2">
        <w:rPr>
          <w:rFonts w:eastAsia="Franklin Gothic Book"/>
        </w:rPr>
        <w:t>d</w:t>
      </w:r>
      <w:r>
        <w:rPr>
          <w:rFonts w:eastAsia="Franklin Gothic Book"/>
        </w:rPr>
        <w:t xml:space="preserve"> be diagnosed with</w:t>
      </w:r>
      <w:r w:rsidR="007A3615">
        <w:rPr>
          <w:rFonts w:eastAsia="Franklin Gothic Book"/>
        </w:rPr>
        <w:t xml:space="preserve"> neuronopathic</w:t>
      </w:r>
      <w:r>
        <w:rPr>
          <w:rFonts w:eastAsia="Franklin Gothic Book"/>
        </w:rPr>
        <w:t xml:space="preserve"> </w:t>
      </w:r>
      <w:r w:rsidR="007A3615">
        <w:rPr>
          <w:rFonts w:eastAsia="Franklin Gothic Book"/>
        </w:rPr>
        <w:t xml:space="preserve">(more </w:t>
      </w:r>
      <w:r>
        <w:rPr>
          <w:rFonts w:eastAsia="Franklin Gothic Book"/>
        </w:rPr>
        <w:t>severe</w:t>
      </w:r>
      <w:r w:rsidR="007A3615">
        <w:rPr>
          <w:rFonts w:eastAsia="Franklin Gothic Book"/>
        </w:rPr>
        <w:t>)</w:t>
      </w:r>
      <w:r>
        <w:rPr>
          <w:rFonts w:eastAsia="Franklin Gothic Book"/>
        </w:rPr>
        <w:t xml:space="preserve"> MPS II and 3 newborns w</w:t>
      </w:r>
      <w:r w:rsidR="00116F7C">
        <w:rPr>
          <w:rFonts w:eastAsia="Franklin Gothic Book"/>
        </w:rPr>
        <w:t>ould</w:t>
      </w:r>
      <w:r>
        <w:rPr>
          <w:rFonts w:eastAsia="Franklin Gothic Book"/>
        </w:rPr>
        <w:t xml:space="preserve"> be at</w:t>
      </w:r>
      <w:r w:rsidR="00ED5252">
        <w:rPr>
          <w:rFonts w:eastAsia="Franklin Gothic Book"/>
        </w:rPr>
        <w:t>-</w:t>
      </w:r>
      <w:r>
        <w:rPr>
          <w:rFonts w:eastAsia="Franklin Gothic Book"/>
        </w:rPr>
        <w:t xml:space="preserve">risk of developing </w:t>
      </w:r>
      <w:r w:rsidR="007A3615">
        <w:rPr>
          <w:rFonts w:eastAsia="Franklin Gothic Book"/>
        </w:rPr>
        <w:t xml:space="preserve">non-neuronopathic </w:t>
      </w:r>
      <w:r>
        <w:rPr>
          <w:rFonts w:eastAsia="Franklin Gothic Book"/>
        </w:rPr>
        <w:t xml:space="preserve">MPS II, </w:t>
      </w:r>
      <w:r w:rsidR="00180617">
        <w:rPr>
          <w:rFonts w:eastAsia="Franklin Gothic Book"/>
        </w:rPr>
        <w:t xml:space="preserve">some </w:t>
      </w:r>
      <w:r>
        <w:rPr>
          <w:rFonts w:eastAsia="Franklin Gothic Book"/>
        </w:rPr>
        <w:t>of whom would not be expected to develop clinically significant or apparent symptoms of MPS II</w:t>
      </w:r>
      <w:r w:rsidR="00647654">
        <w:rPr>
          <w:rFonts w:eastAsia="Franklin Gothic Book"/>
        </w:rPr>
        <w:t xml:space="preserve"> (and would therefore not be likely to be diagnosed in the absence of MPS II)</w:t>
      </w:r>
      <w:r>
        <w:rPr>
          <w:rFonts w:eastAsia="Franklin Gothic Book"/>
        </w:rPr>
        <w:t xml:space="preserve">. </w:t>
      </w:r>
    </w:p>
    <w:p w14:paraId="0AECE952" w14:textId="376F8B45" w:rsidR="00EF6D5B" w:rsidRDefault="00CF041C" w:rsidP="000038D2">
      <w:pPr>
        <w:rPr>
          <w:rFonts w:eastAsia="Franklin Gothic Book"/>
        </w:rPr>
      </w:pPr>
      <w:r w:rsidRPr="33639C58">
        <w:rPr>
          <w:rFonts w:eastAsia="Franklin Gothic Book"/>
        </w:rPr>
        <w:t xml:space="preserve">MSAC considered </w:t>
      </w:r>
      <w:r w:rsidR="0007335F">
        <w:rPr>
          <w:rFonts w:eastAsia="Franklin Gothic Book"/>
        </w:rPr>
        <w:t xml:space="preserve">that </w:t>
      </w:r>
      <w:r w:rsidRPr="33639C58">
        <w:rPr>
          <w:rFonts w:eastAsia="Franklin Gothic Book"/>
        </w:rPr>
        <w:t>the incremental cost</w:t>
      </w:r>
      <w:r w:rsidR="00676046">
        <w:rPr>
          <w:rFonts w:eastAsia="Franklin Gothic Book"/>
        </w:rPr>
        <w:t xml:space="preserve"> per </w:t>
      </w:r>
      <w:r w:rsidR="0090259F" w:rsidRPr="33639C58">
        <w:rPr>
          <w:rFonts w:eastAsia="Franklin Gothic Book"/>
        </w:rPr>
        <w:t>quality-adjusted life</w:t>
      </w:r>
      <w:r w:rsidR="00AE125B">
        <w:rPr>
          <w:rFonts w:eastAsia="Franklin Gothic Book"/>
        </w:rPr>
        <w:t xml:space="preserve"> </w:t>
      </w:r>
      <w:r w:rsidR="0090259F" w:rsidRPr="33639C58">
        <w:rPr>
          <w:rFonts w:eastAsia="Franklin Gothic Book"/>
        </w:rPr>
        <w:t>year (</w:t>
      </w:r>
      <w:r w:rsidRPr="33639C58">
        <w:rPr>
          <w:rFonts w:eastAsia="Franklin Gothic Book"/>
        </w:rPr>
        <w:t>QALY</w:t>
      </w:r>
      <w:r w:rsidR="0090259F" w:rsidRPr="33639C58">
        <w:rPr>
          <w:rFonts w:eastAsia="Franklin Gothic Book"/>
        </w:rPr>
        <w:t>)</w:t>
      </w:r>
      <w:r w:rsidRPr="33639C58">
        <w:rPr>
          <w:rFonts w:eastAsia="Franklin Gothic Book"/>
        </w:rPr>
        <w:t xml:space="preserve"> </w:t>
      </w:r>
      <w:r w:rsidR="00005F5C" w:rsidRPr="33639C58">
        <w:rPr>
          <w:rFonts w:eastAsia="Franklin Gothic Book"/>
        </w:rPr>
        <w:t>gained</w:t>
      </w:r>
      <w:r w:rsidRPr="33639C58">
        <w:rPr>
          <w:rFonts w:eastAsia="Franklin Gothic Book"/>
        </w:rPr>
        <w:t xml:space="preserve"> </w:t>
      </w:r>
      <w:r w:rsidR="00676046">
        <w:rPr>
          <w:rFonts w:eastAsia="Franklin Gothic Book"/>
        </w:rPr>
        <w:t>for</w:t>
      </w:r>
      <w:r w:rsidR="00676046" w:rsidRPr="33639C58">
        <w:rPr>
          <w:rFonts w:eastAsia="Franklin Gothic Book"/>
        </w:rPr>
        <w:t xml:space="preserve"> </w:t>
      </w:r>
      <w:r w:rsidRPr="33639C58">
        <w:rPr>
          <w:rFonts w:eastAsia="Franklin Gothic Book"/>
        </w:rPr>
        <w:t xml:space="preserve">screening for MPS II on its own was very high, </w:t>
      </w:r>
      <w:r w:rsidR="002A4890">
        <w:rPr>
          <w:rFonts w:eastAsia="Franklin Gothic Book"/>
        </w:rPr>
        <w:t xml:space="preserve">noting however, that </w:t>
      </w:r>
      <w:r w:rsidRPr="33639C58">
        <w:rPr>
          <w:rFonts w:eastAsia="Franklin Gothic Book"/>
        </w:rPr>
        <w:t xml:space="preserve">the </w:t>
      </w:r>
      <w:r w:rsidR="000F5B17">
        <w:rPr>
          <w:rFonts w:eastAsia="Franklin Gothic Book"/>
        </w:rPr>
        <w:t>estimated average</w:t>
      </w:r>
      <w:r w:rsidRPr="33639C58">
        <w:rPr>
          <w:rFonts w:eastAsia="Franklin Gothic Book"/>
        </w:rPr>
        <w:t xml:space="preserve"> cost per </w:t>
      </w:r>
      <w:r w:rsidR="00146C49">
        <w:rPr>
          <w:rFonts w:eastAsia="Franklin Gothic Book"/>
        </w:rPr>
        <w:t xml:space="preserve">individual </w:t>
      </w:r>
      <w:r w:rsidRPr="33639C58">
        <w:rPr>
          <w:rFonts w:eastAsia="Franklin Gothic Book"/>
        </w:rPr>
        <w:t>screen</w:t>
      </w:r>
      <w:r w:rsidR="00146C49">
        <w:rPr>
          <w:rFonts w:eastAsia="Franklin Gothic Book"/>
        </w:rPr>
        <w:t>ed</w:t>
      </w:r>
      <w:r w:rsidRPr="33639C58">
        <w:rPr>
          <w:rFonts w:eastAsia="Franklin Gothic Book"/>
        </w:rPr>
        <w:t xml:space="preserve"> for MPS II was comparable to previously accepted costs per screen for other NBS conditions considered by MSAC, and the total cost to the NBS programs of screening for MPS II was modest. MSAC further noted that</w:t>
      </w:r>
      <w:r w:rsidR="00213B0B">
        <w:rPr>
          <w:rFonts w:eastAsia="Franklin Gothic Book"/>
        </w:rPr>
        <w:t>,</w:t>
      </w:r>
      <w:r w:rsidRPr="33639C58">
        <w:rPr>
          <w:rFonts w:eastAsia="Franklin Gothic Book"/>
        </w:rPr>
        <w:t xml:space="preserve"> given its support for newborn screening of MPS I</w:t>
      </w:r>
      <w:r w:rsidR="00500361">
        <w:rPr>
          <w:rFonts w:eastAsia="Franklin Gothic Book"/>
        </w:rPr>
        <w:t xml:space="preserve"> (MSAC application 1775</w:t>
      </w:r>
      <w:r w:rsidR="000B240B">
        <w:rPr>
          <w:rFonts w:eastAsia="Franklin Gothic Book"/>
        </w:rPr>
        <w:t>)</w:t>
      </w:r>
      <w:r w:rsidR="00D96235" w:rsidRPr="33639C58">
        <w:rPr>
          <w:rFonts w:eastAsia="Franklin Gothic Book"/>
        </w:rPr>
        <w:t>,</w:t>
      </w:r>
      <w:r w:rsidRPr="33639C58">
        <w:rPr>
          <w:rFonts w:eastAsia="Franklin Gothic Book"/>
        </w:rPr>
        <w:t xml:space="preserve"> the incremental cost for newborn screening for MPS II would be minimal due to multiplexing (i.e. the same screening tests would be used for both MPS I and II). </w:t>
      </w:r>
    </w:p>
    <w:p w14:paraId="7B94E03F" w14:textId="7F3E01E2" w:rsidR="0076606F" w:rsidRDefault="0076606F" w:rsidP="000038D2">
      <w:pPr>
        <w:rPr>
          <w:rFonts w:eastAsia="Franklin Gothic Book"/>
        </w:rPr>
      </w:pPr>
      <w:r w:rsidRPr="4C2B6EF0">
        <w:rPr>
          <w:rFonts w:eastAsia="Franklin Gothic Book"/>
        </w:rPr>
        <w:t xml:space="preserve">MSAC noted that under the NBS decision-making pathway, Health Ministers make a decision at </w:t>
      </w:r>
      <w:r w:rsidR="00721F11">
        <w:rPr>
          <w:rFonts w:eastAsia="Franklin Gothic Book"/>
        </w:rPr>
        <w:t xml:space="preserve">the </w:t>
      </w:r>
      <w:r w:rsidR="00CC3E7C">
        <w:rPr>
          <w:rFonts w:eastAsia="Franklin Gothic Book"/>
        </w:rPr>
        <w:t>Health Ministers</w:t>
      </w:r>
      <w:r w:rsidR="002350F5">
        <w:rPr>
          <w:rFonts w:eastAsia="Franklin Gothic Book"/>
        </w:rPr>
        <w:t>’</w:t>
      </w:r>
      <w:r w:rsidR="00CC3E7C">
        <w:rPr>
          <w:rFonts w:eastAsia="Franklin Gothic Book"/>
        </w:rPr>
        <w:t xml:space="preserve"> Meeting (</w:t>
      </w:r>
      <w:r w:rsidRPr="4C2B6EF0">
        <w:rPr>
          <w:rFonts w:eastAsia="Franklin Gothic Book"/>
        </w:rPr>
        <w:t>HMM</w:t>
      </w:r>
      <w:r w:rsidR="00CC3E7C">
        <w:rPr>
          <w:rFonts w:eastAsia="Franklin Gothic Book"/>
        </w:rPr>
        <w:t>)</w:t>
      </w:r>
      <w:r w:rsidRPr="4C2B6EF0">
        <w:rPr>
          <w:rFonts w:eastAsia="Franklin Gothic Book"/>
        </w:rPr>
        <w:t xml:space="preserve"> on whether to implement screening for </w:t>
      </w:r>
      <w:r w:rsidR="64DCE881" w:rsidRPr="4C2B6EF0">
        <w:rPr>
          <w:rFonts w:eastAsia="Franklin Gothic Book"/>
        </w:rPr>
        <w:t xml:space="preserve">new </w:t>
      </w:r>
      <w:r w:rsidRPr="4C2B6EF0">
        <w:rPr>
          <w:rFonts w:eastAsia="Franklin Gothic Book"/>
        </w:rPr>
        <w:t xml:space="preserve">conditions after considering advice from MSAC, </w:t>
      </w:r>
      <w:r w:rsidR="001326FE">
        <w:rPr>
          <w:rFonts w:eastAsia="Franklin Gothic Book"/>
        </w:rPr>
        <w:t xml:space="preserve">the </w:t>
      </w:r>
      <w:r w:rsidR="002350F5">
        <w:rPr>
          <w:rFonts w:eastAsia="Franklin Gothic Book"/>
        </w:rPr>
        <w:t>NBS Program Management Committee (</w:t>
      </w:r>
      <w:r w:rsidRPr="4C2B6EF0">
        <w:rPr>
          <w:rFonts w:eastAsia="Franklin Gothic Book"/>
        </w:rPr>
        <w:t>PMC</w:t>
      </w:r>
      <w:r w:rsidR="002350F5">
        <w:rPr>
          <w:rFonts w:eastAsia="Franklin Gothic Book"/>
        </w:rPr>
        <w:t>)</w:t>
      </w:r>
      <w:r w:rsidRPr="4C2B6EF0">
        <w:rPr>
          <w:rFonts w:eastAsia="Franklin Gothic Book"/>
        </w:rPr>
        <w:t xml:space="preserve">, </w:t>
      </w:r>
      <w:r w:rsidR="002350F5">
        <w:rPr>
          <w:rFonts w:eastAsia="Franklin Gothic Book"/>
        </w:rPr>
        <w:t>the Cancer and Population Scree</w:t>
      </w:r>
      <w:r w:rsidR="00721F11">
        <w:rPr>
          <w:rFonts w:eastAsia="Franklin Gothic Book"/>
        </w:rPr>
        <w:t>ning (</w:t>
      </w:r>
      <w:r w:rsidRPr="4C2B6EF0">
        <w:rPr>
          <w:rFonts w:eastAsia="Franklin Gothic Book"/>
        </w:rPr>
        <w:t>CAPS</w:t>
      </w:r>
      <w:r w:rsidR="00721F11">
        <w:rPr>
          <w:rFonts w:eastAsia="Franklin Gothic Book"/>
        </w:rPr>
        <w:t>) Committee</w:t>
      </w:r>
      <w:r w:rsidRPr="4C2B6EF0">
        <w:rPr>
          <w:rFonts w:eastAsia="Franklin Gothic Book"/>
        </w:rPr>
        <w:t xml:space="preserve"> and </w:t>
      </w:r>
      <w:r w:rsidR="00721F11">
        <w:rPr>
          <w:rFonts w:eastAsia="Franklin Gothic Book"/>
        </w:rPr>
        <w:t>the Health Chief Executives Forum (</w:t>
      </w:r>
      <w:r w:rsidRPr="4C2B6EF0">
        <w:rPr>
          <w:rFonts w:eastAsia="Franklin Gothic Book"/>
        </w:rPr>
        <w:t>HCEF</w:t>
      </w:r>
      <w:r w:rsidR="00721F11">
        <w:rPr>
          <w:rFonts w:eastAsia="Franklin Gothic Book"/>
        </w:rPr>
        <w:t>)</w:t>
      </w:r>
      <w:r w:rsidRPr="4C2B6EF0">
        <w:rPr>
          <w:rFonts w:eastAsia="Franklin Gothic Book"/>
        </w:rPr>
        <w:t>.</w:t>
      </w:r>
    </w:p>
    <w:p w14:paraId="6218872A" w14:textId="1BF54442" w:rsidR="00207D9F" w:rsidRDefault="00CF041C" w:rsidP="00E124DB">
      <w:pPr>
        <w:rPr>
          <w:rFonts w:eastAsia="Franklin Gothic Book"/>
        </w:rPr>
      </w:pPr>
      <w:r w:rsidRPr="00862F6C">
        <w:rPr>
          <w:rFonts w:eastAsia="Franklin Gothic Book"/>
        </w:rPr>
        <w:t xml:space="preserve">MSAC advised that a condition of its support for NBS for MPS II is that the following matters </w:t>
      </w:r>
      <w:r w:rsidR="008351CB">
        <w:rPr>
          <w:rFonts w:eastAsia="Franklin Gothic Book"/>
        </w:rPr>
        <w:t>should</w:t>
      </w:r>
      <w:r w:rsidR="008351CB" w:rsidRPr="00862F6C">
        <w:rPr>
          <w:rFonts w:eastAsia="Franklin Gothic Book"/>
        </w:rPr>
        <w:t xml:space="preserve"> </w:t>
      </w:r>
      <w:r w:rsidRPr="00862F6C">
        <w:rPr>
          <w:rFonts w:eastAsia="Franklin Gothic Book"/>
        </w:rPr>
        <w:t xml:space="preserve">be addressed prior to implementation of NBS for MPS II: </w:t>
      </w:r>
    </w:p>
    <w:p w14:paraId="4C3C71AA" w14:textId="77777777" w:rsidR="00207D9F" w:rsidRDefault="00CF041C" w:rsidP="005E72CE">
      <w:pPr>
        <w:spacing w:line="240" w:lineRule="auto"/>
        <w:ind w:left="720"/>
        <w:rPr>
          <w:rFonts w:eastAsia="Franklin Gothic Book"/>
        </w:rPr>
      </w:pPr>
      <w:r w:rsidRPr="00862F6C">
        <w:rPr>
          <w:rFonts w:eastAsia="Franklin Gothic Book"/>
        </w:rPr>
        <w:t xml:space="preserve">(a) </w:t>
      </w:r>
      <w:r w:rsidR="008C223E" w:rsidRPr="00862F6C">
        <w:rPr>
          <w:rFonts w:eastAsia="Franklin Gothic Book"/>
        </w:rPr>
        <w:t xml:space="preserve">the </w:t>
      </w:r>
      <w:r w:rsidRPr="00862F6C">
        <w:rPr>
          <w:rFonts w:eastAsia="Franklin Gothic Book"/>
        </w:rPr>
        <w:t>introduction of an appropriate consent process to ensure that parents are informed that their newborns may potentially be found to be at</w:t>
      </w:r>
      <w:r w:rsidR="00A02827" w:rsidRPr="00862F6C">
        <w:rPr>
          <w:rFonts w:eastAsia="Franklin Gothic Book"/>
        </w:rPr>
        <w:t>-</w:t>
      </w:r>
      <w:r w:rsidRPr="00862F6C">
        <w:rPr>
          <w:rFonts w:eastAsia="Franklin Gothic Book"/>
        </w:rPr>
        <w:t xml:space="preserve">risk of or affected with an attenuated (non-neuronopathic) form of MPS II with uncertain prognosis who may not develop symptoms of MPS II, and to maintain trust in the NBS programs; </w:t>
      </w:r>
    </w:p>
    <w:p w14:paraId="4530FAF8" w14:textId="77777777" w:rsidR="00207D9F" w:rsidRDefault="00CF041C" w:rsidP="005E72CE">
      <w:pPr>
        <w:spacing w:line="240" w:lineRule="auto"/>
        <w:ind w:left="720"/>
        <w:rPr>
          <w:rFonts w:eastAsia="Franklin Gothic Book"/>
        </w:rPr>
      </w:pPr>
      <w:r w:rsidRPr="00862F6C">
        <w:rPr>
          <w:rFonts w:eastAsia="Franklin Gothic Book"/>
        </w:rPr>
        <w:t xml:space="preserve">(b) </w:t>
      </w:r>
      <w:r w:rsidR="00DB5CC9" w:rsidRPr="00862F6C">
        <w:rPr>
          <w:rFonts w:eastAsia="Franklin Gothic Book"/>
        </w:rPr>
        <w:t xml:space="preserve">establishing a </w:t>
      </w:r>
      <w:r w:rsidRPr="00862F6C">
        <w:rPr>
          <w:rFonts w:eastAsia="Franklin Gothic Book"/>
        </w:rPr>
        <w:t xml:space="preserve">consensus on reporting of screening results for </w:t>
      </w:r>
      <w:r w:rsidR="006B7657" w:rsidRPr="00862F6C">
        <w:rPr>
          <w:rFonts w:eastAsia="Franklin Gothic Book"/>
        </w:rPr>
        <w:t xml:space="preserve">newborns </w:t>
      </w:r>
      <w:r w:rsidRPr="00862F6C">
        <w:rPr>
          <w:rFonts w:eastAsia="Franklin Gothic Book"/>
        </w:rPr>
        <w:t xml:space="preserve">with uncertain phenotype or for </w:t>
      </w:r>
      <w:r w:rsidR="00E549B9" w:rsidRPr="00862F6C">
        <w:rPr>
          <w:rFonts w:eastAsia="Franklin Gothic Book"/>
        </w:rPr>
        <w:t xml:space="preserve">newborns </w:t>
      </w:r>
      <w:r w:rsidRPr="00862F6C">
        <w:rPr>
          <w:rFonts w:eastAsia="Franklin Gothic Book"/>
        </w:rPr>
        <w:t xml:space="preserve">without current access to treatment prior to symptom onset; </w:t>
      </w:r>
    </w:p>
    <w:p w14:paraId="7A285CC0" w14:textId="2E574C6A" w:rsidR="00207D9F" w:rsidRDefault="00CF041C" w:rsidP="005E72CE">
      <w:pPr>
        <w:spacing w:line="240" w:lineRule="auto"/>
        <w:ind w:left="720"/>
        <w:rPr>
          <w:rFonts w:eastAsia="Franklin Gothic Book"/>
        </w:rPr>
      </w:pPr>
      <w:r w:rsidRPr="00862F6C">
        <w:rPr>
          <w:rFonts w:eastAsia="Franklin Gothic Book"/>
        </w:rPr>
        <w:t>(c) development of Australian clinical practice guidelines</w:t>
      </w:r>
      <w:r w:rsidR="00F71595">
        <w:rPr>
          <w:rFonts w:eastAsia="Franklin Gothic Book"/>
        </w:rPr>
        <w:t>, which may include consensus guidelines,</w:t>
      </w:r>
      <w:r w:rsidRPr="00862F6C">
        <w:rPr>
          <w:rFonts w:eastAsia="Franklin Gothic Book"/>
        </w:rPr>
        <w:t xml:space="preserve"> for the</w:t>
      </w:r>
      <w:r w:rsidR="001E4216">
        <w:rPr>
          <w:rFonts w:eastAsia="Franklin Gothic Book"/>
        </w:rPr>
        <w:t xml:space="preserve"> monitoring and</w:t>
      </w:r>
      <w:r w:rsidRPr="00862F6C">
        <w:rPr>
          <w:rFonts w:eastAsia="Franklin Gothic Book"/>
        </w:rPr>
        <w:t xml:space="preserve"> management of</w:t>
      </w:r>
      <w:r w:rsidR="008748FD">
        <w:rPr>
          <w:rFonts w:eastAsia="Franklin Gothic Book"/>
        </w:rPr>
        <w:t xml:space="preserve"> children who are </w:t>
      </w:r>
      <w:r w:rsidRPr="00862F6C">
        <w:rPr>
          <w:rFonts w:eastAsia="Franklin Gothic Book"/>
        </w:rPr>
        <w:t xml:space="preserve">pre-symptomatic </w:t>
      </w:r>
      <w:r w:rsidR="008748FD">
        <w:rPr>
          <w:rFonts w:eastAsia="Franklin Gothic Book"/>
        </w:rPr>
        <w:t>and</w:t>
      </w:r>
      <w:r w:rsidR="008748FD" w:rsidRPr="00862F6C">
        <w:rPr>
          <w:rFonts w:eastAsia="Franklin Gothic Book"/>
        </w:rPr>
        <w:t xml:space="preserve"> </w:t>
      </w:r>
      <w:r w:rsidRPr="00862F6C">
        <w:rPr>
          <w:rFonts w:eastAsia="Franklin Gothic Book"/>
        </w:rPr>
        <w:t xml:space="preserve">whose disease onset and severity cannot be clearly predicted; </w:t>
      </w:r>
    </w:p>
    <w:p w14:paraId="1B551360" w14:textId="6E5875AC" w:rsidR="00207D9F" w:rsidRDefault="00CF041C" w:rsidP="005E72CE">
      <w:pPr>
        <w:spacing w:line="240" w:lineRule="auto"/>
        <w:ind w:left="720"/>
        <w:rPr>
          <w:rFonts w:eastAsia="Franklin Gothic Book"/>
        </w:rPr>
      </w:pPr>
      <w:r w:rsidRPr="00862F6C">
        <w:rPr>
          <w:rFonts w:eastAsia="Franklin Gothic Book"/>
        </w:rPr>
        <w:t xml:space="preserve">(d) review by relevant authorities of the eligibility criteria for ERT on the LSDP which currently provides access to individuals who meet eligibility criteria and are symptomatic, or for whom severe disease can be clearly predicted (noting </w:t>
      </w:r>
      <w:r w:rsidR="001C4574" w:rsidRPr="00862F6C">
        <w:rPr>
          <w:rFonts w:eastAsia="Franklin Gothic Book"/>
        </w:rPr>
        <w:t xml:space="preserve">that </w:t>
      </w:r>
      <w:r w:rsidRPr="00862F6C">
        <w:rPr>
          <w:rFonts w:eastAsia="Franklin Gothic Book"/>
        </w:rPr>
        <w:t xml:space="preserve">reconsideration of eligibility is likely to require a submission to PBAC by the medicine sponsor) - this review should also assess potential budget impact; and </w:t>
      </w:r>
    </w:p>
    <w:p w14:paraId="4D3CAA56" w14:textId="77777777" w:rsidR="00207D9F" w:rsidRDefault="00CF041C" w:rsidP="005E72CE">
      <w:pPr>
        <w:spacing w:line="240" w:lineRule="auto"/>
        <w:ind w:left="720"/>
        <w:rPr>
          <w:rFonts w:eastAsia="Franklin Gothic Book"/>
        </w:rPr>
      </w:pPr>
      <w:r w:rsidRPr="00862F6C">
        <w:rPr>
          <w:rFonts w:eastAsia="Franklin Gothic Book"/>
        </w:rPr>
        <w:t>(e) the parallel need to consider clinical service/workforce capacity and readiness, and establishment of a mechanism to collect national robust longitudinal</w:t>
      </w:r>
      <w:r w:rsidR="0073759A" w:rsidRPr="00862F6C">
        <w:rPr>
          <w:rFonts w:eastAsia="Franklin Gothic Book"/>
        </w:rPr>
        <w:t xml:space="preserve"> </w:t>
      </w:r>
      <w:r w:rsidRPr="00862F6C">
        <w:rPr>
          <w:rFonts w:eastAsia="Franklin Gothic Book"/>
        </w:rPr>
        <w:t>data</w:t>
      </w:r>
      <w:r w:rsidR="00B13907" w:rsidRPr="00862F6C">
        <w:rPr>
          <w:rFonts w:eastAsia="Franklin Gothic Book"/>
        </w:rPr>
        <w:t>, including clinical outcomes data,</w:t>
      </w:r>
      <w:r w:rsidRPr="00862F6C">
        <w:rPr>
          <w:rFonts w:eastAsia="Franklin Gothic Book"/>
        </w:rPr>
        <w:t xml:space="preserve"> to inform future reviews, such as </w:t>
      </w:r>
      <w:r w:rsidR="0073759A" w:rsidRPr="00862F6C">
        <w:rPr>
          <w:rFonts w:eastAsia="Franklin Gothic Book"/>
        </w:rPr>
        <w:t>incidence of each subtype, to better define</w:t>
      </w:r>
      <w:r w:rsidRPr="00862F6C">
        <w:rPr>
          <w:rFonts w:eastAsia="Franklin Gothic Book"/>
        </w:rPr>
        <w:t xml:space="preserve"> genotype-phenotype relationships</w:t>
      </w:r>
      <w:r w:rsidR="0073759A" w:rsidRPr="00862F6C">
        <w:rPr>
          <w:rFonts w:eastAsia="Franklin Gothic Book"/>
        </w:rPr>
        <w:t xml:space="preserve"> in the Australian population</w:t>
      </w:r>
      <w:r w:rsidRPr="00862F6C">
        <w:rPr>
          <w:rFonts w:eastAsia="Franklin Gothic Book"/>
        </w:rPr>
        <w:t>, and potential benefits of earlier treatment for MPS II.</w:t>
      </w:r>
      <w:r w:rsidR="00272495" w:rsidRPr="00862F6C">
        <w:rPr>
          <w:rFonts w:eastAsia="Franklin Gothic Book"/>
        </w:rPr>
        <w:t xml:space="preserve"> </w:t>
      </w:r>
    </w:p>
    <w:p w14:paraId="4045BF6D" w14:textId="7B9CCBBF" w:rsidR="005E54FA" w:rsidRDefault="00CB1126" w:rsidP="005E54FA">
      <w:pPr>
        <w:rPr>
          <w:rFonts w:eastAsia="Franklin Gothic Book"/>
        </w:rPr>
      </w:pPr>
      <w:r w:rsidRPr="00862F6C">
        <w:rPr>
          <w:rFonts w:eastAsia="Franklin Gothic Book"/>
        </w:rPr>
        <w:t xml:space="preserve">Addressing the above requirements may occur in parallel with the implementation processes, to ensure timely screening of Australian </w:t>
      </w:r>
      <w:r w:rsidR="00910B10" w:rsidRPr="00862F6C">
        <w:rPr>
          <w:rFonts w:eastAsia="Franklin Gothic Book"/>
        </w:rPr>
        <w:t>newborns</w:t>
      </w:r>
      <w:r w:rsidRPr="00862F6C">
        <w:rPr>
          <w:rFonts w:eastAsia="Franklin Gothic Book"/>
        </w:rPr>
        <w:t>.</w:t>
      </w:r>
      <w:r w:rsidR="005E54FA">
        <w:rPr>
          <w:rFonts w:eastAsia="Franklin Gothic Book"/>
        </w:rPr>
        <w:br w:type="page"/>
      </w:r>
    </w:p>
    <w:tbl>
      <w:tblPr>
        <w:tblStyle w:val="Section3-footnot1"/>
        <w:tblW w:w="0" w:type="auto"/>
        <w:tblLook w:val="04A0" w:firstRow="1" w:lastRow="0" w:firstColumn="1" w:lastColumn="0" w:noHBand="0" w:noVBand="1"/>
        <w:tblDescription w:val="Consumer summary of MSAC consideration"/>
      </w:tblPr>
      <w:tblGrid>
        <w:gridCol w:w="9016"/>
      </w:tblGrid>
      <w:tr w:rsidR="00221170" w:rsidRPr="00F91D6E" w14:paraId="57A03458" w14:textId="77777777" w:rsidTr="00862F6C">
        <w:trPr>
          <w:tblHeader/>
        </w:trPr>
        <w:tc>
          <w:tcPr>
            <w:tcW w:w="9016" w:type="dxa"/>
          </w:tcPr>
          <w:p w14:paraId="7BA081CB" w14:textId="77777777" w:rsidR="00221170" w:rsidRPr="00F91D6E" w:rsidRDefault="00221170" w:rsidP="00A25203">
            <w:pPr>
              <w:keepNext/>
              <w:keepLines/>
              <w:spacing w:after="120" w:line="259" w:lineRule="auto"/>
              <w:rPr>
                <w:rFonts w:eastAsia="Calibri" w:cs="Times New Roman"/>
                <w:b/>
                <w:bCs/>
              </w:rPr>
            </w:pPr>
            <w:r w:rsidRPr="00F91D6E">
              <w:rPr>
                <w:rFonts w:eastAsia="Times New Roman" w:cs="Times New Roman"/>
                <w:b/>
                <w:bCs/>
                <w:szCs w:val="24"/>
              </w:rPr>
              <w:lastRenderedPageBreak/>
              <w:t>Consumer summary</w:t>
            </w:r>
          </w:p>
        </w:tc>
      </w:tr>
      <w:tr w:rsidR="00221170" w:rsidRPr="00F91D6E" w14:paraId="68A2479C" w14:textId="77777777" w:rsidTr="00862F6C">
        <w:tc>
          <w:tcPr>
            <w:tcW w:w="9016" w:type="dxa"/>
          </w:tcPr>
          <w:p w14:paraId="35E6C5C2" w14:textId="3EF17310" w:rsidR="001C6613" w:rsidRDefault="001C6613" w:rsidP="001C6613">
            <w:r>
              <w:t xml:space="preserve">This is an application from the Department of Health and Aged Care requesting advice about </w:t>
            </w:r>
            <w:r w:rsidR="00563639">
              <w:t>adding a screen</w:t>
            </w:r>
            <w:r w:rsidR="00CB4714">
              <w:t>ing</w:t>
            </w:r>
            <w:r w:rsidR="00CF0EFB">
              <w:t xml:space="preserve"> test for</w:t>
            </w:r>
            <w:r w:rsidR="00563639">
              <w:t xml:space="preserve"> </w:t>
            </w:r>
            <w:r>
              <w:t xml:space="preserve">mucopolysaccharidosis type 2 (MPS II) in </w:t>
            </w:r>
            <w:r w:rsidR="00D97FFD">
              <w:t xml:space="preserve">Australia’s </w:t>
            </w:r>
            <w:r>
              <w:t>Newborn Bloodspot Screening (NBS) program</w:t>
            </w:r>
            <w:r w:rsidR="00D97FFD">
              <w:t>s</w:t>
            </w:r>
            <w:r>
              <w:t>. MSAC’s advice will be considered by the</w:t>
            </w:r>
            <w:r w:rsidR="007A3194">
              <w:t xml:space="preserve"> Health</w:t>
            </w:r>
            <w:r>
              <w:t xml:space="preserve"> Minister</w:t>
            </w:r>
            <w:r w:rsidR="00D1553D">
              <w:t>s Meeting</w:t>
            </w:r>
            <w:r>
              <w:t xml:space="preserve"> alongside advice from the</w:t>
            </w:r>
            <w:r w:rsidR="00EA16EC">
              <w:t xml:space="preserve"> other committees in the new national decision-making pathway. These </w:t>
            </w:r>
            <w:r w:rsidR="001E5016">
              <w:t>are</w:t>
            </w:r>
            <w:r w:rsidR="00EA16EC">
              <w:t xml:space="preserve"> the</w:t>
            </w:r>
            <w:r>
              <w:t xml:space="preserve"> Cancer and Population Screening Committee, the Health Chief Executives Forum and the NBS Program Management Committee to determine if MPS II </w:t>
            </w:r>
            <w:r w:rsidR="001E5016">
              <w:t>should be a</w:t>
            </w:r>
            <w:r w:rsidR="00545E83">
              <w:t xml:space="preserve"> </w:t>
            </w:r>
            <w:r>
              <w:t>part of the NBS program</w:t>
            </w:r>
            <w:r w:rsidR="00CB5017">
              <w:t>s</w:t>
            </w:r>
            <w:r w:rsidR="00C4443C">
              <w:t xml:space="preserve"> delivered by the states and territories</w:t>
            </w:r>
            <w:r w:rsidDel="00545E83">
              <w:t>.</w:t>
            </w:r>
          </w:p>
          <w:p w14:paraId="713D7E70" w14:textId="6DF25144" w:rsidR="001C6613" w:rsidRDefault="000016B1" w:rsidP="001C6613">
            <w:r>
              <w:t xml:space="preserve">NBS programs are run </w:t>
            </w:r>
            <w:r w:rsidR="00977B26">
              <w:t>Australia-wide</w:t>
            </w:r>
            <w:r w:rsidR="00C4443C">
              <w:t>,</w:t>
            </w:r>
            <w:r w:rsidR="001C6613">
              <w:t xml:space="preserve"> where</w:t>
            </w:r>
            <w:r w:rsidR="00716FFD">
              <w:t xml:space="preserve"> </w:t>
            </w:r>
            <w:r w:rsidR="001C6613">
              <w:t>a</w:t>
            </w:r>
            <w:r w:rsidR="00C4443C">
              <w:t xml:space="preserve"> tiny </w:t>
            </w:r>
            <w:r w:rsidR="045F6C6F">
              <w:t>sample</w:t>
            </w:r>
            <w:r w:rsidR="00C4443C">
              <w:t xml:space="preserve"> of blood is collected from the heel of </w:t>
            </w:r>
            <w:r w:rsidR="00E03B7F">
              <w:t xml:space="preserve">each </w:t>
            </w:r>
            <w:r w:rsidR="001C6613">
              <w:t>newborn bab</w:t>
            </w:r>
            <w:r w:rsidR="00E03B7F">
              <w:t>y participating in the programs</w:t>
            </w:r>
            <w:r w:rsidR="00790182">
              <w:t xml:space="preserve"> </w:t>
            </w:r>
            <w:r w:rsidR="00C3737A">
              <w:t xml:space="preserve">and placed on a special filter paper, </w:t>
            </w:r>
            <w:r w:rsidR="00790182">
              <w:t>(</w:t>
            </w:r>
            <w:r w:rsidR="00C3737A">
              <w:t xml:space="preserve">resulting in </w:t>
            </w:r>
            <w:r w:rsidR="00790182">
              <w:t>a dried bloodspot)</w:t>
            </w:r>
            <w:r w:rsidR="00E2018A">
              <w:t>. The sample</w:t>
            </w:r>
            <w:r w:rsidR="00C3737A">
              <w:t xml:space="preserve"> is </w:t>
            </w:r>
            <w:r w:rsidR="00E2018A">
              <w:t>then</w:t>
            </w:r>
            <w:r w:rsidR="00C3737A">
              <w:t xml:space="preserve"> </w:t>
            </w:r>
            <w:r w:rsidR="001C6613">
              <w:t xml:space="preserve">used to test for several severe childhood conditions, so that </w:t>
            </w:r>
            <w:r w:rsidR="00C3737A">
              <w:t xml:space="preserve">an affected </w:t>
            </w:r>
            <w:r w:rsidR="001C6613">
              <w:t xml:space="preserve">child may access treatment earlier. </w:t>
            </w:r>
            <w:r w:rsidR="00361A81">
              <w:t>Newborn screening is an opt-in program</w:t>
            </w:r>
            <w:r w:rsidR="001C6613">
              <w:t xml:space="preserve">, </w:t>
            </w:r>
            <w:r w:rsidR="001E58FA">
              <w:t xml:space="preserve">and </w:t>
            </w:r>
            <w:r w:rsidR="001C6613">
              <w:t xml:space="preserve">uptake across Australia </w:t>
            </w:r>
            <w:r w:rsidR="001E58FA">
              <w:t>is very high,</w:t>
            </w:r>
            <w:r w:rsidR="00B15F4D">
              <w:t xml:space="preserve"> </w:t>
            </w:r>
            <w:r w:rsidR="001C6613">
              <w:t>at</w:t>
            </w:r>
            <w:r w:rsidR="00797EF7">
              <w:t xml:space="preserve"> over</w:t>
            </w:r>
            <w:r w:rsidR="001C6613">
              <w:t xml:space="preserve"> 99.</w:t>
            </w:r>
            <w:r w:rsidR="00797EF7">
              <w:t>0</w:t>
            </w:r>
            <w:r w:rsidR="001C6613">
              <w:t>%.</w:t>
            </w:r>
            <w:r w:rsidR="00785CBE">
              <w:t xml:space="preserve"> </w:t>
            </w:r>
          </w:p>
          <w:p w14:paraId="6A55B1E3" w14:textId="7CB73A46" w:rsidR="008E275C" w:rsidRDefault="001C6613" w:rsidP="001C6613">
            <w:r>
              <w:t xml:space="preserve">MPS II, also known as Hunter syndrome, is an ultra-rare </w:t>
            </w:r>
            <w:r w:rsidRPr="000535B0">
              <w:t>condition</w:t>
            </w:r>
            <w:r w:rsidR="00361A81">
              <w:t>, with approximately</w:t>
            </w:r>
            <w:r w:rsidRPr="000535B0">
              <w:t xml:space="preserve"> 0.62 </w:t>
            </w:r>
            <w:r w:rsidR="00790182">
              <w:t>babies</w:t>
            </w:r>
            <w:r w:rsidR="00790182" w:rsidRPr="000535B0">
              <w:t xml:space="preserve"> </w:t>
            </w:r>
            <w:r w:rsidR="00361A81">
              <w:t>currently diagnosed per</w:t>
            </w:r>
            <w:r w:rsidRPr="007321A8">
              <w:t xml:space="preserve"> 100,000 live births</w:t>
            </w:r>
            <w:r w:rsidR="00361A81">
              <w:t xml:space="preserve"> in Australia (i.e. approximately</w:t>
            </w:r>
            <w:r w:rsidR="0035235A">
              <w:t xml:space="preserve"> </w:t>
            </w:r>
            <w:r w:rsidR="008E275C">
              <w:t xml:space="preserve">2 </w:t>
            </w:r>
            <w:r w:rsidR="00790182">
              <w:t xml:space="preserve">babies </w:t>
            </w:r>
            <w:r w:rsidR="00A71A08">
              <w:t>diagnosed</w:t>
            </w:r>
            <w:r w:rsidR="008E275C">
              <w:t xml:space="preserve"> per year). This is expected to increase to around </w:t>
            </w:r>
            <w:r w:rsidR="00A60D07">
              <w:t>1.42</w:t>
            </w:r>
            <w:r w:rsidR="008E275C">
              <w:t xml:space="preserve"> </w:t>
            </w:r>
            <w:r w:rsidR="00790182">
              <w:t xml:space="preserve">babies </w:t>
            </w:r>
            <w:r w:rsidR="008E275C">
              <w:t xml:space="preserve">diagnosed per 100,000 live births (i.e. </w:t>
            </w:r>
            <w:r w:rsidR="00A60D07">
              <w:t>approximately 4</w:t>
            </w:r>
            <w:r w:rsidR="00207D9F">
              <w:t xml:space="preserve"> </w:t>
            </w:r>
            <w:r w:rsidR="00790182">
              <w:t xml:space="preserve">babies </w:t>
            </w:r>
            <w:r w:rsidR="008E275C">
              <w:t xml:space="preserve">per year diagnosed) if newborn </w:t>
            </w:r>
            <w:r w:rsidR="00FB0E1B">
              <w:t xml:space="preserve">bloodspot </w:t>
            </w:r>
            <w:r w:rsidR="008E275C">
              <w:t>screening for MPS II is introduced</w:t>
            </w:r>
            <w:r w:rsidR="00A60D07">
              <w:t>, because people</w:t>
            </w:r>
            <w:r w:rsidR="00CD1F03">
              <w:t xml:space="preserve"> with</w:t>
            </w:r>
            <w:r w:rsidR="00A60D07">
              <w:t xml:space="preserve"> </w:t>
            </w:r>
            <w:r w:rsidR="008C4654">
              <w:t xml:space="preserve">mild symptoms </w:t>
            </w:r>
            <w:r w:rsidR="00A60D07">
              <w:t>who currently have undetected or undiagnosed disease would be picked up by screening.</w:t>
            </w:r>
          </w:p>
          <w:p w14:paraId="5F287C28" w14:textId="08543797" w:rsidR="001C6613" w:rsidRDefault="008E275C" w:rsidP="001C6613">
            <w:r>
              <w:t>People with MPS II</w:t>
            </w:r>
            <w:r w:rsidR="001C6613">
              <w:t xml:space="preserve"> cannot break down sugars called </w:t>
            </w:r>
            <w:r w:rsidR="001C6613" w:rsidRPr="00293147">
              <w:t>glycosaminoglycans</w:t>
            </w:r>
            <w:r w:rsidR="001C6613">
              <w:t xml:space="preserve"> </w:t>
            </w:r>
            <w:r w:rsidR="00B47CC5">
              <w:t xml:space="preserve">(GAGs) </w:t>
            </w:r>
            <w:r w:rsidR="001C6613">
              <w:t xml:space="preserve">because </w:t>
            </w:r>
            <w:r w:rsidR="00AE3CEF">
              <w:t>they are deficient</w:t>
            </w:r>
            <w:r w:rsidR="001C6613">
              <w:t xml:space="preserve"> in a</w:t>
            </w:r>
            <w:r w:rsidR="00207D9F">
              <w:t>n</w:t>
            </w:r>
            <w:r w:rsidR="00AE3CEF">
              <w:t xml:space="preserve"> </w:t>
            </w:r>
            <w:r w:rsidR="001C6613">
              <w:t>enzyme</w:t>
            </w:r>
            <w:r w:rsidR="00207D9F">
              <w:t>,</w:t>
            </w:r>
            <w:r w:rsidR="001C6613">
              <w:t xml:space="preserve"> </w:t>
            </w:r>
            <w:r w:rsidR="001C6613" w:rsidRPr="0089423D">
              <w:t>iduronate-2-sulfatase</w:t>
            </w:r>
            <w:r w:rsidR="00607A1A">
              <w:t xml:space="preserve"> </w:t>
            </w:r>
            <w:r w:rsidR="00207D9F">
              <w:t>(</w:t>
            </w:r>
            <w:r w:rsidR="00607A1A">
              <w:t>IDS)</w:t>
            </w:r>
            <w:r w:rsidR="001C6613">
              <w:t>. The signs and symptoms vary, but affected people tend to have stiff joints,</w:t>
            </w:r>
            <w:r w:rsidR="00B024FA">
              <w:t xml:space="preserve"> enlarged orga</w:t>
            </w:r>
            <w:r w:rsidR="006E7FE5">
              <w:t>ns and tissues, including enlarged tongue and</w:t>
            </w:r>
            <w:r w:rsidR="001C6613" w:rsidDel="00886AE9">
              <w:t xml:space="preserve"> </w:t>
            </w:r>
            <w:r w:rsidR="001C6613">
              <w:t>facial features, heart problems</w:t>
            </w:r>
            <w:r w:rsidR="0039587E">
              <w:t>,</w:t>
            </w:r>
            <w:r w:rsidR="0061177A">
              <w:t xml:space="preserve"> </w:t>
            </w:r>
            <w:r w:rsidR="001C6613">
              <w:t>neurological problems</w:t>
            </w:r>
            <w:r w:rsidR="004F7131">
              <w:t>, and slowed growth</w:t>
            </w:r>
            <w:r w:rsidR="0039587E">
              <w:t xml:space="preserve">. As a result of these complications, people with MPS II have </w:t>
            </w:r>
            <w:r w:rsidR="001C6613">
              <w:t>a shortened lifespan. There are 2 forms</w:t>
            </w:r>
            <w:r w:rsidR="0039587E">
              <w:t xml:space="preserve"> of MPS II</w:t>
            </w:r>
            <w:r w:rsidR="001C6613">
              <w:t xml:space="preserve">: </w:t>
            </w:r>
            <w:r w:rsidR="0039587E">
              <w:t>a neuronopathic form</w:t>
            </w:r>
            <w:r w:rsidR="00421B60">
              <w:t xml:space="preserve"> (i.e. affected people have </w:t>
            </w:r>
            <w:r w:rsidR="00957D22">
              <w:t>nervous system problems)</w:t>
            </w:r>
            <w:r w:rsidR="0039587E">
              <w:t xml:space="preserve">, which is normally more </w:t>
            </w:r>
            <w:r w:rsidR="001C6613">
              <w:t>severe</w:t>
            </w:r>
            <w:r w:rsidR="00783323">
              <w:t xml:space="preserve"> and</w:t>
            </w:r>
            <w:r w:rsidR="001C6613">
              <w:t xml:space="preserve"> often presents in </w:t>
            </w:r>
            <w:r w:rsidR="007666BC">
              <w:t xml:space="preserve">babies </w:t>
            </w:r>
            <w:r w:rsidR="001C6613">
              <w:t>aged 6–12 months</w:t>
            </w:r>
            <w:r w:rsidR="00783323">
              <w:t>;</w:t>
            </w:r>
            <w:r w:rsidR="001C6613">
              <w:t xml:space="preserve"> and a </w:t>
            </w:r>
            <w:r w:rsidR="00783323">
              <w:t>non-</w:t>
            </w:r>
            <w:r w:rsidR="3B135C4E">
              <w:t>neuronopathic</w:t>
            </w:r>
            <w:r w:rsidR="00783323">
              <w:t xml:space="preserve"> form</w:t>
            </w:r>
            <w:r w:rsidR="00B638D2">
              <w:t xml:space="preserve"> (without nervous system involvement)</w:t>
            </w:r>
            <w:r w:rsidR="00783323">
              <w:t xml:space="preserve">, which is normally </w:t>
            </w:r>
            <w:r w:rsidR="001C6613">
              <w:t xml:space="preserve">less severe </w:t>
            </w:r>
            <w:r w:rsidR="00957D22">
              <w:t>and</w:t>
            </w:r>
            <w:r w:rsidR="001C6613">
              <w:t xml:space="preserve"> may present in childhood or later in adulthood. Some people with </w:t>
            </w:r>
            <w:r w:rsidR="00783323">
              <w:t xml:space="preserve">this </w:t>
            </w:r>
            <w:r w:rsidR="001C6613">
              <w:t xml:space="preserve">less severe form </w:t>
            </w:r>
            <w:r w:rsidR="00AF4145">
              <w:t xml:space="preserve">may </w:t>
            </w:r>
            <w:r w:rsidR="001C6613">
              <w:t>never show symptoms or signs.</w:t>
            </w:r>
          </w:p>
          <w:p w14:paraId="2F2FF2E8" w14:textId="24301FE0" w:rsidR="001C6613" w:rsidRDefault="001C6613" w:rsidP="001C6613">
            <w:r>
              <w:t>MPS II is</w:t>
            </w:r>
            <w:r w:rsidR="000D7361">
              <w:t xml:space="preserve"> a genetic condition caused by </w:t>
            </w:r>
            <w:r w:rsidR="00A86A85">
              <w:t>variations</w:t>
            </w:r>
            <w:r w:rsidR="000D7361">
              <w:t xml:space="preserve"> in</w:t>
            </w:r>
            <w:r w:rsidR="00A86A85">
              <w:t xml:space="preserve"> </w:t>
            </w:r>
            <w:r w:rsidR="00797355">
              <w:t>a specific gene (</w:t>
            </w:r>
            <w:r w:rsidR="00A86A85">
              <w:t>the</w:t>
            </w:r>
            <w:r w:rsidR="000D7361">
              <w:t xml:space="preserve"> </w:t>
            </w:r>
            <w:r w:rsidR="00F125D6">
              <w:t>iduronate 2-sulfatase (</w:t>
            </w:r>
            <w:r w:rsidR="00F125D6" w:rsidRPr="00DA0319">
              <w:rPr>
                <w:i/>
                <w:iCs/>
              </w:rPr>
              <w:t>IDS</w:t>
            </w:r>
            <w:r w:rsidR="00F125D6">
              <w:t>) gene</w:t>
            </w:r>
            <w:r w:rsidR="00797355">
              <w:t>)</w:t>
            </w:r>
            <w:r w:rsidR="00F125D6">
              <w:t>, which is on the X chromosome (called</w:t>
            </w:r>
            <w:r>
              <w:t xml:space="preserve"> </w:t>
            </w:r>
            <w:r w:rsidR="00F125D6">
              <w:t>“</w:t>
            </w:r>
            <w:r>
              <w:t>X-linked</w:t>
            </w:r>
            <w:r w:rsidR="00F125D6">
              <w:t>”)</w:t>
            </w:r>
            <w:r>
              <w:t xml:space="preserve">. </w:t>
            </w:r>
            <w:r w:rsidR="00F125D6">
              <w:t xml:space="preserve">X-linked conditions </w:t>
            </w:r>
            <w:r w:rsidR="00CA0BC5">
              <w:t xml:space="preserve">are more likely to affect males, </w:t>
            </w:r>
            <w:r w:rsidR="004D472B">
              <w:t>because they only inherit one copy of genes located on the X chromosome. Females very rarely have signs or symptoms of MPS II, and are instead more likely to be carriers of the condition (</w:t>
            </w:r>
            <w:r w:rsidR="007D3F80">
              <w:t xml:space="preserve">that is, if a female has one copy of </w:t>
            </w:r>
            <w:r w:rsidR="00A86A85">
              <w:t xml:space="preserve">an </w:t>
            </w:r>
            <w:r w:rsidR="00A86A85">
              <w:rPr>
                <w:i/>
                <w:iCs/>
              </w:rPr>
              <w:t>IDS</w:t>
            </w:r>
            <w:r w:rsidR="00A86A85">
              <w:t xml:space="preserve"> gene variant, she may not have MPS II herself but may pass the variant on to a child, who </w:t>
            </w:r>
            <w:r w:rsidR="007D3F80">
              <w:t>may</w:t>
            </w:r>
            <w:r w:rsidR="00A86A85">
              <w:t xml:space="preserve"> then</w:t>
            </w:r>
            <w:r w:rsidR="007D3F80">
              <w:t xml:space="preserve"> go on to develop MPS II).</w:t>
            </w:r>
          </w:p>
          <w:p w14:paraId="46C71337" w14:textId="0C4ECE03" w:rsidR="00797355" w:rsidRDefault="00797355" w:rsidP="001C6613">
            <w:r>
              <w:t xml:space="preserve">Newborn screening requires an initial screening test which identifies </w:t>
            </w:r>
            <w:r w:rsidR="000109B4">
              <w:t xml:space="preserve">people </w:t>
            </w:r>
            <w:r>
              <w:t>at risk for the condition of interest – this test does not make a diagnosis, If the screening test identifies someone at-risk, they are recalled for further clinical assessment</w:t>
            </w:r>
            <w:r w:rsidR="29180AA5">
              <w:t xml:space="preserve"> – </w:t>
            </w:r>
            <w:r>
              <w:t>a separate diagnostic test</w:t>
            </w:r>
            <w:r w:rsidR="212BE54F">
              <w:t>.</w:t>
            </w:r>
            <w:r>
              <w:t xml:space="preserve"> The diagnostic laboratory test may make a diagnosis of a condition before any detectable signs and symptoms of disease</w:t>
            </w:r>
            <w:r w:rsidR="00C3737A">
              <w:t xml:space="preserve"> are present</w:t>
            </w:r>
            <w:r>
              <w:t>.</w:t>
            </w:r>
          </w:p>
          <w:p w14:paraId="5D868918" w14:textId="5B8230CA" w:rsidR="001C6613" w:rsidRDefault="00CD2032" w:rsidP="001C6613">
            <w:r>
              <w:t>The proposed screening method</w:t>
            </w:r>
            <w:r w:rsidR="001C6613">
              <w:t xml:space="preserve"> would </w:t>
            </w:r>
            <w:r w:rsidR="009D432C">
              <w:t>measure</w:t>
            </w:r>
            <w:r w:rsidR="001C6613">
              <w:t xml:space="preserve"> enzyme activity on the dried bloodspot</w:t>
            </w:r>
            <w:r w:rsidR="009D432C">
              <w:t xml:space="preserve"> sample</w:t>
            </w:r>
            <w:r w:rsidR="001C6613">
              <w:t xml:space="preserve">. Those </w:t>
            </w:r>
            <w:r w:rsidR="009D432C">
              <w:t>with low</w:t>
            </w:r>
            <w:r w:rsidR="001C6613">
              <w:t xml:space="preserve"> enzyme activity would go on to</w:t>
            </w:r>
            <w:r w:rsidR="00B47CC5">
              <w:t xml:space="preserve"> have</w:t>
            </w:r>
            <w:r w:rsidR="001C6613">
              <w:t xml:space="preserve"> </w:t>
            </w:r>
            <w:r w:rsidR="007865A4">
              <w:t xml:space="preserve">a </w:t>
            </w:r>
            <w:r w:rsidR="00207D9F">
              <w:t>“</w:t>
            </w:r>
            <w:r w:rsidR="001C6613">
              <w:t>second-tier</w:t>
            </w:r>
            <w:r w:rsidR="00207D9F">
              <w:t>”</w:t>
            </w:r>
            <w:r w:rsidR="001C6613">
              <w:t xml:space="preserve"> test </w:t>
            </w:r>
            <w:r w:rsidR="00B47CC5">
              <w:t>measuring GAG</w:t>
            </w:r>
            <w:r w:rsidR="0016737C">
              <w:t xml:space="preserve"> (sugar) build-up</w:t>
            </w:r>
            <w:r w:rsidR="00B47CC5">
              <w:t xml:space="preserve"> i</w:t>
            </w:r>
            <w:r w:rsidR="001C6613">
              <w:t xml:space="preserve">n </w:t>
            </w:r>
            <w:r w:rsidR="0036564F">
              <w:t>the blood spot sample</w:t>
            </w:r>
            <w:r w:rsidR="001C6613">
              <w:t>. MPS II is so rare that</w:t>
            </w:r>
            <w:r w:rsidR="00896FF8">
              <w:t xml:space="preserve"> well</w:t>
            </w:r>
            <w:r w:rsidR="00545E0C">
              <w:t xml:space="preserve"> over</w:t>
            </w:r>
            <w:r w:rsidR="001C6613">
              <w:t xml:space="preserve"> 99% of babies would be considered unaffected after the first tier of </w:t>
            </w:r>
            <w:r w:rsidR="002D3408">
              <w:t>screening</w:t>
            </w:r>
            <w:r w:rsidR="001C6613">
              <w:t>. Th</w:t>
            </w:r>
            <w:r w:rsidR="00545E0C">
              <w:t>e f</w:t>
            </w:r>
            <w:r w:rsidR="001C6613">
              <w:t>e</w:t>
            </w:r>
            <w:r w:rsidR="00545E0C">
              <w:t>w</w:t>
            </w:r>
            <w:r w:rsidR="001C6613">
              <w:t xml:space="preserve"> </w:t>
            </w:r>
            <w:r w:rsidR="00545E0C">
              <w:t>newborns</w:t>
            </w:r>
            <w:r w:rsidR="00896FF8">
              <w:t xml:space="preserve"> who </w:t>
            </w:r>
            <w:r w:rsidR="00D5114F">
              <w:t>receive a positive first tier screen result</w:t>
            </w:r>
            <w:r w:rsidR="00545E0C">
              <w:t xml:space="preserve"> </w:t>
            </w:r>
            <w:r w:rsidR="001C6613">
              <w:t>would go on</w:t>
            </w:r>
            <w:r w:rsidR="00D5114F">
              <w:t xml:space="preserve"> to have</w:t>
            </w:r>
            <w:r w:rsidR="001C6613">
              <w:t xml:space="preserve"> the second-tier test. Any babies found to test positive for both tiers would go on to have a diagnosis confirmed by clinical examination, </w:t>
            </w:r>
            <w:r w:rsidR="00207D9F">
              <w:t>blood and urine te</w:t>
            </w:r>
            <w:r w:rsidR="00D5114F">
              <w:t>s</w:t>
            </w:r>
            <w:r w:rsidR="00207D9F">
              <w:t xml:space="preserve">ts, </w:t>
            </w:r>
            <w:r w:rsidR="001C6613">
              <w:t>imaging tests and genetic tests.</w:t>
            </w:r>
          </w:p>
          <w:p w14:paraId="3FF600C5" w14:textId="77777777" w:rsidR="00BD59EA" w:rsidRDefault="001C6613" w:rsidP="001C6613">
            <w:r w:rsidRPr="000D3DF3">
              <w:lastRenderedPageBreak/>
              <w:t>MSAC considered the 2-tier screening strategy to be very effective and that only true positives would be identified</w:t>
            </w:r>
            <w:r w:rsidR="003332C3">
              <w:t xml:space="preserve"> (that is, after both tiers of screening, MSAC considered that it was very unlikely any </w:t>
            </w:r>
            <w:r w:rsidR="006F59C0">
              <w:t xml:space="preserve">babies </w:t>
            </w:r>
            <w:r w:rsidR="003332C3">
              <w:t xml:space="preserve">would be incorrectly diagnosed with MPS II who did not have the </w:t>
            </w:r>
            <w:r w:rsidR="00465938">
              <w:t>condition</w:t>
            </w:r>
            <w:r w:rsidR="003332C3">
              <w:t>)</w:t>
            </w:r>
            <w:r w:rsidRPr="000D3DF3">
              <w:t>.</w:t>
            </w:r>
          </w:p>
          <w:p w14:paraId="1E64F49F" w14:textId="430D24BA" w:rsidR="00BD59EA" w:rsidRDefault="00BD59EA" w:rsidP="001C6613">
            <w:r w:rsidRPr="00BD59EA">
              <w:t>The available treatment for MPS II is idursulfase, an enzyme replacement therapy (ERT) that is currently accessed through the Life Saving Drugs Program (LSDP) in Australia. At the moment, not all</w:t>
            </w:r>
            <w:r w:rsidRPr="00BD59EA" w:rsidDel="00CD5647">
              <w:t xml:space="preserve"> </w:t>
            </w:r>
            <w:r w:rsidRPr="00BD59EA">
              <w:t>babies and children with MPS II are eligible for ERT funded by the LSDP, as it is only available for children showing symptoms, or for those predicted to have a severe form of the disease (for example, if they have a sibling with severe disease). Babies who are diagnosed with MPS II through NBS may not yet show symptoms</w:t>
            </w:r>
            <w:r w:rsidR="73C75137">
              <w:t xml:space="preserve"> or might have uncertain disease progression</w:t>
            </w:r>
            <w:r w:rsidRPr="00BD59EA">
              <w:t xml:space="preserve">, and so would not necessarily have access to treatment under the current LSDP criteria. MSAC </w:t>
            </w:r>
            <w:r w:rsidR="00245D51">
              <w:t>advised</w:t>
            </w:r>
            <w:r w:rsidR="00245D51" w:rsidRPr="00BD59EA">
              <w:t xml:space="preserve"> </w:t>
            </w:r>
            <w:r w:rsidRPr="00BD59EA">
              <w:t xml:space="preserve">that the LSDP criteria </w:t>
            </w:r>
            <w:r w:rsidR="00017353" w:rsidRPr="00BD59EA">
              <w:t xml:space="preserve">for access to therapy </w:t>
            </w:r>
            <w:r w:rsidRPr="00BD59EA">
              <w:t>would need to be reviewed if MPS II screening was included as part of NBS. Because MPS II is so rare, there is also limited evidence about whether starting treatment before symptom onset will lead to better outcomes for all babies. Based on the evidence available, MSAC considered that ERT was at least partially effective for the most severe type of MPS II, and based on how ERT works, was likely to be at least partially effective for less severe disease, although no evidence for this was available. MSAC noted that ERT is not able to treat all symptoms (for example, it cannot reach the brain so cannot help with cognitive symptoms).</w:t>
            </w:r>
          </w:p>
          <w:p w14:paraId="516512BA" w14:textId="36EA3C7F" w:rsidR="004445AB" w:rsidRDefault="00BD59EA" w:rsidP="00BD59EA">
            <w:r w:rsidRPr="00BD59EA">
              <w:t>MSAC considered newborn screening for MPS I</w:t>
            </w:r>
            <w:r>
              <w:t>I</w:t>
            </w:r>
            <w:r w:rsidRPr="00BD59EA">
              <w:t xml:space="preserve"> was acceptable value for money. </w:t>
            </w:r>
            <w:r w:rsidR="004445AB">
              <w:t xml:space="preserve">The cost per screening test was low. MSAC </w:t>
            </w:r>
            <w:r w:rsidR="00017353">
              <w:t>noted</w:t>
            </w:r>
            <w:r w:rsidR="004445AB">
              <w:t xml:space="preserve"> that very costly, potentially life-saving treatments for very rare conditions have been considered good value for money. </w:t>
            </w:r>
          </w:p>
          <w:p w14:paraId="25605BE5" w14:textId="41E135A9" w:rsidR="009B13E1" w:rsidRPr="009B13E1" w:rsidRDefault="009B13E1" w:rsidP="009B13E1">
            <w:pPr>
              <w:spacing w:line="256" w:lineRule="auto"/>
              <w:rPr>
                <w:rFonts w:eastAsia="Calibri" w:cs="Arial"/>
              </w:rPr>
            </w:pPr>
            <w:r w:rsidRPr="009B13E1">
              <w:rPr>
                <w:rFonts w:eastAsia="Calibri" w:cs="Arial"/>
              </w:rPr>
              <w:t>MSAC supported newborn screening for MPS I</w:t>
            </w:r>
            <w:r>
              <w:rPr>
                <w:rFonts w:eastAsia="Calibri" w:cs="Arial"/>
              </w:rPr>
              <w:t>I</w:t>
            </w:r>
            <w:r w:rsidRPr="009B13E1">
              <w:rPr>
                <w:rFonts w:eastAsia="Calibri" w:cs="Arial"/>
              </w:rPr>
              <w:t xml:space="preserve"> </w:t>
            </w:r>
            <w:r w:rsidR="00C3737A">
              <w:rPr>
                <w:rFonts w:eastAsia="Calibri" w:cs="Arial"/>
              </w:rPr>
              <w:t>if</w:t>
            </w:r>
            <w:r w:rsidR="00C3737A" w:rsidRPr="009B13E1">
              <w:rPr>
                <w:rFonts w:eastAsia="Calibri" w:cs="Arial"/>
              </w:rPr>
              <w:t xml:space="preserve"> </w:t>
            </w:r>
            <w:r w:rsidRPr="009B13E1">
              <w:rPr>
                <w:rFonts w:eastAsia="Calibri" w:cs="Arial"/>
              </w:rPr>
              <w:t>certain conditions</w:t>
            </w:r>
            <w:r w:rsidR="00C3737A">
              <w:rPr>
                <w:rFonts w:eastAsia="Calibri" w:cs="Arial"/>
              </w:rPr>
              <w:t xml:space="preserve"> are met</w:t>
            </w:r>
            <w:r w:rsidRPr="009B13E1">
              <w:rPr>
                <w:rFonts w:eastAsia="Calibri" w:cs="Arial"/>
              </w:rPr>
              <w:t xml:space="preserve">. This is because </w:t>
            </w:r>
            <w:r w:rsidR="00C3737A">
              <w:rPr>
                <w:rFonts w:eastAsia="Calibri" w:cs="Arial"/>
              </w:rPr>
              <w:t xml:space="preserve">MPS II </w:t>
            </w:r>
            <w:r w:rsidRPr="009B13E1">
              <w:rPr>
                <w:rFonts w:eastAsia="Calibri" w:cs="Arial"/>
              </w:rPr>
              <w:t>mostly met the criteria for adding a condition to the newborn screening programs</w:t>
            </w:r>
            <w:r w:rsidR="00C3737A">
              <w:rPr>
                <w:rFonts w:eastAsia="Calibri" w:cs="Arial"/>
              </w:rPr>
              <w:t xml:space="preserve">, as described in </w:t>
            </w:r>
            <w:r w:rsidRPr="009B13E1">
              <w:rPr>
                <w:rFonts w:eastAsia="Calibri" w:cs="Arial"/>
              </w:rPr>
              <w:t xml:space="preserve">the </w:t>
            </w:r>
            <w:r w:rsidR="009330B0" w:rsidRPr="00712349">
              <w:t>Newborn Bloodspot Screening National Policy Framework</w:t>
            </w:r>
            <w:r w:rsidR="009330B0">
              <w:rPr>
                <w:rStyle w:val="FootnoteReference"/>
              </w:rPr>
              <w:footnoteReference w:id="2"/>
            </w:r>
            <w:r w:rsidR="009330B0">
              <w:t xml:space="preserve"> </w:t>
            </w:r>
            <w:r w:rsidR="00716FFD">
              <w:t xml:space="preserve"> (NBS NPF)</w:t>
            </w:r>
            <w:r w:rsidRPr="009B13E1">
              <w:rPr>
                <w:rFonts w:eastAsia="Calibri" w:cs="Arial"/>
              </w:rPr>
              <w:t>. MSAC considered the potential benefits from newborn screening for MPS I</w:t>
            </w:r>
            <w:r>
              <w:rPr>
                <w:rFonts w:eastAsia="Calibri" w:cs="Arial"/>
              </w:rPr>
              <w:t>I</w:t>
            </w:r>
            <w:r w:rsidRPr="009B13E1">
              <w:rPr>
                <w:rFonts w:eastAsia="Calibri" w:cs="Arial"/>
              </w:rPr>
              <w:t xml:space="preserve"> were greater than the possible </w:t>
            </w:r>
            <w:r>
              <w:rPr>
                <w:rFonts w:eastAsia="Calibri" w:cs="Arial"/>
              </w:rPr>
              <w:t>harms</w:t>
            </w:r>
            <w:r w:rsidRPr="009B13E1">
              <w:rPr>
                <w:rFonts w:eastAsia="Calibri" w:cs="Arial"/>
              </w:rPr>
              <w:t xml:space="preserve">. However, MSAC advised that </w:t>
            </w:r>
            <w:r w:rsidR="00C3737A">
              <w:rPr>
                <w:rFonts w:eastAsia="Calibri" w:cs="Arial"/>
              </w:rPr>
              <w:t>its support for</w:t>
            </w:r>
            <w:r w:rsidRPr="009B13E1">
              <w:rPr>
                <w:rFonts w:eastAsia="Calibri" w:cs="Arial"/>
              </w:rPr>
              <w:t xml:space="preserve"> the addition of MPS</w:t>
            </w:r>
            <w:r>
              <w:rPr>
                <w:rFonts w:eastAsia="Calibri" w:cs="Arial"/>
              </w:rPr>
              <w:t> </w:t>
            </w:r>
            <w:r w:rsidRPr="009B13E1">
              <w:rPr>
                <w:rFonts w:eastAsia="Calibri" w:cs="Arial"/>
              </w:rPr>
              <w:t>I</w:t>
            </w:r>
            <w:r>
              <w:rPr>
                <w:rFonts w:eastAsia="Calibri" w:cs="Arial"/>
              </w:rPr>
              <w:t>I</w:t>
            </w:r>
            <w:r w:rsidRPr="009B13E1">
              <w:rPr>
                <w:rFonts w:eastAsia="Calibri" w:cs="Arial"/>
              </w:rPr>
              <w:t xml:space="preserve"> to the NBS programs is that the following </w:t>
            </w:r>
            <w:r>
              <w:rPr>
                <w:rFonts w:eastAsia="Calibri" w:cs="Arial"/>
              </w:rPr>
              <w:t>issues</w:t>
            </w:r>
            <w:r w:rsidRPr="009B13E1">
              <w:rPr>
                <w:rFonts w:eastAsia="Calibri" w:cs="Arial"/>
              </w:rPr>
              <w:t xml:space="preserve"> </w:t>
            </w:r>
            <w:r w:rsidR="001C238E">
              <w:rPr>
                <w:rFonts w:eastAsia="Calibri" w:cs="Arial"/>
              </w:rPr>
              <w:t>should</w:t>
            </w:r>
            <w:r w:rsidR="001C238E" w:rsidRPr="009B13E1">
              <w:rPr>
                <w:rFonts w:eastAsia="Calibri" w:cs="Arial"/>
              </w:rPr>
              <w:t xml:space="preserve"> </w:t>
            </w:r>
            <w:r w:rsidRPr="009B13E1">
              <w:rPr>
                <w:rFonts w:eastAsia="Calibri" w:cs="Arial"/>
              </w:rPr>
              <w:t xml:space="preserve">be addressed before </w:t>
            </w:r>
            <w:r w:rsidR="00456FDF">
              <w:rPr>
                <w:rFonts w:eastAsia="Calibri" w:cs="Arial"/>
              </w:rPr>
              <w:t xml:space="preserve">babies are screened for </w:t>
            </w:r>
            <w:r w:rsidRPr="009B13E1">
              <w:rPr>
                <w:rFonts w:eastAsia="Calibri" w:cs="Arial"/>
              </w:rPr>
              <w:t xml:space="preserve">MPS </w:t>
            </w:r>
            <w:r>
              <w:rPr>
                <w:rFonts w:eastAsia="Calibri" w:cs="Arial"/>
              </w:rPr>
              <w:t>I</w:t>
            </w:r>
            <w:r w:rsidRPr="009B13E1">
              <w:rPr>
                <w:rFonts w:eastAsia="Calibri" w:cs="Arial"/>
              </w:rPr>
              <w:t>I</w:t>
            </w:r>
            <w:r w:rsidR="000659BE">
              <w:rPr>
                <w:rFonts w:eastAsia="Calibri" w:cs="Arial"/>
              </w:rPr>
              <w:t>.</w:t>
            </w:r>
            <w:r w:rsidR="007364F3">
              <w:rPr>
                <w:rFonts w:eastAsia="Calibri" w:cs="Arial"/>
              </w:rPr>
              <w:t xml:space="preserve"> </w:t>
            </w:r>
            <w:r w:rsidR="00456FDF">
              <w:rPr>
                <w:rFonts w:eastAsia="Calibri" w:cs="Arial"/>
              </w:rPr>
              <w:t xml:space="preserve">MSAC noted that </w:t>
            </w:r>
            <w:r w:rsidR="007364F3">
              <w:rPr>
                <w:rFonts w:eastAsia="Calibri" w:cs="Arial"/>
              </w:rPr>
              <w:t>the final decision on whether MPS II will be added to NBS programs lies with the Health Ministers</w:t>
            </w:r>
            <w:r w:rsidRPr="009B13E1">
              <w:rPr>
                <w:rFonts w:eastAsia="Calibri" w:cs="Arial"/>
              </w:rPr>
              <w:t>:</w:t>
            </w:r>
          </w:p>
          <w:p w14:paraId="31A38007" w14:textId="1C3D29F2" w:rsidR="00666B49" w:rsidRDefault="00387967" w:rsidP="003D5EF0">
            <w:pPr>
              <w:pStyle w:val="ListParagraph"/>
              <w:numPr>
                <w:ilvl w:val="0"/>
                <w:numId w:val="33"/>
              </w:numPr>
              <w:rPr>
                <w:rFonts w:eastAsia="Franklin Gothic Book"/>
              </w:rPr>
            </w:pPr>
            <w:r>
              <w:rPr>
                <w:rFonts w:eastAsia="Franklin Gothic Book"/>
              </w:rPr>
              <w:t xml:space="preserve">Introduce an </w:t>
            </w:r>
            <w:r w:rsidR="00360967">
              <w:rPr>
                <w:rFonts w:eastAsia="Franklin Gothic Book"/>
              </w:rPr>
              <w:t xml:space="preserve">appropriate </w:t>
            </w:r>
            <w:r w:rsidR="100E27CB" w:rsidRPr="2219DDB6">
              <w:rPr>
                <w:rFonts w:eastAsia="Franklin Gothic Book"/>
              </w:rPr>
              <w:t>consent process</w:t>
            </w:r>
            <w:r>
              <w:rPr>
                <w:rFonts w:eastAsia="Franklin Gothic Book"/>
              </w:rPr>
              <w:t xml:space="preserve"> to ensure that parents </w:t>
            </w:r>
            <w:r w:rsidR="00C945EB">
              <w:rPr>
                <w:rFonts w:eastAsia="Franklin Gothic Book"/>
              </w:rPr>
              <w:t>are informed that their bab</w:t>
            </w:r>
            <w:r w:rsidR="00AB2559">
              <w:rPr>
                <w:rFonts w:eastAsia="Franklin Gothic Book"/>
              </w:rPr>
              <w:t>ies</w:t>
            </w:r>
            <w:r w:rsidR="00C945EB">
              <w:rPr>
                <w:rFonts w:eastAsia="Franklin Gothic Book"/>
              </w:rPr>
              <w:t xml:space="preserve"> may potentially be diagnosed with MPS II</w:t>
            </w:r>
            <w:r w:rsidR="00101C2E">
              <w:rPr>
                <w:rFonts w:eastAsia="Franklin Gothic Book"/>
              </w:rPr>
              <w:t xml:space="preserve">. </w:t>
            </w:r>
            <w:r w:rsidR="00101C2E" w:rsidRPr="00BF182E">
              <w:rPr>
                <w:rFonts w:eastAsia="Franklin Gothic Book"/>
              </w:rPr>
              <w:t xml:space="preserve">MPS </w:t>
            </w:r>
            <w:r w:rsidR="00101C2E">
              <w:rPr>
                <w:rFonts w:eastAsia="Franklin Gothic Book"/>
              </w:rPr>
              <w:t>I</w:t>
            </w:r>
            <w:r w:rsidR="00101C2E" w:rsidRPr="00BF182E">
              <w:rPr>
                <w:rFonts w:eastAsia="Franklin Gothic Book"/>
              </w:rPr>
              <w:t xml:space="preserve">I is different from conditions that are already screened because </w:t>
            </w:r>
            <w:r w:rsidR="00101C2E" w:rsidRPr="2219DDB6">
              <w:rPr>
                <w:rFonts w:eastAsia="Franklin Gothic Book"/>
              </w:rPr>
              <w:t>it</w:t>
            </w:r>
            <w:r w:rsidR="00101C2E" w:rsidRPr="00BF182E">
              <w:rPr>
                <w:rFonts w:eastAsia="Franklin Gothic Book"/>
              </w:rPr>
              <w:t xml:space="preserve"> is a complex condition</w:t>
            </w:r>
            <w:r w:rsidR="00101C2E">
              <w:rPr>
                <w:rFonts w:eastAsia="Franklin Gothic Book"/>
              </w:rPr>
              <w:t xml:space="preserve">. The consent process should include making sure parents are aware that MPS II includes </w:t>
            </w:r>
            <w:r w:rsidR="0030004F">
              <w:rPr>
                <w:rFonts w:eastAsia="Franklin Gothic Book"/>
              </w:rPr>
              <w:t xml:space="preserve">a later onset form, </w:t>
            </w:r>
            <w:r w:rsidR="003A2562">
              <w:rPr>
                <w:rFonts w:eastAsia="Franklin Gothic Book"/>
              </w:rPr>
              <w:t>that</w:t>
            </w:r>
            <w:r w:rsidR="0030004F">
              <w:rPr>
                <w:rFonts w:eastAsia="Franklin Gothic Book"/>
              </w:rPr>
              <w:t xml:space="preserve"> course of disease </w:t>
            </w:r>
            <w:r w:rsidR="003A2562">
              <w:rPr>
                <w:rFonts w:eastAsia="Franklin Gothic Book"/>
              </w:rPr>
              <w:t>may</w:t>
            </w:r>
            <w:r w:rsidR="0030004F">
              <w:rPr>
                <w:rFonts w:eastAsia="Franklin Gothic Book"/>
              </w:rPr>
              <w:t xml:space="preserve"> </w:t>
            </w:r>
            <w:r w:rsidR="003A2562">
              <w:rPr>
                <w:rFonts w:eastAsia="Franklin Gothic Book"/>
              </w:rPr>
              <w:t xml:space="preserve">not be </w:t>
            </w:r>
            <w:r w:rsidR="0030004F">
              <w:rPr>
                <w:rFonts w:eastAsia="Franklin Gothic Book"/>
              </w:rPr>
              <w:t>predict</w:t>
            </w:r>
            <w:r w:rsidR="003A2562">
              <w:rPr>
                <w:rFonts w:eastAsia="Franklin Gothic Book"/>
              </w:rPr>
              <w:t>able</w:t>
            </w:r>
            <w:r w:rsidR="00101C2E">
              <w:rPr>
                <w:rFonts w:eastAsia="Franklin Gothic Book"/>
              </w:rPr>
              <w:t>, that some babies may never have symptoms, and that some babies may not have an early effective treatment</w:t>
            </w:r>
            <w:r w:rsidR="003A2562">
              <w:rPr>
                <w:rFonts w:eastAsia="Franklin Gothic Book"/>
              </w:rPr>
              <w:t xml:space="preserve">. </w:t>
            </w:r>
            <w:r w:rsidR="00101C2E" w:rsidRPr="00BF182E">
              <w:rPr>
                <w:rFonts w:eastAsia="Franklin Gothic Book"/>
              </w:rPr>
              <w:t>MSAC considered having clear and correct information in the consent process is important to maintain trust in the NBS programs. This will make sure that the high rate of participation in the NBS programs continue as new conditions are added.</w:t>
            </w:r>
          </w:p>
          <w:p w14:paraId="1F3DFB1E" w14:textId="0AAA720B" w:rsidR="00BF182E" w:rsidRPr="00DA0319" w:rsidRDefault="00666B49" w:rsidP="003D5EF0">
            <w:pPr>
              <w:pStyle w:val="ListParagraph"/>
              <w:numPr>
                <w:ilvl w:val="0"/>
                <w:numId w:val="33"/>
              </w:numPr>
              <w:rPr>
                <w:rFonts w:eastAsia="Franklin Gothic Book"/>
              </w:rPr>
            </w:pPr>
            <w:r>
              <w:rPr>
                <w:rFonts w:eastAsia="Franklin Gothic Book"/>
              </w:rPr>
              <w:t xml:space="preserve">Undertake an ethical analysis and agree on whether babies will be recalled for MPS II if the severity of MPS II cannot be predicted at the NBS stage, noting that clinical examination and confirmatory testing may provide a diagnosis. </w:t>
            </w:r>
            <w:r w:rsidRPr="009B13E1">
              <w:rPr>
                <w:rFonts w:eastAsia="Franklin Gothic Book"/>
              </w:rPr>
              <w:t>For babies</w:t>
            </w:r>
            <w:r>
              <w:rPr>
                <w:rFonts w:eastAsia="Franklin Gothic Book"/>
              </w:rPr>
              <w:t xml:space="preserve"> with uncertain phenotype</w:t>
            </w:r>
            <w:r w:rsidRPr="009B13E1">
              <w:rPr>
                <w:rFonts w:eastAsia="Franklin Gothic Book"/>
              </w:rPr>
              <w:t xml:space="preserve"> there is no effective early treatment. This may cause harm </w:t>
            </w:r>
            <w:r>
              <w:rPr>
                <w:rFonts w:eastAsia="Franklin Gothic Book"/>
              </w:rPr>
              <w:t xml:space="preserve">to </w:t>
            </w:r>
            <w:r w:rsidRPr="009B13E1">
              <w:rPr>
                <w:rFonts w:eastAsia="Franklin Gothic Book"/>
              </w:rPr>
              <w:t>these children and their families because they will have the undue stress of a diagnosis and waiting to be sick without a benefit from early treatment.</w:t>
            </w:r>
            <w:r>
              <w:t xml:space="preserve"> </w:t>
            </w:r>
            <w:r w:rsidRPr="009B13E1">
              <w:rPr>
                <w:rFonts w:eastAsia="Franklin Gothic Book"/>
              </w:rPr>
              <w:t>MSAC considered that experts need to consider the ethical issues with either option.</w:t>
            </w:r>
            <w:r w:rsidR="00101C2E">
              <w:rPr>
                <w:rFonts w:eastAsia="Franklin Gothic Book"/>
              </w:rPr>
              <w:t xml:space="preserve"> </w:t>
            </w:r>
          </w:p>
          <w:p w14:paraId="00167A73" w14:textId="4CAB33BC" w:rsidR="00EC1463" w:rsidRPr="008F21BA" w:rsidRDefault="00A718D7" w:rsidP="003D5EF0">
            <w:pPr>
              <w:pStyle w:val="ListParagraph"/>
              <w:numPr>
                <w:ilvl w:val="0"/>
                <w:numId w:val="33"/>
              </w:numPr>
            </w:pPr>
            <w:r>
              <w:rPr>
                <w:rFonts w:eastAsia="Franklin Gothic Book"/>
              </w:rPr>
              <w:lastRenderedPageBreak/>
              <w:t xml:space="preserve">Review suitability of </w:t>
            </w:r>
            <w:r w:rsidR="005855E1">
              <w:rPr>
                <w:rFonts w:eastAsia="Franklin Gothic Book"/>
              </w:rPr>
              <w:t>f</w:t>
            </w:r>
            <w:r w:rsidR="009B13E1">
              <w:rPr>
                <w:rFonts w:eastAsia="Franklin Gothic Book"/>
              </w:rPr>
              <w:t>und</w:t>
            </w:r>
            <w:r w:rsidR="005855E1">
              <w:rPr>
                <w:rFonts w:eastAsia="Franklin Gothic Book"/>
              </w:rPr>
              <w:t>ing of</w:t>
            </w:r>
            <w:r w:rsidR="009B13E1">
              <w:rPr>
                <w:rFonts w:eastAsia="Franklin Gothic Book"/>
              </w:rPr>
              <w:t xml:space="preserve"> </w:t>
            </w:r>
            <w:r w:rsidR="009B13E1" w:rsidRPr="009B13E1">
              <w:rPr>
                <w:rFonts w:eastAsia="Franklin Gothic Book"/>
              </w:rPr>
              <w:t xml:space="preserve">ERT with idursulfase for </w:t>
            </w:r>
            <w:r w:rsidR="00415BF0">
              <w:rPr>
                <w:rFonts w:eastAsia="Franklin Gothic Book"/>
              </w:rPr>
              <w:t>babies</w:t>
            </w:r>
            <w:r w:rsidR="00415BF0" w:rsidRPr="009B13E1">
              <w:rPr>
                <w:rFonts w:eastAsia="Franklin Gothic Book"/>
              </w:rPr>
              <w:t xml:space="preserve"> </w:t>
            </w:r>
            <w:r w:rsidR="009B13E1" w:rsidRPr="009B13E1">
              <w:rPr>
                <w:rFonts w:eastAsia="Franklin Gothic Book"/>
              </w:rPr>
              <w:t xml:space="preserve">diagnosed with MPS II </w:t>
            </w:r>
            <w:r>
              <w:rPr>
                <w:rFonts w:eastAsia="Franklin Gothic Book"/>
              </w:rPr>
              <w:t xml:space="preserve">via NBS, and </w:t>
            </w:r>
            <w:r w:rsidR="009B13E1" w:rsidRPr="009B13E1">
              <w:rPr>
                <w:rFonts w:eastAsia="Franklin Gothic Book"/>
              </w:rPr>
              <w:t>who are likely to benefit from early treatment. Idursulfase is a</w:t>
            </w:r>
            <w:r w:rsidR="00BF182E">
              <w:rPr>
                <w:rFonts w:eastAsia="Franklin Gothic Book"/>
              </w:rPr>
              <w:t xml:space="preserve">n expensive </w:t>
            </w:r>
            <w:r w:rsidR="009B13E1" w:rsidRPr="009B13E1">
              <w:rPr>
                <w:rFonts w:eastAsia="Franklin Gothic Book"/>
              </w:rPr>
              <w:t xml:space="preserve">medicine. </w:t>
            </w:r>
            <w:r w:rsidR="00F75182">
              <w:rPr>
                <w:rFonts w:eastAsia="Franklin Gothic Book"/>
              </w:rPr>
              <w:t xml:space="preserve">Broader </w:t>
            </w:r>
            <w:r w:rsidR="008D0DEB">
              <w:rPr>
                <w:rFonts w:eastAsia="Franklin Gothic Book"/>
              </w:rPr>
              <w:t>p</w:t>
            </w:r>
            <w:r w:rsidR="009B13E1" w:rsidRPr="009B13E1">
              <w:rPr>
                <w:rFonts w:eastAsia="Franklin Gothic Book"/>
              </w:rPr>
              <w:t xml:space="preserve">ublic funding of ERT is </w:t>
            </w:r>
            <w:r>
              <w:rPr>
                <w:rFonts w:eastAsia="Franklin Gothic Book"/>
              </w:rPr>
              <w:t xml:space="preserve">likely </w:t>
            </w:r>
            <w:r w:rsidR="009B13E1" w:rsidRPr="009B13E1">
              <w:rPr>
                <w:rFonts w:eastAsia="Franklin Gothic Book"/>
              </w:rPr>
              <w:t xml:space="preserve">needed to achieve better health outcomes from NBS for MPS II and ensure there is equitable access to an effective early </w:t>
            </w:r>
            <w:r w:rsidR="00D73AB7">
              <w:rPr>
                <w:rFonts w:eastAsia="Franklin Gothic Book"/>
              </w:rPr>
              <w:t>treatment</w:t>
            </w:r>
            <w:r w:rsidR="009B13E1" w:rsidRPr="009B13E1">
              <w:rPr>
                <w:rFonts w:eastAsia="Franklin Gothic Book"/>
              </w:rPr>
              <w:t>.</w:t>
            </w:r>
          </w:p>
          <w:p w14:paraId="610B848E" w14:textId="3F0A7602" w:rsidR="003D5EF0" w:rsidRPr="008F21BA" w:rsidRDefault="00831AA9" w:rsidP="003D5EF0">
            <w:pPr>
              <w:pStyle w:val="ListParagraph"/>
              <w:numPr>
                <w:ilvl w:val="0"/>
                <w:numId w:val="33"/>
              </w:numPr>
            </w:pPr>
            <w:r>
              <w:rPr>
                <w:rFonts w:eastAsia="Franklin Gothic Book"/>
              </w:rPr>
              <w:t>D</w:t>
            </w:r>
            <w:r w:rsidR="004216AA" w:rsidRPr="00DA0319">
              <w:rPr>
                <w:rFonts w:eastAsia="Franklin Gothic Book"/>
              </w:rPr>
              <w:t>evelo</w:t>
            </w:r>
            <w:r w:rsidR="00D561E1">
              <w:rPr>
                <w:rFonts w:eastAsia="Franklin Gothic Book"/>
              </w:rPr>
              <w:t>p</w:t>
            </w:r>
            <w:r w:rsidR="004216AA" w:rsidRPr="00DA0319">
              <w:rPr>
                <w:rFonts w:eastAsia="Franklin Gothic Book"/>
              </w:rPr>
              <w:t xml:space="preserve"> Australian clinical practice guidelines</w:t>
            </w:r>
            <w:r>
              <w:rPr>
                <w:rFonts w:eastAsia="Franklin Gothic Book"/>
              </w:rPr>
              <w:t xml:space="preserve">, describing how to </w:t>
            </w:r>
            <w:r w:rsidR="004224EC">
              <w:rPr>
                <w:rFonts w:eastAsia="Franklin Gothic Book"/>
              </w:rPr>
              <w:t xml:space="preserve">monitor and </w:t>
            </w:r>
            <w:r>
              <w:rPr>
                <w:rFonts w:eastAsia="Franklin Gothic Book"/>
              </w:rPr>
              <w:t>manage</w:t>
            </w:r>
            <w:r w:rsidR="004216AA" w:rsidRPr="00DA0319">
              <w:rPr>
                <w:rFonts w:eastAsia="Franklin Gothic Book"/>
              </w:rPr>
              <w:t xml:space="preserve"> at-risk/pre-symptomatic </w:t>
            </w:r>
            <w:r w:rsidR="00A40A09">
              <w:rPr>
                <w:rFonts w:eastAsia="Franklin Gothic Book"/>
              </w:rPr>
              <w:t>babies</w:t>
            </w:r>
            <w:r w:rsidR="00A40A09" w:rsidRPr="00DA0319">
              <w:rPr>
                <w:rFonts w:eastAsia="Franklin Gothic Book"/>
              </w:rPr>
              <w:t xml:space="preserve"> </w:t>
            </w:r>
            <w:r w:rsidR="004216AA" w:rsidRPr="00DA0319">
              <w:rPr>
                <w:rFonts w:eastAsia="Franklin Gothic Book"/>
              </w:rPr>
              <w:t>whose disease onset and severity cannot be clearly predicted</w:t>
            </w:r>
            <w:r>
              <w:rPr>
                <w:rFonts w:eastAsia="Franklin Gothic Book"/>
              </w:rPr>
              <w:t>.</w:t>
            </w:r>
          </w:p>
          <w:p w14:paraId="2F841CDF" w14:textId="789760FA" w:rsidR="003D5EF0" w:rsidRPr="00F35EBE" w:rsidRDefault="003D5EF0" w:rsidP="00F35EBE">
            <w:pPr>
              <w:pStyle w:val="ListParagraph"/>
              <w:numPr>
                <w:ilvl w:val="0"/>
                <w:numId w:val="33"/>
              </w:numPr>
              <w:spacing w:line="256" w:lineRule="auto"/>
            </w:pPr>
            <w:r>
              <w:rPr>
                <w:rFonts w:eastAsia="Franklin Gothic Book"/>
              </w:rPr>
              <w:t xml:space="preserve">Consider whether clinical services </w:t>
            </w:r>
            <w:r w:rsidR="002C4149">
              <w:rPr>
                <w:rFonts w:eastAsia="Franklin Gothic Book"/>
              </w:rPr>
              <w:t xml:space="preserve">and workforce capacity </w:t>
            </w:r>
            <w:r>
              <w:rPr>
                <w:rFonts w:eastAsia="Franklin Gothic Book"/>
              </w:rPr>
              <w:t xml:space="preserve">are ready for the extra resources and work required if MPS II screening is </w:t>
            </w:r>
            <w:r w:rsidR="004935D4">
              <w:rPr>
                <w:rFonts w:eastAsia="Franklin Gothic Book"/>
              </w:rPr>
              <w:t>added to NBS programs</w:t>
            </w:r>
            <w:r>
              <w:rPr>
                <w:rFonts w:eastAsia="Franklin Gothic Book"/>
              </w:rPr>
              <w:t xml:space="preserve">. This includes ensuring a system is set up </w:t>
            </w:r>
            <w:r w:rsidR="00C3737A">
              <w:rPr>
                <w:rFonts w:eastAsia="Franklin Gothic Book"/>
              </w:rPr>
              <w:t xml:space="preserve">and </w:t>
            </w:r>
            <w:r>
              <w:rPr>
                <w:rFonts w:eastAsia="Franklin Gothic Book"/>
              </w:rPr>
              <w:t>resource</w:t>
            </w:r>
            <w:r w:rsidR="00C3737A">
              <w:rPr>
                <w:rFonts w:eastAsia="Franklin Gothic Book"/>
              </w:rPr>
              <w:t>d</w:t>
            </w:r>
            <w:r>
              <w:rPr>
                <w:rFonts w:eastAsia="Franklin Gothic Book"/>
              </w:rPr>
              <w:t xml:space="preserve"> to collect national, long-term data about people diagnosed with MPS II through </w:t>
            </w:r>
            <w:r w:rsidR="0007237D">
              <w:rPr>
                <w:rFonts w:eastAsia="Franklin Gothic Book"/>
              </w:rPr>
              <w:t>NBS programs</w:t>
            </w:r>
            <w:r>
              <w:rPr>
                <w:rFonts w:eastAsia="Franklin Gothic Book"/>
              </w:rPr>
              <w:t xml:space="preserve">. This information would help to better understand the condition and to give people more certainty when they are diagnosed (for example, by understanding if certain gene alterations are more likely to result in more or less severe disease). This would also help record clinical outcomes </w:t>
            </w:r>
            <w:r w:rsidRPr="00DA0319">
              <w:rPr>
                <w:rFonts w:eastAsia="Franklin Gothic Book"/>
              </w:rPr>
              <w:t>and potential benefits of earlier treatment for MPS II</w:t>
            </w:r>
            <w:r>
              <w:rPr>
                <w:rFonts w:eastAsia="Franklin Gothic Book"/>
              </w:rPr>
              <w:t xml:space="preserve">.  </w:t>
            </w:r>
          </w:p>
          <w:p w14:paraId="2F327ABC" w14:textId="77777777" w:rsidR="00221170" w:rsidRPr="00F91D6E" w:rsidRDefault="00221170" w:rsidP="00A25203">
            <w:pPr>
              <w:keepNext/>
              <w:keepLines/>
              <w:spacing w:after="120" w:line="259" w:lineRule="auto"/>
              <w:rPr>
                <w:rFonts w:eastAsia="Times New Roman" w:cs="Times New Roman"/>
                <w:b/>
                <w:bCs/>
                <w:szCs w:val="24"/>
              </w:rPr>
            </w:pPr>
            <w:r w:rsidRPr="00F91D6E">
              <w:rPr>
                <w:rFonts w:eastAsia="Times New Roman" w:cs="Times New Roman"/>
                <w:b/>
                <w:bCs/>
                <w:szCs w:val="24"/>
              </w:rPr>
              <w:t>MSAC’s advice to the Commonwealth Minister for Health and Aged Care</w:t>
            </w:r>
          </w:p>
          <w:p w14:paraId="3E9B5896" w14:textId="7D23C70A" w:rsidR="00221170" w:rsidRPr="00F91D6E" w:rsidRDefault="002A14E0" w:rsidP="00A25203">
            <w:pPr>
              <w:spacing w:after="120" w:line="259" w:lineRule="auto"/>
            </w:pPr>
            <w:r w:rsidRPr="00AF46D8">
              <w:t>MSAC supported</w:t>
            </w:r>
            <w:r>
              <w:t xml:space="preserve"> including MPS II </w:t>
            </w:r>
            <w:r w:rsidR="00BA2CF3">
              <w:t>i</w:t>
            </w:r>
            <w:r>
              <w:t>n</w:t>
            </w:r>
            <w:r w:rsidR="00BA2CF3">
              <w:t xml:space="preserve"> Australia’s</w:t>
            </w:r>
            <w:r>
              <w:t xml:space="preserve"> NBS program</w:t>
            </w:r>
            <w:r w:rsidR="00BA2CF3">
              <w:t>s</w:t>
            </w:r>
            <w:r>
              <w:t xml:space="preserve">. </w:t>
            </w:r>
            <w:r w:rsidR="003D5EF0" w:rsidRPr="003D5EF0">
              <w:t xml:space="preserve">However, MSAC </w:t>
            </w:r>
            <w:r w:rsidR="003D5EF0">
              <w:t>advised</w:t>
            </w:r>
            <w:r w:rsidR="003D5EF0" w:rsidRPr="003D5EF0">
              <w:t xml:space="preserve"> that there were a number of issues that </w:t>
            </w:r>
            <w:r w:rsidR="001C238E">
              <w:t>should</w:t>
            </w:r>
            <w:r w:rsidR="001C238E" w:rsidRPr="003D5EF0">
              <w:t xml:space="preserve"> </w:t>
            </w:r>
            <w:r w:rsidR="003D5EF0" w:rsidRPr="003D5EF0">
              <w:t xml:space="preserve">be addressed before MPS </w:t>
            </w:r>
            <w:r w:rsidR="00C3737A">
              <w:t>I</w:t>
            </w:r>
            <w:r w:rsidR="003D5EF0" w:rsidRPr="003D5EF0">
              <w:t xml:space="preserve">I screening begins. </w:t>
            </w:r>
            <w:r>
              <w:t xml:space="preserve">MSAC </w:t>
            </w:r>
            <w:r w:rsidR="003D5EF0">
              <w:t xml:space="preserve">advised </w:t>
            </w:r>
            <w:r>
              <w:t xml:space="preserve">that the </w:t>
            </w:r>
            <w:r w:rsidR="005A3B45">
              <w:t xml:space="preserve">proposed </w:t>
            </w:r>
            <w:r>
              <w:t>2-tier screening method was reliable for identifying true affected babies and that early access to enzyme replacement therapy was of benefit</w:t>
            </w:r>
            <w:r w:rsidR="003D5EF0">
              <w:t xml:space="preserve">. </w:t>
            </w:r>
            <w:r w:rsidR="00A2763F" w:rsidRPr="00A2763F">
              <w:t xml:space="preserve">MSAC considered the potential benefits from newborn screening for MPS II were greater than the possible harms. </w:t>
            </w:r>
            <w:r w:rsidR="003D5EF0" w:rsidRPr="003D5EF0">
              <w:t xml:space="preserve">MSAC considered the value for money of newborn screening for MPS </w:t>
            </w:r>
            <w:r w:rsidR="00C3737A">
              <w:t>I</w:t>
            </w:r>
            <w:r w:rsidR="003D5EF0" w:rsidRPr="003D5EF0">
              <w:t>I is acceptable.</w:t>
            </w:r>
            <w:r>
              <w:t xml:space="preserve"> </w:t>
            </w:r>
          </w:p>
        </w:tc>
      </w:tr>
    </w:tbl>
    <w:p w14:paraId="34A212B3" w14:textId="07F72425" w:rsidR="00221170" w:rsidRPr="00221170" w:rsidRDefault="00221170" w:rsidP="00BE0CE4">
      <w:pPr>
        <w:pStyle w:val="Heading2"/>
        <w:numPr>
          <w:ilvl w:val="0"/>
          <w:numId w:val="28"/>
        </w:numPr>
        <w:ind w:hanging="720"/>
      </w:pPr>
      <w:r w:rsidRPr="003A793E">
        <w:lastRenderedPageBreak/>
        <w:t>Summary of consideration and rationale for MSAC’s advice</w:t>
      </w:r>
    </w:p>
    <w:bookmarkEnd w:id="1"/>
    <w:p w14:paraId="06257ABA" w14:textId="604AE170" w:rsidR="00395B28" w:rsidRPr="006C49C3" w:rsidRDefault="006C49C3" w:rsidP="006C49C3">
      <w:r w:rsidRPr="006C49C3">
        <w:t xml:space="preserve">MSAC noted that this application from the Department of Health and Aged Care was </w:t>
      </w:r>
      <w:r w:rsidR="00A16B48">
        <w:t xml:space="preserve">to </w:t>
      </w:r>
      <w:r w:rsidR="004626E9">
        <w:t>consider</w:t>
      </w:r>
      <w:r w:rsidR="00A16B48">
        <w:t xml:space="preserve"> the potential addition</w:t>
      </w:r>
      <w:r w:rsidRPr="006C49C3">
        <w:t xml:space="preserve"> </w:t>
      </w:r>
      <w:r w:rsidR="00A16B48">
        <w:t>of</w:t>
      </w:r>
      <w:r w:rsidRPr="006C49C3">
        <w:t xml:space="preserve"> mucopolysaccharidosis type II (MPS II; Hunter syndrome)</w:t>
      </w:r>
      <w:r w:rsidR="007650A7">
        <w:t xml:space="preserve"> to Australia’s Newborn Bloodspot Screening (NBS) programs</w:t>
      </w:r>
      <w:r w:rsidRPr="006C49C3">
        <w:t>.</w:t>
      </w:r>
      <w:r w:rsidR="007650A7">
        <w:t xml:space="preserve"> This application was requested by the Minister </w:t>
      </w:r>
      <w:r w:rsidR="00C84A64">
        <w:t>of Health and Aged Care, with input from 2 clinical co-applicants (</w:t>
      </w:r>
      <w:r w:rsidR="00E13CD8" w:rsidRPr="00005B99">
        <w:rPr>
          <w:b/>
          <w:bCs/>
        </w:rPr>
        <w:t>REDACTED</w:t>
      </w:r>
      <w:r w:rsidR="00C84A64">
        <w:t>).</w:t>
      </w:r>
      <w:r w:rsidR="00391942">
        <w:t xml:space="preserve"> </w:t>
      </w:r>
    </w:p>
    <w:p w14:paraId="294412D0" w14:textId="5B1DB0A4" w:rsidR="00AA5B37" w:rsidRDefault="002E5197" w:rsidP="006C49C3">
      <w:r>
        <w:t>MSAC considered both its own Terms of Reference</w:t>
      </w:r>
      <w:r w:rsidR="000D30C5">
        <w:rPr>
          <w:rStyle w:val="FootnoteReference"/>
        </w:rPr>
        <w:footnoteReference w:id="3"/>
      </w:r>
      <w:r w:rsidR="000D30C5">
        <w:t xml:space="preserve"> </w:t>
      </w:r>
      <w:r>
        <w:t xml:space="preserve"> and the Newborn Bloodspot Screening National Policy Framework</w:t>
      </w:r>
      <w:r w:rsidR="00337E12">
        <w:rPr>
          <w:rStyle w:val="FootnoteReference"/>
        </w:rPr>
        <w:footnoteReference w:id="4"/>
      </w:r>
      <w:r>
        <w:t xml:space="preserve"> (NBS NPF) in providing its advice.</w:t>
      </w:r>
      <w:r w:rsidR="00AA5B37" w:rsidRPr="00AA5B37">
        <w:t xml:space="preserve"> </w:t>
      </w:r>
      <w:r w:rsidR="00AA5B37">
        <w:t xml:space="preserve">MSAC noted that its advice would be considered </w:t>
      </w:r>
      <w:r w:rsidR="00D12F7D">
        <w:t>at</w:t>
      </w:r>
      <w:r w:rsidR="00AA5B37">
        <w:t xml:space="preserve"> the Health Ministers Meeting</w:t>
      </w:r>
      <w:r w:rsidR="004F2199">
        <w:t>,</w:t>
      </w:r>
      <w:r w:rsidR="00AA5B37">
        <w:t xml:space="preserve"> alongside advice from the Cancer and Population Screening Committee, the Health Chief Executives Forum and the NBS Program Management Committee</w:t>
      </w:r>
      <w:r w:rsidR="00326A29">
        <w:t>,</w:t>
      </w:r>
      <w:r w:rsidR="00AA5B37">
        <w:t xml:space="preserve"> to determine if MPS I</w:t>
      </w:r>
      <w:r w:rsidR="004F2199">
        <w:t>I</w:t>
      </w:r>
      <w:r w:rsidR="00AA5B37">
        <w:t xml:space="preserve"> should be a part of Australia’s NBS programs.</w:t>
      </w:r>
    </w:p>
    <w:p w14:paraId="59095C6F" w14:textId="322BB755" w:rsidR="006C49C3" w:rsidRPr="006C49C3" w:rsidRDefault="00F90997" w:rsidP="006C49C3">
      <w:r w:rsidRPr="00612324">
        <w:t>MSAC noted that the NBS program</w:t>
      </w:r>
      <w:r>
        <w:t>s</w:t>
      </w:r>
      <w:r w:rsidRPr="00612324">
        <w:t xml:space="preserve"> </w:t>
      </w:r>
      <w:r>
        <w:t>are</w:t>
      </w:r>
      <w:r w:rsidRPr="00612324">
        <w:t xml:space="preserve"> underpinned by the</w:t>
      </w:r>
      <w:r>
        <w:t xml:space="preserve"> </w:t>
      </w:r>
      <w:r w:rsidRPr="00612324">
        <w:t>NBS NPF, and implementation remains jurisdiction-based</w:t>
      </w:r>
      <w:r w:rsidR="00AA188F">
        <w:t>. Commonwealth funding supports the expansion of NBS programs, and screening is</w:t>
      </w:r>
      <w:r w:rsidRPr="00612324">
        <w:t xml:space="preserve"> provided by 5 NBS laboratories across Australia.</w:t>
      </w:r>
      <w:r w:rsidR="002E5197">
        <w:t xml:space="preserve"> </w:t>
      </w:r>
      <w:bookmarkStart w:id="2" w:name="_Hlk197518992"/>
      <w:r w:rsidR="00514F20" w:rsidRPr="00612324">
        <w:t xml:space="preserve">For a condition to </w:t>
      </w:r>
      <w:r w:rsidR="00514F20">
        <w:t>be included in Australia’s NBS programs</w:t>
      </w:r>
      <w:r w:rsidR="00514F20" w:rsidRPr="00612324">
        <w:t xml:space="preserve">, it needs to align </w:t>
      </w:r>
      <w:r w:rsidR="00514F20">
        <w:t xml:space="preserve">broadly </w:t>
      </w:r>
      <w:r w:rsidR="00514F20" w:rsidRPr="00612324">
        <w:t>with the NBS NPF, which outlines several criteria the condition must meet.</w:t>
      </w:r>
      <w:r w:rsidR="00514F20">
        <w:t xml:space="preserve"> Some of these include:</w:t>
      </w:r>
      <w:bookmarkEnd w:id="2"/>
    </w:p>
    <w:p w14:paraId="795347D9" w14:textId="4DD2FF95" w:rsidR="00F352C0" w:rsidRDefault="004626E9" w:rsidP="006C49C3">
      <w:pPr>
        <w:pStyle w:val="Bullet"/>
        <w:numPr>
          <w:ilvl w:val="0"/>
          <w:numId w:val="25"/>
        </w:numPr>
        <w:spacing w:before="0"/>
        <w:ind w:left="720"/>
        <w:rPr>
          <w:rFonts w:ascii="Franklin Gothic Book" w:hAnsi="Franklin Gothic Book"/>
        </w:rPr>
      </w:pPr>
      <w:r>
        <w:rPr>
          <w:rFonts w:ascii="Franklin Gothic Book" w:hAnsi="Franklin Gothic Book"/>
        </w:rPr>
        <w:lastRenderedPageBreak/>
        <w:t>T</w:t>
      </w:r>
      <w:r w:rsidR="006C49C3" w:rsidRPr="006C49C3">
        <w:rPr>
          <w:rFonts w:ascii="Franklin Gothic Book" w:hAnsi="Franklin Gothic Book"/>
        </w:rPr>
        <w:t xml:space="preserve">he </w:t>
      </w:r>
      <w:r w:rsidR="00B60087" w:rsidRPr="00B60087">
        <w:rPr>
          <w:rFonts w:ascii="Franklin Gothic Book" w:hAnsi="Franklin Gothic Book"/>
        </w:rPr>
        <w:t>condition should be a serious health problem that leads to significant morbidity or mortality</w:t>
      </w:r>
      <w:r w:rsidR="00B60087" w:rsidRPr="00B60087" w:rsidDel="00E04EEA">
        <w:rPr>
          <w:rFonts w:ascii="Franklin Gothic Book" w:hAnsi="Franklin Gothic Book"/>
        </w:rPr>
        <w:t>.</w:t>
      </w:r>
    </w:p>
    <w:p w14:paraId="572BFEA4" w14:textId="1CE501EF" w:rsidR="006C49C3" w:rsidRDefault="00F352C0" w:rsidP="006C49C3">
      <w:pPr>
        <w:pStyle w:val="Bullet"/>
        <w:numPr>
          <w:ilvl w:val="0"/>
          <w:numId w:val="25"/>
        </w:numPr>
        <w:spacing w:before="0"/>
        <w:ind w:left="720"/>
        <w:rPr>
          <w:rFonts w:ascii="Franklin Gothic Book" w:hAnsi="Franklin Gothic Book"/>
        </w:rPr>
      </w:pPr>
      <w:r>
        <w:rPr>
          <w:rFonts w:ascii="Franklin Gothic Book" w:hAnsi="Franklin Gothic Book"/>
        </w:rPr>
        <w:t xml:space="preserve">There </w:t>
      </w:r>
      <w:r w:rsidR="00B60087" w:rsidRPr="00B60087">
        <w:rPr>
          <w:rFonts w:ascii="Franklin Gothic Book" w:hAnsi="Franklin Gothic Book"/>
        </w:rPr>
        <w:t>should be a benefit to conducting screening in the newborn period</w:t>
      </w:r>
      <w:r w:rsidR="004626E9">
        <w:rPr>
          <w:rFonts w:ascii="Franklin Gothic Book" w:hAnsi="Franklin Gothic Book"/>
        </w:rPr>
        <w:t>.</w:t>
      </w:r>
    </w:p>
    <w:p w14:paraId="43060A3C" w14:textId="21268ADF" w:rsidR="00F352C0" w:rsidRPr="006C49C3" w:rsidRDefault="00F352C0" w:rsidP="006C49C3">
      <w:pPr>
        <w:pStyle w:val="Bullet"/>
        <w:numPr>
          <w:ilvl w:val="0"/>
          <w:numId w:val="25"/>
        </w:numPr>
        <w:spacing w:before="0"/>
        <w:ind w:left="720"/>
        <w:rPr>
          <w:rFonts w:ascii="Franklin Gothic Book" w:hAnsi="Franklin Gothic Book"/>
        </w:rPr>
      </w:pPr>
      <w:r>
        <w:rPr>
          <w:rFonts w:ascii="Franklin Gothic Book" w:hAnsi="Franklin Gothic Book"/>
        </w:rPr>
        <w:t xml:space="preserve">The </w:t>
      </w:r>
      <w:r w:rsidR="00251313" w:rsidRPr="00251313">
        <w:rPr>
          <w:rFonts w:ascii="Franklin Gothic Book" w:hAnsi="Franklin Gothic Book"/>
        </w:rPr>
        <w:t>natural history of the condition, including development from latent to declared disease, should be adequately understood</w:t>
      </w:r>
      <w:r w:rsidR="00FA40D6">
        <w:rPr>
          <w:rFonts w:ascii="Franklin Gothic Book" w:hAnsi="Franklin Gothic Book"/>
        </w:rPr>
        <w:t>.</w:t>
      </w:r>
    </w:p>
    <w:p w14:paraId="2C1E688A" w14:textId="77777777" w:rsidR="00251313" w:rsidRDefault="00251313" w:rsidP="006C49C3">
      <w:pPr>
        <w:pStyle w:val="Bullet"/>
        <w:numPr>
          <w:ilvl w:val="0"/>
          <w:numId w:val="25"/>
        </w:numPr>
        <w:spacing w:before="0"/>
        <w:ind w:left="720"/>
        <w:rPr>
          <w:rFonts w:ascii="Franklin Gothic Book" w:hAnsi="Franklin Gothic Book"/>
        </w:rPr>
      </w:pPr>
      <w:r w:rsidRPr="00251313">
        <w:rPr>
          <w:rFonts w:ascii="Franklin Gothic Book" w:hAnsi="Franklin Gothic Book"/>
        </w:rPr>
        <w:t>There should be a suitable test protocol to identify the presence of the condition</w:t>
      </w:r>
      <w:r>
        <w:rPr>
          <w:rFonts w:ascii="Franklin Gothic Book" w:hAnsi="Franklin Gothic Book"/>
        </w:rPr>
        <w:t>.</w:t>
      </w:r>
    </w:p>
    <w:p w14:paraId="44E2CCB6" w14:textId="2F9960C7" w:rsidR="000029D3" w:rsidRDefault="000029D3" w:rsidP="006C49C3">
      <w:pPr>
        <w:pStyle w:val="Bullet"/>
        <w:numPr>
          <w:ilvl w:val="0"/>
          <w:numId w:val="25"/>
        </w:numPr>
        <w:spacing w:before="0"/>
        <w:ind w:left="720"/>
        <w:rPr>
          <w:rFonts w:ascii="Franklin Gothic Book" w:hAnsi="Franklin Gothic Book"/>
        </w:rPr>
      </w:pPr>
      <w:r>
        <w:rPr>
          <w:rFonts w:ascii="Franklin Gothic Book" w:hAnsi="Franklin Gothic Book"/>
        </w:rPr>
        <w:t>The protocol should, on balance, be socially and ethically acceptable to health professionals and the public.</w:t>
      </w:r>
    </w:p>
    <w:p w14:paraId="6B60875A" w14:textId="77777777" w:rsidR="006C1C28" w:rsidRDefault="000029D3" w:rsidP="00C76C98">
      <w:pPr>
        <w:pStyle w:val="Bullet"/>
        <w:numPr>
          <w:ilvl w:val="0"/>
          <w:numId w:val="25"/>
        </w:numPr>
        <w:spacing w:before="0"/>
        <w:ind w:left="720"/>
        <w:rPr>
          <w:rFonts w:ascii="Franklin Gothic Book" w:hAnsi="Franklin Gothic Book"/>
        </w:rPr>
      </w:pPr>
      <w:r>
        <w:rPr>
          <w:rFonts w:ascii="Franklin Gothic Book" w:hAnsi="Franklin Gothic Book"/>
        </w:rPr>
        <w:t>Health care services for diagnosis and</w:t>
      </w:r>
      <w:r w:rsidR="00251313">
        <w:rPr>
          <w:rFonts w:ascii="Franklin Gothic Book" w:hAnsi="Franklin Gothic Book"/>
        </w:rPr>
        <w:t xml:space="preserve"> management should be available so that these services can be offered if there is an abnormal screening result</w:t>
      </w:r>
      <w:r w:rsidR="003A49DF">
        <w:rPr>
          <w:rFonts w:ascii="Franklin Gothic Book" w:hAnsi="Franklin Gothic Book"/>
        </w:rPr>
        <w:t>.</w:t>
      </w:r>
      <w:r>
        <w:rPr>
          <w:rFonts w:ascii="Franklin Gothic Book" w:hAnsi="Franklin Gothic Book"/>
        </w:rPr>
        <w:t xml:space="preserve"> </w:t>
      </w:r>
    </w:p>
    <w:p w14:paraId="25F32C93" w14:textId="67455F29" w:rsidR="00C76C98" w:rsidRDefault="004626E9" w:rsidP="00C76C98">
      <w:pPr>
        <w:pStyle w:val="Bullet"/>
        <w:numPr>
          <w:ilvl w:val="0"/>
          <w:numId w:val="25"/>
        </w:numPr>
        <w:spacing w:before="0"/>
        <w:ind w:left="720"/>
        <w:rPr>
          <w:rFonts w:ascii="Franklin Gothic Book" w:hAnsi="Franklin Gothic Book"/>
        </w:rPr>
      </w:pPr>
      <w:r w:rsidRPr="00C76C98">
        <w:rPr>
          <w:rFonts w:ascii="Franklin Gothic Book" w:hAnsi="Franklin Gothic Book"/>
        </w:rPr>
        <w:t>T</w:t>
      </w:r>
      <w:r w:rsidR="006C49C3" w:rsidRPr="00C76C98">
        <w:rPr>
          <w:rFonts w:ascii="Franklin Gothic Book" w:hAnsi="Franklin Gothic Book"/>
        </w:rPr>
        <w:t xml:space="preserve">here </w:t>
      </w:r>
      <w:r w:rsidR="00A27313" w:rsidRPr="00C76C98">
        <w:rPr>
          <w:rFonts w:ascii="Franklin Gothic Book" w:hAnsi="Franklin Gothic Book"/>
        </w:rPr>
        <w:t>should be an accepted intervention for those diagnosed with the condition.</w:t>
      </w:r>
      <w:r w:rsidR="00116048" w:rsidRPr="00C76C98">
        <w:rPr>
          <w:rFonts w:ascii="Franklin Gothic Book" w:hAnsi="Franklin Gothic Book"/>
        </w:rPr>
        <w:t xml:space="preserve"> </w:t>
      </w:r>
    </w:p>
    <w:p w14:paraId="77B9E2F3" w14:textId="02018005" w:rsidR="00C76C98" w:rsidRDefault="00C76C98" w:rsidP="00C76C98">
      <w:pPr>
        <w:pStyle w:val="Bullet"/>
        <w:numPr>
          <w:ilvl w:val="0"/>
          <w:numId w:val="25"/>
        </w:numPr>
        <w:spacing w:before="0"/>
        <w:ind w:left="720"/>
        <w:rPr>
          <w:rFonts w:ascii="Franklin Gothic Book" w:hAnsi="Franklin Gothic Book"/>
        </w:rPr>
      </w:pPr>
      <w:r>
        <w:rPr>
          <w:rFonts w:ascii="Franklin Gothic Book" w:hAnsi="Franklin Gothic Book"/>
        </w:rPr>
        <w:t xml:space="preserve">The </w:t>
      </w:r>
      <w:r w:rsidR="003D4B8E">
        <w:rPr>
          <w:rFonts w:ascii="Franklin Gothic Book" w:hAnsi="Franklin Gothic Book"/>
        </w:rPr>
        <w:t>benefit of screening a condition must be weighed against its impact on the program as a whole.</w:t>
      </w:r>
    </w:p>
    <w:p w14:paraId="48884CBB" w14:textId="636BAD58" w:rsidR="00261A1F" w:rsidRPr="00A27313" w:rsidRDefault="00A350DC" w:rsidP="001951D2">
      <w:r w:rsidRPr="00A27313">
        <w:t xml:space="preserve">MSAC noted </w:t>
      </w:r>
      <w:r w:rsidR="001C0DC4">
        <w:t xml:space="preserve">and welcomed the </w:t>
      </w:r>
      <w:r w:rsidR="008A3A1E">
        <w:t>consultation</w:t>
      </w:r>
      <w:r w:rsidR="00E731F6">
        <w:t xml:space="preserve"> input received</w:t>
      </w:r>
      <w:r w:rsidR="000F7533">
        <w:t xml:space="preserve"> </w:t>
      </w:r>
      <w:r w:rsidR="00D64C0A">
        <w:t xml:space="preserve">from </w:t>
      </w:r>
      <w:r w:rsidR="000F7533">
        <w:t xml:space="preserve">10 organisations and 2 individuals </w:t>
      </w:r>
      <w:r w:rsidR="00D64C0A">
        <w:t>(</w:t>
      </w:r>
      <w:r w:rsidR="000F7533">
        <w:t>one caregiver of an individual with MPS II and one</w:t>
      </w:r>
      <w:r w:rsidR="000F7533" w:rsidDel="002C628C">
        <w:t xml:space="preserve"> </w:t>
      </w:r>
      <w:r w:rsidR="000F7533">
        <w:t>health professional</w:t>
      </w:r>
      <w:r w:rsidR="00D64C0A">
        <w:t>)</w:t>
      </w:r>
      <w:r w:rsidR="00867AED">
        <w:t>.</w:t>
      </w:r>
      <w:r w:rsidR="008A3A1E">
        <w:t xml:space="preserve"> </w:t>
      </w:r>
      <w:r w:rsidR="00784B62" w:rsidRPr="00784B62">
        <w:t xml:space="preserve"> </w:t>
      </w:r>
      <w:r w:rsidR="00784B62" w:rsidRPr="00213957">
        <w:t xml:space="preserve">MSAC also noted a </w:t>
      </w:r>
      <w:r w:rsidR="00784B62">
        <w:t>summary of</w:t>
      </w:r>
      <w:r w:rsidR="008846CA">
        <w:t xml:space="preserve"> published</w:t>
      </w:r>
      <w:r w:rsidR="00784B62">
        <w:t xml:space="preserve"> </w:t>
      </w:r>
      <w:r w:rsidR="008846CA">
        <w:t>studies</w:t>
      </w:r>
      <w:r w:rsidR="00784B62">
        <w:t xml:space="preserve"> </w:t>
      </w:r>
      <w:r w:rsidR="008846CA">
        <w:t>compiled</w:t>
      </w:r>
      <w:r w:rsidR="00784B62">
        <w:t xml:space="preserve"> by the department, which </w:t>
      </w:r>
      <w:r w:rsidR="008846CA">
        <w:t>highlighted</w:t>
      </w:r>
      <w:r w:rsidR="00784B62" w:rsidRPr="00213957">
        <w:t xml:space="preserve"> the lived experience</w:t>
      </w:r>
      <w:r w:rsidR="008846CA">
        <w:t>s</w:t>
      </w:r>
      <w:r w:rsidR="00784B62" w:rsidRPr="00213957">
        <w:t xml:space="preserve"> of individuals </w:t>
      </w:r>
      <w:r w:rsidR="008846CA">
        <w:t xml:space="preserve">diagnosed </w:t>
      </w:r>
      <w:r w:rsidR="00784B62" w:rsidRPr="00213957">
        <w:t xml:space="preserve">with MPS </w:t>
      </w:r>
      <w:r w:rsidR="00784B62">
        <w:t>I</w:t>
      </w:r>
      <w:r w:rsidR="00784B62" w:rsidRPr="00213957">
        <w:t>I, their families, carers and health professionals.</w:t>
      </w:r>
    </w:p>
    <w:p w14:paraId="07759141" w14:textId="408813A1" w:rsidR="006C49C3" w:rsidRPr="006C49C3" w:rsidRDefault="006C49C3" w:rsidP="006C49C3">
      <w:r w:rsidRPr="006C49C3">
        <w:t>MSAC noted that MPS II is an X-linked recessive lysosomal storage disease (LSD) caused by an inherited deficiency or absence of the iduronate-2-sulfatase (IDS) enzyme required to break down glycosaminoglycans (GAGs) in the lysosomes within cells, leading to impaired cellular function. Clinical disease varies across a continuum,</w:t>
      </w:r>
      <w:r w:rsidR="003F1CD5">
        <w:t xml:space="preserve"> </w:t>
      </w:r>
      <w:r w:rsidRPr="006C49C3">
        <w:t xml:space="preserve">with two broad subtypes: </w:t>
      </w:r>
    </w:p>
    <w:p w14:paraId="445221B0" w14:textId="7C2C5255" w:rsidR="006C49C3" w:rsidRPr="006C49C3" w:rsidRDefault="00761A83" w:rsidP="006C49C3">
      <w:pPr>
        <w:pStyle w:val="Bullet"/>
        <w:numPr>
          <w:ilvl w:val="0"/>
          <w:numId w:val="25"/>
        </w:numPr>
        <w:spacing w:before="0"/>
        <w:ind w:left="720"/>
        <w:rPr>
          <w:rFonts w:ascii="Franklin Gothic Book" w:hAnsi="Franklin Gothic Book"/>
        </w:rPr>
      </w:pPr>
      <w:r>
        <w:rPr>
          <w:rFonts w:ascii="Franklin Gothic Book" w:hAnsi="Franklin Gothic Book"/>
        </w:rPr>
        <w:t>A</w:t>
      </w:r>
      <w:r w:rsidR="006C49C3" w:rsidRPr="006C49C3">
        <w:rPr>
          <w:rFonts w:ascii="Franklin Gothic Book" w:hAnsi="Franklin Gothic Book"/>
        </w:rPr>
        <w:t xml:space="preserve"> neuronopathic form</w:t>
      </w:r>
      <w:r>
        <w:rPr>
          <w:rFonts w:ascii="Franklin Gothic Book" w:hAnsi="Franklin Gothic Book"/>
        </w:rPr>
        <w:t>, which is typically more severe,</w:t>
      </w:r>
      <w:r w:rsidR="006C49C3" w:rsidRPr="006C49C3">
        <w:rPr>
          <w:rFonts w:ascii="Franklin Gothic Book" w:hAnsi="Franklin Gothic Book"/>
        </w:rPr>
        <w:t xml:space="preserve"> with central nervous system (CNS) involvement, including cognitive disability</w:t>
      </w:r>
      <w:r w:rsidR="008579CA">
        <w:rPr>
          <w:rFonts w:ascii="Franklin Gothic Book" w:hAnsi="Franklin Gothic Book"/>
        </w:rPr>
        <w:t xml:space="preserve"> and childhood dementia</w:t>
      </w:r>
      <w:r w:rsidR="007426CD">
        <w:rPr>
          <w:rFonts w:ascii="Franklin Gothic Book" w:hAnsi="Franklin Gothic Book"/>
        </w:rPr>
        <w:t>. People with this form of MPS II generally have</w:t>
      </w:r>
      <w:r w:rsidR="006C49C3" w:rsidRPr="006C49C3">
        <w:rPr>
          <w:rFonts w:ascii="Franklin Gothic Book" w:hAnsi="Franklin Gothic Book"/>
        </w:rPr>
        <w:t xml:space="preserve"> earlier onset (symptoms appear at 6–12 months old), </w:t>
      </w:r>
      <w:r w:rsidR="007426CD">
        <w:rPr>
          <w:rFonts w:ascii="Franklin Gothic Book" w:hAnsi="Franklin Gothic Book"/>
        </w:rPr>
        <w:t>and a</w:t>
      </w:r>
      <w:r w:rsidR="006C49C3" w:rsidRPr="006C49C3">
        <w:rPr>
          <w:rFonts w:ascii="Franklin Gothic Book" w:hAnsi="Franklin Gothic Book"/>
        </w:rPr>
        <w:t xml:space="preserve"> lifespan </w:t>
      </w:r>
      <w:r w:rsidR="007426CD">
        <w:rPr>
          <w:rFonts w:ascii="Franklin Gothic Book" w:hAnsi="Franklin Gothic Book"/>
        </w:rPr>
        <w:t>of</w:t>
      </w:r>
      <w:r w:rsidR="006C49C3" w:rsidRPr="006C49C3">
        <w:rPr>
          <w:rFonts w:ascii="Franklin Gothic Book" w:hAnsi="Franklin Gothic Book"/>
        </w:rPr>
        <w:t xml:space="preserve"> 10–20 years</w:t>
      </w:r>
      <w:r w:rsidR="00417E77">
        <w:rPr>
          <w:rFonts w:ascii="Franklin Gothic Book" w:hAnsi="Franklin Gothic Book"/>
        </w:rPr>
        <w:t>.</w:t>
      </w:r>
    </w:p>
    <w:p w14:paraId="1DE323D2" w14:textId="4F91BDB9" w:rsidR="006C49C3" w:rsidRPr="006C49C3" w:rsidRDefault="007426CD" w:rsidP="006C49C3">
      <w:pPr>
        <w:pStyle w:val="Bullet"/>
        <w:numPr>
          <w:ilvl w:val="0"/>
          <w:numId w:val="25"/>
        </w:numPr>
        <w:spacing w:before="0"/>
        <w:ind w:left="720"/>
        <w:rPr>
          <w:rFonts w:ascii="Franklin Gothic Book" w:hAnsi="Franklin Gothic Book"/>
        </w:rPr>
      </w:pPr>
      <w:r>
        <w:rPr>
          <w:rFonts w:ascii="Franklin Gothic Book" w:hAnsi="Franklin Gothic Book"/>
        </w:rPr>
        <w:t>A</w:t>
      </w:r>
      <w:r w:rsidR="006C49C3" w:rsidRPr="006C49C3">
        <w:rPr>
          <w:rFonts w:ascii="Franklin Gothic Book" w:hAnsi="Franklin Gothic Book"/>
        </w:rPr>
        <w:t xml:space="preserve"> non-neuronopathic form</w:t>
      </w:r>
      <w:r w:rsidR="0074722F">
        <w:rPr>
          <w:rFonts w:ascii="Franklin Gothic Book" w:hAnsi="Franklin Gothic Book"/>
        </w:rPr>
        <w:t>, which is typically less severe and does not have CNS involvement. People with this form of MPS II generally have</w:t>
      </w:r>
      <w:r w:rsidR="006C49C3" w:rsidRPr="006C49C3">
        <w:rPr>
          <w:rFonts w:ascii="Franklin Gothic Book" w:hAnsi="Franklin Gothic Book"/>
        </w:rPr>
        <w:t xml:space="preserve"> later (including adult) onset, </w:t>
      </w:r>
      <w:r w:rsidR="0074722F">
        <w:rPr>
          <w:rFonts w:ascii="Franklin Gothic Book" w:hAnsi="Franklin Gothic Book"/>
        </w:rPr>
        <w:t>and their</w:t>
      </w:r>
      <w:r w:rsidR="006C49C3" w:rsidRPr="006C49C3">
        <w:rPr>
          <w:rFonts w:ascii="Franklin Gothic Book" w:hAnsi="Franklin Gothic Book"/>
        </w:rPr>
        <w:t xml:space="preserve"> lifespan can be 60–70 years.</w:t>
      </w:r>
    </w:p>
    <w:p w14:paraId="0DD9EA7A" w14:textId="77777777" w:rsidR="00A275FC" w:rsidRDefault="006C49C3" w:rsidP="006C49C3">
      <w:r w:rsidRPr="006C49C3">
        <w:t>MSAC noted that MPS II is an ultra-rare condition (defined as 1 or fewer cases per 50,000 births), with an estimated incidence in Australia</w:t>
      </w:r>
      <w:r w:rsidR="00A350DC">
        <w:t xml:space="preserve"> (in the absence of NBS)</w:t>
      </w:r>
      <w:r w:rsidRPr="006C49C3">
        <w:t xml:space="preserve"> of 0.62 per 100,000 live births (i.e. approximately 2 cases per year), although the </w:t>
      </w:r>
      <w:r w:rsidR="00A350DC">
        <w:t>actual</w:t>
      </w:r>
      <w:r w:rsidR="00A350DC" w:rsidRPr="006C49C3">
        <w:t xml:space="preserve"> </w:t>
      </w:r>
      <w:r w:rsidRPr="006C49C3">
        <w:t xml:space="preserve">incidence </w:t>
      </w:r>
      <w:r w:rsidR="00A350DC">
        <w:t>may be higher, where</w:t>
      </w:r>
      <w:r w:rsidR="0019137F">
        <w:t xml:space="preserve"> not all cases are currently detected</w:t>
      </w:r>
      <w:r w:rsidRPr="006C49C3">
        <w:t xml:space="preserve">. </w:t>
      </w:r>
    </w:p>
    <w:p w14:paraId="1CC9BB31" w14:textId="7FE41C6B" w:rsidR="00FB40A6" w:rsidRDefault="006C49C3" w:rsidP="006C49C3">
      <w:r w:rsidRPr="006C49C3">
        <w:t xml:space="preserve">MSAC noted </w:t>
      </w:r>
      <w:r w:rsidR="00BB5E53">
        <w:t xml:space="preserve">the </w:t>
      </w:r>
      <w:r w:rsidR="00C90EC2">
        <w:t>department-contracted assessment report (</w:t>
      </w:r>
      <w:r w:rsidR="00C11CBC">
        <w:t>DCAR</w:t>
      </w:r>
      <w:r w:rsidR="00C90EC2">
        <w:t>)</w:t>
      </w:r>
      <w:r w:rsidR="00C11CBC">
        <w:t xml:space="preserve"> estimated</w:t>
      </w:r>
      <w:r w:rsidRPr="006C49C3">
        <w:t xml:space="preserve"> that, </w:t>
      </w:r>
      <w:r w:rsidR="000B1793">
        <w:t>of cases currently clinically identified in Australia,</w:t>
      </w:r>
      <w:r w:rsidRPr="006C49C3">
        <w:t xml:space="preserve"> </w:t>
      </w:r>
      <w:r w:rsidR="000B1793">
        <w:t xml:space="preserve">approximately </w:t>
      </w:r>
      <w:r w:rsidRPr="006C49C3">
        <w:t xml:space="preserve">75% are </w:t>
      </w:r>
      <w:r w:rsidR="000B1793">
        <w:t>neuronopathic (</w:t>
      </w:r>
      <w:r w:rsidRPr="006C49C3">
        <w:t>severe</w:t>
      </w:r>
      <w:r w:rsidR="000B1793">
        <w:t>)</w:t>
      </w:r>
      <w:r w:rsidRPr="006C49C3">
        <w:t xml:space="preserve">, while 25% are </w:t>
      </w:r>
      <w:r w:rsidR="000B1793">
        <w:t xml:space="preserve">non-neuronopathic </w:t>
      </w:r>
      <w:r w:rsidRPr="006C49C3">
        <w:t xml:space="preserve">(i.e. attenuated). This equates to an incidence of </w:t>
      </w:r>
      <w:r w:rsidR="004B7E8A">
        <w:t>neuronopathic</w:t>
      </w:r>
      <w:r w:rsidRPr="006C49C3">
        <w:t xml:space="preserve"> MPS II of approximately 0.47 per 100,000 live births (~1.43 cases per year), and an incidence of </w:t>
      </w:r>
      <w:r w:rsidR="005729A8">
        <w:t>non-neuronopathic</w:t>
      </w:r>
      <w:r w:rsidRPr="006C49C3">
        <w:t xml:space="preserve"> MPS II of approximately 0.15 per 100,000 live births (~0.47 cases per year). </w:t>
      </w:r>
    </w:p>
    <w:p w14:paraId="2DE202B0" w14:textId="158A421D" w:rsidR="006C49C3" w:rsidRPr="006C49C3" w:rsidRDefault="006C49C3" w:rsidP="006C49C3">
      <w:r w:rsidRPr="006C49C3">
        <w:t>MSAC noted that</w:t>
      </w:r>
      <w:r w:rsidR="007A50B5">
        <w:t>, if NBS for MPS II were to be implemented,</w:t>
      </w:r>
      <w:r w:rsidRPr="006C49C3">
        <w:t xml:space="preserve"> </w:t>
      </w:r>
      <w:r w:rsidR="007A50B5">
        <w:t xml:space="preserve">incidence is expected to be approximately </w:t>
      </w:r>
      <w:r w:rsidRPr="006C49C3">
        <w:t>1.42</w:t>
      </w:r>
      <w:r w:rsidR="007A50B5">
        <w:t xml:space="preserve"> cases</w:t>
      </w:r>
      <w:r w:rsidRPr="006C49C3">
        <w:t xml:space="preserve"> per 100,000 live births, which equates to 4.33 MPS II cases</w:t>
      </w:r>
      <w:r w:rsidR="007A50B5">
        <w:t xml:space="preserve"> detected</w:t>
      </w:r>
      <w:r w:rsidRPr="006C49C3">
        <w:t xml:space="preserve"> per year</w:t>
      </w:r>
      <w:r w:rsidR="005D25C1">
        <w:t xml:space="preserve"> (</w:t>
      </w:r>
      <w:r w:rsidR="0001622B">
        <w:t>assuming</w:t>
      </w:r>
      <w:r w:rsidR="003B0930">
        <w:t xml:space="preserve"> 99.3% NBS uptake rate</w:t>
      </w:r>
      <w:r w:rsidR="003A79A3">
        <w:t xml:space="preserve"> and using projected live births estimates)</w:t>
      </w:r>
      <w:r w:rsidR="00236B43">
        <w:t>. This would include</w:t>
      </w:r>
      <w:r w:rsidRPr="006C49C3">
        <w:t xml:space="preserve"> 1.43</w:t>
      </w:r>
      <w:r w:rsidR="00865305">
        <w:t xml:space="preserve"> </w:t>
      </w:r>
      <w:r w:rsidR="00F32AF0">
        <w:t xml:space="preserve">newborns </w:t>
      </w:r>
      <w:r w:rsidR="00823FAB">
        <w:t xml:space="preserve">(33%) </w:t>
      </w:r>
      <w:r w:rsidR="00F32AF0">
        <w:t>diagnosed with</w:t>
      </w:r>
      <w:r w:rsidRPr="006C49C3">
        <w:t xml:space="preserve"> severe [neuronopathic]</w:t>
      </w:r>
      <w:r w:rsidR="00865305">
        <w:t xml:space="preserve"> </w:t>
      </w:r>
      <w:r w:rsidR="00F32AF0">
        <w:t>MPS II</w:t>
      </w:r>
      <w:r w:rsidRPr="006C49C3">
        <w:t xml:space="preserve">, 0.47 </w:t>
      </w:r>
      <w:r w:rsidR="00F32AF0">
        <w:t xml:space="preserve">newborns </w:t>
      </w:r>
      <w:r w:rsidR="00823FAB">
        <w:t xml:space="preserve">(11%) </w:t>
      </w:r>
      <w:r w:rsidR="00F32AF0">
        <w:t xml:space="preserve">diagnosed with </w:t>
      </w:r>
      <w:r w:rsidRPr="006C49C3">
        <w:t xml:space="preserve">attenuated [non-neuronopathic] </w:t>
      </w:r>
      <w:r w:rsidR="00F32AF0">
        <w:t xml:space="preserve">MPS II </w:t>
      </w:r>
      <w:r w:rsidRPr="006C49C3">
        <w:t xml:space="preserve">and 2.42 </w:t>
      </w:r>
      <w:r w:rsidR="00823FAB">
        <w:t>(56%)</w:t>
      </w:r>
      <w:r w:rsidRPr="006C49C3">
        <w:t xml:space="preserve"> </w:t>
      </w:r>
      <w:r w:rsidR="00F32AF0">
        <w:t xml:space="preserve">newborns diagnosed with </w:t>
      </w:r>
      <w:r w:rsidRPr="006C49C3">
        <w:t>very attenuated</w:t>
      </w:r>
      <w:r w:rsidR="00F85AA4">
        <w:t xml:space="preserve"> [non-neuronopathic]</w:t>
      </w:r>
      <w:r w:rsidRPr="006C49C3">
        <w:t xml:space="preserve"> </w:t>
      </w:r>
      <w:r w:rsidR="00F32AF0">
        <w:t>MPS II</w:t>
      </w:r>
      <w:r w:rsidR="00401B2E">
        <w:t>. MSAC considered that as</w:t>
      </w:r>
      <w:r w:rsidR="00DC7AD9">
        <w:t xml:space="preserve"> only 0.47 cases of </w:t>
      </w:r>
      <w:r w:rsidR="00804757" w:rsidRPr="00804757">
        <w:t>non-neuronopathic MPS II</w:t>
      </w:r>
      <w:r w:rsidR="00804757">
        <w:t xml:space="preserve"> are diagnosed </w:t>
      </w:r>
      <w:r w:rsidR="00375A31">
        <w:t>clinically</w:t>
      </w:r>
      <w:r w:rsidR="004D033A">
        <w:t xml:space="preserve"> each year</w:t>
      </w:r>
      <w:r w:rsidR="00160651">
        <w:t xml:space="preserve">, most of the </w:t>
      </w:r>
      <w:r w:rsidR="00160651" w:rsidRPr="00160651">
        <w:t>newborns diagnosed with very attenuated MPS II</w:t>
      </w:r>
      <w:r w:rsidR="00160651">
        <w:t xml:space="preserve"> </w:t>
      </w:r>
      <w:r w:rsidR="00375A31">
        <w:t xml:space="preserve">diagnosed </w:t>
      </w:r>
      <w:r w:rsidR="00A2763F">
        <w:t xml:space="preserve">through NBS </w:t>
      </w:r>
      <w:r w:rsidR="00770D57" w:rsidRPr="00770D57">
        <w:t>would not be expected to develop clinically significant or apparent symptoms of MPS II.</w:t>
      </w:r>
      <w:r w:rsidR="008A0312">
        <w:t xml:space="preserve"> </w:t>
      </w:r>
    </w:p>
    <w:p w14:paraId="5F6BB55C" w14:textId="175674A9" w:rsidR="00E66BAE" w:rsidRDefault="0098528A" w:rsidP="006C49C3">
      <w:r>
        <w:lastRenderedPageBreak/>
        <w:t xml:space="preserve">MSAC </w:t>
      </w:r>
      <w:r w:rsidR="006B7390">
        <w:t>considered</w:t>
      </w:r>
      <w:r w:rsidR="0025163F">
        <w:t xml:space="preserve"> the </w:t>
      </w:r>
      <w:r w:rsidR="0025163F" w:rsidRPr="00BF545E">
        <w:rPr>
          <w:b/>
          <w:bCs/>
        </w:rPr>
        <w:t>availability of</w:t>
      </w:r>
      <w:r w:rsidR="0025163F">
        <w:rPr>
          <w:b/>
          <w:bCs/>
        </w:rPr>
        <w:t xml:space="preserve"> a</w:t>
      </w:r>
      <w:r w:rsidR="0025163F" w:rsidRPr="00BF545E">
        <w:rPr>
          <w:b/>
          <w:bCs/>
        </w:rPr>
        <w:t> suitable screening test (or tests) to accurately identify all newborns at</w:t>
      </w:r>
      <w:r w:rsidR="00986EB5">
        <w:rPr>
          <w:b/>
          <w:bCs/>
        </w:rPr>
        <w:t>-</w:t>
      </w:r>
      <w:r w:rsidR="0025163F" w:rsidRPr="00BF545E">
        <w:rPr>
          <w:b/>
          <w:bCs/>
        </w:rPr>
        <w:t xml:space="preserve">risk </w:t>
      </w:r>
      <w:r w:rsidR="00824012">
        <w:rPr>
          <w:b/>
          <w:bCs/>
        </w:rPr>
        <w:t>of MPS II</w:t>
      </w:r>
      <w:r w:rsidR="0025163F" w:rsidRPr="00BF545E">
        <w:rPr>
          <w:b/>
          <w:bCs/>
        </w:rPr>
        <w:t> (with acceptable clinical sensitivity and specificity according to consensus thresholds for what is considered positive)</w:t>
      </w:r>
      <w:r w:rsidR="0025163F">
        <w:t xml:space="preserve">, </w:t>
      </w:r>
      <w:r w:rsidR="006C49C3" w:rsidRPr="006C49C3">
        <w:t xml:space="preserve">MSAC noted </w:t>
      </w:r>
      <w:r w:rsidR="00EB0FC9">
        <w:t xml:space="preserve">that the proposed </w:t>
      </w:r>
      <w:r w:rsidR="00005A72">
        <w:t xml:space="preserve">newborn </w:t>
      </w:r>
      <w:r w:rsidR="00EB0FC9">
        <w:t>screening protocol</w:t>
      </w:r>
      <w:r w:rsidR="00DE1D73" w:rsidRPr="006C49C3">
        <w:t xml:space="preserve"> </w:t>
      </w:r>
      <w:r w:rsidR="00005A72">
        <w:t xml:space="preserve">for MPS II </w:t>
      </w:r>
      <w:r w:rsidR="00EB0FC9">
        <w:t>would be a 2-tier protocol</w:t>
      </w:r>
      <w:r w:rsidR="004F3F2B">
        <w:t>. The first-tier screening would be a test for IDS enzyme activity on the dried bloodspot (DBS)</w:t>
      </w:r>
      <w:r w:rsidR="00083774">
        <w:t xml:space="preserve">. Those with low enzyme activity would then </w:t>
      </w:r>
      <w:r w:rsidR="00BD0122">
        <w:t>undergo second-tier testing, which would be</w:t>
      </w:r>
      <w:r w:rsidR="00EB0FC9" w:rsidRPr="006C49C3">
        <w:t xml:space="preserve"> </w:t>
      </w:r>
      <w:r w:rsidR="00BD0122" w:rsidRPr="7C4E3BA4">
        <w:t>endogenous non-reducing end (NRE)-</w:t>
      </w:r>
      <w:r w:rsidR="00BD0122">
        <w:t>GAG</w:t>
      </w:r>
      <w:r w:rsidR="00BD0122" w:rsidRPr="7C4E3BA4">
        <w:t xml:space="preserve"> analysis (either in-house or sent to the </w:t>
      </w:r>
      <w:r w:rsidR="00BD0122">
        <w:t xml:space="preserve">National Referral Laboratory </w:t>
      </w:r>
      <w:r w:rsidR="00182109">
        <w:t>[</w:t>
      </w:r>
      <w:r w:rsidR="00BD0122">
        <w:t>NRL</w:t>
      </w:r>
      <w:r w:rsidR="00182109">
        <w:t xml:space="preserve">] </w:t>
      </w:r>
      <w:r w:rsidR="00BD0122" w:rsidRPr="7C4E3BA4">
        <w:t>based in Adelaide</w:t>
      </w:r>
      <w:r w:rsidR="00182109">
        <w:t>)</w:t>
      </w:r>
      <w:r w:rsidR="00BD0122">
        <w:t>.</w:t>
      </w:r>
      <w:r w:rsidR="000F16B0">
        <w:t xml:space="preserve"> MSAC noted that the second</w:t>
      </w:r>
      <w:r w:rsidR="00A92BBD">
        <w:t>-</w:t>
      </w:r>
      <w:r w:rsidR="000F16B0">
        <w:t xml:space="preserve">tier test would be expected to rule out </w:t>
      </w:r>
      <w:r w:rsidR="00137783">
        <w:t xml:space="preserve">newborns </w:t>
      </w:r>
      <w:r w:rsidR="000F16B0">
        <w:t>with pseudodeficienc</w:t>
      </w:r>
      <w:r w:rsidR="00883AA4">
        <w:t>y variants</w:t>
      </w:r>
      <w:r w:rsidR="006C49C3" w:rsidRPr="006C49C3">
        <w:rPr>
          <w:rFonts w:cs="Arial"/>
        </w:rPr>
        <w:t xml:space="preserve">. </w:t>
      </w:r>
      <w:r w:rsidR="006C49C3" w:rsidRPr="006C49C3">
        <w:t xml:space="preserve">MSAC noted that none of the </w:t>
      </w:r>
      <w:r w:rsidR="00EB754D">
        <w:t xml:space="preserve">4 </w:t>
      </w:r>
      <w:r w:rsidR="0080531A">
        <w:t xml:space="preserve">overseas </w:t>
      </w:r>
      <w:r w:rsidR="000B3323">
        <w:t xml:space="preserve">NBS </w:t>
      </w:r>
      <w:r w:rsidR="0069588F">
        <w:t xml:space="preserve">programs </w:t>
      </w:r>
      <w:r w:rsidR="006C49C3" w:rsidRPr="006C49C3">
        <w:t xml:space="preserve">included </w:t>
      </w:r>
      <w:r w:rsidR="00B832BA">
        <w:t xml:space="preserve">a </w:t>
      </w:r>
      <w:r w:rsidR="006C49C3" w:rsidRPr="006C49C3">
        <w:t xml:space="preserve">second-tier </w:t>
      </w:r>
      <w:r w:rsidR="000B3323">
        <w:t>screening,</w:t>
      </w:r>
      <w:r w:rsidR="006C49C3" w:rsidRPr="006C49C3">
        <w:t xml:space="preserve"> and </w:t>
      </w:r>
      <w:r w:rsidR="000B3323">
        <w:t xml:space="preserve">therefore that </w:t>
      </w:r>
      <w:r w:rsidR="009E6D1E">
        <w:t>the</w:t>
      </w:r>
      <w:r w:rsidR="000B3323">
        <w:t xml:space="preserve"> positive- and negative-predictive value</w:t>
      </w:r>
      <w:r w:rsidR="00045674">
        <w:t>s</w:t>
      </w:r>
      <w:r w:rsidR="000B3323">
        <w:t xml:space="preserve"> </w:t>
      </w:r>
      <w:r w:rsidR="00957D84">
        <w:t>from these studies</w:t>
      </w:r>
      <w:r w:rsidR="009E6D1E">
        <w:t xml:space="preserve"> </w:t>
      </w:r>
      <w:r w:rsidR="00957D84">
        <w:t>are</w:t>
      </w:r>
      <w:r w:rsidR="009E6D1E">
        <w:t xml:space="preserve"> not </w:t>
      </w:r>
      <w:r w:rsidR="005A0B56">
        <w:t xml:space="preserve">applicable </w:t>
      </w:r>
      <w:r w:rsidR="009E6D1E">
        <w:t>to the proposed methodology</w:t>
      </w:r>
      <w:r w:rsidR="000B3323">
        <w:t xml:space="preserve">. However, MSAC considered that the </w:t>
      </w:r>
      <w:r w:rsidR="001A29E2">
        <w:t>proposed 2-tier screen would be highly accurate</w:t>
      </w:r>
      <w:r w:rsidR="00E7353A">
        <w:t xml:space="preserve"> and </w:t>
      </w:r>
      <w:r w:rsidR="00A92DCD">
        <w:t xml:space="preserve">almost </w:t>
      </w:r>
      <w:r w:rsidR="00E7353A">
        <w:t xml:space="preserve">all newborns who test positive to </w:t>
      </w:r>
      <w:r w:rsidR="00CA09C7">
        <w:t xml:space="preserve">the </w:t>
      </w:r>
      <w:r w:rsidR="00A92DCD">
        <w:t>second-tier</w:t>
      </w:r>
      <w:r w:rsidR="00CA09C7">
        <w:t xml:space="preserve"> test </w:t>
      </w:r>
      <w:r w:rsidR="00A92DCD">
        <w:t>will be diagnosed with MPS II</w:t>
      </w:r>
      <w:r w:rsidR="006C49C3" w:rsidRPr="006C49C3">
        <w:t xml:space="preserve">. </w:t>
      </w:r>
      <w:r w:rsidR="008F0A18">
        <w:t xml:space="preserve">This is because </w:t>
      </w:r>
      <w:r w:rsidR="001E0CEC">
        <w:t>a positive</w:t>
      </w:r>
      <w:r w:rsidR="008F0A18">
        <w:t xml:space="preserve"> second</w:t>
      </w:r>
      <w:r w:rsidR="008061E2">
        <w:t>-</w:t>
      </w:r>
      <w:r w:rsidR="008F0A18">
        <w:t xml:space="preserve">tier </w:t>
      </w:r>
      <w:r w:rsidR="00DB733D">
        <w:t xml:space="preserve">GAG </w:t>
      </w:r>
      <w:r w:rsidR="008F0A18">
        <w:t>test</w:t>
      </w:r>
      <w:r w:rsidR="001E0CEC">
        <w:t xml:space="preserve"> </w:t>
      </w:r>
      <w:r w:rsidR="009A3891">
        <w:t>indicates that</w:t>
      </w:r>
      <w:r w:rsidR="006C0F93">
        <w:t xml:space="preserve"> the patient has undegraded or partially degraded GAG</w:t>
      </w:r>
      <w:r w:rsidR="006F65A0">
        <w:t xml:space="preserve">s which suggests that the MPS II disease process is active. </w:t>
      </w:r>
      <w:r w:rsidR="006C49C3" w:rsidRPr="006C49C3">
        <w:t>MSAC noted that</w:t>
      </w:r>
      <w:r w:rsidR="00C9090A">
        <w:t xml:space="preserve"> over</w:t>
      </w:r>
      <w:r w:rsidR="006C49C3" w:rsidRPr="006C49C3">
        <w:t xml:space="preserve"> 99% of </w:t>
      </w:r>
      <w:r w:rsidR="006965B7">
        <w:t>newborns wo</w:t>
      </w:r>
      <w:r w:rsidR="008467A7">
        <w:t xml:space="preserve">uld be expected to screen negative </w:t>
      </w:r>
      <w:r w:rsidR="005F33D9">
        <w:t>using the first</w:t>
      </w:r>
      <w:r w:rsidR="00DD5B21">
        <w:t>-</w:t>
      </w:r>
      <w:r w:rsidR="005F33D9">
        <w:t>tier screening test (i.e. would</w:t>
      </w:r>
      <w:r w:rsidR="006C49C3" w:rsidRPr="006C49C3">
        <w:t xml:space="preserve"> not have low enzyme activity and </w:t>
      </w:r>
      <w:r w:rsidR="005F33D9" w:rsidRPr="006C49C3">
        <w:t>w</w:t>
      </w:r>
      <w:r w:rsidR="005F33D9">
        <w:t>ould therefore</w:t>
      </w:r>
      <w:r w:rsidR="005F33D9" w:rsidRPr="006C49C3">
        <w:t xml:space="preserve"> </w:t>
      </w:r>
      <w:r w:rsidR="006C49C3" w:rsidRPr="006C49C3">
        <w:t xml:space="preserve">be considered </w:t>
      </w:r>
      <w:r w:rsidR="005F33D9">
        <w:t>un</w:t>
      </w:r>
      <w:r w:rsidR="006C49C3" w:rsidRPr="006C49C3">
        <w:t>affected</w:t>
      </w:r>
      <w:r w:rsidR="005F33D9">
        <w:t>)</w:t>
      </w:r>
      <w:r w:rsidR="006C49C3" w:rsidRPr="006C49C3">
        <w:t xml:space="preserve">. </w:t>
      </w:r>
      <w:r w:rsidR="00596A57">
        <w:t>N</w:t>
      </w:r>
      <w:r w:rsidR="005F33D9">
        <w:t>ewborns</w:t>
      </w:r>
      <w:r w:rsidR="005F33D9" w:rsidRPr="006C49C3">
        <w:t xml:space="preserve"> </w:t>
      </w:r>
      <w:r w:rsidR="006043BC">
        <w:t xml:space="preserve">who </w:t>
      </w:r>
      <w:r w:rsidR="00596A57">
        <w:t>screen</w:t>
      </w:r>
      <w:r w:rsidR="006043BC">
        <w:t xml:space="preserve"> </w:t>
      </w:r>
      <w:r w:rsidR="00596A57">
        <w:t xml:space="preserve">positive at </w:t>
      </w:r>
      <w:r w:rsidR="00BA03F0">
        <w:t>first</w:t>
      </w:r>
      <w:r w:rsidR="007256A9">
        <w:t xml:space="preserve"> </w:t>
      </w:r>
      <w:r w:rsidR="00596A57">
        <w:t xml:space="preserve">tier </w:t>
      </w:r>
      <w:r w:rsidR="005F33D9">
        <w:t>would go on</w:t>
      </w:r>
      <w:r w:rsidR="008D686C">
        <w:t xml:space="preserve"> to second</w:t>
      </w:r>
      <w:r w:rsidR="00BA03F0">
        <w:t>-</w:t>
      </w:r>
      <w:r w:rsidR="008D686C">
        <w:t xml:space="preserve">tier </w:t>
      </w:r>
      <w:r w:rsidR="006C49C3" w:rsidRPr="006C49C3">
        <w:t xml:space="preserve">GAG testing, </w:t>
      </w:r>
      <w:r w:rsidR="008D686C">
        <w:t>after which</w:t>
      </w:r>
      <w:r w:rsidR="006C49C3" w:rsidRPr="006C49C3">
        <w:t xml:space="preserve"> diagnosis </w:t>
      </w:r>
      <w:r w:rsidR="008D686C">
        <w:t xml:space="preserve">for those who screen positive would </w:t>
      </w:r>
      <w:r w:rsidR="00141507">
        <w:t xml:space="preserve">be clinically </w:t>
      </w:r>
      <w:r w:rsidR="006C49C3" w:rsidRPr="006C49C3">
        <w:t>confirmed</w:t>
      </w:r>
      <w:r w:rsidR="00141507">
        <w:t>, by</w:t>
      </w:r>
      <w:r w:rsidR="006C49C3" w:rsidRPr="006C49C3">
        <w:t xml:space="preserve"> examination and imaging. </w:t>
      </w:r>
      <w:r w:rsidR="008E0A26">
        <w:t>MSAC noted</w:t>
      </w:r>
      <w:r w:rsidR="00461FCD">
        <w:t xml:space="preserve"> </w:t>
      </w:r>
      <w:r w:rsidR="0076669A">
        <w:t xml:space="preserve">the </w:t>
      </w:r>
      <w:r w:rsidR="001276E5">
        <w:t xml:space="preserve">DCAR estimated </w:t>
      </w:r>
      <w:r w:rsidR="00461FCD">
        <w:t xml:space="preserve">that </w:t>
      </w:r>
      <w:r w:rsidR="002141FC">
        <w:t>approximately</w:t>
      </w:r>
      <w:r w:rsidR="00ED1D22">
        <w:t xml:space="preserve"> 88</w:t>
      </w:r>
      <w:r w:rsidR="00461FCD">
        <w:t xml:space="preserve"> newborns per year would </w:t>
      </w:r>
      <w:r w:rsidR="007E233D">
        <w:t xml:space="preserve">screen positive </w:t>
      </w:r>
      <w:r w:rsidR="00FA3776">
        <w:t xml:space="preserve">at </w:t>
      </w:r>
      <w:r w:rsidR="007E233D">
        <w:t>first</w:t>
      </w:r>
      <w:r w:rsidR="004B4BFD">
        <w:t>-</w:t>
      </w:r>
      <w:r w:rsidR="007E233D">
        <w:t xml:space="preserve">tier screening and </w:t>
      </w:r>
      <w:r w:rsidR="00461FCD">
        <w:t xml:space="preserve">proceed to second-tier </w:t>
      </w:r>
      <w:r w:rsidR="006332DD">
        <w:t>testing</w:t>
      </w:r>
      <w:r w:rsidR="005F6781">
        <w:t>, which</w:t>
      </w:r>
      <w:r w:rsidR="00940C93">
        <w:t xml:space="preserve"> of </w:t>
      </w:r>
      <w:r w:rsidR="00A87CD9">
        <w:t xml:space="preserve">whom </w:t>
      </w:r>
      <w:r w:rsidR="00B90D4E">
        <w:t xml:space="preserve">84 </w:t>
      </w:r>
      <w:r w:rsidR="00A87CD9">
        <w:t>would test negative (</w:t>
      </w:r>
      <w:r w:rsidR="00B90D4E">
        <w:t>false positives</w:t>
      </w:r>
      <w:r w:rsidR="00A87CD9">
        <w:t>)</w:t>
      </w:r>
      <w:r w:rsidR="002141FC">
        <w:t>.</w:t>
      </w:r>
      <w:r w:rsidR="00B90D4E">
        <w:t xml:space="preserve"> </w:t>
      </w:r>
      <w:r w:rsidR="002141FC">
        <w:t>Approximately</w:t>
      </w:r>
      <w:r w:rsidR="00B90D4E">
        <w:t xml:space="preserve"> </w:t>
      </w:r>
      <w:r w:rsidR="008E0A26">
        <w:t xml:space="preserve">4 </w:t>
      </w:r>
      <w:r w:rsidR="007E233D">
        <w:t>newborns</w:t>
      </w:r>
      <w:r w:rsidR="008E0A26">
        <w:t xml:space="preserve"> </w:t>
      </w:r>
      <w:r w:rsidR="002141FC">
        <w:t xml:space="preserve">will </w:t>
      </w:r>
      <w:r w:rsidR="004100AA">
        <w:t xml:space="preserve">test positive on both screening tests </w:t>
      </w:r>
      <w:r w:rsidR="002141FC">
        <w:t>be recalled for</w:t>
      </w:r>
      <w:r w:rsidR="00E67F0F">
        <w:t xml:space="preserve"> further testing.</w:t>
      </w:r>
      <w:r w:rsidR="002141FC">
        <w:t xml:space="preserve"> </w:t>
      </w:r>
      <w:r w:rsidR="00FE2375" w:rsidRPr="00FE2375">
        <w:t xml:space="preserve">Of these, approximately </w:t>
      </w:r>
      <w:r w:rsidR="009A6FD0">
        <w:t>one</w:t>
      </w:r>
      <w:r w:rsidR="00FE2375" w:rsidRPr="00FE2375">
        <w:t xml:space="preserve"> newborn will be diagnosed with severe MPS II</w:t>
      </w:r>
      <w:r w:rsidR="002A67AC">
        <w:t>. The remaining</w:t>
      </w:r>
      <w:r w:rsidR="00FE2375" w:rsidRPr="00FE2375">
        <w:t xml:space="preserve"> 3 newborns will be </w:t>
      </w:r>
      <w:r w:rsidR="002A67AC">
        <w:t xml:space="preserve">diagnosed with, or </w:t>
      </w:r>
      <w:r w:rsidR="00FE2375" w:rsidRPr="00FE2375">
        <w:t>at risk of developing attenuated MPS II</w:t>
      </w:r>
      <w:r w:rsidR="002A67AC" w:rsidRPr="00FE2375">
        <w:t xml:space="preserve"> </w:t>
      </w:r>
      <w:r w:rsidR="00FE2375" w:rsidRPr="00FE2375">
        <w:t>most of whom would not be expected to develop clinically significant or apparent symptoms of MPS II.</w:t>
      </w:r>
    </w:p>
    <w:p w14:paraId="3CF4A1C6" w14:textId="7E4F4BA8" w:rsidR="00DF7C2D" w:rsidRDefault="008514FC" w:rsidP="00EB46E9">
      <w:r w:rsidRPr="0070649B">
        <w:t>MSAC</w:t>
      </w:r>
      <w:r w:rsidRPr="0070649B" w:rsidDel="005A0BC4">
        <w:t xml:space="preserve"> </w:t>
      </w:r>
      <w:r>
        <w:t>considered</w:t>
      </w:r>
      <w:r w:rsidRPr="0070649B">
        <w:t xml:space="preserve"> that</w:t>
      </w:r>
      <w:r>
        <w:t>, because different NBS laboratories may choose different enzyme assay</w:t>
      </w:r>
      <w:r w:rsidRPr="0070649B">
        <w:t xml:space="preserve"> methods </w:t>
      </w:r>
      <w:r>
        <w:t xml:space="preserve">and cut-off thresholds for further testing, </w:t>
      </w:r>
      <w:r w:rsidRPr="0070649B">
        <w:t>screen positive rates</w:t>
      </w:r>
      <w:r>
        <w:t xml:space="preserve"> may also vary between laboratories. MSAC considered differences in testing methods and thresholds will also affect the number of false positive tests and queried whether the tests will identify all newborns with MPS II</w:t>
      </w:r>
      <w:r w:rsidRPr="0070649B">
        <w:t>.</w:t>
      </w:r>
      <w:r>
        <w:t xml:space="preserve"> MSAC therefore advised that a national screening protocol should be agreed upon and concurrently implemented in all jurisdictions, to avoid variability in screening and reporting.</w:t>
      </w:r>
      <w:r w:rsidRPr="0070649B">
        <w:t xml:space="preserve"> </w:t>
      </w:r>
    </w:p>
    <w:p w14:paraId="77F01BEB" w14:textId="602C0BC8" w:rsidR="00B07F3B" w:rsidRDefault="00BE5DA6" w:rsidP="006C49C3">
      <w:pPr>
        <w:rPr>
          <w:rFonts w:cs="Arial"/>
        </w:rPr>
      </w:pPr>
      <w:r>
        <w:t xml:space="preserve">MSAC considered </w:t>
      </w:r>
      <w:r w:rsidR="00E50441">
        <w:rPr>
          <w:b/>
          <w:bCs/>
          <w:lang w:val="en-US"/>
        </w:rPr>
        <w:t xml:space="preserve">whether </w:t>
      </w:r>
      <w:r w:rsidR="00EB754D">
        <w:rPr>
          <w:b/>
          <w:bCs/>
          <w:lang w:val="en-US"/>
        </w:rPr>
        <w:t>MPS II</w:t>
      </w:r>
      <w:r w:rsidR="00E50441">
        <w:rPr>
          <w:b/>
          <w:bCs/>
          <w:lang w:val="en-US"/>
        </w:rPr>
        <w:t xml:space="preserve"> </w:t>
      </w:r>
      <w:r w:rsidR="00E50441" w:rsidRPr="00B53FEA">
        <w:rPr>
          <w:b/>
          <w:bCs/>
          <w:lang w:val="en-US"/>
        </w:rPr>
        <w:t xml:space="preserve">disease subtype and prognosis can be determined from the screening and confirmatory tests to determine </w:t>
      </w:r>
      <w:r w:rsidR="00E50441">
        <w:rPr>
          <w:b/>
          <w:bCs/>
          <w:lang w:val="en-US"/>
        </w:rPr>
        <w:t xml:space="preserve">the </w:t>
      </w:r>
      <w:r w:rsidR="00E50441" w:rsidRPr="00B53FEA">
        <w:rPr>
          <w:b/>
          <w:bCs/>
          <w:lang w:val="en-US"/>
        </w:rPr>
        <w:t>need for earlier treatment</w:t>
      </w:r>
      <w:r w:rsidR="00FE5A62">
        <w:rPr>
          <w:b/>
          <w:bCs/>
          <w:lang w:val="en-US"/>
        </w:rPr>
        <w:t>.</w:t>
      </w:r>
      <w:r w:rsidR="00E50441">
        <w:rPr>
          <w:b/>
          <w:bCs/>
          <w:lang w:val="en-US"/>
        </w:rPr>
        <w:t xml:space="preserve"> </w:t>
      </w:r>
      <w:r w:rsidR="00101C86" w:rsidRPr="008F21BA">
        <w:rPr>
          <w:lang w:val="en-US"/>
        </w:rPr>
        <w:t>MSAC considered</w:t>
      </w:r>
      <w:r w:rsidR="00101C86">
        <w:rPr>
          <w:b/>
          <w:bCs/>
          <w:lang w:val="en-US"/>
        </w:rPr>
        <w:t xml:space="preserve"> </w:t>
      </w:r>
      <w:r w:rsidR="005119EA" w:rsidRPr="008F21BA">
        <w:rPr>
          <w:lang w:val="en-US"/>
        </w:rPr>
        <w:t>the disease subtype and prognosis can be determine</w:t>
      </w:r>
      <w:r w:rsidR="007825B4">
        <w:rPr>
          <w:lang w:val="en-US"/>
        </w:rPr>
        <w:t>d</w:t>
      </w:r>
      <w:r w:rsidR="005119EA" w:rsidRPr="008F21BA">
        <w:rPr>
          <w:lang w:val="en-US"/>
        </w:rPr>
        <w:t xml:space="preserve"> for some </w:t>
      </w:r>
      <w:r w:rsidR="007825B4">
        <w:rPr>
          <w:lang w:val="en-US"/>
        </w:rPr>
        <w:t>patients after screening and diagnostic tests.</w:t>
      </w:r>
      <w:r w:rsidR="005119EA">
        <w:rPr>
          <w:b/>
          <w:bCs/>
          <w:lang w:val="en-US"/>
        </w:rPr>
        <w:t xml:space="preserve"> </w:t>
      </w:r>
      <w:r w:rsidR="00B5551E" w:rsidRPr="008F21BA">
        <w:rPr>
          <w:lang w:val="en-US"/>
        </w:rPr>
        <w:t xml:space="preserve">MSAC considered genetic testing is needed to predict </w:t>
      </w:r>
      <w:r w:rsidR="00080812" w:rsidRPr="008F21BA">
        <w:rPr>
          <w:lang w:val="en-US"/>
        </w:rPr>
        <w:t>subtype of MPS II.</w:t>
      </w:r>
      <w:r w:rsidR="00080812">
        <w:rPr>
          <w:b/>
          <w:bCs/>
          <w:lang w:val="en-US"/>
        </w:rPr>
        <w:t xml:space="preserve"> </w:t>
      </w:r>
      <w:r w:rsidR="00080812">
        <w:rPr>
          <w:lang w:val="en-US"/>
        </w:rPr>
        <w:t xml:space="preserve">However, </w:t>
      </w:r>
      <w:r w:rsidR="00B22FB7">
        <w:rPr>
          <w:lang w:val="en-US"/>
        </w:rPr>
        <w:t>MPS II</w:t>
      </w:r>
      <w:r w:rsidR="00BB5D8E">
        <w:rPr>
          <w:lang w:val="en-US"/>
        </w:rPr>
        <w:t xml:space="preserve"> is </w:t>
      </w:r>
      <w:r w:rsidR="00B22FB7">
        <w:rPr>
          <w:lang w:val="en-US"/>
        </w:rPr>
        <w:t>characteri</w:t>
      </w:r>
      <w:r w:rsidR="00FE3367">
        <w:rPr>
          <w:lang w:val="en-US"/>
        </w:rPr>
        <w:t>s</w:t>
      </w:r>
      <w:r w:rsidR="00B22FB7">
        <w:rPr>
          <w:lang w:val="en-US"/>
        </w:rPr>
        <w:t>ed by</w:t>
      </w:r>
      <w:r w:rsidR="00CC7749">
        <w:rPr>
          <w:lang w:val="en-US"/>
        </w:rPr>
        <w:t xml:space="preserve"> high genetic </w:t>
      </w:r>
      <w:r w:rsidR="00B22FB7">
        <w:rPr>
          <w:lang w:val="en-US"/>
        </w:rPr>
        <w:t>heterogeneity</w:t>
      </w:r>
      <w:r w:rsidR="00945A34">
        <w:rPr>
          <w:lang w:val="en-US"/>
        </w:rPr>
        <w:t xml:space="preserve"> making it difficult to identify genotype-</w:t>
      </w:r>
      <w:r w:rsidR="00135FD6">
        <w:rPr>
          <w:lang w:val="en-US"/>
        </w:rPr>
        <w:t>phenotype association</w:t>
      </w:r>
      <w:r w:rsidR="00EB0BDA">
        <w:rPr>
          <w:lang w:val="en-US"/>
        </w:rPr>
        <w:t>s</w:t>
      </w:r>
      <w:r w:rsidR="00080812">
        <w:rPr>
          <w:lang w:val="en-US"/>
        </w:rPr>
        <w:t xml:space="preserve"> and predict the </w:t>
      </w:r>
      <w:r w:rsidR="003028E8">
        <w:rPr>
          <w:lang w:val="en-US"/>
        </w:rPr>
        <w:t>subtype and prognosis</w:t>
      </w:r>
      <w:r w:rsidR="00135FD6">
        <w:rPr>
          <w:lang w:val="en-US"/>
        </w:rPr>
        <w:t>. M</w:t>
      </w:r>
      <w:r w:rsidR="00B91EC1">
        <w:rPr>
          <w:lang w:val="en-US"/>
        </w:rPr>
        <w:t xml:space="preserve">ost of the </w:t>
      </w:r>
      <w:r w:rsidR="00B91EC1">
        <w:rPr>
          <w:i/>
          <w:iCs/>
          <w:lang w:val="en-US"/>
        </w:rPr>
        <w:t xml:space="preserve">IDS </w:t>
      </w:r>
      <w:r w:rsidR="00CC7749">
        <w:rPr>
          <w:lang w:val="en-US"/>
        </w:rPr>
        <w:t xml:space="preserve">variants </w:t>
      </w:r>
      <w:r w:rsidR="00B91EC1">
        <w:rPr>
          <w:lang w:val="en-US"/>
        </w:rPr>
        <w:t xml:space="preserve">identified </w:t>
      </w:r>
      <w:r w:rsidR="00CC7749">
        <w:rPr>
          <w:lang w:val="en-US"/>
        </w:rPr>
        <w:t xml:space="preserve">are </w:t>
      </w:r>
      <w:r w:rsidR="00B91EC1">
        <w:rPr>
          <w:lang w:val="en-US"/>
        </w:rPr>
        <w:t xml:space="preserve">either </w:t>
      </w:r>
      <w:r w:rsidR="00CC7749">
        <w:rPr>
          <w:lang w:val="en-US"/>
        </w:rPr>
        <w:t xml:space="preserve">private </w:t>
      </w:r>
      <w:r w:rsidR="00A623BC">
        <w:rPr>
          <w:lang w:val="en-US"/>
        </w:rPr>
        <w:t>or novel</w:t>
      </w:r>
      <w:r w:rsidR="00CC7749">
        <w:rPr>
          <w:lang w:val="en-US"/>
        </w:rPr>
        <w:t xml:space="preserve">, with &gt;700 </w:t>
      </w:r>
      <w:r w:rsidR="0075460E" w:rsidRPr="0075460E">
        <w:rPr>
          <w:i/>
          <w:iCs/>
          <w:lang w:val="en-US"/>
        </w:rPr>
        <w:t>IDS</w:t>
      </w:r>
      <w:r w:rsidR="0075460E">
        <w:rPr>
          <w:lang w:val="en-US"/>
        </w:rPr>
        <w:t xml:space="preserve"> </w:t>
      </w:r>
      <w:r w:rsidR="00287D53">
        <w:rPr>
          <w:lang w:val="en-US"/>
        </w:rPr>
        <w:t>pathogenic</w:t>
      </w:r>
      <w:r w:rsidR="00CC7749">
        <w:rPr>
          <w:lang w:val="en-US"/>
        </w:rPr>
        <w:t xml:space="preserve"> variants </w:t>
      </w:r>
      <w:r w:rsidR="00287D53">
        <w:rPr>
          <w:lang w:val="en-US"/>
        </w:rPr>
        <w:t>identified</w:t>
      </w:r>
      <w:r w:rsidR="00CC7749">
        <w:rPr>
          <w:lang w:val="en-US"/>
        </w:rPr>
        <w:t xml:space="preserve">. MSAC noted that different </w:t>
      </w:r>
      <w:r w:rsidR="00F845B7">
        <w:rPr>
          <w:lang w:val="en-US"/>
        </w:rPr>
        <w:t xml:space="preserve">phenotypes </w:t>
      </w:r>
      <w:r w:rsidR="00D229CC">
        <w:rPr>
          <w:lang w:val="en-US"/>
        </w:rPr>
        <w:t xml:space="preserve">have </w:t>
      </w:r>
      <w:r w:rsidR="00CC7749">
        <w:rPr>
          <w:lang w:val="en-US"/>
        </w:rPr>
        <w:t xml:space="preserve">been observed in </w:t>
      </w:r>
      <w:r w:rsidR="00D229CC">
        <w:rPr>
          <w:lang w:val="en-US"/>
        </w:rPr>
        <w:t xml:space="preserve">unrelated </w:t>
      </w:r>
      <w:r w:rsidR="00D6694E">
        <w:rPr>
          <w:lang w:val="en-US"/>
        </w:rPr>
        <w:t>patients who carry the same variant</w:t>
      </w:r>
      <w:r w:rsidR="00CC7749">
        <w:rPr>
          <w:lang w:val="en-US"/>
        </w:rPr>
        <w:t xml:space="preserve">. </w:t>
      </w:r>
      <w:r w:rsidR="00C97460">
        <w:rPr>
          <w:lang w:val="en-US"/>
        </w:rPr>
        <w:t xml:space="preserve">MSAC considered that </w:t>
      </w:r>
      <w:r w:rsidR="00C97460">
        <w:rPr>
          <w:rFonts w:cs="Arial"/>
        </w:rPr>
        <w:t xml:space="preserve">imaging </w:t>
      </w:r>
      <w:r w:rsidR="00B07F3B">
        <w:rPr>
          <w:rFonts w:cs="Arial"/>
        </w:rPr>
        <w:t xml:space="preserve">(x-rays) and clinical examination of a newborn </w:t>
      </w:r>
      <w:r w:rsidR="00C97460">
        <w:rPr>
          <w:rFonts w:cs="Arial"/>
        </w:rPr>
        <w:t xml:space="preserve">can detect early signs of disease in the joints, and assist in predicting severe early-onset phenotypes, particularly in newborns with unknown or novel genetic variants. </w:t>
      </w:r>
      <w:r w:rsidR="00745039">
        <w:rPr>
          <w:rFonts w:cs="Arial"/>
        </w:rPr>
        <w:t xml:space="preserve">However, </w:t>
      </w:r>
      <w:r w:rsidR="00E93F5E">
        <w:rPr>
          <w:rFonts w:cs="Arial"/>
        </w:rPr>
        <w:t xml:space="preserve">phenotype prediction may also be inaccurate and </w:t>
      </w:r>
      <w:r w:rsidR="00745039">
        <w:rPr>
          <w:rFonts w:cs="Arial"/>
        </w:rPr>
        <w:t xml:space="preserve">MSAC </w:t>
      </w:r>
      <w:r w:rsidR="007825B4">
        <w:rPr>
          <w:rFonts w:cs="Arial"/>
        </w:rPr>
        <w:t>considered</w:t>
      </w:r>
      <w:r w:rsidR="00745039">
        <w:rPr>
          <w:rFonts w:cs="Arial"/>
        </w:rPr>
        <w:t xml:space="preserve"> that families are likely to </w:t>
      </w:r>
      <w:r w:rsidR="00745039" w:rsidRPr="4FFD2D55">
        <w:rPr>
          <w:rFonts w:cs="Arial"/>
        </w:rPr>
        <w:t>expect</w:t>
      </w:r>
      <w:r w:rsidR="00745039">
        <w:rPr>
          <w:rFonts w:cs="Arial"/>
        </w:rPr>
        <w:t xml:space="preserve"> phenotype prediction at the time of diagnosis, rather than months afterwards.</w:t>
      </w:r>
    </w:p>
    <w:p w14:paraId="08A0A0D1" w14:textId="52398AF8" w:rsidR="00C97460" w:rsidRDefault="00176354" w:rsidP="006C49C3">
      <w:pPr>
        <w:rPr>
          <w:rFonts w:cs="Arial"/>
        </w:rPr>
      </w:pPr>
      <w:r>
        <w:rPr>
          <w:lang w:val="en-US"/>
        </w:rPr>
        <w:t>Therefore</w:t>
      </w:r>
      <w:r w:rsidR="205BD20D" w:rsidRPr="2219DDB6">
        <w:rPr>
          <w:lang w:val="en-US"/>
        </w:rPr>
        <w:t>,</w:t>
      </w:r>
      <w:r>
        <w:rPr>
          <w:lang w:val="en-US"/>
        </w:rPr>
        <w:t xml:space="preserve"> </w:t>
      </w:r>
      <w:r w:rsidR="00CC7749">
        <w:rPr>
          <w:lang w:val="en-US"/>
        </w:rPr>
        <w:t xml:space="preserve">MSAC </w:t>
      </w:r>
      <w:r w:rsidR="01553F18" w:rsidRPr="2219DDB6">
        <w:rPr>
          <w:lang w:val="en-US"/>
        </w:rPr>
        <w:t xml:space="preserve">noted </w:t>
      </w:r>
      <w:r>
        <w:rPr>
          <w:lang w:val="en-US"/>
        </w:rPr>
        <w:t>that</w:t>
      </w:r>
      <w:r w:rsidR="591F3125" w:rsidRPr="2219DDB6">
        <w:rPr>
          <w:lang w:val="en-US"/>
        </w:rPr>
        <w:t>,</w:t>
      </w:r>
      <w:r>
        <w:rPr>
          <w:lang w:val="en-US"/>
        </w:rPr>
        <w:t xml:space="preserve"> of</w:t>
      </w:r>
      <w:r w:rsidR="006C49C3" w:rsidRPr="006C49C3">
        <w:t xml:space="preserve"> </w:t>
      </w:r>
      <w:r w:rsidR="006003F0" w:rsidRPr="006C49C3">
        <w:t>th</w:t>
      </w:r>
      <w:r w:rsidR="006003F0">
        <w:t>ose who ultimately screen positive</w:t>
      </w:r>
      <w:r>
        <w:t xml:space="preserve"> and are diagnosed with MPS II</w:t>
      </w:r>
      <w:r w:rsidR="006C49C3" w:rsidRPr="006C49C3">
        <w:t xml:space="preserve">, </w:t>
      </w:r>
      <w:r w:rsidR="00E50441">
        <w:t xml:space="preserve">only </w:t>
      </w:r>
      <w:r w:rsidR="006C49C3" w:rsidRPr="006C49C3">
        <w:t xml:space="preserve">20–30% of </w:t>
      </w:r>
      <w:r w:rsidR="00D84419">
        <w:t>newborns</w:t>
      </w:r>
      <w:r w:rsidR="00D84419" w:rsidRPr="006C49C3">
        <w:t xml:space="preserve"> </w:t>
      </w:r>
      <w:r w:rsidR="006003F0">
        <w:t xml:space="preserve">would be </w:t>
      </w:r>
      <w:r w:rsidR="006C49C3" w:rsidRPr="006C49C3">
        <w:t>expected to have known pathogenic variants</w:t>
      </w:r>
      <w:r w:rsidR="00D77D2C">
        <w:t xml:space="preserve"> in a </w:t>
      </w:r>
      <w:r w:rsidR="00D84419">
        <w:t xml:space="preserve">population with </w:t>
      </w:r>
      <w:r w:rsidR="00D77D2C">
        <w:t xml:space="preserve">primarily </w:t>
      </w:r>
      <w:r w:rsidR="00D84419">
        <w:t>European ancestry</w:t>
      </w:r>
      <w:r w:rsidR="00B062AC">
        <w:t xml:space="preserve">. </w:t>
      </w:r>
      <w:r w:rsidR="00D84419">
        <w:t xml:space="preserve">For the remaining newborns, </w:t>
      </w:r>
      <w:r w:rsidR="00013057">
        <w:t xml:space="preserve">MSAC advised that </w:t>
      </w:r>
      <w:r w:rsidR="00231D95">
        <w:t xml:space="preserve">severity cannot be predicted </w:t>
      </w:r>
      <w:r w:rsidR="00D84419">
        <w:t xml:space="preserve">after initial testing </w:t>
      </w:r>
      <w:r w:rsidR="00E452CA">
        <w:t xml:space="preserve">and ongoing follow-up is required </w:t>
      </w:r>
      <w:r w:rsidR="00231D95">
        <w:t xml:space="preserve">for </w:t>
      </w:r>
      <w:r w:rsidR="00013057">
        <w:t>newborns with</w:t>
      </w:r>
      <w:r w:rsidR="00231D95">
        <w:t xml:space="preserve"> a normal clinical examination, normal imaging </w:t>
      </w:r>
      <w:r w:rsidR="00251424">
        <w:t xml:space="preserve">and genetic variants that cannot accurately predict </w:t>
      </w:r>
      <w:r w:rsidR="00BD57AB">
        <w:t>the subtype and prognosis.</w:t>
      </w:r>
    </w:p>
    <w:p w14:paraId="7B49A2AB" w14:textId="544F2007" w:rsidR="0075433B" w:rsidRDefault="00C53B03" w:rsidP="006C49C3">
      <w:pPr>
        <w:rPr>
          <w:rFonts w:cs="Arial"/>
        </w:rPr>
      </w:pPr>
      <w:r>
        <w:rPr>
          <w:rFonts w:cs="Arial"/>
        </w:rPr>
        <w:lastRenderedPageBreak/>
        <w:t xml:space="preserve">MSAC noted that </w:t>
      </w:r>
      <w:r w:rsidR="009A6BE5">
        <w:rPr>
          <w:rFonts w:cs="Arial"/>
        </w:rPr>
        <w:t xml:space="preserve">there are </w:t>
      </w:r>
      <w:r w:rsidR="008650FE">
        <w:rPr>
          <w:rFonts w:cs="Arial"/>
        </w:rPr>
        <w:t xml:space="preserve">some </w:t>
      </w:r>
      <w:r>
        <w:rPr>
          <w:rFonts w:cs="Arial"/>
        </w:rPr>
        <w:t>found</w:t>
      </w:r>
      <w:r w:rsidR="009A6BE5">
        <w:rPr>
          <w:rFonts w:cs="Arial"/>
        </w:rPr>
        <w:t>er</w:t>
      </w:r>
      <w:r>
        <w:rPr>
          <w:rFonts w:cs="Arial"/>
        </w:rPr>
        <w:t xml:space="preserve"> variants in </w:t>
      </w:r>
      <w:r w:rsidR="00E269B9">
        <w:rPr>
          <w:rFonts w:cs="Arial"/>
        </w:rPr>
        <w:t>S</w:t>
      </w:r>
      <w:r>
        <w:rPr>
          <w:rFonts w:cs="Arial"/>
        </w:rPr>
        <w:t xml:space="preserve">outheast Asian populations, and </w:t>
      </w:r>
      <w:r w:rsidR="00DB4572">
        <w:rPr>
          <w:rFonts w:cs="Arial"/>
        </w:rPr>
        <w:t xml:space="preserve">therefore </w:t>
      </w:r>
      <w:r>
        <w:rPr>
          <w:rFonts w:cs="Arial"/>
        </w:rPr>
        <w:t xml:space="preserve">considered that studies on MPS II diagnosed via NBS from </w:t>
      </w:r>
      <w:r w:rsidR="00E269B9">
        <w:rPr>
          <w:rFonts w:cs="Arial"/>
        </w:rPr>
        <w:t>S</w:t>
      </w:r>
      <w:r>
        <w:rPr>
          <w:rFonts w:cs="Arial"/>
        </w:rPr>
        <w:t xml:space="preserve">outheast Asia </w:t>
      </w:r>
      <w:r w:rsidR="00957611">
        <w:rPr>
          <w:rFonts w:cs="Arial"/>
        </w:rPr>
        <w:t>are</w:t>
      </w:r>
      <w:r>
        <w:rPr>
          <w:rFonts w:cs="Arial"/>
        </w:rPr>
        <w:t xml:space="preserve"> less </w:t>
      </w:r>
      <w:r w:rsidR="00C13216">
        <w:rPr>
          <w:rFonts w:cs="Arial"/>
        </w:rPr>
        <w:t>applicable</w:t>
      </w:r>
      <w:r>
        <w:rPr>
          <w:rFonts w:cs="Arial"/>
        </w:rPr>
        <w:t xml:space="preserve"> to</w:t>
      </w:r>
      <w:r w:rsidR="00FB1E30">
        <w:rPr>
          <w:rFonts w:cs="Arial"/>
        </w:rPr>
        <w:t xml:space="preserve"> predicting the subtype and severity of MPS II diagnosed through NBS </w:t>
      </w:r>
      <w:r>
        <w:rPr>
          <w:rFonts w:cs="Arial"/>
        </w:rPr>
        <w:t xml:space="preserve">in </w:t>
      </w:r>
      <w:r w:rsidR="00CD0225">
        <w:rPr>
          <w:rFonts w:cs="Arial"/>
        </w:rPr>
        <w:t>the</w:t>
      </w:r>
      <w:r>
        <w:rPr>
          <w:rFonts w:cs="Arial"/>
        </w:rPr>
        <w:t xml:space="preserve"> Australian context</w:t>
      </w:r>
      <w:r w:rsidR="00745039">
        <w:rPr>
          <w:rFonts w:cs="Arial"/>
        </w:rPr>
        <w:t xml:space="preserve">. </w:t>
      </w:r>
    </w:p>
    <w:p w14:paraId="26028230" w14:textId="30F67EAE" w:rsidR="006C49C3" w:rsidRPr="006C49C3" w:rsidRDefault="009E24EB" w:rsidP="006C49C3">
      <w:r>
        <w:t xml:space="preserve">MSAC further noted that, prior to implementation, </w:t>
      </w:r>
      <w:r w:rsidR="007E7C32">
        <w:t>there should be a consensus</w:t>
      </w:r>
      <w:r w:rsidR="00B72FFF">
        <w:t xml:space="preserve"> </w:t>
      </w:r>
      <w:r w:rsidR="007E7C32">
        <w:t>whether</w:t>
      </w:r>
      <w:r>
        <w:t xml:space="preserve"> results should be reported for those identified as </w:t>
      </w:r>
      <w:r w:rsidR="00731344">
        <w:t>at-risk of</w:t>
      </w:r>
      <w:r>
        <w:t xml:space="preserve"> attenuated MPS II</w:t>
      </w:r>
      <w:r w:rsidR="00D23991" w:rsidRPr="00D23991">
        <w:t xml:space="preserve"> </w:t>
      </w:r>
      <w:r w:rsidR="00D23991">
        <w:t xml:space="preserve">as </w:t>
      </w:r>
      <w:r w:rsidR="00D23991" w:rsidRPr="00D23991">
        <w:t xml:space="preserve">most of </w:t>
      </w:r>
      <w:r w:rsidR="00FB1E30">
        <w:t xml:space="preserve">these newborns </w:t>
      </w:r>
      <w:r w:rsidR="00D23991" w:rsidRPr="00D23991">
        <w:t>would not be expected to develop clinically significant or apparent symptoms of MPS II</w:t>
      </w:r>
      <w:r>
        <w:t xml:space="preserve">. </w:t>
      </w:r>
      <w:r w:rsidR="006C49C3" w:rsidRPr="006C49C3">
        <w:t xml:space="preserve">MSAC </w:t>
      </w:r>
      <w:r w:rsidR="00A3716C">
        <w:t xml:space="preserve">therefore considered that, while </w:t>
      </w:r>
      <w:r w:rsidR="006C49C3" w:rsidRPr="006C49C3">
        <w:t>the</w:t>
      </w:r>
      <w:r w:rsidR="00A3716C">
        <w:t xml:space="preserve"> proposed</w:t>
      </w:r>
      <w:r w:rsidR="006C49C3" w:rsidRPr="006C49C3">
        <w:t xml:space="preserve"> 2-tier screening method </w:t>
      </w:r>
      <w:r w:rsidR="00A3716C">
        <w:t xml:space="preserve">would be </w:t>
      </w:r>
      <w:r w:rsidR="008B7EC0">
        <w:t xml:space="preserve">reliable for diagnosing MPS II, it (alongside confirmatory tests) </w:t>
      </w:r>
      <w:r w:rsidR="006C49C3" w:rsidRPr="006C49C3">
        <w:t xml:space="preserve">cannot </w:t>
      </w:r>
      <w:r w:rsidR="00172EBB">
        <w:t xml:space="preserve">always </w:t>
      </w:r>
      <w:r w:rsidR="006C49C3" w:rsidRPr="006C49C3">
        <w:t xml:space="preserve">predict </w:t>
      </w:r>
      <w:r w:rsidR="008B7EC0">
        <w:t xml:space="preserve">the </w:t>
      </w:r>
      <w:r w:rsidR="006C49C3" w:rsidRPr="006C49C3">
        <w:t>age of</w:t>
      </w:r>
      <w:r w:rsidR="008B7EC0">
        <w:t xml:space="preserve"> sign/symptom</w:t>
      </w:r>
      <w:r w:rsidR="006C49C3" w:rsidRPr="006C49C3">
        <w:t xml:space="preserve"> onset or severity of </w:t>
      </w:r>
      <w:r w:rsidR="008B7EC0">
        <w:t>disease</w:t>
      </w:r>
      <w:r w:rsidR="006C49C3" w:rsidRPr="006C49C3">
        <w:t>.</w:t>
      </w:r>
    </w:p>
    <w:p w14:paraId="12B9EABF" w14:textId="77777777" w:rsidR="007B140B" w:rsidRDefault="00404A69" w:rsidP="006C49C3">
      <w:pPr>
        <w:rPr>
          <w:lang w:val="en-US"/>
        </w:rPr>
      </w:pPr>
      <w:r>
        <w:t>MSAC considered</w:t>
      </w:r>
      <w:r w:rsidR="008B7EC0">
        <w:t xml:space="preserve"> the</w:t>
      </w:r>
      <w:r w:rsidR="00C53275">
        <w:t xml:space="preserve"> </w:t>
      </w:r>
      <w:r w:rsidR="00C53275" w:rsidRPr="00BF545E">
        <w:rPr>
          <w:b/>
          <w:bCs/>
        </w:rPr>
        <w:t>availability of</w:t>
      </w:r>
      <w:r w:rsidR="00C53275">
        <w:t xml:space="preserve"> </w:t>
      </w:r>
      <w:r w:rsidR="00C53275" w:rsidRPr="00BF545E">
        <w:rPr>
          <w:b/>
          <w:bCs/>
          <w:lang w:val="en-US"/>
        </w:rPr>
        <w:t>effective treatment (or treatments) in Australia for at-risk newborns</w:t>
      </w:r>
      <w:r>
        <w:rPr>
          <w:b/>
          <w:bCs/>
          <w:lang w:val="en-US"/>
        </w:rPr>
        <w:t>.</w:t>
      </w:r>
      <w:r w:rsidR="00C53275">
        <w:rPr>
          <w:lang w:val="en-US"/>
        </w:rPr>
        <w:t xml:space="preserve"> </w:t>
      </w:r>
    </w:p>
    <w:p w14:paraId="4DBBEAD8" w14:textId="20AECD28" w:rsidR="00243674" w:rsidRDefault="00591B9F" w:rsidP="006C49C3">
      <w:pPr>
        <w:rPr>
          <w:lang w:val="en-US"/>
        </w:rPr>
      </w:pPr>
      <w:r>
        <w:rPr>
          <w:lang w:val="en-US"/>
        </w:rPr>
        <w:t xml:space="preserve">MSAC </w:t>
      </w:r>
      <w:r w:rsidR="00D84419">
        <w:rPr>
          <w:lang w:val="en-US"/>
        </w:rPr>
        <w:t>noted</w:t>
      </w:r>
      <w:r>
        <w:rPr>
          <w:lang w:val="en-US"/>
        </w:rPr>
        <w:t xml:space="preserve"> that </w:t>
      </w:r>
      <w:r w:rsidRPr="00591B9F">
        <w:rPr>
          <w:lang w:val="en-US"/>
        </w:rPr>
        <w:t>idursulfase, an intravenous ERT</w:t>
      </w:r>
      <w:r>
        <w:rPr>
          <w:lang w:val="en-US"/>
        </w:rPr>
        <w:t xml:space="preserve">, is available for treatment in Australia. </w:t>
      </w:r>
      <w:r w:rsidR="00243674">
        <w:t>MSAC noted that the available evidence was for the severe form of MPS II, while no evidence was available on the benefit of earlier treatment with ERT in attenuated cases.</w:t>
      </w:r>
      <w:r w:rsidR="00243674" w:rsidRPr="006C49C3">
        <w:t xml:space="preserve"> </w:t>
      </w:r>
      <w:r w:rsidR="00243674">
        <w:t>MSAC noted that earlier ERT initiation appeared to result in some improvement in somatic manifestations of the disease, but because</w:t>
      </w:r>
      <w:r w:rsidR="00243674" w:rsidRPr="006C49C3">
        <w:t xml:space="preserve"> ERT cannot cross the blood–brain barrier (BBB)</w:t>
      </w:r>
      <w:r w:rsidR="00243674">
        <w:t>, it has no effect on cognitive impairment</w:t>
      </w:r>
      <w:r w:rsidR="00243674" w:rsidRPr="006C49C3">
        <w:t xml:space="preserve">. </w:t>
      </w:r>
      <w:r w:rsidR="00243674">
        <w:t xml:space="preserve">MSAC considered that ERT was at least partially effective in the severe form of MPS II. </w:t>
      </w:r>
    </w:p>
    <w:p w14:paraId="14ADFB0D" w14:textId="38F9DFB5" w:rsidR="007F641E" w:rsidRDefault="006C49C3" w:rsidP="006C49C3">
      <w:r>
        <w:t>MSAC noted that the Australian Government currently funds</w:t>
      </w:r>
      <w:r w:rsidR="00537924">
        <w:t xml:space="preserve"> idursulfase </w:t>
      </w:r>
      <w:r>
        <w:t>for some patients with MPS II</w:t>
      </w:r>
      <w:r w:rsidRPr="76319559">
        <w:rPr>
          <w:rFonts w:cs="Arial"/>
        </w:rPr>
        <w:t xml:space="preserve"> </w:t>
      </w:r>
      <w:r>
        <w:t>under the LSDP</w:t>
      </w:r>
      <w:r w:rsidR="00B535B0">
        <w:t>.</w:t>
      </w:r>
      <w:r w:rsidR="000E0ED6">
        <w:t xml:space="preserve"> </w:t>
      </w:r>
      <w:r w:rsidR="003A588E">
        <w:t>P</w:t>
      </w:r>
      <w:r w:rsidR="000E0ED6">
        <w:t xml:space="preserve">atients </w:t>
      </w:r>
      <w:r w:rsidR="00EF48A8">
        <w:t>need to</w:t>
      </w:r>
      <w:r w:rsidR="000E0ED6">
        <w:t xml:space="preserve"> meet </w:t>
      </w:r>
      <w:r w:rsidR="00EC192F">
        <w:t>general and condition-</w:t>
      </w:r>
      <w:r w:rsidR="000E0ED6">
        <w:t xml:space="preserve">specific criteria </w:t>
      </w:r>
      <w:r w:rsidR="003A588E">
        <w:t>to be eligible</w:t>
      </w:r>
      <w:r w:rsidR="00F3424F">
        <w:t>,</w:t>
      </w:r>
      <w:r w:rsidR="000E0ED6">
        <w:t xml:space="preserve"> </w:t>
      </w:r>
      <w:r w:rsidR="003A588E">
        <w:t>including</w:t>
      </w:r>
      <w:r w:rsidR="00F3424F">
        <w:t xml:space="preserve"> at least </w:t>
      </w:r>
      <w:r w:rsidR="00B156A7">
        <w:t>one of the complications of MPS II</w:t>
      </w:r>
      <w:r w:rsidR="001C66AA">
        <w:t xml:space="preserve">. </w:t>
      </w:r>
      <w:r w:rsidR="003A588E">
        <w:t>MSAC noted</w:t>
      </w:r>
      <w:r w:rsidR="008371AA">
        <w:t xml:space="preserve"> that</w:t>
      </w:r>
      <w:r w:rsidR="000E0ED6">
        <w:t xml:space="preserve"> pre-symptomatic</w:t>
      </w:r>
      <w:r w:rsidR="000D0A9A">
        <w:t xml:space="preserve"> </w:t>
      </w:r>
      <w:r w:rsidR="00DE48EB">
        <w:t>infants and children aged &lt;5 years</w:t>
      </w:r>
      <w:r w:rsidR="00525E4D">
        <w:t xml:space="preserve"> may </w:t>
      </w:r>
      <w:r w:rsidR="008371AA">
        <w:t xml:space="preserve">also </w:t>
      </w:r>
      <w:r w:rsidR="00525E4D">
        <w:t>be eligible</w:t>
      </w:r>
      <w:r w:rsidR="00DE48EB">
        <w:t xml:space="preserve"> </w:t>
      </w:r>
      <w:r w:rsidR="00FF0A26">
        <w:t xml:space="preserve">where there has been a diagnosis of MPS II, for example by genotyping, with clear prediction of progress of the disease, or </w:t>
      </w:r>
      <w:r w:rsidR="000E0ED6">
        <w:t>if</w:t>
      </w:r>
      <w:r w:rsidR="00FF0A26">
        <w:t>, on the basis of a sibling's disease progression,</w:t>
      </w:r>
      <w:r w:rsidR="000E0ED6">
        <w:t xml:space="preserve"> severe disease can be</w:t>
      </w:r>
      <w:r w:rsidR="0043466F">
        <w:t xml:space="preserve"> </w:t>
      </w:r>
      <w:r w:rsidR="000E0ED6">
        <w:t>predicted</w:t>
      </w:r>
      <w:r w:rsidRPr="76319559">
        <w:rPr>
          <w:rFonts w:cs="Arial"/>
        </w:rPr>
        <w:t xml:space="preserve">. </w:t>
      </w:r>
      <w:r>
        <w:t xml:space="preserve">MSAC </w:t>
      </w:r>
      <w:r w:rsidR="00F800BC">
        <w:t>considered</w:t>
      </w:r>
      <w:r w:rsidR="009C5132">
        <w:t xml:space="preserve"> the</w:t>
      </w:r>
      <w:r>
        <w:t xml:space="preserve"> current </w:t>
      </w:r>
      <w:r w:rsidR="0039335C">
        <w:t xml:space="preserve">requirement of </w:t>
      </w:r>
      <w:r w:rsidR="001E7895">
        <w:t xml:space="preserve">clear </w:t>
      </w:r>
      <w:r w:rsidR="0039335C">
        <w:t>prediction of severe disease</w:t>
      </w:r>
      <w:r w:rsidR="003265D8">
        <w:t xml:space="preserve"> </w:t>
      </w:r>
      <w:r w:rsidR="001E7895">
        <w:t>in pre-symptomatic infants/children aged &lt;5 year</w:t>
      </w:r>
      <w:r w:rsidR="00BC1EFE">
        <w:t>s</w:t>
      </w:r>
      <w:r w:rsidR="009C5132">
        <w:t xml:space="preserve"> to access LSDP</w:t>
      </w:r>
      <w:r w:rsidR="00110ED5">
        <w:t xml:space="preserve">-funded </w:t>
      </w:r>
      <w:r w:rsidR="009C5132">
        <w:t xml:space="preserve">ERT </w:t>
      </w:r>
      <w:r w:rsidR="1BEB6C50">
        <w:t xml:space="preserve">may </w:t>
      </w:r>
      <w:r w:rsidR="003C0945">
        <w:t xml:space="preserve">prevent </w:t>
      </w:r>
      <w:r w:rsidR="00F12DF8">
        <w:t>many</w:t>
      </w:r>
      <w:r w:rsidR="003C0945">
        <w:t xml:space="preserve"> newborns identified </w:t>
      </w:r>
      <w:r w:rsidR="006764CB">
        <w:t>by NBS from accessing treatment until</w:t>
      </w:r>
      <w:r w:rsidR="003131EE">
        <w:t xml:space="preserve"> significant symptoms have developed. </w:t>
      </w:r>
    </w:p>
    <w:p w14:paraId="2D6AE8C4" w14:textId="1DC5C2DB" w:rsidR="00C04887" w:rsidRDefault="00B23748" w:rsidP="00C453D7">
      <w:r>
        <w:t xml:space="preserve">MSAC noted that </w:t>
      </w:r>
      <w:r w:rsidR="0084005F">
        <w:t xml:space="preserve">there was </w:t>
      </w:r>
      <w:r w:rsidR="6F897EA8">
        <w:t>some</w:t>
      </w:r>
      <w:r>
        <w:t xml:space="preserve"> evidence of the benefit of idursulfase treatment for </w:t>
      </w:r>
      <w:r w:rsidR="0084005F">
        <w:t>those with MPS II</w:t>
      </w:r>
      <w:r w:rsidR="00E93F5E">
        <w:t xml:space="preserve"> for some aspects of the disease but not all</w:t>
      </w:r>
      <w:r w:rsidR="0084005F">
        <w:t xml:space="preserve">. </w:t>
      </w:r>
      <w:r w:rsidR="007A43F8">
        <w:t xml:space="preserve">MSAC noted that idursulfase does not cross the blood-brain barrier (BBB) and therefore </w:t>
      </w:r>
      <w:r w:rsidR="007A43F8" w:rsidRPr="00D26BCE">
        <w:t xml:space="preserve">is ineffective </w:t>
      </w:r>
      <w:r w:rsidR="00F714C7">
        <w:t xml:space="preserve">for </w:t>
      </w:r>
      <w:r w:rsidR="548E3C3C">
        <w:t xml:space="preserve">CNS </w:t>
      </w:r>
      <w:r w:rsidR="00F714C7">
        <w:t>disease for individuals with neuronopathic MPS II. However, MSAC considered that there may be</w:t>
      </w:r>
      <w:r w:rsidR="007A43F8" w:rsidRPr="00D26BCE">
        <w:t xml:space="preserve"> possible </w:t>
      </w:r>
      <w:r w:rsidR="00F714C7">
        <w:t>benefits for</w:t>
      </w:r>
      <w:r w:rsidR="007A43F8" w:rsidRPr="00D26BCE">
        <w:t xml:space="preserve"> other </w:t>
      </w:r>
      <w:r w:rsidR="00F714C7">
        <w:t xml:space="preserve">disease manifestations. </w:t>
      </w:r>
      <w:r w:rsidR="0055700C" w:rsidRPr="0055700C">
        <w:t xml:space="preserve">MSAC </w:t>
      </w:r>
      <w:r w:rsidR="00BC43E3">
        <w:t>advised</w:t>
      </w:r>
      <w:r w:rsidR="00BC43E3" w:rsidRPr="0055700C">
        <w:t xml:space="preserve"> </w:t>
      </w:r>
      <w:r w:rsidR="0055700C" w:rsidRPr="0055700C">
        <w:t xml:space="preserve">that </w:t>
      </w:r>
      <w:r w:rsidR="0022659F">
        <w:t xml:space="preserve">public </w:t>
      </w:r>
      <w:r w:rsidR="00C04887">
        <w:t>funding</w:t>
      </w:r>
      <w:r w:rsidR="00340A0F">
        <w:t xml:space="preserve"> for </w:t>
      </w:r>
      <w:r w:rsidR="00340A0F" w:rsidRPr="00340A0F">
        <w:t>idursulfase</w:t>
      </w:r>
      <w:r w:rsidR="00340A0F">
        <w:t xml:space="preserve"> </w:t>
      </w:r>
      <w:r w:rsidR="00557654">
        <w:t xml:space="preserve">for newborns diagnosed with MPS II through NBS </w:t>
      </w:r>
      <w:r w:rsidR="00E93F5E">
        <w:t>be considered</w:t>
      </w:r>
      <w:r w:rsidR="00C453D7">
        <w:t xml:space="preserve"> to ensure that diagnosis of MPS II through NBS leads to newborns having access to an effective early intervention to improve health outcomes. MSAC advised that publicly funded access to ERT </w:t>
      </w:r>
      <w:r w:rsidR="00340A0F">
        <w:t>would need to be implemented</w:t>
      </w:r>
      <w:r w:rsidR="001353C0">
        <w:t xml:space="preserve"> </w:t>
      </w:r>
      <w:r w:rsidR="001353C0" w:rsidRPr="0055700C">
        <w:t>prior to implementing NBS for MPS I</w:t>
      </w:r>
      <w:r w:rsidR="001353C0">
        <w:t>I</w:t>
      </w:r>
      <w:r w:rsidR="00890051">
        <w:t>.</w:t>
      </w:r>
      <w:r w:rsidR="00183187">
        <w:t xml:space="preserve"> </w:t>
      </w:r>
      <w:r w:rsidR="00890051">
        <w:t xml:space="preserve"> </w:t>
      </w:r>
      <w:r w:rsidR="00183187">
        <w:t xml:space="preserve">MSAC </w:t>
      </w:r>
      <w:r w:rsidR="00C453D7">
        <w:t xml:space="preserve">noted </w:t>
      </w:r>
      <w:r w:rsidR="006E3E7B">
        <w:t xml:space="preserve">that </w:t>
      </w:r>
      <w:r w:rsidR="00C453D7">
        <w:t xml:space="preserve">if access was to be expanded via the LSDP, this would require a referral to the </w:t>
      </w:r>
      <w:r w:rsidR="00CF324F">
        <w:t xml:space="preserve">LSDP Expert Panel (LSDP EP) for further consideration, </w:t>
      </w:r>
      <w:r w:rsidR="008C3D12">
        <w:t>and noted that PBAC may be required to re-consider the effectiveness of idursulfase for MPS II.</w:t>
      </w:r>
      <w:r w:rsidR="006C49C3" w:rsidRPr="006C49C3">
        <w:t xml:space="preserve">MSAC </w:t>
      </w:r>
      <w:r w:rsidR="00AC3A7B">
        <w:t>also noted</w:t>
      </w:r>
      <w:r w:rsidR="00AC3A7B" w:rsidRPr="006C49C3">
        <w:t xml:space="preserve"> </w:t>
      </w:r>
      <w:r w:rsidR="006C49C3" w:rsidRPr="006C49C3">
        <w:t>that there are no national clinical management guidelines to guide the use of ERT in children who are presymptomatic but whose disease onset and severity cannot be ‘clearly predicted’.</w:t>
      </w:r>
      <w:r w:rsidR="007551C8" w:rsidRPr="007551C8">
        <w:t xml:space="preserve"> </w:t>
      </w:r>
    </w:p>
    <w:p w14:paraId="1A21AFE9" w14:textId="4854AC09" w:rsidR="006C49C3" w:rsidRDefault="007551C8" w:rsidP="006C49C3">
      <w:r w:rsidRPr="006C49C3">
        <w:t>MSAC noted that</w:t>
      </w:r>
      <w:r w:rsidRPr="006C49C3">
        <w:rPr>
          <w:rFonts w:cs="Arial"/>
        </w:rPr>
        <w:t xml:space="preserve"> </w:t>
      </w:r>
      <w:r w:rsidRPr="006C49C3">
        <w:t xml:space="preserve">haematopoietic stem cell transplantation (HSCT) </w:t>
      </w:r>
      <w:r>
        <w:t>has been used for MPS II in some cases, but is</w:t>
      </w:r>
      <w:r w:rsidRPr="006C49C3">
        <w:t xml:space="preserve"> </w:t>
      </w:r>
      <w:r>
        <w:t>considered</w:t>
      </w:r>
      <w:r w:rsidRPr="006C49C3">
        <w:t xml:space="preserve"> </w:t>
      </w:r>
      <w:r w:rsidR="0026108A">
        <w:t>experimental</w:t>
      </w:r>
      <w:r w:rsidR="0026108A" w:rsidRPr="006C49C3">
        <w:t xml:space="preserve"> </w:t>
      </w:r>
      <w:r>
        <w:t xml:space="preserve">and is not currently funded by the Commonwealth </w:t>
      </w:r>
      <w:r w:rsidR="00346110">
        <w:t xml:space="preserve">as treatment </w:t>
      </w:r>
      <w:r>
        <w:t>for MPS II</w:t>
      </w:r>
      <w:r w:rsidRPr="006C49C3">
        <w:t>.</w:t>
      </w:r>
      <w:r w:rsidR="00CA39F1">
        <w:t xml:space="preserve"> </w:t>
      </w:r>
    </w:p>
    <w:p w14:paraId="4B49DDCC" w14:textId="6CAB5B69" w:rsidR="001841E8" w:rsidRPr="006C49C3" w:rsidRDefault="001841E8" w:rsidP="006C49C3">
      <w:r>
        <w:t xml:space="preserve">MSAC noted that the pre-MSAC response </w:t>
      </w:r>
      <w:r w:rsidR="009E7332">
        <w:t>commented</w:t>
      </w:r>
      <w:r w:rsidR="00525556">
        <w:t xml:space="preserve"> </w:t>
      </w:r>
      <w:r>
        <w:t>that</w:t>
      </w:r>
      <w:r w:rsidRPr="006C49C3">
        <w:t xml:space="preserve"> intrathecal ERT may be of benefit for neurological </w:t>
      </w:r>
      <w:r>
        <w:t>involvement</w:t>
      </w:r>
      <w:r w:rsidRPr="006C49C3">
        <w:t xml:space="preserve">, and </w:t>
      </w:r>
      <w:r>
        <w:t>that</w:t>
      </w:r>
      <w:r w:rsidRPr="006C49C3">
        <w:t xml:space="preserve"> some of these therapies are currently in phase 3 trials. </w:t>
      </w:r>
      <w:r>
        <w:t xml:space="preserve">However, these </w:t>
      </w:r>
      <w:r w:rsidR="002012DE">
        <w:t xml:space="preserve">emerging therapies </w:t>
      </w:r>
      <w:r>
        <w:t xml:space="preserve">are not yet currently available </w:t>
      </w:r>
      <w:r w:rsidR="002A26CA">
        <w:t>outside clinical trials</w:t>
      </w:r>
      <w:r w:rsidR="001D6AB5">
        <w:t>, nor</w:t>
      </w:r>
      <w:r w:rsidR="00337CA8">
        <w:t xml:space="preserve"> </w:t>
      </w:r>
      <w:r w:rsidR="00231035">
        <w:t xml:space="preserve">are </w:t>
      </w:r>
      <w:r w:rsidR="00337CA8">
        <w:lastRenderedPageBreak/>
        <w:t xml:space="preserve">there </w:t>
      </w:r>
      <w:r w:rsidR="0080083D">
        <w:t xml:space="preserve">publicly </w:t>
      </w:r>
      <w:r>
        <w:t xml:space="preserve">funded mechanisms for </w:t>
      </w:r>
      <w:r w:rsidR="00123471">
        <w:t xml:space="preserve">affected </w:t>
      </w:r>
      <w:r>
        <w:t xml:space="preserve">newborns diagnosed through NBS. </w:t>
      </w:r>
      <w:r w:rsidRPr="006C49C3">
        <w:t xml:space="preserve">MSAC considered that </w:t>
      </w:r>
      <w:r w:rsidR="00EF0206">
        <w:t>it was</w:t>
      </w:r>
      <w:r w:rsidRPr="006C49C3">
        <w:t xml:space="preserve"> importan</w:t>
      </w:r>
      <w:r w:rsidR="00EF0206">
        <w:t xml:space="preserve">t to ensure </w:t>
      </w:r>
      <w:r w:rsidR="00C62FF7">
        <w:t>the availability of</w:t>
      </w:r>
      <w:r w:rsidRPr="006C49C3">
        <w:t xml:space="preserve"> mechanism</w:t>
      </w:r>
      <w:r w:rsidR="00C62FF7">
        <w:t>s</w:t>
      </w:r>
      <w:r w:rsidRPr="006C49C3">
        <w:t xml:space="preserve"> to incorporate new evidence into</w:t>
      </w:r>
      <w:r w:rsidR="005C18FB">
        <w:t xml:space="preserve"> the</w:t>
      </w:r>
      <w:r w:rsidRPr="006C49C3">
        <w:t xml:space="preserve"> MPS II clinical practice guidelines</w:t>
      </w:r>
      <w:r w:rsidR="00EF0206">
        <w:t xml:space="preserve"> as it becomes available</w:t>
      </w:r>
      <w:r w:rsidR="00EF0206">
        <w:rPr>
          <w:rFonts w:cs="Arial"/>
        </w:rPr>
        <w:t>. MSAC</w:t>
      </w:r>
      <w:r w:rsidRPr="006C49C3">
        <w:t xml:space="preserve"> </w:t>
      </w:r>
      <w:r w:rsidR="00EF0206">
        <w:t>considered that both the</w:t>
      </w:r>
      <w:r w:rsidRPr="006C49C3">
        <w:t xml:space="preserve"> LSDP</w:t>
      </w:r>
      <w:r>
        <w:t xml:space="preserve"> </w:t>
      </w:r>
      <w:r w:rsidRPr="006C49C3">
        <w:t xml:space="preserve">EP and </w:t>
      </w:r>
      <w:r w:rsidR="00EF0206">
        <w:t xml:space="preserve">pharmaceutical </w:t>
      </w:r>
      <w:r w:rsidRPr="006C49C3">
        <w:t xml:space="preserve">sponsors </w:t>
      </w:r>
      <w:r w:rsidR="00EF0206">
        <w:t>have a role</w:t>
      </w:r>
      <w:r w:rsidRPr="006C49C3">
        <w:t xml:space="preserve"> in </w:t>
      </w:r>
      <w:r w:rsidR="00EF0206">
        <w:t xml:space="preserve">ensuring </w:t>
      </w:r>
      <w:r w:rsidR="004955C2">
        <w:t xml:space="preserve">that </w:t>
      </w:r>
      <w:r w:rsidR="00EF0206">
        <w:t>the</w:t>
      </w:r>
      <w:r w:rsidR="00EF0206" w:rsidRPr="006C49C3">
        <w:t xml:space="preserve"> </w:t>
      </w:r>
      <w:r w:rsidRPr="006C49C3">
        <w:t xml:space="preserve">LSDP </w:t>
      </w:r>
      <w:r w:rsidR="00EF0206">
        <w:t xml:space="preserve">eligibility </w:t>
      </w:r>
      <w:r w:rsidRPr="006C49C3">
        <w:t xml:space="preserve">criteria </w:t>
      </w:r>
      <w:r w:rsidR="00EF0206">
        <w:t xml:space="preserve">are aligned </w:t>
      </w:r>
      <w:r w:rsidRPr="006C49C3">
        <w:t>with up-to-date clinical practice guidelines.</w:t>
      </w:r>
    </w:p>
    <w:p w14:paraId="61588381" w14:textId="641C3254" w:rsidR="005E0AA3" w:rsidRDefault="003E6DC2" w:rsidP="006C49C3">
      <w:r>
        <w:t>MSAC considered the</w:t>
      </w:r>
      <w:r w:rsidR="00E93F5E">
        <w:t xml:space="preserve"> evidence on the</w:t>
      </w:r>
      <w:r w:rsidR="009F5149">
        <w:t xml:space="preserve"> </w:t>
      </w:r>
      <w:r w:rsidR="009F5149" w:rsidRPr="00BF545E">
        <w:rPr>
          <w:b/>
          <w:bCs/>
        </w:rPr>
        <w:t xml:space="preserve">effectiveness of treatment </w:t>
      </w:r>
      <w:r w:rsidR="009F5149" w:rsidRPr="00BF545E">
        <w:rPr>
          <w:b/>
          <w:bCs/>
          <w:lang w:val="en-US"/>
        </w:rPr>
        <w:t>from the proposed earlier age of initiation following NBS screening and diagnosis (pre-symptomatic and early symptomatic)</w:t>
      </w:r>
      <w:r w:rsidR="00E34E7E">
        <w:rPr>
          <w:b/>
          <w:bCs/>
          <w:lang w:val="en-US"/>
        </w:rPr>
        <w:t>,</w:t>
      </w:r>
      <w:r w:rsidR="009F5149" w:rsidRPr="00BF545E">
        <w:rPr>
          <w:b/>
          <w:bCs/>
          <w:lang w:val="en-US"/>
        </w:rPr>
        <w:t xml:space="preserve"> compared to age of </w:t>
      </w:r>
      <w:r w:rsidR="00F2287E">
        <w:rPr>
          <w:b/>
          <w:bCs/>
          <w:lang w:val="en-US"/>
        </w:rPr>
        <w:t xml:space="preserve">treatment </w:t>
      </w:r>
      <w:r w:rsidR="009F5149" w:rsidRPr="00BF545E">
        <w:rPr>
          <w:b/>
          <w:bCs/>
          <w:lang w:val="en-US"/>
        </w:rPr>
        <w:t>initiation under current management pathway (established symptomatic presentation)</w:t>
      </w:r>
      <w:r w:rsidR="00F2287E">
        <w:rPr>
          <w:b/>
          <w:bCs/>
          <w:lang w:val="en-US"/>
        </w:rPr>
        <w:t>.</w:t>
      </w:r>
      <w:r w:rsidR="00B519DD" w:rsidDel="00E66BAE">
        <w:rPr>
          <w:lang w:val="en-US"/>
        </w:rPr>
        <w:t xml:space="preserve"> </w:t>
      </w:r>
      <w:r w:rsidR="006C49C3" w:rsidRPr="006C49C3">
        <w:t>MSAC</w:t>
      </w:r>
      <w:r w:rsidR="00F37383">
        <w:t xml:space="preserve"> noted that evidence regarding </w:t>
      </w:r>
      <w:r w:rsidR="00E82E9D">
        <w:t xml:space="preserve">the benefits of </w:t>
      </w:r>
      <w:r w:rsidR="00F37383">
        <w:t xml:space="preserve">earlier treatment initiation was very limited, </w:t>
      </w:r>
      <w:r w:rsidR="00E82E9D">
        <w:t xml:space="preserve">largely due </w:t>
      </w:r>
      <w:r w:rsidR="00F4329A">
        <w:t>to the rarity of the condition.</w:t>
      </w:r>
      <w:r w:rsidR="005E0AA3" w:rsidRPr="005E0AA3">
        <w:t xml:space="preserve"> </w:t>
      </w:r>
      <w:r w:rsidR="005E0AA3" w:rsidRPr="006C49C3">
        <w:t>MSAC noted</w:t>
      </w:r>
      <w:r w:rsidR="00B72A09">
        <w:t xml:space="preserve"> that there was no direct evidence comparing ERT initiation in the context of NBS compared to no NBS</w:t>
      </w:r>
      <w:r w:rsidR="002A2D62">
        <w:t>.</w:t>
      </w:r>
      <w:r w:rsidR="00B2288B">
        <w:t xml:space="preserve"> Instead, </w:t>
      </w:r>
      <w:r w:rsidR="00B6292A">
        <w:t>the DCAR presented</w:t>
      </w:r>
      <w:r w:rsidR="00B2288B">
        <w:t xml:space="preserve"> data from case series and sibling studies. For example,</w:t>
      </w:r>
      <w:r w:rsidR="002A2D62">
        <w:t xml:space="preserve"> </w:t>
      </w:r>
      <w:r w:rsidR="00DB5109">
        <w:t>e</w:t>
      </w:r>
      <w:r w:rsidR="00F771D0">
        <w:t>vidence from</w:t>
      </w:r>
      <w:r w:rsidR="005E0AA3" w:rsidRPr="006C49C3">
        <w:t xml:space="preserve"> </w:t>
      </w:r>
      <w:r w:rsidR="00DB5109">
        <w:t>a US</w:t>
      </w:r>
      <w:r w:rsidR="005E0AA3" w:rsidRPr="006C49C3">
        <w:t xml:space="preserve"> NBS program </w:t>
      </w:r>
      <w:r w:rsidR="00DB5109">
        <w:t>(Illinois</w:t>
      </w:r>
      <w:r w:rsidR="005E0AA3" w:rsidRPr="006C49C3">
        <w:t>)</w:t>
      </w:r>
      <w:r w:rsidR="00DB5109">
        <w:t xml:space="preserve"> showed</w:t>
      </w:r>
      <w:r w:rsidR="005E0AA3" w:rsidRPr="006C49C3">
        <w:t xml:space="preserve"> that, </w:t>
      </w:r>
      <w:r w:rsidR="00F771D0">
        <w:t>of</w:t>
      </w:r>
      <w:r w:rsidR="005E0AA3" w:rsidRPr="006C49C3">
        <w:t xml:space="preserve"> 3 </w:t>
      </w:r>
      <w:r w:rsidR="00320BB5">
        <w:t>newborns</w:t>
      </w:r>
      <w:r w:rsidR="00F771D0">
        <w:t xml:space="preserve"> treated with ERT </w:t>
      </w:r>
      <w:r w:rsidR="00320BB5">
        <w:t xml:space="preserve">only </w:t>
      </w:r>
      <w:r w:rsidR="00F771D0">
        <w:t>within 3 months of birth</w:t>
      </w:r>
      <w:r w:rsidR="005E0AA3" w:rsidRPr="006C49C3">
        <w:t>, there appeared to be a slow</w:t>
      </w:r>
      <w:r w:rsidR="00F771D0">
        <w:t>ed</w:t>
      </w:r>
      <w:r w:rsidR="005E0AA3" w:rsidRPr="006C49C3">
        <w:t xml:space="preserve"> progression of symptoms normally seen in children with MPS II</w:t>
      </w:r>
      <w:r w:rsidR="00320BB5">
        <w:t xml:space="preserve">. However, </w:t>
      </w:r>
      <w:r w:rsidR="007C7702">
        <w:t>all 3 children</w:t>
      </w:r>
      <w:r w:rsidR="00320BB5">
        <w:t xml:space="preserve"> were still displaying developmental delays at the time of reporting.</w:t>
      </w:r>
      <w:r w:rsidR="000A01CD">
        <w:t xml:space="preserve"> </w:t>
      </w:r>
      <w:r w:rsidR="00E242CF">
        <w:t>In</w:t>
      </w:r>
      <w:r w:rsidR="000A01CD">
        <w:t xml:space="preserve"> a</w:t>
      </w:r>
      <w:r w:rsidR="00B851FF">
        <w:t>nother</w:t>
      </w:r>
      <w:r w:rsidR="000A01CD">
        <w:t xml:space="preserve"> case series </w:t>
      </w:r>
      <w:r w:rsidR="00B851FF">
        <w:t>reporting on the NBS pro</w:t>
      </w:r>
      <w:r w:rsidR="0001176F">
        <w:t xml:space="preserve">gram in Taiwan, MSAC noted that </w:t>
      </w:r>
      <w:r w:rsidR="00865D84">
        <w:t>all</w:t>
      </w:r>
      <w:r w:rsidR="000A01CD">
        <w:t xml:space="preserve"> 4 newborns identified as having MPS II </w:t>
      </w:r>
      <w:r w:rsidR="00AB08E0">
        <w:t>were treated with ERT</w:t>
      </w:r>
      <w:r w:rsidR="004D5EE6">
        <w:t xml:space="preserve"> and</w:t>
      </w:r>
      <w:r w:rsidR="00AB08E0">
        <w:t xml:space="preserve"> 3 </w:t>
      </w:r>
      <w:r w:rsidR="004D5EE6">
        <w:t>received</w:t>
      </w:r>
      <w:r w:rsidR="00AB08E0">
        <w:t xml:space="preserve"> additional HSCT</w:t>
      </w:r>
      <w:r w:rsidR="0029091A">
        <w:t xml:space="preserve"> (before age 2)</w:t>
      </w:r>
      <w:r w:rsidR="006B662A">
        <w:t xml:space="preserve"> </w:t>
      </w:r>
      <w:r w:rsidR="004400EC">
        <w:t xml:space="preserve">making it difficult to </w:t>
      </w:r>
      <w:r w:rsidR="00F51934">
        <w:t>estimate the incremental benefit of earlier ERT</w:t>
      </w:r>
      <w:r w:rsidR="00AB08E0">
        <w:t>.</w:t>
      </w:r>
      <w:r w:rsidR="008D51D9">
        <w:t xml:space="preserve"> MSAC noted clinical findings, particularly </w:t>
      </w:r>
      <w:r w:rsidR="00430E2B">
        <w:t>imaging outcomes, were reported</w:t>
      </w:r>
      <w:r w:rsidR="0077599F">
        <w:t>, but that predicted phenotypes were not</w:t>
      </w:r>
      <w:r w:rsidR="001E77B7">
        <w:t xml:space="preserve">, and that ages at treatment and follow up varied. </w:t>
      </w:r>
      <w:r w:rsidR="001331FC">
        <w:t>Due to the small sample</w:t>
      </w:r>
      <w:r w:rsidR="00702AB8">
        <w:t>, use of HSCT,</w:t>
      </w:r>
      <w:r w:rsidR="001331FC">
        <w:t xml:space="preserve"> and the variable reporting, MSAC did not consider </w:t>
      </w:r>
      <w:r w:rsidR="00443E42">
        <w:t xml:space="preserve">the </w:t>
      </w:r>
      <w:r w:rsidR="001F4777">
        <w:t>Taiwanes</w:t>
      </w:r>
      <w:r w:rsidR="0029091A">
        <w:t>e</w:t>
      </w:r>
      <w:r w:rsidR="001331FC">
        <w:t xml:space="preserve"> study to be</w:t>
      </w:r>
      <w:r w:rsidR="00443E42">
        <w:t xml:space="preserve"> informative regarding </w:t>
      </w:r>
      <w:r w:rsidR="0029091A">
        <w:t xml:space="preserve">the </w:t>
      </w:r>
      <w:r w:rsidR="00443E42">
        <w:t xml:space="preserve">effectiveness of </w:t>
      </w:r>
      <w:r w:rsidR="0029091A">
        <w:t xml:space="preserve">earlier </w:t>
      </w:r>
      <w:r w:rsidR="00443E42">
        <w:t>treatment</w:t>
      </w:r>
      <w:r w:rsidR="007B47A6">
        <w:t xml:space="preserve"> </w:t>
      </w:r>
      <w:r w:rsidR="00702AB8">
        <w:t xml:space="preserve">with ERT </w:t>
      </w:r>
      <w:r w:rsidR="007B47A6">
        <w:t>in the Australian context</w:t>
      </w:r>
      <w:r w:rsidR="00443E42">
        <w:t>.</w:t>
      </w:r>
      <w:r w:rsidR="00AE08BE">
        <w:t xml:space="preserve"> </w:t>
      </w:r>
    </w:p>
    <w:p w14:paraId="7F7D2F2E" w14:textId="46E30E91" w:rsidR="006C49C3" w:rsidRPr="006C49C3" w:rsidRDefault="006C49C3" w:rsidP="006C49C3">
      <w:r w:rsidRPr="006C49C3">
        <w:t>MSAC noted the limited evidence available to assess</w:t>
      </w:r>
      <w:r w:rsidR="00BA66F4">
        <w:t xml:space="preserve"> the</w:t>
      </w:r>
      <w:r w:rsidRPr="006C49C3">
        <w:t xml:space="preserve"> </w:t>
      </w:r>
      <w:r w:rsidR="001841E8" w:rsidRPr="006C49C3">
        <w:t xml:space="preserve">safety </w:t>
      </w:r>
      <w:r w:rsidR="001841E8">
        <w:t>of</w:t>
      </w:r>
      <w:r w:rsidR="00BA66F4">
        <w:t xml:space="preserve"> earlier administration of</w:t>
      </w:r>
      <w:r w:rsidR="001841E8">
        <w:t xml:space="preserve"> </w:t>
      </w:r>
      <w:r w:rsidRPr="006C49C3">
        <w:t xml:space="preserve">ERT, but that ERT has a known side effect profile that includes infusion-related reactions. </w:t>
      </w:r>
      <w:r w:rsidR="005C3B90">
        <w:t>MSAC also</w:t>
      </w:r>
      <w:r w:rsidR="001D3176">
        <w:t xml:space="preserve"> noted</w:t>
      </w:r>
      <w:r w:rsidR="005C3B90">
        <w:t xml:space="preserve"> </w:t>
      </w:r>
      <w:r w:rsidR="00A558B2">
        <w:t>l</w:t>
      </w:r>
      <w:r w:rsidR="005C3B90" w:rsidRPr="005C3B90">
        <w:t xml:space="preserve">ong-term monitoring of presymptomatic patients identified through NBS may </w:t>
      </w:r>
      <w:r w:rsidR="00243674">
        <w:t>have</w:t>
      </w:r>
      <w:r w:rsidR="00243674" w:rsidRPr="005C3B90">
        <w:t xml:space="preserve"> </w:t>
      </w:r>
      <w:r w:rsidR="005C3B90" w:rsidRPr="005C3B90">
        <w:t>safety risks</w:t>
      </w:r>
      <w:r w:rsidR="001D6F96">
        <w:t>, as</w:t>
      </w:r>
      <w:r w:rsidR="005C3B90" w:rsidRPr="005C3B90">
        <w:t xml:space="preserve"> </w:t>
      </w:r>
      <w:r w:rsidR="00252780">
        <w:t>surveillance</w:t>
      </w:r>
      <w:r w:rsidR="005C3B90" w:rsidRPr="005C3B90">
        <w:t xml:space="preserve"> often involve</w:t>
      </w:r>
      <w:r w:rsidR="00252780">
        <w:t>s imaging</w:t>
      </w:r>
      <w:r w:rsidR="005E175C">
        <w:t xml:space="preserve"> (e.g. x-ray or compute</w:t>
      </w:r>
      <w:r w:rsidR="00456FC8">
        <w:t>d</w:t>
      </w:r>
      <w:r w:rsidR="005E175C">
        <w:t xml:space="preserve"> tomography) requiring</w:t>
      </w:r>
      <w:r w:rsidR="005C3B90" w:rsidRPr="005C3B90">
        <w:t xml:space="preserve"> exposure to radiation </w:t>
      </w:r>
      <w:r w:rsidR="00581EA2">
        <w:t>and</w:t>
      </w:r>
      <w:r w:rsidR="00581EA2" w:rsidRPr="005C3B90">
        <w:t xml:space="preserve"> </w:t>
      </w:r>
      <w:r w:rsidR="005C3B90" w:rsidRPr="005C3B90">
        <w:t xml:space="preserve">sedation, which can be potentially harmful, especially in young children. For patients with attenuated MPS II, </w:t>
      </w:r>
      <w:r w:rsidR="001437EA">
        <w:t xml:space="preserve">an </w:t>
      </w:r>
      <w:r w:rsidR="005C3B90" w:rsidRPr="005C3B90">
        <w:t xml:space="preserve">early </w:t>
      </w:r>
      <w:r w:rsidR="003D201B">
        <w:t xml:space="preserve">pre-symptomatic </w:t>
      </w:r>
      <w:r w:rsidR="005C3B90" w:rsidRPr="005C3B90">
        <w:t>diagnosis through NBS</w:t>
      </w:r>
      <w:r w:rsidR="001437EA">
        <w:t xml:space="preserve"> would</w:t>
      </w:r>
      <w:r w:rsidR="005C3B90" w:rsidRPr="005C3B90">
        <w:t xml:space="preserve"> lead to years of clinical surveillance before symptoms appear,</w:t>
      </w:r>
      <w:r w:rsidR="003D201B" w:rsidRPr="003D201B">
        <w:t xml:space="preserve"> without </w:t>
      </w:r>
      <w:r w:rsidR="002C11F7">
        <w:t xml:space="preserve">evidence of an </w:t>
      </w:r>
      <w:r w:rsidR="003D201B" w:rsidRPr="003D201B">
        <w:t>effective early intervention</w:t>
      </w:r>
      <w:r w:rsidR="002C11F7">
        <w:t xml:space="preserve"> or evidence of improved health outcomes</w:t>
      </w:r>
      <w:r w:rsidR="003D201B">
        <w:t>. MSAC considered</w:t>
      </w:r>
      <w:r w:rsidR="003D201B" w:rsidRPr="003D201B">
        <w:t xml:space="preserve"> </w:t>
      </w:r>
      <w:r w:rsidR="002C11F7">
        <w:t xml:space="preserve">newborns at risk of developing attenuated disease may experience harm </w:t>
      </w:r>
      <w:r w:rsidR="003D201B" w:rsidRPr="003D201B">
        <w:t xml:space="preserve">from having a diagnostic label including psychological distress and ‘sick role behaviour’ without the potential for improved health outcomes.  </w:t>
      </w:r>
    </w:p>
    <w:p w14:paraId="5AEA7924" w14:textId="218459EB" w:rsidR="00E46CD9" w:rsidRPr="00FC06C1" w:rsidRDefault="00E46CD9" w:rsidP="00E46CD9">
      <w:r w:rsidRPr="00FC06C1">
        <w:t xml:space="preserve">MSAC considered the </w:t>
      </w:r>
      <w:r w:rsidRPr="00FC06C1">
        <w:rPr>
          <w:b/>
          <w:lang w:val="en-US"/>
        </w:rPr>
        <w:t xml:space="preserve">cost-effectiveness of NBS for MPS II </w:t>
      </w:r>
      <w:r w:rsidRPr="00FC06C1">
        <w:rPr>
          <w:b/>
          <w:lang w:val="en-GB"/>
        </w:rPr>
        <w:t>compared to no newborn screening.</w:t>
      </w:r>
      <w:r w:rsidRPr="00FC06C1">
        <w:rPr>
          <w:lang w:val="en-US"/>
        </w:rPr>
        <w:t xml:space="preserve"> </w:t>
      </w:r>
      <w:r w:rsidRPr="00FC06C1">
        <w:t xml:space="preserve">MSAC noted that all newborns would be screened at an </w:t>
      </w:r>
      <w:r w:rsidR="00AD3B3F">
        <w:t xml:space="preserve">estimated </w:t>
      </w:r>
      <w:r w:rsidRPr="00FC06C1">
        <w:t>average cost of $</w:t>
      </w:r>
      <w:r w:rsidR="00E13CD8" w:rsidRPr="00005B99">
        <w:rPr>
          <w:b/>
          <w:bCs/>
        </w:rPr>
        <w:t>REDACTED</w:t>
      </w:r>
      <w:r w:rsidR="00E13CD8">
        <w:rPr>
          <w:b/>
          <w:bCs/>
        </w:rPr>
        <w:t xml:space="preserve"> </w:t>
      </w:r>
      <w:r w:rsidRPr="00FC06C1">
        <w:t xml:space="preserve">per screen, and </w:t>
      </w:r>
      <w:r w:rsidR="00D45C31">
        <w:t xml:space="preserve">that </w:t>
      </w:r>
      <w:r w:rsidRPr="00FC06C1">
        <w:t>while very few newborns would be detected, the cost per screen remained low.</w:t>
      </w:r>
      <w:r w:rsidR="005047BA" w:rsidRPr="002A18A2">
        <w:t xml:space="preserve"> MSAC considered the </w:t>
      </w:r>
      <w:r w:rsidR="00B41799">
        <w:t xml:space="preserve">low </w:t>
      </w:r>
      <w:r w:rsidR="005047BA" w:rsidRPr="002A18A2">
        <w:t xml:space="preserve">cost per screen </w:t>
      </w:r>
      <w:r w:rsidRPr="00FC06C1">
        <w:t xml:space="preserve">combined with the potential benefits of early diagnosis and treatment access for affected individuals, supported the </w:t>
      </w:r>
      <w:r w:rsidR="0046337D">
        <w:t>cost-effectiveness of NBS for MPS II</w:t>
      </w:r>
      <w:r w:rsidR="00B41799">
        <w:t xml:space="preserve"> in the context of </w:t>
      </w:r>
      <w:r w:rsidR="001F28E2">
        <w:t xml:space="preserve">high </w:t>
      </w:r>
      <w:r w:rsidR="007E788B">
        <w:t xml:space="preserve">ICERs in </w:t>
      </w:r>
      <w:r w:rsidR="004669D4">
        <w:t>the other economic analyses</w:t>
      </w:r>
      <w:r w:rsidR="0046337D">
        <w:t xml:space="preserve">.  </w:t>
      </w:r>
    </w:p>
    <w:p w14:paraId="57BF109A" w14:textId="07AAE597" w:rsidR="00A3064A" w:rsidRDefault="00E46CD9" w:rsidP="00A3064A">
      <w:r w:rsidRPr="00FC06C1">
        <w:t xml:space="preserve">MSAC considered </w:t>
      </w:r>
      <w:r w:rsidR="00263E89" w:rsidRPr="002A18A2">
        <w:t>the</w:t>
      </w:r>
      <w:r w:rsidRPr="00FC06C1">
        <w:t xml:space="preserve"> </w:t>
      </w:r>
      <w:r w:rsidR="00505CEA">
        <w:t xml:space="preserve">results of the </w:t>
      </w:r>
      <w:r w:rsidRPr="00FC06C1">
        <w:t>cost-utility analysis (CUA)</w:t>
      </w:r>
      <w:r w:rsidR="00505CEA">
        <w:t xml:space="preserve"> and </w:t>
      </w:r>
      <w:r w:rsidR="00505CEA" w:rsidRPr="002A18A2">
        <w:t xml:space="preserve">noted that </w:t>
      </w:r>
      <w:r w:rsidR="0047658C">
        <w:t xml:space="preserve">although </w:t>
      </w:r>
      <w:r w:rsidR="00505CEA">
        <w:t>it</w:t>
      </w:r>
      <w:r w:rsidR="00505CEA" w:rsidRPr="002A18A2">
        <w:t xml:space="preserve"> was exploratory and</w:t>
      </w:r>
      <w:r w:rsidR="00505CEA" w:rsidRPr="00FC06C1">
        <w:t xml:space="preserve"> was associated with significant uncertainty due to limited evidence</w:t>
      </w:r>
      <w:r w:rsidR="0047658C">
        <w:t>, it was nonetheless informative</w:t>
      </w:r>
      <w:r w:rsidR="005813A0">
        <w:t xml:space="preserve"> for the committee</w:t>
      </w:r>
      <w:r w:rsidR="00505CEA">
        <w:t xml:space="preserve">. </w:t>
      </w:r>
      <w:r w:rsidR="00505CEA" w:rsidRPr="002A18A2">
        <w:t xml:space="preserve">The CUA </w:t>
      </w:r>
      <w:r w:rsidR="00505CEA">
        <w:t xml:space="preserve">explored the possible additional benefits (survival gains in severe MPS II, avoiding the diagnostic </w:t>
      </w:r>
      <w:r w:rsidR="00C033E6">
        <w:t xml:space="preserve">delay </w:t>
      </w:r>
      <w:r w:rsidR="00505CEA">
        <w:t>in attenuated MPS II) and</w:t>
      </w:r>
      <w:r w:rsidR="00505CEA" w:rsidRPr="002A18A2">
        <w:t xml:space="preserve"> </w:t>
      </w:r>
      <w:r w:rsidR="00505CEA">
        <w:t>incorporated</w:t>
      </w:r>
      <w:r w:rsidR="00505CEA" w:rsidRPr="002A18A2">
        <w:t xml:space="preserve"> the costs associated with NBS for MPS II for all newborns, confirmatory and monitoring costs for all newborns who screened positive for MPS II, and treatment (ERT) costs for severe MPS II cases.</w:t>
      </w:r>
      <w:r w:rsidR="00A3064A" w:rsidRPr="00A3064A">
        <w:t xml:space="preserve"> </w:t>
      </w:r>
      <w:r w:rsidR="00A3064A" w:rsidRPr="00FC06C1">
        <w:t xml:space="preserve">The </w:t>
      </w:r>
      <w:r w:rsidR="00A3064A" w:rsidRPr="002A18A2">
        <w:t>resulting</w:t>
      </w:r>
      <w:r w:rsidR="00A3064A" w:rsidRPr="00FC06C1">
        <w:t xml:space="preserve"> incremental cost-effectiveness ratio (ICER) </w:t>
      </w:r>
      <w:r w:rsidR="00A3064A" w:rsidRPr="002A18A2">
        <w:t>was very high, at</w:t>
      </w:r>
      <w:r w:rsidR="00A3064A" w:rsidRPr="00FC06C1">
        <w:t xml:space="preserve"> approximately $</w:t>
      </w:r>
      <w:r w:rsidR="00E13CD8" w:rsidRPr="00005B99">
        <w:rPr>
          <w:b/>
          <w:bCs/>
        </w:rPr>
        <w:t>REDACTED</w:t>
      </w:r>
      <w:r w:rsidR="00E13CD8">
        <w:rPr>
          <w:b/>
          <w:bCs/>
        </w:rPr>
        <w:t xml:space="preserve"> </w:t>
      </w:r>
      <w:r w:rsidR="00A3064A" w:rsidRPr="00FC06C1">
        <w:t xml:space="preserve">per quality-adjusted life year (QALY) </w:t>
      </w:r>
      <w:r w:rsidR="00A3064A">
        <w:t xml:space="preserve">gained </w:t>
      </w:r>
      <w:r w:rsidR="00A3064A" w:rsidRPr="00FC06C1">
        <w:t xml:space="preserve">for severe MPS II. A CUA for all MPS II cases (any subtype) was not </w:t>
      </w:r>
      <w:r w:rsidR="00A3064A">
        <w:t>presented</w:t>
      </w:r>
      <w:r w:rsidR="00A3064A" w:rsidRPr="00FC06C1">
        <w:t xml:space="preserve"> due to data limitations. MSAC noted that the QALY benefits were generated based on early ERT-related survival benefits in severe MPS II from </w:t>
      </w:r>
      <w:r w:rsidR="00A3064A" w:rsidRPr="00FC06C1">
        <w:lastRenderedPageBreak/>
        <w:t>a case series of 6 patients from Japan with an 11-year follow-up. The very small number of patients and limited evidence was a key source of uncertainty in the economic modelling.</w:t>
      </w:r>
    </w:p>
    <w:p w14:paraId="0D80D62E" w14:textId="1981F2F6" w:rsidR="00A3064A" w:rsidRDefault="00A3064A" w:rsidP="00A3064A">
      <w:r>
        <w:t>MSAC considered that, w</w:t>
      </w:r>
      <w:r w:rsidRPr="00FC06C1">
        <w:t xml:space="preserve">hile the ICER was high, this was largely driven by </w:t>
      </w:r>
      <w:r w:rsidR="005813A0">
        <w:t xml:space="preserve">the </w:t>
      </w:r>
      <w:r>
        <w:t>high cost of treatment</w:t>
      </w:r>
      <w:r w:rsidRPr="00FC06C1">
        <w:t xml:space="preserve"> and the relatively modest demonstrated benefits of earlier treatment. </w:t>
      </w:r>
      <w:r w:rsidR="0022409F" w:rsidRPr="00FC06C1">
        <w:t xml:space="preserve">MSAC also </w:t>
      </w:r>
      <w:r w:rsidR="00923097">
        <w:t>considered</w:t>
      </w:r>
      <w:r w:rsidR="0022409F" w:rsidRPr="00FC06C1">
        <w:t xml:space="preserve"> that cost-effectiveness </w:t>
      </w:r>
      <w:r w:rsidR="005368AD">
        <w:t>might potentially</w:t>
      </w:r>
      <w:r w:rsidR="0022409F" w:rsidRPr="00FC06C1">
        <w:t xml:space="preserve"> be improved</w:t>
      </w:r>
      <w:r w:rsidR="0022409F">
        <w:t xml:space="preserve"> </w:t>
      </w:r>
      <w:r w:rsidR="0022409F" w:rsidRPr="00FC06C1">
        <w:t xml:space="preserve">if MPS II were </w:t>
      </w:r>
      <w:r w:rsidR="00D23CE7">
        <w:t xml:space="preserve">to be </w:t>
      </w:r>
      <w:r w:rsidR="0022409F" w:rsidRPr="00FC06C1">
        <w:t xml:space="preserve">included in a multiplexed screening panel alongside </w:t>
      </w:r>
      <w:r w:rsidR="0022409F">
        <w:t>a</w:t>
      </w:r>
      <w:r w:rsidR="002279C5">
        <w:t xml:space="preserve"> </w:t>
      </w:r>
      <w:r w:rsidR="0022409F" w:rsidRPr="00FC06C1">
        <w:t>condition such as MPS I (Application 1775), although the ICERs would likely remain high.</w:t>
      </w:r>
      <w:r w:rsidR="0022409F">
        <w:t xml:space="preserve"> </w:t>
      </w:r>
      <w:r w:rsidRPr="00FC06C1">
        <w:t xml:space="preserve">MSAC noted that </w:t>
      </w:r>
      <w:r w:rsidR="00470B2E">
        <w:t>the</w:t>
      </w:r>
      <w:r w:rsidRPr="00FC06C1">
        <w:t xml:space="preserve"> </w:t>
      </w:r>
      <w:r w:rsidR="00515066">
        <w:t>ICERs</w:t>
      </w:r>
      <w:r w:rsidR="00E67206">
        <w:t xml:space="preserve"> </w:t>
      </w:r>
      <w:r w:rsidRPr="00FC06C1">
        <w:t xml:space="preserve">for </w:t>
      </w:r>
      <w:r w:rsidRPr="002A18A2">
        <w:t>ultra</w:t>
      </w:r>
      <w:r w:rsidRPr="00FC06C1">
        <w:t xml:space="preserve">-rare </w:t>
      </w:r>
      <w:r w:rsidRPr="00EE454E">
        <w:t>conditions</w:t>
      </w:r>
      <w:r w:rsidRPr="00FC06C1">
        <w:t xml:space="preserve"> </w:t>
      </w:r>
      <w:r w:rsidR="00E67206">
        <w:t xml:space="preserve">are often </w:t>
      </w:r>
      <w:r w:rsidR="007714CF">
        <w:t>very high</w:t>
      </w:r>
      <w:r>
        <w:t>.</w:t>
      </w:r>
      <w:r w:rsidRPr="00A3064A">
        <w:t xml:space="preserve"> </w:t>
      </w:r>
      <w:r w:rsidRPr="00FC06C1">
        <w:t xml:space="preserve">MSAC also noted that a </w:t>
      </w:r>
      <w:r>
        <w:t xml:space="preserve">2007 PBAC </w:t>
      </w:r>
      <w:r w:rsidRPr="00FC06C1">
        <w:t>submission for idursulfase for MPS II treatment reported an incremental cost in the range of $15,000- $45,000 per additional metre walked in a six-minute walk test</w:t>
      </w:r>
      <w:r w:rsidR="006E666F">
        <w:t xml:space="preserve"> (6MWT)</w:t>
      </w:r>
      <w:r w:rsidRPr="00FC06C1">
        <w:rPr>
          <w:rStyle w:val="FootnoteReference"/>
        </w:rPr>
        <w:footnoteReference w:id="5"/>
      </w:r>
      <w:r w:rsidRPr="00FC06C1">
        <w:t>.</w:t>
      </w:r>
      <w:r w:rsidRPr="00A3064A">
        <w:t xml:space="preserve"> </w:t>
      </w:r>
      <w:r w:rsidR="006E666F">
        <w:t xml:space="preserve">The 6MWT measures cardiac and respiratory as well as joint function. </w:t>
      </w:r>
      <w:r>
        <w:t xml:space="preserve">MSAC noted that </w:t>
      </w:r>
      <w:r w:rsidRPr="00FC06C1">
        <w:t xml:space="preserve">treatments such as ERT for MPS II are funded through the LSDP, despite </w:t>
      </w:r>
      <w:r w:rsidR="0002454D">
        <w:t xml:space="preserve">having ICERs </w:t>
      </w:r>
      <w:r w:rsidR="00515066">
        <w:t>higher than those typically considered to be cost-effective by the PBAC</w:t>
      </w:r>
      <w:r w:rsidRPr="00FC06C1">
        <w:t>.</w:t>
      </w:r>
      <w:r>
        <w:t xml:space="preserve"> </w:t>
      </w:r>
      <w:r w:rsidRPr="00FC06C1">
        <w:t xml:space="preserve">MSAC considered that the cost-effectiveness of ERT </w:t>
      </w:r>
      <w:r>
        <w:t>may</w:t>
      </w:r>
      <w:r w:rsidRPr="00FC06C1">
        <w:t xml:space="preserve"> need to be assessed by the PBAC to support any potential expansion of LSDP funding. </w:t>
      </w:r>
    </w:p>
    <w:p w14:paraId="70363437" w14:textId="47F46F94" w:rsidR="00E46CD9" w:rsidRPr="00FC06C1" w:rsidRDefault="00A3064A" w:rsidP="00E46CD9">
      <w:r>
        <w:t xml:space="preserve">MSAC considered </w:t>
      </w:r>
      <w:r w:rsidR="00235173">
        <w:t xml:space="preserve">cost-effectiveness analyses reporting the </w:t>
      </w:r>
      <w:r>
        <w:t xml:space="preserve">cost per </w:t>
      </w:r>
      <w:r w:rsidR="00235173">
        <w:t xml:space="preserve">diagnosis of MPS II were less informative because MPS II is </w:t>
      </w:r>
      <w:r w:rsidR="00BD55DA">
        <w:t xml:space="preserve">a </w:t>
      </w:r>
      <w:r w:rsidR="00235173">
        <w:t xml:space="preserve">very rare condition making the cost per diagnosis very high when the cost per </w:t>
      </w:r>
      <w:r w:rsidR="00AC0D07">
        <w:t xml:space="preserve">newborn </w:t>
      </w:r>
      <w:r w:rsidR="00235173">
        <w:t>screen</w:t>
      </w:r>
      <w:r w:rsidR="00AC0D07">
        <w:t>ed</w:t>
      </w:r>
      <w:r w:rsidR="00235173">
        <w:t xml:space="preserve"> and overall cost to the NBS programs is acceptable. </w:t>
      </w:r>
    </w:p>
    <w:p w14:paraId="604463B0" w14:textId="7D6143C9" w:rsidR="006C49C3" w:rsidRPr="006C49C3" w:rsidRDefault="006C49C3" w:rsidP="006C49C3">
      <w:r w:rsidRPr="006C49C3">
        <w:t xml:space="preserve">MSAC </w:t>
      </w:r>
      <w:r w:rsidR="00D430D8">
        <w:t>considered</w:t>
      </w:r>
      <w:r w:rsidR="00E95ACF">
        <w:t xml:space="preserve"> </w:t>
      </w:r>
      <w:r w:rsidR="000D599E">
        <w:rPr>
          <w:b/>
          <w:bCs/>
        </w:rPr>
        <w:t xml:space="preserve">the </w:t>
      </w:r>
      <w:r w:rsidR="00247804">
        <w:rPr>
          <w:b/>
          <w:bCs/>
        </w:rPr>
        <w:t xml:space="preserve">likely </w:t>
      </w:r>
      <w:r w:rsidR="000D599E">
        <w:rPr>
          <w:b/>
          <w:bCs/>
        </w:rPr>
        <w:t xml:space="preserve">financial impact </w:t>
      </w:r>
      <w:r w:rsidR="001E6158">
        <w:rPr>
          <w:b/>
          <w:bCs/>
        </w:rPr>
        <w:t xml:space="preserve">of adding MPS II to NBS </w:t>
      </w:r>
      <w:r w:rsidR="000D599E">
        <w:rPr>
          <w:b/>
          <w:bCs/>
        </w:rPr>
        <w:t xml:space="preserve">to </w:t>
      </w:r>
      <w:r w:rsidR="00247804">
        <w:rPr>
          <w:b/>
          <w:bCs/>
        </w:rPr>
        <w:t xml:space="preserve">all relevant </w:t>
      </w:r>
      <w:r w:rsidR="001E6158">
        <w:rPr>
          <w:b/>
          <w:bCs/>
        </w:rPr>
        <w:t xml:space="preserve">budget holders. </w:t>
      </w:r>
      <w:r w:rsidR="001E14A7">
        <w:t xml:space="preserve">MSAC noted the </w:t>
      </w:r>
      <w:r w:rsidR="000D599E">
        <w:t xml:space="preserve">financial impact to </w:t>
      </w:r>
      <w:r w:rsidR="000D599E" w:rsidRPr="00132290">
        <w:t>the NBS programs</w:t>
      </w:r>
      <w:r w:rsidR="000D599E">
        <w:t xml:space="preserve"> </w:t>
      </w:r>
      <w:r w:rsidR="00E95ACF">
        <w:t xml:space="preserve">was </w:t>
      </w:r>
      <w:r w:rsidR="00181211">
        <w:t>estimated to be</w:t>
      </w:r>
      <w:r w:rsidR="00E95ACF">
        <w:t xml:space="preserve"> </w:t>
      </w:r>
      <w:r w:rsidR="00E95ACF" w:rsidRPr="007D0FA4">
        <w:t>$</w:t>
      </w:r>
      <w:r w:rsidR="00E13CD8" w:rsidRPr="00005B99">
        <w:rPr>
          <w:b/>
          <w:bCs/>
        </w:rPr>
        <w:t>REDACTED</w:t>
      </w:r>
      <w:r w:rsidR="00E13CD8">
        <w:rPr>
          <w:b/>
          <w:bCs/>
        </w:rPr>
        <w:t xml:space="preserve"> </w:t>
      </w:r>
      <w:r w:rsidR="00E95ACF">
        <w:t xml:space="preserve">in Year 1 (including a one-off set up cost) and approximately </w:t>
      </w:r>
      <w:r w:rsidR="00E95ACF" w:rsidRPr="007D0FA4">
        <w:t>$</w:t>
      </w:r>
      <w:r w:rsidR="00E13CD8" w:rsidRPr="00005B99">
        <w:rPr>
          <w:b/>
          <w:bCs/>
        </w:rPr>
        <w:t>REDACTED</w:t>
      </w:r>
      <w:r w:rsidR="00E13CD8">
        <w:rPr>
          <w:b/>
          <w:bCs/>
        </w:rPr>
        <w:t xml:space="preserve"> </w:t>
      </w:r>
      <w:r w:rsidR="00E95ACF">
        <w:t>annually in Years 2-6</w:t>
      </w:r>
      <w:r w:rsidR="00747110">
        <w:t xml:space="preserve"> of listing</w:t>
      </w:r>
      <w:r w:rsidR="00E95ACF" w:rsidDel="007D0FA4">
        <w:t xml:space="preserve">. </w:t>
      </w:r>
      <w:r w:rsidRPr="006C49C3">
        <w:t xml:space="preserve">MSAC noted </w:t>
      </w:r>
      <w:r w:rsidR="00ED39D4">
        <w:t>that</w:t>
      </w:r>
      <w:r w:rsidR="00A6434F">
        <w:rPr>
          <w:rFonts w:cs="Arial"/>
        </w:rPr>
        <w:t xml:space="preserve"> the </w:t>
      </w:r>
      <w:r w:rsidR="008E6363">
        <w:rPr>
          <w:rFonts w:cs="Arial"/>
        </w:rPr>
        <w:t xml:space="preserve">Assessment Group’s </w:t>
      </w:r>
      <w:r w:rsidR="00A6434F">
        <w:rPr>
          <w:rFonts w:cs="Arial"/>
        </w:rPr>
        <w:t>rejoinder</w:t>
      </w:r>
      <w:r w:rsidR="00ED39D4">
        <w:rPr>
          <w:rFonts w:cs="Arial"/>
        </w:rPr>
        <w:t xml:space="preserve"> </w:t>
      </w:r>
      <w:r w:rsidR="00225EF6">
        <w:rPr>
          <w:rFonts w:cs="Arial"/>
        </w:rPr>
        <w:t>presented analyses that included the costs of ERT use in cases of MPS II that are already present at the time of NBS implementation, and presymptomatic ERT use in attenuated MPS II cases.</w:t>
      </w:r>
      <w:r w:rsidR="00A6434F">
        <w:rPr>
          <w:rFonts w:cs="Arial"/>
        </w:rPr>
        <w:t xml:space="preserve"> </w:t>
      </w:r>
      <w:r w:rsidR="00D71328">
        <w:rPr>
          <w:rFonts w:cs="Arial"/>
        </w:rPr>
        <w:t xml:space="preserve">MSAC noted </w:t>
      </w:r>
      <w:r w:rsidR="00225EF6">
        <w:t>the resulting</w:t>
      </w:r>
      <w:r w:rsidR="00A6434F">
        <w:t xml:space="preserve"> cost of</w:t>
      </w:r>
      <w:r w:rsidR="00A6434F" w:rsidRPr="006C49C3">
        <w:t xml:space="preserve"> </w:t>
      </w:r>
      <w:r w:rsidRPr="006C49C3">
        <w:t xml:space="preserve">ERT use </w:t>
      </w:r>
      <w:r w:rsidR="00A6434F">
        <w:t xml:space="preserve">to the LSDP </w:t>
      </w:r>
      <w:r w:rsidR="00163B07">
        <w:t xml:space="preserve">increased </w:t>
      </w:r>
      <w:r w:rsidRPr="006C49C3">
        <w:t xml:space="preserve">by </w:t>
      </w:r>
      <w:r w:rsidR="00163B07">
        <w:t xml:space="preserve">almost </w:t>
      </w:r>
      <w:r w:rsidRPr="006C49C3">
        <w:t xml:space="preserve">7-fold by </w:t>
      </w:r>
      <w:r w:rsidR="00471B96">
        <w:t>Y</w:t>
      </w:r>
      <w:r w:rsidRPr="006C49C3">
        <w:t>ear 6</w:t>
      </w:r>
      <w:r w:rsidR="00D93B98">
        <w:t xml:space="preserve"> (increasing from</w:t>
      </w:r>
      <w:r w:rsidR="00F80977">
        <w:t xml:space="preserve"> </w:t>
      </w:r>
      <w:r w:rsidR="00F80977" w:rsidRPr="00D872DA">
        <w:t>$</w:t>
      </w:r>
      <w:r w:rsidR="00E13CD8" w:rsidRPr="00005B99">
        <w:rPr>
          <w:b/>
          <w:bCs/>
        </w:rPr>
        <w:t>REDACTED</w:t>
      </w:r>
      <w:r w:rsidR="00E13CD8">
        <w:rPr>
          <w:b/>
          <w:bCs/>
        </w:rPr>
        <w:t xml:space="preserve"> </w:t>
      </w:r>
      <w:r w:rsidR="00F80977">
        <w:t xml:space="preserve">in Year 1 to </w:t>
      </w:r>
      <w:r w:rsidR="00F80977" w:rsidRPr="00D872DA">
        <w:t>$</w:t>
      </w:r>
      <w:r w:rsidR="00E13CD8" w:rsidRPr="00005B99">
        <w:rPr>
          <w:b/>
          <w:bCs/>
        </w:rPr>
        <w:t>REDACTED</w:t>
      </w:r>
      <w:r w:rsidR="006E6463">
        <w:rPr>
          <w:b/>
          <w:bCs/>
        </w:rPr>
        <w:t xml:space="preserve"> </w:t>
      </w:r>
      <w:r w:rsidR="00F80977">
        <w:t>in Year 6</w:t>
      </w:r>
      <w:r w:rsidR="00D93B98">
        <w:t>)</w:t>
      </w:r>
      <w:r w:rsidR="00E13602">
        <w:t xml:space="preserve"> </w:t>
      </w:r>
      <w:r w:rsidR="579304F7">
        <w:t xml:space="preserve">if LSDP criteria was expanded to include attenuated and very attenuated cases </w:t>
      </w:r>
      <w:r w:rsidR="00E13602">
        <w:t xml:space="preserve">(see </w:t>
      </w:r>
      <w:r w:rsidR="00E13602" w:rsidRPr="00E13602">
        <w:fldChar w:fldCharType="begin"/>
      </w:r>
      <w:r w:rsidR="00E13602" w:rsidRPr="00E13602">
        <w:instrText xml:space="preserve"> REF _Ref197509559 \h </w:instrText>
      </w:r>
      <w:r w:rsidR="00E13602" w:rsidRPr="00466AA7">
        <w:instrText xml:space="preserve"> \* MERGEFORMAT </w:instrText>
      </w:r>
      <w:r w:rsidR="00E13602" w:rsidRPr="00E13602">
        <w:fldChar w:fldCharType="separate"/>
      </w:r>
      <w:r w:rsidR="00797B68" w:rsidRPr="00132290" w:rsidDel="009D183F">
        <w:t xml:space="preserve">Table </w:t>
      </w:r>
      <w:r w:rsidR="00797B68" w:rsidRPr="00797B68" w:rsidDel="009D183F">
        <w:rPr>
          <w:noProof/>
        </w:rPr>
        <w:t>24</w:t>
      </w:r>
      <w:r w:rsidR="00E13602" w:rsidRPr="00E13602">
        <w:fldChar w:fldCharType="end"/>
      </w:r>
      <w:r w:rsidR="00E13602" w:rsidRPr="00E13602">
        <w:t>)</w:t>
      </w:r>
      <w:r w:rsidR="00F80977" w:rsidRPr="00E13602">
        <w:t>.</w:t>
      </w:r>
      <w:r w:rsidRPr="006C49C3">
        <w:t xml:space="preserve"> MSAC noted </w:t>
      </w:r>
      <w:r w:rsidR="00191376">
        <w:t xml:space="preserve">that other budget impacts were relatively minor, with an anticipated net cost to </w:t>
      </w:r>
      <w:r w:rsidR="00804574">
        <w:t>states/</w:t>
      </w:r>
      <w:r w:rsidR="00F80977">
        <w:t>territor</w:t>
      </w:r>
      <w:r w:rsidR="00804574">
        <w:t>ies</w:t>
      </w:r>
      <w:r w:rsidR="00F80977">
        <w:t xml:space="preserve"> </w:t>
      </w:r>
      <w:r w:rsidR="00D24715">
        <w:t>health budgets</w:t>
      </w:r>
      <w:r w:rsidR="00191376">
        <w:t xml:space="preserve"> of </w:t>
      </w:r>
      <w:r w:rsidR="00191376" w:rsidRPr="007D0FA4">
        <w:t>$</w:t>
      </w:r>
      <w:r w:rsidR="006E6463" w:rsidRPr="00005B99">
        <w:rPr>
          <w:b/>
          <w:bCs/>
        </w:rPr>
        <w:t>REDACTED</w:t>
      </w:r>
      <w:r w:rsidR="006E6463">
        <w:rPr>
          <w:b/>
          <w:bCs/>
        </w:rPr>
        <w:t xml:space="preserve"> </w:t>
      </w:r>
      <w:r w:rsidR="00191376">
        <w:t xml:space="preserve">in Year 1 to </w:t>
      </w:r>
      <w:r w:rsidR="00191376" w:rsidRPr="007D0FA4">
        <w:t>$</w:t>
      </w:r>
      <w:r w:rsidR="006E6463" w:rsidRPr="00005B99">
        <w:rPr>
          <w:b/>
          <w:bCs/>
        </w:rPr>
        <w:t>REDACTED</w:t>
      </w:r>
      <w:r w:rsidR="006E6463">
        <w:rPr>
          <w:b/>
          <w:bCs/>
        </w:rPr>
        <w:t xml:space="preserve"> </w:t>
      </w:r>
      <w:r w:rsidR="00191376">
        <w:t>in Year 6,</w:t>
      </w:r>
      <w:r w:rsidR="00D24715">
        <w:t xml:space="preserve"> and to the MBS </w:t>
      </w:r>
      <w:r w:rsidR="00191376">
        <w:t>of $</w:t>
      </w:r>
      <w:r w:rsidR="00191376" w:rsidRPr="00D872DA">
        <w:t>41,941</w:t>
      </w:r>
      <w:r w:rsidR="00191376">
        <w:t xml:space="preserve"> in Year 1 to $</w:t>
      </w:r>
      <w:r w:rsidR="00191376" w:rsidRPr="00D872DA">
        <w:t>168,031</w:t>
      </w:r>
      <w:r w:rsidR="00191376">
        <w:t xml:space="preserve"> in Year 6.</w:t>
      </w:r>
      <w:r w:rsidR="00D24715">
        <w:t xml:space="preserve"> </w:t>
      </w:r>
    </w:p>
    <w:p w14:paraId="6A504F5F" w14:textId="1B3E919F" w:rsidR="00430722" w:rsidRDefault="00C35D53" w:rsidP="003040A8">
      <w:pPr>
        <w:rPr>
          <w:lang w:val="en-US"/>
        </w:rPr>
      </w:pPr>
      <w:r>
        <w:t>MSAC considered the</w:t>
      </w:r>
      <w:r w:rsidR="00533F3D">
        <w:t xml:space="preserve"> </w:t>
      </w:r>
      <w:r w:rsidR="00533F3D" w:rsidRPr="00B018D3">
        <w:rPr>
          <w:b/>
          <w:bCs/>
          <w:lang w:val="en-US"/>
        </w:rPr>
        <w:t>relevant ethical (including equity), legal, social or organisational aspects specific to screenin</w:t>
      </w:r>
      <w:r w:rsidR="00533F3D">
        <w:rPr>
          <w:b/>
          <w:bCs/>
          <w:lang w:val="en-US"/>
        </w:rPr>
        <w:t xml:space="preserve">g </w:t>
      </w:r>
      <w:r w:rsidR="00533F3D">
        <w:rPr>
          <w:lang w:val="en-US"/>
        </w:rPr>
        <w:t>for MPS II</w:t>
      </w:r>
      <w:r w:rsidR="00914465">
        <w:rPr>
          <w:lang w:val="en-US"/>
        </w:rPr>
        <w:t>.</w:t>
      </w:r>
      <w:r w:rsidR="00533F3D">
        <w:rPr>
          <w:lang w:val="en-US"/>
        </w:rPr>
        <w:t xml:space="preserve"> </w:t>
      </w:r>
    </w:p>
    <w:p w14:paraId="089AD4F7" w14:textId="0A109200" w:rsidR="00D8399E" w:rsidRDefault="002928AD" w:rsidP="003040A8">
      <w:pPr>
        <w:rPr>
          <w:lang w:val="en-GB"/>
        </w:rPr>
      </w:pPr>
      <w:r w:rsidRPr="00612324">
        <w:rPr>
          <w:lang w:val="en-GB"/>
        </w:rPr>
        <w:t xml:space="preserve">MSAC </w:t>
      </w:r>
      <w:r>
        <w:rPr>
          <w:lang w:val="en-GB"/>
        </w:rPr>
        <w:t xml:space="preserve">considered that there </w:t>
      </w:r>
      <w:r w:rsidR="00F2789D">
        <w:rPr>
          <w:lang w:val="en-GB"/>
        </w:rPr>
        <w:t>are</w:t>
      </w:r>
      <w:r w:rsidR="00F2789D" w:rsidRPr="00612324">
        <w:rPr>
          <w:lang w:val="en-GB"/>
        </w:rPr>
        <w:t xml:space="preserve"> </w:t>
      </w:r>
      <w:r w:rsidRPr="00612324">
        <w:rPr>
          <w:lang w:val="en-GB"/>
        </w:rPr>
        <w:t>significant ethical i</w:t>
      </w:r>
      <w:r>
        <w:rPr>
          <w:lang w:val="en-GB"/>
        </w:rPr>
        <w:t xml:space="preserve">mplications of screening </w:t>
      </w:r>
      <w:r w:rsidR="00787EBF">
        <w:rPr>
          <w:lang w:val="en-GB"/>
        </w:rPr>
        <w:t xml:space="preserve">newborns </w:t>
      </w:r>
      <w:r>
        <w:rPr>
          <w:lang w:val="en-GB"/>
        </w:rPr>
        <w:t>for MPS I</w:t>
      </w:r>
      <w:r w:rsidR="00914465">
        <w:rPr>
          <w:lang w:val="en-GB"/>
        </w:rPr>
        <w:t>I</w:t>
      </w:r>
      <w:r>
        <w:rPr>
          <w:lang w:val="en-GB"/>
        </w:rPr>
        <w:t>, which</w:t>
      </w:r>
      <w:r w:rsidRPr="00612324">
        <w:rPr>
          <w:lang w:val="en-GB"/>
        </w:rPr>
        <w:t xml:space="preserve"> </w:t>
      </w:r>
      <w:r w:rsidR="00F77DBD" w:rsidRPr="00612324">
        <w:rPr>
          <w:lang w:val="en-GB"/>
        </w:rPr>
        <w:t xml:space="preserve">should be considered by </w:t>
      </w:r>
      <w:r w:rsidR="00F77DBD">
        <w:rPr>
          <w:lang w:val="en-GB"/>
        </w:rPr>
        <w:t xml:space="preserve">other relevant bodies </w:t>
      </w:r>
      <w:r w:rsidR="00B47D81">
        <w:rPr>
          <w:lang w:val="en-GB"/>
        </w:rPr>
        <w:t xml:space="preserve">on </w:t>
      </w:r>
      <w:r w:rsidR="00F77DBD">
        <w:rPr>
          <w:lang w:val="en-GB"/>
        </w:rPr>
        <w:t xml:space="preserve">the </w:t>
      </w:r>
      <w:r w:rsidR="00C814A2">
        <w:rPr>
          <w:lang w:val="en-GB"/>
        </w:rPr>
        <w:t xml:space="preserve">NBS national </w:t>
      </w:r>
      <w:r w:rsidR="00F77DBD">
        <w:rPr>
          <w:lang w:val="en-GB"/>
        </w:rPr>
        <w:t xml:space="preserve">decision-making pathway and resolved prior to implementation. </w:t>
      </w:r>
    </w:p>
    <w:p w14:paraId="3E7FD7D3" w14:textId="221882C9" w:rsidR="00AE15E6" w:rsidRPr="008F21BA" w:rsidRDefault="00F77DBD" w:rsidP="00D8399E">
      <w:pPr>
        <w:rPr>
          <w:lang w:val="en-GB"/>
        </w:rPr>
      </w:pPr>
      <w:r>
        <w:rPr>
          <w:lang w:val="en-GB"/>
        </w:rPr>
        <w:t xml:space="preserve">MSAC noted </w:t>
      </w:r>
      <w:r w:rsidR="00EB72B9">
        <w:rPr>
          <w:lang w:val="en-GB"/>
        </w:rPr>
        <w:t xml:space="preserve">that </w:t>
      </w:r>
      <w:r>
        <w:rPr>
          <w:lang w:val="en-GB"/>
        </w:rPr>
        <w:t xml:space="preserve">the ethical issues associated with </w:t>
      </w:r>
      <w:r w:rsidR="0018395E">
        <w:rPr>
          <w:lang w:val="en-GB"/>
        </w:rPr>
        <w:t xml:space="preserve">NBS for </w:t>
      </w:r>
      <w:r>
        <w:rPr>
          <w:lang w:val="en-GB"/>
        </w:rPr>
        <w:t>MPS II</w:t>
      </w:r>
      <w:r w:rsidRPr="00612324">
        <w:rPr>
          <w:lang w:val="en-GB"/>
        </w:rPr>
        <w:t xml:space="preserve"> </w:t>
      </w:r>
      <w:r w:rsidR="0018395E">
        <w:rPr>
          <w:lang w:val="en-GB"/>
        </w:rPr>
        <w:t>are</w:t>
      </w:r>
      <w:r w:rsidR="002928AD" w:rsidRPr="00612324">
        <w:rPr>
          <w:lang w:val="en-GB"/>
        </w:rPr>
        <w:t xml:space="preserve"> different from</w:t>
      </w:r>
      <w:r w:rsidR="0007266A">
        <w:rPr>
          <w:lang w:val="en-GB"/>
        </w:rPr>
        <w:t xml:space="preserve"> the vast majority of</w:t>
      </w:r>
      <w:r w:rsidR="002928AD" w:rsidRPr="00612324">
        <w:rPr>
          <w:lang w:val="en-GB"/>
        </w:rPr>
        <w:t xml:space="preserve"> currently screened conditions</w:t>
      </w:r>
      <w:r w:rsidR="0018395E">
        <w:rPr>
          <w:lang w:val="en-GB"/>
        </w:rPr>
        <w:t xml:space="preserve">. </w:t>
      </w:r>
      <w:r w:rsidR="007267F6">
        <w:rPr>
          <w:lang w:val="en-GB"/>
        </w:rPr>
        <w:t>This is because MPS II has different subtypes with different prognoses. Although NBS for MPS II will enable earlier diagnosis and intervention for newborns who will develop the most severe, earlier</w:t>
      </w:r>
      <w:r w:rsidR="00235173">
        <w:rPr>
          <w:lang w:val="en-GB"/>
        </w:rPr>
        <w:t>-onset</w:t>
      </w:r>
      <w:r w:rsidR="007267F6">
        <w:rPr>
          <w:lang w:val="en-GB"/>
        </w:rPr>
        <w:t xml:space="preserve"> form of MPS II, screening will also identify newborns at risk of developing attenuated forms of MPS II. MSAC considered some newborns at risk of developing attenuated forms of MPS II </w:t>
      </w:r>
      <w:r w:rsidR="00AE15E6" w:rsidRPr="00852439">
        <w:t>may not benefit from screening in the newborn period because symptoms may not develop until later in childhood or in adulthood</w:t>
      </w:r>
      <w:r w:rsidR="00AE15E6">
        <w:t>.</w:t>
      </w:r>
      <w:r w:rsidR="00AE15E6">
        <w:rPr>
          <w:lang w:val="en-GB"/>
        </w:rPr>
        <w:t xml:space="preserve"> </w:t>
      </w:r>
      <w:r w:rsidR="001208F7">
        <w:t xml:space="preserve">MSAC noted that </w:t>
      </w:r>
      <w:r w:rsidR="0018395E">
        <w:t xml:space="preserve">some of </w:t>
      </w:r>
      <w:r w:rsidR="00CD4264">
        <w:t xml:space="preserve">those </w:t>
      </w:r>
      <w:r w:rsidR="00702AB8">
        <w:t>newborns diagnosed with</w:t>
      </w:r>
      <w:r w:rsidR="00CD4264">
        <w:t xml:space="preserve"> </w:t>
      </w:r>
      <w:r w:rsidR="00B9152E">
        <w:t xml:space="preserve">an </w:t>
      </w:r>
      <w:r w:rsidR="001208F7">
        <w:t xml:space="preserve">attenuated </w:t>
      </w:r>
      <w:r w:rsidR="00B9152E">
        <w:t xml:space="preserve">form of disease </w:t>
      </w:r>
      <w:r w:rsidR="001208F7">
        <w:t>may have no or very mild symptoms</w:t>
      </w:r>
      <w:r w:rsidR="0018395E">
        <w:t xml:space="preserve"> that</w:t>
      </w:r>
      <w:r w:rsidR="00C47193">
        <w:t xml:space="preserve"> </w:t>
      </w:r>
      <w:r w:rsidR="006E487C">
        <w:t>may</w:t>
      </w:r>
      <w:r w:rsidR="006B264B">
        <w:t xml:space="preserve"> not </w:t>
      </w:r>
      <w:r w:rsidR="0018395E">
        <w:t>have led to</w:t>
      </w:r>
      <w:r w:rsidR="006B264B">
        <w:t xml:space="preserve"> a diagnosis </w:t>
      </w:r>
      <w:r w:rsidR="000D1C32">
        <w:t>of MPS II</w:t>
      </w:r>
      <w:r w:rsidR="1B40F23A">
        <w:t xml:space="preserve"> in the absence of screening</w:t>
      </w:r>
      <w:r w:rsidR="3E24EA21">
        <w:t>.</w:t>
      </w:r>
      <w:r w:rsidR="00D869A5">
        <w:t xml:space="preserve"> </w:t>
      </w:r>
      <w:r w:rsidR="00702AB8" w:rsidRPr="00702AB8">
        <w:t xml:space="preserve">For </w:t>
      </w:r>
      <w:r w:rsidR="00235173">
        <w:t xml:space="preserve">some </w:t>
      </w:r>
      <w:r w:rsidR="00421428">
        <w:t>newborns</w:t>
      </w:r>
      <w:r w:rsidR="00702AB8" w:rsidRPr="00702AB8">
        <w:t xml:space="preserve"> with attenuated MPS II, an early pre-symptomatic diagnosis through NBS would lead to years of clinical surveillance before symptoms appear, without an effective early intervention </w:t>
      </w:r>
      <w:r w:rsidR="00235173">
        <w:t xml:space="preserve">to improve </w:t>
      </w:r>
      <w:r w:rsidR="00702AB8" w:rsidRPr="00702AB8">
        <w:t xml:space="preserve">health outcomes. MSAC considered newborns at risk of </w:t>
      </w:r>
      <w:r w:rsidR="00702AB8" w:rsidRPr="00702AB8">
        <w:lastRenderedPageBreak/>
        <w:t xml:space="preserve">developing attenuated disease may experience harm from having a diagnostic label including psychological distress and ‘sick role behaviour’ without the potential for improved health outcomes.  </w:t>
      </w:r>
    </w:p>
    <w:p w14:paraId="0895053C" w14:textId="5DDC9D67" w:rsidR="00A710DF" w:rsidRDefault="00237570" w:rsidP="00D8399E">
      <w:r>
        <w:t xml:space="preserve">MSAC </w:t>
      </w:r>
      <w:r w:rsidR="005445F6">
        <w:t xml:space="preserve">therefore considered that </w:t>
      </w:r>
      <w:r w:rsidR="00007570">
        <w:t xml:space="preserve">while </w:t>
      </w:r>
      <w:r w:rsidR="00D8399E" w:rsidRPr="00311565">
        <w:rPr>
          <w:rFonts w:eastAsia="Arial"/>
          <w:kern w:val="2"/>
          <w14:ligatures w14:val="standardContextual"/>
        </w:rPr>
        <w:t>a</w:t>
      </w:r>
      <w:r w:rsidR="00B728E4">
        <w:rPr>
          <w:rFonts w:eastAsia="Arial"/>
          <w:kern w:val="2"/>
          <w14:ligatures w14:val="standardContextual"/>
        </w:rPr>
        <w:t xml:space="preserve">n earlier diagnosis </w:t>
      </w:r>
      <w:r w:rsidR="00D8399E" w:rsidRPr="00311565">
        <w:rPr>
          <w:rFonts w:eastAsia="Arial"/>
          <w:kern w:val="2"/>
          <w14:ligatures w14:val="standardContextual"/>
        </w:rPr>
        <w:t xml:space="preserve">may </w:t>
      </w:r>
      <w:r w:rsidR="00B728E4">
        <w:rPr>
          <w:rFonts w:eastAsia="Arial"/>
          <w:kern w:val="2"/>
          <w14:ligatures w14:val="standardContextual"/>
        </w:rPr>
        <w:t>potential</w:t>
      </w:r>
      <w:r w:rsidR="00007570">
        <w:rPr>
          <w:rFonts w:eastAsia="Arial"/>
          <w:kern w:val="2"/>
          <w14:ligatures w14:val="standardContextual"/>
        </w:rPr>
        <w:t>ly</w:t>
      </w:r>
      <w:r w:rsidR="00B728E4">
        <w:rPr>
          <w:rFonts w:eastAsia="Arial"/>
          <w:kern w:val="2"/>
          <w14:ligatures w14:val="standardContextual"/>
        </w:rPr>
        <w:t xml:space="preserve"> </w:t>
      </w:r>
      <w:r w:rsidR="00D8399E" w:rsidRPr="00311565">
        <w:rPr>
          <w:rFonts w:eastAsia="Arial"/>
          <w:kern w:val="2"/>
          <w14:ligatures w14:val="standardContextual"/>
        </w:rPr>
        <w:t xml:space="preserve">help </w:t>
      </w:r>
      <w:r w:rsidR="00007570">
        <w:rPr>
          <w:rFonts w:eastAsia="Arial"/>
          <w:kern w:val="2"/>
          <w14:ligatures w14:val="standardContextual"/>
        </w:rPr>
        <w:t>some</w:t>
      </w:r>
      <w:r w:rsidR="00B728E4">
        <w:rPr>
          <w:rFonts w:eastAsia="Arial"/>
          <w:kern w:val="2"/>
          <w14:ligatures w14:val="standardContextual"/>
        </w:rPr>
        <w:t xml:space="preserve"> </w:t>
      </w:r>
      <w:r w:rsidR="00D8399E" w:rsidRPr="00311565">
        <w:rPr>
          <w:rFonts w:eastAsia="Arial"/>
          <w:kern w:val="2"/>
          <w14:ligatures w14:val="standardContextual"/>
        </w:rPr>
        <w:t>newborns and their families avoid a ‘diagnostic odyssey</w:t>
      </w:r>
      <w:r w:rsidR="00007570">
        <w:rPr>
          <w:rFonts w:eastAsia="Arial"/>
          <w:kern w:val="2"/>
          <w14:ligatures w14:val="standardContextual"/>
        </w:rPr>
        <w:t>,</w:t>
      </w:r>
      <w:r w:rsidR="00D8399E" w:rsidRPr="00311565">
        <w:rPr>
          <w:rFonts w:eastAsia="Arial"/>
          <w:kern w:val="2"/>
          <w14:ligatures w14:val="standardContextual"/>
        </w:rPr>
        <w:t>’</w:t>
      </w:r>
      <w:r w:rsidR="00007570">
        <w:rPr>
          <w:rFonts w:eastAsia="Arial"/>
          <w:kern w:val="2"/>
          <w14:ligatures w14:val="standardContextual"/>
        </w:rPr>
        <w:t xml:space="preserve"> </w:t>
      </w:r>
      <w:r w:rsidR="00AF58B8">
        <w:rPr>
          <w:rFonts w:eastAsia="Arial"/>
          <w:kern w:val="2"/>
          <w14:ligatures w14:val="standardContextual"/>
        </w:rPr>
        <w:t xml:space="preserve">it may not benefit </w:t>
      </w:r>
      <w:r w:rsidR="003131EE">
        <w:rPr>
          <w:rFonts w:eastAsia="Arial"/>
          <w:kern w:val="2"/>
          <w14:ligatures w14:val="standardContextual"/>
        </w:rPr>
        <w:t xml:space="preserve">some </w:t>
      </w:r>
      <w:r w:rsidR="00D8399E" w:rsidRPr="00311565">
        <w:rPr>
          <w:rFonts w:eastAsia="Arial"/>
          <w:kern w:val="2"/>
          <w14:ligatures w14:val="standardContextual"/>
        </w:rPr>
        <w:t xml:space="preserve">newborns </w:t>
      </w:r>
      <w:r w:rsidR="003131EE">
        <w:rPr>
          <w:rFonts w:eastAsia="Arial"/>
          <w:kern w:val="2"/>
          <w14:ligatures w14:val="standardContextual"/>
        </w:rPr>
        <w:t>at risk of developing attenuated</w:t>
      </w:r>
      <w:r w:rsidR="00D8399E" w:rsidRPr="00311565">
        <w:rPr>
          <w:rFonts w:eastAsia="Arial"/>
          <w:kern w:val="2"/>
          <w14:ligatures w14:val="standardContextual"/>
        </w:rPr>
        <w:t xml:space="preserve"> MPS </w:t>
      </w:r>
      <w:r w:rsidR="00D8399E">
        <w:rPr>
          <w:rFonts w:eastAsia="Arial"/>
          <w:kern w:val="2"/>
          <w14:ligatures w14:val="standardContextual"/>
        </w:rPr>
        <w:t>I</w:t>
      </w:r>
      <w:r w:rsidR="00D8399E" w:rsidRPr="00311565">
        <w:rPr>
          <w:rFonts w:eastAsia="Arial"/>
          <w:kern w:val="2"/>
          <w14:ligatures w14:val="standardContextual"/>
        </w:rPr>
        <w:t xml:space="preserve">I who may </w:t>
      </w:r>
      <w:r w:rsidR="003131EE">
        <w:rPr>
          <w:rFonts w:eastAsia="Arial"/>
          <w:kern w:val="2"/>
          <w14:ligatures w14:val="standardContextual"/>
        </w:rPr>
        <w:t xml:space="preserve">never </w:t>
      </w:r>
      <w:r w:rsidR="00D8399E" w:rsidRPr="00311565">
        <w:rPr>
          <w:rFonts w:eastAsia="Arial"/>
          <w:kern w:val="2"/>
          <w14:ligatures w14:val="standardContextual"/>
        </w:rPr>
        <w:t xml:space="preserve">develop </w:t>
      </w:r>
      <w:r w:rsidR="008A78A8">
        <w:rPr>
          <w:rFonts w:eastAsia="Arial"/>
          <w:kern w:val="2"/>
          <w14:ligatures w14:val="standardContextual"/>
        </w:rPr>
        <w:t xml:space="preserve">significant </w:t>
      </w:r>
      <w:r w:rsidR="00D8399E" w:rsidRPr="00311565">
        <w:rPr>
          <w:rFonts w:eastAsia="Arial"/>
          <w:kern w:val="2"/>
          <w14:ligatures w14:val="standardContextual"/>
        </w:rPr>
        <w:t xml:space="preserve">symptoms. </w:t>
      </w:r>
      <w:r w:rsidR="00D869A5">
        <w:t xml:space="preserve">MSAC considered that </w:t>
      </w:r>
      <w:r w:rsidR="00D869A5" w:rsidRPr="00852439">
        <w:t>an</w:t>
      </w:r>
      <w:r w:rsidR="00D869A5">
        <w:t xml:space="preserve"> earlier diagnosis</w:t>
      </w:r>
      <w:r w:rsidR="00D869A5" w:rsidRPr="00852439">
        <w:t xml:space="preserve"> </w:t>
      </w:r>
      <w:r w:rsidR="00D869A5">
        <w:t xml:space="preserve">of </w:t>
      </w:r>
      <w:r w:rsidR="00D869A5" w:rsidRPr="00852439">
        <w:t xml:space="preserve">attenuated </w:t>
      </w:r>
      <w:bookmarkStart w:id="3" w:name="_Hlk200520739"/>
      <w:r w:rsidR="00D869A5" w:rsidRPr="00852439">
        <w:t>MPS I</w:t>
      </w:r>
      <w:r w:rsidR="00D869A5">
        <w:t>I through NBS</w:t>
      </w:r>
      <w:r w:rsidR="00D869A5" w:rsidRPr="00852439">
        <w:t xml:space="preserve"> may help newborns and their families </w:t>
      </w:r>
      <w:r w:rsidR="00D869A5">
        <w:t xml:space="preserve">through the ‘value of knowing’ and to </w:t>
      </w:r>
      <w:r w:rsidR="00D869A5" w:rsidRPr="00852439">
        <w:t xml:space="preserve">avoid a ‘diagnostic odyssey’. </w:t>
      </w:r>
      <w:r w:rsidR="00D869A5" w:rsidRPr="00597E3A">
        <w:t xml:space="preserve">MSAC </w:t>
      </w:r>
      <w:r w:rsidR="00D869A5">
        <w:t xml:space="preserve">considered families may view the </w:t>
      </w:r>
      <w:r w:rsidR="00D869A5" w:rsidRPr="00597E3A">
        <w:t xml:space="preserve">‘value of knowing’ differently. MSAC </w:t>
      </w:r>
      <w:r w:rsidR="00D869A5">
        <w:t>considered</w:t>
      </w:r>
      <w:r w:rsidR="00D869A5" w:rsidRPr="00597E3A">
        <w:t xml:space="preserve"> that many families will consider there to be a ‘value of knowing’ for a diagnosis with predicted disease course. For others, there will be increased anxiety and stress associated with uncertain prognoses, where phenotype cannot be determined and/or potential treatment options may not be immediately available. </w:t>
      </w:r>
      <w:r w:rsidR="00D869A5" w:rsidRPr="00D12AB4">
        <w:t xml:space="preserve"> </w:t>
      </w:r>
      <w:r w:rsidR="00D869A5">
        <w:t>MSAC noted that in the United States (US) where NBS for MPS I has been implemented in some states, t</w:t>
      </w:r>
      <w:r w:rsidR="00D869A5" w:rsidRPr="0000694C">
        <w:t>he National MPS Society receive</w:t>
      </w:r>
      <w:r w:rsidR="00D869A5">
        <w:t>s</w:t>
      </w:r>
      <w:r w:rsidR="00D869A5" w:rsidRPr="0000694C">
        <w:t xml:space="preserve"> 10–15 annual contacts from both distressed families and healthcare providers</w:t>
      </w:r>
      <w:r w:rsidR="00D869A5">
        <w:t xml:space="preserve"> with experiences of</w:t>
      </w:r>
      <w:r w:rsidR="00D869A5" w:rsidRPr="0000694C">
        <w:t xml:space="preserve"> inaccurate and false information related to the interpretation of the newborn screen result, as well as interpretation of subsequent testing. This confusion leads to anger and distrust related </w:t>
      </w:r>
      <w:r w:rsidR="00F50041">
        <w:t>to</w:t>
      </w:r>
      <w:r w:rsidR="00D869A5" w:rsidRPr="0000694C">
        <w:t xml:space="preserve"> the entire process of MPS I newborn screening</w:t>
      </w:r>
      <w:r w:rsidR="00D869A5" w:rsidRPr="00597E3A">
        <w:rPr>
          <w:vertAlign w:val="superscript"/>
        </w:rPr>
        <w:footnoteReference w:id="6"/>
      </w:r>
      <w:r w:rsidR="00D869A5" w:rsidRPr="00597E3A">
        <w:t>.</w:t>
      </w:r>
      <w:bookmarkEnd w:id="3"/>
      <w:r w:rsidR="00D869A5">
        <w:t xml:space="preserve"> MSAC considered that due to the similarities between NBS for MPS I and MPS II there is potential for anxiety and stress for families of newborns diagnosed with MPS II if there is an uncertain prognosis, without the potential benefits of early treatment. </w:t>
      </w:r>
    </w:p>
    <w:p w14:paraId="3FE1E774" w14:textId="577041B1" w:rsidR="00D869A5" w:rsidRPr="008F21BA" w:rsidRDefault="00454FC7" w:rsidP="00D8399E">
      <w:pPr>
        <w:rPr>
          <w:rFonts w:cs="Arial"/>
        </w:rPr>
      </w:pPr>
      <w:r w:rsidRPr="006C49C3">
        <w:t xml:space="preserve">MSAC </w:t>
      </w:r>
      <w:r>
        <w:t>considered</w:t>
      </w:r>
      <w:r w:rsidRPr="006C49C3">
        <w:t xml:space="preserve"> </w:t>
      </w:r>
      <w:r>
        <w:t>that</w:t>
      </w:r>
      <w:r w:rsidRPr="006C49C3">
        <w:t xml:space="preserve"> carrier testing </w:t>
      </w:r>
      <w:r>
        <w:t xml:space="preserve">of </w:t>
      </w:r>
      <w:r w:rsidRPr="006C49C3">
        <w:t xml:space="preserve">at-risk family members </w:t>
      </w:r>
      <w:r>
        <w:t>can provide valuable information to support informed</w:t>
      </w:r>
      <w:r w:rsidRPr="006C49C3">
        <w:t xml:space="preserve"> reproductive decisions.</w:t>
      </w:r>
    </w:p>
    <w:p w14:paraId="3BB26153" w14:textId="6DBDE7E5" w:rsidR="00076C92" w:rsidRDefault="00076C92" w:rsidP="00E82874">
      <w:pPr>
        <w:rPr>
          <w:rFonts w:eastAsia="Arial" w:cs="Arial"/>
          <w:kern w:val="2"/>
          <w14:ligatures w14:val="standardContextual"/>
        </w:rPr>
      </w:pPr>
      <w:r>
        <w:rPr>
          <w:rFonts w:eastAsia="Arial"/>
          <w:kern w:val="2"/>
          <w14:ligatures w14:val="standardContextual"/>
        </w:rPr>
        <w:t>MSAC considered that there are ethical issues associated with screening newborns for conditions where some individuals may not develop the condition until adulthood</w:t>
      </w:r>
      <w:r w:rsidR="00E25734">
        <w:rPr>
          <w:rFonts w:eastAsia="Arial"/>
          <w:kern w:val="2"/>
          <w14:ligatures w14:val="standardContextual"/>
        </w:rPr>
        <w:t xml:space="preserve"> and</w:t>
      </w:r>
      <w:r>
        <w:rPr>
          <w:rFonts w:eastAsia="Arial"/>
          <w:kern w:val="2"/>
          <w14:ligatures w14:val="standardContextual"/>
        </w:rPr>
        <w:t xml:space="preserve"> if there is no effective intervention in childhood.</w:t>
      </w:r>
      <w:r w:rsidR="009E5EBA" w:rsidRPr="00311565">
        <w:rPr>
          <w:rFonts w:eastAsia="Arial"/>
          <w:kern w:val="2"/>
          <w14:ligatures w14:val="standardContextual"/>
        </w:rPr>
        <w:t xml:space="preserve"> </w:t>
      </w:r>
      <w:r w:rsidRPr="00076C92">
        <w:rPr>
          <w:rFonts w:eastAsia="Arial" w:cs="Arial"/>
          <w:kern w:val="2"/>
          <w14:ligatures w14:val="standardContextual"/>
        </w:rPr>
        <w:t>Most professional and legal organisations do not support testing children for adult-onset diseases to preserve the</w:t>
      </w:r>
      <w:r w:rsidR="00E25734">
        <w:rPr>
          <w:rFonts w:eastAsia="Arial" w:cs="Arial"/>
          <w:kern w:val="2"/>
          <w14:ligatures w14:val="standardContextual"/>
        </w:rPr>
        <w:t xml:space="preserve"> child’s</w:t>
      </w:r>
      <w:r w:rsidRPr="00076C92">
        <w:rPr>
          <w:rFonts w:eastAsia="Arial" w:cs="Arial"/>
          <w:kern w:val="2"/>
          <w14:ligatures w14:val="standardContextual"/>
        </w:rPr>
        <w:t xml:space="preserve"> autonomy and right to provide informed consent </w:t>
      </w:r>
      <w:r w:rsidRPr="00076C92">
        <w:rPr>
          <w:rFonts w:eastAsia="Arial" w:cs="Arial"/>
          <w:kern w:val="2"/>
          <w:vertAlign w:val="superscript"/>
          <w14:ligatures w14:val="standardContextual"/>
        </w:rPr>
        <w:footnoteReference w:id="7"/>
      </w:r>
      <w:r w:rsidRPr="00076C92">
        <w:rPr>
          <w:rFonts w:eastAsia="Arial" w:cs="Arial"/>
          <w:kern w:val="2"/>
          <w:vertAlign w:val="superscript"/>
          <w14:ligatures w14:val="standardContextual"/>
        </w:rPr>
        <w:t>,</w:t>
      </w:r>
      <w:r w:rsidRPr="00076C92">
        <w:rPr>
          <w:rFonts w:eastAsia="Arial" w:cs="Arial"/>
          <w:kern w:val="2"/>
          <w:vertAlign w:val="superscript"/>
          <w14:ligatures w14:val="standardContextual"/>
        </w:rPr>
        <w:footnoteReference w:id="8"/>
      </w:r>
      <w:r w:rsidRPr="00076C92">
        <w:rPr>
          <w:rFonts w:eastAsia="Arial" w:cs="Arial"/>
          <w:kern w:val="2"/>
          <w:vertAlign w:val="superscript"/>
          <w14:ligatures w14:val="standardContextual"/>
        </w:rPr>
        <w:t>,</w:t>
      </w:r>
      <w:r w:rsidRPr="00076C92">
        <w:rPr>
          <w:rFonts w:eastAsia="Arial" w:cs="Arial"/>
          <w:kern w:val="2"/>
          <w:vertAlign w:val="superscript"/>
          <w14:ligatures w14:val="standardContextual"/>
        </w:rPr>
        <w:footnoteReference w:id="9"/>
      </w:r>
      <w:r w:rsidRPr="00076C92">
        <w:rPr>
          <w:rFonts w:eastAsia="Arial" w:cs="Arial"/>
          <w:kern w:val="2"/>
          <w:vertAlign w:val="superscript"/>
          <w14:ligatures w14:val="standardContextual"/>
        </w:rPr>
        <w:footnoteReference w:id="10"/>
      </w:r>
      <w:r w:rsidRPr="00076C92">
        <w:rPr>
          <w:rFonts w:eastAsia="Arial" w:cs="Arial"/>
          <w:kern w:val="2"/>
          <w14:ligatures w14:val="standardContextual"/>
        </w:rPr>
        <w:t>. MSAC noted that many adults cho</w:t>
      </w:r>
      <w:r w:rsidR="00E25734">
        <w:rPr>
          <w:rFonts w:eastAsia="Arial" w:cs="Arial"/>
          <w:kern w:val="2"/>
          <w14:ligatures w14:val="standardContextual"/>
        </w:rPr>
        <w:t>o</w:t>
      </w:r>
      <w:r w:rsidRPr="00076C92">
        <w:rPr>
          <w:rFonts w:eastAsia="Arial" w:cs="Arial"/>
          <w:kern w:val="2"/>
          <w14:ligatures w14:val="standardContextual"/>
        </w:rPr>
        <w:t xml:space="preserve">se to forgo genetic testing for conditions such as Huntington’s disease, suggesting not all individuals want presymptomatic diagnosis when there are no effective treatment options available. </w:t>
      </w:r>
      <w:r w:rsidRPr="00076C92">
        <w:rPr>
          <w:rFonts w:eastAsia="Calibri" w:cs="Arial"/>
        </w:rPr>
        <w:t>MSAC considered there may also be implications for some types of insurance.</w:t>
      </w:r>
    </w:p>
    <w:p w14:paraId="11D3EE96" w14:textId="0B704299" w:rsidR="00076C92" w:rsidRPr="00076C92" w:rsidRDefault="00076C92" w:rsidP="003040A8">
      <w:pPr>
        <w:rPr>
          <w:rFonts w:eastAsia="Arial" w:cs="Arial"/>
          <w:kern w:val="2"/>
          <w14:ligatures w14:val="standardContextual"/>
        </w:rPr>
      </w:pPr>
      <w:r w:rsidRPr="00076C92">
        <w:rPr>
          <w:rFonts w:eastAsia="Arial" w:cs="Arial"/>
          <w:kern w:val="2"/>
          <w14:ligatures w14:val="standardContextual"/>
        </w:rPr>
        <w:t xml:space="preserve">MSAC considered that there is a significant ethical and equity issue </w:t>
      </w:r>
      <w:r>
        <w:rPr>
          <w:rFonts w:eastAsia="Arial" w:cs="Arial"/>
          <w:kern w:val="2"/>
          <w14:ligatures w14:val="standardContextual"/>
        </w:rPr>
        <w:t xml:space="preserve">as not all newborns would be eligible to access to pre-symptomatic treatment with </w:t>
      </w:r>
      <w:r w:rsidRPr="00076C92">
        <w:rPr>
          <w:rFonts w:eastAsia="Arial" w:cs="Arial"/>
          <w:kern w:val="2"/>
          <w14:ligatures w14:val="standardContextual"/>
        </w:rPr>
        <w:t>idursulfase</w:t>
      </w:r>
      <w:r>
        <w:rPr>
          <w:rFonts w:eastAsia="Arial" w:cs="Arial"/>
          <w:kern w:val="2"/>
          <w14:ligatures w14:val="standardContextual"/>
        </w:rPr>
        <w:t xml:space="preserve"> on the LSDP</w:t>
      </w:r>
      <w:r w:rsidRPr="00076C92">
        <w:rPr>
          <w:rFonts w:eastAsia="Arial" w:cs="Arial"/>
          <w:kern w:val="2"/>
          <w14:ligatures w14:val="standardContextual"/>
        </w:rPr>
        <w:t xml:space="preserve">. </w:t>
      </w:r>
    </w:p>
    <w:p w14:paraId="632D2B3D" w14:textId="2CB36B92" w:rsidR="00076C92" w:rsidRDefault="003526CD" w:rsidP="00076C92">
      <w:pPr>
        <w:rPr>
          <w:rFonts w:eastAsia="Arial"/>
          <w:kern w:val="2"/>
          <w:lang w:val="en-GB"/>
          <w14:ligatures w14:val="standardContextual"/>
        </w:rPr>
      </w:pPr>
      <w:r w:rsidRPr="00311565">
        <w:rPr>
          <w:rFonts w:eastAsia="Arial"/>
          <w:kern w:val="2"/>
          <w14:ligatures w14:val="standardContextual"/>
        </w:rPr>
        <w:t>MSAC advised that consideration could be given to only reporting diagnoses of</w:t>
      </w:r>
      <w:r>
        <w:rPr>
          <w:rFonts w:eastAsia="Arial"/>
          <w:kern w:val="2"/>
          <w14:ligatures w14:val="standardContextual"/>
        </w:rPr>
        <w:t xml:space="preserve"> MPS II</w:t>
      </w:r>
      <w:r w:rsidRPr="00311565">
        <w:rPr>
          <w:rFonts w:eastAsia="Arial"/>
          <w:kern w:val="2"/>
          <w14:ligatures w14:val="standardContextual"/>
        </w:rPr>
        <w:t xml:space="preserve"> where some benefits from early treatment</w:t>
      </w:r>
      <w:r>
        <w:rPr>
          <w:rFonts w:eastAsia="Arial"/>
          <w:kern w:val="2"/>
          <w14:ligatures w14:val="standardContextual"/>
        </w:rPr>
        <w:t>.</w:t>
      </w:r>
      <w:r w:rsidRPr="003526CD">
        <w:rPr>
          <w:rFonts w:eastAsia="Arial"/>
          <w:kern w:val="2"/>
          <w14:ligatures w14:val="standardContextual"/>
        </w:rPr>
        <w:t xml:space="preserve"> </w:t>
      </w:r>
      <w:r w:rsidR="00076C92" w:rsidRPr="00076C92">
        <w:rPr>
          <w:rFonts w:eastAsia="Arial"/>
          <w:kern w:val="2"/>
          <w14:ligatures w14:val="standardContextual"/>
        </w:rPr>
        <w:t xml:space="preserve">MSAC noted that NBS laboratories could limit reporting to known phenotypes </w:t>
      </w:r>
      <w:r w:rsidR="009C0854">
        <w:rPr>
          <w:rFonts w:eastAsia="Arial"/>
          <w:kern w:val="2"/>
          <w14:ligatures w14:val="standardContextual"/>
        </w:rPr>
        <w:t>with</w:t>
      </w:r>
      <w:r w:rsidR="00A96983">
        <w:rPr>
          <w:rFonts w:eastAsia="Arial"/>
          <w:kern w:val="2"/>
          <w14:ligatures w14:val="standardContextual"/>
        </w:rPr>
        <w:t xml:space="preserve"> </w:t>
      </w:r>
      <w:r w:rsidR="00076C92" w:rsidRPr="00076C92">
        <w:rPr>
          <w:rFonts w:eastAsia="Arial"/>
          <w:kern w:val="2"/>
          <w14:ligatures w14:val="standardContextual"/>
        </w:rPr>
        <w:t>an effective early intervention</w:t>
      </w:r>
      <w:r w:rsidR="009C0854">
        <w:rPr>
          <w:rFonts w:eastAsia="Arial"/>
          <w:kern w:val="2"/>
          <w14:ligatures w14:val="standardContextual"/>
        </w:rPr>
        <w:t>,</w:t>
      </w:r>
      <w:r w:rsidR="00076C92" w:rsidRPr="00076C92">
        <w:rPr>
          <w:rFonts w:eastAsia="Arial"/>
          <w:kern w:val="2"/>
          <w14:ligatures w14:val="standardContextual"/>
        </w:rPr>
        <w:t xml:space="preserve"> and not report results for unknown phenotypes (including VUSs) but considered there are ethical issues associated with not reporting abnormal test results</w:t>
      </w:r>
      <w:r w:rsidR="000F0140">
        <w:rPr>
          <w:rFonts w:eastAsia="Arial"/>
          <w:kern w:val="2"/>
          <w14:ligatures w14:val="standardContextual"/>
        </w:rPr>
        <w:t xml:space="preserve">, particularly as the testing methodology detects abnormal GAG </w:t>
      </w:r>
      <w:r w:rsidR="000F0140">
        <w:rPr>
          <w:rFonts w:eastAsia="Arial"/>
          <w:kern w:val="2"/>
          <w14:ligatures w14:val="standardContextual"/>
        </w:rPr>
        <w:lastRenderedPageBreak/>
        <w:t>storage</w:t>
      </w:r>
      <w:r w:rsidR="00076C92" w:rsidRPr="00076C92">
        <w:rPr>
          <w:rFonts w:eastAsia="Arial"/>
          <w:kern w:val="2"/>
          <w14:ligatures w14:val="standardContextual"/>
        </w:rPr>
        <w:t>. MSAC considered that further information on the acceptability of such an approach to the general population would be needed to inform consideration</w:t>
      </w:r>
      <w:r w:rsidR="009C6F53" w:rsidRPr="009C6F53">
        <w:rPr>
          <w:rFonts w:eastAsia="Arial"/>
          <w:kern w:val="2"/>
          <w14:ligatures w14:val="standardContextual"/>
        </w:rPr>
        <w:t xml:space="preserve"> </w:t>
      </w:r>
      <w:r w:rsidR="009C6F53" w:rsidRPr="00612324">
        <w:rPr>
          <w:lang w:val="en-GB"/>
        </w:rPr>
        <w:t xml:space="preserve">by </w:t>
      </w:r>
      <w:r w:rsidR="009C6F53">
        <w:rPr>
          <w:lang w:val="en-GB"/>
        </w:rPr>
        <w:t>the other bodies in the decision-making pathway, and that this issue should be resolved prior to implementation</w:t>
      </w:r>
      <w:r w:rsidR="009C6F53">
        <w:rPr>
          <w:rFonts w:eastAsia="Arial"/>
          <w:kern w:val="2"/>
          <w14:ligatures w14:val="standardContextual"/>
        </w:rPr>
        <w:t>. MSAC acknowledged that clinical review would be required to determine phenotype and prognosis, so limiting reporting may not be possible in all cases.</w:t>
      </w:r>
    </w:p>
    <w:p w14:paraId="7685CF21" w14:textId="1EDA35E3" w:rsidR="00C92ED8" w:rsidRDefault="00A710DF" w:rsidP="00A710DF">
      <w:pPr>
        <w:spacing w:before="0" w:after="0" w:line="240" w:lineRule="auto"/>
        <w:rPr>
          <w:lang w:val="en-US"/>
        </w:rPr>
      </w:pPr>
      <w:r w:rsidRPr="00A710DF">
        <w:rPr>
          <w:rFonts w:eastAsia="Calibri" w:cs="Arial"/>
          <w:lang w:val="en-GB"/>
        </w:rPr>
        <w:t xml:space="preserve">MSAC advised that the addition of MPS </w:t>
      </w:r>
      <w:r w:rsidR="001C7283">
        <w:rPr>
          <w:rFonts w:eastAsia="Calibri" w:cs="Arial"/>
          <w:lang w:val="en-GB"/>
        </w:rPr>
        <w:t>I</w:t>
      </w:r>
      <w:r w:rsidRPr="00A710DF">
        <w:rPr>
          <w:rFonts w:eastAsia="Calibri" w:cs="Arial"/>
          <w:lang w:val="en-GB"/>
        </w:rPr>
        <w:t xml:space="preserve">I to </w:t>
      </w:r>
      <w:r w:rsidR="001C7283">
        <w:rPr>
          <w:rFonts w:eastAsia="Calibri" w:cs="Arial"/>
          <w:lang w:val="en-GB"/>
        </w:rPr>
        <w:t>NBS</w:t>
      </w:r>
      <w:r w:rsidRPr="00A710DF">
        <w:rPr>
          <w:rFonts w:eastAsia="Calibri" w:cs="Arial"/>
          <w:lang w:val="en-GB"/>
        </w:rPr>
        <w:t xml:space="preserve"> programs has ethical considerations that warrant </w:t>
      </w:r>
      <w:r w:rsidR="5014E86D" w:rsidRPr="00A710DF">
        <w:rPr>
          <w:rFonts w:eastAsia="Calibri" w:cs="Arial"/>
          <w:lang w:val="en-GB"/>
        </w:rPr>
        <w:t>update</w:t>
      </w:r>
      <w:r w:rsidR="35DF16D1" w:rsidRPr="00A710DF">
        <w:rPr>
          <w:rFonts w:eastAsia="Calibri" w:cs="Arial"/>
          <w:lang w:val="en-GB"/>
        </w:rPr>
        <w:t>s to</w:t>
      </w:r>
      <w:r w:rsidRPr="00A710DF">
        <w:rPr>
          <w:rFonts w:eastAsia="Calibri" w:cs="Arial"/>
          <w:lang w:val="en-GB"/>
        </w:rPr>
        <w:t xml:space="preserve"> consent </w:t>
      </w:r>
      <w:r w:rsidR="5014E86D" w:rsidRPr="00A710DF">
        <w:rPr>
          <w:rFonts w:eastAsia="Calibri" w:cs="Arial"/>
          <w:lang w:val="en-GB"/>
        </w:rPr>
        <w:t>process</w:t>
      </w:r>
      <w:r w:rsidR="31C57034" w:rsidRPr="00A710DF">
        <w:rPr>
          <w:rFonts w:eastAsia="Calibri" w:cs="Arial"/>
          <w:lang w:val="en-GB"/>
        </w:rPr>
        <w:t>es</w:t>
      </w:r>
      <w:r w:rsidRPr="00A710DF">
        <w:rPr>
          <w:rFonts w:eastAsia="Calibri" w:cs="Arial"/>
          <w:lang w:val="en-GB"/>
        </w:rPr>
        <w:t xml:space="preserve"> when MPS I</w:t>
      </w:r>
      <w:r w:rsidR="001C7283">
        <w:rPr>
          <w:rFonts w:eastAsia="Calibri" w:cs="Arial"/>
          <w:lang w:val="en-GB"/>
        </w:rPr>
        <w:t>I</w:t>
      </w:r>
      <w:r w:rsidRPr="00A710DF">
        <w:rPr>
          <w:rFonts w:eastAsia="Calibri" w:cs="Arial"/>
          <w:lang w:val="en-GB"/>
        </w:rPr>
        <w:t xml:space="preserve"> screening is implemented.</w:t>
      </w:r>
      <w:r w:rsidRPr="00A710DF">
        <w:rPr>
          <w:rFonts w:eastAsia="Calibri" w:cs="Arial"/>
          <w:lang w:val="en-US"/>
        </w:rPr>
        <w:t xml:space="preserve"> </w:t>
      </w:r>
      <w:bookmarkStart w:id="4" w:name="_Hlk200557221"/>
      <w:r>
        <w:rPr>
          <w:rFonts w:eastAsia="Arial"/>
          <w:kern w:val="2"/>
          <w14:ligatures w14:val="standardContextual"/>
        </w:rPr>
        <w:t xml:space="preserve">MSAC noted that, currently, there is no national consensus about the requirement for written consent for newborn screening and written consent is not universally required in all states and territories. </w:t>
      </w:r>
      <w:bookmarkStart w:id="5" w:name="_Hlk200557242"/>
      <w:bookmarkEnd w:id="4"/>
      <w:r w:rsidRPr="00612324">
        <w:rPr>
          <w:lang w:val="en-GB"/>
        </w:rPr>
        <w:t xml:space="preserve">MSAC </w:t>
      </w:r>
      <w:r>
        <w:rPr>
          <w:lang w:val="en-GB"/>
        </w:rPr>
        <w:t xml:space="preserve">therefore </w:t>
      </w:r>
      <w:r w:rsidRPr="00612324">
        <w:rPr>
          <w:lang w:val="en-GB"/>
        </w:rPr>
        <w:t xml:space="preserve">advised that </w:t>
      </w:r>
      <w:r w:rsidR="006E1B30">
        <w:rPr>
          <w:lang w:val="en-GB"/>
        </w:rPr>
        <w:t xml:space="preserve">appropriate </w:t>
      </w:r>
      <w:r w:rsidRPr="00612324">
        <w:rPr>
          <w:lang w:val="en-GB"/>
        </w:rPr>
        <w:t>consent process</w:t>
      </w:r>
      <w:r w:rsidR="006E1B30">
        <w:rPr>
          <w:lang w:val="en-GB"/>
        </w:rPr>
        <w:t>es</w:t>
      </w:r>
      <w:r w:rsidRPr="00612324">
        <w:rPr>
          <w:lang w:val="en-GB"/>
        </w:rPr>
        <w:t xml:space="preserve"> </w:t>
      </w:r>
      <w:r>
        <w:rPr>
          <w:lang w:val="en-GB"/>
        </w:rPr>
        <w:t xml:space="preserve">must be </w:t>
      </w:r>
      <w:r w:rsidR="2E8457AA">
        <w:rPr>
          <w:lang w:val="en-GB"/>
        </w:rPr>
        <w:t>updated</w:t>
      </w:r>
      <w:r>
        <w:rPr>
          <w:lang w:val="en-GB"/>
        </w:rPr>
        <w:t xml:space="preserve"> with the implementation of screening newborns for MPS II. </w:t>
      </w:r>
      <w:bookmarkEnd w:id="5"/>
      <w:r w:rsidRPr="00A710DF">
        <w:rPr>
          <w:lang w:val="en-GB"/>
        </w:rPr>
        <w:t xml:space="preserve">MSAC considered the consent process should inform families </w:t>
      </w:r>
      <w:r>
        <w:rPr>
          <w:lang w:val="en-GB"/>
        </w:rPr>
        <w:t>of the potential for a diagnosis of MPS II with an uncertain prognosis (if these are reported),</w:t>
      </w:r>
      <w:r w:rsidR="00315A0B">
        <w:rPr>
          <w:lang w:val="en-GB"/>
        </w:rPr>
        <w:t xml:space="preserve"> and</w:t>
      </w:r>
      <w:r>
        <w:rPr>
          <w:lang w:val="en-GB"/>
        </w:rPr>
        <w:t xml:space="preserve"> that some newborns diagnosed may not develop significant symptoms or may develop symptoms in in late childhood or adulthood</w:t>
      </w:r>
      <w:r w:rsidRPr="00612324">
        <w:rPr>
          <w:lang w:val="en-GB"/>
        </w:rPr>
        <w:t>.</w:t>
      </w:r>
      <w:r w:rsidRPr="00612324">
        <w:rPr>
          <w:rFonts w:cs="Arial"/>
          <w:lang w:val="en-US"/>
        </w:rPr>
        <w:t xml:space="preserve"> </w:t>
      </w:r>
      <w:r w:rsidR="00C92ED8">
        <w:rPr>
          <w:rFonts w:cs="Arial"/>
          <w:lang w:val="en-US"/>
        </w:rPr>
        <w:t xml:space="preserve">MSAC considered this consent should inform families of the </w:t>
      </w:r>
      <w:r w:rsidR="00C92ED8" w:rsidRPr="00C92ED8">
        <w:rPr>
          <w:rFonts w:cs="Arial"/>
          <w:lang w:val="en-US"/>
        </w:rPr>
        <w:t>availability</w:t>
      </w:r>
      <w:r w:rsidR="00614C58">
        <w:rPr>
          <w:rFonts w:cs="Arial"/>
          <w:lang w:val="en-US"/>
        </w:rPr>
        <w:t xml:space="preserve"> (or not)</w:t>
      </w:r>
      <w:r w:rsidR="00C92ED8" w:rsidRPr="00C92ED8">
        <w:rPr>
          <w:rFonts w:cs="Arial"/>
          <w:lang w:val="en-US"/>
        </w:rPr>
        <w:t xml:space="preserve"> of </w:t>
      </w:r>
      <w:r w:rsidR="00C92ED8">
        <w:rPr>
          <w:rFonts w:cs="Arial"/>
          <w:lang w:val="en-US"/>
        </w:rPr>
        <w:t xml:space="preserve">a </w:t>
      </w:r>
      <w:r w:rsidR="00C92ED8" w:rsidRPr="00C92ED8">
        <w:rPr>
          <w:rFonts w:cs="Arial"/>
          <w:lang w:val="en-US"/>
        </w:rPr>
        <w:t xml:space="preserve">publicly funded effective early treatment so they can provide informed consent. </w:t>
      </w:r>
      <w:r>
        <w:rPr>
          <w:lang w:val="en-US"/>
        </w:rPr>
        <w:t xml:space="preserve">MSAC advised that this consent should incorporate the consensus on reporting diagnoses of MPS II. </w:t>
      </w:r>
    </w:p>
    <w:p w14:paraId="7DE3329C" w14:textId="18480521" w:rsidR="00A710DF" w:rsidRPr="008F21BA" w:rsidRDefault="00A710DF" w:rsidP="006F1949">
      <w:pPr>
        <w:spacing w:after="0" w:line="240" w:lineRule="auto"/>
      </w:pPr>
      <w:r w:rsidRPr="00612324">
        <w:rPr>
          <w:lang w:val="en-GB"/>
        </w:rPr>
        <w:t>MSAC considered</w:t>
      </w:r>
      <w:r>
        <w:rPr>
          <w:lang w:val="en-GB"/>
        </w:rPr>
        <w:t xml:space="preserve"> that this is </w:t>
      </w:r>
      <w:r w:rsidR="00C92ED8">
        <w:rPr>
          <w:lang w:val="en-GB"/>
        </w:rPr>
        <w:t>essential</w:t>
      </w:r>
      <w:r>
        <w:rPr>
          <w:lang w:val="en-GB"/>
        </w:rPr>
        <w:t xml:space="preserve"> to minimise any potential negative impact on the existing public trust in the NBS programs, as evidenced by the </w:t>
      </w:r>
      <w:r w:rsidRPr="00311565">
        <w:rPr>
          <w:rFonts w:eastAsia="Arial"/>
          <w:kern w:val="2"/>
          <w14:ligatures w14:val="standardContextual"/>
        </w:rPr>
        <w:t>near universal uptake</w:t>
      </w:r>
      <w:r>
        <w:rPr>
          <w:rFonts w:eastAsia="Arial"/>
          <w:kern w:val="2"/>
          <w14:ligatures w14:val="standardContextual"/>
        </w:rPr>
        <w:t xml:space="preserve"> (</w:t>
      </w:r>
      <w:r w:rsidR="00797EF7">
        <w:rPr>
          <w:rFonts w:eastAsia="Arial"/>
          <w:kern w:val="2"/>
          <w14:ligatures w14:val="standardContextual"/>
        </w:rPr>
        <w:t xml:space="preserve">over </w:t>
      </w:r>
      <w:r>
        <w:rPr>
          <w:rFonts w:eastAsia="Arial"/>
          <w:kern w:val="2"/>
          <w14:ligatures w14:val="standardContextual"/>
        </w:rPr>
        <w:t>99.</w:t>
      </w:r>
      <w:r w:rsidR="00797EF7">
        <w:rPr>
          <w:rFonts w:eastAsia="Arial"/>
          <w:kern w:val="2"/>
          <w14:ligatures w14:val="standardContextual"/>
        </w:rPr>
        <w:t>0</w:t>
      </w:r>
      <w:r>
        <w:rPr>
          <w:rFonts w:eastAsia="Arial"/>
          <w:kern w:val="2"/>
          <w14:ligatures w14:val="standardContextual"/>
        </w:rPr>
        <w:t>%)</w:t>
      </w:r>
      <w:r w:rsidRPr="00311565">
        <w:rPr>
          <w:rFonts w:eastAsia="Arial"/>
          <w:kern w:val="2"/>
          <w14:ligatures w14:val="standardContextual"/>
        </w:rPr>
        <w:t xml:space="preserve">. </w:t>
      </w:r>
      <w:r>
        <w:rPr>
          <w:lang w:val="en-GB"/>
        </w:rPr>
        <w:t xml:space="preserve">MSAC considered there may be a risk in </w:t>
      </w:r>
      <w:r w:rsidRPr="00612324">
        <w:rPr>
          <w:lang w:val="en-GB"/>
        </w:rPr>
        <w:t>diagnosing children with adult-onset conditions, or conditions with no early intervention</w:t>
      </w:r>
      <w:r>
        <w:rPr>
          <w:lang w:val="en-GB"/>
        </w:rPr>
        <w:t xml:space="preserve"> as t</w:t>
      </w:r>
      <w:r w:rsidRPr="00F023CC">
        <w:t>his can potentially discourage parents from participating in NBS programs.</w:t>
      </w:r>
      <w:r>
        <w:t xml:space="preserve"> </w:t>
      </w:r>
      <w:r>
        <w:rPr>
          <w:rFonts w:eastAsia="Arial"/>
          <w:kern w:val="2"/>
          <w14:ligatures w14:val="standardContextual"/>
        </w:rPr>
        <w:t xml:space="preserve">Therefore, </w:t>
      </w:r>
      <w:r>
        <w:t xml:space="preserve">MSAC advised that the consent process would need to be carefully managed to ensure that trust in NBS programs is not diminished. </w:t>
      </w:r>
      <w:r w:rsidRPr="00311565">
        <w:rPr>
          <w:rFonts w:eastAsia="Arial"/>
          <w:kern w:val="2"/>
          <w14:ligatures w14:val="standardContextual"/>
        </w:rPr>
        <w:t xml:space="preserve">MSAC advised that reduced participation in newborn screening would lead to worse health outcomes </w:t>
      </w:r>
      <w:r>
        <w:rPr>
          <w:rFonts w:eastAsia="Arial"/>
          <w:kern w:val="2"/>
          <w14:ligatures w14:val="standardContextual"/>
        </w:rPr>
        <w:t>at a population level, as</w:t>
      </w:r>
      <w:r w:rsidRPr="00311565">
        <w:rPr>
          <w:rFonts w:eastAsia="Arial"/>
          <w:kern w:val="2"/>
          <w14:ligatures w14:val="standardContextual"/>
        </w:rPr>
        <w:t xml:space="preserve"> </w:t>
      </w:r>
      <w:r>
        <w:rPr>
          <w:rFonts w:eastAsia="Arial"/>
          <w:kern w:val="2"/>
          <w14:ligatures w14:val="standardContextual"/>
        </w:rPr>
        <w:t xml:space="preserve">fewer </w:t>
      </w:r>
      <w:r w:rsidRPr="00311565">
        <w:rPr>
          <w:rFonts w:eastAsia="Arial"/>
          <w:kern w:val="2"/>
          <w14:ligatures w14:val="standardContextual"/>
        </w:rPr>
        <w:t xml:space="preserve">newborns </w:t>
      </w:r>
      <w:r>
        <w:rPr>
          <w:rFonts w:eastAsia="Arial"/>
          <w:kern w:val="2"/>
          <w14:ligatures w14:val="standardContextual"/>
        </w:rPr>
        <w:t xml:space="preserve">would be diagnosed earlier and receive </w:t>
      </w:r>
      <w:r w:rsidRPr="00311565">
        <w:rPr>
          <w:rFonts w:eastAsia="Arial"/>
          <w:kern w:val="2"/>
          <w14:ligatures w14:val="standardContextual"/>
        </w:rPr>
        <w:t>effective earl</w:t>
      </w:r>
      <w:r>
        <w:rPr>
          <w:rFonts w:eastAsia="Arial"/>
          <w:kern w:val="2"/>
          <w14:ligatures w14:val="standardContextual"/>
        </w:rPr>
        <w:t>ier</w:t>
      </w:r>
      <w:r w:rsidRPr="00311565">
        <w:rPr>
          <w:rFonts w:eastAsia="Arial"/>
          <w:kern w:val="2"/>
          <w14:ligatures w14:val="standardContextual"/>
        </w:rPr>
        <w:t xml:space="preserve"> </w:t>
      </w:r>
      <w:r>
        <w:rPr>
          <w:rFonts w:eastAsia="Arial"/>
          <w:kern w:val="2"/>
          <w14:ligatures w14:val="standardContextual"/>
        </w:rPr>
        <w:t>treatment for more common conditions such as cystic fibrosis and congenital hypothyroidism</w:t>
      </w:r>
      <w:r w:rsidRPr="00612324">
        <w:t>.</w:t>
      </w:r>
      <w:r w:rsidRPr="00C92C94">
        <w:t xml:space="preserve"> </w:t>
      </w:r>
    </w:p>
    <w:p w14:paraId="337FBBE0" w14:textId="4DE45849" w:rsidR="00716CD7" w:rsidRPr="006C49C3" w:rsidRDefault="00423D48" w:rsidP="006C49C3">
      <w:pPr>
        <w:rPr>
          <w:rFonts w:cs="Arial"/>
        </w:rPr>
      </w:pPr>
      <w:r w:rsidRPr="00612324">
        <w:rPr>
          <w:lang w:val="en-GB"/>
        </w:rPr>
        <w:t>MSAC advised that</w:t>
      </w:r>
      <w:r>
        <w:rPr>
          <w:lang w:val="en-GB"/>
        </w:rPr>
        <w:t>,</w:t>
      </w:r>
      <w:r w:rsidRPr="00612324">
        <w:rPr>
          <w:lang w:val="en-GB"/>
        </w:rPr>
        <w:t xml:space="preserve"> if NBS for MPS I</w:t>
      </w:r>
      <w:r w:rsidR="00C03A90">
        <w:rPr>
          <w:lang w:val="en-GB"/>
        </w:rPr>
        <w:t>I</w:t>
      </w:r>
      <w:r w:rsidRPr="00612324">
        <w:rPr>
          <w:lang w:val="en-GB"/>
        </w:rPr>
        <w:t xml:space="preserve"> is implemented, a registry should be developed </w:t>
      </w:r>
      <w:r w:rsidR="00716CD7" w:rsidRPr="00612324">
        <w:rPr>
          <w:lang w:val="en-GB"/>
        </w:rPr>
        <w:t xml:space="preserve">to enable long-term follow-up to establish </w:t>
      </w:r>
      <w:r w:rsidR="00716CD7">
        <w:rPr>
          <w:lang w:val="en-GB"/>
        </w:rPr>
        <w:t>incidence of each disease subtype</w:t>
      </w:r>
      <w:r w:rsidR="00716CD7" w:rsidRPr="00612324">
        <w:rPr>
          <w:lang w:val="en-GB"/>
        </w:rPr>
        <w:t xml:space="preserve"> and</w:t>
      </w:r>
      <w:r w:rsidR="00716CD7">
        <w:rPr>
          <w:lang w:val="en-GB"/>
        </w:rPr>
        <w:t xml:space="preserve"> </w:t>
      </w:r>
      <w:r w:rsidR="00716CD7" w:rsidRPr="00612324">
        <w:rPr>
          <w:lang w:val="en-GB"/>
        </w:rPr>
        <w:t>genotype–phenotype relationships (including the proportion of individuals with each MPS I</w:t>
      </w:r>
      <w:r>
        <w:rPr>
          <w:lang w:val="en-GB"/>
        </w:rPr>
        <w:t>I</w:t>
      </w:r>
      <w:r w:rsidR="00716CD7" w:rsidRPr="00612324">
        <w:rPr>
          <w:lang w:val="en-GB"/>
        </w:rPr>
        <w:t xml:space="preserve"> subtype in the Australian context), and collect </w:t>
      </w:r>
      <w:r w:rsidR="00716CD7">
        <w:rPr>
          <w:lang w:val="en-GB"/>
        </w:rPr>
        <w:t xml:space="preserve">clinical outcomes </w:t>
      </w:r>
      <w:r w:rsidR="00716CD7" w:rsidRPr="00612324">
        <w:rPr>
          <w:lang w:val="en-GB"/>
        </w:rPr>
        <w:t>data on the potential benefits of earlier treatment. MSAC also considered</w:t>
      </w:r>
      <w:r w:rsidR="00763E1C">
        <w:rPr>
          <w:lang w:val="en-GB"/>
        </w:rPr>
        <w:t xml:space="preserve"> that</w:t>
      </w:r>
      <w:r w:rsidR="00716CD7" w:rsidRPr="00612324">
        <w:rPr>
          <w:lang w:val="en-GB"/>
        </w:rPr>
        <w:t xml:space="preserve"> a national screening protocol for MPS </w:t>
      </w:r>
      <w:r>
        <w:rPr>
          <w:lang w:val="en-GB"/>
        </w:rPr>
        <w:t>I</w:t>
      </w:r>
      <w:r w:rsidR="00716CD7" w:rsidRPr="00612324">
        <w:rPr>
          <w:lang w:val="en-GB"/>
        </w:rPr>
        <w:t xml:space="preserve">I </w:t>
      </w:r>
      <w:r w:rsidR="00E65684">
        <w:rPr>
          <w:lang w:val="en-GB"/>
        </w:rPr>
        <w:t>should</w:t>
      </w:r>
      <w:r w:rsidR="00716CD7" w:rsidRPr="00612324">
        <w:rPr>
          <w:lang w:val="en-GB"/>
        </w:rPr>
        <w:t xml:space="preserve"> be agreed </w:t>
      </w:r>
      <w:r w:rsidR="008F0E7F">
        <w:rPr>
          <w:lang w:val="en-GB"/>
        </w:rPr>
        <w:t xml:space="preserve">upon </w:t>
      </w:r>
      <w:r w:rsidR="00716CD7" w:rsidRPr="00612324">
        <w:rPr>
          <w:lang w:val="en-GB"/>
        </w:rPr>
        <w:t>and implemented concurrently across all jurisdictions to ensure equit</w:t>
      </w:r>
      <w:r w:rsidR="008E0068">
        <w:rPr>
          <w:lang w:val="en-GB"/>
        </w:rPr>
        <w:t>able</w:t>
      </w:r>
      <w:r w:rsidR="00716CD7" w:rsidRPr="00612324">
        <w:rPr>
          <w:lang w:val="en-GB"/>
        </w:rPr>
        <w:t xml:space="preserve"> access to screening.</w:t>
      </w:r>
    </w:p>
    <w:p w14:paraId="5671369D" w14:textId="61C912E7" w:rsidR="00BC50D7" w:rsidRPr="00612324" w:rsidRDefault="00BC50D7" w:rsidP="00BC50D7">
      <w:r w:rsidRPr="00612324">
        <w:t xml:space="preserve">MSAC </w:t>
      </w:r>
      <w:r w:rsidR="00BE6ECB">
        <w:t>advised</w:t>
      </w:r>
      <w:r w:rsidRPr="00612324">
        <w:t xml:space="preserve"> </w:t>
      </w:r>
      <w:r w:rsidR="00257DA3">
        <w:t xml:space="preserve">that </w:t>
      </w:r>
      <w:r>
        <w:t>adding</w:t>
      </w:r>
      <w:r w:rsidRPr="00612324">
        <w:t xml:space="preserve"> </w:t>
      </w:r>
      <w:r>
        <w:t xml:space="preserve">LSDs to newborn screening </w:t>
      </w:r>
      <w:r w:rsidRPr="00612324">
        <w:t xml:space="preserve">programs </w:t>
      </w:r>
      <w:r>
        <w:t xml:space="preserve">as part of an agreed </w:t>
      </w:r>
      <w:r w:rsidR="0034794A">
        <w:t xml:space="preserve">multiplexed </w:t>
      </w:r>
      <w:r>
        <w:t xml:space="preserve">panel would be </w:t>
      </w:r>
      <w:r w:rsidR="0050740E">
        <w:t xml:space="preserve">more efficient and </w:t>
      </w:r>
      <w:r>
        <w:t>preferrable.</w:t>
      </w:r>
    </w:p>
    <w:p w14:paraId="158CB518" w14:textId="3D0B805E" w:rsidR="006C49C3" w:rsidRPr="006C49C3" w:rsidRDefault="006C49C3" w:rsidP="006C49C3">
      <w:pPr>
        <w:rPr>
          <w:rFonts w:cs="Arial"/>
        </w:rPr>
      </w:pPr>
      <w:r w:rsidRPr="006C49C3">
        <w:t xml:space="preserve">Overall, MSAC supported </w:t>
      </w:r>
      <w:r w:rsidR="00672ED4">
        <w:t xml:space="preserve">the addition of MPS II to </w:t>
      </w:r>
      <w:r w:rsidRPr="006C49C3">
        <w:t>the NBS program</w:t>
      </w:r>
      <w:r w:rsidR="00672ED4">
        <w:t>s,</w:t>
      </w:r>
      <w:r w:rsidRPr="006C49C3">
        <w:t xml:space="preserve"> </w:t>
      </w:r>
      <w:r w:rsidR="004E34E1">
        <w:t>provided</w:t>
      </w:r>
      <w:r w:rsidR="004E34E1" w:rsidRPr="006C49C3">
        <w:t xml:space="preserve"> </w:t>
      </w:r>
      <w:r w:rsidRPr="006C49C3">
        <w:t>the following issues are addressed before implementation:</w:t>
      </w:r>
    </w:p>
    <w:p w14:paraId="6F2D7549" w14:textId="28A31B04" w:rsidR="00F36C31" w:rsidRDefault="00D86B71" w:rsidP="00382690">
      <w:pPr>
        <w:pStyle w:val="Bullet"/>
        <w:numPr>
          <w:ilvl w:val="0"/>
          <w:numId w:val="25"/>
        </w:numPr>
        <w:spacing w:before="0"/>
        <w:ind w:left="720"/>
        <w:rPr>
          <w:rFonts w:ascii="Franklin Gothic Book" w:hAnsi="Franklin Gothic Book"/>
        </w:rPr>
      </w:pPr>
      <w:r>
        <w:rPr>
          <w:rFonts w:ascii="Franklin Gothic Book" w:hAnsi="Franklin Gothic Book"/>
        </w:rPr>
        <w:t>A c</w:t>
      </w:r>
      <w:r w:rsidR="00F36C31" w:rsidRPr="00D333AD">
        <w:rPr>
          <w:rFonts w:ascii="Franklin Gothic Book" w:hAnsi="Franklin Gothic Book"/>
        </w:rPr>
        <w:t>onsensus</w:t>
      </w:r>
      <w:r>
        <w:rPr>
          <w:rFonts w:ascii="Franklin Gothic Book" w:hAnsi="Franklin Gothic Book"/>
        </w:rPr>
        <w:t xml:space="preserve"> is reached</w:t>
      </w:r>
      <w:r w:rsidR="00F36C31" w:rsidRPr="00D333AD">
        <w:rPr>
          <w:rFonts w:ascii="Franklin Gothic Book" w:hAnsi="Franklin Gothic Book"/>
        </w:rPr>
        <w:t xml:space="preserve"> </w:t>
      </w:r>
      <w:r w:rsidR="00F36C31">
        <w:rPr>
          <w:rFonts w:ascii="Franklin Gothic Book" w:hAnsi="Franklin Gothic Book"/>
        </w:rPr>
        <w:t>regarding whether</w:t>
      </w:r>
      <w:r w:rsidR="00F36C31" w:rsidRPr="00D333AD">
        <w:rPr>
          <w:rFonts w:ascii="Franklin Gothic Book" w:hAnsi="Franklin Gothic Book"/>
        </w:rPr>
        <w:t xml:space="preserve"> </w:t>
      </w:r>
      <w:r w:rsidR="00F36C31">
        <w:rPr>
          <w:rFonts w:ascii="Franklin Gothic Book" w:hAnsi="Franklin Gothic Book"/>
        </w:rPr>
        <w:t>a diagnosis of MPS II</w:t>
      </w:r>
      <w:r w:rsidR="00F36C31" w:rsidRPr="00D333AD">
        <w:rPr>
          <w:rFonts w:ascii="Franklin Gothic Book" w:hAnsi="Franklin Gothic Book"/>
        </w:rPr>
        <w:t xml:space="preserve"> should be reported for newborns </w:t>
      </w:r>
      <w:r w:rsidR="00F36C31">
        <w:rPr>
          <w:rFonts w:ascii="Franklin Gothic Book" w:hAnsi="Franklin Gothic Book"/>
        </w:rPr>
        <w:t xml:space="preserve">predicted to develop attenuated </w:t>
      </w:r>
      <w:r w:rsidR="00382690">
        <w:rPr>
          <w:rFonts w:ascii="Franklin Gothic Book" w:hAnsi="Franklin Gothic Book"/>
        </w:rPr>
        <w:t xml:space="preserve">or later onset form of </w:t>
      </w:r>
      <w:r w:rsidR="00F36C31">
        <w:rPr>
          <w:rFonts w:ascii="Franklin Gothic Book" w:hAnsi="Franklin Gothic Book"/>
        </w:rPr>
        <w:t>MPS II</w:t>
      </w:r>
      <w:r w:rsidR="006506E4">
        <w:rPr>
          <w:rFonts w:ascii="Franklin Gothic Book" w:hAnsi="Franklin Gothic Book"/>
        </w:rPr>
        <w:t xml:space="preserve"> or for newborns who would not have access to treatment at diagnosis</w:t>
      </w:r>
      <w:r w:rsidR="00382690" w:rsidRPr="00D333AD">
        <w:rPr>
          <w:rFonts w:ascii="Franklin Gothic Book" w:hAnsi="Franklin Gothic Book"/>
        </w:rPr>
        <w:t xml:space="preserve"> (</w:t>
      </w:r>
      <w:r w:rsidR="00382690">
        <w:rPr>
          <w:rFonts w:ascii="Franklin Gothic Book" w:hAnsi="Franklin Gothic Book"/>
        </w:rPr>
        <w:t>i.e.</w:t>
      </w:r>
      <w:r w:rsidR="00382690" w:rsidRPr="00D333AD">
        <w:rPr>
          <w:rFonts w:ascii="Franklin Gothic Book" w:hAnsi="Franklin Gothic Book"/>
        </w:rPr>
        <w:t xml:space="preserve"> before symptom onset).</w:t>
      </w:r>
      <w:r w:rsidR="00E026AF">
        <w:rPr>
          <w:rFonts w:ascii="Franklin Gothic Book" w:hAnsi="Franklin Gothic Book"/>
        </w:rPr>
        <w:t xml:space="preserve"> MSAC considered this would require an ethical analysis.</w:t>
      </w:r>
    </w:p>
    <w:p w14:paraId="3BB51DDB" w14:textId="3AD8A1DF" w:rsidR="00E026AF" w:rsidRPr="00E026AF" w:rsidRDefault="00E026AF" w:rsidP="006506E4">
      <w:pPr>
        <w:pStyle w:val="Bullet"/>
        <w:numPr>
          <w:ilvl w:val="0"/>
          <w:numId w:val="25"/>
        </w:numPr>
        <w:spacing w:before="0"/>
        <w:ind w:left="720"/>
        <w:rPr>
          <w:rFonts w:ascii="Franklin Gothic Book" w:hAnsi="Franklin Gothic Book"/>
        </w:rPr>
      </w:pPr>
      <w:r>
        <w:rPr>
          <w:rFonts w:ascii="Franklin Gothic Book" w:hAnsi="Franklin Gothic Book"/>
        </w:rPr>
        <w:t xml:space="preserve">Review expanded public funding for ERT with </w:t>
      </w:r>
      <w:r w:rsidRPr="0068120E">
        <w:rPr>
          <w:rFonts w:ascii="Franklin Gothic Book" w:hAnsi="Franklin Gothic Book"/>
        </w:rPr>
        <w:t xml:space="preserve">idursulfase </w:t>
      </w:r>
      <w:r>
        <w:rPr>
          <w:rFonts w:ascii="Franklin Gothic Book" w:hAnsi="Franklin Gothic Book"/>
        </w:rPr>
        <w:t>for newborns diagnosed with MPS II and who are likely to benefit from early treatment. I</w:t>
      </w:r>
      <w:r w:rsidRPr="0068120E">
        <w:rPr>
          <w:rFonts w:ascii="Franklin Gothic Book" w:hAnsi="Franklin Gothic Book"/>
        </w:rPr>
        <w:t>dursulfase</w:t>
      </w:r>
      <w:r>
        <w:rPr>
          <w:rFonts w:ascii="Franklin Gothic Book" w:hAnsi="Franklin Gothic Book"/>
        </w:rPr>
        <w:t xml:space="preserve"> is a high-cost medicine. Public funding of ERT is needed to achieve better health outcomes from NBS for MPS II and ensure</w:t>
      </w:r>
      <w:r w:rsidRPr="0068120E">
        <w:rPr>
          <w:rFonts w:ascii="Franklin Gothic Book" w:hAnsi="Franklin Gothic Book"/>
        </w:rPr>
        <w:t xml:space="preserve"> </w:t>
      </w:r>
      <w:r>
        <w:rPr>
          <w:rFonts w:ascii="Franklin Gothic Book" w:hAnsi="Franklin Gothic Book"/>
        </w:rPr>
        <w:t xml:space="preserve">there is </w:t>
      </w:r>
      <w:r w:rsidRPr="00382690">
        <w:rPr>
          <w:rFonts w:ascii="Franklin Gothic Book" w:hAnsi="Franklin Gothic Book"/>
        </w:rPr>
        <w:t>equitable access to an effective early intervention</w:t>
      </w:r>
      <w:r>
        <w:rPr>
          <w:rFonts w:ascii="Franklin Gothic Book" w:hAnsi="Franklin Gothic Book"/>
        </w:rPr>
        <w:t xml:space="preserve">. </w:t>
      </w:r>
      <w:r w:rsidRPr="00382690">
        <w:rPr>
          <w:rFonts w:ascii="Franklin Gothic Book" w:hAnsi="Franklin Gothic Book"/>
        </w:rPr>
        <w:t>This may require a review of the LSDP ERT eligibility criteria and the corresponding budget impacts for the LSDP (noting that reconsideration of eligibility criteria is likely to require a submission to PBAC by the medicine sponsor)</w:t>
      </w:r>
      <w:r w:rsidRPr="006C49C3">
        <w:rPr>
          <w:rFonts w:ascii="Franklin Gothic Book" w:hAnsi="Franklin Gothic Book"/>
        </w:rPr>
        <w:t>.</w:t>
      </w:r>
    </w:p>
    <w:p w14:paraId="520C192F" w14:textId="7B7D1A08" w:rsidR="006C49C3" w:rsidRDefault="00E026AF" w:rsidP="2219DDB6">
      <w:pPr>
        <w:pStyle w:val="Bullet"/>
        <w:spacing w:before="0"/>
        <w:rPr>
          <w:rFonts w:ascii="Franklin Gothic Book" w:hAnsi="Franklin Gothic Book"/>
        </w:rPr>
      </w:pPr>
      <w:r>
        <w:rPr>
          <w:rFonts w:ascii="Franklin Gothic Book" w:hAnsi="Franklin Gothic Book"/>
        </w:rPr>
        <w:t>To maintain trust in the NBS programs, a</w:t>
      </w:r>
      <w:r w:rsidR="00CA69D7">
        <w:rPr>
          <w:rFonts w:ascii="Franklin Gothic Book" w:hAnsi="Franklin Gothic Book"/>
        </w:rPr>
        <w:t xml:space="preserve">ppropriate </w:t>
      </w:r>
      <w:r w:rsidR="006C49C3" w:rsidRPr="006C49C3">
        <w:rPr>
          <w:rFonts w:ascii="Franklin Gothic Book" w:hAnsi="Franklin Gothic Book"/>
        </w:rPr>
        <w:t xml:space="preserve">consent </w:t>
      </w:r>
      <w:r w:rsidR="1C16144F" w:rsidRPr="2219DDB6">
        <w:rPr>
          <w:rFonts w:ascii="Franklin Gothic Book" w:hAnsi="Franklin Gothic Book"/>
        </w:rPr>
        <w:t>process</w:t>
      </w:r>
      <w:r w:rsidR="5FBC1B1A" w:rsidRPr="2219DDB6">
        <w:rPr>
          <w:rFonts w:ascii="Franklin Gothic Book" w:hAnsi="Franklin Gothic Book"/>
        </w:rPr>
        <w:t>es</w:t>
      </w:r>
      <w:r w:rsidR="00CD6E25">
        <w:rPr>
          <w:rFonts w:ascii="Franklin Gothic Book" w:hAnsi="Franklin Gothic Book"/>
        </w:rPr>
        <w:t xml:space="preserve"> are </w:t>
      </w:r>
      <w:r w:rsidR="00193F81">
        <w:rPr>
          <w:rFonts w:ascii="Franklin Gothic Book" w:hAnsi="Franklin Gothic Book"/>
        </w:rPr>
        <w:t>introduced</w:t>
      </w:r>
      <w:r w:rsidR="00193F81" w:rsidRPr="006C49C3">
        <w:rPr>
          <w:rFonts w:ascii="Franklin Gothic Book" w:hAnsi="Franklin Gothic Book"/>
        </w:rPr>
        <w:t xml:space="preserve"> </w:t>
      </w:r>
      <w:r w:rsidR="00DB2852">
        <w:rPr>
          <w:rFonts w:ascii="Franklin Gothic Book" w:hAnsi="Franklin Gothic Book"/>
        </w:rPr>
        <w:t>to</w:t>
      </w:r>
      <w:r w:rsidR="00DB2852" w:rsidRPr="006C49C3">
        <w:rPr>
          <w:rFonts w:ascii="Franklin Gothic Book" w:hAnsi="Franklin Gothic Book"/>
        </w:rPr>
        <w:t xml:space="preserve"> </w:t>
      </w:r>
      <w:r w:rsidR="006C49C3" w:rsidRPr="006C49C3">
        <w:rPr>
          <w:rFonts w:ascii="Franklin Gothic Book" w:hAnsi="Franklin Gothic Book"/>
        </w:rPr>
        <w:t>inform parents of the possibility that their newborn</w:t>
      </w:r>
      <w:r w:rsidR="009A199C">
        <w:rPr>
          <w:rFonts w:ascii="Franklin Gothic Book" w:hAnsi="Franklin Gothic Book"/>
        </w:rPr>
        <w:t>s</w:t>
      </w:r>
      <w:r w:rsidR="006C49C3" w:rsidRPr="006C49C3">
        <w:rPr>
          <w:rFonts w:ascii="Franklin Gothic Book" w:hAnsi="Franklin Gothic Book"/>
        </w:rPr>
        <w:t xml:space="preserve"> may be found to be at</w:t>
      </w:r>
      <w:r w:rsidR="009446C9">
        <w:rPr>
          <w:rFonts w:ascii="Franklin Gothic Book" w:hAnsi="Franklin Gothic Book"/>
        </w:rPr>
        <w:t>-</w:t>
      </w:r>
      <w:r w:rsidR="006C49C3" w:rsidRPr="006C49C3">
        <w:rPr>
          <w:rFonts w:ascii="Franklin Gothic Book" w:hAnsi="Franklin Gothic Book"/>
        </w:rPr>
        <w:t>risk of</w:t>
      </w:r>
      <w:r w:rsidR="00273627">
        <w:rPr>
          <w:rFonts w:ascii="Franklin Gothic Book" w:hAnsi="Franklin Gothic Book"/>
        </w:rPr>
        <w:t>,</w:t>
      </w:r>
      <w:r w:rsidR="006C49C3" w:rsidRPr="006C49C3">
        <w:rPr>
          <w:rFonts w:ascii="Franklin Gothic Book" w:hAnsi="Franklin Gothic Book"/>
        </w:rPr>
        <w:t xml:space="preserve"> </w:t>
      </w:r>
      <w:r w:rsidR="00273627">
        <w:rPr>
          <w:rFonts w:ascii="Franklin Gothic Book" w:hAnsi="Franklin Gothic Book"/>
        </w:rPr>
        <w:t xml:space="preserve">diagnosed </w:t>
      </w:r>
      <w:r w:rsidR="00946E9D">
        <w:rPr>
          <w:rFonts w:ascii="Franklin Gothic Book" w:hAnsi="Franklin Gothic Book"/>
        </w:rPr>
        <w:t>with</w:t>
      </w:r>
      <w:r w:rsidR="00B55B84">
        <w:rPr>
          <w:rFonts w:ascii="Franklin Gothic Book" w:hAnsi="Franklin Gothic Book"/>
        </w:rPr>
        <w:t xml:space="preserve"> an </w:t>
      </w:r>
      <w:r w:rsidR="006C49C3" w:rsidRPr="006C49C3">
        <w:rPr>
          <w:rFonts w:ascii="Franklin Gothic Book" w:hAnsi="Franklin Gothic Book"/>
        </w:rPr>
        <w:t xml:space="preserve">attenuated </w:t>
      </w:r>
      <w:r w:rsidR="00B55B84">
        <w:rPr>
          <w:rFonts w:ascii="Franklin Gothic Book" w:hAnsi="Franklin Gothic Book"/>
        </w:rPr>
        <w:t xml:space="preserve">(non-neuronopathic) form of </w:t>
      </w:r>
      <w:r w:rsidR="006C49C3" w:rsidRPr="006C49C3">
        <w:rPr>
          <w:rFonts w:ascii="Franklin Gothic Book" w:hAnsi="Franklin Gothic Book"/>
        </w:rPr>
        <w:t>MPS II</w:t>
      </w:r>
      <w:r w:rsidR="00382690">
        <w:rPr>
          <w:rFonts w:ascii="Franklin Gothic Book" w:hAnsi="Franklin Gothic Book"/>
        </w:rPr>
        <w:t xml:space="preserve"> or MPS II with an </w:t>
      </w:r>
      <w:r w:rsidR="00382690">
        <w:rPr>
          <w:rFonts w:ascii="Franklin Gothic Book" w:hAnsi="Franklin Gothic Book"/>
        </w:rPr>
        <w:lastRenderedPageBreak/>
        <w:t>uncertain prognosis</w:t>
      </w:r>
      <w:r w:rsidR="00E14A97">
        <w:rPr>
          <w:rFonts w:ascii="Franklin Gothic Book" w:hAnsi="Franklin Gothic Book"/>
        </w:rPr>
        <w:t xml:space="preserve">. The consent process must </w:t>
      </w:r>
      <w:r w:rsidR="00F71838">
        <w:rPr>
          <w:rFonts w:ascii="Franklin Gothic Book" w:hAnsi="Franklin Gothic Book"/>
        </w:rPr>
        <w:t>inform</w:t>
      </w:r>
      <w:r w:rsidR="00E14A97">
        <w:rPr>
          <w:rFonts w:ascii="Franklin Gothic Book" w:hAnsi="Franklin Gothic Book"/>
        </w:rPr>
        <w:t xml:space="preserve"> parents</w:t>
      </w:r>
      <w:r w:rsidR="006C49C3" w:rsidRPr="006C49C3">
        <w:rPr>
          <w:rFonts w:ascii="Franklin Gothic Book" w:hAnsi="Franklin Gothic Book"/>
        </w:rPr>
        <w:t xml:space="preserve"> </w:t>
      </w:r>
      <w:r w:rsidR="00984AFE">
        <w:rPr>
          <w:rFonts w:ascii="Franklin Gothic Book" w:hAnsi="Franklin Gothic Book"/>
        </w:rPr>
        <w:t xml:space="preserve">of </w:t>
      </w:r>
      <w:r w:rsidR="006C49C3" w:rsidRPr="006C49C3">
        <w:rPr>
          <w:rFonts w:ascii="Franklin Gothic Book" w:hAnsi="Franklin Gothic Book"/>
        </w:rPr>
        <w:t>the uncertain</w:t>
      </w:r>
      <w:r w:rsidR="00984AFE">
        <w:rPr>
          <w:rFonts w:ascii="Franklin Gothic Book" w:hAnsi="Franklin Gothic Book"/>
        </w:rPr>
        <w:t>ty</w:t>
      </w:r>
      <w:r w:rsidR="006C49C3" w:rsidRPr="006C49C3">
        <w:rPr>
          <w:rFonts w:ascii="Franklin Gothic Book" w:hAnsi="Franklin Gothic Book"/>
        </w:rPr>
        <w:t xml:space="preserve"> </w:t>
      </w:r>
      <w:r w:rsidR="00984AFE">
        <w:rPr>
          <w:rFonts w:ascii="Franklin Gothic Book" w:hAnsi="Franklin Gothic Book"/>
        </w:rPr>
        <w:t xml:space="preserve">in </w:t>
      </w:r>
      <w:r w:rsidR="006C49C3" w:rsidRPr="006C49C3">
        <w:rPr>
          <w:rFonts w:ascii="Franklin Gothic Book" w:hAnsi="Franklin Gothic Book"/>
        </w:rPr>
        <w:t>prognosis associated with such a finding</w:t>
      </w:r>
      <w:r w:rsidR="00E14A97">
        <w:rPr>
          <w:rFonts w:ascii="Franklin Gothic Book" w:hAnsi="Franklin Gothic Book"/>
        </w:rPr>
        <w:t xml:space="preserve">, including </w:t>
      </w:r>
      <w:r w:rsidR="00C464FC">
        <w:rPr>
          <w:rFonts w:ascii="Franklin Gothic Book" w:hAnsi="Franklin Gothic Book"/>
        </w:rPr>
        <w:t>an uncertain</w:t>
      </w:r>
      <w:r w:rsidR="004029A9">
        <w:rPr>
          <w:rFonts w:ascii="Franklin Gothic Book" w:hAnsi="Franklin Gothic Book"/>
        </w:rPr>
        <w:t>ty in the</w:t>
      </w:r>
      <w:r w:rsidR="00C464FC">
        <w:rPr>
          <w:rFonts w:ascii="Franklin Gothic Book" w:hAnsi="Franklin Gothic Book"/>
        </w:rPr>
        <w:t xml:space="preserve"> tim</w:t>
      </w:r>
      <w:r w:rsidR="003D0B6E">
        <w:rPr>
          <w:rFonts w:ascii="Franklin Gothic Book" w:hAnsi="Franklin Gothic Book"/>
        </w:rPr>
        <w:t>ing</w:t>
      </w:r>
      <w:r w:rsidR="00C464FC">
        <w:rPr>
          <w:rFonts w:ascii="Franklin Gothic Book" w:hAnsi="Franklin Gothic Book"/>
        </w:rPr>
        <w:t xml:space="preserve"> of symptom onset</w:t>
      </w:r>
      <w:r w:rsidR="00AF3A03">
        <w:rPr>
          <w:rFonts w:ascii="Franklin Gothic Book" w:hAnsi="Franklin Gothic Book"/>
        </w:rPr>
        <w:t xml:space="preserve">, </w:t>
      </w:r>
      <w:r w:rsidR="00C464FC">
        <w:rPr>
          <w:rFonts w:ascii="Franklin Gothic Book" w:hAnsi="Franklin Gothic Book"/>
        </w:rPr>
        <w:t>potential for adult-onset disease, the presentation of only mild or even no</w:t>
      </w:r>
      <w:r w:rsidR="00E14A97">
        <w:rPr>
          <w:rFonts w:ascii="Franklin Gothic Book" w:hAnsi="Franklin Gothic Book"/>
        </w:rPr>
        <w:t xml:space="preserve"> symptoms</w:t>
      </w:r>
      <w:r w:rsidR="00273627">
        <w:rPr>
          <w:rFonts w:ascii="Franklin Gothic Book" w:hAnsi="Franklin Gothic Book"/>
        </w:rPr>
        <w:t xml:space="preserve"> and the lack of an effective early intervention</w:t>
      </w:r>
      <w:r w:rsidR="006C49C3" w:rsidRPr="006C49C3">
        <w:rPr>
          <w:rFonts w:ascii="Franklin Gothic Book" w:hAnsi="Franklin Gothic Book"/>
        </w:rPr>
        <w:t>.</w:t>
      </w:r>
      <w:r w:rsidR="00382690">
        <w:rPr>
          <w:rFonts w:ascii="Franklin Gothic Book" w:hAnsi="Franklin Gothic Book"/>
        </w:rPr>
        <w:t xml:space="preserve"> This consent process would need to be informed by the consensus on reporting results. </w:t>
      </w:r>
    </w:p>
    <w:p w14:paraId="352F0B26" w14:textId="652ABD6D" w:rsidR="006C49C3" w:rsidRPr="006C49C3" w:rsidRDefault="006C49C3" w:rsidP="006C49C3">
      <w:pPr>
        <w:pStyle w:val="Bullet"/>
        <w:numPr>
          <w:ilvl w:val="0"/>
          <w:numId w:val="25"/>
        </w:numPr>
        <w:spacing w:before="0"/>
        <w:ind w:left="720"/>
        <w:rPr>
          <w:rFonts w:ascii="Franklin Gothic Book" w:hAnsi="Franklin Gothic Book"/>
        </w:rPr>
      </w:pPr>
      <w:r w:rsidRPr="006C49C3">
        <w:rPr>
          <w:rFonts w:ascii="Franklin Gothic Book" w:hAnsi="Franklin Gothic Book"/>
        </w:rPr>
        <w:t>Australian clinical practice guidelines</w:t>
      </w:r>
      <w:r w:rsidR="00585DD3">
        <w:rPr>
          <w:rFonts w:ascii="Franklin Gothic Book" w:hAnsi="Franklin Gothic Book"/>
        </w:rPr>
        <w:t>, which may include consensus guidelines,</w:t>
      </w:r>
      <w:r w:rsidRPr="006C49C3">
        <w:rPr>
          <w:rFonts w:ascii="Franklin Gothic Book" w:hAnsi="Franklin Gothic Book"/>
        </w:rPr>
        <w:t xml:space="preserve"> are developed for the</w:t>
      </w:r>
      <w:r w:rsidR="00585DD3">
        <w:rPr>
          <w:rFonts w:ascii="Franklin Gothic Book" w:hAnsi="Franklin Gothic Book"/>
        </w:rPr>
        <w:t xml:space="preserve"> monitoring and</w:t>
      </w:r>
      <w:r w:rsidRPr="006C49C3">
        <w:rPr>
          <w:rFonts w:ascii="Franklin Gothic Book" w:hAnsi="Franklin Gothic Book"/>
        </w:rPr>
        <w:t xml:space="preserve"> management of presymptomatic </w:t>
      </w:r>
      <w:r w:rsidR="00D31A4B">
        <w:rPr>
          <w:rFonts w:ascii="Franklin Gothic Book" w:hAnsi="Franklin Gothic Book"/>
        </w:rPr>
        <w:t>newborns/infants</w:t>
      </w:r>
      <w:r w:rsidR="00FA3754">
        <w:rPr>
          <w:rFonts w:ascii="Franklin Gothic Book" w:hAnsi="Franklin Gothic Book"/>
        </w:rPr>
        <w:t>/</w:t>
      </w:r>
      <w:r w:rsidRPr="006C49C3">
        <w:rPr>
          <w:rFonts w:ascii="Franklin Gothic Book" w:hAnsi="Franklin Gothic Book"/>
        </w:rPr>
        <w:t>children whose disease onset and severity cannot be clearly predicted</w:t>
      </w:r>
      <w:r w:rsidR="00DB2852">
        <w:rPr>
          <w:rFonts w:ascii="Franklin Gothic Book" w:hAnsi="Franklin Gothic Book"/>
        </w:rPr>
        <w:t>.</w:t>
      </w:r>
      <w:r w:rsidRPr="006C49C3">
        <w:rPr>
          <w:rFonts w:ascii="Franklin Gothic Book" w:hAnsi="Franklin Gothic Book"/>
        </w:rPr>
        <w:t xml:space="preserve"> </w:t>
      </w:r>
    </w:p>
    <w:p w14:paraId="6111AA74" w14:textId="40E5933E" w:rsidR="006C49C3" w:rsidRPr="006C49C3" w:rsidRDefault="00D82EF9" w:rsidP="006C49C3">
      <w:pPr>
        <w:pStyle w:val="Bullet"/>
        <w:numPr>
          <w:ilvl w:val="0"/>
          <w:numId w:val="25"/>
        </w:numPr>
        <w:spacing w:before="0"/>
        <w:ind w:left="720"/>
        <w:rPr>
          <w:rFonts w:ascii="Franklin Gothic Book" w:hAnsi="Franklin Gothic Book"/>
        </w:rPr>
      </w:pPr>
      <w:r>
        <w:rPr>
          <w:rFonts w:ascii="Franklin Gothic Book" w:hAnsi="Franklin Gothic Book"/>
        </w:rPr>
        <w:t>Clinical workforce capacity and readiness is established, along with a</w:t>
      </w:r>
      <w:r w:rsidR="006C49C3" w:rsidRPr="006C49C3">
        <w:rPr>
          <w:rFonts w:ascii="Franklin Gothic Book" w:hAnsi="Franklin Gothic Book"/>
        </w:rPr>
        <w:t xml:space="preserve"> mechanism  to collect national, robust, longitudinal data on genotype–phenotype relationships (especially for attenuated MPS II) </w:t>
      </w:r>
      <w:r w:rsidR="00375A76">
        <w:rPr>
          <w:rFonts w:ascii="Franklin Gothic Book" w:hAnsi="Franklin Gothic Book"/>
        </w:rPr>
        <w:t xml:space="preserve">and clinical outcomes </w:t>
      </w:r>
      <w:r w:rsidR="006C49C3" w:rsidRPr="006C49C3">
        <w:rPr>
          <w:rFonts w:ascii="Franklin Gothic Book" w:hAnsi="Franklin Gothic Book"/>
        </w:rPr>
        <w:t xml:space="preserve">to inform future reviews of NBS for MPS II (noting </w:t>
      </w:r>
      <w:r w:rsidR="007D040D">
        <w:rPr>
          <w:rFonts w:ascii="Franklin Gothic Book" w:hAnsi="Franklin Gothic Book"/>
        </w:rPr>
        <w:t xml:space="preserve">that </w:t>
      </w:r>
      <w:r w:rsidR="006C49C3" w:rsidRPr="006C49C3">
        <w:rPr>
          <w:rFonts w:ascii="Franklin Gothic Book" w:hAnsi="Franklin Gothic Book"/>
        </w:rPr>
        <w:t>conditions can be, and have been, removed from the NBS program</w:t>
      </w:r>
      <w:r w:rsidR="00377E2D">
        <w:rPr>
          <w:rFonts w:ascii="Franklin Gothic Book" w:hAnsi="Franklin Gothic Book"/>
        </w:rPr>
        <w:t>s</w:t>
      </w:r>
      <w:r w:rsidR="006C49C3" w:rsidRPr="006C49C3">
        <w:rPr>
          <w:rFonts w:ascii="Franklin Gothic Book" w:hAnsi="Franklin Gothic Book"/>
        </w:rPr>
        <w:t>).</w:t>
      </w:r>
      <w:r w:rsidR="00DB2852">
        <w:rPr>
          <w:rFonts w:ascii="Franklin Gothic Book" w:hAnsi="Franklin Gothic Book"/>
        </w:rPr>
        <w:t>S</w:t>
      </w:r>
      <w:r w:rsidR="00DB2852" w:rsidRPr="006C49C3">
        <w:rPr>
          <w:rFonts w:ascii="Franklin Gothic Book" w:hAnsi="Franklin Gothic Book"/>
        </w:rPr>
        <w:t xml:space="preserve">uch </w:t>
      </w:r>
      <w:r w:rsidR="00DB2852">
        <w:rPr>
          <w:rFonts w:ascii="Franklin Gothic Book" w:hAnsi="Franklin Gothic Book"/>
        </w:rPr>
        <w:t>data</w:t>
      </w:r>
      <w:r w:rsidR="00DB2852" w:rsidRPr="006C49C3">
        <w:rPr>
          <w:rFonts w:ascii="Franklin Gothic Book" w:hAnsi="Franklin Gothic Book"/>
        </w:rPr>
        <w:t xml:space="preserve"> could also be used to track the benefits and harms of current and emerging treatments.</w:t>
      </w:r>
    </w:p>
    <w:p w14:paraId="08FCFB9C" w14:textId="79D30110" w:rsidR="006C49C3" w:rsidRPr="006C49C3" w:rsidRDefault="00FF0875" w:rsidP="00132290">
      <w:r>
        <w:t>Overall, MSAC considered that th</w:t>
      </w:r>
      <w:r w:rsidR="006C49C3" w:rsidRPr="006C49C3">
        <w:t>e following</w:t>
      </w:r>
      <w:r w:rsidR="003A0213">
        <w:t xml:space="preserve"> key</w:t>
      </w:r>
      <w:r w:rsidR="006C49C3" w:rsidRPr="006C49C3">
        <w:t xml:space="preserve"> </w:t>
      </w:r>
      <w:r w:rsidR="003A0213">
        <w:t>HTA</w:t>
      </w:r>
      <w:r w:rsidR="006C49C3" w:rsidRPr="006C49C3">
        <w:t xml:space="preserve"> criteria</w:t>
      </w:r>
      <w:r>
        <w:t xml:space="preserve"> were me</w:t>
      </w:r>
      <w:r w:rsidR="009804DB">
        <w:t>t</w:t>
      </w:r>
      <w:r w:rsidR="003A0213">
        <w:t>:</w:t>
      </w:r>
    </w:p>
    <w:p w14:paraId="6C4D4731" w14:textId="56A133F4" w:rsidR="006C49C3" w:rsidRPr="006C49C3" w:rsidRDefault="003A0213" w:rsidP="00132290">
      <w:pPr>
        <w:pStyle w:val="Bullet"/>
        <w:spacing w:before="0"/>
        <w:ind w:left="714" w:hanging="357"/>
        <w:rPr>
          <w:rFonts w:ascii="Franklin Gothic Book" w:hAnsi="Franklin Gothic Book"/>
        </w:rPr>
      </w:pPr>
      <w:r>
        <w:rPr>
          <w:rFonts w:ascii="Franklin Gothic Book" w:hAnsi="Franklin Gothic Book"/>
        </w:rPr>
        <w:t>F</w:t>
      </w:r>
      <w:r w:rsidR="006C49C3" w:rsidRPr="006C49C3">
        <w:rPr>
          <w:rFonts w:ascii="Franklin Gothic Book" w:hAnsi="Franklin Gothic Book"/>
        </w:rPr>
        <w:t>alse positive and false negative rates are low with the proposed 2-tier screening strategy</w:t>
      </w:r>
      <w:r w:rsidR="009C7C46">
        <w:rPr>
          <w:rFonts w:ascii="Franklin Gothic Book" w:hAnsi="Franklin Gothic Book"/>
        </w:rPr>
        <w:t>.</w:t>
      </w:r>
    </w:p>
    <w:p w14:paraId="6BB1137E" w14:textId="01530C9C" w:rsidR="006C49C3" w:rsidRPr="006C49C3" w:rsidRDefault="009C7C46" w:rsidP="00132290">
      <w:pPr>
        <w:pStyle w:val="Bullet"/>
        <w:spacing w:before="0"/>
        <w:ind w:left="714" w:hanging="357"/>
        <w:rPr>
          <w:rFonts w:ascii="Franklin Gothic Book" w:hAnsi="Franklin Gothic Book"/>
        </w:rPr>
      </w:pPr>
      <w:r>
        <w:rPr>
          <w:rFonts w:ascii="Franklin Gothic Book" w:hAnsi="Franklin Gothic Book"/>
        </w:rPr>
        <w:t>T</w:t>
      </w:r>
      <w:r w:rsidR="006C49C3" w:rsidRPr="006C49C3">
        <w:rPr>
          <w:rFonts w:ascii="Franklin Gothic Book" w:hAnsi="Franklin Gothic Book"/>
        </w:rPr>
        <w:t>here is evidence of incremental benefit for screen-detected cases</w:t>
      </w:r>
      <w:r>
        <w:rPr>
          <w:rFonts w:ascii="Franklin Gothic Book" w:hAnsi="Franklin Gothic Book"/>
        </w:rPr>
        <w:t>.</w:t>
      </w:r>
    </w:p>
    <w:p w14:paraId="71AD9787" w14:textId="545D886D" w:rsidR="00F117DC" w:rsidRPr="006C49C3" w:rsidRDefault="00F117DC" w:rsidP="00132290">
      <w:pPr>
        <w:pStyle w:val="Bullet"/>
        <w:spacing w:before="0"/>
        <w:ind w:left="714" w:hanging="357"/>
        <w:rPr>
          <w:rFonts w:ascii="Franklin Gothic Book" w:hAnsi="Franklin Gothic Book"/>
        </w:rPr>
      </w:pPr>
      <w:r>
        <w:rPr>
          <w:rFonts w:ascii="Franklin Gothic Book" w:hAnsi="Franklin Gothic Book"/>
        </w:rPr>
        <w:t>Acceptable cost-effectiveness</w:t>
      </w:r>
    </w:p>
    <w:p w14:paraId="2290265E" w14:textId="13687D03" w:rsidR="006C49C3" w:rsidRPr="006C49C3" w:rsidRDefault="009C7C46" w:rsidP="00132290">
      <w:pPr>
        <w:pStyle w:val="Bullet"/>
        <w:spacing w:before="0"/>
        <w:ind w:left="714" w:hanging="357"/>
        <w:rPr>
          <w:rFonts w:ascii="Franklin Gothic Book" w:hAnsi="Franklin Gothic Book"/>
        </w:rPr>
      </w:pPr>
      <w:r>
        <w:rPr>
          <w:rFonts w:ascii="Franklin Gothic Book" w:hAnsi="Franklin Gothic Book"/>
        </w:rPr>
        <w:t>T</w:t>
      </w:r>
      <w:r w:rsidR="006C49C3" w:rsidRPr="006C49C3">
        <w:rPr>
          <w:rFonts w:ascii="Franklin Gothic Book" w:hAnsi="Franklin Gothic Book"/>
        </w:rPr>
        <w:t xml:space="preserve">he total cost </w:t>
      </w:r>
      <w:r w:rsidR="00F756FA">
        <w:rPr>
          <w:rFonts w:ascii="Franklin Gothic Book" w:hAnsi="Franklin Gothic Book"/>
        </w:rPr>
        <w:t>to</w:t>
      </w:r>
      <w:r w:rsidR="006C49C3" w:rsidRPr="006C49C3">
        <w:rPr>
          <w:rFonts w:ascii="Franklin Gothic Book" w:hAnsi="Franklin Gothic Book"/>
        </w:rPr>
        <w:t xml:space="preserve"> NBS </w:t>
      </w:r>
      <w:r w:rsidR="00132290">
        <w:rPr>
          <w:rFonts w:ascii="Franklin Gothic Book" w:hAnsi="Franklin Gothic Book"/>
        </w:rPr>
        <w:t>programs</w:t>
      </w:r>
      <w:r w:rsidR="006C49C3" w:rsidRPr="00991CF6">
        <w:rPr>
          <w:rFonts w:ascii="Franklin Gothic Book" w:hAnsi="Franklin Gothic Book"/>
        </w:rPr>
        <w:t xml:space="preserve"> </w:t>
      </w:r>
      <w:r w:rsidR="006C49C3" w:rsidRPr="006C49C3">
        <w:rPr>
          <w:rFonts w:ascii="Franklin Gothic Book" w:hAnsi="Franklin Gothic Book"/>
        </w:rPr>
        <w:t xml:space="preserve">is </w:t>
      </w:r>
      <w:r w:rsidR="00CD6E00">
        <w:rPr>
          <w:rFonts w:ascii="Franklin Gothic Book" w:hAnsi="Franklin Gothic Book"/>
        </w:rPr>
        <w:t>acceptable</w:t>
      </w:r>
      <w:r w:rsidR="00CD6E00" w:rsidRPr="006C49C3">
        <w:rPr>
          <w:rFonts w:ascii="Franklin Gothic Book" w:hAnsi="Franklin Gothic Book"/>
        </w:rPr>
        <w:t xml:space="preserve"> </w:t>
      </w:r>
      <w:r w:rsidR="006C49C3" w:rsidRPr="006C49C3">
        <w:rPr>
          <w:rFonts w:ascii="Franklin Gothic Book" w:hAnsi="Franklin Gothic Book"/>
        </w:rPr>
        <w:t>(but there are high</w:t>
      </w:r>
      <w:r w:rsidR="0068120E">
        <w:rPr>
          <w:rFonts w:ascii="Franklin Gothic Book" w:hAnsi="Franklin Gothic Book"/>
        </w:rPr>
        <w:t xml:space="preserve"> </w:t>
      </w:r>
      <w:r w:rsidR="006C49C3" w:rsidRPr="006C49C3">
        <w:rPr>
          <w:rFonts w:ascii="Franklin Gothic Book" w:hAnsi="Franklin Gothic Book"/>
        </w:rPr>
        <w:t>cost impacts to the LSDP</w:t>
      </w:r>
      <w:r w:rsidR="00CD6E00">
        <w:rPr>
          <w:rFonts w:ascii="Franklin Gothic Book" w:hAnsi="Franklin Gothic Book"/>
        </w:rPr>
        <w:t>)</w:t>
      </w:r>
      <w:r>
        <w:rPr>
          <w:rFonts w:ascii="Franklin Gothic Book" w:hAnsi="Franklin Gothic Book"/>
        </w:rPr>
        <w:t>.</w:t>
      </w:r>
    </w:p>
    <w:p w14:paraId="0F1CB886" w14:textId="1000CE3A" w:rsidR="006C49C3" w:rsidRPr="006C49C3" w:rsidRDefault="00CD6E00" w:rsidP="00132290">
      <w:r>
        <w:t>Additionally, MSAC considered that t</w:t>
      </w:r>
      <w:r w:rsidR="006C49C3" w:rsidRPr="006C49C3">
        <w:t xml:space="preserve">he primary </w:t>
      </w:r>
      <w:r w:rsidR="001E1BC5">
        <w:t xml:space="preserve">decision-making </w:t>
      </w:r>
      <w:r w:rsidR="006C49C3" w:rsidRPr="006C49C3">
        <w:t>criteria of the NBS NPF</w:t>
      </w:r>
      <w:r w:rsidRPr="006C49C3">
        <w:t xml:space="preserve"> </w:t>
      </w:r>
      <w:r>
        <w:t xml:space="preserve">were met as </w:t>
      </w:r>
      <w:r w:rsidR="006C49C3" w:rsidRPr="006C49C3">
        <w:t xml:space="preserve">the condition is predominantly early-onset (the median age of clinical diagnosis 3.2 years) </w:t>
      </w:r>
      <w:r w:rsidR="00A347E4" w:rsidRPr="006C49C3">
        <w:t xml:space="preserve">and severe </w:t>
      </w:r>
      <w:r w:rsidR="006C49C3" w:rsidRPr="006C49C3">
        <w:t xml:space="preserve">with an </w:t>
      </w:r>
      <w:r w:rsidR="00217C80">
        <w:t>effective early intervention</w:t>
      </w:r>
      <w:r w:rsidR="009804DB">
        <w:t>, noting current restrictions on access</w:t>
      </w:r>
      <w:r w:rsidR="005C1AD1">
        <w:t xml:space="preserve"> to </w:t>
      </w:r>
      <w:r w:rsidR="00217C80">
        <w:t xml:space="preserve">publicly funded </w:t>
      </w:r>
      <w:r w:rsidR="005C1AD1">
        <w:t xml:space="preserve">ERT </w:t>
      </w:r>
      <w:r w:rsidR="00217C80">
        <w:t xml:space="preserve">must </w:t>
      </w:r>
      <w:r w:rsidR="005C1AD1">
        <w:t>be resolved as a part of implementation.</w:t>
      </w:r>
      <w:r w:rsidR="006C49C3" w:rsidRPr="006C49C3">
        <w:t xml:space="preserve"> </w:t>
      </w:r>
    </w:p>
    <w:p w14:paraId="0CE49913" w14:textId="7EE49173" w:rsidR="00772829" w:rsidRPr="00496C73" w:rsidRDefault="00772829" w:rsidP="00BE0CE4">
      <w:pPr>
        <w:pStyle w:val="Heading2"/>
        <w:numPr>
          <w:ilvl w:val="0"/>
          <w:numId w:val="28"/>
        </w:numPr>
        <w:ind w:hanging="720"/>
      </w:pPr>
      <w:bookmarkStart w:id="6" w:name="_Toc185430519"/>
      <w:r w:rsidRPr="00496C73">
        <w:t>Background</w:t>
      </w:r>
      <w:bookmarkEnd w:id="6"/>
    </w:p>
    <w:p w14:paraId="38D11AEF" w14:textId="0503A01C" w:rsidR="00A846A1" w:rsidRPr="00CE28E3" w:rsidRDefault="00A846A1" w:rsidP="00AD5E17">
      <w:bookmarkStart w:id="7" w:name="_Hlk69734494"/>
      <w:r w:rsidRPr="00411363">
        <w:t xml:space="preserve">MSAC has not previously considered adding MPS </w:t>
      </w:r>
      <w:r w:rsidR="00AD5E17">
        <w:t>I</w:t>
      </w:r>
      <w:r w:rsidRPr="00411363">
        <w:t>I to NBS programs.</w:t>
      </w:r>
      <w:r w:rsidR="00D51836">
        <w:t xml:space="preserve"> </w:t>
      </w:r>
      <w:r w:rsidR="00941DC3">
        <w:t>Addition of one r</w:t>
      </w:r>
      <w:r w:rsidR="00D51836" w:rsidRPr="001B4F40">
        <w:t xml:space="preserve">elated </w:t>
      </w:r>
      <w:r w:rsidR="00C815E2">
        <w:t>l</w:t>
      </w:r>
      <w:r w:rsidR="0074172A">
        <w:t>ysosom</w:t>
      </w:r>
      <w:r w:rsidR="00B82CA9">
        <w:t xml:space="preserve">al </w:t>
      </w:r>
      <w:r w:rsidR="00C815E2">
        <w:t>s</w:t>
      </w:r>
      <w:r w:rsidR="00B82CA9">
        <w:t xml:space="preserve">torage </w:t>
      </w:r>
      <w:r w:rsidR="00C815E2">
        <w:t>d</w:t>
      </w:r>
      <w:r w:rsidR="00B82CA9">
        <w:t>is</w:t>
      </w:r>
      <w:r w:rsidR="00C815E2">
        <w:t>order</w:t>
      </w:r>
      <w:r w:rsidR="00B82CA9">
        <w:t xml:space="preserve"> (</w:t>
      </w:r>
      <w:r w:rsidR="00D51836" w:rsidRPr="001B4F40">
        <w:t>LSD</w:t>
      </w:r>
      <w:r w:rsidR="00B82CA9">
        <w:t>)</w:t>
      </w:r>
      <w:r w:rsidR="00D51836" w:rsidRPr="001B4F40">
        <w:t xml:space="preserve"> </w:t>
      </w:r>
      <w:r w:rsidR="00941DC3">
        <w:t>to NBS programs is</w:t>
      </w:r>
      <w:r w:rsidR="00D51836" w:rsidRPr="001B4F40">
        <w:t xml:space="preserve"> being considered by MSAC </w:t>
      </w:r>
      <w:r w:rsidR="00D51836">
        <w:t>alongside this application</w:t>
      </w:r>
      <w:r w:rsidR="00D51836" w:rsidRPr="001B4F40">
        <w:t xml:space="preserve"> </w:t>
      </w:r>
      <w:r w:rsidR="00B909BA">
        <w:t>(</w:t>
      </w:r>
      <w:r w:rsidR="00D51836" w:rsidRPr="001B4F40">
        <w:t xml:space="preserve">MSAC </w:t>
      </w:r>
      <w:r w:rsidR="002F1BEE">
        <w:t xml:space="preserve">application </w:t>
      </w:r>
      <w:r w:rsidR="00D51836" w:rsidRPr="001B4F40">
        <w:t>177</w:t>
      </w:r>
      <w:r w:rsidR="00F04E3D">
        <w:t>4</w:t>
      </w:r>
      <w:r w:rsidR="00D51836" w:rsidRPr="001B4F40">
        <w:t xml:space="preserve"> </w:t>
      </w:r>
      <w:r w:rsidR="00B909BA">
        <w:t xml:space="preserve">– </w:t>
      </w:r>
      <w:r w:rsidR="009E087D">
        <w:t xml:space="preserve">NBS for glycogen storage disorder, type II </w:t>
      </w:r>
      <w:r w:rsidR="00B909BA">
        <w:t>[</w:t>
      </w:r>
      <w:r w:rsidR="00406AF6">
        <w:t>GSD</w:t>
      </w:r>
      <w:r w:rsidR="00D51836">
        <w:t xml:space="preserve"> II</w:t>
      </w:r>
      <w:r w:rsidR="00B909BA">
        <w:t>]</w:t>
      </w:r>
      <w:r w:rsidR="00D51836" w:rsidRPr="001B4F40">
        <w:t xml:space="preserve">). MSAC </w:t>
      </w:r>
      <w:r w:rsidR="00D51836">
        <w:t xml:space="preserve">considered </w:t>
      </w:r>
      <w:r w:rsidR="00B909BA">
        <w:t xml:space="preserve">the addition of </w:t>
      </w:r>
      <w:r w:rsidR="004E33A9">
        <w:t xml:space="preserve">MPS I to NBS programs </w:t>
      </w:r>
      <w:r w:rsidR="003562DD">
        <w:t>(</w:t>
      </w:r>
      <w:r w:rsidR="00D51836">
        <w:t xml:space="preserve">MSAC </w:t>
      </w:r>
      <w:r w:rsidR="003562DD">
        <w:t>application</w:t>
      </w:r>
      <w:r w:rsidR="00D51836">
        <w:t xml:space="preserve"> 1775</w:t>
      </w:r>
      <w:r w:rsidR="003562DD">
        <w:t>)</w:t>
      </w:r>
      <w:r w:rsidR="00D51836">
        <w:t xml:space="preserve"> at its November 2024 meeting. </w:t>
      </w:r>
    </w:p>
    <w:p w14:paraId="49032308" w14:textId="296CF745" w:rsidR="00772829" w:rsidRPr="00496C73" w:rsidRDefault="00772829" w:rsidP="00BE0CE4">
      <w:pPr>
        <w:pStyle w:val="Heading2"/>
        <w:numPr>
          <w:ilvl w:val="0"/>
          <w:numId w:val="28"/>
        </w:numPr>
        <w:ind w:hanging="720"/>
      </w:pPr>
      <w:bookmarkStart w:id="8" w:name="_Toc185430520"/>
      <w:bookmarkEnd w:id="7"/>
      <w:r w:rsidRPr="00496C73">
        <w:t>Prerequisites to implementation of any funding advice</w:t>
      </w:r>
      <w:bookmarkEnd w:id="8"/>
    </w:p>
    <w:p w14:paraId="1863CC71" w14:textId="7F74F022" w:rsidR="0032482A" w:rsidRDefault="1356AC55" w:rsidP="0032482A">
      <w:r w:rsidRPr="7C4E3BA4">
        <w:t xml:space="preserve">Each state and territory would determine which method of screening for MPS </w:t>
      </w:r>
      <w:r w:rsidR="3174B3A6" w:rsidRPr="7C4E3BA4">
        <w:t>I</w:t>
      </w:r>
      <w:r w:rsidRPr="7C4E3BA4">
        <w:t>I they would implement. New conditions added to Australian NBS programs need to align with the Newborn Bloodspot Screening National Policy Framework (NBS NPF) decision-making criteria, which were considered as context for MSAC’s advice. With the referral of a condition into the MSAC process, the other decision-making criteria of the NBS NPF (except cost-effectiveness) are assumed to have already been determined to be met, by the other committees in the NBS decision-making governance process. The full scope of considerations relevant to the NBS NPF criteria, such as detailed appraisal of all relevant implementation considerations, are outside the scope of MSAC’s advice on NBS, as implementation is the role of the states and territories.</w:t>
      </w:r>
    </w:p>
    <w:p w14:paraId="47A6B90E" w14:textId="4B415344" w:rsidR="0032482A" w:rsidRDefault="1356AC55" w:rsidP="007D3B64">
      <w:pPr>
        <w:keepNext/>
        <w:keepLines/>
      </w:pPr>
      <w:r w:rsidRPr="7C4E3BA4">
        <w:lastRenderedPageBreak/>
        <w:t xml:space="preserve">In order for MPS </w:t>
      </w:r>
      <w:r w:rsidR="4CDFA61D" w:rsidRPr="7C4E3BA4">
        <w:t>I</w:t>
      </w:r>
      <w:r w:rsidRPr="7C4E3BA4">
        <w:t>I to be added to the NBS programs, NBS laboratories would be required to:</w:t>
      </w:r>
    </w:p>
    <w:p w14:paraId="62163C27" w14:textId="2B013C3F" w:rsidR="0032482A" w:rsidRDefault="375E1351" w:rsidP="007D3B64">
      <w:pPr>
        <w:pStyle w:val="ListParagraph"/>
        <w:keepNext/>
        <w:keepLines/>
        <w:numPr>
          <w:ilvl w:val="0"/>
          <w:numId w:val="11"/>
        </w:numPr>
      </w:pPr>
      <w:r w:rsidRPr="7C4E3BA4">
        <w:t>H</w:t>
      </w:r>
      <w:r w:rsidR="1356AC55" w:rsidRPr="7C4E3BA4">
        <w:t>ave or gain sufficient space for additional capital equipment, including mass spectrometry machines</w:t>
      </w:r>
      <w:r w:rsidR="291CF097" w:rsidRPr="7C4E3BA4">
        <w:t>.</w:t>
      </w:r>
      <w:r w:rsidR="1356AC55" w:rsidRPr="7C4E3BA4">
        <w:t xml:space="preserve"> </w:t>
      </w:r>
    </w:p>
    <w:p w14:paraId="0A0E9DDB" w14:textId="16B049EE" w:rsidR="0032482A" w:rsidRDefault="375E1351" w:rsidP="007D3B64">
      <w:pPr>
        <w:pStyle w:val="ListParagraph"/>
        <w:keepNext/>
        <w:keepLines/>
        <w:numPr>
          <w:ilvl w:val="0"/>
          <w:numId w:val="11"/>
        </w:numPr>
      </w:pPr>
      <w:r w:rsidRPr="7C4E3BA4">
        <w:t>P</w:t>
      </w:r>
      <w:r w:rsidR="1356AC55" w:rsidRPr="7C4E3BA4">
        <w:t>urchase additional mass spectrometry machines (adhering to local procurement policies including tender processes)</w:t>
      </w:r>
      <w:r w:rsidR="291CF097" w:rsidRPr="7C4E3BA4">
        <w:t>.</w:t>
      </w:r>
      <w:r w:rsidR="1356AC55" w:rsidRPr="7C4E3BA4">
        <w:t xml:space="preserve"> </w:t>
      </w:r>
    </w:p>
    <w:p w14:paraId="6DCA8D6F" w14:textId="00FD927B" w:rsidR="0032482A" w:rsidRDefault="291CF097" w:rsidP="00C1290A">
      <w:pPr>
        <w:pStyle w:val="ListParagraph"/>
        <w:numPr>
          <w:ilvl w:val="0"/>
          <w:numId w:val="11"/>
        </w:numPr>
      </w:pPr>
      <w:r w:rsidRPr="7C4E3BA4">
        <w:t>H</w:t>
      </w:r>
      <w:r w:rsidR="1356AC55" w:rsidRPr="7C4E3BA4">
        <w:t>ire and train additional laboratory staff (in several cases moving to a different rostering system so the laboratory is in use 6 days per week instead of 5)</w:t>
      </w:r>
      <w:r w:rsidRPr="7C4E3BA4">
        <w:t>.</w:t>
      </w:r>
      <w:r w:rsidR="1356AC55" w:rsidRPr="7C4E3BA4">
        <w:t xml:space="preserve"> </w:t>
      </w:r>
    </w:p>
    <w:p w14:paraId="0EA0C1FB" w14:textId="3BB3815C" w:rsidR="0032482A" w:rsidRDefault="291CF097" w:rsidP="00C1290A">
      <w:pPr>
        <w:pStyle w:val="ListParagraph"/>
        <w:numPr>
          <w:ilvl w:val="0"/>
          <w:numId w:val="11"/>
        </w:numPr>
      </w:pPr>
      <w:r w:rsidRPr="7C4E3BA4">
        <w:t>V</w:t>
      </w:r>
      <w:r w:rsidR="1356AC55" w:rsidRPr="7C4E3BA4">
        <w:t xml:space="preserve">alidate the screening protocols, determining normal and abnormal value ranges, </w:t>
      </w:r>
    </w:p>
    <w:p w14:paraId="483E67F7" w14:textId="242EB4EA" w:rsidR="0032482A" w:rsidRDefault="00EB7AC7" w:rsidP="00C1290A">
      <w:pPr>
        <w:pStyle w:val="ListParagraph"/>
        <w:numPr>
          <w:ilvl w:val="0"/>
          <w:numId w:val="11"/>
        </w:numPr>
      </w:pPr>
      <w:r>
        <w:t>O</w:t>
      </w:r>
      <w:r w:rsidR="0032482A">
        <w:t xml:space="preserve">btain National Association of Testing Authorities (NATA) accreditation and </w:t>
      </w:r>
    </w:p>
    <w:p w14:paraId="1D2747E6" w14:textId="243D821F" w:rsidR="0032482A" w:rsidRDefault="00EB7AC7" w:rsidP="00C1290A">
      <w:pPr>
        <w:pStyle w:val="ListParagraph"/>
        <w:numPr>
          <w:ilvl w:val="0"/>
          <w:numId w:val="11"/>
        </w:numPr>
      </w:pPr>
      <w:r>
        <w:t>A</w:t>
      </w:r>
      <w:r w:rsidR="0032482A">
        <w:t>dd the new test to the Laboratory Information Management System</w:t>
      </w:r>
      <w:r w:rsidR="0032482A">
        <w:rPr>
          <w:rStyle w:val="FootnoteReference"/>
        </w:rPr>
        <w:footnoteReference w:id="11"/>
      </w:r>
      <w:r w:rsidR="0032482A">
        <w:t xml:space="preserve">. </w:t>
      </w:r>
    </w:p>
    <w:p w14:paraId="06FDFBE1" w14:textId="01C220F2" w:rsidR="0032482A" w:rsidRDefault="00770862" w:rsidP="0032482A">
      <w:r>
        <w:t xml:space="preserve">The NBS laboratories have estimated it would take at least 6 months to implement NBS testing using </w:t>
      </w:r>
      <w:r w:rsidR="1356AC55" w:rsidRPr="7C4E3BA4">
        <w:t xml:space="preserve">a commercial kit, such as the </w:t>
      </w:r>
      <w:r w:rsidR="53B46579" w:rsidRPr="006143FA">
        <w:t xml:space="preserve">NeoLSD2™ kit from </w:t>
      </w:r>
      <w:r w:rsidR="1356AC55" w:rsidRPr="006143FA">
        <w:t>Revvity</w:t>
      </w:r>
      <w:r>
        <w:t xml:space="preserve">. This would require </w:t>
      </w:r>
      <w:r w:rsidR="1356AC55" w:rsidRPr="7C4E3BA4">
        <w:t>set-up of the new machine, to validate the screening test, undertaking a pilot to minimise the risk of incorrect results and checking the end-to-end pathway from receiving a sample to referral into care.</w:t>
      </w:r>
    </w:p>
    <w:p w14:paraId="58B4987D" w14:textId="57FE27B0" w:rsidR="0032482A" w:rsidRDefault="1356AC55" w:rsidP="0032482A">
      <w:r w:rsidRPr="7C4E3BA4">
        <w:t>The number of cases positive on first-tier screening are unlikely to warrant each individual laboratory purchasing the equipment required for second-tier screening, rather, these could be sent to the National Referral Laboratory (NRL) for Lysosomal</w:t>
      </w:r>
      <w:r w:rsidR="002E8AE6" w:rsidRPr="7C4E3BA4">
        <w:t>, Peroxisomal and Other Related Disorders</w:t>
      </w:r>
      <w:r w:rsidRPr="7C4E3BA4">
        <w:t xml:space="preserve">, which may need to purchase an additional mass spectrometry machine. </w:t>
      </w:r>
    </w:p>
    <w:p w14:paraId="234AE4A1" w14:textId="2627D08B" w:rsidR="0032482A" w:rsidRDefault="1356AC55" w:rsidP="0032482A">
      <w:r w:rsidRPr="7C4E3BA4">
        <w:t>Guidelines on the management of patients with MPS I</w:t>
      </w:r>
      <w:r w:rsidR="4B80B38D" w:rsidRPr="7C4E3BA4">
        <w:t>I</w:t>
      </w:r>
      <w:r w:rsidRPr="7C4E3BA4">
        <w:t xml:space="preserve"> in Australia </w:t>
      </w:r>
      <w:r w:rsidR="7498379F" w:rsidRPr="7C4E3BA4">
        <w:t>would</w:t>
      </w:r>
      <w:r w:rsidR="41BAF472" w:rsidRPr="7C4E3BA4">
        <w:t xml:space="preserve"> </w:t>
      </w:r>
      <w:r w:rsidRPr="7C4E3BA4">
        <w:t xml:space="preserve">be required to be updated, to incorporate recommendations on the management of patients identified through screening, who may not yet present with symptoms. Clinical capacity may also need to increase, to support the additional “patients in waiting” expected to be identified through screening, with their families requiring additional education and support. </w:t>
      </w:r>
    </w:p>
    <w:p w14:paraId="282AF0B5" w14:textId="29E2E5B1" w:rsidR="00905CCE" w:rsidRDefault="7D264F07" w:rsidP="0032482A">
      <w:r w:rsidRPr="7C4E3BA4">
        <w:t>To support these activities, direct funding is being provided to states and territories via a schedule to the Federation Funding Agreement (FFA) - Health, under which they can make decisions regarding the best use of funds for implementation in their own jurisdiction.</w:t>
      </w:r>
    </w:p>
    <w:p w14:paraId="0B31B993" w14:textId="718210F2" w:rsidR="00772829" w:rsidRPr="00496C73" w:rsidRDefault="00772829" w:rsidP="00BE0CE4">
      <w:pPr>
        <w:pStyle w:val="Heading2"/>
        <w:numPr>
          <w:ilvl w:val="0"/>
          <w:numId w:val="28"/>
        </w:numPr>
        <w:ind w:hanging="720"/>
      </w:pPr>
      <w:bookmarkStart w:id="9" w:name="_Toc185430521"/>
      <w:r w:rsidRPr="00496C73">
        <w:t>Proposal for public funding</w:t>
      </w:r>
      <w:bookmarkEnd w:id="9"/>
    </w:p>
    <w:p w14:paraId="360F23A9" w14:textId="77777777" w:rsidR="008E36CF" w:rsidRPr="000F49F9" w:rsidRDefault="38484578" w:rsidP="008E36CF">
      <w:pPr>
        <w:rPr>
          <w:iCs/>
          <w:szCs w:val="24"/>
        </w:rPr>
      </w:pPr>
      <w:r w:rsidRPr="7C4E3BA4">
        <w:t xml:space="preserve">The proposal is for MPS II to be added to the list of conditions screened for through Australia’s NBS programs. NBS programs are overseen and managed by state and territory governments and operate independently of each other. </w:t>
      </w:r>
    </w:p>
    <w:p w14:paraId="57081B3B" w14:textId="77777777" w:rsidR="008E36CF" w:rsidRPr="000F49F9" w:rsidRDefault="008E36CF" w:rsidP="008E36CF">
      <w:pPr>
        <w:rPr>
          <w:iCs/>
          <w:szCs w:val="24"/>
        </w:rPr>
      </w:pPr>
      <w:r w:rsidRPr="000F49F9">
        <w:rPr>
          <w:iCs/>
          <w:szCs w:val="24"/>
        </w:rPr>
        <w:t>The Australian Government contributes funding to hospital services, including those for NBS, through the National Health Reform Agreement (NHRA). It is also directly investing $107.3 million from 2022–23 to 2027–28 to support expansion of NBS programs. This includes:</w:t>
      </w:r>
    </w:p>
    <w:p w14:paraId="6D0985D1" w14:textId="77777777" w:rsidR="008E36CF" w:rsidRDefault="008E36CF" w:rsidP="008E36CF">
      <w:pPr>
        <w:pStyle w:val="ListParagraph"/>
        <w:numPr>
          <w:ilvl w:val="0"/>
          <w:numId w:val="36"/>
        </w:numPr>
        <w:rPr>
          <w:iCs/>
          <w:szCs w:val="24"/>
        </w:rPr>
      </w:pPr>
      <w:r w:rsidRPr="000F49F9">
        <w:rPr>
          <w:iCs/>
          <w:szCs w:val="24"/>
        </w:rPr>
        <w:t>$39 million from Budget 2022–23, including $25.3 million for states and territories</w:t>
      </w:r>
    </w:p>
    <w:p w14:paraId="0DA90204" w14:textId="039C8095" w:rsidR="00A904B1" w:rsidRPr="009902DC" w:rsidRDefault="008E36CF" w:rsidP="00770862">
      <w:pPr>
        <w:pStyle w:val="ListParagraph"/>
        <w:numPr>
          <w:ilvl w:val="0"/>
          <w:numId w:val="36"/>
        </w:numPr>
      </w:pPr>
      <w:r w:rsidRPr="000F49F9">
        <w:rPr>
          <w:iCs/>
          <w:szCs w:val="24"/>
        </w:rPr>
        <w:t>$68.3 million from Budget 2024–25, including $43.3 million for states and territories (announced through MYEFO 2024–25)</w:t>
      </w:r>
    </w:p>
    <w:p w14:paraId="27BEFD1D" w14:textId="748B53A8" w:rsidR="00A904B1" w:rsidRDefault="38484578" w:rsidP="00A904B1">
      <w:pPr>
        <w:spacing w:after="240" w:line="240" w:lineRule="auto"/>
      </w:pPr>
      <w:r w:rsidRPr="7C4E3BA4">
        <w:t xml:space="preserve">There are five laboratories that conduct tests on bloodspot cards, located in New South Wales, Victoria, Queensland, South Australia and Western Australia. </w:t>
      </w:r>
      <w:r w:rsidR="28D2BC77" w:rsidRPr="7C4E3BA4">
        <w:t>Babies</w:t>
      </w:r>
      <w:r w:rsidRPr="7C4E3BA4">
        <w:t xml:space="preserve"> born in states and territories without NBS testing laboratories have their dried bloodspots (DBS) sent interstate for testing. </w:t>
      </w:r>
      <w:r w:rsidRPr="7C4E3BA4">
        <w:lastRenderedPageBreak/>
        <w:t xml:space="preserve">Each laboratory may choose their preferred screening protocol. For MPS </w:t>
      </w:r>
      <w:r w:rsidR="2CEB616F" w:rsidRPr="7C4E3BA4">
        <w:t>I</w:t>
      </w:r>
      <w:r w:rsidRPr="7C4E3BA4">
        <w:t>I, the NBS laboratories were consistent that:</w:t>
      </w:r>
    </w:p>
    <w:p w14:paraId="65011B13" w14:textId="19961371" w:rsidR="00A904B1" w:rsidRPr="00E25377" w:rsidRDefault="12297587" w:rsidP="00C1290A">
      <w:pPr>
        <w:pStyle w:val="ListParagraph"/>
        <w:numPr>
          <w:ilvl w:val="0"/>
          <w:numId w:val="12"/>
        </w:numPr>
        <w:spacing w:after="240" w:line="240" w:lineRule="auto"/>
      </w:pPr>
      <w:r w:rsidRPr="7C4E3BA4">
        <w:t>F</w:t>
      </w:r>
      <w:r w:rsidR="38484578" w:rsidRPr="7C4E3BA4">
        <w:t xml:space="preserve">irst-tier screening should be done by testing </w:t>
      </w:r>
      <w:r w:rsidR="47217E0E" w:rsidRPr="7C4E3BA4">
        <w:t>for iduronate 2-sulphatase (</w:t>
      </w:r>
      <w:r w:rsidR="38484578" w:rsidRPr="7C4E3BA4">
        <w:t>ID</w:t>
      </w:r>
      <w:r w:rsidR="64A2A0AD" w:rsidRPr="7C4E3BA4">
        <w:t>S</w:t>
      </w:r>
      <w:r w:rsidR="47217E0E" w:rsidRPr="7C4E3BA4">
        <w:t>)</w:t>
      </w:r>
      <w:r w:rsidR="38484578" w:rsidRPr="7C4E3BA4">
        <w:t xml:space="preserve"> enzyme activity on the </w:t>
      </w:r>
      <w:r w:rsidR="7929663E" w:rsidRPr="7C4E3BA4">
        <w:t xml:space="preserve">DBS </w:t>
      </w:r>
      <w:r w:rsidR="38484578" w:rsidRPr="7C4E3BA4">
        <w:t xml:space="preserve">(using either </w:t>
      </w:r>
      <w:r w:rsidR="38484578" w:rsidRPr="001926FC">
        <w:t xml:space="preserve">the </w:t>
      </w:r>
      <w:r w:rsidR="079FBF4F" w:rsidRPr="001926FC">
        <w:t>NeoLSD2™</w:t>
      </w:r>
      <w:r w:rsidR="38484578" w:rsidRPr="001926FC">
        <w:t xml:space="preserve"> kit </w:t>
      </w:r>
      <w:r w:rsidR="079FBF4F" w:rsidRPr="001926FC">
        <w:t>from Revvity</w:t>
      </w:r>
      <w:r w:rsidR="38484578" w:rsidRPr="7C4E3BA4">
        <w:t xml:space="preserve"> or a</w:t>
      </w:r>
      <w:r w:rsidR="38484578" w:rsidDel="005C7735">
        <w:t xml:space="preserve"> </w:t>
      </w:r>
      <w:r w:rsidR="006E6463" w:rsidRPr="00005B99">
        <w:rPr>
          <w:b/>
          <w:bCs/>
        </w:rPr>
        <w:t>REDACTED</w:t>
      </w:r>
      <w:r w:rsidR="0018280B">
        <w:rPr>
          <w:b/>
          <w:bCs/>
        </w:rPr>
        <w:t xml:space="preserve"> </w:t>
      </w:r>
      <w:r w:rsidR="003802B9">
        <w:t xml:space="preserve">kit [due </w:t>
      </w:r>
      <w:r w:rsidR="45855921">
        <w:t>to be</w:t>
      </w:r>
      <w:r w:rsidR="227BE32C">
        <w:t xml:space="preserve"> </w:t>
      </w:r>
      <w:r w:rsidR="003802B9">
        <w:t xml:space="preserve">available from </w:t>
      </w:r>
      <w:r w:rsidR="003802B9" w:rsidRPr="00005B99">
        <w:rPr>
          <w:b/>
          <w:bCs/>
        </w:rPr>
        <w:t>REDACTED</w:t>
      </w:r>
      <w:r w:rsidR="00551351">
        <w:t>]</w:t>
      </w:r>
      <w:r w:rsidR="00F1225A">
        <w:t>)</w:t>
      </w:r>
      <w:r w:rsidR="006E6463">
        <w:rPr>
          <w:b/>
          <w:bCs/>
        </w:rPr>
        <w:t>.</w:t>
      </w:r>
    </w:p>
    <w:p w14:paraId="76788410" w14:textId="2B921DA7" w:rsidR="00A904B1" w:rsidRPr="00E25377" w:rsidRDefault="12297587" w:rsidP="00C1290A">
      <w:pPr>
        <w:pStyle w:val="ListParagraph"/>
        <w:numPr>
          <w:ilvl w:val="0"/>
          <w:numId w:val="12"/>
        </w:numPr>
        <w:spacing w:after="240" w:line="240" w:lineRule="auto"/>
      </w:pPr>
      <w:r w:rsidRPr="7C4E3BA4">
        <w:t>S</w:t>
      </w:r>
      <w:r w:rsidR="38484578" w:rsidRPr="7C4E3BA4">
        <w:t>econd-tier testing should be endogenous non-reducing end (NRE)-glycosaminoglycans (GAG) analysis on the DBS (either in-house or sent to the NRL for LSDs based in Adelaide, depending on the number of second-tier tests likely to be required).</w:t>
      </w:r>
    </w:p>
    <w:p w14:paraId="0B8571B5" w14:textId="30937296" w:rsidR="00A904B1" w:rsidRDefault="00A904B1" w:rsidP="00A904B1">
      <w:pPr>
        <w:spacing w:after="240" w:line="240" w:lineRule="auto"/>
        <w:rPr>
          <w:iCs/>
          <w:szCs w:val="24"/>
        </w:rPr>
      </w:pPr>
      <w:r>
        <w:rPr>
          <w:iCs/>
          <w:szCs w:val="24"/>
        </w:rPr>
        <w:t xml:space="preserve">The NRL and one of the clinical co-applicants recommended using endogenous NRE-GAG analysis as a single-tier screening method, so the PICO Advisory Sub-Committee (PASC) of the MSAC recommended that this screening protocol also be considered in the assessment. </w:t>
      </w:r>
      <w:r w:rsidR="00913456">
        <w:rPr>
          <w:iCs/>
          <w:szCs w:val="24"/>
        </w:rPr>
        <w:t xml:space="preserve">This protocol is not currently in use in any other country. </w:t>
      </w:r>
    </w:p>
    <w:p w14:paraId="2F8483BE" w14:textId="2A16607C" w:rsidR="00A904B1" w:rsidRDefault="38484578" w:rsidP="00A904B1">
      <w:pPr>
        <w:spacing w:after="240" w:line="240" w:lineRule="auto"/>
      </w:pPr>
      <w:r w:rsidRPr="7C4E3BA4">
        <w:t xml:space="preserve">If a case of MPS </w:t>
      </w:r>
      <w:r w:rsidR="5CE76C83" w:rsidRPr="7C4E3BA4">
        <w:t>I</w:t>
      </w:r>
      <w:r w:rsidRPr="7C4E3BA4">
        <w:t>I is diagnosed due to NBS, then</w:t>
      </w:r>
      <w:r w:rsidR="00D25960">
        <w:t xml:space="preserve"> </w:t>
      </w:r>
      <w:r w:rsidRPr="7C4E3BA4">
        <w:t xml:space="preserve">testing of </w:t>
      </w:r>
      <w:r w:rsidR="2B5CFFAC" w:rsidRPr="7C4E3BA4">
        <w:t xml:space="preserve">family members such as </w:t>
      </w:r>
      <w:r w:rsidR="6EDDC8C5" w:rsidRPr="7C4E3BA4">
        <w:t>maternal</w:t>
      </w:r>
      <w:r w:rsidRPr="7C4E3BA4">
        <w:t xml:space="preserve"> aunts, </w:t>
      </w:r>
      <w:r w:rsidR="6EDDC8C5" w:rsidRPr="7C4E3BA4">
        <w:t>maternal</w:t>
      </w:r>
      <w:r w:rsidRPr="7C4E3BA4">
        <w:t xml:space="preserve"> uncles and siblings </w:t>
      </w:r>
      <w:r w:rsidR="2CF0E62F" w:rsidRPr="7C4E3BA4">
        <w:t xml:space="preserve">if appropriate </w:t>
      </w:r>
      <w:r w:rsidRPr="7C4E3BA4">
        <w:t>is also proposed</w:t>
      </w:r>
      <w:r w:rsidR="08F6F2DC" w:rsidRPr="7C4E3BA4">
        <w:t xml:space="preserve"> (testing of fathers </w:t>
      </w:r>
      <w:r w:rsidR="70E30E56" w:rsidRPr="7C4E3BA4">
        <w:t xml:space="preserve">and other paternal relatives </w:t>
      </w:r>
      <w:r w:rsidR="08F6F2DC" w:rsidRPr="7C4E3BA4">
        <w:t>would occur only under certain circumstances</w:t>
      </w:r>
      <w:r w:rsidR="00A904B1" w:rsidRPr="7C4E3BA4">
        <w:rPr>
          <w:rStyle w:val="FootnoteReference"/>
        </w:rPr>
        <w:footnoteReference w:id="12"/>
      </w:r>
      <w:r w:rsidR="08F6F2DC" w:rsidRPr="7C4E3BA4">
        <w:t>)</w:t>
      </w:r>
      <w:r w:rsidR="00C87AD8">
        <w:t>.</w:t>
      </w:r>
      <w:r w:rsidRPr="7C4E3BA4">
        <w:t xml:space="preserve"> </w:t>
      </w:r>
      <w:r w:rsidR="00C87AD8">
        <w:t>This testing would be outside</w:t>
      </w:r>
      <w:r w:rsidRPr="7C4E3BA4">
        <w:t xml:space="preserve"> NBS program funding. The testing </w:t>
      </w:r>
      <w:r w:rsidR="00C87AD8">
        <w:t xml:space="preserve">of family members </w:t>
      </w:r>
      <w:r w:rsidRPr="7C4E3BA4">
        <w:t xml:space="preserve">would involve genetic testing </w:t>
      </w:r>
      <w:r w:rsidR="6B4FFA10" w:rsidRPr="7C4E3BA4">
        <w:t xml:space="preserve"> </w:t>
      </w:r>
      <w:r w:rsidRPr="7C4E3BA4">
        <w:t xml:space="preserve">for the familial pathogenic/likely pathogenic (P/LP) variants identified in the index case/proband, and the testing of </w:t>
      </w:r>
      <w:r w:rsidR="42B8C852" w:rsidRPr="7C4E3BA4">
        <w:t xml:space="preserve">male </w:t>
      </w:r>
      <w:r w:rsidRPr="7C4E3BA4">
        <w:t>siblings (if deemed clinically relevant) would be by either the use of endogenous NRE-GAG analysis on urine or by genetic analysis</w:t>
      </w:r>
      <w:r w:rsidR="0034121C">
        <w:t>, although MSAC noted segregation testing of parents should form part of the confirmatory testing and not be considered as part of testing</w:t>
      </w:r>
      <w:r w:rsidR="00127890">
        <w:t xml:space="preserve"> of family members</w:t>
      </w:r>
      <w:r w:rsidR="0034121C">
        <w:t>.</w:t>
      </w:r>
      <w:r w:rsidR="42B8C852" w:rsidRPr="7C4E3BA4">
        <w:t xml:space="preserve"> </w:t>
      </w:r>
      <w:r w:rsidR="2F802C52" w:rsidRPr="7C4E3BA4">
        <w:t xml:space="preserve">Female siblings would only </w:t>
      </w:r>
      <w:r w:rsidR="007B60E9">
        <w:t>undergo</w:t>
      </w:r>
      <w:r w:rsidR="007B60E9" w:rsidRPr="7C4E3BA4">
        <w:t xml:space="preserve"> </w:t>
      </w:r>
      <w:r w:rsidR="5BAF4D6B" w:rsidRPr="7C4E3BA4">
        <w:t>testing if symptomatic</w:t>
      </w:r>
      <w:r w:rsidR="007B60E9">
        <w:t xml:space="preserve"> or for family planning purposes</w:t>
      </w:r>
      <w:r w:rsidR="78042F8F" w:rsidRPr="7C4E3BA4">
        <w:t xml:space="preserve">, </w:t>
      </w:r>
      <w:r w:rsidR="34990D35" w:rsidRPr="7C4E3BA4">
        <w:t>a</w:t>
      </w:r>
      <w:r w:rsidR="7116F08B" w:rsidRPr="7C4E3BA4">
        <w:t xml:space="preserve">s </w:t>
      </w:r>
      <w:r w:rsidR="77DA41B0" w:rsidRPr="7C4E3BA4">
        <w:t xml:space="preserve">the condition is very rare in females and </w:t>
      </w:r>
      <w:r w:rsidRPr="7C4E3BA4">
        <w:t>knowledge of carrier status is not always desired in people prior to reproductive age</w:t>
      </w:r>
      <w:r w:rsidR="00A904B1" w:rsidRPr="7C4E3BA4">
        <w:rPr>
          <w:rStyle w:val="FootnoteReference"/>
        </w:rPr>
        <w:footnoteReference w:id="13"/>
      </w:r>
      <w:r w:rsidRPr="7C4E3BA4">
        <w:t xml:space="preserve">. </w:t>
      </w:r>
      <w:r w:rsidR="005E5F85">
        <w:t>T</w:t>
      </w:r>
      <w:r w:rsidRPr="7C4E3BA4">
        <w:t>esting</w:t>
      </w:r>
      <w:r w:rsidR="00772862">
        <w:t xml:space="preserve"> of relatives</w:t>
      </w:r>
      <w:r w:rsidRPr="7C4E3BA4">
        <w:t xml:space="preserve"> already occurs when a person is diagnosed with MPS </w:t>
      </w:r>
      <w:r w:rsidR="2F802C52" w:rsidRPr="7C4E3BA4">
        <w:t>I</w:t>
      </w:r>
      <w:r w:rsidRPr="7C4E3BA4">
        <w:t>I, so this is not a new service.</w:t>
      </w:r>
    </w:p>
    <w:p w14:paraId="09BECA79" w14:textId="54164340" w:rsidR="00772829" w:rsidRPr="00496C73" w:rsidRDefault="00772829" w:rsidP="00BE0CE4">
      <w:pPr>
        <w:pStyle w:val="Heading2"/>
        <w:numPr>
          <w:ilvl w:val="0"/>
          <w:numId w:val="28"/>
        </w:numPr>
        <w:ind w:hanging="720"/>
      </w:pPr>
      <w:bookmarkStart w:id="10" w:name="_Toc185430522"/>
      <w:r w:rsidRPr="00496C73">
        <w:t>Population</w:t>
      </w:r>
      <w:bookmarkEnd w:id="10"/>
    </w:p>
    <w:p w14:paraId="776A2B24" w14:textId="38E7BF87" w:rsidR="00312399" w:rsidRDefault="00224A37" w:rsidP="00224A37">
      <w:r w:rsidRPr="00224A37">
        <w:t xml:space="preserve">There are two different PICO sets that have been assessed in this report. In PICO set 1, the target population </w:t>
      </w:r>
      <w:r w:rsidR="00B275D1">
        <w:t>is</w:t>
      </w:r>
      <w:r w:rsidR="00B275D1" w:rsidRPr="00224A37">
        <w:t xml:space="preserve"> </w:t>
      </w:r>
      <w:r w:rsidRPr="00224A37">
        <w:t xml:space="preserve">newborns undergoing universal screening (although the population for the comparator is affected people of any age undergoing diagnostic testing). In PICO set 2, the target population </w:t>
      </w:r>
      <w:r w:rsidR="00281924">
        <w:t>is</w:t>
      </w:r>
      <w:r w:rsidR="00281924" w:rsidRPr="00224A37">
        <w:t xml:space="preserve"> </w:t>
      </w:r>
      <w:r w:rsidRPr="00224A37">
        <w:t xml:space="preserve">biological family members of someone diagnosed through either of the methods analysed in PICO set 1. In the comparison of screening versus no screening, the populations eligible for the intervention and the comparators differ slightly, as summarised in </w:t>
      </w:r>
      <w:r w:rsidRPr="00224A37">
        <w:fldChar w:fldCharType="begin"/>
      </w:r>
      <w:r w:rsidRPr="00224A37">
        <w:instrText xml:space="preserve"> REF _Ref172033132 \h  \* MERGEFORMAT </w:instrText>
      </w:r>
      <w:r w:rsidRPr="00224A37">
        <w:fldChar w:fldCharType="separate"/>
      </w:r>
      <w:r w:rsidR="007F08FA" w:rsidRPr="00797B68" w:rsidDel="009D183F">
        <w:rPr>
          <w:rFonts w:eastAsia="Times New Roman" w:cs="Times New Roman"/>
        </w:rPr>
        <w:t xml:space="preserve">Table </w:t>
      </w:r>
      <w:r w:rsidR="00797B68" w:rsidRPr="00797B68" w:rsidDel="009D183F">
        <w:rPr>
          <w:rFonts w:eastAsia="Times New Roman" w:cs="Times New Roman"/>
          <w:noProof/>
        </w:rPr>
        <w:t>1</w:t>
      </w:r>
      <w:r w:rsidRPr="00224A37">
        <w:fldChar w:fldCharType="end"/>
      </w:r>
      <w:r w:rsidRPr="00224A37">
        <w:t>.</w:t>
      </w:r>
    </w:p>
    <w:p w14:paraId="3F060435" w14:textId="48609F86" w:rsidR="00224A37" w:rsidRPr="00224A37" w:rsidRDefault="00224A37" w:rsidP="007D3B64">
      <w:pPr>
        <w:keepNext/>
        <w:keepLines/>
        <w:spacing w:before="360" w:after="40" w:line="240" w:lineRule="auto"/>
        <w:rPr>
          <w:rFonts w:ascii="Arial Narrow" w:eastAsia="Times New Roman" w:hAnsi="Arial Narrow" w:cs="Times New Roman"/>
          <w:b/>
          <w:bCs/>
          <w:sz w:val="20"/>
          <w:szCs w:val="20"/>
        </w:rPr>
      </w:pPr>
      <w:bookmarkStart w:id="11" w:name="_Ref172033132"/>
      <w:r w:rsidRPr="00224A37">
        <w:rPr>
          <w:rFonts w:ascii="Arial Narrow" w:eastAsia="Times New Roman" w:hAnsi="Arial Narrow" w:cs="Times New Roman"/>
          <w:b/>
          <w:bCs/>
          <w:sz w:val="20"/>
          <w:szCs w:val="20"/>
        </w:rPr>
        <w:lastRenderedPageBreak/>
        <w:t xml:space="preserve">Table </w:t>
      </w:r>
      <w:r w:rsidRPr="00224A37">
        <w:rPr>
          <w:rFonts w:ascii="Arial Narrow" w:eastAsia="Times New Roman" w:hAnsi="Arial Narrow" w:cs="Times New Roman"/>
          <w:b/>
          <w:bCs/>
          <w:sz w:val="20"/>
          <w:szCs w:val="20"/>
        </w:rPr>
        <w:fldChar w:fldCharType="begin"/>
      </w:r>
      <w:r w:rsidRPr="00224A37">
        <w:rPr>
          <w:rFonts w:ascii="Arial Narrow" w:eastAsia="Times New Roman" w:hAnsi="Arial Narrow" w:cs="Times New Roman"/>
          <w:b/>
          <w:bCs/>
          <w:sz w:val="20"/>
          <w:szCs w:val="20"/>
        </w:rPr>
        <w:instrText xml:space="preserve"> SEQ Table \* ARABIC </w:instrText>
      </w:r>
      <w:r w:rsidRPr="00224A37">
        <w:rPr>
          <w:rFonts w:ascii="Arial Narrow" w:eastAsia="Times New Roman" w:hAnsi="Arial Narrow" w:cs="Times New Roman"/>
          <w:b/>
          <w:bCs/>
          <w:sz w:val="20"/>
          <w:szCs w:val="20"/>
        </w:rPr>
        <w:fldChar w:fldCharType="separate"/>
      </w:r>
      <w:r w:rsidR="009D183F">
        <w:rPr>
          <w:rFonts w:ascii="Arial Narrow" w:eastAsia="Times New Roman" w:hAnsi="Arial Narrow" w:cs="Times New Roman"/>
          <w:b/>
          <w:bCs/>
          <w:noProof/>
          <w:sz w:val="20"/>
          <w:szCs w:val="20"/>
        </w:rPr>
        <w:t>1</w:t>
      </w:r>
      <w:r w:rsidRPr="00224A37">
        <w:rPr>
          <w:rFonts w:ascii="Arial Narrow" w:eastAsia="Times New Roman" w:hAnsi="Arial Narrow" w:cs="Times New Roman"/>
          <w:b/>
          <w:bCs/>
          <w:sz w:val="20"/>
          <w:szCs w:val="20"/>
        </w:rPr>
        <w:fldChar w:fldCharType="end"/>
      </w:r>
      <w:bookmarkEnd w:id="11"/>
      <w:r>
        <w:tab/>
      </w:r>
      <w:r w:rsidRPr="00224A37">
        <w:rPr>
          <w:rFonts w:ascii="Arial Narrow" w:eastAsia="Times New Roman" w:hAnsi="Arial Narrow" w:cs="Times New Roman"/>
          <w:b/>
          <w:bCs/>
          <w:sz w:val="20"/>
          <w:szCs w:val="20"/>
        </w:rPr>
        <w:t xml:space="preserve">Description of populations included in the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Description of populations included in the assessment, as detailed in the ratifid PICO document"/>
        <w:tblDescription w:val="A list with description of the five popualtions included in the assessment:1. Indiviual WEA for children with isolated hearing impairment; 2. trio WEA for the child and their biological parents; 3. reanalysis of WEA data for the child with hearing impairment; 4. cascade testing for biological relative; 5. single gene testing for reproductive partners of an individual with a confirmed hearing impairment variant"/>
      </w:tblPr>
      <w:tblGrid>
        <w:gridCol w:w="1334"/>
        <w:gridCol w:w="3841"/>
        <w:gridCol w:w="3841"/>
      </w:tblGrid>
      <w:tr w:rsidR="00224A37" w:rsidRPr="00224A37" w14:paraId="6CEE8E97" w14:textId="77777777" w:rsidTr="006B5B78">
        <w:trPr>
          <w:tblHeader/>
        </w:trPr>
        <w:tc>
          <w:tcPr>
            <w:tcW w:w="740" w:type="pct"/>
          </w:tcPr>
          <w:p w14:paraId="64DC301B" w14:textId="77777777" w:rsidR="00224A37" w:rsidRPr="00224A37" w:rsidRDefault="00224A37" w:rsidP="007D3B64">
            <w:pPr>
              <w:keepNext/>
              <w:keepLines/>
              <w:spacing w:after="60" w:line="240" w:lineRule="auto"/>
              <w:rPr>
                <w:rFonts w:ascii="Arial Narrow" w:hAnsi="Arial Narrow"/>
                <w:b/>
                <w:sz w:val="20"/>
              </w:rPr>
            </w:pPr>
            <w:r w:rsidRPr="00224A37">
              <w:rPr>
                <w:rFonts w:ascii="Arial Narrow" w:hAnsi="Arial Narrow"/>
                <w:b/>
                <w:sz w:val="20"/>
              </w:rPr>
              <w:t>PICO set</w:t>
            </w:r>
          </w:p>
        </w:tc>
        <w:tc>
          <w:tcPr>
            <w:tcW w:w="2130" w:type="pct"/>
          </w:tcPr>
          <w:p w14:paraId="6E2E6741" w14:textId="77777777" w:rsidR="00224A37" w:rsidRPr="00224A37" w:rsidRDefault="00224A37" w:rsidP="007D3B64">
            <w:pPr>
              <w:keepNext/>
              <w:keepLines/>
              <w:spacing w:after="60" w:line="240" w:lineRule="auto"/>
              <w:rPr>
                <w:rFonts w:ascii="Arial Narrow" w:hAnsi="Arial Narrow"/>
                <w:b/>
                <w:sz w:val="20"/>
              </w:rPr>
            </w:pPr>
            <w:r w:rsidRPr="00224A37">
              <w:rPr>
                <w:rFonts w:ascii="Arial Narrow" w:hAnsi="Arial Narrow"/>
                <w:b/>
                <w:sz w:val="20"/>
              </w:rPr>
              <w:t>Population for intervention</w:t>
            </w:r>
          </w:p>
        </w:tc>
        <w:tc>
          <w:tcPr>
            <w:tcW w:w="2130" w:type="pct"/>
          </w:tcPr>
          <w:p w14:paraId="053C1497" w14:textId="77777777" w:rsidR="00224A37" w:rsidRPr="00224A37" w:rsidRDefault="00224A37" w:rsidP="007D3B64">
            <w:pPr>
              <w:keepNext/>
              <w:keepLines/>
              <w:spacing w:after="60" w:line="240" w:lineRule="auto"/>
              <w:rPr>
                <w:rFonts w:ascii="Arial Narrow" w:hAnsi="Arial Narrow"/>
                <w:b/>
                <w:sz w:val="20"/>
              </w:rPr>
            </w:pPr>
            <w:r w:rsidRPr="00224A37">
              <w:rPr>
                <w:rFonts w:ascii="Arial Narrow" w:hAnsi="Arial Narrow"/>
                <w:b/>
                <w:sz w:val="20"/>
              </w:rPr>
              <w:t>Population for comparator</w:t>
            </w:r>
          </w:p>
        </w:tc>
      </w:tr>
      <w:tr w:rsidR="00224A37" w:rsidRPr="00224A37" w14:paraId="5DDB811F" w14:textId="77777777" w:rsidTr="006B5B78">
        <w:tc>
          <w:tcPr>
            <w:tcW w:w="740" w:type="pct"/>
            <w:hideMark/>
          </w:tcPr>
          <w:p w14:paraId="16E1175E" w14:textId="77777777" w:rsidR="00224A37" w:rsidRPr="00224A37" w:rsidRDefault="00224A37" w:rsidP="007D3B64">
            <w:pPr>
              <w:keepNext/>
              <w:keepLines/>
              <w:spacing w:before="40" w:after="40" w:line="240" w:lineRule="auto"/>
              <w:rPr>
                <w:rFonts w:ascii="Arial Narrow" w:hAnsi="Arial Narrow"/>
                <w:sz w:val="20"/>
              </w:rPr>
            </w:pPr>
            <w:r w:rsidRPr="00224A37">
              <w:rPr>
                <w:rFonts w:ascii="Arial Narrow" w:hAnsi="Arial Narrow"/>
                <w:sz w:val="20"/>
              </w:rPr>
              <w:t>PICO Set 1 - Newborns</w:t>
            </w:r>
          </w:p>
        </w:tc>
        <w:tc>
          <w:tcPr>
            <w:tcW w:w="2130" w:type="pct"/>
          </w:tcPr>
          <w:p w14:paraId="544A22D3" w14:textId="0784FDD5" w:rsidR="00224A37" w:rsidRPr="00224A37" w:rsidRDefault="206991CC" w:rsidP="007D3B64">
            <w:pPr>
              <w:keepNext/>
              <w:keepLines/>
              <w:spacing w:before="40" w:after="40" w:line="240" w:lineRule="auto"/>
              <w:rPr>
                <w:rFonts w:ascii="Arial Narrow" w:hAnsi="Arial Narrow"/>
                <w:sz w:val="20"/>
                <w:szCs w:val="20"/>
              </w:rPr>
            </w:pPr>
            <w:r w:rsidRPr="7C4E3BA4">
              <w:rPr>
                <w:rFonts w:ascii="Arial Narrow" w:hAnsi="Arial Narrow"/>
                <w:sz w:val="20"/>
                <w:szCs w:val="20"/>
              </w:rPr>
              <w:t>All newborn babies in Australia</w:t>
            </w:r>
            <w:r w:rsidR="6EA75E1F" w:rsidRPr="7C4E3BA4">
              <w:rPr>
                <w:rFonts w:ascii="Arial Narrow" w:hAnsi="Arial Narrow"/>
                <w:sz w:val="20"/>
                <w:szCs w:val="20"/>
              </w:rPr>
              <w:t xml:space="preserve"> who </w:t>
            </w:r>
            <w:r w:rsidR="460F3612" w:rsidRPr="7C4E3BA4">
              <w:rPr>
                <w:rFonts w:ascii="Arial Narrow" w:hAnsi="Arial Narrow"/>
                <w:sz w:val="20"/>
                <w:szCs w:val="20"/>
              </w:rPr>
              <w:t xml:space="preserve">participate in universal NBS programs. </w:t>
            </w:r>
          </w:p>
        </w:tc>
        <w:tc>
          <w:tcPr>
            <w:tcW w:w="2130" w:type="pct"/>
          </w:tcPr>
          <w:p w14:paraId="3B26E2E7" w14:textId="77777777" w:rsidR="00224A37" w:rsidRPr="00224A37" w:rsidRDefault="00224A37" w:rsidP="007D3B64">
            <w:pPr>
              <w:keepNext/>
              <w:keepLines/>
              <w:spacing w:before="40" w:after="40" w:line="240" w:lineRule="auto"/>
              <w:rPr>
                <w:rFonts w:ascii="Arial Narrow" w:hAnsi="Arial Narrow"/>
                <w:sz w:val="20"/>
              </w:rPr>
            </w:pPr>
            <w:r w:rsidRPr="00224A37">
              <w:rPr>
                <w:rFonts w:ascii="Arial Narrow" w:hAnsi="Arial Narrow"/>
                <w:sz w:val="20"/>
              </w:rPr>
              <w:t>Affected individuals being investigated for MPS I</w:t>
            </w:r>
            <w:r>
              <w:rPr>
                <w:rFonts w:ascii="Arial Narrow" w:hAnsi="Arial Narrow"/>
                <w:sz w:val="20"/>
              </w:rPr>
              <w:t>I</w:t>
            </w:r>
            <w:r w:rsidRPr="00224A37">
              <w:rPr>
                <w:rFonts w:ascii="Arial Narrow" w:hAnsi="Arial Narrow"/>
                <w:sz w:val="20"/>
              </w:rPr>
              <w:t xml:space="preserve"> due to signs/symptoms</w:t>
            </w:r>
          </w:p>
        </w:tc>
      </w:tr>
      <w:tr w:rsidR="00224A37" w:rsidRPr="00224A37" w14:paraId="527D41E7" w14:textId="77777777" w:rsidTr="006B5B78">
        <w:tc>
          <w:tcPr>
            <w:tcW w:w="740" w:type="pct"/>
            <w:hideMark/>
          </w:tcPr>
          <w:p w14:paraId="48F56DDC" w14:textId="77777777" w:rsidR="00224A37" w:rsidRPr="00224A37" w:rsidRDefault="00224A37" w:rsidP="007D3B64">
            <w:pPr>
              <w:keepNext/>
              <w:keepLines/>
              <w:spacing w:before="40" w:after="40" w:line="240" w:lineRule="auto"/>
              <w:rPr>
                <w:rFonts w:ascii="Arial Narrow" w:hAnsi="Arial Narrow"/>
                <w:snapToGrid w:val="0"/>
                <w:sz w:val="20"/>
              </w:rPr>
            </w:pPr>
            <w:r w:rsidRPr="00224A37">
              <w:rPr>
                <w:rFonts w:ascii="Arial Narrow" w:hAnsi="Arial Narrow"/>
                <w:snapToGrid w:val="0"/>
                <w:sz w:val="20"/>
              </w:rPr>
              <w:t>PICO Set 2 – Family members</w:t>
            </w:r>
          </w:p>
        </w:tc>
        <w:tc>
          <w:tcPr>
            <w:tcW w:w="2130" w:type="pct"/>
          </w:tcPr>
          <w:p w14:paraId="0A846478" w14:textId="4BC2A216" w:rsidR="00C24EAB" w:rsidRPr="00AB3184" w:rsidRDefault="206991CC" w:rsidP="007D3B64">
            <w:pPr>
              <w:pStyle w:val="Instructionaltext"/>
              <w:keepNext/>
              <w:keepLines/>
              <w:rPr>
                <w:rFonts w:ascii="Arial Narrow" w:hAnsi="Arial Narrow" w:cs="Arial"/>
                <w:color w:val="auto"/>
                <w:sz w:val="20"/>
                <w:szCs w:val="20"/>
              </w:rPr>
            </w:pPr>
            <w:r w:rsidRPr="7C4E3BA4">
              <w:rPr>
                <w:rFonts w:ascii="Arial Narrow" w:hAnsi="Arial Narrow" w:cs="Arial"/>
                <w:color w:val="auto"/>
                <w:sz w:val="20"/>
                <w:szCs w:val="20"/>
              </w:rPr>
              <w:t>Biological mothers</w:t>
            </w:r>
            <w:r w:rsidR="636A77F6" w:rsidRPr="7C4E3BA4">
              <w:rPr>
                <w:rFonts w:ascii="Arial Narrow" w:hAnsi="Arial Narrow" w:cs="Arial"/>
                <w:color w:val="auto"/>
                <w:sz w:val="20"/>
                <w:szCs w:val="20"/>
              </w:rPr>
              <w:t>,</w:t>
            </w:r>
            <w:r w:rsidRPr="7C4E3BA4">
              <w:rPr>
                <w:rFonts w:ascii="Arial Narrow" w:hAnsi="Arial Narrow" w:cs="Arial"/>
                <w:color w:val="auto"/>
                <w:sz w:val="20"/>
                <w:szCs w:val="20"/>
              </w:rPr>
              <w:t xml:space="preserve"> and siblings</w:t>
            </w:r>
            <w:r w:rsidR="3F67CC3B" w:rsidRPr="7C4E3BA4">
              <w:rPr>
                <w:rFonts w:ascii="Arial Narrow" w:hAnsi="Arial Narrow" w:cs="Arial"/>
                <w:color w:val="auto"/>
                <w:sz w:val="20"/>
                <w:szCs w:val="20"/>
              </w:rPr>
              <w:t xml:space="preserve"> </w:t>
            </w:r>
            <w:r w:rsidRPr="7C4E3BA4">
              <w:rPr>
                <w:rFonts w:ascii="Arial Narrow" w:hAnsi="Arial Narrow" w:cs="Arial"/>
                <w:color w:val="auto"/>
                <w:sz w:val="20"/>
                <w:szCs w:val="20"/>
              </w:rPr>
              <w:t xml:space="preserve">of an </w:t>
            </w:r>
            <w:r w:rsidR="636A77F6" w:rsidRPr="7C4E3BA4">
              <w:rPr>
                <w:rFonts w:ascii="Arial Narrow" w:hAnsi="Arial Narrow" w:cs="Arial"/>
                <w:color w:val="auto"/>
                <w:sz w:val="20"/>
                <w:szCs w:val="20"/>
              </w:rPr>
              <w:t>individual (</w:t>
            </w:r>
            <w:r w:rsidRPr="7C4E3BA4">
              <w:rPr>
                <w:rFonts w:ascii="Arial Narrow" w:hAnsi="Arial Narrow" w:cs="Arial"/>
                <w:color w:val="auto"/>
                <w:sz w:val="20"/>
                <w:szCs w:val="20"/>
              </w:rPr>
              <w:t>index case</w:t>
            </w:r>
            <w:r w:rsidR="636A77F6" w:rsidRPr="7C4E3BA4">
              <w:rPr>
                <w:rFonts w:ascii="Arial Narrow" w:hAnsi="Arial Narrow" w:cs="Arial"/>
                <w:color w:val="auto"/>
                <w:sz w:val="20"/>
                <w:szCs w:val="20"/>
              </w:rPr>
              <w:t>)</w:t>
            </w:r>
            <w:r w:rsidRPr="7C4E3BA4">
              <w:rPr>
                <w:rFonts w:ascii="Arial Narrow" w:hAnsi="Arial Narrow" w:cs="Arial"/>
                <w:color w:val="auto"/>
                <w:sz w:val="20"/>
                <w:szCs w:val="20"/>
              </w:rPr>
              <w:t xml:space="preserve"> identified through NBS</w:t>
            </w:r>
            <w:r w:rsidRPr="7C4E3BA4">
              <w:rPr>
                <w:rFonts w:ascii="Arial Narrow" w:hAnsi="Arial Narrow" w:cs="Arial"/>
                <w:i/>
                <w:iCs/>
                <w:color w:val="auto"/>
                <w:sz w:val="20"/>
                <w:szCs w:val="20"/>
              </w:rPr>
              <w:t xml:space="preserve"> with</w:t>
            </w:r>
            <w:r w:rsidRPr="7C4E3BA4">
              <w:rPr>
                <w:rFonts w:ascii="Arial Narrow" w:hAnsi="Arial Narrow" w:cs="Arial"/>
                <w:color w:val="auto"/>
                <w:sz w:val="20"/>
                <w:szCs w:val="20"/>
              </w:rPr>
              <w:t xml:space="preserve"> </w:t>
            </w:r>
            <w:r w:rsidR="69C7775D" w:rsidRPr="7C4E3BA4">
              <w:rPr>
                <w:rFonts w:ascii="Arial Narrow" w:hAnsi="Arial Narrow" w:cs="Arial"/>
                <w:color w:val="auto"/>
                <w:sz w:val="20"/>
                <w:szCs w:val="20"/>
              </w:rPr>
              <w:t>a</w:t>
            </w:r>
            <w:r w:rsidRPr="7C4E3BA4">
              <w:rPr>
                <w:rFonts w:ascii="Arial Narrow" w:hAnsi="Arial Narrow" w:cs="Arial"/>
                <w:color w:val="auto"/>
                <w:sz w:val="20"/>
                <w:szCs w:val="20"/>
              </w:rPr>
              <w:t xml:space="preserve"> pathogenic/likely pathogenic (P/LP) </w:t>
            </w:r>
            <w:r w:rsidR="636A77F6" w:rsidRPr="7C4E3BA4">
              <w:rPr>
                <w:rFonts w:ascii="Arial Narrow" w:hAnsi="Arial Narrow" w:cs="Arial"/>
                <w:color w:val="auto"/>
                <w:sz w:val="20"/>
                <w:szCs w:val="20"/>
              </w:rPr>
              <w:t xml:space="preserve">variant(s) in the </w:t>
            </w:r>
            <w:r w:rsidR="636A77F6" w:rsidRPr="7C4E3BA4">
              <w:rPr>
                <w:rFonts w:ascii="Arial Narrow" w:hAnsi="Arial Narrow" w:cs="Arial"/>
                <w:i/>
                <w:iCs/>
                <w:color w:val="auto"/>
                <w:sz w:val="20"/>
                <w:szCs w:val="20"/>
              </w:rPr>
              <w:t>IDS</w:t>
            </w:r>
            <w:r w:rsidR="636A77F6" w:rsidRPr="7C4E3BA4">
              <w:rPr>
                <w:rFonts w:ascii="Arial Narrow" w:hAnsi="Arial Narrow" w:cs="Arial"/>
                <w:color w:val="auto"/>
                <w:sz w:val="20"/>
                <w:szCs w:val="20"/>
              </w:rPr>
              <w:t xml:space="preserve"> gene</w:t>
            </w:r>
          </w:p>
          <w:p w14:paraId="140F1761" w14:textId="77777777" w:rsidR="00224A37" w:rsidRPr="00224A37" w:rsidRDefault="00C24EAB" w:rsidP="007D3B64">
            <w:pPr>
              <w:keepNext/>
              <w:keepLines/>
              <w:spacing w:before="40" w:after="40" w:line="240" w:lineRule="auto"/>
              <w:rPr>
                <w:rFonts w:ascii="Arial Narrow" w:hAnsi="Arial Narrow"/>
                <w:snapToGrid w:val="0"/>
                <w:sz w:val="20"/>
              </w:rPr>
            </w:pPr>
            <w:r w:rsidRPr="00AB3184">
              <w:rPr>
                <w:rFonts w:ascii="Arial Narrow" w:hAnsi="Arial Narrow"/>
                <w:sz w:val="20"/>
                <w:szCs w:val="20"/>
              </w:rPr>
              <w:t>Where the mother tests positive, also her parents and siblings</w:t>
            </w:r>
          </w:p>
        </w:tc>
        <w:tc>
          <w:tcPr>
            <w:tcW w:w="2130" w:type="pct"/>
          </w:tcPr>
          <w:p w14:paraId="2200982A" w14:textId="6C2A5840" w:rsidR="00224A37" w:rsidRPr="006349A9" w:rsidRDefault="206991CC" w:rsidP="007D3B64">
            <w:pPr>
              <w:pStyle w:val="Instructionaltext"/>
              <w:keepNext/>
              <w:keepLines/>
              <w:rPr>
                <w:rFonts w:ascii="Arial Narrow" w:hAnsi="Arial Narrow" w:cs="Arial"/>
                <w:color w:val="auto"/>
                <w:sz w:val="20"/>
                <w:szCs w:val="20"/>
              </w:rPr>
            </w:pPr>
            <w:r w:rsidRPr="7C4E3BA4">
              <w:rPr>
                <w:rFonts w:ascii="Arial Narrow" w:hAnsi="Arial Narrow" w:cs="Arial"/>
                <w:color w:val="auto"/>
                <w:sz w:val="20"/>
                <w:szCs w:val="20"/>
              </w:rPr>
              <w:t xml:space="preserve">Biological </w:t>
            </w:r>
            <w:r w:rsidR="4129FF38" w:rsidRPr="7C4E3BA4">
              <w:rPr>
                <w:rFonts w:ascii="Arial Narrow" w:hAnsi="Arial Narrow" w:cs="Arial"/>
                <w:color w:val="auto"/>
                <w:sz w:val="20"/>
                <w:szCs w:val="20"/>
              </w:rPr>
              <w:t>mothers</w:t>
            </w:r>
            <w:r w:rsidR="3E64D675" w:rsidRPr="7C4E3BA4">
              <w:rPr>
                <w:rFonts w:ascii="Arial Narrow" w:hAnsi="Arial Narrow" w:cs="Arial"/>
                <w:color w:val="auto"/>
                <w:sz w:val="20"/>
                <w:szCs w:val="20"/>
              </w:rPr>
              <w:t>, and siblings</w:t>
            </w:r>
            <w:r w:rsidR="4129FF38" w:rsidRPr="7C4E3BA4">
              <w:rPr>
                <w:rFonts w:ascii="Arial Narrow" w:hAnsi="Arial Narrow"/>
                <w:snapToGrid w:val="0"/>
                <w:color w:val="auto"/>
                <w:sz w:val="20"/>
                <w:szCs w:val="20"/>
              </w:rPr>
              <w:t xml:space="preserve"> </w:t>
            </w:r>
            <w:r w:rsidRPr="7C4E3BA4">
              <w:rPr>
                <w:rFonts w:ascii="Arial Narrow" w:hAnsi="Arial Narrow"/>
                <w:snapToGrid w:val="0"/>
                <w:color w:val="auto"/>
                <w:sz w:val="20"/>
                <w:szCs w:val="20"/>
              </w:rPr>
              <w:t xml:space="preserve">of a proband identified after symptom onset with </w:t>
            </w:r>
            <w:r w:rsidR="69C7775D" w:rsidRPr="7C4E3BA4">
              <w:rPr>
                <w:rFonts w:ascii="Arial Narrow" w:hAnsi="Arial Narrow"/>
                <w:snapToGrid w:val="0"/>
                <w:color w:val="auto"/>
                <w:sz w:val="20"/>
                <w:szCs w:val="20"/>
              </w:rPr>
              <w:t>a</w:t>
            </w:r>
            <w:r w:rsidRPr="7C4E3BA4">
              <w:rPr>
                <w:rFonts w:ascii="Arial Narrow" w:hAnsi="Arial Narrow"/>
                <w:snapToGrid w:val="0"/>
                <w:color w:val="auto"/>
                <w:sz w:val="20"/>
                <w:szCs w:val="20"/>
              </w:rPr>
              <w:t xml:space="preserve"> pathogenic/likely pathogenic (P/LP) variants or VUS (reclassified as P/LP) in the</w:t>
            </w:r>
            <w:r w:rsidRPr="7C4E3BA4">
              <w:rPr>
                <w:rFonts w:ascii="Arial Narrow" w:hAnsi="Arial Narrow"/>
                <w:i/>
                <w:iCs/>
                <w:snapToGrid w:val="0"/>
                <w:color w:val="auto"/>
                <w:sz w:val="20"/>
                <w:szCs w:val="20"/>
              </w:rPr>
              <w:t xml:space="preserve"> ID</w:t>
            </w:r>
            <w:r w:rsidR="0F35B658" w:rsidRPr="7C4E3BA4">
              <w:rPr>
                <w:rFonts w:ascii="Arial Narrow" w:hAnsi="Arial Narrow"/>
                <w:i/>
                <w:iCs/>
                <w:snapToGrid w:val="0"/>
                <w:color w:val="auto"/>
                <w:sz w:val="20"/>
                <w:szCs w:val="20"/>
              </w:rPr>
              <w:t>S</w:t>
            </w:r>
            <w:r w:rsidRPr="7C4E3BA4">
              <w:rPr>
                <w:rFonts w:ascii="Arial Narrow" w:hAnsi="Arial Narrow"/>
                <w:snapToGrid w:val="0"/>
                <w:color w:val="auto"/>
                <w:sz w:val="20"/>
                <w:szCs w:val="20"/>
              </w:rPr>
              <w:t xml:space="preserve"> </w:t>
            </w:r>
            <w:r w:rsidRPr="7C4E3BA4">
              <w:rPr>
                <w:rFonts w:ascii="Arial Narrow" w:hAnsi="Arial Narrow" w:cs="Arial"/>
                <w:color w:val="auto"/>
                <w:sz w:val="20"/>
                <w:szCs w:val="20"/>
              </w:rPr>
              <w:t xml:space="preserve">gene </w:t>
            </w:r>
          </w:p>
          <w:p w14:paraId="0BDA5861" w14:textId="77777777" w:rsidR="00224A37" w:rsidRPr="00224A37" w:rsidRDefault="001771F8" w:rsidP="007D3B64">
            <w:pPr>
              <w:pStyle w:val="Instructionaltext"/>
              <w:keepNext/>
              <w:keepLines/>
              <w:rPr>
                <w:rFonts w:ascii="Arial Narrow" w:hAnsi="Arial Narrow"/>
                <w:snapToGrid w:val="0"/>
                <w:sz w:val="20"/>
              </w:rPr>
            </w:pPr>
            <w:r w:rsidRPr="006349A9">
              <w:rPr>
                <w:rFonts w:ascii="Arial Narrow" w:hAnsi="Arial Narrow" w:cs="Arial"/>
                <w:color w:val="auto"/>
                <w:sz w:val="20"/>
                <w:szCs w:val="20"/>
              </w:rPr>
              <w:t>Where the mother tests positive, also her parents and siblings</w:t>
            </w:r>
          </w:p>
        </w:tc>
      </w:tr>
    </w:tbl>
    <w:p w14:paraId="41FFD850" w14:textId="2382AE09" w:rsidR="00224A37" w:rsidRPr="00224A37" w:rsidRDefault="71243BB7" w:rsidP="007D3B64">
      <w:pPr>
        <w:pStyle w:val="TableFigureFooter"/>
        <w:keepNext/>
        <w:keepLines/>
      </w:pPr>
      <w:r w:rsidRPr="7C4E3BA4">
        <w:rPr>
          <w:i/>
          <w:iCs/>
        </w:rPr>
        <w:t>IDS</w:t>
      </w:r>
      <w:r w:rsidRPr="7C4E3BA4">
        <w:t xml:space="preserve"> = iduronate 2-sulphatase; MPS II = mucopolysaccharidosis Type II; NBS = newborn bloodspot screening; P/LP = pathogenic or likely pathogenic; PICO = Population/Intervention/Comparator/Outcomes; VUS = variant of uncertain significance</w:t>
      </w:r>
    </w:p>
    <w:p w14:paraId="0F1A5EDD" w14:textId="77777777" w:rsidR="00224A37" w:rsidRPr="00224A37" w:rsidRDefault="00224A37" w:rsidP="009A12B9">
      <w:pPr>
        <w:pStyle w:val="Heading3"/>
      </w:pPr>
      <w:bookmarkStart w:id="12" w:name="_Toc175175553"/>
      <w:bookmarkStart w:id="13" w:name="_Toc185430523"/>
      <w:r w:rsidRPr="00224A37">
        <w:t>PICO Set 1 – Newborns</w:t>
      </w:r>
      <w:bookmarkEnd w:id="12"/>
      <w:bookmarkEnd w:id="13"/>
    </w:p>
    <w:p w14:paraId="01B60A0C" w14:textId="74444777" w:rsidR="00224A37" w:rsidRPr="00224A37" w:rsidRDefault="206991CC" w:rsidP="00224A37">
      <w:r w:rsidRPr="7C4E3BA4">
        <w:t>In Australia, the uptake of newborn screening is over 99%</w:t>
      </w:r>
      <w:r w:rsidR="00224A37" w:rsidRPr="7C4E3BA4">
        <w:rPr>
          <w:vertAlign w:val="superscript"/>
        </w:rPr>
        <w:footnoteReference w:id="14"/>
      </w:r>
      <w:r w:rsidRPr="7C4E3BA4">
        <w:t xml:space="preserve">. The population proposed for </w:t>
      </w:r>
      <w:r w:rsidR="19F05DDC" w:rsidRPr="7C4E3BA4">
        <w:t xml:space="preserve">MPS II </w:t>
      </w:r>
      <w:r w:rsidRPr="7C4E3BA4">
        <w:t xml:space="preserve">screening is the same as would undergo NBS in the absence of MPS </w:t>
      </w:r>
      <w:r w:rsidR="581EC4AA" w:rsidRPr="7C4E3BA4">
        <w:t>I</w:t>
      </w:r>
      <w:r w:rsidRPr="7C4E3BA4">
        <w:t xml:space="preserve">I being part of NBS programs (i.e. approximately 300,000 newborns per year). Sufficient </w:t>
      </w:r>
      <w:r w:rsidR="415A4A6A" w:rsidRPr="7C4E3BA4">
        <w:t>DBS</w:t>
      </w:r>
      <w:r w:rsidR="4E11216A" w:rsidRPr="7C4E3BA4">
        <w:t xml:space="preserve"> samples</w:t>
      </w:r>
      <w:r w:rsidRPr="7C4E3BA4">
        <w:t xml:space="preserve"> are currently taken</w:t>
      </w:r>
      <w:r w:rsidR="2B5E4FEB" w:rsidRPr="7C4E3BA4">
        <w:t xml:space="preserve">, </w:t>
      </w:r>
      <w:r w:rsidR="7767A793" w:rsidRPr="7C4E3BA4">
        <w:t xml:space="preserve">meaning </w:t>
      </w:r>
      <w:r w:rsidRPr="7C4E3BA4">
        <w:t xml:space="preserve">that there would be no </w:t>
      </w:r>
      <w:r w:rsidR="13F12EDE" w:rsidRPr="7C4E3BA4">
        <w:t xml:space="preserve">additional </w:t>
      </w:r>
      <w:r w:rsidRPr="7C4E3BA4">
        <w:t xml:space="preserve">impact to the process of taking heel prick samples on a filter card </w:t>
      </w:r>
      <w:r w:rsidR="5685DB35" w:rsidRPr="7C4E3BA4">
        <w:t>with</w:t>
      </w:r>
      <w:r w:rsidRPr="7C4E3BA4">
        <w:t xml:space="preserve">in the first </w:t>
      </w:r>
      <w:r w:rsidR="5FEDC864" w:rsidRPr="7C4E3BA4">
        <w:t>48-</w:t>
      </w:r>
      <w:r w:rsidRPr="7C4E3BA4">
        <w:t>72 hours of life</w:t>
      </w:r>
      <w:r w:rsidR="54E5588D" w:rsidRPr="7C4E3BA4">
        <w:t xml:space="preserve"> </w:t>
      </w:r>
      <w:r w:rsidR="19F05DDC" w:rsidRPr="7C4E3BA4">
        <w:t>to screen for</w:t>
      </w:r>
      <w:r w:rsidR="54E5588D" w:rsidRPr="7C4E3BA4">
        <w:t xml:space="preserve"> MPS II</w:t>
      </w:r>
      <w:r w:rsidRPr="7C4E3BA4">
        <w:t xml:space="preserve">. </w:t>
      </w:r>
    </w:p>
    <w:p w14:paraId="3FAC25F5" w14:textId="67799B61" w:rsidR="00BF33A8" w:rsidRPr="00224A37" w:rsidRDefault="206991CC" w:rsidP="00BF33A8">
      <w:r w:rsidRPr="7C4E3BA4">
        <w:t xml:space="preserve">MPS </w:t>
      </w:r>
      <w:r w:rsidR="63FE32C6" w:rsidRPr="7C4E3BA4">
        <w:t>I</w:t>
      </w:r>
      <w:r w:rsidRPr="7C4E3BA4">
        <w:t>I is an ultra-rare</w:t>
      </w:r>
      <w:r w:rsidR="1B913179" w:rsidRPr="7C4E3BA4">
        <w:rPr>
          <w:rStyle w:val="FootnoteReference"/>
        </w:rPr>
        <w:t xml:space="preserve"> </w:t>
      </w:r>
      <w:r w:rsidR="1B913179" w:rsidRPr="7C4E3BA4">
        <w:t>(defined as 1 case per 50,000 births or fewer)</w:t>
      </w:r>
      <w:r w:rsidRPr="7C4E3BA4">
        <w:t xml:space="preserve"> </w:t>
      </w:r>
      <w:r w:rsidR="002E8AE6" w:rsidRPr="7C4E3BA4">
        <w:t>LSD</w:t>
      </w:r>
      <w:r w:rsidR="69B83869" w:rsidRPr="7C4E3BA4">
        <w:t xml:space="preserve">. A lysosome is a membrane bound organelle that occurs in nearly every cell in the body (excluding red blood cells). </w:t>
      </w:r>
      <w:r w:rsidR="50ECA833" w:rsidRPr="7C4E3BA4">
        <w:t>Lysosomes</w:t>
      </w:r>
      <w:r w:rsidR="69B83869" w:rsidRPr="7C4E3BA4">
        <w:t xml:space="preserve"> contain enzymes that are responsible for breaking down and recycling cellular waste. In MPS II, the lysosomal enzyme Iduronate-2-sulphatase (IDS or I2S), which is responsible for breaking down the GAGs dermatan sulphate and heparan sulphate, is either missing or deficient. These undegraded/partially degraded GAGs therefore accumulate, causing the lysosome to enlarge, and rupture. This results in defects in the extracellular matrix, connective tissue (including joints and heart valves) and joint fluids.</w:t>
      </w:r>
    </w:p>
    <w:p w14:paraId="4A38F94E" w14:textId="5E2ACD9A" w:rsidR="00373585" w:rsidRPr="00373585" w:rsidRDefault="39368381" w:rsidP="00373585">
      <w:r w:rsidRPr="7C4E3BA4">
        <w:t>MPS II</w:t>
      </w:r>
      <w:r w:rsidR="206991CC" w:rsidRPr="7C4E3BA4">
        <w:t xml:space="preserve"> is inherited in </w:t>
      </w:r>
      <w:r w:rsidR="51B9B8FF" w:rsidRPr="7C4E3BA4">
        <w:t xml:space="preserve">an </w:t>
      </w:r>
      <w:r w:rsidR="7E13E08E" w:rsidRPr="7C4E3BA4">
        <w:t>X-linked</w:t>
      </w:r>
      <w:r w:rsidR="206991CC" w:rsidRPr="7C4E3BA4">
        <w:t xml:space="preserve"> recessive manner</w:t>
      </w:r>
      <w:r w:rsidR="082A03CD" w:rsidRPr="7C4E3BA4">
        <w:t xml:space="preserve">, as the </w:t>
      </w:r>
      <w:r w:rsidR="082A03CD" w:rsidRPr="7C4E3BA4">
        <w:rPr>
          <w:i/>
          <w:iCs/>
        </w:rPr>
        <w:t>IDS</w:t>
      </w:r>
      <w:r w:rsidR="082A03CD" w:rsidRPr="7C4E3BA4">
        <w:t xml:space="preserve"> gene </w:t>
      </w:r>
      <w:r w:rsidR="12D9428B" w:rsidRPr="7C4E3BA4">
        <w:t xml:space="preserve">(OMIM 309900) </w:t>
      </w:r>
      <w:r w:rsidR="082A03CD" w:rsidRPr="7C4E3BA4">
        <w:t>is located on the X chromosome</w:t>
      </w:r>
      <w:r w:rsidR="20E3BA20" w:rsidRPr="7C4E3BA4">
        <w:t>,</w:t>
      </w:r>
      <w:r w:rsidR="207B04EB" w:rsidRPr="7C4E3BA4">
        <w:t xml:space="preserve"> and </w:t>
      </w:r>
      <w:r w:rsidR="0771AAB1" w:rsidRPr="7C4E3BA4">
        <w:t>consequently</w:t>
      </w:r>
      <w:r w:rsidR="207B04EB" w:rsidRPr="7C4E3BA4">
        <w:t xml:space="preserve"> </w:t>
      </w:r>
      <w:r w:rsidR="1C0F3159" w:rsidRPr="7C4E3BA4">
        <w:t xml:space="preserve">predominantly affects males. Females are usually carriers and </w:t>
      </w:r>
      <w:r w:rsidR="1C615063" w:rsidRPr="7C4E3BA4">
        <w:t xml:space="preserve">very </w:t>
      </w:r>
      <w:r w:rsidR="1C0F3159" w:rsidRPr="7C4E3BA4">
        <w:t xml:space="preserve">rarely develop clinical signs of MPS II unless there is </w:t>
      </w:r>
      <w:r w:rsidR="1C615063" w:rsidRPr="7C4E3BA4">
        <w:t>skewed</w:t>
      </w:r>
      <w:r w:rsidR="1C0F3159" w:rsidRPr="7C4E3BA4">
        <w:t xml:space="preserve"> X-chromosome inactivation (XCI)</w:t>
      </w:r>
      <w:r w:rsidR="0D4AA326" w:rsidRPr="7C4E3BA4">
        <w:t xml:space="preserve">, which can lead to inactivation of the normal copy of the </w:t>
      </w:r>
      <w:r w:rsidR="0D4AA326" w:rsidRPr="7C4E3BA4">
        <w:rPr>
          <w:i/>
          <w:iCs/>
        </w:rPr>
        <w:t>IDS</w:t>
      </w:r>
      <w:r w:rsidR="0D4AA326" w:rsidRPr="7C4E3BA4">
        <w:t xml:space="preserve"> gene</w:t>
      </w:r>
      <w:r w:rsidR="1C0F3159" w:rsidRPr="7C4E3BA4">
        <w:t xml:space="preserve">. It is estimated that between 10–33% of </w:t>
      </w:r>
      <w:r w:rsidR="1C0F3159" w:rsidRPr="7C4E3BA4">
        <w:rPr>
          <w:i/>
          <w:iCs/>
        </w:rPr>
        <w:t>IDS</w:t>
      </w:r>
      <w:r w:rsidR="1C0F3159" w:rsidRPr="7C4E3BA4">
        <w:t xml:space="preserve"> variants identified in affected individuals are </w:t>
      </w:r>
      <w:r w:rsidR="1C0F3159" w:rsidRPr="7C4E3BA4">
        <w:rPr>
          <w:i/>
          <w:iCs/>
        </w:rPr>
        <w:t>de novo</w:t>
      </w:r>
      <w:r w:rsidR="1C0F3159" w:rsidRPr="7C4E3BA4">
        <w:t xml:space="preserve"> rather than familial in origin.</w:t>
      </w:r>
    </w:p>
    <w:p w14:paraId="06C0F2E4" w14:textId="4F8E77A2" w:rsidR="00985F29" w:rsidRDefault="4B3FEE4B" w:rsidP="008C607C">
      <w:r w:rsidRPr="7C4E3BA4">
        <w:t xml:space="preserve">At birth, newborns with MPS II </w:t>
      </w:r>
      <w:r w:rsidR="00C9457E">
        <w:t xml:space="preserve">do not </w:t>
      </w:r>
      <w:r w:rsidRPr="7C4E3BA4">
        <w:t xml:space="preserve">appear </w:t>
      </w:r>
      <w:r w:rsidR="00C9457E">
        <w:t>to be</w:t>
      </w:r>
      <w:r w:rsidR="004E2818">
        <w:t xml:space="preserve"> affected by the condition</w:t>
      </w:r>
      <w:r w:rsidRPr="7C4E3BA4">
        <w:t xml:space="preserve">. For children affected by the most severe form of MPS II, the first symptoms characteristic of MPS II start to appear as early as </w:t>
      </w:r>
      <w:r w:rsidR="007B60E9">
        <w:t>4</w:t>
      </w:r>
      <w:r w:rsidR="007B60E9" w:rsidRPr="7C4E3BA4">
        <w:t xml:space="preserve"> </w:t>
      </w:r>
      <w:r w:rsidRPr="7C4E3BA4">
        <w:t xml:space="preserve">to 12 months of age. </w:t>
      </w:r>
      <w:r w:rsidR="00075281" w:rsidRPr="7C4E3BA4">
        <w:t>The</w:t>
      </w:r>
      <w:r w:rsidR="77E9814A" w:rsidRPr="7C4E3BA4">
        <w:t>y may have subclinical</w:t>
      </w:r>
      <w:r w:rsidR="00075281" w:rsidRPr="7C4E3BA4">
        <w:t xml:space="preserve"> deterioration </w:t>
      </w:r>
      <w:r w:rsidR="36AA6D96" w:rsidRPr="7C4E3BA4">
        <w:t>prior</w:t>
      </w:r>
      <w:r w:rsidR="77E9814A" w:rsidRPr="7C4E3BA4">
        <w:t xml:space="preserve"> to first signs and symptoms</w:t>
      </w:r>
      <w:r w:rsidR="36AA6D96" w:rsidRPr="7C4E3BA4">
        <w:t xml:space="preserve">, </w:t>
      </w:r>
      <w:r w:rsidR="43EA09A6" w:rsidRPr="7C4E3BA4">
        <w:t xml:space="preserve">such that </w:t>
      </w:r>
      <w:r w:rsidR="36AA6D96" w:rsidRPr="7C4E3BA4">
        <w:t xml:space="preserve">there is </w:t>
      </w:r>
      <w:r w:rsidR="288BEDBA" w:rsidRPr="7C4E3BA4">
        <w:t xml:space="preserve">usually </w:t>
      </w:r>
      <w:r w:rsidR="36AA6D96" w:rsidRPr="7C4E3BA4">
        <w:t>a delay in manifestation of the disease</w:t>
      </w:r>
      <w:r w:rsidR="21A3347B" w:rsidRPr="7C4E3BA4">
        <w:t xml:space="preserve"> </w:t>
      </w:r>
      <w:r w:rsidR="5CB80F39" w:rsidRPr="7C4E3BA4">
        <w:t>(i.e. between when deterioration first starts, and when symptoms develop)</w:t>
      </w:r>
      <w:r w:rsidR="00C34918" w:rsidRPr="7C4E3BA4">
        <w:rPr>
          <w:rStyle w:val="FootnoteReference"/>
        </w:rPr>
        <w:footnoteReference w:id="15"/>
      </w:r>
      <w:r w:rsidR="36AA6D96" w:rsidRPr="7C4E3BA4">
        <w:t>.</w:t>
      </w:r>
      <w:r w:rsidRPr="7C4E3BA4">
        <w:t xml:space="preserve"> </w:t>
      </w:r>
      <w:r w:rsidR="007B60E9">
        <w:t xml:space="preserve">The first signs may be non-specific respiratory and ENT issues.  </w:t>
      </w:r>
      <w:r w:rsidRPr="7C4E3BA4">
        <w:t xml:space="preserve">In the first few years of their life, children with </w:t>
      </w:r>
      <w:r w:rsidR="428983D4" w:rsidRPr="7C4E3BA4">
        <w:t xml:space="preserve">severe </w:t>
      </w:r>
      <w:r w:rsidRPr="7C4E3BA4">
        <w:t>MPS II do not meet developmental milestones. As MPS II progresses, children regress developmentally</w:t>
      </w:r>
      <w:r w:rsidR="6B4C9149" w:rsidRPr="7C4E3BA4">
        <w:t>,</w:t>
      </w:r>
      <w:r w:rsidRPr="7C4E3BA4">
        <w:t xml:space="preserve"> losing much of their cognitive function and develop behavioural issues </w:t>
      </w:r>
      <w:r w:rsidR="007B60E9">
        <w:t xml:space="preserve">including </w:t>
      </w:r>
      <w:r w:rsidRPr="7C4E3BA4">
        <w:t xml:space="preserve">hyperactivity. Growth slows at around 5 years </w:t>
      </w:r>
      <w:r w:rsidR="337C4064" w:rsidRPr="7C4E3BA4">
        <w:t>of age</w:t>
      </w:r>
      <w:r w:rsidR="007B60E9">
        <w:t>,</w:t>
      </w:r>
      <w:r w:rsidR="337C4064" w:rsidRPr="7C4E3BA4">
        <w:t xml:space="preserve"> </w:t>
      </w:r>
      <w:r w:rsidRPr="7C4E3BA4">
        <w:t xml:space="preserve">resulting in short stature. As many organs and tissues are affected in MPS II, there are multiple characteristics and clinical features </w:t>
      </w:r>
      <w:r w:rsidR="2B1F419E" w:rsidRPr="7C4E3BA4">
        <w:lastRenderedPageBreak/>
        <w:t>associated with this disease</w:t>
      </w:r>
      <w:r w:rsidR="0E278280" w:rsidRPr="7C4E3BA4">
        <w:t xml:space="preserve"> that require treatment</w:t>
      </w:r>
      <w:r w:rsidR="13FBF7F2" w:rsidRPr="7C4E3BA4">
        <w:t xml:space="preserve">, </w:t>
      </w:r>
      <w:r w:rsidR="007B60E9">
        <w:t xml:space="preserve">including </w:t>
      </w:r>
      <w:r w:rsidR="007B60E9" w:rsidRPr="7C4E3BA4">
        <w:t>frequent upper respiratory infections, sleep apnoea due to narrowing of the airway</w:t>
      </w:r>
      <w:r w:rsidR="007B60E9">
        <w:t xml:space="preserve">, hernias. In later childhood, </w:t>
      </w:r>
      <w:r w:rsidRPr="7C4E3BA4">
        <w:t xml:space="preserve">hydrocephalus, hearing loss, reduced vision, heart valve </w:t>
      </w:r>
      <w:r w:rsidR="007B60E9">
        <w:t>and</w:t>
      </w:r>
      <w:r w:rsidRPr="7C4E3BA4">
        <w:t xml:space="preserve"> heart rhythm abnormalities and skeletal abnormalities</w:t>
      </w:r>
      <w:r w:rsidR="007B60E9">
        <w:t xml:space="preserve"> become evident</w:t>
      </w:r>
      <w:r w:rsidRPr="7C4E3BA4">
        <w:t>. Life expectancy with the severe form of MPS II is between 10 to 20 years of age with death usually caused by obstructive airway disease and/or cardiac failure</w:t>
      </w:r>
      <w:r w:rsidR="0E278280" w:rsidRPr="7C4E3BA4">
        <w:t>.</w:t>
      </w:r>
    </w:p>
    <w:p w14:paraId="3332C83B" w14:textId="301A9177" w:rsidR="00985F29" w:rsidRDefault="0986B83E" w:rsidP="008C607C">
      <w:r w:rsidRPr="7C4E3BA4">
        <w:t xml:space="preserve">Many of the systemic symptoms of late-onset attenuated MPS II are similar </w:t>
      </w:r>
      <w:r w:rsidR="75D5126B" w:rsidRPr="7C4E3BA4">
        <w:t>to those experienced by patients with severe MPS II</w:t>
      </w:r>
      <w:r w:rsidRPr="7C4E3BA4">
        <w:t xml:space="preserve"> but </w:t>
      </w:r>
      <w:r w:rsidR="42E55432" w:rsidRPr="7C4E3BA4">
        <w:t xml:space="preserve">are </w:t>
      </w:r>
      <w:r w:rsidRPr="7C4E3BA4">
        <w:t xml:space="preserve">generally milder and </w:t>
      </w:r>
      <w:r w:rsidR="33BCCE31" w:rsidRPr="7C4E3BA4">
        <w:t>with</w:t>
      </w:r>
      <w:r w:rsidRPr="7C4E3BA4">
        <w:t xml:space="preserve"> </w:t>
      </w:r>
      <w:r w:rsidR="33BCCE31" w:rsidRPr="7C4E3BA4">
        <w:t xml:space="preserve">limited or absent </w:t>
      </w:r>
      <w:r w:rsidRPr="7C4E3BA4">
        <w:t>neurological involvement</w:t>
      </w:r>
      <w:r w:rsidR="73BA521A" w:rsidRPr="7C4E3BA4">
        <w:t xml:space="preserve"> (</w:t>
      </w:r>
      <w:r w:rsidRPr="7C4E3BA4">
        <w:t>cognitive impairment and</w:t>
      </w:r>
      <w:r w:rsidR="73BA521A" w:rsidRPr="7C4E3BA4">
        <w:t>/or</w:t>
      </w:r>
      <w:r w:rsidRPr="7C4E3BA4">
        <w:t xml:space="preserve"> behavioural problems</w:t>
      </w:r>
      <w:r w:rsidR="73BA521A" w:rsidRPr="7C4E3BA4">
        <w:t>)</w:t>
      </w:r>
      <w:r w:rsidRPr="7C4E3BA4">
        <w:t xml:space="preserve">. </w:t>
      </w:r>
      <w:r w:rsidR="3B40BD2D" w:rsidRPr="7C4E3BA4">
        <w:t xml:space="preserve">However, as </w:t>
      </w:r>
      <w:r w:rsidR="1C751611" w:rsidRPr="7C4E3BA4">
        <w:t>l</w:t>
      </w:r>
      <w:r w:rsidRPr="7C4E3BA4">
        <w:t xml:space="preserve">ife expectancy is significantly greater at </w:t>
      </w:r>
      <w:r w:rsidR="007B60E9">
        <w:t>up to</w:t>
      </w:r>
      <w:r w:rsidR="007608E6">
        <w:t xml:space="preserve"> 60 to 70</w:t>
      </w:r>
      <w:r w:rsidR="007B60E9" w:rsidRPr="7C4E3BA4">
        <w:t xml:space="preserve"> </w:t>
      </w:r>
      <w:r w:rsidRPr="7C4E3BA4">
        <w:t>years</w:t>
      </w:r>
      <w:r w:rsidR="73BA521A" w:rsidRPr="7C4E3BA4">
        <w:t xml:space="preserve"> for</w:t>
      </w:r>
      <w:r w:rsidR="5F6B66B6" w:rsidRPr="7C4E3BA4">
        <w:t xml:space="preserve"> individuals with </w:t>
      </w:r>
      <w:r w:rsidRPr="7C4E3BA4">
        <w:t xml:space="preserve">attenuated </w:t>
      </w:r>
      <w:r w:rsidR="5F6B66B6" w:rsidRPr="7C4E3BA4">
        <w:t>disease, they</w:t>
      </w:r>
      <w:r w:rsidRPr="7C4E3BA4">
        <w:t xml:space="preserve"> may ultimately be as greatly affected as severe patients due to </w:t>
      </w:r>
      <w:r w:rsidR="52813C83" w:rsidRPr="7C4E3BA4">
        <w:t xml:space="preserve">the </w:t>
      </w:r>
      <w:r w:rsidR="4E0FA16C" w:rsidRPr="7C4E3BA4">
        <w:t xml:space="preserve">cumulative </w:t>
      </w:r>
      <w:r w:rsidRPr="7C4E3BA4">
        <w:t xml:space="preserve">somatic manifestations </w:t>
      </w:r>
      <w:r w:rsidR="5AFB26E8" w:rsidRPr="7C4E3BA4">
        <w:t xml:space="preserve">progressing </w:t>
      </w:r>
      <w:r w:rsidRPr="7C4E3BA4">
        <w:t xml:space="preserve">over </w:t>
      </w:r>
      <w:r w:rsidR="4E13B3AB" w:rsidRPr="7C4E3BA4">
        <w:t xml:space="preserve">a </w:t>
      </w:r>
      <w:r w:rsidRPr="7C4E3BA4">
        <w:t xml:space="preserve">longer </w:t>
      </w:r>
      <w:r w:rsidR="4E13B3AB" w:rsidRPr="7C4E3BA4">
        <w:t>period of time</w:t>
      </w:r>
      <w:r w:rsidRPr="7C4E3BA4">
        <w:t>.</w:t>
      </w:r>
    </w:p>
    <w:p w14:paraId="0354BB3E" w14:textId="2B442EB1" w:rsidR="00327A39" w:rsidRDefault="3A0372E2" w:rsidP="00327A39">
      <w:r w:rsidRPr="7C4E3BA4">
        <w:t xml:space="preserve">Individuals with </w:t>
      </w:r>
      <w:r w:rsidRPr="7C4E3BA4">
        <w:rPr>
          <w:i/>
          <w:iCs/>
        </w:rPr>
        <w:t>IDS</w:t>
      </w:r>
      <w:r w:rsidRPr="7C4E3BA4">
        <w:t xml:space="preserve"> gene variants linked to IDS pseudodeficiency exhibit reduced IDS enzyme activity (~5–15% of normal levels) but maintain normal urinary GAG levels and show no symptoms of MPS II. These individuals remain asymptomatic because the gene variants reduce the activity of the enzyme as detected </w:t>
      </w:r>
      <w:r w:rsidR="007B60E9">
        <w:t>by laboratory testing but do not</w:t>
      </w:r>
      <w:r w:rsidRPr="7C4E3BA4">
        <w:t xml:space="preserve"> </w:t>
      </w:r>
      <w:r w:rsidR="007B60E9" w:rsidRPr="7C4E3BA4">
        <w:t>reduc</w:t>
      </w:r>
      <w:r w:rsidR="007B60E9">
        <w:t>e</w:t>
      </w:r>
      <w:r w:rsidR="007B60E9" w:rsidRPr="7C4E3BA4">
        <w:t xml:space="preserve"> </w:t>
      </w:r>
      <w:r w:rsidRPr="7C4E3BA4">
        <w:t xml:space="preserve">it to a disease-causing level, </w:t>
      </w:r>
      <w:r w:rsidR="007B60E9">
        <w:t>as</w:t>
      </w:r>
      <w:r w:rsidR="007B60E9" w:rsidRPr="7C4E3BA4">
        <w:t xml:space="preserve"> </w:t>
      </w:r>
      <w:r w:rsidRPr="7C4E3BA4">
        <w:t>sufficient IDS function prevent</w:t>
      </w:r>
      <w:r w:rsidR="007B60E9">
        <w:t>s</w:t>
      </w:r>
      <w:r w:rsidRPr="7C4E3BA4">
        <w:t xml:space="preserve"> GAG accumulation. NRE-GAG analysis, proposed as a second-tier test, can effectively distinguish between individuals with MPS II and those with IDS pseudodeficiency. This distinction is crucial as it minimi</w:t>
      </w:r>
      <w:r w:rsidR="0F12DB07" w:rsidRPr="7C4E3BA4">
        <w:t>s</w:t>
      </w:r>
      <w:r w:rsidRPr="7C4E3BA4">
        <w:t>es false positive cases in newborn screening, reducing unnecessary recalls for confirmatory testing and improving the positive predictive value (PPV) of the screening process.</w:t>
      </w:r>
    </w:p>
    <w:p w14:paraId="75458375" w14:textId="016F7E1B" w:rsidR="00327A39" w:rsidRDefault="6C30BCC3" w:rsidP="008C607C">
      <w:r w:rsidRPr="7C4E3BA4">
        <w:t xml:space="preserve">The true birth prevalence of MPS </w:t>
      </w:r>
      <w:r w:rsidR="3A1296BE" w:rsidRPr="7C4E3BA4">
        <w:t>I</w:t>
      </w:r>
      <w:r w:rsidRPr="7C4E3BA4">
        <w:t xml:space="preserve">I </w:t>
      </w:r>
      <w:r w:rsidR="1CBB7B9B" w:rsidRPr="7C4E3BA4">
        <w:t>in Australia</w:t>
      </w:r>
      <w:r w:rsidRPr="7C4E3BA4">
        <w:t xml:space="preserve"> is unknown, as the </w:t>
      </w:r>
      <w:r w:rsidR="73199F98" w:rsidRPr="7C4E3BA4">
        <w:t>number</w:t>
      </w:r>
      <w:r w:rsidRPr="7C4E3BA4">
        <w:t xml:space="preserve"> </w:t>
      </w:r>
      <w:r w:rsidR="373BF112" w:rsidRPr="7C4E3BA4">
        <w:t xml:space="preserve">of </w:t>
      </w:r>
      <w:r w:rsidRPr="7C4E3BA4">
        <w:t xml:space="preserve">clinically diagnosed </w:t>
      </w:r>
      <w:r w:rsidR="373BF112" w:rsidRPr="7C4E3BA4">
        <w:t xml:space="preserve">patients </w:t>
      </w:r>
      <w:r w:rsidRPr="7C4E3BA4">
        <w:t xml:space="preserve">may </w:t>
      </w:r>
      <w:r w:rsidR="5BBC823B" w:rsidRPr="7C4E3BA4">
        <w:t xml:space="preserve">be an </w:t>
      </w:r>
      <w:r w:rsidRPr="7C4E3BA4">
        <w:t xml:space="preserve">underestimate </w:t>
      </w:r>
      <w:r w:rsidR="73199F98" w:rsidRPr="7C4E3BA4">
        <w:t xml:space="preserve">due to </w:t>
      </w:r>
      <w:r w:rsidR="62D7272F" w:rsidRPr="7C4E3BA4">
        <w:t xml:space="preserve">undetected </w:t>
      </w:r>
      <w:r w:rsidR="4E0FA16C" w:rsidRPr="7C4E3BA4">
        <w:t xml:space="preserve">cases of </w:t>
      </w:r>
      <w:r w:rsidRPr="7C4E3BA4">
        <w:t xml:space="preserve">attenuated </w:t>
      </w:r>
      <w:r w:rsidR="4E0FA16C" w:rsidRPr="7C4E3BA4">
        <w:t>disease</w:t>
      </w:r>
      <w:r w:rsidR="57DBB0C3" w:rsidRPr="7C4E3BA4">
        <w:t xml:space="preserve"> (or death before diagnosis for severe </w:t>
      </w:r>
      <w:r w:rsidR="0B0B2650" w:rsidRPr="7C4E3BA4">
        <w:t xml:space="preserve">disease </w:t>
      </w:r>
      <w:r w:rsidR="57DBB0C3" w:rsidRPr="7C4E3BA4">
        <w:t>cases</w:t>
      </w:r>
      <w:r w:rsidR="094F5480" w:rsidRPr="7C4E3BA4">
        <w:t>)</w:t>
      </w:r>
      <w:r w:rsidRPr="7C4E3BA4">
        <w:t xml:space="preserve">. Based on those </w:t>
      </w:r>
      <w:r w:rsidR="59132109" w:rsidRPr="7C4E3BA4">
        <w:t>clinically</w:t>
      </w:r>
      <w:r w:rsidRPr="7C4E3BA4">
        <w:t xml:space="preserve"> diagnosed between 2009 and 2020 in Australia, the estimated incidence of MPS </w:t>
      </w:r>
      <w:r w:rsidR="64286114" w:rsidRPr="7C4E3BA4">
        <w:t>I</w:t>
      </w:r>
      <w:r w:rsidRPr="7C4E3BA4">
        <w:t>I was 0.</w:t>
      </w:r>
      <w:r w:rsidR="20B44439" w:rsidRPr="7C4E3BA4">
        <w:t>62</w:t>
      </w:r>
      <w:r w:rsidRPr="7C4E3BA4">
        <w:t xml:space="preserve"> per 100,000 live births. The </w:t>
      </w:r>
      <w:r w:rsidR="3CC2EB74" w:rsidRPr="7C4E3BA4">
        <w:t>weighted average</w:t>
      </w:r>
      <w:r w:rsidRPr="7C4E3BA4">
        <w:t xml:space="preserve"> worldwide birth prevalence of MPS </w:t>
      </w:r>
      <w:r w:rsidR="7D04724F" w:rsidRPr="7C4E3BA4">
        <w:t>I</w:t>
      </w:r>
      <w:r w:rsidRPr="7C4E3BA4">
        <w:t xml:space="preserve">I from </w:t>
      </w:r>
      <w:r w:rsidR="7D04724F" w:rsidRPr="7C4E3BA4">
        <w:t>4</w:t>
      </w:r>
      <w:r w:rsidRPr="7C4E3BA4">
        <w:t xml:space="preserve"> NBS programs from Japan, Taiwan and the United States</w:t>
      </w:r>
      <w:r w:rsidR="73205993" w:rsidRPr="7C4E3BA4">
        <w:t xml:space="preserve"> </w:t>
      </w:r>
      <w:r w:rsidR="6734E954" w:rsidRPr="7C4E3BA4">
        <w:t>(Illinois and</w:t>
      </w:r>
      <w:r w:rsidR="2D160983" w:rsidRPr="7C4E3BA4">
        <w:t xml:space="preserve"> Missouri)</w:t>
      </w:r>
      <w:r w:rsidR="6734E954" w:rsidRPr="7C4E3BA4">
        <w:t xml:space="preserve"> </w:t>
      </w:r>
      <w:r w:rsidRPr="7C4E3BA4">
        <w:t>is 1.</w:t>
      </w:r>
      <w:r w:rsidR="7D04724F" w:rsidRPr="7C4E3BA4">
        <w:t>4</w:t>
      </w:r>
      <w:r w:rsidRPr="7C4E3BA4">
        <w:t>2 per 100,000 live births.</w:t>
      </w:r>
    </w:p>
    <w:p w14:paraId="408033FC" w14:textId="5BB1BB17" w:rsidR="00E561BF" w:rsidRPr="00224A37" w:rsidRDefault="00E561BF" w:rsidP="00B27407">
      <w:pPr>
        <w:pStyle w:val="Heading3"/>
      </w:pPr>
      <w:bookmarkStart w:id="14" w:name="_Toc185430524"/>
      <w:r w:rsidRPr="00224A37">
        <w:t xml:space="preserve">PICO Set </w:t>
      </w:r>
      <w:r>
        <w:t>2</w:t>
      </w:r>
      <w:r w:rsidRPr="00224A37">
        <w:t xml:space="preserve"> </w:t>
      </w:r>
      <w:r w:rsidR="003D7446">
        <w:t>– Family members</w:t>
      </w:r>
      <w:bookmarkEnd w:id="14"/>
    </w:p>
    <w:p w14:paraId="777CD0ED" w14:textId="27A138CF" w:rsidR="00A65238" w:rsidRDefault="713551CA" w:rsidP="00D21FE2">
      <w:r w:rsidRPr="7C4E3BA4">
        <w:t xml:space="preserve">Based on the X-linked inheritance pattern of MPS II, it is proposed that genetic testing will be </w:t>
      </w:r>
      <w:r w:rsidR="377443A1" w:rsidRPr="7C4E3BA4">
        <w:t>offered</w:t>
      </w:r>
      <w:r w:rsidR="38D1CBD2" w:rsidRPr="7C4E3BA4">
        <w:t xml:space="preserve"> </w:t>
      </w:r>
      <w:r w:rsidRPr="7C4E3BA4">
        <w:t xml:space="preserve">to the mother of male newborns diagnosed with </w:t>
      </w:r>
      <w:r w:rsidR="007B60E9">
        <w:t>pathogenic or likely pathogenic</w:t>
      </w:r>
      <w:r w:rsidRPr="7C4E3BA4">
        <w:t xml:space="preserve"> variants of </w:t>
      </w:r>
      <w:r w:rsidR="007B60E9">
        <w:t>IDS</w:t>
      </w:r>
      <w:r w:rsidRPr="7C4E3BA4">
        <w:t xml:space="preserve">. </w:t>
      </w:r>
      <w:r w:rsidR="73CF5C10" w:rsidRPr="7C4E3BA4">
        <w:t>If the mother tests positive, then testing of her parents and siblings is indicated (i.e. the newborn’s maternal grandparents, aunts and uncles).</w:t>
      </w:r>
      <w:r w:rsidR="24C033A2" w:rsidRPr="7C4E3BA4">
        <w:t xml:space="preserve"> </w:t>
      </w:r>
      <w:r w:rsidR="42A0F2C1" w:rsidRPr="7C4E3BA4">
        <w:t xml:space="preserve">MPS II is familial (inherited) in most cases, </w:t>
      </w:r>
      <w:r w:rsidR="11A8E91B" w:rsidRPr="7C4E3BA4">
        <w:t>but</w:t>
      </w:r>
      <w:r w:rsidR="42A0F2C1" w:rsidRPr="7C4E3BA4">
        <w:t xml:space="preserve"> </w:t>
      </w:r>
      <w:r w:rsidR="4F6A34D5" w:rsidRPr="7C4E3BA4">
        <w:rPr>
          <w:i/>
          <w:iCs/>
        </w:rPr>
        <w:t>de novo</w:t>
      </w:r>
      <w:r w:rsidR="4F6A34D5" w:rsidRPr="7C4E3BA4">
        <w:t xml:space="preserve"> variants are reported to occur in 10–33% of MPS II cases</w:t>
      </w:r>
      <w:r w:rsidR="42A0F2C1" w:rsidRPr="7C4E3BA4">
        <w:t>. When MPS II is familial, the biological mother of affected male offspring with a pathogenic variant is a carrier, with a 50% chance that other male offspring would be affected.</w:t>
      </w:r>
    </w:p>
    <w:p w14:paraId="11E49462" w14:textId="600F790E" w:rsidR="0009326C" w:rsidRDefault="24C033A2" w:rsidP="005A3189">
      <w:r w:rsidRPr="7C4E3BA4">
        <w:t>Older male siblings of index cases born before the implementation of NBS for MPS II may remain undiagnosed</w:t>
      </w:r>
      <w:r w:rsidR="294A0EE7" w:rsidRPr="7C4E3BA4">
        <w:t xml:space="preserve"> </w:t>
      </w:r>
      <w:r w:rsidR="570F47F8" w:rsidRPr="7C4E3BA4">
        <w:t>until</w:t>
      </w:r>
      <w:r w:rsidR="6C2AE0F8" w:rsidRPr="7C4E3BA4">
        <w:t xml:space="preserve"> symptom onset</w:t>
      </w:r>
      <w:r w:rsidRPr="7C4E3BA4">
        <w:t xml:space="preserve">, </w:t>
      </w:r>
      <w:r w:rsidR="47213E85" w:rsidRPr="7C4E3BA4">
        <w:t>which in</w:t>
      </w:r>
      <w:r w:rsidRPr="7C4E3BA4">
        <w:t xml:space="preserve"> MPS II </w:t>
      </w:r>
      <w:r w:rsidR="3D1C8556" w:rsidRPr="7C4E3BA4">
        <w:t xml:space="preserve">patients with severe disease </w:t>
      </w:r>
      <w:r w:rsidR="58290E06" w:rsidRPr="7C4E3BA4">
        <w:t xml:space="preserve">is </w:t>
      </w:r>
      <w:r w:rsidRPr="7C4E3BA4">
        <w:t xml:space="preserve">typically </w:t>
      </w:r>
      <w:r>
        <w:t>a</w:t>
      </w:r>
      <w:r w:rsidR="7F786C2D">
        <w:t>t</w:t>
      </w:r>
      <w:r w:rsidRPr="7C4E3BA4">
        <w:t xml:space="preserve"> </w:t>
      </w:r>
      <w:r w:rsidR="00CC568B">
        <w:br/>
      </w:r>
      <w:r w:rsidR="58290E06" w:rsidRPr="7C4E3BA4">
        <w:t>1-3 years of age,</w:t>
      </w:r>
      <w:r w:rsidRPr="7C4E3BA4">
        <w:t xml:space="preserve"> or later for </w:t>
      </w:r>
      <w:r w:rsidR="3D1C8556" w:rsidRPr="7C4E3BA4">
        <w:t xml:space="preserve">patients with </w:t>
      </w:r>
      <w:r w:rsidRPr="7C4E3BA4">
        <w:t xml:space="preserve">attenuated </w:t>
      </w:r>
      <w:r w:rsidR="3D1C8556" w:rsidRPr="7C4E3BA4">
        <w:t>disease</w:t>
      </w:r>
      <w:r w:rsidRPr="7C4E3BA4">
        <w:t xml:space="preserve">. It is recommended that these individuals undergo biochemical testing, such as urine GAG analysis. If results are positive, further diagnostic testing, including genetic testing, would be offered. </w:t>
      </w:r>
    </w:p>
    <w:p w14:paraId="288E2170" w14:textId="2A7B6F3D" w:rsidR="005A3189" w:rsidRPr="005A3189" w:rsidRDefault="00AB5506" w:rsidP="005A3189">
      <w:r>
        <w:t>G</w:t>
      </w:r>
      <w:r w:rsidR="08DA6648" w:rsidRPr="7C4E3BA4">
        <w:t xml:space="preserve">enetic testing for </w:t>
      </w:r>
      <w:r w:rsidR="007B60E9">
        <w:t xml:space="preserve">young </w:t>
      </w:r>
      <w:r w:rsidR="08DA6648" w:rsidRPr="7C4E3BA4">
        <w:t xml:space="preserve">female siblings is generally deferred unless medically </w:t>
      </w:r>
      <w:r w:rsidR="007B60E9">
        <w:t>indicated</w:t>
      </w:r>
      <w:r w:rsidR="08DA6648" w:rsidRPr="7C4E3BA4">
        <w:t xml:space="preserve">, </w:t>
      </w:r>
      <w:r w:rsidR="007B60E9">
        <w:t xml:space="preserve">according to the </w:t>
      </w:r>
      <w:r w:rsidR="3ADEF30D" w:rsidRPr="7C4E3BA4">
        <w:t>Human Genetics Society of Australasia (</w:t>
      </w:r>
      <w:r w:rsidR="08DA6648" w:rsidRPr="7C4E3BA4">
        <w:t>HGSA</w:t>
      </w:r>
      <w:r w:rsidR="3ADEF30D" w:rsidRPr="7C4E3BA4">
        <w:t>)</w:t>
      </w:r>
      <w:r w:rsidR="08DA6648" w:rsidRPr="7C4E3BA4">
        <w:t xml:space="preserve"> guidelines, to allow informed decision-making. The clinical expert advice suggested </w:t>
      </w:r>
      <w:r w:rsidR="0F816BE9" w:rsidRPr="7C4E3BA4">
        <w:t xml:space="preserve">cascade </w:t>
      </w:r>
      <w:r w:rsidR="08DA6648" w:rsidRPr="7C4E3BA4">
        <w:t xml:space="preserve">testing at any age with proper </w:t>
      </w:r>
      <w:r w:rsidR="0F816BE9" w:rsidRPr="7C4E3BA4">
        <w:t>counselling</w:t>
      </w:r>
      <w:r w:rsidR="08DA6648" w:rsidRPr="7C4E3BA4">
        <w:t xml:space="preserve">, but ethical guidance is needed on communicating results. </w:t>
      </w:r>
    </w:p>
    <w:p w14:paraId="1080FE3B" w14:textId="53311255" w:rsidR="008A62F7" w:rsidRPr="00496C73" w:rsidRDefault="008A62F7" w:rsidP="00BE0CE4">
      <w:pPr>
        <w:pStyle w:val="Heading2"/>
        <w:numPr>
          <w:ilvl w:val="0"/>
          <w:numId w:val="28"/>
        </w:numPr>
        <w:ind w:hanging="720"/>
      </w:pPr>
      <w:bookmarkStart w:id="15" w:name="_Toc185430525"/>
      <w:r w:rsidRPr="00496C73">
        <w:lastRenderedPageBreak/>
        <w:t>Comparator</w:t>
      </w:r>
      <w:bookmarkEnd w:id="15"/>
    </w:p>
    <w:p w14:paraId="3FA5C4EC" w14:textId="3A9CF7D6" w:rsidR="00F54152" w:rsidRPr="00F54152" w:rsidRDefault="00F54152" w:rsidP="005A3189">
      <w:pPr>
        <w:pStyle w:val="Heading3"/>
      </w:pPr>
      <w:bookmarkStart w:id="16" w:name="_Toc175175556"/>
      <w:bookmarkStart w:id="17" w:name="_Toc185430526"/>
      <w:r w:rsidRPr="00F54152">
        <w:t xml:space="preserve">PICO Set 1 </w:t>
      </w:r>
      <w:r w:rsidR="002C5C89">
        <w:t>Individuals undergoing diagnostic testing after symptom onset</w:t>
      </w:r>
      <w:bookmarkEnd w:id="16"/>
      <w:bookmarkEnd w:id="17"/>
    </w:p>
    <w:p w14:paraId="55806102" w14:textId="127C75D5" w:rsidR="00F54152" w:rsidRPr="00F54152" w:rsidRDefault="00F54152" w:rsidP="00F54152">
      <w:r w:rsidRPr="00F54152">
        <w:t xml:space="preserve">The comparator to adding MPS </w:t>
      </w:r>
      <w:r>
        <w:t>I</w:t>
      </w:r>
      <w:r w:rsidRPr="00F54152">
        <w:t xml:space="preserve">I to </w:t>
      </w:r>
      <w:r w:rsidR="00351328">
        <w:t>Australian</w:t>
      </w:r>
      <w:r w:rsidR="00351328" w:rsidRPr="00F54152">
        <w:t xml:space="preserve"> </w:t>
      </w:r>
      <w:r w:rsidRPr="00F54152">
        <w:t>NBS programs is no screening for MPS I</w:t>
      </w:r>
      <w:r w:rsidR="006B7A1F">
        <w:t>I</w:t>
      </w:r>
      <w:r w:rsidRPr="00F54152">
        <w:t>, and diagnostic testing as it currently occurs after symptom onset.</w:t>
      </w:r>
    </w:p>
    <w:p w14:paraId="39166A4F" w14:textId="5FBE9D1B" w:rsidR="00F54152" w:rsidRPr="00F54152" w:rsidRDefault="00F54152" w:rsidP="00F54152">
      <w:r w:rsidRPr="00F54152">
        <w:t xml:space="preserve">Diagnostic tests currently performed in </w:t>
      </w:r>
      <w:r w:rsidR="00434981">
        <w:t>individuals</w:t>
      </w:r>
      <w:r w:rsidRPr="00F54152">
        <w:t xml:space="preserve"> suspected of having or being at risk of MPS </w:t>
      </w:r>
      <w:r w:rsidR="00A82787">
        <w:t>I</w:t>
      </w:r>
      <w:r w:rsidRPr="00F54152">
        <w:t xml:space="preserve">I include: </w:t>
      </w:r>
    </w:p>
    <w:p w14:paraId="2BF937B6" w14:textId="6A9B0501" w:rsidR="00F54152" w:rsidRPr="00F54152" w:rsidRDefault="00F54152" w:rsidP="00C1290A">
      <w:pPr>
        <w:numPr>
          <w:ilvl w:val="0"/>
          <w:numId w:val="13"/>
        </w:numPr>
        <w:contextualSpacing/>
      </w:pPr>
      <w:r w:rsidRPr="00F54152">
        <w:t>A urinary NRE-GAG analysis using liquid chromatography (LC)-tandem mass spectrometry (MS/MS)</w:t>
      </w:r>
      <w:r w:rsidR="00C83BF5">
        <w:t>.</w:t>
      </w:r>
    </w:p>
    <w:p w14:paraId="12DB00E2" w14:textId="10DBFB3A" w:rsidR="00F54152" w:rsidRPr="00F54152" w:rsidRDefault="00F54152" w:rsidP="00C1290A">
      <w:pPr>
        <w:numPr>
          <w:ilvl w:val="0"/>
          <w:numId w:val="13"/>
        </w:numPr>
        <w:contextualSpacing/>
      </w:pPr>
      <w:r w:rsidRPr="00F54152">
        <w:t>A leukocyte ID</w:t>
      </w:r>
      <w:r w:rsidR="00A82787">
        <w:t>S</w:t>
      </w:r>
      <w:r w:rsidRPr="00F54152">
        <w:t xml:space="preserve"> enzyme activity test</w:t>
      </w:r>
      <w:r w:rsidR="007F45CA">
        <w:t>.</w:t>
      </w:r>
    </w:p>
    <w:p w14:paraId="76BDA7AE" w14:textId="18D0D345" w:rsidR="00F54152" w:rsidRPr="00F54152" w:rsidRDefault="782698DB" w:rsidP="00073EA7">
      <w:pPr>
        <w:ind w:left="720"/>
      </w:pPr>
      <w:r w:rsidRPr="7C4E3BA4">
        <w:t xml:space="preserve">Although not required for diagnosis, it is still useful to predict the severity of disease. Additionally, the eligibility criteria </w:t>
      </w:r>
      <w:r w:rsidR="351A71EF" w:rsidRPr="7C4E3BA4">
        <w:t xml:space="preserve">to access </w:t>
      </w:r>
      <w:r w:rsidR="6A66E979" w:rsidRPr="7C4E3BA4">
        <w:t xml:space="preserve">idursulfase </w:t>
      </w:r>
      <w:r w:rsidRPr="7C4E3BA4">
        <w:t>through the LSDP requires that the diagnosis of MPS I</w:t>
      </w:r>
      <w:r w:rsidR="252F6F33" w:rsidRPr="7C4E3BA4">
        <w:t>I</w:t>
      </w:r>
      <w:r w:rsidRPr="7C4E3BA4">
        <w:t xml:space="preserve"> be confirmed by the demonstration of a deficiency of ID</w:t>
      </w:r>
      <w:r w:rsidR="252F6F33" w:rsidRPr="7C4E3BA4">
        <w:t>S</w:t>
      </w:r>
      <w:r w:rsidRPr="7C4E3BA4">
        <w:t xml:space="preserve"> enzyme activity in white blood cells with the assay performed in a NATA-accredited laboratory</w:t>
      </w:r>
      <w:r w:rsidR="46922923" w:rsidRPr="7C4E3BA4">
        <w:t>,</w:t>
      </w:r>
      <w:r w:rsidR="62CC9BB0" w:rsidRPr="7C4E3BA4">
        <w:t xml:space="preserve"> </w:t>
      </w:r>
      <w:r w:rsidR="46922923" w:rsidRPr="7C4E3BA4">
        <w:t>or</w:t>
      </w:r>
      <w:r w:rsidR="62CC9BB0" w:rsidRPr="7C4E3BA4">
        <w:t xml:space="preserve"> for siblings of a known patient, detection of a disease-causing </w:t>
      </w:r>
      <w:r w:rsidR="7FAE62B8" w:rsidRPr="7C4E3BA4">
        <w:t>variant</w:t>
      </w:r>
      <w:r w:rsidR="62CC9BB0" w:rsidRPr="7C4E3BA4">
        <w:t>.</w:t>
      </w:r>
      <w:r w:rsidR="46922923" w:rsidRPr="7C4E3BA4">
        <w:t xml:space="preserve"> </w:t>
      </w:r>
    </w:p>
    <w:p w14:paraId="64D6A649" w14:textId="2A635E06" w:rsidR="00F54152" w:rsidRPr="00F54152" w:rsidRDefault="00F54152" w:rsidP="00F54152">
      <w:r w:rsidRPr="00F54152">
        <w:t>Those who are found to have MPS I</w:t>
      </w:r>
      <w:r w:rsidR="00D10C41">
        <w:t>I</w:t>
      </w:r>
      <w:r w:rsidRPr="00F54152">
        <w:t xml:space="preserve"> </w:t>
      </w:r>
      <w:r w:rsidR="00CF21BF">
        <w:t>following the above diagnostic testing</w:t>
      </w:r>
      <w:r w:rsidRPr="00F54152">
        <w:t xml:space="preserve"> </w:t>
      </w:r>
      <w:r w:rsidR="007B60E9">
        <w:t xml:space="preserve">undergo </w:t>
      </w:r>
      <w:r w:rsidRPr="00F54152">
        <w:t>genetic testing.</w:t>
      </w:r>
      <w:r w:rsidR="006A0174">
        <w:t xml:space="preserve"> </w:t>
      </w:r>
    </w:p>
    <w:p w14:paraId="19B623E6" w14:textId="4C6147BF" w:rsidR="00F54152" w:rsidRPr="00F54152" w:rsidRDefault="006B7EC8" w:rsidP="00CA1DC5">
      <w:pPr>
        <w:spacing w:before="240"/>
      </w:pPr>
      <w:r>
        <w:t xml:space="preserve">Tests performed for diagnostic confirmation of suspected MPS II </w:t>
      </w:r>
      <w:r w:rsidR="00F87D28">
        <w:t>are</w:t>
      </w:r>
      <w:r w:rsidR="003747A0">
        <w:t xml:space="preserve"> not listed on the MBS and </w:t>
      </w:r>
      <w:r w:rsidR="00F87D28">
        <w:t>are</w:t>
      </w:r>
      <w:r w:rsidR="003747A0">
        <w:t xml:space="preserve"> currently funded by state and territory health budgets.</w:t>
      </w:r>
    </w:p>
    <w:p w14:paraId="7B8BFF2D" w14:textId="77777777" w:rsidR="00F54152" w:rsidRPr="00F54152" w:rsidRDefault="00F54152" w:rsidP="005A3189">
      <w:pPr>
        <w:pStyle w:val="Heading3"/>
      </w:pPr>
      <w:bookmarkStart w:id="18" w:name="_Toc175175557"/>
      <w:bookmarkStart w:id="19" w:name="_Toc185430527"/>
      <w:r w:rsidRPr="00F54152">
        <w:t>PICO Set 2 – Family members</w:t>
      </w:r>
      <w:bookmarkEnd w:id="18"/>
      <w:bookmarkEnd w:id="19"/>
    </w:p>
    <w:p w14:paraId="44C94C45" w14:textId="4B0A3D55" w:rsidR="00F54152" w:rsidRPr="00F54152" w:rsidRDefault="00F54152" w:rsidP="00F54152">
      <w:r w:rsidRPr="00F54152">
        <w:t xml:space="preserve">Currently, testing </w:t>
      </w:r>
      <w:r w:rsidR="00AB5506">
        <w:t xml:space="preserve">of family members </w:t>
      </w:r>
      <w:r w:rsidRPr="00F54152">
        <w:t>involves a two-step approach.</w:t>
      </w:r>
    </w:p>
    <w:p w14:paraId="797FD4B2" w14:textId="104553AC" w:rsidR="00F54152" w:rsidRPr="00F54152" w:rsidRDefault="782698DB" w:rsidP="00F54152">
      <w:r w:rsidRPr="7C4E3BA4">
        <w:t>1.</w:t>
      </w:r>
      <w:r w:rsidR="00F54152">
        <w:tab/>
      </w:r>
      <w:r w:rsidRPr="7C4E3BA4">
        <w:t xml:space="preserve">Genetic testing for the specific familial P/LP variants is offered to </w:t>
      </w:r>
      <w:r w:rsidR="73A859BE" w:rsidRPr="7C4E3BA4">
        <w:t>mothers (fathers</w:t>
      </w:r>
      <w:r w:rsidRPr="7C4E3BA4">
        <w:t>, aunts and uncles</w:t>
      </w:r>
      <w:r w:rsidR="73A859BE" w:rsidRPr="7C4E3BA4">
        <w:t>, if appropriate)</w:t>
      </w:r>
      <w:r w:rsidRPr="7C4E3BA4">
        <w:t xml:space="preserve"> after the diagnosis of a symptomatic child within the hospital system. Genetic counsellors are rarely associated with metabolic clinics in current practice in Australia. If the parents, aunts and uncles wish for further family planning advice, they may be referred to an appropriate clinic.</w:t>
      </w:r>
    </w:p>
    <w:p w14:paraId="380FA481" w14:textId="5D3826A5" w:rsidR="00F54152" w:rsidRPr="00F54152" w:rsidRDefault="782698DB" w:rsidP="00F54152">
      <w:r w:rsidRPr="7C4E3BA4">
        <w:t>2.</w:t>
      </w:r>
      <w:r w:rsidR="00F54152">
        <w:tab/>
      </w:r>
      <w:r w:rsidR="34B1BA01" w:rsidRPr="7C4E3BA4">
        <w:t>Male si</w:t>
      </w:r>
      <w:r w:rsidRPr="7C4E3BA4">
        <w:t>blings of the affected patient</w:t>
      </w:r>
      <w:r w:rsidR="31DE952D" w:rsidRPr="7C4E3BA4">
        <w:t xml:space="preserve"> </w:t>
      </w:r>
      <w:r w:rsidRPr="7C4E3BA4">
        <w:t xml:space="preserve">considered to be at risk of </w:t>
      </w:r>
      <w:r w:rsidR="775E99F3" w:rsidRPr="7C4E3BA4">
        <w:t xml:space="preserve">having </w:t>
      </w:r>
      <w:r w:rsidR="62863259" w:rsidRPr="7C4E3BA4">
        <w:t>MPS II</w:t>
      </w:r>
      <w:r w:rsidRPr="7C4E3BA4">
        <w:t xml:space="preserve"> </w:t>
      </w:r>
      <w:r w:rsidR="003747A0">
        <w:t>hav</w:t>
      </w:r>
      <w:r w:rsidR="003747A0" w:rsidRPr="7C4E3BA4">
        <w:t xml:space="preserve">e </w:t>
      </w:r>
      <w:r w:rsidRPr="7C4E3BA4">
        <w:t>biochemical testing (urine GAG analysis) or genetic testing.</w:t>
      </w:r>
      <w:r w:rsidR="50F6FC37" w:rsidRPr="7C4E3BA4">
        <w:t xml:space="preserve"> </w:t>
      </w:r>
      <w:r w:rsidR="45FF37A5" w:rsidRPr="7C4E3BA4">
        <w:t xml:space="preserve">Female siblings would only </w:t>
      </w:r>
      <w:r w:rsidR="003747A0">
        <w:t>ha</w:t>
      </w:r>
      <w:r w:rsidR="003747A0" w:rsidRPr="7C4E3BA4">
        <w:t xml:space="preserve">ve </w:t>
      </w:r>
      <w:r w:rsidR="45FF37A5" w:rsidRPr="7C4E3BA4">
        <w:t xml:space="preserve">testing if they were symptomatic, as the </w:t>
      </w:r>
      <w:r w:rsidR="2E77704D" w:rsidRPr="7C4E3BA4">
        <w:t xml:space="preserve">X-linked recessive </w:t>
      </w:r>
      <w:r w:rsidR="45FF37A5" w:rsidRPr="7C4E3BA4">
        <w:t>condition is very rare in female</w:t>
      </w:r>
      <w:r w:rsidR="2E77704D" w:rsidRPr="7C4E3BA4">
        <w:t>s.</w:t>
      </w:r>
    </w:p>
    <w:p w14:paraId="4B26BBCF" w14:textId="7601B1D3" w:rsidR="00F54152" w:rsidRDefault="7AC03D96" w:rsidP="00F54152">
      <w:r w:rsidRPr="7C4E3BA4">
        <w:t>Female s</w:t>
      </w:r>
      <w:r w:rsidR="782698DB" w:rsidRPr="7C4E3BA4">
        <w:t xml:space="preserve">iblings are not proposed to be offered testing to determine carrier status, unless they are </w:t>
      </w:r>
      <w:r w:rsidR="431ED4A1" w:rsidRPr="7C4E3BA4">
        <w:t>considered</w:t>
      </w:r>
      <w:r w:rsidR="782698DB" w:rsidRPr="7C4E3BA4">
        <w:t xml:space="preserve"> </w:t>
      </w:r>
      <w:r w:rsidR="755B017B" w:rsidRPr="7C4E3BA4">
        <w:t>competent</w:t>
      </w:r>
      <w:r w:rsidR="782698DB" w:rsidRPr="7C4E3BA4">
        <w:t xml:space="preserve"> </w:t>
      </w:r>
      <w:r w:rsidR="0A6E8C95" w:rsidRPr="7C4E3BA4">
        <w:t xml:space="preserve">to consent to </w:t>
      </w:r>
      <w:r w:rsidR="0E715F43" w:rsidRPr="7C4E3BA4">
        <w:t>be</w:t>
      </w:r>
      <w:r w:rsidR="431ED4A1" w:rsidRPr="7C4E3BA4">
        <w:t>ing</w:t>
      </w:r>
      <w:r w:rsidR="0E715F43" w:rsidRPr="7C4E3BA4">
        <w:t xml:space="preserve"> </w:t>
      </w:r>
      <w:r w:rsidR="7F77403F" w:rsidRPr="7C4E3BA4">
        <w:t>tested to</w:t>
      </w:r>
      <w:r w:rsidR="0E715F43" w:rsidRPr="7C4E3BA4">
        <w:t xml:space="preserve"> gain </w:t>
      </w:r>
      <w:r w:rsidR="782698DB" w:rsidRPr="7C4E3BA4">
        <w:t xml:space="preserve">information </w:t>
      </w:r>
      <w:r w:rsidR="0A6E8C95" w:rsidRPr="7C4E3BA4">
        <w:t>that</w:t>
      </w:r>
      <w:r w:rsidR="782698DB" w:rsidRPr="7C4E3BA4">
        <w:t xml:space="preserve"> may be used for </w:t>
      </w:r>
      <w:r w:rsidR="0A6E8C95" w:rsidRPr="7C4E3BA4">
        <w:t xml:space="preserve">their own </w:t>
      </w:r>
      <w:r w:rsidR="782698DB" w:rsidRPr="7C4E3BA4">
        <w:t>reproductive planning.</w:t>
      </w:r>
    </w:p>
    <w:p w14:paraId="210EB77E" w14:textId="77777777" w:rsidR="00221170" w:rsidRPr="00221170" w:rsidRDefault="00221170" w:rsidP="00BE0CE4">
      <w:pPr>
        <w:pStyle w:val="Heading2"/>
        <w:numPr>
          <w:ilvl w:val="0"/>
          <w:numId w:val="28"/>
        </w:numPr>
        <w:ind w:hanging="720"/>
      </w:pPr>
      <w:bookmarkStart w:id="20" w:name="_Toc69491421"/>
      <w:r w:rsidRPr="003A793E">
        <w:t>Summary of public consultation input</w:t>
      </w:r>
      <w:bookmarkEnd w:id="20"/>
    </w:p>
    <w:p w14:paraId="301A526E" w14:textId="56295324" w:rsidR="00221170" w:rsidRPr="00221170" w:rsidRDefault="00221170" w:rsidP="00221170">
      <w:r>
        <w:t xml:space="preserve">Consultation input was received from 10 organisations and </w:t>
      </w:r>
      <w:r w:rsidR="2E228B52">
        <w:t xml:space="preserve">2 </w:t>
      </w:r>
      <w:r>
        <w:t xml:space="preserve">individuals, </w:t>
      </w:r>
      <w:r w:rsidR="22E1B4D7">
        <w:t xml:space="preserve">one </w:t>
      </w:r>
      <w:r>
        <w:t>caregiver</w:t>
      </w:r>
      <w:r w:rsidR="31ADD6CC">
        <w:t xml:space="preserve"> </w:t>
      </w:r>
      <w:r>
        <w:t>of an individual with MPS II and one</w:t>
      </w:r>
      <w:r w:rsidDel="002C628C">
        <w:t xml:space="preserve"> </w:t>
      </w:r>
      <w:r>
        <w:t xml:space="preserve">health professional. The organisations that provided input were: </w:t>
      </w:r>
    </w:p>
    <w:p w14:paraId="7CD90ECA" w14:textId="77777777" w:rsidR="00221170" w:rsidRPr="00221170" w:rsidRDefault="00221170" w:rsidP="00BE0CE4">
      <w:pPr>
        <w:pStyle w:val="ListParagraph"/>
        <w:numPr>
          <w:ilvl w:val="0"/>
          <w:numId w:val="29"/>
        </w:numPr>
        <w:spacing w:before="0"/>
      </w:pPr>
      <w:r w:rsidRPr="00221170">
        <w:t xml:space="preserve">Western Australian Newborn Bloodspot Screening Program (WA NBS) </w:t>
      </w:r>
    </w:p>
    <w:p w14:paraId="2E194A81" w14:textId="77777777" w:rsidR="00221170" w:rsidRPr="00221170" w:rsidRDefault="00221170" w:rsidP="00BE0CE4">
      <w:pPr>
        <w:pStyle w:val="ListParagraph"/>
        <w:numPr>
          <w:ilvl w:val="0"/>
          <w:numId w:val="29"/>
        </w:numPr>
        <w:spacing w:before="0"/>
      </w:pPr>
      <w:r w:rsidRPr="00221170">
        <w:t xml:space="preserve">Australasian Society of Inborn Errors of Metabolism (ASIEM) [special interest group of Human Genetics Society of Australasia (HGSA)] </w:t>
      </w:r>
    </w:p>
    <w:p w14:paraId="1B4BF8BA" w14:textId="77777777" w:rsidR="00221170" w:rsidRPr="00221170" w:rsidRDefault="00221170" w:rsidP="00BE0CE4">
      <w:pPr>
        <w:pStyle w:val="ListParagraph"/>
        <w:numPr>
          <w:ilvl w:val="0"/>
          <w:numId w:val="29"/>
        </w:numPr>
        <w:spacing w:before="0"/>
      </w:pPr>
      <w:r w:rsidRPr="00221170">
        <w:t xml:space="preserve">Rare Voices Australia (RVA) </w:t>
      </w:r>
    </w:p>
    <w:p w14:paraId="4C91C472" w14:textId="77777777" w:rsidR="00221170" w:rsidRPr="00221170" w:rsidRDefault="00221170" w:rsidP="00BE0CE4">
      <w:pPr>
        <w:pStyle w:val="ListParagraph"/>
        <w:numPr>
          <w:ilvl w:val="0"/>
          <w:numId w:val="29"/>
        </w:numPr>
        <w:spacing w:before="0"/>
      </w:pPr>
      <w:r w:rsidRPr="00221170">
        <w:t xml:space="preserve">Genetic Alliance Australia (GAA) </w:t>
      </w:r>
    </w:p>
    <w:p w14:paraId="0F2A3131" w14:textId="77777777" w:rsidR="00221170" w:rsidRPr="00221170" w:rsidRDefault="00221170" w:rsidP="00BE0CE4">
      <w:pPr>
        <w:pStyle w:val="ListParagraph"/>
        <w:numPr>
          <w:ilvl w:val="0"/>
          <w:numId w:val="29"/>
        </w:numPr>
        <w:spacing w:before="0"/>
      </w:pPr>
      <w:r w:rsidRPr="00221170">
        <w:lastRenderedPageBreak/>
        <w:t xml:space="preserve">Royal College of Pathologists of Australasia (RCPA) </w:t>
      </w:r>
    </w:p>
    <w:p w14:paraId="60ADEE3B" w14:textId="77777777" w:rsidR="00221170" w:rsidRPr="00221170" w:rsidRDefault="00221170" w:rsidP="00BE0CE4">
      <w:pPr>
        <w:pStyle w:val="ListParagraph"/>
        <w:numPr>
          <w:ilvl w:val="0"/>
          <w:numId w:val="29"/>
        </w:numPr>
        <w:spacing w:before="0"/>
      </w:pPr>
      <w:r w:rsidRPr="00221170">
        <w:t xml:space="preserve">Australian Genomics </w:t>
      </w:r>
    </w:p>
    <w:p w14:paraId="0B992793" w14:textId="77777777" w:rsidR="00221170" w:rsidRPr="00221170" w:rsidRDefault="00221170" w:rsidP="00BE0CE4">
      <w:pPr>
        <w:pStyle w:val="ListParagraph"/>
        <w:numPr>
          <w:ilvl w:val="0"/>
          <w:numId w:val="29"/>
        </w:numPr>
        <w:spacing w:before="0"/>
      </w:pPr>
      <w:r w:rsidRPr="00221170">
        <w:t xml:space="preserve">Childhood Dementia Initiative (CDI) </w:t>
      </w:r>
    </w:p>
    <w:p w14:paraId="0D8FF996" w14:textId="77777777" w:rsidR="00221170" w:rsidRPr="00221170" w:rsidRDefault="00221170" w:rsidP="00BE0CE4">
      <w:pPr>
        <w:pStyle w:val="ListParagraph"/>
        <w:numPr>
          <w:ilvl w:val="0"/>
          <w:numId w:val="29"/>
        </w:numPr>
        <w:spacing w:before="0"/>
      </w:pPr>
      <w:r w:rsidRPr="00221170">
        <w:t xml:space="preserve">Statewide Biochemical Genetics Service within SA Pathology (SA Pathology) </w:t>
      </w:r>
    </w:p>
    <w:p w14:paraId="6766B865" w14:textId="77777777" w:rsidR="00221170" w:rsidRPr="00221170" w:rsidRDefault="00221170" w:rsidP="00BE0CE4">
      <w:pPr>
        <w:pStyle w:val="ListParagraph"/>
        <w:numPr>
          <w:ilvl w:val="0"/>
          <w:numId w:val="29"/>
        </w:numPr>
        <w:spacing w:before="0"/>
      </w:pPr>
      <w:r w:rsidRPr="00221170">
        <w:t>Sanofi-Aventis Australia</w:t>
      </w:r>
    </w:p>
    <w:p w14:paraId="6ABCF0C7" w14:textId="77777777" w:rsidR="00221170" w:rsidRPr="00221170" w:rsidRDefault="00221170" w:rsidP="00BE0CE4">
      <w:pPr>
        <w:pStyle w:val="ListParagraph"/>
        <w:numPr>
          <w:ilvl w:val="0"/>
          <w:numId w:val="29"/>
        </w:numPr>
        <w:spacing w:before="0"/>
      </w:pPr>
      <w:r w:rsidRPr="00221170">
        <w:t>Royal Australian and New Zealand College of Obstetricians and Gynaecologists (RANZCOG)</w:t>
      </w:r>
    </w:p>
    <w:p w14:paraId="6D6DE652" w14:textId="77777777" w:rsidR="00221170" w:rsidRDefault="00221170" w:rsidP="00221170">
      <w:pPr>
        <w:rPr>
          <w:b/>
          <w:bCs/>
          <w:sz w:val="24"/>
          <w:szCs w:val="24"/>
        </w:rPr>
      </w:pPr>
      <w:r w:rsidRPr="321A36C1">
        <w:rPr>
          <w:b/>
          <w:bCs/>
          <w:sz w:val="24"/>
          <w:szCs w:val="24"/>
        </w:rPr>
        <w:t xml:space="preserve">Level of support for public funding </w:t>
      </w:r>
    </w:p>
    <w:p w14:paraId="2C29C470" w14:textId="128484CB" w:rsidR="00221170" w:rsidRPr="00221170" w:rsidRDefault="00221170" w:rsidP="00221170">
      <w:pPr>
        <w:rPr>
          <w:b/>
          <w:bCs/>
        </w:rPr>
      </w:pPr>
      <w:r w:rsidRPr="00221170">
        <w:t>The consultation feedback received was supportive of public funding for newborn bloodspot screening (NBS) for MPS II. The consultation feedback highlighted concerns regarding potential testing methods and their accuracy, and also that NBS for MPS II may lead to overdiagnosis and ‘medicalisation’ of newborns who may never develop MPS II.</w:t>
      </w:r>
    </w:p>
    <w:p w14:paraId="5961BED9" w14:textId="77777777" w:rsidR="00221170" w:rsidRPr="00EB0EC8" w:rsidRDefault="00221170" w:rsidP="00221170">
      <w:pPr>
        <w:rPr>
          <w:sz w:val="24"/>
          <w:szCs w:val="24"/>
        </w:rPr>
      </w:pPr>
      <w:r w:rsidRPr="321A36C1">
        <w:rPr>
          <w:b/>
          <w:bCs/>
          <w:sz w:val="24"/>
          <w:szCs w:val="24"/>
        </w:rPr>
        <w:t xml:space="preserve">Perceived Advantages </w:t>
      </w:r>
    </w:p>
    <w:p w14:paraId="15E37396" w14:textId="77777777" w:rsidR="00221170" w:rsidRPr="00221170" w:rsidRDefault="00221170" w:rsidP="00BE0CE4">
      <w:pPr>
        <w:pStyle w:val="ListParagraph"/>
        <w:numPr>
          <w:ilvl w:val="0"/>
          <w:numId w:val="30"/>
        </w:numPr>
        <w:spacing w:before="0"/>
      </w:pPr>
      <w:r w:rsidRPr="00221170">
        <w:t>Timely diagnosis.</w:t>
      </w:r>
    </w:p>
    <w:p w14:paraId="51D5F26B" w14:textId="7851257E" w:rsidR="00221170" w:rsidRPr="00221170" w:rsidRDefault="00221170" w:rsidP="00BE0CE4">
      <w:pPr>
        <w:pStyle w:val="ListParagraph"/>
        <w:numPr>
          <w:ilvl w:val="0"/>
          <w:numId w:val="30"/>
        </w:numPr>
        <w:spacing w:before="0"/>
      </w:pPr>
      <w:r w:rsidRPr="00221170">
        <w:t xml:space="preserve">Avoidance of the </w:t>
      </w:r>
      <w:r w:rsidR="00C3552F">
        <w:t>‘</w:t>
      </w:r>
      <w:r w:rsidRPr="00221170">
        <w:t>diagnostic odyssey</w:t>
      </w:r>
      <w:r w:rsidR="00C3552F">
        <w:t>’</w:t>
      </w:r>
      <w:r w:rsidRPr="00221170">
        <w:t>, and subsequently reduced financial burden on both families and the healthcare system that would otherwise result from searching for a diagnosis.</w:t>
      </w:r>
    </w:p>
    <w:p w14:paraId="17C1E42A" w14:textId="77777777" w:rsidR="00221170" w:rsidRPr="00221170" w:rsidRDefault="00221170" w:rsidP="00BE0CE4">
      <w:pPr>
        <w:pStyle w:val="ListParagraph"/>
        <w:numPr>
          <w:ilvl w:val="0"/>
          <w:numId w:val="30"/>
        </w:numPr>
        <w:spacing w:before="0"/>
      </w:pPr>
      <w:r w:rsidRPr="00221170">
        <w:t>Earlier treatment, prior to onset of significant and irreversible disease manifestations (particularly in individuals with the severe neuronopathic form of MPS II), which will potentially improve outcomes.</w:t>
      </w:r>
    </w:p>
    <w:p w14:paraId="7F347A9E" w14:textId="605BBA36" w:rsidR="00221170" w:rsidRPr="00221170" w:rsidRDefault="00221170" w:rsidP="00BE0CE4">
      <w:pPr>
        <w:pStyle w:val="ListParagraph"/>
        <w:numPr>
          <w:ilvl w:val="0"/>
          <w:numId w:val="30"/>
        </w:numPr>
        <w:spacing w:before="0"/>
      </w:pPr>
      <w:r w:rsidRPr="00221170">
        <w:t>Equitable access, since all families will have equal access to early diagnosis.</w:t>
      </w:r>
    </w:p>
    <w:p w14:paraId="1B50FBC8" w14:textId="77777777" w:rsidR="00221170" w:rsidRPr="00B01D6C" w:rsidRDefault="00221170" w:rsidP="00221170">
      <w:pPr>
        <w:rPr>
          <w:sz w:val="24"/>
          <w:szCs w:val="24"/>
        </w:rPr>
      </w:pPr>
      <w:r w:rsidRPr="321A36C1">
        <w:rPr>
          <w:b/>
          <w:bCs/>
          <w:sz w:val="24"/>
          <w:szCs w:val="24"/>
        </w:rPr>
        <w:t xml:space="preserve">Perceived Disadvantages </w:t>
      </w:r>
    </w:p>
    <w:p w14:paraId="0CD7EF37" w14:textId="77777777" w:rsidR="00221170" w:rsidRPr="00221170" w:rsidRDefault="00221170" w:rsidP="00BE0CE4">
      <w:pPr>
        <w:pStyle w:val="ListParagraph"/>
        <w:numPr>
          <w:ilvl w:val="0"/>
          <w:numId w:val="31"/>
        </w:numPr>
        <w:spacing w:before="0"/>
      </w:pPr>
      <w:r w:rsidRPr="00221170">
        <w:t>Limitations of the proposed screening tests, including potentially poor positive predictive value, and the limitations on genotyping to assist with diagnosis and/or phenotype prediction (due to the large number of private variants in the relevant gene).</w:t>
      </w:r>
    </w:p>
    <w:p w14:paraId="5300D65D" w14:textId="77777777" w:rsidR="00221170" w:rsidRPr="00221170" w:rsidRDefault="00221170" w:rsidP="00BE0CE4">
      <w:pPr>
        <w:pStyle w:val="ListParagraph"/>
        <w:numPr>
          <w:ilvl w:val="0"/>
          <w:numId w:val="31"/>
        </w:numPr>
        <w:spacing w:before="0"/>
      </w:pPr>
      <w:r w:rsidRPr="00221170">
        <w:t>Screening may identify newborns who may have only mild symptoms or never have symptoms with consequent ethical implications.</w:t>
      </w:r>
    </w:p>
    <w:p w14:paraId="622C8F44" w14:textId="0A5A153E" w:rsidR="00221170" w:rsidRPr="00221170" w:rsidRDefault="003747A0" w:rsidP="00BE0CE4">
      <w:pPr>
        <w:pStyle w:val="ListParagraph"/>
        <w:numPr>
          <w:ilvl w:val="0"/>
          <w:numId w:val="31"/>
        </w:numPr>
        <w:spacing w:before="0"/>
      </w:pPr>
      <w:r>
        <w:t>Initial t</w:t>
      </w:r>
      <w:r w:rsidR="00221170" w:rsidRPr="00221170">
        <w:t xml:space="preserve">esting </w:t>
      </w:r>
      <w:r>
        <w:t>is unlikely to</w:t>
      </w:r>
      <w:r w:rsidR="00221170" w:rsidRPr="00221170">
        <w:t xml:space="preserve"> distinguish between patients who will develop neuronopathic or non-neuronopathic forms of MPS II.</w:t>
      </w:r>
    </w:p>
    <w:p w14:paraId="0B5A5A5A" w14:textId="1827F406" w:rsidR="00221170" w:rsidRPr="00221170" w:rsidRDefault="00221170" w:rsidP="00BE0CE4">
      <w:pPr>
        <w:pStyle w:val="ListParagraph"/>
        <w:numPr>
          <w:ilvl w:val="0"/>
          <w:numId w:val="31"/>
        </w:numPr>
        <w:spacing w:before="0"/>
      </w:pPr>
      <w:r w:rsidRPr="00221170">
        <w:t>Ethical issues were raised about screening newborns for a condition that may not present until adulthood.</w:t>
      </w:r>
    </w:p>
    <w:p w14:paraId="2448D669" w14:textId="77777777" w:rsidR="00221170" w:rsidRPr="00D47FD2" w:rsidRDefault="00221170" w:rsidP="00221170">
      <w:pPr>
        <w:rPr>
          <w:b/>
          <w:bCs/>
          <w:sz w:val="24"/>
          <w:szCs w:val="24"/>
        </w:rPr>
      </w:pPr>
      <w:r w:rsidRPr="3A509655">
        <w:rPr>
          <w:b/>
          <w:bCs/>
          <w:sz w:val="24"/>
          <w:szCs w:val="24"/>
        </w:rPr>
        <w:t xml:space="preserve">Support for Implementation /issues </w:t>
      </w:r>
    </w:p>
    <w:p w14:paraId="195637F7" w14:textId="77777777" w:rsidR="00221170" w:rsidRPr="00221170" w:rsidRDefault="00221170" w:rsidP="00221170">
      <w:pPr>
        <w:rPr>
          <w:rFonts w:eastAsia="Calibri" w:cs="Calibri"/>
        </w:rPr>
      </w:pPr>
      <w:r w:rsidRPr="00221170">
        <w:rPr>
          <w:rFonts w:eastAsia="Calibri" w:cs="Calibri"/>
        </w:rPr>
        <w:t xml:space="preserve">The consultation feedback identified a number of other services that would need to be delivered before or after the intervention. These included resourcing of NBS labs (e.g. for staffing, equipment, and facilities), confirmatory diagnostic testing, genetic counselling, specialised multidisciplinary care from metabolic services, cascade testing, prenatal testing, and support for families (education material, assistance navigating the health system). Consultation feedback also highlighted the additional healthcare and allied health services needed to care for people with symptomatic MPS II. </w:t>
      </w:r>
    </w:p>
    <w:p w14:paraId="7A0B5D7F" w14:textId="5951ADB6" w:rsidR="00221170" w:rsidRPr="00F54152" w:rsidRDefault="00221170" w:rsidP="00F54152">
      <w:r w:rsidRPr="00221170">
        <w:rPr>
          <w:rFonts w:eastAsia="Calibri" w:cs="Calibri"/>
        </w:rPr>
        <w:t>The feedback also highlighted equity issues, raising concerns that not all newborns who screen positive for MPS II would have the same access to treatments and services (e.g. where metabolic services and HSCT are not available in all states and territories).</w:t>
      </w:r>
    </w:p>
    <w:p w14:paraId="1FCC75C2" w14:textId="0834F81B" w:rsidR="003741CC" w:rsidDel="0093258D" w:rsidRDefault="00772829" w:rsidP="00BE0CE4">
      <w:pPr>
        <w:pStyle w:val="Heading2"/>
        <w:numPr>
          <w:ilvl w:val="0"/>
          <w:numId w:val="28"/>
        </w:numPr>
        <w:ind w:hanging="720"/>
      </w:pPr>
      <w:bookmarkStart w:id="21" w:name="_Toc185430528"/>
      <w:r w:rsidRPr="00970B60">
        <w:lastRenderedPageBreak/>
        <w:t>Characteristics of the evidence base</w:t>
      </w:r>
      <w:bookmarkEnd w:id="21"/>
      <w:r w:rsidR="0093258D">
        <w:t xml:space="preserve"> </w:t>
      </w:r>
    </w:p>
    <w:p w14:paraId="1C004243" w14:textId="0E4B9A13" w:rsidR="002A38AF" w:rsidRPr="002A38AF" w:rsidRDefault="002A38AF" w:rsidP="002A38AF">
      <w:bookmarkStart w:id="22" w:name="ColumnTitle_Table3"/>
      <w:bookmarkStart w:id="23" w:name="ColumnTitle_Table4"/>
      <w:bookmarkEnd w:id="22"/>
      <w:bookmarkEnd w:id="23"/>
      <w:r w:rsidRPr="002A38AF">
        <w:t xml:space="preserve">The key characteristics of the evidence base is summarised </w:t>
      </w:r>
      <w:r w:rsidRPr="000C57C5">
        <w:t xml:space="preserve">in </w:t>
      </w:r>
      <w:r w:rsidRPr="000C57C5">
        <w:fldChar w:fldCharType="begin"/>
      </w:r>
      <w:r w:rsidRPr="000C57C5">
        <w:instrText xml:space="preserve"> REF _Ref172033292 \h </w:instrText>
      </w:r>
      <w:r w:rsidR="004F11B2" w:rsidRPr="000C57C5">
        <w:instrText xml:space="preserve"> \* MERGEFORMAT </w:instrText>
      </w:r>
      <w:r w:rsidRPr="000C57C5">
        <w:fldChar w:fldCharType="separate"/>
      </w:r>
      <w:r w:rsidR="007F08FA" w:rsidRPr="00797B68" w:rsidDel="009D183F">
        <w:rPr>
          <w:rFonts w:eastAsia="Times New Roman" w:cs="Times New Roman"/>
        </w:rPr>
        <w:t xml:space="preserve">Table </w:t>
      </w:r>
      <w:r w:rsidR="00797B68" w:rsidRPr="00797B68" w:rsidDel="009D183F">
        <w:rPr>
          <w:rFonts w:eastAsia="Times New Roman" w:cs="Times New Roman"/>
          <w:noProof/>
        </w:rPr>
        <w:t>2</w:t>
      </w:r>
      <w:r w:rsidRPr="000C57C5">
        <w:fldChar w:fldCharType="end"/>
      </w:r>
      <w:r w:rsidRPr="002A38AF">
        <w:t>.</w:t>
      </w:r>
    </w:p>
    <w:p w14:paraId="7EFF1201" w14:textId="77777777" w:rsidR="00613ED2" w:rsidRPr="003741CC" w:rsidRDefault="00613ED2" w:rsidP="00613ED2">
      <w:pPr>
        <w:pStyle w:val="Heading3"/>
      </w:pPr>
      <w:bookmarkStart w:id="24" w:name="_Toc185430529"/>
      <w:r>
        <w:t>PICO Set 1 - N</w:t>
      </w:r>
      <w:r w:rsidRPr="00496C73">
        <w:t>ewborns</w:t>
      </w:r>
      <w:bookmarkEnd w:id="24"/>
    </w:p>
    <w:p w14:paraId="50FAD676" w14:textId="019C3B37" w:rsidR="002A38AF" w:rsidRPr="002A38AF" w:rsidRDefault="2FF93C77" w:rsidP="002A38AF">
      <w:r w:rsidRPr="7C4E3BA4">
        <w:t>N</w:t>
      </w:r>
      <w:r w:rsidR="002A38AF" w:rsidRPr="7C4E3BA4">
        <w:t xml:space="preserve">o evidence was identified that directly compared any outcomes after NBS for MPS II versus current practice (diagnosis after symptom onset, or due to family history). A naïve indirect comparison was therefore performed, based on </w:t>
      </w:r>
      <w:r w:rsidR="2ACF0B28" w:rsidRPr="7C4E3BA4">
        <w:t xml:space="preserve">a large number of </w:t>
      </w:r>
      <w:r w:rsidR="002A38AF" w:rsidRPr="7C4E3BA4">
        <w:t>retrospective case series</w:t>
      </w:r>
      <w:r w:rsidR="4EE44680" w:rsidRPr="7C4E3BA4">
        <w:t xml:space="preserve"> (</w:t>
      </w:r>
      <w:r w:rsidR="2B74E461" w:rsidRPr="7C4E3BA4">
        <w:t>k= 86)</w:t>
      </w:r>
      <w:r w:rsidR="002A38AF" w:rsidRPr="7C4E3BA4">
        <w:t xml:space="preserve"> of MPS I</w:t>
      </w:r>
      <w:r w:rsidR="557863DB" w:rsidRPr="7C4E3BA4">
        <w:t>I</w:t>
      </w:r>
      <w:r w:rsidR="002A38AF" w:rsidRPr="7C4E3BA4">
        <w:t xml:space="preserve"> cases diagnosed without NBS, and a small number of case series</w:t>
      </w:r>
      <w:r w:rsidR="1B6E4EE1" w:rsidRPr="7C4E3BA4">
        <w:t xml:space="preserve"> (k=</w:t>
      </w:r>
      <w:r w:rsidR="4EE44680" w:rsidRPr="7C4E3BA4">
        <w:t>5)</w:t>
      </w:r>
      <w:r w:rsidR="002A38AF" w:rsidRPr="7C4E3BA4">
        <w:t xml:space="preserve"> that screened a large number of neonates, but diagnosed only a very small number of MPS I</w:t>
      </w:r>
      <w:r w:rsidR="557863DB" w:rsidRPr="7C4E3BA4">
        <w:t>I</w:t>
      </w:r>
      <w:r w:rsidR="002A38AF" w:rsidRPr="7C4E3BA4">
        <w:t xml:space="preserve"> cases</w:t>
      </w:r>
      <w:r w:rsidR="60C9D8F9" w:rsidRPr="7C4E3BA4">
        <w:t>, in</w:t>
      </w:r>
      <w:r w:rsidRPr="7C4E3BA4">
        <w:t xml:space="preserve"> </w:t>
      </w:r>
      <w:r w:rsidR="60C9D8F9" w:rsidRPr="7C4E3BA4">
        <w:t>line with the rarity of th</w:t>
      </w:r>
      <w:r w:rsidR="63C0379B" w:rsidRPr="7C4E3BA4">
        <w:t>e</w:t>
      </w:r>
      <w:r w:rsidR="60C9D8F9" w:rsidRPr="7C4E3BA4">
        <w:t xml:space="preserve"> condition</w:t>
      </w:r>
      <w:r w:rsidR="002A38AF" w:rsidRPr="7C4E3BA4">
        <w:t xml:space="preserve">. The data were therefore highly uncertain. The naïve indirect comparison was highly biased, as the newborn screening data have been collated over a more recent time period </w:t>
      </w:r>
      <w:r w:rsidR="6BEE16D3" w:rsidRPr="7C4E3BA4">
        <w:t>(</w:t>
      </w:r>
      <w:r w:rsidR="5230A90B" w:rsidRPr="7C4E3BA4">
        <w:t>2017 - 2023</w:t>
      </w:r>
      <w:r w:rsidR="6BEE16D3" w:rsidRPr="7C4E3BA4">
        <w:t xml:space="preserve">) </w:t>
      </w:r>
      <w:r w:rsidR="002A38AF" w:rsidRPr="7C4E3BA4">
        <w:t>than the studies on diagnosis without NBS</w:t>
      </w:r>
      <w:r w:rsidR="6BEE16D3" w:rsidRPr="7C4E3BA4">
        <w:t xml:space="preserve"> (</w:t>
      </w:r>
      <w:r w:rsidR="0F320073" w:rsidRPr="7C4E3BA4">
        <w:t>19</w:t>
      </w:r>
      <w:r w:rsidR="4E9FDEE7" w:rsidRPr="7C4E3BA4">
        <w:t>77 - 2024</w:t>
      </w:r>
      <w:r w:rsidR="6BEE16D3" w:rsidRPr="7C4E3BA4">
        <w:t>)</w:t>
      </w:r>
      <w:r w:rsidR="002A38AF" w:rsidRPr="7C4E3BA4">
        <w:t xml:space="preserve">, and improvements made to healthcare systems worldwide over time may therefore bias the comparison in favour of NBS. </w:t>
      </w:r>
    </w:p>
    <w:p w14:paraId="420249B4" w14:textId="180E95D6" w:rsidR="002A38AF" w:rsidRPr="002A38AF" w:rsidRDefault="002A38AF" w:rsidP="002A38AF">
      <w:r w:rsidRPr="7C4E3BA4">
        <w:t xml:space="preserve">A total of </w:t>
      </w:r>
      <w:r w:rsidR="2B1A1F24" w:rsidRPr="7C4E3BA4">
        <w:t>1</w:t>
      </w:r>
      <w:r w:rsidR="3A0E2FD7" w:rsidRPr="7C4E3BA4">
        <w:t>6</w:t>
      </w:r>
      <w:r w:rsidRPr="7C4E3BA4">
        <w:t xml:space="preserve"> studies (</w:t>
      </w:r>
      <w:r w:rsidR="70CA780A" w:rsidRPr="7C4E3BA4">
        <w:t>10</w:t>
      </w:r>
      <w:r w:rsidRPr="7C4E3BA4">
        <w:t xml:space="preserve"> case-control studies, </w:t>
      </w:r>
      <w:r w:rsidR="2B1A1F24" w:rsidRPr="7C4E3BA4">
        <w:t>2</w:t>
      </w:r>
      <w:r w:rsidRPr="7C4E3BA4">
        <w:t xml:space="preserve"> retrospective cohort studies and </w:t>
      </w:r>
      <w:r w:rsidR="5D6CABD1" w:rsidRPr="7C4E3BA4">
        <w:t>3</w:t>
      </w:r>
      <w:r w:rsidRPr="7C4E3BA4">
        <w:t xml:space="preserve"> prospective cohort studies</w:t>
      </w:r>
      <w:r w:rsidR="5D6CABD1" w:rsidRPr="7C4E3BA4">
        <w:t xml:space="preserve"> and 1</w:t>
      </w:r>
      <w:r w:rsidR="1758381B" w:rsidRPr="7C4E3BA4">
        <w:t xml:space="preserve"> </w:t>
      </w:r>
      <w:r w:rsidR="5D6CABD1" w:rsidRPr="7C4E3BA4">
        <w:t xml:space="preserve">study that included both case-control data and prospective cohort data </w:t>
      </w:r>
      <w:r w:rsidR="0F7C5780" w:rsidRPr="7C4E3BA4">
        <w:t>for a NB</w:t>
      </w:r>
      <w:r w:rsidR="5D6CABD1" w:rsidRPr="7C4E3BA4">
        <w:t>S program</w:t>
      </w:r>
      <w:r w:rsidRPr="7C4E3BA4">
        <w:t xml:space="preserve">) met the inclusion criteria for assessing the test accuracy of NBS methodologies for the detection of newborns with MPS </w:t>
      </w:r>
      <w:r w:rsidR="199069D5" w:rsidRPr="7C4E3BA4">
        <w:t>I</w:t>
      </w:r>
      <w:r w:rsidRPr="7C4E3BA4">
        <w:t xml:space="preserve">I. However, as the reference standard was only used to verify whether newborns with a positive screen were true or false positives, and all negative screens were not verified, </w:t>
      </w:r>
      <w:r w:rsidR="62D473A1" w:rsidRPr="7C4E3BA4">
        <w:t>all</w:t>
      </w:r>
      <w:r w:rsidRPr="7C4E3BA4">
        <w:t xml:space="preserve"> </w:t>
      </w:r>
      <w:r w:rsidR="01840472" w:rsidRPr="7C4E3BA4">
        <w:t xml:space="preserve">of </w:t>
      </w:r>
      <w:r w:rsidRPr="7C4E3BA4">
        <w:t>the studies were subject to verification bias.</w:t>
      </w:r>
    </w:p>
    <w:p w14:paraId="6CD25A40" w14:textId="19FDA351" w:rsidR="002A38AF" w:rsidRPr="002A38AF" w:rsidRDefault="002A38AF" w:rsidP="002A38AF">
      <w:r w:rsidRPr="002A38AF">
        <w:t xml:space="preserve">A total of </w:t>
      </w:r>
      <w:r w:rsidR="001729F0">
        <w:t>68</w:t>
      </w:r>
      <w:r w:rsidR="00263B62">
        <w:t xml:space="preserve"> studies</w:t>
      </w:r>
      <w:r w:rsidR="001729F0">
        <w:t xml:space="preserve"> </w:t>
      </w:r>
      <w:r w:rsidR="00566790">
        <w:t>(</w:t>
      </w:r>
      <w:r w:rsidR="00A0495A">
        <w:t>61</w:t>
      </w:r>
      <w:r w:rsidRPr="002A38AF">
        <w:t xml:space="preserve"> case series</w:t>
      </w:r>
      <w:r w:rsidR="00A0495A">
        <w:t>, 4</w:t>
      </w:r>
      <w:r w:rsidRPr="002A38AF">
        <w:t xml:space="preserve"> case reports</w:t>
      </w:r>
      <w:r w:rsidR="00A0495A">
        <w:t xml:space="preserve">, </w:t>
      </w:r>
      <w:r w:rsidR="00D212A6">
        <w:t xml:space="preserve">2 </w:t>
      </w:r>
      <w:r w:rsidR="00566790">
        <w:t>case-</w:t>
      </w:r>
      <w:r w:rsidR="00D212A6">
        <w:t>control</w:t>
      </w:r>
      <w:r w:rsidRPr="002A38AF">
        <w:t xml:space="preserve"> </w:t>
      </w:r>
      <w:r w:rsidR="00566790">
        <w:t>studies and 1 retrospective cohort study)</w:t>
      </w:r>
      <w:r w:rsidRPr="002A38AF">
        <w:t xml:space="preserve"> were included in the section on ‘</w:t>
      </w:r>
      <w:r w:rsidR="00237DC8">
        <w:t>Linked evidence o</w:t>
      </w:r>
      <w:r w:rsidR="00366FA5">
        <w:t>f</w:t>
      </w:r>
      <w:r w:rsidR="00237DC8">
        <w:t xml:space="preserve"> </w:t>
      </w:r>
      <w:r w:rsidRPr="002A38AF">
        <w:t xml:space="preserve">change in management’. The bulk of the evidence </w:t>
      </w:r>
      <w:r w:rsidR="005E31EA">
        <w:t>was</w:t>
      </w:r>
      <w:r w:rsidR="005E31EA" w:rsidRPr="002A38AF">
        <w:t xml:space="preserve"> </w:t>
      </w:r>
      <w:r w:rsidRPr="002A38AF">
        <w:t>reporting on the age at diagnosis or treatment of patients with MPS I</w:t>
      </w:r>
      <w:r w:rsidR="00934BFF">
        <w:t>I</w:t>
      </w:r>
      <w:r w:rsidRPr="002A38AF">
        <w:t xml:space="preserve"> in the absence of NBS. The resultant naïve indirect comparison (between more recent NBS studies and decades of historical case series prior to NBS) is highly biased. </w:t>
      </w:r>
    </w:p>
    <w:p w14:paraId="7F371AE6" w14:textId="201047F9" w:rsidR="0056764A" w:rsidRPr="003741CC" w:rsidRDefault="0056764A" w:rsidP="0056764A">
      <w:pPr>
        <w:pStyle w:val="Heading3"/>
      </w:pPr>
      <w:bookmarkStart w:id="25" w:name="_Toc185430530"/>
      <w:r>
        <w:t>PICO Set 2 – Family members</w:t>
      </w:r>
      <w:bookmarkEnd w:id="25"/>
    </w:p>
    <w:p w14:paraId="64545706" w14:textId="3C3A7080" w:rsidR="00613ED2" w:rsidRDefault="00613ED2" w:rsidP="00613ED2">
      <w:pPr>
        <w:rPr>
          <w:rFonts w:eastAsia="Franklin Gothic Book" w:cs="Franklin Gothic Book"/>
        </w:rPr>
      </w:pPr>
      <w:r>
        <w:rPr>
          <w:rFonts w:eastAsia="Franklin Gothic Book" w:cs="Franklin Gothic Book"/>
        </w:rPr>
        <w:t xml:space="preserve">Only one publication by Burton et al </w:t>
      </w:r>
      <w:r>
        <w:rPr>
          <w:rFonts w:eastAsia="Franklin Gothic Book" w:cs="Franklin Gothic Book"/>
        </w:rPr>
        <w:fldChar w:fldCharType="begin"/>
      </w:r>
      <w:r>
        <w:rPr>
          <w:rFonts w:eastAsia="Franklin Gothic Book" w:cs="Franklin Gothic Book"/>
        </w:rPr>
        <w:instrText xml:space="preserve"> ADDIN EN.CITE &lt;EndNote&gt;&lt;Cite ExcludeAuth="1"&gt;&lt;Author&gt;Burton&lt;/Author&gt;&lt;Year&gt;2023&lt;/Year&gt;&lt;RecNum&gt;111&lt;/RecNum&gt;&lt;DisplayText&gt;(2023)&lt;/DisplayText&gt;&lt;record&gt;&lt;rec-number&gt;111&lt;/rec-number&gt;&lt;foreign-keys&gt;&lt;key app="EN" db-id="d52ep2vz4f0zwne9vdmx9zzirsxx5pf5pr2f" timestamp="1726634349"&gt;111&lt;/key&gt;&lt;/foreign-keys&gt;&lt;ref-type name="Journal Article"&gt;17&lt;/ref-type&gt;&lt;contributors&gt;&lt;authors&gt;&lt;author&gt;Burton, Barbara K.&lt;/author&gt;&lt;author&gt;Shively, Vera&lt;/author&gt;&lt;author&gt;Quadri, Allegra&lt;/author&gt;&lt;author&gt;Warn, Lauren&lt;/author&gt;&lt;author&gt;Burton, Jennifer&lt;/author&gt;&lt;author&gt;Grange, Dorothy K.&lt;/author&gt;&lt;author&gt;Christensen, Katherine&lt;/author&gt;&lt;author&gt;Groepper, Daniel&lt;/author&gt;&lt;author&gt;Ashbaugh, Laura&lt;/author&gt;&lt;author&gt;Ehrhardt, Joan&lt;/author&gt;&lt;author&gt;Basheeruddin, Khaja&lt;/author&gt;&lt;/authors&gt;&lt;/contributors&gt;&lt;titles&gt;&lt;title&gt;Newborn screening for mucopolysaccharidosis type II: Lessons learned&lt;/title&gt;&lt;secondary-title&gt;Molecular Genetics and Metabolism&lt;/secondary-title&gt;&lt;/titles&gt;&lt;periodical&gt;&lt;full-title&gt;Molecular Genetics and Metabolism&lt;/full-title&gt;&lt;/periodical&gt;&lt;pages&gt;107557&lt;/pages&gt;&lt;volume&gt;140&lt;/volume&gt;&lt;number&gt;1&lt;/number&gt;&lt;keywords&gt;&lt;keyword&gt;Mucopolysaccharidosis type II&lt;/keyword&gt;&lt;keyword&gt;Hunter syndrome&lt;/keyword&gt;&lt;keyword&gt;Newborn screening&lt;/keyword&gt;&lt;keyword&gt;Pseudodeficiency&lt;/keyword&gt;&lt;/keywords&gt;&lt;dates&gt;&lt;year&gt;2023&lt;/year&gt;&lt;pub-dates&gt;&lt;date&gt;2023/09/01/&lt;/date&gt;&lt;/pub-dates&gt;&lt;/dates&gt;&lt;isbn&gt;1096-7192&lt;/isbn&gt;&lt;urls&gt;&lt;related-urls&gt;&lt;url&gt;https://www.sciencedirect.com/science/article/pii/S1096719223001877&lt;/url&gt;&lt;/related-urls&gt;&lt;/urls&gt;&lt;electronic-resource-num&gt;https://doi.org/10.1016/j.ymgme.2023.107557&lt;/electronic-resource-num&gt;&lt;/record&gt;&lt;/Cite&gt;&lt;/EndNote&gt;</w:instrText>
      </w:r>
      <w:r>
        <w:rPr>
          <w:rFonts w:eastAsia="Franklin Gothic Book" w:cs="Franklin Gothic Book"/>
        </w:rPr>
        <w:fldChar w:fldCharType="separate"/>
      </w:r>
      <w:r>
        <w:rPr>
          <w:rFonts w:eastAsia="Franklin Gothic Book" w:cs="Franklin Gothic Book"/>
          <w:noProof/>
        </w:rPr>
        <w:t>(2023)</w:t>
      </w:r>
      <w:r>
        <w:rPr>
          <w:rFonts w:eastAsia="Franklin Gothic Book" w:cs="Franklin Gothic Book"/>
        </w:rPr>
        <w:fldChar w:fldCharType="end"/>
      </w:r>
      <w:r>
        <w:rPr>
          <w:rFonts w:eastAsia="Franklin Gothic Book" w:cs="Franklin Gothic Book"/>
        </w:rPr>
        <w:t xml:space="preserve"> reported on the effectiveness and safety of testing of family members following identification of the index case by NBS for MPS II. </w:t>
      </w:r>
    </w:p>
    <w:p w14:paraId="2D2F8F17" w14:textId="1FAE83EE" w:rsidR="00613ED2" w:rsidRPr="00613ED2" w:rsidRDefault="00613ED2" w:rsidP="002A38AF">
      <w:pPr>
        <w:rPr>
          <w:rFonts w:eastAsia="Franklin Gothic Book" w:cs="Franklin Gothic Book"/>
        </w:rPr>
      </w:pPr>
      <w:r>
        <w:rPr>
          <w:rFonts w:eastAsia="Franklin Gothic Book" w:cs="Franklin Gothic Book"/>
        </w:rPr>
        <w:t xml:space="preserve">A further 25 studies (case </w:t>
      </w:r>
      <w:r w:rsidRPr="007905AB">
        <w:rPr>
          <w:rFonts w:eastAsia="Franklin Gothic Book" w:cs="Franklin Gothic Book"/>
        </w:rPr>
        <w:t xml:space="preserve">series </w:t>
      </w:r>
      <w:r>
        <w:rPr>
          <w:rFonts w:eastAsia="Franklin Gothic Book" w:cs="Franklin Gothic Book"/>
        </w:rPr>
        <w:t>and</w:t>
      </w:r>
      <w:r w:rsidRPr="007905AB">
        <w:rPr>
          <w:rFonts w:eastAsia="Franklin Gothic Book" w:cs="Franklin Gothic Book"/>
        </w:rPr>
        <w:t xml:space="preserve"> case reports</w:t>
      </w:r>
      <w:r>
        <w:rPr>
          <w:rFonts w:eastAsia="Franklin Gothic Book" w:cs="Franklin Gothic Book"/>
        </w:rPr>
        <w:t xml:space="preserve">) reported on results of </w:t>
      </w:r>
      <w:r w:rsidR="00E65C0B">
        <w:rPr>
          <w:rFonts w:eastAsia="Franklin Gothic Book" w:cs="Franklin Gothic Book"/>
        </w:rPr>
        <w:t xml:space="preserve">family member </w:t>
      </w:r>
      <w:r>
        <w:rPr>
          <w:rFonts w:eastAsia="Franklin Gothic Book" w:cs="Franklin Gothic Book"/>
        </w:rPr>
        <w:t xml:space="preserve">testing following diagnosis of the proband with symptoms of MPS II </w:t>
      </w:r>
      <w:r w:rsidRPr="007905AB">
        <w:rPr>
          <w:rFonts w:eastAsia="Franklin Gothic Book" w:cs="Franklin Gothic Book"/>
        </w:rPr>
        <w:t>and how this information was used.</w:t>
      </w:r>
    </w:p>
    <w:p w14:paraId="2E918D53" w14:textId="21FA4B88" w:rsidR="002A38AF" w:rsidRPr="002A38AF" w:rsidRDefault="002A38AF" w:rsidP="002A38AF">
      <w:pPr>
        <w:keepNext/>
        <w:keepLines/>
        <w:tabs>
          <w:tab w:val="left" w:pos="851"/>
        </w:tabs>
        <w:spacing w:before="360" w:after="40" w:line="240" w:lineRule="auto"/>
        <w:ind w:left="851" w:hanging="851"/>
        <w:rPr>
          <w:rFonts w:ascii="Arial Narrow" w:eastAsia="Times New Roman" w:hAnsi="Arial Narrow" w:cs="Times New Roman"/>
          <w:b/>
          <w:bCs/>
          <w:sz w:val="16"/>
          <w:szCs w:val="16"/>
        </w:rPr>
      </w:pPr>
      <w:bookmarkStart w:id="26" w:name="_Ref172033292"/>
      <w:r w:rsidRPr="002A38AF">
        <w:rPr>
          <w:rFonts w:ascii="Arial Narrow" w:eastAsia="Times New Roman" w:hAnsi="Arial Narrow" w:cs="Times New Roman"/>
          <w:b/>
          <w:bCs/>
          <w:sz w:val="20"/>
          <w:szCs w:val="20"/>
        </w:rPr>
        <w:lastRenderedPageBreak/>
        <w:t xml:space="preserve">Table </w:t>
      </w:r>
      <w:r w:rsidRPr="002A38AF">
        <w:rPr>
          <w:rFonts w:ascii="Arial Narrow" w:eastAsia="Times New Roman" w:hAnsi="Arial Narrow" w:cs="Times New Roman"/>
          <w:b/>
          <w:bCs/>
          <w:sz w:val="20"/>
          <w:szCs w:val="20"/>
        </w:rPr>
        <w:fldChar w:fldCharType="begin"/>
      </w:r>
      <w:r w:rsidRPr="002A38AF">
        <w:rPr>
          <w:rFonts w:ascii="Arial Narrow" w:eastAsia="Times New Roman" w:hAnsi="Arial Narrow" w:cs="Times New Roman"/>
          <w:b/>
          <w:bCs/>
          <w:sz w:val="20"/>
          <w:szCs w:val="20"/>
        </w:rPr>
        <w:instrText xml:space="preserve"> SEQ Table \* ARABIC </w:instrText>
      </w:r>
      <w:r w:rsidRPr="002A38AF">
        <w:rPr>
          <w:rFonts w:ascii="Arial Narrow" w:eastAsia="Times New Roman" w:hAnsi="Arial Narrow" w:cs="Times New Roman"/>
          <w:b/>
          <w:bCs/>
          <w:sz w:val="20"/>
          <w:szCs w:val="20"/>
        </w:rPr>
        <w:fldChar w:fldCharType="separate"/>
      </w:r>
      <w:r w:rsidR="009D183F">
        <w:rPr>
          <w:rFonts w:ascii="Arial Narrow" w:eastAsia="Times New Roman" w:hAnsi="Arial Narrow" w:cs="Times New Roman"/>
          <w:b/>
          <w:bCs/>
          <w:noProof/>
          <w:sz w:val="20"/>
          <w:szCs w:val="20"/>
        </w:rPr>
        <w:t>2</w:t>
      </w:r>
      <w:r w:rsidRPr="002A38AF">
        <w:rPr>
          <w:rFonts w:ascii="Arial Narrow" w:eastAsia="Times New Roman" w:hAnsi="Arial Narrow" w:cs="Times New Roman"/>
          <w:b/>
          <w:bCs/>
          <w:sz w:val="20"/>
          <w:szCs w:val="20"/>
        </w:rPr>
        <w:fldChar w:fldCharType="end"/>
      </w:r>
      <w:bookmarkEnd w:id="26"/>
      <w:r w:rsidRPr="002A38AF">
        <w:rPr>
          <w:rFonts w:ascii="Arial Narrow" w:eastAsia="Times New Roman" w:hAnsi="Arial Narrow" w:cs="Times New Roman"/>
          <w:b/>
          <w:bCs/>
          <w:sz w:val="20"/>
          <w:szCs w:val="20"/>
        </w:rPr>
        <w:tab/>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444"/>
        <w:gridCol w:w="2225"/>
        <w:gridCol w:w="1650"/>
      </w:tblGrid>
      <w:tr w:rsidR="002A38AF" w:rsidRPr="002A38AF" w14:paraId="73F91F13" w14:textId="77777777" w:rsidTr="00B97856">
        <w:trPr>
          <w:tblHeader/>
        </w:trPr>
        <w:tc>
          <w:tcPr>
            <w:tcW w:w="941" w:type="pct"/>
            <w:tcBorders>
              <w:top w:val="single" w:sz="4" w:space="0" w:color="auto"/>
              <w:left w:val="single" w:sz="4" w:space="0" w:color="auto"/>
              <w:bottom w:val="single" w:sz="4" w:space="0" w:color="auto"/>
              <w:right w:val="single" w:sz="4" w:space="0" w:color="auto"/>
            </w:tcBorders>
          </w:tcPr>
          <w:p w14:paraId="20E7621A" w14:textId="77777777" w:rsidR="002A38AF" w:rsidRPr="002A38AF" w:rsidRDefault="002A38AF" w:rsidP="002A38AF">
            <w:pPr>
              <w:keepNext/>
              <w:spacing w:before="40" w:after="40" w:line="240" w:lineRule="auto"/>
              <w:rPr>
                <w:rFonts w:ascii="Arial Narrow" w:hAnsi="Arial Narrow"/>
                <w:b/>
                <w:sz w:val="20"/>
              </w:rPr>
            </w:pPr>
            <w:r w:rsidRPr="002A38AF">
              <w:rPr>
                <w:rFonts w:ascii="Arial Narrow" w:hAnsi="Arial Narrow"/>
                <w:b/>
                <w:sz w:val="20"/>
              </w:rPr>
              <w:t>Criterion</w:t>
            </w:r>
          </w:p>
        </w:tc>
        <w:tc>
          <w:tcPr>
            <w:tcW w:w="1910" w:type="pct"/>
            <w:tcBorders>
              <w:top w:val="single" w:sz="4" w:space="0" w:color="auto"/>
              <w:left w:val="single" w:sz="4" w:space="0" w:color="auto"/>
              <w:bottom w:val="single" w:sz="4" w:space="0" w:color="auto"/>
              <w:right w:val="single" w:sz="4" w:space="0" w:color="auto"/>
            </w:tcBorders>
            <w:hideMark/>
          </w:tcPr>
          <w:p w14:paraId="67AB34B8" w14:textId="77777777" w:rsidR="002A38AF" w:rsidRPr="002A38AF" w:rsidRDefault="002A38AF" w:rsidP="002A38AF">
            <w:pPr>
              <w:keepNext/>
              <w:spacing w:before="40" w:after="40" w:line="240" w:lineRule="auto"/>
              <w:rPr>
                <w:rFonts w:ascii="Arial Narrow" w:hAnsi="Arial Narrow"/>
                <w:b/>
                <w:sz w:val="20"/>
              </w:rPr>
            </w:pPr>
            <w:r w:rsidRPr="002A38AF">
              <w:rPr>
                <w:rFonts w:ascii="Arial Narrow" w:hAnsi="Arial Narrow"/>
                <w:b/>
                <w:sz w:val="20"/>
              </w:rPr>
              <w:t>Type of evidence supplied</w:t>
            </w:r>
          </w:p>
        </w:tc>
        <w:tc>
          <w:tcPr>
            <w:tcW w:w="1234" w:type="pct"/>
            <w:tcBorders>
              <w:top w:val="single" w:sz="4" w:space="0" w:color="auto"/>
              <w:left w:val="single" w:sz="4" w:space="0" w:color="auto"/>
              <w:bottom w:val="single" w:sz="4" w:space="0" w:color="auto"/>
              <w:right w:val="single" w:sz="4" w:space="0" w:color="auto"/>
            </w:tcBorders>
            <w:hideMark/>
          </w:tcPr>
          <w:p w14:paraId="2E12564E" w14:textId="77777777" w:rsidR="002A38AF" w:rsidRPr="002A38AF" w:rsidRDefault="002A38AF" w:rsidP="002A38AF">
            <w:pPr>
              <w:keepNext/>
              <w:spacing w:before="40" w:after="40" w:line="240" w:lineRule="auto"/>
              <w:rPr>
                <w:rFonts w:ascii="Arial Narrow" w:hAnsi="Arial Narrow"/>
                <w:b/>
                <w:sz w:val="20"/>
              </w:rPr>
            </w:pPr>
            <w:r w:rsidRPr="002A38AF">
              <w:rPr>
                <w:rFonts w:ascii="Arial Narrow" w:hAnsi="Arial Narrow"/>
                <w:b/>
                <w:sz w:val="20"/>
              </w:rPr>
              <w:t>Extent of evidence supplied</w:t>
            </w:r>
          </w:p>
        </w:tc>
        <w:tc>
          <w:tcPr>
            <w:tcW w:w="915" w:type="pct"/>
            <w:tcBorders>
              <w:top w:val="single" w:sz="4" w:space="0" w:color="auto"/>
              <w:left w:val="single" w:sz="4" w:space="0" w:color="auto"/>
              <w:bottom w:val="single" w:sz="4" w:space="0" w:color="auto"/>
              <w:right w:val="single" w:sz="4" w:space="0" w:color="auto"/>
            </w:tcBorders>
            <w:hideMark/>
          </w:tcPr>
          <w:p w14:paraId="1085B18D" w14:textId="77777777" w:rsidR="002A38AF" w:rsidRPr="002A38AF" w:rsidRDefault="002A38AF" w:rsidP="002A38AF">
            <w:pPr>
              <w:keepNext/>
              <w:spacing w:before="40" w:after="40" w:line="240" w:lineRule="auto"/>
              <w:rPr>
                <w:rFonts w:ascii="Arial Narrow" w:hAnsi="Arial Narrow"/>
                <w:b/>
                <w:sz w:val="20"/>
              </w:rPr>
            </w:pPr>
            <w:r w:rsidRPr="002A38AF">
              <w:rPr>
                <w:rFonts w:ascii="Arial Narrow" w:hAnsi="Arial Narrow"/>
                <w:b/>
                <w:sz w:val="20"/>
              </w:rPr>
              <w:t>Overall risk of bias in evidence base</w:t>
            </w:r>
          </w:p>
        </w:tc>
      </w:tr>
      <w:tr w:rsidR="00613ED2" w:rsidRPr="002A38AF" w14:paraId="13022BF6" w14:textId="77777777" w:rsidTr="00B97856">
        <w:trPr>
          <w:tblHeader/>
        </w:trPr>
        <w:tc>
          <w:tcPr>
            <w:tcW w:w="5000" w:type="pct"/>
            <w:gridSpan w:val="4"/>
            <w:tcBorders>
              <w:top w:val="single" w:sz="4" w:space="0" w:color="auto"/>
              <w:left w:val="single" w:sz="4" w:space="0" w:color="auto"/>
              <w:bottom w:val="single" w:sz="4" w:space="0" w:color="auto"/>
              <w:right w:val="single" w:sz="4" w:space="0" w:color="auto"/>
            </w:tcBorders>
            <w:vAlign w:val="bottom"/>
          </w:tcPr>
          <w:p w14:paraId="083C7932" w14:textId="56E6B774" w:rsidR="00613ED2" w:rsidRPr="002A38AF" w:rsidRDefault="00613ED2" w:rsidP="002A38AF">
            <w:pPr>
              <w:keepNext/>
              <w:spacing w:before="40" w:after="40" w:line="240" w:lineRule="auto"/>
              <w:rPr>
                <w:rFonts w:ascii="Arial Narrow" w:hAnsi="Arial Narrow"/>
                <w:b/>
                <w:sz w:val="20"/>
              </w:rPr>
            </w:pPr>
            <w:r>
              <w:rPr>
                <w:rFonts w:ascii="Arial Narrow" w:hAnsi="Arial Narrow"/>
                <w:b/>
                <w:sz w:val="20"/>
              </w:rPr>
              <w:t>PICO Set 1</w:t>
            </w:r>
          </w:p>
        </w:tc>
      </w:tr>
      <w:tr w:rsidR="002A38AF" w:rsidRPr="002A38AF" w14:paraId="36CE3694" w14:textId="77777777" w:rsidTr="00B97856">
        <w:trPr>
          <w:tblHeader/>
        </w:trPr>
        <w:tc>
          <w:tcPr>
            <w:tcW w:w="941" w:type="pct"/>
            <w:tcBorders>
              <w:top w:val="single" w:sz="4" w:space="0" w:color="auto"/>
              <w:left w:val="single" w:sz="4" w:space="0" w:color="auto"/>
              <w:bottom w:val="single" w:sz="4" w:space="0" w:color="auto"/>
              <w:right w:val="single" w:sz="4" w:space="0" w:color="auto"/>
            </w:tcBorders>
          </w:tcPr>
          <w:p w14:paraId="372A063A"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Direct from test to health outcomes</w:t>
            </w:r>
          </w:p>
        </w:tc>
        <w:tc>
          <w:tcPr>
            <w:tcW w:w="1910" w:type="pct"/>
            <w:tcBorders>
              <w:top w:val="single" w:sz="4" w:space="0" w:color="auto"/>
              <w:left w:val="single" w:sz="4" w:space="0" w:color="auto"/>
              <w:bottom w:val="single" w:sz="4" w:space="0" w:color="auto"/>
              <w:right w:val="single" w:sz="4" w:space="0" w:color="auto"/>
            </w:tcBorders>
          </w:tcPr>
          <w:p w14:paraId="7FE3AC69" w14:textId="2E2BCC6E" w:rsidR="00B74A51" w:rsidRDefault="00B74A51" w:rsidP="002A38AF">
            <w:pPr>
              <w:spacing w:before="40" w:after="40" w:line="240" w:lineRule="auto"/>
              <w:rPr>
                <w:rFonts w:ascii="Arial Narrow" w:hAnsi="Arial Narrow"/>
                <w:sz w:val="20"/>
              </w:rPr>
            </w:pPr>
            <w:r>
              <w:rPr>
                <w:rFonts w:ascii="Arial Narrow" w:hAnsi="Arial Narrow"/>
                <w:sz w:val="20"/>
              </w:rPr>
              <w:t>No direct comparative evidence.</w:t>
            </w:r>
          </w:p>
          <w:p w14:paraId="623DAF51" w14:textId="6F7F40BE"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 xml:space="preserve">NBS screening studies that reported on outcomes for those MPS </w:t>
            </w:r>
            <w:r w:rsidR="001A6B87">
              <w:rPr>
                <w:rFonts w:ascii="Arial Narrow" w:hAnsi="Arial Narrow"/>
                <w:sz w:val="20"/>
              </w:rPr>
              <w:t>I</w:t>
            </w:r>
            <w:r w:rsidRPr="002A38AF">
              <w:rPr>
                <w:rFonts w:ascii="Arial Narrow" w:hAnsi="Arial Narrow"/>
                <w:sz w:val="20"/>
              </w:rPr>
              <w:t>I cases diagnosed</w:t>
            </w:r>
          </w:p>
          <w:p w14:paraId="737BA4DE" w14:textId="77777777" w:rsidR="002A38AF" w:rsidRPr="002A38AF" w:rsidRDefault="00DA67E0" w:rsidP="002A38AF">
            <w:pPr>
              <w:spacing w:before="40" w:after="40" w:line="240" w:lineRule="auto"/>
              <w:rPr>
                <w:rFonts w:ascii="Arial Narrow" w:hAnsi="Arial Narrow"/>
                <w:sz w:val="20"/>
              </w:rPr>
            </w:pPr>
            <w:r>
              <w:rPr>
                <w:rFonts w:ascii="Arial Narrow" w:hAnsi="Arial Narrow"/>
                <w:sz w:val="20"/>
              </w:rPr>
              <w:t>Hunter Outcome Survey</w:t>
            </w:r>
            <w:r w:rsidR="002A38AF" w:rsidRPr="002A38AF">
              <w:rPr>
                <w:rFonts w:ascii="Arial Narrow" w:hAnsi="Arial Narrow"/>
                <w:sz w:val="20"/>
              </w:rPr>
              <w:t xml:space="preserve"> </w:t>
            </w:r>
            <w:r w:rsidR="00243F66">
              <w:rPr>
                <w:rFonts w:ascii="Arial Narrow" w:hAnsi="Arial Narrow"/>
                <w:sz w:val="20"/>
              </w:rPr>
              <w:t xml:space="preserve">– MPS II </w:t>
            </w:r>
            <w:r w:rsidR="002A38AF" w:rsidRPr="002A38AF">
              <w:rPr>
                <w:rFonts w:ascii="Arial Narrow" w:hAnsi="Arial Narrow"/>
                <w:sz w:val="20"/>
              </w:rPr>
              <w:t xml:space="preserve">registry data </w:t>
            </w:r>
          </w:p>
        </w:tc>
        <w:tc>
          <w:tcPr>
            <w:tcW w:w="1234" w:type="pct"/>
            <w:tcBorders>
              <w:top w:val="single" w:sz="4" w:space="0" w:color="auto"/>
              <w:left w:val="single" w:sz="4" w:space="0" w:color="auto"/>
              <w:bottom w:val="single" w:sz="4" w:space="0" w:color="auto"/>
              <w:right w:val="single" w:sz="4" w:space="0" w:color="auto"/>
            </w:tcBorders>
          </w:tcPr>
          <w:p w14:paraId="11A058A9" w14:textId="77777777" w:rsidR="002A0884" w:rsidRDefault="00A33FC2" w:rsidP="002A38AF">
            <w:pPr>
              <w:tabs>
                <w:tab w:val="left" w:pos="494"/>
              </w:tabs>
              <w:spacing w:before="40" w:after="40" w:line="240" w:lineRule="auto"/>
              <w:rPr>
                <w:rFonts w:ascii="Arial Narrow" w:hAnsi="Arial Narrow"/>
                <w:sz w:val="20"/>
              </w:rPr>
            </w:pPr>
            <w:sdt>
              <w:sdtPr>
                <w:rPr>
                  <w:rFonts w:ascii="Arial Narrow" w:hAnsi="Arial Narrow"/>
                  <w:sz w:val="20"/>
                </w:rPr>
                <w:id w:val="367112109"/>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CA6061">
              <w:rPr>
                <w:rFonts w:ascii="Arial Narrow" w:hAnsi="Arial Narrow"/>
                <w:sz w:val="20"/>
              </w:rPr>
              <w:t>5</w:t>
            </w:r>
            <w:r w:rsidR="002A38AF" w:rsidRPr="002A38AF">
              <w:rPr>
                <w:rFonts w:ascii="Arial Narrow" w:hAnsi="Arial Narrow"/>
                <w:sz w:val="20"/>
              </w:rPr>
              <w:t xml:space="preserve"> case series</w:t>
            </w:r>
            <w:r w:rsidR="00166E8A">
              <w:rPr>
                <w:rFonts w:ascii="Arial Narrow" w:hAnsi="Arial Narrow"/>
                <w:sz w:val="20"/>
              </w:rPr>
              <w:t xml:space="preserve"> (4 NBS, 1</w:t>
            </w:r>
            <w:r w:rsidR="002A0884">
              <w:rPr>
                <w:rFonts w:ascii="Arial Narrow" w:hAnsi="Arial Narrow"/>
                <w:sz w:val="20"/>
              </w:rPr>
              <w:t xml:space="preserve"> no NBS</w:t>
            </w:r>
          </w:p>
          <w:p w14:paraId="6970CECF" w14:textId="1BD9E7DA" w:rsidR="002A38AF" w:rsidRPr="002A38AF" w:rsidRDefault="002A38AF" w:rsidP="002A38AF">
            <w:pPr>
              <w:tabs>
                <w:tab w:val="left" w:pos="494"/>
              </w:tabs>
              <w:spacing w:before="40" w:after="40" w:line="240" w:lineRule="auto"/>
              <w:rPr>
                <w:rFonts w:ascii="Arial Narrow" w:hAnsi="Arial Narrow"/>
                <w:sz w:val="20"/>
              </w:rPr>
            </w:pPr>
            <w:r w:rsidRPr="002A38AF">
              <w:rPr>
                <w:rFonts w:ascii="Arial Narrow" w:hAnsi="Arial Narrow"/>
                <w:sz w:val="20"/>
              </w:rPr>
              <w:tab/>
              <w:t>n=</w:t>
            </w:r>
            <w:r w:rsidR="00CA6061">
              <w:rPr>
                <w:rFonts w:ascii="Arial Narrow" w:hAnsi="Arial Narrow"/>
                <w:sz w:val="20"/>
              </w:rPr>
              <w:t xml:space="preserve"> 10</w:t>
            </w:r>
            <w:r w:rsidRPr="002A38AF">
              <w:rPr>
                <w:rFonts w:ascii="Arial Narrow" w:hAnsi="Arial Narrow"/>
                <w:sz w:val="20"/>
              </w:rPr>
              <w:t xml:space="preserve"> (NBS); </w:t>
            </w:r>
          </w:p>
          <w:p w14:paraId="27BAC646" w14:textId="5D6FCA34" w:rsidR="002A38AF" w:rsidRPr="002A38AF" w:rsidRDefault="002A38AF" w:rsidP="00FD37A7">
            <w:pPr>
              <w:tabs>
                <w:tab w:val="left" w:pos="494"/>
              </w:tabs>
              <w:spacing w:before="40" w:after="40" w:line="240" w:lineRule="auto"/>
              <w:rPr>
                <w:rFonts w:ascii="Arial Narrow" w:hAnsi="Arial Narrow"/>
                <w:sz w:val="20"/>
              </w:rPr>
            </w:pPr>
            <w:r w:rsidRPr="002A38AF">
              <w:rPr>
                <w:rFonts w:ascii="Arial Narrow" w:hAnsi="Arial Narrow"/>
                <w:sz w:val="20"/>
              </w:rPr>
              <w:tab/>
              <w:t>n=</w:t>
            </w:r>
            <w:r w:rsidR="00CA6061">
              <w:rPr>
                <w:rFonts w:ascii="Arial Narrow" w:hAnsi="Arial Narrow"/>
                <w:sz w:val="20"/>
              </w:rPr>
              <w:t xml:space="preserve"> 800</w:t>
            </w:r>
            <w:r w:rsidRPr="002A38AF">
              <w:rPr>
                <w:rFonts w:ascii="Arial Narrow" w:hAnsi="Arial Narrow"/>
                <w:sz w:val="20"/>
              </w:rPr>
              <w:t xml:space="preserve"> (no NBS)</w:t>
            </w:r>
          </w:p>
        </w:tc>
        <w:tc>
          <w:tcPr>
            <w:tcW w:w="915" w:type="pct"/>
            <w:tcBorders>
              <w:top w:val="single" w:sz="4" w:space="0" w:color="auto"/>
              <w:left w:val="single" w:sz="4" w:space="0" w:color="auto"/>
              <w:bottom w:val="single" w:sz="4" w:space="0" w:color="auto"/>
              <w:right w:val="single" w:sz="4" w:space="0" w:color="auto"/>
            </w:tcBorders>
          </w:tcPr>
          <w:p w14:paraId="4355348F" w14:textId="3E5F79A9" w:rsidR="002A38AF" w:rsidRPr="002A38AF" w:rsidRDefault="002A38AF" w:rsidP="7C4E3BA4">
            <w:pPr>
              <w:spacing w:before="40" w:after="40" w:line="240" w:lineRule="auto"/>
              <w:rPr>
                <w:rFonts w:ascii="Arial Narrow" w:hAnsi="Arial Narrow"/>
                <w:sz w:val="20"/>
                <w:szCs w:val="20"/>
              </w:rPr>
            </w:pPr>
            <w:r w:rsidRPr="7C4E3BA4">
              <w:rPr>
                <w:rFonts w:ascii="Arial Narrow" w:hAnsi="Arial Narrow"/>
                <w:sz w:val="20"/>
                <w:szCs w:val="20"/>
              </w:rPr>
              <w:t xml:space="preserve">Very high </w:t>
            </w:r>
          </w:p>
        </w:tc>
      </w:tr>
      <w:tr w:rsidR="002A38AF" w:rsidRPr="002A38AF" w14:paraId="399AAAD8" w14:textId="77777777" w:rsidTr="00B97856">
        <w:tc>
          <w:tcPr>
            <w:tcW w:w="941" w:type="pct"/>
            <w:tcBorders>
              <w:top w:val="single" w:sz="4" w:space="0" w:color="auto"/>
              <w:left w:val="single" w:sz="4" w:space="0" w:color="auto"/>
              <w:bottom w:val="single" w:sz="4" w:space="0" w:color="auto"/>
              <w:right w:val="single" w:sz="4" w:space="0" w:color="auto"/>
            </w:tcBorders>
            <w:hideMark/>
          </w:tcPr>
          <w:p w14:paraId="2010A36F" w14:textId="77777777" w:rsidR="002A38AF" w:rsidRPr="002A38AF" w:rsidRDefault="002A38AF" w:rsidP="002A38AF">
            <w:pPr>
              <w:keepNext/>
              <w:spacing w:before="40" w:after="40" w:line="240" w:lineRule="auto"/>
              <w:rPr>
                <w:rFonts w:ascii="Arial Narrow" w:hAnsi="Arial Narrow"/>
                <w:sz w:val="20"/>
              </w:rPr>
            </w:pPr>
            <w:r w:rsidRPr="002A38AF">
              <w:rPr>
                <w:rFonts w:ascii="Arial Narrow" w:hAnsi="Arial Narrow"/>
                <w:sz w:val="20"/>
              </w:rPr>
              <w:t>Accuracy and performance of the test (cross-sectional accuracy)</w:t>
            </w:r>
          </w:p>
        </w:tc>
        <w:tc>
          <w:tcPr>
            <w:tcW w:w="1910" w:type="pct"/>
            <w:tcBorders>
              <w:top w:val="single" w:sz="4" w:space="0" w:color="auto"/>
              <w:left w:val="single" w:sz="4" w:space="0" w:color="auto"/>
              <w:bottom w:val="single" w:sz="4" w:space="0" w:color="auto"/>
              <w:right w:val="single" w:sz="4" w:space="0" w:color="auto"/>
            </w:tcBorders>
            <w:hideMark/>
          </w:tcPr>
          <w:p w14:paraId="395AA0BB"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Case-control studies</w:t>
            </w:r>
          </w:p>
          <w:p w14:paraId="64D503BE"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Prospective cohort studies of NBS programs</w:t>
            </w:r>
          </w:p>
          <w:p w14:paraId="5AFD79BF"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Retrospective cohort studies of NBS programs</w:t>
            </w:r>
          </w:p>
        </w:tc>
        <w:tc>
          <w:tcPr>
            <w:tcW w:w="1234" w:type="pct"/>
            <w:tcBorders>
              <w:top w:val="single" w:sz="4" w:space="0" w:color="auto"/>
              <w:left w:val="single" w:sz="4" w:space="0" w:color="auto"/>
              <w:bottom w:val="single" w:sz="4" w:space="0" w:color="auto"/>
              <w:right w:val="single" w:sz="4" w:space="0" w:color="auto"/>
            </w:tcBorders>
            <w:hideMark/>
          </w:tcPr>
          <w:p w14:paraId="4934798A" w14:textId="77777777" w:rsidR="002A38AF" w:rsidRPr="002A38AF" w:rsidRDefault="00A33FC2" w:rsidP="002A38AF">
            <w:pPr>
              <w:keepNext/>
              <w:tabs>
                <w:tab w:val="left" w:pos="506"/>
                <w:tab w:val="left" w:pos="983"/>
              </w:tabs>
              <w:spacing w:before="40" w:after="40" w:line="240" w:lineRule="auto"/>
              <w:rPr>
                <w:rFonts w:ascii="Arial Narrow" w:hAnsi="Arial Narrow"/>
                <w:sz w:val="20"/>
              </w:rPr>
            </w:pPr>
            <w:sdt>
              <w:sdtPr>
                <w:rPr>
                  <w:rFonts w:ascii="Arial Narrow" w:hAnsi="Arial Narrow"/>
                  <w:sz w:val="20"/>
                </w:rPr>
                <w:id w:val="1454910707"/>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445AE5">
              <w:rPr>
                <w:rFonts w:ascii="Arial Narrow" w:hAnsi="Arial Narrow"/>
                <w:sz w:val="20"/>
              </w:rPr>
              <w:t>10</w:t>
            </w:r>
            <w:r w:rsidR="002A38AF" w:rsidRPr="002A38AF">
              <w:rPr>
                <w:rFonts w:ascii="Arial Narrow" w:hAnsi="Arial Narrow"/>
                <w:sz w:val="20"/>
              </w:rPr>
              <w:tab/>
              <w:t>n=</w:t>
            </w:r>
            <w:r w:rsidR="003E6A3A">
              <w:rPr>
                <w:rFonts w:ascii="Arial Narrow" w:hAnsi="Arial Narrow"/>
                <w:sz w:val="20"/>
              </w:rPr>
              <w:t>10,</w:t>
            </w:r>
            <w:r w:rsidR="007772C3">
              <w:rPr>
                <w:rFonts w:ascii="Arial Narrow" w:hAnsi="Arial Narrow"/>
                <w:sz w:val="20"/>
              </w:rPr>
              <w:t>946</w:t>
            </w:r>
          </w:p>
          <w:p w14:paraId="7D278536" w14:textId="77777777" w:rsidR="002A38AF" w:rsidRPr="002A38AF" w:rsidRDefault="00A33FC2" w:rsidP="002A38AF">
            <w:pPr>
              <w:keepNext/>
              <w:tabs>
                <w:tab w:val="left" w:pos="506"/>
                <w:tab w:val="left" w:pos="983"/>
              </w:tabs>
              <w:spacing w:before="40" w:after="40" w:line="240" w:lineRule="auto"/>
              <w:rPr>
                <w:rFonts w:ascii="Arial Narrow" w:hAnsi="Arial Narrow"/>
                <w:sz w:val="20"/>
              </w:rPr>
            </w:pPr>
            <w:sdt>
              <w:sdtPr>
                <w:rPr>
                  <w:rFonts w:ascii="Arial Narrow" w:hAnsi="Arial Narrow"/>
                  <w:sz w:val="20"/>
                </w:rPr>
                <w:id w:val="-859588155"/>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98647D">
              <w:rPr>
                <w:rFonts w:ascii="Arial Narrow" w:hAnsi="Arial Narrow"/>
                <w:sz w:val="20"/>
              </w:rPr>
              <w:t>4</w:t>
            </w:r>
            <w:r w:rsidR="002A38AF" w:rsidRPr="002A38AF">
              <w:rPr>
                <w:rFonts w:ascii="Arial Narrow" w:hAnsi="Arial Narrow"/>
                <w:sz w:val="20"/>
              </w:rPr>
              <w:tab/>
              <w:t>n=</w:t>
            </w:r>
            <w:r w:rsidR="0098647D">
              <w:rPr>
                <w:rFonts w:ascii="Arial Narrow" w:hAnsi="Arial Narrow"/>
                <w:sz w:val="20"/>
              </w:rPr>
              <w:t>1</w:t>
            </w:r>
            <w:r w:rsidR="002A38AF" w:rsidRPr="002A38AF">
              <w:rPr>
                <w:rFonts w:ascii="Arial Narrow" w:hAnsi="Arial Narrow"/>
                <w:sz w:val="20"/>
              </w:rPr>
              <w:t>,</w:t>
            </w:r>
            <w:r w:rsidR="00A136CC">
              <w:rPr>
                <w:rFonts w:ascii="Arial Narrow" w:hAnsi="Arial Narrow"/>
                <w:sz w:val="20"/>
              </w:rPr>
              <w:t>4</w:t>
            </w:r>
            <w:r w:rsidR="002A38AF" w:rsidRPr="002A38AF">
              <w:rPr>
                <w:rFonts w:ascii="Arial Narrow" w:hAnsi="Arial Narrow"/>
                <w:sz w:val="20"/>
              </w:rPr>
              <w:t>79,</w:t>
            </w:r>
            <w:r w:rsidR="005B528A">
              <w:rPr>
                <w:rFonts w:ascii="Arial Narrow" w:hAnsi="Arial Narrow"/>
                <w:sz w:val="20"/>
              </w:rPr>
              <w:t>601</w:t>
            </w:r>
          </w:p>
          <w:p w14:paraId="702E5FE7" w14:textId="77777777" w:rsidR="002A38AF" w:rsidRPr="002A38AF" w:rsidRDefault="00A33FC2" w:rsidP="002A38AF">
            <w:pPr>
              <w:keepNext/>
              <w:tabs>
                <w:tab w:val="left" w:pos="506"/>
                <w:tab w:val="left" w:pos="983"/>
              </w:tabs>
              <w:spacing w:before="40" w:after="40" w:line="240" w:lineRule="auto"/>
              <w:rPr>
                <w:rFonts w:ascii="Arial Narrow" w:hAnsi="Arial Narrow"/>
                <w:sz w:val="20"/>
              </w:rPr>
            </w:pPr>
            <w:sdt>
              <w:sdtPr>
                <w:rPr>
                  <w:rFonts w:ascii="Arial Narrow" w:hAnsi="Arial Narrow"/>
                  <w:sz w:val="20"/>
                </w:rPr>
                <w:id w:val="-110136259"/>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5B528A">
              <w:rPr>
                <w:rFonts w:ascii="Arial Narrow" w:hAnsi="Arial Narrow"/>
                <w:sz w:val="20"/>
              </w:rPr>
              <w:t>2</w:t>
            </w:r>
            <w:r w:rsidR="002A38AF" w:rsidRPr="002A38AF">
              <w:rPr>
                <w:rFonts w:ascii="Arial Narrow" w:hAnsi="Arial Narrow"/>
                <w:sz w:val="20"/>
              </w:rPr>
              <w:tab/>
              <w:t>n=</w:t>
            </w:r>
            <w:r w:rsidR="00F37D21">
              <w:rPr>
                <w:rFonts w:ascii="Arial Narrow" w:hAnsi="Arial Narrow"/>
                <w:sz w:val="20"/>
              </w:rPr>
              <w:t>1</w:t>
            </w:r>
            <w:r w:rsidR="002A38AF" w:rsidRPr="002A38AF">
              <w:rPr>
                <w:rFonts w:ascii="Arial Narrow" w:hAnsi="Arial Narrow"/>
                <w:sz w:val="20"/>
              </w:rPr>
              <w:t>3</w:t>
            </w:r>
            <w:r w:rsidR="00F37D21">
              <w:rPr>
                <w:rFonts w:ascii="Arial Narrow" w:hAnsi="Arial Narrow"/>
                <w:sz w:val="20"/>
              </w:rPr>
              <w:t>3</w:t>
            </w:r>
            <w:r w:rsidR="002A38AF" w:rsidRPr="002A38AF">
              <w:rPr>
                <w:rFonts w:ascii="Arial Narrow" w:hAnsi="Arial Narrow"/>
                <w:sz w:val="20"/>
              </w:rPr>
              <w:t>,</w:t>
            </w:r>
            <w:r w:rsidR="00E65C3D">
              <w:rPr>
                <w:rFonts w:ascii="Arial Narrow" w:hAnsi="Arial Narrow"/>
                <w:sz w:val="20"/>
              </w:rPr>
              <w:t>49</w:t>
            </w:r>
            <w:r w:rsidR="002A38AF" w:rsidRPr="002A38AF">
              <w:rPr>
                <w:rFonts w:ascii="Arial Narrow" w:hAnsi="Arial Narrow"/>
                <w:sz w:val="20"/>
              </w:rPr>
              <w:t>1</w:t>
            </w:r>
          </w:p>
        </w:tc>
        <w:tc>
          <w:tcPr>
            <w:tcW w:w="915" w:type="pct"/>
            <w:tcBorders>
              <w:top w:val="single" w:sz="4" w:space="0" w:color="auto"/>
              <w:left w:val="single" w:sz="4" w:space="0" w:color="auto"/>
              <w:bottom w:val="single" w:sz="4" w:space="0" w:color="auto"/>
              <w:right w:val="single" w:sz="4" w:space="0" w:color="auto"/>
            </w:tcBorders>
            <w:hideMark/>
          </w:tcPr>
          <w:p w14:paraId="3E22015A" w14:textId="4023C069" w:rsidR="002A38AF" w:rsidRPr="002A38AF" w:rsidRDefault="002A38AF" w:rsidP="7C4E3BA4">
            <w:pPr>
              <w:tabs>
                <w:tab w:val="left" w:pos="506"/>
                <w:tab w:val="left" w:pos="983"/>
              </w:tabs>
              <w:spacing w:before="40" w:after="40" w:line="240" w:lineRule="auto"/>
              <w:rPr>
                <w:rFonts w:ascii="Arial Narrow" w:hAnsi="Arial Narrow"/>
                <w:sz w:val="20"/>
                <w:szCs w:val="20"/>
              </w:rPr>
            </w:pPr>
            <w:r w:rsidRPr="7C4E3BA4">
              <w:rPr>
                <w:rFonts w:ascii="Arial Narrow" w:hAnsi="Arial Narrow"/>
                <w:sz w:val="20"/>
                <w:szCs w:val="20"/>
              </w:rPr>
              <w:t>High risk of verification bias</w:t>
            </w:r>
          </w:p>
        </w:tc>
      </w:tr>
      <w:tr w:rsidR="002A38AF" w:rsidRPr="002A38AF" w14:paraId="5D3A1B11" w14:textId="77777777" w:rsidTr="00B97856">
        <w:tc>
          <w:tcPr>
            <w:tcW w:w="941" w:type="pct"/>
            <w:tcBorders>
              <w:top w:val="single" w:sz="4" w:space="0" w:color="auto"/>
              <w:left w:val="single" w:sz="4" w:space="0" w:color="auto"/>
              <w:bottom w:val="single" w:sz="4" w:space="0" w:color="auto"/>
              <w:right w:val="single" w:sz="4" w:space="0" w:color="auto"/>
            </w:tcBorders>
            <w:hideMark/>
          </w:tcPr>
          <w:p w14:paraId="7D98EF71" w14:textId="77777777" w:rsidR="002A38AF" w:rsidRPr="002A38AF" w:rsidRDefault="002A38AF" w:rsidP="002A38AF">
            <w:pPr>
              <w:keepNext/>
              <w:spacing w:before="40" w:after="40" w:line="240" w:lineRule="auto"/>
              <w:rPr>
                <w:rFonts w:ascii="Arial Narrow" w:hAnsi="Arial Narrow"/>
                <w:sz w:val="20"/>
              </w:rPr>
            </w:pPr>
            <w:r w:rsidRPr="002A38AF">
              <w:rPr>
                <w:rFonts w:ascii="Arial Narrow" w:hAnsi="Arial Narrow"/>
                <w:sz w:val="20"/>
              </w:rPr>
              <w:t xml:space="preserve">Change in patient management </w:t>
            </w:r>
          </w:p>
        </w:tc>
        <w:tc>
          <w:tcPr>
            <w:tcW w:w="1910" w:type="pct"/>
            <w:tcBorders>
              <w:top w:val="single" w:sz="4" w:space="0" w:color="auto"/>
              <w:left w:val="single" w:sz="4" w:space="0" w:color="auto"/>
              <w:bottom w:val="single" w:sz="4" w:space="0" w:color="auto"/>
              <w:right w:val="single" w:sz="4" w:space="0" w:color="auto"/>
            </w:tcBorders>
            <w:hideMark/>
          </w:tcPr>
          <w:p w14:paraId="6F26AD1F"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 xml:space="preserve">Case series </w:t>
            </w:r>
          </w:p>
          <w:p w14:paraId="39CC6DD5"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Case report</w:t>
            </w:r>
          </w:p>
          <w:p w14:paraId="729E49AF" w14:textId="77777777" w:rsidR="002A38AF" w:rsidRDefault="002A38AF" w:rsidP="002A38AF">
            <w:pPr>
              <w:spacing w:before="40" w:after="40" w:line="240" w:lineRule="auto"/>
              <w:rPr>
                <w:rFonts w:ascii="Arial Narrow" w:hAnsi="Arial Narrow"/>
                <w:sz w:val="20"/>
              </w:rPr>
            </w:pPr>
            <w:r w:rsidRPr="002A38AF">
              <w:rPr>
                <w:rFonts w:ascii="Arial Narrow" w:hAnsi="Arial Narrow"/>
                <w:sz w:val="20"/>
              </w:rPr>
              <w:t>Historical control study</w:t>
            </w:r>
          </w:p>
          <w:p w14:paraId="3D7DBF74" w14:textId="77777777" w:rsidR="002A38AF" w:rsidRPr="002A38AF" w:rsidRDefault="003B2012" w:rsidP="002A38AF">
            <w:pPr>
              <w:spacing w:before="40" w:after="40" w:line="240" w:lineRule="auto"/>
              <w:rPr>
                <w:rFonts w:ascii="Arial Narrow" w:hAnsi="Arial Narrow"/>
                <w:sz w:val="20"/>
              </w:rPr>
            </w:pPr>
            <w:r>
              <w:rPr>
                <w:rFonts w:ascii="Arial Narrow" w:hAnsi="Arial Narrow"/>
                <w:sz w:val="20"/>
              </w:rPr>
              <w:t>Retrospective cohort study</w:t>
            </w:r>
          </w:p>
        </w:tc>
        <w:tc>
          <w:tcPr>
            <w:tcW w:w="1234" w:type="pct"/>
            <w:tcBorders>
              <w:top w:val="single" w:sz="4" w:space="0" w:color="auto"/>
              <w:left w:val="single" w:sz="4" w:space="0" w:color="auto"/>
              <w:bottom w:val="single" w:sz="4" w:space="0" w:color="auto"/>
              <w:right w:val="single" w:sz="4" w:space="0" w:color="auto"/>
            </w:tcBorders>
            <w:hideMark/>
          </w:tcPr>
          <w:p w14:paraId="1C2688CE" w14:textId="77777777" w:rsidR="002A38AF" w:rsidRPr="002A38AF" w:rsidRDefault="00A33FC2" w:rsidP="006F2422">
            <w:pPr>
              <w:tabs>
                <w:tab w:val="left" w:pos="563"/>
                <w:tab w:val="left" w:pos="1130"/>
              </w:tabs>
              <w:spacing w:before="0" w:after="0" w:line="240" w:lineRule="auto"/>
              <w:ind w:left="-4" w:right="30"/>
              <w:rPr>
                <w:rFonts w:ascii="Arial Narrow" w:hAnsi="Arial Narrow"/>
                <w:sz w:val="20"/>
              </w:rPr>
            </w:pPr>
            <w:sdt>
              <w:sdtPr>
                <w:rPr>
                  <w:rFonts w:ascii="Arial Narrow" w:hAnsi="Arial Narrow"/>
                  <w:sz w:val="20"/>
                </w:rPr>
                <w:id w:val="-1943214893"/>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A762C3">
              <w:rPr>
                <w:rFonts w:ascii="Arial Narrow" w:hAnsi="Arial Narrow"/>
                <w:sz w:val="20"/>
              </w:rPr>
              <w:t>61</w:t>
            </w:r>
            <w:r w:rsidR="002A38AF" w:rsidRPr="002A38AF">
              <w:rPr>
                <w:rFonts w:ascii="Arial Narrow" w:hAnsi="Arial Narrow"/>
                <w:sz w:val="20"/>
              </w:rPr>
              <w:tab/>
              <w:t>n=</w:t>
            </w:r>
            <w:r w:rsidR="00395A37">
              <w:rPr>
                <w:rFonts w:ascii="Arial Narrow" w:hAnsi="Arial Narrow"/>
                <w:sz w:val="20"/>
              </w:rPr>
              <w:t xml:space="preserve"> </w:t>
            </w:r>
            <w:r w:rsidR="007E350B">
              <w:rPr>
                <w:rFonts w:ascii="Arial Narrow" w:hAnsi="Arial Narrow"/>
                <w:sz w:val="20"/>
              </w:rPr>
              <w:t>4</w:t>
            </w:r>
            <w:r w:rsidR="00471650">
              <w:rPr>
                <w:rFonts w:ascii="Arial Narrow" w:hAnsi="Arial Narrow"/>
                <w:sz w:val="20"/>
              </w:rPr>
              <w:t>,</w:t>
            </w:r>
            <w:r w:rsidR="007E350B">
              <w:rPr>
                <w:rFonts w:ascii="Arial Narrow" w:hAnsi="Arial Narrow"/>
                <w:sz w:val="20"/>
              </w:rPr>
              <w:t>945</w:t>
            </w:r>
          </w:p>
          <w:p w14:paraId="0D5AFB24" w14:textId="77777777" w:rsidR="002A38AF" w:rsidRPr="002A38AF" w:rsidRDefault="00A33FC2" w:rsidP="006F2422">
            <w:pPr>
              <w:tabs>
                <w:tab w:val="left" w:pos="563"/>
                <w:tab w:val="left" w:pos="1130"/>
              </w:tabs>
              <w:spacing w:before="0" w:after="0" w:line="240" w:lineRule="auto"/>
              <w:ind w:left="-4" w:right="30"/>
              <w:rPr>
                <w:rFonts w:ascii="Arial Narrow" w:hAnsi="Arial Narrow"/>
                <w:sz w:val="20"/>
              </w:rPr>
            </w:pPr>
            <w:sdt>
              <w:sdtPr>
                <w:rPr>
                  <w:rFonts w:ascii="Arial Narrow" w:hAnsi="Arial Narrow"/>
                  <w:sz w:val="20"/>
                </w:rPr>
                <w:id w:val="-545071845"/>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F37B13">
              <w:rPr>
                <w:rFonts w:ascii="Arial Narrow" w:hAnsi="Arial Narrow"/>
                <w:sz w:val="20"/>
              </w:rPr>
              <w:t>4</w:t>
            </w:r>
            <w:r w:rsidR="002A38AF" w:rsidRPr="002A38AF">
              <w:rPr>
                <w:rFonts w:ascii="Arial Narrow" w:hAnsi="Arial Narrow"/>
                <w:sz w:val="20"/>
              </w:rPr>
              <w:tab/>
              <w:t>n=</w:t>
            </w:r>
            <w:r w:rsidR="00F37B13">
              <w:rPr>
                <w:rFonts w:ascii="Arial Narrow" w:hAnsi="Arial Narrow"/>
                <w:sz w:val="20"/>
              </w:rPr>
              <w:t>4</w:t>
            </w:r>
          </w:p>
          <w:p w14:paraId="76613F4F" w14:textId="77777777" w:rsidR="002A38AF" w:rsidRDefault="00A33FC2" w:rsidP="006F2422">
            <w:pPr>
              <w:tabs>
                <w:tab w:val="left" w:pos="563"/>
                <w:tab w:val="left" w:pos="1130"/>
              </w:tabs>
              <w:spacing w:before="0" w:after="0" w:line="240" w:lineRule="auto"/>
              <w:ind w:left="-4" w:right="30"/>
              <w:rPr>
                <w:rFonts w:ascii="Arial Narrow" w:hAnsi="Arial Narrow"/>
                <w:sz w:val="20"/>
              </w:rPr>
            </w:pPr>
            <w:sdt>
              <w:sdtPr>
                <w:rPr>
                  <w:rFonts w:ascii="Arial Narrow" w:hAnsi="Arial Narrow"/>
                  <w:sz w:val="20"/>
                </w:rPr>
                <w:id w:val="-741861007"/>
                <w14:checkbox>
                  <w14:checked w14:val="1"/>
                  <w14:checkedState w14:val="2612" w14:font="MS Gothic"/>
                  <w14:uncheckedState w14:val="2610" w14:font="MS Gothic"/>
                </w14:checkbox>
              </w:sdtPr>
              <w:sdtEndPr/>
              <w:sdtContent>
                <w:r w:rsidR="002A38AF" w:rsidRPr="003B2012">
                  <w:rPr>
                    <w:rFonts w:ascii="Segoe UI Symbol" w:hAnsi="Segoe UI Symbol" w:cs="Segoe UI Symbol"/>
                    <w:sz w:val="20"/>
                  </w:rPr>
                  <w:t>☒</w:t>
                </w:r>
              </w:sdtContent>
            </w:sdt>
            <w:r w:rsidR="002A38AF" w:rsidRPr="002A38AF">
              <w:rPr>
                <w:rFonts w:ascii="Arial Narrow" w:hAnsi="Arial Narrow"/>
                <w:sz w:val="20"/>
              </w:rPr>
              <w:tab/>
              <w:t>k=</w:t>
            </w:r>
            <w:r w:rsidR="00DA1131">
              <w:rPr>
                <w:rFonts w:ascii="Arial Narrow" w:hAnsi="Arial Narrow"/>
                <w:sz w:val="20"/>
              </w:rPr>
              <w:t>2</w:t>
            </w:r>
            <w:r w:rsidR="002A38AF" w:rsidRPr="002A38AF">
              <w:rPr>
                <w:rFonts w:ascii="Arial Narrow" w:hAnsi="Arial Narrow"/>
                <w:sz w:val="20"/>
              </w:rPr>
              <w:tab/>
              <w:t>n=</w:t>
            </w:r>
            <w:r w:rsidR="008F1E39">
              <w:rPr>
                <w:rFonts w:ascii="Arial Narrow" w:hAnsi="Arial Narrow"/>
                <w:sz w:val="20"/>
              </w:rPr>
              <w:t>184</w:t>
            </w:r>
          </w:p>
          <w:p w14:paraId="0BC6B27D" w14:textId="77777777" w:rsidR="002A38AF" w:rsidRPr="002A38AF" w:rsidRDefault="00A33FC2" w:rsidP="006F2422">
            <w:pPr>
              <w:tabs>
                <w:tab w:val="left" w:pos="563"/>
                <w:tab w:val="left" w:pos="1130"/>
              </w:tabs>
              <w:spacing w:before="0" w:after="0" w:line="240" w:lineRule="auto"/>
              <w:ind w:left="-4" w:right="30"/>
              <w:rPr>
                <w:rFonts w:ascii="Arial Narrow" w:hAnsi="Arial Narrow"/>
                <w:sz w:val="20"/>
              </w:rPr>
            </w:pPr>
            <w:sdt>
              <w:sdtPr>
                <w:rPr>
                  <w:rFonts w:ascii="Arial Narrow" w:hAnsi="Arial Narrow"/>
                  <w:sz w:val="20"/>
                </w:rPr>
                <w:id w:val="6801310"/>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DA1131">
              <w:rPr>
                <w:rFonts w:ascii="Arial Narrow" w:hAnsi="Arial Narrow"/>
                <w:sz w:val="20"/>
              </w:rPr>
              <w:t>1</w:t>
            </w:r>
            <w:r w:rsidR="002A38AF" w:rsidRPr="002A38AF">
              <w:rPr>
                <w:rFonts w:ascii="Arial Narrow" w:hAnsi="Arial Narrow"/>
                <w:sz w:val="20"/>
              </w:rPr>
              <w:tab/>
              <w:t>n=</w:t>
            </w:r>
            <w:r w:rsidR="009145CA">
              <w:rPr>
                <w:rFonts w:ascii="Arial Narrow" w:hAnsi="Arial Narrow"/>
                <w:sz w:val="20"/>
              </w:rPr>
              <w:t>20</w:t>
            </w:r>
          </w:p>
        </w:tc>
        <w:tc>
          <w:tcPr>
            <w:tcW w:w="915" w:type="pct"/>
            <w:tcBorders>
              <w:top w:val="single" w:sz="4" w:space="0" w:color="auto"/>
              <w:left w:val="single" w:sz="4" w:space="0" w:color="auto"/>
              <w:bottom w:val="single" w:sz="4" w:space="0" w:color="auto"/>
              <w:right w:val="single" w:sz="4" w:space="0" w:color="auto"/>
            </w:tcBorders>
            <w:hideMark/>
          </w:tcPr>
          <w:p w14:paraId="60BA1164" w14:textId="7D21528C" w:rsidR="002A38AF" w:rsidRPr="002A38AF" w:rsidRDefault="002A38AF" w:rsidP="7C4E3BA4">
            <w:pPr>
              <w:spacing w:before="40" w:after="40" w:line="240" w:lineRule="auto"/>
              <w:rPr>
                <w:rFonts w:ascii="Arial Narrow" w:hAnsi="Arial Narrow"/>
                <w:sz w:val="20"/>
                <w:szCs w:val="20"/>
              </w:rPr>
            </w:pPr>
            <w:r w:rsidRPr="7C4E3BA4">
              <w:rPr>
                <w:rFonts w:ascii="Arial Narrow" w:hAnsi="Arial Narrow"/>
                <w:sz w:val="20"/>
                <w:szCs w:val="20"/>
              </w:rPr>
              <w:t>High</w:t>
            </w:r>
            <w:r w:rsidR="5DEE380B" w:rsidRPr="7C4E3BA4">
              <w:rPr>
                <w:rFonts w:ascii="Arial Narrow" w:hAnsi="Arial Narrow"/>
                <w:sz w:val="20"/>
                <w:szCs w:val="20"/>
              </w:rPr>
              <w:t xml:space="preserve"> risk of bias</w:t>
            </w:r>
          </w:p>
        </w:tc>
      </w:tr>
      <w:tr w:rsidR="002A38AF" w:rsidRPr="002A38AF" w14:paraId="32B6774F" w14:textId="77777777" w:rsidTr="00B97856">
        <w:tc>
          <w:tcPr>
            <w:tcW w:w="941" w:type="pct"/>
            <w:tcBorders>
              <w:top w:val="single" w:sz="4" w:space="0" w:color="auto"/>
              <w:left w:val="single" w:sz="4" w:space="0" w:color="auto"/>
              <w:bottom w:val="single" w:sz="4" w:space="0" w:color="auto"/>
              <w:right w:val="single" w:sz="4" w:space="0" w:color="auto"/>
            </w:tcBorders>
            <w:hideMark/>
          </w:tcPr>
          <w:p w14:paraId="192D510A" w14:textId="77777777" w:rsidR="002A38AF" w:rsidRPr="002A38AF" w:rsidRDefault="002A38AF" w:rsidP="002A38AF">
            <w:pPr>
              <w:keepNext/>
              <w:spacing w:before="40" w:after="40" w:line="240" w:lineRule="auto"/>
              <w:rPr>
                <w:rFonts w:ascii="Arial Narrow" w:hAnsi="Arial Narrow"/>
                <w:sz w:val="20"/>
              </w:rPr>
            </w:pPr>
            <w:r w:rsidRPr="002A38AF">
              <w:rPr>
                <w:rFonts w:ascii="Arial Narrow" w:hAnsi="Arial Narrow"/>
                <w:sz w:val="20"/>
              </w:rPr>
              <w:t xml:space="preserve">Health outcomes  </w:t>
            </w:r>
          </w:p>
        </w:tc>
        <w:tc>
          <w:tcPr>
            <w:tcW w:w="1910" w:type="pct"/>
            <w:tcBorders>
              <w:top w:val="single" w:sz="4" w:space="0" w:color="auto"/>
              <w:left w:val="single" w:sz="4" w:space="0" w:color="auto"/>
              <w:bottom w:val="single" w:sz="4" w:space="0" w:color="auto"/>
              <w:right w:val="single" w:sz="4" w:space="0" w:color="auto"/>
            </w:tcBorders>
          </w:tcPr>
          <w:p w14:paraId="7A8ABBC1" w14:textId="77777777" w:rsidR="002A38AF" w:rsidRPr="002A38AF" w:rsidRDefault="002A38AF" w:rsidP="002A38AF">
            <w:pPr>
              <w:spacing w:before="40" w:after="40" w:line="240" w:lineRule="auto"/>
              <w:rPr>
                <w:rFonts w:ascii="Arial Narrow" w:hAnsi="Arial Narrow"/>
                <w:sz w:val="20"/>
              </w:rPr>
            </w:pPr>
            <w:r w:rsidRPr="002A38AF">
              <w:rPr>
                <w:rFonts w:ascii="Arial Narrow" w:hAnsi="Arial Narrow"/>
                <w:sz w:val="20"/>
              </w:rPr>
              <w:t xml:space="preserve">Case </w:t>
            </w:r>
            <w:r w:rsidR="00C1372E">
              <w:rPr>
                <w:rFonts w:ascii="Arial Narrow" w:hAnsi="Arial Narrow"/>
                <w:sz w:val="20"/>
              </w:rPr>
              <w:t>Series</w:t>
            </w:r>
          </w:p>
          <w:p w14:paraId="3751D420" w14:textId="77777777" w:rsidR="005345C1" w:rsidRPr="002A38AF" w:rsidRDefault="005345C1" w:rsidP="002A38AF">
            <w:pPr>
              <w:spacing w:before="40" w:after="40" w:line="240" w:lineRule="auto"/>
              <w:rPr>
                <w:rFonts w:ascii="Arial Narrow" w:hAnsi="Arial Narrow"/>
                <w:sz w:val="20"/>
              </w:rPr>
            </w:pPr>
            <w:r>
              <w:rPr>
                <w:rFonts w:ascii="Arial Narrow" w:hAnsi="Arial Narrow"/>
                <w:sz w:val="20"/>
              </w:rPr>
              <w:t>Historical control study</w:t>
            </w:r>
          </w:p>
          <w:p w14:paraId="59439096" w14:textId="77777777" w:rsidR="002A38AF" w:rsidRPr="002A38AF" w:rsidRDefault="005345C1" w:rsidP="002A38AF">
            <w:pPr>
              <w:spacing w:before="40" w:after="40" w:line="240" w:lineRule="auto"/>
              <w:rPr>
                <w:rFonts w:ascii="Arial Narrow" w:hAnsi="Arial Narrow"/>
                <w:sz w:val="20"/>
              </w:rPr>
            </w:pPr>
            <w:r>
              <w:rPr>
                <w:rFonts w:ascii="Arial Narrow" w:hAnsi="Arial Narrow"/>
                <w:sz w:val="20"/>
              </w:rPr>
              <w:t>Retrospective c</w:t>
            </w:r>
            <w:r w:rsidR="002A38AF" w:rsidRPr="002A38AF">
              <w:rPr>
                <w:rFonts w:ascii="Arial Narrow" w:hAnsi="Arial Narrow"/>
                <w:sz w:val="20"/>
              </w:rPr>
              <w:t>ohort studies</w:t>
            </w:r>
          </w:p>
        </w:tc>
        <w:tc>
          <w:tcPr>
            <w:tcW w:w="1234" w:type="pct"/>
            <w:tcBorders>
              <w:top w:val="single" w:sz="4" w:space="0" w:color="auto"/>
              <w:left w:val="single" w:sz="4" w:space="0" w:color="auto"/>
              <w:bottom w:val="single" w:sz="4" w:space="0" w:color="auto"/>
              <w:right w:val="single" w:sz="4" w:space="0" w:color="auto"/>
            </w:tcBorders>
          </w:tcPr>
          <w:p w14:paraId="100EB6D7" w14:textId="77777777" w:rsidR="002A38AF" w:rsidRPr="002A38AF" w:rsidRDefault="00A33FC2" w:rsidP="002A38AF">
            <w:pPr>
              <w:keepNext/>
              <w:tabs>
                <w:tab w:val="left" w:pos="558"/>
                <w:tab w:val="left" w:pos="1301"/>
              </w:tabs>
              <w:spacing w:before="40" w:after="40" w:line="240" w:lineRule="auto"/>
              <w:rPr>
                <w:rFonts w:ascii="Arial Narrow" w:hAnsi="Arial Narrow"/>
                <w:sz w:val="20"/>
              </w:rPr>
            </w:pPr>
            <w:sdt>
              <w:sdtPr>
                <w:rPr>
                  <w:rFonts w:ascii="Arial Narrow" w:hAnsi="Arial Narrow"/>
                  <w:sz w:val="20"/>
                </w:rPr>
                <w:id w:val="-605892943"/>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584DE7">
              <w:rPr>
                <w:rFonts w:ascii="Arial Narrow" w:hAnsi="Arial Narrow"/>
                <w:sz w:val="20"/>
              </w:rPr>
              <w:t>25</w:t>
            </w:r>
            <w:r w:rsidR="002A38AF" w:rsidRPr="002A38AF">
              <w:rPr>
                <w:rFonts w:ascii="Arial Narrow" w:hAnsi="Arial Narrow"/>
                <w:sz w:val="20"/>
              </w:rPr>
              <w:tab/>
              <w:t>n=</w:t>
            </w:r>
            <w:r w:rsidR="007A4EB4">
              <w:rPr>
                <w:rFonts w:ascii="Arial Narrow" w:hAnsi="Arial Narrow"/>
                <w:sz w:val="20"/>
              </w:rPr>
              <w:t xml:space="preserve"> 1,682</w:t>
            </w:r>
          </w:p>
          <w:p w14:paraId="1F89229C" w14:textId="77777777" w:rsidR="002A38AF" w:rsidRDefault="00A33FC2" w:rsidP="002A38AF">
            <w:pPr>
              <w:keepNext/>
              <w:tabs>
                <w:tab w:val="left" w:pos="558"/>
                <w:tab w:val="left" w:pos="1301"/>
              </w:tabs>
              <w:spacing w:before="40" w:after="40" w:line="240" w:lineRule="auto"/>
              <w:rPr>
                <w:rFonts w:ascii="Arial Narrow" w:hAnsi="Arial Narrow"/>
                <w:sz w:val="20"/>
              </w:rPr>
            </w:pPr>
            <w:sdt>
              <w:sdtPr>
                <w:rPr>
                  <w:rFonts w:ascii="Arial Narrow" w:hAnsi="Arial Narrow"/>
                  <w:sz w:val="20"/>
                </w:rPr>
                <w:id w:val="-93560016"/>
                <w14:checkbox>
                  <w14:checked w14:val="1"/>
                  <w14:checkedState w14:val="2612" w14:font="MS Gothic"/>
                  <w14:uncheckedState w14:val="2610" w14:font="MS Gothic"/>
                </w14:checkbox>
              </w:sdtPr>
              <w:sdtEndPr/>
              <w:sdtContent>
                <w:r w:rsidR="005345C1">
                  <w:rPr>
                    <w:rFonts w:ascii="MS Gothic" w:eastAsia="MS Gothic" w:hAnsi="MS Gothic" w:hint="eastAsia"/>
                    <w:sz w:val="20"/>
                  </w:rPr>
                  <w:t>☒</w:t>
                </w:r>
              </w:sdtContent>
            </w:sdt>
            <w:r w:rsidR="002A38AF" w:rsidRPr="002A38AF">
              <w:rPr>
                <w:rFonts w:ascii="Arial Narrow" w:hAnsi="Arial Narrow"/>
                <w:sz w:val="20"/>
              </w:rPr>
              <w:tab/>
              <w:t>k=</w:t>
            </w:r>
            <w:r w:rsidR="00F97F74">
              <w:rPr>
                <w:rFonts w:ascii="Arial Narrow" w:hAnsi="Arial Narrow"/>
                <w:sz w:val="20"/>
              </w:rPr>
              <w:t>2</w:t>
            </w:r>
            <w:r w:rsidR="002A38AF" w:rsidRPr="002A38AF">
              <w:rPr>
                <w:rFonts w:ascii="Arial Narrow" w:hAnsi="Arial Narrow"/>
                <w:sz w:val="20"/>
              </w:rPr>
              <w:tab/>
              <w:t>n=</w:t>
            </w:r>
            <w:r w:rsidR="00584DE7">
              <w:rPr>
                <w:rFonts w:ascii="Arial Narrow" w:hAnsi="Arial Narrow"/>
                <w:sz w:val="20"/>
              </w:rPr>
              <w:t>47</w:t>
            </w:r>
          </w:p>
          <w:p w14:paraId="6B017F9B" w14:textId="77777777" w:rsidR="002A38AF" w:rsidRPr="002A38AF" w:rsidRDefault="00A33FC2" w:rsidP="002A38AF">
            <w:pPr>
              <w:keepNext/>
              <w:tabs>
                <w:tab w:val="left" w:pos="558"/>
                <w:tab w:val="left" w:pos="1301"/>
              </w:tabs>
              <w:spacing w:before="40" w:after="40" w:line="240" w:lineRule="auto"/>
              <w:rPr>
                <w:rFonts w:ascii="Arial Narrow" w:hAnsi="Arial Narrow"/>
                <w:sz w:val="20"/>
              </w:rPr>
            </w:pPr>
            <w:sdt>
              <w:sdtPr>
                <w:rPr>
                  <w:rFonts w:ascii="Arial Narrow" w:hAnsi="Arial Narrow"/>
                  <w:sz w:val="20"/>
                </w:rPr>
                <w:id w:val="333274856"/>
                <w14:checkbox>
                  <w14:checked w14:val="1"/>
                  <w14:checkedState w14:val="2612" w14:font="MS Gothic"/>
                  <w14:uncheckedState w14:val="2610" w14:font="MS Gothic"/>
                </w14:checkbox>
              </w:sdtPr>
              <w:sdtEndPr/>
              <w:sdtContent>
                <w:r w:rsidR="002A38AF" w:rsidRPr="002A38AF">
                  <w:rPr>
                    <w:rFonts w:ascii="Segoe UI Symbol" w:hAnsi="Segoe UI Symbol" w:cs="Segoe UI Symbol"/>
                    <w:sz w:val="20"/>
                  </w:rPr>
                  <w:t>☒</w:t>
                </w:r>
              </w:sdtContent>
            </w:sdt>
            <w:r w:rsidR="002A38AF" w:rsidRPr="002A38AF">
              <w:rPr>
                <w:rFonts w:ascii="Arial Narrow" w:hAnsi="Arial Narrow"/>
                <w:sz w:val="20"/>
              </w:rPr>
              <w:tab/>
              <w:t>k=</w:t>
            </w:r>
            <w:r w:rsidR="00E96720">
              <w:rPr>
                <w:rFonts w:ascii="Arial Narrow" w:hAnsi="Arial Narrow"/>
                <w:sz w:val="20"/>
              </w:rPr>
              <w:t>3</w:t>
            </w:r>
            <w:r w:rsidR="002A38AF" w:rsidRPr="002A38AF">
              <w:rPr>
                <w:rFonts w:ascii="Arial Narrow" w:hAnsi="Arial Narrow"/>
                <w:sz w:val="20"/>
              </w:rPr>
              <w:tab/>
              <w:t>n=</w:t>
            </w:r>
            <w:r w:rsidR="00F97F74">
              <w:rPr>
                <w:rFonts w:ascii="Arial Narrow" w:hAnsi="Arial Narrow"/>
                <w:sz w:val="20"/>
              </w:rPr>
              <w:t>97</w:t>
            </w:r>
          </w:p>
        </w:tc>
        <w:tc>
          <w:tcPr>
            <w:tcW w:w="915" w:type="pct"/>
            <w:tcBorders>
              <w:top w:val="single" w:sz="4" w:space="0" w:color="auto"/>
              <w:left w:val="single" w:sz="4" w:space="0" w:color="auto"/>
              <w:bottom w:val="single" w:sz="4" w:space="0" w:color="auto"/>
              <w:right w:val="single" w:sz="4" w:space="0" w:color="auto"/>
            </w:tcBorders>
            <w:hideMark/>
          </w:tcPr>
          <w:p w14:paraId="33893B58" w14:textId="062FAA06" w:rsidR="002A38AF" w:rsidRPr="002A38AF" w:rsidRDefault="002A38AF" w:rsidP="7C4E3BA4">
            <w:pPr>
              <w:spacing w:before="40" w:after="40" w:line="240" w:lineRule="auto"/>
              <w:rPr>
                <w:rFonts w:ascii="Arial Narrow" w:hAnsi="Arial Narrow"/>
                <w:sz w:val="20"/>
                <w:szCs w:val="20"/>
              </w:rPr>
            </w:pPr>
            <w:r w:rsidRPr="7C4E3BA4">
              <w:rPr>
                <w:rFonts w:ascii="Arial Narrow" w:hAnsi="Arial Narrow"/>
                <w:sz w:val="20"/>
                <w:szCs w:val="20"/>
              </w:rPr>
              <w:t>High risk of bias</w:t>
            </w:r>
          </w:p>
        </w:tc>
      </w:tr>
      <w:tr w:rsidR="008E140A" w:rsidRPr="002A38AF" w14:paraId="28E0197A" w14:textId="77777777" w:rsidTr="00B97856">
        <w:tc>
          <w:tcPr>
            <w:tcW w:w="5000" w:type="pct"/>
            <w:gridSpan w:val="4"/>
            <w:tcBorders>
              <w:top w:val="single" w:sz="4" w:space="0" w:color="auto"/>
              <w:left w:val="single" w:sz="4" w:space="0" w:color="auto"/>
              <w:bottom w:val="single" w:sz="4" w:space="0" w:color="auto"/>
              <w:right w:val="single" w:sz="4" w:space="0" w:color="auto"/>
            </w:tcBorders>
          </w:tcPr>
          <w:p w14:paraId="215DDC7B" w14:textId="30149047" w:rsidR="008E140A" w:rsidRPr="008E140A" w:rsidRDefault="008E140A" w:rsidP="002A38AF">
            <w:pPr>
              <w:spacing w:before="40" w:after="40" w:line="240" w:lineRule="auto"/>
              <w:rPr>
                <w:rFonts w:ascii="Arial Narrow" w:hAnsi="Arial Narrow"/>
                <w:b/>
                <w:bCs/>
                <w:sz w:val="20"/>
              </w:rPr>
            </w:pPr>
            <w:r w:rsidRPr="008E140A">
              <w:rPr>
                <w:rFonts w:ascii="Arial Narrow" w:hAnsi="Arial Narrow"/>
                <w:b/>
                <w:bCs/>
                <w:sz w:val="20"/>
              </w:rPr>
              <w:t>PICO Set 2</w:t>
            </w:r>
          </w:p>
        </w:tc>
      </w:tr>
      <w:tr w:rsidR="00343349" w:rsidRPr="002A38AF" w14:paraId="72F05E77" w14:textId="77777777" w:rsidTr="00B97856">
        <w:tc>
          <w:tcPr>
            <w:tcW w:w="941" w:type="pct"/>
            <w:tcBorders>
              <w:top w:val="single" w:sz="4" w:space="0" w:color="auto"/>
              <w:left w:val="single" w:sz="4" w:space="0" w:color="auto"/>
              <w:bottom w:val="single" w:sz="4" w:space="0" w:color="auto"/>
              <w:right w:val="single" w:sz="4" w:space="0" w:color="auto"/>
            </w:tcBorders>
          </w:tcPr>
          <w:p w14:paraId="475DA2F8" w14:textId="583DA453" w:rsidR="00343349" w:rsidRPr="002A38AF" w:rsidRDefault="00D9775B" w:rsidP="002A38AF">
            <w:pPr>
              <w:keepNext/>
              <w:spacing w:before="40" w:after="40" w:line="240" w:lineRule="auto"/>
              <w:rPr>
                <w:rFonts w:ascii="Arial Narrow" w:hAnsi="Arial Narrow"/>
                <w:sz w:val="20"/>
              </w:rPr>
            </w:pPr>
            <w:r>
              <w:rPr>
                <w:rFonts w:ascii="Arial Narrow" w:hAnsi="Arial Narrow"/>
                <w:sz w:val="20"/>
              </w:rPr>
              <w:t>T</w:t>
            </w:r>
            <w:r w:rsidR="008E140A">
              <w:rPr>
                <w:rFonts w:ascii="Arial Narrow" w:hAnsi="Arial Narrow"/>
                <w:sz w:val="20"/>
              </w:rPr>
              <w:t>esting</w:t>
            </w:r>
            <w:r>
              <w:rPr>
                <w:rFonts w:ascii="Arial Narrow" w:hAnsi="Arial Narrow"/>
                <w:sz w:val="20"/>
              </w:rPr>
              <w:t xml:space="preserve"> of family members</w:t>
            </w:r>
          </w:p>
        </w:tc>
        <w:tc>
          <w:tcPr>
            <w:tcW w:w="1910" w:type="pct"/>
            <w:tcBorders>
              <w:top w:val="single" w:sz="4" w:space="0" w:color="auto"/>
              <w:left w:val="single" w:sz="4" w:space="0" w:color="auto"/>
              <w:bottom w:val="single" w:sz="4" w:space="0" w:color="auto"/>
              <w:right w:val="single" w:sz="4" w:space="0" w:color="auto"/>
            </w:tcBorders>
          </w:tcPr>
          <w:p w14:paraId="6E41F190" w14:textId="2011FC91" w:rsidR="00343349" w:rsidRPr="002A38AF" w:rsidRDefault="008E140A" w:rsidP="002A38AF">
            <w:pPr>
              <w:spacing w:before="40" w:after="40" w:line="240" w:lineRule="auto"/>
              <w:rPr>
                <w:rFonts w:ascii="Arial Narrow" w:hAnsi="Arial Narrow"/>
                <w:sz w:val="20"/>
              </w:rPr>
            </w:pPr>
            <w:r>
              <w:rPr>
                <w:rFonts w:ascii="Arial Narrow" w:hAnsi="Arial Narrow"/>
                <w:sz w:val="20"/>
              </w:rPr>
              <w:t>Case Series</w:t>
            </w:r>
          </w:p>
        </w:tc>
        <w:tc>
          <w:tcPr>
            <w:tcW w:w="1234" w:type="pct"/>
            <w:tcBorders>
              <w:top w:val="single" w:sz="4" w:space="0" w:color="auto"/>
              <w:left w:val="single" w:sz="4" w:space="0" w:color="auto"/>
              <w:bottom w:val="single" w:sz="4" w:space="0" w:color="auto"/>
              <w:right w:val="single" w:sz="4" w:space="0" w:color="auto"/>
            </w:tcBorders>
          </w:tcPr>
          <w:p w14:paraId="72DD099C" w14:textId="2C4F5097" w:rsidR="00343349" w:rsidRDefault="00A33FC2" w:rsidP="002A38AF">
            <w:pPr>
              <w:keepNext/>
              <w:tabs>
                <w:tab w:val="left" w:pos="558"/>
                <w:tab w:val="left" w:pos="1301"/>
              </w:tabs>
              <w:spacing w:before="40" w:after="40" w:line="240" w:lineRule="auto"/>
              <w:rPr>
                <w:rFonts w:ascii="Arial Narrow" w:hAnsi="Arial Narrow"/>
                <w:sz w:val="20"/>
              </w:rPr>
            </w:pPr>
            <w:sdt>
              <w:sdtPr>
                <w:rPr>
                  <w:rFonts w:ascii="Arial Narrow" w:hAnsi="Arial Narrow"/>
                  <w:sz w:val="20"/>
                </w:rPr>
                <w:id w:val="-1822889560"/>
                <w14:checkbox>
                  <w14:checked w14:val="1"/>
                  <w14:checkedState w14:val="2612" w14:font="MS Gothic"/>
                  <w14:uncheckedState w14:val="2610" w14:font="MS Gothic"/>
                </w14:checkbox>
              </w:sdtPr>
              <w:sdtEndPr/>
              <w:sdtContent>
                <w:r w:rsidR="008E140A" w:rsidRPr="002A38AF">
                  <w:rPr>
                    <w:rFonts w:ascii="Segoe UI Symbol" w:hAnsi="Segoe UI Symbol" w:cs="Segoe UI Symbol"/>
                    <w:sz w:val="20"/>
                  </w:rPr>
                  <w:t>☒</w:t>
                </w:r>
              </w:sdtContent>
            </w:sdt>
            <w:r w:rsidR="008E140A" w:rsidRPr="002A38AF">
              <w:rPr>
                <w:rFonts w:ascii="Arial Narrow" w:hAnsi="Arial Narrow"/>
                <w:sz w:val="20"/>
              </w:rPr>
              <w:tab/>
              <w:t>k=</w:t>
            </w:r>
            <w:r w:rsidR="008E140A">
              <w:rPr>
                <w:rFonts w:ascii="Arial Narrow" w:hAnsi="Arial Narrow"/>
                <w:sz w:val="20"/>
              </w:rPr>
              <w:t>26</w:t>
            </w:r>
            <w:r w:rsidR="008E140A" w:rsidRPr="002A38AF">
              <w:rPr>
                <w:rFonts w:ascii="Arial Narrow" w:hAnsi="Arial Narrow"/>
                <w:sz w:val="20"/>
              </w:rPr>
              <w:tab/>
              <w:t>n=</w:t>
            </w:r>
            <w:r w:rsidR="008E140A">
              <w:rPr>
                <w:rFonts w:ascii="Arial Narrow" w:hAnsi="Arial Narrow"/>
                <w:sz w:val="20"/>
              </w:rPr>
              <w:t xml:space="preserve"> </w:t>
            </w:r>
            <w:r w:rsidR="00613ED2">
              <w:rPr>
                <w:rFonts w:ascii="Arial Narrow" w:hAnsi="Arial Narrow"/>
                <w:sz w:val="20"/>
              </w:rPr>
              <w:t>509</w:t>
            </w:r>
          </w:p>
        </w:tc>
        <w:tc>
          <w:tcPr>
            <w:tcW w:w="915" w:type="pct"/>
            <w:tcBorders>
              <w:top w:val="single" w:sz="4" w:space="0" w:color="auto"/>
              <w:left w:val="single" w:sz="4" w:space="0" w:color="auto"/>
              <w:bottom w:val="single" w:sz="4" w:space="0" w:color="auto"/>
              <w:right w:val="single" w:sz="4" w:space="0" w:color="auto"/>
            </w:tcBorders>
          </w:tcPr>
          <w:p w14:paraId="24C69FE2" w14:textId="0E59F43E" w:rsidR="00343349" w:rsidRPr="002A38AF" w:rsidRDefault="737BADA3" w:rsidP="7C4E3BA4">
            <w:pPr>
              <w:spacing w:before="40" w:after="40" w:line="240" w:lineRule="auto"/>
              <w:rPr>
                <w:rFonts w:ascii="Arial Narrow" w:hAnsi="Arial Narrow"/>
                <w:sz w:val="20"/>
                <w:szCs w:val="20"/>
              </w:rPr>
            </w:pPr>
            <w:r w:rsidRPr="7C4E3BA4">
              <w:rPr>
                <w:rFonts w:ascii="Arial Narrow" w:hAnsi="Arial Narrow"/>
                <w:sz w:val="20"/>
                <w:szCs w:val="20"/>
              </w:rPr>
              <w:t>High risk of bias</w:t>
            </w:r>
          </w:p>
        </w:tc>
      </w:tr>
    </w:tbl>
    <w:p w14:paraId="3089945C" w14:textId="43B09D4E" w:rsidR="00D537DE" w:rsidRDefault="0016295C" w:rsidP="00B14F63">
      <w:pPr>
        <w:pStyle w:val="TableFigureFooter"/>
      </w:pPr>
      <w:r>
        <w:t xml:space="preserve">k = number of studies; </w:t>
      </w:r>
      <w:r w:rsidR="00D732CD">
        <w:t xml:space="preserve">n = number of patients; </w:t>
      </w:r>
      <w:r w:rsidR="00357FEF">
        <w:t>MPS II = mucopolysaccharidosis Type II; NBS = newborn bloodspot screening</w:t>
      </w:r>
    </w:p>
    <w:p w14:paraId="6E3AF496" w14:textId="0D657C94" w:rsidR="00772829" w:rsidRPr="00496C73" w:rsidRDefault="00772829" w:rsidP="00BE0CE4">
      <w:pPr>
        <w:pStyle w:val="Heading2"/>
        <w:numPr>
          <w:ilvl w:val="0"/>
          <w:numId w:val="28"/>
        </w:numPr>
        <w:ind w:hanging="720"/>
      </w:pPr>
      <w:bookmarkStart w:id="27" w:name="_Toc185430531"/>
      <w:r w:rsidRPr="00496C73">
        <w:t>Comparative safety</w:t>
      </w:r>
      <w:bookmarkEnd w:id="27"/>
    </w:p>
    <w:p w14:paraId="66C60B96" w14:textId="6836CADB" w:rsidR="008A62F7" w:rsidRPr="00496C73" w:rsidRDefault="00177441" w:rsidP="00802447">
      <w:pPr>
        <w:pStyle w:val="Heading3"/>
      </w:pPr>
      <w:bookmarkStart w:id="28" w:name="_Toc185430532"/>
      <w:r w:rsidRPr="00496C73">
        <w:t xml:space="preserve">PICO Set 1 - </w:t>
      </w:r>
      <w:r w:rsidR="00C63031">
        <w:t>N</w:t>
      </w:r>
      <w:r w:rsidRPr="00496C73">
        <w:t>ewborns</w:t>
      </w:r>
      <w:bookmarkEnd w:id="28"/>
    </w:p>
    <w:p w14:paraId="47A37629" w14:textId="47F422D7" w:rsidR="001E15FD" w:rsidRDefault="00A615E8" w:rsidP="00A615E8">
      <w:pPr>
        <w:pStyle w:val="Heading4"/>
      </w:pPr>
      <w:r>
        <w:t>Safety of testing</w:t>
      </w:r>
    </w:p>
    <w:p w14:paraId="56B76550" w14:textId="6F6C5F0B" w:rsidR="00885D1A" w:rsidRDefault="3960B75E" w:rsidP="00885D1A">
      <w:r w:rsidRPr="7C4E3BA4">
        <w:t xml:space="preserve">No direct evidence was identified on the safety of NBS for MPS </w:t>
      </w:r>
      <w:r w:rsidR="3A53B6CC" w:rsidRPr="7C4E3BA4">
        <w:t>I</w:t>
      </w:r>
      <w:r w:rsidRPr="7C4E3BA4">
        <w:t xml:space="preserve">I. Given bloodspots are already currently collected for existing conditions on the NBS programs, and collection of additional bloodspots should not be required for the purposes of testing for MPS </w:t>
      </w:r>
      <w:r w:rsidR="3A53B6CC" w:rsidRPr="7C4E3BA4">
        <w:t>I</w:t>
      </w:r>
      <w:r w:rsidRPr="7C4E3BA4">
        <w:t>I, the safety impact of the test itself is likely to be negligible.</w:t>
      </w:r>
    </w:p>
    <w:p w14:paraId="38CADE9E" w14:textId="598DFCA1" w:rsidR="00A615E8" w:rsidRDefault="00A615E8" w:rsidP="00A615E8">
      <w:pPr>
        <w:pStyle w:val="Heading4"/>
      </w:pPr>
      <w:r>
        <w:t>Safety of surgery with/without knowledge of MPS II status</w:t>
      </w:r>
    </w:p>
    <w:p w14:paraId="54B69683" w14:textId="484166B3" w:rsidR="00885D1A" w:rsidRDefault="2456E4CB" w:rsidP="00885D1A">
      <w:pPr>
        <w:rPr>
          <w:lang w:val="en-GB"/>
        </w:rPr>
      </w:pPr>
      <w:r w:rsidRPr="4B343176">
        <w:rPr>
          <w:lang w:val="en-GB"/>
        </w:rPr>
        <w:t xml:space="preserve">Serious manifestations and complications </w:t>
      </w:r>
      <w:r w:rsidR="27A78238" w:rsidRPr="4B343176">
        <w:rPr>
          <w:lang w:val="en-GB"/>
        </w:rPr>
        <w:t xml:space="preserve">that develop in </w:t>
      </w:r>
      <w:r w:rsidR="5D094280" w:rsidRPr="4B343176">
        <w:rPr>
          <w:lang w:val="en-GB"/>
        </w:rPr>
        <w:t xml:space="preserve">individuals diagnosed with </w:t>
      </w:r>
      <w:r w:rsidRPr="4B343176">
        <w:rPr>
          <w:lang w:val="en-GB"/>
        </w:rPr>
        <w:t xml:space="preserve">MPS II often require surgical </w:t>
      </w:r>
      <w:r w:rsidR="0AD111C2" w:rsidRPr="4B343176">
        <w:rPr>
          <w:lang w:val="en-GB"/>
        </w:rPr>
        <w:t>intervention</w:t>
      </w:r>
      <w:r w:rsidRPr="4B343176">
        <w:rPr>
          <w:lang w:val="en-GB"/>
        </w:rPr>
        <w:t>.</w:t>
      </w:r>
      <w:r w:rsidR="0AD111C2" w:rsidRPr="4B343176">
        <w:rPr>
          <w:lang w:val="en-GB"/>
        </w:rPr>
        <w:t xml:space="preserve"> </w:t>
      </w:r>
      <w:r w:rsidR="3960B75E" w:rsidRPr="4B343176">
        <w:rPr>
          <w:lang w:val="en-GB"/>
        </w:rPr>
        <w:t xml:space="preserve">Risks associated with surgery have been identified for </w:t>
      </w:r>
      <w:r w:rsidR="415BE756" w:rsidRPr="4B343176">
        <w:rPr>
          <w:lang w:val="en-GB"/>
        </w:rPr>
        <w:t>individuals with</w:t>
      </w:r>
      <w:r w:rsidR="3960B75E" w:rsidRPr="4B343176">
        <w:rPr>
          <w:lang w:val="en-GB"/>
        </w:rPr>
        <w:t xml:space="preserve"> MPS </w:t>
      </w:r>
      <w:r w:rsidR="5AF81C82" w:rsidRPr="4B343176">
        <w:rPr>
          <w:lang w:val="en-GB"/>
        </w:rPr>
        <w:t>I</w:t>
      </w:r>
      <w:r w:rsidR="3A53B6CC" w:rsidRPr="4B343176">
        <w:rPr>
          <w:lang w:val="en-GB"/>
        </w:rPr>
        <w:t>I</w:t>
      </w:r>
      <w:r w:rsidR="0AD111C2" w:rsidRPr="4B343176">
        <w:rPr>
          <w:lang w:val="en-GB"/>
        </w:rPr>
        <w:t>,</w:t>
      </w:r>
      <w:r w:rsidR="3960B75E" w:rsidRPr="4B343176">
        <w:rPr>
          <w:lang w:val="en-GB"/>
        </w:rPr>
        <w:t xml:space="preserve"> </w:t>
      </w:r>
      <w:r w:rsidR="4FCBAB44" w:rsidRPr="4B343176">
        <w:rPr>
          <w:lang w:val="en-GB"/>
        </w:rPr>
        <w:t>as a</w:t>
      </w:r>
      <w:r w:rsidR="3A53B6CC" w:rsidRPr="4B343176">
        <w:rPr>
          <w:lang w:val="en-GB"/>
        </w:rPr>
        <w:t xml:space="preserve">irway management and tracheal intubation in MPS II patients are reported to be challenging, </w:t>
      </w:r>
      <w:r w:rsidR="653D2632" w:rsidRPr="4B343176">
        <w:rPr>
          <w:lang w:val="en-GB"/>
        </w:rPr>
        <w:t>interfering with their ability to remain sufficiently ventilated during anaesthesia</w:t>
      </w:r>
      <w:r w:rsidR="3A53B6CC" w:rsidRPr="4B343176">
        <w:rPr>
          <w:lang w:val="en-GB"/>
        </w:rPr>
        <w:t xml:space="preserve">. The analysis of approximately 100 patients in the </w:t>
      </w:r>
      <w:r w:rsidR="653D2632" w:rsidRPr="4B343176">
        <w:rPr>
          <w:lang w:val="en-GB"/>
        </w:rPr>
        <w:t>Hunter Outcome Survey (</w:t>
      </w:r>
      <w:r w:rsidR="3A53B6CC" w:rsidRPr="4B343176">
        <w:rPr>
          <w:lang w:val="en-GB"/>
        </w:rPr>
        <w:t>HOS</w:t>
      </w:r>
      <w:r w:rsidR="653D2632" w:rsidRPr="4B343176">
        <w:rPr>
          <w:lang w:val="en-GB"/>
        </w:rPr>
        <w:t>)</w:t>
      </w:r>
      <w:r w:rsidR="3A53B6CC" w:rsidRPr="4B343176">
        <w:rPr>
          <w:lang w:val="en-GB"/>
        </w:rPr>
        <w:t xml:space="preserve"> registry indicated that 22% </w:t>
      </w:r>
      <w:r w:rsidR="4A9E6B68" w:rsidRPr="4B343176">
        <w:rPr>
          <w:lang w:val="en-GB"/>
        </w:rPr>
        <w:t xml:space="preserve">of </w:t>
      </w:r>
      <w:r w:rsidR="3A53B6CC" w:rsidRPr="4B343176">
        <w:rPr>
          <w:lang w:val="en-GB"/>
        </w:rPr>
        <w:t xml:space="preserve">patients were reported to have difficulties with intubation </w:t>
      </w:r>
      <w:r w:rsidR="653D2632" w:rsidRPr="4B343176">
        <w:rPr>
          <w:lang w:val="en-GB"/>
        </w:rPr>
        <w:t>during surgical procedures</w:t>
      </w:r>
      <w:r w:rsidR="3A53B6CC" w:rsidRPr="4B343176">
        <w:rPr>
          <w:lang w:val="en-GB"/>
        </w:rPr>
        <w:t xml:space="preserve">. </w:t>
      </w:r>
      <w:r w:rsidR="3960B75E" w:rsidRPr="4B343176">
        <w:rPr>
          <w:lang w:val="en-GB"/>
        </w:rPr>
        <w:t xml:space="preserve">However, no evidence was identified on the benefits/risks of using a tailored surgical plan to minimise complications when the patient is known to have MPS </w:t>
      </w:r>
      <w:r w:rsidR="42DD70F1" w:rsidRPr="4B343176">
        <w:rPr>
          <w:lang w:val="en-GB"/>
        </w:rPr>
        <w:t>I</w:t>
      </w:r>
      <w:r w:rsidR="3960B75E" w:rsidRPr="4B343176">
        <w:rPr>
          <w:lang w:val="en-GB"/>
        </w:rPr>
        <w:t xml:space="preserve">I. Nevertheless, </w:t>
      </w:r>
      <w:r w:rsidR="529C7F4B" w:rsidRPr="4B343176">
        <w:rPr>
          <w:lang w:val="en-GB"/>
        </w:rPr>
        <w:t xml:space="preserve">if a patient is recognised preoperatively to have MPS II, a well-prepared team of anaesthesiologists and </w:t>
      </w:r>
      <w:r w:rsidR="529C7F4B" w:rsidRPr="4B343176">
        <w:rPr>
          <w:lang w:val="en-GB"/>
        </w:rPr>
        <w:lastRenderedPageBreak/>
        <w:t xml:space="preserve">surgeons can be primed for any surgical intervention required and </w:t>
      </w:r>
      <w:r w:rsidR="5CBEA3A8" w:rsidRPr="4B343176">
        <w:rPr>
          <w:lang w:val="en-GB"/>
        </w:rPr>
        <w:t xml:space="preserve">would </w:t>
      </w:r>
      <w:r w:rsidR="529C7F4B" w:rsidRPr="4B343176">
        <w:rPr>
          <w:lang w:val="en-GB"/>
        </w:rPr>
        <w:t xml:space="preserve">know to use specific </w:t>
      </w:r>
      <w:r w:rsidR="003747A0">
        <w:rPr>
          <w:lang w:val="en-GB"/>
        </w:rPr>
        <w:t xml:space="preserve">ventilatory support </w:t>
      </w:r>
      <w:r w:rsidR="529C7F4B" w:rsidRPr="4B343176">
        <w:rPr>
          <w:lang w:val="en-GB"/>
        </w:rPr>
        <w:t>techniques that are recommended for patients with MPS II.</w:t>
      </w:r>
    </w:p>
    <w:p w14:paraId="7BB9015E" w14:textId="4E7830FF" w:rsidR="00885D1A" w:rsidRDefault="3960B75E" w:rsidP="00885D1A">
      <w:r w:rsidRPr="7C4E3BA4">
        <w:t xml:space="preserve">The rate of surgical procedures performed without knowledge of MPS </w:t>
      </w:r>
      <w:r w:rsidR="1D142E92" w:rsidRPr="7C4E3BA4">
        <w:t>I</w:t>
      </w:r>
      <w:r w:rsidRPr="7C4E3BA4">
        <w:t xml:space="preserve">I status is expected to reduce to zero once sufficient time has passed after the introduction of NBS for MPS </w:t>
      </w:r>
      <w:r w:rsidR="1D142E92" w:rsidRPr="7C4E3BA4">
        <w:t>I</w:t>
      </w:r>
      <w:r w:rsidRPr="7C4E3BA4">
        <w:t>I. It is hypothesised that with early diagnosis, both the requirement for surgical procedures (due to early treatment reducing the severity of symptoms), and the risks associated with surgical procedures (due to severity of the condition as well as knowledge of the MPS I</w:t>
      </w:r>
      <w:r w:rsidR="15C033B6" w:rsidRPr="7C4E3BA4">
        <w:t>I</w:t>
      </w:r>
      <w:r w:rsidRPr="7C4E3BA4">
        <w:t xml:space="preserve"> diagnosis), should reduce.</w:t>
      </w:r>
    </w:p>
    <w:p w14:paraId="38FD57A4" w14:textId="37D019CB" w:rsidR="003736A4" w:rsidRDefault="003736A4" w:rsidP="003736A4">
      <w:pPr>
        <w:pStyle w:val="Heading4"/>
      </w:pPr>
      <w:r>
        <w:t>Safety of having a diagnosis prior to symptom-onset</w:t>
      </w:r>
    </w:p>
    <w:p w14:paraId="037674EE" w14:textId="4888BFB1" w:rsidR="008A62F7" w:rsidRDefault="3960B75E" w:rsidP="008A62F7">
      <w:r w:rsidRPr="7C4E3BA4">
        <w:t>The harms associated with knowing a diagnosis or being a “patient in waiting” for patients with attenuated disease, especially those with the late onset attenuated forms of MPS I</w:t>
      </w:r>
      <w:r w:rsidR="71AB6DB0" w:rsidRPr="7C4E3BA4">
        <w:t>I</w:t>
      </w:r>
      <w:r w:rsidRPr="7C4E3BA4">
        <w:t xml:space="preserve">, were mostly related to parental and patient fears and anxiety in the face of uncertainty. This has historically been one of the main arguments against screening and genetic testing of newborns and children for </w:t>
      </w:r>
      <w:r w:rsidR="76EBB925" w:rsidRPr="7C4E3BA4">
        <w:t xml:space="preserve">conditions that </w:t>
      </w:r>
      <w:r w:rsidR="1ABAFE85" w:rsidRPr="7C4E3BA4">
        <w:t xml:space="preserve">have </w:t>
      </w:r>
      <w:r w:rsidR="3580D0A5" w:rsidRPr="7C4E3BA4">
        <w:t>a</w:t>
      </w:r>
      <w:r w:rsidRPr="7C4E3BA4">
        <w:t xml:space="preserve"> late/adult-onset </w:t>
      </w:r>
      <w:r w:rsidR="4A69A69A" w:rsidRPr="7C4E3BA4">
        <w:t>subtype</w:t>
      </w:r>
      <w:r w:rsidRPr="7C4E3BA4">
        <w:t xml:space="preserve">. </w:t>
      </w:r>
      <w:r w:rsidR="311A7519" w:rsidRPr="7C4E3BA4">
        <w:t xml:space="preserve">However, </w:t>
      </w:r>
      <w:r w:rsidR="55E08395" w:rsidRPr="7C4E3BA4">
        <w:t>recent publications</w:t>
      </w:r>
      <w:r w:rsidR="311A7519" w:rsidRPr="7C4E3BA4">
        <w:t xml:space="preserve"> </w:t>
      </w:r>
      <w:r w:rsidR="215440E5" w:rsidRPr="7C4E3BA4">
        <w:t xml:space="preserve">argue that providing parents with information about later-onset </w:t>
      </w:r>
      <w:r w:rsidR="0F24C5F8" w:rsidRPr="7C4E3BA4">
        <w:t xml:space="preserve">subtypes </w:t>
      </w:r>
      <w:r w:rsidR="1008ECEB" w:rsidRPr="7C4E3BA4">
        <w:t xml:space="preserve">of </w:t>
      </w:r>
      <w:r w:rsidR="106E5018" w:rsidRPr="7C4E3BA4">
        <w:t xml:space="preserve">genetic </w:t>
      </w:r>
      <w:r w:rsidR="215440E5" w:rsidRPr="7C4E3BA4">
        <w:t>conditions, especially when potential harms can be mitigated and lead to better management of the condition, can be beneficial and serve the child's best interests</w:t>
      </w:r>
      <w:r w:rsidR="0AB2C84C" w:rsidRPr="7C4E3BA4">
        <w:t xml:space="preserve">. The earlier diagnosis, coupled with adequate and appropriately delivered information, </w:t>
      </w:r>
      <w:r w:rsidR="14478145" w:rsidRPr="7C4E3BA4">
        <w:t>would</w:t>
      </w:r>
      <w:r w:rsidR="652DAF9D" w:rsidRPr="7C4E3BA4">
        <w:t xml:space="preserve"> </w:t>
      </w:r>
      <w:r w:rsidR="0AB2C84C" w:rsidRPr="7C4E3BA4">
        <w:t>permit parents and patients to face their diagnosis, empowered not only in the decision-making process and facilitated access to treatment, but also in the potential to make more informed family planning decisions.</w:t>
      </w:r>
    </w:p>
    <w:p w14:paraId="0AA14AC3" w14:textId="405C228D" w:rsidR="001F07EC" w:rsidRDefault="1988F2D3" w:rsidP="001F07EC">
      <w:r w:rsidRPr="7C4E3BA4">
        <w:t>In addition to the potential psychological harm of creating “patients in waiting”</w:t>
      </w:r>
      <w:r w:rsidR="5E2ADC3C" w:rsidRPr="7C4E3BA4">
        <w:t>,</w:t>
      </w:r>
      <w:r w:rsidR="4A1AF8A7" w:rsidRPr="7C4E3BA4">
        <w:t xml:space="preserve"> long-term monitoring of presymptomatic patients identified through NBS may carry </w:t>
      </w:r>
      <w:r w:rsidR="21043309" w:rsidRPr="7C4E3BA4">
        <w:t xml:space="preserve">physical </w:t>
      </w:r>
      <w:r w:rsidR="4A1AF8A7" w:rsidRPr="7C4E3BA4">
        <w:t xml:space="preserve">safety risks. Monitoring procedures, such as imaging modalities, often involve exposure to radiation or sedation, which can be potentially harmful, especially in young children. For patients with attenuated MPS II, early diagnosis through NBS leads to years of clinical surveillance before symptoms appear, subjecting them to repeated investigations. </w:t>
      </w:r>
      <w:r w:rsidR="0FDD3D47" w:rsidRPr="7C4E3BA4">
        <w:t>W</w:t>
      </w:r>
      <w:r w:rsidR="4A1AF8A7" w:rsidRPr="7C4E3BA4">
        <w:t xml:space="preserve">ithout NBS, these individuals would only undergo diagnostic and monitoring procedures after symptom onset, potentially reducing their cumulative exposure to the risks associated with early and prolonged monitoring. </w:t>
      </w:r>
    </w:p>
    <w:p w14:paraId="3DB817FC" w14:textId="67E5B1C1" w:rsidR="00636293" w:rsidRPr="00636293" w:rsidRDefault="00636293" w:rsidP="00F46C1E">
      <w:pPr>
        <w:pStyle w:val="Heading4"/>
      </w:pPr>
      <w:r w:rsidRPr="00636293">
        <w:t>Safety of early vs late ERT</w:t>
      </w:r>
    </w:p>
    <w:p w14:paraId="3479C967" w14:textId="4DAE0E73" w:rsidR="00636293" w:rsidRDefault="02B64AA4" w:rsidP="00636293">
      <w:r w:rsidRPr="7C4E3BA4">
        <w:t>The safety of early versus late ERT was considered, and fewer infusion</w:t>
      </w:r>
      <w:r w:rsidR="2F7ED06A" w:rsidRPr="7C4E3BA4">
        <w:t>-</w:t>
      </w:r>
      <w:r w:rsidRPr="7C4E3BA4">
        <w:t>related adverse events (IRAEs) were observed in older patients (cut-off 6 - 12 years). Studies indicated that one of the factors associated with the occurrence of IRAEs was the immunogenic response to ERT treatment. Although not all IRAEs are antibody-mediated, immunogenicity can increase the risk of IRAEs. Two articles showed that more than half (53 – 59%) of younger patients (&lt; 12 years of age) were antibody</w:t>
      </w:r>
      <w:r w:rsidR="3DB1CE1C" w:rsidRPr="7C4E3BA4">
        <w:t>-</w:t>
      </w:r>
      <w:r w:rsidRPr="7C4E3BA4">
        <w:t xml:space="preserve">positive (Ab+) at baseline, </w:t>
      </w:r>
      <w:r w:rsidR="07C9EB4C" w:rsidRPr="7C4E3BA4">
        <w:t xml:space="preserve">and therefore </w:t>
      </w:r>
      <w:r w:rsidRPr="7C4E3BA4">
        <w:t xml:space="preserve">had </w:t>
      </w:r>
      <w:r w:rsidR="046A25EF" w:rsidRPr="7C4E3BA4">
        <w:t>a</w:t>
      </w:r>
      <w:r w:rsidRPr="7C4E3BA4">
        <w:t xml:space="preserve"> greater risk of experiencing IRAEs than antibody-negative (Ab-) patients. Additionally, the severity of MPS II was also associated with a higher risk of IRAEs</w:t>
      </w:r>
      <w:r w:rsidR="3D7E1F1E" w:rsidRPr="7C4E3BA4">
        <w:t>;</w:t>
      </w:r>
      <w:r w:rsidRPr="7C4E3BA4">
        <w:t xml:space="preserve"> younger patients were more likely to have </w:t>
      </w:r>
      <w:r w:rsidR="003747A0">
        <w:t xml:space="preserve">null variants resulting in both </w:t>
      </w:r>
      <w:r w:rsidRPr="7C4E3BA4">
        <w:t>the severe form of disease</w:t>
      </w:r>
      <w:r w:rsidR="3D7E1F1E" w:rsidRPr="7C4E3BA4">
        <w:t xml:space="preserve"> and</w:t>
      </w:r>
      <w:r w:rsidRPr="7C4E3BA4">
        <w:t xml:space="preserve"> </w:t>
      </w:r>
      <w:r w:rsidR="003747A0">
        <w:t>the increased likelihood of developing antibodies</w:t>
      </w:r>
      <w:r w:rsidR="00832E89">
        <w:t>,</w:t>
      </w:r>
      <w:r w:rsidR="003747A0">
        <w:t xml:space="preserve"> and </w:t>
      </w:r>
      <w:r w:rsidR="3ED3878C" w:rsidRPr="7C4E3BA4">
        <w:t xml:space="preserve">to </w:t>
      </w:r>
      <w:r w:rsidRPr="7C4E3BA4">
        <w:t>experience higher proportion of IRAEs. It is unknown whether the higher rate of IRAEs observed in younger patients diagnosed following early symptom onset and treated with ERT would also be observed if the patients were to be diagnosed via NBS.</w:t>
      </w:r>
    </w:p>
    <w:p w14:paraId="511923F3" w14:textId="2C8273C3" w:rsidR="00636293" w:rsidRDefault="00435176" w:rsidP="00435176">
      <w:pPr>
        <w:pStyle w:val="Heading4"/>
      </w:pPr>
      <w:r>
        <w:t>Safety of early vs late HSCT</w:t>
      </w:r>
    </w:p>
    <w:p w14:paraId="72EA1C43" w14:textId="1338C87C" w:rsidR="00435176" w:rsidRDefault="39B05B12" w:rsidP="00435176">
      <w:r w:rsidRPr="7C4E3BA4">
        <w:t>Insufficient information on early versus late HSCT was available to make a comparison regarding the impact that the timing has on the safety of the procedure</w:t>
      </w:r>
      <w:r w:rsidR="1033FD4E" w:rsidRPr="7C4E3BA4">
        <w:t xml:space="preserve">. </w:t>
      </w:r>
      <w:r w:rsidR="227DFC4D" w:rsidRPr="7C4E3BA4">
        <w:t xml:space="preserve">In Taiwan, 2 of 4 patients </w:t>
      </w:r>
      <w:r w:rsidR="227DFC4D" w:rsidRPr="7C4E3BA4">
        <w:lastRenderedPageBreak/>
        <w:t>identified through NBS reported adverse events after treatment with HSCT following ERT. One of these two patients died at the age of 0.6 years after infection and sepsis</w:t>
      </w:r>
      <w:r w:rsidR="00435176" w:rsidRPr="7C4E3BA4">
        <w:rPr>
          <w:rStyle w:val="FootnoteReference"/>
        </w:rPr>
        <w:footnoteReference w:id="16"/>
      </w:r>
      <w:r w:rsidR="227DFC4D" w:rsidRPr="7C4E3BA4">
        <w:t xml:space="preserve">. </w:t>
      </w:r>
    </w:p>
    <w:p w14:paraId="1A4B3AE4" w14:textId="008A58C0" w:rsidR="00435176" w:rsidRDefault="227DFC4D" w:rsidP="00435176">
      <w:r w:rsidRPr="7C4E3BA4">
        <w:t xml:space="preserve">In Australia, </w:t>
      </w:r>
      <w:r w:rsidR="00F429E2" w:rsidRPr="00F429E2">
        <w:rPr>
          <w:b/>
          <w:bCs/>
        </w:rPr>
        <w:t>REDACTED</w:t>
      </w:r>
      <w:r w:rsidR="00F429E2" w:rsidRPr="00011DA9">
        <w:t xml:space="preserve"> </w:t>
      </w:r>
      <w:r w:rsidRPr="00F429E2">
        <w:t xml:space="preserve">out of </w:t>
      </w:r>
      <w:r w:rsidR="00F429E2" w:rsidRPr="00F429E2">
        <w:rPr>
          <w:b/>
          <w:bCs/>
        </w:rPr>
        <w:t>REDACTED</w:t>
      </w:r>
      <w:r w:rsidR="00F429E2" w:rsidRPr="00011DA9" w:rsidDel="00F429E2">
        <w:t xml:space="preserve"> </w:t>
      </w:r>
      <w:r w:rsidR="00216226" w:rsidRPr="00F429E2">
        <w:t>patients</w:t>
      </w:r>
      <w:r w:rsidR="00216226">
        <w:t xml:space="preserve"> with </w:t>
      </w:r>
      <w:r w:rsidR="00855A6F">
        <w:t>MPS II</w:t>
      </w:r>
      <w:r w:rsidR="003747A0">
        <w:t xml:space="preserve"> </w:t>
      </w:r>
      <w:r w:rsidRPr="7C4E3BA4">
        <w:t xml:space="preserve">who received HSCT had graft vs host disease, and no transplant-related deaths were recorded.  </w:t>
      </w:r>
    </w:p>
    <w:p w14:paraId="727072A6" w14:textId="77777777" w:rsidR="008A62F7" w:rsidRPr="00496C73" w:rsidRDefault="00C8384C" w:rsidP="00802447">
      <w:pPr>
        <w:pStyle w:val="Heading3"/>
      </w:pPr>
      <w:bookmarkStart w:id="29" w:name="_Toc185430533"/>
      <w:r w:rsidRPr="00496C73">
        <w:t>PICO Set 2 - Family members</w:t>
      </w:r>
      <w:bookmarkEnd w:id="29"/>
    </w:p>
    <w:p w14:paraId="5EEB403E" w14:textId="7FFA534E" w:rsidR="0009108E" w:rsidRPr="003251C2" w:rsidRDefault="00216226" w:rsidP="0009108E">
      <w:r>
        <w:t>T</w:t>
      </w:r>
      <w:r w:rsidR="3689089E" w:rsidRPr="7C4E3BA4">
        <w:t xml:space="preserve">esting of family members after NBS is expected to have no additional safety concerns </w:t>
      </w:r>
      <w:r>
        <w:t>compared to</w:t>
      </w:r>
      <w:r w:rsidRPr="7C4E3BA4">
        <w:t xml:space="preserve"> </w:t>
      </w:r>
      <w:r w:rsidR="3689089E" w:rsidRPr="7C4E3BA4">
        <w:t xml:space="preserve">testing of family members after </w:t>
      </w:r>
      <w:r w:rsidR="006D3D83">
        <w:t>clinical identification of the</w:t>
      </w:r>
      <w:r w:rsidR="006D3D83" w:rsidRPr="7C4E3BA4">
        <w:t xml:space="preserve"> </w:t>
      </w:r>
      <w:r w:rsidR="3689089E" w:rsidRPr="7C4E3BA4">
        <w:t>index/proband after symptom onset.</w:t>
      </w:r>
    </w:p>
    <w:p w14:paraId="020C60C5" w14:textId="6BAF8073" w:rsidR="00772829" w:rsidRPr="00496C73" w:rsidRDefault="00772829" w:rsidP="00BE0CE4">
      <w:pPr>
        <w:pStyle w:val="Heading2"/>
        <w:numPr>
          <w:ilvl w:val="0"/>
          <w:numId w:val="28"/>
        </w:numPr>
        <w:ind w:hanging="720"/>
      </w:pPr>
      <w:bookmarkStart w:id="30" w:name="_Toc185430534"/>
      <w:r w:rsidRPr="00496C73">
        <w:t>Comparative effectiveness</w:t>
      </w:r>
      <w:bookmarkEnd w:id="30"/>
    </w:p>
    <w:p w14:paraId="2FE91BAA" w14:textId="1D44F81C" w:rsidR="008A62F7" w:rsidRPr="00496C73" w:rsidRDefault="00177441" w:rsidP="00802447">
      <w:pPr>
        <w:pStyle w:val="Heading3"/>
      </w:pPr>
      <w:bookmarkStart w:id="31" w:name="_Toc185430535"/>
      <w:r w:rsidRPr="00496C73">
        <w:t xml:space="preserve">PICO Set 1 - </w:t>
      </w:r>
      <w:r w:rsidR="00C63031">
        <w:t>N</w:t>
      </w:r>
      <w:r w:rsidRPr="00496C73">
        <w:t>ewborns</w:t>
      </w:r>
      <w:bookmarkEnd w:id="31"/>
    </w:p>
    <w:p w14:paraId="1CD72825" w14:textId="77777777" w:rsidR="00A336EC" w:rsidRPr="00A336EC" w:rsidRDefault="00A336EC" w:rsidP="005C1436">
      <w:pPr>
        <w:pStyle w:val="Heading4"/>
        <w:rPr>
          <w:i w:val="0"/>
        </w:rPr>
      </w:pPr>
      <w:r w:rsidRPr="00A336EC">
        <w:t>Direct from test to health outcomes evidence</w:t>
      </w:r>
    </w:p>
    <w:p w14:paraId="052BE6B1" w14:textId="77777777" w:rsidR="00AB0C0A" w:rsidRDefault="00AB0C0A" w:rsidP="00AB0C0A">
      <w:r>
        <w:t xml:space="preserve">No comparative direct evidence was available. </w:t>
      </w:r>
    </w:p>
    <w:p w14:paraId="59F0DE80" w14:textId="58978377" w:rsidR="00124F8B" w:rsidRDefault="66D598C5" w:rsidP="00A336EC">
      <w:r w:rsidRPr="7C4E3BA4">
        <w:t xml:space="preserve">Four case series </w:t>
      </w:r>
      <w:r w:rsidR="2D0BE695" w:rsidRPr="7C4E3BA4">
        <w:t>were iden</w:t>
      </w:r>
      <w:r w:rsidR="3D5FEF4C" w:rsidRPr="7C4E3BA4">
        <w:t xml:space="preserve">tified on </w:t>
      </w:r>
      <w:r w:rsidR="7465C397" w:rsidRPr="7C4E3BA4">
        <w:t>NBS program</w:t>
      </w:r>
      <w:r w:rsidR="14A9E82B" w:rsidRPr="7C4E3BA4">
        <w:t>s</w:t>
      </w:r>
      <w:r w:rsidR="7465C397" w:rsidRPr="7C4E3BA4">
        <w:t xml:space="preserve">, with a total of </w:t>
      </w:r>
      <w:r w:rsidRPr="7C4E3BA4">
        <w:t>1,479,601</w:t>
      </w:r>
      <w:r w:rsidR="44D4DC1A" w:rsidRPr="7C4E3BA4">
        <w:t xml:space="preserve"> newborn</w:t>
      </w:r>
      <w:r w:rsidR="3C0ABF0C" w:rsidRPr="7C4E3BA4">
        <w:t>s</w:t>
      </w:r>
      <w:r w:rsidR="36757C74" w:rsidRPr="7C4E3BA4">
        <w:t xml:space="preserve"> </w:t>
      </w:r>
      <w:r w:rsidR="44D4DC1A" w:rsidRPr="7C4E3BA4">
        <w:t>screened</w:t>
      </w:r>
      <w:r w:rsidR="461290DF" w:rsidRPr="7C4E3BA4">
        <w:t xml:space="preserve">. From these studies, a total of </w:t>
      </w:r>
      <w:r w:rsidR="4A45B5FF" w:rsidRPr="7C4E3BA4">
        <w:t xml:space="preserve">21 newborns were identified to potentially </w:t>
      </w:r>
      <w:r w:rsidR="354CF0DE" w:rsidRPr="7C4E3BA4">
        <w:t xml:space="preserve">have MPS II. </w:t>
      </w:r>
      <w:r w:rsidR="78AD2689" w:rsidRPr="7C4E3BA4">
        <w:t>Of these 21 cases</w:t>
      </w:r>
      <w:r w:rsidR="30A73D83" w:rsidRPr="7C4E3BA4">
        <w:t>:</w:t>
      </w:r>
      <w:r w:rsidR="78AD2689" w:rsidRPr="7C4E3BA4">
        <w:t xml:space="preserve"> </w:t>
      </w:r>
    </w:p>
    <w:p w14:paraId="003DC037" w14:textId="69DEAD06" w:rsidR="00A336EC" w:rsidRDefault="78AD2689" w:rsidP="00C1290A">
      <w:pPr>
        <w:pStyle w:val="ListParagraph"/>
        <w:numPr>
          <w:ilvl w:val="0"/>
          <w:numId w:val="13"/>
        </w:numPr>
      </w:pPr>
      <w:r w:rsidRPr="7C4E3BA4">
        <w:t>5 were identified to have a neuro</w:t>
      </w:r>
      <w:r w:rsidR="00554A73">
        <w:t>no</w:t>
      </w:r>
      <w:r w:rsidRPr="7C4E3BA4">
        <w:t xml:space="preserve">pathic phenotype </w:t>
      </w:r>
      <w:r w:rsidR="2B2DC69E" w:rsidRPr="7C4E3BA4">
        <w:t xml:space="preserve">and </w:t>
      </w:r>
      <w:r w:rsidRPr="7C4E3BA4">
        <w:t>4 were non-neuro</w:t>
      </w:r>
      <w:r w:rsidR="00554A73">
        <w:t>no</w:t>
      </w:r>
      <w:r w:rsidRPr="7C4E3BA4">
        <w:t xml:space="preserve">pathic based on genotype and/or evaluation of other family members. In 12 cases, the phenotypes could not be established due to the patients having variants of </w:t>
      </w:r>
      <w:r w:rsidR="4C8E6B6C" w:rsidRPr="7C4E3BA4">
        <w:t xml:space="preserve">uncertain </w:t>
      </w:r>
      <w:r w:rsidRPr="7C4E3BA4">
        <w:t>significance</w:t>
      </w:r>
      <w:r w:rsidR="054DEA6F" w:rsidRPr="7C4E3BA4">
        <w:t xml:space="preserve"> (VUS)</w:t>
      </w:r>
      <w:r w:rsidR="573DC7C2" w:rsidRPr="7C4E3BA4">
        <w:t>.</w:t>
      </w:r>
    </w:p>
    <w:p w14:paraId="23E9CEAC" w14:textId="59CC7BDA" w:rsidR="002076FE" w:rsidRDefault="001821C6" w:rsidP="00C1290A">
      <w:pPr>
        <w:pStyle w:val="ListParagraph"/>
        <w:numPr>
          <w:ilvl w:val="0"/>
          <w:numId w:val="13"/>
        </w:numPr>
      </w:pPr>
      <w:r>
        <w:t>O</w:t>
      </w:r>
      <w:r w:rsidR="007C7B48">
        <w:t xml:space="preserve">nly 10 received treatment </w:t>
      </w:r>
      <w:r w:rsidR="00A35ACD">
        <w:t>(all</w:t>
      </w:r>
      <w:r w:rsidR="00B456AC">
        <w:t xml:space="preserve"> received ERT) </w:t>
      </w:r>
      <w:r w:rsidR="007C7B48">
        <w:t xml:space="preserve">and had their management described in literature. </w:t>
      </w:r>
      <w:r w:rsidR="002F6FC1">
        <w:t xml:space="preserve">3 </w:t>
      </w:r>
      <w:r w:rsidR="007C7B48">
        <w:t>patients</w:t>
      </w:r>
      <w:r w:rsidR="002F6FC1">
        <w:t xml:space="preserve"> also received </w:t>
      </w:r>
      <w:r w:rsidR="007C7B48">
        <w:t>HSCT</w:t>
      </w:r>
      <w:r w:rsidR="002F6FC1">
        <w:t xml:space="preserve"> afterwards</w:t>
      </w:r>
      <w:r w:rsidR="00BD0412">
        <w:t xml:space="preserve">, one </w:t>
      </w:r>
      <w:r w:rsidR="005460FB">
        <w:t>of whom</w:t>
      </w:r>
      <w:r w:rsidR="00DC63F3">
        <w:t xml:space="preserve"> </w:t>
      </w:r>
      <w:r w:rsidR="004F6D16" w:rsidRPr="00A96638">
        <w:t>died at 0.8 years of age due to infection and sepsis</w:t>
      </w:r>
      <w:r w:rsidR="00BD0412">
        <w:t xml:space="preserve">. </w:t>
      </w:r>
      <w:r w:rsidR="002076FE">
        <w:t>A</w:t>
      </w:r>
      <w:r w:rsidR="004F6D16">
        <w:t>ll other patients were still alive at the end of follow-up (differed for each patient).</w:t>
      </w:r>
      <w:r w:rsidR="00687171">
        <w:t xml:space="preserve"> </w:t>
      </w:r>
    </w:p>
    <w:p w14:paraId="6E17F818" w14:textId="512AF89B" w:rsidR="00046EBB" w:rsidRDefault="1EB6B452" w:rsidP="002076FE">
      <w:r w:rsidRPr="7C4E3BA4">
        <w:t>I</w:t>
      </w:r>
      <w:r w:rsidR="19848F22" w:rsidRPr="7C4E3BA4">
        <w:t>n comparison, data on</w:t>
      </w:r>
      <w:r w:rsidR="1102B40D" w:rsidRPr="7C4E3BA4">
        <w:t xml:space="preserve"> survival </w:t>
      </w:r>
      <w:r w:rsidR="19848F22" w:rsidRPr="7C4E3BA4">
        <w:t>in those who did not undergo</w:t>
      </w:r>
      <w:r w:rsidR="1102B40D" w:rsidRPr="7C4E3BA4">
        <w:t xml:space="preserve"> NBS</w:t>
      </w:r>
      <w:r w:rsidR="19848F22" w:rsidRPr="7C4E3BA4">
        <w:t xml:space="preserve"> </w:t>
      </w:r>
      <w:r w:rsidR="6874FAA1" w:rsidRPr="7C4E3BA4">
        <w:t xml:space="preserve">were </w:t>
      </w:r>
      <w:r w:rsidR="775BFBE4" w:rsidRPr="7C4E3BA4">
        <w:t>gained</w:t>
      </w:r>
      <w:r w:rsidR="4F093FAA" w:rsidRPr="7C4E3BA4">
        <w:t xml:space="preserve"> </w:t>
      </w:r>
      <w:r w:rsidR="2EF3D5E5" w:rsidRPr="7C4E3BA4">
        <w:t xml:space="preserve">from the </w:t>
      </w:r>
      <w:r w:rsidR="2A81E613" w:rsidRPr="7C4E3BA4">
        <w:t>HOS registry</w:t>
      </w:r>
      <w:r w:rsidR="4F093FAA" w:rsidRPr="7C4E3BA4">
        <w:t xml:space="preserve">, which reported that </w:t>
      </w:r>
      <w:r w:rsidR="0CB8CE4B" w:rsidRPr="7C4E3BA4">
        <w:t>84%</w:t>
      </w:r>
      <w:r w:rsidR="1102B40D" w:rsidRPr="7C4E3BA4">
        <w:t xml:space="preserve"> of </w:t>
      </w:r>
      <w:r w:rsidR="0CB8CE4B" w:rsidRPr="7C4E3BA4">
        <w:t>those</w:t>
      </w:r>
      <w:r w:rsidR="1102B40D" w:rsidRPr="7C4E3BA4">
        <w:t xml:space="preserve"> </w:t>
      </w:r>
      <w:r w:rsidR="1CC7350A" w:rsidRPr="7C4E3BA4">
        <w:t>who had received ERT</w:t>
      </w:r>
      <w:r w:rsidR="1102B40D" w:rsidRPr="7C4E3BA4">
        <w:t xml:space="preserve"> were alive at the last recorded routine visit in 2016</w:t>
      </w:r>
      <w:r w:rsidR="48832EE4" w:rsidRPr="7C4E3BA4">
        <w:t xml:space="preserve">. The median follow-up time from birth to last visit was 13 years (95% CI: 12.3 - 13.8 years) for treated patients. </w:t>
      </w:r>
      <w:r w:rsidR="274BEFFC" w:rsidRPr="7C4E3BA4">
        <w:t>Due to</w:t>
      </w:r>
      <w:r w:rsidR="2C5C2CDB" w:rsidRPr="7C4E3BA4">
        <w:t xml:space="preserve"> the</w:t>
      </w:r>
      <w:r w:rsidR="274BEFFC" w:rsidRPr="7C4E3BA4">
        <w:t xml:space="preserve"> small amount of data from those</w:t>
      </w:r>
      <w:r w:rsidR="1F831191" w:rsidRPr="7C4E3BA4">
        <w:t xml:space="preserve"> diagnosed due to NBS</w:t>
      </w:r>
      <w:r w:rsidR="62FB2C3B" w:rsidRPr="7C4E3BA4">
        <w:t xml:space="preserve">, it was difficult to compare the </w:t>
      </w:r>
      <w:r w:rsidR="5AC3E629" w:rsidRPr="7C4E3BA4">
        <w:t xml:space="preserve">health outcomes </w:t>
      </w:r>
      <w:r w:rsidR="6F68FE15" w:rsidRPr="7C4E3BA4">
        <w:t xml:space="preserve">of </w:t>
      </w:r>
      <w:r w:rsidR="62FB2C3B" w:rsidRPr="7C4E3BA4">
        <w:t>patients diagnosed through NBS and without NBS</w:t>
      </w:r>
      <w:r w:rsidR="18740188" w:rsidRPr="7C4E3BA4">
        <w:t xml:space="preserve">. </w:t>
      </w:r>
      <w:r w:rsidR="55579516" w:rsidRPr="7C4E3BA4">
        <w:t xml:space="preserve">This naïve indirect comparison </w:t>
      </w:r>
      <w:r w:rsidR="2D1BD5AB" w:rsidRPr="7C4E3BA4">
        <w:t xml:space="preserve">was at risk of bias given the potential for </w:t>
      </w:r>
      <w:r w:rsidR="4A9AB37F" w:rsidRPr="7C4E3BA4">
        <w:t>confounding factors</w:t>
      </w:r>
      <w:r w:rsidR="2CFC3562" w:rsidRPr="7C4E3BA4">
        <w:t xml:space="preserve"> </w:t>
      </w:r>
      <w:r w:rsidR="40B33E9B" w:rsidRPr="7C4E3BA4">
        <w:t xml:space="preserve">that may influence the results (in either direction) </w:t>
      </w:r>
      <w:r w:rsidR="2CFC3562" w:rsidRPr="7C4E3BA4">
        <w:t xml:space="preserve">and the risk that healthcare systems </w:t>
      </w:r>
      <w:r w:rsidR="40B33E9B" w:rsidRPr="7C4E3BA4">
        <w:t xml:space="preserve">have improved over time (favouring NBS). </w:t>
      </w:r>
    </w:p>
    <w:p w14:paraId="5C039C06" w14:textId="4FC4ACF6" w:rsidR="00E8158F" w:rsidRDefault="00F30555" w:rsidP="002076FE">
      <w:r>
        <w:t>A linked-evidence assessment was therefore used to supplement the direct evidence.</w:t>
      </w:r>
      <w:r w:rsidR="00A81D03">
        <w:t xml:space="preserve"> </w:t>
      </w:r>
    </w:p>
    <w:p w14:paraId="11858C2B" w14:textId="77777777" w:rsidR="00A336EC" w:rsidRPr="00A336EC" w:rsidRDefault="00A336EC" w:rsidP="005C1436">
      <w:pPr>
        <w:pStyle w:val="Heading4"/>
        <w:rPr>
          <w:i w:val="0"/>
        </w:rPr>
      </w:pPr>
      <w:r w:rsidRPr="00A336EC">
        <w:lastRenderedPageBreak/>
        <w:t>Linked evidence of test accuracy</w:t>
      </w:r>
    </w:p>
    <w:p w14:paraId="4B5F0465" w14:textId="77777777" w:rsidR="00A336EC" w:rsidRPr="00A336EC" w:rsidRDefault="00CF1D3B" w:rsidP="005C1436">
      <w:pPr>
        <w:pStyle w:val="Heading5"/>
      </w:pPr>
      <w:r w:rsidRPr="00CF1D3B">
        <w:t>Diagnostic accuracy of first-tier fluorometric enzyme activity testing for detecting MPS II as part of a NBS program</w:t>
      </w:r>
    </w:p>
    <w:p w14:paraId="17386811" w14:textId="72682057" w:rsidR="00CF1D3B" w:rsidRDefault="107F49CC" w:rsidP="00CF1D3B">
      <w:r w:rsidRPr="7C4E3BA4">
        <w:t xml:space="preserve">Five case-control studies reported on the diagnostic accuracy of the fluorometric assay compared with a clinical confirmatory diagnosis. Two studies used </w:t>
      </w:r>
      <w:r w:rsidR="37BC9094" w:rsidRPr="7C4E3BA4">
        <w:t>an</w:t>
      </w:r>
      <w:r w:rsidRPr="7C4E3BA4">
        <w:t xml:space="preserve"> </w:t>
      </w:r>
      <w:r w:rsidR="3BA32170" w:rsidRPr="7C4E3BA4">
        <w:t xml:space="preserve">automated </w:t>
      </w:r>
      <w:r w:rsidR="3A594389" w:rsidRPr="7C4E3BA4">
        <w:t>digit</w:t>
      </w:r>
      <w:r w:rsidR="3BA32170" w:rsidRPr="7C4E3BA4">
        <w:t>al microfluids (</w:t>
      </w:r>
      <w:r w:rsidRPr="7C4E3BA4">
        <w:t>DMF</w:t>
      </w:r>
      <w:r w:rsidR="3BA32170" w:rsidRPr="7C4E3BA4">
        <w:t>)</w:t>
      </w:r>
      <w:r w:rsidRPr="7C4E3BA4">
        <w:t xml:space="preserve"> platform to perform the fluorometric test. Four studies used control DBS samples from newborns. The other study </w:t>
      </w:r>
      <w:r w:rsidR="40E575C9" w:rsidRPr="7C4E3BA4">
        <w:t>used</w:t>
      </w:r>
      <w:r w:rsidRPr="7C4E3BA4">
        <w:t xml:space="preserve"> healthy controls aged over 18 years. The positive DBS samples all came from MPS II patients who had been clinically diagnosed, but the age range and severity of disease were not reported for all of these patients.</w:t>
      </w:r>
    </w:p>
    <w:p w14:paraId="69FD11B1" w14:textId="2CBB5D13" w:rsidR="00A336EC" w:rsidRDefault="107F49CC" w:rsidP="00CF1D3B">
      <w:r w:rsidRPr="7C4E3BA4">
        <w:t xml:space="preserve">None of the studies reported a false negative result and only 2 of the 5 studies reported any false positive results. </w:t>
      </w:r>
      <w:r w:rsidR="7E4B2B1A" w:rsidRPr="7C4E3BA4">
        <w:t>A m</w:t>
      </w:r>
      <w:r w:rsidRPr="7C4E3BA4">
        <w:t xml:space="preserve">eta-analysis using STATA 18.0 was conducted to determine the pooled specificity of NBS using a fluorometric IDS enzyme assay compared with a clinical diagnosis. The </w:t>
      </w:r>
      <w:r w:rsidR="4BC8ED94" w:rsidRPr="7C4E3BA4">
        <w:t xml:space="preserve">pooled </w:t>
      </w:r>
      <w:r w:rsidRPr="7C4E3BA4">
        <w:t xml:space="preserve">sensitivity was 100% for all studies </w:t>
      </w:r>
      <w:r w:rsidR="792946E4" w:rsidRPr="7C4E3BA4">
        <w:t>(data not shown)</w:t>
      </w:r>
      <w:r w:rsidR="572E9A47" w:rsidRPr="7C4E3BA4">
        <w:t xml:space="preserve"> </w:t>
      </w:r>
      <w:r w:rsidRPr="7C4E3BA4">
        <w:t xml:space="preserve">and the pooled specificity value </w:t>
      </w:r>
      <w:r w:rsidR="572E9A47" w:rsidRPr="7C4E3BA4">
        <w:t>(</w:t>
      </w:r>
      <w:r w:rsidR="00CF1D3B">
        <w:fldChar w:fldCharType="begin"/>
      </w:r>
      <w:r w:rsidR="00CF1D3B">
        <w:instrText xml:space="preserve"> REF _Ref177655637 \h  \* MERGEFORMAT </w:instrText>
      </w:r>
      <w:r w:rsidR="00CF1D3B">
        <w:fldChar w:fldCharType="separate"/>
      </w:r>
      <w:r w:rsidR="00FD4C69" w:rsidRPr="00FD4C69" w:rsidDel="009D183F">
        <w:t>Figure 1</w:t>
      </w:r>
      <w:r w:rsidR="00CF1D3B">
        <w:fldChar w:fldCharType="end"/>
      </w:r>
      <w:r w:rsidR="572E9A47" w:rsidRPr="7C4E3BA4">
        <w:t xml:space="preserve">) </w:t>
      </w:r>
      <w:r w:rsidRPr="7C4E3BA4">
        <w:t>was 99.8% (95% CI 90, 100).</w:t>
      </w:r>
    </w:p>
    <w:p w14:paraId="2C9C9203" w14:textId="77777777" w:rsidR="00D45BA5" w:rsidRPr="00496C73" w:rsidRDefault="00D45BA5" w:rsidP="00D45BA5">
      <w:r>
        <w:rPr>
          <w:noProof/>
          <w:lang w:eastAsia="en-AU"/>
        </w:rPr>
        <w:drawing>
          <wp:inline distT="0" distB="0" distL="0" distR="0" wp14:anchorId="2E9B1FA6" wp14:editId="1019E1B9">
            <wp:extent cx="5721350" cy="2611043"/>
            <wp:effectExtent l="0" t="0" r="0" b="0"/>
            <wp:docPr id="135533867" name="Picture 1" descr="Forest plot showing the pooled specificity of the fluorometric IDS enzyme assay compared with a clinical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3867" name="Picture 1" descr="Forest plot showing the pooled specificity of the fluorometric IDS enzyme assay compared with a clinical diagno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818" cy="2620840"/>
                    </a:xfrm>
                    <a:prstGeom prst="rect">
                      <a:avLst/>
                    </a:prstGeom>
                    <a:noFill/>
                  </pic:spPr>
                </pic:pic>
              </a:graphicData>
            </a:graphic>
          </wp:inline>
        </w:drawing>
      </w:r>
    </w:p>
    <w:p w14:paraId="0D9A4759" w14:textId="4614369C" w:rsidR="00D45BA5" w:rsidRPr="00496C73" w:rsidRDefault="00D45BA5" w:rsidP="00D45BA5">
      <w:pPr>
        <w:pStyle w:val="FigureCaption"/>
      </w:pPr>
      <w:bookmarkStart w:id="32" w:name="_Ref177655637"/>
      <w:r w:rsidRPr="00496C73">
        <w:rPr>
          <w:rStyle w:val="FigureCaptionChar"/>
          <w:b/>
        </w:rPr>
        <w:t xml:space="preserve">Figure </w:t>
      </w:r>
      <w:r w:rsidRPr="00496C73">
        <w:rPr>
          <w:rStyle w:val="FigureCaptionChar"/>
          <w:b/>
        </w:rPr>
        <w:fldChar w:fldCharType="begin"/>
      </w:r>
      <w:r w:rsidRPr="00496C73">
        <w:rPr>
          <w:rStyle w:val="FigureCaptionChar"/>
          <w:b/>
        </w:rPr>
        <w:instrText xml:space="preserve"> SEQ Figure \* ARABIC </w:instrText>
      </w:r>
      <w:r w:rsidRPr="00496C73">
        <w:rPr>
          <w:rStyle w:val="FigureCaptionChar"/>
          <w:b/>
        </w:rPr>
        <w:fldChar w:fldCharType="separate"/>
      </w:r>
      <w:r w:rsidR="009D183F">
        <w:rPr>
          <w:rStyle w:val="FigureCaptionChar"/>
          <w:b/>
          <w:noProof/>
        </w:rPr>
        <w:t>1</w:t>
      </w:r>
      <w:r w:rsidRPr="00496C73">
        <w:rPr>
          <w:rStyle w:val="FigureCaptionChar"/>
          <w:b/>
        </w:rPr>
        <w:fldChar w:fldCharType="end"/>
      </w:r>
      <w:bookmarkEnd w:id="32"/>
      <w:r w:rsidRPr="00496C73">
        <w:rPr>
          <w:rStyle w:val="FigureCaptionChar"/>
          <w:b/>
        </w:rPr>
        <w:tab/>
        <w:t>Forest plot showing the pooled specificity of the fluorometric IDS enzyme assay compared with a</w:t>
      </w:r>
      <w:r w:rsidRPr="00496C73">
        <w:t xml:space="preserve"> clinical diagnosis.</w:t>
      </w:r>
    </w:p>
    <w:p w14:paraId="72AFD508" w14:textId="0D08B83C" w:rsidR="00D45BA5" w:rsidRPr="00496C73" w:rsidRDefault="00D45BA5" w:rsidP="00860E62">
      <w:pPr>
        <w:pStyle w:val="TableFigureFooter"/>
      </w:pPr>
      <w:r w:rsidRPr="00496C73">
        <w:t xml:space="preserve">CI = confidence interval </w:t>
      </w:r>
    </w:p>
    <w:p w14:paraId="5E8C7A7B" w14:textId="77777777" w:rsidR="006B3338" w:rsidRPr="00111D08" w:rsidRDefault="006B3338" w:rsidP="005C1436">
      <w:pPr>
        <w:pStyle w:val="Heading5"/>
      </w:pPr>
      <w:r w:rsidRPr="00111D08">
        <w:t>Diagnostic accuracy of first-tier MS/MS enzyme activity testing for detecting MPS II as part of a NBS program</w:t>
      </w:r>
    </w:p>
    <w:p w14:paraId="4E43B426" w14:textId="44875DBF" w:rsidR="006B3338" w:rsidRPr="00496C73" w:rsidRDefault="006B3338" w:rsidP="006B3338">
      <w:pPr>
        <w:rPr>
          <w:highlight w:val="yellow"/>
        </w:rPr>
      </w:pPr>
      <w:r w:rsidRPr="00496C73">
        <w:t xml:space="preserve">Two case-control studies reported on the diagnostic accuracy of first-tier LC-MS/MS enzyme activity testing compared with a clinical confirmatory diagnosis. The 2 x 2 data from each study were summarised </w:t>
      </w:r>
      <w:r>
        <w:t>in</w:t>
      </w:r>
      <w:r w:rsidR="006545CD">
        <w:t xml:space="preserve"> </w:t>
      </w:r>
      <w:r w:rsidR="006545CD">
        <w:fldChar w:fldCharType="begin"/>
      </w:r>
      <w:r w:rsidR="006545CD">
        <w:instrText xml:space="preserve"> REF _Ref177655837 \h </w:instrText>
      </w:r>
      <w:r w:rsidR="006545CD">
        <w:fldChar w:fldCharType="separate"/>
      </w:r>
      <w:r w:rsidR="007F08FA" w:rsidRPr="00496C73" w:rsidDel="009D183F">
        <w:t xml:space="preserve">Table </w:t>
      </w:r>
      <w:r w:rsidR="00797B68" w:rsidDel="009D183F">
        <w:rPr>
          <w:noProof/>
        </w:rPr>
        <w:t>3</w:t>
      </w:r>
      <w:r w:rsidR="006545CD">
        <w:fldChar w:fldCharType="end"/>
      </w:r>
      <w:r>
        <w:t xml:space="preserve">. </w:t>
      </w:r>
      <w:r w:rsidRPr="00496C73">
        <w:t>Both studies used control DBS samples from newborns. The positive DBS samples all came from MPS II patients who had been clinically diagnosed, but the age range and severity of disease were not reported for all patients.</w:t>
      </w:r>
    </w:p>
    <w:p w14:paraId="1662EC20" w14:textId="77777777" w:rsidR="006B3338" w:rsidRPr="00496C73" w:rsidRDefault="006B3338" w:rsidP="006B3338">
      <w:r w:rsidRPr="00496C73">
        <w:t>There were no false negative results, giving a sensitivity of 100% for both studies. Only 3 out of a total of 816 newborn DBS samples were false positive, giving an overall specificity of 99.6%.</w:t>
      </w:r>
    </w:p>
    <w:p w14:paraId="6C0944B0" w14:textId="4D9CC609" w:rsidR="00111D08" w:rsidRPr="00496C73" w:rsidRDefault="00111D08" w:rsidP="00111D08">
      <w:pPr>
        <w:pStyle w:val="Caption"/>
      </w:pPr>
      <w:bookmarkStart w:id="33" w:name="_Ref177655837"/>
      <w:r w:rsidRPr="00496C73">
        <w:lastRenderedPageBreak/>
        <w:t xml:space="preserve">Table </w:t>
      </w:r>
      <w:r w:rsidR="009D183F">
        <w:fldChar w:fldCharType="begin"/>
      </w:r>
      <w:r w:rsidR="009D183F">
        <w:instrText xml:space="preserve"> SEQ Table \* ARABIC </w:instrText>
      </w:r>
      <w:r w:rsidR="009D183F">
        <w:fldChar w:fldCharType="separate"/>
      </w:r>
      <w:r w:rsidR="009D183F">
        <w:rPr>
          <w:noProof/>
        </w:rPr>
        <w:t>3</w:t>
      </w:r>
      <w:r w:rsidR="009D183F">
        <w:rPr>
          <w:noProof/>
        </w:rPr>
        <w:fldChar w:fldCharType="end"/>
      </w:r>
      <w:bookmarkEnd w:id="33"/>
      <w:r w:rsidRPr="00496C73">
        <w:tab/>
        <w:t>The sensitivity and specificity of MS/MS enzyme activity testing for MPS II</w:t>
      </w:r>
    </w:p>
    <w:tbl>
      <w:tblPr>
        <w:tblStyle w:val="TableGrid1"/>
        <w:tblW w:w="9067" w:type="dxa"/>
        <w:tblLook w:val="04A0" w:firstRow="1" w:lastRow="0" w:firstColumn="1" w:lastColumn="0" w:noHBand="0" w:noVBand="1"/>
      </w:tblPr>
      <w:tblGrid>
        <w:gridCol w:w="846"/>
        <w:gridCol w:w="1701"/>
        <w:gridCol w:w="1110"/>
        <w:gridCol w:w="1246"/>
        <w:gridCol w:w="440"/>
        <w:gridCol w:w="440"/>
        <w:gridCol w:w="448"/>
        <w:gridCol w:w="568"/>
        <w:gridCol w:w="1097"/>
        <w:gridCol w:w="1171"/>
      </w:tblGrid>
      <w:tr w:rsidR="00111D08" w:rsidRPr="00496C73" w14:paraId="5D72D2D0" w14:textId="77777777" w:rsidTr="006B5B78">
        <w:trPr>
          <w:cnfStyle w:val="100000000000" w:firstRow="1" w:lastRow="0" w:firstColumn="0" w:lastColumn="0" w:oddVBand="0" w:evenVBand="0" w:oddHBand="0" w:evenHBand="0" w:firstRowFirstColumn="0" w:firstRowLastColumn="0" w:lastRowFirstColumn="0" w:lastRowLastColumn="0"/>
          <w:trHeight w:val="300"/>
          <w:tblHeader/>
        </w:trPr>
        <w:tc>
          <w:tcPr>
            <w:tcW w:w="846" w:type="dxa"/>
          </w:tcPr>
          <w:p w14:paraId="3A9D1590" w14:textId="77777777" w:rsidR="00111D08" w:rsidRPr="00496C73" w:rsidRDefault="00111D08">
            <w:pPr>
              <w:spacing w:before="40"/>
              <w:rPr>
                <w:rFonts w:ascii="Arial Narrow" w:hAnsi="Arial Narrow"/>
                <w:b/>
                <w:bCs/>
              </w:rPr>
            </w:pPr>
            <w:r w:rsidRPr="00496C73">
              <w:rPr>
                <w:rFonts w:ascii="Arial Narrow" w:hAnsi="Arial Narrow"/>
                <w:b/>
                <w:bCs/>
              </w:rPr>
              <w:t>Study</w:t>
            </w:r>
          </w:p>
          <w:p w14:paraId="37511872" w14:textId="77777777" w:rsidR="00111D08" w:rsidRPr="00496C73" w:rsidRDefault="00111D08">
            <w:pPr>
              <w:spacing w:before="40"/>
              <w:rPr>
                <w:rFonts w:ascii="Arial Narrow" w:hAnsi="Arial Narrow"/>
                <w:b/>
                <w:bCs/>
              </w:rPr>
            </w:pPr>
            <w:r w:rsidRPr="00496C73">
              <w:rPr>
                <w:rFonts w:ascii="Arial Narrow" w:hAnsi="Arial Narrow"/>
                <w:b/>
                <w:bCs/>
              </w:rPr>
              <w:t>Country</w:t>
            </w:r>
          </w:p>
        </w:tc>
        <w:tc>
          <w:tcPr>
            <w:tcW w:w="1701" w:type="dxa"/>
          </w:tcPr>
          <w:p w14:paraId="3D238CCE" w14:textId="77777777" w:rsidR="00111D08" w:rsidRPr="00496C73" w:rsidRDefault="00111D08">
            <w:pPr>
              <w:spacing w:before="40"/>
              <w:rPr>
                <w:rFonts w:ascii="Arial Narrow" w:hAnsi="Arial Narrow"/>
                <w:b/>
                <w:bCs/>
              </w:rPr>
            </w:pPr>
            <w:r w:rsidRPr="00496C73">
              <w:rPr>
                <w:rFonts w:ascii="Arial Narrow" w:hAnsi="Arial Narrow"/>
                <w:b/>
                <w:bCs/>
              </w:rPr>
              <w:t xml:space="preserve">Population </w:t>
            </w:r>
          </w:p>
        </w:tc>
        <w:tc>
          <w:tcPr>
            <w:tcW w:w="1110" w:type="dxa"/>
          </w:tcPr>
          <w:p w14:paraId="17DD87F1" w14:textId="77777777" w:rsidR="00111D08" w:rsidRPr="00496C73" w:rsidRDefault="00111D08">
            <w:pPr>
              <w:spacing w:before="40"/>
              <w:rPr>
                <w:rFonts w:ascii="Arial Narrow" w:hAnsi="Arial Narrow"/>
                <w:b/>
                <w:bCs/>
              </w:rPr>
            </w:pPr>
            <w:r w:rsidRPr="00496C73">
              <w:rPr>
                <w:rFonts w:ascii="Arial Narrow" w:hAnsi="Arial Narrow"/>
                <w:b/>
                <w:bCs/>
              </w:rPr>
              <w:t>MS/MS test cutoff</w:t>
            </w:r>
          </w:p>
        </w:tc>
        <w:tc>
          <w:tcPr>
            <w:tcW w:w="1246" w:type="dxa"/>
          </w:tcPr>
          <w:p w14:paraId="28B4D882" w14:textId="77777777" w:rsidR="00111D08" w:rsidRPr="00496C73" w:rsidRDefault="00111D08">
            <w:pPr>
              <w:spacing w:before="40"/>
              <w:ind w:right="-57"/>
              <w:rPr>
                <w:rFonts w:ascii="Arial Narrow" w:hAnsi="Arial Narrow"/>
                <w:b/>
                <w:bCs/>
              </w:rPr>
            </w:pPr>
            <w:r w:rsidRPr="00496C73">
              <w:rPr>
                <w:rFonts w:ascii="Arial Narrow" w:hAnsi="Arial Narrow"/>
                <w:b/>
                <w:bCs/>
              </w:rPr>
              <w:t>Confirmatory Diagnosis</w:t>
            </w:r>
          </w:p>
        </w:tc>
        <w:tc>
          <w:tcPr>
            <w:tcW w:w="440" w:type="dxa"/>
          </w:tcPr>
          <w:p w14:paraId="3CE2B04B" w14:textId="77777777" w:rsidR="00111D08" w:rsidRPr="00496C73" w:rsidRDefault="00111D08">
            <w:pPr>
              <w:spacing w:before="40"/>
              <w:ind w:right="-57"/>
              <w:jc w:val="center"/>
              <w:rPr>
                <w:rFonts w:ascii="Arial Narrow" w:hAnsi="Arial Narrow"/>
                <w:b/>
                <w:bCs/>
              </w:rPr>
            </w:pPr>
            <w:r w:rsidRPr="00496C73">
              <w:rPr>
                <w:rFonts w:ascii="Arial Narrow" w:hAnsi="Arial Narrow"/>
                <w:b/>
                <w:bCs/>
              </w:rPr>
              <w:t>TP</w:t>
            </w:r>
          </w:p>
        </w:tc>
        <w:tc>
          <w:tcPr>
            <w:tcW w:w="440" w:type="dxa"/>
          </w:tcPr>
          <w:p w14:paraId="5F920882" w14:textId="77777777" w:rsidR="00111D08" w:rsidRPr="00496C73" w:rsidRDefault="00111D08">
            <w:pPr>
              <w:spacing w:before="40"/>
              <w:jc w:val="center"/>
              <w:rPr>
                <w:rFonts w:ascii="Arial Narrow" w:hAnsi="Arial Narrow"/>
                <w:b/>
                <w:bCs/>
              </w:rPr>
            </w:pPr>
            <w:r w:rsidRPr="00496C73">
              <w:rPr>
                <w:rFonts w:ascii="Arial Narrow" w:hAnsi="Arial Narrow"/>
                <w:b/>
                <w:bCs/>
              </w:rPr>
              <w:t>FP</w:t>
            </w:r>
          </w:p>
        </w:tc>
        <w:tc>
          <w:tcPr>
            <w:tcW w:w="448" w:type="dxa"/>
          </w:tcPr>
          <w:p w14:paraId="005D4636" w14:textId="77777777" w:rsidR="00111D08" w:rsidRPr="00496C73" w:rsidRDefault="00111D08">
            <w:pPr>
              <w:spacing w:before="40"/>
              <w:jc w:val="center"/>
              <w:rPr>
                <w:rFonts w:ascii="Arial Narrow" w:hAnsi="Arial Narrow"/>
                <w:b/>
                <w:bCs/>
              </w:rPr>
            </w:pPr>
            <w:r w:rsidRPr="00496C73">
              <w:rPr>
                <w:rFonts w:ascii="Arial Narrow" w:hAnsi="Arial Narrow"/>
                <w:b/>
                <w:bCs/>
              </w:rPr>
              <w:t>FN</w:t>
            </w:r>
          </w:p>
        </w:tc>
        <w:tc>
          <w:tcPr>
            <w:tcW w:w="568" w:type="dxa"/>
          </w:tcPr>
          <w:p w14:paraId="155B3713" w14:textId="77777777" w:rsidR="00111D08" w:rsidRPr="00496C73" w:rsidRDefault="00111D08">
            <w:pPr>
              <w:spacing w:before="40"/>
              <w:jc w:val="center"/>
              <w:rPr>
                <w:rFonts w:ascii="Arial Narrow" w:hAnsi="Arial Narrow"/>
                <w:b/>
                <w:bCs/>
              </w:rPr>
            </w:pPr>
            <w:r w:rsidRPr="00496C73">
              <w:rPr>
                <w:rFonts w:ascii="Arial Narrow" w:hAnsi="Arial Narrow"/>
                <w:b/>
                <w:bCs/>
              </w:rPr>
              <w:t>TN</w:t>
            </w:r>
          </w:p>
        </w:tc>
        <w:tc>
          <w:tcPr>
            <w:tcW w:w="1097" w:type="dxa"/>
          </w:tcPr>
          <w:p w14:paraId="675C82E2" w14:textId="229094D0" w:rsidR="00111D08" w:rsidRPr="00496C73" w:rsidRDefault="00111D08">
            <w:pPr>
              <w:spacing w:before="40"/>
              <w:jc w:val="center"/>
              <w:rPr>
                <w:rFonts w:ascii="Arial Narrow" w:hAnsi="Arial Narrow"/>
                <w:b/>
                <w:bCs/>
              </w:rPr>
            </w:pPr>
            <w:r w:rsidRPr="00496C73">
              <w:rPr>
                <w:rFonts w:ascii="Arial Narrow" w:hAnsi="Arial Narrow"/>
                <w:b/>
                <w:bCs/>
              </w:rPr>
              <w:t>Sensitivity</w:t>
            </w:r>
          </w:p>
        </w:tc>
        <w:tc>
          <w:tcPr>
            <w:tcW w:w="1171" w:type="dxa"/>
          </w:tcPr>
          <w:p w14:paraId="6315FC09" w14:textId="1FA9C030" w:rsidR="00111D08" w:rsidRPr="00496C73" w:rsidRDefault="00111D08">
            <w:pPr>
              <w:spacing w:before="40"/>
              <w:jc w:val="center"/>
              <w:rPr>
                <w:rFonts w:ascii="Arial Narrow" w:hAnsi="Arial Narrow"/>
                <w:b/>
                <w:bCs/>
              </w:rPr>
            </w:pPr>
            <w:r w:rsidRPr="00496C73">
              <w:rPr>
                <w:rFonts w:ascii="Arial Narrow" w:hAnsi="Arial Narrow"/>
                <w:b/>
                <w:bCs/>
              </w:rPr>
              <w:t>Specificity</w:t>
            </w:r>
          </w:p>
        </w:tc>
      </w:tr>
      <w:tr w:rsidR="00111D08" w:rsidRPr="00496C73" w14:paraId="794C0BD8" w14:textId="77777777" w:rsidTr="006B5B78">
        <w:trPr>
          <w:trHeight w:val="300"/>
        </w:trPr>
        <w:tc>
          <w:tcPr>
            <w:tcW w:w="846" w:type="dxa"/>
          </w:tcPr>
          <w:p w14:paraId="190E64D5" w14:textId="32F7FC21" w:rsidR="00111D08" w:rsidRPr="00496C73" w:rsidRDefault="7FBBFBD4" w:rsidP="7C4E3BA4">
            <w:pPr>
              <w:spacing w:before="40"/>
              <w:ind w:right="-57"/>
              <w:rPr>
                <w:rFonts w:ascii="Arial Narrow" w:hAnsi="Arial Narrow"/>
              </w:rPr>
            </w:pPr>
            <w:r w:rsidRPr="7C4E3BA4">
              <w:rPr>
                <w:rFonts w:ascii="Arial Narrow" w:hAnsi="Arial Narrow"/>
              </w:rPr>
              <w:t xml:space="preserve">Oguni et al </w:t>
            </w:r>
            <w:r w:rsidR="35F2A6C5" w:rsidRPr="7C4E3BA4">
              <w:rPr>
                <w:rFonts w:ascii="Arial Narrow" w:hAnsi="Arial Narrow"/>
              </w:rPr>
              <w:t>(</w:t>
            </w:r>
            <w:r w:rsidRPr="7C4E3BA4">
              <w:rPr>
                <w:rFonts w:ascii="Arial Narrow" w:hAnsi="Arial Narrow"/>
              </w:rPr>
              <w:t>2020</w:t>
            </w:r>
            <w:r w:rsidR="35F2A6C5" w:rsidRPr="7C4E3BA4">
              <w:rPr>
                <w:rFonts w:ascii="Arial Narrow" w:hAnsi="Arial Narrow"/>
              </w:rPr>
              <w:t>)</w:t>
            </w:r>
          </w:p>
          <w:p w14:paraId="583F0F1A" w14:textId="77777777" w:rsidR="00111D08" w:rsidRPr="00496C73" w:rsidRDefault="00111D08">
            <w:pPr>
              <w:spacing w:before="40"/>
              <w:ind w:right="-57"/>
              <w:rPr>
                <w:rFonts w:ascii="Arial Narrow" w:hAnsi="Arial Narrow"/>
              </w:rPr>
            </w:pPr>
            <w:r w:rsidRPr="00496C73">
              <w:rPr>
                <w:rFonts w:ascii="Arial Narrow" w:hAnsi="Arial Narrow"/>
              </w:rPr>
              <w:t>Japan</w:t>
            </w:r>
          </w:p>
        </w:tc>
        <w:tc>
          <w:tcPr>
            <w:tcW w:w="1701" w:type="dxa"/>
          </w:tcPr>
          <w:p w14:paraId="06333C7A" w14:textId="77777777" w:rsidR="00111D08" w:rsidRPr="00496C73" w:rsidRDefault="00111D08">
            <w:pPr>
              <w:spacing w:before="40"/>
              <w:ind w:right="-57"/>
              <w:rPr>
                <w:rFonts w:ascii="Arial Narrow" w:hAnsi="Arial Narrow"/>
              </w:rPr>
            </w:pPr>
            <w:r w:rsidRPr="00496C73">
              <w:rPr>
                <w:rFonts w:ascii="Arial Narrow" w:hAnsi="Arial Narrow"/>
              </w:rPr>
              <w:t>N=762 DBS from newborns</w:t>
            </w:r>
            <w:r w:rsidRPr="00496C73">
              <w:t xml:space="preserve"> </w:t>
            </w:r>
            <w:r w:rsidRPr="00496C73">
              <w:rPr>
                <w:rFonts w:ascii="Arial Narrow" w:hAnsi="Arial Narrow"/>
              </w:rPr>
              <w:t>collected during routine NBS</w:t>
            </w:r>
          </w:p>
          <w:p w14:paraId="76A3DA9A" w14:textId="77777777" w:rsidR="00111D08" w:rsidRPr="00496C73" w:rsidRDefault="00111D08">
            <w:pPr>
              <w:spacing w:before="40"/>
              <w:rPr>
                <w:rFonts w:ascii="Arial Narrow" w:hAnsi="Arial Narrow"/>
              </w:rPr>
            </w:pPr>
            <w:r w:rsidRPr="00496C73">
              <w:rPr>
                <w:rFonts w:ascii="Arial Narrow" w:hAnsi="Arial Narrow"/>
              </w:rPr>
              <w:t>N=14 DBS from patients diagnosed with severe MPS II</w:t>
            </w:r>
          </w:p>
        </w:tc>
        <w:tc>
          <w:tcPr>
            <w:tcW w:w="1110" w:type="dxa"/>
          </w:tcPr>
          <w:p w14:paraId="07062E53" w14:textId="77777777" w:rsidR="00111D08" w:rsidRPr="00496C73" w:rsidRDefault="00111D08">
            <w:pPr>
              <w:spacing w:before="40"/>
              <w:rPr>
                <w:rFonts w:ascii="Arial Narrow" w:hAnsi="Arial Narrow"/>
              </w:rPr>
            </w:pPr>
            <w:r w:rsidRPr="00496C73">
              <w:rPr>
                <w:rFonts w:ascii="Arial Narrow" w:hAnsi="Arial Narrow"/>
              </w:rPr>
              <w:t>LC-MS/MS</w:t>
            </w:r>
          </w:p>
          <w:p w14:paraId="132BDAAE" w14:textId="1815BA6D" w:rsidR="00111D08" w:rsidRPr="00496C73" w:rsidRDefault="00111D08">
            <w:pPr>
              <w:spacing w:before="40"/>
              <w:rPr>
                <w:rFonts w:ascii="Arial Narrow" w:hAnsi="Arial Narrow"/>
              </w:rPr>
            </w:pPr>
            <w:r w:rsidRPr="00496C73">
              <w:rPr>
                <w:rFonts w:ascii="Arial Narrow" w:hAnsi="Arial Narrow"/>
              </w:rPr>
              <w:t>Cut</w:t>
            </w:r>
            <w:r w:rsidR="0016295C">
              <w:rPr>
                <w:rFonts w:ascii="Arial Narrow" w:hAnsi="Arial Narrow"/>
              </w:rPr>
              <w:t>o</w:t>
            </w:r>
            <w:r w:rsidRPr="00496C73">
              <w:rPr>
                <w:rFonts w:ascii="Arial Narrow" w:hAnsi="Arial Narrow"/>
              </w:rPr>
              <w:t>ff NR</w:t>
            </w:r>
          </w:p>
        </w:tc>
        <w:tc>
          <w:tcPr>
            <w:tcW w:w="1246" w:type="dxa"/>
          </w:tcPr>
          <w:p w14:paraId="1471055A" w14:textId="77777777" w:rsidR="00111D08" w:rsidRPr="00496C73" w:rsidRDefault="00111D08">
            <w:pPr>
              <w:spacing w:before="40"/>
              <w:rPr>
                <w:rFonts w:ascii="Arial Narrow" w:hAnsi="Arial Narrow"/>
              </w:rPr>
            </w:pPr>
            <w:r w:rsidRPr="00496C73">
              <w:rPr>
                <w:rFonts w:ascii="Arial Narrow" w:hAnsi="Arial Narrow"/>
              </w:rPr>
              <w:t>Tests NR</w:t>
            </w:r>
          </w:p>
        </w:tc>
        <w:tc>
          <w:tcPr>
            <w:tcW w:w="440" w:type="dxa"/>
          </w:tcPr>
          <w:p w14:paraId="4EE713C1" w14:textId="77777777" w:rsidR="00111D08" w:rsidRPr="00496C73" w:rsidRDefault="00111D08">
            <w:pPr>
              <w:spacing w:before="40"/>
              <w:jc w:val="center"/>
              <w:rPr>
                <w:rFonts w:ascii="Arial Narrow" w:hAnsi="Arial Narrow"/>
              </w:rPr>
            </w:pPr>
            <w:r w:rsidRPr="00496C73">
              <w:rPr>
                <w:rFonts w:ascii="Arial Narrow" w:hAnsi="Arial Narrow"/>
              </w:rPr>
              <w:t>14</w:t>
            </w:r>
          </w:p>
        </w:tc>
        <w:tc>
          <w:tcPr>
            <w:tcW w:w="440" w:type="dxa"/>
          </w:tcPr>
          <w:p w14:paraId="11EDA696" w14:textId="77777777" w:rsidR="00111D08" w:rsidRPr="00496C73" w:rsidRDefault="00111D08">
            <w:pPr>
              <w:spacing w:before="40"/>
              <w:jc w:val="center"/>
              <w:rPr>
                <w:rFonts w:ascii="Arial Narrow" w:hAnsi="Arial Narrow"/>
              </w:rPr>
            </w:pPr>
            <w:r w:rsidRPr="00496C73">
              <w:rPr>
                <w:rFonts w:ascii="Arial Narrow" w:hAnsi="Arial Narrow"/>
              </w:rPr>
              <w:t>3</w:t>
            </w:r>
          </w:p>
        </w:tc>
        <w:tc>
          <w:tcPr>
            <w:tcW w:w="448" w:type="dxa"/>
          </w:tcPr>
          <w:p w14:paraId="651C894E" w14:textId="77777777" w:rsidR="00111D08" w:rsidRPr="00496C73" w:rsidRDefault="00111D08">
            <w:pPr>
              <w:spacing w:before="40"/>
              <w:jc w:val="center"/>
              <w:rPr>
                <w:rFonts w:ascii="Arial Narrow" w:hAnsi="Arial Narrow"/>
              </w:rPr>
            </w:pPr>
            <w:r w:rsidRPr="00496C73">
              <w:rPr>
                <w:rFonts w:ascii="Arial Narrow" w:hAnsi="Arial Narrow"/>
              </w:rPr>
              <w:t>0</w:t>
            </w:r>
          </w:p>
        </w:tc>
        <w:tc>
          <w:tcPr>
            <w:tcW w:w="568" w:type="dxa"/>
          </w:tcPr>
          <w:p w14:paraId="12CC53C0" w14:textId="77777777" w:rsidR="00111D08" w:rsidRPr="00496C73" w:rsidRDefault="00111D08">
            <w:pPr>
              <w:spacing w:before="40"/>
              <w:jc w:val="center"/>
              <w:rPr>
                <w:rFonts w:ascii="Arial Narrow" w:hAnsi="Arial Narrow"/>
              </w:rPr>
            </w:pPr>
            <w:r w:rsidRPr="00496C73">
              <w:rPr>
                <w:rFonts w:ascii="Arial Narrow" w:hAnsi="Arial Narrow"/>
              </w:rPr>
              <w:t>759</w:t>
            </w:r>
          </w:p>
        </w:tc>
        <w:tc>
          <w:tcPr>
            <w:tcW w:w="1097" w:type="dxa"/>
          </w:tcPr>
          <w:p w14:paraId="43B59B21" w14:textId="77777777" w:rsidR="00111D08" w:rsidRPr="00496C73" w:rsidRDefault="00111D08">
            <w:pPr>
              <w:spacing w:before="40"/>
              <w:jc w:val="center"/>
              <w:rPr>
                <w:rFonts w:ascii="Arial Narrow" w:hAnsi="Arial Narrow"/>
              </w:rPr>
            </w:pPr>
            <w:r w:rsidRPr="00496C73">
              <w:rPr>
                <w:rFonts w:ascii="Arial Narrow" w:hAnsi="Arial Narrow"/>
              </w:rPr>
              <w:t>100%</w:t>
            </w:r>
          </w:p>
        </w:tc>
        <w:tc>
          <w:tcPr>
            <w:tcW w:w="1171" w:type="dxa"/>
          </w:tcPr>
          <w:p w14:paraId="290D2B8A" w14:textId="77777777" w:rsidR="00111D08" w:rsidRPr="00496C73" w:rsidRDefault="00111D08">
            <w:pPr>
              <w:spacing w:before="40"/>
              <w:jc w:val="center"/>
              <w:rPr>
                <w:rFonts w:ascii="Arial Narrow" w:hAnsi="Arial Narrow"/>
              </w:rPr>
            </w:pPr>
            <w:r w:rsidRPr="00496C73">
              <w:rPr>
                <w:rFonts w:ascii="Arial Narrow" w:hAnsi="Arial Narrow"/>
              </w:rPr>
              <w:t>99.6%</w:t>
            </w:r>
          </w:p>
        </w:tc>
      </w:tr>
      <w:tr w:rsidR="00111D08" w:rsidRPr="00496C73" w14:paraId="61285D3F" w14:textId="77777777" w:rsidTr="006B5B78">
        <w:trPr>
          <w:trHeight w:val="300"/>
        </w:trPr>
        <w:tc>
          <w:tcPr>
            <w:tcW w:w="846" w:type="dxa"/>
          </w:tcPr>
          <w:p w14:paraId="756F5EF1" w14:textId="77777777" w:rsidR="00111D08" w:rsidRPr="00496C73" w:rsidRDefault="00111D08">
            <w:pPr>
              <w:spacing w:before="40"/>
              <w:rPr>
                <w:rFonts w:ascii="Arial Narrow" w:hAnsi="Arial Narrow"/>
              </w:rPr>
            </w:pPr>
            <w:r w:rsidRPr="00496C73">
              <w:rPr>
                <w:rFonts w:ascii="Arial Narrow" w:hAnsi="Arial Narrow"/>
              </w:rPr>
              <w:t xml:space="preserve">Wang et al. </w:t>
            </w:r>
            <w:r w:rsidR="001B0FDC">
              <w:rPr>
                <w:rFonts w:ascii="Arial Narrow" w:hAnsi="Arial Narrow"/>
              </w:rPr>
              <w:t>(</w:t>
            </w:r>
            <w:r>
              <w:rPr>
                <w:rFonts w:ascii="Arial Narrow" w:hAnsi="Arial Narrow"/>
              </w:rPr>
              <w:t>2007</w:t>
            </w:r>
            <w:r w:rsidR="001B0FDC">
              <w:rPr>
                <w:rFonts w:ascii="Arial Narrow" w:hAnsi="Arial Narrow"/>
              </w:rPr>
              <w:t>)</w:t>
            </w:r>
          </w:p>
          <w:p w14:paraId="4C9A3EF5" w14:textId="77777777" w:rsidR="00111D08" w:rsidRPr="00496C73" w:rsidRDefault="00111D08">
            <w:pPr>
              <w:spacing w:before="40"/>
              <w:rPr>
                <w:rFonts w:ascii="Arial Narrow" w:hAnsi="Arial Narrow"/>
              </w:rPr>
            </w:pPr>
            <w:r w:rsidRPr="00496C73">
              <w:rPr>
                <w:rFonts w:ascii="Arial Narrow" w:hAnsi="Arial Narrow"/>
              </w:rPr>
              <w:t>USA</w:t>
            </w:r>
          </w:p>
        </w:tc>
        <w:tc>
          <w:tcPr>
            <w:tcW w:w="1701" w:type="dxa"/>
          </w:tcPr>
          <w:p w14:paraId="546E1D23" w14:textId="77777777" w:rsidR="00111D08" w:rsidRPr="00496C73" w:rsidRDefault="00111D08">
            <w:pPr>
              <w:spacing w:before="40"/>
              <w:ind w:right="-57"/>
              <w:rPr>
                <w:rFonts w:ascii="Arial Narrow" w:hAnsi="Arial Narrow"/>
              </w:rPr>
            </w:pPr>
            <w:r w:rsidRPr="00496C73">
              <w:rPr>
                <w:rFonts w:ascii="Arial Narrow" w:hAnsi="Arial Narrow"/>
              </w:rPr>
              <w:t>N=57 DBS from randomly chosen newborns.</w:t>
            </w:r>
          </w:p>
          <w:p w14:paraId="1F60A348" w14:textId="77777777" w:rsidR="00111D08" w:rsidRPr="00496C73" w:rsidRDefault="00111D08">
            <w:pPr>
              <w:spacing w:before="40"/>
              <w:rPr>
                <w:rFonts w:ascii="Arial Narrow" w:hAnsi="Arial Narrow"/>
              </w:rPr>
            </w:pPr>
            <w:r w:rsidRPr="00496C73">
              <w:rPr>
                <w:rFonts w:ascii="Arial Narrow" w:hAnsi="Arial Narrow"/>
              </w:rPr>
              <w:t>N=13 DBS from MPS II patients</w:t>
            </w:r>
          </w:p>
        </w:tc>
        <w:tc>
          <w:tcPr>
            <w:tcW w:w="1110" w:type="dxa"/>
          </w:tcPr>
          <w:p w14:paraId="5964B348" w14:textId="77777777" w:rsidR="00111D08" w:rsidRPr="00496C73" w:rsidRDefault="00111D08">
            <w:pPr>
              <w:spacing w:before="40"/>
              <w:rPr>
                <w:rFonts w:ascii="Arial Narrow" w:hAnsi="Arial Narrow"/>
              </w:rPr>
            </w:pPr>
            <w:r w:rsidRPr="00496C73">
              <w:rPr>
                <w:rFonts w:ascii="Arial Narrow" w:hAnsi="Arial Narrow"/>
              </w:rPr>
              <w:t>EIS-MS/MS</w:t>
            </w:r>
          </w:p>
          <w:p w14:paraId="073EBEDB" w14:textId="77777777" w:rsidR="00111D08" w:rsidRPr="00496C73" w:rsidRDefault="00111D08">
            <w:pPr>
              <w:spacing w:before="40"/>
              <w:rPr>
                <w:rFonts w:ascii="Arial Narrow" w:hAnsi="Arial Narrow"/>
              </w:rPr>
            </w:pPr>
            <w:r w:rsidRPr="00496C73">
              <w:rPr>
                <w:rFonts w:ascii="Arial Narrow" w:hAnsi="Arial Narrow"/>
              </w:rPr>
              <w:t>Cutoff value NR</w:t>
            </w:r>
          </w:p>
        </w:tc>
        <w:tc>
          <w:tcPr>
            <w:tcW w:w="1246" w:type="dxa"/>
          </w:tcPr>
          <w:p w14:paraId="0D2C880A" w14:textId="77777777" w:rsidR="00111D08" w:rsidRPr="00496C73" w:rsidRDefault="00111D08">
            <w:pPr>
              <w:spacing w:before="40"/>
              <w:rPr>
                <w:rFonts w:ascii="Arial Narrow" w:hAnsi="Arial Narrow"/>
              </w:rPr>
            </w:pPr>
            <w:r w:rsidRPr="00496C73">
              <w:rPr>
                <w:rFonts w:ascii="Arial Narrow" w:hAnsi="Arial Narrow"/>
              </w:rPr>
              <w:t>Tests NR</w:t>
            </w:r>
          </w:p>
        </w:tc>
        <w:tc>
          <w:tcPr>
            <w:tcW w:w="440" w:type="dxa"/>
          </w:tcPr>
          <w:p w14:paraId="006BAF1E" w14:textId="77777777" w:rsidR="00111D08" w:rsidRPr="00496C73" w:rsidRDefault="00111D08">
            <w:pPr>
              <w:spacing w:before="40"/>
              <w:jc w:val="center"/>
              <w:rPr>
                <w:rFonts w:ascii="Arial Narrow" w:hAnsi="Arial Narrow"/>
              </w:rPr>
            </w:pPr>
            <w:r w:rsidRPr="00496C73">
              <w:rPr>
                <w:rFonts w:ascii="Arial Narrow" w:hAnsi="Arial Narrow"/>
              </w:rPr>
              <w:t>13</w:t>
            </w:r>
          </w:p>
        </w:tc>
        <w:tc>
          <w:tcPr>
            <w:tcW w:w="440" w:type="dxa"/>
          </w:tcPr>
          <w:p w14:paraId="3E29D050" w14:textId="77777777" w:rsidR="00111D08" w:rsidRPr="00496C73" w:rsidRDefault="00111D08">
            <w:pPr>
              <w:spacing w:before="40"/>
              <w:jc w:val="center"/>
              <w:rPr>
                <w:rFonts w:ascii="Arial Narrow" w:hAnsi="Arial Narrow"/>
              </w:rPr>
            </w:pPr>
            <w:r w:rsidRPr="00496C73">
              <w:rPr>
                <w:rFonts w:ascii="Arial Narrow" w:hAnsi="Arial Narrow"/>
              </w:rPr>
              <w:t>0</w:t>
            </w:r>
          </w:p>
        </w:tc>
        <w:tc>
          <w:tcPr>
            <w:tcW w:w="448" w:type="dxa"/>
          </w:tcPr>
          <w:p w14:paraId="652972AA" w14:textId="77777777" w:rsidR="00111D08" w:rsidRPr="00496C73" w:rsidRDefault="00111D08">
            <w:pPr>
              <w:spacing w:before="40"/>
              <w:jc w:val="center"/>
              <w:rPr>
                <w:rFonts w:ascii="Arial Narrow" w:hAnsi="Arial Narrow"/>
              </w:rPr>
            </w:pPr>
            <w:r w:rsidRPr="00496C73">
              <w:rPr>
                <w:rFonts w:ascii="Arial Narrow" w:hAnsi="Arial Narrow"/>
              </w:rPr>
              <w:t>0</w:t>
            </w:r>
          </w:p>
        </w:tc>
        <w:tc>
          <w:tcPr>
            <w:tcW w:w="568" w:type="dxa"/>
          </w:tcPr>
          <w:p w14:paraId="0220D4C1" w14:textId="77777777" w:rsidR="00111D08" w:rsidRPr="00496C73" w:rsidRDefault="00111D08">
            <w:pPr>
              <w:spacing w:before="40"/>
              <w:jc w:val="center"/>
              <w:rPr>
                <w:rFonts w:ascii="Arial Narrow" w:hAnsi="Arial Narrow"/>
              </w:rPr>
            </w:pPr>
            <w:r w:rsidRPr="00496C73">
              <w:rPr>
                <w:rFonts w:ascii="Arial Narrow" w:hAnsi="Arial Narrow"/>
              </w:rPr>
              <w:t>57</w:t>
            </w:r>
          </w:p>
        </w:tc>
        <w:tc>
          <w:tcPr>
            <w:tcW w:w="1097" w:type="dxa"/>
          </w:tcPr>
          <w:p w14:paraId="408EA04B" w14:textId="77777777" w:rsidR="00111D08" w:rsidRPr="00496C73" w:rsidRDefault="00111D08">
            <w:pPr>
              <w:spacing w:before="40"/>
              <w:jc w:val="center"/>
              <w:rPr>
                <w:rFonts w:ascii="Arial Narrow" w:hAnsi="Arial Narrow"/>
              </w:rPr>
            </w:pPr>
            <w:r w:rsidRPr="00496C73">
              <w:rPr>
                <w:rFonts w:ascii="Arial Narrow" w:hAnsi="Arial Narrow"/>
              </w:rPr>
              <w:t>100%</w:t>
            </w:r>
          </w:p>
        </w:tc>
        <w:tc>
          <w:tcPr>
            <w:tcW w:w="1171" w:type="dxa"/>
          </w:tcPr>
          <w:p w14:paraId="3AA82F38" w14:textId="77777777" w:rsidR="00111D08" w:rsidRPr="00496C73" w:rsidRDefault="00111D08">
            <w:pPr>
              <w:spacing w:before="40"/>
              <w:jc w:val="center"/>
              <w:rPr>
                <w:rFonts w:ascii="Arial Narrow" w:hAnsi="Arial Narrow"/>
              </w:rPr>
            </w:pPr>
            <w:r w:rsidRPr="00496C73">
              <w:rPr>
                <w:rFonts w:ascii="Arial Narrow" w:hAnsi="Arial Narrow"/>
              </w:rPr>
              <w:t>100%</w:t>
            </w:r>
          </w:p>
        </w:tc>
      </w:tr>
    </w:tbl>
    <w:p w14:paraId="648E14EC" w14:textId="34B9D6ED" w:rsidR="00554A80" w:rsidRDefault="00357FEF" w:rsidP="00B14F63">
      <w:pPr>
        <w:pStyle w:val="TableFigureFooter"/>
      </w:pPr>
      <w:r>
        <w:t xml:space="preserve">CI = confidence interval; DBS = dried bloodspot; </w:t>
      </w:r>
      <w:r w:rsidR="0016295C">
        <w:t xml:space="preserve">EIS-MS/MS = </w:t>
      </w:r>
      <w:r w:rsidR="0016295C" w:rsidRPr="0016295C">
        <w:t>electrospray ionisation mass spectrometry</w:t>
      </w:r>
      <w:r w:rsidR="0016295C">
        <w:t xml:space="preserve">; </w:t>
      </w:r>
      <w:r>
        <w:t>FN = false negative; FP = false positive; LC = liquid chromatography; LC-MS/MS = liquid chromatography- tandem mass spectrometry; MPS II = mucopolysaccharidosis Type II; MS = mass spectroscopy; MS/MS = tandem mass spectrometry; NBS = newborn bloodspot screening; NR = not reported; TN = true negative; TP = true positive</w:t>
      </w:r>
      <w:r w:rsidR="0016295C">
        <w:t>; USA = United States of America</w:t>
      </w:r>
    </w:p>
    <w:p w14:paraId="6C1EFA29" w14:textId="77777777" w:rsidR="00A336EC" w:rsidRPr="00A336EC" w:rsidRDefault="00A336EC" w:rsidP="005C1436">
      <w:pPr>
        <w:pStyle w:val="Heading5"/>
      </w:pPr>
      <w:r w:rsidRPr="00A336EC">
        <w:t>The screen positive and false positive rates for various NBS programs in detecting MPS I</w:t>
      </w:r>
      <w:r w:rsidR="000A6783">
        <w:t>I</w:t>
      </w:r>
    </w:p>
    <w:p w14:paraId="7B6FF179" w14:textId="45401912" w:rsidR="00B22218" w:rsidRPr="00496C73" w:rsidRDefault="00A336EC" w:rsidP="00B22218">
      <w:r w:rsidRPr="00A336EC">
        <w:t>F</w:t>
      </w:r>
      <w:r>
        <w:t>our</w:t>
      </w:r>
      <w:r w:rsidRPr="00A336EC">
        <w:t xml:space="preserve"> studies provided results from </w:t>
      </w:r>
      <w:r w:rsidR="00642252">
        <w:t xml:space="preserve">4 </w:t>
      </w:r>
      <w:r w:rsidRPr="00A336EC">
        <w:t xml:space="preserve">NBS programs from Japan, Taiwan and </w:t>
      </w:r>
      <w:r w:rsidR="00CA7A73">
        <w:t>2</w:t>
      </w:r>
      <w:r w:rsidRPr="00A336EC">
        <w:t xml:space="preserve"> USA states that enabled the screen positive rate</w:t>
      </w:r>
      <w:r w:rsidR="0028135B">
        <w:t xml:space="preserve"> (SPR)</w:t>
      </w:r>
      <w:r w:rsidRPr="00A336EC">
        <w:t>, false positive rate</w:t>
      </w:r>
      <w:r w:rsidR="0028135B">
        <w:t xml:space="preserve"> (FPR)</w:t>
      </w:r>
      <w:r w:rsidRPr="00A336EC">
        <w:t xml:space="preserve"> and the positive predictive value (PPV) to be calculated</w:t>
      </w:r>
      <w:r w:rsidR="000B3DD8">
        <w:t xml:space="preserve"> </w:t>
      </w:r>
      <w:r w:rsidR="000B3DD8">
        <w:rPr>
          <w:vertAlign w:val="superscript"/>
        </w:rPr>
        <w:t>14</w:t>
      </w:r>
      <w:r w:rsidR="00F004ED">
        <w:rPr>
          <w:vertAlign w:val="superscript"/>
        </w:rPr>
        <w:t>,</w:t>
      </w:r>
      <w:r w:rsidR="00C34918">
        <w:rPr>
          <w:rStyle w:val="FootnoteReference"/>
        </w:rPr>
        <w:footnoteReference w:id="17"/>
      </w:r>
      <w:r w:rsidR="00F004ED">
        <w:rPr>
          <w:vertAlign w:val="superscript"/>
        </w:rPr>
        <w:t>,</w:t>
      </w:r>
      <w:r w:rsidR="00C34918">
        <w:rPr>
          <w:rStyle w:val="FootnoteReference"/>
        </w:rPr>
        <w:footnoteReference w:id="18"/>
      </w:r>
      <w:r w:rsidR="00F004ED">
        <w:rPr>
          <w:vertAlign w:val="superscript"/>
        </w:rPr>
        <w:t>,</w:t>
      </w:r>
      <w:r w:rsidR="00C34918">
        <w:rPr>
          <w:rStyle w:val="FootnoteReference"/>
        </w:rPr>
        <w:footnoteReference w:id="19"/>
      </w:r>
      <w:r w:rsidR="007376DF">
        <w:t>.</w:t>
      </w:r>
      <w:r w:rsidR="00801362" w:rsidRPr="00801362">
        <w:t xml:space="preserve">The difference between the </w:t>
      </w:r>
      <w:r w:rsidR="0028135B">
        <w:t>SPR</w:t>
      </w:r>
      <w:r w:rsidR="00801362" w:rsidRPr="00801362">
        <w:t xml:space="preserve"> and the </w:t>
      </w:r>
      <w:r w:rsidR="0028135B">
        <w:t>FPR</w:t>
      </w:r>
      <w:r w:rsidR="00801362" w:rsidRPr="00801362">
        <w:t xml:space="preserve"> </w:t>
      </w:r>
      <w:r w:rsidR="007C765C" w:rsidRPr="00801362">
        <w:t>d</w:t>
      </w:r>
      <w:r w:rsidR="007C765C">
        <w:t>id</w:t>
      </w:r>
      <w:r w:rsidR="00801362" w:rsidRPr="00801362">
        <w:t xml:space="preserve"> not equal the true positive rate</w:t>
      </w:r>
      <w:r w:rsidR="0028135B">
        <w:t xml:space="preserve"> (TPR)</w:t>
      </w:r>
      <w:r w:rsidR="00801362" w:rsidRPr="00801362">
        <w:t xml:space="preserve">, as this </w:t>
      </w:r>
      <w:r w:rsidR="007C765C" w:rsidRPr="00801362">
        <w:t>include</w:t>
      </w:r>
      <w:r w:rsidR="007C765C">
        <w:t>d</w:t>
      </w:r>
      <w:r w:rsidR="00801362" w:rsidRPr="00801362">
        <w:t xml:space="preserve"> newborns that did not yet have a definitive diagnosis or were lost to follow-up. </w:t>
      </w:r>
      <w:r w:rsidRPr="00A336EC">
        <w:t xml:space="preserve">The PPV was calculated by dividing the TPR (per 100,000) by the </w:t>
      </w:r>
      <w:r w:rsidR="00FA0C79">
        <w:t>SPR</w:t>
      </w:r>
      <w:r w:rsidRPr="00A336EC">
        <w:t xml:space="preserve"> (per 100,000).</w:t>
      </w:r>
      <w:r w:rsidR="00036EBA">
        <w:t xml:space="preserve"> </w:t>
      </w:r>
      <w:r w:rsidR="00B22218" w:rsidRPr="00496C73">
        <w:t>The</w:t>
      </w:r>
      <w:r w:rsidR="00285BB2">
        <w:t xml:space="preserve"> results from the</w:t>
      </w:r>
      <w:r w:rsidR="00B22218" w:rsidRPr="00496C73">
        <w:t>se studies were summarised in</w:t>
      </w:r>
      <w:r w:rsidR="00285BB2">
        <w:t xml:space="preserve"> </w:t>
      </w:r>
      <w:r w:rsidR="00285BB2">
        <w:fldChar w:fldCharType="begin"/>
      </w:r>
      <w:r w:rsidR="00285BB2">
        <w:instrText xml:space="preserve"> REF _Ref177656274 \h </w:instrText>
      </w:r>
      <w:r w:rsidR="00285BB2">
        <w:fldChar w:fldCharType="separate"/>
      </w:r>
      <w:r w:rsidR="007F08FA" w:rsidRPr="00496C73" w:rsidDel="009D183F">
        <w:t xml:space="preserve">Table </w:t>
      </w:r>
      <w:r w:rsidR="00797B68" w:rsidDel="009D183F">
        <w:rPr>
          <w:noProof/>
        </w:rPr>
        <w:t>4</w:t>
      </w:r>
      <w:r w:rsidR="00285BB2">
        <w:fldChar w:fldCharType="end"/>
      </w:r>
      <w:r w:rsidR="00B22218" w:rsidRPr="00496C73">
        <w:t xml:space="preserve">. </w:t>
      </w:r>
    </w:p>
    <w:p w14:paraId="108FB575" w14:textId="58A9AEA6" w:rsidR="00B22218" w:rsidRPr="00496C73" w:rsidRDefault="00B22218" w:rsidP="00A95D5A">
      <w:pPr>
        <w:pStyle w:val="Caption"/>
        <w:keepLines/>
      </w:pPr>
      <w:bookmarkStart w:id="34" w:name="_Ref177656274"/>
      <w:r w:rsidRPr="00496C73">
        <w:lastRenderedPageBreak/>
        <w:t xml:space="preserve">Table </w:t>
      </w:r>
      <w:r w:rsidR="009D183F">
        <w:fldChar w:fldCharType="begin"/>
      </w:r>
      <w:r w:rsidR="009D183F">
        <w:instrText xml:space="preserve"> SEQ Table \* ARABIC </w:instrText>
      </w:r>
      <w:r w:rsidR="009D183F">
        <w:fldChar w:fldCharType="separate"/>
      </w:r>
      <w:r w:rsidR="009D183F">
        <w:rPr>
          <w:noProof/>
        </w:rPr>
        <w:t>4</w:t>
      </w:r>
      <w:r w:rsidR="009D183F">
        <w:rPr>
          <w:noProof/>
        </w:rPr>
        <w:fldChar w:fldCharType="end"/>
      </w:r>
      <w:bookmarkEnd w:id="34"/>
      <w:r w:rsidRPr="00496C73">
        <w:tab/>
        <w:t xml:space="preserve">The </w:t>
      </w:r>
      <w:r w:rsidR="00285BB2">
        <w:t>S</w:t>
      </w:r>
      <w:r w:rsidR="00C9683C">
        <w:t>P</w:t>
      </w:r>
      <w:r w:rsidR="00285BB2">
        <w:t>R, FPR</w:t>
      </w:r>
      <w:r w:rsidR="00BF7D9A">
        <w:t>, TPR</w:t>
      </w:r>
      <w:r w:rsidRPr="00496C73">
        <w:t xml:space="preserve"> and </w:t>
      </w:r>
      <w:r w:rsidR="00BF7D9A">
        <w:t>PPV</w:t>
      </w:r>
      <w:r w:rsidRPr="00496C73">
        <w:t xml:space="preserve"> for MPS II detection for NBS programs</w:t>
      </w:r>
    </w:p>
    <w:tbl>
      <w:tblPr>
        <w:tblStyle w:val="TableGrid1"/>
        <w:tblW w:w="9067" w:type="dxa"/>
        <w:tblLook w:val="04A0" w:firstRow="1" w:lastRow="0" w:firstColumn="1" w:lastColumn="0" w:noHBand="0" w:noVBand="1"/>
      </w:tblPr>
      <w:tblGrid>
        <w:gridCol w:w="1346"/>
        <w:gridCol w:w="1201"/>
        <w:gridCol w:w="1134"/>
        <w:gridCol w:w="2126"/>
        <w:gridCol w:w="3260"/>
      </w:tblGrid>
      <w:tr w:rsidR="00B22218" w:rsidRPr="00496C73" w14:paraId="6647639C" w14:textId="77777777" w:rsidTr="006B5B78">
        <w:trPr>
          <w:cnfStyle w:val="100000000000" w:firstRow="1" w:lastRow="0" w:firstColumn="0" w:lastColumn="0" w:oddVBand="0" w:evenVBand="0" w:oddHBand="0" w:evenHBand="0" w:firstRowFirstColumn="0" w:firstRowLastColumn="0" w:lastRowFirstColumn="0" w:lastRowLastColumn="0"/>
          <w:trHeight w:val="238"/>
          <w:tblHeader/>
        </w:trPr>
        <w:tc>
          <w:tcPr>
            <w:tcW w:w="1346" w:type="dxa"/>
          </w:tcPr>
          <w:p w14:paraId="7430FEC6" w14:textId="77777777" w:rsidR="00B22218" w:rsidRPr="00496C73" w:rsidRDefault="00B22218" w:rsidP="00A95D5A">
            <w:pPr>
              <w:keepNext/>
              <w:keepLines/>
              <w:spacing w:before="40"/>
              <w:rPr>
                <w:rFonts w:ascii="Arial Narrow" w:hAnsi="Arial Narrow"/>
              </w:rPr>
            </w:pPr>
            <w:r w:rsidRPr="00496C73">
              <w:rPr>
                <w:rFonts w:ascii="Arial Narrow" w:hAnsi="Arial Narrow"/>
                <w:b/>
                <w:bCs/>
              </w:rPr>
              <w:t>Study/Country</w:t>
            </w:r>
          </w:p>
        </w:tc>
        <w:tc>
          <w:tcPr>
            <w:tcW w:w="1201" w:type="dxa"/>
          </w:tcPr>
          <w:p w14:paraId="16AAF7C1" w14:textId="77777777" w:rsidR="00B22218" w:rsidRPr="00496C73" w:rsidRDefault="00B22218" w:rsidP="00A95D5A">
            <w:pPr>
              <w:keepNext/>
              <w:keepLines/>
              <w:spacing w:before="40"/>
              <w:rPr>
                <w:rFonts w:ascii="Arial Narrow" w:hAnsi="Arial Narrow"/>
              </w:rPr>
            </w:pPr>
            <w:r w:rsidRPr="00496C73">
              <w:rPr>
                <w:rFonts w:ascii="Arial Narrow" w:hAnsi="Arial Narrow"/>
                <w:b/>
                <w:bCs/>
              </w:rPr>
              <w:t xml:space="preserve">Population </w:t>
            </w:r>
          </w:p>
        </w:tc>
        <w:tc>
          <w:tcPr>
            <w:tcW w:w="1134" w:type="dxa"/>
          </w:tcPr>
          <w:p w14:paraId="37EF6A7A" w14:textId="77777777" w:rsidR="00B22218" w:rsidRPr="00496C73" w:rsidRDefault="00B22218" w:rsidP="00A95D5A">
            <w:pPr>
              <w:keepNext/>
              <w:keepLines/>
              <w:spacing w:before="40"/>
              <w:rPr>
                <w:rFonts w:ascii="Arial Narrow" w:hAnsi="Arial Narrow"/>
              </w:rPr>
            </w:pPr>
            <w:r w:rsidRPr="00496C73">
              <w:rPr>
                <w:rFonts w:ascii="Arial Narrow" w:hAnsi="Arial Narrow"/>
                <w:b/>
                <w:bCs/>
              </w:rPr>
              <w:t>Test</w:t>
            </w:r>
          </w:p>
        </w:tc>
        <w:tc>
          <w:tcPr>
            <w:tcW w:w="2126" w:type="dxa"/>
          </w:tcPr>
          <w:p w14:paraId="76D4891B" w14:textId="77777777" w:rsidR="00B22218" w:rsidRPr="00496C73" w:rsidRDefault="00B22218" w:rsidP="00A95D5A">
            <w:pPr>
              <w:keepNext/>
              <w:keepLines/>
              <w:spacing w:before="40"/>
              <w:rPr>
                <w:rFonts w:ascii="Arial Narrow" w:hAnsi="Arial Narrow"/>
              </w:rPr>
            </w:pPr>
            <w:r w:rsidRPr="00496C73">
              <w:rPr>
                <w:rFonts w:ascii="Arial Narrow" w:hAnsi="Arial Narrow"/>
                <w:b/>
                <w:bCs/>
              </w:rPr>
              <w:t>Number TP and FP</w:t>
            </w:r>
          </w:p>
        </w:tc>
        <w:tc>
          <w:tcPr>
            <w:tcW w:w="3260" w:type="dxa"/>
          </w:tcPr>
          <w:p w14:paraId="529CD941" w14:textId="77777777" w:rsidR="00B22218" w:rsidRPr="00496C73" w:rsidRDefault="00B22218" w:rsidP="00A95D5A">
            <w:pPr>
              <w:keepNext/>
              <w:keepLines/>
              <w:spacing w:before="40"/>
              <w:rPr>
                <w:rFonts w:ascii="Arial Narrow" w:hAnsi="Arial Narrow"/>
              </w:rPr>
            </w:pPr>
            <w:r w:rsidRPr="00496C73">
              <w:rPr>
                <w:rFonts w:ascii="Arial Narrow" w:hAnsi="Arial Narrow"/>
                <w:b/>
                <w:bCs/>
              </w:rPr>
              <w:t>Screen positive and FP rates</w:t>
            </w:r>
          </w:p>
        </w:tc>
      </w:tr>
      <w:tr w:rsidR="00B22218" w:rsidRPr="00496C73" w14:paraId="120469E2" w14:textId="77777777" w:rsidTr="006B5B78">
        <w:tc>
          <w:tcPr>
            <w:tcW w:w="1346" w:type="dxa"/>
          </w:tcPr>
          <w:p w14:paraId="5BC53F12" w14:textId="77777777" w:rsidR="00B22218" w:rsidRPr="00496C73" w:rsidRDefault="00B22218" w:rsidP="00A95D5A">
            <w:pPr>
              <w:keepNext/>
              <w:keepLines/>
              <w:spacing w:before="40"/>
              <w:rPr>
                <w:rFonts w:ascii="Arial Narrow" w:hAnsi="Arial Narrow"/>
              </w:rPr>
            </w:pPr>
            <w:r w:rsidRPr="00496C73">
              <w:rPr>
                <w:rFonts w:ascii="Arial Narrow" w:hAnsi="Arial Narrow"/>
              </w:rPr>
              <w:t xml:space="preserve">Bilyeu et al. </w:t>
            </w:r>
            <w:r w:rsidR="00CD367C">
              <w:rPr>
                <w:rFonts w:ascii="Arial Narrow" w:hAnsi="Arial Narrow"/>
              </w:rPr>
              <w:t>(</w:t>
            </w:r>
            <w:r>
              <w:rPr>
                <w:rFonts w:ascii="Arial Narrow" w:hAnsi="Arial Narrow"/>
              </w:rPr>
              <w:t>2020</w:t>
            </w:r>
            <w:r w:rsidR="00CD367C">
              <w:rPr>
                <w:rFonts w:ascii="Arial Narrow" w:hAnsi="Arial Narrow"/>
              </w:rPr>
              <w:t>)</w:t>
            </w:r>
          </w:p>
          <w:p w14:paraId="391188DB" w14:textId="77777777" w:rsidR="00B22218" w:rsidRPr="00496C73" w:rsidRDefault="00B22218" w:rsidP="00A95D5A">
            <w:pPr>
              <w:keepNext/>
              <w:keepLines/>
              <w:spacing w:before="40"/>
              <w:rPr>
                <w:rFonts w:ascii="Arial Narrow" w:hAnsi="Arial Narrow"/>
              </w:rPr>
            </w:pPr>
            <w:r w:rsidRPr="00496C73">
              <w:rPr>
                <w:rFonts w:ascii="Arial Narrow" w:hAnsi="Arial Narrow"/>
              </w:rPr>
              <w:t>Missouri, USA</w:t>
            </w:r>
          </w:p>
        </w:tc>
        <w:tc>
          <w:tcPr>
            <w:tcW w:w="1201" w:type="dxa"/>
          </w:tcPr>
          <w:p w14:paraId="70BC01F0" w14:textId="77777777" w:rsidR="00B22218" w:rsidRPr="00496C73" w:rsidRDefault="00B22218" w:rsidP="00A95D5A">
            <w:pPr>
              <w:keepNext/>
              <w:keepLines/>
              <w:spacing w:before="40"/>
              <w:rPr>
                <w:rFonts w:ascii="Arial Narrow" w:hAnsi="Arial Narrow"/>
              </w:rPr>
            </w:pPr>
            <w:r w:rsidRPr="00496C73">
              <w:rPr>
                <w:rFonts w:ascii="Arial Narrow" w:hAnsi="Arial Narrow"/>
              </w:rPr>
              <w:t>N= 146,954 DBS from newborns</w:t>
            </w:r>
            <w:r w:rsidRPr="00496C73">
              <w:rPr>
                <w:rFonts w:ascii="Arial Narrow" w:hAnsi="Arial Narrow"/>
              </w:rPr>
              <w:tab/>
            </w:r>
          </w:p>
        </w:tc>
        <w:tc>
          <w:tcPr>
            <w:tcW w:w="1134" w:type="dxa"/>
          </w:tcPr>
          <w:p w14:paraId="77A33FDB" w14:textId="77777777" w:rsidR="00B22218" w:rsidRPr="00496C73" w:rsidRDefault="00B22218" w:rsidP="00A95D5A">
            <w:pPr>
              <w:keepNext/>
              <w:keepLines/>
              <w:spacing w:before="40"/>
              <w:rPr>
                <w:rFonts w:ascii="Arial Narrow" w:hAnsi="Arial Narrow"/>
              </w:rPr>
            </w:pPr>
            <w:r w:rsidRPr="00496C73">
              <w:rPr>
                <w:rFonts w:ascii="Arial Narrow" w:hAnsi="Arial Narrow"/>
              </w:rPr>
              <w:t>Fluorometric enzyme assay</w:t>
            </w:r>
          </w:p>
          <w:p w14:paraId="4CD5B582" w14:textId="77777777" w:rsidR="00B22218" w:rsidRPr="00496C73" w:rsidRDefault="00B22218" w:rsidP="00A95D5A">
            <w:pPr>
              <w:keepNext/>
              <w:keepLines/>
              <w:spacing w:before="40"/>
              <w:rPr>
                <w:rFonts w:ascii="Arial Narrow" w:hAnsi="Arial Narrow"/>
              </w:rPr>
            </w:pPr>
            <w:r w:rsidRPr="00496C73">
              <w:rPr>
                <w:rFonts w:ascii="Arial Narrow" w:hAnsi="Arial Narrow"/>
              </w:rPr>
              <w:t>Retest in duplicate</w:t>
            </w:r>
          </w:p>
        </w:tc>
        <w:tc>
          <w:tcPr>
            <w:tcW w:w="2126" w:type="dxa"/>
          </w:tcPr>
          <w:p w14:paraId="3DA12D4B" w14:textId="77777777" w:rsidR="00B22218" w:rsidRPr="00496C73" w:rsidRDefault="00B22218" w:rsidP="00A95D5A">
            <w:pPr>
              <w:keepNext/>
              <w:keepLines/>
              <w:spacing w:before="40"/>
              <w:ind w:left="29"/>
              <w:rPr>
                <w:rFonts w:ascii="Arial Narrow" w:hAnsi="Arial Narrow"/>
              </w:rPr>
            </w:pPr>
            <w:r w:rsidRPr="00496C73">
              <w:rPr>
                <w:rFonts w:ascii="Arial Narrow" w:hAnsi="Arial Narrow"/>
              </w:rPr>
              <w:t>2 MPS II (also had positive family history)</w:t>
            </w:r>
          </w:p>
          <w:p w14:paraId="6B5373C1" w14:textId="77777777" w:rsidR="00B22218" w:rsidRPr="00496C73" w:rsidRDefault="00B22218" w:rsidP="00A95D5A">
            <w:pPr>
              <w:keepNext/>
              <w:keepLines/>
              <w:spacing w:before="40"/>
              <w:ind w:left="29"/>
              <w:rPr>
                <w:rFonts w:ascii="Arial Narrow" w:hAnsi="Arial Narrow"/>
              </w:rPr>
            </w:pPr>
            <w:r w:rsidRPr="00496C73">
              <w:rPr>
                <w:rFonts w:ascii="Arial Narrow" w:hAnsi="Arial Narrow"/>
              </w:rPr>
              <w:t>22 FP</w:t>
            </w:r>
          </w:p>
          <w:p w14:paraId="7B8CA753" w14:textId="77777777" w:rsidR="00B22218" w:rsidRPr="00496C73" w:rsidRDefault="00B22218" w:rsidP="00A95D5A">
            <w:pPr>
              <w:keepNext/>
              <w:keepLines/>
              <w:spacing w:before="40"/>
              <w:ind w:left="29"/>
              <w:rPr>
                <w:rFonts w:ascii="Arial Narrow" w:hAnsi="Arial Narrow"/>
              </w:rPr>
            </w:pPr>
            <w:r w:rsidRPr="00496C73">
              <w:rPr>
                <w:rFonts w:ascii="Arial Narrow" w:hAnsi="Arial Narrow"/>
              </w:rPr>
              <w:t>5 lost to follow-up</w:t>
            </w:r>
          </w:p>
        </w:tc>
        <w:tc>
          <w:tcPr>
            <w:tcW w:w="3260" w:type="dxa"/>
          </w:tcPr>
          <w:p w14:paraId="5DFC10DD" w14:textId="77777777" w:rsidR="00B22218" w:rsidRPr="00496C73" w:rsidRDefault="00B22218" w:rsidP="00A95D5A">
            <w:pPr>
              <w:keepNext/>
              <w:keepLines/>
              <w:spacing w:before="40"/>
              <w:rPr>
                <w:rFonts w:ascii="Arial Narrow" w:hAnsi="Arial Narrow"/>
              </w:rPr>
            </w:pPr>
            <w:r w:rsidRPr="00496C73">
              <w:rPr>
                <w:rFonts w:ascii="Arial Narrow" w:hAnsi="Arial Narrow"/>
              </w:rPr>
              <w:t>SPR=29/146,945 (0.02%)</w:t>
            </w:r>
          </w:p>
          <w:p w14:paraId="2A1FD5EA" w14:textId="77777777" w:rsidR="00B22218" w:rsidRDefault="00B22218" w:rsidP="00A95D5A">
            <w:pPr>
              <w:keepNext/>
              <w:keepLines/>
              <w:spacing w:before="40"/>
              <w:rPr>
                <w:rFonts w:ascii="Arial Narrow" w:hAnsi="Arial Narrow"/>
              </w:rPr>
            </w:pPr>
            <w:r w:rsidRPr="00496C73">
              <w:rPr>
                <w:rFonts w:ascii="Arial Narrow" w:hAnsi="Arial Narrow"/>
              </w:rPr>
              <w:t>FPR=22/146,945 (0.015%)</w:t>
            </w:r>
          </w:p>
          <w:p w14:paraId="225E2D81" w14:textId="77777777" w:rsidR="00B22218" w:rsidRPr="00496C73" w:rsidRDefault="00B22218" w:rsidP="00A95D5A">
            <w:pPr>
              <w:keepNext/>
              <w:keepLines/>
              <w:spacing w:before="40"/>
              <w:rPr>
                <w:rFonts w:ascii="Arial Narrow" w:hAnsi="Arial Narrow"/>
              </w:rPr>
            </w:pPr>
            <w:r>
              <w:rPr>
                <w:rFonts w:ascii="Arial Narrow" w:hAnsi="Arial Narrow"/>
              </w:rPr>
              <w:t>TPR=1/73,477 or 1.4/100,000 newborns</w:t>
            </w:r>
          </w:p>
        </w:tc>
      </w:tr>
      <w:tr w:rsidR="00B22218" w:rsidRPr="00496C73" w14:paraId="5A69A018" w14:textId="77777777" w:rsidTr="006B5B78">
        <w:tc>
          <w:tcPr>
            <w:tcW w:w="1346" w:type="dxa"/>
          </w:tcPr>
          <w:p w14:paraId="4E5EC989" w14:textId="77777777" w:rsidR="00B22218" w:rsidRPr="00496C73" w:rsidRDefault="00B22218" w:rsidP="00A95D5A">
            <w:pPr>
              <w:keepNext/>
              <w:keepLines/>
              <w:spacing w:before="40"/>
              <w:rPr>
                <w:rFonts w:ascii="Arial Narrow" w:hAnsi="Arial Narrow"/>
              </w:rPr>
            </w:pPr>
            <w:r w:rsidRPr="00496C73">
              <w:rPr>
                <w:rFonts w:ascii="Arial Narrow" w:hAnsi="Arial Narrow"/>
              </w:rPr>
              <w:t xml:space="preserve">Burton et al. </w:t>
            </w:r>
            <w:r w:rsidR="00CD367C">
              <w:rPr>
                <w:rFonts w:ascii="Arial Narrow" w:hAnsi="Arial Narrow"/>
              </w:rPr>
              <w:t>(</w:t>
            </w:r>
            <w:r>
              <w:rPr>
                <w:rFonts w:ascii="Arial Narrow" w:hAnsi="Arial Narrow"/>
              </w:rPr>
              <w:t>2023</w:t>
            </w:r>
            <w:r w:rsidR="00CD367C">
              <w:rPr>
                <w:rFonts w:ascii="Arial Narrow" w:hAnsi="Arial Narrow"/>
              </w:rPr>
              <w:t>)</w:t>
            </w:r>
          </w:p>
          <w:p w14:paraId="25665CB8" w14:textId="77777777" w:rsidR="00B22218" w:rsidRPr="00496C73" w:rsidRDefault="00B22218" w:rsidP="00A95D5A">
            <w:pPr>
              <w:keepNext/>
              <w:keepLines/>
              <w:spacing w:before="40"/>
              <w:jc w:val="both"/>
              <w:rPr>
                <w:rFonts w:ascii="Arial Narrow" w:hAnsi="Arial Narrow"/>
              </w:rPr>
            </w:pPr>
            <w:r w:rsidRPr="00496C73">
              <w:rPr>
                <w:rFonts w:ascii="Arial Narrow" w:hAnsi="Arial Narrow"/>
              </w:rPr>
              <w:t>Illinois, USA</w:t>
            </w:r>
          </w:p>
        </w:tc>
        <w:tc>
          <w:tcPr>
            <w:tcW w:w="1201" w:type="dxa"/>
          </w:tcPr>
          <w:p w14:paraId="62FFD16A" w14:textId="77777777" w:rsidR="00B22218" w:rsidRPr="00496C73" w:rsidRDefault="00B22218" w:rsidP="00A95D5A">
            <w:pPr>
              <w:keepNext/>
              <w:keepLines/>
              <w:spacing w:before="40"/>
              <w:rPr>
                <w:rFonts w:ascii="Arial Narrow" w:hAnsi="Arial Narrow"/>
              </w:rPr>
            </w:pPr>
            <w:r w:rsidRPr="00496C73">
              <w:rPr>
                <w:rFonts w:ascii="Arial Narrow" w:hAnsi="Arial Narrow"/>
              </w:rPr>
              <w:t>N=586,323 DBS from newborns</w:t>
            </w:r>
          </w:p>
        </w:tc>
        <w:tc>
          <w:tcPr>
            <w:tcW w:w="1134" w:type="dxa"/>
          </w:tcPr>
          <w:p w14:paraId="0B11AFCB" w14:textId="77777777" w:rsidR="00B22218" w:rsidRPr="00496C73" w:rsidRDefault="00B22218" w:rsidP="00A95D5A">
            <w:pPr>
              <w:keepNext/>
              <w:keepLines/>
              <w:spacing w:before="40"/>
              <w:rPr>
                <w:rFonts w:ascii="Arial Narrow" w:hAnsi="Arial Narrow"/>
              </w:rPr>
            </w:pPr>
            <w:r w:rsidRPr="00496C73">
              <w:rPr>
                <w:rFonts w:ascii="Arial Narrow" w:hAnsi="Arial Narrow"/>
              </w:rPr>
              <w:t>UPLC-MS/MS IDS enzyme assay</w:t>
            </w:r>
          </w:p>
        </w:tc>
        <w:tc>
          <w:tcPr>
            <w:tcW w:w="2126" w:type="dxa"/>
          </w:tcPr>
          <w:p w14:paraId="4091C1E2" w14:textId="77777777" w:rsidR="00B22218" w:rsidRPr="00496C73" w:rsidRDefault="00B22218" w:rsidP="00A95D5A">
            <w:pPr>
              <w:keepNext/>
              <w:keepLines/>
              <w:spacing w:before="40"/>
              <w:rPr>
                <w:rFonts w:ascii="Arial Narrow" w:hAnsi="Arial Narrow"/>
              </w:rPr>
            </w:pPr>
            <w:r w:rsidRPr="00496C73">
              <w:rPr>
                <w:rFonts w:ascii="Arial Narrow" w:hAnsi="Arial Narrow"/>
              </w:rPr>
              <w:t>8 MPS II (3 severe, 4 attenuated, 1 unknown)</w:t>
            </w:r>
          </w:p>
          <w:p w14:paraId="32C7CB5A" w14:textId="77777777" w:rsidR="00B22218" w:rsidRPr="00496C73" w:rsidRDefault="00B22218" w:rsidP="00A95D5A">
            <w:pPr>
              <w:keepNext/>
              <w:keepLines/>
              <w:spacing w:before="40"/>
              <w:rPr>
                <w:rFonts w:ascii="Arial Narrow" w:hAnsi="Arial Narrow"/>
              </w:rPr>
            </w:pPr>
            <w:r w:rsidRPr="00496C73">
              <w:rPr>
                <w:rFonts w:ascii="Arial Narrow" w:hAnsi="Arial Narrow"/>
              </w:rPr>
              <w:t>63 FP</w:t>
            </w:r>
          </w:p>
          <w:p w14:paraId="35D103C7" w14:textId="77777777" w:rsidR="00B22218" w:rsidRPr="00496C73" w:rsidRDefault="00B22218" w:rsidP="00A95D5A">
            <w:pPr>
              <w:keepNext/>
              <w:keepLines/>
              <w:spacing w:before="40"/>
              <w:rPr>
                <w:rFonts w:ascii="Arial Narrow" w:hAnsi="Arial Narrow"/>
              </w:rPr>
            </w:pPr>
            <w:r w:rsidRPr="00496C73">
              <w:rPr>
                <w:rFonts w:ascii="Arial Narrow" w:hAnsi="Arial Narrow"/>
              </w:rPr>
              <w:t>5 unresolved</w:t>
            </w:r>
          </w:p>
        </w:tc>
        <w:tc>
          <w:tcPr>
            <w:tcW w:w="3260" w:type="dxa"/>
          </w:tcPr>
          <w:p w14:paraId="2E8AB918" w14:textId="77777777" w:rsidR="00B22218" w:rsidRPr="00496C73" w:rsidRDefault="00B22218" w:rsidP="00A95D5A">
            <w:pPr>
              <w:keepNext/>
              <w:keepLines/>
              <w:spacing w:before="40"/>
              <w:rPr>
                <w:rFonts w:ascii="Arial Narrow" w:hAnsi="Arial Narrow"/>
              </w:rPr>
            </w:pPr>
            <w:r w:rsidRPr="00496C73">
              <w:rPr>
                <w:rFonts w:ascii="Arial Narrow" w:hAnsi="Arial Narrow"/>
              </w:rPr>
              <w:t>SPR=76/586,323 (0.012%)</w:t>
            </w:r>
            <w:r>
              <w:rPr>
                <w:rFonts w:ascii="Arial Narrow" w:hAnsi="Arial Narrow"/>
              </w:rPr>
              <w:t xml:space="preserve"> newborns</w:t>
            </w:r>
          </w:p>
          <w:p w14:paraId="1AEB925B" w14:textId="77777777" w:rsidR="00B22218" w:rsidRDefault="00B22218" w:rsidP="00A95D5A">
            <w:pPr>
              <w:keepNext/>
              <w:keepLines/>
              <w:spacing w:before="40"/>
              <w:rPr>
                <w:rFonts w:ascii="Arial Narrow" w:hAnsi="Arial Narrow"/>
              </w:rPr>
            </w:pPr>
            <w:r w:rsidRPr="00496C73">
              <w:rPr>
                <w:rFonts w:ascii="Arial Narrow" w:hAnsi="Arial Narrow"/>
              </w:rPr>
              <w:t>FPR=63/586,323 (0.011%)</w:t>
            </w:r>
          </w:p>
          <w:p w14:paraId="5A5A6F38" w14:textId="77777777" w:rsidR="00B22218" w:rsidRPr="00496C73" w:rsidRDefault="00B22218" w:rsidP="00A95D5A">
            <w:pPr>
              <w:keepNext/>
              <w:keepLines/>
              <w:spacing w:before="40"/>
              <w:rPr>
                <w:rFonts w:ascii="Arial Narrow" w:hAnsi="Arial Narrow"/>
              </w:rPr>
            </w:pPr>
            <w:r>
              <w:rPr>
                <w:rFonts w:ascii="Arial Narrow" w:hAnsi="Arial Narrow"/>
              </w:rPr>
              <w:t>TPR=1/73,290 or 1.4/100,000 newborns</w:t>
            </w:r>
          </w:p>
        </w:tc>
      </w:tr>
      <w:tr w:rsidR="00B22218" w:rsidRPr="00496C73" w14:paraId="485C148E" w14:textId="77777777" w:rsidTr="006B5B78">
        <w:trPr>
          <w:trHeight w:val="260"/>
        </w:trPr>
        <w:tc>
          <w:tcPr>
            <w:tcW w:w="1346" w:type="dxa"/>
          </w:tcPr>
          <w:p w14:paraId="212F9003" w14:textId="77777777" w:rsidR="00B22218" w:rsidRPr="00496C73" w:rsidRDefault="00B22218" w:rsidP="00A95D5A">
            <w:pPr>
              <w:keepNext/>
              <w:keepLines/>
              <w:spacing w:before="40"/>
              <w:ind w:right="-57"/>
              <w:rPr>
                <w:rFonts w:ascii="Arial Narrow" w:hAnsi="Arial Narrow"/>
              </w:rPr>
            </w:pPr>
            <w:r w:rsidRPr="00496C73">
              <w:rPr>
                <w:rFonts w:ascii="Arial Narrow" w:hAnsi="Arial Narrow"/>
              </w:rPr>
              <w:t xml:space="preserve">Hattori et al. </w:t>
            </w:r>
            <w:r w:rsidR="00CD367C">
              <w:rPr>
                <w:rFonts w:ascii="Arial Narrow" w:hAnsi="Arial Narrow"/>
              </w:rPr>
              <w:t>(</w:t>
            </w:r>
            <w:r>
              <w:rPr>
                <w:rFonts w:ascii="Arial Narrow" w:hAnsi="Arial Narrow"/>
              </w:rPr>
              <w:t>2023</w:t>
            </w:r>
            <w:r w:rsidR="00CD367C">
              <w:rPr>
                <w:rFonts w:ascii="Arial Narrow" w:hAnsi="Arial Narrow"/>
              </w:rPr>
              <w:t>)</w:t>
            </w:r>
          </w:p>
          <w:p w14:paraId="38B48E05" w14:textId="77777777" w:rsidR="00B22218" w:rsidRPr="00496C73" w:rsidRDefault="00B22218" w:rsidP="00A95D5A">
            <w:pPr>
              <w:keepNext/>
              <w:keepLines/>
              <w:spacing w:before="40"/>
              <w:jc w:val="both"/>
              <w:rPr>
                <w:rFonts w:ascii="Arial Narrow" w:hAnsi="Arial Narrow"/>
              </w:rPr>
            </w:pPr>
            <w:r w:rsidRPr="00496C73">
              <w:rPr>
                <w:rFonts w:ascii="Arial Narrow" w:hAnsi="Arial Narrow"/>
              </w:rPr>
              <w:t>Japan</w:t>
            </w:r>
          </w:p>
        </w:tc>
        <w:tc>
          <w:tcPr>
            <w:tcW w:w="1201" w:type="dxa"/>
          </w:tcPr>
          <w:p w14:paraId="01B921DF" w14:textId="77777777" w:rsidR="00B22218" w:rsidRPr="00496C73" w:rsidRDefault="00B22218" w:rsidP="00A95D5A">
            <w:pPr>
              <w:keepNext/>
              <w:keepLines/>
              <w:spacing w:before="40"/>
              <w:rPr>
                <w:rFonts w:ascii="Arial Narrow" w:hAnsi="Arial Narrow"/>
              </w:rPr>
            </w:pPr>
            <w:r w:rsidRPr="00496C73">
              <w:rPr>
                <w:rFonts w:ascii="Arial Narrow" w:hAnsi="Arial Narrow"/>
              </w:rPr>
              <w:t xml:space="preserve">N=197,700 DBS from newborns </w:t>
            </w:r>
          </w:p>
        </w:tc>
        <w:tc>
          <w:tcPr>
            <w:tcW w:w="1134" w:type="dxa"/>
          </w:tcPr>
          <w:p w14:paraId="36552980" w14:textId="77777777" w:rsidR="00B22218" w:rsidRPr="00496C73" w:rsidRDefault="00B22218" w:rsidP="00A95D5A">
            <w:pPr>
              <w:keepNext/>
              <w:keepLines/>
              <w:spacing w:before="40"/>
              <w:ind w:right="-57"/>
              <w:rPr>
                <w:rFonts w:ascii="Arial Narrow" w:hAnsi="Arial Narrow"/>
              </w:rPr>
            </w:pPr>
            <w:r w:rsidRPr="00496C73">
              <w:rPr>
                <w:rFonts w:ascii="Arial Narrow" w:hAnsi="Arial Narrow"/>
              </w:rPr>
              <w:t>Fluorometric enzyme assay</w:t>
            </w:r>
          </w:p>
          <w:p w14:paraId="7C25E3E6" w14:textId="77777777" w:rsidR="00B22218" w:rsidRPr="00496C73" w:rsidRDefault="00B22218" w:rsidP="00A95D5A">
            <w:pPr>
              <w:keepNext/>
              <w:keepLines/>
              <w:spacing w:before="40"/>
              <w:ind w:right="-57"/>
              <w:rPr>
                <w:rFonts w:ascii="Arial Narrow" w:hAnsi="Arial Narrow"/>
              </w:rPr>
            </w:pPr>
            <w:r w:rsidRPr="00496C73">
              <w:rPr>
                <w:rFonts w:ascii="Arial Narrow" w:hAnsi="Arial Narrow"/>
              </w:rPr>
              <w:t>Recall for second DBS sample</w:t>
            </w:r>
          </w:p>
        </w:tc>
        <w:tc>
          <w:tcPr>
            <w:tcW w:w="2126" w:type="dxa"/>
          </w:tcPr>
          <w:p w14:paraId="54A4DB93" w14:textId="77777777" w:rsidR="00B22218" w:rsidRPr="00496C73" w:rsidRDefault="00B22218" w:rsidP="00A95D5A">
            <w:pPr>
              <w:keepNext/>
              <w:keepLines/>
              <w:spacing w:before="40"/>
              <w:rPr>
                <w:rFonts w:ascii="Arial Narrow" w:hAnsi="Arial Narrow"/>
              </w:rPr>
            </w:pPr>
            <w:r w:rsidRPr="00496C73">
              <w:rPr>
                <w:rFonts w:ascii="Arial Narrow" w:hAnsi="Arial Narrow"/>
              </w:rPr>
              <w:t>1 MPS II</w:t>
            </w:r>
          </w:p>
          <w:p w14:paraId="53887B54" w14:textId="77777777" w:rsidR="00B22218" w:rsidRPr="00496C73" w:rsidRDefault="00B22218" w:rsidP="00A95D5A">
            <w:pPr>
              <w:keepNext/>
              <w:keepLines/>
              <w:spacing w:before="40"/>
              <w:rPr>
                <w:rFonts w:ascii="Arial Narrow" w:hAnsi="Arial Narrow"/>
              </w:rPr>
            </w:pPr>
            <w:r w:rsidRPr="00496C73">
              <w:rPr>
                <w:rFonts w:ascii="Arial Narrow" w:hAnsi="Arial Narrow"/>
              </w:rPr>
              <w:t>111 FP</w:t>
            </w:r>
          </w:p>
          <w:p w14:paraId="35F0390E" w14:textId="77777777" w:rsidR="00B22218" w:rsidRPr="00496C73" w:rsidRDefault="00B22218" w:rsidP="00A95D5A">
            <w:pPr>
              <w:keepNext/>
              <w:keepLines/>
              <w:spacing w:before="40"/>
              <w:rPr>
                <w:rFonts w:ascii="Arial Narrow" w:hAnsi="Arial Narrow"/>
              </w:rPr>
            </w:pPr>
            <w:r w:rsidRPr="00496C73">
              <w:rPr>
                <w:rFonts w:ascii="Arial Narrow" w:hAnsi="Arial Narrow"/>
              </w:rPr>
              <w:t>10 lost to follow-up</w:t>
            </w:r>
          </w:p>
        </w:tc>
        <w:tc>
          <w:tcPr>
            <w:tcW w:w="3260" w:type="dxa"/>
          </w:tcPr>
          <w:p w14:paraId="5BC9AB5F" w14:textId="77777777" w:rsidR="00B22218" w:rsidRPr="00496C73" w:rsidRDefault="00B22218" w:rsidP="00A95D5A">
            <w:pPr>
              <w:keepNext/>
              <w:keepLines/>
              <w:spacing w:before="40"/>
              <w:rPr>
                <w:rFonts w:ascii="Arial Narrow" w:hAnsi="Arial Narrow"/>
              </w:rPr>
            </w:pPr>
            <w:r w:rsidRPr="00496C73">
              <w:rPr>
                <w:rFonts w:ascii="Arial Narrow" w:hAnsi="Arial Narrow"/>
              </w:rPr>
              <w:t>SPR=122/197,700 (0.062%)</w:t>
            </w:r>
          </w:p>
          <w:p w14:paraId="62C03AD2" w14:textId="77777777" w:rsidR="00B22218" w:rsidRDefault="00B22218" w:rsidP="00A95D5A">
            <w:pPr>
              <w:keepNext/>
              <w:keepLines/>
              <w:spacing w:before="40"/>
              <w:rPr>
                <w:rFonts w:ascii="Arial Narrow" w:hAnsi="Arial Narrow"/>
              </w:rPr>
            </w:pPr>
            <w:r w:rsidRPr="00496C73">
              <w:rPr>
                <w:rFonts w:ascii="Arial Narrow" w:hAnsi="Arial Narrow"/>
              </w:rPr>
              <w:t>FPR=111/197,700 (0.056%)</w:t>
            </w:r>
          </w:p>
          <w:p w14:paraId="039D65EE" w14:textId="77777777" w:rsidR="00B22218" w:rsidRPr="00B74A87" w:rsidRDefault="00B22218" w:rsidP="00A95D5A">
            <w:pPr>
              <w:keepNext/>
              <w:keepLines/>
              <w:spacing w:before="40"/>
              <w:rPr>
                <w:rFonts w:ascii="Arial Narrow" w:hAnsi="Arial Narrow"/>
              </w:rPr>
            </w:pPr>
            <w:r w:rsidRPr="008D4588">
              <w:rPr>
                <w:rFonts w:ascii="Arial Narrow" w:hAnsi="Arial Narrow"/>
              </w:rPr>
              <w:t>TPR=</w:t>
            </w:r>
            <w:r>
              <w:rPr>
                <w:rFonts w:ascii="Arial Narrow" w:hAnsi="Arial Narrow"/>
              </w:rPr>
              <w:t>1/197,700 or 0.5/100,000 newborns</w:t>
            </w:r>
          </w:p>
        </w:tc>
      </w:tr>
      <w:tr w:rsidR="00B22218" w:rsidRPr="00496C73" w14:paraId="571E4EBC" w14:textId="77777777" w:rsidTr="006B5B78">
        <w:trPr>
          <w:trHeight w:val="260"/>
        </w:trPr>
        <w:tc>
          <w:tcPr>
            <w:tcW w:w="1346" w:type="dxa"/>
          </w:tcPr>
          <w:p w14:paraId="0F8D752A" w14:textId="77777777" w:rsidR="00B22218" w:rsidRPr="00496C73" w:rsidRDefault="00B22218" w:rsidP="00A95D5A">
            <w:pPr>
              <w:keepNext/>
              <w:keepLines/>
              <w:spacing w:before="40"/>
              <w:rPr>
                <w:rFonts w:ascii="Arial Narrow" w:hAnsi="Arial Narrow"/>
              </w:rPr>
            </w:pPr>
            <w:r>
              <w:rPr>
                <w:rFonts w:ascii="Arial Narrow" w:hAnsi="Arial Narrow"/>
              </w:rPr>
              <w:t>Lin</w:t>
            </w:r>
            <w:r w:rsidRPr="00496C73">
              <w:rPr>
                <w:rFonts w:ascii="Arial Narrow" w:hAnsi="Arial Narrow"/>
              </w:rPr>
              <w:t xml:space="preserve"> et al </w:t>
            </w:r>
            <w:r w:rsidR="00CD367C">
              <w:rPr>
                <w:rFonts w:ascii="Arial Narrow" w:hAnsi="Arial Narrow"/>
              </w:rPr>
              <w:t>(</w:t>
            </w:r>
            <w:r>
              <w:rPr>
                <w:rFonts w:ascii="Arial Narrow" w:hAnsi="Arial Narrow"/>
              </w:rPr>
              <w:t>2022</w:t>
            </w:r>
            <w:r w:rsidR="00CD367C">
              <w:rPr>
                <w:rFonts w:ascii="Arial Narrow" w:hAnsi="Arial Narrow"/>
              </w:rPr>
              <w:t>)</w:t>
            </w:r>
          </w:p>
          <w:p w14:paraId="40D47D1D" w14:textId="77777777" w:rsidR="00B22218" w:rsidRPr="00496C73" w:rsidRDefault="00B22218" w:rsidP="00A95D5A">
            <w:pPr>
              <w:keepNext/>
              <w:keepLines/>
              <w:spacing w:before="40"/>
              <w:rPr>
                <w:rFonts w:ascii="Arial Narrow" w:hAnsi="Arial Narrow"/>
              </w:rPr>
            </w:pPr>
            <w:r w:rsidRPr="00496C73">
              <w:rPr>
                <w:rFonts w:ascii="Arial Narrow" w:hAnsi="Arial Narrow"/>
              </w:rPr>
              <w:t>Taiwan</w:t>
            </w:r>
          </w:p>
        </w:tc>
        <w:tc>
          <w:tcPr>
            <w:tcW w:w="1201" w:type="dxa"/>
          </w:tcPr>
          <w:p w14:paraId="32D0857F" w14:textId="77777777" w:rsidR="00B22218" w:rsidRPr="00496C73" w:rsidRDefault="00B22218" w:rsidP="00A95D5A">
            <w:pPr>
              <w:keepNext/>
              <w:keepLines/>
              <w:spacing w:before="40"/>
              <w:rPr>
                <w:rFonts w:ascii="Arial Narrow" w:hAnsi="Arial Narrow"/>
              </w:rPr>
            </w:pPr>
            <w:r w:rsidRPr="00496C73">
              <w:rPr>
                <w:rFonts w:ascii="Arial Narrow" w:hAnsi="Arial Narrow"/>
              </w:rPr>
              <w:t>N=</w:t>
            </w:r>
            <w:r>
              <w:rPr>
                <w:rFonts w:ascii="Arial Narrow" w:hAnsi="Arial Narrow"/>
              </w:rPr>
              <w:t>548</w:t>
            </w:r>
            <w:r w:rsidRPr="00496C73">
              <w:rPr>
                <w:rFonts w:ascii="Arial Narrow" w:hAnsi="Arial Narrow"/>
              </w:rPr>
              <w:t>,</w:t>
            </w:r>
            <w:r>
              <w:rPr>
                <w:rFonts w:ascii="Arial Narrow" w:hAnsi="Arial Narrow"/>
              </w:rPr>
              <w:t>624</w:t>
            </w:r>
            <w:r w:rsidRPr="00496C73">
              <w:rPr>
                <w:rFonts w:ascii="Arial Narrow" w:hAnsi="Arial Narrow"/>
              </w:rPr>
              <w:t xml:space="preserve"> DBS from newborns</w:t>
            </w:r>
          </w:p>
        </w:tc>
        <w:tc>
          <w:tcPr>
            <w:tcW w:w="1134" w:type="dxa"/>
          </w:tcPr>
          <w:p w14:paraId="049E2950" w14:textId="77777777" w:rsidR="00B22218" w:rsidRPr="00496C73" w:rsidRDefault="00B22218" w:rsidP="00A95D5A">
            <w:pPr>
              <w:keepNext/>
              <w:keepLines/>
              <w:spacing w:before="40"/>
              <w:rPr>
                <w:rFonts w:ascii="Arial Narrow" w:hAnsi="Arial Narrow"/>
              </w:rPr>
            </w:pPr>
            <w:r w:rsidRPr="00496C73">
              <w:rPr>
                <w:rFonts w:ascii="Arial Narrow" w:hAnsi="Arial Narrow"/>
              </w:rPr>
              <w:t>LC-MS/MS IDS enzyme assay</w:t>
            </w:r>
          </w:p>
        </w:tc>
        <w:tc>
          <w:tcPr>
            <w:tcW w:w="2126" w:type="dxa"/>
          </w:tcPr>
          <w:p w14:paraId="42A3A32D" w14:textId="77777777" w:rsidR="00B22218" w:rsidRPr="00496C73" w:rsidRDefault="00B22218" w:rsidP="00A95D5A">
            <w:pPr>
              <w:keepNext/>
              <w:keepLines/>
              <w:spacing w:before="40"/>
              <w:rPr>
                <w:rFonts w:ascii="Arial Narrow" w:hAnsi="Arial Narrow"/>
              </w:rPr>
            </w:pPr>
            <w:r>
              <w:rPr>
                <w:rFonts w:ascii="Arial Narrow" w:hAnsi="Arial Narrow"/>
              </w:rPr>
              <w:t>10</w:t>
            </w:r>
            <w:r w:rsidRPr="00496C73">
              <w:rPr>
                <w:rFonts w:ascii="Arial Narrow" w:hAnsi="Arial Narrow"/>
              </w:rPr>
              <w:t xml:space="preserve"> MPS II</w:t>
            </w:r>
          </w:p>
          <w:p w14:paraId="1AB7C945" w14:textId="77777777" w:rsidR="00B22218" w:rsidRPr="00496C73" w:rsidRDefault="00B22218" w:rsidP="00A95D5A">
            <w:pPr>
              <w:keepNext/>
              <w:keepLines/>
              <w:spacing w:before="40"/>
              <w:rPr>
                <w:rFonts w:ascii="Arial Narrow" w:hAnsi="Arial Narrow"/>
              </w:rPr>
            </w:pPr>
            <w:r>
              <w:rPr>
                <w:rFonts w:ascii="Arial Narrow" w:hAnsi="Arial Narrow"/>
              </w:rPr>
              <w:t>192</w:t>
            </w:r>
            <w:r w:rsidRPr="00496C73">
              <w:rPr>
                <w:rFonts w:ascii="Arial Narrow" w:hAnsi="Arial Narrow"/>
              </w:rPr>
              <w:t xml:space="preserve"> FP (normal GAGs)</w:t>
            </w:r>
          </w:p>
        </w:tc>
        <w:tc>
          <w:tcPr>
            <w:tcW w:w="3260" w:type="dxa"/>
          </w:tcPr>
          <w:p w14:paraId="17B12054" w14:textId="77777777" w:rsidR="00B22218" w:rsidRPr="00496C73" w:rsidRDefault="00B22218" w:rsidP="00A95D5A">
            <w:pPr>
              <w:keepNext/>
              <w:keepLines/>
              <w:spacing w:before="40"/>
              <w:rPr>
                <w:rFonts w:ascii="Arial Narrow" w:hAnsi="Arial Narrow"/>
              </w:rPr>
            </w:pPr>
            <w:r w:rsidRPr="00496C73">
              <w:rPr>
                <w:rFonts w:ascii="Arial Narrow" w:hAnsi="Arial Narrow"/>
              </w:rPr>
              <w:t>SPR=</w:t>
            </w:r>
            <w:r>
              <w:rPr>
                <w:rFonts w:ascii="Arial Narrow" w:hAnsi="Arial Narrow"/>
              </w:rPr>
              <w:t>202</w:t>
            </w:r>
            <w:r w:rsidRPr="00496C73">
              <w:rPr>
                <w:rFonts w:ascii="Arial Narrow" w:hAnsi="Arial Narrow"/>
              </w:rPr>
              <w:t>/</w:t>
            </w:r>
            <w:r>
              <w:rPr>
                <w:rFonts w:ascii="Arial Narrow" w:hAnsi="Arial Narrow"/>
              </w:rPr>
              <w:t>548</w:t>
            </w:r>
            <w:r w:rsidRPr="00496C73">
              <w:rPr>
                <w:rFonts w:ascii="Arial Narrow" w:hAnsi="Arial Narrow"/>
              </w:rPr>
              <w:t>,</w:t>
            </w:r>
            <w:r>
              <w:rPr>
                <w:rFonts w:ascii="Arial Narrow" w:hAnsi="Arial Narrow"/>
              </w:rPr>
              <w:t>624</w:t>
            </w:r>
            <w:r w:rsidRPr="00496C73">
              <w:rPr>
                <w:rFonts w:ascii="Arial Narrow" w:hAnsi="Arial Narrow"/>
              </w:rPr>
              <w:t xml:space="preserve"> (0.0</w:t>
            </w:r>
            <w:r>
              <w:rPr>
                <w:rFonts w:ascii="Arial Narrow" w:hAnsi="Arial Narrow"/>
              </w:rPr>
              <w:t>37</w:t>
            </w:r>
            <w:r w:rsidRPr="00496C73">
              <w:rPr>
                <w:rFonts w:ascii="Arial Narrow" w:hAnsi="Arial Narrow"/>
              </w:rPr>
              <w:t>%)</w:t>
            </w:r>
          </w:p>
          <w:p w14:paraId="0131FC34" w14:textId="77777777" w:rsidR="00B22218" w:rsidRDefault="00B22218" w:rsidP="00A95D5A">
            <w:pPr>
              <w:keepNext/>
              <w:keepLines/>
              <w:spacing w:before="40"/>
              <w:rPr>
                <w:rFonts w:ascii="Arial Narrow" w:hAnsi="Arial Narrow"/>
              </w:rPr>
            </w:pPr>
            <w:r w:rsidRPr="00496C73">
              <w:rPr>
                <w:rFonts w:ascii="Arial Narrow" w:hAnsi="Arial Narrow"/>
              </w:rPr>
              <w:t>FPR=1</w:t>
            </w:r>
            <w:r>
              <w:rPr>
                <w:rFonts w:ascii="Arial Narrow" w:hAnsi="Arial Narrow"/>
              </w:rPr>
              <w:t>92</w:t>
            </w:r>
            <w:r w:rsidRPr="00496C73">
              <w:rPr>
                <w:rFonts w:ascii="Arial Narrow" w:hAnsi="Arial Narrow"/>
              </w:rPr>
              <w:t>/</w:t>
            </w:r>
            <w:r>
              <w:rPr>
                <w:rFonts w:ascii="Arial Narrow" w:hAnsi="Arial Narrow"/>
              </w:rPr>
              <w:t>548</w:t>
            </w:r>
            <w:r w:rsidRPr="00496C73">
              <w:rPr>
                <w:rFonts w:ascii="Arial Narrow" w:hAnsi="Arial Narrow"/>
              </w:rPr>
              <w:t>,</w:t>
            </w:r>
            <w:r>
              <w:rPr>
                <w:rFonts w:ascii="Arial Narrow" w:hAnsi="Arial Narrow"/>
              </w:rPr>
              <w:t>624</w:t>
            </w:r>
            <w:r w:rsidRPr="00496C73">
              <w:rPr>
                <w:rFonts w:ascii="Arial Narrow" w:hAnsi="Arial Narrow"/>
              </w:rPr>
              <w:t xml:space="preserve"> (0.0</w:t>
            </w:r>
            <w:r>
              <w:rPr>
                <w:rFonts w:ascii="Arial Narrow" w:hAnsi="Arial Narrow"/>
              </w:rPr>
              <w:t>35</w:t>
            </w:r>
            <w:r w:rsidRPr="00496C73">
              <w:rPr>
                <w:rFonts w:ascii="Arial Narrow" w:hAnsi="Arial Narrow"/>
              </w:rPr>
              <w:t>%)</w:t>
            </w:r>
          </w:p>
          <w:p w14:paraId="75A50784" w14:textId="77777777" w:rsidR="00B22218" w:rsidRPr="00496C73" w:rsidRDefault="00B22218" w:rsidP="00A95D5A">
            <w:pPr>
              <w:keepNext/>
              <w:keepLines/>
              <w:spacing w:before="40"/>
              <w:rPr>
                <w:rFonts w:ascii="Arial Narrow" w:hAnsi="Arial Narrow"/>
              </w:rPr>
            </w:pPr>
            <w:r>
              <w:rPr>
                <w:rFonts w:ascii="Arial Narrow" w:hAnsi="Arial Narrow"/>
              </w:rPr>
              <w:t>TPR=1/54,862 or 1.8/100,000 newborns</w:t>
            </w:r>
          </w:p>
        </w:tc>
      </w:tr>
      <w:tr w:rsidR="000E00B2" w:rsidRPr="00496C73" w14:paraId="61795D5B" w14:textId="77777777" w:rsidTr="006B5B78">
        <w:trPr>
          <w:trHeight w:val="260"/>
        </w:trPr>
        <w:tc>
          <w:tcPr>
            <w:tcW w:w="1346" w:type="dxa"/>
          </w:tcPr>
          <w:p w14:paraId="40BF6A5F" w14:textId="77777777" w:rsidR="000E00B2" w:rsidRDefault="000E00B2" w:rsidP="00A95D5A">
            <w:pPr>
              <w:keepNext/>
              <w:keepLines/>
              <w:spacing w:before="40"/>
              <w:rPr>
                <w:rFonts w:ascii="Arial Narrow" w:hAnsi="Arial Narrow"/>
              </w:rPr>
            </w:pPr>
            <w:r w:rsidRPr="00496C73">
              <w:rPr>
                <w:rFonts w:ascii="Arial Narrow" w:hAnsi="Arial Narrow"/>
              </w:rPr>
              <w:t>All NBS programs</w:t>
            </w:r>
          </w:p>
        </w:tc>
        <w:tc>
          <w:tcPr>
            <w:tcW w:w="1201" w:type="dxa"/>
          </w:tcPr>
          <w:p w14:paraId="0A60A3D2" w14:textId="77777777" w:rsidR="000E00B2" w:rsidRPr="00496C73" w:rsidRDefault="000E00B2" w:rsidP="00A95D5A">
            <w:pPr>
              <w:keepNext/>
              <w:keepLines/>
              <w:spacing w:before="40"/>
              <w:ind w:left="29"/>
              <w:rPr>
                <w:rFonts w:ascii="Arial Narrow" w:hAnsi="Arial Narrow"/>
              </w:rPr>
            </w:pPr>
            <w:r w:rsidRPr="00496C73">
              <w:rPr>
                <w:rFonts w:ascii="Arial Narrow" w:hAnsi="Arial Narrow"/>
              </w:rPr>
              <w:t>N=1,</w:t>
            </w:r>
            <w:r>
              <w:rPr>
                <w:rFonts w:ascii="Arial Narrow" w:hAnsi="Arial Narrow"/>
              </w:rPr>
              <w:t>4</w:t>
            </w:r>
            <w:r w:rsidRPr="00496C73">
              <w:rPr>
                <w:rFonts w:ascii="Arial Narrow" w:hAnsi="Arial Narrow"/>
              </w:rPr>
              <w:t>7</w:t>
            </w:r>
            <w:r>
              <w:rPr>
                <w:rFonts w:ascii="Arial Narrow" w:hAnsi="Arial Narrow"/>
              </w:rPr>
              <w:t>9,6</w:t>
            </w:r>
            <w:r w:rsidRPr="00496C73">
              <w:rPr>
                <w:rFonts w:ascii="Arial Narrow" w:hAnsi="Arial Narrow"/>
              </w:rPr>
              <w:t>0</w:t>
            </w:r>
            <w:r>
              <w:rPr>
                <w:rFonts w:ascii="Arial Narrow" w:hAnsi="Arial Narrow"/>
              </w:rPr>
              <w:t>1</w:t>
            </w:r>
            <w:r w:rsidRPr="00496C73">
              <w:rPr>
                <w:rFonts w:ascii="Arial Narrow" w:hAnsi="Arial Narrow"/>
              </w:rPr>
              <w:t xml:space="preserve"> DBS from newborns</w:t>
            </w:r>
          </w:p>
          <w:p w14:paraId="38795295" w14:textId="77777777" w:rsidR="000E00B2" w:rsidRPr="00496C73" w:rsidRDefault="000E00B2" w:rsidP="00A95D5A">
            <w:pPr>
              <w:keepNext/>
              <w:keepLines/>
              <w:spacing w:before="40"/>
              <w:rPr>
                <w:rFonts w:ascii="Arial Narrow" w:hAnsi="Arial Narrow"/>
              </w:rPr>
            </w:pPr>
            <w:r w:rsidRPr="00496C73">
              <w:rPr>
                <w:rFonts w:ascii="Arial Narrow" w:hAnsi="Arial Narrow"/>
              </w:rPr>
              <w:t>k=4</w:t>
            </w:r>
          </w:p>
        </w:tc>
        <w:tc>
          <w:tcPr>
            <w:tcW w:w="1134" w:type="dxa"/>
          </w:tcPr>
          <w:p w14:paraId="2161E6D0" w14:textId="77777777" w:rsidR="000E00B2" w:rsidRPr="00496C73" w:rsidRDefault="000E00B2" w:rsidP="00A95D5A">
            <w:pPr>
              <w:keepNext/>
              <w:keepLines/>
              <w:spacing w:before="40"/>
              <w:rPr>
                <w:rFonts w:ascii="Arial Narrow" w:hAnsi="Arial Narrow"/>
              </w:rPr>
            </w:pPr>
          </w:p>
        </w:tc>
        <w:tc>
          <w:tcPr>
            <w:tcW w:w="2126" w:type="dxa"/>
          </w:tcPr>
          <w:p w14:paraId="43E07462" w14:textId="77777777" w:rsidR="000E00B2" w:rsidRDefault="00F460DE" w:rsidP="00A95D5A">
            <w:pPr>
              <w:keepNext/>
              <w:keepLines/>
              <w:spacing w:before="40"/>
              <w:rPr>
                <w:rFonts w:ascii="Arial Narrow" w:hAnsi="Arial Narrow"/>
              </w:rPr>
            </w:pPr>
            <w:r>
              <w:rPr>
                <w:rFonts w:ascii="Arial Narrow" w:hAnsi="Arial Narrow"/>
              </w:rPr>
              <w:t>21 MPS II</w:t>
            </w:r>
          </w:p>
          <w:p w14:paraId="14DD9DA2" w14:textId="77777777" w:rsidR="00B00E24" w:rsidRDefault="00B00E24" w:rsidP="00A95D5A">
            <w:pPr>
              <w:keepNext/>
              <w:keepLines/>
              <w:spacing w:before="40"/>
              <w:rPr>
                <w:rFonts w:ascii="Arial Narrow" w:hAnsi="Arial Narrow"/>
              </w:rPr>
            </w:pPr>
          </w:p>
        </w:tc>
        <w:tc>
          <w:tcPr>
            <w:tcW w:w="3260" w:type="dxa"/>
          </w:tcPr>
          <w:p w14:paraId="14F51503" w14:textId="77777777" w:rsidR="000E00B2" w:rsidRPr="00496C73" w:rsidRDefault="000E00B2" w:rsidP="00A95D5A">
            <w:pPr>
              <w:keepNext/>
              <w:keepLines/>
              <w:tabs>
                <w:tab w:val="left" w:pos="353"/>
              </w:tabs>
              <w:spacing w:before="40"/>
              <w:rPr>
                <w:rFonts w:ascii="Arial Narrow" w:hAnsi="Arial Narrow"/>
              </w:rPr>
            </w:pPr>
            <w:r w:rsidRPr="00496C73">
              <w:rPr>
                <w:rFonts w:ascii="Arial Narrow" w:hAnsi="Arial Narrow"/>
              </w:rPr>
              <w:t>SPR=0.0</w:t>
            </w:r>
            <w:r>
              <w:rPr>
                <w:rFonts w:ascii="Arial Narrow" w:hAnsi="Arial Narrow"/>
              </w:rPr>
              <w:t>29</w:t>
            </w:r>
            <w:r w:rsidRPr="00496C73">
              <w:rPr>
                <w:rFonts w:ascii="Arial Narrow" w:hAnsi="Arial Narrow"/>
              </w:rPr>
              <w:t>% (0.</w:t>
            </w:r>
            <w:r>
              <w:rPr>
                <w:rFonts w:ascii="Arial Narrow" w:hAnsi="Arial Narrow"/>
              </w:rPr>
              <w:t>0</w:t>
            </w:r>
            <w:r w:rsidRPr="00496C73">
              <w:rPr>
                <w:rFonts w:ascii="Arial Narrow" w:hAnsi="Arial Narrow"/>
              </w:rPr>
              <w:t>1</w:t>
            </w:r>
            <w:r>
              <w:rPr>
                <w:rFonts w:ascii="Arial Narrow" w:hAnsi="Arial Narrow"/>
              </w:rPr>
              <w:t>2</w:t>
            </w:r>
            <w:r w:rsidRPr="00496C73">
              <w:rPr>
                <w:rFonts w:ascii="Arial Narrow" w:hAnsi="Arial Narrow"/>
              </w:rPr>
              <w:t>–0.</w:t>
            </w:r>
            <w:r>
              <w:rPr>
                <w:rFonts w:ascii="Arial Narrow" w:hAnsi="Arial Narrow"/>
              </w:rPr>
              <w:t>0</w:t>
            </w:r>
            <w:r w:rsidRPr="00496C73">
              <w:rPr>
                <w:rFonts w:ascii="Arial Narrow" w:hAnsi="Arial Narrow"/>
              </w:rPr>
              <w:t>62)</w:t>
            </w:r>
            <w:r w:rsidR="00C14E04">
              <w:rPr>
                <w:rFonts w:ascii="Arial Narrow" w:hAnsi="Arial Narrow"/>
              </w:rPr>
              <w:br/>
            </w:r>
            <w:r w:rsidR="00480F41">
              <w:rPr>
                <w:rFonts w:ascii="Arial Narrow" w:hAnsi="Arial Narrow"/>
              </w:rPr>
              <w:tab/>
            </w:r>
            <w:r w:rsidRPr="00496C73">
              <w:rPr>
                <w:rFonts w:ascii="Arial Narrow" w:hAnsi="Arial Narrow"/>
              </w:rPr>
              <w:t>=</w:t>
            </w:r>
            <w:r>
              <w:rPr>
                <w:rFonts w:ascii="Arial Narrow" w:hAnsi="Arial Narrow"/>
              </w:rPr>
              <w:t>29</w:t>
            </w:r>
            <w:r w:rsidRPr="00496C73">
              <w:rPr>
                <w:rFonts w:ascii="Arial Narrow" w:hAnsi="Arial Narrow"/>
              </w:rPr>
              <w:t xml:space="preserve">/100,000 </w:t>
            </w:r>
            <w:r>
              <w:rPr>
                <w:rFonts w:ascii="Arial Narrow" w:hAnsi="Arial Narrow"/>
              </w:rPr>
              <w:t>newborns</w:t>
            </w:r>
          </w:p>
          <w:p w14:paraId="1933E0AB" w14:textId="77777777" w:rsidR="000E00B2" w:rsidRPr="00496C73" w:rsidRDefault="000E00B2" w:rsidP="00A95D5A">
            <w:pPr>
              <w:keepNext/>
              <w:keepLines/>
              <w:tabs>
                <w:tab w:val="left" w:pos="319"/>
              </w:tabs>
              <w:spacing w:before="40"/>
              <w:rPr>
                <w:rFonts w:ascii="Arial Narrow" w:hAnsi="Arial Narrow"/>
              </w:rPr>
            </w:pPr>
            <w:r w:rsidRPr="00496C73">
              <w:rPr>
                <w:rFonts w:ascii="Arial Narrow" w:hAnsi="Arial Narrow"/>
              </w:rPr>
              <w:t>FPR=0.0</w:t>
            </w:r>
            <w:r>
              <w:rPr>
                <w:rFonts w:ascii="Arial Narrow" w:hAnsi="Arial Narrow"/>
              </w:rPr>
              <w:t>26</w:t>
            </w:r>
            <w:r w:rsidRPr="00496C73">
              <w:rPr>
                <w:rFonts w:ascii="Arial Narrow" w:hAnsi="Arial Narrow"/>
              </w:rPr>
              <w:t>% (0.</w:t>
            </w:r>
            <w:r>
              <w:rPr>
                <w:rFonts w:ascii="Arial Narrow" w:hAnsi="Arial Narrow"/>
              </w:rPr>
              <w:t>0</w:t>
            </w:r>
            <w:r w:rsidRPr="00496C73">
              <w:rPr>
                <w:rFonts w:ascii="Arial Narrow" w:hAnsi="Arial Narrow"/>
              </w:rPr>
              <w:t>11–0.05</w:t>
            </w:r>
            <w:r>
              <w:rPr>
                <w:rFonts w:ascii="Arial Narrow" w:hAnsi="Arial Narrow"/>
              </w:rPr>
              <w:t>6</w:t>
            </w:r>
            <w:r w:rsidRPr="00496C73">
              <w:rPr>
                <w:rFonts w:ascii="Arial Narrow" w:hAnsi="Arial Narrow"/>
              </w:rPr>
              <w:t>)</w:t>
            </w:r>
            <w:r w:rsidR="00480F41">
              <w:rPr>
                <w:rFonts w:ascii="Arial Narrow" w:hAnsi="Arial Narrow"/>
              </w:rPr>
              <w:br/>
            </w:r>
            <w:r w:rsidR="00480F41">
              <w:rPr>
                <w:rFonts w:ascii="Arial Narrow" w:hAnsi="Arial Narrow"/>
              </w:rPr>
              <w:tab/>
            </w:r>
            <w:r w:rsidRPr="00496C73">
              <w:rPr>
                <w:rFonts w:ascii="Arial Narrow" w:hAnsi="Arial Narrow"/>
              </w:rPr>
              <w:t>=</w:t>
            </w:r>
            <w:r>
              <w:rPr>
                <w:rFonts w:ascii="Arial Narrow" w:hAnsi="Arial Narrow"/>
              </w:rPr>
              <w:t>26</w:t>
            </w:r>
            <w:r w:rsidRPr="00496C73">
              <w:rPr>
                <w:rFonts w:ascii="Arial Narrow" w:hAnsi="Arial Narrow"/>
              </w:rPr>
              <w:t>/100,000</w:t>
            </w:r>
            <w:r>
              <w:rPr>
                <w:rFonts w:ascii="Arial Narrow" w:hAnsi="Arial Narrow"/>
              </w:rPr>
              <w:t xml:space="preserve"> newborns</w:t>
            </w:r>
          </w:p>
          <w:p w14:paraId="763ECC05" w14:textId="77777777" w:rsidR="000E00B2" w:rsidRPr="00496C73" w:rsidRDefault="000E00B2" w:rsidP="00A95D5A">
            <w:pPr>
              <w:keepNext/>
              <w:keepLines/>
              <w:spacing w:before="40"/>
              <w:rPr>
                <w:rFonts w:ascii="Arial Narrow" w:hAnsi="Arial Narrow"/>
              </w:rPr>
            </w:pPr>
            <w:r w:rsidRPr="00496C73">
              <w:rPr>
                <w:rFonts w:ascii="Arial Narrow" w:hAnsi="Arial Narrow"/>
              </w:rPr>
              <w:t>TP=2</w:t>
            </w:r>
            <w:r>
              <w:rPr>
                <w:rFonts w:ascii="Arial Narrow" w:hAnsi="Arial Narrow"/>
              </w:rPr>
              <w:t>1</w:t>
            </w:r>
            <w:r w:rsidRPr="00496C73">
              <w:rPr>
                <w:rFonts w:ascii="Arial Narrow" w:hAnsi="Arial Narrow"/>
              </w:rPr>
              <w:t>; TPR=1.</w:t>
            </w:r>
            <w:r>
              <w:rPr>
                <w:rFonts w:ascii="Arial Narrow" w:hAnsi="Arial Narrow"/>
              </w:rPr>
              <w:t>42</w:t>
            </w:r>
            <w:r w:rsidRPr="00496C73">
              <w:rPr>
                <w:rFonts w:ascii="Arial Narrow" w:hAnsi="Arial Narrow"/>
              </w:rPr>
              <w:t>/100,000</w:t>
            </w:r>
            <w:r>
              <w:rPr>
                <w:rFonts w:ascii="Arial Narrow" w:hAnsi="Arial Narrow"/>
              </w:rPr>
              <w:t xml:space="preserve"> newborns</w:t>
            </w:r>
          </w:p>
          <w:p w14:paraId="6225DC18" w14:textId="77777777" w:rsidR="000E00B2" w:rsidRPr="00496C73" w:rsidRDefault="000E00B2" w:rsidP="00A95D5A">
            <w:pPr>
              <w:keepNext/>
              <w:keepLines/>
              <w:spacing w:before="40"/>
              <w:rPr>
                <w:rFonts w:ascii="Arial Narrow" w:hAnsi="Arial Narrow"/>
              </w:rPr>
            </w:pPr>
            <w:r w:rsidRPr="00496C73">
              <w:rPr>
                <w:rFonts w:ascii="Arial Narrow" w:hAnsi="Arial Narrow"/>
              </w:rPr>
              <w:t>PPV=4</w:t>
            </w:r>
            <w:r w:rsidR="00F35612">
              <w:rPr>
                <w:rFonts w:ascii="Arial Narrow" w:hAnsi="Arial Narrow"/>
              </w:rPr>
              <w:t>.</w:t>
            </w:r>
            <w:r w:rsidR="0002451C">
              <w:rPr>
                <w:rFonts w:ascii="Arial Narrow" w:hAnsi="Arial Narrow"/>
              </w:rPr>
              <w:t>8</w:t>
            </w:r>
            <w:r>
              <w:rPr>
                <w:rFonts w:ascii="Arial Narrow" w:hAnsi="Arial Narrow"/>
              </w:rPr>
              <w:t>9</w:t>
            </w:r>
            <w:r w:rsidRPr="00496C73">
              <w:rPr>
                <w:rFonts w:ascii="Arial Narrow" w:hAnsi="Arial Narrow"/>
              </w:rPr>
              <w:t>%</w:t>
            </w:r>
          </w:p>
        </w:tc>
      </w:tr>
    </w:tbl>
    <w:p w14:paraId="07FF67B2" w14:textId="06E2E3A5" w:rsidR="00554A80" w:rsidRDefault="00357FEF" w:rsidP="00A95D5A">
      <w:pPr>
        <w:pStyle w:val="TableFigureFooter"/>
        <w:keepNext/>
        <w:keepLines/>
      </w:pPr>
      <w:r>
        <w:t xml:space="preserve">DBS = dried bloodspot; FP = false positive; FPR = false positive rate; IDS = iduronate 2-sulphatase; LC = liquid chromatography; LC-MS/MS = liquid chromatography- tandem mass spectrometry; MPS II = mucopolysaccharidosis Type II; MS = mass spectroscopy; MS/MS = tandem mass spectrometry; </w:t>
      </w:r>
      <w:r w:rsidR="007651A1">
        <w:t>k</w:t>
      </w:r>
      <w:r w:rsidR="00014CF8">
        <w:t xml:space="preserve"> = number of studies</w:t>
      </w:r>
      <w:r w:rsidR="009A0E0D">
        <w:t xml:space="preserve">; N = number of study participants; </w:t>
      </w:r>
      <w:r>
        <w:t>NBS = newborn bloodspot screening; PPV = positive predictive value; SPR = screen positive rate; TP = true positive; TPR = true positive rate; UPLC-MS/MS = ultra-pure liquid chromatography- tandem mass spectrometry; USA = United States of America</w:t>
      </w:r>
    </w:p>
    <w:p w14:paraId="7E83C925" w14:textId="52DF14AE" w:rsidR="009B499C" w:rsidRPr="00496C73" w:rsidRDefault="009B499C" w:rsidP="009B499C">
      <w:r w:rsidRPr="00496C73">
        <w:t xml:space="preserve">The median </w:t>
      </w:r>
      <w:r w:rsidR="00E5711B">
        <w:t>SPR</w:t>
      </w:r>
      <w:r w:rsidRPr="00496C73">
        <w:t xml:space="preserve"> for all </w:t>
      </w:r>
      <w:r w:rsidR="00644ABD">
        <w:t xml:space="preserve">4 </w:t>
      </w:r>
      <w:r w:rsidRPr="00496C73">
        <w:t>NBS programs was 0.0</w:t>
      </w:r>
      <w:r>
        <w:t>29</w:t>
      </w:r>
      <w:r w:rsidRPr="00496C73">
        <w:t>% (range 0.</w:t>
      </w:r>
      <w:r>
        <w:t>0</w:t>
      </w:r>
      <w:r w:rsidRPr="00496C73">
        <w:t>12–0.</w:t>
      </w:r>
      <w:r>
        <w:t>0</w:t>
      </w:r>
      <w:r w:rsidRPr="00496C73">
        <w:t xml:space="preserve">62%). This equated to </w:t>
      </w:r>
      <w:r>
        <w:t>29</w:t>
      </w:r>
      <w:r w:rsidRPr="00496C73">
        <w:t xml:space="preserve"> positive NBS screens per 100,000 newborns tested. The median </w:t>
      </w:r>
      <w:r w:rsidR="003B1545">
        <w:t>FPR</w:t>
      </w:r>
      <w:r w:rsidRPr="00496C73">
        <w:t xml:space="preserve"> for all </w:t>
      </w:r>
      <w:r w:rsidR="00644ABD">
        <w:t xml:space="preserve">4 </w:t>
      </w:r>
      <w:r w:rsidRPr="00496C73">
        <w:t>NBS programs was 0.0</w:t>
      </w:r>
      <w:r>
        <w:t>26</w:t>
      </w:r>
      <w:r w:rsidRPr="00496C73">
        <w:t>% (range 0.</w:t>
      </w:r>
      <w:r w:rsidR="0059159A">
        <w:t>0</w:t>
      </w:r>
      <w:r w:rsidRPr="00496C73">
        <w:t>11–0.05</w:t>
      </w:r>
      <w:r>
        <w:t>6</w:t>
      </w:r>
      <w:r w:rsidRPr="00496C73">
        <w:t xml:space="preserve">%). </w:t>
      </w:r>
      <w:r w:rsidRPr="00496C73" w:rsidDel="00126D17">
        <w:t>Overall, the NBS programs had a PPV of 4</w:t>
      </w:r>
      <w:r w:rsidR="00624273">
        <w:t>.89</w:t>
      </w:r>
      <w:r w:rsidRPr="00496C73" w:rsidDel="00126D17">
        <w:t>%.</w:t>
      </w:r>
    </w:p>
    <w:p w14:paraId="20C8948B" w14:textId="77777777" w:rsidR="009B499C" w:rsidRDefault="009B499C" w:rsidP="009B499C">
      <w:r w:rsidRPr="00496C73">
        <w:t>There were 2</w:t>
      </w:r>
      <w:r>
        <w:t>1</w:t>
      </w:r>
      <w:r w:rsidRPr="00496C73">
        <w:t xml:space="preserve"> newborns with MPS II detected among a total of 1,</w:t>
      </w:r>
      <w:r>
        <w:t>479</w:t>
      </w:r>
      <w:r w:rsidRPr="00496C73">
        <w:t>,</w:t>
      </w:r>
      <w:r>
        <w:t>6</w:t>
      </w:r>
      <w:r w:rsidRPr="00496C73">
        <w:t>0</w:t>
      </w:r>
      <w:r>
        <w:t>1</w:t>
      </w:r>
      <w:r w:rsidRPr="00496C73">
        <w:t xml:space="preserve"> newborns screened. This equated to 1.</w:t>
      </w:r>
      <w:r>
        <w:t>42</w:t>
      </w:r>
      <w:r w:rsidRPr="00496C73">
        <w:t xml:space="preserve"> per 100,000 newborns being diagnosed with MPS II via NBS programs.</w:t>
      </w:r>
    </w:p>
    <w:p w14:paraId="49F754F7" w14:textId="77777777" w:rsidR="00A336EC" w:rsidRPr="00A336EC" w:rsidRDefault="00A336EC" w:rsidP="005C1436">
      <w:pPr>
        <w:pStyle w:val="Heading5"/>
      </w:pPr>
      <w:r w:rsidRPr="00A336EC">
        <w:t>LC-MS/MS to measure GAG disaccharides as a second-tier NBS test</w:t>
      </w:r>
    </w:p>
    <w:p w14:paraId="3083519C" w14:textId="12ECD035" w:rsidR="00A336EC" w:rsidRPr="00A336EC" w:rsidRDefault="49739B35" w:rsidP="00A336EC">
      <w:r w:rsidRPr="7C4E3BA4">
        <w:t>NRE-GAG analysis is the preferred second-tier test according to the ratified PICO for MSAC application 177</w:t>
      </w:r>
      <w:r w:rsidR="73F2E7E8" w:rsidRPr="7C4E3BA4">
        <w:t>6</w:t>
      </w:r>
      <w:r w:rsidRPr="7C4E3BA4">
        <w:t>. Although this test is being used as a second-tier test for NBS in some states in the USA, no results from these programs have yet been published. The only published report of using NRE-GAG analysis on DBS is a case-control study with a small sample size (n=45; 7 with MPS I), reporting 100% sensitivity and specificity</w:t>
      </w:r>
      <w:r w:rsidR="007A0A69" w:rsidRPr="7C4E3BA4">
        <w:rPr>
          <w:rStyle w:val="FootnoteReference"/>
        </w:rPr>
        <w:footnoteReference w:id="20"/>
      </w:r>
      <w:r w:rsidRPr="7C4E3BA4">
        <w:t xml:space="preserve">. Thus, the accuracy of using this methodology for second-tier screening is uncertain </w:t>
      </w:r>
      <w:r w:rsidR="34D77146" w:rsidRPr="7C4E3BA4">
        <w:t>due to the limited volume of data</w:t>
      </w:r>
      <w:r w:rsidRPr="7C4E3BA4">
        <w:t>.</w:t>
      </w:r>
    </w:p>
    <w:p w14:paraId="38DEAB42" w14:textId="7178BF47" w:rsidR="00A336EC" w:rsidRPr="00A336EC" w:rsidRDefault="59032FFA" w:rsidP="00A336EC">
      <w:r w:rsidRPr="7C4E3BA4">
        <w:lastRenderedPageBreak/>
        <w:t>However, one study reported on the use of GAG digestion (another method of GAG disaccharide analysis) as a second-tier assay in an NBS program</w:t>
      </w:r>
      <w:r w:rsidR="00F063A3" w:rsidRPr="7C4E3BA4">
        <w:rPr>
          <w:rStyle w:val="FootnoteReference"/>
        </w:rPr>
        <w:footnoteReference w:id="21"/>
      </w:r>
      <w:r w:rsidRPr="7C4E3BA4">
        <w:t xml:space="preserve">. The </w:t>
      </w:r>
      <w:r w:rsidR="37C7DB11" w:rsidRPr="7C4E3BA4">
        <w:t>FPR</w:t>
      </w:r>
      <w:r w:rsidRPr="7C4E3BA4">
        <w:t xml:space="preserve"> in this study was 0%. This would improve the PPV from the current 4</w:t>
      </w:r>
      <w:r w:rsidR="21AA1B85" w:rsidRPr="7C4E3BA4">
        <w:t>.</w:t>
      </w:r>
      <w:r w:rsidRPr="7C4E3BA4">
        <w:t>8</w:t>
      </w:r>
      <w:r w:rsidR="21AA1B85" w:rsidRPr="7C4E3BA4">
        <w:t>9</w:t>
      </w:r>
      <w:r w:rsidRPr="7C4E3BA4">
        <w:t xml:space="preserve">% to 100%. Thus, GAG disaccharide analysis could provide a promising second tier assay that would largely, if not entirely, eliminate </w:t>
      </w:r>
      <w:r w:rsidR="019FE389" w:rsidRPr="7C4E3BA4">
        <w:t>false po</w:t>
      </w:r>
      <w:r w:rsidR="70EA1C4B" w:rsidRPr="7C4E3BA4">
        <w:t>s</w:t>
      </w:r>
      <w:r w:rsidR="019FE389" w:rsidRPr="7C4E3BA4">
        <w:t>itives</w:t>
      </w:r>
      <w:r w:rsidRPr="7C4E3BA4">
        <w:t xml:space="preserve"> and reduce the number of newborns requiring clinical evaluation</w:t>
      </w:r>
      <w:r w:rsidR="49739B35" w:rsidRPr="7C4E3BA4">
        <w:t>.</w:t>
      </w:r>
    </w:p>
    <w:p w14:paraId="515CD7CB" w14:textId="77777777" w:rsidR="00A336EC" w:rsidRPr="00A336EC" w:rsidRDefault="00A336EC" w:rsidP="005C1436">
      <w:pPr>
        <w:pStyle w:val="Heading5"/>
      </w:pPr>
      <w:r w:rsidRPr="00A336EC">
        <w:t>Summary</w:t>
      </w:r>
    </w:p>
    <w:p w14:paraId="71CF7842" w14:textId="1FDD6DF9" w:rsidR="00A336EC" w:rsidRPr="00A336EC" w:rsidRDefault="0A5282ED" w:rsidP="00A336EC">
      <w:pPr>
        <w:jc w:val="both"/>
      </w:pPr>
      <w:r w:rsidRPr="7C4E3BA4">
        <w:t xml:space="preserve">Australian NBS programs </w:t>
      </w:r>
      <w:r w:rsidR="323D9379" w:rsidRPr="7C4E3BA4">
        <w:t>would</w:t>
      </w:r>
      <w:r w:rsidR="054EF7EA" w:rsidRPr="7C4E3BA4">
        <w:t xml:space="preserve"> </w:t>
      </w:r>
      <w:r w:rsidRPr="7C4E3BA4">
        <w:t xml:space="preserve">most likely use an IDS enzyme assay as a first-tier test and include retesting of any DBSs with low enzyme activity as part of the screening algorithm. When the outcomes from the four NBS programs included in this report were analysed, it was found that 29/100,000 newborns would have a positive first-tier screening result. With an annual birth rate of approximately 300,000 babies per year, Australian NBS laboratories would be testing approximately 87 DBS samples using a second-tier test, which </w:t>
      </w:r>
      <w:r w:rsidR="323D9379" w:rsidRPr="7C4E3BA4">
        <w:t xml:space="preserve">would </w:t>
      </w:r>
      <w:r w:rsidRPr="7C4E3BA4">
        <w:t xml:space="preserve">most likely be the NRE-GAG test and would most likely occur in the NRL in Adelaide. </w:t>
      </w:r>
      <w:r w:rsidR="667F37AB" w:rsidRPr="7C4E3BA4">
        <w:t>T</w:t>
      </w:r>
      <w:r w:rsidRPr="7C4E3BA4">
        <w:t xml:space="preserve">he NRE-GAG test is expected to eliminate all false positive results such that only those who have MPS II </w:t>
      </w:r>
      <w:r w:rsidR="323D9379" w:rsidRPr="7C4E3BA4">
        <w:t>would</w:t>
      </w:r>
      <w:r w:rsidR="054EF7EA" w:rsidRPr="7C4E3BA4">
        <w:t xml:space="preserve"> </w:t>
      </w:r>
      <w:r w:rsidRPr="7C4E3BA4">
        <w:t xml:space="preserve">be recalled for clinical confirmatory diagnosis. This would result in the NBS programs </w:t>
      </w:r>
      <w:r w:rsidR="667F37AB" w:rsidRPr="7C4E3BA4">
        <w:t>in Australia</w:t>
      </w:r>
      <w:r w:rsidRPr="7C4E3BA4">
        <w:t xml:space="preserve"> having a PPV and NPV of (or very close to) 100%. Worldwide, 1.42 cases of MPS II per 100,000 newborns </w:t>
      </w:r>
      <w:r w:rsidR="1279FDF8" w:rsidRPr="7C4E3BA4">
        <w:t xml:space="preserve">screened </w:t>
      </w:r>
      <w:r w:rsidRPr="7C4E3BA4">
        <w:t>were detected via NBS programs</w:t>
      </w:r>
      <w:r w:rsidR="361A6E81" w:rsidRPr="7C4E3BA4">
        <w:t>.</w:t>
      </w:r>
      <w:r w:rsidRPr="7C4E3BA4">
        <w:t xml:space="preserve"> </w:t>
      </w:r>
      <w:r w:rsidR="361A6E81" w:rsidRPr="7C4E3BA4">
        <w:t xml:space="preserve">Assuming that the overseas data are applicable to Australia, </w:t>
      </w:r>
      <w:r w:rsidR="27444DB5" w:rsidRPr="7C4E3BA4">
        <w:t xml:space="preserve">this would </w:t>
      </w:r>
      <w:r w:rsidRPr="7C4E3BA4">
        <w:t>indicat</w:t>
      </w:r>
      <w:r w:rsidR="27444DB5" w:rsidRPr="7C4E3BA4">
        <w:t>e</w:t>
      </w:r>
      <w:r w:rsidRPr="7C4E3BA4">
        <w:t xml:space="preserve"> that approximately 4 cases of MPS II per year would be identified across Australia via the NBS programs</w:t>
      </w:r>
      <w:r w:rsidR="7E2C79FF" w:rsidRPr="7C4E3BA4">
        <w:t>.</w:t>
      </w:r>
    </w:p>
    <w:p w14:paraId="3F45834C" w14:textId="77777777" w:rsidR="00A336EC" w:rsidRPr="00A336EC" w:rsidRDefault="00A336EC" w:rsidP="005C1436">
      <w:pPr>
        <w:pStyle w:val="Heading4"/>
        <w:rPr>
          <w:i w:val="0"/>
        </w:rPr>
      </w:pPr>
      <w:r w:rsidRPr="00A336EC">
        <w:t>Linked evidence of change in management</w:t>
      </w:r>
    </w:p>
    <w:p w14:paraId="68CAD63F" w14:textId="6512C7E9" w:rsidR="008A62F7" w:rsidRPr="00496C73" w:rsidRDefault="005E68B7" w:rsidP="008A62F7">
      <w:r w:rsidRPr="00496C73">
        <w:t>A total of</w:t>
      </w:r>
      <w:r>
        <w:t xml:space="preserve"> </w:t>
      </w:r>
      <w:r w:rsidRPr="002B7FC1">
        <w:t>68 studies</w:t>
      </w:r>
      <w:r w:rsidRPr="00496C73">
        <w:t xml:space="preserve"> met the inclusion criteria for assessing change in management following </w:t>
      </w:r>
      <w:r>
        <w:t xml:space="preserve">diagnosis of MPS II through NBS (k=5) </w:t>
      </w:r>
      <w:r w:rsidRPr="00496C73">
        <w:t xml:space="preserve">compared </w:t>
      </w:r>
      <w:r>
        <w:t>with no NBS (k=63)</w:t>
      </w:r>
      <w:r w:rsidR="00453870">
        <w:t>.</w:t>
      </w:r>
    </w:p>
    <w:p w14:paraId="488A0E58" w14:textId="5934C5F6" w:rsidR="007B3C5F" w:rsidRDefault="007225DF" w:rsidP="00F3322F">
      <w:pPr>
        <w:pStyle w:val="Heading5"/>
      </w:pPr>
      <w:r>
        <w:t>Time to diagnosis</w:t>
      </w:r>
    </w:p>
    <w:p w14:paraId="73552F8A" w14:textId="7E99814F" w:rsidR="00D52F5C" w:rsidRDefault="37DD9112" w:rsidP="005244CA">
      <w:r w:rsidRPr="7C4E3BA4">
        <w:t xml:space="preserve">No studies were identified that reported on the presence of a diagnostic </w:t>
      </w:r>
      <w:r w:rsidR="00C3552F">
        <w:t>delay</w:t>
      </w:r>
      <w:r w:rsidR="00C3552F" w:rsidRPr="7C4E3BA4">
        <w:t xml:space="preserve"> </w:t>
      </w:r>
      <w:r w:rsidRPr="7C4E3BA4">
        <w:t xml:space="preserve">in patients </w:t>
      </w:r>
      <w:r w:rsidR="3F3DD182" w:rsidRPr="7C4E3BA4">
        <w:t>with</w:t>
      </w:r>
      <w:r w:rsidRPr="7C4E3BA4">
        <w:t xml:space="preserve"> MPS II who </w:t>
      </w:r>
      <w:r w:rsidR="3F3DD182" w:rsidRPr="7C4E3BA4">
        <w:t xml:space="preserve">were </w:t>
      </w:r>
      <w:r w:rsidRPr="7C4E3BA4">
        <w:t>diagnosed through NBS. On the contrary, 1</w:t>
      </w:r>
      <w:r w:rsidR="0DF0EFD0" w:rsidRPr="7C4E3BA4">
        <w:t>3</w:t>
      </w:r>
      <w:r w:rsidRPr="7C4E3BA4">
        <w:t xml:space="preserve"> case series were identified that reported on the length of </w:t>
      </w:r>
      <w:r w:rsidR="00C3552F">
        <w:t>time</w:t>
      </w:r>
      <w:r w:rsidRPr="7C4E3BA4">
        <w:t xml:space="preserve"> from the onset of clinical signs and symptoms to diagnosis for patients with MPS II </w:t>
      </w:r>
      <w:r w:rsidR="3F3DD182" w:rsidRPr="7C4E3BA4">
        <w:t>who were diagnosed</w:t>
      </w:r>
      <w:r w:rsidRPr="7C4E3BA4">
        <w:t xml:space="preserve"> without NBS</w:t>
      </w:r>
      <w:r w:rsidR="79F57040" w:rsidRPr="7C4E3BA4">
        <w:t xml:space="preserve"> (</w:t>
      </w:r>
      <w:r w:rsidR="000B5AD4">
        <w:fldChar w:fldCharType="begin"/>
      </w:r>
      <w:r w:rsidR="000B5AD4">
        <w:instrText xml:space="preserve"> REF _Ref178768247 \h </w:instrText>
      </w:r>
      <w:r w:rsidR="000B5AD4">
        <w:fldChar w:fldCharType="separate"/>
      </w:r>
      <w:r w:rsidR="007F08FA" w:rsidDel="009D183F">
        <w:t xml:space="preserve">Table </w:t>
      </w:r>
      <w:r w:rsidR="00797B68" w:rsidDel="009D183F">
        <w:rPr>
          <w:noProof/>
        </w:rPr>
        <w:t>5</w:t>
      </w:r>
      <w:r w:rsidR="000B5AD4">
        <w:fldChar w:fldCharType="end"/>
      </w:r>
      <w:r w:rsidR="79F57040" w:rsidRPr="7C4E3BA4">
        <w:t>)</w:t>
      </w:r>
      <w:r w:rsidR="1B20B866" w:rsidRPr="7C4E3BA4">
        <w:t xml:space="preserve">. </w:t>
      </w:r>
      <w:r w:rsidR="733C3FF4" w:rsidRPr="7C4E3BA4">
        <w:t xml:space="preserve">The median </w:t>
      </w:r>
      <w:r w:rsidR="462EB717" w:rsidRPr="7C4E3BA4">
        <w:t xml:space="preserve">time </w:t>
      </w:r>
      <w:r w:rsidR="2801E2D8" w:rsidRPr="7C4E3BA4">
        <w:t xml:space="preserve">between symptom onset and </w:t>
      </w:r>
      <w:r w:rsidR="13169D5D" w:rsidRPr="7C4E3BA4">
        <w:t>diagnosis for severe (</w:t>
      </w:r>
      <w:r w:rsidR="3487686E" w:rsidRPr="7C4E3BA4">
        <w:t>neuronopathic) cases</w:t>
      </w:r>
      <w:r w:rsidR="30A427E2" w:rsidRPr="7C4E3BA4">
        <w:t xml:space="preserve"> from 4 case series </w:t>
      </w:r>
      <w:r w:rsidR="4D382289" w:rsidRPr="7C4E3BA4">
        <w:t xml:space="preserve">involving </w:t>
      </w:r>
      <w:r w:rsidR="44288225" w:rsidRPr="7C4E3BA4">
        <w:t xml:space="preserve">350 cases </w:t>
      </w:r>
      <w:r w:rsidR="1FEAA902" w:rsidRPr="7C4E3BA4">
        <w:t xml:space="preserve">was 1.5 years (range 0 – 9.2 years). </w:t>
      </w:r>
      <w:r w:rsidR="79F57040" w:rsidRPr="7C4E3BA4">
        <w:t xml:space="preserve">The median time between symptom onset and diagnosis for </w:t>
      </w:r>
      <w:r w:rsidR="2CE574F3" w:rsidRPr="7C4E3BA4">
        <w:t>attenuated</w:t>
      </w:r>
      <w:r w:rsidR="79F57040" w:rsidRPr="7C4E3BA4">
        <w:t xml:space="preserve"> (</w:t>
      </w:r>
      <w:r w:rsidR="2CE574F3" w:rsidRPr="7C4E3BA4">
        <w:t>non-</w:t>
      </w:r>
      <w:r w:rsidR="79F57040" w:rsidRPr="7C4E3BA4">
        <w:t xml:space="preserve">neuronopathic) cases from </w:t>
      </w:r>
      <w:r w:rsidR="2CE574F3" w:rsidRPr="7C4E3BA4">
        <w:t>6</w:t>
      </w:r>
      <w:r w:rsidR="79F57040" w:rsidRPr="7C4E3BA4">
        <w:t xml:space="preserve"> case series involving </w:t>
      </w:r>
      <w:r w:rsidR="2CE574F3" w:rsidRPr="7C4E3BA4">
        <w:t>284</w:t>
      </w:r>
      <w:r w:rsidR="79F57040" w:rsidRPr="7C4E3BA4">
        <w:t xml:space="preserve"> cases was </w:t>
      </w:r>
      <w:r w:rsidR="5B94E10C" w:rsidRPr="7C4E3BA4">
        <w:t>2.03</w:t>
      </w:r>
      <w:r w:rsidR="79F57040" w:rsidRPr="7C4E3BA4">
        <w:t xml:space="preserve"> years (range 0 – </w:t>
      </w:r>
      <w:r w:rsidR="5B94E10C" w:rsidRPr="7C4E3BA4">
        <w:t>18</w:t>
      </w:r>
      <w:r w:rsidR="79F57040" w:rsidRPr="7C4E3BA4">
        <w:t xml:space="preserve"> years).</w:t>
      </w:r>
      <w:r w:rsidR="49212266" w:rsidRPr="7C4E3BA4">
        <w:t xml:space="preserve"> Fr</w:t>
      </w:r>
      <w:r w:rsidR="02E6ADE6" w:rsidRPr="7C4E3BA4">
        <w:t xml:space="preserve">om 3 small case series reporting on </w:t>
      </w:r>
      <w:r w:rsidR="4DC45A6E" w:rsidRPr="7C4E3BA4">
        <w:t>26 patients</w:t>
      </w:r>
      <w:r w:rsidR="12D06F81" w:rsidRPr="7C4E3BA4">
        <w:t xml:space="preserve"> </w:t>
      </w:r>
      <w:r w:rsidR="4B42F76C" w:rsidRPr="7C4E3BA4">
        <w:t xml:space="preserve">in which cases were not classified into severe or attenuated types, </w:t>
      </w:r>
      <w:r w:rsidR="21D9FF75" w:rsidRPr="7C4E3BA4">
        <w:t>the overall</w:t>
      </w:r>
      <w:r w:rsidR="4B42F76C" w:rsidRPr="7C4E3BA4">
        <w:t xml:space="preserve"> median </w:t>
      </w:r>
      <w:r w:rsidR="007B62E2">
        <w:t>time to diagnosis</w:t>
      </w:r>
      <w:r w:rsidR="4B42F76C" w:rsidRPr="7C4E3BA4">
        <w:t xml:space="preserve"> </w:t>
      </w:r>
      <w:r w:rsidR="21D9FF75" w:rsidRPr="7C4E3BA4">
        <w:t>was</w:t>
      </w:r>
      <w:r w:rsidR="4B42F76C" w:rsidRPr="7C4E3BA4">
        <w:t xml:space="preserve"> 2.5 years</w:t>
      </w:r>
      <w:r w:rsidR="3B23EDEF" w:rsidRPr="7C4E3BA4">
        <w:t xml:space="preserve"> (range 0 – 19 years)</w:t>
      </w:r>
      <w:r w:rsidR="526DCF52" w:rsidRPr="7C4E3BA4">
        <w:t>.</w:t>
      </w:r>
      <w:r w:rsidR="04EBE559" w:rsidRPr="7C4E3BA4">
        <w:t xml:space="preserve"> </w:t>
      </w:r>
    </w:p>
    <w:p w14:paraId="260DBEB7" w14:textId="64F9A91C" w:rsidR="00EA2268" w:rsidRPr="00496C73" w:rsidRDefault="00C9090F" w:rsidP="005244CA">
      <w:r>
        <w:t>Th</w:t>
      </w:r>
      <w:r w:rsidR="00305FCC">
        <w:t>ose affected with the</w:t>
      </w:r>
      <w:r>
        <w:t xml:space="preserve"> </w:t>
      </w:r>
      <w:r w:rsidR="00EA255B">
        <w:t xml:space="preserve">attenuated </w:t>
      </w:r>
      <w:r w:rsidR="006A724E">
        <w:t xml:space="preserve">phenotype </w:t>
      </w:r>
      <w:r w:rsidR="00A45A5E">
        <w:t>of MP</w:t>
      </w:r>
      <w:r w:rsidR="00305FCC">
        <w:t xml:space="preserve">S II experienced a </w:t>
      </w:r>
      <w:r w:rsidR="000C55B0">
        <w:t xml:space="preserve">longer </w:t>
      </w:r>
      <w:r w:rsidR="00A87616">
        <w:t xml:space="preserve">diagnostic delay </w:t>
      </w:r>
      <w:r w:rsidR="000C55B0">
        <w:t>(</w:t>
      </w:r>
      <w:r w:rsidR="006132A2">
        <w:t>by around 6 months</w:t>
      </w:r>
      <w:r w:rsidR="0064785A">
        <w:t xml:space="preserve"> </w:t>
      </w:r>
      <w:r w:rsidR="007E2405">
        <w:t>lon</w:t>
      </w:r>
      <w:r w:rsidR="003D775B">
        <w:t>ger</w:t>
      </w:r>
      <w:r w:rsidR="0064785A">
        <w:t xml:space="preserve"> median time </w:t>
      </w:r>
      <w:r w:rsidR="00D842B8">
        <w:t xml:space="preserve">and </w:t>
      </w:r>
      <w:r w:rsidR="003D775B">
        <w:t>almost do</w:t>
      </w:r>
      <w:r w:rsidR="006F1F0C">
        <w:t xml:space="preserve">uble </w:t>
      </w:r>
      <w:r w:rsidR="00482EE4">
        <w:t>the upper limit of the range</w:t>
      </w:r>
      <w:r w:rsidR="006132A2">
        <w:t>)</w:t>
      </w:r>
      <w:r w:rsidR="006B7ADF">
        <w:t>, compared to those with the severe phenotype.</w:t>
      </w:r>
      <w:r w:rsidR="00EA2268" w:rsidRPr="00496C73">
        <w:t xml:space="preserve"> </w:t>
      </w:r>
      <w:r w:rsidR="00FA2533">
        <w:t>Moreover</w:t>
      </w:r>
      <w:r w:rsidR="00EA2268" w:rsidRPr="00496C73">
        <w:t xml:space="preserve">, </w:t>
      </w:r>
      <w:r w:rsidR="003352B3">
        <w:t>individual</w:t>
      </w:r>
      <w:r w:rsidR="00323399" w:rsidRPr="00496C73">
        <w:t xml:space="preserve">s </w:t>
      </w:r>
      <w:r w:rsidR="00323399">
        <w:t xml:space="preserve">with </w:t>
      </w:r>
      <w:r w:rsidR="00EA2268" w:rsidRPr="00496C73">
        <w:t>attenuated</w:t>
      </w:r>
      <w:r w:rsidR="00323399">
        <w:t xml:space="preserve"> disease</w:t>
      </w:r>
      <w:r w:rsidR="00EA2268" w:rsidRPr="00496C73">
        <w:t xml:space="preserve"> also experience mild neurocognitive impairment without regression which can manifest as poor adaptive skills, neurocognitive difficulties, and attention difficulties, therefore, classification of cases as attenuated/non-neuronopathic var</w:t>
      </w:r>
      <w:r w:rsidR="00EA2268">
        <w:t>ied</w:t>
      </w:r>
      <w:r w:rsidR="00EA2268" w:rsidRPr="00496C73">
        <w:t xml:space="preserve"> across studies. </w:t>
      </w:r>
    </w:p>
    <w:p w14:paraId="785A3670" w14:textId="4F31A9D8" w:rsidR="00481B5E" w:rsidRDefault="00481B5E" w:rsidP="005244CA">
      <w:pPr>
        <w:pStyle w:val="Caption"/>
        <w:keepLines/>
        <w:tabs>
          <w:tab w:val="clear" w:pos="993"/>
          <w:tab w:val="left" w:pos="851"/>
        </w:tabs>
        <w:spacing w:before="360" w:after="40"/>
        <w:ind w:left="851" w:hanging="851"/>
      </w:pPr>
      <w:bookmarkStart w:id="35" w:name="_Ref178768247"/>
      <w:r>
        <w:lastRenderedPageBreak/>
        <w:t xml:space="preserve">Table </w:t>
      </w:r>
      <w:r w:rsidR="009D183F">
        <w:fldChar w:fldCharType="begin"/>
      </w:r>
      <w:r w:rsidR="009D183F">
        <w:instrText xml:space="preserve"> SEQ Table \* ARABIC </w:instrText>
      </w:r>
      <w:r w:rsidR="009D183F">
        <w:fldChar w:fldCharType="separate"/>
      </w:r>
      <w:r w:rsidR="009D183F">
        <w:rPr>
          <w:noProof/>
        </w:rPr>
        <w:t>5</w:t>
      </w:r>
      <w:r w:rsidR="009D183F">
        <w:rPr>
          <w:noProof/>
        </w:rPr>
        <w:fldChar w:fldCharType="end"/>
      </w:r>
      <w:bookmarkEnd w:id="35"/>
      <w:r>
        <w:t xml:space="preserve"> </w:t>
      </w:r>
      <w:r w:rsidR="007B62E2">
        <w:t>Time to diagnosis</w:t>
      </w:r>
      <w:r>
        <w:t xml:space="preserve"> in the absence of NBS</w:t>
      </w:r>
    </w:p>
    <w:tbl>
      <w:tblPr>
        <w:tblStyle w:val="TableGrid"/>
        <w:tblW w:w="0" w:type="auto"/>
        <w:tblLook w:val="04A0" w:firstRow="1" w:lastRow="0" w:firstColumn="1" w:lastColumn="0" w:noHBand="0" w:noVBand="1"/>
      </w:tblPr>
      <w:tblGrid>
        <w:gridCol w:w="2689"/>
        <w:gridCol w:w="1701"/>
        <w:gridCol w:w="1842"/>
        <w:gridCol w:w="2784"/>
      </w:tblGrid>
      <w:tr w:rsidR="00BA590A" w14:paraId="3CB124A5" w14:textId="77777777" w:rsidTr="006B5B78">
        <w:tc>
          <w:tcPr>
            <w:tcW w:w="2689" w:type="dxa"/>
          </w:tcPr>
          <w:p w14:paraId="37E75D3A" w14:textId="77777777" w:rsidR="00BA590A" w:rsidRDefault="00BA590A" w:rsidP="005244CA">
            <w:pPr>
              <w:pStyle w:val="In-tableHeading"/>
              <w:spacing w:before="40" w:after="40"/>
              <w:ind w:left="110"/>
            </w:pPr>
            <w:r>
              <w:t>Phenotype</w:t>
            </w:r>
          </w:p>
        </w:tc>
        <w:tc>
          <w:tcPr>
            <w:tcW w:w="1701" w:type="dxa"/>
          </w:tcPr>
          <w:p w14:paraId="41F03B55" w14:textId="77777777" w:rsidR="00BA590A" w:rsidRDefault="00BA590A" w:rsidP="005244CA">
            <w:pPr>
              <w:pStyle w:val="In-tableHeading"/>
              <w:spacing w:before="40" w:after="40"/>
              <w:ind w:left="110"/>
            </w:pPr>
            <w:r>
              <w:t>Number of studies</w:t>
            </w:r>
          </w:p>
        </w:tc>
        <w:tc>
          <w:tcPr>
            <w:tcW w:w="1842" w:type="dxa"/>
          </w:tcPr>
          <w:p w14:paraId="38210DBC" w14:textId="77777777" w:rsidR="00BA590A" w:rsidRDefault="00BA590A" w:rsidP="005244CA">
            <w:pPr>
              <w:pStyle w:val="In-tableHeading"/>
              <w:spacing w:before="40" w:after="40"/>
              <w:ind w:left="110"/>
            </w:pPr>
            <w:r>
              <w:t>Number of patients</w:t>
            </w:r>
          </w:p>
        </w:tc>
        <w:tc>
          <w:tcPr>
            <w:tcW w:w="2784" w:type="dxa"/>
          </w:tcPr>
          <w:p w14:paraId="6718C7AD" w14:textId="77777777" w:rsidR="00BA590A" w:rsidRDefault="00BA590A" w:rsidP="005244CA">
            <w:pPr>
              <w:pStyle w:val="In-tableHeading"/>
              <w:spacing w:before="40" w:after="40"/>
              <w:ind w:left="110"/>
            </w:pPr>
            <w:r>
              <w:t>Median time from symptom onset to diagnosis</w:t>
            </w:r>
          </w:p>
        </w:tc>
      </w:tr>
      <w:tr w:rsidR="00BA590A" w14:paraId="35838834" w14:textId="77777777" w:rsidTr="006B5B78">
        <w:tc>
          <w:tcPr>
            <w:tcW w:w="2689" w:type="dxa"/>
          </w:tcPr>
          <w:p w14:paraId="72D79DE3" w14:textId="1721DF94" w:rsidR="00BA590A" w:rsidRDefault="00BA590A" w:rsidP="005244CA">
            <w:pPr>
              <w:pStyle w:val="TableText"/>
              <w:ind w:left="110"/>
            </w:pPr>
            <w:r>
              <w:t>Neuronopathic (severe)</w:t>
            </w:r>
          </w:p>
        </w:tc>
        <w:tc>
          <w:tcPr>
            <w:tcW w:w="1701" w:type="dxa"/>
          </w:tcPr>
          <w:p w14:paraId="54D10666" w14:textId="77777777" w:rsidR="00BA590A" w:rsidRDefault="00BA590A" w:rsidP="005244CA">
            <w:pPr>
              <w:pStyle w:val="TableText"/>
              <w:ind w:left="110"/>
              <w:jc w:val="center"/>
            </w:pPr>
            <w:r>
              <w:t>4</w:t>
            </w:r>
          </w:p>
        </w:tc>
        <w:tc>
          <w:tcPr>
            <w:tcW w:w="1842" w:type="dxa"/>
          </w:tcPr>
          <w:p w14:paraId="71EF577C" w14:textId="77777777" w:rsidR="00BA590A" w:rsidRDefault="00BA590A" w:rsidP="005244CA">
            <w:pPr>
              <w:pStyle w:val="TableText"/>
              <w:ind w:left="110"/>
              <w:jc w:val="center"/>
            </w:pPr>
            <w:r>
              <w:t>350</w:t>
            </w:r>
          </w:p>
        </w:tc>
        <w:tc>
          <w:tcPr>
            <w:tcW w:w="2784" w:type="dxa"/>
          </w:tcPr>
          <w:p w14:paraId="05FC277D" w14:textId="77777777" w:rsidR="00BA590A" w:rsidRDefault="00BA590A" w:rsidP="005244CA">
            <w:pPr>
              <w:pStyle w:val="TableText"/>
              <w:ind w:left="110"/>
            </w:pPr>
            <w:r>
              <w:t>1.5 years (range 0 – 9.2 years)</w:t>
            </w:r>
          </w:p>
        </w:tc>
      </w:tr>
      <w:tr w:rsidR="00BA590A" w14:paraId="0A38723E" w14:textId="77777777" w:rsidTr="006B5B78">
        <w:tc>
          <w:tcPr>
            <w:tcW w:w="2689" w:type="dxa"/>
          </w:tcPr>
          <w:p w14:paraId="120D09A9" w14:textId="6A5F11F8" w:rsidR="00BA590A" w:rsidRDefault="00BA590A" w:rsidP="005244CA">
            <w:pPr>
              <w:pStyle w:val="TableText"/>
              <w:ind w:left="110"/>
            </w:pPr>
            <w:r>
              <w:t>Non-neuronopathic (attenuated)</w:t>
            </w:r>
          </w:p>
        </w:tc>
        <w:tc>
          <w:tcPr>
            <w:tcW w:w="1701" w:type="dxa"/>
          </w:tcPr>
          <w:p w14:paraId="193858E9" w14:textId="77777777" w:rsidR="00BA590A" w:rsidRDefault="00BA590A" w:rsidP="005244CA">
            <w:pPr>
              <w:pStyle w:val="TableText"/>
              <w:ind w:left="110"/>
              <w:jc w:val="center"/>
            </w:pPr>
            <w:r>
              <w:t>6</w:t>
            </w:r>
          </w:p>
        </w:tc>
        <w:tc>
          <w:tcPr>
            <w:tcW w:w="1842" w:type="dxa"/>
          </w:tcPr>
          <w:p w14:paraId="21B7A52F" w14:textId="77777777" w:rsidR="00BA590A" w:rsidRDefault="00BA590A" w:rsidP="005244CA">
            <w:pPr>
              <w:pStyle w:val="TableText"/>
              <w:ind w:left="110"/>
              <w:jc w:val="center"/>
            </w:pPr>
            <w:r>
              <w:t>284</w:t>
            </w:r>
          </w:p>
        </w:tc>
        <w:tc>
          <w:tcPr>
            <w:tcW w:w="2784" w:type="dxa"/>
          </w:tcPr>
          <w:p w14:paraId="1D48BAF1" w14:textId="77777777" w:rsidR="00BA590A" w:rsidRDefault="00BA590A" w:rsidP="005244CA">
            <w:pPr>
              <w:pStyle w:val="TableText"/>
              <w:ind w:left="110"/>
            </w:pPr>
            <w:r>
              <w:t>2.03 years (range 0 – 18 years)</w:t>
            </w:r>
          </w:p>
        </w:tc>
      </w:tr>
      <w:tr w:rsidR="00BA590A" w14:paraId="3B24B45D" w14:textId="77777777" w:rsidTr="006B5B78">
        <w:tc>
          <w:tcPr>
            <w:tcW w:w="2689" w:type="dxa"/>
          </w:tcPr>
          <w:p w14:paraId="32835AF6" w14:textId="77777777" w:rsidR="00BA590A" w:rsidRDefault="009E1AD0" w:rsidP="005244CA">
            <w:pPr>
              <w:pStyle w:val="TableText"/>
              <w:ind w:left="110"/>
            </w:pPr>
            <w:r>
              <w:t>Not Specified</w:t>
            </w:r>
          </w:p>
        </w:tc>
        <w:tc>
          <w:tcPr>
            <w:tcW w:w="1701" w:type="dxa"/>
          </w:tcPr>
          <w:p w14:paraId="7445702C" w14:textId="77777777" w:rsidR="00BA590A" w:rsidRDefault="00BA590A" w:rsidP="005244CA">
            <w:pPr>
              <w:pStyle w:val="TableText"/>
              <w:ind w:left="110"/>
              <w:jc w:val="center"/>
            </w:pPr>
            <w:r>
              <w:t>3</w:t>
            </w:r>
          </w:p>
        </w:tc>
        <w:tc>
          <w:tcPr>
            <w:tcW w:w="1842" w:type="dxa"/>
          </w:tcPr>
          <w:p w14:paraId="26ED3BE6" w14:textId="77777777" w:rsidR="00BA590A" w:rsidRDefault="00BA590A" w:rsidP="005244CA">
            <w:pPr>
              <w:pStyle w:val="TableText"/>
              <w:ind w:left="110"/>
              <w:jc w:val="center"/>
            </w:pPr>
            <w:r>
              <w:t>26</w:t>
            </w:r>
          </w:p>
        </w:tc>
        <w:tc>
          <w:tcPr>
            <w:tcW w:w="2784" w:type="dxa"/>
          </w:tcPr>
          <w:p w14:paraId="761FC064" w14:textId="77777777" w:rsidR="00BA590A" w:rsidRDefault="00BA590A" w:rsidP="005244CA">
            <w:pPr>
              <w:pStyle w:val="TableText"/>
              <w:ind w:left="110"/>
            </w:pPr>
            <w:r>
              <w:t>2.5 years (range 0 – 19 years)</w:t>
            </w:r>
          </w:p>
        </w:tc>
      </w:tr>
    </w:tbl>
    <w:p w14:paraId="0A282D54" w14:textId="77777777" w:rsidR="00554A80" w:rsidRDefault="00357FEF" w:rsidP="00FF33B7">
      <w:pPr>
        <w:pStyle w:val="TableFigureFooter"/>
      </w:pPr>
      <w:r>
        <w:t>NBS = newborn bloodspot screening</w:t>
      </w:r>
    </w:p>
    <w:p w14:paraId="425FA550" w14:textId="0FE02E59" w:rsidR="00E25EB4" w:rsidRDefault="00F138DD" w:rsidP="00F3322F">
      <w:pPr>
        <w:pStyle w:val="Heading5"/>
        <w:spacing w:before="240"/>
      </w:pPr>
      <w:r w:rsidRPr="00AC7652">
        <w:t>Age at Diagnosis</w:t>
      </w:r>
      <w:r w:rsidR="00D05F33" w:rsidRPr="00AC7652">
        <w:t xml:space="preserve"> </w:t>
      </w:r>
      <w:r w:rsidR="004C46D8" w:rsidRPr="00AC7652">
        <w:t xml:space="preserve">via NBS </w:t>
      </w:r>
      <w:r w:rsidR="00AC7652" w:rsidRPr="00AC7652">
        <w:t>compared to no NBS</w:t>
      </w:r>
    </w:p>
    <w:p w14:paraId="6A55D7EF" w14:textId="64830F55" w:rsidR="00860169" w:rsidRDefault="005B7A3A" w:rsidP="005244CA">
      <w:r>
        <w:t>A naïve comparison of the age of diagnosis in the presence or absence of NBS was undertaken.</w:t>
      </w:r>
      <w:r w:rsidR="00860169">
        <w:t xml:space="preserve"> One study reported on the median</w:t>
      </w:r>
      <w:r w:rsidR="00860169" w:rsidRPr="0042744E">
        <w:t xml:space="preserve"> age at diagnosis since the introduction of NBS </w:t>
      </w:r>
      <w:r w:rsidR="00860169">
        <w:t xml:space="preserve">in Taiwan </w:t>
      </w:r>
      <w:r w:rsidR="00860169" w:rsidRPr="0042744E">
        <w:t>in 2016</w:t>
      </w:r>
      <w:r w:rsidR="00860169">
        <w:t xml:space="preserve">. </w:t>
      </w:r>
      <w:r w:rsidR="00860169" w:rsidRPr="00496C73">
        <w:t xml:space="preserve">This included </w:t>
      </w:r>
      <w:r w:rsidR="00660A4A">
        <w:t>6</w:t>
      </w:r>
      <w:r w:rsidR="00660A4A" w:rsidRPr="00496C73">
        <w:t xml:space="preserve"> </w:t>
      </w:r>
      <w:r w:rsidR="00860169" w:rsidRPr="00496C73">
        <w:t xml:space="preserve">patients </w:t>
      </w:r>
      <w:r w:rsidR="00A046A9">
        <w:t xml:space="preserve">diagnosed </w:t>
      </w:r>
      <w:r w:rsidR="00860169" w:rsidRPr="00496C73">
        <w:t xml:space="preserve">with </w:t>
      </w:r>
      <w:r w:rsidR="00A046A9">
        <w:t xml:space="preserve">MPS II due to NBS at a </w:t>
      </w:r>
      <w:r w:rsidR="00860169" w:rsidRPr="00496C73">
        <w:t>median age of 0.15 years</w:t>
      </w:r>
      <w:r w:rsidR="005064DA">
        <w:t xml:space="preserve"> (range: 0.1 – 0.2 years)</w:t>
      </w:r>
      <w:r w:rsidR="00860169" w:rsidRPr="00496C73">
        <w:t xml:space="preserve"> </w:t>
      </w:r>
      <w:r w:rsidR="00A046A9">
        <w:t>between</w:t>
      </w:r>
      <w:r w:rsidR="00860169" w:rsidRPr="00496C73">
        <w:t xml:space="preserve"> 2016 </w:t>
      </w:r>
      <w:r w:rsidR="00A046A9">
        <w:t>and</w:t>
      </w:r>
      <w:r w:rsidR="00860169" w:rsidRPr="00496C73">
        <w:t xml:space="preserve"> 2019</w:t>
      </w:r>
      <w:r w:rsidR="00163219">
        <w:rPr>
          <w:rStyle w:val="FootnoteReference"/>
        </w:rPr>
        <w:footnoteReference w:id="22"/>
      </w:r>
      <w:r w:rsidR="00860169" w:rsidRPr="00496C73">
        <w:t>.</w:t>
      </w:r>
      <w:r w:rsidR="00860169">
        <w:t xml:space="preserve"> </w:t>
      </w:r>
    </w:p>
    <w:p w14:paraId="7A49DEE9" w14:textId="0F4586A2" w:rsidR="00860169" w:rsidRDefault="003E4844" w:rsidP="005244CA">
      <w:r>
        <w:t xml:space="preserve">Based on data from </w:t>
      </w:r>
      <w:r w:rsidR="00860169">
        <w:t>a case series</w:t>
      </w:r>
      <w:r w:rsidR="00E34547">
        <w:t xml:space="preserve"> (</w:t>
      </w:r>
      <w:r w:rsidR="00A41998">
        <w:t>n=6</w:t>
      </w:r>
      <w:r w:rsidR="00CA1B6C">
        <w:t>)</w:t>
      </w:r>
      <w:r w:rsidR="00E438C7">
        <w:rPr>
          <w:rStyle w:val="FootnoteReference"/>
        </w:rPr>
        <w:footnoteReference w:id="23"/>
      </w:r>
      <w:r w:rsidR="00FA6287">
        <w:t xml:space="preserve">, </w:t>
      </w:r>
      <w:r w:rsidR="00D20887">
        <w:t xml:space="preserve">the </w:t>
      </w:r>
      <w:r w:rsidR="00860169" w:rsidRPr="009D6466">
        <w:t xml:space="preserve">Australia and New Zealand Transplant &amp; Cellular Therapies (ANZTCT) registry </w:t>
      </w:r>
      <w:r w:rsidR="00860169">
        <w:t>patients who received HSCT</w:t>
      </w:r>
      <w:r w:rsidR="00941964">
        <w:t xml:space="preserve"> (</w:t>
      </w:r>
      <w:r w:rsidR="004A1671">
        <w:t>n</w:t>
      </w:r>
      <w:r w:rsidR="00941964">
        <w:t>=</w:t>
      </w:r>
      <w:r w:rsidR="00B30AFE" w:rsidRPr="00005B99">
        <w:rPr>
          <w:b/>
          <w:bCs/>
        </w:rPr>
        <w:t>REDACTED</w:t>
      </w:r>
      <w:r w:rsidR="00941964" w:rsidRPr="00011DA9">
        <w:t>)</w:t>
      </w:r>
      <w:r w:rsidR="00D20887" w:rsidRPr="00B30AFE">
        <w:t>,</w:t>
      </w:r>
      <w:r w:rsidR="00860169">
        <w:t xml:space="preserve"> and </w:t>
      </w:r>
      <w:r w:rsidR="00860169" w:rsidRPr="009D6466">
        <w:t>MPS II patients who receiv</w:t>
      </w:r>
      <w:r w:rsidR="00860169">
        <w:t>e</w:t>
      </w:r>
      <w:r w:rsidR="00817C9E">
        <w:t>d</w:t>
      </w:r>
      <w:r w:rsidR="00860169" w:rsidRPr="009D6466">
        <w:t xml:space="preserve"> ERT </w:t>
      </w:r>
      <w:r w:rsidR="00D20585">
        <w:t>via</w:t>
      </w:r>
      <w:r w:rsidR="00860169">
        <w:t xml:space="preserve"> </w:t>
      </w:r>
      <w:r w:rsidR="00860169" w:rsidRPr="009D6466">
        <w:t xml:space="preserve">the LSDP from 2014 </w:t>
      </w:r>
      <w:r w:rsidR="00860169">
        <w:t>–</w:t>
      </w:r>
      <w:r w:rsidR="00860169" w:rsidRPr="009D6466">
        <w:t xml:space="preserve"> 2024</w:t>
      </w:r>
      <w:r w:rsidR="00860169">
        <w:t xml:space="preserve"> </w:t>
      </w:r>
      <w:r w:rsidR="006D0D2C">
        <w:t>(</w:t>
      </w:r>
      <w:r w:rsidR="004A1671">
        <w:t>n</w:t>
      </w:r>
      <w:r w:rsidR="006D0D2C">
        <w:t>=</w:t>
      </w:r>
      <w:r w:rsidR="00B30AFE" w:rsidRPr="00005B99">
        <w:rPr>
          <w:b/>
          <w:bCs/>
        </w:rPr>
        <w:t>REDACTED</w:t>
      </w:r>
      <w:r w:rsidR="006D0D2C">
        <w:t xml:space="preserve">), </w:t>
      </w:r>
      <w:r w:rsidR="00860169">
        <w:t xml:space="preserve">the median age at diagnosis of MPS II </w:t>
      </w:r>
      <w:r w:rsidR="006D0D2C">
        <w:t xml:space="preserve">was </w:t>
      </w:r>
      <w:r w:rsidR="00B30AFE" w:rsidRPr="00005B99">
        <w:rPr>
          <w:b/>
          <w:bCs/>
        </w:rPr>
        <w:t>REDACTED</w:t>
      </w:r>
      <w:r w:rsidR="006D0D2C" w:rsidRPr="006D0D2C">
        <w:t xml:space="preserve"> </w:t>
      </w:r>
      <w:r w:rsidR="00FC080A">
        <w:t xml:space="preserve">(range </w:t>
      </w:r>
      <w:r w:rsidR="00FC080A" w:rsidRPr="2999AA76">
        <w:rPr>
          <w:b/>
        </w:rPr>
        <w:t>REDACTED</w:t>
      </w:r>
      <w:r w:rsidR="00FC1F74">
        <w:t xml:space="preserve">) </w:t>
      </w:r>
      <w:r w:rsidR="006D0D2C">
        <w:t>in Australia.</w:t>
      </w:r>
      <w:r w:rsidR="00860169">
        <w:t xml:space="preserve">  </w:t>
      </w:r>
    </w:p>
    <w:p w14:paraId="7EF990D8" w14:textId="3CCB869B" w:rsidR="00860169" w:rsidRDefault="00860169" w:rsidP="005244CA">
      <w:r w:rsidRPr="00496C73">
        <w:t>Globally, in 12 case series (n</w:t>
      </w:r>
      <w:r w:rsidR="006D0D2C" w:rsidRPr="00496C73">
        <w:t xml:space="preserve"> </w:t>
      </w:r>
      <w:r w:rsidRPr="00496C73">
        <w:t xml:space="preserve">= 402), </w:t>
      </w:r>
      <w:r>
        <w:t xml:space="preserve">the </w:t>
      </w:r>
      <w:r w:rsidRPr="00496C73">
        <w:t xml:space="preserve">median age </w:t>
      </w:r>
      <w:r>
        <w:t>at</w:t>
      </w:r>
      <w:r w:rsidRPr="00496C73">
        <w:t xml:space="preserve"> diagnosis for severe </w:t>
      </w:r>
      <w:r w:rsidR="00DD1710">
        <w:t xml:space="preserve">disease </w:t>
      </w:r>
      <w:r w:rsidRPr="00496C73">
        <w:t>cases was 3.1 years (range 0.5 – 14)</w:t>
      </w:r>
      <w:r>
        <w:t>. T</w:t>
      </w:r>
      <w:r w:rsidRPr="00496C73">
        <w:t xml:space="preserve">he median age </w:t>
      </w:r>
      <w:r>
        <w:t>at</w:t>
      </w:r>
      <w:r w:rsidRPr="00496C73">
        <w:t xml:space="preserve"> diagnosis for </w:t>
      </w:r>
      <w:r w:rsidR="007B6917">
        <w:t xml:space="preserve">cases of </w:t>
      </w:r>
      <w:r w:rsidRPr="00496C73">
        <w:t xml:space="preserve">attenuated </w:t>
      </w:r>
      <w:r w:rsidR="007B6917">
        <w:t>disease</w:t>
      </w:r>
      <w:r w:rsidRPr="00496C73">
        <w:t xml:space="preserve"> </w:t>
      </w:r>
      <w:r w:rsidR="007B6917">
        <w:t>was</w:t>
      </w:r>
      <w:r w:rsidRPr="00496C73">
        <w:t xml:space="preserve"> reported in </w:t>
      </w:r>
      <w:r w:rsidR="009C6909">
        <w:t>9</w:t>
      </w:r>
      <w:r w:rsidR="009C6909" w:rsidRPr="00496C73">
        <w:t xml:space="preserve"> </w:t>
      </w:r>
      <w:r w:rsidRPr="00496C73">
        <w:t xml:space="preserve">case series (n= 130) </w:t>
      </w:r>
      <w:r>
        <w:t>wa</w:t>
      </w:r>
      <w:r w:rsidRPr="00496C73">
        <w:t xml:space="preserve">s significantly higher than severe </w:t>
      </w:r>
      <w:r w:rsidR="00DD1710">
        <w:t xml:space="preserve">disease </w:t>
      </w:r>
      <w:r w:rsidRPr="00496C73">
        <w:t>cases (median 6 years</w:t>
      </w:r>
      <w:r>
        <w:t xml:space="preserve">, </w:t>
      </w:r>
      <w:r w:rsidRPr="00496C73">
        <w:t>range 2.9 – 14)</w:t>
      </w:r>
      <w:r>
        <w:t xml:space="preserve">. </w:t>
      </w:r>
      <w:r w:rsidRPr="00496C73">
        <w:t xml:space="preserve">In </w:t>
      </w:r>
      <w:r w:rsidR="00DB1E52">
        <w:t>9</w:t>
      </w:r>
      <w:r w:rsidR="00DB1E52" w:rsidRPr="00496C73">
        <w:t xml:space="preserve"> </w:t>
      </w:r>
      <w:r w:rsidRPr="00496C73">
        <w:t>case series where cases were not classified into severe or attenuated type, the median age of diagnosis was 3 years (range 0 – 59.7 years)</w:t>
      </w:r>
      <w:r w:rsidR="00632C39">
        <w:t>.</w:t>
      </w:r>
      <w:r w:rsidRPr="00496C73">
        <w:t xml:space="preserve"> Two patients were diagnosed at the age of 53 and 59.7 years; these may be considered outliers. If these are excluded, the age range was 0 – 22 years.</w:t>
      </w:r>
      <w:r w:rsidR="00632C39">
        <w:t xml:space="preserve"> The results are summarised in </w:t>
      </w:r>
      <w:r w:rsidR="00632C39">
        <w:fldChar w:fldCharType="begin"/>
      </w:r>
      <w:r w:rsidR="00632C39">
        <w:instrText xml:space="preserve"> REF _Ref178772805 \h </w:instrText>
      </w:r>
      <w:r w:rsidR="00632C39">
        <w:fldChar w:fldCharType="separate"/>
      </w:r>
      <w:r w:rsidR="007F08FA" w:rsidDel="009D183F">
        <w:t xml:space="preserve">Table </w:t>
      </w:r>
      <w:r w:rsidR="00797B68" w:rsidDel="009D183F">
        <w:rPr>
          <w:noProof/>
        </w:rPr>
        <w:t>6</w:t>
      </w:r>
      <w:r w:rsidR="00632C39">
        <w:fldChar w:fldCharType="end"/>
      </w:r>
      <w:r w:rsidR="00632C39">
        <w:t>.</w:t>
      </w:r>
    </w:p>
    <w:p w14:paraId="4736A694" w14:textId="3EEEF1AC" w:rsidR="00860169" w:rsidRDefault="09E88087" w:rsidP="005244CA">
      <w:r w:rsidRPr="7C4E3BA4">
        <w:t xml:space="preserve">NBS would result in earlier diagnosis for all three phenotypes, but the length of time between when </w:t>
      </w:r>
      <w:r w:rsidR="319EC16E" w:rsidRPr="7C4E3BA4">
        <w:t xml:space="preserve">individuals </w:t>
      </w:r>
      <w:r w:rsidRPr="7C4E3BA4">
        <w:t xml:space="preserve">would be diagnosed due to NBS and when they would be diagnosed without NBS </w:t>
      </w:r>
      <w:r w:rsidR="32F7C7B7" w:rsidRPr="7C4E3BA4">
        <w:t>varied</w:t>
      </w:r>
      <w:r w:rsidRPr="7C4E3BA4">
        <w:t xml:space="preserve"> between phenotypes. Given the age at diagnosis for attenuated MPS II types, some of these </w:t>
      </w:r>
      <w:r w:rsidR="319EC16E" w:rsidRPr="7C4E3BA4">
        <w:t xml:space="preserve">individuals </w:t>
      </w:r>
      <w:r w:rsidRPr="7C4E3BA4">
        <w:t xml:space="preserve">may require decades of follow-up before symptoms emerge. </w:t>
      </w:r>
    </w:p>
    <w:p w14:paraId="16A15C34" w14:textId="0A3A197C" w:rsidR="00632C39" w:rsidRDefault="00632C39" w:rsidP="005244CA">
      <w:pPr>
        <w:pStyle w:val="Caption"/>
      </w:pPr>
      <w:bookmarkStart w:id="36" w:name="_Ref178772805"/>
      <w:r>
        <w:t xml:space="preserve">Table </w:t>
      </w:r>
      <w:r w:rsidR="009D183F">
        <w:fldChar w:fldCharType="begin"/>
      </w:r>
      <w:r w:rsidR="009D183F">
        <w:instrText xml:space="preserve"> SEQ Table \* ARABIC </w:instrText>
      </w:r>
      <w:r w:rsidR="009D183F">
        <w:fldChar w:fldCharType="separate"/>
      </w:r>
      <w:r w:rsidR="009D183F">
        <w:rPr>
          <w:noProof/>
        </w:rPr>
        <w:t>6</w:t>
      </w:r>
      <w:r w:rsidR="009D183F">
        <w:rPr>
          <w:noProof/>
        </w:rPr>
        <w:fldChar w:fldCharType="end"/>
      </w:r>
      <w:bookmarkEnd w:id="36"/>
      <w:r>
        <w:t xml:space="preserve"> </w:t>
      </w:r>
      <w:r w:rsidRPr="00820E92">
        <w:t>Age at diagnosis of MPS I</w:t>
      </w:r>
      <w:r w:rsidR="00473B95">
        <w:t>I</w:t>
      </w:r>
      <w:r w:rsidRPr="00820E92">
        <w:t xml:space="preserve"> in the presence or absence of NBS</w:t>
      </w:r>
    </w:p>
    <w:tbl>
      <w:tblPr>
        <w:tblStyle w:val="TableGrid"/>
        <w:tblW w:w="0" w:type="auto"/>
        <w:tblLook w:val="04A0" w:firstRow="1" w:lastRow="0" w:firstColumn="1" w:lastColumn="0" w:noHBand="0" w:noVBand="1"/>
      </w:tblPr>
      <w:tblGrid>
        <w:gridCol w:w="2830"/>
        <w:gridCol w:w="1560"/>
        <w:gridCol w:w="1559"/>
        <w:gridCol w:w="3067"/>
      </w:tblGrid>
      <w:tr w:rsidR="002655FC" w14:paraId="39170945" w14:textId="77777777" w:rsidTr="006B5B78">
        <w:tc>
          <w:tcPr>
            <w:tcW w:w="2830" w:type="dxa"/>
          </w:tcPr>
          <w:p w14:paraId="475AE19A" w14:textId="77777777" w:rsidR="002655FC" w:rsidRDefault="002655FC" w:rsidP="005244CA">
            <w:pPr>
              <w:pStyle w:val="In-tableHeading"/>
              <w:spacing w:before="40" w:after="40"/>
              <w:ind w:left="110"/>
            </w:pPr>
            <w:r>
              <w:t>Phenotype</w:t>
            </w:r>
          </w:p>
        </w:tc>
        <w:tc>
          <w:tcPr>
            <w:tcW w:w="1560" w:type="dxa"/>
            <w:vAlign w:val="center"/>
          </w:tcPr>
          <w:p w14:paraId="048D98F5" w14:textId="77777777" w:rsidR="002655FC" w:rsidRDefault="002655FC" w:rsidP="00D94DCC">
            <w:pPr>
              <w:pStyle w:val="In-tableHeading"/>
              <w:spacing w:before="40" w:after="40"/>
              <w:ind w:left="110"/>
              <w:jc w:val="center"/>
            </w:pPr>
            <w:r>
              <w:t>Number of studies</w:t>
            </w:r>
          </w:p>
        </w:tc>
        <w:tc>
          <w:tcPr>
            <w:tcW w:w="1559" w:type="dxa"/>
            <w:vAlign w:val="center"/>
          </w:tcPr>
          <w:p w14:paraId="47319179" w14:textId="77777777" w:rsidR="002655FC" w:rsidRDefault="002655FC" w:rsidP="00D94DCC">
            <w:pPr>
              <w:pStyle w:val="In-tableHeading"/>
              <w:spacing w:before="40" w:after="40"/>
              <w:ind w:left="110"/>
              <w:jc w:val="center"/>
            </w:pPr>
            <w:r>
              <w:t>Number of patients</w:t>
            </w:r>
          </w:p>
        </w:tc>
        <w:tc>
          <w:tcPr>
            <w:tcW w:w="3067" w:type="dxa"/>
          </w:tcPr>
          <w:p w14:paraId="53A697B6" w14:textId="21758058" w:rsidR="002655FC" w:rsidRDefault="002655FC" w:rsidP="005244CA">
            <w:pPr>
              <w:pStyle w:val="In-tableHeading"/>
              <w:spacing w:before="40" w:after="40"/>
              <w:ind w:left="110"/>
            </w:pPr>
            <w:r>
              <w:t xml:space="preserve">Median </w:t>
            </w:r>
            <w:r w:rsidR="0041445E">
              <w:t>age at</w:t>
            </w:r>
            <w:r>
              <w:t xml:space="preserve"> diagnosis</w:t>
            </w:r>
          </w:p>
        </w:tc>
      </w:tr>
      <w:tr w:rsidR="00632C39" w14:paraId="6C7A795A" w14:textId="77777777" w:rsidTr="006B5B78">
        <w:tc>
          <w:tcPr>
            <w:tcW w:w="9016" w:type="dxa"/>
            <w:gridSpan w:val="4"/>
          </w:tcPr>
          <w:p w14:paraId="43CB61F9" w14:textId="77777777" w:rsidR="00632C39" w:rsidRDefault="00632C39" w:rsidP="005244CA">
            <w:pPr>
              <w:pStyle w:val="In-tableHeading"/>
              <w:spacing w:before="40" w:after="40"/>
              <w:ind w:left="110"/>
            </w:pPr>
            <w:r>
              <w:t>Without NBS</w:t>
            </w:r>
          </w:p>
        </w:tc>
      </w:tr>
      <w:tr w:rsidR="002655FC" w14:paraId="5BC2B305" w14:textId="77777777" w:rsidTr="006B5B78">
        <w:tc>
          <w:tcPr>
            <w:tcW w:w="2830" w:type="dxa"/>
          </w:tcPr>
          <w:p w14:paraId="318E611D" w14:textId="66AFC80B" w:rsidR="002655FC" w:rsidRDefault="002655FC" w:rsidP="005244CA">
            <w:pPr>
              <w:pStyle w:val="TableText"/>
              <w:ind w:left="110"/>
            </w:pPr>
            <w:r>
              <w:t>Neuronopathic (severe)</w:t>
            </w:r>
          </w:p>
        </w:tc>
        <w:tc>
          <w:tcPr>
            <w:tcW w:w="1560" w:type="dxa"/>
          </w:tcPr>
          <w:p w14:paraId="3E307345" w14:textId="77777777" w:rsidR="002655FC" w:rsidRDefault="002655FC" w:rsidP="005244CA">
            <w:pPr>
              <w:pStyle w:val="TableText"/>
              <w:ind w:left="110"/>
              <w:jc w:val="center"/>
            </w:pPr>
            <w:r>
              <w:t>12</w:t>
            </w:r>
          </w:p>
        </w:tc>
        <w:tc>
          <w:tcPr>
            <w:tcW w:w="1559" w:type="dxa"/>
          </w:tcPr>
          <w:p w14:paraId="63C300D2" w14:textId="77777777" w:rsidR="002655FC" w:rsidRDefault="002655FC" w:rsidP="005244CA">
            <w:pPr>
              <w:pStyle w:val="TableText"/>
              <w:ind w:left="110"/>
              <w:jc w:val="center"/>
            </w:pPr>
            <w:r>
              <w:t>402</w:t>
            </w:r>
          </w:p>
        </w:tc>
        <w:tc>
          <w:tcPr>
            <w:tcW w:w="3067" w:type="dxa"/>
          </w:tcPr>
          <w:p w14:paraId="4B036190" w14:textId="77777777" w:rsidR="002655FC" w:rsidRDefault="002655FC" w:rsidP="005244CA">
            <w:pPr>
              <w:pStyle w:val="TableText"/>
              <w:ind w:left="110"/>
            </w:pPr>
            <w:r>
              <w:t>3.1 years (range 0.5 – 14 years)</w:t>
            </w:r>
          </w:p>
        </w:tc>
      </w:tr>
      <w:tr w:rsidR="002655FC" w14:paraId="33B87D4A" w14:textId="77777777" w:rsidTr="006B5B78">
        <w:tc>
          <w:tcPr>
            <w:tcW w:w="2830" w:type="dxa"/>
          </w:tcPr>
          <w:p w14:paraId="575A9B42" w14:textId="710E21A9" w:rsidR="002655FC" w:rsidRDefault="002655FC" w:rsidP="005244CA">
            <w:pPr>
              <w:pStyle w:val="TableText"/>
              <w:ind w:left="110"/>
            </w:pPr>
            <w:r>
              <w:t>Non-neuronopathic (attenuated)</w:t>
            </w:r>
          </w:p>
        </w:tc>
        <w:tc>
          <w:tcPr>
            <w:tcW w:w="1560" w:type="dxa"/>
          </w:tcPr>
          <w:p w14:paraId="4A032804" w14:textId="77777777" w:rsidR="002655FC" w:rsidRDefault="002655FC" w:rsidP="005244CA">
            <w:pPr>
              <w:pStyle w:val="TableText"/>
              <w:ind w:left="110"/>
              <w:jc w:val="center"/>
            </w:pPr>
            <w:r>
              <w:t>9</w:t>
            </w:r>
          </w:p>
        </w:tc>
        <w:tc>
          <w:tcPr>
            <w:tcW w:w="1559" w:type="dxa"/>
          </w:tcPr>
          <w:p w14:paraId="7622F0A6" w14:textId="77777777" w:rsidR="002655FC" w:rsidRDefault="002655FC" w:rsidP="005244CA">
            <w:pPr>
              <w:pStyle w:val="TableText"/>
              <w:ind w:left="110"/>
              <w:jc w:val="center"/>
            </w:pPr>
            <w:r>
              <w:t>130</w:t>
            </w:r>
          </w:p>
        </w:tc>
        <w:tc>
          <w:tcPr>
            <w:tcW w:w="3067" w:type="dxa"/>
          </w:tcPr>
          <w:p w14:paraId="35771048" w14:textId="77777777" w:rsidR="002655FC" w:rsidRDefault="002655FC" w:rsidP="005244CA">
            <w:pPr>
              <w:pStyle w:val="TableText"/>
              <w:ind w:left="110"/>
            </w:pPr>
            <w:r>
              <w:t>6 years (range 2.9 – 14 years)</w:t>
            </w:r>
          </w:p>
        </w:tc>
      </w:tr>
      <w:tr w:rsidR="002655FC" w14:paraId="5C29047A" w14:textId="77777777" w:rsidTr="006B5B78">
        <w:tc>
          <w:tcPr>
            <w:tcW w:w="2830" w:type="dxa"/>
          </w:tcPr>
          <w:p w14:paraId="47AB3F46" w14:textId="77777777" w:rsidR="002655FC" w:rsidRDefault="009E1AD0" w:rsidP="005244CA">
            <w:pPr>
              <w:pStyle w:val="TableText"/>
              <w:ind w:left="110"/>
            </w:pPr>
            <w:r>
              <w:t>Not Specified</w:t>
            </w:r>
          </w:p>
        </w:tc>
        <w:tc>
          <w:tcPr>
            <w:tcW w:w="1560" w:type="dxa"/>
          </w:tcPr>
          <w:p w14:paraId="0FA72D89" w14:textId="77777777" w:rsidR="002655FC" w:rsidRDefault="002655FC" w:rsidP="005244CA">
            <w:pPr>
              <w:pStyle w:val="TableText"/>
              <w:ind w:left="110"/>
              <w:jc w:val="center"/>
            </w:pPr>
            <w:r>
              <w:t>11</w:t>
            </w:r>
          </w:p>
        </w:tc>
        <w:tc>
          <w:tcPr>
            <w:tcW w:w="1559" w:type="dxa"/>
          </w:tcPr>
          <w:p w14:paraId="1B8A90BA" w14:textId="77777777" w:rsidR="002655FC" w:rsidRDefault="002655FC" w:rsidP="005244CA">
            <w:pPr>
              <w:pStyle w:val="TableText"/>
              <w:ind w:left="110"/>
              <w:jc w:val="center"/>
            </w:pPr>
            <w:r>
              <w:t>1,032</w:t>
            </w:r>
          </w:p>
        </w:tc>
        <w:tc>
          <w:tcPr>
            <w:tcW w:w="3067" w:type="dxa"/>
          </w:tcPr>
          <w:p w14:paraId="2DDEECA3" w14:textId="77777777" w:rsidR="002655FC" w:rsidRDefault="002655FC" w:rsidP="005244CA">
            <w:pPr>
              <w:pStyle w:val="TableText"/>
              <w:ind w:left="110"/>
            </w:pPr>
            <w:r>
              <w:t>3 years (range 0 – 59.7 years)</w:t>
            </w:r>
          </w:p>
        </w:tc>
      </w:tr>
      <w:tr w:rsidR="00632C39" w14:paraId="35F524CA" w14:textId="77777777" w:rsidTr="006B5B78">
        <w:tc>
          <w:tcPr>
            <w:tcW w:w="9016" w:type="dxa"/>
            <w:gridSpan w:val="4"/>
          </w:tcPr>
          <w:p w14:paraId="2C9D9F4D" w14:textId="77777777" w:rsidR="00632C39" w:rsidRPr="00632C39" w:rsidRDefault="00632C39" w:rsidP="005244CA">
            <w:pPr>
              <w:pStyle w:val="TableText"/>
              <w:ind w:left="110"/>
              <w:rPr>
                <w:b/>
                <w:bCs/>
              </w:rPr>
            </w:pPr>
            <w:r w:rsidRPr="00632C39">
              <w:rPr>
                <w:b/>
                <w:bCs/>
              </w:rPr>
              <w:t>With NBS</w:t>
            </w:r>
          </w:p>
        </w:tc>
      </w:tr>
      <w:tr w:rsidR="002655FC" w14:paraId="68689517" w14:textId="77777777" w:rsidTr="006B5B78">
        <w:tc>
          <w:tcPr>
            <w:tcW w:w="2830" w:type="dxa"/>
          </w:tcPr>
          <w:p w14:paraId="18912EBB" w14:textId="77777777" w:rsidR="002655FC" w:rsidRDefault="002655FC" w:rsidP="00FD566F">
            <w:pPr>
              <w:pStyle w:val="TableText"/>
              <w:ind w:left="110"/>
            </w:pPr>
            <w:r>
              <w:t>Not Specified</w:t>
            </w:r>
          </w:p>
        </w:tc>
        <w:tc>
          <w:tcPr>
            <w:tcW w:w="1560" w:type="dxa"/>
          </w:tcPr>
          <w:p w14:paraId="14BA6B24" w14:textId="77777777" w:rsidR="002655FC" w:rsidRDefault="002655FC" w:rsidP="005244CA">
            <w:pPr>
              <w:pStyle w:val="TableText"/>
              <w:ind w:left="110"/>
              <w:jc w:val="center"/>
            </w:pPr>
            <w:r>
              <w:t>1</w:t>
            </w:r>
          </w:p>
        </w:tc>
        <w:tc>
          <w:tcPr>
            <w:tcW w:w="1559" w:type="dxa"/>
          </w:tcPr>
          <w:p w14:paraId="4EAD0830" w14:textId="77777777" w:rsidR="002655FC" w:rsidRDefault="002655FC" w:rsidP="005244CA">
            <w:pPr>
              <w:pStyle w:val="TableText"/>
              <w:ind w:left="110"/>
              <w:jc w:val="center"/>
            </w:pPr>
            <w:r>
              <w:t>6</w:t>
            </w:r>
          </w:p>
        </w:tc>
        <w:tc>
          <w:tcPr>
            <w:tcW w:w="3067" w:type="dxa"/>
          </w:tcPr>
          <w:p w14:paraId="5F1FF78C" w14:textId="77777777" w:rsidR="002655FC" w:rsidRDefault="002655FC" w:rsidP="005244CA">
            <w:pPr>
              <w:pStyle w:val="TableText"/>
              <w:ind w:left="110"/>
            </w:pPr>
            <w:r>
              <w:t>0.16 years</w:t>
            </w:r>
          </w:p>
        </w:tc>
      </w:tr>
    </w:tbl>
    <w:p w14:paraId="0F2C8E64" w14:textId="77777777" w:rsidR="00554A80" w:rsidRDefault="00357FEF" w:rsidP="00FF33B7">
      <w:pPr>
        <w:pStyle w:val="TableFigureFooter"/>
      </w:pPr>
      <w:r>
        <w:t>NBS = newborn bloodspot screening</w:t>
      </w:r>
    </w:p>
    <w:p w14:paraId="3B5F4F8C" w14:textId="77777777" w:rsidR="00F138DD" w:rsidRPr="0063637A" w:rsidRDefault="006559C5" w:rsidP="00F3322F">
      <w:pPr>
        <w:pStyle w:val="Heading5"/>
        <w:spacing w:before="240"/>
      </w:pPr>
      <w:r w:rsidRPr="0063637A">
        <w:lastRenderedPageBreak/>
        <w:t>Age at treatment initiation after diagnosis via NBS compared to no NBS</w:t>
      </w:r>
    </w:p>
    <w:p w14:paraId="527B70B2" w14:textId="316CA3D8" w:rsidR="00CB70C4" w:rsidRDefault="00CB70C4" w:rsidP="005244CA">
      <w:r w:rsidRPr="00440DD8">
        <w:t xml:space="preserve">A naïve comparison of the age </w:t>
      </w:r>
      <w:r>
        <w:t>at treatment initiation</w:t>
      </w:r>
      <w:r w:rsidRPr="00440DD8">
        <w:t xml:space="preserve"> in the presence or absence of NBS was undertaken. </w:t>
      </w:r>
      <w:r>
        <w:t xml:space="preserve">The results are summarised in </w:t>
      </w:r>
      <w:r>
        <w:fldChar w:fldCharType="begin"/>
      </w:r>
      <w:r>
        <w:instrText xml:space="preserve"> REF _Ref178775425 \h </w:instrText>
      </w:r>
      <w:r>
        <w:fldChar w:fldCharType="separate"/>
      </w:r>
      <w:r w:rsidR="007F08FA" w:rsidDel="009D183F">
        <w:t xml:space="preserve">Table </w:t>
      </w:r>
      <w:r w:rsidR="00797B68" w:rsidDel="009D183F">
        <w:rPr>
          <w:noProof/>
        </w:rPr>
        <w:t>7</w:t>
      </w:r>
      <w:r>
        <w:fldChar w:fldCharType="end"/>
      </w:r>
      <w:r>
        <w:t>.</w:t>
      </w:r>
    </w:p>
    <w:p w14:paraId="649F3766" w14:textId="0CC22B99" w:rsidR="0032057B" w:rsidRDefault="2E2EE59D" w:rsidP="005244CA">
      <w:r w:rsidRPr="7C4E3BA4">
        <w:t xml:space="preserve">Four case series </w:t>
      </w:r>
      <w:r w:rsidR="1A9A6559" w:rsidRPr="7C4E3BA4">
        <w:t xml:space="preserve">(1 from </w:t>
      </w:r>
      <w:r w:rsidR="591ADEAD" w:rsidRPr="7C4E3BA4">
        <w:t xml:space="preserve">Taiwan, 1 from Japan and 2 from US (Illinois)) </w:t>
      </w:r>
      <w:r w:rsidRPr="7C4E3BA4">
        <w:t xml:space="preserve">reported on the median age at treatment initiation for MPS II patients diagnosed through NBS. The overall median age at treatment initiation after diagnosis via NBS was 0.25 years (range 0.08 – 1 years).   </w:t>
      </w:r>
    </w:p>
    <w:p w14:paraId="4B1D42FC" w14:textId="48449F28" w:rsidR="0032057B" w:rsidRDefault="0032057B" w:rsidP="005244CA">
      <w:r>
        <w:t>In Australia and New Zealand, t</w:t>
      </w:r>
      <w:r w:rsidRPr="00EF4BD2">
        <w:t xml:space="preserve">he median age </w:t>
      </w:r>
      <w:r>
        <w:t xml:space="preserve">at first HSCT between 2009 and 2024 </w:t>
      </w:r>
      <w:r w:rsidRPr="00EF4BD2">
        <w:t xml:space="preserve">was </w:t>
      </w:r>
      <w:r w:rsidR="00B30AFE" w:rsidRPr="00005B99">
        <w:rPr>
          <w:b/>
          <w:bCs/>
        </w:rPr>
        <w:t>REDACTED</w:t>
      </w:r>
      <w:r w:rsidR="00A03F21">
        <w:rPr>
          <w:b/>
          <w:bCs/>
        </w:rPr>
        <w:t xml:space="preserve"> </w:t>
      </w:r>
      <w:r w:rsidR="00AC505D">
        <w:t xml:space="preserve">(range </w:t>
      </w:r>
      <w:r w:rsidR="00AC505D">
        <w:rPr>
          <w:b/>
          <w:bCs/>
        </w:rPr>
        <w:t>REDACTED</w:t>
      </w:r>
      <w:r w:rsidR="00AC505D">
        <w:t>)</w:t>
      </w:r>
      <w:r w:rsidRPr="00EF4BD2">
        <w:t xml:space="preserve">, which </w:t>
      </w:r>
      <w:r>
        <w:t>wa</w:t>
      </w:r>
      <w:r w:rsidRPr="00EF4BD2">
        <w:t xml:space="preserve">s on average </w:t>
      </w:r>
      <w:r w:rsidR="00B30AFE" w:rsidRPr="00005B99">
        <w:rPr>
          <w:b/>
          <w:bCs/>
        </w:rPr>
        <w:t>REDACTED</w:t>
      </w:r>
      <w:r w:rsidR="00B30AFE">
        <w:rPr>
          <w:b/>
          <w:bCs/>
        </w:rPr>
        <w:t xml:space="preserve"> </w:t>
      </w:r>
      <w:r w:rsidRPr="00EF4BD2">
        <w:t>after diagnosis (</w:t>
      </w:r>
      <w:r w:rsidR="00B60E9A">
        <w:t xml:space="preserve">range </w:t>
      </w:r>
      <w:r w:rsidR="00021492" w:rsidRPr="00005B99">
        <w:rPr>
          <w:b/>
          <w:bCs/>
        </w:rPr>
        <w:t>REDACTED</w:t>
      </w:r>
      <w:r w:rsidRPr="00EF4BD2">
        <w:t xml:space="preserve">) </w:t>
      </w:r>
      <w:r>
        <w:t xml:space="preserve">in the absence of NBS </w:t>
      </w:r>
      <w:r w:rsidRPr="00EF4BD2">
        <w:t xml:space="preserve">(ANZTCT </w:t>
      </w:r>
      <w:r w:rsidR="253CD440">
        <w:t xml:space="preserve">registry </w:t>
      </w:r>
      <w:r w:rsidRPr="00EF4BD2">
        <w:t>data).</w:t>
      </w:r>
      <w:r>
        <w:t xml:space="preserve"> </w:t>
      </w:r>
      <w:r w:rsidRPr="00103BCB">
        <w:t xml:space="preserve">Furthermore, the median age at treatment initiation </w:t>
      </w:r>
      <w:r>
        <w:t xml:space="preserve">for ERT </w:t>
      </w:r>
      <w:r w:rsidRPr="00103BCB">
        <w:t xml:space="preserve">in MPS II patients in Australia was also calculated using the LSDP data for </w:t>
      </w:r>
      <w:r w:rsidR="00021492" w:rsidRPr="00005B99">
        <w:rPr>
          <w:b/>
          <w:bCs/>
        </w:rPr>
        <w:t>REDACTED</w:t>
      </w:r>
      <w:r w:rsidR="00021492">
        <w:rPr>
          <w:b/>
          <w:bCs/>
        </w:rPr>
        <w:t xml:space="preserve"> </w:t>
      </w:r>
      <w:r w:rsidRPr="00103BCB">
        <w:t xml:space="preserve">patients from 2014 </w:t>
      </w:r>
      <w:r>
        <w:t>–</w:t>
      </w:r>
      <w:r w:rsidRPr="00103BCB">
        <w:t xml:space="preserve"> 2024</w:t>
      </w:r>
      <w:r>
        <w:t xml:space="preserve"> in the absence of NBS</w:t>
      </w:r>
      <w:r w:rsidRPr="00103BCB">
        <w:t xml:space="preserve">. The median age of MPS II patients when they first receive </w:t>
      </w:r>
      <w:r>
        <w:t>ERT</w:t>
      </w:r>
      <w:r w:rsidRPr="00103BCB">
        <w:t xml:space="preserve"> was estimated to be </w:t>
      </w:r>
      <w:r w:rsidR="00021492" w:rsidRPr="00005B99">
        <w:rPr>
          <w:b/>
          <w:bCs/>
        </w:rPr>
        <w:t>REDACTED</w:t>
      </w:r>
      <w:r w:rsidR="00064E7D">
        <w:t xml:space="preserve"> </w:t>
      </w:r>
      <w:r w:rsidR="003A4EEC">
        <w:t xml:space="preserve">(range </w:t>
      </w:r>
      <w:r w:rsidR="003A4EEC">
        <w:rPr>
          <w:b/>
          <w:bCs/>
        </w:rPr>
        <w:t>REDACTED</w:t>
      </w:r>
      <w:r w:rsidR="003A4EEC">
        <w:t>)</w:t>
      </w:r>
      <w:r w:rsidRPr="00103BCB">
        <w:t xml:space="preserve">, which was on average </w:t>
      </w:r>
      <w:r w:rsidR="00021492" w:rsidRPr="00005B99">
        <w:rPr>
          <w:b/>
          <w:bCs/>
        </w:rPr>
        <w:t>REDACTED</w:t>
      </w:r>
      <w:r w:rsidR="00021492">
        <w:rPr>
          <w:b/>
          <w:bCs/>
        </w:rPr>
        <w:t xml:space="preserve"> </w:t>
      </w:r>
      <w:r w:rsidRPr="00103BCB">
        <w:t>after diagnosis (</w:t>
      </w:r>
      <w:r w:rsidR="003A4EEC">
        <w:t xml:space="preserve">range </w:t>
      </w:r>
      <w:r w:rsidR="00021492" w:rsidRPr="00005B99">
        <w:rPr>
          <w:b/>
          <w:bCs/>
        </w:rPr>
        <w:t>REDACTED</w:t>
      </w:r>
      <w:r w:rsidRPr="00103BCB">
        <w:t>).</w:t>
      </w:r>
    </w:p>
    <w:p w14:paraId="3C9F8BD9" w14:textId="2499EB5E" w:rsidR="0032057B" w:rsidRPr="00496C73" w:rsidRDefault="2E2EE59D" w:rsidP="005244CA">
      <w:r w:rsidRPr="7C4E3BA4">
        <w:t xml:space="preserve">Globally, from </w:t>
      </w:r>
      <w:r w:rsidR="4D5B78FB" w:rsidRPr="7C4E3BA4">
        <w:t xml:space="preserve">8 </w:t>
      </w:r>
      <w:r w:rsidRPr="7C4E3BA4">
        <w:t>case series (n= 144) the median age at treatment initiation for patients diagnosed with the severe (neuro</w:t>
      </w:r>
      <w:r w:rsidR="00554A73">
        <w:t>no</w:t>
      </w:r>
      <w:r w:rsidRPr="7C4E3BA4">
        <w:t xml:space="preserve">pathic) form of MPS II was 5.1 years (range 0.13 – 12.1 years).  On the contrary, </w:t>
      </w:r>
      <w:r w:rsidR="6828417F" w:rsidRPr="7C4E3BA4">
        <w:t xml:space="preserve">6 </w:t>
      </w:r>
      <w:r w:rsidR="5E600B94" w:rsidRPr="7C4E3BA4">
        <w:t xml:space="preserve">studies </w:t>
      </w:r>
      <w:r w:rsidRPr="7C4E3BA4">
        <w:t>(n=88) reported the median age at treatment initiation for patients with the attenuated (non-neuro</w:t>
      </w:r>
      <w:r w:rsidR="00554A73">
        <w:t>no</w:t>
      </w:r>
      <w:r w:rsidRPr="7C4E3BA4">
        <w:t xml:space="preserve">pathic) form of MPS II in the absence of NBS to be 7.5 years (range 0.13 – 25.3 years). </w:t>
      </w:r>
    </w:p>
    <w:p w14:paraId="4FC4D68D" w14:textId="0E0C0DF7" w:rsidR="0032057B" w:rsidRDefault="2E2EE59D" w:rsidP="005244CA">
      <w:r w:rsidRPr="7C4E3BA4">
        <w:t xml:space="preserve">The difference in age at time of treatment initiation between the NBS and no NBS case series was substantial, such that even despite the risk of bias, it can still be confidently concluded that diagnosis via NBS leads to patients with MPS II receiving treatment (ERT ± HSCT) at an earlier age.  </w:t>
      </w:r>
    </w:p>
    <w:p w14:paraId="4D67CD71" w14:textId="2EAC44B8" w:rsidR="0032057B" w:rsidRDefault="0032057B" w:rsidP="005244CA">
      <w:r>
        <w:t xml:space="preserve">However, as treatment of MPS II in Australia is limited to treatment of symptoms as they occur, it is uncertain what health benefit earlier diagnosis via the NBS would </w:t>
      </w:r>
      <w:r w:rsidR="006C2E81">
        <w:t xml:space="preserve">provide </w:t>
      </w:r>
      <w:r>
        <w:t xml:space="preserve">for patients diagnosed with </w:t>
      </w:r>
      <w:r w:rsidR="006C2E81">
        <w:t xml:space="preserve">the </w:t>
      </w:r>
      <w:r>
        <w:t xml:space="preserve">attenuated phenotype, other than routine surveillance for the onset of symptoms, which may not occur for several decades in some cases. (Note, even in the absence of a clear change in management for patients with MPS II attenuated </w:t>
      </w:r>
      <w:r w:rsidR="007F107C">
        <w:t>disease</w:t>
      </w:r>
      <w:r>
        <w:t xml:space="preserve">, there is likely to still be value in having an early diagnosis of attenuated </w:t>
      </w:r>
      <w:r w:rsidR="005115A4">
        <w:t>disease</w:t>
      </w:r>
      <w:r>
        <w:t xml:space="preserve">, due to the avoidance of  diagnostic </w:t>
      </w:r>
      <w:r w:rsidR="007B62E2">
        <w:t>delay</w:t>
      </w:r>
      <w:r>
        <w:t xml:space="preserve">). </w:t>
      </w:r>
    </w:p>
    <w:p w14:paraId="2241494F" w14:textId="618400E2" w:rsidR="005D51E2" w:rsidRDefault="005D51E2" w:rsidP="005244CA">
      <w:pPr>
        <w:pStyle w:val="Caption"/>
      </w:pPr>
      <w:bookmarkStart w:id="37" w:name="_Ref178775425"/>
      <w:r>
        <w:t xml:space="preserve">Table </w:t>
      </w:r>
      <w:r w:rsidR="009D183F">
        <w:fldChar w:fldCharType="begin"/>
      </w:r>
      <w:r w:rsidR="009D183F">
        <w:instrText xml:space="preserve"> SEQ Table \* ARABIC </w:instrText>
      </w:r>
      <w:r w:rsidR="009D183F">
        <w:fldChar w:fldCharType="separate"/>
      </w:r>
      <w:r w:rsidR="009D183F">
        <w:rPr>
          <w:noProof/>
        </w:rPr>
        <w:t>7</w:t>
      </w:r>
      <w:r w:rsidR="009D183F">
        <w:rPr>
          <w:noProof/>
        </w:rPr>
        <w:fldChar w:fldCharType="end"/>
      </w:r>
      <w:bookmarkEnd w:id="37"/>
      <w:r>
        <w:t xml:space="preserve"> </w:t>
      </w:r>
      <w:r w:rsidRPr="007E5778">
        <w:t>Age at treatment initiation in the presence or absence of NBS</w:t>
      </w:r>
    </w:p>
    <w:tbl>
      <w:tblPr>
        <w:tblStyle w:val="TableGrid"/>
        <w:tblW w:w="0" w:type="auto"/>
        <w:tblLook w:val="04A0" w:firstRow="1" w:lastRow="0" w:firstColumn="1" w:lastColumn="0" w:noHBand="0" w:noVBand="1"/>
      </w:tblPr>
      <w:tblGrid>
        <w:gridCol w:w="2689"/>
        <w:gridCol w:w="1275"/>
        <w:gridCol w:w="1560"/>
        <w:gridCol w:w="3492"/>
      </w:tblGrid>
      <w:tr w:rsidR="00CB70C4" w14:paraId="2CAD44D2" w14:textId="77777777" w:rsidTr="006B5B78">
        <w:tc>
          <w:tcPr>
            <w:tcW w:w="2689" w:type="dxa"/>
            <w:tcBorders>
              <w:bottom w:val="single" w:sz="4" w:space="0" w:color="auto"/>
            </w:tcBorders>
          </w:tcPr>
          <w:p w14:paraId="3DA62CB2" w14:textId="77777777" w:rsidR="002A25B6" w:rsidRDefault="002A25B6" w:rsidP="005244CA">
            <w:pPr>
              <w:pStyle w:val="In-tableHeading"/>
              <w:spacing w:before="40" w:after="40"/>
              <w:ind w:left="110"/>
            </w:pPr>
            <w:r>
              <w:t>Phenotype</w:t>
            </w:r>
          </w:p>
        </w:tc>
        <w:tc>
          <w:tcPr>
            <w:tcW w:w="1275" w:type="dxa"/>
            <w:tcBorders>
              <w:bottom w:val="single" w:sz="4" w:space="0" w:color="auto"/>
            </w:tcBorders>
          </w:tcPr>
          <w:p w14:paraId="2B0D9011" w14:textId="77777777" w:rsidR="002A25B6" w:rsidRDefault="002A25B6" w:rsidP="005244CA">
            <w:pPr>
              <w:pStyle w:val="In-tableHeading"/>
              <w:spacing w:before="40" w:after="40"/>
              <w:ind w:left="110"/>
            </w:pPr>
            <w:r>
              <w:t>Number of studies</w:t>
            </w:r>
          </w:p>
        </w:tc>
        <w:tc>
          <w:tcPr>
            <w:tcW w:w="1560" w:type="dxa"/>
            <w:tcBorders>
              <w:bottom w:val="single" w:sz="4" w:space="0" w:color="auto"/>
            </w:tcBorders>
          </w:tcPr>
          <w:p w14:paraId="425CA921" w14:textId="77777777" w:rsidR="002A25B6" w:rsidRDefault="002A25B6" w:rsidP="005244CA">
            <w:pPr>
              <w:pStyle w:val="In-tableHeading"/>
              <w:spacing w:before="40" w:after="40"/>
              <w:ind w:left="110"/>
            </w:pPr>
            <w:r>
              <w:t>Number of patients</w:t>
            </w:r>
          </w:p>
        </w:tc>
        <w:tc>
          <w:tcPr>
            <w:tcW w:w="3492" w:type="dxa"/>
            <w:tcBorders>
              <w:bottom w:val="single" w:sz="4" w:space="0" w:color="auto"/>
            </w:tcBorders>
          </w:tcPr>
          <w:p w14:paraId="77D11F5E" w14:textId="77777777" w:rsidR="002A25B6" w:rsidRDefault="002A25B6" w:rsidP="005244CA">
            <w:pPr>
              <w:pStyle w:val="In-tableHeading"/>
              <w:spacing w:before="40" w:after="40"/>
              <w:ind w:left="110"/>
            </w:pPr>
            <w:r>
              <w:t>Median time from symptom onset to diagnosis</w:t>
            </w:r>
          </w:p>
        </w:tc>
      </w:tr>
      <w:tr w:rsidR="002A25B6" w14:paraId="25CF0055" w14:textId="77777777" w:rsidTr="006B5B78">
        <w:tc>
          <w:tcPr>
            <w:tcW w:w="2689" w:type="dxa"/>
            <w:tcBorders>
              <w:right w:val="nil"/>
            </w:tcBorders>
          </w:tcPr>
          <w:p w14:paraId="0E3606E1" w14:textId="77777777" w:rsidR="002A25B6" w:rsidRDefault="002A25B6" w:rsidP="005244CA">
            <w:pPr>
              <w:pStyle w:val="In-tableHeading"/>
              <w:spacing w:before="40" w:after="40"/>
              <w:ind w:left="110"/>
            </w:pPr>
            <w:r>
              <w:t>Without NBS</w:t>
            </w:r>
          </w:p>
        </w:tc>
        <w:tc>
          <w:tcPr>
            <w:tcW w:w="1275" w:type="dxa"/>
            <w:tcBorders>
              <w:left w:val="nil"/>
              <w:right w:val="nil"/>
            </w:tcBorders>
          </w:tcPr>
          <w:p w14:paraId="49B2B05E" w14:textId="77777777" w:rsidR="002A25B6" w:rsidRDefault="002A25B6" w:rsidP="005244CA">
            <w:pPr>
              <w:pStyle w:val="In-tableHeading"/>
              <w:spacing w:before="40" w:after="40"/>
              <w:ind w:left="110"/>
            </w:pPr>
          </w:p>
        </w:tc>
        <w:tc>
          <w:tcPr>
            <w:tcW w:w="1560" w:type="dxa"/>
            <w:tcBorders>
              <w:left w:val="nil"/>
              <w:right w:val="nil"/>
            </w:tcBorders>
          </w:tcPr>
          <w:p w14:paraId="6724DCB0" w14:textId="77777777" w:rsidR="002A25B6" w:rsidRDefault="002A25B6" w:rsidP="005244CA">
            <w:pPr>
              <w:pStyle w:val="In-tableHeading"/>
              <w:spacing w:before="40" w:after="40"/>
              <w:ind w:left="110"/>
            </w:pPr>
          </w:p>
        </w:tc>
        <w:tc>
          <w:tcPr>
            <w:tcW w:w="3492" w:type="dxa"/>
            <w:tcBorders>
              <w:left w:val="nil"/>
            </w:tcBorders>
          </w:tcPr>
          <w:p w14:paraId="0C334447" w14:textId="77777777" w:rsidR="002A25B6" w:rsidRDefault="002A25B6" w:rsidP="005244CA">
            <w:pPr>
              <w:pStyle w:val="In-tableHeading"/>
              <w:spacing w:before="40" w:after="40"/>
              <w:ind w:left="110"/>
            </w:pPr>
          </w:p>
        </w:tc>
      </w:tr>
      <w:tr w:rsidR="002A25B6" w14:paraId="4DE3E79E" w14:textId="77777777" w:rsidTr="006B5B78">
        <w:tc>
          <w:tcPr>
            <w:tcW w:w="2689" w:type="dxa"/>
          </w:tcPr>
          <w:p w14:paraId="114C7A9F" w14:textId="3A082FA1" w:rsidR="002A25B6" w:rsidRDefault="002A25B6" w:rsidP="005244CA">
            <w:pPr>
              <w:pStyle w:val="TableText"/>
              <w:ind w:left="110"/>
            </w:pPr>
            <w:r>
              <w:t>Neuronopathic (severe)</w:t>
            </w:r>
          </w:p>
        </w:tc>
        <w:tc>
          <w:tcPr>
            <w:tcW w:w="1275" w:type="dxa"/>
          </w:tcPr>
          <w:p w14:paraId="3E08F303" w14:textId="77777777" w:rsidR="002A25B6" w:rsidRDefault="002A25B6" w:rsidP="005244CA">
            <w:pPr>
              <w:pStyle w:val="TableText"/>
              <w:ind w:left="110"/>
              <w:jc w:val="center"/>
            </w:pPr>
            <w:r>
              <w:t>8</w:t>
            </w:r>
          </w:p>
        </w:tc>
        <w:tc>
          <w:tcPr>
            <w:tcW w:w="1560" w:type="dxa"/>
          </w:tcPr>
          <w:p w14:paraId="785F9E57" w14:textId="77777777" w:rsidR="002A25B6" w:rsidRDefault="002A25B6" w:rsidP="005244CA">
            <w:pPr>
              <w:pStyle w:val="TableText"/>
              <w:ind w:left="110"/>
              <w:jc w:val="center"/>
            </w:pPr>
            <w:r>
              <w:t>144</w:t>
            </w:r>
          </w:p>
        </w:tc>
        <w:tc>
          <w:tcPr>
            <w:tcW w:w="3492" w:type="dxa"/>
          </w:tcPr>
          <w:p w14:paraId="074A7129" w14:textId="77777777" w:rsidR="002A25B6" w:rsidRDefault="002A25B6" w:rsidP="005244CA">
            <w:pPr>
              <w:pStyle w:val="TableText"/>
              <w:ind w:left="110"/>
            </w:pPr>
            <w:r>
              <w:t>5.1 years (range 0.3 – 12.1 years)</w:t>
            </w:r>
          </w:p>
        </w:tc>
      </w:tr>
      <w:tr w:rsidR="002A25B6" w14:paraId="5756E925" w14:textId="77777777" w:rsidTr="006B5B78">
        <w:tc>
          <w:tcPr>
            <w:tcW w:w="2689" w:type="dxa"/>
          </w:tcPr>
          <w:p w14:paraId="3B397B4E" w14:textId="46A8953A" w:rsidR="002A25B6" w:rsidRDefault="002A25B6" w:rsidP="005244CA">
            <w:pPr>
              <w:pStyle w:val="TableText"/>
              <w:ind w:left="110"/>
            </w:pPr>
            <w:r>
              <w:t>Non-neuronopathic (attenuated)</w:t>
            </w:r>
          </w:p>
        </w:tc>
        <w:tc>
          <w:tcPr>
            <w:tcW w:w="1275" w:type="dxa"/>
          </w:tcPr>
          <w:p w14:paraId="273C302F" w14:textId="77777777" w:rsidR="002A25B6" w:rsidRDefault="002A25B6" w:rsidP="005244CA">
            <w:pPr>
              <w:pStyle w:val="TableText"/>
              <w:ind w:left="110"/>
              <w:jc w:val="center"/>
            </w:pPr>
            <w:r>
              <w:t>6</w:t>
            </w:r>
          </w:p>
        </w:tc>
        <w:tc>
          <w:tcPr>
            <w:tcW w:w="1560" w:type="dxa"/>
          </w:tcPr>
          <w:p w14:paraId="4B11548A" w14:textId="77777777" w:rsidR="002A25B6" w:rsidRDefault="002A25B6" w:rsidP="005244CA">
            <w:pPr>
              <w:pStyle w:val="TableText"/>
              <w:ind w:left="110"/>
              <w:jc w:val="center"/>
            </w:pPr>
            <w:r>
              <w:t>88</w:t>
            </w:r>
          </w:p>
        </w:tc>
        <w:tc>
          <w:tcPr>
            <w:tcW w:w="3492" w:type="dxa"/>
          </w:tcPr>
          <w:p w14:paraId="72E50753" w14:textId="77777777" w:rsidR="002A25B6" w:rsidRDefault="002A25B6" w:rsidP="005244CA">
            <w:pPr>
              <w:pStyle w:val="TableText"/>
              <w:ind w:left="110"/>
            </w:pPr>
            <w:r>
              <w:t>7.5 years (range 0.13 – 25.3 years)</w:t>
            </w:r>
          </w:p>
        </w:tc>
      </w:tr>
      <w:tr w:rsidR="002A25B6" w14:paraId="5341F9FC" w14:textId="77777777" w:rsidTr="006B5B78">
        <w:tc>
          <w:tcPr>
            <w:tcW w:w="2689" w:type="dxa"/>
          </w:tcPr>
          <w:p w14:paraId="3C3B2328" w14:textId="77777777" w:rsidR="002A25B6" w:rsidRDefault="009E1AD0" w:rsidP="005244CA">
            <w:pPr>
              <w:pStyle w:val="TableText"/>
              <w:ind w:left="110"/>
            </w:pPr>
            <w:r>
              <w:t>Not Specified</w:t>
            </w:r>
          </w:p>
        </w:tc>
        <w:tc>
          <w:tcPr>
            <w:tcW w:w="1275" w:type="dxa"/>
          </w:tcPr>
          <w:p w14:paraId="43C092E4" w14:textId="77777777" w:rsidR="002A25B6" w:rsidRDefault="002A25B6" w:rsidP="005244CA">
            <w:pPr>
              <w:pStyle w:val="TableText"/>
              <w:ind w:left="110"/>
              <w:jc w:val="center"/>
            </w:pPr>
            <w:r>
              <w:t>11</w:t>
            </w:r>
          </w:p>
        </w:tc>
        <w:tc>
          <w:tcPr>
            <w:tcW w:w="1560" w:type="dxa"/>
          </w:tcPr>
          <w:p w14:paraId="4DD01B1B" w14:textId="77777777" w:rsidR="002A25B6" w:rsidRDefault="002A25B6" w:rsidP="005244CA">
            <w:pPr>
              <w:pStyle w:val="TableText"/>
              <w:ind w:left="110"/>
              <w:jc w:val="center"/>
            </w:pPr>
            <w:r>
              <w:t>1,237</w:t>
            </w:r>
          </w:p>
        </w:tc>
        <w:tc>
          <w:tcPr>
            <w:tcW w:w="3492" w:type="dxa"/>
          </w:tcPr>
          <w:p w14:paraId="43ACB253" w14:textId="77777777" w:rsidR="002A25B6" w:rsidRDefault="002A25B6" w:rsidP="005244CA">
            <w:pPr>
              <w:pStyle w:val="TableText"/>
              <w:ind w:left="110"/>
            </w:pPr>
            <w:r>
              <w:t>7 years (range 0 – 32.2 years)</w:t>
            </w:r>
          </w:p>
        </w:tc>
      </w:tr>
      <w:tr w:rsidR="002A25B6" w14:paraId="5C42BC8E" w14:textId="77777777" w:rsidTr="006B5B78">
        <w:tc>
          <w:tcPr>
            <w:tcW w:w="9016" w:type="dxa"/>
            <w:gridSpan w:val="4"/>
          </w:tcPr>
          <w:p w14:paraId="25201E9A" w14:textId="77777777" w:rsidR="002A25B6" w:rsidRPr="009912C9" w:rsidRDefault="002A25B6" w:rsidP="005244CA">
            <w:pPr>
              <w:pStyle w:val="TableText"/>
              <w:ind w:left="110"/>
              <w:rPr>
                <w:b/>
                <w:bCs/>
              </w:rPr>
            </w:pPr>
            <w:r w:rsidRPr="009912C9">
              <w:rPr>
                <w:b/>
                <w:bCs/>
              </w:rPr>
              <w:t>With NBS</w:t>
            </w:r>
          </w:p>
        </w:tc>
      </w:tr>
      <w:tr w:rsidR="002A25B6" w14:paraId="2A8A9D17" w14:textId="77777777" w:rsidTr="006B5B78">
        <w:tc>
          <w:tcPr>
            <w:tcW w:w="2689" w:type="dxa"/>
          </w:tcPr>
          <w:p w14:paraId="07487FC9" w14:textId="77777777" w:rsidR="002A25B6" w:rsidRDefault="002A25B6" w:rsidP="005244CA">
            <w:pPr>
              <w:pStyle w:val="TableText"/>
            </w:pPr>
            <w:r>
              <w:t>Not Specified</w:t>
            </w:r>
          </w:p>
        </w:tc>
        <w:tc>
          <w:tcPr>
            <w:tcW w:w="1275" w:type="dxa"/>
          </w:tcPr>
          <w:p w14:paraId="035B0097" w14:textId="77777777" w:rsidR="002A25B6" w:rsidRDefault="002A25B6" w:rsidP="005244CA">
            <w:pPr>
              <w:pStyle w:val="TableText"/>
              <w:ind w:left="110"/>
              <w:jc w:val="center"/>
            </w:pPr>
            <w:r>
              <w:t>4</w:t>
            </w:r>
          </w:p>
        </w:tc>
        <w:tc>
          <w:tcPr>
            <w:tcW w:w="1560" w:type="dxa"/>
          </w:tcPr>
          <w:p w14:paraId="553247AB" w14:textId="77777777" w:rsidR="002A25B6" w:rsidRDefault="002A25B6" w:rsidP="005244CA">
            <w:pPr>
              <w:pStyle w:val="TableText"/>
              <w:ind w:left="110"/>
              <w:jc w:val="center"/>
            </w:pPr>
            <w:r>
              <w:t>6</w:t>
            </w:r>
          </w:p>
        </w:tc>
        <w:tc>
          <w:tcPr>
            <w:tcW w:w="3492" w:type="dxa"/>
          </w:tcPr>
          <w:p w14:paraId="04F44869" w14:textId="3676D507" w:rsidR="002A25B6" w:rsidRDefault="002A25B6" w:rsidP="005244CA">
            <w:pPr>
              <w:pStyle w:val="TableText"/>
              <w:ind w:left="110"/>
            </w:pPr>
            <w:r>
              <w:t xml:space="preserve">0.25 years (range 0.08 </w:t>
            </w:r>
            <w:r w:rsidR="005B2B3F">
              <w:t xml:space="preserve">– </w:t>
            </w:r>
            <w:r>
              <w:t>1 year)</w:t>
            </w:r>
          </w:p>
        </w:tc>
      </w:tr>
    </w:tbl>
    <w:p w14:paraId="22B956FF" w14:textId="77777777" w:rsidR="00554A80" w:rsidRDefault="00357FEF" w:rsidP="00DE04AE">
      <w:pPr>
        <w:pStyle w:val="TableFigureFooter"/>
      </w:pPr>
      <w:r>
        <w:t>NBS = newborn bloodspot screening</w:t>
      </w:r>
    </w:p>
    <w:p w14:paraId="3B4B2DBC" w14:textId="6C5A4FCE" w:rsidR="00030F53" w:rsidRPr="00A336EC" w:rsidRDefault="00030F53" w:rsidP="00F3322F">
      <w:pPr>
        <w:pStyle w:val="Heading5"/>
        <w:spacing w:before="240"/>
      </w:pPr>
      <w:r w:rsidRPr="00030F53">
        <w:t>Is genotype predictive of phenotype in MPS II?</w:t>
      </w:r>
    </w:p>
    <w:p w14:paraId="4E264882" w14:textId="526A5A61" w:rsidR="007B3C5F" w:rsidRDefault="501BB821" w:rsidP="008A62F7">
      <w:r w:rsidRPr="7C4E3BA4">
        <w:t xml:space="preserve">A total of 27 studies met the inclusion criteria for assessing the relationship between genotype and phenotype in mostly males with MPS II. A further 17 studies were identified to assess the genotype/phenotype relationship in females with MPS II. If genotype is predictive of the severity </w:t>
      </w:r>
      <w:r w:rsidRPr="7C4E3BA4">
        <w:lastRenderedPageBreak/>
        <w:t xml:space="preserve">of MPS II, this information could be used for </w:t>
      </w:r>
      <w:r w:rsidR="2DB31EF5" w:rsidRPr="7C4E3BA4">
        <w:t xml:space="preserve">earlier </w:t>
      </w:r>
      <w:r w:rsidRPr="7C4E3BA4">
        <w:t xml:space="preserve">access to ERT via the LSDP </w:t>
      </w:r>
      <w:r w:rsidR="7B16D551" w:rsidRPr="7C4E3BA4">
        <w:t>(for patients aged under 5 not yet displaying symptoms)</w:t>
      </w:r>
      <w:r w:rsidRPr="7C4E3BA4">
        <w:t xml:space="preserve"> and may guide other management decisions.</w:t>
      </w:r>
      <w:r w:rsidR="12B6D0BB" w:rsidRPr="7C4E3BA4">
        <w:t xml:space="preserve"> </w:t>
      </w:r>
    </w:p>
    <w:p w14:paraId="2DB87A72" w14:textId="77777777" w:rsidR="005C1436" w:rsidRDefault="005C1436" w:rsidP="005C1436">
      <w:r>
        <w:t xml:space="preserve">Overall, 64–75% of patients with an identifiable variant in the </w:t>
      </w:r>
      <w:r w:rsidRPr="00961E84">
        <w:rPr>
          <w:i/>
          <w:iCs/>
        </w:rPr>
        <w:t>IDS</w:t>
      </w:r>
      <w:r>
        <w:t xml:space="preserve"> gene had severe disease. Only those with major changes, such as recombination events between IDS and the IDS2 pseudogene and large deletions and/or insertions (of at least 1 exon) of the </w:t>
      </w:r>
      <w:r w:rsidRPr="000C690B">
        <w:t>IDS</w:t>
      </w:r>
      <w:r>
        <w:t xml:space="preserve"> gene were much more likely to have severe disease (92.8-100%) than attenuated disease.</w:t>
      </w:r>
    </w:p>
    <w:p w14:paraId="193E2B60" w14:textId="479EBC73" w:rsidR="007A3EBB" w:rsidRDefault="132C106F" w:rsidP="007A3EBB">
      <w:r w:rsidRPr="7C4E3BA4">
        <w:t>However, predicting the phenotype</w:t>
      </w:r>
      <w:r w:rsidR="4D0E11A7" w:rsidRPr="7C4E3BA4">
        <w:t xml:space="preserve"> for</w:t>
      </w:r>
      <w:r w:rsidR="2610168D" w:rsidRPr="7C4E3BA4">
        <w:t xml:space="preserve"> small deletions/insertions leading to frameshift variants, intronic or splicing variants, nonsense variants and missense variants</w:t>
      </w:r>
      <w:r w:rsidR="69DBE1E6" w:rsidRPr="7C4E3BA4">
        <w:t xml:space="preserve"> </w:t>
      </w:r>
      <w:r w:rsidR="0AB5C6D5" w:rsidRPr="7C4E3BA4">
        <w:t>(e.g. the splicing variant, c.1122C&gt;T, the nonsense variants, R172* and R443*, and the missense variants, S333L and R468Q)</w:t>
      </w:r>
      <w:r w:rsidR="69DBE1E6" w:rsidRPr="7C4E3BA4">
        <w:t xml:space="preserve"> was complicated </w:t>
      </w:r>
      <w:r w:rsidR="3B60AFEB" w:rsidRPr="7C4E3BA4">
        <w:t xml:space="preserve">because </w:t>
      </w:r>
      <w:r w:rsidR="38E97EC2" w:rsidRPr="7C4E3BA4">
        <w:t>the</w:t>
      </w:r>
      <w:r w:rsidR="48AB705D" w:rsidRPr="7C4E3BA4">
        <w:t>se</w:t>
      </w:r>
      <w:r w:rsidR="38E97EC2" w:rsidRPr="7C4E3BA4">
        <w:t xml:space="preserve"> </w:t>
      </w:r>
      <w:r w:rsidR="3B60AFEB" w:rsidRPr="7C4E3BA4">
        <w:t xml:space="preserve">occurred </w:t>
      </w:r>
      <w:r w:rsidR="2EDF864B" w:rsidRPr="7C4E3BA4">
        <w:t xml:space="preserve">in patients </w:t>
      </w:r>
      <w:r w:rsidR="6AE5AEC3" w:rsidRPr="7C4E3BA4">
        <w:t>with different phenotypes, i.e. in those</w:t>
      </w:r>
      <w:r w:rsidR="2EDF864B" w:rsidRPr="7C4E3BA4">
        <w:t xml:space="preserve"> diagnosed with severe or attenuated disease</w:t>
      </w:r>
      <w:r w:rsidR="63F50418" w:rsidRPr="7C4E3BA4">
        <w:t>,</w:t>
      </w:r>
      <w:r w:rsidR="2EDF864B" w:rsidRPr="7C4E3BA4">
        <w:t xml:space="preserve"> and in those with or without cognitive impairment</w:t>
      </w:r>
      <w:r w:rsidR="19E9F656" w:rsidRPr="7C4E3BA4">
        <w:t>.</w:t>
      </w:r>
      <w:r w:rsidR="6981386F" w:rsidRPr="7C4E3BA4">
        <w:t xml:space="preserve"> </w:t>
      </w:r>
      <w:r w:rsidR="704406DF" w:rsidRPr="7C4E3BA4">
        <w:t>That is,</w:t>
      </w:r>
      <w:r w:rsidR="6981386F" w:rsidRPr="7C4E3BA4">
        <w:t xml:space="preserve"> the same genotype was associated with multiple different phenotypes</w:t>
      </w:r>
      <w:r w:rsidR="04544BC3" w:rsidRPr="7C4E3BA4">
        <w:t xml:space="preserve">, meaning </w:t>
      </w:r>
      <w:r w:rsidR="63F50418" w:rsidRPr="7C4E3BA4">
        <w:t xml:space="preserve">that </w:t>
      </w:r>
      <w:r w:rsidR="04544BC3" w:rsidRPr="7C4E3BA4">
        <w:t>phenotype could not be predicted with any confidence based on the genotype</w:t>
      </w:r>
      <w:r w:rsidR="2EDF864B" w:rsidRPr="7C4E3BA4">
        <w:t xml:space="preserve">. </w:t>
      </w:r>
      <w:r w:rsidR="08502C43" w:rsidRPr="7C4E3BA4">
        <w:t>T</w:t>
      </w:r>
      <w:r w:rsidR="2EDF864B" w:rsidRPr="7C4E3BA4">
        <w:t xml:space="preserve">he reasons for this are uncertain. It may partly be due to differences in the definitions of severe and attenuated disease, and cognitive impairment. </w:t>
      </w:r>
      <w:r w:rsidR="605DA713" w:rsidRPr="7C4E3BA4">
        <w:t xml:space="preserve">Variable penetrance may also indicate the involvement of other factors, such as genetic modifiers or environmental influences. </w:t>
      </w:r>
      <w:r w:rsidR="2C3283F9" w:rsidRPr="7C4E3BA4">
        <w:t xml:space="preserve">Overall, small deletions/insertions leading to frameshift variants, intronic or splicing variants, nonsense variants and missense variants </w:t>
      </w:r>
      <w:r w:rsidR="2819EF03" w:rsidRPr="7C4E3BA4">
        <w:t>had similar probabilities of having severe disease (48.8–87.2%) to the overall population (64.1–75.4%).</w:t>
      </w:r>
    </w:p>
    <w:p w14:paraId="0112D20D" w14:textId="20A3ED28" w:rsidR="00030F53" w:rsidRDefault="00F75AF3" w:rsidP="00F75AF3">
      <w:r>
        <w:t xml:space="preserve">Thus, predicting the severity of MPS II based on the genotype of a newborn, with no family history of MPS II, </w:t>
      </w:r>
      <w:r w:rsidR="00916DDC">
        <w:t>is un</w:t>
      </w:r>
      <w:r w:rsidR="555EF24E">
        <w:t xml:space="preserve">certain </w:t>
      </w:r>
      <w:r w:rsidR="00F72622">
        <w:t>and</w:t>
      </w:r>
      <w:r>
        <w:t xml:space="preserve"> may be insufficient for gaining earlier access to ERT via the LSDP</w:t>
      </w:r>
      <w:r w:rsidR="0075700B">
        <w:t>,</w:t>
      </w:r>
      <w:r w:rsidR="4E5BC7D6">
        <w:t xml:space="preserve"> which requires a clear prediction of disease severity</w:t>
      </w:r>
      <w:r>
        <w:t>, before symptoms arise.</w:t>
      </w:r>
    </w:p>
    <w:p w14:paraId="4A10FDD6" w14:textId="42464F41" w:rsidR="00030F53" w:rsidRDefault="1D669BA6" w:rsidP="008A62F7">
      <w:r w:rsidRPr="7C4E3BA4">
        <w:t>Females with MPS II are most likely to be heterozygous with skewed X</w:t>
      </w:r>
      <w:r w:rsidR="08AB02CA" w:rsidRPr="7C4E3BA4">
        <w:t xml:space="preserve"> chromosome inactivation</w:t>
      </w:r>
      <w:r w:rsidR="271A9B9B" w:rsidRPr="7C4E3BA4">
        <w:t>,</w:t>
      </w:r>
      <w:r w:rsidRPr="7C4E3BA4">
        <w:t xml:space="preserve"> that inactivates the normal </w:t>
      </w:r>
      <w:r w:rsidRPr="7C4E3BA4">
        <w:rPr>
          <w:i/>
          <w:iCs/>
        </w:rPr>
        <w:t xml:space="preserve">IDS </w:t>
      </w:r>
      <w:r w:rsidRPr="7C4E3BA4">
        <w:t xml:space="preserve">gene. </w:t>
      </w:r>
      <w:r w:rsidR="6FA7EB80" w:rsidRPr="7C4E3BA4">
        <w:t>Moreover</w:t>
      </w:r>
      <w:r w:rsidRPr="7C4E3BA4">
        <w:t>, the types of pathogenic variants found in females with MPS II are similar in type and proportion (when allowing for the extremely small sample size) to those identified in males. This suggests that the carrier status of female newborns with low IDS enzyme activity and a heterozygous phenotype should be confirmed using NRE-GAG analysis</w:t>
      </w:r>
      <w:r w:rsidR="662B4F18" w:rsidRPr="7C4E3BA4">
        <w:t xml:space="preserve"> and</w:t>
      </w:r>
      <w:r w:rsidRPr="7C4E3BA4">
        <w:t xml:space="preserve"> emphasises the importance of including second-tier NRE-GAG testing for detection of MPS II via the NBS.</w:t>
      </w:r>
    </w:p>
    <w:p w14:paraId="08E6CEAB" w14:textId="77777777" w:rsidR="00A2002F" w:rsidRDefault="00A2002F" w:rsidP="00A2002F">
      <w:pPr>
        <w:pStyle w:val="Heading4"/>
      </w:pPr>
      <w:r w:rsidRPr="00A336EC">
        <w:t xml:space="preserve">Linked evidence of </w:t>
      </w:r>
      <w:r w:rsidR="00C115D7">
        <w:t>health outcomes</w:t>
      </w:r>
    </w:p>
    <w:p w14:paraId="19931F7C" w14:textId="4EB94A54" w:rsidR="00375BA6" w:rsidRPr="00375BA6" w:rsidRDefault="3138CBE3" w:rsidP="00375BA6">
      <w:r w:rsidRPr="7C4E3BA4">
        <w:t>Worldwide, 1.42 cases of MPS II per 100,000 newborns were detected via NBS programs, indicating that approximately 4 cases of MPS II per year would be identified across Australia via the NBS programs.</w:t>
      </w:r>
      <w:r w:rsidR="308F3587" w:rsidRPr="7C4E3BA4">
        <w:t xml:space="preserve"> </w:t>
      </w:r>
      <w:r w:rsidR="227E53AF" w:rsidRPr="7C4E3BA4">
        <w:t xml:space="preserve">Two to three of these cases would have </w:t>
      </w:r>
      <w:r w:rsidR="3B406817" w:rsidRPr="7C4E3BA4">
        <w:t>the</w:t>
      </w:r>
      <w:r w:rsidR="227E53AF" w:rsidRPr="7C4E3BA4">
        <w:t xml:space="preserve"> severe phenotype and one to two cases every year would have </w:t>
      </w:r>
      <w:r w:rsidR="3B406817" w:rsidRPr="7C4E3BA4">
        <w:t>the</w:t>
      </w:r>
      <w:r w:rsidR="227E53AF" w:rsidRPr="7C4E3BA4">
        <w:t xml:space="preserve"> attenuated phenotype.</w:t>
      </w:r>
    </w:p>
    <w:p w14:paraId="3C2B95B7" w14:textId="77777777" w:rsidR="001E0D4F" w:rsidRDefault="001E0D4F" w:rsidP="001E0D4F">
      <w:pPr>
        <w:pStyle w:val="Heading5"/>
      </w:pPr>
      <w:r>
        <w:t>Effectiveness of early vs late ERT in MPS II</w:t>
      </w:r>
    </w:p>
    <w:p w14:paraId="6F1B53C3" w14:textId="5140EFC9" w:rsidR="004E18BB" w:rsidRDefault="159C8760" w:rsidP="004E18BB">
      <w:r w:rsidRPr="7C4E3BA4">
        <w:t xml:space="preserve">In the absence of sufficient evidence of outcomes in patients who </w:t>
      </w:r>
      <w:r w:rsidR="6A84C29D" w:rsidRPr="7C4E3BA4">
        <w:t>received</w:t>
      </w:r>
      <w:r w:rsidRPr="7C4E3BA4">
        <w:t xml:space="preserve"> </w:t>
      </w:r>
      <w:r w:rsidR="6A84C29D" w:rsidRPr="7C4E3BA4">
        <w:t>ERT</w:t>
      </w:r>
      <w:r w:rsidRPr="7C4E3BA4">
        <w:t xml:space="preserve"> after being detected by NBS versus in the absence of NBS, evidence was sought on whether those patients who receive </w:t>
      </w:r>
      <w:r w:rsidR="6A84C29D" w:rsidRPr="7C4E3BA4">
        <w:t>ERT</w:t>
      </w:r>
      <w:r w:rsidRPr="7C4E3BA4">
        <w:t xml:space="preserve"> “early” versus “late” have different health outcomes.</w:t>
      </w:r>
      <w:r w:rsidR="67D5D3A6" w:rsidRPr="7C4E3BA4">
        <w:t xml:space="preserve"> </w:t>
      </w:r>
      <w:r w:rsidRPr="7C4E3BA4">
        <w:t xml:space="preserve"> </w:t>
      </w:r>
    </w:p>
    <w:p w14:paraId="14C2B28A" w14:textId="28DB9DCD" w:rsidR="00C563CF" w:rsidRDefault="00232BE1" w:rsidP="00232BE1">
      <w:pPr>
        <w:pStyle w:val="Heading6"/>
      </w:pPr>
      <w:r>
        <w:t xml:space="preserve">Severe </w:t>
      </w:r>
      <w:r w:rsidR="00894EB4">
        <w:t>Disease</w:t>
      </w:r>
    </w:p>
    <w:p w14:paraId="523D0759" w14:textId="35340D2E" w:rsidR="00232BE1" w:rsidRPr="00232BE1" w:rsidRDefault="00232BE1" w:rsidP="00232BE1">
      <w:r>
        <w:t xml:space="preserve">Most of the </w:t>
      </w:r>
      <w:r w:rsidR="00A14627">
        <w:t>studies</w:t>
      </w:r>
      <w:r w:rsidR="00C20F60">
        <w:t xml:space="preserve"> </w:t>
      </w:r>
      <w:r w:rsidR="00DD7F44">
        <w:t>report</w:t>
      </w:r>
      <w:r w:rsidR="005935D4">
        <w:t>ing on</w:t>
      </w:r>
      <w:r w:rsidR="00DD7F44">
        <w:t xml:space="preserve"> the impact of early versus </w:t>
      </w:r>
      <w:r w:rsidR="00E35809">
        <w:t xml:space="preserve">late initiation of ERT </w:t>
      </w:r>
      <w:r w:rsidR="005935D4">
        <w:t>focused on</w:t>
      </w:r>
      <w:r w:rsidR="00E35809">
        <w:t xml:space="preserve"> </w:t>
      </w:r>
      <w:r w:rsidR="00A14627">
        <w:t xml:space="preserve">MPS II patients with </w:t>
      </w:r>
      <w:r w:rsidR="00E35809">
        <w:t xml:space="preserve">severe </w:t>
      </w:r>
      <w:r w:rsidR="00A14627">
        <w:t>disease</w:t>
      </w:r>
      <w:r w:rsidR="005935D4">
        <w:t xml:space="preserve"> only</w:t>
      </w:r>
      <w:r w:rsidR="009F6A6F">
        <w:t xml:space="preserve">. </w:t>
      </w:r>
    </w:p>
    <w:p w14:paraId="06694838" w14:textId="290E606E" w:rsidR="004E18BB" w:rsidRDefault="159C8760" w:rsidP="004E18BB">
      <w:r w:rsidRPr="7C4E3BA4">
        <w:t xml:space="preserve">A case series investigated the possible survival benefit of early initiation of ERT in 17 MPS II patients. The authors defined "early" treatment group based on the disease stage rather than the age at treatment initiation. The early treatment group (stage 2) patients had mild developmental </w:t>
      </w:r>
      <w:r w:rsidRPr="7C4E3BA4">
        <w:lastRenderedPageBreak/>
        <w:t xml:space="preserve">delays due to physical or motor disabilities and could independently perform tasks in daily life, whereas </w:t>
      </w:r>
      <w:r w:rsidR="7F157D36" w:rsidRPr="7C4E3BA4">
        <w:t>the</w:t>
      </w:r>
      <w:r w:rsidRPr="7C4E3BA4">
        <w:t xml:space="preserve"> late treatment group was defined as patients for whom the treatment was initiated at stage 4 or later (when patients were already bedridden and required advanced medical care</w:t>
      </w:r>
      <w:r w:rsidR="74AA60C8" w:rsidRPr="7C4E3BA4">
        <w:t>)</w:t>
      </w:r>
      <w:r w:rsidRPr="7C4E3BA4">
        <w:t xml:space="preserve">. Only 1 out of 9 patients in </w:t>
      </w:r>
      <w:r w:rsidR="1FDD09DD" w:rsidRPr="7C4E3BA4">
        <w:t xml:space="preserve">the </w:t>
      </w:r>
      <w:r w:rsidRPr="7C4E3BA4">
        <w:t xml:space="preserve">early treatment group had disease progression with no mortality whereas in </w:t>
      </w:r>
      <w:r w:rsidR="23158B4E" w:rsidRPr="7C4E3BA4">
        <w:t xml:space="preserve">the </w:t>
      </w:r>
      <w:r w:rsidRPr="7C4E3BA4">
        <w:t>late treatment group 6 out of 8 patients had further disease progression and 3 of them died. This suggested that late initiation of ERT (after the patient is already stage 4 or more severe) may have a limited impact on slowing progression</w:t>
      </w:r>
      <w:r w:rsidR="4DF4131A" w:rsidRPr="7C4E3BA4">
        <w:t xml:space="preserve">. </w:t>
      </w:r>
      <w:r w:rsidR="6A664313" w:rsidRPr="7C4E3BA4">
        <w:t>Furthermore</w:t>
      </w:r>
      <w:r w:rsidR="4DF4131A" w:rsidRPr="7C4E3BA4">
        <w:t xml:space="preserve">, </w:t>
      </w:r>
      <w:r w:rsidR="02A03981" w:rsidRPr="7C4E3BA4">
        <w:t>the</w:t>
      </w:r>
      <w:r w:rsidR="57E8AF65" w:rsidRPr="7C4E3BA4">
        <w:t xml:space="preserve"> </w:t>
      </w:r>
      <w:r w:rsidR="30E5DCAA" w:rsidRPr="7C4E3BA4">
        <w:t>improved</w:t>
      </w:r>
      <w:r w:rsidRPr="7C4E3BA4">
        <w:t xml:space="preserve"> survival</w:t>
      </w:r>
      <w:r w:rsidR="30E5DCAA" w:rsidRPr="7C4E3BA4">
        <w:t xml:space="preserve"> in </w:t>
      </w:r>
      <w:r w:rsidR="0BE0AF6E" w:rsidRPr="7C4E3BA4">
        <w:t>the</w:t>
      </w:r>
      <w:r w:rsidR="30E5DCAA" w:rsidRPr="7C4E3BA4">
        <w:t xml:space="preserve"> early treatment group observed in </w:t>
      </w:r>
      <w:r w:rsidR="02A03981" w:rsidRPr="7C4E3BA4">
        <w:t xml:space="preserve">this study </w:t>
      </w:r>
      <w:r w:rsidR="30E5DCAA" w:rsidRPr="7C4E3BA4">
        <w:t>may also be due to the</w:t>
      </w:r>
      <w:r w:rsidR="57E8AF65" w:rsidRPr="7C4E3BA4">
        <w:t xml:space="preserve"> lead time bias</w:t>
      </w:r>
      <w:r w:rsidR="52279907" w:rsidRPr="7C4E3BA4">
        <w:t xml:space="preserve"> as patients at </w:t>
      </w:r>
      <w:r w:rsidR="30D0D655" w:rsidRPr="7C4E3BA4">
        <w:t>an</w:t>
      </w:r>
      <w:r w:rsidR="52279907" w:rsidRPr="7C4E3BA4">
        <w:t xml:space="preserve"> earlier stage of disease are less likely to die</w:t>
      </w:r>
      <w:r w:rsidR="6A664313" w:rsidRPr="7C4E3BA4">
        <w:t xml:space="preserve"> regardless of </w:t>
      </w:r>
      <w:r w:rsidR="0439C1D3" w:rsidRPr="7C4E3BA4">
        <w:t xml:space="preserve">the </w:t>
      </w:r>
      <w:r w:rsidR="6A664313" w:rsidRPr="7C4E3BA4">
        <w:t>treatment.</w:t>
      </w:r>
      <w:r w:rsidRPr="7C4E3BA4">
        <w:t xml:space="preserve"> </w:t>
      </w:r>
    </w:p>
    <w:p w14:paraId="100440DF" w14:textId="23C676AA" w:rsidR="004E18BB" w:rsidRDefault="00997CBA" w:rsidP="004E18BB">
      <w:r>
        <w:t xml:space="preserve">One </w:t>
      </w:r>
      <w:r w:rsidR="007F6AA8">
        <w:t xml:space="preserve">case series </w:t>
      </w:r>
      <w:r w:rsidR="004E18BB">
        <w:t xml:space="preserve">reported on the influence of age at time of ERT initiation on quality of life. </w:t>
      </w:r>
      <w:r w:rsidR="004E18BB" w:rsidRPr="00713346">
        <w:t xml:space="preserve">In a sibling pair case series, parents perceived better quality of life </w:t>
      </w:r>
      <w:r w:rsidR="004E18BB">
        <w:t>in the</w:t>
      </w:r>
      <w:r w:rsidR="004E18BB" w:rsidRPr="00713346">
        <w:t xml:space="preserve"> younger sibling who was diagnosed pre-symptomatically </w:t>
      </w:r>
      <w:r w:rsidR="004E18BB">
        <w:t xml:space="preserve">due to cascade testing </w:t>
      </w:r>
      <w:r w:rsidR="004E18BB" w:rsidRPr="00713346">
        <w:t xml:space="preserve">and started ERT </w:t>
      </w:r>
      <w:r w:rsidR="004E18BB">
        <w:t>at 13 months of age, compared to his older brother who started ERT at 3.9 years</w:t>
      </w:r>
      <w:r w:rsidR="004E18BB" w:rsidRPr="00713346">
        <w:t>.</w:t>
      </w:r>
      <w:r w:rsidR="004E18BB">
        <w:t xml:space="preserve"> </w:t>
      </w:r>
    </w:p>
    <w:p w14:paraId="0E396B27" w14:textId="0D6BC268" w:rsidR="00630E1C" w:rsidRDefault="1FAF51F4" w:rsidP="00630E1C">
      <w:r w:rsidRPr="7C4E3BA4">
        <w:t xml:space="preserve">Two sibling case series analysed the impact of pre-symptomatic versus post-symptomatic treatment on neurological manifestations in younger versus older siblings. These studies reported that younger siblings who had ERT at an earlier age (pre-symptomatically) were significantly more likely to have better cognitive development than those who had ERT at a later age (post-symptomatically). In these studies, two elder siblings had a low developmental and intelligent quotient score at baseline. After receiving treatment at 3 years and 7.5 years of age respectively, no stabilisation or improvement in neurological symptoms </w:t>
      </w:r>
      <w:r w:rsidR="69F01B71" w:rsidRPr="7C4E3BA4">
        <w:t>was</w:t>
      </w:r>
      <w:r w:rsidRPr="7C4E3BA4">
        <w:t xml:space="preserve"> observed with ERT in elder siblings. On the contrary, their younger siblings who were diagnosed pre-symptomatically and received treatment at 3 and 4 months of age continued to have normal psychomotor development after 3 - 4 years of follow-up.</w:t>
      </w:r>
    </w:p>
    <w:p w14:paraId="4BD07D3A" w14:textId="055D722E" w:rsidR="00630E1C" w:rsidRDefault="1FAF51F4" w:rsidP="00630E1C">
      <w:r w:rsidRPr="7C4E3BA4">
        <w:t xml:space="preserve">Only limited data on the impact of ERT on different health outcomes such as growth </w:t>
      </w:r>
      <w:r w:rsidR="75612BF4" w:rsidRPr="7C4E3BA4">
        <w:t>or</w:t>
      </w:r>
      <w:r w:rsidRPr="7C4E3BA4">
        <w:t xml:space="preserve"> motor development in younger children (usually &lt; 5 years of age) were available due to the difficulty in</w:t>
      </w:r>
      <w:r w:rsidRPr="7C4E3BA4" w:rsidDel="00573782">
        <w:t xml:space="preserve"> </w:t>
      </w:r>
      <w:r w:rsidRPr="7C4E3BA4">
        <w:t>performing meaningful evaluations</w:t>
      </w:r>
      <w:r w:rsidR="4E17A1A1" w:rsidRPr="7C4E3BA4">
        <w:t xml:space="preserve"> in young children</w:t>
      </w:r>
      <w:r w:rsidRPr="7C4E3BA4">
        <w:t xml:space="preserve">. Limited data from the sibling studies showed that, although the use of ERT did not prevent somatic and neurological manifestations of MPS II in general, earlier treatment can slow the progression of the disease. ERT improved growth rates to a similar degree in younger versus older groups, but the benefits tended to be slightly higher in those who had treatment initiated at an earlier age. Early initiation of ERT may also slow the progression of cardiovascular disease, but due to limited data the benefits could not be quantified. </w:t>
      </w:r>
      <w:r w:rsidR="753CE0C8" w:rsidRPr="7C4E3BA4">
        <w:t>O</w:t>
      </w:r>
      <w:r w:rsidRPr="7C4E3BA4">
        <w:t xml:space="preserve">ne recent study reviewed the medical </w:t>
      </w:r>
      <w:r w:rsidR="3A06E10E" w:rsidRPr="7C4E3BA4">
        <w:t>charts</w:t>
      </w:r>
      <w:r w:rsidRPr="7C4E3BA4">
        <w:t xml:space="preserve"> of MPS II patients across 19 sites in </w:t>
      </w:r>
      <w:r w:rsidR="2848BE80" w:rsidRPr="7C4E3BA4">
        <w:t xml:space="preserve">the </w:t>
      </w:r>
      <w:r w:rsidRPr="7C4E3BA4">
        <w:t>US and identified an overall trend for lower cardiovascular disease burden in patients who initiated ERT before 3 years of age as compared to other patients who started ERT at an older age (&gt; 3 years of age)</w:t>
      </w:r>
      <w:r w:rsidR="00A2306B" w:rsidRPr="7C4E3BA4">
        <w:rPr>
          <w:rStyle w:val="FootnoteReference"/>
        </w:rPr>
        <w:footnoteReference w:id="24"/>
      </w:r>
      <w:r w:rsidRPr="7C4E3BA4">
        <w:t>.</w:t>
      </w:r>
    </w:p>
    <w:p w14:paraId="63424B78" w14:textId="0AB3EAF8" w:rsidR="00232BE1" w:rsidRDefault="00232BE1" w:rsidP="00232BE1">
      <w:pPr>
        <w:pStyle w:val="Heading6"/>
      </w:pPr>
      <w:r>
        <w:t xml:space="preserve">Attenuated </w:t>
      </w:r>
      <w:r w:rsidR="00894EB4">
        <w:t>Disease</w:t>
      </w:r>
    </w:p>
    <w:p w14:paraId="34D9FDEB" w14:textId="39E45564" w:rsidR="001366D4" w:rsidRDefault="6800EE8B" w:rsidP="00E433B1">
      <w:r w:rsidRPr="7C4E3BA4">
        <w:t xml:space="preserve">There </w:t>
      </w:r>
      <w:r w:rsidR="1C68E468" w:rsidRPr="7C4E3BA4">
        <w:t>wa</w:t>
      </w:r>
      <w:r w:rsidRPr="7C4E3BA4">
        <w:t>s a scarcity of evidence on the impact of early versus late initiation of ERT in MPS II cases</w:t>
      </w:r>
      <w:r w:rsidR="4797C2AF" w:rsidRPr="7C4E3BA4">
        <w:t xml:space="preserve"> with attenuated disease</w:t>
      </w:r>
      <w:r w:rsidRPr="7C4E3BA4">
        <w:t xml:space="preserve">. </w:t>
      </w:r>
      <w:r w:rsidR="5162B4F4" w:rsidRPr="7C4E3BA4">
        <w:t xml:space="preserve">Overall, </w:t>
      </w:r>
      <w:r w:rsidR="1BA84B13" w:rsidRPr="7C4E3BA4">
        <w:t>four</w:t>
      </w:r>
      <w:r w:rsidR="5162B4F4" w:rsidRPr="7C4E3BA4">
        <w:t xml:space="preserve"> case series were identified that</w:t>
      </w:r>
      <w:r w:rsidR="3B77B98B" w:rsidRPr="7C4E3BA4">
        <w:t xml:space="preserve"> reported on the impact of ERT on health outcomes </w:t>
      </w:r>
      <w:r w:rsidR="26059BFB" w:rsidRPr="7C4E3BA4">
        <w:t>of MPS II patients wi</w:t>
      </w:r>
      <w:r w:rsidR="12D99958" w:rsidRPr="7C4E3BA4">
        <w:t xml:space="preserve">th </w:t>
      </w:r>
      <w:r w:rsidR="26059BFB" w:rsidRPr="7C4E3BA4">
        <w:t>attenuated</w:t>
      </w:r>
      <w:r w:rsidR="12D99958" w:rsidRPr="7C4E3BA4">
        <w:t xml:space="preserve"> disease</w:t>
      </w:r>
      <w:r w:rsidR="4F67F21D" w:rsidRPr="7C4E3BA4">
        <w:t>.</w:t>
      </w:r>
      <w:r w:rsidR="25D2C43D" w:rsidRPr="7C4E3BA4">
        <w:t xml:space="preserve"> </w:t>
      </w:r>
    </w:p>
    <w:p w14:paraId="44DAD969" w14:textId="26846A35" w:rsidR="001366D4" w:rsidRPr="00232BE1" w:rsidRDefault="35A114BD" w:rsidP="001366D4">
      <w:r w:rsidRPr="7C4E3BA4">
        <w:t xml:space="preserve">Shapiro et al. </w:t>
      </w:r>
      <w:r w:rsidR="008F410C" w:rsidRPr="7C4E3BA4">
        <w:t>assessed</w:t>
      </w:r>
      <w:r w:rsidRPr="7C4E3BA4">
        <w:t xml:space="preserve"> quality of life </w:t>
      </w:r>
      <w:r w:rsidR="4797C2AF" w:rsidRPr="7C4E3BA4">
        <w:t>using</w:t>
      </w:r>
      <w:r w:rsidRPr="7C4E3BA4">
        <w:t xml:space="preserve"> the Child Health Questionnaire PF-50</w:t>
      </w:r>
      <w:r w:rsidR="1ED3A647" w:rsidRPr="7C4E3BA4">
        <w:t>. P</w:t>
      </w:r>
      <w:r w:rsidRPr="7C4E3BA4">
        <w:t>sychosocial wellbeing was similar to population norms (for all MPS II patients with attenuated disease) but physical functioning differed based on the age at time of HSCT, with physical wellbeing lower than the normative average for children older than 12 years of age (mean (standard deviation, SD): 26.53 (9.45)).</w:t>
      </w:r>
    </w:p>
    <w:p w14:paraId="56A6D68B" w14:textId="0A3F742B" w:rsidR="007C3134" w:rsidRDefault="667975C3" w:rsidP="00E433B1">
      <w:r w:rsidRPr="7C4E3BA4">
        <w:lastRenderedPageBreak/>
        <w:t xml:space="preserve">Two </w:t>
      </w:r>
      <w:r w:rsidR="35A114BD" w:rsidRPr="7C4E3BA4">
        <w:t>case series</w:t>
      </w:r>
      <w:r w:rsidR="2E00D738" w:rsidRPr="7C4E3BA4">
        <w:t xml:space="preserve"> identified </w:t>
      </w:r>
      <w:r w:rsidR="4007F23D" w:rsidRPr="7C4E3BA4">
        <w:t xml:space="preserve">greater improvement in growth patterns </w:t>
      </w:r>
      <w:r w:rsidR="78924831" w:rsidRPr="7C4E3BA4">
        <w:t xml:space="preserve">in patients with attenuated disease as compared to patients with severe disease. </w:t>
      </w:r>
      <w:r w:rsidR="28F55745" w:rsidRPr="7C4E3BA4">
        <w:t>Th</w:t>
      </w:r>
      <w:r w:rsidR="000EDDD0" w:rsidRPr="7C4E3BA4">
        <w:t>e ERT may have less impact</w:t>
      </w:r>
      <w:r w:rsidR="71866DEC" w:rsidRPr="7C4E3BA4">
        <w:t xml:space="preserve"> on patients with </w:t>
      </w:r>
      <w:r w:rsidR="5EF0EB7D" w:rsidRPr="7C4E3BA4">
        <w:t xml:space="preserve">a </w:t>
      </w:r>
      <w:r w:rsidR="71866DEC" w:rsidRPr="7C4E3BA4">
        <w:t xml:space="preserve">severe form due to </w:t>
      </w:r>
      <w:r w:rsidR="28F55745" w:rsidRPr="7C4E3BA4">
        <w:t>the</w:t>
      </w:r>
      <w:r w:rsidR="5EBCB33F" w:rsidRPr="7C4E3BA4">
        <w:t xml:space="preserve"> </w:t>
      </w:r>
      <w:r w:rsidR="35449A21" w:rsidRPr="7C4E3BA4">
        <w:t>severe dysostosis multiplex, hepa</w:t>
      </w:r>
      <w:r w:rsidR="4C78C9CB" w:rsidRPr="7C4E3BA4">
        <w:t xml:space="preserve">tosplenomegaly </w:t>
      </w:r>
      <w:r w:rsidR="17CA22BD" w:rsidRPr="7C4E3BA4">
        <w:t xml:space="preserve">and malnutrition </w:t>
      </w:r>
      <w:r w:rsidR="55816911" w:rsidRPr="7C4E3BA4">
        <w:t>caused by poor oral intake due to dysphagia</w:t>
      </w:r>
      <w:r w:rsidR="35A114BD" w:rsidRPr="7C4E3BA4">
        <w:t xml:space="preserve"> observed in MPS II patients with severe disease</w:t>
      </w:r>
      <w:r w:rsidR="6E76FE8B" w:rsidRPr="7C4E3BA4">
        <w:t xml:space="preserve">. </w:t>
      </w:r>
    </w:p>
    <w:p w14:paraId="18C238FE" w14:textId="10F691C6" w:rsidR="00E433B1" w:rsidRDefault="35A114BD" w:rsidP="00E433B1">
      <w:r w:rsidRPr="7C4E3BA4">
        <w:t>Conversely</w:t>
      </w:r>
      <w:r w:rsidR="1E1AA9DF" w:rsidRPr="7C4E3BA4">
        <w:t xml:space="preserve">, </w:t>
      </w:r>
      <w:r w:rsidR="35D1B1E6" w:rsidRPr="7C4E3BA4">
        <w:t>Tomanin et al</w:t>
      </w:r>
      <w:r w:rsidR="6374FDDA" w:rsidRPr="7C4E3BA4">
        <w:t>.</w:t>
      </w:r>
      <w:r w:rsidR="00C811A8" w:rsidRPr="7C4E3BA4">
        <w:rPr>
          <w:rStyle w:val="FootnoteReference"/>
        </w:rPr>
        <w:footnoteReference w:id="25"/>
      </w:r>
      <w:r w:rsidR="6374FDDA" w:rsidRPr="7C4E3BA4">
        <w:t xml:space="preserve"> </w:t>
      </w:r>
      <w:r w:rsidR="7530B30A" w:rsidRPr="7C4E3BA4">
        <w:t xml:space="preserve">identified that </w:t>
      </w:r>
      <w:r w:rsidRPr="7C4E3BA4">
        <w:t xml:space="preserve">the positive </w:t>
      </w:r>
      <w:r w:rsidR="09F0B0B3" w:rsidRPr="7C4E3BA4">
        <w:t xml:space="preserve">impact of </w:t>
      </w:r>
      <w:r w:rsidR="6F637ED0" w:rsidRPr="7C4E3BA4">
        <w:t xml:space="preserve">early initiation of </w:t>
      </w:r>
      <w:r w:rsidR="4ADA9C58" w:rsidRPr="7C4E3BA4">
        <w:t xml:space="preserve">ERT </w:t>
      </w:r>
      <w:r w:rsidR="7530B30A" w:rsidRPr="7C4E3BA4">
        <w:t xml:space="preserve">on </w:t>
      </w:r>
      <w:r w:rsidRPr="7C4E3BA4">
        <w:t xml:space="preserve">organomegaly </w:t>
      </w:r>
      <w:r w:rsidR="73B6887E" w:rsidRPr="7C4E3BA4">
        <w:t>wa</w:t>
      </w:r>
      <w:r w:rsidRPr="7C4E3BA4">
        <w:t xml:space="preserve">s more pronounced </w:t>
      </w:r>
      <w:r w:rsidR="4ADA9C58" w:rsidRPr="7C4E3BA4">
        <w:t xml:space="preserve">in </w:t>
      </w:r>
      <w:r w:rsidR="73B6887E" w:rsidRPr="7C4E3BA4">
        <w:t>severe</w:t>
      </w:r>
      <w:r w:rsidR="4ADA9C58" w:rsidRPr="7C4E3BA4">
        <w:t xml:space="preserve"> </w:t>
      </w:r>
      <w:r w:rsidR="2E00D738" w:rsidRPr="7C4E3BA4">
        <w:t xml:space="preserve">MPS II cases. </w:t>
      </w:r>
      <w:r w:rsidR="7DD5CDCE" w:rsidRPr="7C4E3BA4">
        <w:t>The a</w:t>
      </w:r>
      <w:r w:rsidRPr="7C4E3BA4">
        <w:t xml:space="preserve">uthors indicated that </w:t>
      </w:r>
      <w:r w:rsidR="2A44DF7A" w:rsidRPr="7C4E3BA4">
        <w:t>these results c</w:t>
      </w:r>
      <w:r w:rsidR="7DD5CDCE" w:rsidRPr="7C4E3BA4">
        <w:t>ould</w:t>
      </w:r>
      <w:r w:rsidR="2A44DF7A" w:rsidRPr="7C4E3BA4">
        <w:t xml:space="preserve"> be explained by </w:t>
      </w:r>
      <w:r w:rsidR="2E00D738" w:rsidRPr="7C4E3BA4">
        <w:t xml:space="preserve">the presence of more advanced clinical signs in severe patients at start of treatment, for which an amelioration due to ERT could </w:t>
      </w:r>
      <w:r w:rsidR="7DD5CDCE" w:rsidRPr="7C4E3BA4">
        <w:t>be</w:t>
      </w:r>
      <w:r w:rsidR="448F0C39" w:rsidRPr="7C4E3BA4">
        <w:t xml:space="preserve"> </w:t>
      </w:r>
      <w:r w:rsidR="2E00D738" w:rsidRPr="7C4E3BA4">
        <w:t>more evident.</w:t>
      </w:r>
      <w:r w:rsidR="7A605D98" w:rsidRPr="7C4E3BA4">
        <w:t xml:space="preserve"> </w:t>
      </w:r>
      <w:r w:rsidR="7DD5CDCE" w:rsidRPr="7C4E3BA4">
        <w:t>For example</w:t>
      </w:r>
      <w:r w:rsidR="232B7755" w:rsidRPr="7C4E3BA4">
        <w:t xml:space="preserve">, </w:t>
      </w:r>
      <w:r w:rsidR="7A605D98" w:rsidRPr="7C4E3BA4">
        <w:t xml:space="preserve">there were no significant signs of organomegaly in </w:t>
      </w:r>
      <w:r w:rsidR="307F8F93" w:rsidRPr="7C4E3BA4">
        <w:t xml:space="preserve">patients with </w:t>
      </w:r>
      <w:r w:rsidR="7A605D98" w:rsidRPr="7C4E3BA4">
        <w:t xml:space="preserve">attenuated </w:t>
      </w:r>
      <w:r w:rsidR="307F8F93" w:rsidRPr="7C4E3BA4">
        <w:t>cases</w:t>
      </w:r>
      <w:r w:rsidR="6B0B48BA" w:rsidRPr="7C4E3BA4">
        <w:t xml:space="preserve"> at baseline, thus no improvement or deterioration was seen after ERT. </w:t>
      </w:r>
      <w:r w:rsidR="307F8F93" w:rsidRPr="7C4E3BA4">
        <w:t xml:space="preserve"> </w:t>
      </w:r>
      <w:r w:rsidR="2E00D738" w:rsidRPr="7C4E3BA4">
        <w:t xml:space="preserve"> </w:t>
      </w:r>
    </w:p>
    <w:p w14:paraId="49B2C309" w14:textId="3AC3967C" w:rsidR="00CD77E4" w:rsidRDefault="001C12BC" w:rsidP="00C50D19">
      <w:r>
        <w:t xml:space="preserve">Overall, </w:t>
      </w:r>
      <w:r w:rsidR="00E433B1">
        <w:t>t</w:t>
      </w:r>
      <w:r w:rsidR="00E433B1" w:rsidRPr="00D44894">
        <w:t xml:space="preserve">he applicability </w:t>
      </w:r>
      <w:r w:rsidR="00E433B1">
        <w:t xml:space="preserve">of these findings </w:t>
      </w:r>
      <w:r w:rsidR="00E433B1" w:rsidRPr="00D44894">
        <w:t xml:space="preserve">to the comparison of NBS vs no NBS is unknown, as in the absence of NBS, the median age of ERT initiation is </w:t>
      </w:r>
      <w:r w:rsidR="005D5DCF" w:rsidRPr="00005B99">
        <w:rPr>
          <w:b/>
          <w:bCs/>
        </w:rPr>
        <w:t>REDACTED</w:t>
      </w:r>
      <w:r w:rsidR="00147393">
        <w:rPr>
          <w:b/>
          <w:bCs/>
        </w:rPr>
        <w:t xml:space="preserve"> </w:t>
      </w:r>
      <w:r w:rsidR="00E433B1" w:rsidRPr="00011DA9">
        <w:t>years</w:t>
      </w:r>
      <w:r w:rsidR="00E433B1">
        <w:t>. B</w:t>
      </w:r>
      <w:r w:rsidR="00E433B1" w:rsidRPr="00D44894">
        <w:t xml:space="preserve">oth early and late </w:t>
      </w:r>
      <w:r w:rsidR="00E433B1">
        <w:t xml:space="preserve">treatment </w:t>
      </w:r>
      <w:r w:rsidR="00E433B1" w:rsidRPr="00D44894">
        <w:t xml:space="preserve">groups in </w:t>
      </w:r>
      <w:r w:rsidR="00E433B1">
        <w:t>these</w:t>
      </w:r>
      <w:r w:rsidR="00E433B1" w:rsidRPr="00D44894">
        <w:t xml:space="preserve"> stud</w:t>
      </w:r>
      <w:r w:rsidR="00E433B1">
        <w:t>ies</w:t>
      </w:r>
      <w:r w:rsidR="00E433B1" w:rsidRPr="00D44894">
        <w:t xml:space="preserve"> were later than </w:t>
      </w:r>
      <w:r w:rsidR="00E433B1">
        <w:t xml:space="preserve">the </w:t>
      </w:r>
      <w:r w:rsidR="00E433B1" w:rsidRPr="00D44894">
        <w:t>current practice</w:t>
      </w:r>
      <w:r w:rsidR="00E433B1">
        <w:t>.</w:t>
      </w:r>
    </w:p>
    <w:p w14:paraId="5985AE4F" w14:textId="6E04D02A" w:rsidR="001E0D4F" w:rsidRDefault="001E0D4F" w:rsidP="001E0D4F">
      <w:pPr>
        <w:pStyle w:val="Heading5"/>
      </w:pPr>
      <w:r>
        <w:t>Effectiveness of early vs late HSCT in MPS II</w:t>
      </w:r>
    </w:p>
    <w:p w14:paraId="2FEA1E0A" w14:textId="35655C5E" w:rsidR="0BCD80E4" w:rsidRDefault="53972D53">
      <w:r w:rsidRPr="7C4E3BA4">
        <w:t xml:space="preserve">The </w:t>
      </w:r>
      <w:r w:rsidR="2AE8F5EB" w:rsidRPr="7C4E3BA4">
        <w:t>s</w:t>
      </w:r>
      <w:r w:rsidRPr="7C4E3BA4">
        <w:t xml:space="preserve">tates and territories fund the use of domestically-sourced </w:t>
      </w:r>
      <w:r w:rsidR="68B9FF6A" w:rsidRPr="7C4E3BA4">
        <w:t>haem</w:t>
      </w:r>
      <w:r w:rsidR="00687E03">
        <w:t>at</w:t>
      </w:r>
      <w:r w:rsidR="68B9FF6A" w:rsidRPr="7C4E3BA4">
        <w:t>opoietic</w:t>
      </w:r>
      <w:r w:rsidRPr="7C4E3BA4">
        <w:t xml:space="preserve"> stem cells (</w:t>
      </w:r>
      <w:r w:rsidR="0700DF22" w:rsidRPr="7C4E3BA4">
        <w:t>H</w:t>
      </w:r>
      <w:r w:rsidR="5A925C03" w:rsidRPr="7C4E3BA4">
        <w:t>S</w:t>
      </w:r>
      <w:r w:rsidR="0700DF22" w:rsidRPr="7C4E3BA4">
        <w:t>Cs)</w:t>
      </w:r>
      <w:r w:rsidRPr="7C4E3BA4">
        <w:t xml:space="preserve"> (autologous or allogeneic) whereas the Commonwealth holds responsibility for fund</w:t>
      </w:r>
      <w:r w:rsidR="7A9C8AD6" w:rsidRPr="7C4E3BA4">
        <w:t>ing overseas-sourced H</w:t>
      </w:r>
      <w:r w:rsidR="5A925C03" w:rsidRPr="7C4E3BA4">
        <w:t>S</w:t>
      </w:r>
      <w:r w:rsidR="7A9C8AD6" w:rsidRPr="7C4E3BA4">
        <w:t xml:space="preserve">Cs. </w:t>
      </w:r>
      <w:r w:rsidR="19588F8A" w:rsidRPr="7C4E3BA4">
        <w:t xml:space="preserve">The current </w:t>
      </w:r>
      <w:r w:rsidR="4CBCE46E" w:rsidRPr="7C4E3BA4">
        <w:t>guidelines</w:t>
      </w:r>
      <w:r w:rsidR="19588F8A" w:rsidRPr="7C4E3BA4">
        <w:t xml:space="preserve"> for the Common</w:t>
      </w:r>
      <w:r w:rsidR="14BBFFE9" w:rsidRPr="7C4E3BA4">
        <w:t>w</w:t>
      </w:r>
      <w:r w:rsidR="19588F8A" w:rsidRPr="7C4E3BA4">
        <w:t>ealth Bone Marrow Transplant Program</w:t>
      </w:r>
      <w:r w:rsidR="5BC229B2" w:rsidRPr="7C4E3BA4">
        <w:t xml:space="preserve"> state that MPS II is not a condition which meets the eligibility for routine funding of overseas transplant sea</w:t>
      </w:r>
      <w:r w:rsidR="54CA960C" w:rsidRPr="7C4E3BA4">
        <w:t>r</w:t>
      </w:r>
      <w:r w:rsidR="5BC229B2" w:rsidRPr="7C4E3BA4">
        <w:t>ches and costs</w:t>
      </w:r>
      <w:r w:rsidR="47E47F6D" w:rsidRPr="7C4E3BA4">
        <w:t xml:space="preserve"> of collection and transport of transplant tissue</w:t>
      </w:r>
      <w:r w:rsidR="694926CF" w:rsidRPr="7C4E3BA4">
        <w:t xml:space="preserve"> </w:t>
      </w:r>
      <w:r w:rsidR="0F1C6D9B" w:rsidRPr="7C4E3BA4">
        <w:t>- any</w:t>
      </w:r>
      <w:r w:rsidR="694926CF" w:rsidRPr="7C4E3BA4">
        <w:t xml:space="preserve"> application would need to be considered on individual merit</w:t>
      </w:r>
      <w:r w:rsidR="5BC229B2" w:rsidRPr="7C4E3BA4">
        <w:t>.</w:t>
      </w:r>
    </w:p>
    <w:p w14:paraId="787CEB1B" w14:textId="210CCDB4" w:rsidR="00A2002F" w:rsidRDefault="1FB99A8A" w:rsidP="00C11000">
      <w:r w:rsidRPr="7C4E3BA4">
        <w:t>There is limited information available regarding the long-term outcomes of early versus late initiation of HSCT for MPS II patients</w:t>
      </w:r>
      <w:r w:rsidR="414CE027" w:rsidRPr="7C4E3BA4">
        <w:t xml:space="preserve"> who were diagnosed after the onset of symptoms</w:t>
      </w:r>
      <w:r w:rsidRPr="7C4E3BA4">
        <w:t xml:space="preserve">. </w:t>
      </w:r>
      <w:r w:rsidR="06EDD264" w:rsidRPr="7C4E3BA4">
        <w:t>T</w:t>
      </w:r>
      <w:r w:rsidRPr="7C4E3BA4">
        <w:t xml:space="preserve">hree case series (including two sibling studies) provided data on </w:t>
      </w:r>
      <w:r w:rsidR="0C2292D9" w:rsidRPr="7C4E3BA4">
        <w:t xml:space="preserve">the </w:t>
      </w:r>
      <w:r w:rsidRPr="7C4E3BA4">
        <w:t>impact of early versus late initiation of HSCT on health outcomes. From the ANZTCT registr</w:t>
      </w:r>
      <w:r w:rsidRPr="005D5DCF">
        <w:t>y</w:t>
      </w:r>
      <w:r w:rsidRPr="00011DA9">
        <w:t xml:space="preserve">, </w:t>
      </w:r>
      <w:r w:rsidR="005D5DCF" w:rsidRPr="00005B99">
        <w:rPr>
          <w:b/>
          <w:bCs/>
        </w:rPr>
        <w:t>REDACTED</w:t>
      </w:r>
      <w:r w:rsidR="005D5DCF">
        <w:rPr>
          <w:b/>
          <w:bCs/>
        </w:rPr>
        <w:t xml:space="preserve"> </w:t>
      </w:r>
      <w:r w:rsidRPr="7C4E3BA4">
        <w:t xml:space="preserve">patients received HSCT for MPS II from 2009 – 2024 at </w:t>
      </w:r>
      <w:r w:rsidR="14B58A94" w:rsidRPr="7C4E3BA4">
        <w:t xml:space="preserve">a </w:t>
      </w:r>
      <w:r w:rsidRPr="7C4E3BA4">
        <w:t>median age of</w:t>
      </w:r>
      <w:r w:rsidR="005D5DCF">
        <w:t xml:space="preserve"> </w:t>
      </w:r>
      <w:r w:rsidR="005D5DCF" w:rsidRPr="00005B99">
        <w:rPr>
          <w:b/>
          <w:bCs/>
        </w:rPr>
        <w:t>REDACTED</w:t>
      </w:r>
      <w:r w:rsidR="00057809">
        <w:t xml:space="preserve"> </w:t>
      </w:r>
      <w:r w:rsidR="00F62432">
        <w:t xml:space="preserve">(range </w:t>
      </w:r>
      <w:r w:rsidR="00F62432">
        <w:rPr>
          <w:b/>
          <w:bCs/>
        </w:rPr>
        <w:t>REDACTED</w:t>
      </w:r>
      <w:r w:rsidR="241B8715">
        <w:t>)</w:t>
      </w:r>
      <w:r w:rsidR="6B4CC974">
        <w:t>.</w:t>
      </w:r>
      <w:r w:rsidR="6EDCB3BF" w:rsidRPr="7C4E3BA4">
        <w:t xml:space="preserve"> The</w:t>
      </w:r>
      <w:r w:rsidR="5CE55F0A" w:rsidRPr="7C4E3BA4">
        <w:t xml:space="preserve"> median</w:t>
      </w:r>
      <w:r w:rsidR="6EDCB3BF" w:rsidRPr="7C4E3BA4">
        <w:t xml:space="preserve"> time from diagnosis to </w:t>
      </w:r>
      <w:r w:rsidR="17028385" w:rsidRPr="7C4E3BA4">
        <w:t>receiving HSCT</w:t>
      </w:r>
      <w:r w:rsidR="6EDCB3BF" w:rsidRPr="7C4E3BA4">
        <w:t xml:space="preserve"> </w:t>
      </w:r>
      <w:r w:rsidR="7987FE23" w:rsidRPr="7C4E3BA4">
        <w:t xml:space="preserve">was </w:t>
      </w:r>
      <w:r w:rsidR="005D5DCF" w:rsidRPr="00005B99">
        <w:rPr>
          <w:b/>
          <w:bCs/>
        </w:rPr>
        <w:t>REDACTE</w:t>
      </w:r>
      <w:r w:rsidR="005D5DCF" w:rsidRPr="005D5DCF">
        <w:rPr>
          <w:b/>
          <w:bCs/>
        </w:rPr>
        <w:t>D</w:t>
      </w:r>
      <w:r w:rsidR="7987FE23" w:rsidRPr="00011DA9">
        <w:t>.</w:t>
      </w:r>
      <w:r w:rsidR="7987FE23" w:rsidRPr="7C4E3BA4">
        <w:t xml:space="preserve"> </w:t>
      </w:r>
      <w:r w:rsidRPr="7C4E3BA4">
        <w:t>There were insufficient data from the registry to be able to compare health outcomes for patients with MPS II who had received HSCT at different ages.</w:t>
      </w:r>
      <w:r w:rsidR="4595C5BF" w:rsidRPr="7C4E3BA4">
        <w:t xml:space="preserve"> </w:t>
      </w:r>
    </w:p>
    <w:p w14:paraId="6B5465EA" w14:textId="2FE1D3D7" w:rsidR="00165C8E" w:rsidRDefault="4CE0CDB8" w:rsidP="00165C8E">
      <w:r w:rsidRPr="7C4E3BA4">
        <w:t xml:space="preserve">The very limited data available did not identify any clear benefit of early initiation of </w:t>
      </w:r>
      <w:r w:rsidR="3A06E10E" w:rsidRPr="7C4E3BA4">
        <w:t>HSCT</w:t>
      </w:r>
      <w:r w:rsidRPr="7C4E3BA4">
        <w:t xml:space="preserve"> on the outcomes of survival, quality of life, hearing, vision, cardiac disease, respiratory disease, or organomegaly. </w:t>
      </w:r>
      <w:r w:rsidR="1A05A1B0" w:rsidRPr="7C4E3BA4">
        <w:rPr>
          <w:rFonts w:ascii="Segoe UI" w:hAnsi="Segoe UI" w:cs="Segoe UI"/>
          <w:sz w:val="18"/>
          <w:szCs w:val="18"/>
        </w:rPr>
        <w:t xml:space="preserve"> </w:t>
      </w:r>
      <w:r w:rsidR="1A05A1B0" w:rsidRPr="7C4E3BA4">
        <w:t xml:space="preserve">In </w:t>
      </w:r>
      <w:r w:rsidR="585E6FFE" w:rsidRPr="7C4E3BA4">
        <w:t>two</w:t>
      </w:r>
      <w:r w:rsidR="1A05A1B0" w:rsidRPr="7C4E3BA4">
        <w:t xml:space="preserve"> sibship studies, </w:t>
      </w:r>
      <w:r w:rsidR="585E6FFE" w:rsidRPr="7C4E3BA4">
        <w:t xml:space="preserve">two </w:t>
      </w:r>
      <w:r w:rsidR="1A05A1B0" w:rsidRPr="7C4E3BA4">
        <w:t>younger siblings had pre-symptomatic initiation of HSCT at 2 years and 70 days, whereas older sibling</w:t>
      </w:r>
      <w:r w:rsidR="4E930B43" w:rsidRPr="7C4E3BA4">
        <w:t>s</w:t>
      </w:r>
      <w:r w:rsidR="1A05A1B0" w:rsidRPr="7C4E3BA4">
        <w:t xml:space="preserve"> received transplant at 5 and 6 years</w:t>
      </w:r>
      <w:r w:rsidR="039B94DF" w:rsidRPr="7C4E3BA4">
        <w:t>,</w:t>
      </w:r>
      <w:r w:rsidR="1A05A1B0" w:rsidRPr="7C4E3BA4">
        <w:t xml:space="preserve"> respectively.</w:t>
      </w:r>
      <w:r w:rsidR="585E6FFE" w:rsidRPr="7C4E3BA4">
        <w:t xml:space="preserve"> </w:t>
      </w:r>
      <w:r w:rsidR="78053CA4" w:rsidRPr="7C4E3BA4">
        <w:t>The</w:t>
      </w:r>
      <w:r w:rsidRPr="7C4E3BA4">
        <w:t xml:space="preserve"> pre-symptomatic initiation with HSCT tended to have a positive impact on the physical and motor development of patients with MPS II. In comparison to </w:t>
      </w:r>
      <w:r w:rsidR="0F12DB07" w:rsidRPr="7C4E3BA4">
        <w:t>o</w:t>
      </w:r>
      <w:r w:rsidRPr="7C4E3BA4">
        <w:t xml:space="preserve">lder siblings who were diagnosed after the onset of symptoms, younger siblings </w:t>
      </w:r>
      <w:r w:rsidR="03B6E0D3" w:rsidRPr="7C4E3BA4">
        <w:t xml:space="preserve">who were </w:t>
      </w:r>
      <w:r w:rsidRPr="7C4E3BA4">
        <w:t xml:space="preserve">diagnosed </w:t>
      </w:r>
      <w:r w:rsidR="03F3AAEE" w:rsidRPr="7C4E3BA4">
        <w:t xml:space="preserve">and </w:t>
      </w:r>
      <w:r w:rsidR="4E2AC77E" w:rsidRPr="7C4E3BA4">
        <w:t>initiated</w:t>
      </w:r>
      <w:r w:rsidR="03F3AAEE" w:rsidRPr="7C4E3BA4">
        <w:t xml:space="preserve"> HSCT</w:t>
      </w:r>
      <w:r w:rsidRPr="7C4E3BA4">
        <w:t xml:space="preserve"> pre-symptomatically had normal motor development and met the majority of growth milestones. </w:t>
      </w:r>
    </w:p>
    <w:p w14:paraId="1FD6ACA2" w14:textId="19C845B1" w:rsidR="00165C8E" w:rsidRDefault="3680B6BF" w:rsidP="00165C8E">
      <w:r w:rsidRPr="7C4E3BA4">
        <w:t>O</w:t>
      </w:r>
      <w:r w:rsidR="4CE0CDB8" w:rsidRPr="7C4E3BA4">
        <w:t xml:space="preserve">ne case series assessed the cognitive development in 18 MPS II patients with a severe phenotype who received HSCT using the Activities of Daily Life (ADL) questionnaire. This questionnaire </w:t>
      </w:r>
      <w:r w:rsidR="69BB4EBD" w:rsidRPr="7C4E3BA4">
        <w:t>assessed</w:t>
      </w:r>
      <w:r w:rsidR="4CE0CDB8" w:rsidRPr="7C4E3BA4">
        <w:t xml:space="preserve"> the basic motor skills needed for movement, daily activities and cognition. Patients who received HSCT at ≤ 5 years of age had better cognitive and neurodevelopment score</w:t>
      </w:r>
      <w:r w:rsidR="1BCC6642" w:rsidRPr="7C4E3BA4">
        <w:t>s</w:t>
      </w:r>
      <w:r w:rsidR="4CE0CDB8" w:rsidRPr="7C4E3BA4">
        <w:t xml:space="preserve"> than patients older than 5 years of age at treatment initiation</w:t>
      </w:r>
      <w:r w:rsidR="00EC75EB" w:rsidRPr="7C4E3BA4">
        <w:rPr>
          <w:rStyle w:val="FootnoteReference"/>
        </w:rPr>
        <w:footnoteReference w:id="26"/>
      </w:r>
      <w:r w:rsidR="4CE0CDB8" w:rsidRPr="7C4E3BA4">
        <w:t xml:space="preserve">. </w:t>
      </w:r>
    </w:p>
    <w:p w14:paraId="10076627" w14:textId="77777777" w:rsidR="00B81390" w:rsidRPr="00223664" w:rsidRDefault="00B81390" w:rsidP="00B81390">
      <w:pPr>
        <w:pStyle w:val="Heading4"/>
      </w:pPr>
      <w:r w:rsidRPr="00223664">
        <w:lastRenderedPageBreak/>
        <w:t>Clinical claim</w:t>
      </w:r>
    </w:p>
    <w:p w14:paraId="06E69CB8" w14:textId="16C59E47" w:rsidR="00B81390" w:rsidRDefault="005E798B" w:rsidP="00B81390">
      <w:r>
        <w:t xml:space="preserve">For </w:t>
      </w:r>
      <w:r w:rsidR="002A1535">
        <w:t>individuals with severe</w:t>
      </w:r>
      <w:r>
        <w:t xml:space="preserve"> MPS II, t</w:t>
      </w:r>
      <w:r w:rsidR="00B81390">
        <w:t>he addition of MPS I</w:t>
      </w:r>
      <w:r w:rsidR="00295121">
        <w:t>I</w:t>
      </w:r>
      <w:r w:rsidR="00B81390">
        <w:t xml:space="preserve"> to NBS programs would result in superior effectiveness and non-inferior safety to diagnosis after symptom onset, due </w:t>
      </w:r>
      <w:r w:rsidR="00EC2FE3">
        <w:t xml:space="preserve">to </w:t>
      </w:r>
      <w:r w:rsidR="00B81390">
        <w:t>the superior effectiveness of earl</w:t>
      </w:r>
      <w:r w:rsidR="00EB267B">
        <w:t>ier</w:t>
      </w:r>
      <w:r w:rsidR="00B81390">
        <w:t xml:space="preserve"> treatment, and the benefit in avoiding </w:t>
      </w:r>
      <w:r w:rsidR="007B62E2">
        <w:t>a</w:t>
      </w:r>
      <w:r w:rsidR="00832E89">
        <w:t xml:space="preserve"> </w:t>
      </w:r>
      <w:r w:rsidR="00B81390">
        <w:t xml:space="preserve">diagnostic </w:t>
      </w:r>
      <w:r w:rsidR="007B62E2">
        <w:t>delay</w:t>
      </w:r>
      <w:r w:rsidR="00B81390">
        <w:t xml:space="preserve">. </w:t>
      </w:r>
    </w:p>
    <w:p w14:paraId="5816FB4F" w14:textId="1108E03A" w:rsidR="000B70B3" w:rsidRDefault="00E614DE" w:rsidP="000B70B3">
      <w:r>
        <w:t xml:space="preserve">For </w:t>
      </w:r>
      <w:r w:rsidR="002A1535">
        <w:t xml:space="preserve">individuals with </w:t>
      </w:r>
      <w:r w:rsidR="005860ED">
        <w:t xml:space="preserve">attenuated </w:t>
      </w:r>
      <w:r>
        <w:t xml:space="preserve">MPS II, </w:t>
      </w:r>
      <w:r w:rsidR="000B70B3">
        <w:t xml:space="preserve">use of NBS </w:t>
      </w:r>
      <w:r w:rsidR="00867623">
        <w:t xml:space="preserve">would </w:t>
      </w:r>
      <w:r w:rsidR="000B70B3">
        <w:t xml:space="preserve">result in potentially superior effectiveness </w:t>
      </w:r>
      <w:r w:rsidR="000B70B3" w:rsidRPr="00230C9B">
        <w:t xml:space="preserve">(due to avoidance of </w:t>
      </w:r>
      <w:r w:rsidR="007B62E2">
        <w:t>a</w:t>
      </w:r>
      <w:r w:rsidR="000B70B3" w:rsidRPr="00230C9B">
        <w:t xml:space="preserve"> diagnostic </w:t>
      </w:r>
      <w:r w:rsidR="007B62E2">
        <w:t>delay</w:t>
      </w:r>
      <w:r w:rsidR="000B70B3" w:rsidRPr="00230C9B">
        <w:t xml:space="preserve"> and possible benefits of earl</w:t>
      </w:r>
      <w:r w:rsidR="00F51004">
        <w:t>ier</w:t>
      </w:r>
      <w:r w:rsidR="000B70B3" w:rsidRPr="00230C9B">
        <w:t xml:space="preserve"> ERT)</w:t>
      </w:r>
      <w:r w:rsidR="000B70B3">
        <w:t xml:space="preserve"> and inferior safety compared to no NBS (due to some risks associated with continuous clinical surveillance </w:t>
      </w:r>
      <w:r w:rsidR="004A72B0">
        <w:t xml:space="preserve">(i.e. radiation, sedation) </w:t>
      </w:r>
      <w:r w:rsidR="000B70B3">
        <w:t xml:space="preserve">and psychological impact of an uncertain </w:t>
      </w:r>
      <w:r w:rsidR="000B70B3" w:rsidRPr="00495472">
        <w:t>diagnosis</w:t>
      </w:r>
      <w:r w:rsidR="000B70B3">
        <w:t xml:space="preserve"> and creating patients-in-waiting). </w:t>
      </w:r>
    </w:p>
    <w:p w14:paraId="04B3F5F2" w14:textId="77777777" w:rsidR="008A62F7" w:rsidRPr="00496C73" w:rsidRDefault="00C8384C" w:rsidP="00802447">
      <w:pPr>
        <w:pStyle w:val="Heading3"/>
      </w:pPr>
      <w:bookmarkStart w:id="38" w:name="_Toc185430536"/>
      <w:r w:rsidRPr="00496C73">
        <w:t>PICO Set 2 - Family members</w:t>
      </w:r>
      <w:bookmarkEnd w:id="38"/>
    </w:p>
    <w:p w14:paraId="06EEFC24" w14:textId="6459098C" w:rsidR="008A62F7" w:rsidRPr="00496C73" w:rsidRDefault="00524C29" w:rsidP="008A62F7">
      <w:r>
        <w:t>From the case series identified, it was not possible to draw any conclusion regarding the uptake rate of testing by families of a proband</w:t>
      </w:r>
      <w:r w:rsidR="00F94065">
        <w:t>/index case</w:t>
      </w:r>
      <w:r w:rsidR="00AF223D">
        <w:t>, because</w:t>
      </w:r>
      <w:r w:rsidR="00A9606F">
        <w:t xml:space="preserve"> f</w:t>
      </w:r>
      <w:r w:rsidR="00312956">
        <w:t>or index cases</w:t>
      </w:r>
      <w:r w:rsidR="0012704C">
        <w:t xml:space="preserve"> (confirmed laboratory diagnosis in the absence of signs/symptoms)</w:t>
      </w:r>
      <w:r w:rsidR="00312956">
        <w:t xml:space="preserve">, </w:t>
      </w:r>
      <w:r w:rsidR="000C3043">
        <w:t>the</w:t>
      </w:r>
      <w:r w:rsidR="00312956">
        <w:t xml:space="preserve"> </w:t>
      </w:r>
      <w:r w:rsidR="00EB1E56">
        <w:t>number of family members tested for each newborn was not stated</w:t>
      </w:r>
      <w:r w:rsidR="00AF223D">
        <w:t>,</w:t>
      </w:r>
      <w:r w:rsidR="00EB1E56">
        <w:t xml:space="preserve"> </w:t>
      </w:r>
      <w:r w:rsidR="00312956">
        <w:t>whereas for probands</w:t>
      </w:r>
      <w:r w:rsidR="0012704C">
        <w:t xml:space="preserve"> (</w:t>
      </w:r>
      <w:r w:rsidR="0073732C">
        <w:t>confirmed diagnosis including signs/symptoms and laboratory diagnosis)</w:t>
      </w:r>
      <w:r w:rsidR="00A9606F">
        <w:t>,</w:t>
      </w:r>
      <w:r w:rsidR="00312956">
        <w:t xml:space="preserve"> </w:t>
      </w:r>
      <w:r>
        <w:t xml:space="preserve">many studies reporting testing included segregation analysis of the </w:t>
      </w:r>
      <w:r w:rsidRPr="00BD2651">
        <w:rPr>
          <w:i/>
        </w:rPr>
        <w:t>IDS</w:t>
      </w:r>
      <w:r>
        <w:t xml:space="preserve"> variant identified in family members as part of the diagnostic follow-up of individuals with or at risk of MPS II.</w:t>
      </w:r>
      <w:r w:rsidR="00F94065">
        <w:t xml:space="preserve"> </w:t>
      </w:r>
    </w:p>
    <w:p w14:paraId="194B9F89" w14:textId="0E63C45D" w:rsidR="00BC75F8" w:rsidRPr="00BC75F8" w:rsidRDefault="6C3FE55C" w:rsidP="00BC75F8">
      <w:r w:rsidRPr="7C4E3BA4">
        <w:t xml:space="preserve">Studies also showed that </w:t>
      </w:r>
      <w:r w:rsidR="2EBDAA2F" w:rsidRPr="7C4E3BA4">
        <w:t>testing</w:t>
      </w:r>
      <w:r w:rsidR="005E318C">
        <w:t xml:space="preserve"> of family m</w:t>
      </w:r>
      <w:r w:rsidR="00652B6D">
        <w:t>embers</w:t>
      </w:r>
      <w:r w:rsidR="2EBDAA2F" w:rsidRPr="7C4E3BA4">
        <w:t xml:space="preserve"> proved valuable in confirming </w:t>
      </w:r>
      <w:r w:rsidR="2EBDAA2F" w:rsidRPr="7C4E3BA4">
        <w:rPr>
          <w:i/>
          <w:iCs/>
        </w:rPr>
        <w:t>IDS</w:t>
      </w:r>
      <w:r w:rsidR="2EBDAA2F" w:rsidRPr="7C4E3BA4">
        <w:t xml:space="preserve"> pseudodeficiency in certain newborns. </w:t>
      </w:r>
      <w:r w:rsidR="7A5BAD45" w:rsidRPr="7C4E3BA4">
        <w:t>This</w:t>
      </w:r>
      <w:r w:rsidR="7CBED48A" w:rsidRPr="7C4E3BA4">
        <w:t xml:space="preserve"> was highlig</w:t>
      </w:r>
      <w:r w:rsidR="16CBE1BA" w:rsidRPr="7C4E3BA4">
        <w:t>hted by</w:t>
      </w:r>
      <w:r w:rsidR="2EBDAA2F" w:rsidRPr="7C4E3BA4">
        <w:t xml:space="preserve"> a case in which the maternal grandfather, who exhibited no clinical signs of MPS II, shared the same biochemical and molecular test results for MPS II as the screened newborn, indicating a predicted</w:t>
      </w:r>
      <w:r w:rsidR="2EBDAA2F" w:rsidRPr="7C4E3BA4">
        <w:rPr>
          <w:i/>
          <w:iCs/>
        </w:rPr>
        <w:t xml:space="preserve"> IDS</w:t>
      </w:r>
      <w:r w:rsidR="2EBDAA2F" w:rsidRPr="7C4E3BA4">
        <w:t xml:space="preserve"> pseudodeficiency</w:t>
      </w:r>
      <w:r w:rsidR="3A1653E1" w:rsidRPr="7C4E3BA4">
        <w:t>.</w:t>
      </w:r>
    </w:p>
    <w:p w14:paraId="053415ED" w14:textId="68490519" w:rsidR="00261135" w:rsidRPr="00261135" w:rsidRDefault="201D7458" w:rsidP="00261135">
      <w:r w:rsidRPr="7C4E3BA4">
        <w:t xml:space="preserve">In the case series reporting outcomes of testing mothers of symptomatic probands diagnosed with MPS II, approximately 70–80% were confirmed as carriers, aligning with the known frequency of familial and </w:t>
      </w:r>
      <w:r w:rsidRPr="7C4E3BA4">
        <w:rPr>
          <w:i/>
          <w:iCs/>
        </w:rPr>
        <w:t>de novo</w:t>
      </w:r>
      <w:r w:rsidRPr="7C4E3BA4">
        <w:t xml:space="preserve"> </w:t>
      </w:r>
      <w:r w:rsidRPr="7C4E3BA4">
        <w:rPr>
          <w:i/>
          <w:iCs/>
        </w:rPr>
        <w:t>IDS</w:t>
      </w:r>
      <w:r w:rsidRPr="7C4E3BA4">
        <w:t xml:space="preserve"> variants</w:t>
      </w:r>
      <w:r w:rsidR="009E78B2" w:rsidRPr="7C4E3BA4">
        <w:rPr>
          <w:rStyle w:val="FootnoteReference"/>
        </w:rPr>
        <w:footnoteReference w:id="27"/>
      </w:r>
      <w:r w:rsidRPr="7C4E3BA4">
        <w:t>. Studies suggest</w:t>
      </w:r>
      <w:r w:rsidR="6A576F10" w:rsidRPr="7C4E3BA4">
        <w:t>ed</w:t>
      </w:r>
      <w:r w:rsidRPr="7C4E3BA4">
        <w:t xml:space="preserve"> that the prevalence of somatic and/or germline mosaicism in single MPS II cases caused by </w:t>
      </w:r>
      <w:r w:rsidRPr="7C4E3BA4">
        <w:rPr>
          <w:i/>
          <w:iCs/>
        </w:rPr>
        <w:t>de novo</w:t>
      </w:r>
      <w:r w:rsidRPr="7C4E3BA4">
        <w:t xml:space="preserve"> </w:t>
      </w:r>
      <w:r w:rsidRPr="7C4E3BA4">
        <w:rPr>
          <w:i/>
          <w:iCs/>
        </w:rPr>
        <w:t>IDS</w:t>
      </w:r>
      <w:r w:rsidRPr="7C4E3BA4">
        <w:t xml:space="preserve"> variants may be underestimated. </w:t>
      </w:r>
      <w:r w:rsidR="65CEF441" w:rsidRPr="7C4E3BA4">
        <w:t>Therefore,</w:t>
      </w:r>
      <w:r w:rsidRPr="7C4E3BA4">
        <w:t xml:space="preserve"> genetic testing should be extended to all at-risk family members and that prenatal diagnosis should be offered, even when the mother of an isolated MPS II case has a normal </w:t>
      </w:r>
      <w:r w:rsidRPr="7C4E3BA4">
        <w:rPr>
          <w:i/>
          <w:iCs/>
        </w:rPr>
        <w:t>IDS</w:t>
      </w:r>
      <w:r w:rsidRPr="7C4E3BA4">
        <w:t xml:space="preserve"> genotype.</w:t>
      </w:r>
    </w:p>
    <w:p w14:paraId="3A39DFB1" w14:textId="19B8E765" w:rsidR="00943B4F" w:rsidRDefault="3BDC0D5B" w:rsidP="00943B4F">
      <w:r w:rsidRPr="7C4E3BA4">
        <w:t>The case series re</w:t>
      </w:r>
      <w:r w:rsidR="73B4D027" w:rsidRPr="7C4E3BA4">
        <w:t xml:space="preserve">viewed </w:t>
      </w:r>
      <w:r w:rsidR="7A36BB5B" w:rsidRPr="7C4E3BA4">
        <w:t>indicate</w:t>
      </w:r>
      <w:r w:rsidR="1DA6EBED" w:rsidRPr="7C4E3BA4">
        <w:t>d</w:t>
      </w:r>
      <w:r w:rsidR="7A36BB5B" w:rsidRPr="7C4E3BA4">
        <w:t xml:space="preserve"> that when parents </w:t>
      </w:r>
      <w:r w:rsidR="32625286" w:rsidRPr="7C4E3BA4">
        <w:t>were aware</w:t>
      </w:r>
      <w:r w:rsidR="5D10EFC0" w:rsidRPr="7C4E3BA4">
        <w:t xml:space="preserve"> that their</w:t>
      </w:r>
      <w:r w:rsidR="63822682" w:rsidRPr="7C4E3BA4">
        <w:t xml:space="preserve"> child </w:t>
      </w:r>
      <w:r w:rsidR="5D10EFC0" w:rsidRPr="7C4E3BA4">
        <w:t>had</w:t>
      </w:r>
      <w:r w:rsidR="63822682" w:rsidRPr="7C4E3BA4">
        <w:t xml:space="preserve"> MPS II, they </w:t>
      </w:r>
      <w:r w:rsidR="499AB424" w:rsidRPr="7C4E3BA4">
        <w:t>would use</w:t>
      </w:r>
      <w:r w:rsidR="63822682" w:rsidRPr="7C4E3BA4">
        <w:t xml:space="preserve"> reproductive planning options, such as</w:t>
      </w:r>
      <w:r w:rsidR="73B4D027" w:rsidRPr="7C4E3BA4">
        <w:t xml:space="preserve"> </w:t>
      </w:r>
      <w:r w:rsidR="7F68A9C6" w:rsidRPr="7C4E3BA4">
        <w:t>preimplantation genetic diagnosis (PGD) or prenatal testing</w:t>
      </w:r>
      <w:r w:rsidR="3825C830" w:rsidRPr="7C4E3BA4">
        <w:t>, for future pregnancies. Advance</w:t>
      </w:r>
      <w:r w:rsidR="15DC49A9" w:rsidRPr="7C4E3BA4">
        <w:t>ments</w:t>
      </w:r>
      <w:r w:rsidR="3825C830" w:rsidRPr="7C4E3BA4">
        <w:t xml:space="preserve"> </w:t>
      </w:r>
      <w:r w:rsidR="45A8C4A8" w:rsidRPr="7C4E3BA4">
        <w:t>in diagnos</w:t>
      </w:r>
      <w:r w:rsidR="6F4FBF45" w:rsidRPr="7C4E3BA4">
        <w:t>is</w:t>
      </w:r>
      <w:r w:rsidR="794E519D" w:rsidRPr="7C4E3BA4">
        <w:t>, multidisciplinary care, and treatments like ERT and HSCT have improved life expectancy</w:t>
      </w:r>
      <w:r w:rsidR="0E28BC30" w:rsidRPr="7C4E3BA4">
        <w:t xml:space="preserve"> of individuals with MPS II. </w:t>
      </w:r>
      <w:r w:rsidR="70494C79" w:rsidRPr="7C4E3BA4">
        <w:t>As a result, a growing number of adult MPS II patients are starting families or exploring their family planning options.</w:t>
      </w:r>
      <w:r w:rsidR="1F119452" w:rsidRPr="7C4E3BA4">
        <w:t xml:space="preserve"> </w:t>
      </w:r>
      <w:r w:rsidR="7155F80B" w:rsidRPr="7C4E3BA4">
        <w:t xml:space="preserve">When the </w:t>
      </w:r>
      <w:r w:rsidR="011CE7F8" w:rsidRPr="7C4E3BA4">
        <w:t xml:space="preserve">index case is diagnosed due to NBS, </w:t>
      </w:r>
      <w:r w:rsidR="74AF6E6C" w:rsidRPr="7C4E3BA4">
        <w:t xml:space="preserve">no subsequent children </w:t>
      </w:r>
      <w:r w:rsidR="340DD933" w:rsidRPr="7C4E3BA4">
        <w:t>would</w:t>
      </w:r>
      <w:r w:rsidR="30DB8D4A" w:rsidRPr="7C4E3BA4">
        <w:t xml:space="preserve"> </w:t>
      </w:r>
      <w:r w:rsidR="74AF6E6C" w:rsidRPr="7C4E3BA4">
        <w:t>have been conceived</w:t>
      </w:r>
      <w:r w:rsidR="5329C037" w:rsidRPr="7C4E3BA4">
        <w:t xml:space="preserve"> prior to the </w:t>
      </w:r>
      <w:r w:rsidR="28DAC601" w:rsidRPr="7C4E3BA4">
        <w:t>parents’</w:t>
      </w:r>
      <w:r w:rsidR="5329C037" w:rsidRPr="7C4E3BA4">
        <w:t xml:space="preserve"> </w:t>
      </w:r>
      <w:r w:rsidR="3BF0A982" w:rsidRPr="7C4E3BA4">
        <w:t xml:space="preserve">receiving </w:t>
      </w:r>
      <w:r w:rsidR="3BAEFD4D" w:rsidRPr="7C4E3BA4">
        <w:t>information regarding the</w:t>
      </w:r>
      <w:r w:rsidR="6ACF8434" w:rsidRPr="7C4E3BA4">
        <w:t xml:space="preserve"> mother’s</w:t>
      </w:r>
      <w:r w:rsidR="3BAEFD4D" w:rsidRPr="7C4E3BA4">
        <w:t xml:space="preserve"> carrier status</w:t>
      </w:r>
      <w:r w:rsidR="74AF6E6C" w:rsidRPr="7C4E3BA4">
        <w:t xml:space="preserve">. However, </w:t>
      </w:r>
      <w:r w:rsidR="6EE72663" w:rsidRPr="7C4E3BA4">
        <w:t>if the proband is diagnosed due to clinical symptoms (</w:t>
      </w:r>
      <w:r w:rsidR="243DFADB" w:rsidRPr="7C4E3BA4">
        <w:t>at a median of 3.1 years of age)</w:t>
      </w:r>
      <w:r w:rsidR="17CE5DEF" w:rsidRPr="7C4E3BA4">
        <w:t xml:space="preserve">, there is </w:t>
      </w:r>
      <w:r w:rsidR="075E8CA5" w:rsidRPr="7C4E3BA4">
        <w:t>the possibility of further children having been conceived/born</w:t>
      </w:r>
      <w:r w:rsidR="254E5959" w:rsidRPr="7C4E3BA4">
        <w:t xml:space="preserve"> prior to receiving this information</w:t>
      </w:r>
      <w:r w:rsidR="6F6243F3" w:rsidRPr="7C4E3BA4">
        <w:t xml:space="preserve">. </w:t>
      </w:r>
      <w:r w:rsidR="254E5959" w:rsidRPr="7C4E3BA4">
        <w:t>The</w:t>
      </w:r>
      <w:r w:rsidR="3B9DF1D7" w:rsidRPr="7C4E3BA4">
        <w:t xml:space="preserve"> ability for </w:t>
      </w:r>
      <w:r w:rsidR="00652B6D">
        <w:t xml:space="preserve">genetic </w:t>
      </w:r>
      <w:r w:rsidR="6E683A23" w:rsidRPr="7C4E3BA4">
        <w:t xml:space="preserve">testing to occur </w:t>
      </w:r>
      <w:r w:rsidR="218372D6" w:rsidRPr="7C4E3BA4">
        <w:t xml:space="preserve">at an earlier timepoint due to NBS rather than clinical symptoms </w:t>
      </w:r>
      <w:r w:rsidR="207F0183" w:rsidRPr="7C4E3BA4">
        <w:t xml:space="preserve">is therefore important for allowing reproductive planning. </w:t>
      </w:r>
    </w:p>
    <w:p w14:paraId="594764C9" w14:textId="70A7D6A9" w:rsidR="009E1AD0" w:rsidRPr="00496C73" w:rsidRDefault="123CB08F" w:rsidP="008A62F7">
      <w:r w:rsidRPr="7C4E3BA4">
        <w:t xml:space="preserve">For mothers </w:t>
      </w:r>
      <w:r w:rsidR="50438D3B" w:rsidRPr="7C4E3BA4">
        <w:t xml:space="preserve">confirmed as MPS II </w:t>
      </w:r>
      <w:r w:rsidRPr="7C4E3BA4">
        <w:t xml:space="preserve">carriers, PGD </w:t>
      </w:r>
      <w:r w:rsidR="00D91054">
        <w:t>and prenatal testing are offered</w:t>
      </w:r>
      <w:r w:rsidR="00D91054" w:rsidRPr="7C4E3BA4">
        <w:t xml:space="preserve"> </w:t>
      </w:r>
      <w:r w:rsidRPr="7C4E3BA4">
        <w:t xml:space="preserve">for future pregnancies. However, due to </w:t>
      </w:r>
      <w:r w:rsidR="50438D3B" w:rsidRPr="7C4E3BA4">
        <w:t xml:space="preserve">the </w:t>
      </w:r>
      <w:r w:rsidRPr="7C4E3BA4">
        <w:t>possibility</w:t>
      </w:r>
      <w:r w:rsidR="50438D3B" w:rsidRPr="7C4E3BA4">
        <w:t xml:space="preserve"> of germline mosaicism</w:t>
      </w:r>
      <w:r w:rsidRPr="7C4E3BA4">
        <w:t>,</w:t>
      </w:r>
      <w:r w:rsidR="50438D3B" w:rsidRPr="7C4E3BA4">
        <w:t xml:space="preserve"> even non-carrier mothers should </w:t>
      </w:r>
      <w:r w:rsidRPr="7C4E3BA4">
        <w:t>receive</w:t>
      </w:r>
      <w:r w:rsidR="50438D3B" w:rsidRPr="7C4E3BA4">
        <w:t xml:space="preserve"> family planning </w:t>
      </w:r>
      <w:r w:rsidRPr="7C4E3BA4">
        <w:t xml:space="preserve">advice, </w:t>
      </w:r>
      <w:r w:rsidR="50438D3B" w:rsidRPr="7C4E3BA4">
        <w:t>including access to PGD or prenatal testing.</w:t>
      </w:r>
      <w:r w:rsidRPr="7C4E3BA4">
        <w:t xml:space="preserve"> If a proband is </w:t>
      </w:r>
      <w:r w:rsidRPr="7C4E3BA4">
        <w:lastRenderedPageBreak/>
        <w:t xml:space="preserve">diagnosed with MPS II, </w:t>
      </w:r>
      <w:r w:rsidR="340DD933" w:rsidRPr="7C4E3BA4">
        <w:t>and their mother is pregnant again already</w:t>
      </w:r>
      <w:r w:rsidR="0050AC59" w:rsidRPr="7C4E3BA4">
        <w:t xml:space="preserve">, </w:t>
      </w:r>
      <w:r w:rsidRPr="7C4E3BA4">
        <w:t xml:space="preserve">prenatal testing may be necessary, to </w:t>
      </w:r>
      <w:r w:rsidR="0050AC59" w:rsidRPr="7C4E3BA4">
        <w:t>diagnose/</w:t>
      </w:r>
      <w:r w:rsidRPr="7C4E3BA4">
        <w:t xml:space="preserve">rule out the condition in the </w:t>
      </w:r>
      <w:r w:rsidR="648772DB" w:rsidRPr="7C4E3BA4">
        <w:t>f</w:t>
      </w:r>
      <w:r w:rsidR="4FB761D6" w:rsidRPr="7C4E3BA4">
        <w:t>o</w:t>
      </w:r>
      <w:r w:rsidR="648772DB" w:rsidRPr="7C4E3BA4">
        <w:t>etus</w:t>
      </w:r>
      <w:r w:rsidRPr="7C4E3BA4">
        <w:t>.</w:t>
      </w:r>
      <w:r w:rsidR="305159EF" w:rsidRPr="7C4E3BA4">
        <w:t xml:space="preserve"> </w:t>
      </w:r>
      <w:r w:rsidRPr="7C4E3BA4">
        <w:t>All siblings of the index case who could be affected or carriers of MPS II would likely be older than the newborn.</w:t>
      </w:r>
    </w:p>
    <w:p w14:paraId="22F26AE8" w14:textId="5E430656" w:rsidR="00627EB8" w:rsidRPr="00496C73" w:rsidRDefault="00F401CF" w:rsidP="008A62F7">
      <w:r>
        <w:t xml:space="preserve">In 2021, the average fertility rate for Australian women who had at least one child, was </w:t>
      </w:r>
      <w:r w:rsidR="000E6001">
        <w:t>1.9 children</w:t>
      </w:r>
      <w:r w:rsidR="00313639">
        <w:rPr>
          <w:rStyle w:val="FootnoteReference"/>
        </w:rPr>
        <w:footnoteReference w:id="28"/>
      </w:r>
      <w:r w:rsidR="00BD2912">
        <w:t>.</w:t>
      </w:r>
      <w:r>
        <w:t xml:space="preserve"> </w:t>
      </w:r>
      <w:r w:rsidR="00DA7341">
        <w:rPr>
          <w:color w:val="000000" w:themeColor="text1"/>
        </w:rPr>
        <w:t>It c</w:t>
      </w:r>
      <w:r w:rsidR="006A0E84">
        <w:rPr>
          <w:color w:val="000000" w:themeColor="text1"/>
        </w:rPr>
        <w:t>ould</w:t>
      </w:r>
      <w:r w:rsidR="00DA7341">
        <w:rPr>
          <w:color w:val="000000" w:themeColor="text1"/>
        </w:rPr>
        <w:t xml:space="preserve"> therefore be assumed that in approximately half of cases where a child is identified as having MPS II, the family would already have had one prior child</w:t>
      </w:r>
      <w:r w:rsidR="002D0991">
        <w:rPr>
          <w:color w:val="000000" w:themeColor="text1"/>
        </w:rPr>
        <w:t xml:space="preserve"> (and their family would be complete)</w:t>
      </w:r>
      <w:r w:rsidR="00DA7341">
        <w:rPr>
          <w:color w:val="000000" w:themeColor="text1"/>
        </w:rPr>
        <w:t xml:space="preserve">, and in the remaining cases, the family wishes to have a subsequent child. Therefore, </w:t>
      </w:r>
      <w:r w:rsidR="00627EB8">
        <w:t>i</w:t>
      </w:r>
      <w:r w:rsidR="00627EB8" w:rsidRPr="00627EB8">
        <w:t>f four MPS I</w:t>
      </w:r>
      <w:r w:rsidR="00627EB8">
        <w:t>I</w:t>
      </w:r>
      <w:r w:rsidR="00627EB8" w:rsidRPr="00627EB8">
        <w:t xml:space="preserve"> cases are diagnosed annually in Australia, it is </w:t>
      </w:r>
      <w:r w:rsidR="006A0E84">
        <w:t>estimated</w:t>
      </w:r>
      <w:r w:rsidR="006A0E84" w:rsidRPr="00627EB8">
        <w:t xml:space="preserve"> </w:t>
      </w:r>
      <w:r w:rsidR="00627EB8" w:rsidRPr="00627EB8">
        <w:t>that in two of these cases, the parents may explore reproductive planning for future children</w:t>
      </w:r>
      <w:r w:rsidR="006A0E84">
        <w:t>, and in the other two cases</w:t>
      </w:r>
      <w:r w:rsidR="00627EB8">
        <w:t xml:space="preserve"> </w:t>
      </w:r>
      <w:r w:rsidR="006A0E84">
        <w:t>of</w:t>
      </w:r>
      <w:r w:rsidR="00627EB8" w:rsidRPr="00627EB8">
        <w:t xml:space="preserve"> a newborn diagnosed with MPS I</w:t>
      </w:r>
      <w:r w:rsidR="00627EB8">
        <w:t>I</w:t>
      </w:r>
      <w:r w:rsidR="006A0E84">
        <w:t>, there</w:t>
      </w:r>
      <w:r w:rsidR="00627EB8" w:rsidRPr="00627EB8">
        <w:t xml:space="preserve"> may </w:t>
      </w:r>
      <w:r w:rsidR="006A0E84">
        <w:t>be an</w:t>
      </w:r>
      <w:r w:rsidR="00627EB8" w:rsidRPr="00627EB8">
        <w:t xml:space="preserve"> </w:t>
      </w:r>
      <w:r w:rsidR="000B02BA">
        <w:t xml:space="preserve">older </w:t>
      </w:r>
      <w:r w:rsidR="00627EB8" w:rsidRPr="00627EB8">
        <w:t xml:space="preserve">sibling who </w:t>
      </w:r>
      <w:r w:rsidR="006A0E84">
        <w:t xml:space="preserve">would </w:t>
      </w:r>
      <w:r w:rsidR="00627EB8" w:rsidRPr="00627EB8">
        <w:t>benefit from an earlier diagnosis.</w:t>
      </w:r>
    </w:p>
    <w:p w14:paraId="48FC11BC" w14:textId="77777777" w:rsidR="00772829" w:rsidRPr="00223664" w:rsidRDefault="00772829" w:rsidP="00DC0DD3">
      <w:pPr>
        <w:pStyle w:val="Heading4"/>
      </w:pPr>
      <w:r w:rsidRPr="00223664">
        <w:t>Clinical claim</w:t>
      </w:r>
    </w:p>
    <w:p w14:paraId="09412FC5" w14:textId="5CB8EB1B" w:rsidR="00DC0DD3" w:rsidRPr="00223664" w:rsidRDefault="69B5EA5E" w:rsidP="7C4E3BA4">
      <w:pPr>
        <w:tabs>
          <w:tab w:val="left" w:pos="720"/>
          <w:tab w:val="left" w:pos="1140"/>
        </w:tabs>
        <w:spacing w:before="240" w:after="120"/>
        <w:rPr>
          <w:b/>
          <w:bCs/>
        </w:rPr>
      </w:pPr>
      <w:r w:rsidRPr="7C4E3BA4">
        <w:t xml:space="preserve">Based on </w:t>
      </w:r>
      <w:r w:rsidR="443068A9" w:rsidRPr="7C4E3BA4">
        <w:t xml:space="preserve">the </w:t>
      </w:r>
      <w:r w:rsidRPr="7C4E3BA4">
        <w:t xml:space="preserve">evidence </w:t>
      </w:r>
      <w:r w:rsidR="443068A9" w:rsidRPr="7C4E3BA4">
        <w:t>identified</w:t>
      </w:r>
      <w:r w:rsidRPr="7C4E3BA4">
        <w:t>, testing of family members after index case identification through NBS is superior to testing of family members after proband identification after symptom</w:t>
      </w:r>
      <w:r w:rsidR="62D8E1B1" w:rsidRPr="7C4E3BA4">
        <w:t xml:space="preserve"> </w:t>
      </w:r>
      <w:r w:rsidRPr="7C4E3BA4">
        <w:t>onset</w:t>
      </w:r>
      <w:r w:rsidR="4C94316F" w:rsidRPr="7C4E3BA4">
        <w:t xml:space="preserve">. This is because </w:t>
      </w:r>
      <w:r w:rsidR="03095B13" w:rsidRPr="7C4E3BA4">
        <w:t xml:space="preserve">the information is obtained at an earlier timepoint, which increases the likelihood of it being useful for reproductive planning. </w:t>
      </w:r>
    </w:p>
    <w:p w14:paraId="24D23D35" w14:textId="09D60230" w:rsidR="00772829" w:rsidRPr="00496C73" w:rsidRDefault="00772829" w:rsidP="00BE0CE4">
      <w:pPr>
        <w:pStyle w:val="Heading2"/>
        <w:numPr>
          <w:ilvl w:val="0"/>
          <w:numId w:val="28"/>
        </w:numPr>
        <w:ind w:hanging="720"/>
      </w:pPr>
      <w:bookmarkStart w:id="39" w:name="_Ref181713649"/>
      <w:bookmarkStart w:id="40" w:name="_Toc185430537"/>
      <w:r w:rsidRPr="00496C73">
        <w:t>Economic evaluation</w:t>
      </w:r>
      <w:bookmarkEnd w:id="39"/>
      <w:bookmarkEnd w:id="40"/>
    </w:p>
    <w:p w14:paraId="2C956E0D" w14:textId="1D391A76" w:rsidR="00A47C89" w:rsidRDefault="00A47C89" w:rsidP="003F721A">
      <w:pPr>
        <w:pStyle w:val="Heading3"/>
      </w:pPr>
      <w:bookmarkStart w:id="41" w:name="_Toc185430538"/>
      <w:r>
        <w:t>Overview</w:t>
      </w:r>
      <w:bookmarkEnd w:id="41"/>
    </w:p>
    <w:p w14:paraId="3082ED47" w14:textId="3ADE8326" w:rsidR="007344C6" w:rsidRDefault="425630D6" w:rsidP="007344C6">
      <w:r w:rsidRPr="7C4E3BA4">
        <w:t xml:space="preserve">A cost-effectiveness analysis (estimating cost per early diagnosis of MPS II) and cost consequences analysis were presented to evaluate the addition of MPS II to NBS programs. An exploratory cost utility analysis explored the possible additional benefits of adding MPS II to NBS programs, including survival gains in severe MPS II and avoiding the diagnostic </w:t>
      </w:r>
      <w:r w:rsidR="0017768D">
        <w:t>delay</w:t>
      </w:r>
      <w:r w:rsidR="0017768D" w:rsidRPr="7C4E3BA4">
        <w:t xml:space="preserve"> </w:t>
      </w:r>
      <w:r w:rsidRPr="7C4E3BA4">
        <w:t>in attenuated MPS II.</w:t>
      </w:r>
    </w:p>
    <w:p w14:paraId="29D57A29" w14:textId="7AF6DF66" w:rsidR="007344C6" w:rsidRDefault="007344C6" w:rsidP="007344C6">
      <w:r>
        <w:t>A cost analysis was conducted to estimate the costs associated with testing</w:t>
      </w:r>
      <w:r w:rsidR="00C169E7">
        <w:t xml:space="preserve"> of family members</w:t>
      </w:r>
      <w:r>
        <w:t xml:space="preserve"> per affected newborn. </w:t>
      </w:r>
      <w:r w:rsidR="00AE7711">
        <w:t>MSAC acknowledged that t</w:t>
      </w:r>
      <w:r>
        <w:t>he potential for family members to use carrier status to alter reproductive decisions or allow prenatal testing should be considered, but the extent to which this would occur was not quantified</w:t>
      </w:r>
      <w:r w:rsidR="00AE7711">
        <w:t xml:space="preserve"> in the DCAR</w:t>
      </w:r>
      <w:r>
        <w:t>.</w:t>
      </w:r>
    </w:p>
    <w:p w14:paraId="7DBC47AA" w14:textId="7886AE6A" w:rsidR="00307E25" w:rsidRDefault="33BFC486" w:rsidP="00307E25">
      <w:r w:rsidRPr="7C4E3BA4">
        <w:t>The general rationale of NBS for rare conditions is that (i) earlier diagnosis –prior to symptom onset - may result in e</w:t>
      </w:r>
      <w:r w:rsidR="79DEDFAA" w:rsidRPr="7C4E3BA4">
        <w:t>a</w:t>
      </w:r>
      <w:r w:rsidRPr="7C4E3BA4">
        <w:t>r</w:t>
      </w:r>
      <w:r w:rsidR="1801F978" w:rsidRPr="7C4E3BA4">
        <w:t>lier</w:t>
      </w:r>
      <w:r w:rsidRPr="7C4E3BA4">
        <w:t xml:space="preserve"> access to treatment which may improve treatment outcomes and (ii) the diagnostic </w:t>
      </w:r>
      <w:r w:rsidR="007225DF">
        <w:t>delay</w:t>
      </w:r>
      <w:r w:rsidR="007225DF" w:rsidRPr="7C4E3BA4">
        <w:t xml:space="preserve"> </w:t>
      </w:r>
      <w:r w:rsidRPr="7C4E3BA4">
        <w:t>can be avoided.</w:t>
      </w:r>
    </w:p>
    <w:p w14:paraId="670A5C89" w14:textId="4A40F631" w:rsidR="0081000B" w:rsidRDefault="00702E10" w:rsidP="00B71992">
      <w:r w:rsidRPr="00FA08CD">
        <w:t>NBS for MPS II would result in a diagnosis within the first month or two of life, which is earlier than the usual time of diagnosis through clinical identification</w:t>
      </w:r>
      <w:r>
        <w:t xml:space="preserve"> for all </w:t>
      </w:r>
      <w:r w:rsidR="007819F3">
        <w:t xml:space="preserve">MPS II </w:t>
      </w:r>
      <w:r>
        <w:t>phenotypes (severe and attenuated)</w:t>
      </w:r>
      <w:r w:rsidRPr="00FA08CD">
        <w:t>.</w:t>
      </w:r>
    </w:p>
    <w:p w14:paraId="56BD1B9E" w14:textId="636ED4F2" w:rsidR="00930174" w:rsidRDefault="2227AD1C" w:rsidP="00032A70">
      <w:r w:rsidRPr="7C4E3BA4">
        <w:t>A literature review was performed to identify any published economic evaluations relevant to the economic question or to inform the structure and/or inputs for an economic model</w:t>
      </w:r>
      <w:r w:rsidR="57637AE3" w:rsidRPr="7C4E3BA4">
        <w:t>;</w:t>
      </w:r>
      <w:r w:rsidR="59038BAA" w:rsidRPr="7C4E3BA4">
        <w:t xml:space="preserve"> no studies </w:t>
      </w:r>
      <w:r w:rsidR="3B8B3128" w:rsidRPr="7C4E3BA4">
        <w:t>were identified that were relevant to inform the economic evaluation</w:t>
      </w:r>
      <w:r w:rsidRPr="7C4E3BA4">
        <w:t>.</w:t>
      </w:r>
    </w:p>
    <w:p w14:paraId="5F46AFC9" w14:textId="4EE75CA5" w:rsidR="00EB6D9F" w:rsidRDefault="34831A85" w:rsidP="00032A70">
      <w:r w:rsidRPr="7C4E3BA4">
        <w:t xml:space="preserve">The economic evaluation </w:t>
      </w:r>
      <w:r w:rsidR="0032049C">
        <w:t>was</w:t>
      </w:r>
      <w:r w:rsidRPr="7C4E3BA4">
        <w:t xml:space="preserve"> a decision tree analysis incorporating estimates of the prevalence of MPS I</w:t>
      </w:r>
      <w:r w:rsidR="61DD0384" w:rsidRPr="7C4E3BA4">
        <w:t>I with and without NBS</w:t>
      </w:r>
      <w:r w:rsidR="10FD30D4" w:rsidRPr="7C4E3BA4">
        <w:t xml:space="preserve">, </w:t>
      </w:r>
      <w:r w:rsidR="0D60B683" w:rsidRPr="7C4E3BA4">
        <w:t xml:space="preserve">the performance of screening tests and </w:t>
      </w:r>
      <w:r w:rsidR="6FC60D5D" w:rsidRPr="7C4E3BA4">
        <w:t xml:space="preserve">at the conclusion of the diagnostic </w:t>
      </w:r>
      <w:r w:rsidR="63B3AFFF" w:rsidRPr="7C4E3BA4">
        <w:t xml:space="preserve">process, those </w:t>
      </w:r>
      <w:r w:rsidR="004B3EA5" w:rsidRPr="7C4E3BA4">
        <w:t>with MPS II are classified into</w:t>
      </w:r>
      <w:r w:rsidR="64A4FC21" w:rsidRPr="7C4E3BA4">
        <w:t xml:space="preserve"> severe, attenuated and very attenuated phenotypes</w:t>
      </w:r>
      <w:r w:rsidRPr="7C4E3BA4">
        <w:t xml:space="preserve">. The modelled time horizon for the decision tree analysis was </w:t>
      </w:r>
      <w:r w:rsidR="00E76D2C" w:rsidRPr="00005B99">
        <w:rPr>
          <w:b/>
          <w:bCs/>
        </w:rPr>
        <w:t>REDACTED</w:t>
      </w:r>
      <w:r w:rsidR="00E76D2C">
        <w:rPr>
          <w:b/>
          <w:bCs/>
        </w:rPr>
        <w:t xml:space="preserve"> </w:t>
      </w:r>
      <w:r w:rsidRPr="00011DA9">
        <w:t>years</w:t>
      </w:r>
      <w:r w:rsidRPr="7C4E3BA4">
        <w:t xml:space="preserve"> at </w:t>
      </w:r>
      <w:r w:rsidRPr="7C4E3BA4">
        <w:lastRenderedPageBreak/>
        <w:t xml:space="preserve">which time all affected cases of MPS </w:t>
      </w:r>
      <w:r w:rsidR="2C1A7643" w:rsidRPr="7C4E3BA4">
        <w:t>I</w:t>
      </w:r>
      <w:r w:rsidRPr="7C4E3BA4">
        <w:t xml:space="preserve">I </w:t>
      </w:r>
      <w:r w:rsidR="13C2BE33" w:rsidRPr="7C4E3BA4">
        <w:t xml:space="preserve">who would be identified are </w:t>
      </w:r>
      <w:r w:rsidR="4EEC8DFB" w:rsidRPr="7C4E3BA4">
        <w:t xml:space="preserve">diagnosed </w:t>
      </w:r>
      <w:r w:rsidR="567F4BB4" w:rsidRPr="7C4E3BA4">
        <w:t xml:space="preserve">either </w:t>
      </w:r>
      <w:r w:rsidR="0AFF50BC" w:rsidRPr="7C4E3BA4">
        <w:t>through NB</w:t>
      </w:r>
      <w:r w:rsidR="00E27399">
        <w:t>S</w:t>
      </w:r>
      <w:r w:rsidR="0AFF50BC" w:rsidRPr="7C4E3BA4">
        <w:t xml:space="preserve"> or clinical identification. </w:t>
      </w:r>
    </w:p>
    <w:p w14:paraId="35D2A69C" w14:textId="2D67E595" w:rsidR="002A0DC0" w:rsidRDefault="31B1FB17" w:rsidP="00032A70">
      <w:r w:rsidRPr="7C4E3BA4">
        <w:t xml:space="preserve">It is expected that the </w:t>
      </w:r>
      <w:r w:rsidR="2CA239A3" w:rsidRPr="7C4E3BA4">
        <w:t xml:space="preserve">prevalence of MPS II in Australia </w:t>
      </w:r>
      <w:r w:rsidR="1836D862" w:rsidRPr="7C4E3BA4">
        <w:t xml:space="preserve">would </w:t>
      </w:r>
      <w:r w:rsidR="2CA239A3" w:rsidRPr="7C4E3BA4">
        <w:t xml:space="preserve">increase if NBS </w:t>
      </w:r>
      <w:r w:rsidR="2D57EBBE" w:rsidRPr="7C4E3BA4">
        <w:t xml:space="preserve">for MPS II </w:t>
      </w:r>
      <w:r w:rsidR="2CA239A3" w:rsidRPr="7C4E3BA4">
        <w:t>is implemented</w:t>
      </w:r>
      <w:r w:rsidR="1836D862" w:rsidRPr="7C4E3BA4">
        <w:t>,</w:t>
      </w:r>
      <w:r w:rsidR="2CA239A3" w:rsidRPr="7C4E3BA4">
        <w:t xml:space="preserve"> as </w:t>
      </w:r>
      <w:r w:rsidR="494A2D32" w:rsidRPr="7C4E3BA4">
        <w:t xml:space="preserve">seen </w:t>
      </w:r>
      <w:r w:rsidR="6F228718" w:rsidRPr="7C4E3BA4">
        <w:t xml:space="preserve">in other jurisdictions </w:t>
      </w:r>
      <w:r w:rsidR="1836D862" w:rsidRPr="7C4E3BA4">
        <w:t>(</w:t>
      </w:r>
      <w:r w:rsidR="002207EE">
        <w:fldChar w:fldCharType="begin"/>
      </w:r>
      <w:r w:rsidR="002207EE">
        <w:instrText xml:space="preserve"> REF _Ref177656274 \h </w:instrText>
      </w:r>
      <w:r w:rsidR="002207EE">
        <w:fldChar w:fldCharType="separate"/>
      </w:r>
      <w:r w:rsidR="007F08FA" w:rsidRPr="00496C73" w:rsidDel="009D183F">
        <w:t xml:space="preserve">Table </w:t>
      </w:r>
      <w:r w:rsidR="00797B68" w:rsidDel="009D183F">
        <w:rPr>
          <w:noProof/>
        </w:rPr>
        <w:t>4</w:t>
      </w:r>
      <w:r w:rsidR="002207EE">
        <w:fldChar w:fldCharType="end"/>
      </w:r>
      <w:r w:rsidR="1836D862" w:rsidRPr="7C4E3BA4">
        <w:t>)</w:t>
      </w:r>
      <w:r w:rsidR="6F228718" w:rsidRPr="7C4E3BA4">
        <w:t xml:space="preserve">. </w:t>
      </w:r>
      <w:r w:rsidR="605DD463" w:rsidRPr="7C4E3BA4">
        <w:t xml:space="preserve">As NBS does not </w:t>
      </w:r>
      <w:r w:rsidR="0F639F26" w:rsidRPr="7C4E3BA4">
        <w:t xml:space="preserve">increase the true underlying prevalence of MPS II, the economic model assumes that </w:t>
      </w:r>
      <w:r w:rsidR="48B9327B" w:rsidRPr="7C4E3BA4">
        <w:t xml:space="preserve">clinical identification of MPS II does not identify </w:t>
      </w:r>
      <w:r w:rsidR="7F4F0261" w:rsidRPr="7C4E3BA4">
        <w:t>a certain proportion of MPS II cases</w:t>
      </w:r>
      <w:r w:rsidR="63B58214" w:rsidRPr="7C4E3BA4">
        <w:t xml:space="preserve">. The model further assumes that these </w:t>
      </w:r>
      <w:r w:rsidR="4B8F06AD" w:rsidRPr="7C4E3BA4">
        <w:t xml:space="preserve">unidentified cases </w:t>
      </w:r>
      <w:r w:rsidR="63B58214" w:rsidRPr="7C4E3BA4">
        <w:t xml:space="preserve">are </w:t>
      </w:r>
      <w:r w:rsidR="73F24730" w:rsidRPr="7C4E3BA4">
        <w:t>“very attenuated” MP</w:t>
      </w:r>
      <w:r w:rsidR="7403B1A3" w:rsidRPr="7C4E3BA4">
        <w:t>S II cases</w:t>
      </w:r>
      <w:r w:rsidR="6FCCC069" w:rsidRPr="7C4E3BA4">
        <w:t>,</w:t>
      </w:r>
      <w:r w:rsidR="7403B1A3" w:rsidRPr="7C4E3BA4">
        <w:t xml:space="preserve"> </w:t>
      </w:r>
      <w:r w:rsidR="12DA7094" w:rsidRPr="7C4E3BA4">
        <w:t xml:space="preserve">based on reports in the literature </w:t>
      </w:r>
      <w:r w:rsidR="442E899D" w:rsidRPr="7C4E3BA4">
        <w:t>that</w:t>
      </w:r>
      <w:r w:rsidR="4121FF25" w:rsidRPr="7C4E3BA4">
        <w:t xml:space="preserve"> these</w:t>
      </w:r>
      <w:r w:rsidR="46EBAB45" w:rsidRPr="7C4E3BA4">
        <w:t xml:space="preserve"> </w:t>
      </w:r>
      <w:r w:rsidR="67627A77" w:rsidRPr="7C4E3BA4">
        <w:t xml:space="preserve">cases </w:t>
      </w:r>
      <w:r w:rsidR="442E899D" w:rsidRPr="7C4E3BA4">
        <w:t>were identified</w:t>
      </w:r>
      <w:r w:rsidR="67627A77" w:rsidRPr="7C4E3BA4">
        <w:t xml:space="preserve"> through </w:t>
      </w:r>
      <w:r w:rsidR="46EBAB45" w:rsidRPr="7C4E3BA4">
        <w:t>cascade testing</w:t>
      </w:r>
      <w:r w:rsidR="67627A77" w:rsidRPr="7C4E3BA4">
        <w:t xml:space="preserve"> initiated by a fa</w:t>
      </w:r>
      <w:r w:rsidR="4B7EE8DC" w:rsidRPr="7C4E3BA4">
        <w:t>m</w:t>
      </w:r>
      <w:r w:rsidR="432DA40C" w:rsidRPr="7C4E3BA4">
        <w:t>ilial</w:t>
      </w:r>
      <w:r w:rsidR="67627A77" w:rsidRPr="7C4E3BA4">
        <w:t xml:space="preserve"> index case</w:t>
      </w:r>
      <w:r w:rsidR="442E899D" w:rsidRPr="7C4E3BA4">
        <w:t xml:space="preserve"> (rather than </w:t>
      </w:r>
      <w:r w:rsidR="7173CB66" w:rsidRPr="7C4E3BA4">
        <w:t>due to presentation</w:t>
      </w:r>
      <w:r w:rsidR="182816C4" w:rsidRPr="7C4E3BA4">
        <w:t xml:space="preserve"> of signs or symptoms</w:t>
      </w:r>
      <w:r w:rsidR="7173CB66" w:rsidRPr="7C4E3BA4">
        <w:t>)</w:t>
      </w:r>
      <w:r w:rsidR="3D1F97E6" w:rsidRPr="7C4E3BA4">
        <w:t>,</w:t>
      </w:r>
      <w:r w:rsidR="46EBAB45" w:rsidRPr="7C4E3BA4">
        <w:t xml:space="preserve"> and </w:t>
      </w:r>
      <w:r w:rsidR="06CFCD43" w:rsidRPr="7C4E3BA4">
        <w:t>speculation</w:t>
      </w:r>
      <w:r w:rsidR="76E79E38" w:rsidRPr="7C4E3BA4">
        <w:t xml:space="preserve"> </w:t>
      </w:r>
      <w:r w:rsidR="517BD67D" w:rsidRPr="7C4E3BA4">
        <w:t xml:space="preserve">that NBS identifies a greater proportion of attenuated </w:t>
      </w:r>
      <w:r w:rsidR="06B0A2B1" w:rsidRPr="7C4E3BA4">
        <w:t xml:space="preserve">cases </w:t>
      </w:r>
      <w:r w:rsidR="1BE33AC5" w:rsidRPr="7C4E3BA4">
        <w:t xml:space="preserve">by </w:t>
      </w:r>
      <w:r w:rsidR="6181808B" w:rsidRPr="7C4E3BA4">
        <w:t>scholars in NBS jurisdictions</w:t>
      </w:r>
      <w:r w:rsidR="00DA403F">
        <w:rPr>
          <w:vertAlign w:val="superscript"/>
        </w:rPr>
        <w:t>14,</w:t>
      </w:r>
      <w:r w:rsidR="00C34918" w:rsidRPr="7C4E3BA4">
        <w:rPr>
          <w:rStyle w:val="FootnoteReference"/>
        </w:rPr>
        <w:footnoteReference w:id="29"/>
      </w:r>
      <w:r w:rsidR="6F6BEF16" w:rsidRPr="7C4E3BA4">
        <w:rPr>
          <w:vertAlign w:val="superscript"/>
        </w:rPr>
        <w:t>,</w:t>
      </w:r>
      <w:r w:rsidR="00C34918" w:rsidRPr="7C4E3BA4">
        <w:rPr>
          <w:rStyle w:val="FootnoteReference"/>
        </w:rPr>
        <w:footnoteReference w:id="30"/>
      </w:r>
      <w:r w:rsidR="00BD2912">
        <w:t>.</w:t>
      </w:r>
    </w:p>
    <w:p w14:paraId="6D4E7A6C" w14:textId="527E10A2" w:rsidR="00814C76" w:rsidRDefault="11B97C8B" w:rsidP="00625B0A">
      <w:r w:rsidRPr="7C4E3BA4">
        <w:t>An exploratory extension to the decision analytic model assume</w:t>
      </w:r>
      <w:r w:rsidR="00FD7308">
        <w:t>d</w:t>
      </w:r>
      <w:r w:rsidRPr="7C4E3BA4">
        <w:t xml:space="preserve"> that there are survival</w:t>
      </w:r>
      <w:r w:rsidR="5695D511" w:rsidRPr="7C4E3BA4">
        <w:t xml:space="preserve"> </w:t>
      </w:r>
      <w:r w:rsidR="71243BB7" w:rsidRPr="7C4E3BA4">
        <w:t>benefits associated</w:t>
      </w:r>
      <w:r w:rsidRPr="7C4E3BA4">
        <w:t xml:space="preserve"> with early diagnosis of severe MPS II</w:t>
      </w:r>
      <w:r w:rsidR="50019595" w:rsidRPr="7C4E3BA4">
        <w:t>,</w:t>
      </w:r>
      <w:r w:rsidRPr="7C4E3BA4">
        <w:t xml:space="preserve"> and attempt</w:t>
      </w:r>
      <w:r w:rsidR="006278DF">
        <w:t>ed</w:t>
      </w:r>
      <w:r w:rsidRPr="7C4E3BA4">
        <w:t xml:space="preserve"> to quantify these over </w:t>
      </w:r>
      <w:r w:rsidR="006278DF">
        <w:t>a</w:t>
      </w:r>
      <w:r w:rsidRPr="7C4E3BA4">
        <w:t xml:space="preserve"> </w:t>
      </w:r>
      <w:r w:rsidR="78911630" w:rsidRPr="7C4E3BA4">
        <w:t xml:space="preserve">lifetime </w:t>
      </w:r>
      <w:r w:rsidR="6B3948DD" w:rsidRPr="7C4E3BA4">
        <w:t>time horizon (100 years)</w:t>
      </w:r>
      <w:r w:rsidR="35B9FE27" w:rsidRPr="7C4E3BA4">
        <w:t xml:space="preserve">. </w:t>
      </w:r>
      <w:r w:rsidR="0BA9483E" w:rsidRPr="7C4E3BA4">
        <w:t xml:space="preserve">Attenuated patients are not modelled in the exploratory analysis (in either arm) as it is assumed that NBS </w:t>
      </w:r>
      <w:r w:rsidR="30DB8D4A" w:rsidRPr="7C4E3BA4">
        <w:t xml:space="preserve">would </w:t>
      </w:r>
      <w:r w:rsidR="0BA9483E" w:rsidRPr="7C4E3BA4">
        <w:t>not result in survival benefits or improved quality of life for these patients. This was based on the LSDP’s criteria that, unless a severe phenotype can be predicted</w:t>
      </w:r>
      <w:r w:rsidR="5ED380E4" w:rsidRPr="7C4E3BA4">
        <w:t xml:space="preserve"> for patients under 5 years</w:t>
      </w:r>
      <w:r w:rsidR="05D39820" w:rsidRPr="7C4E3BA4">
        <w:t xml:space="preserve"> of age</w:t>
      </w:r>
      <w:r w:rsidR="0BA9483E" w:rsidRPr="7C4E3BA4">
        <w:t xml:space="preserve">, </w:t>
      </w:r>
      <w:r w:rsidR="7CDB9596" w:rsidRPr="7C4E3BA4">
        <w:t xml:space="preserve">only symptomatic patients are eligible for </w:t>
      </w:r>
      <w:r w:rsidR="0BA9483E" w:rsidRPr="7C4E3BA4">
        <w:t xml:space="preserve">access to treatment. Hence, the only difference in the timing of ERT initiation for attenuated patients between the modelled arms would be the length of the diagnostic </w:t>
      </w:r>
      <w:r w:rsidR="007225DF">
        <w:t>delay</w:t>
      </w:r>
      <w:r w:rsidR="007225DF" w:rsidRPr="7C4E3BA4">
        <w:t xml:space="preserve"> </w:t>
      </w:r>
      <w:r w:rsidR="0BA9483E" w:rsidRPr="7C4E3BA4">
        <w:t xml:space="preserve">(as NBS patients would be able to start ERT immediately following sufficient symptom onset whereas attenuated patients in the no NBS arm may only start the diagnostic </w:t>
      </w:r>
      <w:r w:rsidR="007225DF">
        <w:t>delay</w:t>
      </w:r>
      <w:r w:rsidR="007225DF" w:rsidRPr="7C4E3BA4">
        <w:t xml:space="preserve"> </w:t>
      </w:r>
      <w:r w:rsidR="0BA9483E" w:rsidRPr="7C4E3BA4">
        <w:t xml:space="preserve">process after symptom onset and then receive ERT on completion of the diagnostic </w:t>
      </w:r>
      <w:r w:rsidR="007225DF">
        <w:t>delay</w:t>
      </w:r>
      <w:r w:rsidR="007225DF" w:rsidRPr="7C4E3BA4">
        <w:t xml:space="preserve"> </w:t>
      </w:r>
      <w:r w:rsidR="3C557DA1" w:rsidRPr="7C4E3BA4">
        <w:t>or, in some</w:t>
      </w:r>
      <w:r w:rsidR="702A59C1" w:rsidRPr="7C4E3BA4">
        <w:t xml:space="preserve"> </w:t>
      </w:r>
      <w:r w:rsidR="6C859CA4" w:rsidRPr="7C4E3BA4">
        <w:t xml:space="preserve">cases of </w:t>
      </w:r>
      <w:r w:rsidR="702A59C1" w:rsidRPr="7C4E3BA4">
        <w:t>very attenuated</w:t>
      </w:r>
      <w:r w:rsidR="3C557DA1" w:rsidRPr="7C4E3BA4">
        <w:t xml:space="preserve"> </w:t>
      </w:r>
      <w:r w:rsidR="6C859CA4" w:rsidRPr="7C4E3BA4">
        <w:t>disease</w:t>
      </w:r>
      <w:r w:rsidR="702A59C1" w:rsidRPr="7C4E3BA4">
        <w:t>,</w:t>
      </w:r>
      <w:r w:rsidR="3C557DA1" w:rsidRPr="7C4E3BA4">
        <w:t xml:space="preserve"> may not be </w:t>
      </w:r>
      <w:r w:rsidR="3439F87A" w:rsidRPr="7C4E3BA4">
        <w:t>correctly diagnose</w:t>
      </w:r>
      <w:r w:rsidR="702A59C1" w:rsidRPr="7C4E3BA4">
        <w:t>d and would not receive ERT</w:t>
      </w:r>
      <w:r w:rsidR="0BA9483E" w:rsidRPr="7C4E3BA4">
        <w:t>). There was no data to support additional survival for attenuated patients based on this uncertain and relatively small difference in the timing of ERT initiation.</w:t>
      </w:r>
      <w:r w:rsidR="3243022D" w:rsidRPr="7C4E3BA4">
        <w:t xml:space="preserve"> </w:t>
      </w:r>
      <w:r w:rsidR="0D693960" w:rsidRPr="7C4E3BA4">
        <w:t>Similar</w:t>
      </w:r>
      <w:r w:rsidR="00AA73A6">
        <w:t>l</w:t>
      </w:r>
      <w:r w:rsidR="0D693960" w:rsidRPr="7C4E3BA4">
        <w:t>y</w:t>
      </w:r>
      <w:r w:rsidR="3243022D" w:rsidRPr="7C4E3BA4">
        <w:t xml:space="preserve">, </w:t>
      </w:r>
      <w:r w:rsidR="41CFBBB8" w:rsidRPr="7C4E3BA4">
        <w:t xml:space="preserve">differences in survival or quality of life </w:t>
      </w:r>
      <w:r w:rsidR="0D693960" w:rsidRPr="7C4E3BA4">
        <w:t xml:space="preserve">for very attenuated patients were not modelled. </w:t>
      </w:r>
    </w:p>
    <w:p w14:paraId="76BB7392" w14:textId="2E150A49" w:rsidR="008E2D20" w:rsidRDefault="008E2D20" w:rsidP="00741179">
      <w:r>
        <w:t xml:space="preserve">A summary of the economic evaluation is provided in </w:t>
      </w:r>
      <w:r w:rsidR="00D01B5D">
        <w:fldChar w:fldCharType="begin"/>
      </w:r>
      <w:r w:rsidR="00D01B5D">
        <w:instrText xml:space="preserve"> REF _Ref181715359 \h  \* MERGEFORMAT </w:instrText>
      </w:r>
      <w:r w:rsidR="00D01B5D">
        <w:fldChar w:fldCharType="separate"/>
      </w:r>
      <w:r w:rsidR="007F08FA" w:rsidDel="009D183F">
        <w:t xml:space="preserve">Table </w:t>
      </w:r>
      <w:r w:rsidR="00797B68" w:rsidDel="009D183F">
        <w:t>8</w:t>
      </w:r>
      <w:r w:rsidR="00D01B5D">
        <w:fldChar w:fldCharType="end"/>
      </w:r>
      <w:r>
        <w:t>.</w:t>
      </w:r>
    </w:p>
    <w:p w14:paraId="104DAF70" w14:textId="19E3CBCF" w:rsidR="00EB6D9F" w:rsidRDefault="001A3CE6" w:rsidP="001A3CE6">
      <w:pPr>
        <w:pStyle w:val="Caption"/>
      </w:pPr>
      <w:bookmarkStart w:id="42" w:name="_Ref181715359"/>
      <w:r>
        <w:lastRenderedPageBreak/>
        <w:t xml:space="preserve">Table </w:t>
      </w:r>
      <w:r w:rsidR="009D183F">
        <w:fldChar w:fldCharType="begin"/>
      </w:r>
      <w:r w:rsidR="009D183F">
        <w:instrText xml:space="preserve"> SEQ Table \* ARABIC </w:instrText>
      </w:r>
      <w:r w:rsidR="009D183F">
        <w:fldChar w:fldCharType="separate"/>
      </w:r>
      <w:r w:rsidR="009D183F">
        <w:rPr>
          <w:noProof/>
        </w:rPr>
        <w:t>8</w:t>
      </w:r>
      <w:r w:rsidR="009D183F">
        <w:rPr>
          <w:noProof/>
        </w:rPr>
        <w:fldChar w:fldCharType="end"/>
      </w:r>
      <w:bookmarkEnd w:id="42"/>
      <w:r>
        <w:tab/>
        <w:t>Summary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697"/>
        <w:gridCol w:w="7319"/>
      </w:tblGrid>
      <w:tr w:rsidR="001A3CE6" w:rsidRPr="00496C73" w14:paraId="1120722C" w14:textId="77777777" w:rsidTr="00B97856">
        <w:trPr>
          <w:tblHeader/>
        </w:trPr>
        <w:tc>
          <w:tcPr>
            <w:tcW w:w="941" w:type="pct"/>
          </w:tcPr>
          <w:p w14:paraId="0F5017DC" w14:textId="6D5CE33B" w:rsidR="001A3CE6" w:rsidRPr="00496C73" w:rsidRDefault="0155203F" w:rsidP="7C4E3BA4">
            <w:pPr>
              <w:pStyle w:val="TableHeading"/>
              <w:rPr>
                <w:rFonts w:cs="Courier New"/>
              </w:rPr>
            </w:pPr>
            <w:r w:rsidRPr="7C4E3BA4">
              <w:rPr>
                <w:rFonts w:cs="Courier New"/>
              </w:rPr>
              <w:t>Component</w:t>
            </w:r>
          </w:p>
        </w:tc>
        <w:tc>
          <w:tcPr>
            <w:tcW w:w="4059" w:type="pct"/>
          </w:tcPr>
          <w:p w14:paraId="0EB000EE" w14:textId="77777777" w:rsidR="001A3CE6" w:rsidRPr="00496C73" w:rsidRDefault="001A3CE6" w:rsidP="002207EE">
            <w:pPr>
              <w:pStyle w:val="TableHeading"/>
              <w:rPr>
                <w:rFonts w:cs="Courier New"/>
                <w:szCs w:val="20"/>
              </w:rPr>
            </w:pPr>
            <w:r w:rsidRPr="00496C73">
              <w:rPr>
                <w:rFonts w:cs="Courier New"/>
                <w:szCs w:val="20"/>
              </w:rPr>
              <w:t>Description</w:t>
            </w:r>
          </w:p>
        </w:tc>
      </w:tr>
      <w:tr w:rsidR="001A3CE6" w:rsidRPr="00496C73" w14:paraId="1C7F2809" w14:textId="77777777" w:rsidTr="00B97856">
        <w:tc>
          <w:tcPr>
            <w:tcW w:w="941" w:type="pct"/>
          </w:tcPr>
          <w:p w14:paraId="24C8AEF1" w14:textId="77777777" w:rsidR="001A3CE6" w:rsidRPr="00496C73" w:rsidRDefault="001A3CE6" w:rsidP="002207EE">
            <w:pPr>
              <w:pStyle w:val="TableText"/>
              <w:keepNext/>
              <w:rPr>
                <w:rFonts w:cs="Courier New"/>
                <w:szCs w:val="20"/>
              </w:rPr>
            </w:pPr>
            <w:r w:rsidRPr="00496C73">
              <w:rPr>
                <w:rFonts w:cs="Courier New"/>
                <w:szCs w:val="20"/>
              </w:rPr>
              <w:t>Perspective</w:t>
            </w:r>
          </w:p>
        </w:tc>
        <w:tc>
          <w:tcPr>
            <w:tcW w:w="4059" w:type="pct"/>
          </w:tcPr>
          <w:p w14:paraId="41EC2CCA" w14:textId="77777777" w:rsidR="001A3CE6" w:rsidRPr="00496C73" w:rsidRDefault="001A3CE6" w:rsidP="002207EE">
            <w:pPr>
              <w:pStyle w:val="TableText"/>
              <w:keepNext/>
              <w:rPr>
                <w:rFonts w:cs="Courier New"/>
                <w:szCs w:val="20"/>
              </w:rPr>
            </w:pPr>
            <w:r w:rsidRPr="00496C73">
              <w:rPr>
                <w:rFonts w:cs="Courier New"/>
                <w:szCs w:val="20"/>
              </w:rPr>
              <w:t>Australian health care system perspective</w:t>
            </w:r>
          </w:p>
        </w:tc>
      </w:tr>
      <w:tr w:rsidR="001A3CE6" w:rsidRPr="00496C73" w14:paraId="511D5355" w14:textId="77777777" w:rsidTr="00B97856">
        <w:tc>
          <w:tcPr>
            <w:tcW w:w="941" w:type="pct"/>
          </w:tcPr>
          <w:p w14:paraId="552FB543" w14:textId="77777777" w:rsidR="001A3CE6" w:rsidRPr="00496C73" w:rsidRDefault="001A3CE6" w:rsidP="002207EE">
            <w:pPr>
              <w:pStyle w:val="TableText"/>
              <w:keepNext/>
              <w:rPr>
                <w:rFonts w:cs="Courier New"/>
                <w:szCs w:val="20"/>
              </w:rPr>
            </w:pPr>
            <w:r w:rsidRPr="00496C73">
              <w:rPr>
                <w:rFonts w:cs="Courier New"/>
                <w:szCs w:val="20"/>
              </w:rPr>
              <w:t>Population</w:t>
            </w:r>
          </w:p>
        </w:tc>
        <w:tc>
          <w:tcPr>
            <w:tcW w:w="4059" w:type="pct"/>
          </w:tcPr>
          <w:p w14:paraId="2249BCEF" w14:textId="2F36FD31" w:rsidR="001A3CE6" w:rsidRDefault="0155203F" w:rsidP="7C4E3BA4">
            <w:pPr>
              <w:pStyle w:val="TableText"/>
              <w:keepNext/>
              <w:rPr>
                <w:rFonts w:cs="Courier New"/>
              </w:rPr>
            </w:pPr>
            <w:r w:rsidRPr="7C4E3BA4">
              <w:rPr>
                <w:rFonts w:cs="Courier New"/>
              </w:rPr>
              <w:t>PICO Set 1: All newborns participating in NBS programs</w:t>
            </w:r>
          </w:p>
          <w:p w14:paraId="01E1DE64" w14:textId="7C68A472" w:rsidR="001A3CE6" w:rsidRPr="00496C73" w:rsidRDefault="001A3CE6" w:rsidP="002207EE">
            <w:pPr>
              <w:pStyle w:val="TableText"/>
              <w:keepNext/>
              <w:rPr>
                <w:rFonts w:cs="Courier New"/>
                <w:szCs w:val="20"/>
              </w:rPr>
            </w:pPr>
            <w:r>
              <w:rPr>
                <w:rFonts w:cs="Courier New"/>
                <w:szCs w:val="20"/>
              </w:rPr>
              <w:t>PICO Set 2: Family members of the cases</w:t>
            </w:r>
            <w:r w:rsidR="00A02143">
              <w:rPr>
                <w:rFonts w:cs="Courier New"/>
                <w:szCs w:val="20"/>
              </w:rPr>
              <w:t xml:space="preserve"> diagnosed with MPS II</w:t>
            </w:r>
          </w:p>
        </w:tc>
      </w:tr>
      <w:tr w:rsidR="001A3CE6" w:rsidRPr="00496C73" w14:paraId="7B455701" w14:textId="77777777" w:rsidTr="00B97856">
        <w:tc>
          <w:tcPr>
            <w:tcW w:w="941" w:type="pct"/>
          </w:tcPr>
          <w:p w14:paraId="6D12B5C7" w14:textId="77777777" w:rsidR="001A3CE6" w:rsidRPr="00496C73" w:rsidRDefault="001A3CE6" w:rsidP="002207EE">
            <w:pPr>
              <w:pStyle w:val="TableText"/>
              <w:keepNext/>
              <w:rPr>
                <w:rFonts w:cs="Courier New"/>
                <w:szCs w:val="20"/>
              </w:rPr>
            </w:pPr>
            <w:r w:rsidRPr="00496C73">
              <w:rPr>
                <w:rFonts w:cs="Courier New"/>
                <w:szCs w:val="20"/>
              </w:rPr>
              <w:t>Comparator</w:t>
            </w:r>
          </w:p>
        </w:tc>
        <w:tc>
          <w:tcPr>
            <w:tcW w:w="4059" w:type="pct"/>
          </w:tcPr>
          <w:p w14:paraId="01D4723B" w14:textId="77777777" w:rsidR="001A3CE6" w:rsidRDefault="001A3CE6" w:rsidP="002207EE">
            <w:pPr>
              <w:pStyle w:val="TableText"/>
              <w:keepNext/>
              <w:rPr>
                <w:rFonts w:cs="Courier New"/>
                <w:szCs w:val="20"/>
              </w:rPr>
            </w:pPr>
            <w:r>
              <w:rPr>
                <w:rFonts w:cs="Courier New"/>
                <w:szCs w:val="20"/>
              </w:rPr>
              <w:t>PICO Set 1:</w:t>
            </w:r>
            <w:r w:rsidRPr="00496C73">
              <w:rPr>
                <w:rFonts w:cs="Courier New"/>
                <w:szCs w:val="20"/>
              </w:rPr>
              <w:t xml:space="preserve"> Diagnostic testing for MPS II at the point of onset of phenotypic signs and symptoms; no universal newborn screening.</w:t>
            </w:r>
          </w:p>
          <w:p w14:paraId="4E2EFA4E" w14:textId="4AD2E550" w:rsidR="001A3CE6" w:rsidRPr="00496C73" w:rsidRDefault="001A3CE6" w:rsidP="002207EE">
            <w:pPr>
              <w:pStyle w:val="TableText"/>
              <w:keepNext/>
              <w:rPr>
                <w:rFonts w:cs="Courier New"/>
                <w:szCs w:val="20"/>
              </w:rPr>
            </w:pPr>
            <w:r>
              <w:rPr>
                <w:rFonts w:cs="Courier New"/>
                <w:szCs w:val="20"/>
              </w:rPr>
              <w:t xml:space="preserve">PICO Set 2: </w:t>
            </w:r>
            <w:r w:rsidR="00C169E7">
              <w:rPr>
                <w:rFonts w:cs="Courier New"/>
                <w:szCs w:val="20"/>
              </w:rPr>
              <w:t>T</w:t>
            </w:r>
            <w:r>
              <w:rPr>
                <w:rFonts w:cs="Courier New"/>
                <w:szCs w:val="20"/>
              </w:rPr>
              <w:t>esting in family members after the clinical identification of affected cases</w:t>
            </w:r>
          </w:p>
        </w:tc>
      </w:tr>
      <w:tr w:rsidR="001A3CE6" w:rsidRPr="00496C73" w14:paraId="2B54CC3A" w14:textId="77777777" w:rsidTr="00B97856">
        <w:tc>
          <w:tcPr>
            <w:tcW w:w="941" w:type="pct"/>
          </w:tcPr>
          <w:p w14:paraId="2E27BBF3" w14:textId="77777777" w:rsidR="001A3CE6" w:rsidRPr="00496C73" w:rsidRDefault="001A3CE6" w:rsidP="002207EE">
            <w:pPr>
              <w:pStyle w:val="TableText"/>
              <w:keepNext/>
              <w:rPr>
                <w:rFonts w:cs="Courier New"/>
                <w:szCs w:val="20"/>
              </w:rPr>
            </w:pPr>
            <w:r w:rsidRPr="00496C73">
              <w:rPr>
                <w:rFonts w:cs="Courier New"/>
                <w:szCs w:val="20"/>
              </w:rPr>
              <w:t>Type(s) of analysis</w:t>
            </w:r>
          </w:p>
        </w:tc>
        <w:tc>
          <w:tcPr>
            <w:tcW w:w="4059" w:type="pct"/>
          </w:tcPr>
          <w:p w14:paraId="4562130C" w14:textId="77777777" w:rsidR="001A3CE6" w:rsidRDefault="001A3CE6" w:rsidP="002207EE">
            <w:pPr>
              <w:pStyle w:val="TableText"/>
              <w:keepNext/>
              <w:rPr>
                <w:rFonts w:cs="Courier New"/>
                <w:szCs w:val="20"/>
              </w:rPr>
            </w:pPr>
            <w:r>
              <w:rPr>
                <w:rFonts w:cs="Courier New"/>
                <w:szCs w:val="20"/>
              </w:rPr>
              <w:t xml:space="preserve">PICO Set 1: </w:t>
            </w:r>
            <w:r w:rsidRPr="00496C73">
              <w:rPr>
                <w:rFonts w:cs="Courier New"/>
                <w:szCs w:val="20"/>
              </w:rPr>
              <w:t>Cost-effectiveness analysis, cost consequences analysis, cost-utility analysis</w:t>
            </w:r>
          </w:p>
          <w:p w14:paraId="5E818EEC" w14:textId="77777777" w:rsidR="001A3CE6" w:rsidRPr="00496C73" w:rsidRDefault="001A3CE6" w:rsidP="002207EE">
            <w:pPr>
              <w:pStyle w:val="TableText"/>
              <w:keepNext/>
              <w:rPr>
                <w:rFonts w:cs="Courier New"/>
                <w:szCs w:val="20"/>
              </w:rPr>
            </w:pPr>
            <w:r>
              <w:rPr>
                <w:rFonts w:cs="Courier New"/>
                <w:szCs w:val="20"/>
              </w:rPr>
              <w:t>PICO Set 2: C</w:t>
            </w:r>
            <w:r w:rsidRPr="00496C73">
              <w:rPr>
                <w:rFonts w:cs="Courier New"/>
                <w:szCs w:val="20"/>
              </w:rPr>
              <w:t>ost consequences analysis</w:t>
            </w:r>
          </w:p>
        </w:tc>
      </w:tr>
      <w:tr w:rsidR="001A3CE6" w:rsidRPr="00496C73" w14:paraId="33C6405D" w14:textId="77777777" w:rsidTr="00B97856">
        <w:tc>
          <w:tcPr>
            <w:tcW w:w="941" w:type="pct"/>
          </w:tcPr>
          <w:p w14:paraId="6F2B9466" w14:textId="77777777" w:rsidR="001A3CE6" w:rsidRPr="00496C73" w:rsidRDefault="001A3CE6" w:rsidP="002207EE">
            <w:pPr>
              <w:pStyle w:val="TableText"/>
              <w:keepNext/>
              <w:rPr>
                <w:rFonts w:cs="Courier New"/>
                <w:szCs w:val="20"/>
              </w:rPr>
            </w:pPr>
            <w:r w:rsidRPr="00496C73">
              <w:rPr>
                <w:rFonts w:cs="Courier New"/>
                <w:szCs w:val="20"/>
              </w:rPr>
              <w:t>Outcomes</w:t>
            </w:r>
          </w:p>
        </w:tc>
        <w:tc>
          <w:tcPr>
            <w:tcW w:w="4059" w:type="pct"/>
          </w:tcPr>
          <w:p w14:paraId="75E90A42" w14:textId="77777777" w:rsidR="001A3CE6" w:rsidRPr="0006467A" w:rsidRDefault="001A3CE6" w:rsidP="002207EE">
            <w:pPr>
              <w:pStyle w:val="TableText"/>
              <w:rPr>
                <w:rFonts w:cs="Courier New"/>
                <w:szCs w:val="20"/>
              </w:rPr>
            </w:pPr>
            <w:r w:rsidRPr="0006467A">
              <w:rPr>
                <w:rFonts w:cs="Courier New"/>
                <w:szCs w:val="20"/>
              </w:rPr>
              <w:t>PICO Set 1: Newborns:</w:t>
            </w:r>
          </w:p>
          <w:p w14:paraId="083B73E6" w14:textId="77777777" w:rsidR="001A3CE6" w:rsidRPr="0006467A" w:rsidRDefault="001A3CE6" w:rsidP="00C1290A">
            <w:pPr>
              <w:pStyle w:val="TableText"/>
              <w:numPr>
                <w:ilvl w:val="0"/>
                <w:numId w:val="9"/>
              </w:numPr>
              <w:rPr>
                <w:rFonts w:cs="Courier New"/>
                <w:szCs w:val="20"/>
              </w:rPr>
            </w:pPr>
            <w:r w:rsidRPr="0006467A">
              <w:rPr>
                <w:rFonts w:cs="Courier New"/>
                <w:szCs w:val="20"/>
              </w:rPr>
              <w:t>Direct effect (primary analysis for CEA): early diagnoses</w:t>
            </w:r>
          </w:p>
          <w:p w14:paraId="6BDA0403" w14:textId="49531857" w:rsidR="001A3CE6" w:rsidRPr="0006467A" w:rsidRDefault="001A3CE6" w:rsidP="00C1290A">
            <w:pPr>
              <w:pStyle w:val="TableText"/>
              <w:numPr>
                <w:ilvl w:val="0"/>
                <w:numId w:val="9"/>
              </w:numPr>
              <w:rPr>
                <w:rFonts w:cs="Courier New"/>
                <w:szCs w:val="20"/>
              </w:rPr>
            </w:pPr>
            <w:r w:rsidRPr="0006467A">
              <w:rPr>
                <w:rFonts w:cs="Courier New"/>
                <w:szCs w:val="20"/>
              </w:rPr>
              <w:t xml:space="preserve">Associated intermediate health consequences: reduced diagnostic </w:t>
            </w:r>
            <w:r w:rsidR="007225DF">
              <w:rPr>
                <w:rFonts w:cs="Courier New"/>
                <w:szCs w:val="20"/>
              </w:rPr>
              <w:t>delay</w:t>
            </w:r>
            <w:r w:rsidRPr="0006467A">
              <w:rPr>
                <w:rFonts w:cs="Courier New"/>
                <w:szCs w:val="20"/>
              </w:rPr>
              <w:t>, faster access to treatment, improved likelihood of treatment effectiveness, reduced recurrence in families</w:t>
            </w:r>
          </w:p>
          <w:p w14:paraId="25D8CF8B" w14:textId="77777777" w:rsidR="001A3CE6" w:rsidRPr="0006467A" w:rsidRDefault="001A3CE6" w:rsidP="00C1290A">
            <w:pPr>
              <w:pStyle w:val="TableText"/>
              <w:numPr>
                <w:ilvl w:val="0"/>
                <w:numId w:val="9"/>
              </w:numPr>
              <w:rPr>
                <w:rFonts w:cs="Courier New"/>
                <w:szCs w:val="20"/>
              </w:rPr>
            </w:pPr>
            <w:r w:rsidRPr="0006467A">
              <w:rPr>
                <w:rFonts w:cs="Courier New"/>
                <w:szCs w:val="20"/>
              </w:rPr>
              <w:t>Exploratory CUA: life years gained, QALYs gained</w:t>
            </w:r>
          </w:p>
          <w:p w14:paraId="099EC311" w14:textId="6E19A676" w:rsidR="001A3CE6" w:rsidRDefault="001A3CE6" w:rsidP="002207EE">
            <w:pPr>
              <w:pStyle w:val="TableText"/>
              <w:rPr>
                <w:szCs w:val="20"/>
              </w:rPr>
            </w:pPr>
            <w:r w:rsidRPr="0006467A">
              <w:rPr>
                <w:rFonts w:cs="Courier New"/>
                <w:szCs w:val="20"/>
              </w:rPr>
              <w:t xml:space="preserve">PICO Set 2: </w:t>
            </w:r>
            <w:r w:rsidR="00766100">
              <w:rPr>
                <w:szCs w:val="20"/>
              </w:rPr>
              <w:t>T</w:t>
            </w:r>
            <w:r>
              <w:rPr>
                <w:szCs w:val="20"/>
              </w:rPr>
              <w:t>esting</w:t>
            </w:r>
            <w:r w:rsidR="00766100">
              <w:rPr>
                <w:szCs w:val="20"/>
              </w:rPr>
              <w:t xml:space="preserve"> of family members</w:t>
            </w:r>
            <w:r>
              <w:rPr>
                <w:szCs w:val="20"/>
              </w:rPr>
              <w:t>:</w:t>
            </w:r>
          </w:p>
          <w:p w14:paraId="2AAE262A" w14:textId="77777777" w:rsidR="001A3CE6" w:rsidRPr="007D78F1" w:rsidRDefault="001A3CE6" w:rsidP="00C1290A">
            <w:pPr>
              <w:pStyle w:val="TableText"/>
              <w:numPr>
                <w:ilvl w:val="0"/>
                <w:numId w:val="9"/>
              </w:numPr>
              <w:rPr>
                <w:rFonts w:cs="Courier New"/>
                <w:szCs w:val="20"/>
              </w:rPr>
            </w:pPr>
            <w:r>
              <w:rPr>
                <w:rFonts w:cs="Courier New"/>
                <w:szCs w:val="20"/>
              </w:rPr>
              <w:t xml:space="preserve">Early identification of affected cases and carriers. </w:t>
            </w:r>
          </w:p>
          <w:p w14:paraId="75FADB91" w14:textId="0BCEC1CD" w:rsidR="001A3CE6" w:rsidRPr="00496C73" w:rsidRDefault="0155203F" w:rsidP="7C4E3BA4">
            <w:pPr>
              <w:pStyle w:val="TableText"/>
              <w:numPr>
                <w:ilvl w:val="0"/>
                <w:numId w:val="9"/>
              </w:numPr>
              <w:rPr>
                <w:rFonts w:cs="Courier New"/>
              </w:rPr>
            </w:pPr>
            <w:r w:rsidRPr="7C4E3BA4">
              <w:rPr>
                <w:rFonts w:cs="Courier New"/>
              </w:rPr>
              <w:t xml:space="preserve">Costs of additional testing </w:t>
            </w:r>
            <w:r w:rsidR="006277C4">
              <w:rPr>
                <w:rFonts w:cs="Courier New"/>
              </w:rPr>
              <w:t>of family members</w:t>
            </w:r>
          </w:p>
        </w:tc>
      </w:tr>
      <w:tr w:rsidR="001A3CE6" w:rsidRPr="00496C73" w14:paraId="105BAB3F" w14:textId="77777777" w:rsidTr="00B97856">
        <w:tc>
          <w:tcPr>
            <w:tcW w:w="941" w:type="pct"/>
          </w:tcPr>
          <w:p w14:paraId="579FFED5" w14:textId="77777777" w:rsidR="001A3CE6" w:rsidRPr="00496C73" w:rsidRDefault="001A3CE6" w:rsidP="002207EE">
            <w:pPr>
              <w:pStyle w:val="TableText"/>
              <w:keepNext/>
              <w:rPr>
                <w:rFonts w:cs="Courier New"/>
                <w:szCs w:val="20"/>
              </w:rPr>
            </w:pPr>
            <w:r w:rsidRPr="00496C73">
              <w:rPr>
                <w:rFonts w:cs="Courier New"/>
                <w:szCs w:val="20"/>
              </w:rPr>
              <w:t>Time horizon</w:t>
            </w:r>
          </w:p>
        </w:tc>
        <w:tc>
          <w:tcPr>
            <w:tcW w:w="4059" w:type="pct"/>
          </w:tcPr>
          <w:p w14:paraId="3000236C" w14:textId="6E2EF14B" w:rsidR="001A3CE6" w:rsidRPr="00496C73" w:rsidRDefault="008D1385" w:rsidP="002207EE">
            <w:pPr>
              <w:pStyle w:val="TableText"/>
              <w:keepNext/>
              <w:rPr>
                <w:rFonts w:cs="Courier New"/>
              </w:rPr>
            </w:pPr>
            <w:r w:rsidRPr="2999AA76">
              <w:rPr>
                <w:rFonts w:cs="Courier New"/>
                <w:b/>
              </w:rPr>
              <w:t>Redacted</w:t>
            </w:r>
            <w:r w:rsidRPr="2999AA76">
              <w:rPr>
                <w:rFonts w:cs="Courier New"/>
              </w:rPr>
              <w:t xml:space="preserve"> </w:t>
            </w:r>
            <w:r w:rsidR="001A3CE6" w:rsidRPr="2999AA76">
              <w:rPr>
                <w:rFonts w:cs="Courier New"/>
              </w:rPr>
              <w:t>years in the base case evaluation and for testing</w:t>
            </w:r>
            <w:r w:rsidR="00766100" w:rsidRPr="2999AA76">
              <w:rPr>
                <w:rFonts w:cs="Courier New"/>
              </w:rPr>
              <w:t xml:space="preserve"> of family members</w:t>
            </w:r>
            <w:r w:rsidR="001A3CE6" w:rsidRPr="2999AA76">
              <w:rPr>
                <w:rFonts w:cs="Courier New"/>
              </w:rPr>
              <w:t>. Based on the eldest age of diagnosis for an MPS II case in Australia</w:t>
            </w:r>
            <w:r w:rsidR="00E07636" w:rsidRPr="2999AA76">
              <w:rPr>
                <w:rFonts w:cs="Courier New"/>
              </w:rPr>
              <w:t xml:space="preserve"> reported in</w:t>
            </w:r>
            <w:r w:rsidRPr="2999AA76">
              <w:rPr>
                <w:rFonts w:cs="Courier New"/>
              </w:rPr>
              <w:t xml:space="preserve"> </w:t>
            </w:r>
            <w:r w:rsidRPr="2999AA76">
              <w:rPr>
                <w:rFonts w:cs="Courier New"/>
                <w:b/>
              </w:rPr>
              <w:t>Redacted</w:t>
            </w:r>
            <w:r w:rsidR="001A3CE6" w:rsidRPr="2999AA76">
              <w:rPr>
                <w:rFonts w:cs="Courier New"/>
              </w:rPr>
              <w:t xml:space="preserve">. A lifetime time horizon in the exploratory analysis (i.e. 100 years). </w:t>
            </w:r>
          </w:p>
        </w:tc>
      </w:tr>
      <w:tr w:rsidR="001A3CE6" w:rsidRPr="00496C73" w14:paraId="06B9E2A2" w14:textId="77777777" w:rsidTr="00B97856">
        <w:tc>
          <w:tcPr>
            <w:tcW w:w="941" w:type="pct"/>
          </w:tcPr>
          <w:p w14:paraId="27C54E87" w14:textId="77777777" w:rsidR="001A3CE6" w:rsidRPr="00496C73" w:rsidRDefault="001A3CE6" w:rsidP="002207EE">
            <w:pPr>
              <w:pStyle w:val="TableText"/>
              <w:keepNext/>
              <w:rPr>
                <w:rFonts w:cs="Courier New"/>
                <w:szCs w:val="20"/>
              </w:rPr>
            </w:pPr>
            <w:r w:rsidRPr="00496C73">
              <w:rPr>
                <w:rFonts w:cs="Courier New"/>
                <w:szCs w:val="20"/>
              </w:rPr>
              <w:t>Computational method</w:t>
            </w:r>
          </w:p>
        </w:tc>
        <w:tc>
          <w:tcPr>
            <w:tcW w:w="4059" w:type="pct"/>
          </w:tcPr>
          <w:p w14:paraId="57626530" w14:textId="77777777" w:rsidR="001A3CE6" w:rsidRPr="00496C73" w:rsidRDefault="001A3CE6" w:rsidP="002207EE">
            <w:pPr>
              <w:pStyle w:val="TableText"/>
              <w:keepNext/>
              <w:rPr>
                <w:rFonts w:cs="Courier New"/>
                <w:szCs w:val="20"/>
              </w:rPr>
            </w:pPr>
            <w:r w:rsidRPr="00496C73">
              <w:rPr>
                <w:rFonts w:cs="Courier New"/>
                <w:szCs w:val="20"/>
              </w:rPr>
              <w:t>Decision tree model for base case analysis and cost-consequences</w:t>
            </w:r>
            <w:r>
              <w:rPr>
                <w:rFonts w:cs="Courier New"/>
                <w:szCs w:val="20"/>
              </w:rPr>
              <w:t xml:space="preserve">. </w:t>
            </w:r>
          </w:p>
          <w:p w14:paraId="74D0BB99" w14:textId="77777777" w:rsidR="001A3CE6" w:rsidRPr="00496C73" w:rsidRDefault="001A3CE6" w:rsidP="002207EE">
            <w:pPr>
              <w:pStyle w:val="TableText"/>
              <w:keepNext/>
              <w:rPr>
                <w:rFonts w:cs="Courier New"/>
                <w:szCs w:val="20"/>
              </w:rPr>
            </w:pPr>
            <w:r>
              <w:rPr>
                <w:rFonts w:cs="Courier New"/>
                <w:szCs w:val="20"/>
              </w:rPr>
              <w:t>Time-dependent s</w:t>
            </w:r>
            <w:r w:rsidRPr="00F37213">
              <w:rPr>
                <w:rFonts w:cs="Courier New"/>
                <w:szCs w:val="20"/>
              </w:rPr>
              <w:t>tate-transition Markov cohort model for the exploratory analysis</w:t>
            </w:r>
            <w:r>
              <w:rPr>
                <w:rFonts w:cs="Courier New"/>
                <w:szCs w:val="20"/>
              </w:rPr>
              <w:t xml:space="preserve">. </w:t>
            </w:r>
          </w:p>
        </w:tc>
      </w:tr>
      <w:tr w:rsidR="001A3CE6" w:rsidRPr="00496C73" w14:paraId="017D6D3D" w14:textId="77777777" w:rsidTr="00B97856">
        <w:tc>
          <w:tcPr>
            <w:tcW w:w="941" w:type="pct"/>
          </w:tcPr>
          <w:p w14:paraId="243812AE" w14:textId="77777777" w:rsidR="001A3CE6" w:rsidRPr="00496C73" w:rsidRDefault="001A3CE6" w:rsidP="002207EE">
            <w:pPr>
              <w:pStyle w:val="TableText"/>
              <w:keepNext/>
              <w:rPr>
                <w:rFonts w:cs="Courier New"/>
                <w:szCs w:val="20"/>
              </w:rPr>
            </w:pPr>
            <w:r w:rsidRPr="00496C73">
              <w:rPr>
                <w:rFonts w:cs="Courier New"/>
                <w:szCs w:val="20"/>
              </w:rPr>
              <w:t>Generation of the base case</w:t>
            </w:r>
          </w:p>
        </w:tc>
        <w:tc>
          <w:tcPr>
            <w:tcW w:w="4059" w:type="pct"/>
          </w:tcPr>
          <w:p w14:paraId="16316F09" w14:textId="77777777" w:rsidR="001A3CE6" w:rsidRPr="00496C73" w:rsidRDefault="001A3CE6" w:rsidP="002207EE">
            <w:pPr>
              <w:pStyle w:val="TableText"/>
              <w:keepNext/>
              <w:rPr>
                <w:rFonts w:cs="Courier New"/>
                <w:szCs w:val="20"/>
              </w:rPr>
            </w:pPr>
            <w:r>
              <w:rPr>
                <w:rFonts w:cs="Courier New"/>
                <w:szCs w:val="20"/>
              </w:rPr>
              <w:t xml:space="preserve">Performed in one step </w:t>
            </w:r>
            <w:r>
              <w:t>as the structure of the model did not rely on building layers of uncertainty or multiple translations of the clinical evidence.</w:t>
            </w:r>
          </w:p>
        </w:tc>
      </w:tr>
      <w:tr w:rsidR="001A3CE6" w:rsidRPr="00496C73" w14:paraId="244AA83A" w14:textId="77777777" w:rsidTr="00B97856">
        <w:tc>
          <w:tcPr>
            <w:tcW w:w="941" w:type="pct"/>
          </w:tcPr>
          <w:p w14:paraId="43D45CC8" w14:textId="77777777" w:rsidR="001A3CE6" w:rsidRPr="00496C73" w:rsidRDefault="001A3CE6" w:rsidP="002207EE">
            <w:pPr>
              <w:pStyle w:val="TableText"/>
              <w:keepNext/>
              <w:rPr>
                <w:rFonts w:cs="Courier New"/>
                <w:szCs w:val="20"/>
              </w:rPr>
            </w:pPr>
            <w:r w:rsidRPr="00496C73">
              <w:rPr>
                <w:rFonts w:cs="Courier New"/>
                <w:szCs w:val="20"/>
              </w:rPr>
              <w:t>Health states</w:t>
            </w:r>
          </w:p>
        </w:tc>
        <w:tc>
          <w:tcPr>
            <w:tcW w:w="4059" w:type="pct"/>
          </w:tcPr>
          <w:p w14:paraId="44F83129" w14:textId="2E4DBF2A" w:rsidR="001A3CE6" w:rsidRDefault="001A3CE6" w:rsidP="002207EE">
            <w:pPr>
              <w:pStyle w:val="TableText"/>
              <w:rPr>
                <w:rFonts w:cs="Courier New"/>
                <w:szCs w:val="20"/>
              </w:rPr>
            </w:pPr>
            <w:r>
              <w:rPr>
                <w:rFonts w:cs="Courier New"/>
                <w:szCs w:val="20"/>
              </w:rPr>
              <w:t>Not defined for the base case CEA, CCA and testing</w:t>
            </w:r>
            <w:r w:rsidR="00DD565E">
              <w:rPr>
                <w:rFonts w:cs="Courier New"/>
                <w:szCs w:val="20"/>
              </w:rPr>
              <w:t xml:space="preserve"> of family members</w:t>
            </w:r>
          </w:p>
          <w:p w14:paraId="0082C24C" w14:textId="77777777" w:rsidR="001A3CE6" w:rsidRDefault="001A3CE6" w:rsidP="002207EE">
            <w:pPr>
              <w:pStyle w:val="TableText"/>
              <w:rPr>
                <w:rFonts w:cs="Courier New"/>
                <w:szCs w:val="20"/>
              </w:rPr>
            </w:pPr>
            <w:r>
              <w:rPr>
                <w:rFonts w:cs="Courier New"/>
                <w:szCs w:val="20"/>
              </w:rPr>
              <w:t xml:space="preserve">Exploratory CUA: </w:t>
            </w:r>
          </w:p>
          <w:p w14:paraId="33648D44" w14:textId="77777777" w:rsidR="001A3CE6" w:rsidRDefault="001A3CE6" w:rsidP="00C1290A">
            <w:pPr>
              <w:pStyle w:val="TableText"/>
              <w:numPr>
                <w:ilvl w:val="0"/>
                <w:numId w:val="14"/>
              </w:numPr>
              <w:rPr>
                <w:rFonts w:cs="Courier New"/>
                <w:szCs w:val="20"/>
              </w:rPr>
            </w:pPr>
            <w:r>
              <w:rPr>
                <w:rFonts w:cs="Courier New"/>
                <w:szCs w:val="20"/>
              </w:rPr>
              <w:t>Severe MPS II: alive, dead</w:t>
            </w:r>
          </w:p>
          <w:p w14:paraId="338C3143" w14:textId="77777777" w:rsidR="001A3CE6" w:rsidRPr="00496C73" w:rsidRDefault="001A3CE6" w:rsidP="00C1290A">
            <w:pPr>
              <w:pStyle w:val="TableText"/>
              <w:numPr>
                <w:ilvl w:val="0"/>
                <w:numId w:val="14"/>
              </w:numPr>
              <w:rPr>
                <w:rFonts w:cs="Courier New"/>
                <w:szCs w:val="20"/>
              </w:rPr>
            </w:pPr>
            <w:r>
              <w:rPr>
                <w:rFonts w:cs="Courier New"/>
                <w:szCs w:val="20"/>
              </w:rPr>
              <w:t>Very attenuated MPS II: alive, dead</w:t>
            </w:r>
          </w:p>
        </w:tc>
      </w:tr>
      <w:tr w:rsidR="001A3CE6" w:rsidRPr="00496C73" w14:paraId="4CD9313B" w14:textId="77777777" w:rsidTr="00B97856">
        <w:tc>
          <w:tcPr>
            <w:tcW w:w="941" w:type="pct"/>
          </w:tcPr>
          <w:p w14:paraId="5F2482D6" w14:textId="77777777" w:rsidR="001A3CE6" w:rsidRPr="00496C73" w:rsidRDefault="001A3CE6" w:rsidP="002207EE">
            <w:pPr>
              <w:pStyle w:val="TableText"/>
              <w:keepNext/>
              <w:rPr>
                <w:rFonts w:cs="Courier New"/>
                <w:szCs w:val="20"/>
              </w:rPr>
            </w:pPr>
            <w:r w:rsidRPr="00496C73">
              <w:rPr>
                <w:rFonts w:cs="Courier New"/>
                <w:szCs w:val="20"/>
              </w:rPr>
              <w:t>Cycle length</w:t>
            </w:r>
          </w:p>
        </w:tc>
        <w:tc>
          <w:tcPr>
            <w:tcW w:w="4059" w:type="pct"/>
          </w:tcPr>
          <w:p w14:paraId="16BC320F" w14:textId="77777777" w:rsidR="001A3CE6" w:rsidRPr="00496C73" w:rsidRDefault="001A3CE6" w:rsidP="002207EE">
            <w:pPr>
              <w:pStyle w:val="TableText"/>
              <w:keepNext/>
              <w:rPr>
                <w:rFonts w:cs="Courier New"/>
                <w:szCs w:val="20"/>
              </w:rPr>
            </w:pPr>
            <w:r>
              <w:rPr>
                <w:rFonts w:cs="Courier New"/>
                <w:szCs w:val="20"/>
              </w:rPr>
              <w:t xml:space="preserve">One year in the exploratory CUA. </w:t>
            </w:r>
          </w:p>
        </w:tc>
      </w:tr>
      <w:tr w:rsidR="001A3CE6" w:rsidRPr="00496C73" w14:paraId="0F3857C9" w14:textId="77777777" w:rsidTr="00B97856">
        <w:tc>
          <w:tcPr>
            <w:tcW w:w="941" w:type="pct"/>
          </w:tcPr>
          <w:p w14:paraId="43427EB9" w14:textId="77777777" w:rsidR="001A3CE6" w:rsidRPr="00496C73" w:rsidRDefault="001A3CE6" w:rsidP="002207EE">
            <w:pPr>
              <w:pStyle w:val="TableText"/>
              <w:keepNext/>
              <w:rPr>
                <w:rFonts w:cs="Courier New"/>
                <w:szCs w:val="20"/>
              </w:rPr>
            </w:pPr>
            <w:r>
              <w:rPr>
                <w:rFonts w:cs="Courier New"/>
                <w:szCs w:val="20"/>
              </w:rPr>
              <w:t>P</w:t>
            </w:r>
            <w:r w:rsidRPr="00496C73">
              <w:rPr>
                <w:rFonts w:cs="Courier New"/>
                <w:szCs w:val="20"/>
              </w:rPr>
              <w:t>robabilities</w:t>
            </w:r>
          </w:p>
        </w:tc>
        <w:tc>
          <w:tcPr>
            <w:tcW w:w="4059" w:type="pct"/>
          </w:tcPr>
          <w:p w14:paraId="69045453" w14:textId="77777777" w:rsidR="001A3CE6" w:rsidRDefault="001A3CE6" w:rsidP="002207EE">
            <w:pPr>
              <w:pStyle w:val="TableText"/>
              <w:keepNext/>
              <w:rPr>
                <w:rFonts w:cs="Courier New"/>
                <w:szCs w:val="20"/>
                <w:u w:val="single"/>
              </w:rPr>
            </w:pPr>
            <w:r>
              <w:rPr>
                <w:rFonts w:cs="Courier New"/>
                <w:szCs w:val="20"/>
                <w:u w:val="single"/>
              </w:rPr>
              <w:t>Base case analysis:</w:t>
            </w:r>
          </w:p>
          <w:p w14:paraId="6623DB2D" w14:textId="17EAE21F" w:rsidR="001A3CE6" w:rsidRPr="00496C73" w:rsidRDefault="0155203F" w:rsidP="7C4E3BA4">
            <w:pPr>
              <w:pStyle w:val="TableText"/>
              <w:numPr>
                <w:ilvl w:val="0"/>
                <w:numId w:val="15"/>
              </w:numPr>
              <w:rPr>
                <w:rFonts w:cs="Courier New"/>
              </w:rPr>
            </w:pPr>
            <w:r w:rsidRPr="7C4E3BA4">
              <w:rPr>
                <w:rFonts w:cs="Courier New"/>
              </w:rPr>
              <w:t xml:space="preserve">Prevalence of MPS II: Prevalence of MPS II was based on the TPR of NBS of MPS II, sourced from the evidence review of published MPS II NBS studies.  </w:t>
            </w:r>
          </w:p>
          <w:p w14:paraId="089C4430" w14:textId="0D1532E2" w:rsidR="001A3CE6" w:rsidRPr="00496C73" w:rsidRDefault="001A3CE6" w:rsidP="00C1290A">
            <w:pPr>
              <w:pStyle w:val="TableText"/>
              <w:numPr>
                <w:ilvl w:val="0"/>
                <w:numId w:val="15"/>
              </w:numPr>
              <w:rPr>
                <w:rFonts w:cs="Courier New"/>
                <w:szCs w:val="20"/>
              </w:rPr>
            </w:pPr>
            <w:r w:rsidRPr="00496C73">
              <w:rPr>
                <w:rFonts w:cs="Courier New"/>
                <w:szCs w:val="20"/>
              </w:rPr>
              <w:t xml:space="preserve">Test performance: Performance of first-tier screening was as per </w:t>
            </w:r>
            <w:r w:rsidR="0049472C">
              <w:rPr>
                <w:rFonts w:cs="Courier New"/>
                <w:szCs w:val="20"/>
              </w:rPr>
              <w:t>linked evidence for test accuracy presented in the DCAR</w:t>
            </w:r>
            <w:r w:rsidRPr="00496C73">
              <w:rPr>
                <w:rFonts w:cs="Courier New"/>
                <w:szCs w:val="20"/>
              </w:rPr>
              <w:t>. Second</w:t>
            </w:r>
            <w:r w:rsidR="00E25B8D">
              <w:rPr>
                <w:rFonts w:cs="Courier New"/>
                <w:szCs w:val="20"/>
              </w:rPr>
              <w:t>-</w:t>
            </w:r>
            <w:r w:rsidRPr="00496C73">
              <w:rPr>
                <w:rFonts w:cs="Courier New"/>
                <w:szCs w:val="20"/>
              </w:rPr>
              <w:t>tier screening was assumed to have 100% sensitivity and specificity.</w:t>
            </w:r>
          </w:p>
          <w:p w14:paraId="6DF09C0F" w14:textId="44195F87" w:rsidR="001A3CE6" w:rsidRPr="00AA6791" w:rsidRDefault="0155203F" w:rsidP="7C4E3BA4">
            <w:pPr>
              <w:pStyle w:val="TableText"/>
              <w:keepNext/>
              <w:rPr>
                <w:rFonts w:cs="Courier New"/>
                <w:u w:val="single"/>
              </w:rPr>
            </w:pPr>
            <w:r w:rsidRPr="7C4E3BA4">
              <w:rPr>
                <w:rFonts w:cs="Courier New"/>
                <w:u w:val="single"/>
              </w:rPr>
              <w:t xml:space="preserve">Exploratory analysis: </w:t>
            </w:r>
            <w:r w:rsidRPr="7C4E3BA4">
              <w:rPr>
                <w:rFonts w:cs="Courier New"/>
              </w:rPr>
              <w:t>includes survival and health related quality of life gains associated with early access to ERT following NBS for severe MPS II patients based on the evidence review presented</w:t>
            </w:r>
            <w:r w:rsidRPr="7C4E3BA4" w:rsidDel="00E8230E">
              <w:rPr>
                <w:rFonts w:cs="Courier New"/>
              </w:rPr>
              <w:t xml:space="preserve"> </w:t>
            </w:r>
            <w:r w:rsidR="0049472C">
              <w:rPr>
                <w:rFonts w:cs="Courier New"/>
              </w:rPr>
              <w:t>for health outcomes in the DCAR</w:t>
            </w:r>
            <w:r w:rsidRPr="7C4E3BA4">
              <w:rPr>
                <w:rFonts w:cs="Courier New"/>
              </w:rPr>
              <w:t xml:space="preserve">. Estimates were informed by: </w:t>
            </w:r>
          </w:p>
          <w:p w14:paraId="429FD540" w14:textId="77777777" w:rsidR="001A3CE6" w:rsidRPr="003C2E00" w:rsidRDefault="001A3CE6" w:rsidP="00C1290A">
            <w:pPr>
              <w:pStyle w:val="TableText"/>
              <w:keepNext/>
              <w:numPr>
                <w:ilvl w:val="0"/>
                <w:numId w:val="16"/>
              </w:numPr>
              <w:rPr>
                <w:rFonts w:cs="Courier New"/>
                <w:szCs w:val="20"/>
                <w:u w:val="single"/>
              </w:rPr>
            </w:pPr>
            <w:r>
              <w:rPr>
                <w:rFonts w:cs="Courier New"/>
                <w:szCs w:val="20"/>
              </w:rPr>
              <w:t xml:space="preserve">The duration of 100% survival for early ERT treated patients </w:t>
            </w:r>
            <w:r w:rsidR="00C26018">
              <w:rPr>
                <w:rFonts w:cs="Courier New"/>
                <w:szCs w:val="20"/>
              </w:rPr>
              <w:fldChar w:fldCharType="begin"/>
            </w:r>
            <w:r w:rsidR="00C26018">
              <w:rPr>
                <w:rFonts w:cs="Courier New"/>
                <w:szCs w:val="20"/>
              </w:rPr>
              <w:instrText xml:space="preserve"> ADDIN EN.CITE &lt;EndNote&gt;&lt;Cite&gt;&lt;Author&gt;Tomita&lt;/Author&gt;&lt;Year&gt;2021&lt;/Year&gt;&lt;RecNum&gt;51&lt;/RecNum&gt;&lt;DisplayText&gt;(Tomita et al. 2021)&lt;/DisplayText&gt;&lt;record&gt;&lt;rec-number&gt;51&lt;/rec-number&gt;&lt;foreign-keys&gt;&lt;key app="EN" db-id="d52ep2vz4f0zwne9vdmx9zzirsxx5pf5pr2f" timestamp="1726633909"&gt;51&lt;/key&gt;&lt;/foreign-keys&gt;&lt;ref-type name="Journal Article"&gt;17&lt;/ref-type&gt;&lt;contributors&gt;&lt;authors&gt;&lt;author&gt;Tomita, K.&lt;/author&gt;&lt;author&gt;Okamoto, S.&lt;/author&gt;&lt;author&gt;Seto, T.&lt;/author&gt;&lt;author&gt;Hamazaki, T.&lt;/author&gt;&lt;/authors&gt;&lt;/contributors&gt;&lt;titles&gt;&lt;title&gt;Real world long-term outcomes in patients with mucopolysaccharidosis type II: A retrospective cohort study&lt;/title&gt;&lt;secondary-title&gt;Mol Genet Metab Rep&lt;/secondary-title&gt;&lt;/titles&gt;&lt;periodical&gt;&lt;full-title&gt;Mol Genet Metab Rep&lt;/full-title&gt;&lt;/periodical&gt;&lt;pages&gt;100816&lt;/pages&gt;&lt;volume&gt;29&lt;/volume&gt;&lt;keywords&gt;&lt;keyword&gt;Activities of daily living&lt;/keyword&gt;&lt;keyword&gt;Enzyme replacement therapy&lt;/keyword&gt;&lt;keyword&gt;Hematopoietic stem cell transplantation&lt;/keyword&gt;&lt;keyword&gt;Hunter syndrome&lt;/keyword&gt;&lt;keyword&gt;Long-term follow-up&lt;/keyword&gt;&lt;keyword&gt;Mucopolysaccharidosis&lt;/keyword&gt;&lt;keyword&gt;Cohort Studies&lt;/keyword&gt;&lt;/keywords&gt;&lt;dates&gt;&lt;year&gt;2021&lt;/year&gt;&lt;pub-dates&gt;&lt;date&gt;2021-12&lt;/date&gt;&lt;/pub-dates&gt;&lt;/dates&gt;&lt;isbn&gt;2214-4269 (Print) 2214-4269&lt;/isbn&gt;&lt;accession-num&gt;rayyan-753370397&lt;/accession-num&gt;&lt;urls&gt;&lt;related-urls&gt;&lt;url&gt;https://www.ncbi.nlm.nih.gov/pmc/articles/PMC8554623/pdf/main.pdf&lt;/url&gt;&lt;/related-urls&gt;&lt;/urls&gt;&lt;custom1&gt;2214-4269 Tomita, Kazuyoshi Okamoto, Shungo Seto, Toshiyuki Hamazaki, Takashi Journal Article United States 2021/11/09 Mol Genet Metab Rep. 2021 Oct 22;29:100816. doi: 10.1016/j.ymgmr.2021.100816. eCollection 2021 Dec. | RAYYAN-INCLUSION: {&amp;quot;Mah&amp;quot;=&amp;gt;&amp;quot;Included&amp;quot;} | RAYYAN-LABELS: Treatment (ERT),Treatment (HSCT)&lt;/custom1&gt;&lt;electronic-resource-num&gt;doi:10.1016/j.ymgmr.2021.100816&lt;/electronic-resource-num&gt;&lt;language&gt;eng&lt;/language&gt;&lt;/record&gt;&lt;/Cite&gt;&lt;/EndNote&gt;</w:instrText>
            </w:r>
            <w:r w:rsidR="00C26018">
              <w:rPr>
                <w:rFonts w:cs="Courier New"/>
                <w:szCs w:val="20"/>
              </w:rPr>
              <w:fldChar w:fldCharType="separate"/>
            </w:r>
            <w:r w:rsidR="00C26018">
              <w:rPr>
                <w:rFonts w:cs="Courier New"/>
                <w:noProof/>
                <w:szCs w:val="20"/>
              </w:rPr>
              <w:t>(Tomita et al. 2021)</w:t>
            </w:r>
            <w:r w:rsidR="00C26018">
              <w:rPr>
                <w:rFonts w:cs="Courier New"/>
                <w:szCs w:val="20"/>
              </w:rPr>
              <w:fldChar w:fldCharType="end"/>
            </w:r>
            <w:r>
              <w:rPr>
                <w:rFonts w:cs="Courier New"/>
                <w:szCs w:val="20"/>
              </w:rPr>
              <w:t>.</w:t>
            </w:r>
          </w:p>
          <w:p w14:paraId="08C4BE03" w14:textId="77777777" w:rsidR="001A3CE6" w:rsidRPr="00A926D5" w:rsidRDefault="001A3CE6" w:rsidP="00C1290A">
            <w:pPr>
              <w:pStyle w:val="TableText"/>
              <w:keepNext/>
              <w:numPr>
                <w:ilvl w:val="0"/>
                <w:numId w:val="16"/>
              </w:numPr>
              <w:rPr>
                <w:rFonts w:cs="Courier New"/>
                <w:szCs w:val="20"/>
                <w:u w:val="single"/>
              </w:rPr>
            </w:pPr>
            <w:r>
              <w:rPr>
                <w:rFonts w:cs="Courier New"/>
                <w:szCs w:val="20"/>
              </w:rPr>
              <w:t xml:space="preserve">HR of late treated severe versus attenuated patients </w:t>
            </w:r>
            <w:r w:rsidR="00C26018">
              <w:rPr>
                <w:rFonts w:cs="Courier New"/>
                <w:szCs w:val="20"/>
              </w:rPr>
              <w:fldChar w:fldCharType="begin">
                <w:fldData xml:space="preserve">PEVuZE5vdGU+PENpdGU+PEF1dGhvcj5VZWRhPC9BdXRob3I+PFllYXI+MjAyMDwvWWVhcj48UmVj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</w:fldData>
              </w:fldChar>
            </w:r>
            <w:r w:rsidR="00C26018">
              <w:rPr>
                <w:rFonts w:cs="Courier New"/>
                <w:szCs w:val="20"/>
              </w:rPr>
              <w:instrText xml:space="preserve"> ADDIN EN.CITE </w:instrText>
            </w:r>
            <w:r w:rsidR="00C26018">
              <w:rPr>
                <w:rFonts w:cs="Courier New"/>
                <w:szCs w:val="20"/>
              </w:rPr>
              <w:fldChar w:fldCharType="begin">
                <w:fldData xml:space="preserve">PEVuZE5vdGU+PENpdGU+PEF1dGhvcj5VZWRhPC9BdXRob3I+PFllYXI+MjAyMDwvWWVhcj48UmVj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</w:fldData>
              </w:fldChar>
            </w:r>
            <w:r w:rsidR="00C26018">
              <w:rPr>
                <w:rFonts w:cs="Courier New"/>
                <w:szCs w:val="20"/>
              </w:rPr>
              <w:instrText xml:space="preserve"> ADDIN EN.CITE.DATA </w:instrText>
            </w:r>
            <w:r w:rsidR="00C26018">
              <w:rPr>
                <w:rFonts w:cs="Courier New"/>
                <w:szCs w:val="20"/>
              </w:rPr>
            </w:r>
            <w:r w:rsidR="00C26018">
              <w:rPr>
                <w:rFonts w:cs="Courier New"/>
                <w:szCs w:val="20"/>
              </w:rPr>
              <w:fldChar w:fldCharType="end"/>
            </w:r>
            <w:r w:rsidR="00C26018">
              <w:rPr>
                <w:rFonts w:cs="Courier New"/>
                <w:szCs w:val="20"/>
              </w:rPr>
            </w:r>
            <w:r w:rsidR="00C26018">
              <w:rPr>
                <w:rFonts w:cs="Courier New"/>
                <w:szCs w:val="20"/>
              </w:rPr>
              <w:fldChar w:fldCharType="separate"/>
            </w:r>
            <w:r w:rsidR="00C26018">
              <w:rPr>
                <w:rFonts w:cs="Courier New"/>
                <w:noProof/>
                <w:szCs w:val="20"/>
              </w:rPr>
              <w:t>(Ueda &amp; Hokugo 2020)</w:t>
            </w:r>
            <w:r w:rsidR="00C26018">
              <w:rPr>
                <w:rFonts w:cs="Courier New"/>
                <w:szCs w:val="20"/>
              </w:rPr>
              <w:fldChar w:fldCharType="end"/>
            </w:r>
            <w:r>
              <w:rPr>
                <w:rFonts w:cs="Courier New"/>
                <w:szCs w:val="20"/>
              </w:rPr>
              <w:t>.</w:t>
            </w:r>
          </w:p>
          <w:p w14:paraId="7EBA30AF" w14:textId="77777777" w:rsidR="001A3CE6" w:rsidRPr="00C964C9" w:rsidRDefault="001A3CE6" w:rsidP="00C1290A">
            <w:pPr>
              <w:pStyle w:val="TableText"/>
              <w:keepNext/>
              <w:numPr>
                <w:ilvl w:val="0"/>
                <w:numId w:val="16"/>
              </w:numPr>
              <w:rPr>
                <w:rFonts w:cs="Courier New"/>
                <w:szCs w:val="20"/>
                <w:u w:val="single"/>
              </w:rPr>
            </w:pPr>
            <w:r>
              <w:rPr>
                <w:rFonts w:cs="Courier New"/>
                <w:szCs w:val="20"/>
              </w:rPr>
              <w:t xml:space="preserve">Late treated disease specific mortality </w:t>
            </w:r>
            <w:r w:rsidR="00C26018">
              <w:rPr>
                <w:rFonts w:cs="Courier New"/>
                <w:szCs w:val="20"/>
              </w:rPr>
              <w:fldChar w:fldCharType="begin"/>
            </w:r>
            <w:r w:rsidR="00C26018">
              <w:rPr>
                <w:rFonts w:cs="Courier New"/>
                <w:szCs w:val="20"/>
              </w:rPr>
              <w:instrText xml:space="preserve"> ADDIN EN.CITE &lt;EndNote&gt;&lt;Cite&gt;&lt;Author&gt;Burton&lt;/Author&gt;&lt;Year&gt;2017&lt;/Year&gt;&lt;RecNum&gt;56&lt;/RecNum&gt;&lt;DisplayText&gt;(Burton et al. 2017)&lt;/DisplayText&gt;&lt;record&gt;&lt;rec-number&gt;56&lt;/rec-number&gt;&lt;foreign-keys&gt;&lt;key app="EN" db-id="d52ep2vz4f0zwne9vdmx9zzirsxx5pf5pr2f" timestamp="1726634051"&gt;56&lt;/key&gt;&lt;/foreign-keys&gt;&lt;ref-type name="Journal Article"&gt;17&lt;/ref-type&gt;&lt;contributors&gt;&lt;authors&gt;&lt;author&gt;Burton, Barbara K.&lt;/author&gt;&lt;author&gt;Jego, Virginie&lt;/author&gt;&lt;author&gt;Mikl, Jaromir&lt;/author&gt;&lt;author&gt;Jones, Simon A.&lt;/author&gt;&lt;/authors&gt;&lt;/contributors&gt;&lt;titles&gt;&lt;title&gt;Survival in idursulfase-treated and untreated patients with mucopolysaccharidosis type II: data from the Hunter Outcome Survey (HOS)&lt;/title&gt;&lt;secondary-title&gt;Journal of Inherited Metabolic Disease&lt;/secondary-title&gt;&lt;/titles&gt;&lt;periodical&gt;&lt;full-title&gt;Journal of Inherited Metabolic Disease&lt;/full-title&gt;&lt;/periodical&gt;&lt;pages&gt;867-874&lt;/pages&gt;&lt;volume&gt;40&lt;/volume&gt;&lt;number&gt;6&lt;/number&gt;&lt;dates&gt;&lt;year&gt;2017&lt;/year&gt;&lt;/dates&gt;&lt;isbn&gt;0141-8955&lt;/isbn&gt;&lt;urls&gt;&lt;related-urls&gt;&lt;url&gt;https://onlinelibrary.wiley.com/doi/abs/10.1007/s10545-017-0075-x&lt;/url&gt;&lt;/related-urls&gt;&lt;/urls&gt;&lt;electronic-resource-num&gt;https://doi.org/10.1007/s10545-017-0075-x&lt;/electronic-resource-num&gt;&lt;/record&gt;&lt;/Cite&gt;&lt;/EndNote&gt;</w:instrText>
            </w:r>
            <w:r w:rsidR="00C26018">
              <w:rPr>
                <w:rFonts w:cs="Courier New"/>
                <w:szCs w:val="20"/>
              </w:rPr>
              <w:fldChar w:fldCharType="separate"/>
            </w:r>
            <w:r w:rsidR="00C26018">
              <w:rPr>
                <w:rFonts w:cs="Courier New"/>
                <w:noProof/>
                <w:szCs w:val="20"/>
              </w:rPr>
              <w:t>(Burton et al. 2017)</w:t>
            </w:r>
            <w:r w:rsidR="00C26018">
              <w:rPr>
                <w:rFonts w:cs="Courier New"/>
                <w:szCs w:val="20"/>
              </w:rPr>
              <w:fldChar w:fldCharType="end"/>
            </w:r>
            <w:r>
              <w:rPr>
                <w:rFonts w:cs="Courier New"/>
                <w:szCs w:val="20"/>
              </w:rPr>
              <w:t>.</w:t>
            </w:r>
          </w:p>
          <w:p w14:paraId="47EAA13C" w14:textId="77777777" w:rsidR="00C964C9" w:rsidRPr="0030215E" w:rsidRDefault="00C964C9" w:rsidP="00C1290A">
            <w:pPr>
              <w:pStyle w:val="TableText"/>
              <w:keepNext/>
              <w:numPr>
                <w:ilvl w:val="0"/>
                <w:numId w:val="16"/>
              </w:numPr>
              <w:rPr>
                <w:rFonts w:cs="Courier New"/>
                <w:szCs w:val="20"/>
                <w:u w:val="single"/>
              </w:rPr>
            </w:pPr>
            <w:r>
              <w:rPr>
                <w:rFonts w:cs="Courier New"/>
                <w:szCs w:val="20"/>
              </w:rPr>
              <w:t xml:space="preserve">ABS lifetables. </w:t>
            </w:r>
          </w:p>
        </w:tc>
      </w:tr>
      <w:tr w:rsidR="001A3CE6" w:rsidRPr="00496C73" w14:paraId="15446361" w14:textId="77777777" w:rsidTr="00B97856">
        <w:tc>
          <w:tcPr>
            <w:tcW w:w="941" w:type="pct"/>
          </w:tcPr>
          <w:p w14:paraId="7F8C7D74" w14:textId="77777777" w:rsidR="001A3CE6" w:rsidRPr="00496C73" w:rsidRDefault="001A3CE6" w:rsidP="002207EE">
            <w:pPr>
              <w:pStyle w:val="TableText"/>
              <w:keepNext/>
              <w:rPr>
                <w:rFonts w:cs="Courier New"/>
                <w:szCs w:val="20"/>
              </w:rPr>
            </w:pPr>
            <w:r w:rsidRPr="00496C73">
              <w:rPr>
                <w:rFonts w:cs="Courier New"/>
                <w:szCs w:val="20"/>
              </w:rPr>
              <w:t>Discount rate</w:t>
            </w:r>
          </w:p>
        </w:tc>
        <w:tc>
          <w:tcPr>
            <w:tcW w:w="4059" w:type="pct"/>
          </w:tcPr>
          <w:p w14:paraId="4BB5B743" w14:textId="77777777" w:rsidR="001A3CE6" w:rsidRPr="00496C73" w:rsidRDefault="001A3CE6" w:rsidP="002207EE">
            <w:pPr>
              <w:pStyle w:val="TableText"/>
              <w:keepNext/>
              <w:rPr>
                <w:rFonts w:cs="Courier New"/>
                <w:szCs w:val="20"/>
              </w:rPr>
            </w:pPr>
            <w:r w:rsidRPr="00496C73">
              <w:rPr>
                <w:rFonts w:cs="Courier New"/>
                <w:szCs w:val="20"/>
              </w:rPr>
              <w:t>5% for both costs and outcomes</w:t>
            </w:r>
            <w:r>
              <w:rPr>
                <w:rFonts w:cs="Courier New"/>
                <w:szCs w:val="20"/>
              </w:rPr>
              <w:t xml:space="preserve"> (discounting rate of 0% and 3.5% applied in sensitivity analyses). </w:t>
            </w:r>
          </w:p>
        </w:tc>
      </w:tr>
      <w:tr w:rsidR="001A3CE6" w:rsidRPr="00496C73" w14:paraId="7E7A92ED" w14:textId="77777777" w:rsidTr="00B97856">
        <w:tc>
          <w:tcPr>
            <w:tcW w:w="941" w:type="pct"/>
          </w:tcPr>
          <w:p w14:paraId="7BA53223" w14:textId="77777777" w:rsidR="001A3CE6" w:rsidRPr="00496C73" w:rsidRDefault="001A3CE6" w:rsidP="002207EE">
            <w:pPr>
              <w:pStyle w:val="TableText"/>
              <w:keepNext/>
              <w:rPr>
                <w:rFonts w:cs="Courier New"/>
                <w:szCs w:val="20"/>
              </w:rPr>
            </w:pPr>
            <w:r w:rsidRPr="00496C73">
              <w:rPr>
                <w:rFonts w:cs="Courier New"/>
                <w:szCs w:val="20"/>
              </w:rPr>
              <w:t>Software</w:t>
            </w:r>
          </w:p>
        </w:tc>
        <w:tc>
          <w:tcPr>
            <w:tcW w:w="4059" w:type="pct"/>
          </w:tcPr>
          <w:p w14:paraId="0B8167DF" w14:textId="77777777" w:rsidR="001A3CE6" w:rsidRPr="00496C73" w:rsidRDefault="001A3CE6" w:rsidP="002207EE">
            <w:pPr>
              <w:pStyle w:val="TableText"/>
              <w:keepNext/>
              <w:rPr>
                <w:rFonts w:cs="Courier New"/>
                <w:szCs w:val="20"/>
              </w:rPr>
            </w:pPr>
            <w:r w:rsidRPr="00496C73">
              <w:rPr>
                <w:rFonts w:cs="Courier New"/>
                <w:szCs w:val="20"/>
              </w:rPr>
              <w:t>Excel</w:t>
            </w:r>
          </w:p>
        </w:tc>
      </w:tr>
    </w:tbl>
    <w:p w14:paraId="7FB7CE5A" w14:textId="45F319B3" w:rsidR="00A47C89" w:rsidRDefault="00357FEF" w:rsidP="001117CE">
      <w:pPr>
        <w:pStyle w:val="TableFigureFooter"/>
      </w:pPr>
      <w:r>
        <w:t>ABS = Australian Bureau of Statistics; CCA = cost-consequence analysis; CEA = cost-effectiveness analysis; CUA = cost-utility analysis; ERT = enzyme replacement therapy; HR = hazard ratio; LSDP = Life Saving Drugs Program; MPS II = mucopolysaccharidosis Type II; NBS = newborn bloodspot screening; PICO = Population/Intervention/Comparator/Outcomes; TPR = true positive rate</w:t>
      </w:r>
      <w:r w:rsidR="00027158">
        <w:t xml:space="preserve">. </w:t>
      </w:r>
    </w:p>
    <w:p w14:paraId="18F9D93F" w14:textId="3EC9823A" w:rsidR="0066776B" w:rsidRDefault="0066776B" w:rsidP="004F6ECA">
      <w:pPr>
        <w:spacing w:before="240"/>
      </w:pPr>
      <w:r>
        <w:lastRenderedPageBreak/>
        <w:t xml:space="preserve">A high-level summary of the inputs used in the economic evaluation is presented in </w:t>
      </w:r>
      <w:r>
        <w:fldChar w:fldCharType="begin"/>
      </w:r>
      <w:r>
        <w:instrText xml:space="preserve"> REF _Ref181617934 \h </w:instrText>
      </w:r>
      <w:r>
        <w:fldChar w:fldCharType="separate"/>
      </w:r>
      <w:r w:rsidR="007F08FA" w:rsidRPr="00496C73" w:rsidDel="009D183F">
        <w:t xml:space="preserve">Table </w:t>
      </w:r>
      <w:r w:rsidR="00797B68" w:rsidDel="009D183F">
        <w:rPr>
          <w:noProof/>
        </w:rPr>
        <w:t>9</w:t>
      </w:r>
      <w:r>
        <w:fldChar w:fldCharType="end"/>
      </w:r>
      <w:r>
        <w:t>.</w:t>
      </w:r>
    </w:p>
    <w:p w14:paraId="440FF7F0" w14:textId="799BDADE" w:rsidR="00862B83" w:rsidRPr="00496C73" w:rsidRDefault="00862B83" w:rsidP="00054419">
      <w:pPr>
        <w:pStyle w:val="TableHeading"/>
        <w:spacing w:after="120"/>
      </w:pPr>
      <w:bookmarkStart w:id="43" w:name="_Ref181617934"/>
      <w:r w:rsidRPr="00496C73">
        <w:t xml:space="preserve">Table </w:t>
      </w:r>
      <w:r w:rsidR="009D183F">
        <w:fldChar w:fldCharType="begin"/>
      </w:r>
      <w:r w:rsidR="009D183F">
        <w:instrText xml:space="preserve"> SEQ Table \* ARABIC </w:instrText>
      </w:r>
      <w:r w:rsidR="009D183F">
        <w:fldChar w:fldCharType="separate"/>
      </w:r>
      <w:r w:rsidR="009D183F">
        <w:rPr>
          <w:noProof/>
        </w:rPr>
        <w:t>9</w:t>
      </w:r>
      <w:r w:rsidR="009D183F">
        <w:rPr>
          <w:noProof/>
        </w:rPr>
        <w:fldChar w:fldCharType="end"/>
      </w:r>
      <w:bookmarkEnd w:id="43"/>
      <w:r w:rsidRPr="00496C73">
        <w:tab/>
        <w:t>Summary of the inputs used in the economic evaluation</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547"/>
        <w:gridCol w:w="1559"/>
        <w:gridCol w:w="4910"/>
      </w:tblGrid>
      <w:tr w:rsidR="00862B83" w:rsidRPr="00496C73" w14:paraId="32E3529D" w14:textId="77777777" w:rsidTr="00B97856">
        <w:trPr>
          <w:cnfStyle w:val="100000000000" w:firstRow="1" w:lastRow="0" w:firstColumn="0" w:lastColumn="0" w:oddVBand="0" w:evenVBand="0" w:oddHBand="0" w:evenHBand="0" w:firstRowFirstColumn="0" w:firstRowLastColumn="0" w:lastRowFirstColumn="0" w:lastRowLastColumn="0"/>
          <w:tblHeader/>
        </w:trPr>
        <w:tc>
          <w:tcPr>
            <w:tcW w:w="2547" w:type="dxa"/>
            <w:tcBorders>
              <w:bottom w:val="single" w:sz="4" w:space="0" w:color="auto"/>
            </w:tcBorders>
            <w:vAlign w:val="center"/>
          </w:tcPr>
          <w:p w14:paraId="33A798EA" w14:textId="77777777" w:rsidR="00862B83" w:rsidRPr="00496C73" w:rsidRDefault="00862B83" w:rsidP="00EE121D">
            <w:pPr>
              <w:pStyle w:val="TableHeading"/>
              <w:keepNext w:val="0"/>
              <w:jc w:val="center"/>
            </w:pPr>
            <w:r w:rsidRPr="00496C73">
              <w:t>Parameter</w:t>
            </w:r>
          </w:p>
        </w:tc>
        <w:tc>
          <w:tcPr>
            <w:tcW w:w="1559" w:type="dxa"/>
            <w:tcBorders>
              <w:bottom w:val="single" w:sz="4" w:space="0" w:color="auto"/>
            </w:tcBorders>
            <w:vAlign w:val="center"/>
          </w:tcPr>
          <w:p w14:paraId="3FA223F9" w14:textId="77777777" w:rsidR="00862B83" w:rsidRPr="00496C73" w:rsidRDefault="00862B83" w:rsidP="00EE121D">
            <w:pPr>
              <w:pStyle w:val="TableHeading"/>
              <w:keepNext w:val="0"/>
              <w:jc w:val="center"/>
            </w:pPr>
            <w:r w:rsidRPr="00496C73">
              <w:t>Value</w:t>
            </w:r>
          </w:p>
        </w:tc>
        <w:tc>
          <w:tcPr>
            <w:tcW w:w="4910" w:type="dxa"/>
            <w:tcBorders>
              <w:bottom w:val="single" w:sz="4" w:space="0" w:color="auto"/>
            </w:tcBorders>
            <w:vAlign w:val="center"/>
          </w:tcPr>
          <w:p w14:paraId="4A4ACE90" w14:textId="77777777" w:rsidR="00862B83" w:rsidRPr="00496C73" w:rsidRDefault="00862B83" w:rsidP="00EE121D">
            <w:pPr>
              <w:pStyle w:val="TableHeading"/>
              <w:keepNext w:val="0"/>
              <w:jc w:val="center"/>
            </w:pPr>
            <w:r w:rsidRPr="00496C73">
              <w:t>Source</w:t>
            </w:r>
          </w:p>
        </w:tc>
      </w:tr>
      <w:tr w:rsidR="00862B83" w:rsidRPr="00496C73" w14:paraId="52C4AF64" w14:textId="77777777" w:rsidTr="00B97856">
        <w:tc>
          <w:tcPr>
            <w:tcW w:w="9016" w:type="dxa"/>
            <w:gridSpan w:val="3"/>
          </w:tcPr>
          <w:p w14:paraId="55E524E1" w14:textId="77777777" w:rsidR="00862B83" w:rsidRPr="00496C73" w:rsidRDefault="00862B83" w:rsidP="00EE121D">
            <w:pPr>
              <w:pStyle w:val="TableText"/>
            </w:pPr>
            <w:r>
              <w:rPr>
                <w:b/>
              </w:rPr>
              <w:t>Population and health-related variables</w:t>
            </w:r>
          </w:p>
        </w:tc>
      </w:tr>
      <w:tr w:rsidR="00862B83" w:rsidRPr="00496C73" w14:paraId="124C3DDE" w14:textId="77777777" w:rsidTr="00B97856">
        <w:tc>
          <w:tcPr>
            <w:tcW w:w="2547" w:type="dxa"/>
            <w:tcBorders>
              <w:bottom w:val="single" w:sz="4" w:space="0" w:color="auto"/>
            </w:tcBorders>
            <w:vAlign w:val="center"/>
          </w:tcPr>
          <w:p w14:paraId="5E897F7F" w14:textId="39CE7B42" w:rsidR="00862B83" w:rsidRPr="00496C73" w:rsidRDefault="00862B83" w:rsidP="00EE121D">
            <w:pPr>
              <w:pStyle w:val="TableText"/>
            </w:pPr>
            <w:r w:rsidRPr="00496C73">
              <w:t xml:space="preserve">Estimated prevalence of MPS II </w:t>
            </w:r>
            <w:r>
              <w:t xml:space="preserve">in </w:t>
            </w:r>
            <w:r w:rsidRPr="00496C73">
              <w:t>Australian newborns</w:t>
            </w:r>
          </w:p>
        </w:tc>
        <w:tc>
          <w:tcPr>
            <w:tcW w:w="1559" w:type="dxa"/>
            <w:tcBorders>
              <w:bottom w:val="single" w:sz="4" w:space="0" w:color="auto"/>
            </w:tcBorders>
            <w:vAlign w:val="center"/>
          </w:tcPr>
          <w:p w14:paraId="5BED01C1" w14:textId="77777777" w:rsidR="00862B83" w:rsidRPr="00496C73" w:rsidRDefault="00862B83" w:rsidP="00EE121D">
            <w:pPr>
              <w:pStyle w:val="TableText"/>
              <w:jc w:val="center"/>
            </w:pPr>
            <w:r>
              <w:t>1.42</w:t>
            </w:r>
            <w:r w:rsidRPr="00496C73">
              <w:t xml:space="preserve"> per 100,000 newborns</w:t>
            </w:r>
          </w:p>
        </w:tc>
        <w:tc>
          <w:tcPr>
            <w:tcW w:w="4910" w:type="dxa"/>
            <w:tcBorders>
              <w:bottom w:val="single" w:sz="4" w:space="0" w:color="auto"/>
            </w:tcBorders>
            <w:vAlign w:val="center"/>
          </w:tcPr>
          <w:p w14:paraId="2E69220E" w14:textId="7036141B" w:rsidR="00862B83" w:rsidRPr="00496C73" w:rsidRDefault="473810B2" w:rsidP="00EE121D">
            <w:pPr>
              <w:pStyle w:val="TableText"/>
            </w:pPr>
            <w:r w:rsidRPr="7C4E3BA4">
              <w:t xml:space="preserve">Median true positive rate of NBS for MPS II in </w:t>
            </w:r>
            <w:r w:rsidR="464FA2FE" w:rsidRPr="7C4E3BA4">
              <w:t xml:space="preserve">4 </w:t>
            </w:r>
            <w:r w:rsidRPr="7C4E3BA4">
              <w:t xml:space="preserve">jurisdictions </w:t>
            </w:r>
            <w:r w:rsidR="628E701F" w:rsidRPr="7C4E3BA4">
              <w:t xml:space="preserve">(2 US states, Taiwan, Japan) </w:t>
            </w:r>
            <w:r w:rsidRPr="7C4E3BA4">
              <w:t>wh</w:t>
            </w:r>
            <w:r w:rsidR="628E701F" w:rsidRPr="7C4E3BA4">
              <w:t>ich</w:t>
            </w:r>
            <w:r w:rsidRPr="7C4E3BA4">
              <w:t xml:space="preserve"> conduct NBS for MPS II</w:t>
            </w:r>
            <w:r w:rsidR="5CDCE825" w:rsidRPr="7C4E3BA4">
              <w:t xml:space="preserve"> </w:t>
            </w:r>
            <w:r w:rsidR="013B5DB6" w:rsidRPr="7C4E3BA4">
              <w:t>(</w:t>
            </w:r>
            <w:r w:rsidR="00862B83">
              <w:fldChar w:fldCharType="begin"/>
            </w:r>
            <w:r w:rsidR="00862B83">
              <w:instrText xml:space="preserve"> REF _Ref177656274 \h </w:instrText>
            </w:r>
            <w:r w:rsidR="00862B83">
              <w:fldChar w:fldCharType="separate"/>
            </w:r>
            <w:r w:rsidR="007F08FA" w:rsidRPr="00496C73" w:rsidDel="009D183F">
              <w:t xml:space="preserve">Table </w:t>
            </w:r>
            <w:r w:rsidR="00797B68" w:rsidDel="009D183F">
              <w:rPr>
                <w:noProof/>
              </w:rPr>
              <w:t>4</w:t>
            </w:r>
            <w:r w:rsidR="00862B83">
              <w:fldChar w:fldCharType="end"/>
            </w:r>
            <w:r w:rsidR="013B5DB6" w:rsidRPr="7C4E3BA4">
              <w:t>).</w:t>
            </w:r>
            <w:r w:rsidRPr="7C4E3BA4">
              <w:t xml:space="preserve"> </w:t>
            </w:r>
          </w:p>
        </w:tc>
      </w:tr>
      <w:tr w:rsidR="00862B83" w:rsidRPr="00496C73" w14:paraId="5B695E17" w14:textId="77777777" w:rsidTr="00B97856">
        <w:tc>
          <w:tcPr>
            <w:tcW w:w="2547" w:type="dxa"/>
            <w:tcBorders>
              <w:bottom w:val="single" w:sz="4" w:space="0" w:color="auto"/>
            </w:tcBorders>
            <w:vAlign w:val="center"/>
          </w:tcPr>
          <w:p w14:paraId="11EE2BC4" w14:textId="77777777" w:rsidR="00862B83" w:rsidRPr="00496C73" w:rsidRDefault="00862B83" w:rsidP="00EE121D">
            <w:pPr>
              <w:pStyle w:val="TableText"/>
            </w:pPr>
            <w:r>
              <w:t>Clinical identification rate of MPS II in Australia</w:t>
            </w:r>
          </w:p>
        </w:tc>
        <w:tc>
          <w:tcPr>
            <w:tcW w:w="1559" w:type="dxa"/>
            <w:tcBorders>
              <w:bottom w:val="single" w:sz="4" w:space="0" w:color="auto"/>
            </w:tcBorders>
            <w:vAlign w:val="center"/>
          </w:tcPr>
          <w:p w14:paraId="7911C7EE" w14:textId="77777777" w:rsidR="00862B83" w:rsidRPr="00496C73" w:rsidRDefault="00862B83" w:rsidP="00EE121D">
            <w:pPr>
              <w:pStyle w:val="TableText"/>
              <w:jc w:val="center"/>
            </w:pPr>
            <w:r>
              <w:t>0.62 per 100,000 newborns</w:t>
            </w:r>
          </w:p>
        </w:tc>
        <w:tc>
          <w:tcPr>
            <w:tcW w:w="4910" w:type="dxa"/>
            <w:tcBorders>
              <w:bottom w:val="single" w:sz="4" w:space="0" w:color="auto"/>
            </w:tcBorders>
            <w:vAlign w:val="center"/>
          </w:tcPr>
          <w:p w14:paraId="3A2FEB79" w14:textId="3E0C1149" w:rsidR="00862B83" w:rsidRPr="00496C73" w:rsidRDefault="473810B2" w:rsidP="00EE121D">
            <w:pPr>
              <w:pStyle w:val="TableText"/>
            </w:pPr>
            <w:r w:rsidRPr="7C4E3BA4">
              <w:t xml:space="preserve">Prevalence rate among Australian live births </w:t>
            </w:r>
            <w:r w:rsidR="00862B83">
              <w:fldChar w:fldCharType="begin"/>
            </w:r>
            <w:r w:rsidR="00862B83">
              <w:instrText xml:space="preserve"> ADDIN EN.CITE &lt;EndNote&gt;&lt;Cite&gt;&lt;Author&gt;Chin&lt;/Author&gt;&lt;Year&gt;2022&lt;/Year&gt;&lt;RecNum&gt;204&lt;/RecNum&gt;&lt;DisplayText&gt;(Chin &amp;amp; Fuller 2022)&lt;/DisplayText&gt;&lt;record&gt;&lt;rec-number&gt;204&lt;/rec-number&gt;&lt;foreign-keys&gt;&lt;key app="EN" db-id="d52ep2vz4f0zwne9vdmx9zzirsxx5pf5pr2f" timestamp="1726650542"&gt;204&lt;/key&gt;&lt;/foreign-keys&gt;&lt;ref-type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sidR="00862B83">
              <w:fldChar w:fldCharType="separate"/>
            </w:r>
            <w:r w:rsidR="52B1C4D9" w:rsidRPr="7C4E3BA4">
              <w:rPr>
                <w:noProof/>
              </w:rPr>
              <w:t>(Chin &amp; Fuller 2022)</w:t>
            </w:r>
            <w:r w:rsidR="00862B83">
              <w:fldChar w:fldCharType="end"/>
            </w:r>
            <w:r w:rsidRPr="7C4E3BA4">
              <w:t xml:space="preserve"> where cases were identified clinically.</w:t>
            </w:r>
          </w:p>
        </w:tc>
      </w:tr>
      <w:tr w:rsidR="00862B83" w:rsidRPr="00496C73" w14:paraId="2807675A" w14:textId="77777777" w:rsidTr="00B97856">
        <w:tc>
          <w:tcPr>
            <w:tcW w:w="2547" w:type="dxa"/>
            <w:tcBorders>
              <w:bottom w:val="single" w:sz="4" w:space="0" w:color="auto"/>
            </w:tcBorders>
            <w:vAlign w:val="center"/>
          </w:tcPr>
          <w:p w14:paraId="744B9017" w14:textId="77777777" w:rsidR="00862B83" w:rsidRPr="00496C73" w:rsidRDefault="00862B83" w:rsidP="00EE121D">
            <w:pPr>
              <w:pStyle w:val="TableText"/>
            </w:pPr>
            <w:r>
              <w:t>Proportion of severe MPS II cases</w:t>
            </w:r>
          </w:p>
        </w:tc>
        <w:tc>
          <w:tcPr>
            <w:tcW w:w="1559" w:type="dxa"/>
            <w:tcBorders>
              <w:bottom w:val="single" w:sz="4" w:space="0" w:color="auto"/>
            </w:tcBorders>
            <w:vAlign w:val="center"/>
          </w:tcPr>
          <w:p w14:paraId="11E3A63D" w14:textId="77777777" w:rsidR="00862B83" w:rsidRPr="00496C73" w:rsidRDefault="00862B83" w:rsidP="00EE121D">
            <w:pPr>
              <w:pStyle w:val="TableText"/>
              <w:jc w:val="center"/>
            </w:pPr>
            <w:r>
              <w:t>33%</w:t>
            </w:r>
          </w:p>
        </w:tc>
        <w:tc>
          <w:tcPr>
            <w:tcW w:w="4910" w:type="dxa"/>
            <w:tcBorders>
              <w:bottom w:val="single" w:sz="4" w:space="0" w:color="auto"/>
            </w:tcBorders>
            <w:vAlign w:val="center"/>
          </w:tcPr>
          <w:p w14:paraId="656D2A94" w14:textId="70F9DF72" w:rsidR="00862B83" w:rsidRPr="00496C73" w:rsidRDefault="473810B2" w:rsidP="00EE121D">
            <w:pPr>
              <w:pStyle w:val="TableText"/>
            </w:pPr>
            <w:r w:rsidRPr="7C4E3BA4">
              <w:t>(75% of cases identified through clinical identification)</w:t>
            </w:r>
            <w:r w:rsidRPr="7C4E3BA4">
              <w:rPr>
                <w:vertAlign w:val="superscript"/>
              </w:rPr>
              <w:t>a</w:t>
            </w:r>
            <w:r w:rsidRPr="7C4E3BA4">
              <w:t xml:space="preserve"> / true MPS II prevalence.</w:t>
            </w:r>
          </w:p>
        </w:tc>
      </w:tr>
      <w:tr w:rsidR="00862B83" w:rsidRPr="00496C73" w14:paraId="0D32C0BC" w14:textId="77777777" w:rsidTr="00B97856">
        <w:tc>
          <w:tcPr>
            <w:tcW w:w="2547" w:type="dxa"/>
            <w:tcBorders>
              <w:bottom w:val="single" w:sz="4" w:space="0" w:color="auto"/>
            </w:tcBorders>
            <w:vAlign w:val="center"/>
          </w:tcPr>
          <w:p w14:paraId="3F14BDA3" w14:textId="77777777" w:rsidR="00862B83" w:rsidRPr="00496C73" w:rsidRDefault="00862B83" w:rsidP="00EE121D">
            <w:pPr>
              <w:pStyle w:val="TableText"/>
            </w:pPr>
            <w:r>
              <w:t>Proportion of attenuated MPS II cases</w:t>
            </w:r>
          </w:p>
        </w:tc>
        <w:tc>
          <w:tcPr>
            <w:tcW w:w="1559" w:type="dxa"/>
            <w:tcBorders>
              <w:bottom w:val="single" w:sz="4" w:space="0" w:color="auto"/>
            </w:tcBorders>
            <w:vAlign w:val="center"/>
          </w:tcPr>
          <w:p w14:paraId="19BBFD2B" w14:textId="77777777" w:rsidR="00862B83" w:rsidRPr="00496C73" w:rsidRDefault="00862B83" w:rsidP="00EE121D">
            <w:pPr>
              <w:pStyle w:val="TableText"/>
              <w:jc w:val="center"/>
            </w:pPr>
            <w:r>
              <w:t>11%</w:t>
            </w:r>
          </w:p>
        </w:tc>
        <w:tc>
          <w:tcPr>
            <w:tcW w:w="4910" w:type="dxa"/>
            <w:tcBorders>
              <w:bottom w:val="single" w:sz="4" w:space="0" w:color="auto"/>
            </w:tcBorders>
            <w:vAlign w:val="center"/>
          </w:tcPr>
          <w:p w14:paraId="5BEC2420" w14:textId="0EE92781" w:rsidR="00862B83" w:rsidRPr="00496C73" w:rsidRDefault="473810B2" w:rsidP="00EE121D">
            <w:pPr>
              <w:pStyle w:val="TableText"/>
            </w:pPr>
            <w:r w:rsidRPr="7C4E3BA4">
              <w:t>(25% of cases identified through clinical identification)</w:t>
            </w:r>
            <w:r w:rsidRPr="7C4E3BA4">
              <w:rPr>
                <w:vertAlign w:val="superscript"/>
              </w:rPr>
              <w:t>a</w:t>
            </w:r>
            <w:r w:rsidRPr="7C4E3BA4">
              <w:t xml:space="preserve"> / true MPS II prevalence.</w:t>
            </w:r>
          </w:p>
        </w:tc>
      </w:tr>
      <w:tr w:rsidR="00862B83" w:rsidRPr="00496C73" w14:paraId="64B3F462" w14:textId="77777777" w:rsidTr="00B97856">
        <w:tc>
          <w:tcPr>
            <w:tcW w:w="2547" w:type="dxa"/>
            <w:tcBorders>
              <w:bottom w:val="single" w:sz="4" w:space="0" w:color="auto"/>
            </w:tcBorders>
            <w:vAlign w:val="center"/>
          </w:tcPr>
          <w:p w14:paraId="6F18AF5B" w14:textId="77777777" w:rsidR="00862B83" w:rsidRPr="00496C73" w:rsidRDefault="00862B83" w:rsidP="00EE121D">
            <w:pPr>
              <w:pStyle w:val="TableText"/>
            </w:pPr>
            <w:r>
              <w:t>Proportion of very attenuated MPS II cases</w:t>
            </w:r>
          </w:p>
        </w:tc>
        <w:tc>
          <w:tcPr>
            <w:tcW w:w="1559" w:type="dxa"/>
            <w:tcBorders>
              <w:bottom w:val="single" w:sz="4" w:space="0" w:color="auto"/>
            </w:tcBorders>
            <w:vAlign w:val="center"/>
          </w:tcPr>
          <w:p w14:paraId="210C25B4" w14:textId="77777777" w:rsidR="00862B83" w:rsidRPr="00496C73" w:rsidRDefault="00862B83" w:rsidP="00EE121D">
            <w:pPr>
              <w:pStyle w:val="TableText"/>
              <w:jc w:val="center"/>
            </w:pPr>
            <w:r>
              <w:t>56%</w:t>
            </w:r>
          </w:p>
        </w:tc>
        <w:tc>
          <w:tcPr>
            <w:tcW w:w="4910" w:type="dxa"/>
            <w:tcBorders>
              <w:bottom w:val="single" w:sz="4" w:space="0" w:color="auto"/>
            </w:tcBorders>
            <w:vAlign w:val="center"/>
          </w:tcPr>
          <w:p w14:paraId="6A0F36BE" w14:textId="41B73B7F" w:rsidR="00862B83" w:rsidRPr="00496C73" w:rsidRDefault="473810B2" w:rsidP="00EE121D">
            <w:pPr>
              <w:pStyle w:val="TableText"/>
            </w:pPr>
            <w:r w:rsidRPr="7C4E3BA4">
              <w:t>(True MPS II prevalence minus cases identified through clinical identification) / true MPS II prevalence.</w:t>
            </w:r>
          </w:p>
        </w:tc>
      </w:tr>
      <w:tr w:rsidR="00862B83" w:rsidRPr="00496C73" w14:paraId="5AD08634" w14:textId="77777777" w:rsidTr="00B97856">
        <w:tc>
          <w:tcPr>
            <w:tcW w:w="2547" w:type="dxa"/>
            <w:tcBorders>
              <w:bottom w:val="single" w:sz="4" w:space="0" w:color="auto"/>
            </w:tcBorders>
            <w:vAlign w:val="center"/>
          </w:tcPr>
          <w:p w14:paraId="66B339E0" w14:textId="77777777" w:rsidR="00862B83" w:rsidRPr="00496C73" w:rsidRDefault="00862B83" w:rsidP="00EE121D">
            <w:pPr>
              <w:pStyle w:val="TableText"/>
            </w:pPr>
            <w:r>
              <w:t>Test performance of LC-MS/MS IDS enzyme assay</w:t>
            </w:r>
          </w:p>
        </w:tc>
        <w:tc>
          <w:tcPr>
            <w:tcW w:w="1559" w:type="dxa"/>
            <w:tcBorders>
              <w:bottom w:val="single" w:sz="4" w:space="0" w:color="auto"/>
            </w:tcBorders>
            <w:vAlign w:val="center"/>
          </w:tcPr>
          <w:p w14:paraId="04C04442" w14:textId="77777777" w:rsidR="00862B83" w:rsidRDefault="00862B83" w:rsidP="00EE121D">
            <w:pPr>
              <w:pStyle w:val="TableText"/>
              <w:jc w:val="center"/>
            </w:pPr>
            <w:r>
              <w:t>Sensitivity: 100%</w:t>
            </w:r>
          </w:p>
          <w:p w14:paraId="5F075172" w14:textId="77777777" w:rsidR="00862B83" w:rsidRPr="00496C73" w:rsidRDefault="00862B83" w:rsidP="00EE121D">
            <w:pPr>
              <w:pStyle w:val="TableText"/>
              <w:jc w:val="center"/>
            </w:pPr>
            <w:r>
              <w:t>FPR: 0.028%</w:t>
            </w:r>
          </w:p>
        </w:tc>
        <w:tc>
          <w:tcPr>
            <w:tcW w:w="4910" w:type="dxa"/>
            <w:tcBorders>
              <w:bottom w:val="single" w:sz="4" w:space="0" w:color="auto"/>
            </w:tcBorders>
            <w:vAlign w:val="center"/>
          </w:tcPr>
          <w:p w14:paraId="36CC6878" w14:textId="160504DB" w:rsidR="00862B83" w:rsidRPr="00384417" w:rsidRDefault="00862B83" w:rsidP="00EE121D">
            <w:pPr>
              <w:pStyle w:val="TableText"/>
            </w:pPr>
            <w:r>
              <w:t xml:space="preserve">Median screen positive rate minus the median true positive rate for all NBS studies using </w:t>
            </w:r>
            <w:r w:rsidRPr="007E7FA5">
              <w:t xml:space="preserve">LC-MS/MS </w:t>
            </w:r>
            <w:r>
              <w:t xml:space="preserve">or fluorometric </w:t>
            </w:r>
            <w:r w:rsidRPr="007E7FA5">
              <w:t>IDS enzyme assay</w:t>
            </w:r>
            <w:r>
              <w:t xml:space="preserve"> as a first-tier test (</w:t>
            </w:r>
            <w:r w:rsidR="008A0D5D">
              <w:fldChar w:fldCharType="begin"/>
            </w:r>
            <w:r w:rsidR="008A0D5D">
              <w:instrText xml:space="preserve"> REF _Ref177656274 \h </w:instrText>
            </w:r>
            <w:r w:rsidR="008A0D5D">
              <w:fldChar w:fldCharType="separate"/>
            </w:r>
            <w:r w:rsidR="007F08FA" w:rsidRPr="00496C73" w:rsidDel="009D183F">
              <w:t xml:space="preserve">Table </w:t>
            </w:r>
            <w:r w:rsidR="00797B68" w:rsidDel="009D183F">
              <w:rPr>
                <w:noProof/>
              </w:rPr>
              <w:t>4</w:t>
            </w:r>
            <w:r w:rsidR="008A0D5D">
              <w:fldChar w:fldCharType="end"/>
            </w:r>
            <w:r w:rsidR="008A0D5D">
              <w:t>)</w:t>
            </w:r>
            <w:r>
              <w:rPr>
                <w:vertAlign w:val="superscript"/>
              </w:rPr>
              <w:t>b</w:t>
            </w:r>
            <w:r w:rsidR="00E22DA1">
              <w:t>.</w:t>
            </w:r>
          </w:p>
        </w:tc>
      </w:tr>
      <w:tr w:rsidR="00862B83" w:rsidRPr="00496C73" w14:paraId="28B833C5" w14:textId="77777777" w:rsidTr="00B97856">
        <w:tc>
          <w:tcPr>
            <w:tcW w:w="2547" w:type="dxa"/>
            <w:tcBorders>
              <w:bottom w:val="single" w:sz="4" w:space="0" w:color="auto"/>
            </w:tcBorders>
            <w:vAlign w:val="center"/>
          </w:tcPr>
          <w:p w14:paraId="0CB96517" w14:textId="77777777" w:rsidR="00862B83" w:rsidRPr="00496C73" w:rsidRDefault="00862B83" w:rsidP="00EE121D">
            <w:pPr>
              <w:pStyle w:val="TableText"/>
            </w:pPr>
            <w:r w:rsidRPr="00496C73">
              <w:t>Test performance</w:t>
            </w:r>
            <w:r>
              <w:t xml:space="preserve"> of NRE-GAG analysis </w:t>
            </w:r>
          </w:p>
        </w:tc>
        <w:tc>
          <w:tcPr>
            <w:tcW w:w="1559" w:type="dxa"/>
            <w:tcBorders>
              <w:bottom w:val="single" w:sz="4" w:space="0" w:color="auto"/>
            </w:tcBorders>
            <w:vAlign w:val="center"/>
          </w:tcPr>
          <w:p w14:paraId="3F67E1EC" w14:textId="77777777" w:rsidR="00862B83" w:rsidRPr="00496C73" w:rsidRDefault="00862B83" w:rsidP="00EE121D">
            <w:pPr>
              <w:pStyle w:val="TableText"/>
              <w:jc w:val="center"/>
            </w:pPr>
            <w:r w:rsidRPr="00496C73">
              <w:t>Sensitivity: 100%</w:t>
            </w:r>
          </w:p>
          <w:p w14:paraId="0F52E7EA" w14:textId="77777777" w:rsidR="00862B83" w:rsidRPr="00496C73" w:rsidRDefault="00862B83" w:rsidP="00EE121D">
            <w:pPr>
              <w:pStyle w:val="TableText"/>
              <w:jc w:val="center"/>
            </w:pPr>
            <w:r w:rsidRPr="00496C73">
              <w:t>FPR: 0%</w:t>
            </w:r>
          </w:p>
        </w:tc>
        <w:tc>
          <w:tcPr>
            <w:tcW w:w="4910" w:type="dxa"/>
            <w:tcBorders>
              <w:bottom w:val="single" w:sz="4" w:space="0" w:color="auto"/>
            </w:tcBorders>
            <w:vAlign w:val="center"/>
          </w:tcPr>
          <w:p w14:paraId="7A97B2ED" w14:textId="77777777" w:rsidR="00862B83" w:rsidRPr="00496C73" w:rsidRDefault="00862B83" w:rsidP="00EE121D">
            <w:pPr>
              <w:pStyle w:val="TableText"/>
            </w:pPr>
            <w:r w:rsidRPr="00496C73">
              <w:t>The NRE-GAG assay has a reported sensitivity and specificity of 100%</w:t>
            </w:r>
            <w:r w:rsidR="008A0D5D">
              <w:t>.</w:t>
            </w:r>
          </w:p>
        </w:tc>
      </w:tr>
      <w:tr w:rsidR="00862B83" w:rsidRPr="00496C73" w14:paraId="05508080" w14:textId="77777777" w:rsidTr="00B97856">
        <w:tc>
          <w:tcPr>
            <w:tcW w:w="2547" w:type="dxa"/>
            <w:tcBorders>
              <w:bottom w:val="single" w:sz="4" w:space="0" w:color="auto"/>
            </w:tcBorders>
            <w:vAlign w:val="center"/>
          </w:tcPr>
          <w:p w14:paraId="3DA6E834" w14:textId="63194DD0" w:rsidR="00862B83" w:rsidRPr="00496C73" w:rsidRDefault="006277C4" w:rsidP="00EE121D">
            <w:pPr>
              <w:pStyle w:val="TableText"/>
            </w:pPr>
            <w:r>
              <w:t xml:space="preserve">Family member </w:t>
            </w:r>
            <w:r w:rsidR="00862B83">
              <w:t>tests per proband</w:t>
            </w:r>
          </w:p>
        </w:tc>
        <w:tc>
          <w:tcPr>
            <w:tcW w:w="1559" w:type="dxa"/>
            <w:tcBorders>
              <w:bottom w:val="single" w:sz="4" w:space="0" w:color="auto"/>
            </w:tcBorders>
            <w:vAlign w:val="center"/>
          </w:tcPr>
          <w:p w14:paraId="4726F259" w14:textId="77777777" w:rsidR="00862B83" w:rsidRPr="00496C73" w:rsidRDefault="00862B83" w:rsidP="00EE121D">
            <w:pPr>
              <w:pStyle w:val="TableText"/>
              <w:jc w:val="center"/>
            </w:pPr>
            <w:r>
              <w:t>5.22 (includes FDRs and SDRs)</w:t>
            </w:r>
          </w:p>
        </w:tc>
        <w:tc>
          <w:tcPr>
            <w:tcW w:w="4910" w:type="dxa"/>
            <w:tcBorders>
              <w:bottom w:val="single" w:sz="4" w:space="0" w:color="auto"/>
            </w:tcBorders>
            <w:vAlign w:val="center"/>
          </w:tcPr>
          <w:p w14:paraId="3C2C29E8" w14:textId="77777777" w:rsidR="00862B83" w:rsidRPr="00496C73" w:rsidRDefault="00862B83" w:rsidP="00EE121D">
            <w:pPr>
              <w:pStyle w:val="TableText"/>
            </w:pPr>
            <w:r>
              <w:t xml:space="preserve">Australian fertility rates and the prevalence of </w:t>
            </w:r>
            <w:r w:rsidRPr="00384417">
              <w:rPr>
                <w:i/>
              </w:rPr>
              <w:t>de novo</w:t>
            </w:r>
            <w:r>
              <w:t xml:space="preserve"> </w:t>
            </w:r>
            <w:r>
              <w:rPr>
                <w:i/>
                <w:iCs/>
              </w:rPr>
              <w:t xml:space="preserve">IDS </w:t>
            </w:r>
            <w:r>
              <w:t>variants.</w:t>
            </w:r>
          </w:p>
        </w:tc>
      </w:tr>
      <w:tr w:rsidR="00862B83" w:rsidRPr="00496C73" w14:paraId="4F3921D5" w14:textId="77777777" w:rsidTr="00B97856">
        <w:tc>
          <w:tcPr>
            <w:tcW w:w="2547" w:type="dxa"/>
            <w:tcBorders>
              <w:right w:val="nil"/>
            </w:tcBorders>
          </w:tcPr>
          <w:p w14:paraId="7C5E7275" w14:textId="77777777" w:rsidR="00862B83" w:rsidRPr="00496C73" w:rsidRDefault="00862B83" w:rsidP="00EE121D">
            <w:pPr>
              <w:pStyle w:val="TableText"/>
              <w:rPr>
                <w:b/>
              </w:rPr>
            </w:pPr>
            <w:r w:rsidRPr="00496C73">
              <w:rPr>
                <w:b/>
              </w:rPr>
              <w:t>Costs</w:t>
            </w:r>
          </w:p>
        </w:tc>
        <w:tc>
          <w:tcPr>
            <w:tcW w:w="1559" w:type="dxa"/>
            <w:tcBorders>
              <w:left w:val="nil"/>
              <w:right w:val="nil"/>
            </w:tcBorders>
          </w:tcPr>
          <w:p w14:paraId="4E59E90A" w14:textId="77777777" w:rsidR="00862B83" w:rsidRPr="00496C73" w:rsidRDefault="00862B83" w:rsidP="00EE121D">
            <w:pPr>
              <w:pStyle w:val="TableText"/>
            </w:pPr>
          </w:p>
        </w:tc>
        <w:tc>
          <w:tcPr>
            <w:tcW w:w="4910" w:type="dxa"/>
            <w:tcBorders>
              <w:left w:val="nil"/>
            </w:tcBorders>
          </w:tcPr>
          <w:p w14:paraId="6A4E0C42" w14:textId="77777777" w:rsidR="00862B83" w:rsidRPr="00496C73" w:rsidRDefault="00862B83" w:rsidP="00EE121D">
            <w:pPr>
              <w:pStyle w:val="TableText"/>
            </w:pPr>
          </w:p>
        </w:tc>
      </w:tr>
      <w:tr w:rsidR="00862B83" w:rsidRPr="00496C73" w14:paraId="472F7DCF" w14:textId="77777777" w:rsidTr="00B97856">
        <w:tc>
          <w:tcPr>
            <w:tcW w:w="2547" w:type="dxa"/>
            <w:tcBorders>
              <w:bottom w:val="single" w:sz="4" w:space="0" w:color="auto"/>
            </w:tcBorders>
            <w:vAlign w:val="center"/>
          </w:tcPr>
          <w:p w14:paraId="5DD3CAC2" w14:textId="7532FE74" w:rsidR="00862B83" w:rsidRPr="00496C73" w:rsidRDefault="473810B2" w:rsidP="00EE121D">
            <w:pPr>
              <w:pStyle w:val="TableText"/>
            </w:pPr>
            <w:r w:rsidRPr="7C4E3BA4">
              <w:t>Cost of first-tier testing with NBS</w:t>
            </w:r>
          </w:p>
        </w:tc>
        <w:tc>
          <w:tcPr>
            <w:tcW w:w="1559" w:type="dxa"/>
            <w:tcBorders>
              <w:bottom w:val="single" w:sz="4" w:space="0" w:color="auto"/>
            </w:tcBorders>
            <w:vAlign w:val="center"/>
          </w:tcPr>
          <w:p w14:paraId="21166146" w14:textId="2980B7FD" w:rsidR="00862B83" w:rsidRPr="00496C73" w:rsidRDefault="00862B83" w:rsidP="00EE121D">
            <w:pPr>
              <w:pStyle w:val="TableText"/>
              <w:jc w:val="center"/>
            </w:pPr>
            <w:r w:rsidRPr="00951E0D">
              <w:t>$</w:t>
            </w:r>
            <w:r w:rsidR="008D1385" w:rsidRPr="008D12FB">
              <w:rPr>
                <w:rFonts w:cs="Courier New"/>
                <w:b/>
              </w:rPr>
              <w:t>Redacted</w:t>
            </w:r>
            <w:r w:rsidR="008D1385" w:rsidRPr="008D12FB">
              <w:rPr>
                <w:rFonts w:cs="Courier New"/>
              </w:rPr>
              <w:t xml:space="preserve"> </w:t>
            </w:r>
            <w:r w:rsidRPr="00496C73">
              <w:t>per screen</w:t>
            </w:r>
          </w:p>
        </w:tc>
        <w:tc>
          <w:tcPr>
            <w:tcW w:w="4910" w:type="dxa"/>
            <w:tcBorders>
              <w:bottom w:val="single" w:sz="4" w:space="0" w:color="auto"/>
            </w:tcBorders>
            <w:vAlign w:val="center"/>
          </w:tcPr>
          <w:p w14:paraId="729E8A60" w14:textId="13B8B612" w:rsidR="00862B83" w:rsidRPr="00496C73" w:rsidRDefault="473810B2" w:rsidP="00EE121D">
            <w:pPr>
              <w:pStyle w:val="TableText"/>
            </w:pPr>
            <w:r w:rsidRPr="7C4E3BA4">
              <w:t xml:space="preserve">Based on the cost of testing by LC-MS/MS IDS enzyme assay using </w:t>
            </w:r>
            <w:r w:rsidR="008D1385" w:rsidRPr="008D12FB">
              <w:rPr>
                <w:rFonts w:cs="Courier New"/>
                <w:b/>
              </w:rPr>
              <w:t>Redacted</w:t>
            </w:r>
            <w:r w:rsidR="007C3F48">
              <w:rPr>
                <w:rFonts w:cs="Courier New"/>
                <w:b/>
              </w:rPr>
              <w:t xml:space="preserve"> </w:t>
            </w:r>
            <w:r w:rsidR="007C3F48" w:rsidRPr="2999AA76">
              <w:rPr>
                <w:rFonts w:cs="Courier New"/>
              </w:rPr>
              <w:t>kit</w:t>
            </w:r>
            <w:r w:rsidRPr="7C4E3BA4">
              <w:t>; estimated using consultation feedback provided by the NBS laboratory experts during the evaluation process.</w:t>
            </w:r>
          </w:p>
        </w:tc>
      </w:tr>
      <w:tr w:rsidR="00862B83" w:rsidRPr="00496C73" w14:paraId="6CD205A3" w14:textId="77777777" w:rsidTr="00B97856">
        <w:tc>
          <w:tcPr>
            <w:tcW w:w="2547" w:type="dxa"/>
            <w:tcBorders>
              <w:bottom w:val="single" w:sz="4" w:space="0" w:color="auto"/>
            </w:tcBorders>
            <w:vAlign w:val="center"/>
          </w:tcPr>
          <w:p w14:paraId="03FA4EA3" w14:textId="40D6125D" w:rsidR="00862B83" w:rsidRPr="00496C73" w:rsidRDefault="473810B2" w:rsidP="00EE121D">
            <w:pPr>
              <w:pStyle w:val="TableText"/>
            </w:pPr>
            <w:r w:rsidRPr="7C4E3BA4">
              <w:t>Cost of second-tier testing with NBS</w:t>
            </w:r>
          </w:p>
        </w:tc>
        <w:tc>
          <w:tcPr>
            <w:tcW w:w="1559" w:type="dxa"/>
            <w:tcBorders>
              <w:bottom w:val="single" w:sz="4" w:space="0" w:color="auto"/>
            </w:tcBorders>
            <w:vAlign w:val="center"/>
          </w:tcPr>
          <w:p w14:paraId="34A76DED" w14:textId="77777777" w:rsidR="00862B83" w:rsidRPr="00496C73" w:rsidRDefault="00862B83" w:rsidP="00EE121D">
            <w:pPr>
              <w:pStyle w:val="TableText"/>
              <w:jc w:val="center"/>
            </w:pPr>
            <w:r w:rsidRPr="00496C73">
              <w:t>$167</w:t>
            </w:r>
            <w:r>
              <w:t>.00</w:t>
            </w:r>
          </w:p>
        </w:tc>
        <w:tc>
          <w:tcPr>
            <w:tcW w:w="4910" w:type="dxa"/>
            <w:tcBorders>
              <w:bottom w:val="single" w:sz="4" w:space="0" w:color="auto"/>
            </w:tcBorders>
            <w:vAlign w:val="center"/>
          </w:tcPr>
          <w:p w14:paraId="1630E51B" w14:textId="77777777" w:rsidR="00862B83" w:rsidRPr="00496C73" w:rsidRDefault="00862B83" w:rsidP="00EE121D">
            <w:pPr>
              <w:pStyle w:val="TableText"/>
            </w:pPr>
            <w:r w:rsidRPr="00496C73">
              <w:t>Price listed on SA Pathology ‘Pathology Collection Guide’ for NRE-GAG fragmentation analysis.</w:t>
            </w:r>
          </w:p>
        </w:tc>
      </w:tr>
      <w:tr w:rsidR="00862B83" w:rsidRPr="00496C73" w14:paraId="445D075A" w14:textId="77777777" w:rsidTr="00B97856">
        <w:tc>
          <w:tcPr>
            <w:tcW w:w="2547" w:type="dxa"/>
            <w:tcBorders>
              <w:bottom w:val="single" w:sz="4" w:space="0" w:color="auto"/>
            </w:tcBorders>
            <w:vAlign w:val="center"/>
          </w:tcPr>
          <w:p w14:paraId="502F2D55" w14:textId="3B577453" w:rsidR="00862B83" w:rsidRPr="00496C73" w:rsidRDefault="00862B83" w:rsidP="00EE121D">
            <w:pPr>
              <w:pStyle w:val="TableText"/>
            </w:pPr>
            <w:r>
              <w:t xml:space="preserve">Cost for clinical diagnosis of MPS II (including the diagnostic </w:t>
            </w:r>
            <w:r w:rsidR="007225DF">
              <w:t xml:space="preserve">delay </w:t>
            </w:r>
            <w:r>
              <w:t>costs)</w:t>
            </w:r>
          </w:p>
        </w:tc>
        <w:tc>
          <w:tcPr>
            <w:tcW w:w="1559" w:type="dxa"/>
            <w:tcBorders>
              <w:bottom w:val="single" w:sz="4" w:space="0" w:color="auto"/>
            </w:tcBorders>
            <w:vAlign w:val="center"/>
          </w:tcPr>
          <w:p w14:paraId="3CEAFE1B" w14:textId="77777777" w:rsidR="00862B83" w:rsidRPr="00496C73" w:rsidRDefault="00862B83" w:rsidP="00EE121D">
            <w:pPr>
              <w:pStyle w:val="TableText"/>
              <w:jc w:val="center"/>
            </w:pPr>
            <w:r w:rsidRPr="00496C73">
              <w:t>$</w:t>
            </w:r>
            <w:r>
              <w:t>3,</w:t>
            </w:r>
            <w:r w:rsidR="004E49E7">
              <w:t>282.</w:t>
            </w:r>
            <w:r w:rsidR="007F639B">
              <w:t>38</w:t>
            </w:r>
          </w:p>
        </w:tc>
        <w:tc>
          <w:tcPr>
            <w:tcW w:w="4910" w:type="dxa"/>
            <w:tcBorders>
              <w:bottom w:val="single" w:sz="4" w:space="0" w:color="auto"/>
            </w:tcBorders>
            <w:vAlign w:val="center"/>
          </w:tcPr>
          <w:p w14:paraId="1E231EB0" w14:textId="65AE0118" w:rsidR="00862B83" w:rsidRPr="00496C73" w:rsidRDefault="473810B2" w:rsidP="00EE121D">
            <w:pPr>
              <w:pStyle w:val="TableText"/>
            </w:pPr>
            <w:r w:rsidRPr="7C4E3BA4">
              <w:t xml:space="preserve">Specialist consults required for MPS II diagnosis (2.95 consults at $541 per consult), </w:t>
            </w:r>
            <w:r w:rsidR="50C467A2" w:rsidRPr="7C4E3BA4">
              <w:t>whole body MRI with sedation (</w:t>
            </w:r>
            <w:r w:rsidR="5D573920" w:rsidRPr="7C4E3BA4">
              <w:t>$1</w:t>
            </w:r>
            <w:r w:rsidR="4A3EB804" w:rsidRPr="7C4E3BA4">
              <w:t>,</w:t>
            </w:r>
            <w:r w:rsidR="5D573920" w:rsidRPr="7C4E3BA4">
              <w:t>688</w:t>
            </w:r>
            <w:r w:rsidR="4A3EB804" w:rsidRPr="7C4E3BA4">
              <w:t>)</w:t>
            </w:r>
            <w:r w:rsidRPr="7C4E3BA4">
              <w:t xml:space="preserve"> and GAG analysis ($167). </w:t>
            </w:r>
          </w:p>
        </w:tc>
      </w:tr>
      <w:tr w:rsidR="00862B83" w:rsidRPr="00496C73" w14:paraId="7BB20F04" w14:textId="77777777" w:rsidTr="00B97856">
        <w:tc>
          <w:tcPr>
            <w:tcW w:w="2547" w:type="dxa"/>
            <w:tcBorders>
              <w:bottom w:val="single" w:sz="4" w:space="0" w:color="auto"/>
            </w:tcBorders>
            <w:vAlign w:val="center"/>
          </w:tcPr>
          <w:p w14:paraId="3FEFD120" w14:textId="77777777" w:rsidR="00862B83" w:rsidRDefault="00862B83" w:rsidP="00EE121D">
            <w:pPr>
              <w:pStyle w:val="TableText"/>
            </w:pPr>
            <w:r>
              <w:t>Confirmatory MPS II diagnostic cost</w:t>
            </w:r>
          </w:p>
        </w:tc>
        <w:tc>
          <w:tcPr>
            <w:tcW w:w="1559" w:type="dxa"/>
            <w:tcBorders>
              <w:bottom w:val="single" w:sz="4" w:space="0" w:color="auto"/>
            </w:tcBorders>
            <w:vAlign w:val="center"/>
          </w:tcPr>
          <w:p w14:paraId="6E3692C3" w14:textId="77777777" w:rsidR="00862B83" w:rsidRPr="00496C73" w:rsidRDefault="00862B83" w:rsidP="00EE121D">
            <w:pPr>
              <w:pStyle w:val="TableText"/>
              <w:jc w:val="center"/>
            </w:pPr>
            <w:r>
              <w:t>$766.00</w:t>
            </w:r>
          </w:p>
        </w:tc>
        <w:tc>
          <w:tcPr>
            <w:tcW w:w="4910" w:type="dxa"/>
            <w:tcBorders>
              <w:bottom w:val="single" w:sz="4" w:space="0" w:color="auto"/>
            </w:tcBorders>
            <w:vAlign w:val="center"/>
          </w:tcPr>
          <w:p w14:paraId="3EA93063" w14:textId="77777777" w:rsidR="00862B83" w:rsidRDefault="00862B83" w:rsidP="00EE121D">
            <w:pPr>
              <w:pStyle w:val="TableText"/>
            </w:pPr>
            <w:r>
              <w:t xml:space="preserve">Price listed on the SA Pathology ‘Pathology Collection Guide’ for </w:t>
            </w:r>
            <w:r w:rsidRPr="00496C73">
              <w:t>confirmatory mucopolysaccharidosis enzymes test</w:t>
            </w:r>
            <w:r>
              <w:t xml:space="preserve"> ($388) and full gene variant analysis for MPS II ($378). </w:t>
            </w:r>
          </w:p>
        </w:tc>
      </w:tr>
      <w:tr w:rsidR="00862B83" w:rsidRPr="00496C73" w14:paraId="081F68E1" w14:textId="77777777" w:rsidTr="00B97856">
        <w:tc>
          <w:tcPr>
            <w:tcW w:w="2547" w:type="dxa"/>
            <w:tcBorders>
              <w:bottom w:val="single" w:sz="4" w:space="0" w:color="auto"/>
            </w:tcBorders>
            <w:vAlign w:val="center"/>
          </w:tcPr>
          <w:p w14:paraId="78F71079" w14:textId="016A853B" w:rsidR="00862B83" w:rsidRPr="00496C73" w:rsidRDefault="00862B83" w:rsidP="00EE121D">
            <w:pPr>
              <w:pStyle w:val="TableText"/>
            </w:pPr>
            <w:r w:rsidRPr="00496C73">
              <w:t>Cost of testing</w:t>
            </w:r>
            <w:r w:rsidR="00B37C9D">
              <w:t xml:space="preserve"> of family members</w:t>
            </w:r>
          </w:p>
        </w:tc>
        <w:tc>
          <w:tcPr>
            <w:tcW w:w="1559" w:type="dxa"/>
            <w:tcBorders>
              <w:bottom w:val="single" w:sz="4" w:space="0" w:color="auto"/>
            </w:tcBorders>
            <w:vAlign w:val="center"/>
          </w:tcPr>
          <w:p w14:paraId="393FF442" w14:textId="77777777" w:rsidR="00862B83" w:rsidRPr="00496C73" w:rsidRDefault="00862B83" w:rsidP="00EE121D">
            <w:pPr>
              <w:pStyle w:val="TableText"/>
              <w:jc w:val="center"/>
            </w:pPr>
            <w:r w:rsidRPr="00496C73">
              <w:t>$500</w:t>
            </w:r>
            <w:r>
              <w:t>.00</w:t>
            </w:r>
          </w:p>
        </w:tc>
        <w:tc>
          <w:tcPr>
            <w:tcW w:w="4910" w:type="dxa"/>
            <w:tcBorders>
              <w:bottom w:val="single" w:sz="4" w:space="0" w:color="auto"/>
            </w:tcBorders>
            <w:vAlign w:val="center"/>
          </w:tcPr>
          <w:p w14:paraId="658A5D05" w14:textId="264A6C26" w:rsidR="00862B83" w:rsidRPr="00496C73" w:rsidRDefault="473810B2" w:rsidP="00EE121D">
            <w:pPr>
              <w:pStyle w:val="TableText"/>
            </w:pPr>
            <w:r w:rsidRPr="7C4E3BA4">
              <w:t>PASC advised for the assessment to use a cost of $500 for cascade testing (1776 PICO).</w:t>
            </w:r>
          </w:p>
        </w:tc>
      </w:tr>
      <w:tr w:rsidR="00862B83" w:rsidRPr="00496C73" w14:paraId="71CB457A" w14:textId="77777777" w:rsidTr="00B97856">
        <w:tc>
          <w:tcPr>
            <w:tcW w:w="2547" w:type="dxa"/>
            <w:tcBorders>
              <w:bottom w:val="single" w:sz="4" w:space="0" w:color="auto"/>
            </w:tcBorders>
            <w:vAlign w:val="center"/>
          </w:tcPr>
          <w:p w14:paraId="38072DF8" w14:textId="77777777" w:rsidR="00862B83" w:rsidRPr="00496C73" w:rsidRDefault="00862B83" w:rsidP="00EE121D">
            <w:pPr>
              <w:pStyle w:val="TableText"/>
            </w:pPr>
            <w:r>
              <w:t>Annual c</w:t>
            </w:r>
            <w:r w:rsidRPr="00496C73">
              <w:t>ost of monitoring in MPS II cases</w:t>
            </w:r>
            <w:r>
              <w:t xml:space="preserve"> (all phenotypes, symptomatic or asymptomatic)</w:t>
            </w:r>
          </w:p>
        </w:tc>
        <w:tc>
          <w:tcPr>
            <w:tcW w:w="1559" w:type="dxa"/>
            <w:tcBorders>
              <w:bottom w:val="single" w:sz="4" w:space="0" w:color="auto"/>
            </w:tcBorders>
            <w:vAlign w:val="center"/>
          </w:tcPr>
          <w:p w14:paraId="067B5FB5" w14:textId="77777777" w:rsidR="00862B83" w:rsidRPr="00496C73" w:rsidRDefault="00862B83" w:rsidP="00EE121D">
            <w:pPr>
              <w:pStyle w:val="TableText"/>
              <w:jc w:val="center"/>
            </w:pPr>
            <w:r>
              <w:t xml:space="preserve">$1,568.07 - $9,408.40 </w:t>
            </w:r>
          </w:p>
        </w:tc>
        <w:tc>
          <w:tcPr>
            <w:tcW w:w="4910" w:type="dxa"/>
            <w:tcBorders>
              <w:bottom w:val="single" w:sz="4" w:space="0" w:color="auto"/>
            </w:tcBorders>
            <w:vAlign w:val="center"/>
          </w:tcPr>
          <w:p w14:paraId="461369B6" w14:textId="586D2DB6" w:rsidR="00862B83" w:rsidRPr="00496C73" w:rsidRDefault="473810B2" w:rsidP="00EE121D">
            <w:pPr>
              <w:pStyle w:val="TableText"/>
            </w:pPr>
            <w:r w:rsidRPr="7C4E3BA4">
              <w:t xml:space="preserve">Based on monitoring tests outlined in the European recommendations for the diagnosis and multidisciplinary management of MPS II </w:t>
            </w:r>
            <w:r w:rsidR="6436199A" w:rsidRPr="7C4E3BA4">
              <w:t>and the LSDP continuing eligibility cri</w:t>
            </w:r>
            <w:r w:rsidR="59620D18" w:rsidRPr="7C4E3BA4">
              <w:t>teria</w:t>
            </w:r>
            <w:bookmarkStart w:id="44" w:name="_Ref183609121"/>
            <w:r w:rsidR="00EF4BD6" w:rsidRPr="7C4E3BA4">
              <w:rPr>
                <w:rStyle w:val="FootnoteReference"/>
              </w:rPr>
              <w:footnoteReference w:id="31"/>
            </w:r>
            <w:bookmarkEnd w:id="44"/>
            <w:r w:rsidR="00BD2912">
              <w:t>.</w:t>
            </w:r>
            <w:r w:rsidRPr="7C4E3BA4">
              <w:t xml:space="preserve"> The frequency of monitoring differed depending on age and phenotype</w:t>
            </w:r>
            <w:r w:rsidR="7D1AD357" w:rsidRPr="7C4E3BA4">
              <w:t xml:space="preserve"> based on the 1776 PICO</w:t>
            </w:r>
            <w:r w:rsidRPr="7C4E3BA4">
              <w:t>.</w:t>
            </w:r>
          </w:p>
        </w:tc>
      </w:tr>
      <w:tr w:rsidR="00862B83" w:rsidRPr="00496C73" w14:paraId="7DD27B30" w14:textId="77777777" w:rsidTr="00B97856">
        <w:tc>
          <w:tcPr>
            <w:tcW w:w="2547" w:type="dxa"/>
            <w:tcBorders>
              <w:bottom w:val="single" w:sz="4" w:space="0" w:color="auto"/>
            </w:tcBorders>
            <w:vAlign w:val="center"/>
          </w:tcPr>
          <w:p w14:paraId="1E355BC6" w14:textId="77777777" w:rsidR="00862B83" w:rsidRPr="00496C73" w:rsidRDefault="00862B83" w:rsidP="00EE121D">
            <w:pPr>
              <w:pStyle w:val="TableText"/>
            </w:pPr>
            <w:r>
              <w:t>Annual ERT costs</w:t>
            </w:r>
          </w:p>
        </w:tc>
        <w:tc>
          <w:tcPr>
            <w:tcW w:w="1559" w:type="dxa"/>
            <w:tcBorders>
              <w:bottom w:val="single" w:sz="4" w:space="0" w:color="auto"/>
            </w:tcBorders>
            <w:vAlign w:val="center"/>
          </w:tcPr>
          <w:p w14:paraId="000E778D" w14:textId="5BA07223" w:rsidR="00862B83" w:rsidRPr="000C20AB" w:rsidRDefault="00862B83" w:rsidP="00EE121D">
            <w:pPr>
              <w:pStyle w:val="TableText"/>
              <w:jc w:val="center"/>
              <w:rPr>
                <w:bCs/>
              </w:rPr>
            </w:pPr>
            <w:r w:rsidRPr="00011DA9">
              <w:t>$</w:t>
            </w:r>
            <w:r w:rsidR="008D1385" w:rsidRPr="008D1385">
              <w:rPr>
                <w:rFonts w:cs="Courier New"/>
                <w:b/>
              </w:rPr>
              <w:t>Redacted</w:t>
            </w:r>
            <w:r w:rsidR="00182653">
              <w:rPr>
                <w:rFonts w:cs="Courier New"/>
                <w:bCs/>
              </w:rPr>
              <w:t xml:space="preserve"> -$</w:t>
            </w:r>
            <w:r w:rsidR="000C20AB">
              <w:rPr>
                <w:rFonts w:cs="Courier New"/>
                <w:b/>
              </w:rPr>
              <w:t>Redacted</w:t>
            </w:r>
          </w:p>
        </w:tc>
        <w:tc>
          <w:tcPr>
            <w:tcW w:w="4910" w:type="dxa"/>
            <w:tcBorders>
              <w:bottom w:val="single" w:sz="4" w:space="0" w:color="auto"/>
            </w:tcBorders>
            <w:vAlign w:val="center"/>
          </w:tcPr>
          <w:p w14:paraId="460D0DAD" w14:textId="3BB9AEDA" w:rsidR="00862B83" w:rsidRDefault="473810B2" w:rsidP="00EE121D">
            <w:pPr>
              <w:pStyle w:val="TableText"/>
            </w:pPr>
            <w:r w:rsidRPr="7C4E3BA4">
              <w:t>Cost of idursulfase treatment and administration for patients aged 0 – 18 (weight</w:t>
            </w:r>
            <w:r w:rsidR="30C68537" w:rsidRPr="7C4E3BA4">
              <w:t>-</w:t>
            </w:r>
            <w:r w:rsidRPr="7C4E3BA4">
              <w:t xml:space="preserve">based dosing). </w:t>
            </w:r>
          </w:p>
        </w:tc>
      </w:tr>
      <w:tr w:rsidR="00F6187E" w:rsidRPr="00496C73" w14:paraId="663A1515" w14:textId="77777777" w:rsidTr="00B97856">
        <w:tc>
          <w:tcPr>
            <w:tcW w:w="9016" w:type="dxa"/>
            <w:gridSpan w:val="3"/>
            <w:vAlign w:val="center"/>
          </w:tcPr>
          <w:p w14:paraId="0ECCEA02" w14:textId="77777777" w:rsidR="00F6187E" w:rsidRPr="002735A3" w:rsidRDefault="00F6187E" w:rsidP="00EE121D">
            <w:pPr>
              <w:pStyle w:val="TableText"/>
              <w:rPr>
                <w:b/>
                <w:bCs/>
              </w:rPr>
            </w:pPr>
            <w:r w:rsidRPr="002735A3">
              <w:rPr>
                <w:b/>
                <w:bCs/>
              </w:rPr>
              <w:t>Transition probabilities</w:t>
            </w:r>
            <w:r w:rsidR="00CF70BB">
              <w:rPr>
                <w:b/>
                <w:bCs/>
              </w:rPr>
              <w:t xml:space="preserve"> and utilities</w:t>
            </w:r>
            <w:r w:rsidRPr="002735A3">
              <w:rPr>
                <w:b/>
                <w:bCs/>
              </w:rPr>
              <w:t xml:space="preserve"> used in the exploratory analysis</w:t>
            </w:r>
          </w:p>
        </w:tc>
      </w:tr>
      <w:tr w:rsidR="00F6187E" w:rsidRPr="00496C73" w14:paraId="2702D9B7" w14:textId="77777777" w:rsidTr="00B97856">
        <w:tc>
          <w:tcPr>
            <w:tcW w:w="2547" w:type="dxa"/>
            <w:vAlign w:val="center"/>
          </w:tcPr>
          <w:p w14:paraId="5D47B5F9" w14:textId="77777777" w:rsidR="00F6187E" w:rsidRDefault="00F6187E" w:rsidP="00EE121D">
            <w:pPr>
              <w:pStyle w:val="TableText"/>
            </w:pPr>
            <w:r>
              <w:lastRenderedPageBreak/>
              <w:t>Survival for no NBS severe patients</w:t>
            </w:r>
          </w:p>
        </w:tc>
        <w:tc>
          <w:tcPr>
            <w:tcW w:w="6469" w:type="dxa"/>
            <w:gridSpan w:val="2"/>
            <w:vAlign w:val="center"/>
          </w:tcPr>
          <w:p w14:paraId="231CE827" w14:textId="0BAA679B" w:rsidR="00F6187E" w:rsidRDefault="0E3BD719" w:rsidP="00EE121D">
            <w:pPr>
              <w:pStyle w:val="TableText"/>
            </w:pPr>
            <w:r w:rsidRPr="7C4E3BA4">
              <w:t>Time-dependent probabilities derived from applying a hazard ratio</w:t>
            </w:r>
            <w:r w:rsidRPr="7C4E3BA4">
              <w:rPr>
                <w:vertAlign w:val="superscript"/>
              </w:rPr>
              <w:t>c</w:t>
            </w:r>
            <w:r w:rsidRPr="7C4E3BA4">
              <w:t xml:space="preserve"> </w:t>
            </w:r>
            <w:r w:rsidR="06F0D043" w:rsidRPr="7C4E3BA4">
              <w:t xml:space="preserve">to </w:t>
            </w:r>
            <w:r w:rsidRPr="7C4E3BA4">
              <w:t xml:space="preserve">extrapolated OS data from a treated pooled cohort (severe and attenuated) MPS II patients enrolled in the HOS registry to estimate late treated severe MPS II survival. </w:t>
            </w:r>
          </w:p>
        </w:tc>
      </w:tr>
      <w:tr w:rsidR="00F6187E" w:rsidRPr="00496C73" w14:paraId="06B8A640" w14:textId="77777777" w:rsidTr="00B97856">
        <w:tc>
          <w:tcPr>
            <w:tcW w:w="2547" w:type="dxa"/>
            <w:vAlign w:val="center"/>
          </w:tcPr>
          <w:p w14:paraId="33670824" w14:textId="77777777" w:rsidR="00F6187E" w:rsidRDefault="00F6187E" w:rsidP="00EE121D">
            <w:pPr>
              <w:pStyle w:val="TableText"/>
            </w:pPr>
            <w:r>
              <w:t>Survival for NBS severe patients</w:t>
            </w:r>
          </w:p>
        </w:tc>
        <w:tc>
          <w:tcPr>
            <w:tcW w:w="6469" w:type="dxa"/>
            <w:gridSpan w:val="2"/>
            <w:vAlign w:val="center"/>
          </w:tcPr>
          <w:p w14:paraId="12B00B92" w14:textId="4F9AE7A5" w:rsidR="00F6187E" w:rsidRDefault="0E3BD719" w:rsidP="00EE121D">
            <w:pPr>
              <w:pStyle w:val="TableText"/>
            </w:pPr>
            <w:r w:rsidRPr="7C4E3BA4">
              <w:t xml:space="preserve">Adding 7 years of 100% survival to the no NBS severe patients OS curve (above), based on 7 </w:t>
            </w:r>
            <w:r w:rsidR="470993C9" w:rsidRPr="7C4E3BA4">
              <w:t>year event-free survival apparent in</w:t>
            </w:r>
            <w:r w:rsidRPr="7C4E3BA4">
              <w:t xml:space="preserve"> Tomita et al. (2021)</w:t>
            </w:r>
            <w:r w:rsidR="6BA03C47" w:rsidRPr="7C4E3BA4">
              <w:t xml:space="preserve"> when compared to Burton et al. (2017). </w:t>
            </w:r>
            <w:r w:rsidRPr="7C4E3BA4">
              <w:t xml:space="preserve"> </w:t>
            </w:r>
          </w:p>
        </w:tc>
      </w:tr>
      <w:tr w:rsidR="00F6187E" w:rsidRPr="00496C73" w14:paraId="29598FF2" w14:textId="77777777" w:rsidTr="00B97856">
        <w:tc>
          <w:tcPr>
            <w:tcW w:w="2547" w:type="dxa"/>
            <w:vAlign w:val="center"/>
          </w:tcPr>
          <w:p w14:paraId="74CEA04A" w14:textId="77777777" w:rsidR="00F6187E" w:rsidRDefault="00F6187E" w:rsidP="00EE121D">
            <w:pPr>
              <w:pStyle w:val="TableText"/>
            </w:pPr>
            <w:r>
              <w:t>Survival for NBS very attenuated patients</w:t>
            </w:r>
          </w:p>
        </w:tc>
        <w:tc>
          <w:tcPr>
            <w:tcW w:w="6469" w:type="dxa"/>
            <w:gridSpan w:val="2"/>
            <w:vAlign w:val="center"/>
          </w:tcPr>
          <w:p w14:paraId="35E83C2E" w14:textId="0C440091" w:rsidR="00F6187E" w:rsidRDefault="0E3BD719" w:rsidP="00EE121D">
            <w:pPr>
              <w:pStyle w:val="TableText"/>
            </w:pPr>
            <w:r w:rsidRPr="7C4E3BA4">
              <w:t xml:space="preserve">Survival in line with ABS lifetables as reports indicate that these cases have near-normal life-expectancy </w:t>
            </w:r>
            <w:r w:rsidR="00F6187E">
              <w:fldChar w:fldCharType="begin">
                <w:fldData xml:space="preserve">PEVuZE5vdGU+PENpdGU+PEF1dGhvcj5HdWZmb248L0F1dGhvcj48WWVhcj4yMDE1PC9ZZWFyPjxS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</w:fldData>
              </w:fldChar>
            </w:r>
            <w:r w:rsidR="00F6187E">
              <w:instrText xml:space="preserve"> ADDIN EN.CITE </w:instrText>
            </w:r>
            <w:r w:rsidR="00F6187E">
              <w:fldChar w:fldCharType="begin">
                <w:fldData xml:space="preserve">PEVuZE5vdGU+PENpdGU+PEF1dGhvcj5HdWZmb248L0F1dGhvcj48WWVhcj4yMDE1PC9ZZWFyPjxS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</w:fldData>
              </w:fldChar>
            </w:r>
            <w:r w:rsidR="00F6187E">
              <w:instrText xml:space="preserve"> ADDIN EN.CITE.DATA </w:instrText>
            </w:r>
            <w:r w:rsidR="00F6187E">
              <w:fldChar w:fldCharType="end"/>
            </w:r>
            <w:r w:rsidR="00F6187E">
              <w:fldChar w:fldCharType="separate"/>
            </w:r>
            <w:r w:rsidR="52B1C4D9" w:rsidRPr="7C4E3BA4">
              <w:rPr>
                <w:noProof/>
              </w:rPr>
              <w:t>(ABS 2023a; Guffon et al. 2015; Quaio et al. 2012; Wraith et al. 2008b)</w:t>
            </w:r>
            <w:r w:rsidR="00F6187E">
              <w:fldChar w:fldCharType="end"/>
            </w:r>
            <w:r w:rsidRPr="7C4E3BA4">
              <w:t xml:space="preserve">. This impacts monitoring costs only in the analysis.   </w:t>
            </w:r>
          </w:p>
        </w:tc>
      </w:tr>
      <w:tr w:rsidR="00823849" w:rsidRPr="00496C73" w14:paraId="168C9941" w14:textId="77777777" w:rsidTr="00B97856">
        <w:tc>
          <w:tcPr>
            <w:tcW w:w="2547" w:type="dxa"/>
            <w:tcBorders>
              <w:bottom w:val="single" w:sz="4" w:space="0" w:color="auto"/>
            </w:tcBorders>
            <w:vAlign w:val="center"/>
          </w:tcPr>
          <w:p w14:paraId="6BF40B95" w14:textId="77777777" w:rsidR="00823849" w:rsidRDefault="00823849" w:rsidP="00EE121D">
            <w:pPr>
              <w:pStyle w:val="TableText"/>
            </w:pPr>
            <w:r>
              <w:t>Health utility value for severe patients (in either arm)</w:t>
            </w:r>
          </w:p>
        </w:tc>
        <w:tc>
          <w:tcPr>
            <w:tcW w:w="1559" w:type="dxa"/>
            <w:tcBorders>
              <w:bottom w:val="single" w:sz="4" w:space="0" w:color="auto"/>
            </w:tcBorders>
            <w:vAlign w:val="center"/>
          </w:tcPr>
          <w:p w14:paraId="0C6D36B6" w14:textId="77777777" w:rsidR="00823849" w:rsidRDefault="00823849" w:rsidP="00EE121D">
            <w:pPr>
              <w:pStyle w:val="TableText"/>
              <w:jc w:val="center"/>
            </w:pPr>
            <w:r>
              <w:t>0.520</w:t>
            </w:r>
          </w:p>
        </w:tc>
        <w:tc>
          <w:tcPr>
            <w:tcW w:w="4910" w:type="dxa"/>
            <w:tcBorders>
              <w:bottom w:val="single" w:sz="4" w:space="0" w:color="auto"/>
            </w:tcBorders>
            <w:vAlign w:val="center"/>
          </w:tcPr>
          <w:p w14:paraId="54D8A707" w14:textId="7F0E0579" w:rsidR="00823849" w:rsidRDefault="426544FB" w:rsidP="00EE121D">
            <w:pPr>
              <w:pStyle w:val="TableText"/>
            </w:pPr>
            <w:r w:rsidRPr="7C4E3BA4">
              <w:t xml:space="preserve">Mean overall HRQoL utility score (derived through the HUI3 instrument reported in Raluy-Callado et al. (2013). </w:t>
            </w:r>
            <w:r w:rsidR="56AA3E90" w:rsidRPr="7C4E3BA4">
              <w:t>the same utilities are applied for the entire duration severe patients are alive based on the rapid rate of disease progression for severe patients outlined in Tomita et al. (2021) for both early and late treated patients.</w:t>
            </w:r>
          </w:p>
        </w:tc>
      </w:tr>
    </w:tbl>
    <w:p w14:paraId="658C821C" w14:textId="7D9AE91D" w:rsidR="00027158" w:rsidRDefault="71243BB7" w:rsidP="001117CE">
      <w:pPr>
        <w:pStyle w:val="TableFigureFooter"/>
      </w:pPr>
      <w:r w:rsidRPr="7C4E3BA4">
        <w:t xml:space="preserve">ABS = Australian Bureau of Statistics; ERT = enzyme replacement therapy; FDRs = first-degree relatives; FPR = false positive rate; GAG = glycosaminoglycan; HOS = Hunter Outcome Survey; HRQoL = health-related quality of life; HUI3 = health utility index mark 3; IDS = iduronate 2-sulphatase; LC = liquid chromatography; LC-MS/MS = liquid chromatography- tandem mass spectrometry; </w:t>
      </w:r>
      <w:r w:rsidR="704675AD" w:rsidRPr="7C4E3BA4">
        <w:t xml:space="preserve">LSDP = </w:t>
      </w:r>
      <w:r w:rsidR="0323C15A" w:rsidRPr="7C4E3BA4">
        <w:t>Life Saving Drugs Program</w:t>
      </w:r>
      <w:r w:rsidR="704675AD" w:rsidRPr="7C4E3BA4">
        <w:t>;</w:t>
      </w:r>
      <w:r w:rsidRPr="7C4E3BA4">
        <w:t xml:space="preserve"> MPS II = mucopolysaccharidosis Type II; MRI = magnetic resonance imaging; MS = mass spectroscopy; MS/MS = tandem mass spectrometry; NBS = newborn bloodspot screening; NRE = nonreducing end; NRE-GAG = nonreducing end-glycosaminoglycan; OS = overall survival; PASC = PICO Confirmation Advisory Sub-Committee of the MSAC; PICO = Population/Intervention/Comparator/Outcomes; SA = South Australia; SDRs = second-degree relatives</w:t>
      </w:r>
      <w:r w:rsidR="330636D3" w:rsidRPr="7C4E3BA4">
        <w:t>.</w:t>
      </w:r>
    </w:p>
    <w:p w14:paraId="32341CCF" w14:textId="5E2A0AB9" w:rsidR="00027158" w:rsidRDefault="0E3BD719" w:rsidP="001117CE">
      <w:pPr>
        <w:pStyle w:val="TableFigureFooter"/>
      </w:pPr>
      <w:r w:rsidRPr="7C4E3BA4">
        <w:rPr>
          <w:vertAlign w:val="superscript"/>
        </w:rPr>
        <w:t xml:space="preserve">a </w:t>
      </w:r>
      <w:r w:rsidR="6AA61BC6" w:rsidRPr="7C4E3BA4">
        <w:t>T</w:t>
      </w:r>
      <w:r w:rsidRPr="7C4E3BA4">
        <w:t>he evidence review found that 75% of MPS II cases are likely to have the severe phenotype based on studying reviewing patients who were mostly diagnosed through clinical identification.</w:t>
      </w:r>
    </w:p>
    <w:p w14:paraId="0617335A" w14:textId="3B661B32" w:rsidR="00027158" w:rsidRDefault="0E3BD719" w:rsidP="001117CE">
      <w:pPr>
        <w:pStyle w:val="TableFigureFooter"/>
      </w:pPr>
      <w:r w:rsidRPr="7C4E3BA4">
        <w:rPr>
          <w:vertAlign w:val="superscript"/>
        </w:rPr>
        <w:t xml:space="preserve">b </w:t>
      </w:r>
      <w:r w:rsidR="13939112" w:rsidRPr="7C4E3BA4">
        <w:t>T</w:t>
      </w:r>
      <w:r w:rsidRPr="7C4E3BA4">
        <w:t>he FPR (0.026%) from the evidence review does not include newborns those with inconclusive results who, in clinical practice, would move on to NRE-GAG fragmentation analysis. As this input impacts the number GAG analyses only, the screen positive rate minus the true positive rate was considered to be more accurate.</w:t>
      </w:r>
    </w:p>
    <w:p w14:paraId="5CCDC386" w14:textId="09AF64DE" w:rsidR="00F6187E" w:rsidRPr="003D1C1B" w:rsidRDefault="0E3BD719" w:rsidP="001117CE">
      <w:pPr>
        <w:pStyle w:val="TableFigureFooter"/>
      </w:pPr>
      <w:r w:rsidRPr="7C4E3BA4">
        <w:rPr>
          <w:vertAlign w:val="superscript"/>
        </w:rPr>
        <w:t xml:space="preserve">c </w:t>
      </w:r>
      <w:r w:rsidRPr="7C4E3BA4">
        <w:t>Hazard ratio calculated during the assessment based off severe vs a pooled cohort of severe and attenuated MPS II patients OS dat</w:t>
      </w:r>
      <w:r w:rsidR="02145CB1" w:rsidRPr="7C4E3BA4">
        <w:t>a</w:t>
      </w:r>
      <w:r w:rsidR="00F83A14" w:rsidRPr="7C4E3BA4">
        <w:rPr>
          <w:rStyle w:val="FootnoteReference"/>
        </w:rPr>
        <w:footnoteReference w:id="32"/>
      </w:r>
      <w:r w:rsidR="000E6783">
        <w:t>.</w:t>
      </w:r>
    </w:p>
    <w:p w14:paraId="1928ECDF" w14:textId="169651CD" w:rsidR="00B71992" w:rsidRDefault="00EA2816" w:rsidP="00384417">
      <w:pPr>
        <w:pStyle w:val="Heading3"/>
      </w:pPr>
      <w:bookmarkStart w:id="45" w:name="_Toc185430539"/>
      <w:r>
        <w:t>PICO set 1</w:t>
      </w:r>
      <w:bookmarkEnd w:id="45"/>
    </w:p>
    <w:p w14:paraId="1E119972" w14:textId="603D9443" w:rsidR="00D1115E" w:rsidRPr="00D1115E" w:rsidRDefault="00D3652B" w:rsidP="00D1115E">
      <w:r>
        <w:t xml:space="preserve">The </w:t>
      </w:r>
      <w:r w:rsidR="005118D5">
        <w:t>population and health-related variable</w:t>
      </w:r>
      <w:r w:rsidR="00EE653E">
        <w:t>s</w:t>
      </w:r>
      <w:r w:rsidR="00BD0D1A">
        <w:t xml:space="preserve"> for the base case analysis and the</w:t>
      </w:r>
      <w:r w:rsidR="00F918D8">
        <w:t xml:space="preserve"> transition probabilities and utility inputs for the exploratory analysis </w:t>
      </w:r>
      <w:r w:rsidR="00AA73A6">
        <w:t>are</w:t>
      </w:r>
      <w:r w:rsidR="00F918D8">
        <w:t xml:space="preserve"> presented in </w:t>
      </w:r>
      <w:r w:rsidR="00D4543F">
        <w:fldChar w:fldCharType="begin"/>
      </w:r>
      <w:r w:rsidR="00D4543F">
        <w:instrText xml:space="preserve"> REF _Ref181617934 \h </w:instrText>
      </w:r>
      <w:r w:rsidR="00D4543F">
        <w:fldChar w:fldCharType="separate"/>
      </w:r>
      <w:r w:rsidR="007F08FA" w:rsidRPr="00496C73" w:rsidDel="009D183F">
        <w:t xml:space="preserve">Table </w:t>
      </w:r>
      <w:r w:rsidR="00797B68" w:rsidDel="009D183F">
        <w:rPr>
          <w:noProof/>
        </w:rPr>
        <w:t>9</w:t>
      </w:r>
      <w:r w:rsidR="00D4543F">
        <w:fldChar w:fldCharType="end"/>
      </w:r>
      <w:r w:rsidR="00F918D8">
        <w:t xml:space="preserve"> with their respective sources </w:t>
      </w:r>
      <w:r w:rsidR="009848FB">
        <w:t>and</w:t>
      </w:r>
      <w:r w:rsidR="00F918D8">
        <w:t xml:space="preserve"> derivations. </w:t>
      </w:r>
    </w:p>
    <w:p w14:paraId="48A48B63" w14:textId="20E288D9" w:rsidR="00321CBB" w:rsidRDefault="00321CBB" w:rsidP="00321CBB">
      <w:pPr>
        <w:pStyle w:val="Heading4"/>
      </w:pPr>
      <w:r>
        <w:t>Costs</w:t>
      </w:r>
    </w:p>
    <w:p w14:paraId="5CD2D5C7" w14:textId="245C0C6A" w:rsidR="00616608" w:rsidRDefault="79915C83" w:rsidP="00F039B1">
      <w:r w:rsidRPr="7C4E3BA4">
        <w:t xml:space="preserve">Costs included in the base case model were diagnosis costs (NBS and confirmatory costs in the NBS arms and diagnostic </w:t>
      </w:r>
      <w:r w:rsidR="007225DF">
        <w:t>delay</w:t>
      </w:r>
      <w:r w:rsidR="007225DF" w:rsidRPr="7C4E3BA4">
        <w:t xml:space="preserve"> </w:t>
      </w:r>
      <w:r w:rsidRPr="7C4E3BA4">
        <w:t xml:space="preserve">and confirmatory costs in the no NBS arm), </w:t>
      </w:r>
      <w:r w:rsidR="00AA73A6">
        <w:t xml:space="preserve">and </w:t>
      </w:r>
      <w:r w:rsidRPr="7C4E3BA4">
        <w:t>treatment and monitoring costs upon diagnosis for severe patients. For attenuated patients, monitoring costs were included upon diagnosis</w:t>
      </w:r>
      <w:r w:rsidR="4FB95B98" w:rsidRPr="7C4E3BA4">
        <w:t>,</w:t>
      </w:r>
      <w:r w:rsidRPr="7C4E3BA4">
        <w:t xml:space="preserve"> and treatment costs were included upon diagnosis in the no NBS arm and upon symptom onset in the NBS arm (noting that diagnosis is after symptom onset in the no NBS arm due to the diagnostic </w:t>
      </w:r>
      <w:r w:rsidR="007225DF">
        <w:t>delay</w:t>
      </w:r>
      <w:r w:rsidRPr="7C4E3BA4">
        <w:t>). Only monitoring costs are included for very attenuated patients in the NBS arm as they are undiagnosed in the no NBS arm</w:t>
      </w:r>
      <w:r w:rsidR="555C92C2" w:rsidRPr="7C4E3BA4">
        <w:t>.</w:t>
      </w:r>
      <w:r w:rsidR="00317176">
        <w:t xml:space="preserve"> MSAC noted that </w:t>
      </w:r>
      <w:r w:rsidR="00642C2C">
        <w:t xml:space="preserve">costs of </w:t>
      </w:r>
      <w:r w:rsidR="00317176">
        <w:t xml:space="preserve">segregation testing of parents should </w:t>
      </w:r>
      <w:r w:rsidR="00243E25">
        <w:t>have been included in the</w:t>
      </w:r>
      <w:r w:rsidR="00317176">
        <w:t xml:space="preserve"> confirmatory testing </w:t>
      </w:r>
      <w:r w:rsidR="00642C2C">
        <w:t xml:space="preserve">costs, instead of </w:t>
      </w:r>
      <w:r w:rsidR="00011FBD">
        <w:t>being included in</w:t>
      </w:r>
      <w:r w:rsidR="00B37C9D">
        <w:t xml:space="preserve"> testing of family members.</w:t>
      </w:r>
    </w:p>
    <w:p w14:paraId="1A342CB3" w14:textId="67B0E8D9" w:rsidR="00A21E64" w:rsidRDefault="61B869A8" w:rsidP="46342D3F">
      <w:r w:rsidRPr="7C4E3BA4">
        <w:t xml:space="preserve">The exploratory analysis extends the </w:t>
      </w:r>
      <w:r w:rsidR="6DD0ECB6" w:rsidRPr="7C4E3BA4">
        <w:t>treatment and monitoring costs for severe patients</w:t>
      </w:r>
      <w:r w:rsidR="515EDDE5" w:rsidRPr="7C4E3BA4">
        <w:t xml:space="preserve"> and monitoring costs for very attenuated patients</w:t>
      </w:r>
      <w:r w:rsidR="6DD0ECB6" w:rsidRPr="7C4E3BA4">
        <w:t xml:space="preserve"> </w:t>
      </w:r>
      <w:r w:rsidR="515EDDE5" w:rsidRPr="7C4E3BA4">
        <w:t xml:space="preserve">in the NBS arm </w:t>
      </w:r>
      <w:r w:rsidR="6DD0ECB6" w:rsidRPr="7C4E3BA4">
        <w:t>until death</w:t>
      </w:r>
      <w:r w:rsidR="515EDDE5" w:rsidRPr="7C4E3BA4">
        <w:t xml:space="preserve">. As mentioned above </w:t>
      </w:r>
      <w:r w:rsidR="515EDDE5" w:rsidRPr="7C4E3BA4">
        <w:lastRenderedPageBreak/>
        <w:t xml:space="preserve">there </w:t>
      </w:r>
      <w:r w:rsidR="22B07C85" w:rsidRPr="7C4E3BA4">
        <w:t xml:space="preserve">was </w:t>
      </w:r>
      <w:r w:rsidR="3E6581CB" w:rsidRPr="7C4E3BA4">
        <w:t xml:space="preserve">inadequate evidence to suggest that there </w:t>
      </w:r>
      <w:r w:rsidR="7A83D4B6" w:rsidRPr="7C4E3BA4">
        <w:t xml:space="preserve">are </w:t>
      </w:r>
      <w:r w:rsidR="3E6581CB" w:rsidRPr="7C4E3BA4">
        <w:t xml:space="preserve">significant differences </w:t>
      </w:r>
      <w:r w:rsidR="73EED279" w:rsidRPr="7C4E3BA4">
        <w:t xml:space="preserve">(in the costs and outcomes) </w:t>
      </w:r>
      <w:r w:rsidR="7A83D4B6" w:rsidRPr="7C4E3BA4">
        <w:t xml:space="preserve">for attenuated patients </w:t>
      </w:r>
      <w:r w:rsidR="73EED279" w:rsidRPr="7C4E3BA4">
        <w:t xml:space="preserve">beyond the base case time horizon. </w:t>
      </w:r>
      <w:r w:rsidR="3E6581CB" w:rsidRPr="7C4E3BA4">
        <w:t xml:space="preserve"> </w:t>
      </w:r>
    </w:p>
    <w:p w14:paraId="440F9593" w14:textId="6B784B36" w:rsidR="00AD1804" w:rsidRPr="00CC47BF" w:rsidRDefault="00CC47BF" w:rsidP="00F039B1">
      <w:pPr>
        <w:rPr>
          <w:u w:val="single"/>
        </w:rPr>
      </w:pPr>
      <w:r w:rsidRPr="00CC47BF">
        <w:rPr>
          <w:u w:val="single"/>
        </w:rPr>
        <w:t xml:space="preserve">Diagnostic </w:t>
      </w:r>
      <w:r w:rsidR="007225DF">
        <w:rPr>
          <w:u w:val="single"/>
        </w:rPr>
        <w:t>delay</w:t>
      </w:r>
      <w:r w:rsidR="007225DF" w:rsidRPr="00CC47BF">
        <w:rPr>
          <w:u w:val="single"/>
        </w:rPr>
        <w:t xml:space="preserve"> </w:t>
      </w:r>
      <w:r w:rsidRPr="00CC47BF">
        <w:rPr>
          <w:u w:val="single"/>
        </w:rPr>
        <w:t>and clinical identification costs</w:t>
      </w:r>
    </w:p>
    <w:p w14:paraId="24E9FB33" w14:textId="24311EEF" w:rsidR="00CC47BF" w:rsidRPr="00496C73" w:rsidRDefault="00CC47BF" w:rsidP="00CC47BF">
      <w:r>
        <w:t xml:space="preserve">Due to the rarity of the disease as well as the variability of clinical manifestations, MPS II poses a challenge for diagnosis. </w:t>
      </w:r>
      <w:r w:rsidRPr="00496C73">
        <w:t xml:space="preserve">The cost of diagnostic </w:t>
      </w:r>
      <w:r w:rsidR="007225DF">
        <w:t>delay</w:t>
      </w:r>
      <w:r w:rsidR="007225DF" w:rsidRPr="00496C73">
        <w:t xml:space="preserve"> </w:t>
      </w:r>
      <w:r w:rsidRPr="00496C73">
        <w:t xml:space="preserve">was based on the number of physician consultations received before an MPS II diagnosis and diagnostic costs of MPS II in the absence of NBS for MPS II. </w:t>
      </w:r>
    </w:p>
    <w:p w14:paraId="3F56A25A" w14:textId="28BD4349" w:rsidR="005E7501" w:rsidRDefault="32769713" w:rsidP="00CC47BF">
      <w:r w:rsidRPr="7C4E3BA4">
        <w:t>Based on the distribution of the number of physicians consultations received before a</w:t>
      </w:r>
      <w:r w:rsidR="70B52827" w:rsidRPr="7C4E3BA4">
        <w:t>n</w:t>
      </w:r>
      <w:r w:rsidRPr="7C4E3BA4">
        <w:t xml:space="preserve"> MPS II diagnosis for patients in the Guffon et al. </w:t>
      </w:r>
      <w:r w:rsidR="00C26018">
        <w:fldChar w:fldCharType="begin">
          <w:fldData xml:space="preserve">PEVuZE5vdGU+PENpdGUgRXhjbHVkZUF1dGg9IjEiPjxBdXRob3I+R3VmZm9uPC9BdXRob3I+PFll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</w:fldData>
        </w:fldChar>
      </w:r>
      <w:r w:rsidR="00C26018">
        <w:instrText xml:space="preserve"> ADDIN EN.CITE </w:instrText>
      </w:r>
      <w:r w:rsidR="00C26018">
        <w:fldChar w:fldCharType="begin">
          <w:fldData xml:space="preserve">PEVuZE5vdGU+PENpdGUgRXhjbHVkZUF1dGg9IjEiPjxBdXRob3I+R3VmZm9uPC9BdXRob3I+PFll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</w:fldData>
        </w:fldChar>
      </w:r>
      <w:r w:rsidR="00C26018">
        <w:instrText xml:space="preserve"> ADDIN EN.CITE.DATA </w:instrText>
      </w:r>
      <w:r w:rsidR="00C26018">
        <w:fldChar w:fldCharType="end"/>
      </w:r>
      <w:r w:rsidR="00C26018">
        <w:fldChar w:fldCharType="separate"/>
      </w:r>
      <w:r w:rsidR="52B1C4D9" w:rsidRPr="7C4E3BA4">
        <w:rPr>
          <w:noProof/>
        </w:rPr>
        <w:t>(2015)</w:t>
      </w:r>
      <w:r w:rsidR="00C26018">
        <w:fldChar w:fldCharType="end"/>
      </w:r>
      <w:bookmarkStart w:id="46" w:name="_Ref183776193"/>
      <w:r w:rsidR="00C34918" w:rsidRPr="7C4E3BA4">
        <w:rPr>
          <w:rStyle w:val="FootnoteReference"/>
        </w:rPr>
        <w:footnoteReference w:id="33"/>
      </w:r>
      <w:bookmarkEnd w:id="46"/>
      <w:r w:rsidR="001B19AF">
        <w:t>,</w:t>
      </w:r>
      <w:r w:rsidRPr="7C4E3BA4">
        <w:t xml:space="preserve"> it was assumed that each MPS II patient would require 2.95 different specialist consults</w:t>
      </w:r>
      <w:r w:rsidR="46B3D12F" w:rsidRPr="7C4E3BA4">
        <w:t>-</w:t>
      </w:r>
      <w:r w:rsidR="3144DB75" w:rsidRPr="7C4E3BA4">
        <w:t xml:space="preserve">each consult assuming to include </w:t>
      </w:r>
      <w:r w:rsidR="46B3D12F" w:rsidRPr="7C4E3BA4">
        <w:t>a GP visit for a referral (MBS item 36: $82.90), a specialist visit (MBS item 132: $305.15), and a review consult with a specialist (MBS item 133: $152.80).</w:t>
      </w:r>
    </w:p>
    <w:p w14:paraId="799F33D4" w14:textId="48CCC7C5" w:rsidR="00CC47BF" w:rsidRDefault="66DC6DD6" w:rsidP="7C4E3BA4">
      <w:r w:rsidRPr="7C4E3BA4">
        <w:t>Studies</w:t>
      </w:r>
      <w:r w:rsidR="32769713" w:rsidRPr="7C4E3BA4">
        <w:t xml:space="preserve"> have</w:t>
      </w:r>
      <w:r w:rsidR="290F99DA" w:rsidRPr="7C4E3BA4">
        <w:t xml:space="preserve"> also</w:t>
      </w:r>
      <w:r w:rsidR="32769713" w:rsidRPr="7C4E3BA4">
        <w:t xml:space="preserve"> reported that skeletal surveys are often conducted for patients suspected to be affected by MPS II due to skeletal abnormalities observed in the first 18-months to four years of life</w:t>
      </w:r>
      <w:bookmarkStart w:id="47" w:name="_Ref183609090"/>
      <w:r w:rsidR="009A6883">
        <w:fldChar w:fldCharType="begin"/>
      </w:r>
      <w:r w:rsidR="009A6883">
        <w:instrText xml:space="preserve"> NOTEREF _Ref183609121 \f \h </w:instrText>
      </w:r>
      <w:r w:rsidR="009A6883">
        <w:fldChar w:fldCharType="separate"/>
      </w:r>
      <w:r w:rsidR="00797B68" w:rsidRPr="00797B68" w:rsidDel="009D183F">
        <w:rPr>
          <w:rStyle w:val="FootnoteReference"/>
        </w:rPr>
        <w:t>24</w:t>
      </w:r>
      <w:r w:rsidR="009A6883">
        <w:fldChar w:fldCharType="end"/>
      </w:r>
      <w:r w:rsidR="74BDF8CB" w:rsidRPr="7C4E3BA4">
        <w:rPr>
          <w:vertAlign w:val="superscript"/>
        </w:rPr>
        <w:t>,</w:t>
      </w:r>
      <w:r w:rsidR="00C34918" w:rsidRPr="7C4E3BA4">
        <w:rPr>
          <w:rStyle w:val="FootnoteReference"/>
        </w:rPr>
        <w:footnoteReference w:id="34"/>
      </w:r>
      <w:bookmarkEnd w:id="47"/>
      <w:r w:rsidR="38406D37" w:rsidRPr="7C4E3BA4">
        <w:rPr>
          <w:vertAlign w:val="superscript"/>
        </w:rPr>
        <w:t>,</w:t>
      </w:r>
      <w:r w:rsidR="00861AF7" w:rsidRPr="7C4E3BA4">
        <w:rPr>
          <w:rStyle w:val="FootnoteReference"/>
        </w:rPr>
        <w:footnoteReference w:id="35"/>
      </w:r>
      <w:r w:rsidR="001B19AF">
        <w:rPr>
          <w:vertAlign w:val="superscript"/>
        </w:rPr>
        <w:t>.</w:t>
      </w:r>
      <w:r w:rsidR="38501581" w:rsidRPr="7C4E3BA4">
        <w:rPr>
          <w:vertAlign w:val="superscript"/>
        </w:rPr>
        <w:t xml:space="preserve"> </w:t>
      </w:r>
      <w:r w:rsidR="00500BA4">
        <w:t>In the economic modelling</w:t>
      </w:r>
      <w:r w:rsidR="00500BA4" w:rsidRPr="7C4E3BA4">
        <w:t xml:space="preserve"> </w:t>
      </w:r>
      <w:r w:rsidR="00500BA4">
        <w:t>the cost</w:t>
      </w:r>
      <w:r w:rsidR="00DF399F">
        <w:t>s</w:t>
      </w:r>
      <w:r w:rsidR="00500BA4">
        <w:t xml:space="preserve"> </w:t>
      </w:r>
      <w:r w:rsidR="3C8BE828" w:rsidRPr="7C4E3BA4">
        <w:t>for a full body MRI</w:t>
      </w:r>
      <w:r w:rsidR="050DB9F9" w:rsidRPr="7C4E3BA4">
        <w:t xml:space="preserve"> </w:t>
      </w:r>
      <w:r w:rsidR="00B37203">
        <w:t>(</w:t>
      </w:r>
      <w:r w:rsidR="00500BA4" w:rsidRPr="7C4E3BA4">
        <w:t>MBS 63564</w:t>
      </w:r>
      <w:r w:rsidR="050DB9F9" w:rsidRPr="7C4E3BA4">
        <w:t xml:space="preserve">) </w:t>
      </w:r>
      <w:r w:rsidR="3AB18BBB" w:rsidRPr="7C4E3BA4">
        <w:t xml:space="preserve">with sedation (MBS </w:t>
      </w:r>
      <w:r w:rsidR="0E52905C" w:rsidRPr="7C4E3BA4">
        <w:t xml:space="preserve">63494 and </w:t>
      </w:r>
      <w:r w:rsidR="2C46A349" w:rsidRPr="7C4E3BA4">
        <w:t xml:space="preserve">25013) </w:t>
      </w:r>
      <w:r w:rsidR="00500BA4">
        <w:t>were applied as costs for the skeletal surveys</w:t>
      </w:r>
      <w:r w:rsidR="44936474" w:rsidRPr="7C4E3BA4">
        <w:t>.</w:t>
      </w:r>
      <w:r w:rsidR="00AF3D7C">
        <w:t xml:space="preserve"> </w:t>
      </w:r>
      <w:r w:rsidR="32769713" w:rsidRPr="7C4E3BA4">
        <w:t>Upon suspicion of MPS II, it is expected that a GAG analysis</w:t>
      </w:r>
      <w:r w:rsidR="7AC83B94" w:rsidRPr="7C4E3BA4">
        <w:t xml:space="preserve"> ($167)</w:t>
      </w:r>
      <w:r w:rsidR="32769713" w:rsidRPr="7C4E3BA4">
        <w:t xml:space="preserve"> </w:t>
      </w:r>
      <w:r w:rsidR="0D486D44" w:rsidRPr="7C4E3BA4">
        <w:t xml:space="preserve">would </w:t>
      </w:r>
      <w:r w:rsidR="32769713" w:rsidRPr="7C4E3BA4">
        <w:t>be performed as this is currently how the majority of cases in Australia are currently identified</w:t>
      </w:r>
      <w:r w:rsidR="00861AF7" w:rsidRPr="7C4E3BA4">
        <w:rPr>
          <w:rStyle w:val="FootnoteReference"/>
        </w:rPr>
        <w:footnoteReference w:id="36"/>
      </w:r>
      <w:r w:rsidR="001B19AF">
        <w:t>.</w:t>
      </w:r>
    </w:p>
    <w:p w14:paraId="6B9443C0" w14:textId="16E7E324" w:rsidR="00E041F5" w:rsidRDefault="32769713" w:rsidP="006E5F93">
      <w:r w:rsidRPr="7C4E3BA4">
        <w:t xml:space="preserve">The total cost of diagnostic </w:t>
      </w:r>
      <w:r w:rsidR="007225DF">
        <w:t>delay</w:t>
      </w:r>
      <w:r w:rsidR="007225DF" w:rsidRPr="7C4E3BA4">
        <w:t xml:space="preserve"> </w:t>
      </w:r>
      <w:r w:rsidR="7AC83B94" w:rsidRPr="7C4E3BA4">
        <w:t xml:space="preserve">and clinical identification </w:t>
      </w:r>
      <w:r w:rsidR="03DD3EA8" w:rsidRPr="7C4E3BA4">
        <w:t>(</w:t>
      </w:r>
      <w:r w:rsidRPr="7C4E3BA4">
        <w:t>$3,</w:t>
      </w:r>
      <w:r w:rsidR="03DD3EA8" w:rsidRPr="7C4E3BA4">
        <w:t>282</w:t>
      </w:r>
      <w:r w:rsidRPr="7C4E3BA4">
        <w:t>)</w:t>
      </w:r>
      <w:r w:rsidR="47A19F4F" w:rsidRPr="7C4E3BA4">
        <w:t xml:space="preserve"> is likely a substantial underestimate as various investigative tests (aside from </w:t>
      </w:r>
      <w:r w:rsidR="00DF399F">
        <w:t>skeletal surveys</w:t>
      </w:r>
      <w:r w:rsidR="47A19F4F" w:rsidRPr="7C4E3BA4">
        <w:t>) would accompany specialist visits; however</w:t>
      </w:r>
      <w:r w:rsidR="2B2E569E" w:rsidRPr="7C4E3BA4">
        <w:t>,</w:t>
      </w:r>
      <w:r w:rsidR="47A19F4F" w:rsidRPr="7C4E3BA4">
        <w:t xml:space="preserve"> there is a paucity data to inform this. </w:t>
      </w:r>
      <w:r w:rsidR="00737534">
        <w:t>I</w:t>
      </w:r>
      <w:r w:rsidR="47A19F4F" w:rsidRPr="7C4E3BA4">
        <w:t>t is also necessary to consider that some of the investigations that would occur in the clinical diagnostic process would still be conducted following diagnosis after NBS (</w:t>
      </w:r>
      <w:r w:rsidR="30B06AA9" w:rsidRPr="7C4E3BA4">
        <w:t>e.g.</w:t>
      </w:r>
      <w:r w:rsidR="47A19F4F" w:rsidRPr="7C4E3BA4">
        <w:t xml:space="preserve"> </w:t>
      </w:r>
      <w:r w:rsidR="3B4D7D8C" w:rsidRPr="7C4E3BA4">
        <w:t>MRIs</w:t>
      </w:r>
      <w:r w:rsidR="47A19F4F" w:rsidRPr="7C4E3BA4">
        <w:t xml:space="preserve">) to identify a baseline and track disease progression. Therefore, not all investigative healthcare costs associated with the </w:t>
      </w:r>
      <w:r w:rsidR="007225DF">
        <w:t xml:space="preserve">delay in </w:t>
      </w:r>
      <w:r w:rsidR="47A19F4F" w:rsidRPr="7C4E3BA4">
        <w:t xml:space="preserve">clinical </w:t>
      </w:r>
      <w:r w:rsidR="007225DF">
        <w:t>diagnosis</w:t>
      </w:r>
      <w:r w:rsidR="47A19F4F" w:rsidRPr="7C4E3BA4">
        <w:t xml:space="preserve"> would be expected to be offset following an NBS initiated diagnosis.</w:t>
      </w:r>
      <w:r w:rsidR="2A96C108" w:rsidRPr="7C4E3BA4">
        <w:t xml:space="preserve"> Alternative diagnostic </w:t>
      </w:r>
      <w:r w:rsidR="007225DF">
        <w:t>delay</w:t>
      </w:r>
      <w:r w:rsidR="007225DF" w:rsidRPr="7C4E3BA4">
        <w:t xml:space="preserve"> </w:t>
      </w:r>
      <w:r w:rsidR="2A96C108" w:rsidRPr="7C4E3BA4">
        <w:t>costs were tested</w:t>
      </w:r>
      <w:r w:rsidR="1D1AFECD" w:rsidRPr="7C4E3BA4">
        <w:t>,</w:t>
      </w:r>
      <w:r w:rsidR="4A422BFA" w:rsidRPr="7C4E3BA4">
        <w:t xml:space="preserve"> and the model was not sensitive to </w:t>
      </w:r>
      <w:r w:rsidR="1D1AFECD" w:rsidRPr="7C4E3BA4">
        <w:t>these costs</w:t>
      </w:r>
      <w:r w:rsidR="01FEFD16" w:rsidRPr="7C4E3BA4">
        <w:t xml:space="preserve"> (see </w:t>
      </w:r>
      <w:r w:rsidR="00C834FB" w:rsidRPr="00C358FD">
        <w:fldChar w:fldCharType="begin"/>
      </w:r>
      <w:r w:rsidR="00C834FB" w:rsidRPr="00C358FD">
        <w:instrText xml:space="preserve"> REF _Ref185318893 \h </w:instrText>
      </w:r>
      <w:r w:rsidR="00C358FD" w:rsidRPr="00C358FD">
        <w:instrText xml:space="preserve"> \* MERGEFORMAT </w:instrText>
      </w:r>
      <w:r w:rsidR="00C834FB" w:rsidRPr="00C358FD">
        <w:fldChar w:fldCharType="separate"/>
      </w:r>
      <w:r w:rsidR="007F08FA" w:rsidRPr="00797B68" w:rsidDel="009D183F">
        <w:t xml:space="preserve">Table </w:t>
      </w:r>
      <w:r w:rsidR="00797B68" w:rsidRPr="00797B68" w:rsidDel="009D183F">
        <w:rPr>
          <w:noProof/>
        </w:rPr>
        <w:t>12</w:t>
      </w:r>
      <w:r w:rsidR="00C834FB" w:rsidRPr="00C358FD">
        <w:fldChar w:fldCharType="end"/>
      </w:r>
      <w:r w:rsidR="01FEFD16" w:rsidRPr="7C4E3BA4">
        <w:t>)</w:t>
      </w:r>
      <w:r w:rsidR="2A96C108" w:rsidRPr="7C4E3BA4">
        <w:t>.</w:t>
      </w:r>
    </w:p>
    <w:p w14:paraId="31F800C8" w14:textId="77777777" w:rsidR="00E707B0" w:rsidRPr="00CC47BF" w:rsidRDefault="00E707B0" w:rsidP="00E707B0">
      <w:pPr>
        <w:rPr>
          <w:u w:val="single"/>
        </w:rPr>
      </w:pPr>
      <w:r>
        <w:rPr>
          <w:u w:val="single"/>
        </w:rPr>
        <w:t>Monitoring</w:t>
      </w:r>
      <w:r w:rsidRPr="00CC47BF">
        <w:rPr>
          <w:u w:val="single"/>
        </w:rPr>
        <w:t xml:space="preserve"> costs</w:t>
      </w:r>
    </w:p>
    <w:p w14:paraId="1242BF04" w14:textId="4C6C14FF" w:rsidR="001E64D2" w:rsidRDefault="0645665F" w:rsidP="00265CB4">
      <w:r w:rsidRPr="7C4E3BA4">
        <w:t>A</w:t>
      </w:r>
      <w:r w:rsidR="2D6473E0" w:rsidRPr="7C4E3BA4">
        <w:t xml:space="preserve">ll </w:t>
      </w:r>
      <w:r w:rsidRPr="7C4E3BA4">
        <w:t xml:space="preserve">diagnosed </w:t>
      </w:r>
      <w:r w:rsidR="4C235124" w:rsidRPr="7C4E3BA4">
        <w:t>patients</w:t>
      </w:r>
      <w:r w:rsidR="2D6473E0" w:rsidRPr="7C4E3BA4">
        <w:t xml:space="preserve"> </w:t>
      </w:r>
      <w:r w:rsidR="4C235124" w:rsidRPr="7C4E3BA4">
        <w:t>in both arms are expected to incur monitoring costs. The types of monitoring tests and services are expected to be consistent across the three classifications of MPS II (severe, attenuated and very attenuated) based on guidelines (for patients on and off treatment)</w:t>
      </w:r>
      <w:r w:rsidR="3E38A67B" w:rsidRPr="7C4E3BA4">
        <w:rPr>
          <w:vertAlign w:val="superscript"/>
        </w:rPr>
        <w:t>18</w:t>
      </w:r>
      <w:r w:rsidR="675EE1EE" w:rsidRPr="7C4E3BA4">
        <w:rPr>
          <w:vertAlign w:val="superscript"/>
        </w:rPr>
        <w:t>,</w:t>
      </w:r>
      <w:r w:rsidR="3E38A67B" w:rsidRPr="7C4E3BA4">
        <w:rPr>
          <w:vertAlign w:val="superscript"/>
        </w:rPr>
        <w:t xml:space="preserve"> </w:t>
      </w:r>
      <w:r w:rsidR="00CD735B" w:rsidRPr="7C4E3BA4">
        <w:rPr>
          <w:rStyle w:val="FootnoteReference"/>
        </w:rPr>
        <w:footnoteReference w:id="37"/>
      </w:r>
      <w:r w:rsidR="001959A8">
        <w:rPr>
          <w:vertAlign w:val="superscript"/>
        </w:rPr>
        <w:t>.</w:t>
      </w:r>
      <w:r w:rsidR="3E38A67B" w:rsidRPr="7C4E3BA4">
        <w:t xml:space="preserve"> </w:t>
      </w:r>
      <w:r w:rsidR="1A80FB1F" w:rsidRPr="7C4E3BA4">
        <w:t>The frequency of monitoring differs depending on the patient</w:t>
      </w:r>
      <w:r w:rsidR="63B889DD" w:rsidRPr="7C4E3BA4">
        <w:t>’</w:t>
      </w:r>
      <w:r w:rsidR="1A80FB1F" w:rsidRPr="7C4E3BA4">
        <w:t>s age and their MPS II phenotype as indicated by the expert advice provided by the PASC (1776 PICO). All identified cases are monitored every 3 months for the first 2 years of life</w:t>
      </w:r>
      <w:r w:rsidR="1F757082" w:rsidRPr="7C4E3BA4">
        <w:t xml:space="preserve">. This frequency of monitoring is continued for </w:t>
      </w:r>
      <w:r w:rsidR="1A80FB1F" w:rsidRPr="7C4E3BA4">
        <w:t xml:space="preserve">severe patients </w:t>
      </w:r>
      <w:r w:rsidR="551A6B7C" w:rsidRPr="7C4E3BA4">
        <w:t xml:space="preserve">beyond 2 years </w:t>
      </w:r>
      <w:r w:rsidR="697FA510" w:rsidRPr="7C4E3BA4">
        <w:t>of age</w:t>
      </w:r>
      <w:r w:rsidR="1F757082" w:rsidRPr="7C4E3BA4">
        <w:t xml:space="preserve">, while </w:t>
      </w:r>
      <w:r w:rsidR="551A6B7C" w:rsidRPr="7C4E3BA4">
        <w:t>t</w:t>
      </w:r>
      <w:r w:rsidR="1A80FB1F" w:rsidRPr="7C4E3BA4">
        <w:t>hose with the attenuated or very attenuated phenotype require monitoring every 6 months until age 6</w:t>
      </w:r>
      <w:r w:rsidR="551A6B7C" w:rsidRPr="7C4E3BA4">
        <w:t>,</w:t>
      </w:r>
      <w:r w:rsidR="1A80FB1F" w:rsidRPr="7C4E3BA4">
        <w:t xml:space="preserve"> and every 18 months for ages 6+.</w:t>
      </w:r>
    </w:p>
    <w:p w14:paraId="25A6C56F" w14:textId="519BA3FE" w:rsidR="00E707B0" w:rsidRDefault="0078094F" w:rsidP="006E5F93">
      <w:r>
        <w:lastRenderedPageBreak/>
        <w:t>Monitoring tests and services were estimates based on the European recommendations for the diagnosis and multidisciplinary management of MPS II</w:t>
      </w:r>
      <w:r w:rsidR="003A22F2">
        <w:t xml:space="preserve"> and the </w:t>
      </w:r>
      <w:r w:rsidR="00F61646">
        <w:t>continuing</w:t>
      </w:r>
      <w:r w:rsidR="003A22F2">
        <w:t xml:space="preserve"> eligibility criteria for ERT </w:t>
      </w:r>
      <w:r w:rsidR="00F61646">
        <w:t>treatment</w:t>
      </w:r>
      <w:r w:rsidR="0034743A">
        <w:t xml:space="preserve"> under the LSDP</w:t>
      </w:r>
      <w:r w:rsidR="005B097A">
        <w:t>,</w:t>
      </w:r>
      <w:r>
        <w:t xml:space="preserve"> and were assumed to include </w:t>
      </w:r>
      <w:r w:rsidR="005B097A">
        <w:t xml:space="preserve">a </w:t>
      </w:r>
      <w:r>
        <w:t xml:space="preserve">GP appointment </w:t>
      </w:r>
      <w:r w:rsidR="00795457">
        <w:t>(MBS 721: $164), echocardiogram (MBS 551</w:t>
      </w:r>
      <w:r w:rsidR="0034566A">
        <w:t>32: $259), electro</w:t>
      </w:r>
      <w:r w:rsidR="004439F6">
        <w:t xml:space="preserve">cardiogram </w:t>
      </w:r>
      <w:r w:rsidR="00B96C97">
        <w:t>(MBS 11707: $</w:t>
      </w:r>
      <w:r w:rsidR="002E682E">
        <w:t>21)</w:t>
      </w:r>
      <w:r w:rsidR="00C44F69">
        <w:t xml:space="preserve">, </w:t>
      </w:r>
      <w:r w:rsidR="00B46A63">
        <w:t>a</w:t>
      </w:r>
      <w:r w:rsidR="00C7473F">
        <w:t>bdominal ultrasound (MBS 55036: $12</w:t>
      </w:r>
      <w:r w:rsidR="00EF23A0">
        <w:t xml:space="preserve">5), </w:t>
      </w:r>
      <w:r w:rsidR="000276EC">
        <w:t>whole body MRI (</w:t>
      </w:r>
      <w:r w:rsidR="00754D46">
        <w:t xml:space="preserve">MBS </w:t>
      </w:r>
      <w:r w:rsidR="00EE74BB">
        <w:t>63564: $</w:t>
      </w:r>
      <w:r w:rsidR="00754D46">
        <w:t>1616)</w:t>
      </w:r>
      <w:r w:rsidR="00F73026">
        <w:t xml:space="preserve">, sleep </w:t>
      </w:r>
      <w:r w:rsidR="008351DB">
        <w:t xml:space="preserve">study </w:t>
      </w:r>
      <w:r w:rsidR="00EC71E2">
        <w:t xml:space="preserve">(MBS </w:t>
      </w:r>
      <w:r w:rsidR="003A22F2">
        <w:t>12210” $72)</w:t>
      </w:r>
      <w:r w:rsidR="00754D46">
        <w:t xml:space="preserve"> and an NRE-GAG analysis ($1</w:t>
      </w:r>
      <w:r w:rsidR="00FF4CAC">
        <w:t xml:space="preserve">67). </w:t>
      </w:r>
      <w:r w:rsidR="00CD735B">
        <w:t xml:space="preserve">The </w:t>
      </w:r>
      <w:r w:rsidR="00207DEE">
        <w:t xml:space="preserve">total </w:t>
      </w:r>
      <w:r w:rsidR="00CD735B">
        <w:t xml:space="preserve">cost per monitoring cycle was </w:t>
      </w:r>
      <w:r w:rsidR="009116E0">
        <w:t>$2,352</w:t>
      </w:r>
      <w:r w:rsidR="00207DEE">
        <w:t>.</w:t>
      </w:r>
      <w:r w:rsidR="0034743A">
        <w:fldChar w:fldCharType="begin"/>
      </w:r>
      <w:r w:rsidR="0034743A">
        <w:instrText xml:space="preserve"> NOTEREF _Ref183609121 \f \h </w:instrText>
      </w:r>
      <w:r w:rsidR="0034743A">
        <w:fldChar w:fldCharType="separate"/>
      </w:r>
      <w:r w:rsidR="00797B68" w:rsidRPr="00797B68" w:rsidDel="009D183F">
        <w:rPr>
          <w:rStyle w:val="FootnoteReference"/>
        </w:rPr>
        <w:t>24</w:t>
      </w:r>
      <w:r w:rsidR="0034743A">
        <w:fldChar w:fldCharType="end"/>
      </w:r>
      <w:r w:rsidR="00207DEE">
        <w:t xml:space="preserve"> </w:t>
      </w:r>
    </w:p>
    <w:p w14:paraId="09F10A05" w14:textId="77777777" w:rsidR="00F62C6E" w:rsidRPr="00DB7B01" w:rsidRDefault="00F62C6E" w:rsidP="009848FB">
      <w:pPr>
        <w:pStyle w:val="Heading4"/>
      </w:pPr>
      <w:r w:rsidRPr="00DB7B01">
        <w:t>Results</w:t>
      </w:r>
    </w:p>
    <w:p w14:paraId="7F1A1B5C" w14:textId="3254933B" w:rsidR="0059343C" w:rsidRDefault="003B1CC1" w:rsidP="0059343C">
      <w:r>
        <w:t>The generation of the base case analysis was done in one step</w:t>
      </w:r>
      <w:r w:rsidR="000E64C2">
        <w:t>,</w:t>
      </w:r>
      <w:r>
        <w:t xml:space="preserve"> as the structure of the model did not rely on building layers of uncertainty or multiple translations of the clinical evidence. The clinical evidence utilised in the base case analysis include</w:t>
      </w:r>
      <w:r w:rsidR="00986473">
        <w:t>s</w:t>
      </w:r>
      <w:r>
        <w:t xml:space="preserve"> the prevalence of MPS II and the distribution of MPS II phenotypes. Costs included diagnosis costs (NBS and confirmatory costs in the NBS arms and diagnostic </w:t>
      </w:r>
      <w:r w:rsidR="007225DF">
        <w:t xml:space="preserve">delay </w:t>
      </w:r>
      <w:r>
        <w:t>and confirmatory costs in the no NBS arm), treatment costs for severe patients only and monitoring costs once diagnosed until the end of the time horizon</w:t>
      </w:r>
      <w:r w:rsidR="00E76D2C">
        <w:rPr>
          <w:b/>
          <w:bCs/>
        </w:rPr>
        <w:t>.</w:t>
      </w:r>
      <w:r w:rsidR="00E76D2C" w:rsidRPr="006D2BB6" w:rsidDel="00E76D2C">
        <w:rPr>
          <w:highlight w:val="yellow"/>
        </w:rPr>
        <w:t xml:space="preserve"> </w:t>
      </w:r>
      <w:r w:rsidRPr="00011DA9">
        <w:t>(</w:t>
      </w:r>
      <w:r w:rsidR="0021452C" w:rsidRPr="0021452C">
        <w:rPr>
          <w:b/>
          <w:bCs/>
        </w:rPr>
        <w:t>REDACTED</w:t>
      </w:r>
      <w:r w:rsidR="0021452C" w:rsidRPr="00011DA9">
        <w:t xml:space="preserve"> </w:t>
      </w:r>
      <w:r w:rsidRPr="00011DA9">
        <w:t>years)</w:t>
      </w:r>
      <w:r w:rsidRPr="0021452C">
        <w:t>.</w:t>
      </w:r>
      <w:r w:rsidR="00763D0A">
        <w:t xml:space="preserve"> </w:t>
      </w:r>
    </w:p>
    <w:p w14:paraId="27988572" w14:textId="578D79F2" w:rsidR="001B0887" w:rsidRDefault="00E0142C" w:rsidP="001B0887">
      <w:r>
        <w:t>T</w:t>
      </w:r>
      <w:r w:rsidR="08F789CA" w:rsidRPr="7C4E3BA4">
        <w:t>he ICERs were substantial ($</w:t>
      </w:r>
      <w:r w:rsidR="00E76D2C" w:rsidRPr="00005B99">
        <w:rPr>
          <w:b/>
          <w:bCs/>
        </w:rPr>
        <w:t>REDACTED</w:t>
      </w:r>
      <w:r w:rsidR="00E76D2C">
        <w:rPr>
          <w:b/>
          <w:bCs/>
        </w:rPr>
        <w:t xml:space="preserve"> </w:t>
      </w:r>
      <w:r w:rsidR="08F789CA" w:rsidRPr="7C4E3BA4">
        <w:t>per early diagnosis of severe MPS II case or $</w:t>
      </w:r>
      <w:r w:rsidR="00E76D2C" w:rsidRPr="00005B99">
        <w:rPr>
          <w:b/>
          <w:bCs/>
        </w:rPr>
        <w:t>REDACTED</w:t>
      </w:r>
      <w:r w:rsidR="00E76D2C">
        <w:rPr>
          <w:b/>
          <w:bCs/>
        </w:rPr>
        <w:t xml:space="preserve"> </w:t>
      </w:r>
      <w:r w:rsidR="08F789CA" w:rsidRPr="7C4E3BA4">
        <w:t xml:space="preserve">per early diagnosis of any MPS II case) reflecting the very low rate of diagnosis per individual screened. The ICER was </w:t>
      </w:r>
      <w:r w:rsidR="003E4F13" w:rsidRPr="7C4E3BA4">
        <w:t xml:space="preserve">driven </w:t>
      </w:r>
      <w:r w:rsidR="08F789CA" w:rsidRPr="7C4E3BA4">
        <w:t>predominantly by the cost</w:t>
      </w:r>
      <w:r w:rsidR="003E4F13">
        <w:t>s of</w:t>
      </w:r>
      <w:r w:rsidR="00B37203">
        <w:t xml:space="preserve"> </w:t>
      </w:r>
      <w:r w:rsidR="08F789CA" w:rsidRPr="7C4E3BA4">
        <w:t xml:space="preserve">screening. Although the costs and time durations associated with diagnostic </w:t>
      </w:r>
      <w:r w:rsidR="007225DF">
        <w:t>delay</w:t>
      </w:r>
      <w:r w:rsidR="007225DF" w:rsidRPr="7C4E3BA4">
        <w:t xml:space="preserve"> </w:t>
      </w:r>
      <w:r w:rsidR="08F789CA" w:rsidRPr="7C4E3BA4">
        <w:t>were uncertain, these were likely to have very low impact on the ICERs.</w:t>
      </w:r>
      <w:r w:rsidR="011A31D0" w:rsidRPr="7C4E3BA4">
        <w:t xml:space="preserve"> The ICER reduced to $</w:t>
      </w:r>
      <w:r w:rsidR="00E76D2C" w:rsidRPr="00005B99">
        <w:rPr>
          <w:b/>
          <w:bCs/>
        </w:rPr>
        <w:t>REDACTED</w:t>
      </w:r>
      <w:r w:rsidR="0021452C">
        <w:rPr>
          <w:b/>
          <w:bCs/>
        </w:rPr>
        <w:t xml:space="preserve"> </w:t>
      </w:r>
      <w:r w:rsidR="011A31D0" w:rsidRPr="7C4E3BA4">
        <w:t>per early diagnosis of MPS II case when the first-tier screening assays were multiplexed in a two-tier screening strategy (</w:t>
      </w:r>
      <w:r w:rsidR="003E4F13">
        <w:t>where</w:t>
      </w:r>
      <w:r w:rsidR="011A31D0" w:rsidRPr="7C4E3BA4">
        <w:t xml:space="preserve"> the cost of screening </w:t>
      </w:r>
      <w:r w:rsidR="008B2B75">
        <w:t xml:space="preserve">was shared </w:t>
      </w:r>
      <w:r w:rsidR="011A31D0" w:rsidRPr="7C4E3BA4">
        <w:t>between</w:t>
      </w:r>
      <w:r w:rsidR="005C227F">
        <w:t xml:space="preserve"> MPS </w:t>
      </w:r>
      <w:r w:rsidR="001C5DAC">
        <w:t>I and MPS II</w:t>
      </w:r>
      <w:r w:rsidR="011A31D0" w:rsidRPr="7C4E3BA4">
        <w:t>).</w:t>
      </w:r>
    </w:p>
    <w:p w14:paraId="214424FB" w14:textId="2021DE6F" w:rsidR="00765DAC" w:rsidRDefault="00E6080D" w:rsidP="001B0887">
      <w:r>
        <w:t xml:space="preserve">The results of the base case economic evaluation (with discounted costs) are presented in </w:t>
      </w:r>
      <w:r>
        <w:fldChar w:fldCharType="begin"/>
      </w:r>
      <w:r>
        <w:instrText xml:space="preserve"> REF _Ref181624734 \h </w:instrText>
      </w:r>
      <w:r>
        <w:fldChar w:fldCharType="separate"/>
      </w:r>
      <w:r w:rsidR="007F08FA" w:rsidRPr="7C4E3BA4" w:rsidDel="009D183F">
        <w:t>Table</w:t>
      </w:r>
      <w:r w:rsidR="00311E41">
        <w:t> </w:t>
      </w:r>
      <w:r w:rsidR="00797B68" w:rsidDel="009D183F">
        <w:rPr>
          <w:noProof/>
        </w:rPr>
        <w:t>10</w:t>
      </w:r>
      <w:r>
        <w:fldChar w:fldCharType="end"/>
      </w:r>
      <w:r>
        <w:t>.</w:t>
      </w:r>
    </w:p>
    <w:p w14:paraId="4E4B7E5C" w14:textId="551D2440" w:rsidR="004D54B1" w:rsidRPr="00496C73" w:rsidRDefault="35B2C925" w:rsidP="00D01B5D">
      <w:pPr>
        <w:pStyle w:val="TableHeading"/>
      </w:pPr>
      <w:bookmarkStart w:id="48" w:name="_Ref181624734"/>
      <w:r w:rsidRPr="7C4E3BA4">
        <w:lastRenderedPageBreak/>
        <w:t xml:space="preserve">Table </w:t>
      </w:r>
      <w:r w:rsidR="004D54B1" w:rsidRPr="7C4E3BA4">
        <w:fldChar w:fldCharType="begin"/>
      </w:r>
      <w:r w:rsidR="004D54B1">
        <w:instrText xml:space="preserve"> SEQ Table \* ARABIC </w:instrText>
      </w:r>
      <w:r w:rsidR="004D54B1" w:rsidRPr="7C4E3BA4">
        <w:fldChar w:fldCharType="separate"/>
      </w:r>
      <w:r w:rsidR="009D183F">
        <w:rPr>
          <w:noProof/>
        </w:rPr>
        <w:t>10</w:t>
      </w:r>
      <w:r w:rsidR="004D54B1" w:rsidRPr="7C4E3BA4">
        <w:rPr>
          <w:noProof/>
        </w:rPr>
        <w:fldChar w:fldCharType="end"/>
      </w:r>
      <w:bookmarkEnd w:id="48"/>
      <w:r w:rsidR="004D54B1">
        <w:tab/>
      </w:r>
      <w:r w:rsidRPr="7C4E3BA4">
        <w:t xml:space="preserve">Results of base case economic evaluation </w:t>
      </w:r>
      <w:r w:rsidRPr="00EF62F9">
        <w:t xml:space="preserve">using </w:t>
      </w:r>
      <w:r w:rsidR="0021452C" w:rsidRPr="00011DA9">
        <w:t>REDACTED</w:t>
      </w:r>
      <w:r w:rsidRPr="7C4E3BA4">
        <w:t xml:space="preserve"> </w:t>
      </w:r>
      <w:r w:rsidR="00217EF4" w:rsidRPr="2999AA76">
        <w:t>kit</w:t>
      </w:r>
      <w:r w:rsidR="00217EF4">
        <w:t xml:space="preserve"> </w:t>
      </w:r>
      <w:r w:rsidRPr="7C4E3BA4">
        <w:t>(costs and outcomes are discounted)</w:t>
      </w:r>
    </w:p>
    <w:tbl>
      <w:tblPr>
        <w:tblStyle w:val="TableGrid"/>
        <w:tblW w:w="0" w:type="auto"/>
        <w:tblLook w:val="04A0" w:firstRow="1" w:lastRow="0" w:firstColumn="1" w:lastColumn="0" w:noHBand="0" w:noVBand="1"/>
      </w:tblPr>
      <w:tblGrid>
        <w:gridCol w:w="3856"/>
        <w:gridCol w:w="60"/>
        <w:gridCol w:w="1586"/>
        <w:gridCol w:w="1656"/>
        <w:gridCol w:w="1858"/>
      </w:tblGrid>
      <w:tr w:rsidR="004D54B1" w:rsidRPr="00496C73" w14:paraId="0BF5E660" w14:textId="77777777" w:rsidTr="006B5B78">
        <w:tc>
          <w:tcPr>
            <w:tcW w:w="3916" w:type="dxa"/>
            <w:gridSpan w:val="2"/>
          </w:tcPr>
          <w:p w14:paraId="413B6CB5" w14:textId="77777777" w:rsidR="004D54B1" w:rsidRPr="00496C73" w:rsidRDefault="004D54B1" w:rsidP="00384417">
            <w:pPr>
              <w:pStyle w:val="Tabletext0"/>
              <w:keepNext/>
              <w:jc w:val="left"/>
              <w:rPr>
                <w:b/>
                <w:bCs/>
              </w:rPr>
            </w:pPr>
          </w:p>
        </w:tc>
        <w:tc>
          <w:tcPr>
            <w:tcW w:w="1586" w:type="dxa"/>
            <w:vAlign w:val="center"/>
          </w:tcPr>
          <w:p w14:paraId="1FC63B11" w14:textId="77777777" w:rsidR="004D54B1" w:rsidRPr="00496C73" w:rsidRDefault="004D54B1" w:rsidP="002207EE">
            <w:pPr>
              <w:pStyle w:val="Tabletext0"/>
              <w:keepNext/>
              <w:jc w:val="center"/>
              <w:rPr>
                <w:b/>
                <w:bCs/>
              </w:rPr>
            </w:pPr>
            <w:r w:rsidRPr="00496C73">
              <w:rPr>
                <w:b/>
                <w:bCs/>
              </w:rPr>
              <w:t>NBS for MPS II</w:t>
            </w:r>
          </w:p>
        </w:tc>
        <w:tc>
          <w:tcPr>
            <w:tcW w:w="1656" w:type="dxa"/>
            <w:vAlign w:val="center"/>
          </w:tcPr>
          <w:p w14:paraId="12D4B074" w14:textId="77777777" w:rsidR="004D54B1" w:rsidRPr="00496C73" w:rsidRDefault="004D54B1" w:rsidP="002207EE">
            <w:pPr>
              <w:pStyle w:val="Tabletext0"/>
              <w:keepNext/>
              <w:jc w:val="center"/>
              <w:rPr>
                <w:b/>
                <w:bCs/>
              </w:rPr>
            </w:pPr>
            <w:r w:rsidRPr="00496C73">
              <w:rPr>
                <w:b/>
                <w:bCs/>
              </w:rPr>
              <w:t>No NBS for MPS II</w:t>
            </w:r>
          </w:p>
        </w:tc>
        <w:tc>
          <w:tcPr>
            <w:tcW w:w="1858" w:type="dxa"/>
            <w:vAlign w:val="center"/>
          </w:tcPr>
          <w:p w14:paraId="04820B3D" w14:textId="77777777" w:rsidR="004D54B1" w:rsidRPr="00496C73" w:rsidRDefault="004D54B1" w:rsidP="002207EE">
            <w:pPr>
              <w:pStyle w:val="Tabletext0"/>
              <w:keepNext/>
              <w:jc w:val="center"/>
              <w:rPr>
                <w:b/>
                <w:bCs/>
              </w:rPr>
            </w:pPr>
            <w:r w:rsidRPr="00496C73">
              <w:rPr>
                <w:b/>
                <w:bCs/>
              </w:rPr>
              <w:t>Increment</w:t>
            </w:r>
          </w:p>
        </w:tc>
      </w:tr>
      <w:tr w:rsidR="004D54B1" w:rsidRPr="00496C73" w14:paraId="53246C5A" w14:textId="77777777" w:rsidTr="006B5B78">
        <w:trPr>
          <w:trHeight w:val="1667"/>
        </w:trPr>
        <w:tc>
          <w:tcPr>
            <w:tcW w:w="9016" w:type="dxa"/>
            <w:gridSpan w:val="5"/>
            <w:vAlign w:val="center"/>
          </w:tcPr>
          <w:p w14:paraId="7393A1BA" w14:textId="07BBA09D" w:rsidR="004D54B1" w:rsidRDefault="004D54B1" w:rsidP="00606EDD">
            <w:pPr>
              <w:pStyle w:val="Tabletext0"/>
              <w:keepNext/>
              <w:jc w:val="left"/>
              <w:rPr>
                <w:b/>
                <w:bCs/>
              </w:rPr>
            </w:pPr>
            <w:r w:rsidRPr="00496C73">
              <w:rPr>
                <w:b/>
                <w:bCs/>
              </w:rPr>
              <w:t xml:space="preserve">Step </w:t>
            </w:r>
            <w:r>
              <w:rPr>
                <w:b/>
                <w:bCs/>
              </w:rPr>
              <w:t xml:space="preserve">1: Time horizon: </w:t>
            </w:r>
            <w:r w:rsidR="008D1385" w:rsidRPr="008D12FB">
              <w:rPr>
                <w:rFonts w:cs="Courier New"/>
                <w:b/>
              </w:rPr>
              <w:t>Redacted</w:t>
            </w:r>
            <w:r w:rsidR="008D1385" w:rsidRPr="008D12FB">
              <w:rPr>
                <w:rFonts w:cs="Courier New"/>
              </w:rPr>
              <w:t xml:space="preserve"> </w:t>
            </w:r>
            <w:r w:rsidRPr="00011DA9">
              <w:rPr>
                <w:b/>
              </w:rPr>
              <w:t>years</w:t>
            </w:r>
          </w:p>
          <w:p w14:paraId="01B046E6" w14:textId="77777777" w:rsidR="004D54B1" w:rsidRPr="00C6676C" w:rsidRDefault="004D54B1" w:rsidP="00606EDD">
            <w:pPr>
              <w:pStyle w:val="Tabletext0"/>
              <w:keepNext/>
              <w:jc w:val="left"/>
            </w:pPr>
            <w:r>
              <w:t>Using two-tier screening protocol</w:t>
            </w:r>
          </w:p>
          <w:p w14:paraId="629C8F70" w14:textId="77777777" w:rsidR="004D54B1" w:rsidRDefault="004D54B1" w:rsidP="00606EDD">
            <w:pPr>
              <w:pStyle w:val="Tabletext0"/>
              <w:keepNext/>
              <w:jc w:val="left"/>
              <w:rPr>
                <w:u w:val="single"/>
              </w:rPr>
            </w:pPr>
            <w:r>
              <w:rPr>
                <w:u w:val="single"/>
              </w:rPr>
              <w:t xml:space="preserve">Health outcome: </w:t>
            </w:r>
          </w:p>
          <w:p w14:paraId="2B37AA23" w14:textId="77777777" w:rsidR="004D54B1" w:rsidRDefault="004D54B1" w:rsidP="00606EDD">
            <w:pPr>
              <w:pStyle w:val="Tabletext0"/>
              <w:keepNext/>
              <w:jc w:val="left"/>
            </w:pPr>
            <w:r>
              <w:t>Early diagnosis of severe MPS II case</w:t>
            </w:r>
          </w:p>
          <w:p w14:paraId="1186C128" w14:textId="77777777" w:rsidR="004D54B1" w:rsidRDefault="004D54B1" w:rsidP="00606EDD">
            <w:pPr>
              <w:pStyle w:val="Tabletext0"/>
              <w:keepNext/>
              <w:jc w:val="left"/>
            </w:pPr>
            <w:r>
              <w:t>Early diagnosis of MPS II case</w:t>
            </w:r>
          </w:p>
          <w:p w14:paraId="79ACD719" w14:textId="77777777" w:rsidR="004D54B1" w:rsidRDefault="004D54B1" w:rsidP="00606EDD">
            <w:pPr>
              <w:pStyle w:val="Tabletext0"/>
              <w:keepNext/>
              <w:jc w:val="left"/>
              <w:rPr>
                <w:u w:val="single"/>
              </w:rPr>
            </w:pPr>
            <w:r>
              <w:rPr>
                <w:u w:val="single"/>
              </w:rPr>
              <w:t>Costs:</w:t>
            </w:r>
          </w:p>
          <w:p w14:paraId="76C4C36E" w14:textId="77777777" w:rsidR="004D54B1" w:rsidRDefault="004D54B1" w:rsidP="00606EDD">
            <w:pPr>
              <w:pStyle w:val="Tabletext0"/>
              <w:keepNext/>
              <w:jc w:val="left"/>
            </w:pPr>
            <w:r>
              <w:t xml:space="preserve">NBS: Costs associated with NBS for MPS II for all newborns, confirmatory and monitoring costs for MPS II cases and treatment costs for severe MPS II cases. </w:t>
            </w:r>
          </w:p>
          <w:p w14:paraId="758A3BC8" w14:textId="71557B41" w:rsidR="004D54B1" w:rsidRPr="00F37AED" w:rsidRDefault="35B2C925" w:rsidP="00606EDD">
            <w:pPr>
              <w:pStyle w:val="Tabletext0"/>
              <w:keepNext/>
              <w:jc w:val="left"/>
            </w:pPr>
            <w:r w:rsidRPr="7C4E3BA4">
              <w:t xml:space="preserve">No NBS: Diagnostic </w:t>
            </w:r>
            <w:r w:rsidR="007225DF">
              <w:t>delay</w:t>
            </w:r>
            <w:r w:rsidRPr="7C4E3BA4">
              <w:t>, confirmatory diagnosis and monitoring costs (once diagnosed) for MPS II cases and treatment costs (once diagnosed) for severe MPS II cases.</w:t>
            </w:r>
          </w:p>
        </w:tc>
      </w:tr>
      <w:tr w:rsidR="004D54B1" w:rsidRPr="00496C73" w14:paraId="04763170" w14:textId="77777777" w:rsidTr="006B5B78">
        <w:tc>
          <w:tcPr>
            <w:tcW w:w="3916" w:type="dxa"/>
            <w:gridSpan w:val="2"/>
          </w:tcPr>
          <w:p w14:paraId="375DACE9" w14:textId="77777777" w:rsidR="004D54B1" w:rsidRPr="00496C73" w:rsidRDefault="004D54B1" w:rsidP="00384417">
            <w:pPr>
              <w:pStyle w:val="Tabletext0"/>
              <w:keepNext/>
              <w:jc w:val="left"/>
              <w:rPr>
                <w:vertAlign w:val="superscript"/>
              </w:rPr>
            </w:pPr>
            <w:r w:rsidRPr="00496C73">
              <w:t>Costs</w:t>
            </w:r>
            <w:r>
              <w:t xml:space="preserve"> (on average, per person)</w:t>
            </w:r>
          </w:p>
        </w:tc>
        <w:tc>
          <w:tcPr>
            <w:tcW w:w="1586" w:type="dxa"/>
          </w:tcPr>
          <w:p w14:paraId="1FBF35EC" w14:textId="440D599D" w:rsidR="004D54B1" w:rsidRPr="0019724D" w:rsidRDefault="00FE5B13" w:rsidP="00384417">
            <w:pPr>
              <w:pStyle w:val="Tabletext0"/>
              <w:keepNext/>
              <w:jc w:val="center"/>
              <w:rPr>
                <w:highlight w:val="yellow"/>
                <w:vertAlign w:val="superscript"/>
              </w:rPr>
            </w:pPr>
            <w:r w:rsidRPr="00011DA9">
              <w:t>$</w:t>
            </w:r>
            <w:r w:rsidR="008D1385" w:rsidRPr="008D1385">
              <w:rPr>
                <w:rFonts w:cs="Courier New"/>
                <w:b/>
              </w:rPr>
              <w:t>Redacted</w:t>
            </w:r>
          </w:p>
        </w:tc>
        <w:tc>
          <w:tcPr>
            <w:tcW w:w="1656" w:type="dxa"/>
          </w:tcPr>
          <w:p w14:paraId="058458F5" w14:textId="4F33A6D0" w:rsidR="004D54B1" w:rsidRPr="0019724D" w:rsidRDefault="00FE5B13" w:rsidP="00384417">
            <w:pPr>
              <w:pStyle w:val="Tabletext0"/>
              <w:keepNext/>
              <w:jc w:val="center"/>
              <w:rPr>
                <w:highlight w:val="yellow"/>
              </w:rPr>
            </w:pPr>
            <w:r w:rsidRPr="00011DA9">
              <w:t>$</w:t>
            </w:r>
            <w:r w:rsidR="008D1385" w:rsidRPr="008D12FB">
              <w:rPr>
                <w:rFonts w:cs="Courier New"/>
                <w:b/>
              </w:rPr>
              <w:t>Redacted</w:t>
            </w:r>
          </w:p>
        </w:tc>
        <w:tc>
          <w:tcPr>
            <w:tcW w:w="1858" w:type="dxa"/>
          </w:tcPr>
          <w:p w14:paraId="415567A6" w14:textId="0B935E0B" w:rsidR="004D54B1" w:rsidRPr="0019724D"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42A26BD5" w14:textId="77777777" w:rsidTr="006B5B78">
        <w:tc>
          <w:tcPr>
            <w:tcW w:w="3916" w:type="dxa"/>
            <w:gridSpan w:val="2"/>
            <w:vAlign w:val="center"/>
          </w:tcPr>
          <w:p w14:paraId="455338E7" w14:textId="77777777" w:rsidR="004D54B1" w:rsidRPr="00496C73" w:rsidRDefault="004D54B1" w:rsidP="00606EDD">
            <w:pPr>
              <w:pStyle w:val="Tabletext0"/>
              <w:keepNext/>
              <w:jc w:val="left"/>
            </w:pPr>
            <w:r w:rsidRPr="00496C73">
              <w:t xml:space="preserve">Early diagnosis of </w:t>
            </w:r>
            <w:r>
              <w:t xml:space="preserve">severe </w:t>
            </w:r>
            <w:r w:rsidRPr="00496C73">
              <w:t xml:space="preserve">MPS II </w:t>
            </w:r>
            <w:r>
              <w:t>case</w:t>
            </w:r>
          </w:p>
        </w:tc>
        <w:tc>
          <w:tcPr>
            <w:tcW w:w="1586" w:type="dxa"/>
          </w:tcPr>
          <w:p w14:paraId="24BADDFF" w14:textId="77777777" w:rsidR="004D54B1" w:rsidRDefault="004D54B1" w:rsidP="00384417">
            <w:pPr>
              <w:pStyle w:val="Tabletext0"/>
              <w:keepNext/>
              <w:jc w:val="center"/>
            </w:pPr>
            <w:r w:rsidRPr="005262C7">
              <w:t>0.00000468</w:t>
            </w:r>
          </w:p>
          <w:p w14:paraId="2FE33E94" w14:textId="77777777" w:rsidR="004D54B1" w:rsidRPr="00496C73" w:rsidRDefault="004D54B1" w:rsidP="00384417">
            <w:pPr>
              <w:pStyle w:val="Tabletext0"/>
              <w:keepNext/>
              <w:jc w:val="center"/>
            </w:pPr>
            <w:r>
              <w:t>4.7 per million</w:t>
            </w:r>
          </w:p>
        </w:tc>
        <w:tc>
          <w:tcPr>
            <w:tcW w:w="1656" w:type="dxa"/>
            <w:vAlign w:val="center"/>
          </w:tcPr>
          <w:p w14:paraId="3BE47D6C" w14:textId="77777777" w:rsidR="004D54B1" w:rsidRPr="00496C73" w:rsidRDefault="004D54B1" w:rsidP="00384417">
            <w:pPr>
              <w:pStyle w:val="Tabletext0"/>
              <w:keepNext/>
              <w:jc w:val="center"/>
            </w:pPr>
            <w:r>
              <w:t>0</w:t>
            </w:r>
          </w:p>
        </w:tc>
        <w:tc>
          <w:tcPr>
            <w:tcW w:w="1858" w:type="dxa"/>
          </w:tcPr>
          <w:p w14:paraId="47AC60EA" w14:textId="77777777" w:rsidR="004D54B1" w:rsidRDefault="004D54B1" w:rsidP="00384417">
            <w:pPr>
              <w:pStyle w:val="Tabletext0"/>
              <w:keepNext/>
              <w:jc w:val="center"/>
            </w:pPr>
            <w:r w:rsidRPr="005262C7">
              <w:t>0.00000468</w:t>
            </w:r>
          </w:p>
          <w:p w14:paraId="3B0ED231" w14:textId="77777777" w:rsidR="004D54B1" w:rsidRPr="00496C73" w:rsidRDefault="004D54B1" w:rsidP="00384417">
            <w:pPr>
              <w:pStyle w:val="Tabletext0"/>
              <w:keepNext/>
              <w:jc w:val="center"/>
            </w:pPr>
            <w:r>
              <w:t>4.7 per million</w:t>
            </w:r>
          </w:p>
        </w:tc>
      </w:tr>
      <w:tr w:rsidR="004D54B1" w:rsidRPr="00496C73" w14:paraId="174EE99B" w14:textId="77777777" w:rsidTr="006B5B78">
        <w:tc>
          <w:tcPr>
            <w:tcW w:w="3916" w:type="dxa"/>
            <w:gridSpan w:val="2"/>
            <w:vAlign w:val="center"/>
          </w:tcPr>
          <w:p w14:paraId="6C0F8F89" w14:textId="77777777" w:rsidR="004D54B1" w:rsidRPr="00496C73" w:rsidRDefault="004D54B1" w:rsidP="00606EDD">
            <w:pPr>
              <w:pStyle w:val="Tabletext0"/>
              <w:keepNext/>
              <w:jc w:val="left"/>
            </w:pPr>
            <w:r w:rsidRPr="00496C73">
              <w:t xml:space="preserve">Early diagnosis of MPS II </w:t>
            </w:r>
            <w:r>
              <w:t>case</w:t>
            </w:r>
          </w:p>
        </w:tc>
        <w:tc>
          <w:tcPr>
            <w:tcW w:w="1586" w:type="dxa"/>
          </w:tcPr>
          <w:p w14:paraId="2C026DB6" w14:textId="77777777" w:rsidR="004D54B1" w:rsidRDefault="004D54B1" w:rsidP="00384417">
            <w:pPr>
              <w:pStyle w:val="Tabletext0"/>
              <w:keepNext/>
              <w:jc w:val="center"/>
            </w:pPr>
            <w:r w:rsidRPr="005262C7">
              <w:t>0.00001420</w:t>
            </w:r>
          </w:p>
          <w:p w14:paraId="7437AB2B" w14:textId="77777777" w:rsidR="004D54B1" w:rsidRPr="00496C73" w:rsidRDefault="004D54B1" w:rsidP="00384417">
            <w:pPr>
              <w:pStyle w:val="Tabletext0"/>
              <w:keepNext/>
              <w:jc w:val="center"/>
            </w:pPr>
            <w:r>
              <w:t>14.2 per million</w:t>
            </w:r>
          </w:p>
        </w:tc>
        <w:tc>
          <w:tcPr>
            <w:tcW w:w="1656" w:type="dxa"/>
            <w:vAlign w:val="center"/>
          </w:tcPr>
          <w:p w14:paraId="16AE7879" w14:textId="77777777" w:rsidR="004D54B1" w:rsidRPr="00496C73" w:rsidRDefault="004D54B1" w:rsidP="00384417">
            <w:pPr>
              <w:pStyle w:val="Tabletext0"/>
              <w:keepNext/>
              <w:jc w:val="center"/>
            </w:pPr>
            <w:r>
              <w:t>0</w:t>
            </w:r>
          </w:p>
        </w:tc>
        <w:tc>
          <w:tcPr>
            <w:tcW w:w="1858" w:type="dxa"/>
          </w:tcPr>
          <w:p w14:paraId="3E508A81" w14:textId="77777777" w:rsidR="004D54B1" w:rsidRDefault="004D54B1" w:rsidP="00384417">
            <w:pPr>
              <w:pStyle w:val="Tabletext0"/>
              <w:keepNext/>
              <w:jc w:val="center"/>
            </w:pPr>
            <w:r w:rsidRPr="005262C7">
              <w:t>0.00001420</w:t>
            </w:r>
          </w:p>
          <w:p w14:paraId="32DE5AD2" w14:textId="77777777" w:rsidR="004D54B1" w:rsidRPr="00496C73" w:rsidRDefault="004D54B1" w:rsidP="00384417">
            <w:pPr>
              <w:pStyle w:val="Tabletext0"/>
              <w:keepNext/>
              <w:jc w:val="center"/>
            </w:pPr>
            <w:r>
              <w:t>14.2 per million</w:t>
            </w:r>
          </w:p>
        </w:tc>
      </w:tr>
      <w:tr w:rsidR="004D54B1" w:rsidRPr="00496C73" w14:paraId="699E3077" w14:textId="77777777" w:rsidTr="006B5B78">
        <w:tc>
          <w:tcPr>
            <w:tcW w:w="7158" w:type="dxa"/>
            <w:gridSpan w:val="4"/>
            <w:vAlign w:val="center"/>
          </w:tcPr>
          <w:p w14:paraId="4964A571" w14:textId="77777777" w:rsidR="004D54B1" w:rsidRPr="00A13B75" w:rsidRDefault="004D54B1" w:rsidP="00606EDD">
            <w:pPr>
              <w:pStyle w:val="Tabletext0"/>
              <w:keepNext/>
              <w:jc w:val="left"/>
            </w:pPr>
            <w:r w:rsidRPr="00A13B75">
              <w:t>ICER ($/early diagnosis of severe MPS II case)</w:t>
            </w:r>
          </w:p>
        </w:tc>
        <w:tc>
          <w:tcPr>
            <w:tcW w:w="1858" w:type="dxa"/>
          </w:tcPr>
          <w:p w14:paraId="352BBA7D" w14:textId="2F8B95BA" w:rsidR="004D54B1" w:rsidRPr="009B7624"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645888CA" w14:textId="77777777" w:rsidTr="006B5B78">
        <w:tc>
          <w:tcPr>
            <w:tcW w:w="7158" w:type="dxa"/>
            <w:gridSpan w:val="4"/>
            <w:vAlign w:val="center"/>
          </w:tcPr>
          <w:p w14:paraId="74B62403" w14:textId="77777777" w:rsidR="004D54B1" w:rsidRPr="00A13B75" w:rsidRDefault="004D54B1" w:rsidP="00606EDD">
            <w:pPr>
              <w:pStyle w:val="Tabletext0"/>
              <w:keepNext/>
              <w:jc w:val="left"/>
            </w:pPr>
            <w:r w:rsidRPr="00A13B75">
              <w:t>ICER ($/early diagnosis of MPS II case)</w:t>
            </w:r>
          </w:p>
        </w:tc>
        <w:tc>
          <w:tcPr>
            <w:tcW w:w="1858" w:type="dxa"/>
          </w:tcPr>
          <w:p w14:paraId="0A907EAE" w14:textId="18FBD039" w:rsidR="004D54B1" w:rsidRPr="009B7624"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3DAB8D16" w14:textId="77777777" w:rsidTr="006B5B78">
        <w:tc>
          <w:tcPr>
            <w:tcW w:w="9016" w:type="dxa"/>
            <w:gridSpan w:val="5"/>
            <w:vAlign w:val="center"/>
          </w:tcPr>
          <w:p w14:paraId="6307CF60" w14:textId="77777777" w:rsidR="004D54B1" w:rsidRPr="0041585F" w:rsidRDefault="004D54B1" w:rsidP="00606EDD">
            <w:pPr>
              <w:pStyle w:val="Tabletext0"/>
              <w:keepNext/>
              <w:jc w:val="left"/>
            </w:pPr>
            <w:r>
              <w:rPr>
                <w:b/>
                <w:bCs/>
              </w:rPr>
              <w:t>S</w:t>
            </w:r>
            <w:r w:rsidRPr="005D5168">
              <w:rPr>
                <w:b/>
                <w:bCs/>
              </w:rPr>
              <w:t>ingle-tier screening</w:t>
            </w:r>
            <w:r>
              <w:rPr>
                <w:b/>
                <w:bCs/>
              </w:rPr>
              <w:t xml:space="preserve"> protocol using NRE-GAG assay</w:t>
            </w:r>
          </w:p>
        </w:tc>
      </w:tr>
      <w:tr w:rsidR="004D54B1" w:rsidRPr="00496C73" w14:paraId="0B5BA2A4" w14:textId="77777777" w:rsidTr="006B5B78">
        <w:tc>
          <w:tcPr>
            <w:tcW w:w="3856" w:type="dxa"/>
          </w:tcPr>
          <w:p w14:paraId="79505E74" w14:textId="77777777" w:rsidR="004D54B1" w:rsidRPr="00496C73" w:rsidRDefault="004D54B1" w:rsidP="00606EDD">
            <w:pPr>
              <w:pStyle w:val="Tabletext0"/>
              <w:keepNext/>
              <w:jc w:val="left"/>
              <w:rPr>
                <w:b/>
                <w:bCs/>
              </w:rPr>
            </w:pPr>
            <w:r w:rsidRPr="00496C73">
              <w:t>Costs</w:t>
            </w:r>
            <w:r>
              <w:t xml:space="preserve"> (on average, per person)</w:t>
            </w:r>
          </w:p>
        </w:tc>
        <w:tc>
          <w:tcPr>
            <w:tcW w:w="1646" w:type="dxa"/>
            <w:gridSpan w:val="2"/>
          </w:tcPr>
          <w:p w14:paraId="1B4483B3" w14:textId="0F6FD168" w:rsidR="004D54B1" w:rsidRPr="0019724D" w:rsidRDefault="008D1385" w:rsidP="00384417">
            <w:pPr>
              <w:pStyle w:val="Tabletext0"/>
              <w:keepNext/>
              <w:jc w:val="center"/>
              <w:rPr>
                <w:b/>
                <w:bCs/>
                <w:highlight w:val="yellow"/>
              </w:rPr>
            </w:pPr>
            <w:r w:rsidRPr="008D12FB">
              <w:t>$</w:t>
            </w:r>
            <w:r w:rsidRPr="008D1385">
              <w:rPr>
                <w:rFonts w:cs="Courier New"/>
                <w:b/>
              </w:rPr>
              <w:t>Redacted</w:t>
            </w:r>
          </w:p>
        </w:tc>
        <w:tc>
          <w:tcPr>
            <w:tcW w:w="1656" w:type="dxa"/>
          </w:tcPr>
          <w:p w14:paraId="2E7D31BC" w14:textId="4FC14D2F" w:rsidR="004D54B1" w:rsidRPr="0019724D" w:rsidRDefault="008D1385" w:rsidP="00384417">
            <w:pPr>
              <w:pStyle w:val="Tabletext0"/>
              <w:keepNext/>
              <w:jc w:val="center"/>
              <w:rPr>
                <w:b/>
                <w:bCs/>
                <w:highlight w:val="yellow"/>
              </w:rPr>
            </w:pPr>
            <w:r w:rsidRPr="008D12FB">
              <w:t>$</w:t>
            </w:r>
            <w:r w:rsidRPr="008D1385">
              <w:rPr>
                <w:rFonts w:cs="Courier New"/>
                <w:b/>
              </w:rPr>
              <w:t>Redacted</w:t>
            </w:r>
          </w:p>
        </w:tc>
        <w:tc>
          <w:tcPr>
            <w:tcW w:w="1858" w:type="dxa"/>
          </w:tcPr>
          <w:p w14:paraId="13E9CC9F" w14:textId="45BAEC13" w:rsidR="004D54B1" w:rsidRPr="0019724D"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091D66EB" w14:textId="77777777" w:rsidTr="006B5B78">
        <w:tc>
          <w:tcPr>
            <w:tcW w:w="3856" w:type="dxa"/>
            <w:vAlign w:val="center"/>
          </w:tcPr>
          <w:p w14:paraId="557B2DDE" w14:textId="77777777" w:rsidR="004D54B1" w:rsidRPr="00496C73" w:rsidRDefault="004D54B1" w:rsidP="00606EDD">
            <w:pPr>
              <w:pStyle w:val="Tabletext0"/>
              <w:keepNext/>
              <w:jc w:val="left"/>
              <w:rPr>
                <w:b/>
                <w:bCs/>
              </w:rPr>
            </w:pPr>
            <w:r w:rsidRPr="00496C73">
              <w:t xml:space="preserve">Early diagnosis of </w:t>
            </w:r>
            <w:r>
              <w:t xml:space="preserve">severe </w:t>
            </w:r>
            <w:r w:rsidRPr="00496C73">
              <w:t xml:space="preserve">MPS II </w:t>
            </w:r>
            <w:r>
              <w:t>case</w:t>
            </w:r>
          </w:p>
        </w:tc>
        <w:tc>
          <w:tcPr>
            <w:tcW w:w="1646" w:type="dxa"/>
            <w:gridSpan w:val="2"/>
            <w:vAlign w:val="center"/>
          </w:tcPr>
          <w:p w14:paraId="719B71A4" w14:textId="77777777" w:rsidR="004D54B1" w:rsidRDefault="004D54B1" w:rsidP="00384417">
            <w:pPr>
              <w:pStyle w:val="Tabletext0"/>
              <w:keepNext/>
              <w:jc w:val="center"/>
            </w:pPr>
            <w:r w:rsidRPr="005262C7">
              <w:t>0.00000468</w:t>
            </w:r>
          </w:p>
          <w:p w14:paraId="7363922B" w14:textId="77777777" w:rsidR="004D54B1" w:rsidRPr="00496C73" w:rsidRDefault="004D54B1" w:rsidP="00384417">
            <w:pPr>
              <w:pStyle w:val="Tabletext0"/>
              <w:keepNext/>
              <w:jc w:val="center"/>
              <w:rPr>
                <w:b/>
                <w:bCs/>
              </w:rPr>
            </w:pPr>
            <w:r>
              <w:t>4.7 per million</w:t>
            </w:r>
          </w:p>
        </w:tc>
        <w:tc>
          <w:tcPr>
            <w:tcW w:w="1656" w:type="dxa"/>
            <w:vAlign w:val="center"/>
          </w:tcPr>
          <w:p w14:paraId="4DEB638C" w14:textId="77777777" w:rsidR="004D54B1" w:rsidRPr="00496C73" w:rsidRDefault="004D54B1" w:rsidP="00384417">
            <w:pPr>
              <w:pStyle w:val="Tabletext0"/>
              <w:keepNext/>
              <w:jc w:val="center"/>
              <w:rPr>
                <w:b/>
                <w:bCs/>
              </w:rPr>
            </w:pPr>
            <w:r>
              <w:t>0</w:t>
            </w:r>
          </w:p>
        </w:tc>
        <w:tc>
          <w:tcPr>
            <w:tcW w:w="1858" w:type="dxa"/>
            <w:vAlign w:val="center"/>
          </w:tcPr>
          <w:p w14:paraId="5A56C94D" w14:textId="77777777" w:rsidR="004D54B1" w:rsidRDefault="004D54B1" w:rsidP="00384417">
            <w:pPr>
              <w:pStyle w:val="Tabletext0"/>
              <w:keepNext/>
              <w:jc w:val="center"/>
            </w:pPr>
            <w:r w:rsidRPr="005262C7">
              <w:t>0.00000468</w:t>
            </w:r>
          </w:p>
          <w:p w14:paraId="4E7567D6" w14:textId="77777777" w:rsidR="004D54B1" w:rsidRPr="0041585F" w:rsidRDefault="004D54B1" w:rsidP="00384417">
            <w:pPr>
              <w:pStyle w:val="Tabletext0"/>
              <w:keepNext/>
              <w:jc w:val="center"/>
            </w:pPr>
            <w:r>
              <w:t>4.7 per million</w:t>
            </w:r>
          </w:p>
        </w:tc>
      </w:tr>
      <w:tr w:rsidR="004D54B1" w:rsidRPr="00496C73" w14:paraId="39E983DE" w14:textId="77777777" w:rsidTr="006B5B78">
        <w:tc>
          <w:tcPr>
            <w:tcW w:w="3856" w:type="dxa"/>
            <w:vAlign w:val="center"/>
          </w:tcPr>
          <w:p w14:paraId="4802079C" w14:textId="77777777" w:rsidR="004D54B1" w:rsidRPr="00496C73" w:rsidRDefault="004D54B1" w:rsidP="00606EDD">
            <w:pPr>
              <w:pStyle w:val="Tabletext0"/>
              <w:keepNext/>
              <w:jc w:val="left"/>
              <w:rPr>
                <w:b/>
                <w:bCs/>
              </w:rPr>
            </w:pPr>
            <w:r w:rsidRPr="00496C73">
              <w:t xml:space="preserve">Early diagnosis of MPS II </w:t>
            </w:r>
            <w:r>
              <w:t>case</w:t>
            </w:r>
          </w:p>
        </w:tc>
        <w:tc>
          <w:tcPr>
            <w:tcW w:w="1646" w:type="dxa"/>
            <w:gridSpan w:val="2"/>
            <w:vAlign w:val="center"/>
          </w:tcPr>
          <w:p w14:paraId="10EAB508" w14:textId="77777777" w:rsidR="004D54B1" w:rsidRDefault="004D54B1" w:rsidP="00384417">
            <w:pPr>
              <w:pStyle w:val="Tabletext0"/>
              <w:keepNext/>
              <w:jc w:val="center"/>
            </w:pPr>
            <w:r w:rsidRPr="005262C7">
              <w:t>0.00001420</w:t>
            </w:r>
          </w:p>
          <w:p w14:paraId="172FA0B7" w14:textId="77777777" w:rsidR="004D54B1" w:rsidRPr="00496C73" w:rsidRDefault="004D54B1" w:rsidP="00384417">
            <w:pPr>
              <w:pStyle w:val="Tabletext0"/>
              <w:keepNext/>
              <w:jc w:val="center"/>
              <w:rPr>
                <w:b/>
                <w:bCs/>
              </w:rPr>
            </w:pPr>
            <w:r>
              <w:t>14.2 per million</w:t>
            </w:r>
          </w:p>
        </w:tc>
        <w:tc>
          <w:tcPr>
            <w:tcW w:w="1656" w:type="dxa"/>
            <w:vAlign w:val="center"/>
          </w:tcPr>
          <w:p w14:paraId="193557C9" w14:textId="77777777" w:rsidR="004D54B1" w:rsidRPr="00496C73" w:rsidRDefault="004D54B1" w:rsidP="00384417">
            <w:pPr>
              <w:pStyle w:val="Tabletext0"/>
              <w:keepNext/>
              <w:jc w:val="center"/>
              <w:rPr>
                <w:b/>
                <w:bCs/>
              </w:rPr>
            </w:pPr>
            <w:r>
              <w:t>0</w:t>
            </w:r>
          </w:p>
        </w:tc>
        <w:tc>
          <w:tcPr>
            <w:tcW w:w="1858" w:type="dxa"/>
            <w:vAlign w:val="center"/>
          </w:tcPr>
          <w:p w14:paraId="2E75828D" w14:textId="77777777" w:rsidR="004D54B1" w:rsidRDefault="004D54B1" w:rsidP="00384417">
            <w:pPr>
              <w:pStyle w:val="Tabletext0"/>
              <w:keepNext/>
              <w:jc w:val="center"/>
            </w:pPr>
            <w:r w:rsidRPr="005262C7">
              <w:t>0.00001420</w:t>
            </w:r>
          </w:p>
          <w:p w14:paraId="6D1E2E77" w14:textId="77777777" w:rsidR="004D54B1" w:rsidRPr="0041585F" w:rsidRDefault="004D54B1" w:rsidP="00384417">
            <w:pPr>
              <w:pStyle w:val="Tabletext0"/>
              <w:keepNext/>
              <w:jc w:val="center"/>
            </w:pPr>
            <w:r>
              <w:t>14.2 per million</w:t>
            </w:r>
          </w:p>
        </w:tc>
      </w:tr>
      <w:tr w:rsidR="004D54B1" w:rsidRPr="00496C73" w14:paraId="1C99DC13" w14:textId="77777777" w:rsidTr="006B5B78">
        <w:tc>
          <w:tcPr>
            <w:tcW w:w="7158" w:type="dxa"/>
            <w:gridSpan w:val="4"/>
            <w:vAlign w:val="center"/>
          </w:tcPr>
          <w:p w14:paraId="4E74A035" w14:textId="77777777" w:rsidR="004D54B1" w:rsidRPr="00496C73" w:rsidRDefault="004D54B1" w:rsidP="00606EDD">
            <w:pPr>
              <w:pStyle w:val="Tabletext0"/>
              <w:keepNext/>
              <w:jc w:val="left"/>
              <w:rPr>
                <w:b/>
                <w:bCs/>
              </w:rPr>
            </w:pPr>
            <w:r w:rsidRPr="00A13B75">
              <w:t>ICER ($/early diagnosis of severe MPS II case)</w:t>
            </w:r>
          </w:p>
        </w:tc>
        <w:tc>
          <w:tcPr>
            <w:tcW w:w="1858" w:type="dxa"/>
          </w:tcPr>
          <w:p w14:paraId="6B32F2CF" w14:textId="2EFF733D" w:rsidR="004D54B1" w:rsidRPr="009B7624"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6979F630" w14:textId="77777777" w:rsidTr="006B5B78">
        <w:tc>
          <w:tcPr>
            <w:tcW w:w="7158" w:type="dxa"/>
            <w:gridSpan w:val="4"/>
            <w:vAlign w:val="center"/>
          </w:tcPr>
          <w:p w14:paraId="559C7588" w14:textId="77777777" w:rsidR="004D54B1" w:rsidRPr="00496C73" w:rsidRDefault="004D54B1" w:rsidP="00606EDD">
            <w:pPr>
              <w:pStyle w:val="Tabletext0"/>
              <w:keepNext/>
              <w:jc w:val="left"/>
              <w:rPr>
                <w:b/>
                <w:bCs/>
              </w:rPr>
            </w:pPr>
            <w:r w:rsidRPr="00A13B75">
              <w:t>ICER ($/early diagnosis of MPS II case)</w:t>
            </w:r>
          </w:p>
        </w:tc>
        <w:tc>
          <w:tcPr>
            <w:tcW w:w="1858" w:type="dxa"/>
          </w:tcPr>
          <w:p w14:paraId="6E55B7D2" w14:textId="18F4B8F0" w:rsidR="004D54B1" w:rsidRPr="009B7624"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524484BD" w14:textId="77777777" w:rsidTr="006B5B78">
        <w:tc>
          <w:tcPr>
            <w:tcW w:w="9016" w:type="dxa"/>
            <w:gridSpan w:val="5"/>
            <w:vAlign w:val="center"/>
          </w:tcPr>
          <w:p w14:paraId="06E675DE" w14:textId="3377EB4F" w:rsidR="004D54B1" w:rsidRPr="0041585F" w:rsidRDefault="004D54B1" w:rsidP="00606EDD">
            <w:pPr>
              <w:pStyle w:val="Tabletext0"/>
              <w:keepNext/>
              <w:jc w:val="left"/>
            </w:pPr>
            <w:r>
              <w:rPr>
                <w:b/>
                <w:bCs/>
              </w:rPr>
              <w:t>M</w:t>
            </w:r>
            <w:r w:rsidRPr="005D5168">
              <w:rPr>
                <w:b/>
                <w:bCs/>
              </w:rPr>
              <w:t>ultiplex</w:t>
            </w:r>
            <w:r>
              <w:rPr>
                <w:b/>
                <w:bCs/>
              </w:rPr>
              <w:t>ed</w:t>
            </w:r>
            <w:r w:rsidRPr="005D5168">
              <w:rPr>
                <w:b/>
                <w:bCs/>
              </w:rPr>
              <w:t xml:space="preserve"> </w:t>
            </w:r>
            <w:r>
              <w:rPr>
                <w:b/>
                <w:bCs/>
              </w:rPr>
              <w:t>single</w:t>
            </w:r>
            <w:r w:rsidRPr="005D5168">
              <w:rPr>
                <w:b/>
                <w:bCs/>
              </w:rPr>
              <w:t xml:space="preserve">-tier screening </w:t>
            </w:r>
            <w:r>
              <w:rPr>
                <w:b/>
                <w:bCs/>
              </w:rPr>
              <w:t>for MPS I and MPS II</w:t>
            </w:r>
          </w:p>
        </w:tc>
      </w:tr>
      <w:tr w:rsidR="004D54B1" w:rsidRPr="00496C73" w14:paraId="195E1A21" w14:textId="77777777" w:rsidTr="006B5B78">
        <w:tc>
          <w:tcPr>
            <w:tcW w:w="3856" w:type="dxa"/>
          </w:tcPr>
          <w:p w14:paraId="29A51E41" w14:textId="77777777" w:rsidR="004D54B1" w:rsidRDefault="004D54B1" w:rsidP="00606EDD">
            <w:pPr>
              <w:pStyle w:val="Tabletext0"/>
              <w:keepNext/>
              <w:jc w:val="left"/>
              <w:rPr>
                <w:b/>
                <w:bCs/>
              </w:rPr>
            </w:pPr>
            <w:r w:rsidRPr="00496C73">
              <w:t>Costs</w:t>
            </w:r>
            <w:r>
              <w:t xml:space="preserve"> (on average, per person)</w:t>
            </w:r>
          </w:p>
        </w:tc>
        <w:tc>
          <w:tcPr>
            <w:tcW w:w="1646" w:type="dxa"/>
            <w:gridSpan w:val="2"/>
          </w:tcPr>
          <w:p w14:paraId="3E86640D" w14:textId="7F67977D" w:rsidR="004D54B1" w:rsidRPr="0019724D" w:rsidRDefault="008D1385" w:rsidP="00384417">
            <w:pPr>
              <w:pStyle w:val="Tabletext0"/>
              <w:keepNext/>
              <w:jc w:val="center"/>
              <w:rPr>
                <w:b/>
                <w:bCs/>
                <w:highlight w:val="yellow"/>
              </w:rPr>
            </w:pPr>
            <w:r w:rsidRPr="008D12FB">
              <w:t>$</w:t>
            </w:r>
            <w:r w:rsidRPr="008D1385">
              <w:rPr>
                <w:rFonts w:cs="Courier New"/>
                <w:b/>
              </w:rPr>
              <w:t>Redacted</w:t>
            </w:r>
          </w:p>
        </w:tc>
        <w:tc>
          <w:tcPr>
            <w:tcW w:w="1656" w:type="dxa"/>
          </w:tcPr>
          <w:p w14:paraId="44B928A7" w14:textId="442BA17A" w:rsidR="004D54B1" w:rsidRPr="0019724D" w:rsidRDefault="008D1385" w:rsidP="00384417">
            <w:pPr>
              <w:pStyle w:val="Tabletext0"/>
              <w:keepNext/>
              <w:jc w:val="center"/>
              <w:rPr>
                <w:b/>
                <w:bCs/>
                <w:highlight w:val="yellow"/>
              </w:rPr>
            </w:pPr>
            <w:r w:rsidRPr="008D12FB">
              <w:t>$</w:t>
            </w:r>
            <w:r w:rsidRPr="008D1385">
              <w:rPr>
                <w:rFonts w:cs="Courier New"/>
                <w:b/>
              </w:rPr>
              <w:t>Redacted</w:t>
            </w:r>
          </w:p>
        </w:tc>
        <w:tc>
          <w:tcPr>
            <w:tcW w:w="1858" w:type="dxa"/>
          </w:tcPr>
          <w:p w14:paraId="0E597805" w14:textId="58DEA3F4" w:rsidR="004D54B1" w:rsidRPr="0019724D"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2AC2FE56" w14:textId="77777777" w:rsidTr="006B5B78">
        <w:tc>
          <w:tcPr>
            <w:tcW w:w="3856" w:type="dxa"/>
            <w:vAlign w:val="center"/>
          </w:tcPr>
          <w:p w14:paraId="4A1D3450" w14:textId="77777777" w:rsidR="004D54B1" w:rsidRDefault="004D54B1" w:rsidP="00606EDD">
            <w:pPr>
              <w:pStyle w:val="Tabletext0"/>
              <w:keepNext/>
              <w:jc w:val="left"/>
              <w:rPr>
                <w:b/>
                <w:bCs/>
              </w:rPr>
            </w:pPr>
            <w:r w:rsidRPr="00496C73">
              <w:t xml:space="preserve">Early diagnosis of </w:t>
            </w:r>
            <w:r>
              <w:t xml:space="preserve">severe </w:t>
            </w:r>
            <w:r w:rsidRPr="00496C73">
              <w:t xml:space="preserve">MPS II </w:t>
            </w:r>
            <w:r>
              <w:t>case</w:t>
            </w:r>
          </w:p>
        </w:tc>
        <w:tc>
          <w:tcPr>
            <w:tcW w:w="1646" w:type="dxa"/>
            <w:gridSpan w:val="2"/>
            <w:vAlign w:val="center"/>
          </w:tcPr>
          <w:p w14:paraId="5D6CB01C" w14:textId="77777777" w:rsidR="004D54B1" w:rsidRDefault="004D54B1" w:rsidP="00384417">
            <w:pPr>
              <w:pStyle w:val="Tabletext0"/>
              <w:keepNext/>
              <w:jc w:val="center"/>
            </w:pPr>
            <w:r w:rsidRPr="005262C7">
              <w:t>0.00000468</w:t>
            </w:r>
          </w:p>
          <w:p w14:paraId="2DAD1437" w14:textId="77777777" w:rsidR="004D54B1" w:rsidRPr="00496C73" w:rsidRDefault="004D54B1" w:rsidP="00384417">
            <w:pPr>
              <w:pStyle w:val="Tabletext0"/>
              <w:keepNext/>
              <w:jc w:val="center"/>
              <w:rPr>
                <w:b/>
                <w:bCs/>
              </w:rPr>
            </w:pPr>
            <w:r>
              <w:t>4.7 per million</w:t>
            </w:r>
          </w:p>
        </w:tc>
        <w:tc>
          <w:tcPr>
            <w:tcW w:w="1656" w:type="dxa"/>
            <w:vAlign w:val="center"/>
          </w:tcPr>
          <w:p w14:paraId="63ED46FD" w14:textId="77777777" w:rsidR="004D54B1" w:rsidRPr="00496C73" w:rsidRDefault="004D54B1" w:rsidP="00384417">
            <w:pPr>
              <w:pStyle w:val="Tabletext0"/>
              <w:keepNext/>
              <w:jc w:val="center"/>
              <w:rPr>
                <w:b/>
                <w:bCs/>
              </w:rPr>
            </w:pPr>
            <w:r>
              <w:t>0</w:t>
            </w:r>
          </w:p>
        </w:tc>
        <w:tc>
          <w:tcPr>
            <w:tcW w:w="1858" w:type="dxa"/>
            <w:vAlign w:val="center"/>
          </w:tcPr>
          <w:p w14:paraId="20C93CEA" w14:textId="77777777" w:rsidR="004D54B1" w:rsidRDefault="004D54B1" w:rsidP="00384417">
            <w:pPr>
              <w:pStyle w:val="Tabletext0"/>
              <w:keepNext/>
              <w:jc w:val="center"/>
            </w:pPr>
            <w:r w:rsidRPr="005262C7">
              <w:t>0.00000468</w:t>
            </w:r>
          </w:p>
          <w:p w14:paraId="6332B127" w14:textId="77777777" w:rsidR="004D54B1" w:rsidRPr="0041585F" w:rsidRDefault="004D54B1" w:rsidP="00384417">
            <w:pPr>
              <w:pStyle w:val="Tabletext0"/>
              <w:keepNext/>
              <w:jc w:val="center"/>
            </w:pPr>
            <w:r>
              <w:t>4.7 per million</w:t>
            </w:r>
          </w:p>
        </w:tc>
      </w:tr>
      <w:tr w:rsidR="004D54B1" w:rsidRPr="00496C73" w14:paraId="3813A243" w14:textId="77777777" w:rsidTr="006B5B78">
        <w:tc>
          <w:tcPr>
            <w:tcW w:w="3856" w:type="dxa"/>
            <w:vAlign w:val="center"/>
          </w:tcPr>
          <w:p w14:paraId="15A3E291" w14:textId="77777777" w:rsidR="004D54B1" w:rsidRDefault="004D54B1" w:rsidP="00606EDD">
            <w:pPr>
              <w:pStyle w:val="Tabletext0"/>
              <w:keepNext/>
              <w:jc w:val="left"/>
              <w:rPr>
                <w:b/>
                <w:bCs/>
              </w:rPr>
            </w:pPr>
            <w:r w:rsidRPr="00496C73">
              <w:t xml:space="preserve">Early diagnosis of MPS II </w:t>
            </w:r>
            <w:r>
              <w:t>case</w:t>
            </w:r>
          </w:p>
        </w:tc>
        <w:tc>
          <w:tcPr>
            <w:tcW w:w="1646" w:type="dxa"/>
            <w:gridSpan w:val="2"/>
            <w:vAlign w:val="center"/>
          </w:tcPr>
          <w:p w14:paraId="4B37866E" w14:textId="77777777" w:rsidR="004D54B1" w:rsidRDefault="004D54B1" w:rsidP="00384417">
            <w:pPr>
              <w:pStyle w:val="Tabletext0"/>
              <w:keepNext/>
              <w:jc w:val="center"/>
            </w:pPr>
            <w:r w:rsidRPr="005262C7">
              <w:t>0.00001420</w:t>
            </w:r>
          </w:p>
          <w:p w14:paraId="2C2CF4D1" w14:textId="77777777" w:rsidR="004D54B1" w:rsidRPr="00496C73" w:rsidRDefault="004D54B1" w:rsidP="00384417">
            <w:pPr>
              <w:pStyle w:val="Tabletext0"/>
              <w:keepNext/>
              <w:jc w:val="center"/>
              <w:rPr>
                <w:b/>
                <w:bCs/>
              </w:rPr>
            </w:pPr>
            <w:r>
              <w:t>14.2 per million</w:t>
            </w:r>
          </w:p>
        </w:tc>
        <w:tc>
          <w:tcPr>
            <w:tcW w:w="1656" w:type="dxa"/>
            <w:vAlign w:val="center"/>
          </w:tcPr>
          <w:p w14:paraId="53B8BB02" w14:textId="77777777" w:rsidR="004D54B1" w:rsidRPr="00496C73" w:rsidRDefault="004D54B1" w:rsidP="00384417">
            <w:pPr>
              <w:pStyle w:val="Tabletext0"/>
              <w:keepNext/>
              <w:jc w:val="center"/>
              <w:rPr>
                <w:b/>
                <w:bCs/>
              </w:rPr>
            </w:pPr>
            <w:r>
              <w:t>0</w:t>
            </w:r>
          </w:p>
        </w:tc>
        <w:tc>
          <w:tcPr>
            <w:tcW w:w="1858" w:type="dxa"/>
            <w:vAlign w:val="center"/>
          </w:tcPr>
          <w:p w14:paraId="70EB27B2" w14:textId="77777777" w:rsidR="004D54B1" w:rsidRDefault="004D54B1" w:rsidP="00384417">
            <w:pPr>
              <w:pStyle w:val="Tabletext0"/>
              <w:keepNext/>
              <w:jc w:val="center"/>
            </w:pPr>
            <w:r w:rsidRPr="005262C7">
              <w:t>0.00001420</w:t>
            </w:r>
          </w:p>
          <w:p w14:paraId="085ECE0E" w14:textId="77777777" w:rsidR="004D54B1" w:rsidRPr="0041585F" w:rsidRDefault="004D54B1" w:rsidP="00384417">
            <w:pPr>
              <w:pStyle w:val="Tabletext0"/>
              <w:keepNext/>
              <w:jc w:val="center"/>
            </w:pPr>
            <w:r>
              <w:t>14.2 per million</w:t>
            </w:r>
          </w:p>
        </w:tc>
      </w:tr>
      <w:tr w:rsidR="004D54B1" w:rsidRPr="00496C73" w14:paraId="750EA799" w14:textId="77777777" w:rsidTr="006B5B78">
        <w:tc>
          <w:tcPr>
            <w:tcW w:w="7158" w:type="dxa"/>
            <w:gridSpan w:val="4"/>
            <w:vAlign w:val="center"/>
          </w:tcPr>
          <w:p w14:paraId="6444C080" w14:textId="77777777" w:rsidR="004D54B1" w:rsidRPr="00496C73" w:rsidRDefault="004D54B1" w:rsidP="00606EDD">
            <w:pPr>
              <w:pStyle w:val="Tabletext0"/>
              <w:keepNext/>
              <w:jc w:val="left"/>
              <w:rPr>
                <w:b/>
                <w:bCs/>
              </w:rPr>
            </w:pPr>
            <w:r w:rsidRPr="00A13B75">
              <w:t>ICER ($/early diagnosis of severe MPS II case)</w:t>
            </w:r>
          </w:p>
        </w:tc>
        <w:tc>
          <w:tcPr>
            <w:tcW w:w="1858" w:type="dxa"/>
          </w:tcPr>
          <w:p w14:paraId="3C99D860" w14:textId="7044B149" w:rsidR="004D54B1" w:rsidRPr="009B7624" w:rsidRDefault="008D1385" w:rsidP="00384417">
            <w:pPr>
              <w:pStyle w:val="Tabletext0"/>
              <w:keepNext/>
              <w:jc w:val="center"/>
              <w:rPr>
                <w:highlight w:val="yellow"/>
              </w:rPr>
            </w:pPr>
            <w:r w:rsidRPr="008D12FB">
              <w:t>$</w:t>
            </w:r>
            <w:r w:rsidRPr="008D1385">
              <w:rPr>
                <w:rFonts w:cs="Courier New"/>
                <w:b/>
              </w:rPr>
              <w:t>Redacted</w:t>
            </w:r>
          </w:p>
        </w:tc>
      </w:tr>
      <w:tr w:rsidR="004D54B1" w:rsidRPr="00496C73" w14:paraId="6252C78F" w14:textId="77777777" w:rsidTr="006B5B78">
        <w:tc>
          <w:tcPr>
            <w:tcW w:w="7158" w:type="dxa"/>
            <w:gridSpan w:val="4"/>
            <w:vAlign w:val="center"/>
          </w:tcPr>
          <w:p w14:paraId="4E4098C9" w14:textId="77777777" w:rsidR="004D54B1" w:rsidRPr="00496C73" w:rsidRDefault="004D54B1" w:rsidP="00606EDD">
            <w:pPr>
              <w:pStyle w:val="Tabletext0"/>
              <w:keepNext/>
              <w:jc w:val="left"/>
              <w:rPr>
                <w:b/>
                <w:bCs/>
              </w:rPr>
            </w:pPr>
            <w:r w:rsidRPr="00A13B75">
              <w:t>ICER ($/early diagnosis of MPS II case)</w:t>
            </w:r>
          </w:p>
        </w:tc>
        <w:tc>
          <w:tcPr>
            <w:tcW w:w="1858" w:type="dxa"/>
          </w:tcPr>
          <w:p w14:paraId="1F3228C5" w14:textId="16524212" w:rsidR="004D54B1" w:rsidRPr="009B7624" w:rsidRDefault="008D1385" w:rsidP="00384417">
            <w:pPr>
              <w:pStyle w:val="Tabletext0"/>
              <w:keepNext/>
              <w:jc w:val="center"/>
              <w:rPr>
                <w:highlight w:val="yellow"/>
              </w:rPr>
            </w:pPr>
            <w:r w:rsidRPr="008D12FB">
              <w:t>$</w:t>
            </w:r>
            <w:r w:rsidRPr="008D1385">
              <w:rPr>
                <w:rFonts w:cs="Courier New"/>
                <w:b/>
              </w:rPr>
              <w:t>Redacted</w:t>
            </w:r>
          </w:p>
        </w:tc>
      </w:tr>
    </w:tbl>
    <w:p w14:paraId="597639FF" w14:textId="5FCB5575" w:rsidR="001A35A7" w:rsidRDefault="00357FEF" w:rsidP="001117CE">
      <w:pPr>
        <w:pStyle w:val="TableFigureFooter"/>
      </w:pPr>
      <w:r>
        <w:t>GAG = glycosaminoglycan; ICER = incremental cost-effectiveness ratio; MPS II = mucopolysaccharidosis Type II; NBS = newborn bloodspot screening; NRE = nonreducing end; NRE-GAG = nonreducing end-glycosaminoglycan</w:t>
      </w:r>
    </w:p>
    <w:p w14:paraId="279BDA75" w14:textId="77777777" w:rsidR="00765DAC" w:rsidRDefault="00765DAC" w:rsidP="00311E41">
      <w:pPr>
        <w:rPr>
          <w:u w:val="single"/>
        </w:rPr>
      </w:pPr>
      <w:r w:rsidRPr="00492AB6">
        <w:rPr>
          <w:u w:val="single"/>
        </w:rPr>
        <w:t>Disaggregated and aggregated base-case results</w:t>
      </w:r>
    </w:p>
    <w:p w14:paraId="211886C8" w14:textId="0CE4DA4D" w:rsidR="00211876" w:rsidRDefault="00FF7044" w:rsidP="00311E41">
      <w:r>
        <w:t xml:space="preserve">The disaggregated costs and outcomes for the two-tier screening strategy are presented in </w:t>
      </w:r>
      <w:r w:rsidR="002142F7">
        <w:fldChar w:fldCharType="begin"/>
      </w:r>
      <w:r w:rsidR="002142F7">
        <w:instrText xml:space="preserve"> REF _Ref181624799 \h </w:instrText>
      </w:r>
      <w:r w:rsidR="002142F7">
        <w:fldChar w:fldCharType="separate"/>
      </w:r>
      <w:r w:rsidR="007F08FA" w:rsidRPr="7C4E3BA4" w:rsidDel="009D183F">
        <w:t>Table </w:t>
      </w:r>
      <w:r w:rsidR="00797B68" w:rsidDel="009D183F">
        <w:rPr>
          <w:noProof/>
        </w:rPr>
        <w:t>11</w:t>
      </w:r>
      <w:r w:rsidR="002142F7">
        <w:fldChar w:fldCharType="end"/>
      </w:r>
      <w:r>
        <w:t>. The incremental costs were driven by the costs associated with NBS.</w:t>
      </w:r>
    </w:p>
    <w:p w14:paraId="44F77D0C" w14:textId="60740282" w:rsidR="00FF7044" w:rsidRDefault="7F1332F3" w:rsidP="00311E41">
      <w:pPr>
        <w:pStyle w:val="Caption"/>
        <w:keepLines/>
        <w:spacing w:after="0"/>
      </w:pPr>
      <w:bookmarkStart w:id="49" w:name="_Ref181624799"/>
      <w:r w:rsidRPr="7C4E3BA4">
        <w:lastRenderedPageBreak/>
        <w:t>Table </w:t>
      </w:r>
      <w:r w:rsidR="00FF7044" w:rsidRPr="7C4E3BA4">
        <w:fldChar w:fldCharType="begin"/>
      </w:r>
      <w:r w:rsidR="00FF7044">
        <w:instrText xml:space="preserve"> SEQ Table \* ARABIC </w:instrText>
      </w:r>
      <w:r w:rsidR="00FF7044" w:rsidRPr="7C4E3BA4">
        <w:fldChar w:fldCharType="separate"/>
      </w:r>
      <w:r w:rsidR="009D183F">
        <w:rPr>
          <w:noProof/>
        </w:rPr>
        <w:t>11</w:t>
      </w:r>
      <w:r w:rsidR="00FF7044" w:rsidRPr="7C4E3BA4">
        <w:rPr>
          <w:noProof/>
        </w:rPr>
        <w:fldChar w:fldCharType="end"/>
      </w:r>
      <w:bookmarkEnd w:id="49"/>
      <w:r w:rsidR="42C8FDED" w:rsidRPr="7C4E3BA4">
        <w:rPr>
          <w:noProof/>
        </w:rPr>
        <w:t xml:space="preserve"> </w:t>
      </w:r>
      <w:r w:rsidR="60832052" w:rsidRPr="7C4E3BA4">
        <w:t>D</w:t>
      </w:r>
      <w:r w:rsidRPr="7C4E3BA4">
        <w:t>isaggregated summary of cost</w:t>
      </w:r>
      <w:r w:rsidR="5B7E3983" w:rsidRPr="7C4E3BA4">
        <w:t xml:space="preserve"> and outcome</w:t>
      </w:r>
      <w:r w:rsidRPr="7C4E3BA4">
        <w:t xml:space="preserve"> impacts in the economic evaluation</w:t>
      </w:r>
    </w:p>
    <w:tbl>
      <w:tblPr>
        <w:tblStyle w:val="TableGrid"/>
        <w:tblW w:w="0" w:type="auto"/>
        <w:tblLook w:val="04A0" w:firstRow="1" w:lastRow="0" w:firstColumn="1" w:lastColumn="0" w:noHBand="0" w:noVBand="1"/>
      </w:tblPr>
      <w:tblGrid>
        <w:gridCol w:w="3397"/>
        <w:gridCol w:w="1873"/>
        <w:gridCol w:w="1873"/>
        <w:gridCol w:w="1873"/>
      </w:tblGrid>
      <w:tr w:rsidR="00FF7044" w14:paraId="0BCD28E3" w14:textId="77777777" w:rsidTr="2999AA76">
        <w:trPr>
          <w:trHeight w:val="300"/>
          <w:tblHeader/>
        </w:trPr>
        <w:tc>
          <w:tcPr>
            <w:tcW w:w="3397" w:type="dxa"/>
            <w:vAlign w:val="center"/>
          </w:tcPr>
          <w:p w14:paraId="65851FC1" w14:textId="77777777" w:rsidR="00FF7044" w:rsidRPr="004F6010" w:rsidRDefault="00FF7044" w:rsidP="00311E41">
            <w:pPr>
              <w:pStyle w:val="Tabletext0"/>
              <w:keepNext/>
              <w:keepLines/>
              <w:jc w:val="center"/>
              <w:rPr>
                <w:b/>
                <w:bCs/>
              </w:rPr>
            </w:pPr>
          </w:p>
        </w:tc>
        <w:tc>
          <w:tcPr>
            <w:tcW w:w="1873" w:type="dxa"/>
            <w:vAlign w:val="center"/>
          </w:tcPr>
          <w:p w14:paraId="3F202C9E" w14:textId="77777777" w:rsidR="00FF7044" w:rsidRPr="004F6010" w:rsidRDefault="00FF7044" w:rsidP="00311E41">
            <w:pPr>
              <w:pStyle w:val="Tabletext0"/>
              <w:keepNext/>
              <w:keepLines/>
              <w:jc w:val="center"/>
              <w:rPr>
                <w:b/>
                <w:bCs/>
              </w:rPr>
            </w:pPr>
            <w:r>
              <w:rPr>
                <w:b/>
                <w:bCs/>
              </w:rPr>
              <w:t>NBS</w:t>
            </w:r>
          </w:p>
        </w:tc>
        <w:tc>
          <w:tcPr>
            <w:tcW w:w="1873" w:type="dxa"/>
            <w:vAlign w:val="center"/>
          </w:tcPr>
          <w:p w14:paraId="505C8CC1" w14:textId="77777777" w:rsidR="00FF7044" w:rsidRPr="004F6010" w:rsidRDefault="00FF7044" w:rsidP="00311E41">
            <w:pPr>
              <w:pStyle w:val="Tabletext0"/>
              <w:keepNext/>
              <w:keepLines/>
              <w:jc w:val="center"/>
              <w:rPr>
                <w:b/>
                <w:bCs/>
              </w:rPr>
            </w:pPr>
            <w:r>
              <w:rPr>
                <w:b/>
                <w:bCs/>
              </w:rPr>
              <w:t>No NBS</w:t>
            </w:r>
          </w:p>
        </w:tc>
        <w:tc>
          <w:tcPr>
            <w:tcW w:w="1873" w:type="dxa"/>
            <w:vAlign w:val="center"/>
          </w:tcPr>
          <w:p w14:paraId="09909C69" w14:textId="77777777" w:rsidR="00FF7044" w:rsidRPr="004F6010" w:rsidRDefault="00FF7044" w:rsidP="00311E41">
            <w:pPr>
              <w:pStyle w:val="Tabletext0"/>
              <w:keepNext/>
              <w:keepLines/>
              <w:jc w:val="center"/>
              <w:rPr>
                <w:b/>
                <w:bCs/>
              </w:rPr>
            </w:pPr>
            <w:r>
              <w:rPr>
                <w:b/>
                <w:bCs/>
              </w:rPr>
              <w:t>Increment</w:t>
            </w:r>
          </w:p>
        </w:tc>
      </w:tr>
      <w:tr w:rsidR="00FF7044" w14:paraId="1E506D84" w14:textId="77777777" w:rsidTr="006B5B78">
        <w:tc>
          <w:tcPr>
            <w:tcW w:w="3397" w:type="dxa"/>
            <w:vAlign w:val="center"/>
          </w:tcPr>
          <w:p w14:paraId="58A63D8B" w14:textId="77777777" w:rsidR="00FF7044" w:rsidRPr="004F6010" w:rsidRDefault="00FF7044" w:rsidP="00311E41">
            <w:pPr>
              <w:pStyle w:val="Tabletext0"/>
              <w:keepNext/>
              <w:keepLines/>
              <w:jc w:val="left"/>
              <w:rPr>
                <w:b/>
                <w:bCs/>
              </w:rPr>
            </w:pPr>
            <w:r>
              <w:rPr>
                <w:b/>
                <w:bCs/>
              </w:rPr>
              <w:t>Costs (discounted)</w:t>
            </w:r>
          </w:p>
        </w:tc>
        <w:tc>
          <w:tcPr>
            <w:tcW w:w="1873" w:type="dxa"/>
          </w:tcPr>
          <w:p w14:paraId="7C93D65C" w14:textId="6CBD6C73" w:rsidR="00FF7044" w:rsidRPr="0019724D" w:rsidRDefault="00687161" w:rsidP="00311E41">
            <w:pPr>
              <w:pStyle w:val="Tabletext0"/>
              <w:keepNext/>
              <w:keepLines/>
              <w:jc w:val="center"/>
              <w:rPr>
                <w:b/>
                <w:bCs/>
                <w:highlight w:val="yellow"/>
              </w:rPr>
            </w:pPr>
            <w:r w:rsidRPr="00D872DA">
              <w:rPr>
                <w:b/>
              </w:rPr>
              <w:t>$</w:t>
            </w:r>
            <w:r w:rsidR="008D1385" w:rsidRPr="008D1385">
              <w:rPr>
                <w:rFonts w:cs="Courier New"/>
                <w:b/>
              </w:rPr>
              <w:t>Redacted</w:t>
            </w:r>
          </w:p>
        </w:tc>
        <w:tc>
          <w:tcPr>
            <w:tcW w:w="1873" w:type="dxa"/>
          </w:tcPr>
          <w:p w14:paraId="4E937198" w14:textId="39F675A8" w:rsidR="00FF7044" w:rsidRPr="0019724D" w:rsidRDefault="00687161" w:rsidP="00311E41">
            <w:pPr>
              <w:pStyle w:val="Tabletext0"/>
              <w:keepNext/>
              <w:keepLines/>
              <w:jc w:val="center"/>
              <w:rPr>
                <w:b/>
                <w:bCs/>
                <w:highlight w:val="yellow"/>
              </w:rPr>
            </w:pPr>
            <w:r w:rsidRPr="00D872DA">
              <w:rPr>
                <w:b/>
              </w:rPr>
              <w:t>$</w:t>
            </w:r>
            <w:r w:rsidR="008D1385" w:rsidRPr="008D1385">
              <w:rPr>
                <w:rFonts w:cs="Courier New"/>
                <w:b/>
              </w:rPr>
              <w:t>Redacted</w:t>
            </w:r>
          </w:p>
        </w:tc>
        <w:tc>
          <w:tcPr>
            <w:tcW w:w="1873" w:type="dxa"/>
          </w:tcPr>
          <w:p w14:paraId="0979BCE6" w14:textId="3F0C8DDD" w:rsidR="00FF7044" w:rsidRPr="0019724D" w:rsidRDefault="00687161" w:rsidP="00311E41">
            <w:pPr>
              <w:pStyle w:val="Tabletext0"/>
              <w:keepNext/>
              <w:keepLines/>
              <w:jc w:val="center"/>
              <w:rPr>
                <w:b/>
                <w:bCs/>
                <w:highlight w:val="yellow"/>
              </w:rPr>
            </w:pPr>
            <w:r w:rsidRPr="00D872DA">
              <w:rPr>
                <w:b/>
              </w:rPr>
              <w:t>$</w:t>
            </w:r>
            <w:r w:rsidR="008D1385" w:rsidRPr="008D1385">
              <w:rPr>
                <w:rFonts w:cs="Courier New"/>
                <w:b/>
              </w:rPr>
              <w:t>Redacted</w:t>
            </w:r>
          </w:p>
        </w:tc>
      </w:tr>
      <w:tr w:rsidR="00FF7044" w14:paraId="09F8D64C" w14:textId="77777777" w:rsidTr="006B5B78">
        <w:tc>
          <w:tcPr>
            <w:tcW w:w="3397" w:type="dxa"/>
            <w:vAlign w:val="center"/>
          </w:tcPr>
          <w:p w14:paraId="0E863001" w14:textId="77777777" w:rsidR="00FF7044" w:rsidRDefault="00FF7044" w:rsidP="00311E41">
            <w:pPr>
              <w:pStyle w:val="Tabletext0"/>
              <w:keepNext/>
              <w:keepLines/>
              <w:jc w:val="left"/>
            </w:pPr>
            <w:r>
              <w:t>- NBS</w:t>
            </w:r>
          </w:p>
        </w:tc>
        <w:tc>
          <w:tcPr>
            <w:tcW w:w="1873" w:type="dxa"/>
            <w:vAlign w:val="bottom"/>
          </w:tcPr>
          <w:p w14:paraId="4CEC620A" w14:textId="475CF537" w:rsidR="00FF7044" w:rsidRPr="0019724D" w:rsidRDefault="008D1385" w:rsidP="00311E41">
            <w:pPr>
              <w:pStyle w:val="Tabletext0"/>
              <w:keepNext/>
              <w:keepLines/>
              <w:jc w:val="center"/>
              <w:rPr>
                <w:highlight w:val="yellow"/>
              </w:rPr>
            </w:pPr>
            <w:r w:rsidRPr="008D12FB">
              <w:t>$</w:t>
            </w:r>
            <w:r w:rsidRPr="008D1385">
              <w:rPr>
                <w:rFonts w:cs="Courier New"/>
                <w:b/>
              </w:rPr>
              <w:t>Redacted</w:t>
            </w:r>
          </w:p>
        </w:tc>
        <w:tc>
          <w:tcPr>
            <w:tcW w:w="1873" w:type="dxa"/>
            <w:vAlign w:val="bottom"/>
          </w:tcPr>
          <w:p w14:paraId="237A0502" w14:textId="33588E63" w:rsidR="00FF7044" w:rsidRPr="0019724D" w:rsidRDefault="00E06AAB" w:rsidP="00311E41">
            <w:pPr>
              <w:pStyle w:val="Tabletext0"/>
              <w:keepNext/>
              <w:keepLines/>
              <w:jc w:val="center"/>
              <w:rPr>
                <w:highlight w:val="yellow"/>
              </w:rPr>
            </w:pPr>
            <w:r>
              <w:rPr>
                <w:rFonts w:cs="Courier New"/>
                <w:b/>
              </w:rPr>
              <w:t>$</w:t>
            </w:r>
            <w:r w:rsidR="008D1385" w:rsidRPr="008D1385">
              <w:rPr>
                <w:rFonts w:cs="Courier New"/>
                <w:b/>
              </w:rPr>
              <w:t>Redacted</w:t>
            </w:r>
          </w:p>
        </w:tc>
        <w:tc>
          <w:tcPr>
            <w:tcW w:w="1873" w:type="dxa"/>
            <w:vAlign w:val="bottom"/>
          </w:tcPr>
          <w:p w14:paraId="1B1EDC5F" w14:textId="08446AF9" w:rsidR="00FF7044" w:rsidRPr="0019724D" w:rsidRDefault="008D1385" w:rsidP="00311E41">
            <w:pPr>
              <w:pStyle w:val="Tabletext0"/>
              <w:keepNext/>
              <w:keepLines/>
              <w:jc w:val="center"/>
              <w:rPr>
                <w:highlight w:val="yellow"/>
              </w:rPr>
            </w:pPr>
            <w:r w:rsidRPr="008D12FB">
              <w:t>$</w:t>
            </w:r>
            <w:r w:rsidRPr="008D1385">
              <w:rPr>
                <w:rFonts w:cs="Courier New"/>
                <w:b/>
              </w:rPr>
              <w:t>Redacted</w:t>
            </w:r>
          </w:p>
        </w:tc>
      </w:tr>
      <w:tr w:rsidR="00FF7044" w14:paraId="1EE78D57" w14:textId="77777777" w:rsidTr="006B5B78">
        <w:tc>
          <w:tcPr>
            <w:tcW w:w="3397" w:type="dxa"/>
            <w:vAlign w:val="center"/>
          </w:tcPr>
          <w:p w14:paraId="2A41D46A" w14:textId="14C1F9DC" w:rsidR="00FF7044" w:rsidRDefault="00FF7044" w:rsidP="00311E41">
            <w:pPr>
              <w:pStyle w:val="Tabletext0"/>
              <w:keepNext/>
              <w:keepLines/>
              <w:jc w:val="left"/>
            </w:pPr>
            <w:r>
              <w:t xml:space="preserve">- Diagnostic </w:t>
            </w:r>
            <w:r w:rsidR="007225DF">
              <w:t xml:space="preserve">delay </w:t>
            </w:r>
            <w:r>
              <w:t>and clinical identification diagnosis</w:t>
            </w:r>
          </w:p>
        </w:tc>
        <w:tc>
          <w:tcPr>
            <w:tcW w:w="1873" w:type="dxa"/>
            <w:vAlign w:val="center"/>
          </w:tcPr>
          <w:p w14:paraId="3A7E9FD4" w14:textId="77777777" w:rsidR="00FF7044" w:rsidRDefault="00FF7044" w:rsidP="00311E41">
            <w:pPr>
              <w:pStyle w:val="Tabletext0"/>
              <w:keepNext/>
              <w:keepLines/>
              <w:jc w:val="center"/>
            </w:pPr>
            <w:r w:rsidRPr="007C5F4F">
              <w:t>0</w:t>
            </w:r>
          </w:p>
        </w:tc>
        <w:tc>
          <w:tcPr>
            <w:tcW w:w="1873" w:type="dxa"/>
            <w:vAlign w:val="center"/>
          </w:tcPr>
          <w:p w14:paraId="26C66022" w14:textId="77777777" w:rsidR="00FF7044" w:rsidRDefault="00FF7044" w:rsidP="00311E41">
            <w:pPr>
              <w:pStyle w:val="Tabletext0"/>
              <w:keepNext/>
              <w:keepLines/>
              <w:jc w:val="center"/>
            </w:pPr>
            <w:r w:rsidRPr="007C5F4F">
              <w:t>$0.02</w:t>
            </w:r>
          </w:p>
        </w:tc>
        <w:tc>
          <w:tcPr>
            <w:tcW w:w="1873" w:type="dxa"/>
            <w:vAlign w:val="center"/>
          </w:tcPr>
          <w:p w14:paraId="2362C335" w14:textId="77777777" w:rsidR="00FF7044" w:rsidRDefault="00FF7044" w:rsidP="00311E41">
            <w:pPr>
              <w:pStyle w:val="Tabletext0"/>
              <w:keepNext/>
              <w:keepLines/>
              <w:jc w:val="center"/>
            </w:pPr>
            <w:r w:rsidRPr="007C5F4F">
              <w:t>-$0.02</w:t>
            </w:r>
          </w:p>
        </w:tc>
      </w:tr>
      <w:tr w:rsidR="00FF7044" w14:paraId="02804025" w14:textId="77777777" w:rsidTr="006B5B78">
        <w:tc>
          <w:tcPr>
            <w:tcW w:w="3397" w:type="dxa"/>
            <w:vAlign w:val="center"/>
          </w:tcPr>
          <w:p w14:paraId="34260837" w14:textId="77777777" w:rsidR="00FF7044" w:rsidRDefault="00FF7044" w:rsidP="00311E41">
            <w:pPr>
              <w:pStyle w:val="Tabletext0"/>
              <w:keepNext/>
              <w:keepLines/>
              <w:jc w:val="left"/>
            </w:pPr>
            <w:r>
              <w:t>- Confirmatory testing</w:t>
            </w:r>
          </w:p>
        </w:tc>
        <w:tc>
          <w:tcPr>
            <w:tcW w:w="1873" w:type="dxa"/>
            <w:vAlign w:val="bottom"/>
          </w:tcPr>
          <w:p w14:paraId="3215F601" w14:textId="77777777" w:rsidR="00FF7044" w:rsidRDefault="00FF7044" w:rsidP="00311E41">
            <w:pPr>
              <w:pStyle w:val="Tabletext0"/>
              <w:keepNext/>
              <w:keepLines/>
              <w:jc w:val="center"/>
            </w:pPr>
            <w:r w:rsidRPr="007C5F4F">
              <w:t>$0.01</w:t>
            </w:r>
          </w:p>
        </w:tc>
        <w:tc>
          <w:tcPr>
            <w:tcW w:w="1873" w:type="dxa"/>
            <w:vAlign w:val="bottom"/>
          </w:tcPr>
          <w:p w14:paraId="0F8B5DE8" w14:textId="77777777" w:rsidR="00FF7044" w:rsidRDefault="00FF7044" w:rsidP="00311E41">
            <w:pPr>
              <w:pStyle w:val="Tabletext0"/>
              <w:keepNext/>
              <w:keepLines/>
              <w:jc w:val="center"/>
            </w:pPr>
            <w:r w:rsidRPr="007C5F4F">
              <w:t>$0.00</w:t>
            </w:r>
          </w:p>
        </w:tc>
        <w:tc>
          <w:tcPr>
            <w:tcW w:w="1873" w:type="dxa"/>
            <w:vAlign w:val="bottom"/>
          </w:tcPr>
          <w:p w14:paraId="709E4314" w14:textId="77777777" w:rsidR="00FF7044" w:rsidRDefault="00FF7044" w:rsidP="00311E41">
            <w:pPr>
              <w:pStyle w:val="Tabletext0"/>
              <w:keepNext/>
              <w:keepLines/>
              <w:jc w:val="center"/>
            </w:pPr>
            <w:r w:rsidRPr="007C5F4F">
              <w:t>$0.01</w:t>
            </w:r>
          </w:p>
        </w:tc>
      </w:tr>
      <w:tr w:rsidR="00FF7044" w14:paraId="1B7B468F" w14:textId="77777777" w:rsidTr="006B5B78">
        <w:tc>
          <w:tcPr>
            <w:tcW w:w="3397" w:type="dxa"/>
            <w:vAlign w:val="center"/>
          </w:tcPr>
          <w:p w14:paraId="0D2971E2" w14:textId="36841C4E" w:rsidR="00FF7044" w:rsidRDefault="00FF7044" w:rsidP="00311E41">
            <w:pPr>
              <w:pStyle w:val="Tabletext0"/>
              <w:keepNext/>
              <w:keepLines/>
              <w:jc w:val="left"/>
            </w:pPr>
            <w:r>
              <w:t>- Monitoring until the time horizon</w:t>
            </w:r>
          </w:p>
        </w:tc>
        <w:tc>
          <w:tcPr>
            <w:tcW w:w="1873" w:type="dxa"/>
          </w:tcPr>
          <w:p w14:paraId="0A02A58D" w14:textId="43C88961"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c>
          <w:tcPr>
            <w:tcW w:w="1873" w:type="dxa"/>
          </w:tcPr>
          <w:p w14:paraId="2295D068" w14:textId="7F4B2D8B"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c>
          <w:tcPr>
            <w:tcW w:w="1873" w:type="dxa"/>
          </w:tcPr>
          <w:p w14:paraId="6868E738" w14:textId="021F2F80"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r>
      <w:tr w:rsidR="00FF7044" w14:paraId="0A280CD8" w14:textId="77777777" w:rsidTr="006B5B78">
        <w:tc>
          <w:tcPr>
            <w:tcW w:w="3397" w:type="dxa"/>
            <w:vAlign w:val="center"/>
          </w:tcPr>
          <w:p w14:paraId="634E8F0C" w14:textId="77777777" w:rsidR="00FF7044" w:rsidRDefault="00FF7044" w:rsidP="00311E41">
            <w:pPr>
              <w:pStyle w:val="Tabletext0"/>
              <w:keepNext/>
              <w:keepLines/>
              <w:jc w:val="left"/>
            </w:pPr>
            <w:r>
              <w:t>- Treatment until the time horizon</w:t>
            </w:r>
          </w:p>
        </w:tc>
        <w:tc>
          <w:tcPr>
            <w:tcW w:w="1873" w:type="dxa"/>
            <w:vAlign w:val="bottom"/>
          </w:tcPr>
          <w:p w14:paraId="57D2BAEA" w14:textId="016DFAAD"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c>
          <w:tcPr>
            <w:tcW w:w="1873" w:type="dxa"/>
            <w:vAlign w:val="bottom"/>
          </w:tcPr>
          <w:p w14:paraId="4A599101" w14:textId="733662AA"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c>
          <w:tcPr>
            <w:tcW w:w="1873" w:type="dxa"/>
            <w:vAlign w:val="bottom"/>
          </w:tcPr>
          <w:p w14:paraId="691C9FB7" w14:textId="0873FDDB" w:rsidR="00FF7044" w:rsidRPr="00D872DA" w:rsidRDefault="008D1385" w:rsidP="00311E41">
            <w:pPr>
              <w:pStyle w:val="Tabletext0"/>
              <w:keepNext/>
              <w:keepLines/>
              <w:jc w:val="center"/>
              <w:rPr>
                <w:highlight w:val="yellow"/>
              </w:rPr>
            </w:pPr>
            <w:r w:rsidRPr="008D12FB">
              <w:t>$</w:t>
            </w:r>
            <w:r w:rsidRPr="008D1385">
              <w:rPr>
                <w:rFonts w:cs="Courier New"/>
                <w:b/>
              </w:rPr>
              <w:t>Redacted</w:t>
            </w:r>
          </w:p>
        </w:tc>
      </w:tr>
      <w:tr w:rsidR="00FF7044" w14:paraId="7986D24C" w14:textId="77777777" w:rsidTr="006B5B78">
        <w:tc>
          <w:tcPr>
            <w:tcW w:w="3397" w:type="dxa"/>
            <w:vAlign w:val="center"/>
          </w:tcPr>
          <w:p w14:paraId="3D817A62" w14:textId="77777777" w:rsidR="00FF7044" w:rsidRPr="004F6010" w:rsidRDefault="00FF7044" w:rsidP="00311E41">
            <w:pPr>
              <w:pStyle w:val="Tabletext0"/>
              <w:keepNext/>
              <w:keepLines/>
              <w:jc w:val="left"/>
              <w:rPr>
                <w:b/>
                <w:bCs/>
              </w:rPr>
            </w:pPr>
            <w:r>
              <w:rPr>
                <w:b/>
                <w:bCs/>
              </w:rPr>
              <w:t>Early diagnosis</w:t>
            </w:r>
          </w:p>
        </w:tc>
        <w:tc>
          <w:tcPr>
            <w:tcW w:w="1873" w:type="dxa"/>
            <w:vAlign w:val="bottom"/>
          </w:tcPr>
          <w:p w14:paraId="2B40D91F" w14:textId="77777777" w:rsidR="00FF7044" w:rsidRPr="00BE1F41" w:rsidRDefault="00FF7044" w:rsidP="00311E41">
            <w:pPr>
              <w:pStyle w:val="TableTextCA"/>
              <w:keepNext/>
              <w:keepLines/>
              <w:rPr>
                <w:b/>
                <w:bCs/>
              </w:rPr>
            </w:pPr>
            <w:r w:rsidRPr="00BE1F41">
              <w:rPr>
                <w:b/>
                <w:bCs/>
              </w:rPr>
              <w:t>0.00001420</w:t>
            </w:r>
          </w:p>
          <w:p w14:paraId="71D633BB" w14:textId="77777777" w:rsidR="00FF7044" w:rsidRDefault="00FF7044" w:rsidP="00311E41">
            <w:pPr>
              <w:pStyle w:val="Tabletext0"/>
              <w:keepNext/>
              <w:keepLines/>
              <w:jc w:val="center"/>
            </w:pPr>
            <w:r w:rsidRPr="00BE1F41">
              <w:rPr>
                <w:b/>
                <w:bCs/>
              </w:rPr>
              <w:t>14.2 per million</w:t>
            </w:r>
          </w:p>
        </w:tc>
        <w:tc>
          <w:tcPr>
            <w:tcW w:w="1873" w:type="dxa"/>
            <w:vAlign w:val="bottom"/>
          </w:tcPr>
          <w:p w14:paraId="418B72FC" w14:textId="77777777" w:rsidR="00FF7044" w:rsidRDefault="00FF7044" w:rsidP="00311E41">
            <w:pPr>
              <w:pStyle w:val="Tabletext0"/>
              <w:keepNext/>
              <w:keepLines/>
              <w:jc w:val="center"/>
            </w:pPr>
            <w:r w:rsidRPr="00BE1F41">
              <w:rPr>
                <w:b/>
                <w:bCs/>
              </w:rPr>
              <w:t>0</w:t>
            </w:r>
          </w:p>
        </w:tc>
        <w:tc>
          <w:tcPr>
            <w:tcW w:w="1873" w:type="dxa"/>
            <w:vAlign w:val="bottom"/>
          </w:tcPr>
          <w:p w14:paraId="1DC716AC" w14:textId="77777777" w:rsidR="00FF7044" w:rsidRPr="00BE1F41" w:rsidRDefault="00FF7044" w:rsidP="00311E41">
            <w:pPr>
              <w:pStyle w:val="TableTextCA"/>
              <w:keepNext/>
              <w:keepLines/>
              <w:rPr>
                <w:b/>
                <w:bCs/>
              </w:rPr>
            </w:pPr>
            <w:r w:rsidRPr="00BE1F41">
              <w:rPr>
                <w:b/>
                <w:bCs/>
              </w:rPr>
              <w:t>0.00001420</w:t>
            </w:r>
          </w:p>
          <w:p w14:paraId="79BD9840" w14:textId="77777777" w:rsidR="00FF7044" w:rsidRDefault="00FF7044" w:rsidP="00311E41">
            <w:pPr>
              <w:pStyle w:val="Tabletext0"/>
              <w:keepNext/>
              <w:keepLines/>
              <w:jc w:val="center"/>
            </w:pPr>
            <w:r w:rsidRPr="00BE1F41">
              <w:rPr>
                <w:b/>
                <w:bCs/>
              </w:rPr>
              <w:t>14.2 per million</w:t>
            </w:r>
          </w:p>
        </w:tc>
      </w:tr>
      <w:tr w:rsidR="00FF7044" w14:paraId="21D2AC10" w14:textId="77777777" w:rsidTr="006B5B78">
        <w:tc>
          <w:tcPr>
            <w:tcW w:w="3397" w:type="dxa"/>
            <w:vAlign w:val="center"/>
          </w:tcPr>
          <w:p w14:paraId="443EA1F9" w14:textId="77777777" w:rsidR="00FF7044" w:rsidRDefault="00FF7044" w:rsidP="00311E41">
            <w:pPr>
              <w:pStyle w:val="Tabletext0"/>
              <w:keepNext/>
              <w:keepLines/>
              <w:jc w:val="left"/>
            </w:pPr>
            <w:r>
              <w:t>- Severe MPS II cases</w:t>
            </w:r>
          </w:p>
        </w:tc>
        <w:tc>
          <w:tcPr>
            <w:tcW w:w="1873" w:type="dxa"/>
            <w:vAlign w:val="bottom"/>
          </w:tcPr>
          <w:p w14:paraId="31D8AABE" w14:textId="77777777" w:rsidR="00FF7044" w:rsidRDefault="00FF7044" w:rsidP="00311E41">
            <w:pPr>
              <w:pStyle w:val="TableTextCA"/>
              <w:keepNext/>
              <w:keepLines/>
            </w:pPr>
            <w:r w:rsidRPr="00E22197">
              <w:t>0.00000468</w:t>
            </w:r>
          </w:p>
          <w:p w14:paraId="601B1A55" w14:textId="77777777" w:rsidR="00FF7044" w:rsidRDefault="00FF7044" w:rsidP="00311E41">
            <w:pPr>
              <w:pStyle w:val="Tabletext0"/>
              <w:keepNext/>
              <w:keepLines/>
              <w:jc w:val="center"/>
            </w:pPr>
            <w:r>
              <w:t>4.7 per million</w:t>
            </w:r>
          </w:p>
        </w:tc>
        <w:tc>
          <w:tcPr>
            <w:tcW w:w="1873" w:type="dxa"/>
            <w:vAlign w:val="bottom"/>
          </w:tcPr>
          <w:p w14:paraId="0ACE0A85" w14:textId="77777777" w:rsidR="00FF7044" w:rsidRDefault="00FF7044" w:rsidP="00311E41">
            <w:pPr>
              <w:pStyle w:val="Tabletext0"/>
              <w:keepNext/>
              <w:keepLines/>
              <w:jc w:val="center"/>
            </w:pPr>
            <w:r>
              <w:t>0</w:t>
            </w:r>
          </w:p>
        </w:tc>
        <w:tc>
          <w:tcPr>
            <w:tcW w:w="1873" w:type="dxa"/>
            <w:vAlign w:val="bottom"/>
          </w:tcPr>
          <w:p w14:paraId="1D76496A" w14:textId="77777777" w:rsidR="00FF7044" w:rsidRDefault="00FF7044" w:rsidP="00311E41">
            <w:pPr>
              <w:pStyle w:val="TableTextCA"/>
              <w:keepNext/>
              <w:keepLines/>
            </w:pPr>
            <w:r w:rsidRPr="00E22197">
              <w:t>0.00000468</w:t>
            </w:r>
          </w:p>
          <w:p w14:paraId="5DEB2AB8" w14:textId="77777777" w:rsidR="00FF7044" w:rsidRDefault="00FF7044" w:rsidP="00311E41">
            <w:pPr>
              <w:pStyle w:val="Tabletext0"/>
              <w:keepNext/>
              <w:keepLines/>
              <w:jc w:val="center"/>
            </w:pPr>
            <w:r>
              <w:t>4.7 per million</w:t>
            </w:r>
          </w:p>
        </w:tc>
      </w:tr>
      <w:tr w:rsidR="00FF7044" w14:paraId="3F7BDE74" w14:textId="77777777" w:rsidTr="006B5B78">
        <w:tc>
          <w:tcPr>
            <w:tcW w:w="3397" w:type="dxa"/>
            <w:vAlign w:val="center"/>
          </w:tcPr>
          <w:p w14:paraId="2A1FA5C6" w14:textId="77777777" w:rsidR="00FF7044" w:rsidRDefault="00FF7044" w:rsidP="00311E41">
            <w:pPr>
              <w:pStyle w:val="Tabletext0"/>
              <w:keepNext/>
              <w:keepLines/>
              <w:jc w:val="left"/>
            </w:pPr>
            <w:r>
              <w:t>- Attenuated MPS II cases</w:t>
            </w:r>
          </w:p>
        </w:tc>
        <w:tc>
          <w:tcPr>
            <w:tcW w:w="1873" w:type="dxa"/>
            <w:vAlign w:val="bottom"/>
          </w:tcPr>
          <w:p w14:paraId="1B276D1B" w14:textId="77777777" w:rsidR="00FF7044" w:rsidRDefault="00FF7044" w:rsidP="00311E41">
            <w:pPr>
              <w:pStyle w:val="TableTextCA"/>
              <w:keepNext/>
              <w:keepLines/>
            </w:pPr>
            <w:r w:rsidRPr="005619C4">
              <w:t>0.00000152</w:t>
            </w:r>
          </w:p>
          <w:p w14:paraId="529165EC" w14:textId="77777777" w:rsidR="00FF7044" w:rsidRDefault="00FF7044" w:rsidP="00311E41">
            <w:pPr>
              <w:pStyle w:val="Tabletext0"/>
              <w:keepNext/>
              <w:keepLines/>
              <w:jc w:val="center"/>
            </w:pPr>
            <w:r>
              <w:t>1.5 per million</w:t>
            </w:r>
          </w:p>
        </w:tc>
        <w:tc>
          <w:tcPr>
            <w:tcW w:w="1873" w:type="dxa"/>
            <w:vAlign w:val="bottom"/>
          </w:tcPr>
          <w:p w14:paraId="2EFFE2A8" w14:textId="77777777" w:rsidR="00FF7044" w:rsidRDefault="00FF7044" w:rsidP="00311E41">
            <w:pPr>
              <w:pStyle w:val="Tabletext0"/>
              <w:keepNext/>
              <w:keepLines/>
              <w:jc w:val="center"/>
            </w:pPr>
            <w:r>
              <w:t>0</w:t>
            </w:r>
          </w:p>
        </w:tc>
        <w:tc>
          <w:tcPr>
            <w:tcW w:w="1873" w:type="dxa"/>
            <w:vAlign w:val="bottom"/>
          </w:tcPr>
          <w:p w14:paraId="29A70B4B" w14:textId="77777777" w:rsidR="00FF7044" w:rsidRDefault="00FF7044" w:rsidP="00311E41">
            <w:pPr>
              <w:pStyle w:val="TableTextCA"/>
              <w:keepNext/>
              <w:keepLines/>
            </w:pPr>
            <w:r w:rsidRPr="005619C4">
              <w:t>0.00000152</w:t>
            </w:r>
          </w:p>
          <w:p w14:paraId="086901EF" w14:textId="77777777" w:rsidR="00FF7044" w:rsidRDefault="00FF7044" w:rsidP="00311E41">
            <w:pPr>
              <w:pStyle w:val="Tabletext0"/>
              <w:keepNext/>
              <w:keepLines/>
              <w:jc w:val="center"/>
            </w:pPr>
            <w:r>
              <w:t>1.5 per million</w:t>
            </w:r>
          </w:p>
        </w:tc>
      </w:tr>
      <w:tr w:rsidR="00FF7044" w14:paraId="20CCC0A6" w14:textId="77777777" w:rsidTr="006B5B78">
        <w:tc>
          <w:tcPr>
            <w:tcW w:w="3397" w:type="dxa"/>
            <w:vAlign w:val="center"/>
          </w:tcPr>
          <w:p w14:paraId="0E11DD90" w14:textId="77777777" w:rsidR="00FF7044" w:rsidRDefault="00FF7044" w:rsidP="00311E41">
            <w:pPr>
              <w:pStyle w:val="Tabletext0"/>
              <w:keepNext/>
              <w:keepLines/>
              <w:jc w:val="left"/>
            </w:pPr>
            <w:r>
              <w:t>- Very attenuated MPS II cases</w:t>
            </w:r>
          </w:p>
        </w:tc>
        <w:tc>
          <w:tcPr>
            <w:tcW w:w="1873" w:type="dxa"/>
            <w:vAlign w:val="bottom"/>
          </w:tcPr>
          <w:p w14:paraId="5E6D937C" w14:textId="77777777" w:rsidR="00FF7044" w:rsidRDefault="00FF7044" w:rsidP="00311E41">
            <w:pPr>
              <w:pStyle w:val="TableTextCA"/>
              <w:keepNext/>
              <w:keepLines/>
              <w:rPr>
                <w:rStyle w:val="Strong"/>
                <w:rFonts w:cs="Tahoma"/>
                <w:b w:val="0"/>
                <w:szCs w:val="20"/>
                <w:lang w:eastAsia="en-AU"/>
              </w:rPr>
            </w:pPr>
            <w:r w:rsidRPr="005619C4">
              <w:rPr>
                <w:rStyle w:val="Strong"/>
                <w:b w:val="0"/>
              </w:rPr>
              <w:t>0.00000800</w:t>
            </w:r>
          </w:p>
          <w:p w14:paraId="2CBFE267" w14:textId="77777777" w:rsidR="00FF7044" w:rsidRDefault="00FF7044" w:rsidP="00311E41">
            <w:pPr>
              <w:pStyle w:val="Tabletext0"/>
              <w:keepNext/>
              <w:keepLines/>
              <w:jc w:val="center"/>
            </w:pPr>
            <w:r>
              <w:rPr>
                <w:rStyle w:val="Strong"/>
                <w:b w:val="0"/>
              </w:rPr>
              <w:t>8.0 per million</w:t>
            </w:r>
          </w:p>
        </w:tc>
        <w:tc>
          <w:tcPr>
            <w:tcW w:w="1873" w:type="dxa"/>
            <w:vAlign w:val="bottom"/>
          </w:tcPr>
          <w:p w14:paraId="585D418A" w14:textId="77777777" w:rsidR="00FF7044" w:rsidRDefault="00FF7044" w:rsidP="00311E41">
            <w:pPr>
              <w:pStyle w:val="Tabletext0"/>
              <w:keepNext/>
              <w:keepLines/>
              <w:jc w:val="center"/>
            </w:pPr>
            <w:r w:rsidRPr="00BE1F41">
              <w:rPr>
                <w:rStyle w:val="Strong"/>
                <w:b w:val="0"/>
              </w:rPr>
              <w:t>0</w:t>
            </w:r>
          </w:p>
        </w:tc>
        <w:tc>
          <w:tcPr>
            <w:tcW w:w="1873" w:type="dxa"/>
            <w:vAlign w:val="bottom"/>
          </w:tcPr>
          <w:p w14:paraId="0CA826D9" w14:textId="77777777" w:rsidR="00FF7044" w:rsidRDefault="00FF7044" w:rsidP="00311E41">
            <w:pPr>
              <w:pStyle w:val="TableTextCA"/>
              <w:keepNext/>
              <w:keepLines/>
              <w:rPr>
                <w:rStyle w:val="Strong"/>
                <w:rFonts w:cs="Tahoma"/>
                <w:b w:val="0"/>
                <w:szCs w:val="20"/>
                <w:lang w:eastAsia="en-AU"/>
              </w:rPr>
            </w:pPr>
            <w:r w:rsidRPr="005619C4">
              <w:rPr>
                <w:rStyle w:val="Strong"/>
                <w:b w:val="0"/>
              </w:rPr>
              <w:t>0.00000800</w:t>
            </w:r>
          </w:p>
          <w:p w14:paraId="29E712E6" w14:textId="77777777" w:rsidR="00FF7044" w:rsidRDefault="00FF7044" w:rsidP="00311E41">
            <w:pPr>
              <w:pStyle w:val="Tabletext0"/>
              <w:keepNext/>
              <w:keepLines/>
              <w:jc w:val="center"/>
            </w:pPr>
            <w:r>
              <w:rPr>
                <w:rStyle w:val="Strong"/>
                <w:b w:val="0"/>
              </w:rPr>
              <w:t>8.0 per million</w:t>
            </w:r>
          </w:p>
        </w:tc>
      </w:tr>
    </w:tbl>
    <w:p w14:paraId="3CC303FC" w14:textId="64A15CF5" w:rsidR="003960AB" w:rsidRPr="004F6ECA" w:rsidRDefault="00357FEF" w:rsidP="00311E41">
      <w:pPr>
        <w:pStyle w:val="TableFigureFooter"/>
        <w:keepNext/>
        <w:keepLines/>
      </w:pPr>
      <w:r>
        <w:t>MPS II = mucopolysaccharidosis Type II; NBS = newborn bloodspot screening</w:t>
      </w:r>
    </w:p>
    <w:p w14:paraId="00C7B54F" w14:textId="398BA198" w:rsidR="003960AB" w:rsidRPr="00CB2CC1" w:rsidRDefault="003960AB" w:rsidP="00311E41">
      <w:pPr>
        <w:spacing w:before="240" w:after="120"/>
        <w:rPr>
          <w:u w:val="single"/>
        </w:rPr>
      </w:pPr>
      <w:r w:rsidRPr="00492AB6">
        <w:rPr>
          <w:u w:val="single"/>
        </w:rPr>
        <w:t xml:space="preserve">Sensitivity analysis: base case model </w:t>
      </w:r>
    </w:p>
    <w:p w14:paraId="355ACCD9" w14:textId="0D9F52DE" w:rsidR="004F6ECA" w:rsidRDefault="003960AB" w:rsidP="00311E41">
      <w:pPr>
        <w:spacing w:after="120"/>
      </w:pPr>
      <w:r>
        <w:t>Sensitivity analyses conducted on the base case model are presented in</w:t>
      </w:r>
      <w:r w:rsidR="00BB11B2">
        <w:t xml:space="preserve"> </w:t>
      </w:r>
      <w:r w:rsidR="00BB11B2" w:rsidRPr="00B713E4">
        <w:fldChar w:fldCharType="begin"/>
      </w:r>
      <w:r w:rsidR="00BB11B2" w:rsidRPr="00B713E4">
        <w:instrText xml:space="preserve"> REF _Ref185318893 \h </w:instrText>
      </w:r>
      <w:r w:rsidR="00B713E4" w:rsidRPr="00B713E4">
        <w:instrText xml:space="preserve"> \* MERGEFORMAT </w:instrText>
      </w:r>
      <w:r w:rsidR="00BB11B2" w:rsidRPr="00B713E4">
        <w:fldChar w:fldCharType="separate"/>
      </w:r>
      <w:r w:rsidR="007F08FA" w:rsidRPr="00797B68" w:rsidDel="009D183F">
        <w:t xml:space="preserve">Table </w:t>
      </w:r>
      <w:r w:rsidR="00797B68" w:rsidRPr="00797B68" w:rsidDel="009D183F">
        <w:rPr>
          <w:noProof/>
        </w:rPr>
        <w:t>12</w:t>
      </w:r>
      <w:r w:rsidR="00BB11B2" w:rsidRPr="00B713E4">
        <w:fldChar w:fldCharType="end"/>
      </w:r>
      <w:r>
        <w:t>.</w:t>
      </w:r>
      <w:r w:rsidRPr="00CB2CC1">
        <w:t xml:space="preserve"> </w:t>
      </w:r>
      <w:r>
        <w:t>The results were sensitive to the approach and costs of first-tier screening and the prevalence of MPS II</w:t>
      </w:r>
      <w:r w:rsidR="004F6ECA">
        <w:t>.</w:t>
      </w:r>
    </w:p>
    <w:p w14:paraId="307D484C" w14:textId="0D28B8A4" w:rsidR="003960AB" w:rsidRPr="004F6ECA" w:rsidRDefault="003960AB" w:rsidP="00311E41">
      <w:pPr>
        <w:keepNext/>
        <w:keepLines/>
        <w:spacing w:before="240" w:after="0"/>
        <w:rPr>
          <w:b/>
          <w:bCs/>
          <w:sz w:val="20"/>
          <w:szCs w:val="20"/>
        </w:rPr>
      </w:pPr>
      <w:bookmarkStart w:id="50" w:name="_Ref185318893"/>
      <w:r w:rsidRPr="004F6ECA">
        <w:rPr>
          <w:b/>
          <w:bCs/>
          <w:sz w:val="20"/>
          <w:szCs w:val="20"/>
        </w:rPr>
        <w:t xml:space="preserve">Table </w:t>
      </w:r>
      <w:r w:rsidR="00920EB0" w:rsidRPr="004F6ECA">
        <w:rPr>
          <w:b/>
          <w:bCs/>
          <w:sz w:val="20"/>
          <w:szCs w:val="20"/>
        </w:rPr>
        <w:fldChar w:fldCharType="begin"/>
      </w:r>
      <w:r w:rsidR="00920EB0" w:rsidRPr="004F6ECA">
        <w:rPr>
          <w:b/>
          <w:bCs/>
          <w:sz w:val="20"/>
          <w:szCs w:val="20"/>
        </w:rPr>
        <w:instrText xml:space="preserve"> SEQ Table \* ARABIC </w:instrText>
      </w:r>
      <w:r w:rsidR="00920EB0" w:rsidRPr="004F6ECA">
        <w:rPr>
          <w:b/>
          <w:bCs/>
          <w:sz w:val="20"/>
          <w:szCs w:val="20"/>
        </w:rPr>
        <w:fldChar w:fldCharType="separate"/>
      </w:r>
      <w:r w:rsidR="009D183F">
        <w:rPr>
          <w:b/>
          <w:bCs/>
          <w:noProof/>
          <w:sz w:val="20"/>
          <w:szCs w:val="20"/>
        </w:rPr>
        <w:t>12</w:t>
      </w:r>
      <w:r w:rsidR="00920EB0" w:rsidRPr="004F6ECA">
        <w:rPr>
          <w:b/>
          <w:bCs/>
          <w:noProof/>
          <w:sz w:val="20"/>
          <w:szCs w:val="20"/>
        </w:rPr>
        <w:fldChar w:fldCharType="end"/>
      </w:r>
      <w:bookmarkEnd w:id="50"/>
      <w:r w:rsidRPr="004F6ECA">
        <w:rPr>
          <w:b/>
          <w:bCs/>
          <w:sz w:val="20"/>
          <w:szCs w:val="20"/>
        </w:rPr>
        <w:tab/>
        <w:t>Sensitivity analysis for base case model (using two-tier screening protocol)</w:t>
      </w:r>
    </w:p>
    <w:tbl>
      <w:tblPr>
        <w:tblStyle w:val="TableGrid"/>
        <w:tblW w:w="0" w:type="auto"/>
        <w:tblLook w:val="04A0" w:firstRow="1" w:lastRow="0" w:firstColumn="1" w:lastColumn="0" w:noHBand="0" w:noVBand="1"/>
      </w:tblPr>
      <w:tblGrid>
        <w:gridCol w:w="4387"/>
        <w:gridCol w:w="1137"/>
        <w:gridCol w:w="1275"/>
        <w:gridCol w:w="1399"/>
        <w:gridCol w:w="818"/>
      </w:tblGrid>
      <w:tr w:rsidR="003960AB" w14:paraId="43425123" w14:textId="77777777" w:rsidTr="006B5B78">
        <w:tc>
          <w:tcPr>
            <w:tcW w:w="4387" w:type="dxa"/>
          </w:tcPr>
          <w:p w14:paraId="514B5A05" w14:textId="77777777" w:rsidR="003960AB" w:rsidRPr="004A7FDE" w:rsidRDefault="003960AB" w:rsidP="00311E41">
            <w:pPr>
              <w:pStyle w:val="Tabletext0"/>
              <w:keepNext/>
              <w:keepLines/>
              <w:spacing w:before="0" w:after="0"/>
              <w:rPr>
                <w:b/>
                <w:bCs/>
              </w:rPr>
            </w:pPr>
          </w:p>
        </w:tc>
        <w:tc>
          <w:tcPr>
            <w:tcW w:w="1137" w:type="dxa"/>
            <w:vAlign w:val="center"/>
          </w:tcPr>
          <w:p w14:paraId="52C9622C" w14:textId="77777777" w:rsidR="003960AB" w:rsidRPr="004A7FDE" w:rsidRDefault="003960AB" w:rsidP="00311E41">
            <w:pPr>
              <w:pStyle w:val="Tabletext0"/>
              <w:keepNext/>
              <w:keepLines/>
              <w:spacing w:before="0" w:after="0"/>
              <w:jc w:val="center"/>
              <w:rPr>
                <w:b/>
                <w:bCs/>
              </w:rPr>
            </w:pPr>
            <w:r>
              <w:rPr>
                <w:b/>
                <w:bCs/>
              </w:rPr>
              <w:t>Incremental costs</w:t>
            </w:r>
          </w:p>
        </w:tc>
        <w:tc>
          <w:tcPr>
            <w:tcW w:w="1275" w:type="dxa"/>
            <w:vAlign w:val="center"/>
          </w:tcPr>
          <w:p w14:paraId="12C806CE" w14:textId="77777777" w:rsidR="003960AB" w:rsidRPr="004A7FDE" w:rsidRDefault="003960AB" w:rsidP="00311E41">
            <w:pPr>
              <w:pStyle w:val="Tabletext0"/>
              <w:keepNext/>
              <w:keepLines/>
              <w:spacing w:before="0" w:after="0"/>
              <w:jc w:val="center"/>
              <w:rPr>
                <w:b/>
                <w:bCs/>
              </w:rPr>
            </w:pPr>
            <w:r>
              <w:rPr>
                <w:b/>
                <w:bCs/>
              </w:rPr>
              <w:t>Increment early diagnosis</w:t>
            </w:r>
          </w:p>
        </w:tc>
        <w:tc>
          <w:tcPr>
            <w:tcW w:w="1399" w:type="dxa"/>
            <w:vAlign w:val="center"/>
          </w:tcPr>
          <w:p w14:paraId="1EB9D7FE" w14:textId="77777777" w:rsidR="003960AB" w:rsidRPr="004A7FDE" w:rsidRDefault="003960AB" w:rsidP="00311E41">
            <w:pPr>
              <w:pStyle w:val="Tabletext0"/>
              <w:keepNext/>
              <w:keepLines/>
              <w:spacing w:before="0" w:after="0"/>
              <w:jc w:val="center"/>
              <w:rPr>
                <w:b/>
                <w:bCs/>
              </w:rPr>
            </w:pPr>
            <w:r>
              <w:rPr>
                <w:b/>
                <w:bCs/>
              </w:rPr>
              <w:t>ICER/early diagnosis</w:t>
            </w:r>
          </w:p>
        </w:tc>
        <w:tc>
          <w:tcPr>
            <w:tcW w:w="818" w:type="dxa"/>
            <w:vAlign w:val="center"/>
          </w:tcPr>
          <w:p w14:paraId="5A9FE5DE" w14:textId="77777777" w:rsidR="003960AB" w:rsidRDefault="003960AB" w:rsidP="00311E41">
            <w:pPr>
              <w:pStyle w:val="Tabletext0"/>
              <w:keepNext/>
              <w:keepLines/>
              <w:spacing w:before="0" w:after="0"/>
              <w:jc w:val="center"/>
              <w:rPr>
                <w:b/>
                <w:bCs/>
              </w:rPr>
            </w:pPr>
            <w:r>
              <w:rPr>
                <w:b/>
                <w:bCs/>
              </w:rPr>
              <w:t>% Change</w:t>
            </w:r>
          </w:p>
        </w:tc>
      </w:tr>
      <w:tr w:rsidR="003960AB" w:rsidRPr="00C160B1" w14:paraId="199BDEDA" w14:textId="77777777" w:rsidTr="006B5B78">
        <w:tc>
          <w:tcPr>
            <w:tcW w:w="4387" w:type="dxa"/>
          </w:tcPr>
          <w:p w14:paraId="622F7D3C" w14:textId="77777777" w:rsidR="003960AB" w:rsidRPr="00492AB6" w:rsidRDefault="003960AB" w:rsidP="00311E41">
            <w:pPr>
              <w:pStyle w:val="Tabletext0"/>
              <w:keepNext/>
              <w:keepLines/>
              <w:spacing w:before="0" w:after="0"/>
              <w:rPr>
                <w:b/>
                <w:bCs/>
              </w:rPr>
            </w:pPr>
            <w:r w:rsidRPr="00492AB6">
              <w:rPr>
                <w:b/>
                <w:bCs/>
              </w:rPr>
              <w:t>Base case analysis</w:t>
            </w:r>
          </w:p>
        </w:tc>
        <w:tc>
          <w:tcPr>
            <w:tcW w:w="1137" w:type="dxa"/>
            <w:vAlign w:val="center"/>
          </w:tcPr>
          <w:p w14:paraId="52E4589D" w14:textId="64DE62CB" w:rsidR="003960AB" w:rsidRPr="007E005E" w:rsidRDefault="003960AB" w:rsidP="00311E41">
            <w:pPr>
              <w:pStyle w:val="Tabletext0"/>
              <w:keepNext/>
              <w:keepLines/>
              <w:spacing w:before="0" w:after="0"/>
              <w:jc w:val="center"/>
              <w:rPr>
                <w:b/>
                <w:bCs/>
              </w:rPr>
            </w:pPr>
            <w:r w:rsidRPr="007E005E">
              <w:rPr>
                <w:b/>
                <w:bCs/>
              </w:rPr>
              <w:t>$</w:t>
            </w:r>
            <w:r w:rsidR="008D1385" w:rsidRPr="008D1385">
              <w:rPr>
                <w:rFonts w:cs="Courier New"/>
                <w:b/>
              </w:rPr>
              <w:t>Redacted</w:t>
            </w:r>
          </w:p>
        </w:tc>
        <w:tc>
          <w:tcPr>
            <w:tcW w:w="1275" w:type="dxa"/>
            <w:vAlign w:val="center"/>
          </w:tcPr>
          <w:p w14:paraId="1D285581" w14:textId="77777777" w:rsidR="003960AB" w:rsidRPr="007E005E" w:rsidRDefault="003960AB" w:rsidP="00311E41">
            <w:pPr>
              <w:pStyle w:val="Tabletext0"/>
              <w:keepNext/>
              <w:keepLines/>
              <w:spacing w:before="0" w:after="0"/>
              <w:jc w:val="center"/>
              <w:rPr>
                <w:b/>
                <w:bCs/>
              </w:rPr>
            </w:pPr>
            <w:r w:rsidRPr="007E005E">
              <w:rPr>
                <w:b/>
                <w:bCs/>
              </w:rPr>
              <w:t>0.0000142</w:t>
            </w:r>
          </w:p>
        </w:tc>
        <w:tc>
          <w:tcPr>
            <w:tcW w:w="1399" w:type="dxa"/>
            <w:vAlign w:val="center"/>
          </w:tcPr>
          <w:p w14:paraId="2F6500DE" w14:textId="4280F457" w:rsidR="003960AB" w:rsidRPr="007E005E" w:rsidRDefault="003960AB" w:rsidP="00311E41">
            <w:pPr>
              <w:pStyle w:val="Tabletext0"/>
              <w:keepNext/>
              <w:keepLines/>
              <w:spacing w:before="0" w:after="0"/>
              <w:jc w:val="center"/>
              <w:rPr>
                <w:b/>
                <w:bCs/>
              </w:rPr>
            </w:pPr>
            <w:r w:rsidRPr="007E005E">
              <w:rPr>
                <w:b/>
                <w:bCs/>
              </w:rPr>
              <w:t>$</w:t>
            </w:r>
            <w:r w:rsidR="008D1385" w:rsidRPr="008D1385">
              <w:rPr>
                <w:rFonts w:cs="Courier New"/>
                <w:b/>
              </w:rPr>
              <w:t>Redacted</w:t>
            </w:r>
          </w:p>
        </w:tc>
        <w:tc>
          <w:tcPr>
            <w:tcW w:w="818" w:type="dxa"/>
            <w:vAlign w:val="center"/>
          </w:tcPr>
          <w:p w14:paraId="50DF17AB" w14:textId="77777777" w:rsidR="003960AB" w:rsidRPr="007E005E" w:rsidRDefault="003960AB" w:rsidP="00311E41">
            <w:pPr>
              <w:pStyle w:val="Tabletext0"/>
              <w:keepNext/>
              <w:keepLines/>
              <w:spacing w:before="0" w:after="0"/>
              <w:jc w:val="center"/>
              <w:rPr>
                <w:rFonts w:cs="Calibri"/>
                <w:b/>
                <w:bCs/>
                <w:color w:val="000000"/>
              </w:rPr>
            </w:pPr>
            <w:r w:rsidRPr="007E005E">
              <w:rPr>
                <w:b/>
                <w:bCs/>
              </w:rPr>
              <w:t>0%</w:t>
            </w:r>
          </w:p>
        </w:tc>
      </w:tr>
      <w:tr w:rsidR="003960AB" w:rsidRPr="002D46B1" w14:paraId="0B40F998" w14:textId="77777777" w:rsidTr="006B5B78">
        <w:tc>
          <w:tcPr>
            <w:tcW w:w="9016" w:type="dxa"/>
            <w:gridSpan w:val="5"/>
            <w:vAlign w:val="center"/>
          </w:tcPr>
          <w:p w14:paraId="0BC121F9" w14:textId="77777FF4" w:rsidR="003960AB" w:rsidRPr="002D46B1" w:rsidRDefault="3920F3B4" w:rsidP="00311E41">
            <w:pPr>
              <w:pStyle w:val="Tabletext0"/>
              <w:keepNext/>
              <w:keepLines/>
              <w:spacing w:before="0" w:after="0"/>
              <w:jc w:val="left"/>
              <w:rPr>
                <w:i/>
                <w:iCs/>
              </w:rPr>
            </w:pPr>
            <w:r w:rsidRPr="7C4E3BA4">
              <w:rPr>
                <w:i/>
                <w:iCs/>
              </w:rPr>
              <w:t>Strategy and cost of 1</w:t>
            </w:r>
            <w:r w:rsidRPr="7C4E3BA4">
              <w:rPr>
                <w:i/>
                <w:iCs/>
                <w:vertAlign w:val="superscript"/>
              </w:rPr>
              <w:t>st</w:t>
            </w:r>
            <w:r w:rsidRPr="7C4E3BA4">
              <w:rPr>
                <w:i/>
                <w:iCs/>
              </w:rPr>
              <w:t xml:space="preserve"> tier screening (base case: </w:t>
            </w:r>
            <w:r w:rsidR="008D1385" w:rsidRPr="00011DA9">
              <w:rPr>
                <w:i/>
              </w:rPr>
              <w:t>$</w:t>
            </w:r>
            <w:r w:rsidR="008D1385" w:rsidRPr="00011DA9">
              <w:rPr>
                <w:rFonts w:cs="Courier New"/>
                <w:b/>
                <w:i/>
              </w:rPr>
              <w:t>Redacted</w:t>
            </w:r>
            <w:r w:rsidR="008D1385" w:rsidRPr="7C4E3BA4" w:rsidDel="008D1385">
              <w:rPr>
                <w:i/>
                <w:iCs/>
              </w:rPr>
              <w:t xml:space="preserve"> </w:t>
            </w:r>
            <w:r w:rsidRPr="7C4E3BA4">
              <w:rPr>
                <w:i/>
                <w:iCs/>
              </w:rPr>
              <w:t xml:space="preserve">for </w:t>
            </w:r>
            <w:r w:rsidR="008D1385" w:rsidRPr="00011DA9">
              <w:rPr>
                <w:rFonts w:cs="Courier New"/>
                <w:b/>
                <w:i/>
              </w:rPr>
              <w:t>Redacted</w:t>
            </w:r>
            <w:r w:rsidR="008D1385" w:rsidRPr="7C4E3BA4" w:rsidDel="008D1385">
              <w:rPr>
                <w:i/>
                <w:iCs/>
              </w:rPr>
              <w:t xml:space="preserve"> </w:t>
            </w:r>
            <w:r w:rsidRPr="7C4E3BA4">
              <w:rPr>
                <w:i/>
                <w:iCs/>
              </w:rPr>
              <w:t>kit)</w:t>
            </w:r>
          </w:p>
        </w:tc>
      </w:tr>
      <w:tr w:rsidR="003960AB" w14:paraId="6827C072" w14:textId="77777777" w:rsidTr="006B5B78">
        <w:tc>
          <w:tcPr>
            <w:tcW w:w="4387" w:type="dxa"/>
          </w:tcPr>
          <w:p w14:paraId="56B3EF2B" w14:textId="3E74A8AE" w:rsidR="003960AB" w:rsidRPr="004744F4" w:rsidRDefault="3920F3B4" w:rsidP="00311E41">
            <w:pPr>
              <w:pStyle w:val="Tabletext0"/>
              <w:keepNext/>
              <w:keepLines/>
              <w:spacing w:before="0" w:after="0"/>
              <w:rPr>
                <w:highlight w:val="yellow"/>
              </w:rPr>
            </w:pPr>
            <w:r w:rsidRPr="7C4E3BA4">
              <w:t>Revvity MPS7plex MS/MS kit: $</w:t>
            </w:r>
            <w:r w:rsidR="008D1385" w:rsidRPr="008D1385">
              <w:rPr>
                <w:rFonts w:cs="Courier New"/>
                <w:b/>
              </w:rPr>
              <w:t>Redacted</w:t>
            </w:r>
          </w:p>
        </w:tc>
        <w:tc>
          <w:tcPr>
            <w:tcW w:w="1137" w:type="dxa"/>
            <w:vAlign w:val="center"/>
          </w:tcPr>
          <w:p w14:paraId="4FEB323E" w14:textId="1C77EA90" w:rsidR="003960AB" w:rsidRPr="004744F4" w:rsidRDefault="008D1385" w:rsidP="00311E41">
            <w:pPr>
              <w:pStyle w:val="Tabletext0"/>
              <w:keepNext/>
              <w:keepLines/>
              <w:spacing w:before="0" w:after="0"/>
              <w:jc w:val="center"/>
              <w:rPr>
                <w:highlight w:val="yellow"/>
              </w:rPr>
            </w:pPr>
            <w:r w:rsidRPr="7C4E3BA4">
              <w:t>$</w:t>
            </w:r>
            <w:r w:rsidRPr="008D1385">
              <w:rPr>
                <w:rFonts w:cs="Courier New"/>
                <w:b/>
              </w:rPr>
              <w:t>Redacted</w:t>
            </w:r>
          </w:p>
        </w:tc>
        <w:tc>
          <w:tcPr>
            <w:tcW w:w="1275" w:type="dxa"/>
            <w:vAlign w:val="center"/>
          </w:tcPr>
          <w:p w14:paraId="0CF34467" w14:textId="3D82A9BA" w:rsidR="003960AB" w:rsidRPr="000F6B35" w:rsidRDefault="003960AB" w:rsidP="00311E41">
            <w:pPr>
              <w:pStyle w:val="Tabletext0"/>
              <w:keepNext/>
              <w:keepLines/>
              <w:spacing w:before="0" w:after="0"/>
              <w:jc w:val="center"/>
            </w:pPr>
            <w:r w:rsidRPr="00302E71">
              <w:t>0.0000142</w:t>
            </w:r>
          </w:p>
        </w:tc>
        <w:tc>
          <w:tcPr>
            <w:tcW w:w="1399" w:type="dxa"/>
            <w:vAlign w:val="center"/>
          </w:tcPr>
          <w:p w14:paraId="6B93C8A8" w14:textId="071FA464" w:rsidR="003960AB" w:rsidRPr="00C160B1" w:rsidRDefault="008D1385" w:rsidP="00311E41">
            <w:pPr>
              <w:pStyle w:val="Tabletext0"/>
              <w:keepNext/>
              <w:keepLines/>
              <w:spacing w:before="0" w:after="0"/>
              <w:jc w:val="center"/>
            </w:pPr>
            <w:r w:rsidRPr="7C4E3BA4">
              <w:t>$</w:t>
            </w:r>
            <w:r w:rsidRPr="008D1385">
              <w:rPr>
                <w:rFonts w:cs="Courier New"/>
                <w:b/>
              </w:rPr>
              <w:t>Redacted</w:t>
            </w:r>
          </w:p>
        </w:tc>
        <w:tc>
          <w:tcPr>
            <w:tcW w:w="818" w:type="dxa"/>
            <w:vAlign w:val="center"/>
          </w:tcPr>
          <w:p w14:paraId="1F85B970" w14:textId="6DBF44FA" w:rsidR="003960AB" w:rsidRDefault="006B6026" w:rsidP="00311E41">
            <w:pPr>
              <w:pStyle w:val="Tabletext0"/>
              <w:keepNext/>
              <w:keepLines/>
              <w:spacing w:before="0" w:after="0"/>
              <w:jc w:val="center"/>
              <w:rPr>
                <w:rFonts w:cs="Calibri"/>
                <w:b/>
                <w:bCs/>
                <w:color w:val="000000"/>
              </w:rPr>
            </w:pPr>
            <w:r w:rsidRPr="00302E71">
              <w:t>147</w:t>
            </w:r>
            <w:r w:rsidR="003960AB" w:rsidRPr="00302E71">
              <w:t>%</w:t>
            </w:r>
          </w:p>
        </w:tc>
      </w:tr>
      <w:tr w:rsidR="003960AB" w14:paraId="2F0374BA" w14:textId="77777777" w:rsidTr="006B5B78">
        <w:tc>
          <w:tcPr>
            <w:tcW w:w="4387" w:type="dxa"/>
          </w:tcPr>
          <w:p w14:paraId="580ECF8C" w14:textId="6205D1A6" w:rsidR="003960AB" w:rsidRPr="00B30FA0" w:rsidRDefault="3920F3B4" w:rsidP="00311E41">
            <w:pPr>
              <w:pStyle w:val="Tabletext0"/>
              <w:keepNext/>
              <w:keepLines/>
              <w:spacing w:before="0" w:after="0"/>
              <w:rPr>
                <w:highlight w:val="yellow"/>
              </w:rPr>
            </w:pPr>
            <w:r w:rsidRPr="7C4E3BA4">
              <w:t xml:space="preserve">Revvity MPS4plex MS/MS kit: </w:t>
            </w:r>
            <w:r w:rsidR="008D1385" w:rsidRPr="7C4E3BA4">
              <w:t>$</w:t>
            </w:r>
            <w:r w:rsidR="008D1385" w:rsidRPr="008D1385">
              <w:rPr>
                <w:rFonts w:cs="Courier New"/>
                <w:b/>
              </w:rPr>
              <w:t>Redacted</w:t>
            </w:r>
          </w:p>
        </w:tc>
        <w:tc>
          <w:tcPr>
            <w:tcW w:w="1137" w:type="dxa"/>
            <w:vAlign w:val="center"/>
          </w:tcPr>
          <w:p w14:paraId="4B3D0A8C" w14:textId="470C70E4" w:rsidR="003960AB" w:rsidRPr="004744F4" w:rsidRDefault="008D1385" w:rsidP="00311E41">
            <w:pPr>
              <w:pStyle w:val="Tabletext0"/>
              <w:keepNext/>
              <w:keepLines/>
              <w:spacing w:before="0" w:after="0"/>
              <w:jc w:val="center"/>
              <w:rPr>
                <w:rFonts w:cs="Calibri"/>
                <w:color w:val="000000"/>
                <w:highlight w:val="yellow"/>
              </w:rPr>
            </w:pPr>
            <w:r w:rsidRPr="7C4E3BA4">
              <w:t>$</w:t>
            </w:r>
            <w:r w:rsidRPr="008D1385">
              <w:rPr>
                <w:rFonts w:cs="Courier New"/>
                <w:b/>
              </w:rPr>
              <w:t>Redacted</w:t>
            </w:r>
          </w:p>
        </w:tc>
        <w:tc>
          <w:tcPr>
            <w:tcW w:w="1275" w:type="dxa"/>
            <w:vAlign w:val="center"/>
          </w:tcPr>
          <w:p w14:paraId="7FCA6AC8" w14:textId="0A99F745" w:rsidR="003960AB" w:rsidRDefault="003960AB" w:rsidP="00311E41">
            <w:pPr>
              <w:pStyle w:val="Tabletext0"/>
              <w:keepNext/>
              <w:keepLines/>
              <w:spacing w:before="0" w:after="0"/>
              <w:jc w:val="center"/>
              <w:rPr>
                <w:rFonts w:cs="Calibri"/>
                <w:color w:val="000000"/>
              </w:rPr>
            </w:pPr>
            <w:r w:rsidRPr="00533EA8">
              <w:t>0.0000142</w:t>
            </w:r>
          </w:p>
        </w:tc>
        <w:tc>
          <w:tcPr>
            <w:tcW w:w="1399" w:type="dxa"/>
            <w:vAlign w:val="center"/>
          </w:tcPr>
          <w:p w14:paraId="136F7744" w14:textId="7DF62DE7" w:rsidR="003960AB"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818" w:type="dxa"/>
            <w:vAlign w:val="center"/>
          </w:tcPr>
          <w:p w14:paraId="363F21E1" w14:textId="6F731565" w:rsidR="003960AB" w:rsidRDefault="007B237A" w:rsidP="00311E41">
            <w:pPr>
              <w:pStyle w:val="Tabletext0"/>
              <w:keepNext/>
              <w:keepLines/>
              <w:spacing w:before="0" w:after="0"/>
              <w:jc w:val="center"/>
              <w:rPr>
                <w:rFonts w:cs="Calibri"/>
                <w:color w:val="000000"/>
              </w:rPr>
            </w:pPr>
            <w:r w:rsidRPr="00533EA8">
              <w:t>90</w:t>
            </w:r>
            <w:r w:rsidR="003960AB" w:rsidRPr="00533EA8">
              <w:t>%</w:t>
            </w:r>
          </w:p>
        </w:tc>
      </w:tr>
      <w:tr w:rsidR="003960AB" w14:paraId="4AF13F7C" w14:textId="77777777" w:rsidTr="006B5B78">
        <w:tc>
          <w:tcPr>
            <w:tcW w:w="4387" w:type="dxa"/>
          </w:tcPr>
          <w:p w14:paraId="32A1E20E" w14:textId="7A1AC033" w:rsidR="003960AB" w:rsidRDefault="57A1588E" w:rsidP="00311E41">
            <w:pPr>
              <w:pStyle w:val="Tabletext0"/>
              <w:keepNext/>
              <w:keepLines/>
              <w:spacing w:before="0" w:after="0"/>
              <w:rPr>
                <w:highlight w:val="yellow"/>
              </w:rPr>
            </w:pPr>
            <w:r w:rsidRPr="1078AAA7">
              <w:rPr>
                <w:b/>
                <w:bCs/>
              </w:rPr>
              <w:t xml:space="preserve">Redacted </w:t>
            </w:r>
            <w:r w:rsidR="3920F3B4" w:rsidRPr="7C4E3BA4">
              <w:t xml:space="preserve">multiplex for MPS I, MPS II, Pompe: </w:t>
            </w:r>
            <w:r w:rsidR="008D1385" w:rsidRPr="7C4E3BA4">
              <w:t>$</w:t>
            </w:r>
            <w:r w:rsidR="008D1385" w:rsidRPr="008D1385">
              <w:rPr>
                <w:rFonts w:cs="Courier New"/>
                <w:b/>
              </w:rPr>
              <w:t>Redacted</w:t>
            </w:r>
          </w:p>
        </w:tc>
        <w:tc>
          <w:tcPr>
            <w:tcW w:w="1137" w:type="dxa"/>
            <w:vAlign w:val="center"/>
          </w:tcPr>
          <w:p w14:paraId="076A0ECD" w14:textId="4C94AC8E" w:rsidR="003960AB" w:rsidRPr="004744F4" w:rsidRDefault="008D1385" w:rsidP="00311E41">
            <w:pPr>
              <w:pStyle w:val="Tabletext0"/>
              <w:keepNext/>
              <w:keepLines/>
              <w:spacing w:before="0" w:after="0"/>
              <w:jc w:val="center"/>
              <w:rPr>
                <w:rFonts w:cs="Calibri"/>
                <w:color w:val="000000"/>
                <w:highlight w:val="yellow"/>
              </w:rPr>
            </w:pPr>
            <w:r w:rsidRPr="7C4E3BA4">
              <w:t>$</w:t>
            </w:r>
            <w:r w:rsidRPr="008D1385">
              <w:rPr>
                <w:rFonts w:cs="Courier New"/>
                <w:b/>
              </w:rPr>
              <w:t>Redacted</w:t>
            </w:r>
          </w:p>
        </w:tc>
        <w:tc>
          <w:tcPr>
            <w:tcW w:w="1275" w:type="dxa"/>
            <w:vAlign w:val="center"/>
          </w:tcPr>
          <w:p w14:paraId="0AC68E8A" w14:textId="7DC54198" w:rsidR="003960AB" w:rsidRDefault="003960AB" w:rsidP="00311E41">
            <w:pPr>
              <w:pStyle w:val="Tabletext0"/>
              <w:keepNext/>
              <w:keepLines/>
              <w:spacing w:before="0" w:after="0"/>
              <w:jc w:val="center"/>
              <w:rPr>
                <w:rFonts w:cs="Calibri"/>
                <w:color w:val="000000"/>
              </w:rPr>
            </w:pPr>
            <w:r w:rsidRPr="00EB6791">
              <w:t>0.0000142</w:t>
            </w:r>
          </w:p>
        </w:tc>
        <w:tc>
          <w:tcPr>
            <w:tcW w:w="1399" w:type="dxa"/>
            <w:vAlign w:val="center"/>
          </w:tcPr>
          <w:p w14:paraId="7E570338" w14:textId="3D2C06C6" w:rsidR="003960AB"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818" w:type="dxa"/>
            <w:vAlign w:val="center"/>
          </w:tcPr>
          <w:p w14:paraId="6B23794C" w14:textId="0367D655" w:rsidR="003960AB" w:rsidRDefault="003960AB" w:rsidP="00311E41">
            <w:pPr>
              <w:pStyle w:val="Tabletext0"/>
              <w:keepNext/>
              <w:keepLines/>
              <w:spacing w:before="0" w:after="0"/>
              <w:jc w:val="center"/>
              <w:rPr>
                <w:rFonts w:cs="Calibri"/>
                <w:color w:val="000000"/>
              </w:rPr>
            </w:pPr>
            <w:r w:rsidRPr="00EB6791">
              <w:t>-</w:t>
            </w:r>
            <w:r w:rsidR="00A424C6" w:rsidRPr="00EB6791">
              <w:t>42</w:t>
            </w:r>
            <w:r w:rsidRPr="00EB6791">
              <w:t>%</w:t>
            </w:r>
          </w:p>
        </w:tc>
      </w:tr>
      <w:tr w:rsidR="003960AB" w14:paraId="409E4342" w14:textId="77777777" w:rsidTr="006B5B78">
        <w:tc>
          <w:tcPr>
            <w:tcW w:w="4387" w:type="dxa"/>
          </w:tcPr>
          <w:p w14:paraId="241D6106" w14:textId="4981F373" w:rsidR="003960AB" w:rsidRPr="004744F4" w:rsidRDefault="003960AB" w:rsidP="00311E41">
            <w:pPr>
              <w:pStyle w:val="Tabletext0"/>
              <w:keepNext/>
              <w:keepLines/>
              <w:spacing w:before="0" w:after="0"/>
              <w:rPr>
                <w:highlight w:val="yellow"/>
              </w:rPr>
            </w:pPr>
            <w:r>
              <w:t xml:space="preserve">Single-tier screening using NRE-GAG assay: </w:t>
            </w:r>
            <w:r w:rsidR="008D1385" w:rsidRPr="7C4E3BA4">
              <w:t>$</w:t>
            </w:r>
            <w:r w:rsidR="008D1385" w:rsidRPr="008D1385">
              <w:rPr>
                <w:rFonts w:cs="Courier New"/>
                <w:b/>
              </w:rPr>
              <w:t>Redacted</w:t>
            </w:r>
          </w:p>
        </w:tc>
        <w:tc>
          <w:tcPr>
            <w:tcW w:w="1137" w:type="dxa"/>
            <w:vAlign w:val="center"/>
          </w:tcPr>
          <w:p w14:paraId="161FE904" w14:textId="5E5A4531" w:rsidR="003960AB" w:rsidRPr="000E02C1" w:rsidRDefault="008D1385" w:rsidP="00311E41">
            <w:pPr>
              <w:pStyle w:val="Tabletext0"/>
              <w:keepNext/>
              <w:keepLines/>
              <w:spacing w:before="0" w:after="0"/>
              <w:jc w:val="center"/>
              <w:rPr>
                <w:rFonts w:cs="Calibri"/>
                <w:color w:val="000000"/>
                <w:highlight w:val="yellow"/>
              </w:rPr>
            </w:pPr>
            <w:r w:rsidRPr="7C4E3BA4">
              <w:t>$</w:t>
            </w:r>
            <w:r w:rsidRPr="008D1385">
              <w:rPr>
                <w:rFonts w:cs="Courier New"/>
                <w:b/>
              </w:rPr>
              <w:t>Redacted</w:t>
            </w:r>
          </w:p>
        </w:tc>
        <w:tc>
          <w:tcPr>
            <w:tcW w:w="1275" w:type="dxa"/>
            <w:vAlign w:val="center"/>
          </w:tcPr>
          <w:p w14:paraId="613AFD04" w14:textId="5E9BE5A2" w:rsidR="003960AB" w:rsidRDefault="003960AB" w:rsidP="00311E41">
            <w:pPr>
              <w:pStyle w:val="Tabletext0"/>
              <w:keepNext/>
              <w:keepLines/>
              <w:spacing w:before="0" w:after="0"/>
              <w:jc w:val="center"/>
              <w:rPr>
                <w:rFonts w:cs="Calibri"/>
                <w:color w:val="000000"/>
              </w:rPr>
            </w:pPr>
            <w:r w:rsidRPr="001561C8">
              <w:t>0.0000142</w:t>
            </w:r>
          </w:p>
        </w:tc>
        <w:tc>
          <w:tcPr>
            <w:tcW w:w="1399" w:type="dxa"/>
            <w:vAlign w:val="center"/>
          </w:tcPr>
          <w:p w14:paraId="2F0975FE" w14:textId="298631BB" w:rsidR="003960AB" w:rsidRPr="00C160B1"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818" w:type="dxa"/>
            <w:vAlign w:val="center"/>
          </w:tcPr>
          <w:p w14:paraId="19006E90" w14:textId="0C9E58DF" w:rsidR="003960AB" w:rsidRDefault="003960AB" w:rsidP="00311E41">
            <w:pPr>
              <w:pStyle w:val="Tabletext0"/>
              <w:keepNext/>
              <w:keepLines/>
              <w:spacing w:before="0" w:after="0"/>
              <w:jc w:val="center"/>
              <w:rPr>
                <w:rFonts w:cs="Calibri"/>
                <w:b/>
                <w:bCs/>
                <w:color w:val="000000"/>
              </w:rPr>
            </w:pPr>
            <w:r w:rsidRPr="001561C8">
              <w:t>7%</w:t>
            </w:r>
          </w:p>
        </w:tc>
      </w:tr>
      <w:tr w:rsidR="003960AB" w14:paraId="3857FC53" w14:textId="77777777" w:rsidTr="006B5B78">
        <w:tc>
          <w:tcPr>
            <w:tcW w:w="4387" w:type="dxa"/>
          </w:tcPr>
          <w:p w14:paraId="1287169E" w14:textId="1C2E8D28" w:rsidR="003960AB" w:rsidRPr="004744F4" w:rsidRDefault="003960AB" w:rsidP="00311E41">
            <w:pPr>
              <w:pStyle w:val="Tabletext0"/>
              <w:keepNext/>
              <w:keepLines/>
              <w:spacing w:before="0" w:after="0"/>
              <w:rPr>
                <w:highlight w:val="yellow"/>
              </w:rPr>
            </w:pPr>
            <w:r>
              <w:t xml:space="preserve">Single-tier NRE-GAG assay multiplex for MPS I, MPS II: </w:t>
            </w:r>
            <w:r w:rsidR="008D1385" w:rsidRPr="7C4E3BA4">
              <w:t>$</w:t>
            </w:r>
            <w:r w:rsidR="008D1385" w:rsidRPr="008D1385">
              <w:rPr>
                <w:rFonts w:cs="Courier New"/>
                <w:b/>
              </w:rPr>
              <w:t>Redacted</w:t>
            </w:r>
          </w:p>
        </w:tc>
        <w:tc>
          <w:tcPr>
            <w:tcW w:w="1137" w:type="dxa"/>
            <w:vAlign w:val="center"/>
          </w:tcPr>
          <w:p w14:paraId="637B647E" w14:textId="69AFD479" w:rsidR="003960AB" w:rsidRPr="0019724D" w:rsidRDefault="008D1385" w:rsidP="00311E41">
            <w:pPr>
              <w:pStyle w:val="Tabletext0"/>
              <w:keepNext/>
              <w:keepLines/>
              <w:spacing w:before="0" w:after="0"/>
              <w:jc w:val="center"/>
              <w:rPr>
                <w:rFonts w:cs="Calibri"/>
                <w:color w:val="000000"/>
                <w:highlight w:val="yellow"/>
              </w:rPr>
            </w:pPr>
            <w:r w:rsidRPr="7C4E3BA4">
              <w:t>$</w:t>
            </w:r>
            <w:r w:rsidRPr="008D1385">
              <w:rPr>
                <w:rFonts w:cs="Courier New"/>
                <w:b/>
              </w:rPr>
              <w:t>Redacted</w:t>
            </w:r>
          </w:p>
        </w:tc>
        <w:tc>
          <w:tcPr>
            <w:tcW w:w="1275" w:type="dxa"/>
            <w:vAlign w:val="center"/>
          </w:tcPr>
          <w:p w14:paraId="0FCB1F5A" w14:textId="6C0055AC" w:rsidR="003960AB" w:rsidRDefault="003960AB" w:rsidP="00311E41">
            <w:pPr>
              <w:pStyle w:val="Tabletext0"/>
              <w:keepNext/>
              <w:keepLines/>
              <w:spacing w:before="0" w:after="0"/>
              <w:jc w:val="center"/>
              <w:rPr>
                <w:rFonts w:cs="Calibri"/>
                <w:color w:val="000000"/>
              </w:rPr>
            </w:pPr>
            <w:r w:rsidRPr="00746FD0">
              <w:t>0.0000142</w:t>
            </w:r>
          </w:p>
        </w:tc>
        <w:tc>
          <w:tcPr>
            <w:tcW w:w="1399" w:type="dxa"/>
            <w:vAlign w:val="center"/>
          </w:tcPr>
          <w:p w14:paraId="7E7E708C" w14:textId="089000A2" w:rsidR="003960AB" w:rsidRPr="00501CD9"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818" w:type="dxa"/>
            <w:vAlign w:val="center"/>
          </w:tcPr>
          <w:p w14:paraId="53B0952F" w14:textId="657B6A44" w:rsidR="003960AB" w:rsidRDefault="003960AB" w:rsidP="00311E41">
            <w:pPr>
              <w:pStyle w:val="Tabletext0"/>
              <w:keepNext/>
              <w:keepLines/>
              <w:spacing w:before="0" w:after="0"/>
              <w:jc w:val="center"/>
              <w:rPr>
                <w:rFonts w:cs="Calibri"/>
                <w:color w:val="000000"/>
              </w:rPr>
            </w:pPr>
            <w:r w:rsidRPr="00746FD0">
              <w:t>-</w:t>
            </w:r>
            <w:r w:rsidR="00B47265" w:rsidRPr="00746FD0">
              <w:t>32</w:t>
            </w:r>
            <w:r w:rsidRPr="00746FD0">
              <w:t>%</w:t>
            </w:r>
          </w:p>
        </w:tc>
      </w:tr>
      <w:tr w:rsidR="003960AB" w14:paraId="67B00198" w14:textId="77777777" w:rsidTr="006B5B78">
        <w:tc>
          <w:tcPr>
            <w:tcW w:w="9016" w:type="dxa"/>
            <w:gridSpan w:val="5"/>
            <w:vAlign w:val="center"/>
          </w:tcPr>
          <w:p w14:paraId="2277C43C" w14:textId="10D5AC2A" w:rsidR="003960AB" w:rsidRPr="00CC01D1" w:rsidRDefault="3920F3B4" w:rsidP="00311E41">
            <w:pPr>
              <w:pStyle w:val="Tabletext0"/>
              <w:keepNext/>
              <w:keepLines/>
              <w:spacing w:before="0" w:after="0"/>
              <w:jc w:val="left"/>
              <w:rPr>
                <w:rFonts w:cs="Calibri"/>
                <w:i/>
                <w:iCs/>
                <w:color w:val="000000"/>
                <w:vertAlign w:val="superscript"/>
              </w:rPr>
            </w:pPr>
            <w:r w:rsidRPr="7C4E3BA4">
              <w:rPr>
                <w:rFonts w:cs="Calibri"/>
                <w:i/>
                <w:iCs/>
                <w:color w:val="000000" w:themeColor="text1"/>
              </w:rPr>
              <w:t>Prevalence of MPS II with NBS (base case: 1.42 per 100,000 newborns)</w:t>
            </w:r>
            <w:r w:rsidRPr="7C4E3BA4">
              <w:rPr>
                <w:rFonts w:cs="Calibri"/>
                <w:i/>
                <w:iCs/>
                <w:color w:val="000000" w:themeColor="text1"/>
                <w:vertAlign w:val="superscript"/>
              </w:rPr>
              <w:t>a</w:t>
            </w:r>
          </w:p>
        </w:tc>
      </w:tr>
      <w:tr w:rsidR="003960AB" w14:paraId="584B0677" w14:textId="77777777" w:rsidTr="006B5B78">
        <w:tc>
          <w:tcPr>
            <w:tcW w:w="4387" w:type="dxa"/>
          </w:tcPr>
          <w:p w14:paraId="663A0F37" w14:textId="77777777" w:rsidR="003960AB" w:rsidRDefault="003960AB" w:rsidP="00311E41">
            <w:pPr>
              <w:pStyle w:val="Tabletext0"/>
              <w:keepNext/>
              <w:keepLines/>
              <w:spacing w:before="0" w:after="0"/>
            </w:pPr>
            <w:r>
              <w:t xml:space="preserve">Equal to the clinical identification rate in Australia (0.62 per 100,000 newborns). </w:t>
            </w:r>
          </w:p>
        </w:tc>
        <w:tc>
          <w:tcPr>
            <w:tcW w:w="1137" w:type="dxa"/>
            <w:vAlign w:val="center"/>
          </w:tcPr>
          <w:p w14:paraId="5C669981" w14:textId="6E3E6619" w:rsidR="003960AB"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1275" w:type="dxa"/>
            <w:vAlign w:val="center"/>
          </w:tcPr>
          <w:p w14:paraId="671BD29C" w14:textId="0C736D1B" w:rsidR="003960AB" w:rsidRDefault="003960AB" w:rsidP="00311E41">
            <w:pPr>
              <w:pStyle w:val="Tabletext0"/>
              <w:keepNext/>
              <w:keepLines/>
              <w:spacing w:before="0" w:after="0"/>
              <w:jc w:val="center"/>
              <w:rPr>
                <w:rFonts w:cs="Calibri"/>
                <w:color w:val="000000"/>
              </w:rPr>
            </w:pPr>
            <w:r w:rsidRPr="00590B19">
              <w:t>0.0000062</w:t>
            </w:r>
          </w:p>
        </w:tc>
        <w:tc>
          <w:tcPr>
            <w:tcW w:w="1399" w:type="dxa"/>
            <w:vAlign w:val="center"/>
          </w:tcPr>
          <w:p w14:paraId="316BA854" w14:textId="2232F08D" w:rsidR="003960AB" w:rsidRDefault="008D1385" w:rsidP="00311E41">
            <w:pPr>
              <w:pStyle w:val="Tabletext0"/>
              <w:keepNext/>
              <w:keepLines/>
              <w:spacing w:before="0" w:after="0"/>
              <w:jc w:val="center"/>
              <w:rPr>
                <w:rFonts w:cs="Calibri"/>
                <w:color w:val="000000"/>
              </w:rPr>
            </w:pPr>
            <w:r w:rsidRPr="7C4E3BA4">
              <w:t>$</w:t>
            </w:r>
            <w:r w:rsidRPr="008D1385">
              <w:rPr>
                <w:rFonts w:cs="Courier New"/>
                <w:b/>
              </w:rPr>
              <w:t>Redacted</w:t>
            </w:r>
          </w:p>
        </w:tc>
        <w:tc>
          <w:tcPr>
            <w:tcW w:w="818" w:type="dxa"/>
            <w:vAlign w:val="center"/>
          </w:tcPr>
          <w:p w14:paraId="0A256973" w14:textId="718B9886" w:rsidR="003960AB" w:rsidRDefault="00D73E18" w:rsidP="00311E41">
            <w:pPr>
              <w:pStyle w:val="Tabletext0"/>
              <w:keepNext/>
              <w:keepLines/>
              <w:spacing w:before="0" w:after="0"/>
              <w:jc w:val="center"/>
              <w:rPr>
                <w:rFonts w:cs="Calibri"/>
                <w:color w:val="000000"/>
              </w:rPr>
            </w:pPr>
            <w:r w:rsidRPr="00590B19">
              <w:t>113</w:t>
            </w:r>
            <w:r w:rsidR="003960AB" w:rsidRPr="00590B19">
              <w:t>%</w:t>
            </w:r>
          </w:p>
        </w:tc>
      </w:tr>
      <w:tr w:rsidR="00447250" w14:paraId="040D8190" w14:textId="77777777" w:rsidTr="006B5B78">
        <w:tc>
          <w:tcPr>
            <w:tcW w:w="9016" w:type="dxa"/>
            <w:gridSpan w:val="5"/>
            <w:vAlign w:val="center"/>
          </w:tcPr>
          <w:p w14:paraId="234AB4F9" w14:textId="29E02D2A" w:rsidR="00447250" w:rsidRPr="00E220C6" w:rsidRDefault="13FFF6C7" w:rsidP="00311E41">
            <w:pPr>
              <w:pStyle w:val="Tabletext0"/>
              <w:keepNext/>
              <w:keepLines/>
              <w:spacing w:before="0" w:after="0"/>
              <w:jc w:val="left"/>
              <w:rPr>
                <w:vertAlign w:val="superscript"/>
              </w:rPr>
            </w:pPr>
            <w:r w:rsidRPr="7C4E3BA4">
              <w:t xml:space="preserve">Cost of the diagnostic </w:t>
            </w:r>
            <w:r w:rsidR="007225DF">
              <w:t>delay</w:t>
            </w:r>
            <w:r w:rsidR="007225DF" w:rsidRPr="7C4E3BA4">
              <w:t xml:space="preserve"> </w:t>
            </w:r>
            <w:r w:rsidRPr="7C4E3BA4">
              <w:t xml:space="preserve">(base case: </w:t>
            </w:r>
            <w:r w:rsidR="4F5FC7F3" w:rsidRPr="7C4E3BA4">
              <w:t>$1,282)</w:t>
            </w:r>
            <w:r w:rsidR="4F5FC7F3" w:rsidRPr="7C4E3BA4">
              <w:rPr>
                <w:vertAlign w:val="superscript"/>
              </w:rPr>
              <w:t>b</w:t>
            </w:r>
          </w:p>
        </w:tc>
      </w:tr>
      <w:tr w:rsidR="00447250" w14:paraId="5DE8445D" w14:textId="77777777" w:rsidTr="006B5B78">
        <w:tc>
          <w:tcPr>
            <w:tcW w:w="4387" w:type="dxa"/>
          </w:tcPr>
          <w:p w14:paraId="5F8B475E" w14:textId="4DEBB3FD" w:rsidR="00447250" w:rsidRPr="00E220C6" w:rsidRDefault="00837849" w:rsidP="00311E41">
            <w:pPr>
              <w:pStyle w:val="Tabletext0"/>
              <w:keepNext/>
              <w:keepLines/>
              <w:spacing w:before="0" w:after="0"/>
              <w:rPr>
                <w:vertAlign w:val="superscript"/>
              </w:rPr>
            </w:pPr>
            <w:r>
              <w:t>$18,200</w:t>
            </w:r>
            <w:r>
              <w:rPr>
                <w:vertAlign w:val="superscript"/>
              </w:rPr>
              <w:t xml:space="preserve">c </w:t>
            </w:r>
          </w:p>
        </w:tc>
        <w:tc>
          <w:tcPr>
            <w:tcW w:w="1137" w:type="dxa"/>
            <w:vAlign w:val="center"/>
          </w:tcPr>
          <w:p w14:paraId="7D3DBCA2" w14:textId="03907C40" w:rsidR="00447250" w:rsidRPr="00590B19" w:rsidRDefault="008D1385" w:rsidP="00311E41">
            <w:pPr>
              <w:pStyle w:val="Tabletext0"/>
              <w:keepNext/>
              <w:keepLines/>
              <w:spacing w:before="0" w:after="0"/>
              <w:jc w:val="center"/>
            </w:pPr>
            <w:r w:rsidRPr="7C4E3BA4">
              <w:t>$</w:t>
            </w:r>
            <w:r w:rsidRPr="008D1385">
              <w:rPr>
                <w:rFonts w:cs="Courier New"/>
                <w:b/>
              </w:rPr>
              <w:t>Redacted</w:t>
            </w:r>
          </w:p>
        </w:tc>
        <w:tc>
          <w:tcPr>
            <w:tcW w:w="1275" w:type="dxa"/>
            <w:vAlign w:val="center"/>
          </w:tcPr>
          <w:p w14:paraId="447A8ABD" w14:textId="7A5B58B4" w:rsidR="00447250" w:rsidRPr="00590B19" w:rsidRDefault="002D12BA" w:rsidP="00311E41">
            <w:pPr>
              <w:pStyle w:val="Tabletext0"/>
              <w:keepNext/>
              <w:keepLines/>
              <w:spacing w:before="0" w:after="0"/>
              <w:jc w:val="center"/>
            </w:pPr>
            <w:r w:rsidRPr="00746FD0">
              <w:t>0.0000142</w:t>
            </w:r>
          </w:p>
        </w:tc>
        <w:tc>
          <w:tcPr>
            <w:tcW w:w="1399" w:type="dxa"/>
            <w:vAlign w:val="center"/>
          </w:tcPr>
          <w:p w14:paraId="2C29401D" w14:textId="3F4617B5" w:rsidR="00447250" w:rsidRPr="00590B19" w:rsidRDefault="008D1385" w:rsidP="00311E41">
            <w:pPr>
              <w:pStyle w:val="Tabletext0"/>
              <w:keepNext/>
              <w:keepLines/>
              <w:spacing w:before="0" w:after="0"/>
              <w:jc w:val="center"/>
            </w:pPr>
            <w:r w:rsidRPr="7C4E3BA4">
              <w:t>$</w:t>
            </w:r>
            <w:r w:rsidRPr="008D1385">
              <w:rPr>
                <w:rFonts w:cs="Courier New"/>
                <w:b/>
              </w:rPr>
              <w:t>Redacted</w:t>
            </w:r>
          </w:p>
        </w:tc>
        <w:tc>
          <w:tcPr>
            <w:tcW w:w="818" w:type="dxa"/>
            <w:vAlign w:val="center"/>
          </w:tcPr>
          <w:p w14:paraId="458D6F01" w14:textId="1028D3A3" w:rsidR="00447250" w:rsidRPr="00590B19" w:rsidRDefault="00740498" w:rsidP="00311E41">
            <w:pPr>
              <w:pStyle w:val="Tabletext0"/>
              <w:keepNext/>
              <w:keepLines/>
              <w:spacing w:before="0" w:after="0"/>
              <w:jc w:val="center"/>
            </w:pPr>
            <w:r>
              <w:t>1%</w:t>
            </w:r>
          </w:p>
        </w:tc>
      </w:tr>
    </w:tbl>
    <w:p w14:paraId="5143EB15" w14:textId="77777777" w:rsidR="003960AB" w:rsidRDefault="003960AB" w:rsidP="00311E41">
      <w:pPr>
        <w:pStyle w:val="TableFigureFooter"/>
        <w:keepNext/>
        <w:keepLines/>
      </w:pPr>
      <w:r>
        <w:t>GAG = glycosaminoglycan; ICER = incremental cost-effectiveness ratio; MPS II = mucopolysaccharidosis Type II; MS = mass spectroscopy; MS/MS = tandem mass spectrometry; NBS = newborn bloodspot screening; NRE = nonreducing end; NRE-GAG = nonreducing end-glycosaminoglycan</w:t>
      </w:r>
    </w:p>
    <w:p w14:paraId="7CDC1400" w14:textId="58EBD075" w:rsidR="00740498" w:rsidRDefault="3920F3B4" w:rsidP="00311E41">
      <w:pPr>
        <w:pStyle w:val="TableFigureFooter"/>
        <w:keepNext/>
        <w:keepLines/>
      </w:pPr>
      <w:r w:rsidRPr="7C4E3BA4">
        <w:rPr>
          <w:vertAlign w:val="superscript"/>
        </w:rPr>
        <w:t xml:space="preserve">a </w:t>
      </w:r>
      <w:r w:rsidRPr="7C4E3BA4">
        <w:t>Median TPR of NBS for MPS II from NBS jurisdictions.</w:t>
      </w:r>
    </w:p>
    <w:p w14:paraId="359E5507" w14:textId="1A090A10" w:rsidR="003960AB" w:rsidRPr="00CC01D1" w:rsidRDefault="7D9DF80E" w:rsidP="00311E41">
      <w:pPr>
        <w:pStyle w:val="TableFigureFooter"/>
        <w:spacing w:after="0"/>
        <w:rPr>
          <w:rStyle w:val="FootnoteReference"/>
        </w:rPr>
      </w:pPr>
      <w:r w:rsidRPr="7C4E3BA4">
        <w:rPr>
          <w:vertAlign w:val="superscript"/>
        </w:rPr>
        <w:t xml:space="preserve">b </w:t>
      </w:r>
      <w:r w:rsidRPr="7C4E3BA4">
        <w:t xml:space="preserve">Based on 2.95 different specialist visits (as per Guffon et al.), a full body MRI and </w:t>
      </w:r>
      <w:r w:rsidR="49768857" w:rsidRPr="7C4E3BA4">
        <w:t>a GAG analysis.</w:t>
      </w:r>
      <w:r w:rsidR="00740498">
        <w:fldChar w:fldCharType="begin"/>
      </w:r>
      <w:r w:rsidR="00740498">
        <w:instrText xml:space="preserve"> NOTEREF _Ref183776193 \f \h </w:instrText>
      </w:r>
      <w:r w:rsidR="001117CE">
        <w:instrText xml:space="preserve"> \* MERGEFORMAT </w:instrText>
      </w:r>
      <w:r w:rsidR="00740498">
        <w:fldChar w:fldCharType="separate"/>
      </w:r>
      <w:r w:rsidR="00797B68" w:rsidRPr="00797B68" w:rsidDel="009D183F">
        <w:rPr>
          <w:rStyle w:val="FootnoteReference"/>
        </w:rPr>
        <w:t>26</w:t>
      </w:r>
      <w:r w:rsidR="00740498">
        <w:fldChar w:fldCharType="end"/>
      </w:r>
    </w:p>
    <w:p w14:paraId="34FB08F9" w14:textId="74AA5D58" w:rsidR="00895ED5" w:rsidRPr="00E220C6" w:rsidRDefault="49768857" w:rsidP="001117CE">
      <w:pPr>
        <w:pStyle w:val="TableFigureFooter"/>
      </w:pPr>
      <w:r w:rsidRPr="7C4E3BA4">
        <w:rPr>
          <w:vertAlign w:val="superscript"/>
        </w:rPr>
        <w:t xml:space="preserve">c </w:t>
      </w:r>
      <w:r w:rsidRPr="7C4E3BA4">
        <w:t xml:space="preserve">Based on the </w:t>
      </w:r>
      <w:r w:rsidR="2BA55BF3" w:rsidRPr="7C4E3BA4">
        <w:t>total</w:t>
      </w:r>
      <w:r w:rsidR="4F0B9CC4" w:rsidRPr="7C4E3BA4">
        <w:t xml:space="preserve"> upper estimate for</w:t>
      </w:r>
      <w:r w:rsidR="2BA55BF3" w:rsidRPr="7C4E3BA4">
        <w:t xml:space="preserve"> diagnostic </w:t>
      </w:r>
      <w:r w:rsidR="007225DF">
        <w:t>delay</w:t>
      </w:r>
      <w:r w:rsidR="007225DF" w:rsidRPr="7C4E3BA4">
        <w:t xml:space="preserve"> </w:t>
      </w:r>
      <w:r w:rsidR="2BA55BF3" w:rsidRPr="7C4E3BA4">
        <w:t>cost</w:t>
      </w:r>
      <w:r w:rsidR="4F0B9CC4" w:rsidRPr="7C4E3BA4">
        <w:t>s</w:t>
      </w:r>
      <w:r w:rsidR="2BA55BF3" w:rsidRPr="7C4E3BA4">
        <w:t xml:space="preserve"> presented in Wu et al. </w:t>
      </w:r>
      <w:r w:rsidR="0E163D84" w:rsidRPr="7C4E3BA4">
        <w:t xml:space="preserve">for </w:t>
      </w:r>
      <w:r w:rsidR="2B278113" w:rsidRPr="7C4E3BA4">
        <w:t xml:space="preserve">paediatric mitochondrial </w:t>
      </w:r>
      <w:r w:rsidR="04B944FF" w:rsidRPr="7C4E3BA4">
        <w:t xml:space="preserve">disease </w:t>
      </w:r>
      <w:r w:rsidR="216F1AB6" w:rsidRPr="7C4E3BA4">
        <w:t>patients</w:t>
      </w:r>
      <w:r w:rsidR="00AA3084" w:rsidRPr="7C4E3BA4">
        <w:rPr>
          <w:rStyle w:val="FootnoteReference"/>
        </w:rPr>
        <w:footnoteReference w:id="38"/>
      </w:r>
      <w:r w:rsidR="00611A96">
        <w:t>.</w:t>
      </w:r>
    </w:p>
    <w:p w14:paraId="35CFB535" w14:textId="491E9305" w:rsidR="00825950" w:rsidRPr="00492AB6" w:rsidRDefault="00825950" w:rsidP="003960AB">
      <w:pPr>
        <w:pStyle w:val="Heading4"/>
      </w:pPr>
      <w:r w:rsidRPr="00492AB6">
        <w:lastRenderedPageBreak/>
        <w:t>Exploratory scenario analysis</w:t>
      </w:r>
    </w:p>
    <w:p w14:paraId="5845B69D" w14:textId="2DC2830C" w:rsidR="00895ED5" w:rsidRDefault="000214A4" w:rsidP="00343C7A">
      <w:r>
        <w:t xml:space="preserve">The </w:t>
      </w:r>
      <w:r w:rsidR="00585144">
        <w:t xml:space="preserve">modelled results for the exploratory analysis are presented in a stepped manner in </w:t>
      </w:r>
      <w:r w:rsidR="00E711C0">
        <w:fldChar w:fldCharType="begin"/>
      </w:r>
      <w:r w:rsidR="00E711C0">
        <w:instrText xml:space="preserve"> REF _Ref181624924 \h </w:instrText>
      </w:r>
      <w:r w:rsidR="00E711C0">
        <w:fldChar w:fldCharType="separate"/>
      </w:r>
      <w:r w:rsidR="007F08FA" w:rsidDel="009D183F">
        <w:t xml:space="preserve">Table </w:t>
      </w:r>
      <w:r w:rsidR="00797B68" w:rsidDel="009D183F">
        <w:rPr>
          <w:noProof/>
        </w:rPr>
        <w:t>13</w:t>
      </w:r>
      <w:r w:rsidR="00E711C0">
        <w:fldChar w:fldCharType="end"/>
      </w:r>
      <w:r w:rsidR="00585144">
        <w:t xml:space="preserve">. </w:t>
      </w:r>
    </w:p>
    <w:p w14:paraId="7C67942F" w14:textId="2D6E90C1" w:rsidR="00343C7A" w:rsidRPr="00B02B7D" w:rsidRDefault="00895ED5" w:rsidP="00343C7A">
      <w:r>
        <w:t xml:space="preserve">The </w:t>
      </w:r>
      <w:r w:rsidR="00585144">
        <w:t>results</w:t>
      </w:r>
      <w:r>
        <w:t xml:space="preserve"> </w:t>
      </w:r>
      <w:r w:rsidR="00AE5C79">
        <w:t>of</w:t>
      </w:r>
      <w:r>
        <w:t xml:space="preserve"> this analysis</w:t>
      </w:r>
      <w:r w:rsidR="00343C7A">
        <w:t xml:space="preserve"> should be interpreted with caution due to the uncertainty associated with limited </w:t>
      </w:r>
      <w:r w:rsidR="00585144">
        <w:t>and</w:t>
      </w:r>
      <w:r w:rsidR="00343C7A">
        <w:t xml:space="preserve"> uncertain comparative data for the survival and quality of life benefits.</w:t>
      </w:r>
    </w:p>
    <w:p w14:paraId="2CACB86D" w14:textId="4A254292" w:rsidR="001A35A7" w:rsidRDefault="584248A6" w:rsidP="0059343C">
      <w:r w:rsidRPr="7C4E3BA4">
        <w:t>The key drivers of the exploratory analysis were the additional years of survival for patients who were diagnosed through NBS and hence receive earlier treatment, and the utility value for severe patients.</w:t>
      </w:r>
    </w:p>
    <w:p w14:paraId="792BF00E" w14:textId="1D42926A" w:rsidR="00343C7A" w:rsidRPr="00D01B5D" w:rsidRDefault="00343C7A" w:rsidP="00D01B5D">
      <w:pPr>
        <w:pStyle w:val="In-tableHeading"/>
        <w:rPr>
          <w:lang w:val="en-AU"/>
        </w:rPr>
      </w:pPr>
      <w:bookmarkStart w:id="51" w:name="_Ref185318907"/>
      <w:bookmarkStart w:id="52" w:name="_Ref181624924"/>
      <w:r>
        <w:t>Table</w:t>
      </w:r>
      <w:bookmarkEnd w:id="51"/>
      <w:r>
        <w:t xml:space="preserve"> </w:t>
      </w:r>
      <w:r>
        <w:fldChar w:fldCharType="begin"/>
      </w:r>
      <w:r>
        <w:instrText xml:space="preserve"> SEQ Table \* ARABIC </w:instrText>
      </w:r>
      <w:r>
        <w:fldChar w:fldCharType="separate"/>
      </w:r>
      <w:r w:rsidR="009D183F">
        <w:rPr>
          <w:noProof/>
        </w:rPr>
        <w:t>13</w:t>
      </w:r>
      <w:r>
        <w:fldChar w:fldCharType="end"/>
      </w:r>
      <w:bookmarkEnd w:id="52"/>
      <w:r>
        <w:tab/>
        <w:t>Stepped results of the exploratory economic evaluation using two-tier screening protocol</w:t>
      </w:r>
    </w:p>
    <w:tbl>
      <w:tblPr>
        <w:tblStyle w:val="TableGrid"/>
        <w:tblW w:w="0" w:type="auto"/>
        <w:tblLook w:val="04A0" w:firstRow="1" w:lastRow="0" w:firstColumn="1" w:lastColumn="0" w:noHBand="0" w:noVBand="1"/>
      </w:tblPr>
      <w:tblGrid>
        <w:gridCol w:w="3926"/>
        <w:gridCol w:w="1574"/>
        <w:gridCol w:w="1658"/>
        <w:gridCol w:w="1858"/>
      </w:tblGrid>
      <w:tr w:rsidR="00343C7A" w:rsidRPr="00496C73" w14:paraId="28AC2D5D" w14:textId="77777777" w:rsidTr="006B5B78">
        <w:tc>
          <w:tcPr>
            <w:tcW w:w="3926" w:type="dxa"/>
          </w:tcPr>
          <w:p w14:paraId="25A54DB6" w14:textId="77777777" w:rsidR="00343C7A" w:rsidRPr="00496C73" w:rsidRDefault="00343C7A" w:rsidP="002207EE">
            <w:pPr>
              <w:pStyle w:val="Tabletext0"/>
              <w:keepNext/>
              <w:rPr>
                <w:b/>
                <w:bCs/>
              </w:rPr>
            </w:pPr>
          </w:p>
        </w:tc>
        <w:tc>
          <w:tcPr>
            <w:tcW w:w="1574" w:type="dxa"/>
            <w:vAlign w:val="center"/>
          </w:tcPr>
          <w:p w14:paraId="51A30613" w14:textId="77777777" w:rsidR="00343C7A" w:rsidRPr="00496C73" w:rsidRDefault="00343C7A" w:rsidP="002207EE">
            <w:pPr>
              <w:pStyle w:val="Tabletext0"/>
              <w:keepNext/>
              <w:jc w:val="center"/>
              <w:rPr>
                <w:b/>
                <w:bCs/>
              </w:rPr>
            </w:pPr>
            <w:r w:rsidRPr="00496C73">
              <w:rPr>
                <w:b/>
                <w:bCs/>
              </w:rPr>
              <w:t>NBS for MPS II</w:t>
            </w:r>
          </w:p>
        </w:tc>
        <w:tc>
          <w:tcPr>
            <w:tcW w:w="1658" w:type="dxa"/>
            <w:vAlign w:val="center"/>
          </w:tcPr>
          <w:p w14:paraId="762CE143" w14:textId="77777777" w:rsidR="00343C7A" w:rsidRPr="00496C73" w:rsidRDefault="00343C7A" w:rsidP="002207EE">
            <w:pPr>
              <w:pStyle w:val="Tabletext0"/>
              <w:keepNext/>
              <w:jc w:val="center"/>
              <w:rPr>
                <w:b/>
                <w:bCs/>
              </w:rPr>
            </w:pPr>
            <w:r w:rsidRPr="00496C73">
              <w:rPr>
                <w:b/>
                <w:bCs/>
              </w:rPr>
              <w:t>No NBS for MPS II</w:t>
            </w:r>
          </w:p>
        </w:tc>
        <w:tc>
          <w:tcPr>
            <w:tcW w:w="1858" w:type="dxa"/>
            <w:vAlign w:val="center"/>
          </w:tcPr>
          <w:p w14:paraId="32CAC9CB" w14:textId="77777777" w:rsidR="00343C7A" w:rsidRPr="00496C73" w:rsidRDefault="00343C7A" w:rsidP="002207EE">
            <w:pPr>
              <w:pStyle w:val="Tabletext0"/>
              <w:keepNext/>
              <w:jc w:val="center"/>
              <w:rPr>
                <w:b/>
                <w:bCs/>
              </w:rPr>
            </w:pPr>
            <w:r w:rsidRPr="00496C73">
              <w:rPr>
                <w:b/>
                <w:bCs/>
              </w:rPr>
              <w:t>Increment</w:t>
            </w:r>
          </w:p>
        </w:tc>
      </w:tr>
      <w:tr w:rsidR="00343C7A" w:rsidRPr="00F37AED" w14:paraId="3BB7EE89" w14:textId="77777777" w:rsidTr="006B5B78">
        <w:trPr>
          <w:trHeight w:val="1667"/>
        </w:trPr>
        <w:tc>
          <w:tcPr>
            <w:tcW w:w="9016" w:type="dxa"/>
            <w:gridSpan w:val="4"/>
            <w:vAlign w:val="center"/>
          </w:tcPr>
          <w:p w14:paraId="70552099" w14:textId="77777777" w:rsidR="00343C7A" w:rsidRDefault="00343C7A" w:rsidP="002207EE">
            <w:pPr>
              <w:pStyle w:val="Tabletext0"/>
              <w:keepNext/>
              <w:jc w:val="left"/>
              <w:rPr>
                <w:b/>
                <w:bCs/>
              </w:rPr>
            </w:pPr>
            <w:r w:rsidRPr="00496C73">
              <w:rPr>
                <w:b/>
                <w:bCs/>
              </w:rPr>
              <w:t xml:space="preserve">Step </w:t>
            </w:r>
            <w:r>
              <w:rPr>
                <w:b/>
                <w:bCs/>
              </w:rPr>
              <w:t>1: Base case analysis</w:t>
            </w:r>
          </w:p>
          <w:p w14:paraId="0CD0894B" w14:textId="77777777" w:rsidR="00343C7A" w:rsidRPr="00C6676C" w:rsidRDefault="00343C7A" w:rsidP="002207EE">
            <w:pPr>
              <w:pStyle w:val="Tabletext0"/>
              <w:keepNext/>
              <w:jc w:val="left"/>
            </w:pPr>
            <w:r>
              <w:t>Using two-tier screening protocol</w:t>
            </w:r>
          </w:p>
          <w:p w14:paraId="372FB187" w14:textId="77777777" w:rsidR="00343C7A" w:rsidRDefault="00343C7A" w:rsidP="002207EE">
            <w:pPr>
              <w:pStyle w:val="Tabletext0"/>
              <w:keepNext/>
              <w:jc w:val="left"/>
              <w:rPr>
                <w:u w:val="single"/>
              </w:rPr>
            </w:pPr>
            <w:r>
              <w:rPr>
                <w:u w:val="single"/>
              </w:rPr>
              <w:t xml:space="preserve">Health outcome: </w:t>
            </w:r>
          </w:p>
          <w:p w14:paraId="3BBA531F" w14:textId="77777777" w:rsidR="00343C7A" w:rsidRDefault="00343C7A" w:rsidP="002207EE">
            <w:pPr>
              <w:pStyle w:val="Tabletext0"/>
              <w:keepNext/>
              <w:jc w:val="left"/>
            </w:pPr>
            <w:r>
              <w:t>Early diagnosis of severe MPS II case</w:t>
            </w:r>
          </w:p>
          <w:p w14:paraId="7613A63F" w14:textId="77777777" w:rsidR="00343C7A" w:rsidRDefault="00343C7A" w:rsidP="002207EE">
            <w:pPr>
              <w:pStyle w:val="Tabletext0"/>
              <w:keepNext/>
              <w:jc w:val="left"/>
            </w:pPr>
            <w:r>
              <w:t>Early diagnosis of MPS II case</w:t>
            </w:r>
          </w:p>
          <w:p w14:paraId="6ADDC4DB" w14:textId="77777777" w:rsidR="00343C7A" w:rsidRDefault="00343C7A" w:rsidP="002207EE">
            <w:pPr>
              <w:pStyle w:val="Tabletext0"/>
              <w:keepNext/>
              <w:jc w:val="left"/>
              <w:rPr>
                <w:u w:val="single"/>
              </w:rPr>
            </w:pPr>
            <w:r>
              <w:rPr>
                <w:u w:val="single"/>
              </w:rPr>
              <w:t>Costs:</w:t>
            </w:r>
          </w:p>
          <w:p w14:paraId="58D5FD11" w14:textId="77777777" w:rsidR="00343C7A" w:rsidRDefault="00343C7A" w:rsidP="002207EE">
            <w:pPr>
              <w:pStyle w:val="Tabletext0"/>
              <w:keepNext/>
              <w:jc w:val="left"/>
            </w:pPr>
            <w:r>
              <w:t xml:space="preserve">NBS: Costs associated with NBS for MPS II for all newborns, confirmatory and monitoring costs for MPS II cases and treatment costs for severe MPS II cases. </w:t>
            </w:r>
          </w:p>
          <w:p w14:paraId="245A6A97" w14:textId="64EE7387" w:rsidR="00343C7A" w:rsidRPr="00F37AED" w:rsidRDefault="49AE1FCA" w:rsidP="002207EE">
            <w:pPr>
              <w:pStyle w:val="Tabletext0"/>
              <w:keepNext/>
              <w:jc w:val="left"/>
            </w:pPr>
            <w:r w:rsidRPr="7C4E3BA4">
              <w:t xml:space="preserve">No NBS: Diagnostic </w:t>
            </w:r>
            <w:r w:rsidR="007225DF">
              <w:t>delay</w:t>
            </w:r>
            <w:r w:rsidRPr="7C4E3BA4">
              <w:t>, confirmatory diagnosis and monitoring costs (once diagnosed) for MPS II cases and treatment costs (once diagnosed) for severe MPS II cases.</w:t>
            </w:r>
          </w:p>
        </w:tc>
      </w:tr>
      <w:tr w:rsidR="00343C7A" w:rsidRPr="00496C73" w14:paraId="43C038A0" w14:textId="77777777" w:rsidTr="006B5B78">
        <w:tc>
          <w:tcPr>
            <w:tcW w:w="3926" w:type="dxa"/>
          </w:tcPr>
          <w:p w14:paraId="1A46C2C8" w14:textId="77777777" w:rsidR="00343C7A" w:rsidRPr="00496C73" w:rsidRDefault="00343C7A" w:rsidP="002207EE">
            <w:pPr>
              <w:pStyle w:val="Tabletext0"/>
              <w:keepNext/>
              <w:rPr>
                <w:vertAlign w:val="superscript"/>
              </w:rPr>
            </w:pPr>
            <w:r w:rsidRPr="00496C73">
              <w:t>Costs</w:t>
            </w:r>
            <w:r>
              <w:t xml:space="preserve"> (on average, per person)</w:t>
            </w:r>
          </w:p>
        </w:tc>
        <w:tc>
          <w:tcPr>
            <w:tcW w:w="1574" w:type="dxa"/>
          </w:tcPr>
          <w:p w14:paraId="27AB314C" w14:textId="7A664222" w:rsidR="00343C7A" w:rsidRPr="0019724D" w:rsidRDefault="0061682C" w:rsidP="009848FB">
            <w:pPr>
              <w:pStyle w:val="Tabletext0"/>
              <w:keepNext/>
              <w:jc w:val="center"/>
              <w:rPr>
                <w:highlight w:val="yellow"/>
                <w:vertAlign w:val="superscript"/>
              </w:rPr>
            </w:pPr>
            <w:r w:rsidRPr="7C4E3BA4">
              <w:t>$</w:t>
            </w:r>
            <w:r w:rsidRPr="008D1385">
              <w:rPr>
                <w:rFonts w:cs="Courier New"/>
                <w:b/>
              </w:rPr>
              <w:t>Redacted</w:t>
            </w:r>
          </w:p>
        </w:tc>
        <w:tc>
          <w:tcPr>
            <w:tcW w:w="1658" w:type="dxa"/>
          </w:tcPr>
          <w:p w14:paraId="6D8F04C0" w14:textId="76E127FC" w:rsidR="00343C7A" w:rsidRPr="0019724D" w:rsidRDefault="0061682C" w:rsidP="009848FB">
            <w:pPr>
              <w:pStyle w:val="Tabletext0"/>
              <w:keepNext/>
              <w:jc w:val="center"/>
              <w:rPr>
                <w:highlight w:val="yellow"/>
              </w:rPr>
            </w:pPr>
            <w:r w:rsidRPr="7C4E3BA4">
              <w:t>$</w:t>
            </w:r>
            <w:r w:rsidRPr="008D1385">
              <w:rPr>
                <w:rFonts w:cs="Courier New"/>
                <w:b/>
              </w:rPr>
              <w:t>Redacted</w:t>
            </w:r>
          </w:p>
        </w:tc>
        <w:tc>
          <w:tcPr>
            <w:tcW w:w="1858" w:type="dxa"/>
          </w:tcPr>
          <w:p w14:paraId="22B63948" w14:textId="2F55AB1E" w:rsidR="00343C7A" w:rsidRPr="0019724D" w:rsidRDefault="0061682C" w:rsidP="009848FB">
            <w:pPr>
              <w:pStyle w:val="Tabletext0"/>
              <w:keepNext/>
              <w:jc w:val="center"/>
              <w:rPr>
                <w:highlight w:val="yellow"/>
              </w:rPr>
            </w:pPr>
            <w:r w:rsidRPr="7C4E3BA4">
              <w:t>$</w:t>
            </w:r>
            <w:r w:rsidRPr="008D1385">
              <w:rPr>
                <w:rFonts w:cs="Courier New"/>
                <w:b/>
              </w:rPr>
              <w:t>Redacted</w:t>
            </w:r>
          </w:p>
        </w:tc>
      </w:tr>
      <w:tr w:rsidR="00343C7A" w:rsidRPr="00496C73" w14:paraId="703A5C8A" w14:textId="77777777" w:rsidTr="006B5B78">
        <w:tc>
          <w:tcPr>
            <w:tcW w:w="3926" w:type="dxa"/>
            <w:vAlign w:val="center"/>
          </w:tcPr>
          <w:p w14:paraId="4049382D" w14:textId="77777777" w:rsidR="00343C7A" w:rsidRPr="00496C73" w:rsidRDefault="00343C7A" w:rsidP="002207EE">
            <w:pPr>
              <w:pStyle w:val="Tabletext0"/>
              <w:keepNext/>
              <w:jc w:val="left"/>
            </w:pPr>
            <w:r w:rsidRPr="00496C73">
              <w:t xml:space="preserve">Early diagnosis of </w:t>
            </w:r>
            <w:r>
              <w:t xml:space="preserve">severe </w:t>
            </w:r>
            <w:r w:rsidRPr="00496C73">
              <w:t xml:space="preserve">MPS II </w:t>
            </w:r>
            <w:r>
              <w:t>case</w:t>
            </w:r>
          </w:p>
        </w:tc>
        <w:tc>
          <w:tcPr>
            <w:tcW w:w="1574" w:type="dxa"/>
          </w:tcPr>
          <w:p w14:paraId="53FCFF52" w14:textId="77777777" w:rsidR="00343C7A" w:rsidRDefault="00343C7A" w:rsidP="009848FB">
            <w:pPr>
              <w:pStyle w:val="Tabletext0"/>
              <w:keepNext/>
              <w:jc w:val="center"/>
            </w:pPr>
            <w:r w:rsidRPr="005262C7">
              <w:t>0.00000468</w:t>
            </w:r>
          </w:p>
          <w:p w14:paraId="2BDBD8FD" w14:textId="77777777" w:rsidR="00343C7A" w:rsidRPr="00496C73" w:rsidRDefault="00343C7A" w:rsidP="009848FB">
            <w:pPr>
              <w:pStyle w:val="Tabletext0"/>
              <w:keepNext/>
              <w:jc w:val="center"/>
            </w:pPr>
            <w:r>
              <w:t>4.7 per million</w:t>
            </w:r>
          </w:p>
        </w:tc>
        <w:tc>
          <w:tcPr>
            <w:tcW w:w="1658" w:type="dxa"/>
            <w:vAlign w:val="center"/>
          </w:tcPr>
          <w:p w14:paraId="2C20207A" w14:textId="77777777" w:rsidR="00343C7A" w:rsidRPr="00496C73" w:rsidRDefault="00343C7A" w:rsidP="009848FB">
            <w:pPr>
              <w:pStyle w:val="Tabletext0"/>
              <w:keepNext/>
              <w:jc w:val="center"/>
            </w:pPr>
            <w:r>
              <w:t>0</w:t>
            </w:r>
          </w:p>
        </w:tc>
        <w:tc>
          <w:tcPr>
            <w:tcW w:w="1858" w:type="dxa"/>
          </w:tcPr>
          <w:p w14:paraId="678AB57F" w14:textId="77777777" w:rsidR="00343C7A" w:rsidRDefault="00343C7A" w:rsidP="009848FB">
            <w:pPr>
              <w:pStyle w:val="Tabletext0"/>
              <w:keepNext/>
              <w:jc w:val="center"/>
            </w:pPr>
            <w:r w:rsidRPr="005262C7">
              <w:t>0.00000468</w:t>
            </w:r>
          </w:p>
          <w:p w14:paraId="4F61A66C" w14:textId="77777777" w:rsidR="00343C7A" w:rsidRPr="00496C73" w:rsidRDefault="00343C7A" w:rsidP="009848FB">
            <w:pPr>
              <w:pStyle w:val="Tabletext0"/>
              <w:keepNext/>
              <w:jc w:val="center"/>
            </w:pPr>
            <w:r>
              <w:t>4.7 per million</w:t>
            </w:r>
          </w:p>
        </w:tc>
      </w:tr>
      <w:tr w:rsidR="00343C7A" w:rsidRPr="00496C73" w14:paraId="34C685A5" w14:textId="77777777" w:rsidTr="006B5B78">
        <w:tc>
          <w:tcPr>
            <w:tcW w:w="7158" w:type="dxa"/>
            <w:gridSpan w:val="3"/>
            <w:vAlign w:val="center"/>
          </w:tcPr>
          <w:p w14:paraId="09FD1C23" w14:textId="77777777" w:rsidR="00343C7A" w:rsidRPr="00CC1A01" w:rsidRDefault="00343C7A" w:rsidP="002207EE">
            <w:pPr>
              <w:pStyle w:val="Tabletext0"/>
              <w:keepNext/>
              <w:jc w:val="left"/>
              <w:rPr>
                <w:b/>
                <w:bCs/>
              </w:rPr>
            </w:pPr>
            <w:r w:rsidRPr="00CC1A01">
              <w:rPr>
                <w:b/>
                <w:bCs/>
              </w:rPr>
              <w:t>ICER ($/early diagnosis of severe MPS II case)</w:t>
            </w:r>
          </w:p>
        </w:tc>
        <w:tc>
          <w:tcPr>
            <w:tcW w:w="1858" w:type="dxa"/>
          </w:tcPr>
          <w:p w14:paraId="4E2D23E2" w14:textId="7E11ACFB" w:rsidR="00343C7A" w:rsidRPr="00CC1A01" w:rsidRDefault="0061682C" w:rsidP="009848FB">
            <w:pPr>
              <w:pStyle w:val="Tabletext0"/>
              <w:keepNext/>
              <w:jc w:val="center"/>
              <w:rPr>
                <w:b/>
                <w:bCs/>
              </w:rPr>
            </w:pPr>
            <w:r w:rsidRPr="7C4E3BA4">
              <w:t>$</w:t>
            </w:r>
            <w:r w:rsidRPr="008D1385">
              <w:rPr>
                <w:rFonts w:cs="Courier New"/>
                <w:b/>
              </w:rPr>
              <w:t>Redacted</w:t>
            </w:r>
          </w:p>
        </w:tc>
      </w:tr>
      <w:tr w:rsidR="00343C7A" w:rsidRPr="00496C73" w14:paraId="08AF9BC0" w14:textId="77777777" w:rsidTr="006B5B78">
        <w:tc>
          <w:tcPr>
            <w:tcW w:w="7158" w:type="dxa"/>
            <w:gridSpan w:val="3"/>
            <w:vAlign w:val="center"/>
          </w:tcPr>
          <w:p w14:paraId="3F01DE0A" w14:textId="77777777" w:rsidR="00343C7A" w:rsidRPr="00CC1A01" w:rsidRDefault="00343C7A" w:rsidP="002207EE">
            <w:pPr>
              <w:pStyle w:val="Tabletext0"/>
              <w:keepNext/>
              <w:jc w:val="left"/>
              <w:rPr>
                <w:b/>
                <w:bCs/>
              </w:rPr>
            </w:pPr>
            <w:r w:rsidRPr="00CC1A01">
              <w:rPr>
                <w:b/>
                <w:bCs/>
              </w:rPr>
              <w:t>ICER ($/early diagnosis of MPS II case)</w:t>
            </w:r>
          </w:p>
        </w:tc>
        <w:tc>
          <w:tcPr>
            <w:tcW w:w="1858" w:type="dxa"/>
          </w:tcPr>
          <w:p w14:paraId="45AFE9F8" w14:textId="5B21A2B7" w:rsidR="00343C7A" w:rsidRPr="00CC1A01" w:rsidRDefault="0061682C" w:rsidP="009848FB">
            <w:pPr>
              <w:pStyle w:val="Tabletext0"/>
              <w:keepNext/>
              <w:jc w:val="center"/>
              <w:rPr>
                <w:b/>
                <w:bCs/>
              </w:rPr>
            </w:pPr>
            <w:r w:rsidRPr="7C4E3BA4">
              <w:t>$</w:t>
            </w:r>
            <w:r w:rsidRPr="008D1385">
              <w:rPr>
                <w:rFonts w:cs="Courier New"/>
                <w:b/>
              </w:rPr>
              <w:t>Redacted</w:t>
            </w:r>
          </w:p>
        </w:tc>
      </w:tr>
      <w:tr w:rsidR="00343C7A" w:rsidRPr="00496C73" w14:paraId="0746AE52" w14:textId="77777777" w:rsidTr="006B5B78">
        <w:tc>
          <w:tcPr>
            <w:tcW w:w="9016" w:type="dxa"/>
            <w:gridSpan w:val="4"/>
            <w:vAlign w:val="center"/>
          </w:tcPr>
          <w:p w14:paraId="53F6C142" w14:textId="77777777" w:rsidR="00343C7A" w:rsidRPr="00B862FE" w:rsidRDefault="00343C7A" w:rsidP="002207EE">
            <w:pPr>
              <w:pStyle w:val="Tabletext0"/>
              <w:keepNext/>
              <w:jc w:val="left"/>
              <w:rPr>
                <w:b/>
                <w:bCs/>
              </w:rPr>
            </w:pPr>
            <w:r w:rsidRPr="00B862FE">
              <w:rPr>
                <w:b/>
                <w:bCs/>
              </w:rPr>
              <w:t xml:space="preserve">Step 2: CEA (cost per life year gained) </w:t>
            </w:r>
          </w:p>
          <w:p w14:paraId="3C60D6C5" w14:textId="10347E98" w:rsidR="00343C7A" w:rsidRDefault="49AE1FCA" w:rsidP="002207EE">
            <w:pPr>
              <w:pStyle w:val="Tabletext0"/>
              <w:keepNext/>
              <w:jc w:val="left"/>
            </w:pPr>
            <w:r w:rsidRPr="7C4E3BA4">
              <w:t>Extends the base case analysis to a lifetime time horizon for severe and very attenuated patients only.</w:t>
            </w:r>
            <w:r w:rsidRPr="7C4E3BA4">
              <w:rPr>
                <w:vertAlign w:val="superscript"/>
              </w:rPr>
              <w:t>a</w:t>
            </w:r>
            <w:r w:rsidRPr="7C4E3BA4">
              <w:t xml:space="preserve"> </w:t>
            </w:r>
          </w:p>
          <w:p w14:paraId="6A1C1C94" w14:textId="77777777" w:rsidR="00343C7A" w:rsidRPr="005C5A2C" w:rsidRDefault="00343C7A" w:rsidP="002207EE">
            <w:pPr>
              <w:pStyle w:val="Tabletext0"/>
              <w:keepNext/>
              <w:jc w:val="left"/>
              <w:rPr>
                <w:u w:val="single"/>
              </w:rPr>
            </w:pPr>
            <w:r w:rsidRPr="005C5A2C">
              <w:rPr>
                <w:u w:val="single"/>
              </w:rPr>
              <w:t>Health outcome:</w:t>
            </w:r>
          </w:p>
          <w:p w14:paraId="538151E0" w14:textId="77777777" w:rsidR="00343C7A" w:rsidRDefault="00343C7A" w:rsidP="002207EE">
            <w:pPr>
              <w:pStyle w:val="Tabletext0"/>
              <w:keepNext/>
              <w:jc w:val="left"/>
            </w:pPr>
            <w:r>
              <w:t>Life years gained for severe MPS II cases</w:t>
            </w:r>
          </w:p>
          <w:p w14:paraId="232EDEBC" w14:textId="77777777" w:rsidR="00343C7A" w:rsidRPr="005C5A2C" w:rsidRDefault="00343C7A" w:rsidP="002207EE">
            <w:pPr>
              <w:pStyle w:val="Tabletext0"/>
              <w:keepNext/>
              <w:jc w:val="left"/>
              <w:rPr>
                <w:u w:val="single"/>
              </w:rPr>
            </w:pPr>
            <w:r w:rsidRPr="005C5A2C">
              <w:rPr>
                <w:u w:val="single"/>
              </w:rPr>
              <w:t>Costs:</w:t>
            </w:r>
          </w:p>
          <w:p w14:paraId="58239C66" w14:textId="09F8727C" w:rsidR="00343C7A" w:rsidRDefault="00343C7A" w:rsidP="002207EE">
            <w:pPr>
              <w:pStyle w:val="Tabletext0"/>
              <w:keepNext/>
              <w:jc w:val="left"/>
            </w:pPr>
            <w:r>
              <w:t xml:space="preserve">Treatment and monitoring costs for severe </w:t>
            </w:r>
            <w:r w:rsidR="00AB401A">
              <w:t>disease</w:t>
            </w:r>
            <w:r>
              <w:t xml:space="preserve"> cases until death. </w:t>
            </w:r>
          </w:p>
          <w:p w14:paraId="6933E78B" w14:textId="480700D4" w:rsidR="00343C7A" w:rsidRPr="00B862FE" w:rsidRDefault="49AE1FCA" w:rsidP="7C4E3BA4">
            <w:pPr>
              <w:pStyle w:val="Tabletext0"/>
              <w:keepNext/>
              <w:jc w:val="left"/>
              <w:rPr>
                <w:vertAlign w:val="superscript"/>
              </w:rPr>
            </w:pPr>
            <w:r w:rsidRPr="7C4E3BA4">
              <w:t>Monitoring costs for very attenuated patients in the NBS arm until death.</w:t>
            </w:r>
            <w:r w:rsidRPr="7C4E3BA4">
              <w:rPr>
                <w:vertAlign w:val="superscript"/>
              </w:rPr>
              <w:t>b</w:t>
            </w:r>
          </w:p>
        </w:tc>
      </w:tr>
      <w:tr w:rsidR="00343C7A" w:rsidRPr="00496C73" w14:paraId="30A03F6D" w14:textId="77777777" w:rsidTr="006B5B78">
        <w:tc>
          <w:tcPr>
            <w:tcW w:w="3926" w:type="dxa"/>
            <w:vAlign w:val="center"/>
          </w:tcPr>
          <w:p w14:paraId="3D9A25B4" w14:textId="77777777" w:rsidR="00343C7A" w:rsidRPr="00496C73" w:rsidRDefault="00343C7A" w:rsidP="002207EE">
            <w:pPr>
              <w:pStyle w:val="Tabletext0"/>
              <w:keepNext/>
              <w:jc w:val="left"/>
            </w:pPr>
            <w:r>
              <w:t>Costs (on average, per person)</w:t>
            </w:r>
          </w:p>
        </w:tc>
        <w:tc>
          <w:tcPr>
            <w:tcW w:w="1574" w:type="dxa"/>
          </w:tcPr>
          <w:p w14:paraId="5DA540C8" w14:textId="33575901" w:rsidR="00343C7A" w:rsidRPr="0019724D" w:rsidRDefault="0061682C" w:rsidP="009848FB">
            <w:pPr>
              <w:pStyle w:val="Tabletext0"/>
              <w:keepNext/>
              <w:jc w:val="center"/>
              <w:rPr>
                <w:highlight w:val="yellow"/>
              </w:rPr>
            </w:pPr>
            <w:r w:rsidRPr="7C4E3BA4">
              <w:t>$</w:t>
            </w:r>
            <w:r w:rsidRPr="008D1385">
              <w:rPr>
                <w:rFonts w:cs="Courier New"/>
                <w:b/>
              </w:rPr>
              <w:t>Redacted</w:t>
            </w:r>
          </w:p>
        </w:tc>
        <w:tc>
          <w:tcPr>
            <w:tcW w:w="1658" w:type="dxa"/>
          </w:tcPr>
          <w:p w14:paraId="27B3230E" w14:textId="0FC9E10F" w:rsidR="00343C7A" w:rsidRPr="0019724D" w:rsidRDefault="0061682C" w:rsidP="009848FB">
            <w:pPr>
              <w:pStyle w:val="Tabletext0"/>
              <w:keepNext/>
              <w:jc w:val="center"/>
              <w:rPr>
                <w:highlight w:val="yellow"/>
              </w:rPr>
            </w:pPr>
            <w:r w:rsidRPr="7C4E3BA4">
              <w:t>$</w:t>
            </w:r>
            <w:r w:rsidRPr="008D1385">
              <w:rPr>
                <w:rFonts w:cs="Courier New"/>
                <w:b/>
              </w:rPr>
              <w:t>Redacted</w:t>
            </w:r>
          </w:p>
        </w:tc>
        <w:tc>
          <w:tcPr>
            <w:tcW w:w="1858" w:type="dxa"/>
          </w:tcPr>
          <w:p w14:paraId="1E54A73B" w14:textId="76851023" w:rsidR="00343C7A" w:rsidRPr="0019724D" w:rsidRDefault="0061682C" w:rsidP="009848FB">
            <w:pPr>
              <w:pStyle w:val="Tabletext0"/>
              <w:keepNext/>
              <w:jc w:val="center"/>
              <w:rPr>
                <w:highlight w:val="yellow"/>
              </w:rPr>
            </w:pPr>
            <w:r w:rsidRPr="7C4E3BA4">
              <w:t>$</w:t>
            </w:r>
            <w:r w:rsidRPr="008D1385">
              <w:rPr>
                <w:rFonts w:cs="Courier New"/>
                <w:b/>
              </w:rPr>
              <w:t>Redacted</w:t>
            </w:r>
          </w:p>
        </w:tc>
      </w:tr>
      <w:tr w:rsidR="00343C7A" w:rsidRPr="00496C73" w14:paraId="41F8E4B0" w14:textId="77777777" w:rsidTr="006B5B78">
        <w:tc>
          <w:tcPr>
            <w:tcW w:w="3926" w:type="dxa"/>
            <w:vAlign w:val="center"/>
          </w:tcPr>
          <w:p w14:paraId="0EAE0CE5" w14:textId="77777777" w:rsidR="00343C7A" w:rsidRPr="00496C73" w:rsidRDefault="00343C7A" w:rsidP="002207EE">
            <w:pPr>
              <w:pStyle w:val="Tabletext0"/>
              <w:keepNext/>
              <w:jc w:val="left"/>
            </w:pPr>
            <w:r>
              <w:t>Life years gained</w:t>
            </w:r>
          </w:p>
        </w:tc>
        <w:tc>
          <w:tcPr>
            <w:tcW w:w="1574" w:type="dxa"/>
          </w:tcPr>
          <w:p w14:paraId="46316DEE" w14:textId="77777777" w:rsidR="00343C7A" w:rsidRDefault="00343C7A" w:rsidP="009848FB">
            <w:pPr>
              <w:pStyle w:val="Tabletext0"/>
              <w:keepNext/>
              <w:jc w:val="center"/>
            </w:pPr>
            <w:r w:rsidRPr="00E56C97">
              <w:t>0.0000</w:t>
            </w:r>
            <w:r>
              <w:t>6788</w:t>
            </w:r>
          </w:p>
          <w:p w14:paraId="71531AE6" w14:textId="77777777" w:rsidR="00343C7A" w:rsidRPr="005262C7" w:rsidRDefault="00343C7A" w:rsidP="009848FB">
            <w:pPr>
              <w:pStyle w:val="Tabletext0"/>
              <w:keepNext/>
              <w:jc w:val="center"/>
            </w:pPr>
            <w:r>
              <w:t>67.9 per million</w:t>
            </w:r>
          </w:p>
        </w:tc>
        <w:tc>
          <w:tcPr>
            <w:tcW w:w="1658" w:type="dxa"/>
          </w:tcPr>
          <w:p w14:paraId="1C3BE8C9" w14:textId="77777777" w:rsidR="00343C7A" w:rsidRDefault="00343C7A" w:rsidP="009848FB">
            <w:pPr>
              <w:pStyle w:val="Tabletext0"/>
              <w:keepNext/>
              <w:jc w:val="center"/>
            </w:pPr>
            <w:r w:rsidRPr="00E56C97">
              <w:t>0.00005553</w:t>
            </w:r>
          </w:p>
          <w:p w14:paraId="415E2AFB" w14:textId="77777777" w:rsidR="00343C7A" w:rsidRDefault="00343C7A" w:rsidP="009848FB">
            <w:pPr>
              <w:pStyle w:val="Tabletext0"/>
              <w:keepNext/>
              <w:jc w:val="center"/>
            </w:pPr>
            <w:r>
              <w:t>55.5 per million</w:t>
            </w:r>
          </w:p>
        </w:tc>
        <w:tc>
          <w:tcPr>
            <w:tcW w:w="1858" w:type="dxa"/>
          </w:tcPr>
          <w:p w14:paraId="54A3AF5B" w14:textId="77777777" w:rsidR="00343C7A" w:rsidRDefault="00343C7A" w:rsidP="009848FB">
            <w:pPr>
              <w:pStyle w:val="Tabletext0"/>
              <w:keepNext/>
              <w:jc w:val="center"/>
            </w:pPr>
            <w:r w:rsidRPr="00E56C97">
              <w:t>0.0000</w:t>
            </w:r>
            <w:r>
              <w:t>1235</w:t>
            </w:r>
          </w:p>
          <w:p w14:paraId="268B1D89" w14:textId="77777777" w:rsidR="00343C7A" w:rsidRPr="005262C7" w:rsidRDefault="00343C7A" w:rsidP="009848FB">
            <w:pPr>
              <w:pStyle w:val="Tabletext0"/>
              <w:keepNext/>
              <w:jc w:val="center"/>
            </w:pPr>
            <w:r>
              <w:t>12.4 per million</w:t>
            </w:r>
          </w:p>
        </w:tc>
      </w:tr>
      <w:tr w:rsidR="00343C7A" w:rsidRPr="00496C73" w14:paraId="415AF0A1" w14:textId="77777777" w:rsidTr="006B5B78">
        <w:tc>
          <w:tcPr>
            <w:tcW w:w="7158" w:type="dxa"/>
            <w:gridSpan w:val="3"/>
            <w:vAlign w:val="center"/>
          </w:tcPr>
          <w:p w14:paraId="046A1E90" w14:textId="77777777" w:rsidR="00343C7A" w:rsidRPr="00CC1A01" w:rsidRDefault="00343C7A" w:rsidP="002207EE">
            <w:pPr>
              <w:pStyle w:val="Tabletext0"/>
              <w:keepNext/>
              <w:jc w:val="left"/>
              <w:rPr>
                <w:b/>
                <w:bCs/>
              </w:rPr>
            </w:pPr>
            <w:r w:rsidRPr="00CC1A01">
              <w:rPr>
                <w:b/>
                <w:bCs/>
              </w:rPr>
              <w:t>ICER (cost per life year gained)</w:t>
            </w:r>
          </w:p>
        </w:tc>
        <w:tc>
          <w:tcPr>
            <w:tcW w:w="1858" w:type="dxa"/>
          </w:tcPr>
          <w:p w14:paraId="76233FFE" w14:textId="61F1F7AB" w:rsidR="00343C7A" w:rsidRPr="00CC1A01" w:rsidRDefault="0061682C" w:rsidP="009848FB">
            <w:pPr>
              <w:pStyle w:val="Tabletext0"/>
              <w:keepNext/>
              <w:jc w:val="center"/>
              <w:rPr>
                <w:b/>
                <w:bCs/>
              </w:rPr>
            </w:pPr>
            <w:r w:rsidRPr="00011DA9">
              <w:rPr>
                <w:b/>
                <w:bCs/>
              </w:rPr>
              <w:t>$</w:t>
            </w:r>
            <w:r w:rsidRPr="008D1385">
              <w:rPr>
                <w:rFonts w:cs="Courier New"/>
                <w:b/>
              </w:rPr>
              <w:t>Redacted</w:t>
            </w:r>
          </w:p>
        </w:tc>
      </w:tr>
      <w:tr w:rsidR="00343C7A" w:rsidRPr="00496C73" w14:paraId="01ABCF2C" w14:textId="77777777" w:rsidTr="006B5B78">
        <w:tc>
          <w:tcPr>
            <w:tcW w:w="9016" w:type="dxa"/>
            <w:gridSpan w:val="4"/>
            <w:vAlign w:val="center"/>
          </w:tcPr>
          <w:p w14:paraId="58CE25FB" w14:textId="77777777" w:rsidR="00343C7A" w:rsidRPr="00B862FE" w:rsidRDefault="00343C7A" w:rsidP="002207EE">
            <w:pPr>
              <w:pStyle w:val="Tabletext0"/>
              <w:keepNext/>
              <w:jc w:val="left"/>
              <w:rPr>
                <w:b/>
                <w:bCs/>
              </w:rPr>
            </w:pPr>
            <w:r w:rsidRPr="00B862FE">
              <w:rPr>
                <w:b/>
                <w:bCs/>
              </w:rPr>
              <w:t xml:space="preserve">Step </w:t>
            </w:r>
            <w:r>
              <w:rPr>
                <w:b/>
                <w:bCs/>
              </w:rPr>
              <w:t>3</w:t>
            </w:r>
            <w:r w:rsidRPr="00B862FE">
              <w:rPr>
                <w:b/>
                <w:bCs/>
              </w:rPr>
              <w:t>: C</w:t>
            </w:r>
            <w:r>
              <w:rPr>
                <w:b/>
                <w:bCs/>
              </w:rPr>
              <w:t>UA</w:t>
            </w:r>
            <w:r w:rsidRPr="00B862FE">
              <w:rPr>
                <w:b/>
                <w:bCs/>
              </w:rPr>
              <w:t xml:space="preserve"> (cost per </w:t>
            </w:r>
            <w:r>
              <w:rPr>
                <w:b/>
                <w:bCs/>
              </w:rPr>
              <w:t>QALY</w:t>
            </w:r>
            <w:r w:rsidRPr="00B862FE">
              <w:rPr>
                <w:b/>
                <w:bCs/>
              </w:rPr>
              <w:t xml:space="preserve"> gained) </w:t>
            </w:r>
          </w:p>
          <w:p w14:paraId="7793F1AF" w14:textId="4051D399" w:rsidR="00343C7A" w:rsidRPr="005262C7" w:rsidRDefault="49AE1FCA" w:rsidP="002207EE">
            <w:pPr>
              <w:pStyle w:val="Tabletext0"/>
              <w:keepNext/>
              <w:jc w:val="left"/>
            </w:pPr>
            <w:r w:rsidRPr="7C4E3BA4">
              <w:t xml:space="preserve">Utilities applied to life-years accrued for severe MPS II patients. </w:t>
            </w:r>
          </w:p>
        </w:tc>
      </w:tr>
      <w:tr w:rsidR="00343C7A" w:rsidRPr="00496C73" w14:paraId="236E3890" w14:textId="77777777" w:rsidTr="006B5B78">
        <w:tc>
          <w:tcPr>
            <w:tcW w:w="3926" w:type="dxa"/>
            <w:vAlign w:val="center"/>
          </w:tcPr>
          <w:p w14:paraId="3737838E" w14:textId="77777777" w:rsidR="00343C7A" w:rsidRDefault="00343C7A" w:rsidP="002207EE">
            <w:pPr>
              <w:pStyle w:val="Tabletext0"/>
              <w:keepNext/>
              <w:jc w:val="left"/>
            </w:pPr>
            <w:r>
              <w:t>Costs (on average, per person)</w:t>
            </w:r>
          </w:p>
        </w:tc>
        <w:tc>
          <w:tcPr>
            <w:tcW w:w="1574" w:type="dxa"/>
          </w:tcPr>
          <w:p w14:paraId="67BEBDBF" w14:textId="0670F9C0" w:rsidR="00343C7A" w:rsidRPr="0019724D" w:rsidRDefault="0061682C" w:rsidP="009848FB">
            <w:pPr>
              <w:pStyle w:val="Tabletext0"/>
              <w:keepNext/>
              <w:jc w:val="center"/>
              <w:rPr>
                <w:highlight w:val="yellow"/>
              </w:rPr>
            </w:pPr>
            <w:r w:rsidRPr="7C4E3BA4">
              <w:t>$</w:t>
            </w:r>
            <w:r w:rsidRPr="008D1385">
              <w:rPr>
                <w:rFonts w:cs="Courier New"/>
                <w:b/>
              </w:rPr>
              <w:t>Redacted</w:t>
            </w:r>
          </w:p>
        </w:tc>
        <w:tc>
          <w:tcPr>
            <w:tcW w:w="1658" w:type="dxa"/>
          </w:tcPr>
          <w:p w14:paraId="1B822D18" w14:textId="60F23E3B" w:rsidR="00343C7A" w:rsidRPr="0019724D" w:rsidRDefault="0061682C" w:rsidP="009848FB">
            <w:pPr>
              <w:pStyle w:val="Tabletext0"/>
              <w:keepNext/>
              <w:jc w:val="center"/>
              <w:rPr>
                <w:highlight w:val="yellow"/>
              </w:rPr>
            </w:pPr>
            <w:r w:rsidRPr="7C4E3BA4">
              <w:t>$</w:t>
            </w:r>
            <w:r w:rsidRPr="008D1385">
              <w:rPr>
                <w:rFonts w:cs="Courier New"/>
                <w:b/>
              </w:rPr>
              <w:t>Redacted</w:t>
            </w:r>
          </w:p>
        </w:tc>
        <w:tc>
          <w:tcPr>
            <w:tcW w:w="1858" w:type="dxa"/>
          </w:tcPr>
          <w:p w14:paraId="6C08A9FD" w14:textId="62066C4C" w:rsidR="00343C7A" w:rsidRPr="0019724D" w:rsidRDefault="0061682C" w:rsidP="009848FB">
            <w:pPr>
              <w:pStyle w:val="Tabletext0"/>
              <w:keepNext/>
              <w:jc w:val="center"/>
              <w:rPr>
                <w:highlight w:val="yellow"/>
              </w:rPr>
            </w:pPr>
            <w:r w:rsidRPr="7C4E3BA4">
              <w:t>$</w:t>
            </w:r>
            <w:r w:rsidRPr="008D1385">
              <w:rPr>
                <w:rFonts w:cs="Courier New"/>
                <w:b/>
              </w:rPr>
              <w:t>Redacted</w:t>
            </w:r>
          </w:p>
        </w:tc>
      </w:tr>
      <w:tr w:rsidR="00343C7A" w:rsidRPr="00496C73" w14:paraId="3E25265D" w14:textId="77777777" w:rsidTr="006B5B78">
        <w:tc>
          <w:tcPr>
            <w:tcW w:w="3926" w:type="dxa"/>
            <w:tcBorders>
              <w:bottom w:val="single" w:sz="4" w:space="0" w:color="auto"/>
            </w:tcBorders>
            <w:vAlign w:val="center"/>
          </w:tcPr>
          <w:p w14:paraId="567CA448" w14:textId="77777777" w:rsidR="00343C7A" w:rsidRPr="00496C73" w:rsidRDefault="00343C7A" w:rsidP="002207EE">
            <w:pPr>
              <w:pStyle w:val="Tabletext0"/>
              <w:keepNext/>
              <w:jc w:val="left"/>
            </w:pPr>
            <w:r>
              <w:t>QALYs gained</w:t>
            </w:r>
          </w:p>
        </w:tc>
        <w:tc>
          <w:tcPr>
            <w:tcW w:w="1574" w:type="dxa"/>
            <w:tcBorders>
              <w:bottom w:val="single" w:sz="4" w:space="0" w:color="auto"/>
            </w:tcBorders>
          </w:tcPr>
          <w:p w14:paraId="06B7524D" w14:textId="77777777" w:rsidR="00343C7A" w:rsidRDefault="00343C7A" w:rsidP="009848FB">
            <w:pPr>
              <w:pStyle w:val="Tabletext0"/>
              <w:keepNext/>
              <w:jc w:val="center"/>
            </w:pPr>
            <w:r w:rsidRPr="00B6248D">
              <w:t>0.0000</w:t>
            </w:r>
            <w:r>
              <w:t>3462</w:t>
            </w:r>
          </w:p>
          <w:p w14:paraId="41DCF5EA" w14:textId="77777777" w:rsidR="00343C7A" w:rsidRPr="005262C7" w:rsidRDefault="00343C7A" w:rsidP="009848FB">
            <w:pPr>
              <w:pStyle w:val="Tabletext0"/>
              <w:keepNext/>
              <w:jc w:val="center"/>
            </w:pPr>
            <w:r>
              <w:t>30.6 per million</w:t>
            </w:r>
          </w:p>
        </w:tc>
        <w:tc>
          <w:tcPr>
            <w:tcW w:w="1658" w:type="dxa"/>
            <w:tcBorders>
              <w:bottom w:val="single" w:sz="4" w:space="0" w:color="auto"/>
            </w:tcBorders>
          </w:tcPr>
          <w:p w14:paraId="54D2F6B6" w14:textId="77777777" w:rsidR="00343C7A" w:rsidRDefault="00343C7A" w:rsidP="009848FB">
            <w:pPr>
              <w:pStyle w:val="Tabletext0"/>
              <w:keepNext/>
              <w:jc w:val="center"/>
            </w:pPr>
            <w:r w:rsidRPr="00B6248D">
              <w:t>0.000028</w:t>
            </w:r>
            <w:r>
              <w:t>32</w:t>
            </w:r>
          </w:p>
          <w:p w14:paraId="3C4F82C1" w14:textId="77777777" w:rsidR="00343C7A" w:rsidRDefault="00343C7A" w:rsidP="009848FB">
            <w:pPr>
              <w:pStyle w:val="Tabletext0"/>
              <w:keepNext/>
              <w:jc w:val="center"/>
            </w:pPr>
            <w:r>
              <w:t>28.3 per million</w:t>
            </w:r>
          </w:p>
        </w:tc>
        <w:tc>
          <w:tcPr>
            <w:tcW w:w="1858" w:type="dxa"/>
          </w:tcPr>
          <w:p w14:paraId="5157E966" w14:textId="77777777" w:rsidR="00343C7A" w:rsidRDefault="00343C7A" w:rsidP="009848FB">
            <w:pPr>
              <w:pStyle w:val="Tabletext0"/>
              <w:keepNext/>
              <w:jc w:val="center"/>
            </w:pPr>
            <w:r w:rsidRPr="00B6248D">
              <w:t>0.0000</w:t>
            </w:r>
            <w:r>
              <w:t>0630</w:t>
            </w:r>
          </w:p>
          <w:p w14:paraId="34A1CC3E" w14:textId="77777777" w:rsidR="00343C7A" w:rsidRPr="005262C7" w:rsidRDefault="00343C7A" w:rsidP="009848FB">
            <w:pPr>
              <w:pStyle w:val="Tabletext0"/>
              <w:keepNext/>
              <w:jc w:val="center"/>
            </w:pPr>
            <w:r>
              <w:t>6.3 per million</w:t>
            </w:r>
          </w:p>
        </w:tc>
      </w:tr>
      <w:tr w:rsidR="00343C7A" w:rsidRPr="00496C73" w14:paraId="7AB9066F" w14:textId="77777777" w:rsidTr="006B5B78">
        <w:tc>
          <w:tcPr>
            <w:tcW w:w="3926" w:type="dxa"/>
            <w:tcBorders>
              <w:right w:val="nil"/>
            </w:tcBorders>
            <w:vAlign w:val="center"/>
          </w:tcPr>
          <w:p w14:paraId="323D8E56" w14:textId="77777777" w:rsidR="00343C7A" w:rsidRPr="00496C73" w:rsidRDefault="00343C7A" w:rsidP="002207EE">
            <w:pPr>
              <w:pStyle w:val="Tabletext0"/>
              <w:keepNext/>
              <w:jc w:val="left"/>
            </w:pPr>
            <w:r w:rsidRPr="00CC1A01">
              <w:rPr>
                <w:b/>
                <w:bCs/>
              </w:rPr>
              <w:t xml:space="preserve">ICER (cost per </w:t>
            </w:r>
            <w:r>
              <w:rPr>
                <w:b/>
                <w:bCs/>
              </w:rPr>
              <w:t>QALY</w:t>
            </w:r>
            <w:r w:rsidRPr="00CC1A01">
              <w:rPr>
                <w:b/>
                <w:bCs/>
              </w:rPr>
              <w:t xml:space="preserve"> gained)</w:t>
            </w:r>
          </w:p>
        </w:tc>
        <w:tc>
          <w:tcPr>
            <w:tcW w:w="1574" w:type="dxa"/>
            <w:tcBorders>
              <w:left w:val="nil"/>
              <w:right w:val="nil"/>
            </w:tcBorders>
          </w:tcPr>
          <w:p w14:paraId="7E8A36D4" w14:textId="77777777" w:rsidR="00343C7A" w:rsidRPr="005262C7" w:rsidRDefault="00343C7A" w:rsidP="002207EE">
            <w:pPr>
              <w:pStyle w:val="Tabletext0"/>
              <w:keepNext/>
              <w:jc w:val="right"/>
            </w:pPr>
          </w:p>
        </w:tc>
        <w:tc>
          <w:tcPr>
            <w:tcW w:w="1658" w:type="dxa"/>
            <w:tcBorders>
              <w:left w:val="nil"/>
            </w:tcBorders>
            <w:vAlign w:val="center"/>
          </w:tcPr>
          <w:p w14:paraId="17666F0F" w14:textId="77777777" w:rsidR="00343C7A" w:rsidRDefault="00343C7A" w:rsidP="002207EE">
            <w:pPr>
              <w:pStyle w:val="Tabletext0"/>
              <w:keepNext/>
              <w:jc w:val="right"/>
            </w:pPr>
          </w:p>
        </w:tc>
        <w:tc>
          <w:tcPr>
            <w:tcW w:w="1858" w:type="dxa"/>
          </w:tcPr>
          <w:p w14:paraId="4FBF58A8" w14:textId="596FAC85" w:rsidR="00343C7A" w:rsidRPr="00294E35" w:rsidRDefault="0061682C" w:rsidP="009848FB">
            <w:pPr>
              <w:pStyle w:val="Tabletext0"/>
              <w:keepNext/>
              <w:jc w:val="center"/>
              <w:rPr>
                <w:b/>
                <w:bCs/>
              </w:rPr>
            </w:pPr>
            <w:r w:rsidRPr="00011DA9">
              <w:rPr>
                <w:b/>
                <w:bCs/>
              </w:rPr>
              <w:t>$</w:t>
            </w:r>
            <w:r w:rsidRPr="0061682C">
              <w:rPr>
                <w:rFonts w:cs="Courier New"/>
                <w:b/>
                <w:bCs/>
              </w:rPr>
              <w:t>R</w:t>
            </w:r>
            <w:r w:rsidRPr="008D1385">
              <w:rPr>
                <w:rFonts w:cs="Courier New"/>
                <w:b/>
              </w:rPr>
              <w:t>edacted</w:t>
            </w:r>
          </w:p>
        </w:tc>
      </w:tr>
    </w:tbl>
    <w:p w14:paraId="2738D5A0" w14:textId="77777777" w:rsidR="00554A80" w:rsidRDefault="00357FEF" w:rsidP="001117CE">
      <w:pPr>
        <w:pStyle w:val="TableFigureFooter"/>
      </w:pPr>
      <w:r>
        <w:t>CEA = cost-effectiveness analysis; CUA = cost-utility analysis; ICER = incremental cost-effectiveness ratio; MPS II = mucopolysaccharidosis Type II; NBS = newborn bloodspot screening; QALY = quality-adjusted life year</w:t>
      </w:r>
    </w:p>
    <w:p w14:paraId="4A6813FF" w14:textId="71620336" w:rsidR="00343C7A" w:rsidRDefault="00343C7A" w:rsidP="001117CE">
      <w:pPr>
        <w:pStyle w:val="TableFigureFooter"/>
      </w:pPr>
      <w:r>
        <w:rPr>
          <w:vertAlign w:val="superscript"/>
        </w:rPr>
        <w:t xml:space="preserve">a </w:t>
      </w:r>
      <w:r>
        <w:t>As attenuated patients (in either arm) are only able to access treatment once symptoms arise (which would be the same irrespective of NBS or not), it was pragmatically assume</w:t>
      </w:r>
      <w:r w:rsidR="004006A9">
        <w:t>d</w:t>
      </w:r>
      <w:r>
        <w:t xml:space="preserve"> that there would be no difference in the costs or outcomes of attenuated patients beyond the base case analysis and hence these cases are not modelled in the exploratory analysis. </w:t>
      </w:r>
    </w:p>
    <w:p w14:paraId="15D3F24F" w14:textId="12471869" w:rsidR="00343C7A" w:rsidRDefault="49AE1FCA" w:rsidP="001117CE">
      <w:pPr>
        <w:pStyle w:val="TableFigureFooter"/>
      </w:pPr>
      <w:r w:rsidRPr="7C4E3BA4">
        <w:rPr>
          <w:vertAlign w:val="superscript"/>
        </w:rPr>
        <w:t xml:space="preserve">b </w:t>
      </w:r>
      <w:r w:rsidRPr="7C4E3BA4">
        <w:t xml:space="preserve">As very attenuated </w:t>
      </w:r>
      <w:r w:rsidR="09D96C7A" w:rsidRPr="7C4E3BA4">
        <w:t xml:space="preserve">disease </w:t>
      </w:r>
      <w:r w:rsidRPr="7C4E3BA4">
        <w:t xml:space="preserve">cases in the no NBS arm are not identified throughout their lifetime. </w:t>
      </w:r>
    </w:p>
    <w:p w14:paraId="081C5A4A" w14:textId="52B11077" w:rsidR="0026691A" w:rsidRDefault="0081000B" w:rsidP="009848FB">
      <w:pPr>
        <w:pStyle w:val="Heading3"/>
      </w:pPr>
      <w:bookmarkStart w:id="53" w:name="_Toc185430540"/>
      <w:r>
        <w:lastRenderedPageBreak/>
        <w:t>PICO set 2</w:t>
      </w:r>
      <w:bookmarkEnd w:id="53"/>
    </w:p>
    <w:p w14:paraId="5C2A6C8B" w14:textId="28337F1C" w:rsidR="002A7F5C" w:rsidRDefault="002A7F5C" w:rsidP="002A7F5C">
      <w:pPr>
        <w:pStyle w:val="Heading4"/>
      </w:pPr>
      <w:r>
        <w:t>Method</w:t>
      </w:r>
    </w:p>
    <w:p w14:paraId="799D7CD3" w14:textId="5E46EA2F" w:rsidR="002A7F5C" w:rsidRDefault="61BD5519" w:rsidP="002A7F5C">
      <w:r w:rsidRPr="7C4E3BA4">
        <w:t xml:space="preserve">A cost analysis for testing </w:t>
      </w:r>
      <w:r w:rsidR="00E93AB8">
        <w:t xml:space="preserve">of family members </w:t>
      </w:r>
      <w:r w:rsidRPr="7C4E3BA4">
        <w:t>was performed for a cohort of 304,655 newborns that would be screened in the 2025–26 financial yea</w:t>
      </w:r>
      <w:r w:rsidR="74AA5356" w:rsidRPr="7C4E3BA4">
        <w:t>r</w:t>
      </w:r>
      <w:r w:rsidRPr="7C4E3BA4">
        <w:t>.</w:t>
      </w:r>
      <w:r w:rsidR="678022D2" w:rsidRPr="7C4E3BA4">
        <w:t xml:space="preserve"> </w:t>
      </w:r>
      <w:r w:rsidR="12129316" w:rsidRPr="7C4E3BA4">
        <w:t>Based on the X</w:t>
      </w:r>
      <w:r w:rsidR="606D5309" w:rsidRPr="7C4E3BA4">
        <w:t>-linked inheritance pa</w:t>
      </w:r>
      <w:r w:rsidR="4D924BF2" w:rsidRPr="7C4E3BA4">
        <w:t xml:space="preserve">tterns of MPS II, it was assumed that </w:t>
      </w:r>
      <w:r w:rsidR="2A09142D" w:rsidRPr="7C4E3BA4">
        <w:t xml:space="preserve">testing would first be offered to </w:t>
      </w:r>
      <w:r w:rsidR="0EBDBA54" w:rsidRPr="7C4E3BA4">
        <w:t>first-degree relatives (</w:t>
      </w:r>
      <w:r w:rsidR="0FDEA945" w:rsidRPr="7C4E3BA4">
        <w:t>biological mothers</w:t>
      </w:r>
      <w:r w:rsidR="0EBDBA54" w:rsidRPr="7C4E3BA4">
        <w:t>, fathers</w:t>
      </w:r>
      <w:r w:rsidR="0FDEA945" w:rsidRPr="7C4E3BA4">
        <w:t xml:space="preserve"> and siblings</w:t>
      </w:r>
      <w:r w:rsidR="0EBDBA54" w:rsidRPr="7C4E3BA4">
        <w:t>)</w:t>
      </w:r>
      <w:r w:rsidR="0FDEA945" w:rsidRPr="7C4E3BA4">
        <w:t xml:space="preserve"> of </w:t>
      </w:r>
      <w:r w:rsidR="6EBF7F6B" w:rsidRPr="7C4E3BA4">
        <w:t>the proband</w:t>
      </w:r>
      <w:r w:rsidR="0547AF9B" w:rsidRPr="7C4E3BA4">
        <w:t xml:space="preserve"> and if </w:t>
      </w:r>
      <w:r w:rsidR="3D3070B5" w:rsidRPr="7C4E3BA4">
        <w:t xml:space="preserve">the proband’s </w:t>
      </w:r>
      <w:r w:rsidR="0547AF9B" w:rsidRPr="7C4E3BA4">
        <w:t xml:space="preserve">variant was </w:t>
      </w:r>
      <w:r w:rsidR="3D3070B5" w:rsidRPr="7C4E3BA4">
        <w:t xml:space="preserve">determined to be inherited </w:t>
      </w:r>
      <w:r w:rsidR="0547AF9B" w:rsidRPr="7C4E3BA4">
        <w:t>(</w:t>
      </w:r>
      <w:r w:rsidR="458A8B1D" w:rsidRPr="7C4E3BA4">
        <w:t xml:space="preserve">20% </w:t>
      </w:r>
      <w:r w:rsidR="795931C3" w:rsidRPr="7C4E3BA4">
        <w:t>of cases, as per PASC advice)</w:t>
      </w:r>
      <w:r w:rsidR="42DCC97D" w:rsidRPr="7C4E3BA4">
        <w:t>, testing was extended to maternal second-degree relatives (maternal</w:t>
      </w:r>
      <w:r w:rsidR="44F54DB1" w:rsidRPr="7C4E3BA4">
        <w:t xml:space="preserve"> </w:t>
      </w:r>
      <w:r w:rsidR="0EBDBA54" w:rsidRPr="7C4E3BA4">
        <w:t xml:space="preserve">grandparents, aunts and uncles). The number of </w:t>
      </w:r>
      <w:r w:rsidR="3B343DBA" w:rsidRPr="7C4E3BA4">
        <w:t xml:space="preserve">siblings and maternal aunts and uncles were calculated through Australian fertility rates and the probability of </w:t>
      </w:r>
      <w:r w:rsidR="094B4EB2" w:rsidRPr="7C4E3BA4">
        <w:t xml:space="preserve">identifying additional carriers or cases from </w:t>
      </w:r>
      <w:r w:rsidR="00684588">
        <w:t>genetic</w:t>
      </w:r>
      <w:r w:rsidR="00684588" w:rsidRPr="7C4E3BA4">
        <w:t xml:space="preserve"> </w:t>
      </w:r>
      <w:r w:rsidR="094B4EB2" w:rsidRPr="7C4E3BA4">
        <w:t>testing was based on X-linked heritance patterns</w:t>
      </w:r>
      <w:r w:rsidR="00474DDB" w:rsidRPr="7C4E3BA4">
        <w:rPr>
          <w:rStyle w:val="FootnoteReference"/>
        </w:rPr>
        <w:footnoteReference w:id="39"/>
      </w:r>
      <w:r w:rsidR="00FF5E9E">
        <w:t>.</w:t>
      </w:r>
      <w:r w:rsidR="094B4EB2" w:rsidRPr="7C4E3BA4">
        <w:t xml:space="preserve"> </w:t>
      </w:r>
      <w:r w:rsidR="0EBDBA54" w:rsidRPr="7C4E3BA4">
        <w:t xml:space="preserve"> </w:t>
      </w:r>
      <w:r w:rsidR="34C36B2C" w:rsidRPr="7C4E3BA4">
        <w:t xml:space="preserve"> </w:t>
      </w:r>
    </w:p>
    <w:p w14:paraId="18B3B9DE" w14:textId="703B1985" w:rsidR="002A7F5C" w:rsidRPr="002A7F5C" w:rsidRDefault="002A7F5C" w:rsidP="003960AB">
      <w:pPr>
        <w:pStyle w:val="Heading4"/>
      </w:pPr>
      <w:r>
        <w:t>Results</w:t>
      </w:r>
    </w:p>
    <w:p w14:paraId="7F037DEA" w14:textId="08639CD9" w:rsidR="00343C7A" w:rsidRDefault="3920F3B4" w:rsidP="0059343C">
      <w:r w:rsidRPr="7C4E3BA4">
        <w:t>F</w:t>
      </w:r>
      <w:r w:rsidR="2F084B5B" w:rsidRPr="7C4E3BA4">
        <w:t>or 304,655 newborns screened (representing approximately one year)</w:t>
      </w:r>
      <w:r w:rsidR="00684588">
        <w:t>, family member</w:t>
      </w:r>
      <w:r w:rsidR="2F084B5B" w:rsidRPr="7C4E3BA4">
        <w:t xml:space="preserve"> testing costs </w:t>
      </w:r>
      <w:r w:rsidR="44FDCAE5" w:rsidRPr="7C4E3BA4">
        <w:t xml:space="preserve">would </w:t>
      </w:r>
      <w:r w:rsidR="2F084B5B" w:rsidRPr="7C4E3BA4">
        <w:t>be $</w:t>
      </w:r>
      <w:r w:rsidR="039CA8A1" w:rsidRPr="7C4E3BA4">
        <w:t>1,498</w:t>
      </w:r>
      <w:r w:rsidR="4DBA1DAB" w:rsidRPr="7C4E3BA4">
        <w:t xml:space="preserve"> </w:t>
      </w:r>
      <w:r w:rsidR="2F084B5B" w:rsidRPr="7C4E3BA4">
        <w:t xml:space="preserve">in the absence of NBS for MPS </w:t>
      </w:r>
      <w:r w:rsidR="039CA8A1" w:rsidRPr="7C4E3BA4">
        <w:t>I</w:t>
      </w:r>
      <w:r w:rsidR="2F084B5B" w:rsidRPr="7C4E3BA4">
        <w:t xml:space="preserve">I and </w:t>
      </w:r>
      <w:r w:rsidR="44E9D931" w:rsidRPr="7C4E3BA4">
        <w:t xml:space="preserve">$4,110 </w:t>
      </w:r>
      <w:r w:rsidR="2F084B5B" w:rsidRPr="7C4E3BA4">
        <w:t xml:space="preserve">when NBS for MPS </w:t>
      </w:r>
      <w:r w:rsidR="039CA8A1" w:rsidRPr="7C4E3BA4">
        <w:t>I</w:t>
      </w:r>
      <w:r w:rsidR="2F084B5B" w:rsidRPr="7C4E3BA4">
        <w:t>I is available</w:t>
      </w:r>
      <w:r w:rsidR="039CA8A1" w:rsidRPr="7C4E3BA4">
        <w:t xml:space="preserve"> when considering </w:t>
      </w:r>
      <w:r w:rsidR="75E7F38C" w:rsidRPr="7C4E3BA4">
        <w:t xml:space="preserve">biological </w:t>
      </w:r>
      <w:r w:rsidR="039CA8A1" w:rsidRPr="7C4E3BA4">
        <w:t>mothers and siblings of the proband only</w:t>
      </w:r>
      <w:r w:rsidR="2F084B5B" w:rsidRPr="7C4E3BA4">
        <w:t>.</w:t>
      </w:r>
      <w:r w:rsidR="039CA8A1" w:rsidRPr="7C4E3BA4">
        <w:t xml:space="preserve"> </w:t>
      </w:r>
      <w:r w:rsidR="44E3AD77" w:rsidRPr="7C4E3BA4">
        <w:t xml:space="preserve">When including </w:t>
      </w:r>
      <w:r w:rsidR="75E7F38C" w:rsidRPr="7C4E3BA4">
        <w:t xml:space="preserve">biological </w:t>
      </w:r>
      <w:r w:rsidR="44E3AD77" w:rsidRPr="7C4E3BA4">
        <w:t>fathers</w:t>
      </w:r>
      <w:r w:rsidR="126C518E" w:rsidRPr="7C4E3BA4">
        <w:t xml:space="preserve"> and maternal relatives of the proband (grandparents, aunts and uncles)</w:t>
      </w:r>
      <w:r w:rsidR="7AB7492E" w:rsidRPr="7C4E3BA4">
        <w:t xml:space="preserve">, </w:t>
      </w:r>
      <w:r w:rsidR="00684588">
        <w:t>family member</w:t>
      </w:r>
      <w:r w:rsidR="00684588" w:rsidRPr="7C4E3BA4">
        <w:t xml:space="preserve"> </w:t>
      </w:r>
      <w:r w:rsidR="7AB7492E" w:rsidRPr="7C4E3BA4">
        <w:t xml:space="preserve">testing costs </w:t>
      </w:r>
      <w:r w:rsidR="247A480F" w:rsidRPr="7C4E3BA4">
        <w:t xml:space="preserve">would </w:t>
      </w:r>
      <w:r w:rsidR="7AB7492E" w:rsidRPr="7C4E3BA4">
        <w:t>be $</w:t>
      </w:r>
      <w:r w:rsidR="2142B1D8" w:rsidRPr="7C4E3BA4">
        <w:t>4,116</w:t>
      </w:r>
      <w:r w:rsidR="5F661675" w:rsidRPr="7C4E3BA4">
        <w:t xml:space="preserve"> without NBS and </w:t>
      </w:r>
      <w:r w:rsidR="7599388B" w:rsidRPr="7C4E3BA4">
        <w:t xml:space="preserve">$11,291 with NBS. </w:t>
      </w:r>
      <w:r w:rsidR="48A560CF" w:rsidRPr="7C4E3BA4">
        <w:t xml:space="preserve">The incremental cost is mainly attributable to the </w:t>
      </w:r>
      <w:r w:rsidR="5DF27FE4" w:rsidRPr="7C4E3BA4">
        <w:t>additional cases identified with NBS. However</w:t>
      </w:r>
      <w:r w:rsidR="01286D35" w:rsidRPr="7C4E3BA4">
        <w:t>,</w:t>
      </w:r>
      <w:r w:rsidR="5DF27FE4" w:rsidRPr="7C4E3BA4">
        <w:t xml:space="preserve"> this may also be</w:t>
      </w:r>
      <w:r w:rsidR="126C518E" w:rsidRPr="7C4E3BA4">
        <w:t xml:space="preserve"> </w:t>
      </w:r>
      <w:r w:rsidR="5DF27FE4" w:rsidRPr="7C4E3BA4">
        <w:t xml:space="preserve">off-set by the health benefit and cost-savings associated with preventing a recurrence of disease, </w:t>
      </w:r>
      <w:r w:rsidR="01286D35" w:rsidRPr="7C4E3BA4">
        <w:t>though</w:t>
      </w:r>
      <w:r w:rsidR="5DF27FE4" w:rsidRPr="7C4E3BA4">
        <w:t xml:space="preserve"> the extent to which that would occur in the Australian population is entirely unknown</w:t>
      </w:r>
      <w:r w:rsidR="01286D35" w:rsidRPr="7C4E3BA4">
        <w:t>.</w:t>
      </w:r>
    </w:p>
    <w:p w14:paraId="6760DD54" w14:textId="0F1651CC" w:rsidR="00383275" w:rsidRPr="00492AB6" w:rsidRDefault="00A04D05" w:rsidP="003960AB">
      <w:pPr>
        <w:pStyle w:val="Heading3"/>
      </w:pPr>
      <w:r>
        <w:rPr>
          <w:rFonts w:ascii="Arial Narrow" w:eastAsia="Times New Roman" w:hAnsi="Arial Narrow" w:cs="Times New Roman"/>
          <w:sz w:val="20"/>
          <w:szCs w:val="20"/>
        </w:rPr>
        <w:fldChar w:fldCharType="begin"/>
      </w:r>
      <w:r>
        <w:rPr>
          <w:rFonts w:ascii="Arial Narrow" w:eastAsia="Times New Roman" w:hAnsi="Arial Narrow" w:cs="Times New Roman"/>
          <w:sz w:val="20"/>
          <w:szCs w:val="20"/>
        </w:rPr>
        <w:fldChar w:fldCharType="end"/>
      </w:r>
      <w:bookmarkStart w:id="54" w:name="_Toc185430541"/>
      <w:r w:rsidR="00383275" w:rsidRPr="00492AB6">
        <w:t>Conclusions</w:t>
      </w:r>
      <w:bookmarkEnd w:id="54"/>
    </w:p>
    <w:p w14:paraId="0A17C559" w14:textId="479E9027" w:rsidR="00FF427D" w:rsidRDefault="374CD1EE" w:rsidP="00FF427D">
      <w:r w:rsidRPr="7C4E3BA4">
        <w:t xml:space="preserve">NBS was associated with a net incremental cost per MPS II case diagnosed compared with clinical identification in the absence of NBS. Some cost was offset due to </w:t>
      </w:r>
      <w:r w:rsidR="572F12EA" w:rsidRPr="7C4E3BA4">
        <w:t xml:space="preserve">avoidance of </w:t>
      </w:r>
      <w:r w:rsidRPr="7C4E3BA4">
        <w:t xml:space="preserve">diagnostic </w:t>
      </w:r>
      <w:r w:rsidR="007225DF">
        <w:t>delay</w:t>
      </w:r>
      <w:r w:rsidRPr="7C4E3BA4">
        <w:t>, but this was relatively small in comparison to the increased screening costs. The ICERs ($/early diagnosis and $/early diagnosis of severe MPS II) were high due to the rarity of the disease.</w:t>
      </w:r>
    </w:p>
    <w:p w14:paraId="4CFA950A" w14:textId="19B9FCE8" w:rsidR="00FF427D" w:rsidRDefault="374CD1EE" w:rsidP="00FF427D">
      <w:r w:rsidRPr="7C4E3BA4">
        <w:t xml:space="preserve">The limited evidence indicated possible survival and quality of life benefits associated with early access to ERT for severe MPS II patients. When the improved survival and quality of life associated with early access to treatment were integrated in the model, the ICER/QALY was also relatively high due to the rarity of the disease, the relatively limited change in clinical management associated with early diagnosis and life-long monitoring implications for patients who would not have been identified without NBS. Earlier diagnosis through NBS would avoid diagnostic </w:t>
      </w:r>
      <w:r w:rsidR="007225DF">
        <w:t>delay</w:t>
      </w:r>
      <w:r w:rsidR="007225DF" w:rsidRPr="7C4E3BA4">
        <w:t xml:space="preserve"> </w:t>
      </w:r>
      <w:r w:rsidRPr="7C4E3BA4">
        <w:t>and increase timely treatment in many cases with MPS II</w:t>
      </w:r>
      <w:r w:rsidR="44BD4E87" w:rsidRPr="7C4E3BA4">
        <w:t>;</w:t>
      </w:r>
      <w:r w:rsidRPr="7C4E3BA4">
        <w:t xml:space="preserve"> however</w:t>
      </w:r>
      <w:r w:rsidR="44BD4E87" w:rsidRPr="7C4E3BA4">
        <w:t>,</w:t>
      </w:r>
      <w:r w:rsidRPr="7C4E3BA4">
        <w:t xml:space="preserve"> clinical benefits in </w:t>
      </w:r>
      <w:r w:rsidR="00C17D45" w:rsidRPr="7C4E3BA4">
        <w:t xml:space="preserve">cases of </w:t>
      </w:r>
      <w:r w:rsidRPr="7C4E3BA4">
        <w:t xml:space="preserve">attenuated </w:t>
      </w:r>
      <w:r w:rsidR="00C17D45" w:rsidRPr="7C4E3BA4">
        <w:t>disease</w:t>
      </w:r>
      <w:r w:rsidRPr="7C4E3BA4">
        <w:t xml:space="preserve"> could not be quantified.</w:t>
      </w:r>
    </w:p>
    <w:p w14:paraId="443472D4" w14:textId="591AD469" w:rsidR="00E04BD2" w:rsidRPr="0059343C" w:rsidRDefault="000F759F" w:rsidP="0059343C">
      <w:r>
        <w:t>T</w:t>
      </w:r>
      <w:r w:rsidR="00383275" w:rsidRPr="003804FD">
        <w:t xml:space="preserve">esting of family members </w:t>
      </w:r>
      <w:r w:rsidR="00383275">
        <w:t xml:space="preserve">has the </w:t>
      </w:r>
      <w:r w:rsidR="00383275" w:rsidRPr="003804FD">
        <w:t>potential to inform reproductive planning</w:t>
      </w:r>
      <w:r w:rsidR="00383275">
        <w:t xml:space="preserve"> but t</w:t>
      </w:r>
      <w:r w:rsidR="00383275" w:rsidRPr="0044516D">
        <w:t xml:space="preserve">he </w:t>
      </w:r>
      <w:r w:rsidR="00383275">
        <w:t xml:space="preserve">associated </w:t>
      </w:r>
      <w:r w:rsidR="00383275" w:rsidRPr="0044516D">
        <w:t>health benefits</w:t>
      </w:r>
      <w:r w:rsidR="00383275">
        <w:t xml:space="preserve"> cannot be</w:t>
      </w:r>
      <w:r w:rsidR="00383275" w:rsidRPr="0044516D">
        <w:t xml:space="preserve"> </w:t>
      </w:r>
      <w:r w:rsidR="00383275">
        <w:t>quantified.</w:t>
      </w:r>
      <w:r w:rsidR="00383275" w:rsidRPr="003804FD">
        <w:t xml:space="preserve"> </w:t>
      </w:r>
    </w:p>
    <w:p w14:paraId="2B2612D2" w14:textId="3945A76D" w:rsidR="00772829" w:rsidRDefault="00772829" w:rsidP="00BE0CE4">
      <w:pPr>
        <w:pStyle w:val="Heading2"/>
        <w:numPr>
          <w:ilvl w:val="0"/>
          <w:numId w:val="28"/>
        </w:numPr>
        <w:ind w:hanging="720"/>
      </w:pPr>
      <w:bookmarkStart w:id="55" w:name="_Toc185430542"/>
      <w:r w:rsidRPr="00496C73">
        <w:lastRenderedPageBreak/>
        <w:t>Financial/budgetary impacts</w:t>
      </w:r>
      <w:bookmarkEnd w:id="55"/>
    </w:p>
    <w:p w14:paraId="6EACDA07" w14:textId="77777777" w:rsidR="00734DB4" w:rsidRDefault="00734DB4" w:rsidP="00734DB4">
      <w:r>
        <w:t>An epidemiological approach was used to estimate the resource utilisation and financial implications of incorporating MPS II screening into existing NBS programs.</w:t>
      </w:r>
    </w:p>
    <w:p w14:paraId="78353347" w14:textId="1C06ADA5" w:rsidR="00036FFC" w:rsidRDefault="06089E21" w:rsidP="00036FFC">
      <w:r w:rsidRPr="7C4E3BA4">
        <w:t xml:space="preserve">As per the consultation feedback, all NBS laboratories </w:t>
      </w:r>
      <w:r w:rsidR="247A480F" w:rsidRPr="7C4E3BA4">
        <w:t>would</w:t>
      </w:r>
      <w:r w:rsidRPr="7C4E3BA4">
        <w:t xml:space="preserve"> need some building expansion to accommodate for new equipment, validation and verification of the new screening protocol</w:t>
      </w:r>
      <w:r w:rsidR="2EA7BC22" w:rsidRPr="7C4E3BA4">
        <w:t>,</w:t>
      </w:r>
      <w:r w:rsidRPr="7C4E3BA4">
        <w:t xml:space="preserve"> and hiring of additional workforce to expand the NBS programs to include MPS II. Costs associated with program implementation included laboratory expansion and validation of the new screening protocol. These were considered as one-off set-up costs to NBS programs at the beginning. Direct funding is being provided by the Commonwealth to states and territories to support expansion of NBS programs and consistency in screening across Australia. States and territories can determine how to allocate this funding within their jurisdiction to best support implementation</w:t>
      </w:r>
      <w:r w:rsidR="74E760F6" w:rsidRPr="7C4E3BA4">
        <w:t>,</w:t>
      </w:r>
      <w:r w:rsidRPr="7C4E3BA4">
        <w:t xml:space="preserve"> in line with the terms of the Federation Funding Agreement (FFA) schedule.</w:t>
      </w:r>
      <w:r w:rsidR="2466C6E4" w:rsidRPr="7C4E3BA4">
        <w:t xml:space="preserve"> </w:t>
      </w:r>
      <w:r w:rsidR="00734DB4">
        <w:fldChar w:fldCharType="begin"/>
      </w:r>
      <w:r w:rsidR="00734DB4">
        <w:instrText xml:space="preserve"> REF _Ref181716295 \h </w:instrText>
      </w:r>
      <w:r w:rsidR="00734DB4">
        <w:fldChar w:fldCharType="separate"/>
      </w:r>
      <w:r w:rsidR="007F08FA" w:rsidRPr="00496C73" w:rsidDel="009D183F">
        <w:t xml:space="preserve">Table </w:t>
      </w:r>
      <w:r w:rsidR="00797B68" w:rsidDel="009D183F">
        <w:rPr>
          <w:noProof/>
        </w:rPr>
        <w:t>14</w:t>
      </w:r>
      <w:r w:rsidR="00734DB4">
        <w:fldChar w:fldCharType="end"/>
      </w:r>
      <w:r w:rsidR="2466C6E4" w:rsidRPr="7C4E3BA4">
        <w:t xml:space="preserve"> </w:t>
      </w:r>
      <w:r w:rsidRPr="7C4E3BA4">
        <w:t>presents the program implementation costs for introducing MPS II to the NBS programs.</w:t>
      </w:r>
    </w:p>
    <w:p w14:paraId="2BFD2AFF" w14:textId="4F9FD832" w:rsidR="004234DB" w:rsidRPr="00496C73" w:rsidRDefault="004234DB" w:rsidP="004234DB">
      <w:pPr>
        <w:pStyle w:val="Caption"/>
      </w:pPr>
      <w:bookmarkStart w:id="56" w:name="_Ref181716295"/>
      <w:r w:rsidRPr="00496C73">
        <w:t xml:space="preserve">Table </w:t>
      </w:r>
      <w:r w:rsidR="009D183F">
        <w:fldChar w:fldCharType="begin"/>
      </w:r>
      <w:r w:rsidR="009D183F">
        <w:instrText xml:space="preserve"> SEQ Table \* ARABIC </w:instrText>
      </w:r>
      <w:r w:rsidR="009D183F">
        <w:fldChar w:fldCharType="separate"/>
      </w:r>
      <w:r w:rsidR="009D183F">
        <w:rPr>
          <w:noProof/>
        </w:rPr>
        <w:t>14</w:t>
      </w:r>
      <w:r w:rsidR="009D183F">
        <w:rPr>
          <w:noProof/>
        </w:rPr>
        <w:fldChar w:fldCharType="end"/>
      </w:r>
      <w:bookmarkEnd w:id="56"/>
      <w:r w:rsidRPr="00496C73">
        <w:tab/>
        <w:t>Program implementation costs for introducing MPS II to the NBS panel</w:t>
      </w:r>
    </w:p>
    <w:tbl>
      <w:tblPr>
        <w:tblStyle w:val="TableGrid"/>
        <w:tblW w:w="5000" w:type="pct"/>
        <w:tblLook w:val="04A0" w:firstRow="1" w:lastRow="0" w:firstColumn="1" w:lastColumn="0" w:noHBand="0" w:noVBand="1"/>
      </w:tblPr>
      <w:tblGrid>
        <w:gridCol w:w="2435"/>
        <w:gridCol w:w="1318"/>
        <w:gridCol w:w="1316"/>
        <w:gridCol w:w="1316"/>
        <w:gridCol w:w="1316"/>
        <w:gridCol w:w="1315"/>
      </w:tblGrid>
      <w:tr w:rsidR="004234DB" w:rsidRPr="00496C73" w14:paraId="678E257A" w14:textId="77777777" w:rsidTr="006B5B78">
        <w:tc>
          <w:tcPr>
            <w:tcW w:w="1350" w:type="pct"/>
          </w:tcPr>
          <w:p w14:paraId="2A674A63" w14:textId="77777777" w:rsidR="004234DB" w:rsidRPr="00496C73" w:rsidRDefault="004234DB" w:rsidP="002207EE">
            <w:pPr>
              <w:pStyle w:val="In-tableHeading"/>
              <w:rPr>
                <w:lang w:val="en-AU"/>
              </w:rPr>
            </w:pPr>
          </w:p>
        </w:tc>
        <w:tc>
          <w:tcPr>
            <w:tcW w:w="731" w:type="pct"/>
          </w:tcPr>
          <w:p w14:paraId="579D71F5" w14:textId="77777777" w:rsidR="004234DB" w:rsidRPr="00496C73" w:rsidRDefault="004234DB" w:rsidP="005419C7">
            <w:pPr>
              <w:pStyle w:val="In-tableHeading"/>
              <w:jc w:val="center"/>
              <w:rPr>
                <w:lang w:val="en-AU"/>
              </w:rPr>
            </w:pPr>
            <w:r w:rsidRPr="00496C73">
              <w:rPr>
                <w:lang w:val="en-AU"/>
              </w:rPr>
              <w:t>WA</w:t>
            </w:r>
          </w:p>
        </w:tc>
        <w:tc>
          <w:tcPr>
            <w:tcW w:w="730" w:type="pct"/>
          </w:tcPr>
          <w:p w14:paraId="4E29B479" w14:textId="77777777" w:rsidR="004234DB" w:rsidRPr="00496C73" w:rsidRDefault="004234DB" w:rsidP="005419C7">
            <w:pPr>
              <w:pStyle w:val="In-tableHeading"/>
              <w:jc w:val="center"/>
              <w:rPr>
                <w:lang w:val="en-AU"/>
              </w:rPr>
            </w:pPr>
            <w:r w:rsidRPr="00496C73">
              <w:rPr>
                <w:lang w:val="en-AU"/>
              </w:rPr>
              <w:t>QLD + half of NT</w:t>
            </w:r>
          </w:p>
        </w:tc>
        <w:tc>
          <w:tcPr>
            <w:tcW w:w="730" w:type="pct"/>
          </w:tcPr>
          <w:p w14:paraId="30FD5216" w14:textId="77777777" w:rsidR="004234DB" w:rsidRPr="00496C73" w:rsidRDefault="004234DB" w:rsidP="005419C7">
            <w:pPr>
              <w:pStyle w:val="In-tableHeading"/>
              <w:jc w:val="center"/>
              <w:rPr>
                <w:lang w:val="en-AU"/>
              </w:rPr>
            </w:pPr>
            <w:r w:rsidRPr="00496C73">
              <w:rPr>
                <w:lang w:val="en-AU"/>
              </w:rPr>
              <w:t>NSW</w:t>
            </w:r>
          </w:p>
        </w:tc>
        <w:tc>
          <w:tcPr>
            <w:tcW w:w="730" w:type="pct"/>
          </w:tcPr>
          <w:p w14:paraId="0142DE74" w14:textId="77777777" w:rsidR="004234DB" w:rsidRPr="00496C73" w:rsidRDefault="004234DB" w:rsidP="005419C7">
            <w:pPr>
              <w:pStyle w:val="In-tableHeading"/>
              <w:jc w:val="center"/>
              <w:rPr>
                <w:lang w:val="en-AU"/>
              </w:rPr>
            </w:pPr>
            <w:r w:rsidRPr="00496C73">
              <w:rPr>
                <w:lang w:val="en-AU"/>
              </w:rPr>
              <w:t>SA + Tasmania + half of NT</w:t>
            </w:r>
          </w:p>
        </w:tc>
        <w:tc>
          <w:tcPr>
            <w:tcW w:w="729" w:type="pct"/>
          </w:tcPr>
          <w:p w14:paraId="7D5CAE0D" w14:textId="77777777" w:rsidR="004234DB" w:rsidRPr="00496C73" w:rsidRDefault="004234DB" w:rsidP="005419C7">
            <w:pPr>
              <w:pStyle w:val="In-tableHeading"/>
              <w:jc w:val="center"/>
              <w:rPr>
                <w:lang w:val="en-AU"/>
              </w:rPr>
            </w:pPr>
            <w:r w:rsidRPr="00496C73">
              <w:rPr>
                <w:lang w:val="en-AU"/>
              </w:rPr>
              <w:t>Victoria</w:t>
            </w:r>
          </w:p>
        </w:tc>
      </w:tr>
      <w:tr w:rsidR="004234DB" w:rsidRPr="00496C73" w14:paraId="73932CF0" w14:textId="77777777" w:rsidTr="006B5B78">
        <w:tc>
          <w:tcPr>
            <w:tcW w:w="5000" w:type="pct"/>
            <w:gridSpan w:val="6"/>
          </w:tcPr>
          <w:p w14:paraId="5340AF55" w14:textId="6E78F4FF" w:rsidR="004234DB" w:rsidRPr="00496C73" w:rsidRDefault="00EFF0B2" w:rsidP="7C4E3BA4">
            <w:pPr>
              <w:pStyle w:val="TableText"/>
              <w:rPr>
                <w:b/>
                <w:bCs/>
              </w:rPr>
            </w:pPr>
            <w:r w:rsidRPr="7C4E3BA4">
              <w:rPr>
                <w:b/>
                <w:bCs/>
              </w:rPr>
              <w:t>Laboratory capacity and capability (not necessarily assay specific)</w:t>
            </w:r>
          </w:p>
        </w:tc>
      </w:tr>
      <w:tr w:rsidR="004234DB" w:rsidRPr="00496C73" w14:paraId="00D7D7AD" w14:textId="77777777" w:rsidTr="006B5B78">
        <w:tc>
          <w:tcPr>
            <w:tcW w:w="1350" w:type="pct"/>
          </w:tcPr>
          <w:p w14:paraId="702FE3F4" w14:textId="6A79EE9C" w:rsidR="004234DB" w:rsidRPr="00496C73" w:rsidRDefault="00EFF0B2" w:rsidP="7C4E3BA4">
            <w:pPr>
              <w:pStyle w:val="TableText"/>
              <w:rPr>
                <w:vertAlign w:val="superscript"/>
              </w:rPr>
            </w:pPr>
            <w:r w:rsidRPr="7C4E3BA4">
              <w:t>Space expansion</w:t>
            </w:r>
            <w:r w:rsidR="652A0AEB" w:rsidRPr="7C4E3BA4">
              <w:rPr>
                <w:vertAlign w:val="superscript"/>
              </w:rPr>
              <w:t>a</w:t>
            </w:r>
          </w:p>
        </w:tc>
        <w:tc>
          <w:tcPr>
            <w:tcW w:w="731" w:type="pct"/>
          </w:tcPr>
          <w:p w14:paraId="7848EFB7" w14:textId="53721766" w:rsidR="004234DB" w:rsidRPr="0019724D" w:rsidRDefault="0061682C" w:rsidP="002207EE">
            <w:pPr>
              <w:pStyle w:val="TableText"/>
              <w:jc w:val="right"/>
              <w:rPr>
                <w:highlight w:val="yellow"/>
              </w:rPr>
            </w:pPr>
            <w:r w:rsidRPr="7C4E3BA4">
              <w:t>$</w:t>
            </w:r>
            <w:r w:rsidRPr="008D1385">
              <w:rPr>
                <w:rFonts w:cs="Courier New"/>
                <w:b/>
                <w:szCs w:val="20"/>
              </w:rPr>
              <w:t>Redacted</w:t>
            </w:r>
          </w:p>
        </w:tc>
        <w:tc>
          <w:tcPr>
            <w:tcW w:w="730" w:type="pct"/>
          </w:tcPr>
          <w:p w14:paraId="212124DC" w14:textId="0C0AD475" w:rsidR="004234DB" w:rsidRPr="0019724D" w:rsidRDefault="004234DB" w:rsidP="002207EE">
            <w:pPr>
              <w:pStyle w:val="TableText"/>
              <w:jc w:val="right"/>
              <w:rPr>
                <w:highlight w:val="yellow"/>
              </w:rPr>
            </w:pPr>
            <w:r w:rsidRPr="00D872DA">
              <w:t>$</w:t>
            </w:r>
            <w:r w:rsidR="0061682C" w:rsidRPr="00011DA9">
              <w:rPr>
                <w:b/>
                <w:bCs/>
              </w:rPr>
              <w:t>Redacted</w:t>
            </w:r>
          </w:p>
        </w:tc>
        <w:tc>
          <w:tcPr>
            <w:tcW w:w="730" w:type="pct"/>
          </w:tcPr>
          <w:p w14:paraId="0F8FDC9F" w14:textId="168554E3" w:rsidR="004234DB" w:rsidRPr="0019724D" w:rsidRDefault="004234DB" w:rsidP="002207EE">
            <w:pPr>
              <w:pStyle w:val="TableText"/>
              <w:jc w:val="right"/>
              <w:rPr>
                <w:highlight w:val="yellow"/>
              </w:rPr>
            </w:pPr>
            <w:r w:rsidRPr="00D872DA">
              <w:t>$</w:t>
            </w:r>
            <w:r w:rsidR="0061682C">
              <w:rPr>
                <w:b/>
                <w:bCs/>
              </w:rPr>
              <w:t>Redacted</w:t>
            </w:r>
          </w:p>
        </w:tc>
        <w:tc>
          <w:tcPr>
            <w:tcW w:w="730" w:type="pct"/>
          </w:tcPr>
          <w:p w14:paraId="1D0F8B4B" w14:textId="36B27F72" w:rsidR="004234DB" w:rsidRPr="0019724D" w:rsidRDefault="0061682C" w:rsidP="002207EE">
            <w:pPr>
              <w:pStyle w:val="TableText"/>
              <w:jc w:val="right"/>
              <w:rPr>
                <w:highlight w:val="yellow"/>
              </w:rPr>
            </w:pPr>
            <w:r w:rsidRPr="00D872DA">
              <w:t>$</w:t>
            </w:r>
            <w:r w:rsidRPr="008D12FB">
              <w:rPr>
                <w:b/>
                <w:bCs/>
              </w:rPr>
              <w:t>Redacted</w:t>
            </w:r>
          </w:p>
        </w:tc>
        <w:tc>
          <w:tcPr>
            <w:tcW w:w="729" w:type="pct"/>
          </w:tcPr>
          <w:p w14:paraId="785F7351" w14:textId="5E063F90" w:rsidR="004234DB" w:rsidRPr="0019724D" w:rsidRDefault="0061682C" w:rsidP="002207EE">
            <w:pPr>
              <w:pStyle w:val="TableText"/>
              <w:jc w:val="right"/>
              <w:rPr>
                <w:highlight w:val="yellow"/>
              </w:rPr>
            </w:pPr>
            <w:r w:rsidRPr="00D872DA">
              <w:t>$</w:t>
            </w:r>
            <w:r w:rsidRPr="008D12FB">
              <w:rPr>
                <w:b/>
                <w:bCs/>
              </w:rPr>
              <w:t>Redacted</w:t>
            </w:r>
          </w:p>
        </w:tc>
      </w:tr>
      <w:tr w:rsidR="004234DB" w:rsidRPr="00496C73" w14:paraId="1F22BBB1" w14:textId="77777777" w:rsidTr="006B5B78">
        <w:tc>
          <w:tcPr>
            <w:tcW w:w="5000" w:type="pct"/>
            <w:gridSpan w:val="6"/>
          </w:tcPr>
          <w:p w14:paraId="7379B507" w14:textId="77777777" w:rsidR="004234DB" w:rsidRPr="00496C73" w:rsidRDefault="004234DB" w:rsidP="002207EE">
            <w:pPr>
              <w:pStyle w:val="TableText"/>
              <w:rPr>
                <w:b/>
              </w:rPr>
            </w:pPr>
            <w:r w:rsidRPr="00496C73">
              <w:rPr>
                <w:b/>
              </w:rPr>
              <w:t xml:space="preserve">Costs associated with </w:t>
            </w:r>
            <w:r w:rsidRPr="00496C73">
              <w:rPr>
                <w:b/>
                <w:bCs/>
              </w:rPr>
              <w:t xml:space="preserve">specific </w:t>
            </w:r>
            <w:r w:rsidRPr="00496C73">
              <w:rPr>
                <w:b/>
              </w:rPr>
              <w:t>assay verification and validation</w:t>
            </w:r>
          </w:p>
        </w:tc>
      </w:tr>
      <w:tr w:rsidR="00295ED2" w:rsidRPr="00496C73" w14:paraId="7C82CC8A" w14:textId="77777777" w:rsidTr="006B5B78">
        <w:tc>
          <w:tcPr>
            <w:tcW w:w="1350" w:type="pct"/>
          </w:tcPr>
          <w:p w14:paraId="128734C5" w14:textId="77777777" w:rsidR="00295ED2" w:rsidRPr="00496C73" w:rsidRDefault="00295ED2" w:rsidP="00295ED2">
            <w:pPr>
              <w:pStyle w:val="TableText"/>
              <w:rPr>
                <w:vertAlign w:val="superscript"/>
              </w:rPr>
            </w:pPr>
            <w:r>
              <w:t>Validation costs</w:t>
            </w:r>
          </w:p>
        </w:tc>
        <w:tc>
          <w:tcPr>
            <w:tcW w:w="731" w:type="pct"/>
            <w:vAlign w:val="bottom"/>
          </w:tcPr>
          <w:p w14:paraId="68001745" w14:textId="07DC6299" w:rsidR="00295ED2" w:rsidRPr="0019724D" w:rsidRDefault="0061682C" w:rsidP="00295ED2">
            <w:pPr>
              <w:pStyle w:val="TableText"/>
              <w:jc w:val="right"/>
              <w:rPr>
                <w:highlight w:val="yellow"/>
              </w:rPr>
            </w:pPr>
            <w:r w:rsidRPr="7C4E3BA4">
              <w:t>$</w:t>
            </w:r>
            <w:r w:rsidRPr="008D1385">
              <w:rPr>
                <w:rFonts w:cs="Courier New"/>
                <w:b/>
                <w:szCs w:val="20"/>
              </w:rPr>
              <w:t>Redacted</w:t>
            </w:r>
          </w:p>
        </w:tc>
        <w:tc>
          <w:tcPr>
            <w:tcW w:w="730" w:type="pct"/>
            <w:vAlign w:val="bottom"/>
          </w:tcPr>
          <w:p w14:paraId="6689AAA0" w14:textId="3CEDDB48" w:rsidR="00295ED2" w:rsidRPr="0019724D" w:rsidRDefault="0061682C" w:rsidP="00295ED2">
            <w:pPr>
              <w:pStyle w:val="TableText"/>
              <w:jc w:val="right"/>
              <w:rPr>
                <w:highlight w:val="yellow"/>
              </w:rPr>
            </w:pPr>
            <w:r w:rsidRPr="00D872DA">
              <w:t>$</w:t>
            </w:r>
            <w:r w:rsidRPr="008D12FB">
              <w:rPr>
                <w:b/>
                <w:bCs/>
              </w:rPr>
              <w:t>Redacted</w:t>
            </w:r>
          </w:p>
        </w:tc>
        <w:tc>
          <w:tcPr>
            <w:tcW w:w="730" w:type="pct"/>
            <w:vAlign w:val="bottom"/>
          </w:tcPr>
          <w:p w14:paraId="4A639FEE" w14:textId="48D05050" w:rsidR="00295ED2" w:rsidRPr="0019724D" w:rsidRDefault="0061682C" w:rsidP="00295ED2">
            <w:pPr>
              <w:pStyle w:val="TableText"/>
              <w:jc w:val="right"/>
              <w:rPr>
                <w:highlight w:val="yellow"/>
              </w:rPr>
            </w:pPr>
            <w:r w:rsidRPr="00D872DA">
              <w:t>$</w:t>
            </w:r>
            <w:r w:rsidRPr="008D12FB">
              <w:rPr>
                <w:b/>
                <w:bCs/>
              </w:rPr>
              <w:t>Redacted</w:t>
            </w:r>
          </w:p>
        </w:tc>
        <w:tc>
          <w:tcPr>
            <w:tcW w:w="730" w:type="pct"/>
            <w:vAlign w:val="bottom"/>
          </w:tcPr>
          <w:p w14:paraId="6AFB4533" w14:textId="7AA5E374" w:rsidR="00295ED2" w:rsidRPr="0019724D" w:rsidRDefault="0061682C" w:rsidP="00295ED2">
            <w:pPr>
              <w:pStyle w:val="TableText"/>
              <w:jc w:val="right"/>
              <w:rPr>
                <w:highlight w:val="yellow"/>
              </w:rPr>
            </w:pPr>
            <w:r w:rsidRPr="00D872DA">
              <w:t>$</w:t>
            </w:r>
            <w:r w:rsidRPr="008D12FB">
              <w:rPr>
                <w:b/>
                <w:bCs/>
              </w:rPr>
              <w:t>Redacted</w:t>
            </w:r>
          </w:p>
        </w:tc>
        <w:tc>
          <w:tcPr>
            <w:tcW w:w="729" w:type="pct"/>
            <w:vAlign w:val="bottom"/>
          </w:tcPr>
          <w:p w14:paraId="449AAA44" w14:textId="16415C47" w:rsidR="00295ED2" w:rsidRPr="0019724D" w:rsidRDefault="0061682C" w:rsidP="00295ED2">
            <w:pPr>
              <w:pStyle w:val="TableText"/>
              <w:jc w:val="right"/>
              <w:rPr>
                <w:highlight w:val="yellow"/>
              </w:rPr>
            </w:pPr>
            <w:r w:rsidRPr="00D872DA">
              <w:t>$</w:t>
            </w:r>
            <w:r w:rsidRPr="008D12FB">
              <w:rPr>
                <w:b/>
                <w:bCs/>
              </w:rPr>
              <w:t>Redacted</w:t>
            </w:r>
          </w:p>
        </w:tc>
      </w:tr>
      <w:tr w:rsidR="004234DB" w:rsidRPr="00496C73" w14:paraId="0DAF0008" w14:textId="77777777" w:rsidTr="006B5B78">
        <w:tc>
          <w:tcPr>
            <w:tcW w:w="1350" w:type="pct"/>
            <w:tcBorders>
              <w:bottom w:val="single" w:sz="4" w:space="0" w:color="auto"/>
            </w:tcBorders>
          </w:tcPr>
          <w:p w14:paraId="40EDC22B" w14:textId="77777777" w:rsidR="004234DB" w:rsidRPr="00496C73" w:rsidRDefault="004234DB" w:rsidP="002207EE">
            <w:pPr>
              <w:pStyle w:val="TableText"/>
            </w:pPr>
            <w:r w:rsidRPr="00496C73">
              <w:t>Total implementation cost per site</w:t>
            </w:r>
          </w:p>
        </w:tc>
        <w:tc>
          <w:tcPr>
            <w:tcW w:w="731" w:type="pct"/>
            <w:tcBorders>
              <w:bottom w:val="single" w:sz="4" w:space="0" w:color="auto"/>
            </w:tcBorders>
            <w:vAlign w:val="bottom"/>
          </w:tcPr>
          <w:p w14:paraId="7C3EC528" w14:textId="49260F50" w:rsidR="004234DB" w:rsidRPr="0019724D" w:rsidRDefault="0061682C" w:rsidP="002207EE">
            <w:pPr>
              <w:pStyle w:val="TableText"/>
              <w:jc w:val="right"/>
              <w:rPr>
                <w:highlight w:val="yellow"/>
              </w:rPr>
            </w:pPr>
            <w:r w:rsidRPr="7C4E3BA4">
              <w:t>$</w:t>
            </w:r>
            <w:r w:rsidRPr="008D1385">
              <w:rPr>
                <w:rFonts w:cs="Courier New"/>
                <w:b/>
                <w:szCs w:val="20"/>
              </w:rPr>
              <w:t>Redacted</w:t>
            </w:r>
          </w:p>
        </w:tc>
        <w:tc>
          <w:tcPr>
            <w:tcW w:w="730" w:type="pct"/>
            <w:tcBorders>
              <w:bottom w:val="single" w:sz="4" w:space="0" w:color="auto"/>
            </w:tcBorders>
            <w:vAlign w:val="bottom"/>
          </w:tcPr>
          <w:p w14:paraId="0F1E920F" w14:textId="5DEABDB3" w:rsidR="004234DB" w:rsidRPr="0019724D" w:rsidRDefault="0061682C" w:rsidP="002207EE">
            <w:pPr>
              <w:pStyle w:val="TableText"/>
              <w:jc w:val="right"/>
              <w:rPr>
                <w:highlight w:val="yellow"/>
              </w:rPr>
            </w:pPr>
            <w:r w:rsidRPr="00D872DA">
              <w:t>$</w:t>
            </w:r>
            <w:r w:rsidRPr="008D12FB">
              <w:rPr>
                <w:b/>
                <w:bCs/>
              </w:rPr>
              <w:t>Redacted</w:t>
            </w:r>
          </w:p>
        </w:tc>
        <w:tc>
          <w:tcPr>
            <w:tcW w:w="730" w:type="pct"/>
            <w:tcBorders>
              <w:bottom w:val="single" w:sz="4" w:space="0" w:color="auto"/>
            </w:tcBorders>
            <w:vAlign w:val="bottom"/>
          </w:tcPr>
          <w:p w14:paraId="22D60D1D" w14:textId="69D19900" w:rsidR="004234DB" w:rsidRPr="0019724D" w:rsidRDefault="0061682C" w:rsidP="002207EE">
            <w:pPr>
              <w:pStyle w:val="TableText"/>
              <w:jc w:val="right"/>
              <w:rPr>
                <w:highlight w:val="yellow"/>
              </w:rPr>
            </w:pPr>
            <w:r w:rsidRPr="00D872DA">
              <w:t>$</w:t>
            </w:r>
            <w:r w:rsidRPr="008D12FB">
              <w:rPr>
                <w:b/>
                <w:bCs/>
              </w:rPr>
              <w:t>Redacted</w:t>
            </w:r>
          </w:p>
        </w:tc>
        <w:tc>
          <w:tcPr>
            <w:tcW w:w="730" w:type="pct"/>
            <w:tcBorders>
              <w:bottom w:val="single" w:sz="4" w:space="0" w:color="auto"/>
            </w:tcBorders>
            <w:vAlign w:val="bottom"/>
          </w:tcPr>
          <w:p w14:paraId="08C1C5D7" w14:textId="53CA464D" w:rsidR="004234DB" w:rsidRPr="0019724D" w:rsidRDefault="0061682C" w:rsidP="002207EE">
            <w:pPr>
              <w:pStyle w:val="TableText"/>
              <w:jc w:val="right"/>
              <w:rPr>
                <w:highlight w:val="yellow"/>
              </w:rPr>
            </w:pPr>
            <w:r w:rsidRPr="00D872DA">
              <w:t>$</w:t>
            </w:r>
            <w:r w:rsidRPr="008D12FB">
              <w:rPr>
                <w:b/>
                <w:bCs/>
              </w:rPr>
              <w:t>Redacted</w:t>
            </w:r>
          </w:p>
        </w:tc>
        <w:tc>
          <w:tcPr>
            <w:tcW w:w="729" w:type="pct"/>
            <w:vAlign w:val="bottom"/>
          </w:tcPr>
          <w:p w14:paraId="0CCF7458" w14:textId="6A3915BE" w:rsidR="004234DB" w:rsidRPr="0019724D" w:rsidRDefault="0061682C" w:rsidP="002207EE">
            <w:pPr>
              <w:pStyle w:val="TableText"/>
              <w:jc w:val="right"/>
              <w:rPr>
                <w:highlight w:val="yellow"/>
              </w:rPr>
            </w:pPr>
            <w:r w:rsidRPr="00D872DA">
              <w:t>$</w:t>
            </w:r>
            <w:r w:rsidRPr="008D12FB">
              <w:rPr>
                <w:b/>
                <w:bCs/>
              </w:rPr>
              <w:t>Redacted</w:t>
            </w:r>
          </w:p>
        </w:tc>
      </w:tr>
      <w:tr w:rsidR="004234DB" w:rsidRPr="00496C73" w14:paraId="43717CFA" w14:textId="77777777" w:rsidTr="006B5B78">
        <w:tc>
          <w:tcPr>
            <w:tcW w:w="2081" w:type="pct"/>
            <w:gridSpan w:val="2"/>
            <w:tcBorders>
              <w:right w:val="nil"/>
            </w:tcBorders>
          </w:tcPr>
          <w:p w14:paraId="0DA0DEE4" w14:textId="77777777" w:rsidR="004234DB" w:rsidRPr="00496C73" w:rsidRDefault="004234DB" w:rsidP="002207EE">
            <w:pPr>
              <w:pStyle w:val="TableText"/>
              <w:rPr>
                <w:b/>
                <w:bCs/>
              </w:rPr>
            </w:pPr>
            <w:r w:rsidRPr="00496C73">
              <w:rPr>
                <w:b/>
                <w:bCs/>
              </w:rPr>
              <w:t>Total implementation cost to NBS</w:t>
            </w:r>
          </w:p>
        </w:tc>
        <w:tc>
          <w:tcPr>
            <w:tcW w:w="730" w:type="pct"/>
            <w:tcBorders>
              <w:left w:val="nil"/>
              <w:right w:val="nil"/>
            </w:tcBorders>
          </w:tcPr>
          <w:p w14:paraId="6F939C34" w14:textId="77777777" w:rsidR="004234DB" w:rsidRPr="00496C73" w:rsidRDefault="004234DB" w:rsidP="002207EE">
            <w:pPr>
              <w:pStyle w:val="TableText"/>
              <w:jc w:val="right"/>
              <w:rPr>
                <w:b/>
                <w:bCs/>
              </w:rPr>
            </w:pPr>
          </w:p>
        </w:tc>
        <w:tc>
          <w:tcPr>
            <w:tcW w:w="730" w:type="pct"/>
            <w:tcBorders>
              <w:left w:val="nil"/>
              <w:right w:val="nil"/>
            </w:tcBorders>
          </w:tcPr>
          <w:p w14:paraId="0CDC6CC2" w14:textId="77777777" w:rsidR="004234DB" w:rsidRPr="00496C73" w:rsidRDefault="004234DB" w:rsidP="002207EE">
            <w:pPr>
              <w:pStyle w:val="TableText"/>
              <w:jc w:val="right"/>
              <w:rPr>
                <w:b/>
                <w:bCs/>
              </w:rPr>
            </w:pPr>
          </w:p>
        </w:tc>
        <w:tc>
          <w:tcPr>
            <w:tcW w:w="730" w:type="pct"/>
            <w:tcBorders>
              <w:left w:val="nil"/>
            </w:tcBorders>
          </w:tcPr>
          <w:p w14:paraId="7F44F74F" w14:textId="77777777" w:rsidR="004234DB" w:rsidRPr="00496C73" w:rsidRDefault="004234DB" w:rsidP="002207EE">
            <w:pPr>
              <w:pStyle w:val="TableText"/>
              <w:jc w:val="right"/>
              <w:rPr>
                <w:b/>
                <w:bCs/>
              </w:rPr>
            </w:pPr>
          </w:p>
        </w:tc>
        <w:tc>
          <w:tcPr>
            <w:tcW w:w="729" w:type="pct"/>
            <w:vAlign w:val="bottom"/>
          </w:tcPr>
          <w:p w14:paraId="13D091AE" w14:textId="54D6F29E" w:rsidR="004234DB" w:rsidRPr="00496C73" w:rsidRDefault="0061682C" w:rsidP="002207EE">
            <w:pPr>
              <w:spacing w:before="0"/>
              <w:jc w:val="right"/>
              <w:rPr>
                <w:rFonts w:ascii="Arial Narrow" w:hAnsi="Arial Narrow"/>
                <w:b/>
                <w:color w:val="000000"/>
                <w:sz w:val="20"/>
                <w:szCs w:val="20"/>
              </w:rPr>
            </w:pPr>
            <w:r w:rsidRPr="0061682C">
              <w:rPr>
                <w:rFonts w:ascii="Arial Narrow" w:hAnsi="Arial Narrow"/>
                <w:b/>
                <w:bCs/>
                <w:color w:val="000000"/>
                <w:sz w:val="20"/>
                <w:szCs w:val="20"/>
              </w:rPr>
              <w:t>$Redacted</w:t>
            </w:r>
          </w:p>
        </w:tc>
      </w:tr>
    </w:tbl>
    <w:p w14:paraId="73D46892" w14:textId="77777777" w:rsidR="00554A80" w:rsidRDefault="00357FEF" w:rsidP="00B8514E">
      <w:pPr>
        <w:pStyle w:val="TableFigureFooter"/>
      </w:pPr>
      <w:r>
        <w:t>MPS II = mucopolysaccharidosis Type II; NBS = newborn bloodspot screening; NT = Northen Territory; QLD = Queensland; SA = South Australia; WA = Western Australia</w:t>
      </w:r>
    </w:p>
    <w:p w14:paraId="36BC9C81" w14:textId="545EB0B4" w:rsidR="004234DB" w:rsidRPr="00496C73" w:rsidRDefault="0DEEA3CA" w:rsidP="00B8514E">
      <w:pPr>
        <w:pStyle w:val="TableFigureFooter"/>
      </w:pPr>
      <w:r w:rsidRPr="7C4E3BA4">
        <w:rPr>
          <w:vertAlign w:val="superscript"/>
        </w:rPr>
        <w:t>a</w:t>
      </w:r>
      <w:r w:rsidR="00EFF0B2" w:rsidRPr="7C4E3BA4">
        <w:rPr>
          <w:vertAlign w:val="superscript"/>
        </w:rPr>
        <w:t xml:space="preserve"> </w:t>
      </w:r>
      <w:r w:rsidR="00EFF0B2" w:rsidRPr="7C4E3BA4">
        <w:t>Estimates for laboratory expansion were only provided by the WA and QLD NBS laboratory experts. For other NBS programs costs were these were assumed to be similar to WA and QLD based on the volume of tests run.</w:t>
      </w:r>
    </w:p>
    <w:p w14:paraId="7CCCD741" w14:textId="3DB0AFE5" w:rsidR="007F745D" w:rsidRPr="00A11C08" w:rsidRDefault="1254D40E" w:rsidP="00B8514E">
      <w:pPr>
        <w:pStyle w:val="TableFigureFooter"/>
      </w:pPr>
      <w:r w:rsidRPr="7C4E3BA4">
        <w:rPr>
          <w:vertAlign w:val="superscript"/>
        </w:rPr>
        <w:t>b</w:t>
      </w:r>
      <w:r w:rsidR="00EFF0B2" w:rsidRPr="7C4E3BA4">
        <w:t xml:space="preserve"> As per NBS laboratory expert advice validation costs for reagent/kit is generally one-third of the annual cost of reagents for each lab. These were estimated using use and cost </w:t>
      </w:r>
      <w:r w:rsidR="00EFF0B2" w:rsidRPr="001A1F15">
        <w:t>of</w:t>
      </w:r>
      <w:r w:rsidR="001A1F15">
        <w:t xml:space="preserve"> </w:t>
      </w:r>
      <w:r w:rsidR="00EF62F9" w:rsidRPr="001A1F15">
        <w:rPr>
          <w:b/>
        </w:rPr>
        <w:t>R</w:t>
      </w:r>
      <w:r w:rsidR="00EF62F9" w:rsidRPr="123CA5DF">
        <w:rPr>
          <w:b/>
        </w:rPr>
        <w:t>EDACTED</w:t>
      </w:r>
      <w:r w:rsidR="00EFF0B2" w:rsidRPr="00EF62F9">
        <w:t xml:space="preserve"> and</w:t>
      </w:r>
      <w:r w:rsidR="00EFF0B2" w:rsidRPr="7C4E3BA4">
        <w:t xml:space="preserve"> projected live births for each state/territory ending June 2026 based on ABS population projections and registered births data</w:t>
      </w:r>
      <w:r w:rsidR="00F83A14" w:rsidRPr="7C4E3BA4">
        <w:rPr>
          <w:rStyle w:val="FootnoteReference"/>
        </w:rPr>
        <w:footnoteReference w:id="40"/>
      </w:r>
      <w:r w:rsidR="00ED7542">
        <w:t>.</w:t>
      </w:r>
      <w:r w:rsidR="44D166ED" w:rsidRPr="7C4E3BA4">
        <w:t xml:space="preserve"> </w:t>
      </w:r>
      <w:r w:rsidR="00EFF0B2" w:rsidRPr="7C4E3BA4">
        <w:t>Staff costs associated with validation process were only provided by QLD NBS laboratory. Based on this information it was assumed that at least two months of staff-time would be required for a validation process.</w:t>
      </w:r>
    </w:p>
    <w:p w14:paraId="596AC303" w14:textId="77777777" w:rsidR="007F745D" w:rsidRPr="00492AB6" w:rsidRDefault="007F745D" w:rsidP="007F745D">
      <w:pPr>
        <w:rPr>
          <w:u w:val="single"/>
        </w:rPr>
      </w:pPr>
      <w:r w:rsidRPr="00492AB6">
        <w:rPr>
          <w:u w:val="single"/>
        </w:rPr>
        <w:t>Cost to NBS program</w:t>
      </w:r>
      <w:r>
        <w:rPr>
          <w:u w:val="single"/>
        </w:rPr>
        <w:t>s</w:t>
      </w:r>
    </w:p>
    <w:p w14:paraId="6FC8213B" w14:textId="3E47E36B" w:rsidR="007F745D" w:rsidRDefault="6AF3B61F" w:rsidP="007F745D">
      <w:r w:rsidRPr="7C4E3BA4">
        <w:t xml:space="preserve">The financial implications to the NBS programs resulting from the proposed inclusion of MPS </w:t>
      </w:r>
      <w:r w:rsidR="26C0325C" w:rsidRPr="7C4E3BA4">
        <w:t>I</w:t>
      </w:r>
      <w:r w:rsidRPr="7C4E3BA4">
        <w:t>I on the NBS panel were summarised in</w:t>
      </w:r>
      <w:r w:rsidR="26C0325C" w:rsidRPr="7C4E3BA4">
        <w:t xml:space="preserve"> </w:t>
      </w:r>
      <w:r w:rsidR="007F745D">
        <w:fldChar w:fldCharType="begin"/>
      </w:r>
      <w:r w:rsidR="007F745D">
        <w:instrText xml:space="preserve"> REF _Ref181713326 \h </w:instrText>
      </w:r>
      <w:r w:rsidR="007F745D">
        <w:fldChar w:fldCharType="separate"/>
      </w:r>
      <w:r w:rsidR="007F08FA" w:rsidDel="009D183F">
        <w:t xml:space="preserve">Table </w:t>
      </w:r>
      <w:r w:rsidR="00797B68" w:rsidDel="009D183F">
        <w:rPr>
          <w:noProof/>
        </w:rPr>
        <w:t>15</w:t>
      </w:r>
      <w:r w:rsidR="007F745D">
        <w:fldChar w:fldCharType="end"/>
      </w:r>
      <w:r w:rsidRPr="7C4E3BA4">
        <w:t xml:space="preserve">. The total cost to NBS programs for the addition of MPS </w:t>
      </w:r>
      <w:r w:rsidR="26C0325C" w:rsidRPr="7C4E3BA4">
        <w:t>I</w:t>
      </w:r>
      <w:r w:rsidRPr="7C4E3BA4">
        <w:t xml:space="preserve">I was </w:t>
      </w:r>
      <w:r w:rsidRPr="00D872DA">
        <w:t>$</w:t>
      </w:r>
      <w:r w:rsidR="00E76D2C" w:rsidRPr="00005B99">
        <w:rPr>
          <w:b/>
          <w:bCs/>
        </w:rPr>
        <w:t>REDACTED</w:t>
      </w:r>
      <w:r w:rsidR="00E76D2C">
        <w:rPr>
          <w:b/>
          <w:bCs/>
        </w:rPr>
        <w:t xml:space="preserve"> </w:t>
      </w:r>
      <w:r w:rsidRPr="7C4E3BA4">
        <w:t>in the first financial year</w:t>
      </w:r>
      <w:r w:rsidR="76FD7443" w:rsidRPr="7C4E3BA4">
        <w:t>,</w:t>
      </w:r>
      <w:r w:rsidRPr="7C4E3BA4">
        <w:t xml:space="preserve"> including one-off implementation set-up costs. The total cost to NBS programs for years 2–6 was approximately $</w:t>
      </w:r>
      <w:r w:rsidR="00E76D2C" w:rsidRPr="00005B99">
        <w:rPr>
          <w:b/>
          <w:bCs/>
        </w:rPr>
        <w:t>REDACTED</w:t>
      </w:r>
      <w:r w:rsidR="00E76D2C">
        <w:rPr>
          <w:b/>
          <w:bCs/>
        </w:rPr>
        <w:t xml:space="preserve"> </w:t>
      </w:r>
      <w:r w:rsidRPr="7C4E3BA4">
        <w:t>annually.</w:t>
      </w:r>
    </w:p>
    <w:p w14:paraId="6BAFB7C9" w14:textId="0FCA5361" w:rsidR="00036FFC" w:rsidRDefault="0099652E" w:rsidP="0099652E">
      <w:pPr>
        <w:pStyle w:val="Caption"/>
      </w:pPr>
      <w:bookmarkStart w:id="57" w:name="_Ref181713326"/>
      <w:r>
        <w:lastRenderedPageBreak/>
        <w:t xml:space="preserve">Table </w:t>
      </w:r>
      <w:r w:rsidR="009D183F">
        <w:fldChar w:fldCharType="begin"/>
      </w:r>
      <w:r w:rsidR="009D183F">
        <w:instrText xml:space="preserve"> SEQ Table \* ARABIC </w:instrText>
      </w:r>
      <w:r w:rsidR="009D183F">
        <w:fldChar w:fldCharType="separate"/>
      </w:r>
      <w:r w:rsidR="009D183F">
        <w:rPr>
          <w:noProof/>
        </w:rPr>
        <w:t>15</w:t>
      </w:r>
      <w:r w:rsidR="009D183F">
        <w:rPr>
          <w:noProof/>
        </w:rPr>
        <w:fldChar w:fldCharType="end"/>
      </w:r>
      <w:bookmarkEnd w:id="57"/>
      <w:r w:rsidR="007870FF">
        <w:tab/>
        <w:t>Financial impact to the Newborn Bloodspot Screening Program of adding MPS II</w:t>
      </w:r>
    </w:p>
    <w:tbl>
      <w:tblPr>
        <w:tblStyle w:val="TableGrid"/>
        <w:tblW w:w="0" w:type="auto"/>
        <w:tblLayout w:type="fixed"/>
        <w:tblLook w:val="04A0" w:firstRow="1" w:lastRow="0" w:firstColumn="1" w:lastColumn="0" w:noHBand="0" w:noVBand="1"/>
        <w:tblCaption w:val="Net financial impact to the Newborn Bloodspot Screening Program"/>
        <w:tblDescription w:val="Net financial impact to the Newborn Bloodspot Screening Program"/>
      </w:tblPr>
      <w:tblGrid>
        <w:gridCol w:w="2122"/>
        <w:gridCol w:w="1149"/>
        <w:gridCol w:w="1149"/>
        <w:gridCol w:w="1149"/>
        <w:gridCol w:w="1149"/>
        <w:gridCol w:w="1149"/>
        <w:gridCol w:w="1149"/>
      </w:tblGrid>
      <w:tr w:rsidR="00D94F46" w:rsidRPr="00496C73" w14:paraId="1A3288C6" w14:textId="77777777" w:rsidTr="7C4E3BA4">
        <w:tc>
          <w:tcPr>
            <w:tcW w:w="2122" w:type="dxa"/>
          </w:tcPr>
          <w:p w14:paraId="4F2A94D4" w14:textId="77777777" w:rsidR="00D94F46" w:rsidRPr="00496C73" w:rsidRDefault="00D94F46" w:rsidP="0099652E">
            <w:pPr>
              <w:pStyle w:val="In-tableHeading"/>
              <w:rPr>
                <w:lang w:val="en-AU"/>
              </w:rPr>
            </w:pPr>
          </w:p>
        </w:tc>
        <w:tc>
          <w:tcPr>
            <w:tcW w:w="1149" w:type="dxa"/>
          </w:tcPr>
          <w:p w14:paraId="2F9C57C4" w14:textId="77777777" w:rsidR="00D94F46" w:rsidRPr="00496C73" w:rsidRDefault="00D94F46" w:rsidP="0099652E">
            <w:pPr>
              <w:pStyle w:val="In-tableHeading"/>
              <w:jc w:val="right"/>
              <w:rPr>
                <w:lang w:val="en-AU"/>
              </w:rPr>
            </w:pPr>
            <w:r w:rsidRPr="00496C73">
              <w:rPr>
                <w:lang w:val="en-AU"/>
              </w:rPr>
              <w:t>2025−26</w:t>
            </w:r>
          </w:p>
        </w:tc>
        <w:tc>
          <w:tcPr>
            <w:tcW w:w="1149" w:type="dxa"/>
          </w:tcPr>
          <w:p w14:paraId="1BDFD060" w14:textId="77777777" w:rsidR="00D94F46" w:rsidRPr="00496C73" w:rsidRDefault="00D94F46" w:rsidP="0099652E">
            <w:pPr>
              <w:pStyle w:val="In-tableHeading"/>
              <w:jc w:val="right"/>
              <w:rPr>
                <w:lang w:val="en-AU"/>
              </w:rPr>
            </w:pPr>
            <w:r w:rsidRPr="00496C73">
              <w:rPr>
                <w:lang w:val="en-AU"/>
              </w:rPr>
              <w:t>2026−27</w:t>
            </w:r>
          </w:p>
        </w:tc>
        <w:tc>
          <w:tcPr>
            <w:tcW w:w="1149" w:type="dxa"/>
          </w:tcPr>
          <w:p w14:paraId="7449A201" w14:textId="77777777" w:rsidR="00D94F46" w:rsidRPr="00496C73" w:rsidRDefault="00D94F46" w:rsidP="0099652E">
            <w:pPr>
              <w:pStyle w:val="In-tableHeading"/>
              <w:jc w:val="right"/>
              <w:rPr>
                <w:lang w:val="en-AU"/>
              </w:rPr>
            </w:pPr>
            <w:r w:rsidRPr="00496C73">
              <w:rPr>
                <w:lang w:val="en-AU"/>
              </w:rPr>
              <w:t>2027−28</w:t>
            </w:r>
          </w:p>
        </w:tc>
        <w:tc>
          <w:tcPr>
            <w:tcW w:w="1149" w:type="dxa"/>
          </w:tcPr>
          <w:p w14:paraId="47D8E3DE" w14:textId="77777777" w:rsidR="00D94F46" w:rsidRPr="00496C73" w:rsidRDefault="00D94F46" w:rsidP="0099652E">
            <w:pPr>
              <w:pStyle w:val="In-tableHeading"/>
              <w:jc w:val="right"/>
              <w:rPr>
                <w:lang w:val="en-AU"/>
              </w:rPr>
            </w:pPr>
            <w:r w:rsidRPr="00496C73">
              <w:rPr>
                <w:lang w:val="en-AU"/>
              </w:rPr>
              <w:t>2028−29</w:t>
            </w:r>
          </w:p>
        </w:tc>
        <w:tc>
          <w:tcPr>
            <w:tcW w:w="1149" w:type="dxa"/>
          </w:tcPr>
          <w:p w14:paraId="66AA9DE1" w14:textId="77777777" w:rsidR="00D94F46" w:rsidRPr="00496C73" w:rsidRDefault="00D94F46" w:rsidP="0099652E">
            <w:pPr>
              <w:pStyle w:val="In-tableHeading"/>
              <w:jc w:val="right"/>
              <w:rPr>
                <w:lang w:val="en-AU"/>
              </w:rPr>
            </w:pPr>
            <w:r w:rsidRPr="00496C73">
              <w:rPr>
                <w:lang w:val="en-AU"/>
              </w:rPr>
              <w:t>2029−30</w:t>
            </w:r>
          </w:p>
        </w:tc>
        <w:tc>
          <w:tcPr>
            <w:tcW w:w="1149" w:type="dxa"/>
          </w:tcPr>
          <w:p w14:paraId="3A779F99" w14:textId="77777777" w:rsidR="00D94F46" w:rsidRPr="00496C73" w:rsidRDefault="00D94F46" w:rsidP="0099652E">
            <w:pPr>
              <w:pStyle w:val="In-tableHeading"/>
              <w:jc w:val="right"/>
              <w:rPr>
                <w:lang w:val="en-AU"/>
              </w:rPr>
            </w:pPr>
            <w:r w:rsidRPr="00496C73">
              <w:rPr>
                <w:lang w:val="en-AU"/>
              </w:rPr>
              <w:t>2030−31</w:t>
            </w:r>
          </w:p>
        </w:tc>
      </w:tr>
      <w:tr w:rsidR="00D94F46" w:rsidRPr="00496C73" w14:paraId="282F32CC" w14:textId="77777777" w:rsidTr="7C4E3BA4">
        <w:tc>
          <w:tcPr>
            <w:tcW w:w="2122" w:type="dxa"/>
          </w:tcPr>
          <w:p w14:paraId="1FB5E5C1" w14:textId="77777777" w:rsidR="00D94F46" w:rsidRPr="00496C73" w:rsidRDefault="00D94F46" w:rsidP="0099652E">
            <w:pPr>
              <w:pStyle w:val="In-tableHeading"/>
              <w:rPr>
                <w:b w:val="0"/>
                <w:bCs/>
                <w:lang w:val="en-AU"/>
              </w:rPr>
            </w:pPr>
            <w:r w:rsidRPr="00496C73">
              <w:rPr>
                <w:b w:val="0"/>
                <w:bCs/>
                <w:lang w:val="en-AU"/>
              </w:rPr>
              <w:t xml:space="preserve">Program implementation </w:t>
            </w:r>
            <w:r w:rsidRPr="00496C73">
              <w:rPr>
                <w:b w:val="0"/>
                <w:lang w:val="en-AU"/>
              </w:rPr>
              <w:t xml:space="preserve">set-up </w:t>
            </w:r>
            <w:r w:rsidRPr="00496C73">
              <w:rPr>
                <w:b w:val="0"/>
                <w:bCs/>
                <w:lang w:val="en-AU"/>
              </w:rPr>
              <w:t>costs for MPS II</w:t>
            </w:r>
          </w:p>
        </w:tc>
        <w:tc>
          <w:tcPr>
            <w:tcW w:w="1149" w:type="dxa"/>
            <w:vAlign w:val="bottom"/>
          </w:tcPr>
          <w:p w14:paraId="203BDE14" w14:textId="13B9129D" w:rsidR="00D94F46" w:rsidRPr="00266C75" w:rsidRDefault="0061682C" w:rsidP="0099652E">
            <w:pPr>
              <w:keepNext/>
              <w:spacing w:before="0"/>
              <w:jc w:val="right"/>
              <w:rPr>
                <w:rFonts w:ascii="Arial Narrow" w:hAnsi="Arial Narrow"/>
                <w:color w:val="000000"/>
                <w:sz w:val="20"/>
                <w:szCs w:val="20"/>
              </w:rPr>
            </w:pPr>
            <w:r w:rsidRPr="0061682C">
              <w:rPr>
                <w:rFonts w:ascii="Arial Narrow" w:hAnsi="Arial Narrow"/>
                <w:color w:val="000000"/>
                <w:sz w:val="20"/>
                <w:szCs w:val="20"/>
              </w:rPr>
              <w:t>$</w:t>
            </w:r>
            <w:r w:rsidRPr="00011DA9">
              <w:rPr>
                <w:rFonts w:ascii="Arial Narrow" w:hAnsi="Arial Narrow"/>
                <w:b/>
                <w:bCs/>
                <w:color w:val="000000"/>
                <w:sz w:val="20"/>
                <w:szCs w:val="20"/>
              </w:rPr>
              <w:t>Redacted</w:t>
            </w:r>
          </w:p>
        </w:tc>
        <w:tc>
          <w:tcPr>
            <w:tcW w:w="1149" w:type="dxa"/>
            <w:vAlign w:val="bottom"/>
          </w:tcPr>
          <w:p w14:paraId="33C36B40" w14:textId="77777777" w:rsidR="00D94F46" w:rsidRPr="00496C73" w:rsidRDefault="00D94F46" w:rsidP="0099652E">
            <w:pPr>
              <w:pStyle w:val="In-tableHeading"/>
              <w:jc w:val="right"/>
              <w:rPr>
                <w:b w:val="0"/>
                <w:bCs/>
                <w:lang w:val="en-AU"/>
              </w:rPr>
            </w:pPr>
            <w:r w:rsidRPr="00496C73">
              <w:rPr>
                <w:b w:val="0"/>
                <w:bCs/>
                <w:lang w:val="en-AU"/>
              </w:rPr>
              <w:t>–</w:t>
            </w:r>
          </w:p>
        </w:tc>
        <w:tc>
          <w:tcPr>
            <w:tcW w:w="1149" w:type="dxa"/>
            <w:vAlign w:val="bottom"/>
          </w:tcPr>
          <w:p w14:paraId="6AF642C0" w14:textId="77777777" w:rsidR="00D94F46" w:rsidRPr="00496C73" w:rsidRDefault="00D94F46" w:rsidP="0099652E">
            <w:pPr>
              <w:pStyle w:val="In-tableHeading"/>
              <w:jc w:val="right"/>
              <w:rPr>
                <w:b w:val="0"/>
                <w:bCs/>
                <w:lang w:val="en-AU"/>
              </w:rPr>
            </w:pPr>
            <w:r w:rsidRPr="00496C73">
              <w:rPr>
                <w:b w:val="0"/>
                <w:bCs/>
                <w:lang w:val="en-AU"/>
              </w:rPr>
              <w:t>–</w:t>
            </w:r>
          </w:p>
        </w:tc>
        <w:tc>
          <w:tcPr>
            <w:tcW w:w="1149" w:type="dxa"/>
            <w:vAlign w:val="bottom"/>
          </w:tcPr>
          <w:p w14:paraId="046BAB0D" w14:textId="77777777" w:rsidR="00D94F46" w:rsidRPr="00496C73" w:rsidRDefault="00D94F46" w:rsidP="0099652E">
            <w:pPr>
              <w:pStyle w:val="In-tableHeading"/>
              <w:jc w:val="right"/>
              <w:rPr>
                <w:b w:val="0"/>
                <w:bCs/>
                <w:lang w:val="en-AU"/>
              </w:rPr>
            </w:pPr>
            <w:r w:rsidRPr="00496C73">
              <w:rPr>
                <w:b w:val="0"/>
                <w:bCs/>
                <w:lang w:val="en-AU"/>
              </w:rPr>
              <w:t>–</w:t>
            </w:r>
          </w:p>
        </w:tc>
        <w:tc>
          <w:tcPr>
            <w:tcW w:w="1149" w:type="dxa"/>
            <w:vAlign w:val="bottom"/>
          </w:tcPr>
          <w:p w14:paraId="318DC965" w14:textId="77777777" w:rsidR="00D94F46" w:rsidRPr="00496C73" w:rsidRDefault="00D94F46" w:rsidP="0099652E">
            <w:pPr>
              <w:pStyle w:val="In-tableHeading"/>
              <w:jc w:val="right"/>
              <w:rPr>
                <w:b w:val="0"/>
                <w:bCs/>
                <w:lang w:val="en-AU"/>
              </w:rPr>
            </w:pPr>
            <w:r w:rsidRPr="00496C73">
              <w:rPr>
                <w:b w:val="0"/>
                <w:bCs/>
                <w:lang w:val="en-AU"/>
              </w:rPr>
              <w:t>–</w:t>
            </w:r>
          </w:p>
        </w:tc>
        <w:tc>
          <w:tcPr>
            <w:tcW w:w="1149" w:type="dxa"/>
            <w:vAlign w:val="bottom"/>
          </w:tcPr>
          <w:p w14:paraId="2773FFF5" w14:textId="77777777" w:rsidR="00D94F46" w:rsidRPr="00496C73" w:rsidRDefault="00D94F46" w:rsidP="0099652E">
            <w:pPr>
              <w:pStyle w:val="In-tableHeading"/>
              <w:jc w:val="right"/>
              <w:rPr>
                <w:b w:val="0"/>
                <w:bCs/>
                <w:lang w:val="en-AU"/>
              </w:rPr>
            </w:pPr>
            <w:r w:rsidRPr="00496C73">
              <w:rPr>
                <w:b w:val="0"/>
                <w:bCs/>
                <w:lang w:val="en-AU"/>
              </w:rPr>
              <w:t>–</w:t>
            </w:r>
          </w:p>
        </w:tc>
      </w:tr>
      <w:tr w:rsidR="009B371A" w:rsidRPr="00496C73" w14:paraId="607C0E19" w14:textId="77777777" w:rsidTr="7C4E3BA4">
        <w:tc>
          <w:tcPr>
            <w:tcW w:w="2122" w:type="dxa"/>
          </w:tcPr>
          <w:p w14:paraId="35BC78F4" w14:textId="56CDF392" w:rsidR="009B371A" w:rsidRPr="009F11A3" w:rsidRDefault="3914E063" w:rsidP="7C4E3BA4">
            <w:pPr>
              <w:pStyle w:val="TableText"/>
              <w:keepNext/>
              <w:rPr>
                <w:vertAlign w:val="superscript"/>
              </w:rPr>
            </w:pPr>
            <w:r w:rsidRPr="7C4E3BA4">
              <w:t>Number of live births</w:t>
            </w:r>
            <w:r w:rsidRPr="7C4E3BA4">
              <w:rPr>
                <w:vertAlign w:val="superscript"/>
              </w:rPr>
              <w:t>a</w:t>
            </w:r>
          </w:p>
        </w:tc>
        <w:tc>
          <w:tcPr>
            <w:tcW w:w="1149" w:type="dxa"/>
            <w:vAlign w:val="bottom"/>
          </w:tcPr>
          <w:p w14:paraId="1A78EF00" w14:textId="77777777" w:rsidR="009B371A" w:rsidRPr="00496C73" w:rsidRDefault="009B371A" w:rsidP="0099652E">
            <w:pPr>
              <w:pStyle w:val="TableText"/>
              <w:keepNext/>
              <w:jc w:val="right"/>
            </w:pPr>
            <w:r w:rsidRPr="00496C73">
              <w:t>306,803</w:t>
            </w:r>
          </w:p>
        </w:tc>
        <w:tc>
          <w:tcPr>
            <w:tcW w:w="1149" w:type="dxa"/>
            <w:vAlign w:val="bottom"/>
          </w:tcPr>
          <w:p w14:paraId="2C759BFB" w14:textId="77777777" w:rsidR="009B371A" w:rsidRPr="00496C73" w:rsidRDefault="009B371A" w:rsidP="0099652E">
            <w:pPr>
              <w:pStyle w:val="TableText"/>
              <w:keepNext/>
              <w:jc w:val="right"/>
            </w:pPr>
            <w:r w:rsidRPr="00496C73">
              <w:t>306,959</w:t>
            </w:r>
          </w:p>
        </w:tc>
        <w:tc>
          <w:tcPr>
            <w:tcW w:w="1149" w:type="dxa"/>
            <w:vAlign w:val="bottom"/>
          </w:tcPr>
          <w:p w14:paraId="36EDC2E0" w14:textId="77777777" w:rsidR="009B371A" w:rsidRPr="00496C73" w:rsidRDefault="009B371A" w:rsidP="0099652E">
            <w:pPr>
              <w:pStyle w:val="TableText"/>
              <w:keepNext/>
              <w:jc w:val="right"/>
            </w:pPr>
            <w:r w:rsidRPr="00496C73">
              <w:t>307,115</w:t>
            </w:r>
          </w:p>
        </w:tc>
        <w:tc>
          <w:tcPr>
            <w:tcW w:w="1149" w:type="dxa"/>
            <w:vAlign w:val="bottom"/>
          </w:tcPr>
          <w:p w14:paraId="5A59EB48" w14:textId="77777777" w:rsidR="009B371A" w:rsidRPr="00496C73" w:rsidRDefault="009B371A" w:rsidP="0099652E">
            <w:pPr>
              <w:pStyle w:val="TableText"/>
              <w:keepNext/>
              <w:jc w:val="right"/>
            </w:pPr>
            <w:r w:rsidRPr="00496C73">
              <w:t>307,271</w:t>
            </w:r>
          </w:p>
        </w:tc>
        <w:tc>
          <w:tcPr>
            <w:tcW w:w="1149" w:type="dxa"/>
            <w:vAlign w:val="bottom"/>
          </w:tcPr>
          <w:p w14:paraId="46A4162D" w14:textId="77777777" w:rsidR="009B371A" w:rsidRPr="00496C73" w:rsidRDefault="009B371A" w:rsidP="0099652E">
            <w:pPr>
              <w:pStyle w:val="TableText"/>
              <w:keepNext/>
              <w:jc w:val="right"/>
            </w:pPr>
            <w:r w:rsidRPr="00496C73">
              <w:t>307,427</w:t>
            </w:r>
          </w:p>
        </w:tc>
        <w:tc>
          <w:tcPr>
            <w:tcW w:w="1149" w:type="dxa"/>
            <w:vAlign w:val="bottom"/>
          </w:tcPr>
          <w:p w14:paraId="1FF3A134" w14:textId="77777777" w:rsidR="009B371A" w:rsidRPr="00496C73" w:rsidRDefault="009B371A" w:rsidP="0099652E">
            <w:pPr>
              <w:pStyle w:val="TableText"/>
              <w:keepNext/>
              <w:jc w:val="right"/>
            </w:pPr>
            <w:r w:rsidRPr="00496C73">
              <w:t>307,583</w:t>
            </w:r>
          </w:p>
        </w:tc>
      </w:tr>
      <w:tr w:rsidR="00D94F46" w:rsidRPr="00496C73" w14:paraId="48819400" w14:textId="77777777" w:rsidTr="7C4E3BA4">
        <w:tc>
          <w:tcPr>
            <w:tcW w:w="2122" w:type="dxa"/>
          </w:tcPr>
          <w:p w14:paraId="1235B67E" w14:textId="7E414D3F" w:rsidR="00D94F46" w:rsidRPr="00496C73" w:rsidRDefault="00D94F46" w:rsidP="0099652E">
            <w:pPr>
              <w:pStyle w:val="TableText"/>
              <w:keepNext/>
            </w:pPr>
            <w:r w:rsidRPr="00496C73">
              <w:t>N</w:t>
            </w:r>
            <w:r w:rsidR="00AE45BE">
              <w:t>umber of</w:t>
            </w:r>
            <w:r w:rsidRPr="00496C73">
              <w:t xml:space="preserve"> babies who uptake NBS</w:t>
            </w:r>
            <w:r w:rsidR="00E81A8F">
              <w:t xml:space="preserve"> (99.3%)</w:t>
            </w:r>
          </w:p>
        </w:tc>
        <w:tc>
          <w:tcPr>
            <w:tcW w:w="1149" w:type="dxa"/>
            <w:vAlign w:val="bottom"/>
          </w:tcPr>
          <w:p w14:paraId="31A6B858" w14:textId="77777777" w:rsidR="00D94F46" w:rsidRPr="00496C73" w:rsidRDefault="00D94F46" w:rsidP="0099652E">
            <w:pPr>
              <w:pStyle w:val="TableText"/>
              <w:keepNext/>
              <w:jc w:val="right"/>
            </w:pPr>
            <w:r w:rsidRPr="00496C73">
              <w:t>304,655</w:t>
            </w:r>
          </w:p>
        </w:tc>
        <w:tc>
          <w:tcPr>
            <w:tcW w:w="1149" w:type="dxa"/>
            <w:vAlign w:val="bottom"/>
          </w:tcPr>
          <w:p w14:paraId="63FAE720" w14:textId="77777777" w:rsidR="00D94F46" w:rsidRPr="00496C73" w:rsidRDefault="00D94F46" w:rsidP="0099652E">
            <w:pPr>
              <w:pStyle w:val="TableText"/>
              <w:keepNext/>
              <w:jc w:val="right"/>
            </w:pPr>
            <w:r w:rsidRPr="00496C73">
              <w:t>304,810</w:t>
            </w:r>
          </w:p>
        </w:tc>
        <w:tc>
          <w:tcPr>
            <w:tcW w:w="1149" w:type="dxa"/>
            <w:vAlign w:val="bottom"/>
          </w:tcPr>
          <w:p w14:paraId="2B81AAB1" w14:textId="77777777" w:rsidR="00D94F46" w:rsidRPr="00496C73" w:rsidRDefault="00D94F46" w:rsidP="0099652E">
            <w:pPr>
              <w:pStyle w:val="TableText"/>
              <w:keepNext/>
              <w:jc w:val="right"/>
            </w:pPr>
            <w:r w:rsidRPr="00496C73">
              <w:t>304,965</w:t>
            </w:r>
          </w:p>
        </w:tc>
        <w:tc>
          <w:tcPr>
            <w:tcW w:w="1149" w:type="dxa"/>
            <w:vAlign w:val="bottom"/>
          </w:tcPr>
          <w:p w14:paraId="287E09A4" w14:textId="77777777" w:rsidR="00D94F46" w:rsidRPr="00496C73" w:rsidRDefault="00D94F46" w:rsidP="0099652E">
            <w:pPr>
              <w:pStyle w:val="TableText"/>
              <w:keepNext/>
              <w:jc w:val="right"/>
            </w:pPr>
            <w:r w:rsidRPr="00496C73">
              <w:t>305,120</w:t>
            </w:r>
          </w:p>
        </w:tc>
        <w:tc>
          <w:tcPr>
            <w:tcW w:w="1149" w:type="dxa"/>
            <w:vAlign w:val="bottom"/>
          </w:tcPr>
          <w:p w14:paraId="06449B0B" w14:textId="77777777" w:rsidR="00D94F46" w:rsidRPr="00496C73" w:rsidRDefault="00D94F46" w:rsidP="0099652E">
            <w:pPr>
              <w:pStyle w:val="TableText"/>
              <w:keepNext/>
              <w:jc w:val="right"/>
            </w:pPr>
            <w:r w:rsidRPr="00496C73">
              <w:t>305,275</w:t>
            </w:r>
          </w:p>
        </w:tc>
        <w:tc>
          <w:tcPr>
            <w:tcW w:w="1149" w:type="dxa"/>
            <w:vAlign w:val="bottom"/>
          </w:tcPr>
          <w:p w14:paraId="10FCACE5" w14:textId="77777777" w:rsidR="00D94F46" w:rsidRPr="00496C73" w:rsidRDefault="00D94F46" w:rsidP="0099652E">
            <w:pPr>
              <w:pStyle w:val="TableText"/>
              <w:keepNext/>
              <w:jc w:val="right"/>
            </w:pPr>
            <w:r w:rsidRPr="00496C73">
              <w:t>305,430</w:t>
            </w:r>
          </w:p>
        </w:tc>
      </w:tr>
      <w:tr w:rsidR="009B371A" w:rsidRPr="00496C73" w14:paraId="4A226FAD" w14:textId="77777777" w:rsidTr="7C4E3BA4">
        <w:tc>
          <w:tcPr>
            <w:tcW w:w="2122" w:type="dxa"/>
          </w:tcPr>
          <w:p w14:paraId="2E17906E" w14:textId="258B019C" w:rsidR="009B371A" w:rsidRPr="00606141" w:rsidRDefault="3914E063" w:rsidP="7C4E3BA4">
            <w:pPr>
              <w:pStyle w:val="TableText"/>
              <w:keepNext/>
              <w:rPr>
                <w:vertAlign w:val="superscript"/>
              </w:rPr>
            </w:pPr>
            <w:r w:rsidRPr="7C4E3BA4">
              <w:t>Total number of first-tier tests (including 2% re-assays)</w:t>
            </w:r>
            <w:r w:rsidR="27824085" w:rsidRPr="7C4E3BA4">
              <w:rPr>
                <w:vertAlign w:val="superscript"/>
              </w:rPr>
              <w:t>b</w:t>
            </w:r>
          </w:p>
        </w:tc>
        <w:tc>
          <w:tcPr>
            <w:tcW w:w="1149" w:type="dxa"/>
            <w:vAlign w:val="bottom"/>
          </w:tcPr>
          <w:p w14:paraId="590C89ED" w14:textId="77777777" w:rsidR="009B371A" w:rsidRDefault="009B371A" w:rsidP="0099652E">
            <w:pPr>
              <w:pStyle w:val="TableText"/>
              <w:keepNext/>
              <w:jc w:val="right"/>
              <w:rPr>
                <w:color w:val="000000"/>
                <w:szCs w:val="20"/>
              </w:rPr>
            </w:pPr>
            <w:r w:rsidRPr="00496C73">
              <w:t>310,748</w:t>
            </w:r>
          </w:p>
        </w:tc>
        <w:tc>
          <w:tcPr>
            <w:tcW w:w="1149" w:type="dxa"/>
            <w:vAlign w:val="bottom"/>
          </w:tcPr>
          <w:p w14:paraId="51142B41" w14:textId="77777777" w:rsidR="009B371A" w:rsidRDefault="009B371A" w:rsidP="0099652E">
            <w:pPr>
              <w:pStyle w:val="TableText"/>
              <w:keepNext/>
              <w:jc w:val="right"/>
              <w:rPr>
                <w:color w:val="000000"/>
                <w:szCs w:val="20"/>
              </w:rPr>
            </w:pPr>
            <w:r w:rsidRPr="00496C73">
              <w:t>310,907</w:t>
            </w:r>
          </w:p>
        </w:tc>
        <w:tc>
          <w:tcPr>
            <w:tcW w:w="1149" w:type="dxa"/>
            <w:vAlign w:val="bottom"/>
          </w:tcPr>
          <w:p w14:paraId="0DCC3482" w14:textId="77777777" w:rsidR="009B371A" w:rsidRDefault="009B371A" w:rsidP="0099652E">
            <w:pPr>
              <w:pStyle w:val="TableText"/>
              <w:keepNext/>
              <w:jc w:val="right"/>
              <w:rPr>
                <w:color w:val="000000"/>
                <w:szCs w:val="20"/>
              </w:rPr>
            </w:pPr>
            <w:r w:rsidRPr="00496C73">
              <w:t>311,065</w:t>
            </w:r>
          </w:p>
        </w:tc>
        <w:tc>
          <w:tcPr>
            <w:tcW w:w="1149" w:type="dxa"/>
            <w:vAlign w:val="bottom"/>
          </w:tcPr>
          <w:p w14:paraId="6E07152C" w14:textId="77777777" w:rsidR="009B371A" w:rsidRDefault="009B371A" w:rsidP="0099652E">
            <w:pPr>
              <w:pStyle w:val="TableText"/>
              <w:keepNext/>
              <w:jc w:val="right"/>
              <w:rPr>
                <w:color w:val="000000"/>
                <w:szCs w:val="20"/>
              </w:rPr>
            </w:pPr>
            <w:r w:rsidRPr="00496C73">
              <w:t>311,223</w:t>
            </w:r>
          </w:p>
        </w:tc>
        <w:tc>
          <w:tcPr>
            <w:tcW w:w="1149" w:type="dxa"/>
            <w:vAlign w:val="bottom"/>
          </w:tcPr>
          <w:p w14:paraId="20C430CC" w14:textId="77777777" w:rsidR="009B371A" w:rsidRDefault="009B371A" w:rsidP="0099652E">
            <w:pPr>
              <w:pStyle w:val="TableText"/>
              <w:keepNext/>
              <w:jc w:val="right"/>
              <w:rPr>
                <w:color w:val="000000"/>
                <w:szCs w:val="20"/>
              </w:rPr>
            </w:pPr>
            <w:r w:rsidRPr="00496C73">
              <w:t>311,381</w:t>
            </w:r>
          </w:p>
        </w:tc>
        <w:tc>
          <w:tcPr>
            <w:tcW w:w="1149" w:type="dxa"/>
            <w:vAlign w:val="bottom"/>
          </w:tcPr>
          <w:p w14:paraId="2190C6AC" w14:textId="77777777" w:rsidR="009B371A" w:rsidRDefault="009B371A" w:rsidP="0099652E">
            <w:pPr>
              <w:pStyle w:val="TableText"/>
              <w:keepNext/>
              <w:jc w:val="right"/>
              <w:rPr>
                <w:color w:val="000000"/>
                <w:szCs w:val="20"/>
              </w:rPr>
            </w:pPr>
            <w:r w:rsidRPr="00496C73">
              <w:t>311,539</w:t>
            </w:r>
          </w:p>
        </w:tc>
      </w:tr>
      <w:tr w:rsidR="00D94F46" w:rsidRPr="00496C73" w14:paraId="514C2B63" w14:textId="77777777" w:rsidTr="7C4E3BA4">
        <w:tc>
          <w:tcPr>
            <w:tcW w:w="2122" w:type="dxa"/>
          </w:tcPr>
          <w:p w14:paraId="26232CB8" w14:textId="63791307" w:rsidR="00D94F46" w:rsidRPr="00B63099" w:rsidRDefault="0E20D5F4" w:rsidP="7C4E3BA4">
            <w:pPr>
              <w:pStyle w:val="TableText"/>
              <w:keepNext/>
              <w:rPr>
                <w:vertAlign w:val="superscript"/>
              </w:rPr>
            </w:pPr>
            <w:r w:rsidRPr="7C4E3BA4">
              <w:t>Cost of first-tier screening</w:t>
            </w:r>
            <w:r w:rsidR="15DF3CD0" w:rsidRPr="7C4E3BA4">
              <w:t xml:space="preserve"> (</w:t>
            </w:r>
            <w:r w:rsidR="0061682C" w:rsidRPr="0061682C">
              <w:rPr>
                <w:color w:val="000000"/>
                <w:szCs w:val="20"/>
              </w:rPr>
              <w:t>$</w:t>
            </w:r>
            <w:r w:rsidR="0061682C" w:rsidRPr="008D12FB">
              <w:rPr>
                <w:b/>
                <w:bCs/>
                <w:color w:val="000000"/>
                <w:szCs w:val="20"/>
              </w:rPr>
              <w:t>Redacted</w:t>
            </w:r>
            <w:r w:rsidR="15DF3CD0" w:rsidRPr="7C4E3BA4">
              <w:t xml:space="preserve"> </w:t>
            </w:r>
            <w:r w:rsidR="761179C8" w:rsidRPr="7C4E3BA4">
              <w:t>per sample screened)</w:t>
            </w:r>
            <w:r w:rsidR="27824085" w:rsidRPr="7C4E3BA4">
              <w:rPr>
                <w:vertAlign w:val="superscript"/>
              </w:rPr>
              <w:t>c</w:t>
            </w:r>
          </w:p>
        </w:tc>
        <w:tc>
          <w:tcPr>
            <w:tcW w:w="1149" w:type="dxa"/>
            <w:vAlign w:val="bottom"/>
          </w:tcPr>
          <w:p w14:paraId="2E7765C3" w14:textId="36DBEAAE"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c>
          <w:tcPr>
            <w:tcW w:w="1149" w:type="dxa"/>
            <w:vAlign w:val="bottom"/>
          </w:tcPr>
          <w:p w14:paraId="3587B84A" w14:textId="2DC6E7B5"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c>
          <w:tcPr>
            <w:tcW w:w="1149" w:type="dxa"/>
            <w:vAlign w:val="bottom"/>
          </w:tcPr>
          <w:p w14:paraId="32B5CF8B" w14:textId="42B3E412"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c>
          <w:tcPr>
            <w:tcW w:w="1149" w:type="dxa"/>
            <w:vAlign w:val="bottom"/>
          </w:tcPr>
          <w:p w14:paraId="03E7C71D" w14:textId="0A414DCD"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c>
          <w:tcPr>
            <w:tcW w:w="1149" w:type="dxa"/>
            <w:vAlign w:val="bottom"/>
          </w:tcPr>
          <w:p w14:paraId="6DCE5F2D" w14:textId="06525AFD"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c>
          <w:tcPr>
            <w:tcW w:w="1149" w:type="dxa"/>
            <w:vAlign w:val="bottom"/>
          </w:tcPr>
          <w:p w14:paraId="212631AB" w14:textId="20794127" w:rsidR="00D94F46" w:rsidRPr="0019724D" w:rsidRDefault="0061682C" w:rsidP="0099652E">
            <w:pPr>
              <w:pStyle w:val="TableText"/>
              <w:keepNext/>
              <w:jc w:val="right"/>
              <w:rPr>
                <w:highlight w:val="yellow"/>
              </w:rPr>
            </w:pPr>
            <w:r w:rsidRPr="0061682C">
              <w:rPr>
                <w:color w:val="000000"/>
                <w:szCs w:val="20"/>
              </w:rPr>
              <w:t>$</w:t>
            </w:r>
            <w:r w:rsidRPr="008D12FB">
              <w:rPr>
                <w:b/>
                <w:bCs/>
                <w:color w:val="000000"/>
                <w:szCs w:val="20"/>
              </w:rPr>
              <w:t>Redacted</w:t>
            </w:r>
          </w:p>
        </w:tc>
      </w:tr>
      <w:tr w:rsidR="009B371A" w:rsidRPr="00496C73" w14:paraId="2344E271" w14:textId="77777777" w:rsidTr="7C4E3BA4">
        <w:tc>
          <w:tcPr>
            <w:tcW w:w="2122" w:type="dxa"/>
          </w:tcPr>
          <w:p w14:paraId="72294CA1" w14:textId="77777777" w:rsidR="009B371A" w:rsidRPr="00496C73" w:rsidRDefault="009B371A" w:rsidP="0099652E">
            <w:pPr>
              <w:pStyle w:val="TableText"/>
              <w:keepNext/>
            </w:pPr>
            <w:r>
              <w:t>Total number of first-tier screen positives</w:t>
            </w:r>
          </w:p>
        </w:tc>
        <w:tc>
          <w:tcPr>
            <w:tcW w:w="1149" w:type="dxa"/>
            <w:vAlign w:val="bottom"/>
          </w:tcPr>
          <w:p w14:paraId="356DAA42" w14:textId="77777777" w:rsidR="009B371A" w:rsidRDefault="009B371A" w:rsidP="0099652E">
            <w:pPr>
              <w:pStyle w:val="TableText"/>
              <w:keepNext/>
              <w:jc w:val="right"/>
              <w:rPr>
                <w:color w:val="000000"/>
                <w:szCs w:val="20"/>
              </w:rPr>
            </w:pPr>
            <w:r w:rsidRPr="006C0015">
              <w:t>88</w:t>
            </w:r>
          </w:p>
        </w:tc>
        <w:tc>
          <w:tcPr>
            <w:tcW w:w="1149" w:type="dxa"/>
            <w:vAlign w:val="bottom"/>
          </w:tcPr>
          <w:p w14:paraId="4B2983DD" w14:textId="77777777" w:rsidR="009B371A" w:rsidRDefault="009B371A" w:rsidP="0099652E">
            <w:pPr>
              <w:pStyle w:val="TableText"/>
              <w:keepNext/>
              <w:jc w:val="right"/>
              <w:rPr>
                <w:color w:val="000000"/>
                <w:szCs w:val="20"/>
              </w:rPr>
            </w:pPr>
            <w:r w:rsidRPr="006C0015">
              <w:t>88</w:t>
            </w:r>
          </w:p>
        </w:tc>
        <w:tc>
          <w:tcPr>
            <w:tcW w:w="1149" w:type="dxa"/>
            <w:vAlign w:val="bottom"/>
          </w:tcPr>
          <w:p w14:paraId="12B47F9E" w14:textId="77777777" w:rsidR="009B371A" w:rsidRDefault="009B371A" w:rsidP="0099652E">
            <w:pPr>
              <w:pStyle w:val="TableText"/>
              <w:keepNext/>
              <w:jc w:val="right"/>
              <w:rPr>
                <w:color w:val="000000"/>
                <w:szCs w:val="20"/>
              </w:rPr>
            </w:pPr>
            <w:r w:rsidRPr="006C0015">
              <w:t>88</w:t>
            </w:r>
          </w:p>
        </w:tc>
        <w:tc>
          <w:tcPr>
            <w:tcW w:w="1149" w:type="dxa"/>
            <w:vAlign w:val="bottom"/>
          </w:tcPr>
          <w:p w14:paraId="31908B12" w14:textId="77777777" w:rsidR="009B371A" w:rsidRDefault="009B371A" w:rsidP="0099652E">
            <w:pPr>
              <w:pStyle w:val="TableText"/>
              <w:keepNext/>
              <w:jc w:val="right"/>
              <w:rPr>
                <w:color w:val="000000"/>
                <w:szCs w:val="20"/>
              </w:rPr>
            </w:pPr>
            <w:r w:rsidRPr="006C0015">
              <w:t>89</w:t>
            </w:r>
          </w:p>
        </w:tc>
        <w:tc>
          <w:tcPr>
            <w:tcW w:w="1149" w:type="dxa"/>
            <w:vAlign w:val="bottom"/>
          </w:tcPr>
          <w:p w14:paraId="1133EDA2" w14:textId="77777777" w:rsidR="009B371A" w:rsidRDefault="009B371A" w:rsidP="0099652E">
            <w:pPr>
              <w:pStyle w:val="TableText"/>
              <w:keepNext/>
              <w:jc w:val="right"/>
              <w:rPr>
                <w:color w:val="000000"/>
                <w:szCs w:val="20"/>
              </w:rPr>
            </w:pPr>
            <w:r w:rsidRPr="006C0015">
              <w:t>89</w:t>
            </w:r>
          </w:p>
        </w:tc>
        <w:tc>
          <w:tcPr>
            <w:tcW w:w="1149" w:type="dxa"/>
            <w:vAlign w:val="bottom"/>
          </w:tcPr>
          <w:p w14:paraId="10302D41" w14:textId="77777777" w:rsidR="009B371A" w:rsidRDefault="009B371A" w:rsidP="0099652E">
            <w:pPr>
              <w:pStyle w:val="TableText"/>
              <w:keepNext/>
              <w:jc w:val="right"/>
              <w:rPr>
                <w:color w:val="000000"/>
                <w:szCs w:val="20"/>
              </w:rPr>
            </w:pPr>
            <w:r w:rsidRPr="006C0015">
              <w:t>89</w:t>
            </w:r>
          </w:p>
        </w:tc>
      </w:tr>
      <w:tr w:rsidR="00D94F46" w:rsidRPr="00496C73" w14:paraId="0E066B14" w14:textId="77777777" w:rsidTr="7C4E3BA4">
        <w:tc>
          <w:tcPr>
            <w:tcW w:w="2122" w:type="dxa"/>
            <w:tcBorders>
              <w:bottom w:val="single" w:sz="4" w:space="0" w:color="auto"/>
            </w:tcBorders>
          </w:tcPr>
          <w:p w14:paraId="24AFDC00" w14:textId="44E6BC82" w:rsidR="00D94F46" w:rsidRPr="00606141" w:rsidRDefault="0E20D5F4" w:rsidP="7C4E3BA4">
            <w:pPr>
              <w:pStyle w:val="TableText"/>
              <w:keepNext/>
              <w:rPr>
                <w:vertAlign w:val="superscript"/>
              </w:rPr>
            </w:pPr>
            <w:r w:rsidRPr="7C4E3BA4">
              <w:t>Cost of second-tier screening</w:t>
            </w:r>
            <w:r w:rsidR="26C0325C" w:rsidRPr="7C4E3BA4">
              <w:t xml:space="preserve"> ($167.00 per test)</w:t>
            </w:r>
            <w:r w:rsidR="27824085" w:rsidRPr="7C4E3BA4">
              <w:rPr>
                <w:vertAlign w:val="superscript"/>
              </w:rPr>
              <w:t>d</w:t>
            </w:r>
          </w:p>
        </w:tc>
        <w:tc>
          <w:tcPr>
            <w:tcW w:w="1149" w:type="dxa"/>
            <w:tcBorders>
              <w:bottom w:val="single" w:sz="4" w:space="0" w:color="auto"/>
            </w:tcBorders>
            <w:vAlign w:val="bottom"/>
          </w:tcPr>
          <w:p w14:paraId="0997A267" w14:textId="77777777" w:rsidR="00D94F46" w:rsidRPr="00496C73" w:rsidRDefault="00D94F46" w:rsidP="0099652E">
            <w:pPr>
              <w:pStyle w:val="TableText"/>
              <w:keepNext/>
              <w:jc w:val="right"/>
            </w:pPr>
            <w:r>
              <w:rPr>
                <w:color w:val="000000"/>
                <w:szCs w:val="20"/>
              </w:rPr>
              <w:t>$14,746</w:t>
            </w:r>
          </w:p>
        </w:tc>
        <w:tc>
          <w:tcPr>
            <w:tcW w:w="1149" w:type="dxa"/>
            <w:tcBorders>
              <w:bottom w:val="single" w:sz="4" w:space="0" w:color="auto"/>
            </w:tcBorders>
            <w:vAlign w:val="bottom"/>
          </w:tcPr>
          <w:p w14:paraId="193DF7F3" w14:textId="77777777" w:rsidR="00D94F46" w:rsidRPr="00496C73" w:rsidRDefault="00D94F46" w:rsidP="0099652E">
            <w:pPr>
              <w:pStyle w:val="TableText"/>
              <w:keepNext/>
              <w:jc w:val="right"/>
            </w:pPr>
            <w:r>
              <w:rPr>
                <w:color w:val="000000"/>
                <w:szCs w:val="20"/>
              </w:rPr>
              <w:t>$14,763</w:t>
            </w:r>
          </w:p>
        </w:tc>
        <w:tc>
          <w:tcPr>
            <w:tcW w:w="1149" w:type="dxa"/>
            <w:tcBorders>
              <w:bottom w:val="single" w:sz="4" w:space="0" w:color="auto"/>
            </w:tcBorders>
            <w:vAlign w:val="bottom"/>
          </w:tcPr>
          <w:p w14:paraId="795DF765" w14:textId="77777777" w:rsidR="00D94F46" w:rsidRPr="00496C73" w:rsidRDefault="00D94F46" w:rsidP="0099652E">
            <w:pPr>
              <w:pStyle w:val="TableText"/>
              <w:keepNext/>
              <w:jc w:val="right"/>
            </w:pPr>
            <w:r>
              <w:rPr>
                <w:color w:val="000000"/>
                <w:szCs w:val="20"/>
              </w:rPr>
              <w:t>$14,763</w:t>
            </w:r>
          </w:p>
        </w:tc>
        <w:tc>
          <w:tcPr>
            <w:tcW w:w="1149" w:type="dxa"/>
            <w:tcBorders>
              <w:bottom w:val="single" w:sz="4" w:space="0" w:color="auto"/>
            </w:tcBorders>
            <w:vAlign w:val="bottom"/>
          </w:tcPr>
          <w:p w14:paraId="24E8E0E5" w14:textId="77777777" w:rsidR="00D94F46" w:rsidRPr="00496C73" w:rsidRDefault="00D94F46" w:rsidP="0099652E">
            <w:pPr>
              <w:pStyle w:val="TableText"/>
              <w:keepNext/>
              <w:jc w:val="right"/>
            </w:pPr>
            <w:r>
              <w:rPr>
                <w:color w:val="000000"/>
                <w:szCs w:val="20"/>
              </w:rPr>
              <w:t>$14,780</w:t>
            </w:r>
          </w:p>
        </w:tc>
        <w:tc>
          <w:tcPr>
            <w:tcW w:w="1149" w:type="dxa"/>
            <w:tcBorders>
              <w:bottom w:val="single" w:sz="4" w:space="0" w:color="auto"/>
            </w:tcBorders>
            <w:vAlign w:val="bottom"/>
          </w:tcPr>
          <w:p w14:paraId="150866C5" w14:textId="77777777" w:rsidR="00D94F46" w:rsidRPr="00496C73" w:rsidRDefault="00D94F46" w:rsidP="0099652E">
            <w:pPr>
              <w:pStyle w:val="TableText"/>
              <w:keepNext/>
              <w:jc w:val="right"/>
            </w:pPr>
            <w:r>
              <w:rPr>
                <w:color w:val="000000"/>
                <w:szCs w:val="20"/>
              </w:rPr>
              <w:t>$14,780</w:t>
            </w:r>
          </w:p>
        </w:tc>
        <w:tc>
          <w:tcPr>
            <w:tcW w:w="1149" w:type="dxa"/>
            <w:tcBorders>
              <w:bottom w:val="single" w:sz="4" w:space="0" w:color="auto"/>
            </w:tcBorders>
            <w:vAlign w:val="bottom"/>
          </w:tcPr>
          <w:p w14:paraId="7E5B422B" w14:textId="77777777" w:rsidR="00D94F46" w:rsidRPr="00496C73" w:rsidRDefault="00D94F46" w:rsidP="0099652E">
            <w:pPr>
              <w:pStyle w:val="TableText"/>
              <w:keepNext/>
              <w:jc w:val="right"/>
            </w:pPr>
            <w:r>
              <w:rPr>
                <w:color w:val="000000"/>
                <w:szCs w:val="20"/>
              </w:rPr>
              <w:t>$14,780</w:t>
            </w:r>
          </w:p>
        </w:tc>
      </w:tr>
      <w:tr w:rsidR="00D94F46" w:rsidRPr="00496C73" w14:paraId="0BD84F12" w14:textId="77777777" w:rsidTr="7C4E3BA4">
        <w:tc>
          <w:tcPr>
            <w:tcW w:w="2122" w:type="dxa"/>
          </w:tcPr>
          <w:p w14:paraId="274690B2" w14:textId="77777777" w:rsidR="00D94F46" w:rsidRPr="00B63099" w:rsidRDefault="00D94F46" w:rsidP="0099652E">
            <w:pPr>
              <w:pStyle w:val="TableText"/>
              <w:keepNext/>
              <w:rPr>
                <w:b/>
              </w:rPr>
            </w:pPr>
            <w:r w:rsidRPr="00B63099">
              <w:rPr>
                <w:b/>
              </w:rPr>
              <w:t>Total cost to the NBS</w:t>
            </w:r>
          </w:p>
        </w:tc>
        <w:tc>
          <w:tcPr>
            <w:tcW w:w="1149" w:type="dxa"/>
            <w:vAlign w:val="bottom"/>
          </w:tcPr>
          <w:p w14:paraId="5929B981" w14:textId="66C53335"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c>
          <w:tcPr>
            <w:tcW w:w="1149" w:type="dxa"/>
            <w:vAlign w:val="bottom"/>
          </w:tcPr>
          <w:p w14:paraId="30BE7696" w14:textId="364A6161"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c>
          <w:tcPr>
            <w:tcW w:w="1149" w:type="dxa"/>
            <w:vAlign w:val="bottom"/>
          </w:tcPr>
          <w:p w14:paraId="15D8217A" w14:textId="5E869A02"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c>
          <w:tcPr>
            <w:tcW w:w="1149" w:type="dxa"/>
            <w:vAlign w:val="bottom"/>
          </w:tcPr>
          <w:p w14:paraId="1F88F5A7" w14:textId="6CCF1B69"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c>
          <w:tcPr>
            <w:tcW w:w="1149" w:type="dxa"/>
            <w:vAlign w:val="bottom"/>
          </w:tcPr>
          <w:p w14:paraId="6444C136" w14:textId="605B7F6E"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c>
          <w:tcPr>
            <w:tcW w:w="1149" w:type="dxa"/>
            <w:vAlign w:val="bottom"/>
          </w:tcPr>
          <w:p w14:paraId="3CB521A3" w14:textId="31349B91" w:rsidR="00D94F46" w:rsidRPr="0019724D" w:rsidRDefault="0061682C" w:rsidP="0099652E">
            <w:pPr>
              <w:pStyle w:val="TableText"/>
              <w:keepNext/>
              <w:jc w:val="right"/>
              <w:rPr>
                <w:b/>
                <w:highlight w:val="yellow"/>
              </w:rPr>
            </w:pPr>
            <w:r w:rsidRPr="0061682C">
              <w:rPr>
                <w:color w:val="000000"/>
                <w:szCs w:val="20"/>
              </w:rPr>
              <w:t>$</w:t>
            </w:r>
            <w:r w:rsidRPr="008D12FB">
              <w:rPr>
                <w:b/>
                <w:bCs/>
                <w:color w:val="000000"/>
                <w:szCs w:val="20"/>
              </w:rPr>
              <w:t>Redacted</w:t>
            </w:r>
          </w:p>
        </w:tc>
      </w:tr>
    </w:tbl>
    <w:p w14:paraId="045E2BC0" w14:textId="77777777" w:rsidR="00554A80" w:rsidRDefault="00357FEF" w:rsidP="00B8514E">
      <w:pPr>
        <w:pStyle w:val="TableFigureFooter"/>
      </w:pPr>
      <w:r>
        <w:t>MPS II = mucopolysaccharidosis Type II; NBS = newborn bloodspot screening</w:t>
      </w:r>
    </w:p>
    <w:p w14:paraId="2BC11FCC" w14:textId="77777777" w:rsidR="00036FFC" w:rsidRDefault="007870FF" w:rsidP="00B8514E">
      <w:pPr>
        <w:pStyle w:val="TableFigureFooter"/>
      </w:pPr>
      <w:r>
        <w:rPr>
          <w:vertAlign w:val="superscript"/>
        </w:rPr>
        <w:t xml:space="preserve">a </w:t>
      </w:r>
      <w:r w:rsidR="00E81A8F">
        <w:t xml:space="preserve">Based on </w:t>
      </w:r>
      <w:r w:rsidR="00E81A8F" w:rsidRPr="00877B93">
        <w:t>project</w:t>
      </w:r>
      <w:r w:rsidR="00E81A8F">
        <w:t>ed number of births in Australia based on number of registered births data in 2008–2022 in Australia</w:t>
      </w:r>
      <w:r w:rsidR="00E81A8F" w:rsidRPr="00877B93">
        <w:t>.</w:t>
      </w:r>
    </w:p>
    <w:p w14:paraId="2AED8DAF" w14:textId="77777777" w:rsidR="00606141" w:rsidRDefault="00606141" w:rsidP="00B8514E">
      <w:pPr>
        <w:pStyle w:val="TableFigureFooter"/>
      </w:pPr>
      <w:r>
        <w:rPr>
          <w:vertAlign w:val="superscript"/>
        </w:rPr>
        <w:t xml:space="preserve">b </w:t>
      </w:r>
      <w:r>
        <w:t>Based on advice provided by NBS laboratories.</w:t>
      </w:r>
    </w:p>
    <w:p w14:paraId="76612B5E" w14:textId="36C9AC19" w:rsidR="00606141" w:rsidRDefault="27824085" w:rsidP="00B8514E">
      <w:pPr>
        <w:pStyle w:val="TableFigureFooter"/>
      </w:pPr>
      <w:r w:rsidRPr="7C4E3BA4">
        <w:rPr>
          <w:vertAlign w:val="superscript"/>
        </w:rPr>
        <w:t xml:space="preserve">c </w:t>
      </w:r>
      <w:r w:rsidRPr="7C4E3BA4">
        <w:t>Cost per screen using th</w:t>
      </w:r>
      <w:r w:rsidR="278213A7" w:rsidRPr="7C4E3BA4">
        <w:t>e</w:t>
      </w:r>
      <w:r w:rsidRPr="7C4E3BA4">
        <w:t xml:space="preserve"> </w:t>
      </w:r>
      <w:r w:rsidR="004B1CEA">
        <w:rPr>
          <w:b/>
          <w:bCs/>
        </w:rPr>
        <w:t xml:space="preserve">REDACTED </w:t>
      </w:r>
      <w:r w:rsidRPr="7C4E3BA4">
        <w:t xml:space="preserve">kit and </w:t>
      </w:r>
      <w:r w:rsidR="297D9411" w:rsidRPr="7C4E3BA4">
        <w:t>operational costs</w:t>
      </w:r>
      <w:r w:rsidR="278213A7" w:rsidRPr="7C4E3BA4">
        <w:t>.</w:t>
      </w:r>
    </w:p>
    <w:p w14:paraId="08C9A937" w14:textId="35225781" w:rsidR="00D238D5" w:rsidRPr="00D238D5" w:rsidRDefault="278213A7" w:rsidP="00B8514E">
      <w:pPr>
        <w:pStyle w:val="TableFigureFooter"/>
      </w:pPr>
      <w:r w:rsidRPr="7C4E3BA4">
        <w:rPr>
          <w:vertAlign w:val="superscript"/>
        </w:rPr>
        <w:t xml:space="preserve">d </w:t>
      </w:r>
      <w:r w:rsidRPr="7C4E3BA4">
        <w:t xml:space="preserve">Based on GAG analysis cost </w:t>
      </w:r>
      <w:r w:rsidR="36A23AE9" w:rsidRPr="7C4E3BA4">
        <w:t>outlined in the SA Pathology Collection Guide</w:t>
      </w:r>
      <w:r w:rsidR="36FDDD36" w:rsidRPr="7C4E3BA4">
        <w:t xml:space="preserve"> (</w:t>
      </w:r>
      <w:hyperlink r:id="rId10">
        <w:r w:rsidR="36FDDD36" w:rsidRPr="7C4E3BA4">
          <w:rPr>
            <w:rStyle w:val="Hyperlink"/>
          </w:rPr>
          <w:t>https://www.sapathology.sa.gov.au/clinicians/testing-screening/search-test-catalogue</w:t>
        </w:r>
      </w:hyperlink>
      <w:r w:rsidR="36FDDD36" w:rsidRPr="7C4E3BA4">
        <w:t>)</w:t>
      </w:r>
      <w:r w:rsidR="36A23AE9" w:rsidRPr="7C4E3BA4">
        <w:t xml:space="preserve">. Advice provided by NBS laboratories is that second-tier GAG analyses will be sent to the </w:t>
      </w:r>
      <w:r w:rsidR="583D8281" w:rsidRPr="7C4E3BA4">
        <w:t>NRL AWCH</w:t>
      </w:r>
      <w:r w:rsidR="0068737F" w:rsidRPr="7C4E3BA4">
        <w:t xml:space="preserve"> unless the second-tier testing load is very high. </w:t>
      </w:r>
    </w:p>
    <w:p w14:paraId="3B6D6465" w14:textId="77777777" w:rsidR="00041844" w:rsidRPr="00492AB6" w:rsidRDefault="00041844" w:rsidP="00041844">
      <w:pPr>
        <w:rPr>
          <w:u w:val="single"/>
        </w:rPr>
      </w:pPr>
      <w:r w:rsidRPr="00492AB6">
        <w:rPr>
          <w:u w:val="single"/>
        </w:rPr>
        <w:t>Cost implications for other health budgets</w:t>
      </w:r>
    </w:p>
    <w:p w14:paraId="6EB1401E" w14:textId="6149EE29" w:rsidR="002F73F6" w:rsidRDefault="76F9F145" w:rsidP="00036FFC">
      <w:r w:rsidRPr="7C4E3BA4">
        <w:t xml:space="preserve">NBS for MPS II </w:t>
      </w:r>
      <w:r w:rsidR="26BBC9FB" w:rsidRPr="7C4E3BA4">
        <w:t xml:space="preserve">is </w:t>
      </w:r>
      <w:r w:rsidRPr="7C4E3BA4">
        <w:t xml:space="preserve">likely to affect other health budgets. </w:t>
      </w:r>
      <w:r w:rsidR="45E6B64D" w:rsidRPr="7C4E3BA4">
        <w:t xml:space="preserve">There </w:t>
      </w:r>
      <w:r w:rsidR="6EA4EEC8" w:rsidRPr="7C4E3BA4">
        <w:t>would</w:t>
      </w:r>
      <w:r w:rsidR="45E6B64D" w:rsidRPr="7C4E3BA4">
        <w:t xml:space="preserve"> be</w:t>
      </w:r>
      <w:r w:rsidR="3749324B" w:rsidRPr="7C4E3BA4">
        <w:t xml:space="preserve"> an</w:t>
      </w:r>
      <w:r w:rsidR="45E6B64D" w:rsidRPr="7C4E3BA4">
        <w:t xml:space="preserve"> increase </w:t>
      </w:r>
      <w:r w:rsidR="26BBC9FB" w:rsidRPr="7C4E3BA4">
        <w:t>in</w:t>
      </w:r>
      <w:r w:rsidR="45E6B64D" w:rsidRPr="7C4E3BA4">
        <w:t xml:space="preserve"> monitoring</w:t>
      </w:r>
      <w:r w:rsidR="7593C106" w:rsidRPr="7C4E3BA4">
        <w:t xml:space="preserve">, </w:t>
      </w:r>
      <w:r w:rsidR="45E6B64D" w:rsidRPr="7C4E3BA4">
        <w:t xml:space="preserve">treatment </w:t>
      </w:r>
      <w:r w:rsidR="7593C106" w:rsidRPr="7C4E3BA4">
        <w:t xml:space="preserve">and </w:t>
      </w:r>
      <w:r w:rsidR="001711C4">
        <w:t>family member</w:t>
      </w:r>
      <w:r w:rsidR="001711C4" w:rsidRPr="7C4E3BA4">
        <w:t xml:space="preserve"> </w:t>
      </w:r>
      <w:r w:rsidR="7593C106" w:rsidRPr="7C4E3BA4">
        <w:t>testing costs as</w:t>
      </w:r>
      <w:r w:rsidR="5D07FC03" w:rsidRPr="7C4E3BA4">
        <w:t xml:space="preserve"> NBS will </w:t>
      </w:r>
      <w:r w:rsidR="1E3B008E" w:rsidRPr="7C4E3BA4">
        <w:t>detect approximately 2 additional cases per year (based of prevalence rates with and without NBS</w:t>
      </w:r>
      <w:r w:rsidR="0068737F" w:rsidRPr="7C4E3BA4">
        <w:t xml:space="preserve">, see </w:t>
      </w:r>
      <w:r w:rsidR="00AB2941">
        <w:fldChar w:fldCharType="begin"/>
      </w:r>
      <w:r w:rsidR="00AB2941">
        <w:instrText xml:space="preserve"> REF _Ref181617934 \h </w:instrText>
      </w:r>
      <w:r w:rsidR="00AB2941">
        <w:fldChar w:fldCharType="separate"/>
      </w:r>
      <w:r w:rsidR="007F08FA" w:rsidRPr="00496C73" w:rsidDel="009D183F">
        <w:t xml:space="preserve">Table </w:t>
      </w:r>
      <w:r w:rsidR="00797B68" w:rsidDel="009D183F">
        <w:rPr>
          <w:noProof/>
        </w:rPr>
        <w:t>9</w:t>
      </w:r>
      <w:r w:rsidR="00AB2941">
        <w:fldChar w:fldCharType="end"/>
      </w:r>
      <w:r w:rsidR="1E3B008E" w:rsidRPr="7C4E3BA4">
        <w:t>)</w:t>
      </w:r>
      <w:r w:rsidR="29AE3733" w:rsidRPr="7C4E3BA4">
        <w:t xml:space="preserve">. In addition to this, </w:t>
      </w:r>
      <w:r w:rsidR="1E3B008E" w:rsidRPr="7C4E3BA4">
        <w:t>cases who would have been detected without NBS</w:t>
      </w:r>
      <w:r w:rsidR="2466C6E4" w:rsidRPr="7C4E3BA4">
        <w:t xml:space="preserve"> </w:t>
      </w:r>
      <w:r w:rsidR="1E3B008E" w:rsidRPr="7C4E3BA4">
        <w:t>would have their diagnosis brought forward</w:t>
      </w:r>
      <w:r w:rsidR="59E9B032" w:rsidRPr="7C4E3BA4">
        <w:t>,</w:t>
      </w:r>
      <w:r w:rsidR="29AE3733" w:rsidRPr="7C4E3BA4">
        <w:t xml:space="preserve"> which </w:t>
      </w:r>
      <w:r w:rsidR="00892692" w:rsidRPr="7C4E3BA4">
        <w:t xml:space="preserve">also </w:t>
      </w:r>
      <w:r w:rsidR="29AE3733" w:rsidRPr="7C4E3BA4">
        <w:t>bring</w:t>
      </w:r>
      <w:r w:rsidR="1079C7E0" w:rsidRPr="7C4E3BA4">
        <w:t>s forward monitoring and treatment initiation.</w:t>
      </w:r>
    </w:p>
    <w:p w14:paraId="20F5BF67" w14:textId="722C18EB" w:rsidR="002F73F6" w:rsidRPr="005C1E10" w:rsidRDefault="005C1E10" w:rsidP="00036FFC">
      <w:pPr>
        <w:rPr>
          <w:u w:val="single"/>
        </w:rPr>
      </w:pPr>
      <w:r w:rsidRPr="005C1E10">
        <w:rPr>
          <w:u w:val="single"/>
        </w:rPr>
        <w:t xml:space="preserve">Costs to </w:t>
      </w:r>
      <w:r w:rsidR="00A45E16">
        <w:rPr>
          <w:u w:val="single"/>
        </w:rPr>
        <w:t>s</w:t>
      </w:r>
      <w:r w:rsidRPr="005C1E10">
        <w:rPr>
          <w:u w:val="single"/>
        </w:rPr>
        <w:t xml:space="preserve">tate and </w:t>
      </w:r>
      <w:r w:rsidR="00A45E16">
        <w:rPr>
          <w:u w:val="single"/>
        </w:rPr>
        <w:t>t</w:t>
      </w:r>
      <w:r w:rsidRPr="005C1E10">
        <w:rPr>
          <w:u w:val="single"/>
        </w:rPr>
        <w:t>erritory health budgets</w:t>
      </w:r>
    </w:p>
    <w:p w14:paraId="0EBC99AE" w14:textId="74E6B3F8" w:rsidR="00100FA5" w:rsidRDefault="757ABCA0" w:rsidP="00036FFC">
      <w:r w:rsidRPr="7C4E3BA4">
        <w:t xml:space="preserve">There </w:t>
      </w:r>
      <w:r w:rsidR="6EA4EEC8" w:rsidRPr="7C4E3BA4">
        <w:t>would</w:t>
      </w:r>
      <w:r w:rsidRPr="7C4E3BA4">
        <w:t xml:space="preserve"> be cost increases attributable to the additional number of </w:t>
      </w:r>
      <w:r w:rsidR="6431DE51" w:rsidRPr="7C4E3BA4">
        <w:t>confirmatory diagnosis</w:t>
      </w:r>
      <w:r w:rsidR="1296B652" w:rsidRPr="7C4E3BA4">
        <w:t xml:space="preserve">, </w:t>
      </w:r>
      <w:r w:rsidR="6431DE51" w:rsidRPr="009B7624">
        <w:rPr>
          <w:i/>
          <w:iCs/>
        </w:rPr>
        <w:t>IDS</w:t>
      </w:r>
      <w:r w:rsidR="6431DE51" w:rsidRPr="7C4E3BA4">
        <w:t xml:space="preserve"> variant </w:t>
      </w:r>
      <w:r w:rsidR="1296B652" w:rsidRPr="7C4E3BA4">
        <w:t xml:space="preserve">and </w:t>
      </w:r>
      <w:r w:rsidR="001711C4">
        <w:t>family member</w:t>
      </w:r>
      <w:r w:rsidR="001711C4" w:rsidRPr="7C4E3BA4">
        <w:t xml:space="preserve"> </w:t>
      </w:r>
      <w:r w:rsidR="4243D21C" w:rsidRPr="7C4E3BA4">
        <w:t xml:space="preserve">testing costs </w:t>
      </w:r>
      <w:r w:rsidR="252BA8A8" w:rsidRPr="7C4E3BA4">
        <w:t xml:space="preserve">due to a greater detection of </w:t>
      </w:r>
      <w:r w:rsidR="1296B652" w:rsidRPr="7C4E3BA4">
        <w:t>cases.</w:t>
      </w:r>
      <w:r w:rsidR="4243D21C" w:rsidRPr="7C4E3BA4">
        <w:t xml:space="preserve"> </w:t>
      </w:r>
      <w:r w:rsidR="32BFA985" w:rsidRPr="7C4E3BA4">
        <w:t xml:space="preserve">There </w:t>
      </w:r>
      <w:r w:rsidR="6EA4EEC8" w:rsidRPr="7C4E3BA4">
        <w:t>would</w:t>
      </w:r>
      <w:r w:rsidR="32BFA985" w:rsidRPr="7C4E3BA4">
        <w:t xml:space="preserve"> also be</w:t>
      </w:r>
      <w:r w:rsidR="0068737F" w:rsidRPr="7C4E3BA4">
        <w:t xml:space="preserve"> an</w:t>
      </w:r>
      <w:r w:rsidR="32BFA985" w:rsidRPr="7C4E3BA4">
        <w:t xml:space="preserve"> increase</w:t>
      </w:r>
      <w:r w:rsidR="1BBFC3B2" w:rsidRPr="7C4E3BA4">
        <w:t xml:space="preserve"> in GAG </w:t>
      </w:r>
      <w:r w:rsidR="68945CC5" w:rsidRPr="7C4E3BA4">
        <w:t xml:space="preserve">analyses and </w:t>
      </w:r>
      <w:r w:rsidR="215C48BA" w:rsidRPr="7C4E3BA4">
        <w:t xml:space="preserve">treatment administration </w:t>
      </w:r>
      <w:r w:rsidR="0B6D4B1D" w:rsidRPr="7C4E3BA4">
        <w:t xml:space="preserve">services due to </w:t>
      </w:r>
      <w:r w:rsidR="7B2C7355" w:rsidRPr="7C4E3BA4">
        <w:t>monitoring and treatment being bought forward.</w:t>
      </w:r>
      <w:r w:rsidR="36F82FEA" w:rsidRPr="7C4E3BA4">
        <w:t xml:space="preserve"> </w:t>
      </w:r>
    </w:p>
    <w:p w14:paraId="746051B8" w14:textId="4AFD933B" w:rsidR="00AB2941" w:rsidRDefault="00100FA5" w:rsidP="00036FFC">
      <w:r>
        <w:t xml:space="preserve">These costs are offset by </w:t>
      </w:r>
      <w:r w:rsidR="000315F6">
        <w:t xml:space="preserve">cost savings attributed </w:t>
      </w:r>
      <w:r w:rsidR="00844C96">
        <w:t>to</w:t>
      </w:r>
      <w:r w:rsidR="000315F6">
        <w:t xml:space="preserve"> GAG analyses for a small number of cases who would have been clinically suspected of MPS II (i.e. without NBS)</w:t>
      </w:r>
      <w:r w:rsidR="009858B1">
        <w:t xml:space="preserve"> as these costs </w:t>
      </w:r>
      <w:r w:rsidR="00600661">
        <w:t xml:space="preserve">would </w:t>
      </w:r>
      <w:r w:rsidR="009858B1">
        <w:t>shift to the NBS program.</w:t>
      </w:r>
      <w:r w:rsidR="004C3EB3">
        <w:t xml:space="preserve"> Net costs to state and territory health budgets are estimated in </w:t>
      </w:r>
      <w:r w:rsidR="00FB7248">
        <w:fldChar w:fldCharType="begin"/>
      </w:r>
      <w:r w:rsidR="00FB7248">
        <w:instrText xml:space="preserve"> REF _Ref181714958 \h </w:instrText>
      </w:r>
      <w:r w:rsidR="00FB7248">
        <w:fldChar w:fldCharType="separate"/>
      </w:r>
      <w:r w:rsidR="007F08FA" w:rsidDel="009D183F">
        <w:t xml:space="preserve">Table </w:t>
      </w:r>
      <w:r w:rsidR="00797B68" w:rsidDel="009D183F">
        <w:rPr>
          <w:noProof/>
        </w:rPr>
        <w:t>16</w:t>
      </w:r>
      <w:r w:rsidR="00FB7248">
        <w:fldChar w:fldCharType="end"/>
      </w:r>
      <w:r w:rsidR="00FB7248">
        <w:t>.</w:t>
      </w:r>
    </w:p>
    <w:p w14:paraId="2E2BF1D0" w14:textId="405C6C4E" w:rsidR="00036FFC" w:rsidRDefault="006222CE" w:rsidP="006222CE">
      <w:pPr>
        <w:pStyle w:val="Caption"/>
      </w:pPr>
      <w:bookmarkStart w:id="58" w:name="_Ref181714958"/>
      <w:r>
        <w:lastRenderedPageBreak/>
        <w:t xml:space="preserve">Table </w:t>
      </w:r>
      <w:r w:rsidR="009D183F">
        <w:fldChar w:fldCharType="begin"/>
      </w:r>
      <w:r w:rsidR="009D183F">
        <w:instrText xml:space="preserve"> SEQ Table \* ARABIC </w:instrText>
      </w:r>
      <w:r w:rsidR="009D183F">
        <w:fldChar w:fldCharType="separate"/>
      </w:r>
      <w:r w:rsidR="009D183F">
        <w:rPr>
          <w:noProof/>
        </w:rPr>
        <w:t>16</w:t>
      </w:r>
      <w:r w:rsidR="009D183F">
        <w:rPr>
          <w:noProof/>
        </w:rPr>
        <w:fldChar w:fldCharType="end"/>
      </w:r>
      <w:bookmarkEnd w:id="58"/>
      <w:r>
        <w:tab/>
        <w:t xml:space="preserve">Net costs to state and territory health </w:t>
      </w:r>
      <w:r w:rsidR="00277825">
        <w:t>budgets due to NBS for MPS II</w:t>
      </w:r>
    </w:p>
    <w:tbl>
      <w:tblPr>
        <w:tblStyle w:val="TableGrid"/>
        <w:tblW w:w="5000" w:type="pct"/>
        <w:tblLayout w:type="fixed"/>
        <w:tblLook w:val="04A0" w:firstRow="1" w:lastRow="0" w:firstColumn="1" w:lastColumn="0" w:noHBand="0" w:noVBand="1"/>
      </w:tblPr>
      <w:tblGrid>
        <w:gridCol w:w="2688"/>
        <w:gridCol w:w="1055"/>
        <w:gridCol w:w="1055"/>
        <w:gridCol w:w="1055"/>
        <w:gridCol w:w="1055"/>
        <w:gridCol w:w="1055"/>
        <w:gridCol w:w="1053"/>
      </w:tblGrid>
      <w:tr w:rsidR="00F56C0C" w:rsidRPr="00496C73" w14:paraId="4CAAE2AD" w14:textId="77777777" w:rsidTr="00011DA9">
        <w:trPr>
          <w:tblHeader/>
        </w:trPr>
        <w:tc>
          <w:tcPr>
            <w:tcW w:w="1491" w:type="pct"/>
          </w:tcPr>
          <w:p w14:paraId="66E876AD" w14:textId="77777777" w:rsidR="0085120A" w:rsidRPr="00496C73" w:rsidRDefault="0085120A" w:rsidP="002207EE">
            <w:pPr>
              <w:pStyle w:val="In-tableHeading"/>
              <w:rPr>
                <w:lang w:val="en-AU"/>
              </w:rPr>
            </w:pPr>
          </w:p>
        </w:tc>
        <w:tc>
          <w:tcPr>
            <w:tcW w:w="585" w:type="pct"/>
            <w:vAlign w:val="center"/>
          </w:tcPr>
          <w:p w14:paraId="7F1DBAF0" w14:textId="77777777" w:rsidR="0085120A" w:rsidRPr="00496C73" w:rsidRDefault="0085120A" w:rsidP="009B7624">
            <w:pPr>
              <w:pStyle w:val="In-tableHeading"/>
              <w:jc w:val="center"/>
              <w:rPr>
                <w:lang w:val="en-AU"/>
              </w:rPr>
            </w:pPr>
            <w:r w:rsidRPr="00496C73">
              <w:rPr>
                <w:lang w:val="en-AU"/>
              </w:rPr>
              <w:t>2025−26</w:t>
            </w:r>
          </w:p>
        </w:tc>
        <w:tc>
          <w:tcPr>
            <w:tcW w:w="585" w:type="pct"/>
            <w:vAlign w:val="center"/>
          </w:tcPr>
          <w:p w14:paraId="32997F33" w14:textId="77777777" w:rsidR="0085120A" w:rsidRPr="00496C73" w:rsidRDefault="0085120A" w:rsidP="009B7624">
            <w:pPr>
              <w:pStyle w:val="In-tableHeading"/>
              <w:jc w:val="center"/>
              <w:rPr>
                <w:lang w:val="en-AU"/>
              </w:rPr>
            </w:pPr>
            <w:r w:rsidRPr="00496C73">
              <w:rPr>
                <w:lang w:val="en-AU"/>
              </w:rPr>
              <w:t>2026−27</w:t>
            </w:r>
          </w:p>
        </w:tc>
        <w:tc>
          <w:tcPr>
            <w:tcW w:w="585" w:type="pct"/>
            <w:vAlign w:val="center"/>
          </w:tcPr>
          <w:p w14:paraId="45B1A4AA" w14:textId="77777777" w:rsidR="0085120A" w:rsidRPr="00496C73" w:rsidRDefault="0085120A" w:rsidP="009B7624">
            <w:pPr>
              <w:pStyle w:val="In-tableHeading"/>
              <w:jc w:val="center"/>
              <w:rPr>
                <w:lang w:val="en-AU"/>
              </w:rPr>
            </w:pPr>
            <w:r w:rsidRPr="00496C73">
              <w:rPr>
                <w:lang w:val="en-AU"/>
              </w:rPr>
              <w:t>2027−28</w:t>
            </w:r>
          </w:p>
        </w:tc>
        <w:tc>
          <w:tcPr>
            <w:tcW w:w="585" w:type="pct"/>
            <w:vAlign w:val="center"/>
          </w:tcPr>
          <w:p w14:paraId="4B06DF21" w14:textId="77777777" w:rsidR="0085120A" w:rsidRPr="00496C73" w:rsidRDefault="0085120A" w:rsidP="009B7624">
            <w:pPr>
              <w:pStyle w:val="In-tableHeading"/>
              <w:jc w:val="center"/>
              <w:rPr>
                <w:lang w:val="en-AU"/>
              </w:rPr>
            </w:pPr>
            <w:r w:rsidRPr="00496C73">
              <w:rPr>
                <w:lang w:val="en-AU"/>
              </w:rPr>
              <w:t>2028−29</w:t>
            </w:r>
          </w:p>
        </w:tc>
        <w:tc>
          <w:tcPr>
            <w:tcW w:w="585" w:type="pct"/>
            <w:vAlign w:val="center"/>
          </w:tcPr>
          <w:p w14:paraId="61AAD8DE" w14:textId="77777777" w:rsidR="0085120A" w:rsidRPr="00496C73" w:rsidRDefault="0085120A" w:rsidP="009B7624">
            <w:pPr>
              <w:pStyle w:val="In-tableHeading"/>
              <w:jc w:val="center"/>
              <w:rPr>
                <w:lang w:val="en-AU"/>
              </w:rPr>
            </w:pPr>
            <w:r w:rsidRPr="00496C73">
              <w:rPr>
                <w:lang w:val="en-AU"/>
              </w:rPr>
              <w:t>2029−30</w:t>
            </w:r>
          </w:p>
        </w:tc>
        <w:tc>
          <w:tcPr>
            <w:tcW w:w="585" w:type="pct"/>
            <w:vAlign w:val="center"/>
          </w:tcPr>
          <w:p w14:paraId="724E9B5B" w14:textId="77777777" w:rsidR="0085120A" w:rsidRPr="00496C73" w:rsidRDefault="0085120A" w:rsidP="009B7624">
            <w:pPr>
              <w:pStyle w:val="In-tableHeading"/>
              <w:jc w:val="center"/>
              <w:rPr>
                <w:lang w:val="en-AU"/>
              </w:rPr>
            </w:pPr>
            <w:r w:rsidRPr="00496C73">
              <w:rPr>
                <w:lang w:val="en-AU"/>
              </w:rPr>
              <w:t>2030−31</w:t>
            </w:r>
          </w:p>
        </w:tc>
      </w:tr>
      <w:tr w:rsidR="00F56C0C" w:rsidRPr="000E152D" w14:paraId="37D59F89" w14:textId="77777777" w:rsidTr="00011DA9">
        <w:tc>
          <w:tcPr>
            <w:tcW w:w="1491" w:type="pct"/>
          </w:tcPr>
          <w:p w14:paraId="52C6E0FC" w14:textId="20819B07" w:rsidR="0085120A" w:rsidRPr="000E152D" w:rsidRDefault="590F6634" w:rsidP="002207EE">
            <w:pPr>
              <w:pStyle w:val="TableText"/>
              <w:keepNext/>
            </w:pPr>
            <w:r w:rsidRPr="7C4E3BA4">
              <w:t>Additional cases diagnosed with NBS</w:t>
            </w:r>
          </w:p>
        </w:tc>
        <w:tc>
          <w:tcPr>
            <w:tcW w:w="585" w:type="pct"/>
            <w:vAlign w:val="center"/>
          </w:tcPr>
          <w:p w14:paraId="32B21118" w14:textId="77777777" w:rsidR="0085120A" w:rsidRPr="000E152D" w:rsidRDefault="0085120A" w:rsidP="009B7624">
            <w:pPr>
              <w:pStyle w:val="In-tableHeading"/>
              <w:jc w:val="center"/>
              <w:rPr>
                <w:b w:val="0"/>
              </w:rPr>
            </w:pPr>
            <w:r w:rsidRPr="00F1330B">
              <w:rPr>
                <w:b w:val="0"/>
                <w:bCs/>
              </w:rPr>
              <w:t>2</w:t>
            </w:r>
          </w:p>
        </w:tc>
        <w:tc>
          <w:tcPr>
            <w:tcW w:w="585" w:type="pct"/>
            <w:vAlign w:val="center"/>
          </w:tcPr>
          <w:p w14:paraId="74468E9F" w14:textId="77777777" w:rsidR="0085120A" w:rsidRPr="000E152D" w:rsidRDefault="0085120A" w:rsidP="009B7624">
            <w:pPr>
              <w:pStyle w:val="In-tableHeading"/>
              <w:jc w:val="center"/>
              <w:rPr>
                <w:b w:val="0"/>
              </w:rPr>
            </w:pPr>
            <w:r w:rsidRPr="00F1330B">
              <w:rPr>
                <w:b w:val="0"/>
                <w:bCs/>
              </w:rPr>
              <w:t>2</w:t>
            </w:r>
          </w:p>
        </w:tc>
        <w:tc>
          <w:tcPr>
            <w:tcW w:w="585" w:type="pct"/>
            <w:vAlign w:val="center"/>
          </w:tcPr>
          <w:p w14:paraId="51DA5FD9" w14:textId="77777777" w:rsidR="0085120A" w:rsidRPr="000E152D" w:rsidRDefault="0085120A" w:rsidP="009B7624">
            <w:pPr>
              <w:pStyle w:val="In-tableHeading"/>
              <w:jc w:val="center"/>
              <w:rPr>
                <w:b w:val="0"/>
              </w:rPr>
            </w:pPr>
            <w:r w:rsidRPr="00F1330B">
              <w:rPr>
                <w:b w:val="0"/>
                <w:bCs/>
              </w:rPr>
              <w:t>2</w:t>
            </w:r>
          </w:p>
        </w:tc>
        <w:tc>
          <w:tcPr>
            <w:tcW w:w="585" w:type="pct"/>
            <w:vAlign w:val="center"/>
          </w:tcPr>
          <w:p w14:paraId="419BEBDD" w14:textId="77777777" w:rsidR="0085120A" w:rsidRPr="000E152D" w:rsidRDefault="0085120A" w:rsidP="009B7624">
            <w:pPr>
              <w:pStyle w:val="In-tableHeading"/>
              <w:jc w:val="center"/>
              <w:rPr>
                <w:b w:val="0"/>
              </w:rPr>
            </w:pPr>
            <w:r w:rsidRPr="00F1330B">
              <w:rPr>
                <w:b w:val="0"/>
                <w:bCs/>
              </w:rPr>
              <w:t>2</w:t>
            </w:r>
          </w:p>
        </w:tc>
        <w:tc>
          <w:tcPr>
            <w:tcW w:w="585" w:type="pct"/>
            <w:vAlign w:val="center"/>
          </w:tcPr>
          <w:p w14:paraId="15B44392" w14:textId="77777777" w:rsidR="0085120A" w:rsidRPr="000E152D" w:rsidRDefault="0085120A" w:rsidP="009B7624">
            <w:pPr>
              <w:pStyle w:val="In-tableHeading"/>
              <w:jc w:val="center"/>
              <w:rPr>
                <w:b w:val="0"/>
              </w:rPr>
            </w:pPr>
            <w:r w:rsidRPr="00F1330B">
              <w:rPr>
                <w:b w:val="0"/>
                <w:bCs/>
              </w:rPr>
              <w:t>2</w:t>
            </w:r>
          </w:p>
        </w:tc>
        <w:tc>
          <w:tcPr>
            <w:tcW w:w="585" w:type="pct"/>
            <w:vAlign w:val="center"/>
          </w:tcPr>
          <w:p w14:paraId="3F90FA0D" w14:textId="77777777" w:rsidR="0085120A" w:rsidRPr="000E152D" w:rsidRDefault="0085120A" w:rsidP="009B7624">
            <w:pPr>
              <w:pStyle w:val="In-tableHeading"/>
              <w:jc w:val="center"/>
              <w:rPr>
                <w:b w:val="0"/>
              </w:rPr>
            </w:pPr>
            <w:r w:rsidRPr="00F1330B">
              <w:rPr>
                <w:b w:val="0"/>
                <w:bCs/>
              </w:rPr>
              <w:t>2</w:t>
            </w:r>
          </w:p>
        </w:tc>
      </w:tr>
      <w:tr w:rsidR="00F56C0C" w:rsidRPr="000E152D" w14:paraId="15FA681A" w14:textId="77777777" w:rsidTr="00011DA9">
        <w:tc>
          <w:tcPr>
            <w:tcW w:w="1491" w:type="pct"/>
          </w:tcPr>
          <w:p w14:paraId="19562A4E" w14:textId="32FEE8C0" w:rsidR="00FC5520" w:rsidRPr="00A17FB2" w:rsidRDefault="1836C947" w:rsidP="7C4E3BA4">
            <w:pPr>
              <w:pStyle w:val="TableText"/>
              <w:keepNext/>
              <w:rPr>
                <w:vertAlign w:val="superscript"/>
              </w:rPr>
            </w:pPr>
            <w:r w:rsidRPr="7C4E3BA4">
              <w:t>Additional mucopolysaccharidosis enzymes test costs ($388)</w:t>
            </w:r>
            <w:r w:rsidRPr="7C4E3BA4">
              <w:rPr>
                <w:vertAlign w:val="superscript"/>
              </w:rPr>
              <w:t>a</w:t>
            </w:r>
          </w:p>
        </w:tc>
        <w:tc>
          <w:tcPr>
            <w:tcW w:w="585" w:type="pct"/>
            <w:vAlign w:val="center"/>
          </w:tcPr>
          <w:p w14:paraId="19A1BC85" w14:textId="77777777" w:rsidR="00FC5520" w:rsidRPr="00FC5520" w:rsidRDefault="00FC5520" w:rsidP="009B7624">
            <w:pPr>
              <w:pStyle w:val="In-tableHeading"/>
              <w:jc w:val="center"/>
              <w:rPr>
                <w:b w:val="0"/>
                <w:bCs/>
                <w:lang w:val="en-AU"/>
              </w:rPr>
            </w:pPr>
            <w:r w:rsidRPr="00FC5520">
              <w:rPr>
                <w:b w:val="0"/>
                <w:bCs/>
              </w:rPr>
              <w:t>$936</w:t>
            </w:r>
          </w:p>
        </w:tc>
        <w:tc>
          <w:tcPr>
            <w:tcW w:w="585" w:type="pct"/>
            <w:vAlign w:val="center"/>
          </w:tcPr>
          <w:p w14:paraId="6CC9E70C" w14:textId="77777777" w:rsidR="00FC5520" w:rsidRPr="00FC5520" w:rsidRDefault="00FC5520" w:rsidP="009B7624">
            <w:pPr>
              <w:pStyle w:val="In-tableHeading"/>
              <w:jc w:val="center"/>
              <w:rPr>
                <w:b w:val="0"/>
                <w:bCs/>
                <w:lang w:val="en-AU"/>
              </w:rPr>
            </w:pPr>
            <w:r w:rsidRPr="00FC5520">
              <w:rPr>
                <w:b w:val="0"/>
                <w:bCs/>
              </w:rPr>
              <w:t>$935</w:t>
            </w:r>
          </w:p>
        </w:tc>
        <w:tc>
          <w:tcPr>
            <w:tcW w:w="585" w:type="pct"/>
            <w:vAlign w:val="center"/>
          </w:tcPr>
          <w:p w14:paraId="18B1A20F" w14:textId="77777777" w:rsidR="00FC5520" w:rsidRPr="00FC5520" w:rsidRDefault="00FC5520" w:rsidP="009B7624">
            <w:pPr>
              <w:pStyle w:val="In-tableHeading"/>
              <w:jc w:val="center"/>
              <w:rPr>
                <w:b w:val="0"/>
                <w:bCs/>
                <w:lang w:val="en-AU"/>
              </w:rPr>
            </w:pPr>
            <w:r w:rsidRPr="00FC5520">
              <w:rPr>
                <w:b w:val="0"/>
                <w:bCs/>
              </w:rPr>
              <w:t>$935</w:t>
            </w:r>
          </w:p>
        </w:tc>
        <w:tc>
          <w:tcPr>
            <w:tcW w:w="585" w:type="pct"/>
            <w:vAlign w:val="center"/>
          </w:tcPr>
          <w:p w14:paraId="71A2E619" w14:textId="77777777" w:rsidR="00FC5520" w:rsidRPr="00FC5520" w:rsidRDefault="00FC5520" w:rsidP="009B7624">
            <w:pPr>
              <w:pStyle w:val="In-tableHeading"/>
              <w:jc w:val="center"/>
              <w:rPr>
                <w:b w:val="0"/>
                <w:bCs/>
                <w:lang w:val="en-AU"/>
              </w:rPr>
            </w:pPr>
            <w:r w:rsidRPr="00FC5520">
              <w:rPr>
                <w:b w:val="0"/>
                <w:bCs/>
              </w:rPr>
              <w:t>$934</w:t>
            </w:r>
          </w:p>
        </w:tc>
        <w:tc>
          <w:tcPr>
            <w:tcW w:w="585" w:type="pct"/>
            <w:vAlign w:val="center"/>
          </w:tcPr>
          <w:p w14:paraId="11624652" w14:textId="77777777" w:rsidR="00FC5520" w:rsidRPr="00FC5520" w:rsidRDefault="00FC5520" w:rsidP="009B7624">
            <w:pPr>
              <w:pStyle w:val="In-tableHeading"/>
              <w:jc w:val="center"/>
              <w:rPr>
                <w:b w:val="0"/>
                <w:bCs/>
                <w:lang w:val="en-AU"/>
              </w:rPr>
            </w:pPr>
            <w:r w:rsidRPr="00FC5520">
              <w:rPr>
                <w:b w:val="0"/>
                <w:bCs/>
              </w:rPr>
              <w:t>$934</w:t>
            </w:r>
          </w:p>
        </w:tc>
        <w:tc>
          <w:tcPr>
            <w:tcW w:w="585" w:type="pct"/>
            <w:vAlign w:val="center"/>
          </w:tcPr>
          <w:p w14:paraId="0230675F" w14:textId="77777777" w:rsidR="00FC5520" w:rsidRPr="00FC5520" w:rsidRDefault="00FC5520" w:rsidP="009B7624">
            <w:pPr>
              <w:pStyle w:val="In-tableHeading"/>
              <w:jc w:val="center"/>
              <w:rPr>
                <w:b w:val="0"/>
                <w:bCs/>
                <w:lang w:val="en-AU"/>
              </w:rPr>
            </w:pPr>
            <w:r w:rsidRPr="00FC5520">
              <w:rPr>
                <w:b w:val="0"/>
                <w:bCs/>
              </w:rPr>
              <w:t>$934</w:t>
            </w:r>
          </w:p>
        </w:tc>
      </w:tr>
      <w:tr w:rsidR="00F56C0C" w:rsidRPr="000E152D" w14:paraId="06E84BC8" w14:textId="77777777" w:rsidTr="00011DA9">
        <w:tc>
          <w:tcPr>
            <w:tcW w:w="1491" w:type="pct"/>
          </w:tcPr>
          <w:p w14:paraId="427876F4" w14:textId="538EAB32" w:rsidR="00FC5520" w:rsidRPr="00496C73" w:rsidRDefault="1836C947" w:rsidP="7C4E3BA4">
            <w:pPr>
              <w:pStyle w:val="TableText"/>
              <w:keepNext/>
              <w:rPr>
                <w:vertAlign w:val="superscript"/>
              </w:rPr>
            </w:pPr>
            <w:r w:rsidRPr="7C4E3BA4">
              <w:t>Additional IDS genetic testing costs ($378)</w:t>
            </w:r>
            <w:r w:rsidRPr="7C4E3BA4">
              <w:rPr>
                <w:vertAlign w:val="superscript"/>
              </w:rPr>
              <w:t>a</w:t>
            </w:r>
          </w:p>
        </w:tc>
        <w:tc>
          <w:tcPr>
            <w:tcW w:w="585" w:type="pct"/>
            <w:vAlign w:val="center"/>
          </w:tcPr>
          <w:p w14:paraId="22784064" w14:textId="77777777" w:rsidR="00FC5520" w:rsidRPr="00FC5520" w:rsidRDefault="00FC5520" w:rsidP="009B7624">
            <w:pPr>
              <w:pStyle w:val="In-tableHeading"/>
              <w:jc w:val="center"/>
              <w:rPr>
                <w:b w:val="0"/>
                <w:bCs/>
                <w:lang w:val="en-AU"/>
              </w:rPr>
            </w:pPr>
            <w:r w:rsidRPr="00FC5520">
              <w:rPr>
                <w:b w:val="0"/>
                <w:bCs/>
              </w:rPr>
              <w:t>$911</w:t>
            </w:r>
          </w:p>
        </w:tc>
        <w:tc>
          <w:tcPr>
            <w:tcW w:w="585" w:type="pct"/>
            <w:vAlign w:val="center"/>
          </w:tcPr>
          <w:p w14:paraId="7A4AF652" w14:textId="77777777" w:rsidR="00FC5520" w:rsidRPr="00FC5520" w:rsidRDefault="00FC5520" w:rsidP="009B7624">
            <w:pPr>
              <w:pStyle w:val="In-tableHeading"/>
              <w:jc w:val="center"/>
              <w:rPr>
                <w:b w:val="0"/>
                <w:bCs/>
                <w:lang w:val="en-AU"/>
              </w:rPr>
            </w:pPr>
            <w:r w:rsidRPr="00FC5520">
              <w:rPr>
                <w:b w:val="0"/>
                <w:bCs/>
              </w:rPr>
              <w:t>$911</w:t>
            </w:r>
          </w:p>
        </w:tc>
        <w:tc>
          <w:tcPr>
            <w:tcW w:w="585" w:type="pct"/>
            <w:vAlign w:val="center"/>
          </w:tcPr>
          <w:p w14:paraId="28D89842" w14:textId="77777777" w:rsidR="00FC5520" w:rsidRPr="00FC5520" w:rsidRDefault="00FC5520" w:rsidP="009B7624">
            <w:pPr>
              <w:pStyle w:val="In-tableHeading"/>
              <w:jc w:val="center"/>
              <w:rPr>
                <w:b w:val="0"/>
                <w:bCs/>
                <w:lang w:val="en-AU"/>
              </w:rPr>
            </w:pPr>
            <w:r w:rsidRPr="00FC5520">
              <w:rPr>
                <w:b w:val="0"/>
                <w:bCs/>
              </w:rPr>
              <w:t>$911</w:t>
            </w:r>
          </w:p>
        </w:tc>
        <w:tc>
          <w:tcPr>
            <w:tcW w:w="585" w:type="pct"/>
            <w:vAlign w:val="center"/>
          </w:tcPr>
          <w:p w14:paraId="1855E82E" w14:textId="77777777" w:rsidR="00FC5520" w:rsidRPr="00FC5520" w:rsidRDefault="00FC5520" w:rsidP="009B7624">
            <w:pPr>
              <w:pStyle w:val="In-tableHeading"/>
              <w:jc w:val="center"/>
              <w:rPr>
                <w:b w:val="0"/>
                <w:bCs/>
                <w:lang w:val="en-AU"/>
              </w:rPr>
            </w:pPr>
            <w:r w:rsidRPr="00FC5520">
              <w:rPr>
                <w:b w:val="0"/>
                <w:bCs/>
              </w:rPr>
              <w:t>$910</w:t>
            </w:r>
          </w:p>
        </w:tc>
        <w:tc>
          <w:tcPr>
            <w:tcW w:w="585" w:type="pct"/>
            <w:vAlign w:val="center"/>
          </w:tcPr>
          <w:p w14:paraId="32B8FC23" w14:textId="77777777" w:rsidR="00FC5520" w:rsidRPr="00FC5520" w:rsidRDefault="00FC5520" w:rsidP="009B7624">
            <w:pPr>
              <w:pStyle w:val="In-tableHeading"/>
              <w:jc w:val="center"/>
              <w:rPr>
                <w:b w:val="0"/>
                <w:bCs/>
                <w:lang w:val="en-AU"/>
              </w:rPr>
            </w:pPr>
            <w:r w:rsidRPr="00FC5520">
              <w:rPr>
                <w:b w:val="0"/>
                <w:bCs/>
              </w:rPr>
              <w:t>$910</w:t>
            </w:r>
          </w:p>
        </w:tc>
        <w:tc>
          <w:tcPr>
            <w:tcW w:w="585" w:type="pct"/>
            <w:vAlign w:val="center"/>
          </w:tcPr>
          <w:p w14:paraId="7DAD92DE" w14:textId="77777777" w:rsidR="00FC5520" w:rsidRPr="00FC5520" w:rsidRDefault="00FC5520" w:rsidP="009B7624">
            <w:pPr>
              <w:pStyle w:val="In-tableHeading"/>
              <w:jc w:val="center"/>
              <w:rPr>
                <w:b w:val="0"/>
                <w:bCs/>
                <w:lang w:val="en-AU"/>
              </w:rPr>
            </w:pPr>
            <w:r w:rsidRPr="00FC5520">
              <w:rPr>
                <w:b w:val="0"/>
                <w:bCs/>
              </w:rPr>
              <w:t>$910</w:t>
            </w:r>
          </w:p>
        </w:tc>
      </w:tr>
      <w:tr w:rsidR="00F56C0C" w:rsidRPr="00274D9F" w14:paraId="0C56F4B8" w14:textId="77777777" w:rsidTr="00011DA9">
        <w:trPr>
          <w:trHeight w:val="307"/>
        </w:trPr>
        <w:tc>
          <w:tcPr>
            <w:tcW w:w="1491" w:type="pct"/>
          </w:tcPr>
          <w:p w14:paraId="18AFF852" w14:textId="2A5C50B8" w:rsidR="00FC5520" w:rsidRPr="00A17FB2" w:rsidRDefault="1836C947" w:rsidP="7C4E3BA4">
            <w:pPr>
              <w:pStyle w:val="TableText"/>
              <w:keepNext/>
              <w:rPr>
                <w:vertAlign w:val="superscript"/>
              </w:rPr>
            </w:pPr>
            <w:r w:rsidRPr="7C4E3BA4">
              <w:t xml:space="preserve">Additional </w:t>
            </w:r>
            <w:r w:rsidR="00881D71">
              <w:t>famil</w:t>
            </w:r>
            <w:r w:rsidR="001711C4">
              <w:t>y member</w:t>
            </w:r>
            <w:r w:rsidR="00881D71" w:rsidRPr="7C4E3BA4">
              <w:t xml:space="preserve"> </w:t>
            </w:r>
            <w:r w:rsidRPr="7C4E3BA4">
              <w:t>genetic testing costs ($500)</w:t>
            </w:r>
            <w:r w:rsidRPr="7C4E3BA4">
              <w:rPr>
                <w:vertAlign w:val="superscript"/>
              </w:rPr>
              <w:t>b</w:t>
            </w:r>
          </w:p>
        </w:tc>
        <w:tc>
          <w:tcPr>
            <w:tcW w:w="585" w:type="pct"/>
            <w:vAlign w:val="center"/>
          </w:tcPr>
          <w:p w14:paraId="31D63243" w14:textId="77777777" w:rsidR="00FC5520" w:rsidRPr="00FC5520" w:rsidRDefault="00FC5520" w:rsidP="009B7624">
            <w:pPr>
              <w:pStyle w:val="In-tableHeading"/>
              <w:jc w:val="center"/>
              <w:rPr>
                <w:b w:val="0"/>
                <w:bCs/>
                <w:lang w:val="en-AU"/>
              </w:rPr>
            </w:pPr>
            <w:r w:rsidRPr="00FC5520">
              <w:rPr>
                <w:b w:val="0"/>
                <w:bCs/>
              </w:rPr>
              <w:t>$2,291</w:t>
            </w:r>
          </w:p>
        </w:tc>
        <w:tc>
          <w:tcPr>
            <w:tcW w:w="585" w:type="pct"/>
            <w:vAlign w:val="center"/>
          </w:tcPr>
          <w:p w14:paraId="01531154" w14:textId="77777777" w:rsidR="00FC5520" w:rsidRPr="00FC5520" w:rsidRDefault="00FC5520" w:rsidP="009B7624">
            <w:pPr>
              <w:pStyle w:val="In-tableHeading"/>
              <w:jc w:val="center"/>
              <w:rPr>
                <w:b w:val="0"/>
                <w:bCs/>
                <w:lang w:val="en-AU"/>
              </w:rPr>
            </w:pPr>
            <w:r w:rsidRPr="00FC5520">
              <w:rPr>
                <w:b w:val="0"/>
                <w:bCs/>
              </w:rPr>
              <w:t>$2,290</w:t>
            </w:r>
          </w:p>
        </w:tc>
        <w:tc>
          <w:tcPr>
            <w:tcW w:w="585" w:type="pct"/>
            <w:vAlign w:val="center"/>
          </w:tcPr>
          <w:p w14:paraId="6ACC86F3" w14:textId="77777777" w:rsidR="00FC5520" w:rsidRPr="00FC5520" w:rsidRDefault="00FC5520" w:rsidP="009B7624">
            <w:pPr>
              <w:pStyle w:val="In-tableHeading"/>
              <w:jc w:val="center"/>
              <w:rPr>
                <w:b w:val="0"/>
                <w:bCs/>
                <w:lang w:val="en-AU"/>
              </w:rPr>
            </w:pPr>
            <w:r w:rsidRPr="00FC5520">
              <w:rPr>
                <w:b w:val="0"/>
                <w:bCs/>
              </w:rPr>
              <w:t>$2,289</w:t>
            </w:r>
          </w:p>
        </w:tc>
        <w:tc>
          <w:tcPr>
            <w:tcW w:w="585" w:type="pct"/>
            <w:vAlign w:val="center"/>
          </w:tcPr>
          <w:p w14:paraId="43620466" w14:textId="77777777" w:rsidR="00FC5520" w:rsidRPr="00FC5520" w:rsidRDefault="00FC5520" w:rsidP="009B7624">
            <w:pPr>
              <w:pStyle w:val="In-tableHeading"/>
              <w:jc w:val="center"/>
              <w:rPr>
                <w:b w:val="0"/>
                <w:bCs/>
                <w:lang w:val="en-AU"/>
              </w:rPr>
            </w:pPr>
            <w:r w:rsidRPr="00FC5520">
              <w:rPr>
                <w:b w:val="0"/>
                <w:bCs/>
              </w:rPr>
              <w:t>$2,288</w:t>
            </w:r>
          </w:p>
        </w:tc>
        <w:tc>
          <w:tcPr>
            <w:tcW w:w="585" w:type="pct"/>
            <w:vAlign w:val="center"/>
          </w:tcPr>
          <w:p w14:paraId="224FA6A1" w14:textId="77777777" w:rsidR="00FC5520" w:rsidRPr="00FC5520" w:rsidRDefault="00FC5520" w:rsidP="009B7624">
            <w:pPr>
              <w:pStyle w:val="In-tableHeading"/>
              <w:jc w:val="center"/>
              <w:rPr>
                <w:b w:val="0"/>
                <w:bCs/>
                <w:lang w:val="en-AU"/>
              </w:rPr>
            </w:pPr>
            <w:r w:rsidRPr="00FC5520">
              <w:rPr>
                <w:b w:val="0"/>
                <w:bCs/>
              </w:rPr>
              <w:t>$2,287</w:t>
            </w:r>
          </w:p>
        </w:tc>
        <w:tc>
          <w:tcPr>
            <w:tcW w:w="585" w:type="pct"/>
            <w:vAlign w:val="center"/>
          </w:tcPr>
          <w:p w14:paraId="64B845B4" w14:textId="77777777" w:rsidR="00FC5520" w:rsidRPr="00FC5520" w:rsidRDefault="00FC5520" w:rsidP="009B7624">
            <w:pPr>
              <w:pStyle w:val="In-tableHeading"/>
              <w:jc w:val="center"/>
              <w:rPr>
                <w:b w:val="0"/>
                <w:bCs/>
                <w:lang w:val="en-AU"/>
              </w:rPr>
            </w:pPr>
            <w:r w:rsidRPr="00FC5520">
              <w:rPr>
                <w:b w:val="0"/>
                <w:bCs/>
              </w:rPr>
              <w:t>$2,286</w:t>
            </w:r>
          </w:p>
        </w:tc>
      </w:tr>
      <w:tr w:rsidR="00F56C0C" w:rsidRPr="00274D9F" w14:paraId="3700D3F6" w14:textId="77777777" w:rsidTr="00011DA9">
        <w:trPr>
          <w:trHeight w:val="307"/>
        </w:trPr>
        <w:tc>
          <w:tcPr>
            <w:tcW w:w="1491" w:type="pct"/>
          </w:tcPr>
          <w:p w14:paraId="7EF6E0A6" w14:textId="22B4D788" w:rsidR="002371AC" w:rsidRPr="0034386D" w:rsidRDefault="3C0BF481" w:rsidP="7C4E3BA4">
            <w:pPr>
              <w:pStyle w:val="TableText"/>
              <w:keepNext/>
              <w:rPr>
                <w:vertAlign w:val="superscript"/>
              </w:rPr>
            </w:pPr>
            <w:r w:rsidRPr="7C4E3BA4">
              <w:t xml:space="preserve">Patients </w:t>
            </w:r>
            <w:r w:rsidR="59BB7F04" w:rsidRPr="7C4E3BA4">
              <w:t xml:space="preserve">receiving earlier treatment due to </w:t>
            </w:r>
            <w:r w:rsidR="6C9711B7" w:rsidRPr="7C4E3BA4">
              <w:t>NBS</w:t>
            </w:r>
            <w:r w:rsidR="6C9711B7" w:rsidRPr="7C4E3BA4">
              <w:rPr>
                <w:vertAlign w:val="superscript"/>
              </w:rPr>
              <w:t xml:space="preserve">c </w:t>
            </w:r>
          </w:p>
        </w:tc>
        <w:tc>
          <w:tcPr>
            <w:tcW w:w="585" w:type="pct"/>
            <w:vAlign w:val="center"/>
          </w:tcPr>
          <w:p w14:paraId="60154E24" w14:textId="77777777" w:rsidR="002371AC" w:rsidRPr="002371AC" w:rsidRDefault="002371AC" w:rsidP="009B7624">
            <w:pPr>
              <w:pStyle w:val="In-tableHeading"/>
              <w:jc w:val="center"/>
              <w:rPr>
                <w:b w:val="0"/>
                <w:bCs/>
              </w:rPr>
            </w:pPr>
            <w:r w:rsidRPr="002371AC">
              <w:rPr>
                <w:b w:val="0"/>
                <w:bCs/>
              </w:rPr>
              <w:t>1.42</w:t>
            </w:r>
          </w:p>
        </w:tc>
        <w:tc>
          <w:tcPr>
            <w:tcW w:w="585" w:type="pct"/>
            <w:vAlign w:val="center"/>
          </w:tcPr>
          <w:p w14:paraId="2C63B570" w14:textId="77777777" w:rsidR="002371AC" w:rsidRPr="002371AC" w:rsidRDefault="002371AC" w:rsidP="009B7624">
            <w:pPr>
              <w:pStyle w:val="In-tableHeading"/>
              <w:jc w:val="center"/>
              <w:rPr>
                <w:b w:val="0"/>
                <w:bCs/>
              </w:rPr>
            </w:pPr>
            <w:r w:rsidRPr="002371AC">
              <w:rPr>
                <w:b w:val="0"/>
                <w:bCs/>
              </w:rPr>
              <w:t>2.85</w:t>
            </w:r>
          </w:p>
        </w:tc>
        <w:tc>
          <w:tcPr>
            <w:tcW w:w="585" w:type="pct"/>
            <w:vAlign w:val="center"/>
          </w:tcPr>
          <w:p w14:paraId="083454EB" w14:textId="77777777" w:rsidR="002371AC" w:rsidRPr="002371AC" w:rsidRDefault="002371AC" w:rsidP="009B7624">
            <w:pPr>
              <w:pStyle w:val="In-tableHeading"/>
              <w:jc w:val="center"/>
              <w:rPr>
                <w:b w:val="0"/>
                <w:bCs/>
              </w:rPr>
            </w:pPr>
            <w:r w:rsidRPr="002371AC">
              <w:rPr>
                <w:b w:val="0"/>
                <w:bCs/>
              </w:rPr>
              <w:t>4.28</w:t>
            </w:r>
          </w:p>
        </w:tc>
        <w:tc>
          <w:tcPr>
            <w:tcW w:w="585" w:type="pct"/>
            <w:vAlign w:val="center"/>
          </w:tcPr>
          <w:p w14:paraId="5AAA7CEF" w14:textId="77777777" w:rsidR="002371AC" w:rsidRPr="002371AC" w:rsidRDefault="002371AC" w:rsidP="009B7624">
            <w:pPr>
              <w:pStyle w:val="In-tableHeading"/>
              <w:jc w:val="center"/>
              <w:rPr>
                <w:b w:val="0"/>
                <w:bCs/>
              </w:rPr>
            </w:pPr>
            <w:r w:rsidRPr="002371AC">
              <w:rPr>
                <w:b w:val="0"/>
                <w:bCs/>
              </w:rPr>
              <w:t>4.28</w:t>
            </w:r>
          </w:p>
        </w:tc>
        <w:tc>
          <w:tcPr>
            <w:tcW w:w="585" w:type="pct"/>
            <w:vAlign w:val="center"/>
          </w:tcPr>
          <w:p w14:paraId="5987B430" w14:textId="77777777" w:rsidR="002371AC" w:rsidRPr="002371AC" w:rsidRDefault="002371AC" w:rsidP="009B7624">
            <w:pPr>
              <w:pStyle w:val="In-tableHeading"/>
              <w:jc w:val="center"/>
              <w:rPr>
                <w:b w:val="0"/>
                <w:bCs/>
              </w:rPr>
            </w:pPr>
            <w:r w:rsidRPr="002371AC">
              <w:rPr>
                <w:b w:val="0"/>
                <w:bCs/>
              </w:rPr>
              <w:t>4.75</w:t>
            </w:r>
          </w:p>
        </w:tc>
        <w:tc>
          <w:tcPr>
            <w:tcW w:w="585" w:type="pct"/>
            <w:vAlign w:val="center"/>
          </w:tcPr>
          <w:p w14:paraId="46188DB3" w14:textId="77777777" w:rsidR="002371AC" w:rsidRPr="002371AC" w:rsidRDefault="002371AC" w:rsidP="009B7624">
            <w:pPr>
              <w:pStyle w:val="In-tableHeading"/>
              <w:jc w:val="center"/>
              <w:rPr>
                <w:b w:val="0"/>
                <w:bCs/>
              </w:rPr>
            </w:pPr>
            <w:r w:rsidRPr="002371AC">
              <w:rPr>
                <w:b w:val="0"/>
                <w:bCs/>
              </w:rPr>
              <w:t>5.21</w:t>
            </w:r>
          </w:p>
        </w:tc>
      </w:tr>
      <w:tr w:rsidR="00F56C0C" w:rsidRPr="00274D9F" w14:paraId="296D503C" w14:textId="77777777" w:rsidTr="00011DA9">
        <w:trPr>
          <w:trHeight w:val="307"/>
        </w:trPr>
        <w:tc>
          <w:tcPr>
            <w:tcW w:w="1491" w:type="pct"/>
          </w:tcPr>
          <w:p w14:paraId="12231250" w14:textId="246BC447" w:rsidR="00183A23" w:rsidRPr="00844425" w:rsidRDefault="5643D3B5" w:rsidP="0084673B">
            <w:pPr>
              <w:pStyle w:val="TableText"/>
              <w:keepNext/>
              <w:rPr>
                <w:vertAlign w:val="superscript"/>
              </w:rPr>
            </w:pPr>
            <w:r w:rsidRPr="7C4E3BA4">
              <w:t>Cost increase due to earlier ERT administration</w:t>
            </w:r>
            <w:r w:rsidR="0084673B">
              <w:t xml:space="preserve"> </w:t>
            </w:r>
            <w:r w:rsidRPr="7C4E3BA4">
              <w:t>(</w:t>
            </w:r>
            <w:r w:rsidR="008033B4" w:rsidRPr="008D12FB">
              <w:t>$</w:t>
            </w:r>
            <w:r w:rsidR="008033B4" w:rsidRPr="00011DA9">
              <w:rPr>
                <w:b/>
              </w:rPr>
              <w:t>Redacted</w:t>
            </w:r>
            <w:r w:rsidRPr="7C4E3BA4">
              <w:t>/year of earlier Tx)</w:t>
            </w:r>
            <w:r w:rsidRPr="7C4E3BA4">
              <w:rPr>
                <w:vertAlign w:val="superscript"/>
              </w:rPr>
              <w:t>d</w:t>
            </w:r>
          </w:p>
        </w:tc>
        <w:tc>
          <w:tcPr>
            <w:tcW w:w="585" w:type="pct"/>
            <w:vAlign w:val="center"/>
          </w:tcPr>
          <w:p w14:paraId="66824879" w14:textId="55559B74" w:rsidR="00183A23"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2F2339C0" w14:textId="50398BCE" w:rsidR="00183A23" w:rsidRPr="00D872DA" w:rsidRDefault="00183A23" w:rsidP="009B7624">
            <w:pPr>
              <w:pStyle w:val="In-tableHeading"/>
              <w:jc w:val="center"/>
              <w:rPr>
                <w:b w:val="0"/>
                <w:highlight w:val="yellow"/>
              </w:rPr>
            </w:pPr>
            <w:r w:rsidRPr="00011DA9">
              <w:rPr>
                <w:b w:val="0"/>
              </w:rPr>
              <w:t>$</w:t>
            </w:r>
            <w:r w:rsidR="008033B4" w:rsidRPr="00011DA9">
              <w:rPr>
                <w:bCs/>
              </w:rPr>
              <w:t>Redacted</w:t>
            </w:r>
          </w:p>
        </w:tc>
        <w:tc>
          <w:tcPr>
            <w:tcW w:w="585" w:type="pct"/>
            <w:vAlign w:val="center"/>
          </w:tcPr>
          <w:p w14:paraId="756B54E3" w14:textId="4AB52F6F" w:rsidR="00183A23"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31A47603" w14:textId="23E987BF" w:rsidR="00183A23"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0D501A26" w14:textId="51097CBB" w:rsidR="00183A23"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5507DB1A" w14:textId="740303AC" w:rsidR="00183A23" w:rsidRPr="00D872DA" w:rsidRDefault="008033B4" w:rsidP="009B7624">
            <w:pPr>
              <w:pStyle w:val="In-tableHeading"/>
              <w:jc w:val="center"/>
              <w:rPr>
                <w:b w:val="0"/>
                <w:highlight w:val="yellow"/>
              </w:rPr>
            </w:pPr>
            <w:r w:rsidRPr="008D12FB">
              <w:rPr>
                <w:b w:val="0"/>
              </w:rPr>
              <w:t>$</w:t>
            </w:r>
            <w:r w:rsidRPr="008D12FB">
              <w:rPr>
                <w:bCs/>
              </w:rPr>
              <w:t>Redacted</w:t>
            </w:r>
          </w:p>
        </w:tc>
      </w:tr>
      <w:tr w:rsidR="00F56C0C" w:rsidRPr="00274D9F" w14:paraId="3DA6EF14" w14:textId="77777777" w:rsidTr="00011DA9">
        <w:trPr>
          <w:trHeight w:val="307"/>
        </w:trPr>
        <w:tc>
          <w:tcPr>
            <w:tcW w:w="1491" w:type="pct"/>
          </w:tcPr>
          <w:p w14:paraId="61ABD4D4" w14:textId="2AA9F8C9" w:rsidR="00021142" w:rsidRPr="008233EE" w:rsidRDefault="13FD2821" w:rsidP="7C4E3BA4">
            <w:pPr>
              <w:pStyle w:val="TableText"/>
              <w:keepNext/>
              <w:rPr>
                <w:vertAlign w:val="superscript"/>
              </w:rPr>
            </w:pPr>
            <w:r w:rsidRPr="7C4E3BA4">
              <w:t>Cost increase due to earlier GAG analyses monitoring ($167)</w:t>
            </w:r>
            <w:r w:rsidRPr="7C4E3BA4">
              <w:rPr>
                <w:vertAlign w:val="superscript"/>
              </w:rPr>
              <w:t>e,f</w:t>
            </w:r>
          </w:p>
        </w:tc>
        <w:tc>
          <w:tcPr>
            <w:tcW w:w="585" w:type="pct"/>
            <w:vAlign w:val="center"/>
          </w:tcPr>
          <w:p w14:paraId="1810AA5A" w14:textId="77777777" w:rsidR="00021142" w:rsidRPr="00021142" w:rsidRDefault="00021142" w:rsidP="009B7624">
            <w:pPr>
              <w:pStyle w:val="In-tableHeading"/>
              <w:jc w:val="center"/>
              <w:rPr>
                <w:b w:val="0"/>
                <w:bCs/>
              </w:rPr>
            </w:pPr>
            <w:r w:rsidRPr="00021142">
              <w:rPr>
                <w:b w:val="0"/>
                <w:bCs/>
              </w:rPr>
              <w:t>$2,872</w:t>
            </w:r>
          </w:p>
        </w:tc>
        <w:tc>
          <w:tcPr>
            <w:tcW w:w="585" w:type="pct"/>
            <w:vAlign w:val="center"/>
          </w:tcPr>
          <w:p w14:paraId="5263F04C" w14:textId="77777777" w:rsidR="00021142" w:rsidRPr="00021142" w:rsidRDefault="00021142" w:rsidP="009B7624">
            <w:pPr>
              <w:pStyle w:val="In-tableHeading"/>
              <w:jc w:val="center"/>
              <w:rPr>
                <w:b w:val="0"/>
                <w:bCs/>
              </w:rPr>
            </w:pPr>
            <w:r w:rsidRPr="00021142">
              <w:rPr>
                <w:b w:val="0"/>
                <w:bCs/>
              </w:rPr>
              <w:t>$5,745</w:t>
            </w:r>
          </w:p>
        </w:tc>
        <w:tc>
          <w:tcPr>
            <w:tcW w:w="585" w:type="pct"/>
            <w:vAlign w:val="center"/>
          </w:tcPr>
          <w:p w14:paraId="5F0676E3" w14:textId="77777777" w:rsidR="00021142" w:rsidRPr="00021142" w:rsidRDefault="00021142" w:rsidP="009B7624">
            <w:pPr>
              <w:pStyle w:val="In-tableHeading"/>
              <w:jc w:val="center"/>
              <w:rPr>
                <w:b w:val="0"/>
                <w:bCs/>
              </w:rPr>
            </w:pPr>
            <w:r w:rsidRPr="00021142">
              <w:rPr>
                <w:b w:val="0"/>
                <w:bCs/>
              </w:rPr>
              <w:t>$7,657</w:t>
            </w:r>
          </w:p>
        </w:tc>
        <w:tc>
          <w:tcPr>
            <w:tcW w:w="585" w:type="pct"/>
            <w:vAlign w:val="center"/>
          </w:tcPr>
          <w:p w14:paraId="160BD628" w14:textId="77777777" w:rsidR="00021142" w:rsidRPr="00021142" w:rsidRDefault="00021142" w:rsidP="009B7624">
            <w:pPr>
              <w:pStyle w:val="In-tableHeading"/>
              <w:jc w:val="center"/>
              <w:rPr>
                <w:b w:val="0"/>
                <w:bCs/>
              </w:rPr>
            </w:pPr>
            <w:r w:rsidRPr="00021142">
              <w:rPr>
                <w:b w:val="0"/>
                <w:bCs/>
              </w:rPr>
              <w:t>$8,617</w:t>
            </w:r>
          </w:p>
        </w:tc>
        <w:tc>
          <w:tcPr>
            <w:tcW w:w="585" w:type="pct"/>
            <w:vAlign w:val="center"/>
          </w:tcPr>
          <w:p w14:paraId="5F238164" w14:textId="77777777" w:rsidR="00021142" w:rsidRPr="00021142" w:rsidRDefault="00021142" w:rsidP="009B7624">
            <w:pPr>
              <w:pStyle w:val="In-tableHeading"/>
              <w:jc w:val="center"/>
              <w:rPr>
                <w:b w:val="0"/>
                <w:bCs/>
              </w:rPr>
            </w:pPr>
            <w:r w:rsidRPr="00021142">
              <w:rPr>
                <w:b w:val="0"/>
                <w:bCs/>
              </w:rPr>
              <w:t>$9,578</w:t>
            </w:r>
          </w:p>
        </w:tc>
        <w:tc>
          <w:tcPr>
            <w:tcW w:w="585" w:type="pct"/>
            <w:vAlign w:val="center"/>
          </w:tcPr>
          <w:p w14:paraId="7027B064" w14:textId="77777777" w:rsidR="00021142" w:rsidRPr="00021142" w:rsidRDefault="00021142" w:rsidP="009B7624">
            <w:pPr>
              <w:pStyle w:val="In-tableHeading"/>
              <w:jc w:val="center"/>
              <w:rPr>
                <w:b w:val="0"/>
                <w:bCs/>
              </w:rPr>
            </w:pPr>
            <w:r w:rsidRPr="00021142">
              <w:rPr>
                <w:b w:val="0"/>
                <w:bCs/>
              </w:rPr>
              <w:t>$10,538</w:t>
            </w:r>
          </w:p>
        </w:tc>
      </w:tr>
      <w:tr w:rsidR="00F56C0C" w:rsidRPr="00274D9F" w14:paraId="46467801" w14:textId="77777777" w:rsidTr="00011DA9">
        <w:trPr>
          <w:trHeight w:val="307"/>
        </w:trPr>
        <w:tc>
          <w:tcPr>
            <w:tcW w:w="1491" w:type="pct"/>
          </w:tcPr>
          <w:p w14:paraId="482EAAC1" w14:textId="106D60FA" w:rsidR="00BF17AA" w:rsidRPr="00844425" w:rsidRDefault="1F7C4C1A" w:rsidP="00BF17AA">
            <w:pPr>
              <w:pStyle w:val="TableText"/>
              <w:keepNext/>
            </w:pPr>
            <w:r w:rsidRPr="7C4E3BA4">
              <w:t>Cost reduction due to NBS GAG analyses shifted to NBS program</w:t>
            </w:r>
            <w:r w:rsidRPr="7C4E3BA4">
              <w:rPr>
                <w:vertAlign w:val="superscript"/>
              </w:rPr>
              <w:t>f</w:t>
            </w:r>
            <w:r w:rsidRPr="7C4E3BA4">
              <w:t xml:space="preserve"> </w:t>
            </w:r>
          </w:p>
        </w:tc>
        <w:tc>
          <w:tcPr>
            <w:tcW w:w="585" w:type="pct"/>
            <w:vAlign w:val="center"/>
          </w:tcPr>
          <w:p w14:paraId="41599BCF" w14:textId="77777777" w:rsidR="00BF17AA" w:rsidRPr="00BF17AA" w:rsidRDefault="00BF17AA" w:rsidP="009B7624">
            <w:pPr>
              <w:pStyle w:val="In-tableHeading"/>
              <w:jc w:val="center"/>
              <w:rPr>
                <w:b w:val="0"/>
                <w:bCs/>
              </w:rPr>
            </w:pPr>
            <w:r w:rsidRPr="00BF17AA">
              <w:rPr>
                <w:b w:val="0"/>
                <w:bCs/>
              </w:rPr>
              <w:t>-$315</w:t>
            </w:r>
          </w:p>
        </w:tc>
        <w:tc>
          <w:tcPr>
            <w:tcW w:w="585" w:type="pct"/>
            <w:vAlign w:val="center"/>
          </w:tcPr>
          <w:p w14:paraId="25BB2B0B" w14:textId="77777777" w:rsidR="00BF17AA" w:rsidRPr="00BF17AA" w:rsidRDefault="00BF17AA" w:rsidP="009B7624">
            <w:pPr>
              <w:pStyle w:val="In-tableHeading"/>
              <w:jc w:val="center"/>
              <w:rPr>
                <w:b w:val="0"/>
                <w:bCs/>
              </w:rPr>
            </w:pPr>
            <w:r w:rsidRPr="00BF17AA">
              <w:rPr>
                <w:b w:val="0"/>
                <w:bCs/>
              </w:rPr>
              <w:t>-$316</w:t>
            </w:r>
          </w:p>
        </w:tc>
        <w:tc>
          <w:tcPr>
            <w:tcW w:w="585" w:type="pct"/>
            <w:vAlign w:val="center"/>
          </w:tcPr>
          <w:p w14:paraId="186F0C7B" w14:textId="77777777" w:rsidR="00BF17AA" w:rsidRPr="00BF17AA" w:rsidRDefault="00BF17AA" w:rsidP="009B7624">
            <w:pPr>
              <w:pStyle w:val="In-tableHeading"/>
              <w:jc w:val="center"/>
              <w:rPr>
                <w:b w:val="0"/>
                <w:bCs/>
              </w:rPr>
            </w:pPr>
            <w:r w:rsidRPr="00BF17AA">
              <w:rPr>
                <w:b w:val="0"/>
                <w:bCs/>
              </w:rPr>
              <w:t>-$316</w:t>
            </w:r>
          </w:p>
        </w:tc>
        <w:tc>
          <w:tcPr>
            <w:tcW w:w="585" w:type="pct"/>
            <w:vAlign w:val="center"/>
          </w:tcPr>
          <w:p w14:paraId="773E8919" w14:textId="77777777" w:rsidR="00BF17AA" w:rsidRPr="00BF17AA" w:rsidRDefault="00BF17AA" w:rsidP="009B7624">
            <w:pPr>
              <w:pStyle w:val="In-tableHeading"/>
              <w:jc w:val="center"/>
              <w:rPr>
                <w:b w:val="0"/>
                <w:bCs/>
              </w:rPr>
            </w:pPr>
            <w:r w:rsidRPr="00BF17AA">
              <w:rPr>
                <w:b w:val="0"/>
                <w:bCs/>
              </w:rPr>
              <w:t>-$316</w:t>
            </w:r>
          </w:p>
        </w:tc>
        <w:tc>
          <w:tcPr>
            <w:tcW w:w="585" w:type="pct"/>
            <w:vAlign w:val="center"/>
          </w:tcPr>
          <w:p w14:paraId="351E69B0" w14:textId="77777777" w:rsidR="00BF17AA" w:rsidRPr="00BF17AA" w:rsidRDefault="00BF17AA" w:rsidP="009B7624">
            <w:pPr>
              <w:pStyle w:val="In-tableHeading"/>
              <w:jc w:val="center"/>
              <w:rPr>
                <w:b w:val="0"/>
                <w:bCs/>
              </w:rPr>
            </w:pPr>
            <w:r w:rsidRPr="00BF17AA">
              <w:rPr>
                <w:b w:val="0"/>
                <w:bCs/>
              </w:rPr>
              <w:t>-$316</w:t>
            </w:r>
          </w:p>
        </w:tc>
        <w:tc>
          <w:tcPr>
            <w:tcW w:w="585" w:type="pct"/>
            <w:vAlign w:val="center"/>
          </w:tcPr>
          <w:p w14:paraId="6AC9441A" w14:textId="77777777" w:rsidR="00BF17AA" w:rsidRPr="00BF17AA" w:rsidRDefault="00BF17AA" w:rsidP="009B7624">
            <w:pPr>
              <w:pStyle w:val="In-tableHeading"/>
              <w:jc w:val="center"/>
              <w:rPr>
                <w:b w:val="0"/>
                <w:bCs/>
              </w:rPr>
            </w:pPr>
            <w:r w:rsidRPr="00BF17AA">
              <w:rPr>
                <w:b w:val="0"/>
                <w:bCs/>
              </w:rPr>
              <w:t>-$316</w:t>
            </w:r>
          </w:p>
        </w:tc>
      </w:tr>
      <w:tr w:rsidR="00F56C0C" w:rsidRPr="00274D9F" w14:paraId="12018430" w14:textId="77777777" w:rsidTr="00011DA9">
        <w:trPr>
          <w:trHeight w:val="307"/>
        </w:trPr>
        <w:tc>
          <w:tcPr>
            <w:tcW w:w="1491" w:type="pct"/>
          </w:tcPr>
          <w:p w14:paraId="1876A132" w14:textId="77777777" w:rsidR="00BF17AA" w:rsidRDefault="00BF17AA" w:rsidP="00BF17AA">
            <w:pPr>
              <w:pStyle w:val="TableText"/>
              <w:keepNext/>
            </w:pPr>
            <w:r w:rsidRPr="00F1330B">
              <w:rPr>
                <w:b/>
                <w:bCs/>
              </w:rPr>
              <w:t>Total</w:t>
            </w:r>
            <w:r>
              <w:rPr>
                <w:b/>
                <w:bCs/>
              </w:rPr>
              <w:t xml:space="preserve"> net</w:t>
            </w:r>
            <w:r w:rsidRPr="00F1330B">
              <w:rPr>
                <w:b/>
                <w:bCs/>
              </w:rPr>
              <w:t xml:space="preserve"> costs</w:t>
            </w:r>
            <w:r>
              <w:rPr>
                <w:b/>
                <w:bCs/>
              </w:rPr>
              <w:t xml:space="preserve"> to State and Territory health budgets</w:t>
            </w:r>
          </w:p>
        </w:tc>
        <w:tc>
          <w:tcPr>
            <w:tcW w:w="585" w:type="pct"/>
            <w:vAlign w:val="center"/>
          </w:tcPr>
          <w:p w14:paraId="1A12C50C" w14:textId="32B0D359" w:rsidR="00BF17AA"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5D1E1495" w14:textId="44A8CC88" w:rsidR="00BF17AA"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66086CF2" w14:textId="1ABB5706" w:rsidR="00BF17AA"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6C48716E" w14:textId="20063DF3" w:rsidR="00BF17AA"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323469EB" w14:textId="2A8352AB" w:rsidR="00BF17AA" w:rsidRPr="00D872DA" w:rsidRDefault="008033B4" w:rsidP="009B7624">
            <w:pPr>
              <w:pStyle w:val="In-tableHeading"/>
              <w:jc w:val="center"/>
              <w:rPr>
                <w:b w:val="0"/>
                <w:highlight w:val="yellow"/>
              </w:rPr>
            </w:pPr>
            <w:r w:rsidRPr="008D12FB">
              <w:rPr>
                <w:b w:val="0"/>
              </w:rPr>
              <w:t>$</w:t>
            </w:r>
            <w:r w:rsidRPr="008D12FB">
              <w:rPr>
                <w:bCs/>
              </w:rPr>
              <w:t>Redacted</w:t>
            </w:r>
          </w:p>
        </w:tc>
        <w:tc>
          <w:tcPr>
            <w:tcW w:w="585" w:type="pct"/>
            <w:vAlign w:val="center"/>
          </w:tcPr>
          <w:p w14:paraId="1FD03803" w14:textId="0B07373A" w:rsidR="00BF17AA" w:rsidRPr="00D872DA" w:rsidRDefault="008033B4" w:rsidP="009B7624">
            <w:pPr>
              <w:pStyle w:val="In-tableHeading"/>
              <w:jc w:val="center"/>
              <w:rPr>
                <w:b w:val="0"/>
                <w:highlight w:val="yellow"/>
              </w:rPr>
            </w:pPr>
            <w:r w:rsidRPr="008D12FB">
              <w:rPr>
                <w:b w:val="0"/>
              </w:rPr>
              <w:t>$</w:t>
            </w:r>
            <w:r w:rsidRPr="008D12FB">
              <w:rPr>
                <w:bCs/>
              </w:rPr>
              <w:t>Redacted</w:t>
            </w:r>
          </w:p>
        </w:tc>
      </w:tr>
    </w:tbl>
    <w:p w14:paraId="5F38E8A6" w14:textId="1F162DB6" w:rsidR="00554A80" w:rsidRDefault="00357FEF" w:rsidP="00B8514E">
      <w:pPr>
        <w:pStyle w:val="TableFigureFooter"/>
      </w:pPr>
      <w:r>
        <w:t>ERT = enzyme replacement therapy; GAG = glycosaminoglycan; IDS = iduronate 2-sulphatase; MPS II = mucopolysaccharidosis Type II; NBS = newborn bloodspot screening</w:t>
      </w:r>
      <w:r w:rsidR="2E803A3B">
        <w:t>; Tx = treatment</w:t>
      </w:r>
    </w:p>
    <w:p w14:paraId="2541FF86" w14:textId="4F9932CD" w:rsidR="008F2D95" w:rsidRDefault="1A5ED604" w:rsidP="00B8514E">
      <w:pPr>
        <w:pStyle w:val="TableFigureFooter"/>
      </w:pPr>
      <w:r w:rsidRPr="7C4E3BA4">
        <w:rPr>
          <w:vertAlign w:val="superscript"/>
        </w:rPr>
        <w:t xml:space="preserve">a </w:t>
      </w:r>
      <w:r w:rsidRPr="7C4E3BA4">
        <w:t>Costs sourced from the SA Pathology Collection Guide. The NRL</w:t>
      </w:r>
      <w:r w:rsidR="5F64409C" w:rsidRPr="7C4E3BA4">
        <w:t xml:space="preserve"> at the AWCH</w:t>
      </w:r>
      <w:r w:rsidRPr="7C4E3BA4">
        <w:t xml:space="preserve"> is the only facility who conduct diagnostic tests for MPS II.</w:t>
      </w:r>
    </w:p>
    <w:p w14:paraId="6FF47BA3" w14:textId="6821B3E3" w:rsidR="008F2D95" w:rsidRDefault="1A5ED604" w:rsidP="00B8514E">
      <w:pPr>
        <w:pStyle w:val="TableFigureFooter"/>
      </w:pPr>
      <w:r w:rsidRPr="7C4E3BA4">
        <w:rPr>
          <w:vertAlign w:val="superscript"/>
        </w:rPr>
        <w:t xml:space="preserve">b </w:t>
      </w:r>
      <w:r w:rsidRPr="7C4E3BA4">
        <w:t xml:space="preserve">Cost based on PASC advice in the 1776 PICO, each case is expected to have 1.90 </w:t>
      </w:r>
      <w:r w:rsidR="001711C4">
        <w:t>family member</w:t>
      </w:r>
      <w:r w:rsidR="001711C4" w:rsidRPr="7C4E3BA4">
        <w:t xml:space="preserve"> </w:t>
      </w:r>
      <w:r w:rsidRPr="7C4E3BA4">
        <w:t>tests (one for the biological mother and 0.9 for siblings based on fertility rates in 2022</w:t>
      </w:r>
      <w:r w:rsidR="00F83A14" w:rsidRPr="7C4E3BA4">
        <w:rPr>
          <w:rStyle w:val="FootnoteReference"/>
        </w:rPr>
        <w:footnoteReference w:id="41"/>
      </w:r>
      <w:r w:rsidR="00E37D31">
        <w:t>.</w:t>
      </w:r>
    </w:p>
    <w:p w14:paraId="113812C1" w14:textId="6EE955C2" w:rsidR="008146EC" w:rsidRDefault="00323B1E" w:rsidP="00B8514E">
      <w:pPr>
        <w:pStyle w:val="TableFigureFooter"/>
      </w:pPr>
      <w:r>
        <w:rPr>
          <w:vertAlign w:val="superscript"/>
        </w:rPr>
        <w:t xml:space="preserve">c </w:t>
      </w:r>
      <w:r>
        <w:t xml:space="preserve">See </w:t>
      </w:r>
      <w:r>
        <w:fldChar w:fldCharType="begin"/>
      </w:r>
      <w:r>
        <w:instrText xml:space="preserve"> REF _Ref181719282 \h </w:instrText>
      </w:r>
      <w:r w:rsidR="00B8514E">
        <w:instrText xml:space="preserve"> \* MERGEFORMAT </w:instrText>
      </w:r>
      <w:r>
        <w:fldChar w:fldCharType="separate"/>
      </w:r>
      <w:r w:rsidR="007F08FA" w:rsidDel="009D183F">
        <w:t xml:space="preserve">Table </w:t>
      </w:r>
      <w:r w:rsidR="00797B68" w:rsidDel="009D183F">
        <w:rPr>
          <w:noProof/>
        </w:rPr>
        <w:t>18</w:t>
      </w:r>
      <w:r>
        <w:fldChar w:fldCharType="end"/>
      </w:r>
      <w:r>
        <w:t>.</w:t>
      </w:r>
    </w:p>
    <w:p w14:paraId="2F343761" w14:textId="1235DCF8" w:rsidR="008146EC" w:rsidRDefault="008146EC" w:rsidP="00B8514E">
      <w:pPr>
        <w:pStyle w:val="TableFigureFooter"/>
      </w:pPr>
      <w:r>
        <w:rPr>
          <w:vertAlign w:val="superscript"/>
        </w:rPr>
        <w:t xml:space="preserve">d </w:t>
      </w:r>
      <w:r>
        <w:t xml:space="preserve">Each administration is assumed to </w:t>
      </w:r>
      <w:r w:rsidR="00057904">
        <w:t>in</w:t>
      </w:r>
      <w:r>
        <w:t xml:space="preserve">cur the cost of </w:t>
      </w:r>
      <w:r w:rsidRPr="00415F06">
        <w:t xml:space="preserve">AR-DRF item 20.34 </w:t>
      </w:r>
      <w:r>
        <w:t>–</w:t>
      </w:r>
      <w:r w:rsidRPr="00415F06">
        <w:t xml:space="preserve"> </w:t>
      </w:r>
      <w:r>
        <w:t>endocrinology ($336.83) and administrations occur weekly.</w:t>
      </w:r>
    </w:p>
    <w:p w14:paraId="013D3FBC" w14:textId="088BE166" w:rsidR="00076F68" w:rsidRDefault="3CA79062" w:rsidP="00B8514E">
      <w:pPr>
        <w:pStyle w:val="TableFigureFooter"/>
      </w:pPr>
      <w:r w:rsidRPr="7C4E3BA4">
        <w:rPr>
          <w:vertAlign w:val="superscript"/>
        </w:rPr>
        <w:t xml:space="preserve">e </w:t>
      </w:r>
      <w:r w:rsidR="7BDEC15E" w:rsidRPr="7C4E3BA4">
        <w:t xml:space="preserve">See </w:t>
      </w:r>
      <w:r w:rsidR="008146EC">
        <w:fldChar w:fldCharType="begin"/>
      </w:r>
      <w:r w:rsidR="008146EC">
        <w:instrText xml:space="preserve"> REF _Ref181715471 \h </w:instrText>
      </w:r>
      <w:r w:rsidR="00B8514E">
        <w:instrText xml:space="preserve"> \* MERGEFORMAT </w:instrText>
      </w:r>
      <w:r w:rsidR="008146EC">
        <w:fldChar w:fldCharType="separate"/>
      </w:r>
      <w:r w:rsidR="007F08FA" w:rsidRPr="00496C73" w:rsidDel="009D183F">
        <w:t xml:space="preserve">Table </w:t>
      </w:r>
      <w:r w:rsidR="00797B68" w:rsidDel="009D183F">
        <w:rPr>
          <w:noProof/>
        </w:rPr>
        <w:t>17</w:t>
      </w:r>
      <w:r w:rsidR="008146EC">
        <w:fldChar w:fldCharType="end"/>
      </w:r>
      <w:r w:rsidR="7BDEC15E" w:rsidRPr="7C4E3BA4">
        <w:t xml:space="preserve"> for the number of additional monitoring cycles with NBS (differs by age and phenotype).</w:t>
      </w:r>
    </w:p>
    <w:p w14:paraId="3CFEA8DC" w14:textId="646507EA" w:rsidR="00E32691" w:rsidRDefault="00076F68" w:rsidP="00B8514E">
      <w:pPr>
        <w:pStyle w:val="TableFigureFooter"/>
      </w:pPr>
      <w:r>
        <w:rPr>
          <w:vertAlign w:val="superscript"/>
        </w:rPr>
        <w:t xml:space="preserve">f </w:t>
      </w:r>
      <w:r>
        <w:t>Costs sourced from the SA Pathology Collection Guide. The</w:t>
      </w:r>
      <w:r w:rsidR="00721ADF">
        <w:t xml:space="preserve"> AWCH </w:t>
      </w:r>
      <w:r>
        <w:t xml:space="preserve">is the only facility who conduct diagnostic tests for MPS II. </w:t>
      </w:r>
    </w:p>
    <w:p w14:paraId="10A0DB60" w14:textId="77777777" w:rsidR="00DE07B7" w:rsidRDefault="00DE07B7" w:rsidP="00DE07B7">
      <w:pPr>
        <w:rPr>
          <w:u w:val="single"/>
        </w:rPr>
      </w:pPr>
      <w:r w:rsidRPr="005C1E10">
        <w:rPr>
          <w:u w:val="single"/>
        </w:rPr>
        <w:t xml:space="preserve">Costs to </w:t>
      </w:r>
      <w:r>
        <w:rPr>
          <w:u w:val="single"/>
        </w:rPr>
        <w:t>MBS</w:t>
      </w:r>
    </w:p>
    <w:p w14:paraId="060CACC6" w14:textId="5CE553E6" w:rsidR="00DE07B7" w:rsidRDefault="24F062C5" w:rsidP="00DE07B7">
      <w:r w:rsidRPr="7C4E3BA4">
        <w:t xml:space="preserve">There are additional costs to the MBS due to </w:t>
      </w:r>
      <w:r w:rsidR="3D859078" w:rsidRPr="7C4E3BA4">
        <w:t xml:space="preserve">an increase in the monitoring services as a result of earlier and greater detection of MPS II. The net increase in monitoring costs to the MBS have been estimated based on the monitoring services and frequency applied in the economic model, these are summarised in </w:t>
      </w:r>
      <w:r w:rsidR="00D918F3">
        <w:fldChar w:fldCharType="begin"/>
      </w:r>
      <w:r w:rsidR="00D918F3">
        <w:instrText xml:space="preserve"> REF _Ref181715471 \h </w:instrText>
      </w:r>
      <w:r w:rsidR="00D918F3">
        <w:fldChar w:fldCharType="separate"/>
      </w:r>
      <w:r w:rsidR="007F08FA" w:rsidRPr="00496C73" w:rsidDel="009D183F">
        <w:t xml:space="preserve">Table </w:t>
      </w:r>
      <w:r w:rsidR="00797B68" w:rsidDel="009D183F">
        <w:rPr>
          <w:noProof/>
        </w:rPr>
        <w:t>17</w:t>
      </w:r>
      <w:r w:rsidR="00D918F3">
        <w:fldChar w:fldCharType="end"/>
      </w:r>
      <w:r w:rsidR="3D859078" w:rsidRPr="7C4E3BA4">
        <w:t>.</w:t>
      </w:r>
    </w:p>
    <w:p w14:paraId="2F4CD291" w14:textId="77762EDB" w:rsidR="00160F89" w:rsidRPr="00496C73" w:rsidRDefault="00160F89" w:rsidP="00160F89">
      <w:pPr>
        <w:pStyle w:val="Caption"/>
      </w:pPr>
      <w:bookmarkStart w:id="59" w:name="_Ref181715471"/>
      <w:r w:rsidRPr="00496C73">
        <w:lastRenderedPageBreak/>
        <w:t xml:space="preserve">Table </w:t>
      </w:r>
      <w:r w:rsidR="009D183F">
        <w:fldChar w:fldCharType="begin"/>
      </w:r>
      <w:r w:rsidR="009D183F">
        <w:instrText xml:space="preserve"> SEQ Table \* ARABIC </w:instrText>
      </w:r>
      <w:r w:rsidR="009D183F">
        <w:fldChar w:fldCharType="separate"/>
      </w:r>
      <w:r w:rsidR="009D183F">
        <w:rPr>
          <w:noProof/>
        </w:rPr>
        <w:t>17</w:t>
      </w:r>
      <w:r w:rsidR="009D183F">
        <w:rPr>
          <w:noProof/>
        </w:rPr>
        <w:fldChar w:fldCharType="end"/>
      </w:r>
      <w:bookmarkEnd w:id="59"/>
      <w:r w:rsidRPr="00496C73">
        <w:tab/>
      </w:r>
      <w:r>
        <w:t>Net</w:t>
      </w:r>
      <w:r w:rsidRPr="00496C73">
        <w:t xml:space="preserve"> </w:t>
      </w:r>
      <w:r>
        <w:t xml:space="preserve">increase in </w:t>
      </w:r>
      <w:r w:rsidRPr="00496C73">
        <w:t xml:space="preserve">costs </w:t>
      </w:r>
      <w:r>
        <w:t xml:space="preserve">to </w:t>
      </w:r>
      <w:r w:rsidRPr="00496C73">
        <w:t>the MBS due to NBS</w:t>
      </w:r>
      <w:r>
        <w:t xml:space="preserve"> for MPS II monitoring</w:t>
      </w:r>
    </w:p>
    <w:tbl>
      <w:tblPr>
        <w:tblStyle w:val="TableGrid"/>
        <w:tblW w:w="0" w:type="auto"/>
        <w:tblLayout w:type="fixed"/>
        <w:tblLook w:val="04A0" w:firstRow="1" w:lastRow="0" w:firstColumn="1" w:lastColumn="0" w:noHBand="0" w:noVBand="1"/>
        <w:tblCaption w:val="Net financial impact to the Newborn Bloodspot Screening Program"/>
        <w:tblDescription w:val="Net financial impact to the Newborn Bloodspot Screening Program"/>
      </w:tblPr>
      <w:tblGrid>
        <w:gridCol w:w="2689"/>
        <w:gridCol w:w="1054"/>
        <w:gridCol w:w="1055"/>
        <w:gridCol w:w="1054"/>
        <w:gridCol w:w="1055"/>
        <w:gridCol w:w="1054"/>
        <w:gridCol w:w="1055"/>
      </w:tblGrid>
      <w:tr w:rsidR="00160F89" w:rsidRPr="00496C73" w14:paraId="1C694EC8" w14:textId="77777777" w:rsidTr="009B7624">
        <w:trPr>
          <w:tblHeader/>
        </w:trPr>
        <w:tc>
          <w:tcPr>
            <w:tcW w:w="2689" w:type="dxa"/>
          </w:tcPr>
          <w:p w14:paraId="3136C5B7" w14:textId="77777777" w:rsidR="00160F89" w:rsidRPr="00496C73" w:rsidRDefault="00160F89" w:rsidP="002207EE">
            <w:pPr>
              <w:pStyle w:val="In-tableHeading"/>
              <w:rPr>
                <w:lang w:val="en-AU"/>
              </w:rPr>
            </w:pPr>
          </w:p>
        </w:tc>
        <w:tc>
          <w:tcPr>
            <w:tcW w:w="1054" w:type="dxa"/>
            <w:vAlign w:val="center"/>
          </w:tcPr>
          <w:p w14:paraId="1D4BCA6F" w14:textId="77777777" w:rsidR="00160F89" w:rsidRPr="00496C73" w:rsidRDefault="00160F89" w:rsidP="009B7624">
            <w:pPr>
              <w:pStyle w:val="In-tableHeading"/>
              <w:jc w:val="center"/>
              <w:rPr>
                <w:lang w:val="en-AU"/>
              </w:rPr>
            </w:pPr>
            <w:r w:rsidRPr="00496C73">
              <w:rPr>
                <w:lang w:val="en-AU"/>
              </w:rPr>
              <w:t>2025−26</w:t>
            </w:r>
          </w:p>
        </w:tc>
        <w:tc>
          <w:tcPr>
            <w:tcW w:w="1055" w:type="dxa"/>
            <w:vAlign w:val="center"/>
          </w:tcPr>
          <w:p w14:paraId="7FA1CCB4" w14:textId="77777777" w:rsidR="00160F89" w:rsidRPr="00496C73" w:rsidRDefault="00160F89" w:rsidP="009B7624">
            <w:pPr>
              <w:pStyle w:val="In-tableHeading"/>
              <w:jc w:val="center"/>
              <w:rPr>
                <w:lang w:val="en-AU"/>
              </w:rPr>
            </w:pPr>
            <w:r w:rsidRPr="00496C73">
              <w:rPr>
                <w:lang w:val="en-AU"/>
              </w:rPr>
              <w:t>2026−27</w:t>
            </w:r>
          </w:p>
        </w:tc>
        <w:tc>
          <w:tcPr>
            <w:tcW w:w="1054" w:type="dxa"/>
            <w:vAlign w:val="center"/>
          </w:tcPr>
          <w:p w14:paraId="7D37010F" w14:textId="77777777" w:rsidR="00160F89" w:rsidRPr="00496C73" w:rsidRDefault="00160F89" w:rsidP="009B7624">
            <w:pPr>
              <w:pStyle w:val="In-tableHeading"/>
              <w:jc w:val="center"/>
              <w:rPr>
                <w:lang w:val="en-AU"/>
              </w:rPr>
            </w:pPr>
            <w:r w:rsidRPr="00496C73">
              <w:rPr>
                <w:lang w:val="en-AU"/>
              </w:rPr>
              <w:t>2027−28</w:t>
            </w:r>
          </w:p>
        </w:tc>
        <w:tc>
          <w:tcPr>
            <w:tcW w:w="1055" w:type="dxa"/>
            <w:vAlign w:val="center"/>
          </w:tcPr>
          <w:p w14:paraId="42309D67" w14:textId="77777777" w:rsidR="00160F89" w:rsidRPr="00496C73" w:rsidRDefault="00160F89" w:rsidP="009B7624">
            <w:pPr>
              <w:pStyle w:val="In-tableHeading"/>
              <w:jc w:val="center"/>
              <w:rPr>
                <w:lang w:val="en-AU"/>
              </w:rPr>
            </w:pPr>
            <w:r w:rsidRPr="00496C73">
              <w:rPr>
                <w:lang w:val="en-AU"/>
              </w:rPr>
              <w:t>2028−29</w:t>
            </w:r>
          </w:p>
        </w:tc>
        <w:tc>
          <w:tcPr>
            <w:tcW w:w="1054" w:type="dxa"/>
            <w:vAlign w:val="center"/>
          </w:tcPr>
          <w:p w14:paraId="5E13431F" w14:textId="77777777" w:rsidR="00160F89" w:rsidRPr="00496C73" w:rsidRDefault="00160F89" w:rsidP="009B7624">
            <w:pPr>
              <w:pStyle w:val="In-tableHeading"/>
              <w:jc w:val="center"/>
              <w:rPr>
                <w:lang w:val="en-AU"/>
              </w:rPr>
            </w:pPr>
            <w:r w:rsidRPr="00496C73">
              <w:rPr>
                <w:lang w:val="en-AU"/>
              </w:rPr>
              <w:t>2029−30</w:t>
            </w:r>
          </w:p>
        </w:tc>
        <w:tc>
          <w:tcPr>
            <w:tcW w:w="1055" w:type="dxa"/>
            <w:vAlign w:val="center"/>
          </w:tcPr>
          <w:p w14:paraId="2402D9C6" w14:textId="77777777" w:rsidR="00160F89" w:rsidRPr="00496C73" w:rsidRDefault="00160F89" w:rsidP="009B7624">
            <w:pPr>
              <w:pStyle w:val="In-tableHeading"/>
              <w:jc w:val="center"/>
              <w:rPr>
                <w:lang w:val="en-AU"/>
              </w:rPr>
            </w:pPr>
            <w:r w:rsidRPr="00496C73">
              <w:rPr>
                <w:lang w:val="en-AU"/>
              </w:rPr>
              <w:t>2030−31</w:t>
            </w:r>
          </w:p>
        </w:tc>
      </w:tr>
      <w:tr w:rsidR="00160F89" w:rsidRPr="00496C73" w14:paraId="1289140C" w14:textId="77777777" w:rsidTr="002207EE">
        <w:tc>
          <w:tcPr>
            <w:tcW w:w="9016" w:type="dxa"/>
            <w:gridSpan w:val="7"/>
            <w:vAlign w:val="center"/>
          </w:tcPr>
          <w:p w14:paraId="0F001DEF" w14:textId="77777777" w:rsidR="00160F89" w:rsidRPr="00757C0E" w:rsidRDefault="00160F89" w:rsidP="002207EE">
            <w:pPr>
              <w:pStyle w:val="In-tableHeading"/>
            </w:pPr>
            <w:r w:rsidRPr="00757C0E">
              <w:t>Cases incurring net MBS monitoring costs due to NBS</w:t>
            </w:r>
          </w:p>
        </w:tc>
      </w:tr>
      <w:tr w:rsidR="00160F89" w:rsidRPr="00496C73" w14:paraId="24F82CEE" w14:textId="77777777" w:rsidTr="009B7624">
        <w:tc>
          <w:tcPr>
            <w:tcW w:w="2689" w:type="dxa"/>
          </w:tcPr>
          <w:p w14:paraId="2FD2C902" w14:textId="77777777" w:rsidR="00160F89" w:rsidRPr="00AD068F" w:rsidRDefault="00160F89" w:rsidP="002207EE">
            <w:pPr>
              <w:pStyle w:val="In-tableHeading"/>
              <w:rPr>
                <w:b w:val="0"/>
                <w:bCs/>
                <w:vertAlign w:val="superscript"/>
                <w:lang w:val="en-AU"/>
              </w:rPr>
            </w:pPr>
            <w:r>
              <w:rPr>
                <w:b w:val="0"/>
                <w:bCs/>
              </w:rPr>
              <w:t>Additional monitoring cycles due to NBS</w:t>
            </w:r>
            <w:r>
              <w:rPr>
                <w:b w:val="0"/>
                <w:bCs/>
                <w:vertAlign w:val="superscript"/>
              </w:rPr>
              <w:t>a</w:t>
            </w:r>
          </w:p>
        </w:tc>
        <w:tc>
          <w:tcPr>
            <w:tcW w:w="1054" w:type="dxa"/>
            <w:vAlign w:val="center"/>
          </w:tcPr>
          <w:p w14:paraId="4476117E" w14:textId="77777777" w:rsidR="00160F89" w:rsidRPr="000576A4" w:rsidRDefault="00160F89" w:rsidP="009B7624">
            <w:pPr>
              <w:pStyle w:val="In-tableHeading"/>
              <w:jc w:val="center"/>
              <w:rPr>
                <w:b w:val="0"/>
                <w:bCs/>
              </w:rPr>
            </w:pPr>
            <w:r w:rsidRPr="000576A4">
              <w:rPr>
                <w:b w:val="0"/>
                <w:bCs/>
              </w:rPr>
              <w:t>17</w:t>
            </w:r>
          </w:p>
        </w:tc>
        <w:tc>
          <w:tcPr>
            <w:tcW w:w="1055" w:type="dxa"/>
            <w:vAlign w:val="center"/>
          </w:tcPr>
          <w:p w14:paraId="0089D85B" w14:textId="77777777" w:rsidR="00160F89" w:rsidRPr="000576A4" w:rsidRDefault="00160F89" w:rsidP="009B7624">
            <w:pPr>
              <w:pStyle w:val="In-tableHeading"/>
              <w:jc w:val="center"/>
              <w:rPr>
                <w:b w:val="0"/>
                <w:bCs/>
              </w:rPr>
            </w:pPr>
            <w:r w:rsidRPr="000576A4">
              <w:rPr>
                <w:b w:val="0"/>
                <w:bCs/>
              </w:rPr>
              <w:t>34</w:t>
            </w:r>
          </w:p>
        </w:tc>
        <w:tc>
          <w:tcPr>
            <w:tcW w:w="1054" w:type="dxa"/>
            <w:vAlign w:val="center"/>
          </w:tcPr>
          <w:p w14:paraId="433DDCC5" w14:textId="77777777" w:rsidR="00160F89" w:rsidRPr="000576A4" w:rsidRDefault="00160F89" w:rsidP="009B7624">
            <w:pPr>
              <w:pStyle w:val="In-tableHeading"/>
              <w:jc w:val="center"/>
              <w:rPr>
                <w:b w:val="0"/>
                <w:bCs/>
              </w:rPr>
            </w:pPr>
            <w:r w:rsidRPr="000576A4">
              <w:rPr>
                <w:b w:val="0"/>
                <w:bCs/>
              </w:rPr>
              <w:t>46</w:t>
            </w:r>
          </w:p>
        </w:tc>
        <w:tc>
          <w:tcPr>
            <w:tcW w:w="1055" w:type="dxa"/>
            <w:vAlign w:val="center"/>
          </w:tcPr>
          <w:p w14:paraId="374B56DF" w14:textId="77777777" w:rsidR="00160F89" w:rsidRPr="000576A4" w:rsidRDefault="00160F89" w:rsidP="009B7624">
            <w:pPr>
              <w:pStyle w:val="In-tableHeading"/>
              <w:jc w:val="center"/>
              <w:rPr>
                <w:b w:val="0"/>
                <w:bCs/>
              </w:rPr>
            </w:pPr>
            <w:r w:rsidRPr="000576A4">
              <w:rPr>
                <w:b w:val="0"/>
                <w:bCs/>
              </w:rPr>
              <w:t>52</w:t>
            </w:r>
          </w:p>
        </w:tc>
        <w:tc>
          <w:tcPr>
            <w:tcW w:w="1054" w:type="dxa"/>
            <w:vAlign w:val="center"/>
          </w:tcPr>
          <w:p w14:paraId="60507E21" w14:textId="77777777" w:rsidR="00160F89" w:rsidRPr="000576A4" w:rsidRDefault="00160F89" w:rsidP="009B7624">
            <w:pPr>
              <w:pStyle w:val="In-tableHeading"/>
              <w:jc w:val="center"/>
              <w:rPr>
                <w:b w:val="0"/>
                <w:bCs/>
              </w:rPr>
            </w:pPr>
            <w:r w:rsidRPr="000576A4">
              <w:rPr>
                <w:b w:val="0"/>
                <w:bCs/>
              </w:rPr>
              <w:t>57</w:t>
            </w:r>
          </w:p>
        </w:tc>
        <w:tc>
          <w:tcPr>
            <w:tcW w:w="1055" w:type="dxa"/>
            <w:vAlign w:val="center"/>
          </w:tcPr>
          <w:p w14:paraId="0B039F05" w14:textId="77777777" w:rsidR="00160F89" w:rsidRPr="000576A4" w:rsidRDefault="00160F89" w:rsidP="009B7624">
            <w:pPr>
              <w:pStyle w:val="In-tableHeading"/>
              <w:jc w:val="center"/>
              <w:rPr>
                <w:b w:val="0"/>
                <w:bCs/>
              </w:rPr>
            </w:pPr>
            <w:r w:rsidRPr="000576A4">
              <w:rPr>
                <w:b w:val="0"/>
                <w:bCs/>
              </w:rPr>
              <w:t>63</w:t>
            </w:r>
          </w:p>
        </w:tc>
      </w:tr>
      <w:tr w:rsidR="00160F89" w:rsidRPr="00496C73" w14:paraId="3D5FD86E" w14:textId="77777777" w:rsidTr="002207EE">
        <w:tc>
          <w:tcPr>
            <w:tcW w:w="9016" w:type="dxa"/>
            <w:gridSpan w:val="7"/>
            <w:vAlign w:val="center"/>
          </w:tcPr>
          <w:p w14:paraId="5FE05D15" w14:textId="77777777" w:rsidR="00160F89" w:rsidRPr="00B721EF" w:rsidRDefault="00160F89" w:rsidP="002207EE">
            <w:pPr>
              <w:pStyle w:val="In-tableHeading"/>
              <w:rPr>
                <w:vertAlign w:val="superscript"/>
                <w:lang w:val="en-AU"/>
              </w:rPr>
            </w:pPr>
            <w:r w:rsidRPr="00FF0F86">
              <w:rPr>
                <w:lang w:val="en-AU"/>
              </w:rPr>
              <w:t xml:space="preserve">Net </w:t>
            </w:r>
            <w:r>
              <w:rPr>
                <w:lang w:val="en-AU"/>
              </w:rPr>
              <w:t xml:space="preserve">increase in </w:t>
            </w:r>
            <w:r w:rsidRPr="00FF0F86">
              <w:rPr>
                <w:lang w:val="en-AU"/>
              </w:rPr>
              <w:t>MBS services</w:t>
            </w:r>
            <w:r>
              <w:rPr>
                <w:vertAlign w:val="superscript"/>
                <w:lang w:val="en-AU"/>
              </w:rPr>
              <w:t>b</w:t>
            </w:r>
          </w:p>
        </w:tc>
      </w:tr>
      <w:tr w:rsidR="00160F89" w:rsidRPr="00496C73" w14:paraId="57760A92" w14:textId="77777777" w:rsidTr="009B7624">
        <w:tc>
          <w:tcPr>
            <w:tcW w:w="2689" w:type="dxa"/>
          </w:tcPr>
          <w:p w14:paraId="20FEB9B9" w14:textId="77777777" w:rsidR="00160F89" w:rsidRPr="00496C73" w:rsidRDefault="00160F89" w:rsidP="002207EE">
            <w:pPr>
              <w:pStyle w:val="In-tableHeading"/>
              <w:rPr>
                <w:b w:val="0"/>
                <w:bCs/>
                <w:lang w:val="en-AU"/>
              </w:rPr>
            </w:pPr>
            <w:r w:rsidRPr="00C750AA">
              <w:rPr>
                <w:b w:val="0"/>
              </w:rPr>
              <w:t xml:space="preserve">GP appointment (MBS 721) </w:t>
            </w:r>
          </w:p>
        </w:tc>
        <w:tc>
          <w:tcPr>
            <w:tcW w:w="1054" w:type="dxa"/>
            <w:vAlign w:val="center"/>
          </w:tcPr>
          <w:p w14:paraId="6727A5CD" w14:textId="77777777" w:rsidR="00160F89" w:rsidRPr="0097287F" w:rsidRDefault="00160F89" w:rsidP="009B7624">
            <w:pPr>
              <w:pStyle w:val="In-tableHeading"/>
              <w:jc w:val="center"/>
              <w:rPr>
                <w:b w:val="0"/>
                <w:bCs/>
              </w:rPr>
            </w:pPr>
            <w:r w:rsidRPr="0097287F">
              <w:rPr>
                <w:b w:val="0"/>
                <w:bCs/>
              </w:rPr>
              <w:t>17</w:t>
            </w:r>
          </w:p>
        </w:tc>
        <w:tc>
          <w:tcPr>
            <w:tcW w:w="1055" w:type="dxa"/>
            <w:vAlign w:val="center"/>
          </w:tcPr>
          <w:p w14:paraId="7710A121" w14:textId="77777777" w:rsidR="00160F89" w:rsidRPr="0097287F" w:rsidRDefault="00160F89" w:rsidP="009B7624">
            <w:pPr>
              <w:pStyle w:val="In-tableHeading"/>
              <w:jc w:val="center"/>
              <w:rPr>
                <w:b w:val="0"/>
                <w:bCs/>
              </w:rPr>
            </w:pPr>
            <w:r w:rsidRPr="0097287F">
              <w:rPr>
                <w:b w:val="0"/>
                <w:bCs/>
              </w:rPr>
              <w:t>34</w:t>
            </w:r>
          </w:p>
        </w:tc>
        <w:tc>
          <w:tcPr>
            <w:tcW w:w="1054" w:type="dxa"/>
            <w:vAlign w:val="center"/>
          </w:tcPr>
          <w:p w14:paraId="54027243" w14:textId="77777777" w:rsidR="00160F89" w:rsidRPr="0097287F" w:rsidRDefault="00160F89" w:rsidP="009B7624">
            <w:pPr>
              <w:pStyle w:val="In-tableHeading"/>
              <w:jc w:val="center"/>
              <w:rPr>
                <w:b w:val="0"/>
                <w:bCs/>
              </w:rPr>
            </w:pPr>
            <w:r w:rsidRPr="0097287F">
              <w:rPr>
                <w:b w:val="0"/>
                <w:bCs/>
              </w:rPr>
              <w:t>46</w:t>
            </w:r>
          </w:p>
        </w:tc>
        <w:tc>
          <w:tcPr>
            <w:tcW w:w="1055" w:type="dxa"/>
            <w:vAlign w:val="center"/>
          </w:tcPr>
          <w:p w14:paraId="7CE6572B" w14:textId="77777777" w:rsidR="00160F89" w:rsidRPr="0097287F" w:rsidRDefault="00160F89" w:rsidP="009B7624">
            <w:pPr>
              <w:pStyle w:val="In-tableHeading"/>
              <w:jc w:val="center"/>
              <w:rPr>
                <w:b w:val="0"/>
                <w:bCs/>
              </w:rPr>
            </w:pPr>
            <w:r w:rsidRPr="0097287F">
              <w:rPr>
                <w:b w:val="0"/>
                <w:bCs/>
              </w:rPr>
              <w:t>52</w:t>
            </w:r>
          </w:p>
        </w:tc>
        <w:tc>
          <w:tcPr>
            <w:tcW w:w="1054" w:type="dxa"/>
            <w:vAlign w:val="center"/>
          </w:tcPr>
          <w:p w14:paraId="2BAAFCDE" w14:textId="77777777" w:rsidR="00160F89" w:rsidRPr="0097287F" w:rsidRDefault="00160F89" w:rsidP="009B7624">
            <w:pPr>
              <w:pStyle w:val="In-tableHeading"/>
              <w:jc w:val="center"/>
              <w:rPr>
                <w:b w:val="0"/>
                <w:bCs/>
              </w:rPr>
            </w:pPr>
            <w:r w:rsidRPr="0097287F">
              <w:rPr>
                <w:b w:val="0"/>
                <w:bCs/>
              </w:rPr>
              <w:t>57</w:t>
            </w:r>
          </w:p>
        </w:tc>
        <w:tc>
          <w:tcPr>
            <w:tcW w:w="1055" w:type="dxa"/>
            <w:vAlign w:val="center"/>
          </w:tcPr>
          <w:p w14:paraId="59B38805" w14:textId="77777777" w:rsidR="00160F89" w:rsidRPr="0097287F" w:rsidRDefault="00160F89" w:rsidP="009B7624">
            <w:pPr>
              <w:pStyle w:val="In-tableHeading"/>
              <w:jc w:val="center"/>
              <w:rPr>
                <w:b w:val="0"/>
                <w:bCs/>
              </w:rPr>
            </w:pPr>
            <w:r w:rsidRPr="0097287F">
              <w:rPr>
                <w:b w:val="0"/>
                <w:bCs/>
              </w:rPr>
              <w:t>63</w:t>
            </w:r>
          </w:p>
        </w:tc>
      </w:tr>
      <w:tr w:rsidR="00160F89" w:rsidRPr="00496C73" w14:paraId="7DB23D53" w14:textId="77777777" w:rsidTr="009B7624">
        <w:tc>
          <w:tcPr>
            <w:tcW w:w="2689" w:type="dxa"/>
          </w:tcPr>
          <w:p w14:paraId="66806C50" w14:textId="77777777" w:rsidR="00160F89" w:rsidRPr="00496C73" w:rsidRDefault="00160F89" w:rsidP="002207EE">
            <w:pPr>
              <w:pStyle w:val="In-tableHeading"/>
              <w:rPr>
                <w:b w:val="0"/>
                <w:bCs/>
                <w:lang w:val="en-AU"/>
              </w:rPr>
            </w:pPr>
            <w:r w:rsidRPr="00C750AA">
              <w:rPr>
                <w:b w:val="0"/>
              </w:rPr>
              <w:t xml:space="preserve">Echocardiogram (MBS 55132) </w:t>
            </w:r>
          </w:p>
        </w:tc>
        <w:tc>
          <w:tcPr>
            <w:tcW w:w="1054" w:type="dxa"/>
            <w:vAlign w:val="center"/>
          </w:tcPr>
          <w:p w14:paraId="67C81AC4" w14:textId="77777777" w:rsidR="00160F89" w:rsidRPr="0097287F" w:rsidRDefault="00160F89" w:rsidP="009B7624">
            <w:pPr>
              <w:pStyle w:val="In-tableHeading"/>
              <w:jc w:val="center"/>
              <w:rPr>
                <w:b w:val="0"/>
                <w:bCs/>
              </w:rPr>
            </w:pPr>
            <w:r w:rsidRPr="0097287F">
              <w:rPr>
                <w:b w:val="0"/>
                <w:bCs/>
              </w:rPr>
              <w:t>17</w:t>
            </w:r>
          </w:p>
        </w:tc>
        <w:tc>
          <w:tcPr>
            <w:tcW w:w="1055" w:type="dxa"/>
            <w:vAlign w:val="center"/>
          </w:tcPr>
          <w:p w14:paraId="02B7CC04" w14:textId="77777777" w:rsidR="00160F89" w:rsidRPr="0097287F" w:rsidRDefault="00160F89" w:rsidP="009B7624">
            <w:pPr>
              <w:pStyle w:val="In-tableHeading"/>
              <w:jc w:val="center"/>
              <w:rPr>
                <w:b w:val="0"/>
                <w:bCs/>
              </w:rPr>
            </w:pPr>
            <w:r w:rsidRPr="0097287F">
              <w:rPr>
                <w:b w:val="0"/>
                <w:bCs/>
              </w:rPr>
              <w:t>34</w:t>
            </w:r>
          </w:p>
        </w:tc>
        <w:tc>
          <w:tcPr>
            <w:tcW w:w="1054" w:type="dxa"/>
            <w:vAlign w:val="center"/>
          </w:tcPr>
          <w:p w14:paraId="601A5DC3" w14:textId="77777777" w:rsidR="00160F89" w:rsidRPr="0097287F" w:rsidRDefault="00160F89" w:rsidP="009B7624">
            <w:pPr>
              <w:pStyle w:val="In-tableHeading"/>
              <w:jc w:val="center"/>
              <w:rPr>
                <w:b w:val="0"/>
                <w:bCs/>
              </w:rPr>
            </w:pPr>
            <w:r w:rsidRPr="0097287F">
              <w:rPr>
                <w:b w:val="0"/>
                <w:bCs/>
              </w:rPr>
              <w:t>46</w:t>
            </w:r>
          </w:p>
        </w:tc>
        <w:tc>
          <w:tcPr>
            <w:tcW w:w="1055" w:type="dxa"/>
            <w:vAlign w:val="center"/>
          </w:tcPr>
          <w:p w14:paraId="6E8BF767" w14:textId="77777777" w:rsidR="00160F89" w:rsidRPr="0097287F" w:rsidRDefault="00160F89" w:rsidP="009B7624">
            <w:pPr>
              <w:pStyle w:val="In-tableHeading"/>
              <w:jc w:val="center"/>
              <w:rPr>
                <w:b w:val="0"/>
                <w:bCs/>
              </w:rPr>
            </w:pPr>
            <w:r w:rsidRPr="0097287F">
              <w:rPr>
                <w:b w:val="0"/>
                <w:bCs/>
              </w:rPr>
              <w:t>52</w:t>
            </w:r>
          </w:p>
        </w:tc>
        <w:tc>
          <w:tcPr>
            <w:tcW w:w="1054" w:type="dxa"/>
            <w:vAlign w:val="center"/>
          </w:tcPr>
          <w:p w14:paraId="0A9F1B0A" w14:textId="77777777" w:rsidR="00160F89" w:rsidRPr="0097287F" w:rsidRDefault="00160F89" w:rsidP="009B7624">
            <w:pPr>
              <w:pStyle w:val="In-tableHeading"/>
              <w:jc w:val="center"/>
              <w:rPr>
                <w:b w:val="0"/>
                <w:bCs/>
              </w:rPr>
            </w:pPr>
            <w:r w:rsidRPr="0097287F">
              <w:rPr>
                <w:b w:val="0"/>
                <w:bCs/>
              </w:rPr>
              <w:t>57</w:t>
            </w:r>
          </w:p>
        </w:tc>
        <w:tc>
          <w:tcPr>
            <w:tcW w:w="1055" w:type="dxa"/>
            <w:vAlign w:val="center"/>
          </w:tcPr>
          <w:p w14:paraId="14DD0269" w14:textId="77777777" w:rsidR="00160F89" w:rsidRPr="0097287F" w:rsidRDefault="00160F89" w:rsidP="009B7624">
            <w:pPr>
              <w:pStyle w:val="In-tableHeading"/>
              <w:jc w:val="center"/>
              <w:rPr>
                <w:b w:val="0"/>
                <w:bCs/>
              </w:rPr>
            </w:pPr>
            <w:r w:rsidRPr="0097287F">
              <w:rPr>
                <w:b w:val="0"/>
                <w:bCs/>
              </w:rPr>
              <w:t>63</w:t>
            </w:r>
          </w:p>
        </w:tc>
      </w:tr>
      <w:tr w:rsidR="00160F89" w:rsidRPr="00496C73" w14:paraId="7E851CA6" w14:textId="77777777" w:rsidTr="009B7624">
        <w:tc>
          <w:tcPr>
            <w:tcW w:w="2689" w:type="dxa"/>
          </w:tcPr>
          <w:p w14:paraId="39E7886C" w14:textId="77777777" w:rsidR="00160F89" w:rsidRPr="00496C73" w:rsidRDefault="00160F89" w:rsidP="002207EE">
            <w:pPr>
              <w:pStyle w:val="In-tableHeading"/>
              <w:rPr>
                <w:b w:val="0"/>
                <w:bCs/>
                <w:lang w:val="en-AU"/>
              </w:rPr>
            </w:pPr>
            <w:r w:rsidRPr="00C750AA">
              <w:rPr>
                <w:b w:val="0"/>
              </w:rPr>
              <w:t xml:space="preserve">Electrocardiogram (MBS 11707) </w:t>
            </w:r>
          </w:p>
        </w:tc>
        <w:tc>
          <w:tcPr>
            <w:tcW w:w="1054" w:type="dxa"/>
            <w:vAlign w:val="center"/>
          </w:tcPr>
          <w:p w14:paraId="02696709" w14:textId="77777777" w:rsidR="00160F89" w:rsidRPr="0097287F" w:rsidRDefault="00160F89" w:rsidP="009B7624">
            <w:pPr>
              <w:pStyle w:val="In-tableHeading"/>
              <w:jc w:val="center"/>
              <w:rPr>
                <w:b w:val="0"/>
                <w:bCs/>
              </w:rPr>
            </w:pPr>
            <w:r w:rsidRPr="0097287F">
              <w:rPr>
                <w:b w:val="0"/>
                <w:bCs/>
              </w:rPr>
              <w:t>17</w:t>
            </w:r>
          </w:p>
        </w:tc>
        <w:tc>
          <w:tcPr>
            <w:tcW w:w="1055" w:type="dxa"/>
            <w:vAlign w:val="center"/>
          </w:tcPr>
          <w:p w14:paraId="20A288E8" w14:textId="77777777" w:rsidR="00160F89" w:rsidRPr="0097287F" w:rsidRDefault="00160F89" w:rsidP="009B7624">
            <w:pPr>
              <w:pStyle w:val="In-tableHeading"/>
              <w:jc w:val="center"/>
              <w:rPr>
                <w:b w:val="0"/>
                <w:bCs/>
              </w:rPr>
            </w:pPr>
            <w:r w:rsidRPr="0097287F">
              <w:rPr>
                <w:b w:val="0"/>
                <w:bCs/>
              </w:rPr>
              <w:t>34</w:t>
            </w:r>
          </w:p>
        </w:tc>
        <w:tc>
          <w:tcPr>
            <w:tcW w:w="1054" w:type="dxa"/>
            <w:vAlign w:val="center"/>
          </w:tcPr>
          <w:p w14:paraId="166AEE73" w14:textId="77777777" w:rsidR="00160F89" w:rsidRPr="0097287F" w:rsidRDefault="00160F89" w:rsidP="009B7624">
            <w:pPr>
              <w:pStyle w:val="In-tableHeading"/>
              <w:jc w:val="center"/>
              <w:rPr>
                <w:b w:val="0"/>
                <w:bCs/>
              </w:rPr>
            </w:pPr>
            <w:r w:rsidRPr="0097287F">
              <w:rPr>
                <w:b w:val="0"/>
                <w:bCs/>
              </w:rPr>
              <w:t>46</w:t>
            </w:r>
          </w:p>
        </w:tc>
        <w:tc>
          <w:tcPr>
            <w:tcW w:w="1055" w:type="dxa"/>
            <w:vAlign w:val="center"/>
          </w:tcPr>
          <w:p w14:paraId="1F4A64CE" w14:textId="77777777" w:rsidR="00160F89" w:rsidRPr="0097287F" w:rsidRDefault="00160F89" w:rsidP="009B7624">
            <w:pPr>
              <w:pStyle w:val="In-tableHeading"/>
              <w:jc w:val="center"/>
              <w:rPr>
                <w:b w:val="0"/>
                <w:bCs/>
              </w:rPr>
            </w:pPr>
            <w:r w:rsidRPr="0097287F">
              <w:rPr>
                <w:b w:val="0"/>
                <w:bCs/>
              </w:rPr>
              <w:t>52</w:t>
            </w:r>
          </w:p>
        </w:tc>
        <w:tc>
          <w:tcPr>
            <w:tcW w:w="1054" w:type="dxa"/>
            <w:vAlign w:val="center"/>
          </w:tcPr>
          <w:p w14:paraId="040A0111" w14:textId="77777777" w:rsidR="00160F89" w:rsidRPr="0097287F" w:rsidRDefault="00160F89" w:rsidP="009B7624">
            <w:pPr>
              <w:pStyle w:val="In-tableHeading"/>
              <w:jc w:val="center"/>
              <w:rPr>
                <w:b w:val="0"/>
                <w:bCs/>
              </w:rPr>
            </w:pPr>
            <w:r w:rsidRPr="0097287F">
              <w:rPr>
                <w:b w:val="0"/>
                <w:bCs/>
              </w:rPr>
              <w:t>57</w:t>
            </w:r>
          </w:p>
        </w:tc>
        <w:tc>
          <w:tcPr>
            <w:tcW w:w="1055" w:type="dxa"/>
            <w:vAlign w:val="center"/>
          </w:tcPr>
          <w:p w14:paraId="0ED78E91" w14:textId="77777777" w:rsidR="00160F89" w:rsidRPr="0097287F" w:rsidRDefault="00160F89" w:rsidP="009B7624">
            <w:pPr>
              <w:pStyle w:val="In-tableHeading"/>
              <w:jc w:val="center"/>
              <w:rPr>
                <w:b w:val="0"/>
                <w:bCs/>
              </w:rPr>
            </w:pPr>
            <w:r w:rsidRPr="0097287F">
              <w:rPr>
                <w:b w:val="0"/>
                <w:bCs/>
              </w:rPr>
              <w:t>63</w:t>
            </w:r>
          </w:p>
        </w:tc>
      </w:tr>
      <w:tr w:rsidR="00160F89" w:rsidRPr="00496C73" w14:paraId="0247601B" w14:textId="77777777" w:rsidTr="009B7624">
        <w:tc>
          <w:tcPr>
            <w:tcW w:w="2689" w:type="dxa"/>
          </w:tcPr>
          <w:p w14:paraId="53A9138D" w14:textId="77777777" w:rsidR="00160F89" w:rsidRDefault="00160F89" w:rsidP="002207EE">
            <w:pPr>
              <w:pStyle w:val="In-tableHeading"/>
              <w:rPr>
                <w:b w:val="0"/>
              </w:rPr>
            </w:pPr>
            <w:r w:rsidRPr="00C750AA">
              <w:rPr>
                <w:b w:val="0"/>
              </w:rPr>
              <w:t xml:space="preserve">Abdominal ultrasound </w:t>
            </w:r>
          </w:p>
          <w:p w14:paraId="185FDCD2" w14:textId="77777777" w:rsidR="00160F89" w:rsidRPr="00496C73" w:rsidRDefault="00160F89" w:rsidP="002207EE">
            <w:pPr>
              <w:pStyle w:val="In-tableHeading"/>
              <w:rPr>
                <w:b w:val="0"/>
                <w:bCs/>
                <w:lang w:val="en-AU"/>
              </w:rPr>
            </w:pPr>
            <w:r w:rsidRPr="00C750AA">
              <w:rPr>
                <w:b w:val="0"/>
              </w:rPr>
              <w:t>(MBS 55036)</w:t>
            </w:r>
          </w:p>
        </w:tc>
        <w:tc>
          <w:tcPr>
            <w:tcW w:w="1054" w:type="dxa"/>
            <w:vAlign w:val="center"/>
          </w:tcPr>
          <w:p w14:paraId="30A71A8A" w14:textId="77777777" w:rsidR="00160F89" w:rsidRPr="0097287F" w:rsidRDefault="00160F89" w:rsidP="009B7624">
            <w:pPr>
              <w:pStyle w:val="In-tableHeading"/>
              <w:jc w:val="center"/>
              <w:rPr>
                <w:b w:val="0"/>
                <w:bCs/>
              </w:rPr>
            </w:pPr>
            <w:r w:rsidRPr="0097287F">
              <w:rPr>
                <w:b w:val="0"/>
                <w:bCs/>
              </w:rPr>
              <w:t>17</w:t>
            </w:r>
          </w:p>
        </w:tc>
        <w:tc>
          <w:tcPr>
            <w:tcW w:w="1055" w:type="dxa"/>
            <w:vAlign w:val="center"/>
          </w:tcPr>
          <w:p w14:paraId="15B1E718" w14:textId="77777777" w:rsidR="00160F89" w:rsidRPr="0097287F" w:rsidRDefault="00160F89" w:rsidP="009B7624">
            <w:pPr>
              <w:pStyle w:val="In-tableHeading"/>
              <w:jc w:val="center"/>
              <w:rPr>
                <w:b w:val="0"/>
                <w:bCs/>
              </w:rPr>
            </w:pPr>
            <w:r w:rsidRPr="0097287F">
              <w:rPr>
                <w:b w:val="0"/>
                <w:bCs/>
              </w:rPr>
              <w:t>34</w:t>
            </w:r>
          </w:p>
        </w:tc>
        <w:tc>
          <w:tcPr>
            <w:tcW w:w="1054" w:type="dxa"/>
            <w:vAlign w:val="center"/>
          </w:tcPr>
          <w:p w14:paraId="64FB37B8" w14:textId="77777777" w:rsidR="00160F89" w:rsidRPr="0097287F" w:rsidRDefault="00160F89" w:rsidP="009B7624">
            <w:pPr>
              <w:pStyle w:val="In-tableHeading"/>
              <w:jc w:val="center"/>
              <w:rPr>
                <w:b w:val="0"/>
                <w:bCs/>
              </w:rPr>
            </w:pPr>
            <w:r w:rsidRPr="0097287F">
              <w:rPr>
                <w:b w:val="0"/>
                <w:bCs/>
              </w:rPr>
              <w:t>46</w:t>
            </w:r>
          </w:p>
        </w:tc>
        <w:tc>
          <w:tcPr>
            <w:tcW w:w="1055" w:type="dxa"/>
            <w:vAlign w:val="center"/>
          </w:tcPr>
          <w:p w14:paraId="149569EF" w14:textId="77777777" w:rsidR="00160F89" w:rsidRPr="0097287F" w:rsidRDefault="00160F89" w:rsidP="009B7624">
            <w:pPr>
              <w:pStyle w:val="In-tableHeading"/>
              <w:jc w:val="center"/>
              <w:rPr>
                <w:b w:val="0"/>
                <w:bCs/>
              </w:rPr>
            </w:pPr>
            <w:r w:rsidRPr="0097287F">
              <w:rPr>
                <w:b w:val="0"/>
                <w:bCs/>
              </w:rPr>
              <w:t>52</w:t>
            </w:r>
          </w:p>
        </w:tc>
        <w:tc>
          <w:tcPr>
            <w:tcW w:w="1054" w:type="dxa"/>
            <w:vAlign w:val="center"/>
          </w:tcPr>
          <w:p w14:paraId="430DB25E" w14:textId="77777777" w:rsidR="00160F89" w:rsidRPr="0097287F" w:rsidRDefault="00160F89" w:rsidP="009B7624">
            <w:pPr>
              <w:pStyle w:val="In-tableHeading"/>
              <w:jc w:val="center"/>
              <w:rPr>
                <w:b w:val="0"/>
                <w:bCs/>
              </w:rPr>
            </w:pPr>
            <w:r w:rsidRPr="0097287F">
              <w:rPr>
                <w:b w:val="0"/>
                <w:bCs/>
              </w:rPr>
              <w:t>57</w:t>
            </w:r>
          </w:p>
        </w:tc>
        <w:tc>
          <w:tcPr>
            <w:tcW w:w="1055" w:type="dxa"/>
            <w:vAlign w:val="center"/>
          </w:tcPr>
          <w:p w14:paraId="7F8090FE" w14:textId="77777777" w:rsidR="00160F89" w:rsidRPr="0097287F" w:rsidRDefault="00160F89" w:rsidP="009B7624">
            <w:pPr>
              <w:pStyle w:val="In-tableHeading"/>
              <w:jc w:val="center"/>
              <w:rPr>
                <w:b w:val="0"/>
                <w:bCs/>
              </w:rPr>
            </w:pPr>
            <w:r w:rsidRPr="0097287F">
              <w:rPr>
                <w:b w:val="0"/>
                <w:bCs/>
              </w:rPr>
              <w:t>63</w:t>
            </w:r>
          </w:p>
        </w:tc>
      </w:tr>
      <w:tr w:rsidR="009D111C" w:rsidRPr="00496C73" w14:paraId="068EFD70" w14:textId="77777777" w:rsidTr="009B7624">
        <w:tc>
          <w:tcPr>
            <w:tcW w:w="2689" w:type="dxa"/>
          </w:tcPr>
          <w:p w14:paraId="2EC31B6C" w14:textId="02C33AFB" w:rsidR="009D111C" w:rsidRPr="00C750AA" w:rsidRDefault="00477C36" w:rsidP="002207EE">
            <w:pPr>
              <w:pStyle w:val="In-tableHeading"/>
              <w:rPr>
                <w:b w:val="0"/>
              </w:rPr>
            </w:pPr>
            <w:r w:rsidRPr="00E220C6">
              <w:rPr>
                <w:b w:val="0"/>
                <w:bCs/>
              </w:rPr>
              <w:t>Sleep study (MBS 12210)</w:t>
            </w:r>
          </w:p>
        </w:tc>
        <w:tc>
          <w:tcPr>
            <w:tcW w:w="1054" w:type="dxa"/>
            <w:vAlign w:val="center"/>
          </w:tcPr>
          <w:p w14:paraId="0DFFC951" w14:textId="174D348D" w:rsidR="009D111C" w:rsidRPr="0097287F" w:rsidRDefault="00242C0F" w:rsidP="009B7624">
            <w:pPr>
              <w:pStyle w:val="In-tableHeading"/>
              <w:jc w:val="center"/>
              <w:rPr>
                <w:b w:val="0"/>
                <w:bCs/>
              </w:rPr>
            </w:pPr>
            <w:r w:rsidRPr="00E220C6">
              <w:rPr>
                <w:b w:val="0"/>
                <w:bCs/>
              </w:rPr>
              <w:t>17</w:t>
            </w:r>
          </w:p>
        </w:tc>
        <w:tc>
          <w:tcPr>
            <w:tcW w:w="1055" w:type="dxa"/>
            <w:vAlign w:val="center"/>
          </w:tcPr>
          <w:p w14:paraId="28DADC0E" w14:textId="14FC64E8" w:rsidR="009D111C" w:rsidRPr="0097287F" w:rsidRDefault="00242C0F" w:rsidP="009B7624">
            <w:pPr>
              <w:pStyle w:val="In-tableHeading"/>
              <w:jc w:val="center"/>
              <w:rPr>
                <w:b w:val="0"/>
                <w:bCs/>
              </w:rPr>
            </w:pPr>
            <w:r w:rsidRPr="00E220C6">
              <w:rPr>
                <w:b w:val="0"/>
                <w:bCs/>
              </w:rPr>
              <w:t>34</w:t>
            </w:r>
          </w:p>
        </w:tc>
        <w:tc>
          <w:tcPr>
            <w:tcW w:w="1054" w:type="dxa"/>
            <w:vAlign w:val="center"/>
          </w:tcPr>
          <w:p w14:paraId="6F38BE54" w14:textId="74585467" w:rsidR="009D111C" w:rsidRPr="0097287F" w:rsidRDefault="00242C0F" w:rsidP="009B7624">
            <w:pPr>
              <w:pStyle w:val="In-tableHeading"/>
              <w:jc w:val="center"/>
              <w:rPr>
                <w:b w:val="0"/>
                <w:bCs/>
              </w:rPr>
            </w:pPr>
            <w:r w:rsidRPr="00E220C6">
              <w:rPr>
                <w:b w:val="0"/>
                <w:bCs/>
              </w:rPr>
              <w:t>46</w:t>
            </w:r>
          </w:p>
        </w:tc>
        <w:tc>
          <w:tcPr>
            <w:tcW w:w="1055" w:type="dxa"/>
            <w:vAlign w:val="center"/>
          </w:tcPr>
          <w:p w14:paraId="6EEA9406" w14:textId="66D57D94" w:rsidR="009D111C" w:rsidRPr="0097287F" w:rsidRDefault="00242C0F" w:rsidP="009B7624">
            <w:pPr>
              <w:pStyle w:val="In-tableHeading"/>
              <w:jc w:val="center"/>
              <w:rPr>
                <w:b w:val="0"/>
                <w:bCs/>
              </w:rPr>
            </w:pPr>
            <w:r w:rsidRPr="00E220C6">
              <w:rPr>
                <w:b w:val="0"/>
                <w:bCs/>
              </w:rPr>
              <w:t>52</w:t>
            </w:r>
          </w:p>
        </w:tc>
        <w:tc>
          <w:tcPr>
            <w:tcW w:w="1054" w:type="dxa"/>
            <w:vAlign w:val="center"/>
          </w:tcPr>
          <w:p w14:paraId="383D9F98" w14:textId="49D524B4" w:rsidR="009D111C" w:rsidRPr="0097287F" w:rsidRDefault="00242C0F" w:rsidP="009B7624">
            <w:pPr>
              <w:pStyle w:val="In-tableHeading"/>
              <w:jc w:val="center"/>
              <w:rPr>
                <w:b w:val="0"/>
                <w:bCs/>
              </w:rPr>
            </w:pPr>
            <w:r w:rsidRPr="00E220C6">
              <w:rPr>
                <w:b w:val="0"/>
                <w:bCs/>
              </w:rPr>
              <w:t>57</w:t>
            </w:r>
          </w:p>
        </w:tc>
        <w:tc>
          <w:tcPr>
            <w:tcW w:w="1055" w:type="dxa"/>
            <w:vAlign w:val="center"/>
          </w:tcPr>
          <w:p w14:paraId="2F2055F9" w14:textId="0FCCEB21" w:rsidR="009D111C" w:rsidRPr="0097287F" w:rsidRDefault="00242C0F" w:rsidP="009B7624">
            <w:pPr>
              <w:pStyle w:val="In-tableHeading"/>
              <w:jc w:val="center"/>
              <w:rPr>
                <w:b w:val="0"/>
                <w:bCs/>
              </w:rPr>
            </w:pPr>
            <w:r w:rsidRPr="00E220C6">
              <w:rPr>
                <w:b w:val="0"/>
                <w:bCs/>
              </w:rPr>
              <w:t>63</w:t>
            </w:r>
          </w:p>
        </w:tc>
      </w:tr>
      <w:tr w:rsidR="00160F89" w:rsidRPr="00496C73" w14:paraId="7D0D3BF2" w14:textId="77777777" w:rsidTr="009B7624">
        <w:tc>
          <w:tcPr>
            <w:tcW w:w="2689" w:type="dxa"/>
            <w:vAlign w:val="bottom"/>
          </w:tcPr>
          <w:p w14:paraId="073E9ACB" w14:textId="77777777" w:rsidR="00160F89" w:rsidRPr="00E920FB" w:rsidRDefault="00160F89" w:rsidP="002207EE">
            <w:pPr>
              <w:pStyle w:val="In-tableHeading"/>
              <w:rPr>
                <w:b w:val="0"/>
                <w:bCs/>
              </w:rPr>
            </w:pPr>
            <w:r w:rsidRPr="00E920FB">
              <w:rPr>
                <w:b w:val="0"/>
                <w:bCs/>
              </w:rPr>
              <w:t>Whole body MRI (MBS 63564)</w:t>
            </w:r>
          </w:p>
        </w:tc>
        <w:tc>
          <w:tcPr>
            <w:tcW w:w="1054" w:type="dxa"/>
            <w:vAlign w:val="center"/>
          </w:tcPr>
          <w:p w14:paraId="07C50CF5" w14:textId="77777777" w:rsidR="00160F89" w:rsidRPr="00E920FB" w:rsidRDefault="00160F89" w:rsidP="009B7624">
            <w:pPr>
              <w:pStyle w:val="In-tableHeading"/>
              <w:jc w:val="center"/>
              <w:rPr>
                <w:b w:val="0"/>
                <w:bCs/>
              </w:rPr>
            </w:pPr>
            <w:r w:rsidRPr="0097287F">
              <w:rPr>
                <w:b w:val="0"/>
                <w:bCs/>
              </w:rPr>
              <w:t>17</w:t>
            </w:r>
          </w:p>
        </w:tc>
        <w:tc>
          <w:tcPr>
            <w:tcW w:w="1055" w:type="dxa"/>
            <w:vAlign w:val="center"/>
          </w:tcPr>
          <w:p w14:paraId="2D8EC7BF" w14:textId="77777777" w:rsidR="00160F89" w:rsidRPr="00E920FB" w:rsidRDefault="00160F89" w:rsidP="009B7624">
            <w:pPr>
              <w:pStyle w:val="In-tableHeading"/>
              <w:jc w:val="center"/>
              <w:rPr>
                <w:b w:val="0"/>
                <w:bCs/>
              </w:rPr>
            </w:pPr>
            <w:r w:rsidRPr="0097287F">
              <w:rPr>
                <w:b w:val="0"/>
                <w:bCs/>
              </w:rPr>
              <w:t>34</w:t>
            </w:r>
          </w:p>
        </w:tc>
        <w:tc>
          <w:tcPr>
            <w:tcW w:w="1054" w:type="dxa"/>
            <w:vAlign w:val="center"/>
          </w:tcPr>
          <w:p w14:paraId="5991B02C" w14:textId="77777777" w:rsidR="00160F89" w:rsidRPr="00E920FB" w:rsidRDefault="00160F89" w:rsidP="009B7624">
            <w:pPr>
              <w:pStyle w:val="In-tableHeading"/>
              <w:jc w:val="center"/>
              <w:rPr>
                <w:b w:val="0"/>
                <w:bCs/>
              </w:rPr>
            </w:pPr>
            <w:r w:rsidRPr="0097287F">
              <w:rPr>
                <w:b w:val="0"/>
                <w:bCs/>
              </w:rPr>
              <w:t>46</w:t>
            </w:r>
          </w:p>
        </w:tc>
        <w:tc>
          <w:tcPr>
            <w:tcW w:w="1055" w:type="dxa"/>
            <w:vAlign w:val="center"/>
          </w:tcPr>
          <w:p w14:paraId="45206D5D" w14:textId="77777777" w:rsidR="00160F89" w:rsidRPr="00E920FB" w:rsidRDefault="00160F89" w:rsidP="009B7624">
            <w:pPr>
              <w:pStyle w:val="In-tableHeading"/>
              <w:jc w:val="center"/>
              <w:rPr>
                <w:b w:val="0"/>
                <w:bCs/>
              </w:rPr>
            </w:pPr>
            <w:r w:rsidRPr="0097287F">
              <w:rPr>
                <w:b w:val="0"/>
                <w:bCs/>
              </w:rPr>
              <w:t>52</w:t>
            </w:r>
          </w:p>
        </w:tc>
        <w:tc>
          <w:tcPr>
            <w:tcW w:w="1054" w:type="dxa"/>
            <w:vAlign w:val="center"/>
          </w:tcPr>
          <w:p w14:paraId="08105969" w14:textId="77777777" w:rsidR="00160F89" w:rsidRPr="00E920FB" w:rsidRDefault="00160F89" w:rsidP="009B7624">
            <w:pPr>
              <w:pStyle w:val="In-tableHeading"/>
              <w:jc w:val="center"/>
              <w:rPr>
                <w:b w:val="0"/>
                <w:bCs/>
              </w:rPr>
            </w:pPr>
            <w:r w:rsidRPr="0097287F">
              <w:rPr>
                <w:b w:val="0"/>
                <w:bCs/>
              </w:rPr>
              <w:t>57</w:t>
            </w:r>
          </w:p>
        </w:tc>
        <w:tc>
          <w:tcPr>
            <w:tcW w:w="1055" w:type="dxa"/>
            <w:vAlign w:val="center"/>
          </w:tcPr>
          <w:p w14:paraId="7642D5B3" w14:textId="77777777" w:rsidR="00160F89" w:rsidRPr="00E920FB" w:rsidRDefault="00160F89" w:rsidP="009B7624">
            <w:pPr>
              <w:pStyle w:val="In-tableHeading"/>
              <w:jc w:val="center"/>
              <w:rPr>
                <w:b w:val="0"/>
                <w:bCs/>
              </w:rPr>
            </w:pPr>
            <w:r w:rsidRPr="0097287F">
              <w:rPr>
                <w:b w:val="0"/>
                <w:bCs/>
              </w:rPr>
              <w:t>63</w:t>
            </w:r>
          </w:p>
        </w:tc>
      </w:tr>
      <w:tr w:rsidR="00160F89" w:rsidRPr="00496C73" w14:paraId="06AA5B21" w14:textId="77777777" w:rsidTr="009B7624">
        <w:tc>
          <w:tcPr>
            <w:tcW w:w="2689" w:type="dxa"/>
            <w:vAlign w:val="bottom"/>
          </w:tcPr>
          <w:p w14:paraId="7FC19FEE" w14:textId="77777777" w:rsidR="00160F89" w:rsidRDefault="00160F89" w:rsidP="002207EE">
            <w:pPr>
              <w:pStyle w:val="In-tableHeading"/>
              <w:rPr>
                <w:b w:val="0"/>
                <w:bCs/>
              </w:rPr>
            </w:pPr>
            <w:r w:rsidRPr="00E920FB">
              <w:rPr>
                <w:b w:val="0"/>
                <w:bCs/>
              </w:rPr>
              <w:t xml:space="preserve">Sedation </w:t>
            </w:r>
          </w:p>
          <w:p w14:paraId="422178C1" w14:textId="77777777" w:rsidR="00160F89" w:rsidRPr="0084537B" w:rsidRDefault="00160F89" w:rsidP="002207EE">
            <w:pPr>
              <w:pStyle w:val="In-tableHeading"/>
              <w:rPr>
                <w:b w:val="0"/>
                <w:bCs/>
                <w:vertAlign w:val="superscript"/>
              </w:rPr>
            </w:pPr>
            <w:r w:rsidRPr="00E920FB">
              <w:rPr>
                <w:b w:val="0"/>
                <w:bCs/>
              </w:rPr>
              <w:t>(MBS 63494 and 25013)</w:t>
            </w:r>
            <w:r>
              <w:rPr>
                <w:b w:val="0"/>
                <w:bCs/>
                <w:vertAlign w:val="superscript"/>
              </w:rPr>
              <w:t>c</w:t>
            </w:r>
          </w:p>
        </w:tc>
        <w:tc>
          <w:tcPr>
            <w:tcW w:w="1054" w:type="dxa"/>
            <w:vAlign w:val="center"/>
          </w:tcPr>
          <w:p w14:paraId="1922515E" w14:textId="77777777" w:rsidR="00160F89" w:rsidRPr="00E920FB" w:rsidRDefault="00160F89" w:rsidP="009B7624">
            <w:pPr>
              <w:pStyle w:val="In-tableHeading"/>
              <w:jc w:val="center"/>
              <w:rPr>
                <w:b w:val="0"/>
                <w:bCs/>
              </w:rPr>
            </w:pPr>
            <w:r w:rsidRPr="0097287F">
              <w:rPr>
                <w:b w:val="0"/>
                <w:bCs/>
              </w:rPr>
              <w:t>17</w:t>
            </w:r>
          </w:p>
        </w:tc>
        <w:tc>
          <w:tcPr>
            <w:tcW w:w="1055" w:type="dxa"/>
            <w:vAlign w:val="center"/>
          </w:tcPr>
          <w:p w14:paraId="5498410A" w14:textId="77777777" w:rsidR="00160F89" w:rsidRPr="00E920FB" w:rsidRDefault="00160F89" w:rsidP="009B7624">
            <w:pPr>
              <w:pStyle w:val="In-tableHeading"/>
              <w:jc w:val="center"/>
              <w:rPr>
                <w:b w:val="0"/>
                <w:bCs/>
              </w:rPr>
            </w:pPr>
            <w:r w:rsidRPr="0097287F">
              <w:rPr>
                <w:b w:val="0"/>
                <w:bCs/>
              </w:rPr>
              <w:t>34</w:t>
            </w:r>
          </w:p>
        </w:tc>
        <w:tc>
          <w:tcPr>
            <w:tcW w:w="1054" w:type="dxa"/>
            <w:vAlign w:val="center"/>
          </w:tcPr>
          <w:p w14:paraId="7003F7D1" w14:textId="77777777" w:rsidR="00160F89" w:rsidRPr="00E920FB" w:rsidRDefault="00160F89" w:rsidP="009B7624">
            <w:pPr>
              <w:pStyle w:val="In-tableHeading"/>
              <w:jc w:val="center"/>
              <w:rPr>
                <w:b w:val="0"/>
                <w:bCs/>
              </w:rPr>
            </w:pPr>
            <w:r w:rsidRPr="0097287F">
              <w:rPr>
                <w:b w:val="0"/>
                <w:bCs/>
              </w:rPr>
              <w:t>46</w:t>
            </w:r>
          </w:p>
        </w:tc>
        <w:tc>
          <w:tcPr>
            <w:tcW w:w="1055" w:type="dxa"/>
            <w:vAlign w:val="center"/>
          </w:tcPr>
          <w:p w14:paraId="63470F4D" w14:textId="77777777" w:rsidR="00160F89" w:rsidRPr="00E920FB" w:rsidRDefault="00160F89" w:rsidP="009B7624">
            <w:pPr>
              <w:pStyle w:val="In-tableHeading"/>
              <w:jc w:val="center"/>
              <w:rPr>
                <w:b w:val="0"/>
                <w:bCs/>
              </w:rPr>
            </w:pPr>
            <w:r w:rsidRPr="0097287F">
              <w:rPr>
                <w:b w:val="0"/>
                <w:bCs/>
              </w:rPr>
              <w:t>52</w:t>
            </w:r>
          </w:p>
        </w:tc>
        <w:tc>
          <w:tcPr>
            <w:tcW w:w="1054" w:type="dxa"/>
            <w:vAlign w:val="center"/>
          </w:tcPr>
          <w:p w14:paraId="3822D8E9" w14:textId="77777777" w:rsidR="00160F89" w:rsidRPr="00E920FB" w:rsidRDefault="00160F89" w:rsidP="009B7624">
            <w:pPr>
              <w:pStyle w:val="In-tableHeading"/>
              <w:jc w:val="center"/>
              <w:rPr>
                <w:b w:val="0"/>
                <w:bCs/>
              </w:rPr>
            </w:pPr>
            <w:r w:rsidRPr="0097287F">
              <w:rPr>
                <w:b w:val="0"/>
                <w:bCs/>
              </w:rPr>
              <w:t>52</w:t>
            </w:r>
          </w:p>
        </w:tc>
        <w:tc>
          <w:tcPr>
            <w:tcW w:w="1055" w:type="dxa"/>
            <w:vAlign w:val="center"/>
          </w:tcPr>
          <w:p w14:paraId="2BE8379D" w14:textId="77777777" w:rsidR="00160F89" w:rsidRPr="00E920FB" w:rsidRDefault="00160F89" w:rsidP="009B7624">
            <w:pPr>
              <w:pStyle w:val="In-tableHeading"/>
              <w:jc w:val="center"/>
              <w:rPr>
                <w:b w:val="0"/>
                <w:bCs/>
              </w:rPr>
            </w:pPr>
            <w:r w:rsidRPr="0097287F">
              <w:rPr>
                <w:b w:val="0"/>
                <w:bCs/>
              </w:rPr>
              <w:t>52</w:t>
            </w:r>
          </w:p>
        </w:tc>
      </w:tr>
      <w:tr w:rsidR="00160F89" w:rsidRPr="00496C73" w14:paraId="74CAECD7" w14:textId="77777777" w:rsidTr="002207EE">
        <w:tc>
          <w:tcPr>
            <w:tcW w:w="9016" w:type="dxa"/>
            <w:gridSpan w:val="7"/>
            <w:vAlign w:val="center"/>
          </w:tcPr>
          <w:p w14:paraId="5076B357" w14:textId="77777777" w:rsidR="00160F89" w:rsidRPr="00A6369E" w:rsidRDefault="00160F89" w:rsidP="002207EE">
            <w:pPr>
              <w:pStyle w:val="In-tableHeading"/>
              <w:rPr>
                <w:vertAlign w:val="superscript"/>
                <w:lang w:val="en-AU"/>
              </w:rPr>
            </w:pPr>
            <w:r w:rsidRPr="00A6369E">
              <w:rPr>
                <w:lang w:val="en-AU"/>
              </w:rPr>
              <w:t>Net increase in MBS costs</w:t>
            </w:r>
            <w:r>
              <w:rPr>
                <w:vertAlign w:val="superscript"/>
                <w:lang w:val="en-AU"/>
              </w:rPr>
              <w:t>d</w:t>
            </w:r>
          </w:p>
        </w:tc>
      </w:tr>
      <w:tr w:rsidR="00160F89" w:rsidRPr="00496C73" w14:paraId="0C65677A" w14:textId="77777777" w:rsidTr="009B7624">
        <w:tc>
          <w:tcPr>
            <w:tcW w:w="2689" w:type="dxa"/>
            <w:vAlign w:val="bottom"/>
          </w:tcPr>
          <w:p w14:paraId="27ECE4F3" w14:textId="77777777" w:rsidR="00160F89" w:rsidRDefault="00160F89" w:rsidP="002207EE">
            <w:pPr>
              <w:pStyle w:val="In-tableHeading"/>
              <w:rPr>
                <w:b w:val="0"/>
                <w:bCs/>
              </w:rPr>
            </w:pPr>
            <w:r w:rsidRPr="00FB33DE">
              <w:rPr>
                <w:b w:val="0"/>
                <w:bCs/>
              </w:rPr>
              <w:t>GP appointment costs</w:t>
            </w:r>
          </w:p>
          <w:p w14:paraId="46180708" w14:textId="77777777" w:rsidR="00160F89" w:rsidRPr="003C0708" w:rsidRDefault="00160F89" w:rsidP="002207EE">
            <w:pPr>
              <w:pStyle w:val="In-tableHeading"/>
              <w:rPr>
                <w:b w:val="0"/>
                <w:bCs/>
              </w:rPr>
            </w:pPr>
            <w:r w:rsidRPr="00FB33DE">
              <w:rPr>
                <w:b w:val="0"/>
                <w:bCs/>
              </w:rPr>
              <w:t xml:space="preserve"> (MBS 721 - $1</w:t>
            </w:r>
            <w:r>
              <w:rPr>
                <w:b w:val="0"/>
                <w:bCs/>
              </w:rPr>
              <w:t>64.35</w:t>
            </w:r>
            <w:r w:rsidRPr="00FB33DE">
              <w:rPr>
                <w:b w:val="0"/>
                <w:bCs/>
              </w:rPr>
              <w:t>)</w:t>
            </w:r>
          </w:p>
        </w:tc>
        <w:tc>
          <w:tcPr>
            <w:tcW w:w="1054" w:type="dxa"/>
            <w:vAlign w:val="center"/>
          </w:tcPr>
          <w:p w14:paraId="22D2A60F" w14:textId="77777777" w:rsidR="00160F89" w:rsidRPr="00890E50" w:rsidRDefault="00160F89" w:rsidP="00455A91">
            <w:pPr>
              <w:pStyle w:val="In-tableHeading"/>
              <w:jc w:val="right"/>
              <w:rPr>
                <w:b w:val="0"/>
                <w:bCs/>
                <w:lang w:val="en-AU"/>
              </w:rPr>
            </w:pPr>
            <w:r w:rsidRPr="00890E50">
              <w:rPr>
                <w:b w:val="0"/>
                <w:bCs/>
              </w:rPr>
              <w:t>$2,827</w:t>
            </w:r>
          </w:p>
        </w:tc>
        <w:tc>
          <w:tcPr>
            <w:tcW w:w="1055" w:type="dxa"/>
            <w:vAlign w:val="center"/>
          </w:tcPr>
          <w:p w14:paraId="0639535C" w14:textId="77777777" w:rsidR="00160F89" w:rsidRPr="00890E50" w:rsidRDefault="00160F89" w:rsidP="00455A91">
            <w:pPr>
              <w:pStyle w:val="In-tableHeading"/>
              <w:jc w:val="right"/>
              <w:rPr>
                <w:b w:val="0"/>
                <w:bCs/>
                <w:lang w:val="en-AU"/>
              </w:rPr>
            </w:pPr>
            <w:r w:rsidRPr="00890E50">
              <w:rPr>
                <w:b w:val="0"/>
                <w:bCs/>
              </w:rPr>
              <w:t>$5,654</w:t>
            </w:r>
          </w:p>
        </w:tc>
        <w:tc>
          <w:tcPr>
            <w:tcW w:w="1054" w:type="dxa"/>
            <w:vAlign w:val="center"/>
          </w:tcPr>
          <w:p w14:paraId="603FB5F4" w14:textId="77777777" w:rsidR="00160F89" w:rsidRPr="00890E50" w:rsidRDefault="00160F89" w:rsidP="00455A91">
            <w:pPr>
              <w:pStyle w:val="In-tableHeading"/>
              <w:jc w:val="right"/>
              <w:rPr>
                <w:b w:val="0"/>
                <w:bCs/>
                <w:lang w:val="en-AU"/>
              </w:rPr>
            </w:pPr>
            <w:r w:rsidRPr="00890E50">
              <w:rPr>
                <w:b w:val="0"/>
                <w:bCs/>
              </w:rPr>
              <w:t>$7,535</w:t>
            </w:r>
          </w:p>
        </w:tc>
        <w:tc>
          <w:tcPr>
            <w:tcW w:w="1055" w:type="dxa"/>
            <w:vAlign w:val="center"/>
          </w:tcPr>
          <w:p w14:paraId="07344110" w14:textId="77777777" w:rsidR="00160F89" w:rsidRPr="00890E50" w:rsidRDefault="00160F89" w:rsidP="00455A91">
            <w:pPr>
              <w:pStyle w:val="In-tableHeading"/>
              <w:jc w:val="right"/>
              <w:rPr>
                <w:b w:val="0"/>
                <w:bCs/>
                <w:lang w:val="en-AU"/>
              </w:rPr>
            </w:pPr>
            <w:r w:rsidRPr="00890E50">
              <w:rPr>
                <w:b w:val="0"/>
                <w:bCs/>
              </w:rPr>
              <w:t>$8,481</w:t>
            </w:r>
          </w:p>
        </w:tc>
        <w:tc>
          <w:tcPr>
            <w:tcW w:w="1054" w:type="dxa"/>
            <w:vAlign w:val="center"/>
          </w:tcPr>
          <w:p w14:paraId="7AB0BA1B" w14:textId="77777777" w:rsidR="00160F89" w:rsidRPr="00890E50" w:rsidRDefault="00160F89" w:rsidP="00455A91">
            <w:pPr>
              <w:pStyle w:val="In-tableHeading"/>
              <w:jc w:val="right"/>
              <w:rPr>
                <w:b w:val="0"/>
                <w:bCs/>
                <w:lang w:val="en-AU"/>
              </w:rPr>
            </w:pPr>
            <w:r w:rsidRPr="00890E50">
              <w:rPr>
                <w:b w:val="0"/>
                <w:bCs/>
              </w:rPr>
              <w:t>$9,426</w:t>
            </w:r>
          </w:p>
        </w:tc>
        <w:tc>
          <w:tcPr>
            <w:tcW w:w="1055" w:type="dxa"/>
            <w:vAlign w:val="center"/>
          </w:tcPr>
          <w:p w14:paraId="68E09FF5" w14:textId="77777777" w:rsidR="00160F89" w:rsidRPr="00890E50" w:rsidRDefault="00160F89" w:rsidP="00455A91">
            <w:pPr>
              <w:pStyle w:val="In-tableHeading"/>
              <w:jc w:val="right"/>
              <w:rPr>
                <w:b w:val="0"/>
                <w:bCs/>
                <w:lang w:val="en-AU"/>
              </w:rPr>
            </w:pPr>
            <w:r w:rsidRPr="00890E50">
              <w:rPr>
                <w:b w:val="0"/>
                <w:bCs/>
              </w:rPr>
              <w:t>$10,371</w:t>
            </w:r>
          </w:p>
        </w:tc>
      </w:tr>
      <w:tr w:rsidR="00160F89" w:rsidRPr="00496C73" w14:paraId="22CA6030" w14:textId="77777777" w:rsidTr="009B7624">
        <w:tc>
          <w:tcPr>
            <w:tcW w:w="2689" w:type="dxa"/>
            <w:vAlign w:val="bottom"/>
          </w:tcPr>
          <w:p w14:paraId="293F7542" w14:textId="77777777" w:rsidR="00160F89" w:rsidRDefault="00160F89" w:rsidP="002207EE">
            <w:pPr>
              <w:pStyle w:val="In-tableHeading"/>
              <w:rPr>
                <w:b w:val="0"/>
                <w:bCs/>
              </w:rPr>
            </w:pPr>
            <w:r w:rsidRPr="00FB33DE">
              <w:rPr>
                <w:b w:val="0"/>
                <w:bCs/>
              </w:rPr>
              <w:t xml:space="preserve">Echocardiogram costs </w:t>
            </w:r>
          </w:p>
          <w:p w14:paraId="028238D3" w14:textId="77777777" w:rsidR="00160F89" w:rsidRPr="00FB33DE" w:rsidRDefault="00160F89" w:rsidP="002207EE">
            <w:pPr>
              <w:pStyle w:val="In-tableHeading"/>
              <w:rPr>
                <w:b w:val="0"/>
              </w:rPr>
            </w:pPr>
            <w:r w:rsidRPr="00FB33DE">
              <w:rPr>
                <w:b w:val="0"/>
                <w:bCs/>
              </w:rPr>
              <w:t>(MBS 55132 - $219.90)</w:t>
            </w:r>
          </w:p>
        </w:tc>
        <w:tc>
          <w:tcPr>
            <w:tcW w:w="1054" w:type="dxa"/>
            <w:vAlign w:val="center"/>
          </w:tcPr>
          <w:p w14:paraId="58CAB3F1" w14:textId="77777777" w:rsidR="00160F89" w:rsidRPr="006D5DED" w:rsidRDefault="00160F89" w:rsidP="00455A91">
            <w:pPr>
              <w:pStyle w:val="In-tableHeading"/>
              <w:jc w:val="right"/>
              <w:rPr>
                <w:b w:val="0"/>
                <w:bCs/>
                <w:lang w:val="en-AU"/>
              </w:rPr>
            </w:pPr>
            <w:r w:rsidRPr="006D5DED">
              <w:rPr>
                <w:b w:val="0"/>
                <w:bCs/>
              </w:rPr>
              <w:t>$3,782</w:t>
            </w:r>
          </w:p>
        </w:tc>
        <w:tc>
          <w:tcPr>
            <w:tcW w:w="1055" w:type="dxa"/>
            <w:vAlign w:val="center"/>
          </w:tcPr>
          <w:p w14:paraId="736614B8" w14:textId="77777777" w:rsidR="00160F89" w:rsidRPr="006D5DED" w:rsidRDefault="00160F89" w:rsidP="00455A91">
            <w:pPr>
              <w:pStyle w:val="In-tableHeading"/>
              <w:jc w:val="right"/>
              <w:rPr>
                <w:b w:val="0"/>
                <w:bCs/>
                <w:lang w:val="en-AU"/>
              </w:rPr>
            </w:pPr>
            <w:r w:rsidRPr="006D5DED">
              <w:rPr>
                <w:b w:val="0"/>
                <w:bCs/>
              </w:rPr>
              <w:t>$7,564</w:t>
            </w:r>
          </w:p>
        </w:tc>
        <w:tc>
          <w:tcPr>
            <w:tcW w:w="1054" w:type="dxa"/>
            <w:vAlign w:val="center"/>
          </w:tcPr>
          <w:p w14:paraId="2E35C477" w14:textId="77777777" w:rsidR="00160F89" w:rsidRPr="006D5DED" w:rsidRDefault="00160F89" w:rsidP="00455A91">
            <w:pPr>
              <w:pStyle w:val="In-tableHeading"/>
              <w:jc w:val="right"/>
              <w:rPr>
                <w:b w:val="0"/>
                <w:bCs/>
                <w:lang w:val="en-AU"/>
              </w:rPr>
            </w:pPr>
            <w:r w:rsidRPr="006D5DED">
              <w:rPr>
                <w:b w:val="0"/>
                <w:bCs/>
              </w:rPr>
              <w:t>$10,082</w:t>
            </w:r>
          </w:p>
        </w:tc>
        <w:tc>
          <w:tcPr>
            <w:tcW w:w="1055" w:type="dxa"/>
            <w:vAlign w:val="center"/>
          </w:tcPr>
          <w:p w14:paraId="5FBED92D" w14:textId="77777777" w:rsidR="00160F89" w:rsidRPr="006D5DED" w:rsidRDefault="00160F89" w:rsidP="00455A91">
            <w:pPr>
              <w:pStyle w:val="In-tableHeading"/>
              <w:jc w:val="right"/>
              <w:rPr>
                <w:b w:val="0"/>
                <w:bCs/>
                <w:lang w:val="en-AU"/>
              </w:rPr>
            </w:pPr>
            <w:r w:rsidRPr="006D5DED">
              <w:rPr>
                <w:b w:val="0"/>
                <w:bCs/>
              </w:rPr>
              <w:t>$11,347</w:t>
            </w:r>
          </w:p>
        </w:tc>
        <w:tc>
          <w:tcPr>
            <w:tcW w:w="1054" w:type="dxa"/>
            <w:vAlign w:val="center"/>
          </w:tcPr>
          <w:p w14:paraId="379E8C48" w14:textId="77777777" w:rsidR="00160F89" w:rsidRPr="006D5DED" w:rsidRDefault="00160F89" w:rsidP="00455A91">
            <w:pPr>
              <w:pStyle w:val="In-tableHeading"/>
              <w:jc w:val="right"/>
              <w:rPr>
                <w:b w:val="0"/>
                <w:bCs/>
                <w:lang w:val="en-AU"/>
              </w:rPr>
            </w:pPr>
            <w:r w:rsidRPr="006D5DED">
              <w:rPr>
                <w:b w:val="0"/>
                <w:bCs/>
              </w:rPr>
              <w:t>$12,611</w:t>
            </w:r>
          </w:p>
        </w:tc>
        <w:tc>
          <w:tcPr>
            <w:tcW w:w="1055" w:type="dxa"/>
            <w:vAlign w:val="center"/>
          </w:tcPr>
          <w:p w14:paraId="58788670" w14:textId="77777777" w:rsidR="00160F89" w:rsidRPr="006D5DED" w:rsidRDefault="00160F89" w:rsidP="00455A91">
            <w:pPr>
              <w:pStyle w:val="In-tableHeading"/>
              <w:jc w:val="right"/>
              <w:rPr>
                <w:b w:val="0"/>
                <w:bCs/>
                <w:lang w:val="en-AU"/>
              </w:rPr>
            </w:pPr>
            <w:r w:rsidRPr="006D5DED">
              <w:rPr>
                <w:b w:val="0"/>
                <w:bCs/>
              </w:rPr>
              <w:t>$13,875</w:t>
            </w:r>
          </w:p>
        </w:tc>
      </w:tr>
      <w:tr w:rsidR="00160F89" w:rsidRPr="00496C73" w14:paraId="7B36BDF4" w14:textId="77777777" w:rsidTr="009B7624">
        <w:tc>
          <w:tcPr>
            <w:tcW w:w="2689" w:type="dxa"/>
            <w:vAlign w:val="bottom"/>
          </w:tcPr>
          <w:p w14:paraId="48D8E1AF" w14:textId="77777777" w:rsidR="00160F89" w:rsidRDefault="00160F89" w:rsidP="002207EE">
            <w:pPr>
              <w:pStyle w:val="In-tableHeading"/>
              <w:rPr>
                <w:b w:val="0"/>
                <w:bCs/>
              </w:rPr>
            </w:pPr>
            <w:r w:rsidRPr="00FB33DE">
              <w:rPr>
                <w:b w:val="0"/>
                <w:bCs/>
              </w:rPr>
              <w:t xml:space="preserve">Electrocardiogram costs </w:t>
            </w:r>
          </w:p>
          <w:p w14:paraId="4356E505" w14:textId="77777777" w:rsidR="00160F89" w:rsidRPr="00FB33DE" w:rsidRDefault="00160F89" w:rsidP="002207EE">
            <w:pPr>
              <w:pStyle w:val="In-tableHeading"/>
              <w:rPr>
                <w:b w:val="0"/>
              </w:rPr>
            </w:pPr>
            <w:r w:rsidRPr="00FB33DE">
              <w:rPr>
                <w:b w:val="0"/>
                <w:bCs/>
              </w:rPr>
              <w:t>(MBS 11707 - $17.81)</w:t>
            </w:r>
          </w:p>
        </w:tc>
        <w:tc>
          <w:tcPr>
            <w:tcW w:w="1054" w:type="dxa"/>
            <w:vAlign w:val="center"/>
          </w:tcPr>
          <w:p w14:paraId="779CC09D" w14:textId="77777777" w:rsidR="00160F89" w:rsidRPr="006D5DED" w:rsidRDefault="00160F89" w:rsidP="00455A91">
            <w:pPr>
              <w:pStyle w:val="In-tableHeading"/>
              <w:jc w:val="right"/>
              <w:rPr>
                <w:b w:val="0"/>
                <w:bCs/>
                <w:lang w:val="en-AU"/>
              </w:rPr>
            </w:pPr>
            <w:r w:rsidRPr="006D5DED">
              <w:rPr>
                <w:b w:val="0"/>
                <w:bCs/>
              </w:rPr>
              <w:t>$306</w:t>
            </w:r>
          </w:p>
        </w:tc>
        <w:tc>
          <w:tcPr>
            <w:tcW w:w="1055" w:type="dxa"/>
            <w:vAlign w:val="center"/>
          </w:tcPr>
          <w:p w14:paraId="53963208" w14:textId="77777777" w:rsidR="00160F89" w:rsidRPr="006D5DED" w:rsidRDefault="00160F89" w:rsidP="00455A91">
            <w:pPr>
              <w:pStyle w:val="In-tableHeading"/>
              <w:jc w:val="right"/>
              <w:rPr>
                <w:b w:val="0"/>
                <w:bCs/>
                <w:lang w:val="en-AU"/>
              </w:rPr>
            </w:pPr>
            <w:r w:rsidRPr="006D5DED">
              <w:rPr>
                <w:b w:val="0"/>
                <w:bCs/>
              </w:rPr>
              <w:t>$613</w:t>
            </w:r>
          </w:p>
        </w:tc>
        <w:tc>
          <w:tcPr>
            <w:tcW w:w="1054" w:type="dxa"/>
            <w:vAlign w:val="center"/>
          </w:tcPr>
          <w:p w14:paraId="440A456E" w14:textId="77777777" w:rsidR="00160F89" w:rsidRPr="006D5DED" w:rsidRDefault="00160F89" w:rsidP="00455A91">
            <w:pPr>
              <w:pStyle w:val="In-tableHeading"/>
              <w:jc w:val="right"/>
              <w:rPr>
                <w:b w:val="0"/>
                <w:bCs/>
                <w:lang w:val="en-AU"/>
              </w:rPr>
            </w:pPr>
            <w:r w:rsidRPr="006D5DED">
              <w:rPr>
                <w:b w:val="0"/>
                <w:bCs/>
              </w:rPr>
              <w:t>$816</w:t>
            </w:r>
          </w:p>
        </w:tc>
        <w:tc>
          <w:tcPr>
            <w:tcW w:w="1055" w:type="dxa"/>
            <w:vAlign w:val="center"/>
          </w:tcPr>
          <w:p w14:paraId="591675B6" w14:textId="77777777" w:rsidR="00160F89" w:rsidRPr="006D5DED" w:rsidRDefault="00160F89" w:rsidP="00455A91">
            <w:pPr>
              <w:pStyle w:val="In-tableHeading"/>
              <w:jc w:val="right"/>
              <w:rPr>
                <w:b w:val="0"/>
                <w:bCs/>
                <w:lang w:val="en-AU"/>
              </w:rPr>
            </w:pPr>
            <w:r w:rsidRPr="006D5DED">
              <w:rPr>
                <w:b w:val="0"/>
                <w:bCs/>
              </w:rPr>
              <w:t>$919</w:t>
            </w:r>
          </w:p>
        </w:tc>
        <w:tc>
          <w:tcPr>
            <w:tcW w:w="1054" w:type="dxa"/>
            <w:vAlign w:val="center"/>
          </w:tcPr>
          <w:p w14:paraId="4DAE9E68" w14:textId="77777777" w:rsidR="00160F89" w:rsidRPr="006D5DED" w:rsidRDefault="00160F89" w:rsidP="00455A91">
            <w:pPr>
              <w:pStyle w:val="In-tableHeading"/>
              <w:jc w:val="right"/>
              <w:rPr>
                <w:b w:val="0"/>
                <w:bCs/>
                <w:lang w:val="en-AU"/>
              </w:rPr>
            </w:pPr>
            <w:r w:rsidRPr="006D5DED">
              <w:rPr>
                <w:b w:val="0"/>
                <w:bCs/>
              </w:rPr>
              <w:t>$1,021</w:t>
            </w:r>
          </w:p>
        </w:tc>
        <w:tc>
          <w:tcPr>
            <w:tcW w:w="1055" w:type="dxa"/>
            <w:vAlign w:val="center"/>
          </w:tcPr>
          <w:p w14:paraId="3EFFED13" w14:textId="77777777" w:rsidR="00160F89" w:rsidRPr="006D5DED" w:rsidRDefault="00160F89" w:rsidP="00455A91">
            <w:pPr>
              <w:pStyle w:val="In-tableHeading"/>
              <w:jc w:val="right"/>
              <w:rPr>
                <w:b w:val="0"/>
                <w:bCs/>
                <w:lang w:val="en-AU"/>
              </w:rPr>
            </w:pPr>
            <w:r w:rsidRPr="006D5DED">
              <w:rPr>
                <w:b w:val="0"/>
                <w:bCs/>
              </w:rPr>
              <w:t>$1,124</w:t>
            </w:r>
          </w:p>
        </w:tc>
      </w:tr>
      <w:tr w:rsidR="00160F89" w:rsidRPr="00496C73" w14:paraId="522205E1" w14:textId="77777777" w:rsidTr="009B7624">
        <w:tc>
          <w:tcPr>
            <w:tcW w:w="2689" w:type="dxa"/>
            <w:vAlign w:val="bottom"/>
          </w:tcPr>
          <w:p w14:paraId="7E22217D" w14:textId="77777777" w:rsidR="00160F89" w:rsidRDefault="00160F89" w:rsidP="002207EE">
            <w:pPr>
              <w:pStyle w:val="In-tableHeading"/>
              <w:rPr>
                <w:b w:val="0"/>
                <w:bCs/>
              </w:rPr>
            </w:pPr>
            <w:r w:rsidRPr="00FB33DE">
              <w:rPr>
                <w:b w:val="0"/>
                <w:bCs/>
              </w:rPr>
              <w:t xml:space="preserve">Abdominal ultrasound costs </w:t>
            </w:r>
          </w:p>
          <w:p w14:paraId="7E6BAF51" w14:textId="77777777" w:rsidR="00160F89" w:rsidRPr="00FB33DE" w:rsidRDefault="00160F89" w:rsidP="002207EE">
            <w:pPr>
              <w:pStyle w:val="In-tableHeading"/>
              <w:rPr>
                <w:b w:val="0"/>
              </w:rPr>
            </w:pPr>
            <w:r w:rsidRPr="00FB33DE">
              <w:rPr>
                <w:b w:val="0"/>
                <w:bCs/>
              </w:rPr>
              <w:t>(MBS 55036 - $106.00)</w:t>
            </w:r>
          </w:p>
        </w:tc>
        <w:tc>
          <w:tcPr>
            <w:tcW w:w="1054" w:type="dxa"/>
            <w:vAlign w:val="center"/>
          </w:tcPr>
          <w:p w14:paraId="0431C0D3" w14:textId="77777777" w:rsidR="00160F89" w:rsidRPr="006D5DED" w:rsidRDefault="00160F89" w:rsidP="00455A91">
            <w:pPr>
              <w:pStyle w:val="In-tableHeading"/>
              <w:jc w:val="right"/>
              <w:rPr>
                <w:b w:val="0"/>
                <w:bCs/>
                <w:lang w:val="en-AU"/>
              </w:rPr>
            </w:pPr>
            <w:r w:rsidRPr="006D5DED">
              <w:rPr>
                <w:b w:val="0"/>
                <w:bCs/>
              </w:rPr>
              <w:t>$1,823</w:t>
            </w:r>
          </w:p>
        </w:tc>
        <w:tc>
          <w:tcPr>
            <w:tcW w:w="1055" w:type="dxa"/>
            <w:vAlign w:val="center"/>
          </w:tcPr>
          <w:p w14:paraId="03BEFEA7" w14:textId="77777777" w:rsidR="00160F89" w:rsidRPr="006D5DED" w:rsidRDefault="00160F89" w:rsidP="00455A91">
            <w:pPr>
              <w:pStyle w:val="In-tableHeading"/>
              <w:jc w:val="right"/>
              <w:rPr>
                <w:b w:val="0"/>
                <w:bCs/>
                <w:lang w:val="en-AU"/>
              </w:rPr>
            </w:pPr>
            <w:r w:rsidRPr="006D5DED">
              <w:rPr>
                <w:b w:val="0"/>
                <w:bCs/>
              </w:rPr>
              <w:t>$3,646</w:t>
            </w:r>
          </w:p>
        </w:tc>
        <w:tc>
          <w:tcPr>
            <w:tcW w:w="1054" w:type="dxa"/>
            <w:vAlign w:val="center"/>
          </w:tcPr>
          <w:p w14:paraId="513BEF49" w14:textId="77777777" w:rsidR="00160F89" w:rsidRPr="006D5DED" w:rsidRDefault="00160F89" w:rsidP="00455A91">
            <w:pPr>
              <w:pStyle w:val="In-tableHeading"/>
              <w:jc w:val="right"/>
              <w:rPr>
                <w:b w:val="0"/>
                <w:bCs/>
                <w:lang w:val="en-AU"/>
              </w:rPr>
            </w:pPr>
            <w:r w:rsidRPr="006D5DED">
              <w:rPr>
                <w:b w:val="0"/>
                <w:bCs/>
              </w:rPr>
              <w:t>$4,860</w:t>
            </w:r>
          </w:p>
        </w:tc>
        <w:tc>
          <w:tcPr>
            <w:tcW w:w="1055" w:type="dxa"/>
            <w:vAlign w:val="center"/>
          </w:tcPr>
          <w:p w14:paraId="03579A37" w14:textId="77777777" w:rsidR="00160F89" w:rsidRPr="006D5DED" w:rsidRDefault="00160F89" w:rsidP="00455A91">
            <w:pPr>
              <w:pStyle w:val="In-tableHeading"/>
              <w:jc w:val="right"/>
              <w:rPr>
                <w:b w:val="0"/>
                <w:bCs/>
                <w:lang w:val="en-AU"/>
              </w:rPr>
            </w:pPr>
            <w:r w:rsidRPr="006D5DED">
              <w:rPr>
                <w:b w:val="0"/>
                <w:bCs/>
              </w:rPr>
              <w:t>$5,469</w:t>
            </w:r>
          </w:p>
        </w:tc>
        <w:tc>
          <w:tcPr>
            <w:tcW w:w="1054" w:type="dxa"/>
            <w:vAlign w:val="center"/>
          </w:tcPr>
          <w:p w14:paraId="52C3E986" w14:textId="77777777" w:rsidR="00160F89" w:rsidRPr="006D5DED" w:rsidRDefault="00160F89" w:rsidP="00455A91">
            <w:pPr>
              <w:pStyle w:val="In-tableHeading"/>
              <w:jc w:val="right"/>
              <w:rPr>
                <w:b w:val="0"/>
                <w:bCs/>
                <w:lang w:val="en-AU"/>
              </w:rPr>
            </w:pPr>
            <w:r w:rsidRPr="006D5DED">
              <w:rPr>
                <w:b w:val="0"/>
                <w:bCs/>
              </w:rPr>
              <w:t>$6,079</w:t>
            </w:r>
          </w:p>
        </w:tc>
        <w:tc>
          <w:tcPr>
            <w:tcW w:w="1055" w:type="dxa"/>
            <w:vAlign w:val="center"/>
          </w:tcPr>
          <w:p w14:paraId="40E2A6B3" w14:textId="77777777" w:rsidR="00160F89" w:rsidRPr="006D5DED" w:rsidRDefault="00160F89" w:rsidP="00455A91">
            <w:pPr>
              <w:pStyle w:val="In-tableHeading"/>
              <w:jc w:val="right"/>
              <w:rPr>
                <w:b w:val="0"/>
                <w:bCs/>
                <w:lang w:val="en-AU"/>
              </w:rPr>
            </w:pPr>
            <w:r w:rsidRPr="006D5DED">
              <w:rPr>
                <w:b w:val="0"/>
                <w:bCs/>
              </w:rPr>
              <w:t>$6,688</w:t>
            </w:r>
          </w:p>
        </w:tc>
      </w:tr>
      <w:tr w:rsidR="00477C36" w:rsidRPr="00496C73" w14:paraId="7A366E63" w14:textId="77777777" w:rsidTr="009B7624">
        <w:tc>
          <w:tcPr>
            <w:tcW w:w="2689" w:type="dxa"/>
            <w:vAlign w:val="bottom"/>
          </w:tcPr>
          <w:p w14:paraId="2C336BBB" w14:textId="77777777" w:rsidR="009F0505" w:rsidRDefault="009F0505" w:rsidP="00911F21">
            <w:pPr>
              <w:pStyle w:val="In-tableHeading"/>
              <w:rPr>
                <w:b w:val="0"/>
                <w:bCs/>
              </w:rPr>
            </w:pPr>
            <w:r w:rsidRPr="009F0505">
              <w:rPr>
                <w:b w:val="0"/>
                <w:bCs/>
              </w:rPr>
              <w:t xml:space="preserve">Sleep study </w:t>
            </w:r>
          </w:p>
          <w:p w14:paraId="5551BF56" w14:textId="7E981A3C" w:rsidR="00477C36" w:rsidRPr="00FB33DE" w:rsidRDefault="009F0505" w:rsidP="002207EE">
            <w:pPr>
              <w:pStyle w:val="In-tableHeading"/>
              <w:rPr>
                <w:b w:val="0"/>
                <w:bCs/>
              </w:rPr>
            </w:pPr>
            <w:r w:rsidRPr="009F0505">
              <w:rPr>
                <w:b w:val="0"/>
                <w:bCs/>
              </w:rPr>
              <w:t>(MBS 12210 - $679.66)</w:t>
            </w:r>
          </w:p>
        </w:tc>
        <w:tc>
          <w:tcPr>
            <w:tcW w:w="1054" w:type="dxa"/>
            <w:vAlign w:val="center"/>
          </w:tcPr>
          <w:p w14:paraId="3C26199A" w14:textId="14073184" w:rsidR="00477C36" w:rsidRPr="006D5DED" w:rsidRDefault="00911F21" w:rsidP="00455A91">
            <w:pPr>
              <w:pStyle w:val="In-tableHeading"/>
              <w:jc w:val="right"/>
              <w:rPr>
                <w:b w:val="0"/>
                <w:bCs/>
              </w:rPr>
            </w:pPr>
            <w:r w:rsidRPr="00E220C6">
              <w:rPr>
                <w:b w:val="0"/>
              </w:rPr>
              <w:t>$11,690</w:t>
            </w:r>
          </w:p>
        </w:tc>
        <w:tc>
          <w:tcPr>
            <w:tcW w:w="1055" w:type="dxa"/>
            <w:vAlign w:val="center"/>
          </w:tcPr>
          <w:p w14:paraId="1CB0F287" w14:textId="730351B8" w:rsidR="00477C36" w:rsidRPr="006D5DED" w:rsidRDefault="00911F21" w:rsidP="00455A91">
            <w:pPr>
              <w:pStyle w:val="In-tableHeading"/>
              <w:jc w:val="right"/>
              <w:rPr>
                <w:b w:val="0"/>
                <w:bCs/>
              </w:rPr>
            </w:pPr>
            <w:r w:rsidRPr="00E220C6">
              <w:rPr>
                <w:b w:val="0"/>
              </w:rPr>
              <w:t>$23,380</w:t>
            </w:r>
          </w:p>
        </w:tc>
        <w:tc>
          <w:tcPr>
            <w:tcW w:w="1054" w:type="dxa"/>
            <w:vAlign w:val="center"/>
          </w:tcPr>
          <w:p w14:paraId="4B54E6C1" w14:textId="6162E598" w:rsidR="00477C36" w:rsidRPr="006D5DED" w:rsidRDefault="00911F21" w:rsidP="00455A91">
            <w:pPr>
              <w:pStyle w:val="In-tableHeading"/>
              <w:jc w:val="right"/>
              <w:rPr>
                <w:b w:val="0"/>
                <w:bCs/>
              </w:rPr>
            </w:pPr>
            <w:r w:rsidRPr="00E220C6">
              <w:rPr>
                <w:b w:val="0"/>
              </w:rPr>
              <w:t>$31,162</w:t>
            </w:r>
          </w:p>
        </w:tc>
        <w:tc>
          <w:tcPr>
            <w:tcW w:w="1055" w:type="dxa"/>
            <w:vAlign w:val="center"/>
          </w:tcPr>
          <w:p w14:paraId="13255F6B" w14:textId="2A0EEBD6" w:rsidR="00477C36" w:rsidRPr="006D5DED" w:rsidRDefault="00911F21" w:rsidP="00455A91">
            <w:pPr>
              <w:pStyle w:val="In-tableHeading"/>
              <w:jc w:val="right"/>
              <w:rPr>
                <w:b w:val="0"/>
                <w:bCs/>
              </w:rPr>
            </w:pPr>
            <w:r w:rsidRPr="00E220C6">
              <w:rPr>
                <w:b w:val="0"/>
              </w:rPr>
              <w:t>$35,071</w:t>
            </w:r>
          </w:p>
        </w:tc>
        <w:tc>
          <w:tcPr>
            <w:tcW w:w="1054" w:type="dxa"/>
            <w:vAlign w:val="center"/>
          </w:tcPr>
          <w:p w14:paraId="1BCA5587" w14:textId="197A2EA3" w:rsidR="00477C36" w:rsidRPr="006D5DED" w:rsidRDefault="00911F21" w:rsidP="00455A91">
            <w:pPr>
              <w:pStyle w:val="In-tableHeading"/>
              <w:jc w:val="right"/>
              <w:rPr>
                <w:b w:val="0"/>
                <w:bCs/>
              </w:rPr>
            </w:pPr>
            <w:r w:rsidRPr="00E220C6">
              <w:rPr>
                <w:b w:val="0"/>
              </w:rPr>
              <w:t>$38,980</w:t>
            </w:r>
          </w:p>
        </w:tc>
        <w:tc>
          <w:tcPr>
            <w:tcW w:w="1055" w:type="dxa"/>
            <w:vAlign w:val="center"/>
          </w:tcPr>
          <w:p w14:paraId="3C3FE4B9" w14:textId="7F5BD809" w:rsidR="00477C36" w:rsidRPr="006D5DED" w:rsidRDefault="00911F21" w:rsidP="00455A91">
            <w:pPr>
              <w:pStyle w:val="In-tableHeading"/>
              <w:jc w:val="right"/>
              <w:rPr>
                <w:b w:val="0"/>
                <w:bCs/>
              </w:rPr>
            </w:pPr>
            <w:r w:rsidRPr="00E220C6">
              <w:rPr>
                <w:b w:val="0"/>
              </w:rPr>
              <w:t>$42,887</w:t>
            </w:r>
          </w:p>
        </w:tc>
      </w:tr>
      <w:tr w:rsidR="00160F89" w:rsidRPr="00496C73" w14:paraId="68EA0CF5" w14:textId="77777777" w:rsidTr="009B7624">
        <w:tc>
          <w:tcPr>
            <w:tcW w:w="2689" w:type="dxa"/>
          </w:tcPr>
          <w:p w14:paraId="7E48754E" w14:textId="77777777" w:rsidR="00160F89" w:rsidRDefault="00160F89" w:rsidP="002207EE">
            <w:pPr>
              <w:pStyle w:val="In-tableHeading"/>
              <w:rPr>
                <w:b w:val="0"/>
                <w:bCs/>
              </w:rPr>
            </w:pPr>
            <w:r w:rsidRPr="003C0708">
              <w:rPr>
                <w:b w:val="0"/>
                <w:bCs/>
              </w:rPr>
              <w:t xml:space="preserve">Whole body MRI </w:t>
            </w:r>
          </w:p>
          <w:p w14:paraId="3CC9391B" w14:textId="77777777" w:rsidR="00160F89" w:rsidRPr="003C0708" w:rsidRDefault="00160F89" w:rsidP="002207EE">
            <w:pPr>
              <w:pStyle w:val="In-tableHeading"/>
              <w:rPr>
                <w:b w:val="0"/>
                <w:bCs/>
              </w:rPr>
            </w:pPr>
            <w:r w:rsidRPr="003C0708">
              <w:rPr>
                <w:b w:val="0"/>
                <w:bCs/>
              </w:rPr>
              <w:t>(MBS 63564 - $</w:t>
            </w:r>
            <w:r>
              <w:rPr>
                <w:b w:val="0"/>
                <w:bCs/>
              </w:rPr>
              <w:t>1,514.00</w:t>
            </w:r>
            <w:r w:rsidRPr="003C0708">
              <w:rPr>
                <w:b w:val="0"/>
                <w:bCs/>
              </w:rPr>
              <w:t>)</w:t>
            </w:r>
          </w:p>
        </w:tc>
        <w:tc>
          <w:tcPr>
            <w:tcW w:w="1054" w:type="dxa"/>
            <w:vAlign w:val="center"/>
          </w:tcPr>
          <w:p w14:paraId="0EA09FBF" w14:textId="77777777" w:rsidR="00160F89" w:rsidRPr="006D5DED" w:rsidRDefault="00160F89" w:rsidP="00455A91">
            <w:pPr>
              <w:pStyle w:val="In-tableHeading"/>
              <w:jc w:val="right"/>
              <w:rPr>
                <w:b w:val="0"/>
                <w:bCs/>
              </w:rPr>
            </w:pPr>
            <w:r w:rsidRPr="006D5DED">
              <w:rPr>
                <w:b w:val="0"/>
                <w:bCs/>
              </w:rPr>
              <w:t>$26,041</w:t>
            </w:r>
          </w:p>
        </w:tc>
        <w:tc>
          <w:tcPr>
            <w:tcW w:w="1055" w:type="dxa"/>
            <w:vAlign w:val="center"/>
          </w:tcPr>
          <w:p w14:paraId="431D1B2F" w14:textId="77777777" w:rsidR="00160F89" w:rsidRPr="006D5DED" w:rsidRDefault="00160F89" w:rsidP="00455A91">
            <w:pPr>
              <w:pStyle w:val="In-tableHeading"/>
              <w:jc w:val="right"/>
              <w:rPr>
                <w:b w:val="0"/>
                <w:bCs/>
              </w:rPr>
            </w:pPr>
            <w:r w:rsidRPr="006D5DED">
              <w:rPr>
                <w:b w:val="0"/>
                <w:bCs/>
              </w:rPr>
              <w:t>$52,082</w:t>
            </w:r>
          </w:p>
        </w:tc>
        <w:tc>
          <w:tcPr>
            <w:tcW w:w="1054" w:type="dxa"/>
            <w:vAlign w:val="center"/>
          </w:tcPr>
          <w:p w14:paraId="4EA8A7C6" w14:textId="77777777" w:rsidR="00160F89" w:rsidRPr="006D5DED" w:rsidRDefault="00160F89" w:rsidP="00455A91">
            <w:pPr>
              <w:pStyle w:val="In-tableHeading"/>
              <w:jc w:val="right"/>
              <w:rPr>
                <w:b w:val="0"/>
                <w:bCs/>
              </w:rPr>
            </w:pPr>
            <w:r w:rsidRPr="006D5DED">
              <w:rPr>
                <w:b w:val="0"/>
                <w:bCs/>
              </w:rPr>
              <w:t>$69,417</w:t>
            </w:r>
          </w:p>
        </w:tc>
        <w:tc>
          <w:tcPr>
            <w:tcW w:w="1055" w:type="dxa"/>
            <w:vAlign w:val="center"/>
          </w:tcPr>
          <w:p w14:paraId="37393EA2" w14:textId="77777777" w:rsidR="00160F89" w:rsidRPr="006D5DED" w:rsidRDefault="00160F89" w:rsidP="00455A91">
            <w:pPr>
              <w:pStyle w:val="In-tableHeading"/>
              <w:jc w:val="right"/>
              <w:rPr>
                <w:b w:val="0"/>
                <w:bCs/>
              </w:rPr>
            </w:pPr>
            <w:r w:rsidRPr="006D5DED">
              <w:rPr>
                <w:b w:val="0"/>
                <w:bCs/>
              </w:rPr>
              <w:t>$78,125</w:t>
            </w:r>
          </w:p>
        </w:tc>
        <w:tc>
          <w:tcPr>
            <w:tcW w:w="1054" w:type="dxa"/>
            <w:vAlign w:val="center"/>
          </w:tcPr>
          <w:p w14:paraId="2A248F51" w14:textId="77777777" w:rsidR="00160F89" w:rsidRPr="006D5DED" w:rsidRDefault="00160F89" w:rsidP="00455A91">
            <w:pPr>
              <w:pStyle w:val="In-tableHeading"/>
              <w:jc w:val="right"/>
              <w:rPr>
                <w:b w:val="0"/>
                <w:bCs/>
              </w:rPr>
            </w:pPr>
            <w:r w:rsidRPr="006D5DED">
              <w:rPr>
                <w:b w:val="0"/>
                <w:bCs/>
              </w:rPr>
              <w:t>$86,830</w:t>
            </w:r>
          </w:p>
        </w:tc>
        <w:tc>
          <w:tcPr>
            <w:tcW w:w="1055" w:type="dxa"/>
            <w:vAlign w:val="center"/>
          </w:tcPr>
          <w:p w14:paraId="579ACE52" w14:textId="77777777" w:rsidR="00160F89" w:rsidRPr="006D5DED" w:rsidRDefault="00160F89" w:rsidP="00455A91">
            <w:pPr>
              <w:pStyle w:val="In-tableHeading"/>
              <w:jc w:val="right"/>
              <w:rPr>
                <w:b w:val="0"/>
                <w:bCs/>
              </w:rPr>
            </w:pPr>
            <w:r w:rsidRPr="006D5DED">
              <w:rPr>
                <w:b w:val="0"/>
                <w:bCs/>
              </w:rPr>
              <w:t>$95,534</w:t>
            </w:r>
          </w:p>
        </w:tc>
      </w:tr>
      <w:tr w:rsidR="00160F89" w:rsidRPr="00496C73" w14:paraId="073EE616" w14:textId="77777777" w:rsidTr="009B7624">
        <w:tc>
          <w:tcPr>
            <w:tcW w:w="2689" w:type="dxa"/>
          </w:tcPr>
          <w:p w14:paraId="760005CB" w14:textId="77777777" w:rsidR="00160F89" w:rsidRDefault="00160F89" w:rsidP="002207EE">
            <w:pPr>
              <w:pStyle w:val="In-tableHeading"/>
              <w:rPr>
                <w:b w:val="0"/>
                <w:bCs/>
              </w:rPr>
            </w:pPr>
            <w:r w:rsidRPr="003C0708">
              <w:rPr>
                <w:b w:val="0"/>
                <w:bCs/>
              </w:rPr>
              <w:t xml:space="preserve">Sedation </w:t>
            </w:r>
          </w:p>
          <w:p w14:paraId="79EB2112" w14:textId="77777777" w:rsidR="00160F89" w:rsidRPr="003C0708" w:rsidRDefault="00160F89" w:rsidP="002207EE">
            <w:pPr>
              <w:pStyle w:val="In-tableHeading"/>
              <w:rPr>
                <w:b w:val="0"/>
                <w:bCs/>
              </w:rPr>
            </w:pPr>
            <w:r w:rsidRPr="003C0708">
              <w:rPr>
                <w:b w:val="0"/>
                <w:bCs/>
              </w:rPr>
              <w:t>(MBS 63494 and 25013 - $</w:t>
            </w:r>
            <w:r>
              <w:rPr>
                <w:b w:val="0"/>
                <w:bCs/>
              </w:rPr>
              <w:t>60.90</w:t>
            </w:r>
            <w:r w:rsidRPr="003C0708">
              <w:rPr>
                <w:b w:val="0"/>
                <w:bCs/>
              </w:rPr>
              <w:t>)</w:t>
            </w:r>
          </w:p>
        </w:tc>
        <w:tc>
          <w:tcPr>
            <w:tcW w:w="1054" w:type="dxa"/>
            <w:vAlign w:val="center"/>
          </w:tcPr>
          <w:p w14:paraId="4C60B822" w14:textId="77777777" w:rsidR="00160F89" w:rsidRPr="006D5DED" w:rsidRDefault="00160F89" w:rsidP="00455A91">
            <w:pPr>
              <w:pStyle w:val="In-tableHeading"/>
              <w:jc w:val="right"/>
              <w:rPr>
                <w:b w:val="0"/>
                <w:bCs/>
              </w:rPr>
            </w:pPr>
            <w:r w:rsidRPr="006D5DED">
              <w:rPr>
                <w:b w:val="0"/>
                <w:bCs/>
              </w:rPr>
              <w:t>$1,047</w:t>
            </w:r>
          </w:p>
        </w:tc>
        <w:tc>
          <w:tcPr>
            <w:tcW w:w="1055" w:type="dxa"/>
            <w:vAlign w:val="center"/>
          </w:tcPr>
          <w:p w14:paraId="3584CF49" w14:textId="77777777" w:rsidR="00160F89" w:rsidRPr="006D5DED" w:rsidRDefault="00160F89" w:rsidP="00455A91">
            <w:pPr>
              <w:pStyle w:val="In-tableHeading"/>
              <w:jc w:val="right"/>
              <w:rPr>
                <w:b w:val="0"/>
                <w:bCs/>
              </w:rPr>
            </w:pPr>
            <w:r w:rsidRPr="006D5DED">
              <w:rPr>
                <w:b w:val="0"/>
                <w:bCs/>
              </w:rPr>
              <w:t>$2,095</w:t>
            </w:r>
          </w:p>
        </w:tc>
        <w:tc>
          <w:tcPr>
            <w:tcW w:w="1054" w:type="dxa"/>
            <w:vAlign w:val="center"/>
          </w:tcPr>
          <w:p w14:paraId="431102AE" w14:textId="77777777" w:rsidR="00160F89" w:rsidRPr="006D5DED" w:rsidRDefault="00160F89" w:rsidP="00455A91">
            <w:pPr>
              <w:pStyle w:val="In-tableHeading"/>
              <w:jc w:val="right"/>
              <w:rPr>
                <w:b w:val="0"/>
                <w:bCs/>
              </w:rPr>
            </w:pPr>
            <w:r w:rsidRPr="006D5DED">
              <w:rPr>
                <w:b w:val="0"/>
                <w:bCs/>
              </w:rPr>
              <w:t>$2,792</w:t>
            </w:r>
          </w:p>
        </w:tc>
        <w:tc>
          <w:tcPr>
            <w:tcW w:w="1055" w:type="dxa"/>
            <w:vAlign w:val="center"/>
          </w:tcPr>
          <w:p w14:paraId="7EA09AE8" w14:textId="77777777" w:rsidR="00160F89" w:rsidRPr="006D5DED" w:rsidRDefault="00160F89" w:rsidP="00455A91">
            <w:pPr>
              <w:pStyle w:val="In-tableHeading"/>
              <w:jc w:val="right"/>
              <w:rPr>
                <w:b w:val="0"/>
                <w:bCs/>
              </w:rPr>
            </w:pPr>
            <w:r w:rsidRPr="006D5DED">
              <w:rPr>
                <w:b w:val="0"/>
                <w:bCs/>
              </w:rPr>
              <w:t>$3,143</w:t>
            </w:r>
          </w:p>
        </w:tc>
        <w:tc>
          <w:tcPr>
            <w:tcW w:w="1054" w:type="dxa"/>
            <w:vAlign w:val="center"/>
          </w:tcPr>
          <w:p w14:paraId="7263C458" w14:textId="77777777" w:rsidR="00160F89" w:rsidRPr="006D5DED" w:rsidRDefault="00160F89" w:rsidP="00455A91">
            <w:pPr>
              <w:pStyle w:val="In-tableHeading"/>
              <w:jc w:val="right"/>
              <w:rPr>
                <w:b w:val="0"/>
                <w:bCs/>
              </w:rPr>
            </w:pPr>
            <w:r w:rsidRPr="006D5DED">
              <w:rPr>
                <w:b w:val="0"/>
                <w:bCs/>
              </w:rPr>
              <w:t>$3,143</w:t>
            </w:r>
          </w:p>
        </w:tc>
        <w:tc>
          <w:tcPr>
            <w:tcW w:w="1055" w:type="dxa"/>
            <w:vAlign w:val="center"/>
          </w:tcPr>
          <w:p w14:paraId="78704CCA" w14:textId="77777777" w:rsidR="00160F89" w:rsidRPr="006D5DED" w:rsidRDefault="00160F89" w:rsidP="00455A91">
            <w:pPr>
              <w:pStyle w:val="In-tableHeading"/>
              <w:jc w:val="right"/>
              <w:rPr>
                <w:b w:val="0"/>
                <w:bCs/>
              </w:rPr>
            </w:pPr>
            <w:r w:rsidRPr="006D5DED">
              <w:rPr>
                <w:b w:val="0"/>
                <w:bCs/>
              </w:rPr>
              <w:t>$3,143</w:t>
            </w:r>
          </w:p>
        </w:tc>
      </w:tr>
      <w:tr w:rsidR="00160F89" w:rsidRPr="00496C73" w14:paraId="112F2672" w14:textId="77777777" w:rsidTr="009B7624">
        <w:tc>
          <w:tcPr>
            <w:tcW w:w="2689" w:type="dxa"/>
            <w:vAlign w:val="bottom"/>
          </w:tcPr>
          <w:p w14:paraId="130D817C" w14:textId="77777777" w:rsidR="00160F89" w:rsidRPr="00E552AB" w:rsidRDefault="00160F89" w:rsidP="002207EE">
            <w:pPr>
              <w:pStyle w:val="In-tableHeading"/>
            </w:pPr>
            <w:r w:rsidRPr="00E552AB">
              <w:t>Total net increase in monitoring costs</w:t>
            </w:r>
          </w:p>
        </w:tc>
        <w:tc>
          <w:tcPr>
            <w:tcW w:w="1054" w:type="dxa"/>
            <w:vAlign w:val="center"/>
          </w:tcPr>
          <w:p w14:paraId="082D1AF6" w14:textId="7E0F12B9" w:rsidR="00160F89" w:rsidRPr="00064513" w:rsidRDefault="00160F89" w:rsidP="00455A91">
            <w:pPr>
              <w:pStyle w:val="In-tableHeading"/>
              <w:jc w:val="right"/>
            </w:pPr>
            <w:r w:rsidRPr="00064513">
              <w:t>$</w:t>
            </w:r>
            <w:r w:rsidR="00123ED5">
              <w:t>47,517</w:t>
            </w:r>
          </w:p>
        </w:tc>
        <w:tc>
          <w:tcPr>
            <w:tcW w:w="1055" w:type="dxa"/>
            <w:vAlign w:val="center"/>
          </w:tcPr>
          <w:p w14:paraId="45700996" w14:textId="5C92234D" w:rsidR="00160F89" w:rsidRPr="00064513" w:rsidRDefault="00160F89" w:rsidP="00455A91">
            <w:pPr>
              <w:pStyle w:val="In-tableHeading"/>
              <w:jc w:val="right"/>
            </w:pPr>
            <w:r w:rsidRPr="00064513">
              <w:t>$</w:t>
            </w:r>
            <w:r w:rsidR="00123ED5">
              <w:t>95,034</w:t>
            </w:r>
          </w:p>
        </w:tc>
        <w:tc>
          <w:tcPr>
            <w:tcW w:w="1054" w:type="dxa"/>
            <w:vAlign w:val="center"/>
          </w:tcPr>
          <w:p w14:paraId="762C9E80" w14:textId="6187374E" w:rsidR="00160F89" w:rsidRPr="00064513" w:rsidRDefault="00160F89" w:rsidP="00455A91">
            <w:pPr>
              <w:pStyle w:val="In-tableHeading"/>
              <w:jc w:val="right"/>
            </w:pPr>
            <w:r w:rsidRPr="00064513">
              <w:t>$</w:t>
            </w:r>
            <w:r w:rsidR="00123ED5">
              <w:t>126,665</w:t>
            </w:r>
          </w:p>
        </w:tc>
        <w:tc>
          <w:tcPr>
            <w:tcW w:w="1055" w:type="dxa"/>
            <w:vAlign w:val="center"/>
          </w:tcPr>
          <w:p w14:paraId="28C97AA1" w14:textId="4B98A651" w:rsidR="00160F89" w:rsidRPr="00064513" w:rsidRDefault="00160F89" w:rsidP="00455A91">
            <w:pPr>
              <w:pStyle w:val="In-tableHeading"/>
              <w:jc w:val="right"/>
            </w:pPr>
            <w:r w:rsidRPr="00064513">
              <w:t>$</w:t>
            </w:r>
            <w:r w:rsidR="00123ED5">
              <w:t>142,555</w:t>
            </w:r>
          </w:p>
        </w:tc>
        <w:tc>
          <w:tcPr>
            <w:tcW w:w="1054" w:type="dxa"/>
            <w:vAlign w:val="center"/>
          </w:tcPr>
          <w:p w14:paraId="54723C24" w14:textId="5A5A8549" w:rsidR="00160F89" w:rsidRPr="00064513" w:rsidRDefault="00160F89" w:rsidP="00455A91">
            <w:pPr>
              <w:pStyle w:val="In-tableHeading"/>
              <w:jc w:val="right"/>
            </w:pPr>
            <w:r w:rsidRPr="00064513">
              <w:t>$</w:t>
            </w:r>
            <w:r w:rsidR="00FA7176">
              <w:t>158,090</w:t>
            </w:r>
          </w:p>
        </w:tc>
        <w:tc>
          <w:tcPr>
            <w:tcW w:w="1055" w:type="dxa"/>
            <w:vAlign w:val="center"/>
          </w:tcPr>
          <w:p w14:paraId="3D7A201F" w14:textId="15084E9D" w:rsidR="00160F89" w:rsidRPr="00064513" w:rsidRDefault="00160F89" w:rsidP="00455A91">
            <w:pPr>
              <w:pStyle w:val="In-tableHeading"/>
              <w:jc w:val="right"/>
            </w:pPr>
            <w:r w:rsidRPr="00064513">
              <w:t>$</w:t>
            </w:r>
            <w:r w:rsidR="00FA7176">
              <w:t>173,621</w:t>
            </w:r>
          </w:p>
        </w:tc>
      </w:tr>
    </w:tbl>
    <w:p w14:paraId="656DF6D2" w14:textId="54E0DA8E" w:rsidR="00DD677C" w:rsidRDefault="00B56A42" w:rsidP="00B8514E">
      <w:pPr>
        <w:pStyle w:val="TableFigureFooter"/>
      </w:pPr>
      <w:r>
        <w:t xml:space="preserve">ERT = enzyme replacement therapy; </w:t>
      </w:r>
      <w:r w:rsidR="00357FEF">
        <w:t xml:space="preserve">GP = general practitioner; </w:t>
      </w:r>
      <w:r>
        <w:t>LSDP = Life Saving Drugs Program;</w:t>
      </w:r>
      <w:r w:rsidR="00357FEF">
        <w:t xml:space="preserve"> MBS = Medicare Benefits Schedule; MPS II = mucopolysaccharidosis Type II; MRI = magnetic resonance imaging; NBS = newborn bloodspot screening</w:t>
      </w:r>
    </w:p>
    <w:p w14:paraId="0EAC7742" w14:textId="20604E1E" w:rsidR="00DD677C" w:rsidRDefault="00160F89" w:rsidP="00B8514E">
      <w:pPr>
        <w:pStyle w:val="TableFigureFooter"/>
      </w:pPr>
      <w:r w:rsidRPr="7C4E3BA4">
        <w:rPr>
          <w:vertAlign w:val="superscript"/>
        </w:rPr>
        <w:t xml:space="preserve">a </w:t>
      </w:r>
      <w:r w:rsidRPr="7C4E3BA4">
        <w:t xml:space="preserve">Number of additional monitoring cycles differs by age and phenotype. </w:t>
      </w:r>
      <w:r w:rsidR="1AD72A1F" w:rsidRPr="7C4E3BA4">
        <w:t xml:space="preserve">In line with the economic analysis, among cases who would have been identified without NBS, it is assumed that 75% would have the severe phenotype and 25% would have the attenuated phenotype and all patients who would not have been identified without NBS have a (very) attenuated phenotype (see </w:t>
      </w:r>
      <w:r>
        <w:fldChar w:fldCharType="begin"/>
      </w:r>
      <w:r>
        <w:instrText xml:space="preserve"> REF _Ref181617934 \h </w:instrText>
      </w:r>
      <w:r w:rsidR="00B8514E">
        <w:instrText xml:space="preserve"> \* MERGEFORMAT </w:instrText>
      </w:r>
      <w:r>
        <w:fldChar w:fldCharType="separate"/>
      </w:r>
      <w:r w:rsidR="007F08FA" w:rsidRPr="00496C73" w:rsidDel="009D183F">
        <w:t xml:space="preserve">Table </w:t>
      </w:r>
      <w:r w:rsidR="00797B68" w:rsidDel="009D183F">
        <w:rPr>
          <w:noProof/>
        </w:rPr>
        <w:t>9</w:t>
      </w:r>
      <w:r>
        <w:fldChar w:fldCharType="end"/>
      </w:r>
      <w:r w:rsidR="1AD72A1F" w:rsidRPr="7C4E3BA4">
        <w:t xml:space="preserve">). Severe </w:t>
      </w:r>
      <w:r w:rsidR="1A4E7ED6" w:rsidRPr="7C4E3BA4">
        <w:t>disease</w:t>
      </w:r>
      <w:r w:rsidR="1AD72A1F" w:rsidRPr="7C4E3BA4">
        <w:t xml:space="preserve"> cases would have monitoring brought forward by three years as they would have been clinically diagnosed by age three without NBS </w:t>
      </w:r>
      <w:r w:rsidR="4F7C7076" w:rsidRPr="7C4E3BA4">
        <w:t xml:space="preserve">and they are monitored 4 times a year </w:t>
      </w:r>
      <w:r w:rsidR="5A938220" w:rsidRPr="7C4E3BA4">
        <w:t xml:space="preserve">(regardless of age) based on advice provided in the 1776 PICO. </w:t>
      </w:r>
      <w:r w:rsidR="0491056F" w:rsidRPr="7C4E3BA4">
        <w:t>Attenuated</w:t>
      </w:r>
      <w:r w:rsidR="09D96C7A" w:rsidRPr="7C4E3BA4">
        <w:t xml:space="preserve"> disease</w:t>
      </w:r>
      <w:r w:rsidR="0491056F" w:rsidRPr="7C4E3BA4">
        <w:t xml:space="preserve"> cases would have monitoring brought forward by six years as they would have been clinically diagnosed by age six and they receive monitoring 4 times a year for ages 0 and 1 and twice year from ages 2 – 5</w:t>
      </w:r>
      <w:r w:rsidR="518E2031" w:rsidRPr="7C4E3BA4">
        <w:t xml:space="preserve"> based on advice provided in the 1776 PICO</w:t>
      </w:r>
      <w:r w:rsidR="0491056F" w:rsidRPr="7C4E3BA4">
        <w:t>.</w:t>
      </w:r>
      <w:r w:rsidR="518E2031" w:rsidRPr="7C4E3BA4">
        <w:t xml:space="preserve"> </w:t>
      </w:r>
      <w:r w:rsidR="109E7028" w:rsidRPr="7C4E3BA4">
        <w:t xml:space="preserve">As very attenuated </w:t>
      </w:r>
      <w:r w:rsidR="09D96C7A" w:rsidRPr="7C4E3BA4">
        <w:t>disease</w:t>
      </w:r>
      <w:r w:rsidR="109E7028" w:rsidRPr="7C4E3BA4">
        <w:t xml:space="preserve"> cases </w:t>
      </w:r>
      <w:r w:rsidR="518E2031" w:rsidRPr="7C4E3BA4">
        <w:t>would not have been identified without NBS, their lifetime monitoring costs represent net costs to the MBS</w:t>
      </w:r>
      <w:r w:rsidR="6A1C6293" w:rsidRPr="7C4E3BA4">
        <w:t xml:space="preserve">, frequency of monitoring for these cases are the same as attenuated </w:t>
      </w:r>
      <w:r w:rsidR="09D96C7A" w:rsidRPr="7C4E3BA4">
        <w:t>disease</w:t>
      </w:r>
      <w:r w:rsidR="6A1C6293" w:rsidRPr="7C4E3BA4">
        <w:t xml:space="preserve"> cases. </w:t>
      </w:r>
    </w:p>
    <w:p w14:paraId="502E0C26" w14:textId="29A193B1" w:rsidR="00DD677C" w:rsidRDefault="00160F89" w:rsidP="00B8514E">
      <w:pPr>
        <w:pStyle w:val="TableFigureFooter"/>
      </w:pPr>
      <w:r w:rsidRPr="7C4E3BA4">
        <w:rPr>
          <w:vertAlign w:val="superscript"/>
        </w:rPr>
        <w:t xml:space="preserve">b </w:t>
      </w:r>
      <w:r w:rsidRPr="7C4E3BA4">
        <w:t>Based on monitoring costs outlined in the European recommendations for the diagnosis and multidisciplinary management of MPS II</w:t>
      </w:r>
      <w:r w:rsidR="2CA74E84" w:rsidRPr="7C4E3BA4">
        <w:t xml:space="preserve"> and the continuing eligibility criteria for ERT under the LSDP</w:t>
      </w:r>
      <w:r w:rsidR="6FC36D86" w:rsidRPr="7C4E3BA4">
        <w:t>.</w:t>
      </w:r>
      <w:r>
        <w:fldChar w:fldCharType="begin"/>
      </w:r>
      <w:r>
        <w:instrText xml:space="preserve"> NOTEREF _Ref183609121 \f \h </w:instrText>
      </w:r>
      <w:r w:rsidR="00B8514E">
        <w:instrText xml:space="preserve"> \* MERGEFORMAT </w:instrText>
      </w:r>
      <w:r>
        <w:fldChar w:fldCharType="separate"/>
      </w:r>
      <w:r w:rsidR="00797B68" w:rsidRPr="00797B68" w:rsidDel="009D183F">
        <w:rPr>
          <w:rStyle w:val="FootnoteReference"/>
        </w:rPr>
        <w:t>24</w:t>
      </w:r>
      <w:r>
        <w:fldChar w:fldCharType="end"/>
      </w:r>
      <w:r w:rsidRPr="7C4E3BA4">
        <w:t xml:space="preserve"> With X-rays tests replaced with a whole body MRI to better reflect Australian practice</w:t>
      </w:r>
    </w:p>
    <w:p w14:paraId="7C6B1234" w14:textId="614B17E6" w:rsidR="00DD677C" w:rsidRDefault="00160F89" w:rsidP="00B8514E">
      <w:pPr>
        <w:pStyle w:val="TableFigureFooter"/>
      </w:pPr>
      <w:r w:rsidRPr="7C4E3BA4">
        <w:rPr>
          <w:vertAlign w:val="superscript"/>
        </w:rPr>
        <w:t xml:space="preserve">c </w:t>
      </w:r>
      <w:r w:rsidRPr="7C4E3BA4">
        <w:t>Sedation was assumed to be required for MRI scans for patients aged 0 -3 years.</w:t>
      </w:r>
    </w:p>
    <w:p w14:paraId="55A474E8" w14:textId="4B9586DD" w:rsidR="00160F89" w:rsidRPr="00DD677C" w:rsidRDefault="00160F89" w:rsidP="00B8514E">
      <w:pPr>
        <w:pStyle w:val="TableFigureFooter"/>
      </w:pPr>
      <w:r w:rsidRPr="7C4E3BA4">
        <w:rPr>
          <w:vertAlign w:val="superscript"/>
        </w:rPr>
        <w:t xml:space="preserve">d </w:t>
      </w:r>
      <w:r w:rsidRPr="7C4E3BA4">
        <w:t xml:space="preserve">MBS cost applied with a 85% MBS rebate, except for GP consults where the 100% benefit applies. </w:t>
      </w:r>
    </w:p>
    <w:p w14:paraId="2125C0EC" w14:textId="77777777" w:rsidR="00C17B47" w:rsidRDefault="00C17B47" w:rsidP="00C17B47">
      <w:pPr>
        <w:rPr>
          <w:u w:val="single"/>
        </w:rPr>
      </w:pPr>
      <w:r w:rsidRPr="005C1E10">
        <w:rPr>
          <w:u w:val="single"/>
        </w:rPr>
        <w:t xml:space="preserve">Costs to </w:t>
      </w:r>
      <w:r>
        <w:rPr>
          <w:u w:val="single"/>
        </w:rPr>
        <w:t>LSDP</w:t>
      </w:r>
    </w:p>
    <w:p w14:paraId="4066F301" w14:textId="0B76B094" w:rsidR="00C17B47" w:rsidRPr="00AE7C8B" w:rsidRDefault="00242E33" w:rsidP="00C17B47">
      <w:r>
        <w:t xml:space="preserve">Costs to the LSDP are expected to increase if MPS II is listed on the NBS panel as some patients (i.e. those with the severe phenotype) will be able to access treatment immediately upon diagnosis and </w:t>
      </w:r>
      <w:r w:rsidR="00E95C68">
        <w:t>attenuated</w:t>
      </w:r>
      <w:r>
        <w:t xml:space="preserve"> patients would be able to access immediately upon symptom onset as per the current LSDP </w:t>
      </w:r>
      <w:r w:rsidR="00F8183A">
        <w:t xml:space="preserve">eligibility </w:t>
      </w:r>
      <w:r>
        <w:t>criteria.</w:t>
      </w:r>
      <w:r w:rsidR="008C348E">
        <w:t xml:space="preserve"> For cases </w:t>
      </w:r>
      <w:r w:rsidR="00944B4C">
        <w:t xml:space="preserve">who would not have been diagnosed without NBS, it is assumed that they will not </w:t>
      </w:r>
      <w:r w:rsidR="00FF4F3B">
        <w:t xml:space="preserve">incur any treatment costs </w:t>
      </w:r>
      <w:r w:rsidR="00E054C5">
        <w:t xml:space="preserve">within </w:t>
      </w:r>
      <w:r w:rsidR="00E774BE">
        <w:t>t</w:t>
      </w:r>
      <w:r w:rsidR="00E054C5">
        <w:t xml:space="preserve">he 6-year financial analysis. </w:t>
      </w:r>
    </w:p>
    <w:p w14:paraId="48853BF6" w14:textId="02C3DFAA" w:rsidR="00242E33" w:rsidRDefault="00242E33" w:rsidP="00311E41">
      <w:pPr>
        <w:pStyle w:val="Caption"/>
        <w:spacing w:after="0"/>
      </w:pPr>
      <w:bookmarkStart w:id="60" w:name="_Ref181719282"/>
      <w:r>
        <w:lastRenderedPageBreak/>
        <w:t xml:space="preserve">Table </w:t>
      </w:r>
      <w:r w:rsidR="009D183F">
        <w:fldChar w:fldCharType="begin"/>
      </w:r>
      <w:r w:rsidR="009D183F">
        <w:instrText xml:space="preserve"> SEQ Table \* ARABIC </w:instrText>
      </w:r>
      <w:r w:rsidR="009D183F">
        <w:fldChar w:fldCharType="separate"/>
      </w:r>
      <w:r w:rsidR="009D183F">
        <w:rPr>
          <w:noProof/>
        </w:rPr>
        <w:t>18</w:t>
      </w:r>
      <w:r w:rsidR="009D183F">
        <w:rPr>
          <w:noProof/>
        </w:rPr>
        <w:fldChar w:fldCharType="end"/>
      </w:r>
      <w:bookmarkEnd w:id="60"/>
      <w:r>
        <w:tab/>
        <w:t xml:space="preserve">Net costs to the LSDP due to NBS for MPS II </w:t>
      </w:r>
    </w:p>
    <w:tbl>
      <w:tblPr>
        <w:tblStyle w:val="TableGrid"/>
        <w:tblW w:w="9018" w:type="dxa"/>
        <w:tblLayout w:type="fixed"/>
        <w:tblLook w:val="04A0" w:firstRow="1" w:lastRow="0" w:firstColumn="1" w:lastColumn="0" w:noHBand="0" w:noVBand="1"/>
      </w:tblPr>
      <w:tblGrid>
        <w:gridCol w:w="2280"/>
        <w:gridCol w:w="1123"/>
        <w:gridCol w:w="1123"/>
        <w:gridCol w:w="1123"/>
        <w:gridCol w:w="1123"/>
        <w:gridCol w:w="1123"/>
        <w:gridCol w:w="1123"/>
      </w:tblGrid>
      <w:tr w:rsidR="00242E33" w:rsidRPr="00496C73" w14:paraId="4495C674" w14:textId="77777777" w:rsidTr="00011DA9">
        <w:trPr>
          <w:trHeight w:val="300"/>
          <w:tblHeader/>
        </w:trPr>
        <w:tc>
          <w:tcPr>
            <w:tcW w:w="2280" w:type="dxa"/>
          </w:tcPr>
          <w:p w14:paraId="3A5A3AF6" w14:textId="77777777" w:rsidR="00242E33" w:rsidRPr="00496C73" w:rsidRDefault="00242E33" w:rsidP="00311E41">
            <w:pPr>
              <w:pStyle w:val="In-tableHeading"/>
              <w:rPr>
                <w:lang w:val="en-AU"/>
              </w:rPr>
            </w:pPr>
          </w:p>
        </w:tc>
        <w:tc>
          <w:tcPr>
            <w:tcW w:w="1123" w:type="dxa"/>
            <w:vAlign w:val="center"/>
          </w:tcPr>
          <w:p w14:paraId="3294CD1B" w14:textId="77777777" w:rsidR="00242E33" w:rsidRPr="00496C73" w:rsidRDefault="00242E33" w:rsidP="00311E41">
            <w:pPr>
              <w:pStyle w:val="In-tableHeading"/>
              <w:jc w:val="center"/>
              <w:rPr>
                <w:lang w:val="en-AU"/>
              </w:rPr>
            </w:pPr>
            <w:r w:rsidRPr="00496C73">
              <w:rPr>
                <w:lang w:val="en-AU"/>
              </w:rPr>
              <w:t>2025−26</w:t>
            </w:r>
          </w:p>
        </w:tc>
        <w:tc>
          <w:tcPr>
            <w:tcW w:w="1123" w:type="dxa"/>
            <w:vAlign w:val="center"/>
          </w:tcPr>
          <w:p w14:paraId="118D4134" w14:textId="77777777" w:rsidR="00242E33" w:rsidRPr="00496C73" w:rsidRDefault="00242E33" w:rsidP="00311E41">
            <w:pPr>
              <w:pStyle w:val="In-tableHeading"/>
              <w:jc w:val="center"/>
              <w:rPr>
                <w:lang w:val="en-AU"/>
              </w:rPr>
            </w:pPr>
            <w:r w:rsidRPr="00496C73">
              <w:rPr>
                <w:lang w:val="en-AU"/>
              </w:rPr>
              <w:t>2026−27</w:t>
            </w:r>
          </w:p>
        </w:tc>
        <w:tc>
          <w:tcPr>
            <w:tcW w:w="1123" w:type="dxa"/>
            <w:vAlign w:val="center"/>
          </w:tcPr>
          <w:p w14:paraId="730B2ACC" w14:textId="77777777" w:rsidR="00242E33" w:rsidRPr="00496C73" w:rsidRDefault="00242E33" w:rsidP="00311E41">
            <w:pPr>
              <w:pStyle w:val="In-tableHeading"/>
              <w:jc w:val="center"/>
              <w:rPr>
                <w:lang w:val="en-AU"/>
              </w:rPr>
            </w:pPr>
            <w:r w:rsidRPr="00496C73">
              <w:rPr>
                <w:lang w:val="en-AU"/>
              </w:rPr>
              <w:t>2027−28</w:t>
            </w:r>
          </w:p>
        </w:tc>
        <w:tc>
          <w:tcPr>
            <w:tcW w:w="1123" w:type="dxa"/>
            <w:vAlign w:val="center"/>
          </w:tcPr>
          <w:p w14:paraId="0E75DC2F" w14:textId="77777777" w:rsidR="00242E33" w:rsidRPr="00496C73" w:rsidRDefault="00242E33" w:rsidP="00311E41">
            <w:pPr>
              <w:pStyle w:val="In-tableHeading"/>
              <w:jc w:val="center"/>
              <w:rPr>
                <w:lang w:val="en-AU"/>
              </w:rPr>
            </w:pPr>
            <w:r w:rsidRPr="00496C73">
              <w:rPr>
                <w:lang w:val="en-AU"/>
              </w:rPr>
              <w:t>2028−29</w:t>
            </w:r>
          </w:p>
        </w:tc>
        <w:tc>
          <w:tcPr>
            <w:tcW w:w="1123" w:type="dxa"/>
            <w:vAlign w:val="center"/>
          </w:tcPr>
          <w:p w14:paraId="5A8CA527" w14:textId="77777777" w:rsidR="00242E33" w:rsidRPr="00496C73" w:rsidRDefault="00242E33" w:rsidP="00311E41">
            <w:pPr>
              <w:pStyle w:val="In-tableHeading"/>
              <w:jc w:val="center"/>
              <w:rPr>
                <w:lang w:val="en-AU"/>
              </w:rPr>
            </w:pPr>
            <w:r w:rsidRPr="00496C73">
              <w:rPr>
                <w:lang w:val="en-AU"/>
              </w:rPr>
              <w:t>2029−30</w:t>
            </w:r>
          </w:p>
        </w:tc>
        <w:tc>
          <w:tcPr>
            <w:tcW w:w="1123" w:type="dxa"/>
            <w:vAlign w:val="center"/>
          </w:tcPr>
          <w:p w14:paraId="60A8BE34" w14:textId="77777777" w:rsidR="00242E33" w:rsidRPr="00496C73" w:rsidRDefault="00242E33" w:rsidP="00311E41">
            <w:pPr>
              <w:pStyle w:val="In-tableHeading"/>
              <w:jc w:val="center"/>
              <w:rPr>
                <w:lang w:val="en-AU"/>
              </w:rPr>
            </w:pPr>
            <w:r w:rsidRPr="00496C73">
              <w:rPr>
                <w:lang w:val="en-AU"/>
              </w:rPr>
              <w:t>2030−31</w:t>
            </w:r>
          </w:p>
        </w:tc>
      </w:tr>
      <w:tr w:rsidR="00242E33" w:rsidRPr="00757C0E" w14:paraId="18ADB43F" w14:textId="77777777" w:rsidTr="00011DA9">
        <w:trPr>
          <w:trHeight w:val="300"/>
        </w:trPr>
        <w:tc>
          <w:tcPr>
            <w:tcW w:w="9018" w:type="dxa"/>
            <w:gridSpan w:val="7"/>
            <w:vAlign w:val="center"/>
          </w:tcPr>
          <w:p w14:paraId="40EB29C1" w14:textId="77777777" w:rsidR="00242E33" w:rsidRPr="00757C0E" w:rsidRDefault="00242E33" w:rsidP="00311E41">
            <w:pPr>
              <w:pStyle w:val="In-tableHeading"/>
            </w:pPr>
            <w:r w:rsidRPr="00757C0E">
              <w:t xml:space="preserve">Cases </w:t>
            </w:r>
            <w:r>
              <w:t>incurring net LSDP costs</w:t>
            </w:r>
          </w:p>
        </w:tc>
      </w:tr>
      <w:tr w:rsidR="00DF7DAE" w:rsidRPr="00377E1D" w14:paraId="46A686C1" w14:textId="77777777" w:rsidTr="00011DA9">
        <w:trPr>
          <w:trHeight w:val="300"/>
        </w:trPr>
        <w:tc>
          <w:tcPr>
            <w:tcW w:w="2280" w:type="dxa"/>
          </w:tcPr>
          <w:p w14:paraId="5AE89446" w14:textId="3FC86614" w:rsidR="00DF7DAE" w:rsidRPr="00C64384" w:rsidRDefault="00DF7DAE" w:rsidP="00311E41">
            <w:pPr>
              <w:pStyle w:val="In-tableHeading"/>
              <w:rPr>
                <w:b w:val="0"/>
                <w:bCs/>
                <w:vertAlign w:val="superscript"/>
                <w:lang w:val="en-AU"/>
              </w:rPr>
            </w:pPr>
            <w:r w:rsidRPr="005A0FA7">
              <w:rPr>
                <w:b w:val="0"/>
                <w:bCs/>
              </w:rPr>
              <w:t xml:space="preserve">Severe </w:t>
            </w:r>
            <w:r w:rsidR="00C17D45">
              <w:rPr>
                <w:b w:val="0"/>
                <w:bCs/>
              </w:rPr>
              <w:t xml:space="preserve">disease </w:t>
            </w:r>
            <w:r w:rsidRPr="005A0FA7">
              <w:rPr>
                <w:b w:val="0"/>
                <w:bCs/>
              </w:rPr>
              <w:t xml:space="preserve">cases </w:t>
            </w:r>
            <w:r>
              <w:rPr>
                <w:b w:val="0"/>
                <w:bCs/>
              </w:rPr>
              <w:t>receiving earlier treatment</w:t>
            </w:r>
            <w:r>
              <w:rPr>
                <w:b w:val="0"/>
                <w:bCs/>
                <w:vertAlign w:val="superscript"/>
              </w:rPr>
              <w:t>a,b</w:t>
            </w:r>
          </w:p>
        </w:tc>
        <w:tc>
          <w:tcPr>
            <w:tcW w:w="1123" w:type="dxa"/>
            <w:vAlign w:val="center"/>
          </w:tcPr>
          <w:p w14:paraId="278D34E5" w14:textId="77777777" w:rsidR="00DF7DAE" w:rsidRPr="00DF7DAE" w:rsidRDefault="00DF7DAE" w:rsidP="00311E41">
            <w:pPr>
              <w:pStyle w:val="In-tableHeading"/>
              <w:jc w:val="center"/>
              <w:rPr>
                <w:b w:val="0"/>
                <w:bCs/>
                <w:lang w:val="en-AU"/>
              </w:rPr>
            </w:pPr>
            <w:r w:rsidRPr="00DF7DAE">
              <w:rPr>
                <w:b w:val="0"/>
                <w:bCs/>
              </w:rPr>
              <w:t>1.42</w:t>
            </w:r>
          </w:p>
        </w:tc>
        <w:tc>
          <w:tcPr>
            <w:tcW w:w="1123" w:type="dxa"/>
            <w:vAlign w:val="center"/>
          </w:tcPr>
          <w:p w14:paraId="6F330B82" w14:textId="77777777" w:rsidR="00DF7DAE" w:rsidRPr="00DF7DAE" w:rsidRDefault="00DF7DAE" w:rsidP="00311E41">
            <w:pPr>
              <w:pStyle w:val="In-tableHeading"/>
              <w:jc w:val="center"/>
              <w:rPr>
                <w:b w:val="0"/>
                <w:bCs/>
                <w:lang w:val="en-AU"/>
              </w:rPr>
            </w:pPr>
            <w:r w:rsidRPr="00DF7DAE">
              <w:rPr>
                <w:b w:val="0"/>
                <w:bCs/>
              </w:rPr>
              <w:t>2.85</w:t>
            </w:r>
          </w:p>
        </w:tc>
        <w:tc>
          <w:tcPr>
            <w:tcW w:w="1123" w:type="dxa"/>
            <w:vAlign w:val="center"/>
          </w:tcPr>
          <w:p w14:paraId="144D5DA9" w14:textId="77777777" w:rsidR="00DF7DAE" w:rsidRPr="00DF7DAE" w:rsidRDefault="00DF7DAE" w:rsidP="00311E41">
            <w:pPr>
              <w:pStyle w:val="In-tableHeading"/>
              <w:jc w:val="center"/>
              <w:rPr>
                <w:b w:val="0"/>
                <w:bCs/>
                <w:lang w:val="en-AU"/>
              </w:rPr>
            </w:pPr>
            <w:r w:rsidRPr="00DF7DAE">
              <w:rPr>
                <w:b w:val="0"/>
                <w:bCs/>
              </w:rPr>
              <w:t>4.28</w:t>
            </w:r>
          </w:p>
        </w:tc>
        <w:tc>
          <w:tcPr>
            <w:tcW w:w="1123" w:type="dxa"/>
            <w:vAlign w:val="center"/>
          </w:tcPr>
          <w:p w14:paraId="770ED15E" w14:textId="77777777" w:rsidR="00DF7DAE" w:rsidRPr="00DF7DAE" w:rsidRDefault="00DF7DAE" w:rsidP="00311E41">
            <w:pPr>
              <w:pStyle w:val="In-tableHeading"/>
              <w:jc w:val="center"/>
              <w:rPr>
                <w:b w:val="0"/>
                <w:bCs/>
                <w:lang w:val="en-AU"/>
              </w:rPr>
            </w:pPr>
            <w:r w:rsidRPr="00DF7DAE">
              <w:rPr>
                <w:b w:val="0"/>
                <w:bCs/>
              </w:rPr>
              <w:t>4.28</w:t>
            </w:r>
          </w:p>
        </w:tc>
        <w:tc>
          <w:tcPr>
            <w:tcW w:w="1123" w:type="dxa"/>
            <w:vAlign w:val="center"/>
          </w:tcPr>
          <w:p w14:paraId="0E82ED1A" w14:textId="77777777" w:rsidR="00DF7DAE" w:rsidRPr="00DF7DAE" w:rsidRDefault="00DF7DAE" w:rsidP="00311E41">
            <w:pPr>
              <w:pStyle w:val="In-tableHeading"/>
              <w:jc w:val="center"/>
              <w:rPr>
                <w:b w:val="0"/>
                <w:bCs/>
                <w:lang w:val="en-AU"/>
              </w:rPr>
            </w:pPr>
            <w:r w:rsidRPr="00DF7DAE">
              <w:rPr>
                <w:b w:val="0"/>
                <w:bCs/>
              </w:rPr>
              <w:t>4.28</w:t>
            </w:r>
          </w:p>
        </w:tc>
        <w:tc>
          <w:tcPr>
            <w:tcW w:w="1123" w:type="dxa"/>
            <w:vAlign w:val="center"/>
          </w:tcPr>
          <w:p w14:paraId="4FCEABED" w14:textId="77777777" w:rsidR="00DF7DAE" w:rsidRPr="00DF7DAE" w:rsidRDefault="00DF7DAE" w:rsidP="00311E41">
            <w:pPr>
              <w:pStyle w:val="In-tableHeading"/>
              <w:jc w:val="center"/>
              <w:rPr>
                <w:b w:val="0"/>
                <w:bCs/>
                <w:lang w:val="en-AU"/>
              </w:rPr>
            </w:pPr>
            <w:r w:rsidRPr="00DF7DAE">
              <w:rPr>
                <w:b w:val="0"/>
                <w:bCs/>
              </w:rPr>
              <w:t>4.28</w:t>
            </w:r>
          </w:p>
        </w:tc>
      </w:tr>
      <w:tr w:rsidR="00DF7DAE" w:rsidRPr="00377E1D" w14:paraId="4D236EF4" w14:textId="77777777" w:rsidTr="00011DA9">
        <w:trPr>
          <w:trHeight w:val="300"/>
        </w:trPr>
        <w:tc>
          <w:tcPr>
            <w:tcW w:w="2280" w:type="dxa"/>
          </w:tcPr>
          <w:p w14:paraId="7D8C63EA" w14:textId="286918A5" w:rsidR="00DF7DAE" w:rsidRPr="00586DC0" w:rsidRDefault="00DF7DAE" w:rsidP="00311E41">
            <w:pPr>
              <w:pStyle w:val="In-tableHeading"/>
              <w:rPr>
                <w:b w:val="0"/>
                <w:vertAlign w:val="superscript"/>
              </w:rPr>
            </w:pPr>
            <w:r w:rsidRPr="00586DC0">
              <w:rPr>
                <w:b w:val="0"/>
                <w:bCs/>
              </w:rPr>
              <w:t xml:space="preserve">Attenuated </w:t>
            </w:r>
            <w:r w:rsidR="00C17D45">
              <w:rPr>
                <w:b w:val="0"/>
                <w:bCs/>
              </w:rPr>
              <w:t xml:space="preserve">disease </w:t>
            </w:r>
            <w:r w:rsidRPr="00586DC0">
              <w:rPr>
                <w:b w:val="0"/>
                <w:bCs/>
              </w:rPr>
              <w:t xml:space="preserve">cases </w:t>
            </w:r>
            <w:r>
              <w:rPr>
                <w:b w:val="0"/>
                <w:bCs/>
              </w:rPr>
              <w:t>receiving earlier treatment</w:t>
            </w:r>
            <w:r>
              <w:rPr>
                <w:b w:val="0"/>
                <w:bCs/>
                <w:vertAlign w:val="superscript"/>
              </w:rPr>
              <w:t>a,c</w:t>
            </w:r>
          </w:p>
        </w:tc>
        <w:tc>
          <w:tcPr>
            <w:tcW w:w="1123" w:type="dxa"/>
            <w:vAlign w:val="center"/>
          </w:tcPr>
          <w:p w14:paraId="0DE204FE" w14:textId="77777777" w:rsidR="00DF7DAE" w:rsidRPr="00DF7DAE" w:rsidRDefault="00DF7DAE" w:rsidP="00311E41">
            <w:pPr>
              <w:pStyle w:val="In-tableHeading"/>
              <w:jc w:val="center"/>
              <w:rPr>
                <w:b w:val="0"/>
                <w:bCs/>
              </w:rPr>
            </w:pPr>
            <w:r w:rsidRPr="00DF7DAE">
              <w:rPr>
                <w:b w:val="0"/>
                <w:bCs/>
              </w:rPr>
              <w:t>0.00</w:t>
            </w:r>
          </w:p>
        </w:tc>
        <w:tc>
          <w:tcPr>
            <w:tcW w:w="1123" w:type="dxa"/>
            <w:vAlign w:val="center"/>
          </w:tcPr>
          <w:p w14:paraId="32E636DA" w14:textId="77777777" w:rsidR="00DF7DAE" w:rsidRPr="00DF7DAE" w:rsidRDefault="00DF7DAE" w:rsidP="00311E41">
            <w:pPr>
              <w:pStyle w:val="In-tableHeading"/>
              <w:jc w:val="center"/>
              <w:rPr>
                <w:b w:val="0"/>
                <w:bCs/>
              </w:rPr>
            </w:pPr>
            <w:r w:rsidRPr="00DF7DAE">
              <w:rPr>
                <w:b w:val="0"/>
                <w:bCs/>
              </w:rPr>
              <w:t>0.00</w:t>
            </w:r>
          </w:p>
        </w:tc>
        <w:tc>
          <w:tcPr>
            <w:tcW w:w="1123" w:type="dxa"/>
            <w:vAlign w:val="center"/>
          </w:tcPr>
          <w:p w14:paraId="44D313F9" w14:textId="77777777" w:rsidR="00DF7DAE" w:rsidRPr="00DF7DAE" w:rsidRDefault="00DF7DAE" w:rsidP="00311E41">
            <w:pPr>
              <w:pStyle w:val="In-tableHeading"/>
              <w:jc w:val="center"/>
              <w:rPr>
                <w:b w:val="0"/>
                <w:bCs/>
              </w:rPr>
            </w:pPr>
            <w:r w:rsidRPr="00DF7DAE">
              <w:rPr>
                <w:b w:val="0"/>
                <w:bCs/>
              </w:rPr>
              <w:t>0.00</w:t>
            </w:r>
          </w:p>
        </w:tc>
        <w:tc>
          <w:tcPr>
            <w:tcW w:w="1123" w:type="dxa"/>
            <w:vAlign w:val="center"/>
          </w:tcPr>
          <w:p w14:paraId="70B21BEF" w14:textId="77777777" w:rsidR="00DF7DAE" w:rsidRPr="00DF7DAE" w:rsidRDefault="00DF7DAE" w:rsidP="00311E41">
            <w:pPr>
              <w:pStyle w:val="In-tableHeading"/>
              <w:jc w:val="center"/>
              <w:rPr>
                <w:b w:val="0"/>
                <w:bCs/>
              </w:rPr>
            </w:pPr>
            <w:r w:rsidRPr="00DF7DAE">
              <w:rPr>
                <w:b w:val="0"/>
                <w:bCs/>
              </w:rPr>
              <w:t>0.00</w:t>
            </w:r>
          </w:p>
        </w:tc>
        <w:tc>
          <w:tcPr>
            <w:tcW w:w="1123" w:type="dxa"/>
            <w:vAlign w:val="center"/>
          </w:tcPr>
          <w:p w14:paraId="7BE68FEA" w14:textId="77777777" w:rsidR="00DF7DAE" w:rsidRPr="00DF7DAE" w:rsidRDefault="00DF7DAE" w:rsidP="00311E41">
            <w:pPr>
              <w:pStyle w:val="In-tableHeading"/>
              <w:jc w:val="center"/>
              <w:rPr>
                <w:b w:val="0"/>
                <w:bCs/>
              </w:rPr>
            </w:pPr>
            <w:r w:rsidRPr="00DF7DAE">
              <w:rPr>
                <w:b w:val="0"/>
                <w:bCs/>
              </w:rPr>
              <w:t>0.46</w:t>
            </w:r>
          </w:p>
        </w:tc>
        <w:tc>
          <w:tcPr>
            <w:tcW w:w="1123" w:type="dxa"/>
            <w:vAlign w:val="center"/>
          </w:tcPr>
          <w:p w14:paraId="572BFA05" w14:textId="77777777" w:rsidR="00DF7DAE" w:rsidRPr="00DF7DAE" w:rsidRDefault="00DF7DAE" w:rsidP="00311E41">
            <w:pPr>
              <w:pStyle w:val="In-tableHeading"/>
              <w:jc w:val="center"/>
              <w:rPr>
                <w:b w:val="0"/>
                <w:bCs/>
              </w:rPr>
            </w:pPr>
            <w:r w:rsidRPr="00DF7DAE">
              <w:rPr>
                <w:b w:val="0"/>
                <w:bCs/>
              </w:rPr>
              <w:t>0.93</w:t>
            </w:r>
          </w:p>
        </w:tc>
      </w:tr>
      <w:tr w:rsidR="00242E33" w:rsidRPr="00377E1D" w14:paraId="1B914EF9" w14:textId="77777777" w:rsidTr="00011DA9">
        <w:trPr>
          <w:trHeight w:val="300"/>
        </w:trPr>
        <w:tc>
          <w:tcPr>
            <w:tcW w:w="9018" w:type="dxa"/>
            <w:gridSpan w:val="7"/>
            <w:vAlign w:val="center"/>
          </w:tcPr>
          <w:p w14:paraId="63645803" w14:textId="77777777" w:rsidR="00242E33" w:rsidRPr="00420D61" w:rsidRDefault="00242E33" w:rsidP="00311E41">
            <w:pPr>
              <w:pStyle w:val="In-tableHeading"/>
            </w:pPr>
            <w:r w:rsidRPr="00420D61">
              <w:t>Net LSDP costs</w:t>
            </w:r>
          </w:p>
        </w:tc>
      </w:tr>
      <w:tr w:rsidR="00242E33" w:rsidRPr="00377E1D" w14:paraId="5FEE3703" w14:textId="77777777" w:rsidTr="00011DA9">
        <w:trPr>
          <w:trHeight w:val="300"/>
        </w:trPr>
        <w:tc>
          <w:tcPr>
            <w:tcW w:w="2280" w:type="dxa"/>
          </w:tcPr>
          <w:p w14:paraId="308F5ECE" w14:textId="3C07BEF3" w:rsidR="00242E33" w:rsidRPr="001042B5" w:rsidRDefault="00242E33" w:rsidP="00311E41">
            <w:pPr>
              <w:pStyle w:val="In-tableHeading"/>
              <w:rPr>
                <w:b w:val="0"/>
                <w:vertAlign w:val="superscript"/>
              </w:rPr>
            </w:pPr>
            <w:r w:rsidRPr="00420D61">
              <w:rPr>
                <w:b w:val="0"/>
              </w:rPr>
              <w:t xml:space="preserve">Severe </w:t>
            </w:r>
            <w:r w:rsidR="00B0492C">
              <w:rPr>
                <w:b w:val="0"/>
              </w:rPr>
              <w:t>disease</w:t>
            </w:r>
            <w:r w:rsidRPr="00420D61">
              <w:rPr>
                <w:b w:val="0"/>
              </w:rPr>
              <w:t xml:space="preserve"> cases net treatment </w:t>
            </w:r>
            <w:r w:rsidRPr="00420D61">
              <w:rPr>
                <w:b w:val="0"/>
                <w:bCs/>
              </w:rPr>
              <w:t>costs</w:t>
            </w:r>
            <w:r>
              <w:rPr>
                <w:b w:val="0"/>
                <w:bCs/>
                <w:vertAlign w:val="superscript"/>
              </w:rPr>
              <w:t>d</w:t>
            </w:r>
          </w:p>
        </w:tc>
        <w:tc>
          <w:tcPr>
            <w:tcW w:w="1123" w:type="dxa"/>
            <w:vAlign w:val="center"/>
          </w:tcPr>
          <w:p w14:paraId="0734CF18" w14:textId="2EDE5C07"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0FF97F6C" w14:textId="237D359D"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719A1272" w14:textId="157E7CF0"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3EC292CE" w14:textId="308BBFCE"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4986B82F" w14:textId="7C4A19A6"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5054CAA0" w14:textId="41C6F103" w:rsidR="00242E33" w:rsidRPr="00F83A14" w:rsidRDefault="00717567" w:rsidP="00311E41">
            <w:pPr>
              <w:pStyle w:val="In-tableHeading"/>
              <w:jc w:val="right"/>
              <w:rPr>
                <w:b w:val="0"/>
                <w:bCs/>
                <w:highlight w:val="yellow"/>
              </w:rPr>
            </w:pPr>
            <w:r w:rsidRPr="008D12FB">
              <w:rPr>
                <w:b w:val="0"/>
              </w:rPr>
              <w:t>$</w:t>
            </w:r>
            <w:r w:rsidRPr="008D12FB">
              <w:rPr>
                <w:bCs/>
              </w:rPr>
              <w:t>Redacted</w:t>
            </w:r>
          </w:p>
        </w:tc>
      </w:tr>
      <w:tr w:rsidR="00242E33" w:rsidRPr="00377E1D" w14:paraId="41598DCE" w14:textId="77777777" w:rsidTr="00011DA9">
        <w:trPr>
          <w:trHeight w:val="300"/>
        </w:trPr>
        <w:tc>
          <w:tcPr>
            <w:tcW w:w="2280" w:type="dxa"/>
          </w:tcPr>
          <w:p w14:paraId="50C15497" w14:textId="3E068D8B" w:rsidR="00242E33" w:rsidRPr="001042B5" w:rsidRDefault="00242E33" w:rsidP="00311E41">
            <w:pPr>
              <w:pStyle w:val="In-tableHeading"/>
              <w:rPr>
                <w:b w:val="0"/>
                <w:vertAlign w:val="superscript"/>
              </w:rPr>
            </w:pPr>
            <w:r w:rsidRPr="00420D61">
              <w:rPr>
                <w:b w:val="0"/>
              </w:rPr>
              <w:t xml:space="preserve">Attenuated </w:t>
            </w:r>
            <w:r w:rsidR="00B0492C">
              <w:rPr>
                <w:b w:val="0"/>
              </w:rPr>
              <w:t xml:space="preserve">disease </w:t>
            </w:r>
            <w:r w:rsidRPr="00420D61">
              <w:rPr>
                <w:b w:val="0"/>
              </w:rPr>
              <w:t xml:space="preserve">cases net treatment </w:t>
            </w:r>
            <w:r w:rsidRPr="00420D61">
              <w:rPr>
                <w:b w:val="0"/>
                <w:bCs/>
              </w:rPr>
              <w:t>costs</w:t>
            </w:r>
            <w:r>
              <w:rPr>
                <w:b w:val="0"/>
                <w:bCs/>
                <w:vertAlign w:val="superscript"/>
              </w:rPr>
              <w:t>e</w:t>
            </w:r>
          </w:p>
        </w:tc>
        <w:tc>
          <w:tcPr>
            <w:tcW w:w="1123" w:type="dxa"/>
            <w:vAlign w:val="center"/>
          </w:tcPr>
          <w:p w14:paraId="23D71147" w14:textId="0818D5BD"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0CBEA444" w14:textId="3BCC5860"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08B08585" w14:textId="296734DE"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76FEF75C" w14:textId="7763E1E4"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2E647F88" w14:textId="53CDDBA7" w:rsidR="00242E33" w:rsidRPr="00F83A14" w:rsidRDefault="00717567" w:rsidP="00311E41">
            <w:pPr>
              <w:pStyle w:val="In-tableHeading"/>
              <w:jc w:val="right"/>
              <w:rPr>
                <w:b w:val="0"/>
                <w:bCs/>
                <w:highlight w:val="yellow"/>
              </w:rPr>
            </w:pPr>
            <w:r w:rsidRPr="008D12FB">
              <w:rPr>
                <w:b w:val="0"/>
              </w:rPr>
              <w:t>$</w:t>
            </w:r>
            <w:r w:rsidRPr="008D12FB">
              <w:rPr>
                <w:bCs/>
              </w:rPr>
              <w:t>Redacted</w:t>
            </w:r>
          </w:p>
        </w:tc>
        <w:tc>
          <w:tcPr>
            <w:tcW w:w="1123" w:type="dxa"/>
            <w:vAlign w:val="center"/>
          </w:tcPr>
          <w:p w14:paraId="607D48AA" w14:textId="47131620" w:rsidR="00242E33" w:rsidRPr="00F83A14" w:rsidRDefault="00717567" w:rsidP="00311E41">
            <w:pPr>
              <w:pStyle w:val="In-tableHeading"/>
              <w:jc w:val="right"/>
              <w:rPr>
                <w:b w:val="0"/>
                <w:bCs/>
                <w:highlight w:val="yellow"/>
              </w:rPr>
            </w:pPr>
            <w:r w:rsidRPr="008D12FB">
              <w:rPr>
                <w:b w:val="0"/>
              </w:rPr>
              <w:t>$</w:t>
            </w:r>
            <w:r w:rsidRPr="008D12FB">
              <w:rPr>
                <w:bCs/>
              </w:rPr>
              <w:t>Redacted</w:t>
            </w:r>
          </w:p>
        </w:tc>
      </w:tr>
      <w:tr w:rsidR="00242E33" w:rsidRPr="00377E1D" w14:paraId="26F9B885" w14:textId="77777777" w:rsidTr="00011DA9">
        <w:trPr>
          <w:trHeight w:val="300"/>
        </w:trPr>
        <w:tc>
          <w:tcPr>
            <w:tcW w:w="2280" w:type="dxa"/>
          </w:tcPr>
          <w:p w14:paraId="23A1EED4" w14:textId="77777777" w:rsidR="00242E33" w:rsidRPr="005A0FA7" w:rsidRDefault="00242E33" w:rsidP="00311E41">
            <w:pPr>
              <w:pStyle w:val="In-tableHeading"/>
              <w:rPr>
                <w:b w:val="0"/>
                <w:bCs/>
              </w:rPr>
            </w:pPr>
            <w:r w:rsidRPr="003255D7">
              <w:t>Total net costs to the LSDP</w:t>
            </w:r>
          </w:p>
        </w:tc>
        <w:tc>
          <w:tcPr>
            <w:tcW w:w="1123" w:type="dxa"/>
            <w:vAlign w:val="center"/>
          </w:tcPr>
          <w:p w14:paraId="16541070" w14:textId="4244AEA1" w:rsidR="00242E33" w:rsidRPr="00717567" w:rsidRDefault="00717567" w:rsidP="00311E41">
            <w:pPr>
              <w:pStyle w:val="In-tableHeading"/>
              <w:jc w:val="right"/>
              <w:rPr>
                <w:bCs/>
                <w:highlight w:val="yellow"/>
              </w:rPr>
            </w:pPr>
            <w:r w:rsidRPr="00011DA9">
              <w:rPr>
                <w:bCs/>
              </w:rPr>
              <w:t>$</w:t>
            </w:r>
            <w:r w:rsidRPr="00717567">
              <w:rPr>
                <w:bCs/>
              </w:rPr>
              <w:t>Redacted</w:t>
            </w:r>
          </w:p>
        </w:tc>
        <w:tc>
          <w:tcPr>
            <w:tcW w:w="1123" w:type="dxa"/>
            <w:vAlign w:val="center"/>
          </w:tcPr>
          <w:p w14:paraId="32074EDD" w14:textId="5FEC2AA2" w:rsidR="00242E33" w:rsidRPr="00717567" w:rsidRDefault="00717567" w:rsidP="00311E41">
            <w:pPr>
              <w:pStyle w:val="In-tableHeading"/>
              <w:jc w:val="right"/>
              <w:rPr>
                <w:bCs/>
                <w:highlight w:val="yellow"/>
              </w:rPr>
            </w:pPr>
            <w:r w:rsidRPr="00011DA9">
              <w:rPr>
                <w:bCs/>
              </w:rPr>
              <w:t>$</w:t>
            </w:r>
            <w:r w:rsidRPr="00717567">
              <w:rPr>
                <w:bCs/>
              </w:rPr>
              <w:t>Redacted</w:t>
            </w:r>
          </w:p>
        </w:tc>
        <w:tc>
          <w:tcPr>
            <w:tcW w:w="1123" w:type="dxa"/>
            <w:vAlign w:val="center"/>
          </w:tcPr>
          <w:p w14:paraId="5D693446" w14:textId="022C6205" w:rsidR="00242E33" w:rsidRPr="00717567" w:rsidRDefault="00717567" w:rsidP="00311E41">
            <w:pPr>
              <w:pStyle w:val="In-tableHeading"/>
              <w:jc w:val="right"/>
              <w:rPr>
                <w:bCs/>
                <w:highlight w:val="yellow"/>
              </w:rPr>
            </w:pPr>
            <w:r w:rsidRPr="00011DA9">
              <w:rPr>
                <w:bCs/>
              </w:rPr>
              <w:t>$</w:t>
            </w:r>
            <w:r w:rsidRPr="00717567">
              <w:rPr>
                <w:bCs/>
              </w:rPr>
              <w:t>Redacted</w:t>
            </w:r>
          </w:p>
        </w:tc>
        <w:tc>
          <w:tcPr>
            <w:tcW w:w="1123" w:type="dxa"/>
            <w:vAlign w:val="center"/>
          </w:tcPr>
          <w:p w14:paraId="28073FEB" w14:textId="7BB91322" w:rsidR="00242E33" w:rsidRPr="00717567" w:rsidRDefault="00717567" w:rsidP="00311E41">
            <w:pPr>
              <w:pStyle w:val="In-tableHeading"/>
              <w:jc w:val="right"/>
              <w:rPr>
                <w:bCs/>
                <w:highlight w:val="yellow"/>
              </w:rPr>
            </w:pPr>
            <w:r w:rsidRPr="00011DA9">
              <w:rPr>
                <w:bCs/>
              </w:rPr>
              <w:t>$</w:t>
            </w:r>
            <w:r w:rsidRPr="00717567">
              <w:rPr>
                <w:bCs/>
              </w:rPr>
              <w:t>Redacted</w:t>
            </w:r>
          </w:p>
        </w:tc>
        <w:tc>
          <w:tcPr>
            <w:tcW w:w="1123" w:type="dxa"/>
            <w:vAlign w:val="center"/>
          </w:tcPr>
          <w:p w14:paraId="392BCFB9" w14:textId="061FFDD6" w:rsidR="00242E33" w:rsidRPr="00717567" w:rsidRDefault="00717567" w:rsidP="00311E41">
            <w:pPr>
              <w:pStyle w:val="In-tableHeading"/>
              <w:jc w:val="right"/>
              <w:rPr>
                <w:bCs/>
                <w:highlight w:val="yellow"/>
              </w:rPr>
            </w:pPr>
            <w:r w:rsidRPr="00011DA9">
              <w:rPr>
                <w:bCs/>
              </w:rPr>
              <w:t>$</w:t>
            </w:r>
            <w:r w:rsidRPr="00717567">
              <w:rPr>
                <w:bCs/>
              </w:rPr>
              <w:t>Redacted</w:t>
            </w:r>
          </w:p>
        </w:tc>
        <w:tc>
          <w:tcPr>
            <w:tcW w:w="1123" w:type="dxa"/>
            <w:vAlign w:val="center"/>
          </w:tcPr>
          <w:p w14:paraId="60CCAC45" w14:textId="1459B650" w:rsidR="00242E33" w:rsidRPr="00717567" w:rsidRDefault="00717567" w:rsidP="00311E41">
            <w:pPr>
              <w:pStyle w:val="In-tableHeading"/>
              <w:jc w:val="right"/>
              <w:rPr>
                <w:bCs/>
                <w:highlight w:val="yellow"/>
              </w:rPr>
            </w:pPr>
            <w:r w:rsidRPr="00011DA9">
              <w:rPr>
                <w:bCs/>
              </w:rPr>
              <w:t>$</w:t>
            </w:r>
            <w:r w:rsidRPr="00717567">
              <w:rPr>
                <w:bCs/>
              </w:rPr>
              <w:t>Redacted</w:t>
            </w:r>
          </w:p>
        </w:tc>
      </w:tr>
    </w:tbl>
    <w:p w14:paraId="55289DE8" w14:textId="77777777" w:rsidR="00554A80" w:rsidRDefault="00357FEF" w:rsidP="00B8514E">
      <w:pPr>
        <w:pStyle w:val="TableFigureFooter"/>
      </w:pPr>
      <w:r>
        <w:t>LSDP = Life Saving Drugs Program; MPS II = mucopolysaccharidosis Type II; NBS = newborn bloodspot screening</w:t>
      </w:r>
    </w:p>
    <w:p w14:paraId="123EB416" w14:textId="46A8EAD9" w:rsidR="00242E33" w:rsidRDefault="34F99DD0" w:rsidP="7C4E3BA4">
      <w:pPr>
        <w:pStyle w:val="TableFigureFooter"/>
        <w:rPr>
          <w:vertAlign w:val="superscript"/>
        </w:rPr>
      </w:pPr>
      <w:r w:rsidRPr="7C4E3BA4">
        <w:rPr>
          <w:vertAlign w:val="superscript"/>
        </w:rPr>
        <w:t xml:space="preserve">a </w:t>
      </w:r>
      <w:r w:rsidRPr="7C4E3BA4">
        <w:t>In line with the economic analysis, among cases who would have been identified without NBS, it is assumed that 75% would have the severe phenotype and 25% would have the attenuated phenotype</w:t>
      </w:r>
      <w:r w:rsidR="6C76EA7F" w:rsidRPr="7C4E3BA4">
        <w:t>.</w:t>
      </w:r>
      <w:r w:rsidR="6CD8EA65" w:rsidRPr="7C4E3BA4">
        <w:t xml:space="preserve"> For cases only identified with NBS, it is assumed they will not</w:t>
      </w:r>
      <w:r w:rsidR="49A80166" w:rsidRPr="7C4E3BA4">
        <w:t xml:space="preserve"> be symptomatic within the 6-year financial analysis and hence will not</w:t>
      </w:r>
      <w:r w:rsidR="6CD8EA65" w:rsidRPr="7C4E3BA4">
        <w:t xml:space="preserve"> incur treatment costs</w:t>
      </w:r>
      <w:r w:rsidR="49A80166" w:rsidRPr="7C4E3BA4">
        <w:t xml:space="preserve">. </w:t>
      </w:r>
    </w:p>
    <w:p w14:paraId="0A8F6B90" w14:textId="2268A75F" w:rsidR="00242E33" w:rsidRPr="00586DC0" w:rsidRDefault="34F99DD0" w:rsidP="00242E33">
      <w:pPr>
        <w:pStyle w:val="TableFigureFooter"/>
      </w:pPr>
      <w:r w:rsidRPr="7C4E3BA4">
        <w:rPr>
          <w:vertAlign w:val="superscript"/>
        </w:rPr>
        <w:t xml:space="preserve">b </w:t>
      </w:r>
      <w:r w:rsidRPr="7C4E3BA4">
        <w:t xml:space="preserve">Severe </w:t>
      </w:r>
      <w:r w:rsidR="1A4E7ED6" w:rsidRPr="7C4E3BA4">
        <w:t>disease</w:t>
      </w:r>
      <w:r w:rsidRPr="7C4E3BA4">
        <w:t xml:space="preserve"> cases would have treatment brought forward by three years as they would have been clinically diagnosed by age three without NBS but with NBS they diagnosed at age 0 and eligible for treatment immediately as per the LSDP criteria.</w:t>
      </w:r>
    </w:p>
    <w:p w14:paraId="3B1E364D" w14:textId="1F14B3F8" w:rsidR="00242E33" w:rsidRDefault="34F99DD0" w:rsidP="00242E33">
      <w:pPr>
        <w:pStyle w:val="TableFigureFooter"/>
      </w:pPr>
      <w:r w:rsidRPr="7C4E3BA4">
        <w:rPr>
          <w:vertAlign w:val="superscript"/>
        </w:rPr>
        <w:t xml:space="preserve">c </w:t>
      </w:r>
      <w:r w:rsidRPr="7C4E3BA4">
        <w:t>As per the LSDP criteria, attenuated patients are only able to access treatment upon symptom onset. Given that the mean age of symptom onset for attenuated patients is age four, and their age of diagnosis without NBS is six years, with NBS there would be net treatment costs when the patient is aged four and five.</w:t>
      </w:r>
    </w:p>
    <w:p w14:paraId="1115EA4A" w14:textId="3D8798BF" w:rsidR="00242E33" w:rsidRPr="00A65E84" w:rsidRDefault="00242E33" w:rsidP="00242E33">
      <w:pPr>
        <w:pStyle w:val="TableFigureFooter"/>
      </w:pPr>
      <w:r>
        <w:rPr>
          <w:vertAlign w:val="superscript"/>
        </w:rPr>
        <w:t xml:space="preserve">d </w:t>
      </w:r>
      <w:r>
        <w:t xml:space="preserve">Treatment costs vary by age and phenotype as the treatment dosing is weight based. Treatment costs for severe patients aged zero and one </w:t>
      </w:r>
      <w:r w:rsidRPr="004B1CEA">
        <w:t xml:space="preserve">are </w:t>
      </w:r>
      <w:r w:rsidRPr="00011DA9">
        <w:t>$</w:t>
      </w:r>
      <w:r w:rsidR="004B1CEA" w:rsidRPr="00011DA9">
        <w:rPr>
          <w:b/>
          <w:bCs/>
        </w:rPr>
        <w:t xml:space="preserve">REDACTED </w:t>
      </w:r>
      <w:r w:rsidRPr="004B1CEA">
        <w:t xml:space="preserve">and aged two are </w:t>
      </w:r>
      <w:r w:rsidRPr="00011DA9">
        <w:t>$</w:t>
      </w:r>
      <w:r w:rsidR="004B1CEA" w:rsidRPr="004B1CEA">
        <w:rPr>
          <w:b/>
          <w:bCs/>
        </w:rPr>
        <w:t>REDACTED</w:t>
      </w:r>
      <w:r w:rsidRPr="004B1CEA">
        <w:t>.</w:t>
      </w:r>
    </w:p>
    <w:p w14:paraId="10C9C2D9" w14:textId="70ABB3B1" w:rsidR="00242E33" w:rsidRPr="00A65E84" w:rsidRDefault="00242E33" w:rsidP="00FB7D38">
      <w:pPr>
        <w:pStyle w:val="TableFigureFooter"/>
        <w:spacing w:after="120"/>
      </w:pPr>
      <w:r>
        <w:rPr>
          <w:vertAlign w:val="superscript"/>
        </w:rPr>
        <w:t xml:space="preserve">e </w:t>
      </w:r>
      <w:r>
        <w:t xml:space="preserve">Treatment costs vary by age and phenotype as the treatment dosing is weight based. Treatment costs for attenuated patients aged four and five </w:t>
      </w:r>
      <w:r w:rsidRPr="004B1CEA">
        <w:t xml:space="preserve">are </w:t>
      </w:r>
      <w:r w:rsidRPr="00011DA9">
        <w:t>$</w:t>
      </w:r>
      <w:r w:rsidR="004B1CEA" w:rsidRPr="00011DA9">
        <w:rPr>
          <w:b/>
          <w:bCs/>
        </w:rPr>
        <w:t>REDACTED</w:t>
      </w:r>
      <w:r w:rsidRPr="00011DA9">
        <w:t>.</w:t>
      </w:r>
    </w:p>
    <w:p w14:paraId="2744A785" w14:textId="77777777" w:rsidR="00283248" w:rsidRDefault="00283248" w:rsidP="00311E41">
      <w:pPr>
        <w:spacing w:after="0"/>
        <w:rPr>
          <w:u w:val="single"/>
        </w:rPr>
      </w:pPr>
      <w:r>
        <w:rPr>
          <w:u w:val="single"/>
        </w:rPr>
        <w:t>Sensitivity Analyses</w:t>
      </w:r>
    </w:p>
    <w:p w14:paraId="0FDB64FF" w14:textId="07641A2C" w:rsidR="00242E33" w:rsidRPr="00867F2F" w:rsidRDefault="2C9025AB" w:rsidP="00C17B47">
      <w:r w:rsidRPr="7C4E3BA4">
        <w:t>Results of the sensitivity analyses performed on the costs to the NBS are presented in</w:t>
      </w:r>
      <w:r w:rsidR="2ACFA272" w:rsidRPr="7C4E3BA4">
        <w:t xml:space="preserve"> </w:t>
      </w:r>
      <w:r w:rsidR="003721BA">
        <w:fldChar w:fldCharType="begin"/>
      </w:r>
      <w:r w:rsidR="003721BA">
        <w:instrText xml:space="preserve"> REF _Ref181715784 \h </w:instrText>
      </w:r>
      <w:r w:rsidR="003721BA">
        <w:fldChar w:fldCharType="separate"/>
      </w:r>
      <w:r w:rsidR="007F08FA" w:rsidDel="009D183F">
        <w:t xml:space="preserve">Table </w:t>
      </w:r>
      <w:r w:rsidR="00797B68" w:rsidDel="009D183F">
        <w:rPr>
          <w:noProof/>
        </w:rPr>
        <w:t>19</w:t>
      </w:r>
      <w:r w:rsidR="003721BA">
        <w:fldChar w:fldCharType="end"/>
      </w:r>
      <w:r w:rsidRPr="7C4E3BA4">
        <w:t xml:space="preserve">. Results were highly sensitive to the cost per screening. Number of births, prevalence of MPS II and false positive rate for the first-tier screening had </w:t>
      </w:r>
      <w:r w:rsidR="2429593C" w:rsidRPr="7C4E3BA4">
        <w:t xml:space="preserve">a </w:t>
      </w:r>
      <w:r w:rsidRPr="7C4E3BA4">
        <w:t>very low impact on the financial implications to NBS programs.</w:t>
      </w:r>
    </w:p>
    <w:p w14:paraId="6EBE4FA5" w14:textId="53121199" w:rsidR="00283248" w:rsidRPr="001E71EA" w:rsidRDefault="00283248" w:rsidP="00311E41">
      <w:pPr>
        <w:pStyle w:val="Caption"/>
        <w:spacing w:after="0"/>
      </w:pPr>
      <w:bookmarkStart w:id="61" w:name="_Ref181715784"/>
      <w:bookmarkStart w:id="62" w:name="_Hlk191557941"/>
      <w:r>
        <w:t xml:space="preserve">Table </w:t>
      </w:r>
      <w:r w:rsidR="009D183F">
        <w:fldChar w:fldCharType="begin"/>
      </w:r>
      <w:r w:rsidR="009D183F">
        <w:instrText xml:space="preserve"> SEQ Table \* ARABIC </w:instrText>
      </w:r>
      <w:r w:rsidR="009D183F">
        <w:fldChar w:fldCharType="separate"/>
      </w:r>
      <w:r w:rsidR="009D183F">
        <w:rPr>
          <w:noProof/>
        </w:rPr>
        <w:t>19</w:t>
      </w:r>
      <w:r w:rsidR="009D183F">
        <w:rPr>
          <w:noProof/>
        </w:rPr>
        <w:fldChar w:fldCharType="end"/>
      </w:r>
      <w:bookmarkEnd w:id="61"/>
      <w:r>
        <w:tab/>
        <w:t>Sensitivity analysis for costs to the NBS</w:t>
      </w:r>
    </w:p>
    <w:bookmarkEnd w:id="62"/>
    <w:tbl>
      <w:tblPr>
        <w:tblStyle w:val="TableGrid"/>
        <w:tblW w:w="0" w:type="auto"/>
        <w:tblLayout w:type="fixed"/>
        <w:tblLook w:val="04A0" w:firstRow="1" w:lastRow="0" w:firstColumn="1" w:lastColumn="0" w:noHBand="0" w:noVBand="1"/>
      </w:tblPr>
      <w:tblGrid>
        <w:gridCol w:w="2122"/>
        <w:gridCol w:w="1149"/>
        <w:gridCol w:w="1149"/>
        <w:gridCol w:w="1149"/>
        <w:gridCol w:w="1149"/>
        <w:gridCol w:w="1149"/>
        <w:gridCol w:w="1149"/>
      </w:tblGrid>
      <w:tr w:rsidR="00283248" w:rsidRPr="00496C73" w14:paraId="05590819" w14:textId="77777777" w:rsidTr="0016295C">
        <w:trPr>
          <w:tblHeader/>
        </w:trPr>
        <w:tc>
          <w:tcPr>
            <w:tcW w:w="2122" w:type="dxa"/>
          </w:tcPr>
          <w:p w14:paraId="160251F3" w14:textId="77777777" w:rsidR="00283248" w:rsidRPr="00496C73" w:rsidRDefault="00283248" w:rsidP="005419C7">
            <w:pPr>
              <w:pStyle w:val="In-tableHeading"/>
              <w:jc w:val="center"/>
              <w:rPr>
                <w:lang w:val="en-AU"/>
              </w:rPr>
            </w:pPr>
          </w:p>
        </w:tc>
        <w:tc>
          <w:tcPr>
            <w:tcW w:w="1149" w:type="dxa"/>
          </w:tcPr>
          <w:p w14:paraId="720E850E" w14:textId="77777777" w:rsidR="00283248" w:rsidRPr="00496C73" w:rsidRDefault="00283248" w:rsidP="005419C7">
            <w:pPr>
              <w:pStyle w:val="In-tableHeading"/>
              <w:jc w:val="center"/>
              <w:rPr>
                <w:lang w:val="en-AU"/>
              </w:rPr>
            </w:pPr>
            <w:r w:rsidRPr="00496C73">
              <w:rPr>
                <w:lang w:val="en-AU"/>
              </w:rPr>
              <w:t>2025−26</w:t>
            </w:r>
          </w:p>
        </w:tc>
        <w:tc>
          <w:tcPr>
            <w:tcW w:w="1149" w:type="dxa"/>
          </w:tcPr>
          <w:p w14:paraId="3213699D" w14:textId="77777777" w:rsidR="00283248" w:rsidRPr="00496C73" w:rsidRDefault="00283248" w:rsidP="005419C7">
            <w:pPr>
              <w:pStyle w:val="In-tableHeading"/>
              <w:jc w:val="center"/>
              <w:rPr>
                <w:lang w:val="en-AU"/>
              </w:rPr>
            </w:pPr>
            <w:r w:rsidRPr="00496C73">
              <w:rPr>
                <w:lang w:val="en-AU"/>
              </w:rPr>
              <w:t>2026−27</w:t>
            </w:r>
          </w:p>
        </w:tc>
        <w:tc>
          <w:tcPr>
            <w:tcW w:w="1149" w:type="dxa"/>
          </w:tcPr>
          <w:p w14:paraId="2DC78BDF" w14:textId="77777777" w:rsidR="00283248" w:rsidRPr="00496C73" w:rsidRDefault="00283248" w:rsidP="005419C7">
            <w:pPr>
              <w:pStyle w:val="In-tableHeading"/>
              <w:jc w:val="center"/>
              <w:rPr>
                <w:lang w:val="en-AU"/>
              </w:rPr>
            </w:pPr>
            <w:r w:rsidRPr="00496C73">
              <w:rPr>
                <w:lang w:val="en-AU"/>
              </w:rPr>
              <w:t>2027−28</w:t>
            </w:r>
          </w:p>
        </w:tc>
        <w:tc>
          <w:tcPr>
            <w:tcW w:w="1149" w:type="dxa"/>
          </w:tcPr>
          <w:p w14:paraId="5B4DA9B3" w14:textId="77777777" w:rsidR="00283248" w:rsidRPr="00496C73" w:rsidRDefault="00283248" w:rsidP="005419C7">
            <w:pPr>
              <w:pStyle w:val="In-tableHeading"/>
              <w:jc w:val="center"/>
              <w:rPr>
                <w:lang w:val="en-AU"/>
              </w:rPr>
            </w:pPr>
            <w:r w:rsidRPr="00496C73">
              <w:rPr>
                <w:lang w:val="en-AU"/>
              </w:rPr>
              <w:t>2028−29</w:t>
            </w:r>
          </w:p>
        </w:tc>
        <w:tc>
          <w:tcPr>
            <w:tcW w:w="1149" w:type="dxa"/>
          </w:tcPr>
          <w:p w14:paraId="4D742100" w14:textId="77777777" w:rsidR="00283248" w:rsidRPr="00496C73" w:rsidRDefault="00283248" w:rsidP="005419C7">
            <w:pPr>
              <w:pStyle w:val="In-tableHeading"/>
              <w:jc w:val="center"/>
              <w:rPr>
                <w:lang w:val="en-AU"/>
              </w:rPr>
            </w:pPr>
            <w:r w:rsidRPr="00496C73">
              <w:rPr>
                <w:lang w:val="en-AU"/>
              </w:rPr>
              <w:t>2029−30</w:t>
            </w:r>
          </w:p>
        </w:tc>
        <w:tc>
          <w:tcPr>
            <w:tcW w:w="1149" w:type="dxa"/>
          </w:tcPr>
          <w:p w14:paraId="7B22E931" w14:textId="77777777" w:rsidR="00283248" w:rsidRPr="00496C73" w:rsidRDefault="00283248" w:rsidP="005419C7">
            <w:pPr>
              <w:pStyle w:val="In-tableHeading"/>
              <w:jc w:val="center"/>
              <w:rPr>
                <w:lang w:val="en-AU"/>
              </w:rPr>
            </w:pPr>
            <w:r w:rsidRPr="00496C73">
              <w:rPr>
                <w:lang w:val="en-AU"/>
              </w:rPr>
              <w:t>2030−31</w:t>
            </w:r>
          </w:p>
        </w:tc>
      </w:tr>
      <w:tr w:rsidR="00283248" w:rsidRPr="006830C3" w14:paraId="5598410E" w14:textId="77777777" w:rsidTr="0016295C">
        <w:tc>
          <w:tcPr>
            <w:tcW w:w="2122" w:type="dxa"/>
          </w:tcPr>
          <w:p w14:paraId="43984DF8" w14:textId="77777777" w:rsidR="00283248" w:rsidRPr="007E28C4" w:rsidRDefault="00283248" w:rsidP="002207EE">
            <w:pPr>
              <w:pStyle w:val="In-tableHeading"/>
              <w:rPr>
                <w:lang w:val="en-AU"/>
              </w:rPr>
            </w:pPr>
            <w:r w:rsidRPr="007E28C4">
              <w:rPr>
                <w:lang w:val="en-AU"/>
              </w:rPr>
              <w:t>Base case</w:t>
            </w:r>
          </w:p>
        </w:tc>
        <w:tc>
          <w:tcPr>
            <w:tcW w:w="1149" w:type="dxa"/>
            <w:vAlign w:val="bottom"/>
          </w:tcPr>
          <w:p w14:paraId="44F40759" w14:textId="061987D0"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c>
          <w:tcPr>
            <w:tcW w:w="1149" w:type="dxa"/>
            <w:vAlign w:val="bottom"/>
          </w:tcPr>
          <w:p w14:paraId="60CABC85" w14:textId="1C7BE971"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c>
          <w:tcPr>
            <w:tcW w:w="1149" w:type="dxa"/>
            <w:vAlign w:val="bottom"/>
          </w:tcPr>
          <w:p w14:paraId="5CAF1654" w14:textId="58B75457"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c>
          <w:tcPr>
            <w:tcW w:w="1149" w:type="dxa"/>
            <w:vAlign w:val="bottom"/>
          </w:tcPr>
          <w:p w14:paraId="43F87074" w14:textId="0C2B619B"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c>
          <w:tcPr>
            <w:tcW w:w="1149" w:type="dxa"/>
            <w:vAlign w:val="bottom"/>
          </w:tcPr>
          <w:p w14:paraId="2CFEE71C" w14:textId="774C1C2C"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c>
          <w:tcPr>
            <w:tcW w:w="1149" w:type="dxa"/>
            <w:vAlign w:val="bottom"/>
          </w:tcPr>
          <w:p w14:paraId="49F4F643" w14:textId="3DE1ABE9" w:rsidR="00283248" w:rsidRPr="0019724D" w:rsidRDefault="00706337" w:rsidP="002207EE">
            <w:pPr>
              <w:pStyle w:val="In-tableHeading"/>
              <w:jc w:val="right"/>
              <w:rPr>
                <w:b w:val="0"/>
                <w:bCs/>
                <w:highlight w:val="yellow"/>
                <w:lang w:val="en-AU"/>
              </w:rPr>
            </w:pPr>
            <w:r w:rsidRPr="008D12FB">
              <w:rPr>
                <w:b w:val="0"/>
              </w:rPr>
              <w:t>$</w:t>
            </w:r>
            <w:r w:rsidRPr="008D12FB">
              <w:rPr>
                <w:bCs/>
              </w:rPr>
              <w:t>Redacted</w:t>
            </w:r>
          </w:p>
        </w:tc>
      </w:tr>
      <w:tr w:rsidR="00283248" w:rsidRPr="006830C3" w14:paraId="436E44A2" w14:textId="77777777" w:rsidTr="00D66FA8">
        <w:tc>
          <w:tcPr>
            <w:tcW w:w="9016" w:type="dxa"/>
            <w:gridSpan w:val="7"/>
            <w:vAlign w:val="center"/>
          </w:tcPr>
          <w:p w14:paraId="4D049252" w14:textId="39508689" w:rsidR="00283248" w:rsidRPr="006830C3" w:rsidRDefault="00283248" w:rsidP="002207EE">
            <w:pPr>
              <w:pStyle w:val="In-tableHeading"/>
              <w:rPr>
                <w:b w:val="0"/>
                <w:bCs/>
              </w:rPr>
            </w:pPr>
            <w:r w:rsidRPr="005944F7">
              <w:rPr>
                <w:b w:val="0"/>
                <w:bCs/>
              </w:rPr>
              <w:t xml:space="preserve">Strategy and </w:t>
            </w:r>
            <w:r w:rsidR="006F1177">
              <w:rPr>
                <w:b w:val="0"/>
                <w:bCs/>
              </w:rPr>
              <w:t xml:space="preserve">weighted average </w:t>
            </w:r>
            <w:r w:rsidRPr="005944F7">
              <w:rPr>
                <w:b w:val="0"/>
                <w:bCs/>
              </w:rPr>
              <w:t xml:space="preserve">cost </w:t>
            </w:r>
            <w:r w:rsidR="006F1177">
              <w:rPr>
                <w:b w:val="0"/>
                <w:bCs/>
              </w:rPr>
              <w:t xml:space="preserve">per screen </w:t>
            </w:r>
            <w:r w:rsidRPr="005944F7">
              <w:rPr>
                <w:b w:val="0"/>
                <w:bCs/>
              </w:rPr>
              <w:t xml:space="preserve">of 1st tier screening (base case: </w:t>
            </w:r>
            <w:r w:rsidR="00706337" w:rsidRPr="008D12FB">
              <w:rPr>
                <w:b w:val="0"/>
              </w:rPr>
              <w:t>$</w:t>
            </w:r>
            <w:r w:rsidR="00706337" w:rsidRPr="008D12FB">
              <w:rPr>
                <w:bCs/>
              </w:rPr>
              <w:t>Redacted</w:t>
            </w:r>
            <w:r w:rsidR="00706337" w:rsidRPr="000D3A30" w:rsidDel="00706337">
              <w:rPr>
                <w:b w:val="0"/>
              </w:rPr>
              <w:t xml:space="preserve"> </w:t>
            </w:r>
            <w:r w:rsidRPr="005944F7">
              <w:rPr>
                <w:b w:val="0"/>
                <w:bCs/>
              </w:rPr>
              <w:t xml:space="preserve">for </w:t>
            </w:r>
            <w:r w:rsidR="00706337" w:rsidRPr="008D12FB">
              <w:rPr>
                <w:bCs/>
              </w:rPr>
              <w:t>Redacted</w:t>
            </w:r>
            <w:r w:rsidRPr="005944F7">
              <w:rPr>
                <w:b w:val="0"/>
                <w:bCs/>
              </w:rPr>
              <w:t>)</w:t>
            </w:r>
          </w:p>
        </w:tc>
      </w:tr>
      <w:tr w:rsidR="00283248" w:rsidRPr="006830C3" w14:paraId="6035E29C" w14:textId="77777777" w:rsidTr="009B7624">
        <w:tc>
          <w:tcPr>
            <w:tcW w:w="2122" w:type="dxa"/>
          </w:tcPr>
          <w:p w14:paraId="784BC374" w14:textId="555941CB" w:rsidR="00283248" w:rsidRPr="005944F7" w:rsidRDefault="00283248" w:rsidP="002207EE">
            <w:pPr>
              <w:pStyle w:val="In-tableHeading"/>
              <w:rPr>
                <w:b w:val="0"/>
                <w:bCs/>
                <w:lang w:val="en-AU"/>
              </w:rPr>
            </w:pPr>
            <w:r w:rsidRPr="005944F7">
              <w:rPr>
                <w:b w:val="0"/>
                <w:bCs/>
              </w:rPr>
              <w:t xml:space="preserve">Revvity MPS7plex MS/MS kit: </w:t>
            </w:r>
            <w:r w:rsidR="00706337" w:rsidRPr="008D12FB">
              <w:rPr>
                <w:b w:val="0"/>
              </w:rPr>
              <w:t>$</w:t>
            </w:r>
            <w:r w:rsidR="00706337" w:rsidRPr="008D12FB">
              <w:rPr>
                <w:bCs/>
              </w:rPr>
              <w:t>Redacted</w:t>
            </w:r>
          </w:p>
        </w:tc>
        <w:tc>
          <w:tcPr>
            <w:tcW w:w="1149" w:type="dxa"/>
            <w:vAlign w:val="center"/>
          </w:tcPr>
          <w:p w14:paraId="0D9639B9" w14:textId="5C3DFA69"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573115FE" w14:textId="50BC7D0A"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11259C6D" w14:textId="6A15BBE0"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AEEAB55" w14:textId="5ED57902"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12FBC63" w14:textId="3E902C80"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7F5AFA01" w14:textId="3C07FE1F" w:rsidR="00283248" w:rsidRPr="0019724D" w:rsidRDefault="00706337" w:rsidP="00AE2896">
            <w:pPr>
              <w:pStyle w:val="In-tableHeading"/>
              <w:jc w:val="right"/>
              <w:rPr>
                <w:b w:val="0"/>
                <w:bCs/>
                <w:highlight w:val="yellow"/>
              </w:rPr>
            </w:pPr>
            <w:r w:rsidRPr="008D12FB">
              <w:rPr>
                <w:b w:val="0"/>
              </w:rPr>
              <w:t>$</w:t>
            </w:r>
            <w:r w:rsidRPr="008D12FB">
              <w:rPr>
                <w:bCs/>
              </w:rPr>
              <w:t>Redacted</w:t>
            </w:r>
          </w:p>
        </w:tc>
      </w:tr>
      <w:tr w:rsidR="00283248" w:rsidRPr="006830C3" w14:paraId="26EBC6B3" w14:textId="77777777" w:rsidTr="009B7624">
        <w:tc>
          <w:tcPr>
            <w:tcW w:w="2122" w:type="dxa"/>
          </w:tcPr>
          <w:p w14:paraId="0E436A65" w14:textId="1268DB43" w:rsidR="00283248" w:rsidRPr="005944F7" w:rsidRDefault="00283248" w:rsidP="002207EE">
            <w:pPr>
              <w:pStyle w:val="In-tableHeading"/>
              <w:rPr>
                <w:b w:val="0"/>
                <w:bCs/>
                <w:lang w:val="en-AU"/>
              </w:rPr>
            </w:pPr>
            <w:r w:rsidRPr="005944F7">
              <w:rPr>
                <w:b w:val="0"/>
                <w:bCs/>
              </w:rPr>
              <w:t xml:space="preserve">Revvity MPS4plex MS/MS kit: </w:t>
            </w:r>
            <w:r w:rsidR="00706337" w:rsidRPr="008D12FB">
              <w:rPr>
                <w:b w:val="0"/>
              </w:rPr>
              <w:t>$</w:t>
            </w:r>
            <w:r w:rsidR="00706337" w:rsidRPr="008D12FB">
              <w:rPr>
                <w:bCs/>
              </w:rPr>
              <w:t>Redacted</w:t>
            </w:r>
          </w:p>
        </w:tc>
        <w:tc>
          <w:tcPr>
            <w:tcW w:w="1149" w:type="dxa"/>
            <w:vAlign w:val="center"/>
          </w:tcPr>
          <w:p w14:paraId="4B555180" w14:textId="5BB04878"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232466CE" w14:textId="14D9071A"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4688B55E" w14:textId="64F22C50"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05A2AA66" w14:textId="399AD7EC"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4C6FB6F6" w14:textId="045A50EE"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74CAE623" w14:textId="17DF65EC" w:rsidR="00283248" w:rsidRPr="0019724D" w:rsidRDefault="00706337" w:rsidP="00AE2896">
            <w:pPr>
              <w:pStyle w:val="In-tableHeading"/>
              <w:jc w:val="right"/>
              <w:rPr>
                <w:b w:val="0"/>
                <w:bCs/>
                <w:highlight w:val="yellow"/>
              </w:rPr>
            </w:pPr>
            <w:r w:rsidRPr="008D12FB">
              <w:rPr>
                <w:b w:val="0"/>
              </w:rPr>
              <w:t>$</w:t>
            </w:r>
            <w:r w:rsidRPr="008D12FB">
              <w:rPr>
                <w:bCs/>
              </w:rPr>
              <w:t>Redacted</w:t>
            </w:r>
          </w:p>
        </w:tc>
      </w:tr>
      <w:tr w:rsidR="00283248" w:rsidRPr="006830C3" w14:paraId="29D16B00" w14:textId="77777777" w:rsidTr="009B7624">
        <w:tc>
          <w:tcPr>
            <w:tcW w:w="2122" w:type="dxa"/>
          </w:tcPr>
          <w:p w14:paraId="3E328FC7" w14:textId="53D1F2B8" w:rsidR="00283248" w:rsidRPr="00FC6C73" w:rsidRDefault="4DBE468A" w:rsidP="002207EE">
            <w:pPr>
              <w:pStyle w:val="In-tableHeading"/>
              <w:rPr>
                <w:b w:val="0"/>
                <w:bCs/>
                <w:vertAlign w:val="superscript"/>
                <w:lang w:val="en-AU"/>
              </w:rPr>
            </w:pPr>
            <w:r w:rsidRPr="1078AAA7">
              <w:rPr>
                <w:bCs/>
              </w:rPr>
              <w:t xml:space="preserve">Redacted </w:t>
            </w:r>
            <w:r w:rsidR="00283248" w:rsidRPr="005944F7">
              <w:rPr>
                <w:b w:val="0"/>
                <w:bCs/>
              </w:rPr>
              <w:t xml:space="preserve">multiplex for </w:t>
            </w:r>
            <w:r w:rsidR="00283248" w:rsidRPr="00C97115">
              <w:rPr>
                <w:b w:val="0"/>
                <w:bCs/>
              </w:rPr>
              <w:t xml:space="preserve">MPS I, MPS II, Pompe: </w:t>
            </w:r>
            <w:r w:rsidR="00706337" w:rsidRPr="008D12FB">
              <w:rPr>
                <w:b w:val="0"/>
              </w:rPr>
              <w:t>$</w:t>
            </w:r>
            <w:r w:rsidR="00706337" w:rsidRPr="008D12FB">
              <w:rPr>
                <w:bCs/>
              </w:rPr>
              <w:t>Redacted</w:t>
            </w:r>
            <w:r w:rsidR="00283248" w:rsidRPr="0038749D">
              <w:rPr>
                <w:b w:val="0"/>
                <w:vertAlign w:val="superscript"/>
              </w:rPr>
              <w:t>a</w:t>
            </w:r>
          </w:p>
        </w:tc>
        <w:tc>
          <w:tcPr>
            <w:tcW w:w="1149" w:type="dxa"/>
            <w:vAlign w:val="center"/>
          </w:tcPr>
          <w:p w14:paraId="34C29B76" w14:textId="57585BBE"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28D2D35D" w14:textId="73C45AE4"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3B0353ED" w14:textId="4EDFD8FC"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09B78D55" w14:textId="7C9414A2"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1B5AE60" w14:textId="57E889EE"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11EF7112" w14:textId="0F004BB3" w:rsidR="00283248" w:rsidRPr="0019724D" w:rsidRDefault="00706337" w:rsidP="00AE2896">
            <w:pPr>
              <w:pStyle w:val="In-tableHeading"/>
              <w:jc w:val="right"/>
              <w:rPr>
                <w:b w:val="0"/>
                <w:bCs/>
                <w:highlight w:val="yellow"/>
              </w:rPr>
            </w:pPr>
            <w:r w:rsidRPr="008D12FB">
              <w:rPr>
                <w:b w:val="0"/>
              </w:rPr>
              <w:t>$</w:t>
            </w:r>
            <w:r w:rsidRPr="008D12FB">
              <w:rPr>
                <w:bCs/>
              </w:rPr>
              <w:t>Redacted</w:t>
            </w:r>
          </w:p>
        </w:tc>
      </w:tr>
      <w:tr w:rsidR="00283248" w:rsidRPr="006830C3" w14:paraId="3D5F6DA6" w14:textId="77777777" w:rsidTr="009B7624">
        <w:tc>
          <w:tcPr>
            <w:tcW w:w="2122" w:type="dxa"/>
          </w:tcPr>
          <w:p w14:paraId="62029FF6" w14:textId="1964DC82" w:rsidR="00283248" w:rsidRPr="004502A7" w:rsidRDefault="00283248" w:rsidP="002207EE">
            <w:pPr>
              <w:pStyle w:val="In-tableHeading"/>
              <w:rPr>
                <w:b w:val="0"/>
                <w:bCs/>
                <w:vertAlign w:val="superscript"/>
                <w:lang w:val="en-AU"/>
              </w:rPr>
            </w:pPr>
            <w:r w:rsidRPr="005944F7">
              <w:rPr>
                <w:b w:val="0"/>
                <w:bCs/>
              </w:rPr>
              <w:t xml:space="preserve">Single-tier screening using NRE-GAG assay: </w:t>
            </w:r>
            <w:r w:rsidR="00706337" w:rsidRPr="008D12FB">
              <w:rPr>
                <w:b w:val="0"/>
              </w:rPr>
              <w:t>$</w:t>
            </w:r>
            <w:r w:rsidR="00706337" w:rsidRPr="008D12FB">
              <w:rPr>
                <w:bCs/>
              </w:rPr>
              <w:t>Redacted</w:t>
            </w:r>
            <w:r w:rsidRPr="00D66FA8">
              <w:rPr>
                <w:b w:val="0"/>
                <w:vertAlign w:val="superscript"/>
              </w:rPr>
              <w:t>b</w:t>
            </w:r>
          </w:p>
        </w:tc>
        <w:tc>
          <w:tcPr>
            <w:tcW w:w="1149" w:type="dxa"/>
            <w:vAlign w:val="center"/>
          </w:tcPr>
          <w:p w14:paraId="19BF8CB7" w14:textId="4D6C2FD5"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48614FB" w14:textId="4A73D898"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06DFCC7C" w14:textId="59490D5E"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52B468B8" w14:textId="6292BA4B"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E22331B" w14:textId="3201C5B5"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310F91F7" w14:textId="090A9144" w:rsidR="00283248" w:rsidRPr="0019724D" w:rsidRDefault="00706337" w:rsidP="00AE2896">
            <w:pPr>
              <w:pStyle w:val="In-tableHeading"/>
              <w:jc w:val="right"/>
              <w:rPr>
                <w:b w:val="0"/>
                <w:bCs/>
                <w:highlight w:val="yellow"/>
              </w:rPr>
            </w:pPr>
            <w:r w:rsidRPr="008D12FB">
              <w:rPr>
                <w:b w:val="0"/>
              </w:rPr>
              <w:t>$</w:t>
            </w:r>
            <w:r w:rsidRPr="008D12FB">
              <w:rPr>
                <w:bCs/>
              </w:rPr>
              <w:t>Redacted</w:t>
            </w:r>
          </w:p>
        </w:tc>
      </w:tr>
      <w:tr w:rsidR="00283248" w:rsidRPr="006830C3" w14:paraId="42BE7C27" w14:textId="77777777" w:rsidTr="009B7624">
        <w:tc>
          <w:tcPr>
            <w:tcW w:w="2122" w:type="dxa"/>
          </w:tcPr>
          <w:p w14:paraId="10FE46A2" w14:textId="75738F61" w:rsidR="00283248" w:rsidRPr="00FC6C73" w:rsidRDefault="00283248" w:rsidP="002207EE">
            <w:pPr>
              <w:pStyle w:val="In-tableHeading"/>
              <w:rPr>
                <w:b w:val="0"/>
                <w:bCs/>
                <w:vertAlign w:val="superscript"/>
                <w:lang w:val="en-AU"/>
              </w:rPr>
            </w:pPr>
            <w:r w:rsidRPr="005944F7">
              <w:rPr>
                <w:b w:val="0"/>
                <w:bCs/>
              </w:rPr>
              <w:t xml:space="preserve">Single-tier NRE-GAG assay multiplex for MPS I, MPS II: </w:t>
            </w:r>
            <w:r w:rsidR="00706337" w:rsidRPr="008D12FB">
              <w:rPr>
                <w:b w:val="0"/>
              </w:rPr>
              <w:t>$</w:t>
            </w:r>
            <w:r w:rsidR="00706337" w:rsidRPr="008D12FB">
              <w:rPr>
                <w:bCs/>
              </w:rPr>
              <w:t>Redacted</w:t>
            </w:r>
            <w:r w:rsidRPr="00D66FA8">
              <w:rPr>
                <w:b w:val="0"/>
                <w:vertAlign w:val="superscript"/>
              </w:rPr>
              <w:t>b,c</w:t>
            </w:r>
          </w:p>
        </w:tc>
        <w:tc>
          <w:tcPr>
            <w:tcW w:w="1149" w:type="dxa"/>
            <w:vAlign w:val="center"/>
          </w:tcPr>
          <w:p w14:paraId="05E879B7" w14:textId="6D50667C"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4292122F" w14:textId="407892C4"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78D07175" w14:textId="6CA33C72"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F9D9448" w14:textId="4D52DA0C"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0B4E74E3" w14:textId="7E83E947"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5BE6DD23" w14:textId="259950B7" w:rsidR="00283248" w:rsidRPr="0019724D" w:rsidRDefault="00706337" w:rsidP="00AE2896">
            <w:pPr>
              <w:pStyle w:val="In-tableHeading"/>
              <w:jc w:val="right"/>
              <w:rPr>
                <w:b w:val="0"/>
                <w:bCs/>
                <w:highlight w:val="yellow"/>
              </w:rPr>
            </w:pPr>
            <w:r w:rsidRPr="008D12FB">
              <w:rPr>
                <w:b w:val="0"/>
              </w:rPr>
              <w:t>$</w:t>
            </w:r>
            <w:r w:rsidRPr="008D12FB">
              <w:rPr>
                <w:bCs/>
              </w:rPr>
              <w:t>Redacted</w:t>
            </w:r>
          </w:p>
        </w:tc>
      </w:tr>
      <w:tr w:rsidR="00283248" w:rsidRPr="006830C3" w14:paraId="45EBD28D" w14:textId="77777777" w:rsidTr="00D66FA8">
        <w:tc>
          <w:tcPr>
            <w:tcW w:w="9016" w:type="dxa"/>
            <w:gridSpan w:val="7"/>
            <w:vAlign w:val="center"/>
          </w:tcPr>
          <w:p w14:paraId="20ADC859" w14:textId="77777777" w:rsidR="00283248" w:rsidRPr="0082509C" w:rsidRDefault="00283248" w:rsidP="002207EE">
            <w:pPr>
              <w:pStyle w:val="In-tableHeading"/>
              <w:rPr>
                <w:b w:val="0"/>
                <w:bCs/>
                <w:i/>
                <w:iCs/>
              </w:rPr>
            </w:pPr>
            <w:r w:rsidRPr="0082509C">
              <w:rPr>
                <w:b w:val="0"/>
                <w:bCs/>
                <w:i/>
                <w:iCs/>
              </w:rPr>
              <w:t>Strategy and cost of 2nd tier screening (base case: $167.00 conducted at the NRL AWCH)</w:t>
            </w:r>
          </w:p>
        </w:tc>
      </w:tr>
      <w:tr w:rsidR="00283248" w:rsidRPr="006830C3" w14:paraId="30B9CB8B" w14:textId="77777777" w:rsidTr="009B7624">
        <w:trPr>
          <w:trHeight w:val="66"/>
        </w:trPr>
        <w:tc>
          <w:tcPr>
            <w:tcW w:w="2122" w:type="dxa"/>
          </w:tcPr>
          <w:p w14:paraId="02F94B5C" w14:textId="55AE7A91" w:rsidR="00283248" w:rsidRPr="005944F7" w:rsidRDefault="00283248" w:rsidP="002207EE">
            <w:pPr>
              <w:pStyle w:val="In-tableHeading"/>
              <w:rPr>
                <w:b w:val="0"/>
                <w:bCs/>
                <w:lang w:val="en-AU"/>
              </w:rPr>
            </w:pPr>
            <w:r w:rsidRPr="0019724D">
              <w:rPr>
                <w:b w:val="0"/>
                <w:bCs/>
              </w:rPr>
              <w:t>GelbChem SKU:BMKEG-3</w:t>
            </w:r>
            <w:r w:rsidRPr="00D66FA8">
              <w:rPr>
                <w:b w:val="0"/>
              </w:rPr>
              <w:t xml:space="preserve">: </w:t>
            </w:r>
            <w:r w:rsidR="00706337" w:rsidRPr="008D12FB">
              <w:rPr>
                <w:b w:val="0"/>
              </w:rPr>
              <w:t>$</w:t>
            </w:r>
            <w:r w:rsidR="00706337" w:rsidRPr="008D12FB">
              <w:rPr>
                <w:bCs/>
              </w:rPr>
              <w:t>Redacted</w:t>
            </w:r>
          </w:p>
        </w:tc>
        <w:tc>
          <w:tcPr>
            <w:tcW w:w="1149" w:type="dxa"/>
            <w:vAlign w:val="center"/>
          </w:tcPr>
          <w:p w14:paraId="30CCBD9F" w14:textId="21A0F940"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39935541" w14:textId="3786C74B"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643A7CF2" w14:textId="4898672E"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32D8440E" w14:textId="19BB2EDF"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2DB79565" w14:textId="3D01EEB6" w:rsidR="00283248" w:rsidRPr="0019724D" w:rsidRDefault="00706337" w:rsidP="00AE2896">
            <w:pPr>
              <w:pStyle w:val="In-tableHeading"/>
              <w:jc w:val="right"/>
              <w:rPr>
                <w:b w:val="0"/>
                <w:bCs/>
                <w:highlight w:val="yellow"/>
              </w:rPr>
            </w:pPr>
            <w:r w:rsidRPr="008D12FB">
              <w:rPr>
                <w:b w:val="0"/>
              </w:rPr>
              <w:t>$</w:t>
            </w:r>
            <w:r w:rsidRPr="008D12FB">
              <w:rPr>
                <w:bCs/>
              </w:rPr>
              <w:t>Redacted</w:t>
            </w:r>
          </w:p>
        </w:tc>
        <w:tc>
          <w:tcPr>
            <w:tcW w:w="1149" w:type="dxa"/>
            <w:vAlign w:val="center"/>
          </w:tcPr>
          <w:p w14:paraId="76EB0207" w14:textId="0E2FA3D2" w:rsidR="00283248" w:rsidRPr="0019724D" w:rsidRDefault="00706337" w:rsidP="00AE2896">
            <w:pPr>
              <w:pStyle w:val="In-tableHeading"/>
              <w:jc w:val="right"/>
              <w:rPr>
                <w:b w:val="0"/>
                <w:bCs/>
                <w:highlight w:val="yellow"/>
              </w:rPr>
            </w:pPr>
            <w:r w:rsidRPr="008D12FB">
              <w:rPr>
                <w:b w:val="0"/>
              </w:rPr>
              <w:t>$</w:t>
            </w:r>
            <w:r w:rsidRPr="008D12FB">
              <w:rPr>
                <w:bCs/>
              </w:rPr>
              <w:t>Redacted</w:t>
            </w:r>
          </w:p>
        </w:tc>
      </w:tr>
    </w:tbl>
    <w:p w14:paraId="62C256DB" w14:textId="77777777" w:rsidR="00554A80" w:rsidRDefault="00357FEF" w:rsidP="00B8514E">
      <w:pPr>
        <w:pStyle w:val="TableFigureFooter"/>
      </w:pPr>
      <w:r>
        <w:t>AWCH = Adelaide Women's and Children's Hospital; GAG = glycosaminoglycan; MPS II = mucopolysaccharidosis Type II; MS = mass spectroscopy; MS/MS = tandem mass spectrometry; NBS = newborn bloodspot screening; NRE = nonreducing end; NRE-GAG = nonreducing end-glycosaminoglycan; NRL = National Referral Laboratory</w:t>
      </w:r>
    </w:p>
    <w:p w14:paraId="548AF4B6" w14:textId="19DBB2DA" w:rsidR="00283248" w:rsidRDefault="552B7BCC" w:rsidP="00B8514E">
      <w:pPr>
        <w:pStyle w:val="TableFigureFooter"/>
      </w:pPr>
      <w:r w:rsidRPr="2999AA76">
        <w:rPr>
          <w:vertAlign w:val="superscript"/>
        </w:rPr>
        <w:t>a</w:t>
      </w:r>
      <w:r w:rsidR="00283248" w:rsidRPr="2999AA76">
        <w:rPr>
          <w:vertAlign w:val="superscript"/>
        </w:rPr>
        <w:t xml:space="preserve"> </w:t>
      </w:r>
      <w:r w:rsidR="54DB32C7" w:rsidRPr="13D19980">
        <w:rPr>
          <w:b/>
          <w:bCs/>
        </w:rPr>
        <w:t xml:space="preserve">Redacted </w:t>
      </w:r>
      <w:r w:rsidR="00283248" w:rsidRPr="7C4E3BA4">
        <w:t>kit multiplexed for MPS I, MPS II and Pompe disorders (i.e. cost per screen is one third the cost per screen in base case).</w:t>
      </w:r>
    </w:p>
    <w:p w14:paraId="71DACC32" w14:textId="149DA461" w:rsidR="00283248" w:rsidRDefault="00283248" w:rsidP="00311E41">
      <w:pPr>
        <w:pStyle w:val="TableFigureFooter"/>
        <w:spacing w:after="0"/>
        <w:rPr>
          <w:vertAlign w:val="superscript"/>
        </w:rPr>
      </w:pPr>
      <w:r w:rsidRPr="7C4E3BA4">
        <w:rPr>
          <w:vertAlign w:val="superscript"/>
        </w:rPr>
        <w:t xml:space="preserve">b </w:t>
      </w:r>
      <w:r w:rsidRPr="7C4E3BA4">
        <w:t xml:space="preserve">Using the GelbChem SKU: BMKEG-3 kit. </w:t>
      </w:r>
    </w:p>
    <w:p w14:paraId="5E861A80" w14:textId="76C7C4A2" w:rsidR="00F34772" w:rsidRDefault="00283248" w:rsidP="00B8514E">
      <w:pPr>
        <w:pStyle w:val="TableFigureFooter"/>
      </w:pPr>
      <w:r>
        <w:rPr>
          <w:vertAlign w:val="superscript"/>
        </w:rPr>
        <w:lastRenderedPageBreak/>
        <w:t xml:space="preserve">c </w:t>
      </w:r>
      <w:r>
        <w:t xml:space="preserve">Multiplexed for MPS I and MPS II (i.e. cost per screen is halved). </w:t>
      </w:r>
    </w:p>
    <w:p w14:paraId="4ABE1687" w14:textId="2513CDE2" w:rsidR="00F34772" w:rsidRDefault="00D53010" w:rsidP="00C92F80">
      <w:pPr>
        <w:pStyle w:val="Normal2"/>
        <w:ind w:left="0"/>
        <w:rPr>
          <w:i/>
          <w:iCs/>
        </w:rPr>
      </w:pPr>
      <w:r>
        <w:rPr>
          <w:i/>
          <w:iCs/>
        </w:rPr>
        <w:t>S</w:t>
      </w:r>
      <w:r w:rsidR="00F5477D">
        <w:rPr>
          <w:i/>
          <w:iCs/>
        </w:rPr>
        <w:t>upplementary</w:t>
      </w:r>
      <w:r w:rsidR="00901B91">
        <w:rPr>
          <w:i/>
          <w:iCs/>
        </w:rPr>
        <w:t xml:space="preserve"> </w:t>
      </w:r>
      <w:r w:rsidR="009F54E1">
        <w:rPr>
          <w:i/>
          <w:iCs/>
        </w:rPr>
        <w:t xml:space="preserve">financial </w:t>
      </w:r>
      <w:r w:rsidR="00901B91">
        <w:rPr>
          <w:i/>
          <w:iCs/>
        </w:rPr>
        <w:t>analyses</w:t>
      </w:r>
      <w:r>
        <w:rPr>
          <w:i/>
          <w:iCs/>
        </w:rPr>
        <w:t xml:space="preserve"> 1 and 2</w:t>
      </w:r>
      <w:r w:rsidR="00901B91">
        <w:rPr>
          <w:i/>
          <w:iCs/>
        </w:rPr>
        <w:t xml:space="preserve"> from the Rejoinder</w:t>
      </w:r>
      <w:r w:rsidR="00055B0E">
        <w:rPr>
          <w:i/>
          <w:iCs/>
        </w:rPr>
        <w:t xml:space="preserve">, which explored the potential impact on </w:t>
      </w:r>
      <w:r w:rsidR="00722105">
        <w:rPr>
          <w:i/>
          <w:iCs/>
        </w:rPr>
        <w:t>ERT expenditure associated with NBS for MPS II, are presented in Tables 20 to 23.</w:t>
      </w:r>
      <w:r w:rsidR="00055B0E">
        <w:rPr>
          <w:i/>
          <w:iCs/>
        </w:rPr>
        <w:t xml:space="preserve"> </w:t>
      </w:r>
      <w:r w:rsidR="000A76E5">
        <w:rPr>
          <w:i/>
          <w:iCs/>
        </w:rPr>
        <w:t>The</w:t>
      </w:r>
      <w:r w:rsidR="0011790A">
        <w:rPr>
          <w:i/>
          <w:iCs/>
        </w:rPr>
        <w:t>se analyses were then combined</w:t>
      </w:r>
      <w:r w:rsidR="00B77E48">
        <w:rPr>
          <w:i/>
          <w:iCs/>
        </w:rPr>
        <w:t xml:space="preserve"> in supplementary analysis 3</w:t>
      </w:r>
      <w:r w:rsidR="00CD6153">
        <w:rPr>
          <w:i/>
          <w:iCs/>
        </w:rPr>
        <w:t>, presented in Table 24.</w:t>
      </w:r>
    </w:p>
    <w:p w14:paraId="6B15D800" w14:textId="7D29D2C6" w:rsidR="00020534" w:rsidRDefault="00020534" w:rsidP="00C92F80">
      <w:pPr>
        <w:pStyle w:val="Caption"/>
      </w:pPr>
      <w:r w:rsidRPr="00C92F80">
        <w:rPr>
          <w:i/>
        </w:rPr>
        <w:t xml:space="preserve">Table </w:t>
      </w:r>
      <w:r w:rsidRPr="00C92F80">
        <w:rPr>
          <w:i/>
        </w:rPr>
        <w:fldChar w:fldCharType="begin"/>
      </w:r>
      <w:r w:rsidRPr="00C92F80">
        <w:rPr>
          <w:i/>
        </w:rPr>
        <w:instrText xml:space="preserve"> SEQ Table \* ARABIC </w:instrText>
      </w:r>
      <w:r w:rsidRPr="00C92F80">
        <w:rPr>
          <w:i/>
        </w:rPr>
        <w:fldChar w:fldCharType="separate"/>
      </w:r>
      <w:r w:rsidR="009D183F">
        <w:rPr>
          <w:i/>
          <w:noProof/>
        </w:rPr>
        <w:t>20</w:t>
      </w:r>
      <w:r w:rsidRPr="00C92F80">
        <w:rPr>
          <w:i/>
        </w:rPr>
        <w:fldChar w:fldCharType="end"/>
      </w:r>
      <w:r w:rsidR="009F54E1">
        <w:tab/>
      </w:r>
      <w:r w:rsidRPr="00020534">
        <w:rPr>
          <w:i/>
          <w:iCs/>
          <w:color w:val="000000" w:themeColor="text1"/>
          <w:lang w:val="en-US"/>
        </w:rPr>
        <w:t>Derivation</w:t>
      </w:r>
      <w:r w:rsidRPr="009716C2">
        <w:rPr>
          <w:i/>
          <w:iCs/>
          <w:color w:val="000000" w:themeColor="text1"/>
          <w:lang w:val="en-US"/>
        </w:rPr>
        <w:t xml:space="preserve"> of the estimated size of MPS II cases born before MPS II NBS implementation but develop symptoms when MPS II NBS is implemented</w:t>
      </w:r>
      <w:r w:rsidRPr="009716C2">
        <w:rPr>
          <w:i/>
          <w:iCs/>
          <w:color w:val="000000" w:themeColor="text1"/>
        </w:rPr>
        <w:t> </w:t>
      </w:r>
      <w:r w:rsidRPr="009716C2">
        <w:rPr>
          <w:i/>
          <w:iCs/>
        </w:rPr>
        <w:t>(</w:t>
      </w:r>
      <w:r w:rsidR="009F54E1">
        <w:rPr>
          <w:i/>
          <w:iCs/>
        </w:rPr>
        <w:t xml:space="preserve">for </w:t>
      </w:r>
      <w:r w:rsidRPr="009716C2">
        <w:rPr>
          <w:i/>
          <w:iCs/>
        </w:rPr>
        <w:t xml:space="preserve">supplementary </w:t>
      </w:r>
      <w:r w:rsidR="009F54E1">
        <w:rPr>
          <w:i/>
          <w:iCs/>
        </w:rPr>
        <w:t xml:space="preserve">financial </w:t>
      </w:r>
      <w:r w:rsidRPr="009716C2">
        <w:rPr>
          <w:i/>
          <w:iCs/>
        </w:rPr>
        <w:t>analysis 1)</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014"/>
        <w:gridCol w:w="952"/>
        <w:gridCol w:w="952"/>
        <w:gridCol w:w="952"/>
        <w:gridCol w:w="960"/>
        <w:gridCol w:w="960"/>
        <w:gridCol w:w="960"/>
      </w:tblGrid>
      <w:tr w:rsidR="00251D17" w:rsidRPr="00B80E1B" w14:paraId="5D4724CA"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79D9E225" w14:textId="77777777" w:rsidR="00901B91" w:rsidRPr="00B80E1B" w:rsidRDefault="00901B91" w:rsidP="009B7624">
            <w:pPr>
              <w:pStyle w:val="Normal2"/>
              <w:spacing w:before="40" w:after="40" w:line="240" w:lineRule="auto"/>
              <w:ind w:left="128"/>
              <w:rPr>
                <w:rFonts w:ascii="Arial Narrow" w:hAnsi="Arial Narrow"/>
                <w:i/>
                <w:sz w:val="20"/>
                <w:szCs w:val="20"/>
              </w:rPr>
            </w:pPr>
            <w:r w:rsidRPr="00B80E1B">
              <w:rPr>
                <w:rFonts w:ascii="Arial Narrow" w:hAnsi="Arial Narrow"/>
                <w:b/>
                <w:i/>
                <w:sz w:val="20"/>
                <w:szCs w:val="20"/>
              </w:rPr>
              <w:t>Year</w:t>
            </w:r>
            <w:r w:rsidRPr="00B80E1B">
              <w:rPr>
                <w:rFonts w:ascii="Arial Narrow" w:hAnsi="Arial Narrow"/>
                <w:i/>
                <w:sz w:val="20"/>
                <w:szCs w:val="20"/>
              </w:rPr>
              <w:t>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36C5AAF7" w14:textId="52203B6F"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2018 - 19</w:t>
            </w:r>
          </w:p>
        </w:tc>
        <w:tc>
          <w:tcPr>
            <w:tcW w:w="952" w:type="dxa"/>
            <w:tcBorders>
              <w:top w:val="single" w:sz="6" w:space="0" w:color="auto"/>
              <w:left w:val="single" w:sz="6" w:space="0" w:color="auto"/>
              <w:bottom w:val="single" w:sz="6" w:space="0" w:color="auto"/>
              <w:right w:val="single" w:sz="6" w:space="0" w:color="auto"/>
            </w:tcBorders>
            <w:vAlign w:val="center"/>
            <w:hideMark/>
          </w:tcPr>
          <w:p w14:paraId="583C9394" w14:textId="3994F1C2"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2019 - 20</w:t>
            </w:r>
          </w:p>
        </w:tc>
        <w:tc>
          <w:tcPr>
            <w:tcW w:w="952" w:type="dxa"/>
            <w:tcBorders>
              <w:top w:val="single" w:sz="6" w:space="0" w:color="auto"/>
              <w:left w:val="single" w:sz="6" w:space="0" w:color="auto"/>
              <w:bottom w:val="single" w:sz="6" w:space="0" w:color="auto"/>
              <w:right w:val="single" w:sz="6" w:space="0" w:color="auto"/>
            </w:tcBorders>
            <w:vAlign w:val="center"/>
            <w:hideMark/>
          </w:tcPr>
          <w:p w14:paraId="26F68A68" w14:textId="220B708D"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2020 - 21</w:t>
            </w:r>
          </w:p>
        </w:tc>
        <w:tc>
          <w:tcPr>
            <w:tcW w:w="952" w:type="dxa"/>
            <w:tcBorders>
              <w:top w:val="single" w:sz="6" w:space="0" w:color="auto"/>
              <w:left w:val="single" w:sz="6" w:space="0" w:color="auto"/>
              <w:bottom w:val="single" w:sz="6" w:space="0" w:color="auto"/>
              <w:right w:val="single" w:sz="6" w:space="0" w:color="auto"/>
            </w:tcBorders>
            <w:vAlign w:val="center"/>
            <w:hideMark/>
          </w:tcPr>
          <w:p w14:paraId="5B287200" w14:textId="2BE9993B"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2021 - 22</w:t>
            </w:r>
          </w:p>
        </w:tc>
        <w:tc>
          <w:tcPr>
            <w:tcW w:w="960" w:type="dxa"/>
            <w:tcBorders>
              <w:top w:val="single" w:sz="6" w:space="0" w:color="auto"/>
              <w:left w:val="single" w:sz="6" w:space="0" w:color="auto"/>
              <w:bottom w:val="single" w:sz="6" w:space="0" w:color="auto"/>
              <w:right w:val="single" w:sz="6" w:space="0" w:color="auto"/>
            </w:tcBorders>
            <w:vAlign w:val="center"/>
            <w:hideMark/>
          </w:tcPr>
          <w:p w14:paraId="39AA4903" w14:textId="3BA83544"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2022 - 23</w:t>
            </w:r>
          </w:p>
        </w:tc>
        <w:tc>
          <w:tcPr>
            <w:tcW w:w="960" w:type="dxa"/>
            <w:tcBorders>
              <w:top w:val="single" w:sz="6" w:space="0" w:color="auto"/>
              <w:left w:val="single" w:sz="6" w:space="0" w:color="auto"/>
              <w:bottom w:val="single" w:sz="6" w:space="0" w:color="auto"/>
              <w:right w:val="single" w:sz="6" w:space="0" w:color="auto"/>
            </w:tcBorders>
            <w:vAlign w:val="center"/>
            <w:hideMark/>
          </w:tcPr>
          <w:p w14:paraId="54BFB7DA" w14:textId="3F103A75"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2023 - 24</w:t>
            </w:r>
          </w:p>
        </w:tc>
        <w:tc>
          <w:tcPr>
            <w:tcW w:w="960" w:type="dxa"/>
            <w:tcBorders>
              <w:top w:val="single" w:sz="6" w:space="0" w:color="auto"/>
              <w:left w:val="single" w:sz="6" w:space="0" w:color="auto"/>
              <w:bottom w:val="single" w:sz="6" w:space="0" w:color="auto"/>
              <w:right w:val="single" w:sz="6" w:space="0" w:color="auto"/>
            </w:tcBorders>
            <w:vAlign w:val="center"/>
            <w:hideMark/>
          </w:tcPr>
          <w:p w14:paraId="59FD1623" w14:textId="6C9F82A7" w:rsidR="00901B91" w:rsidRPr="00B80E1B" w:rsidRDefault="00901B91" w:rsidP="009B7624">
            <w:pPr>
              <w:pStyle w:val="Normal2"/>
              <w:spacing w:before="40" w:after="40" w:line="240" w:lineRule="auto"/>
              <w:ind w:left="0"/>
              <w:jc w:val="center"/>
              <w:rPr>
                <w:rFonts w:ascii="Arial Narrow" w:hAnsi="Arial Narrow"/>
                <w:i/>
                <w:sz w:val="20"/>
                <w:szCs w:val="20"/>
              </w:rPr>
            </w:pPr>
            <w:r w:rsidRPr="00B80E1B">
              <w:rPr>
                <w:rFonts w:ascii="Arial Narrow" w:hAnsi="Arial Narrow"/>
                <w:b/>
                <w:i/>
                <w:sz w:val="20"/>
                <w:szCs w:val="20"/>
              </w:rPr>
              <w:t>2024 - 25</w:t>
            </w:r>
          </w:p>
        </w:tc>
      </w:tr>
      <w:tr w:rsidR="00251D17" w:rsidRPr="00B80E1B" w14:paraId="031521CD"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0D5B3EB0"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i/>
                <w:iCs/>
                <w:sz w:val="20"/>
                <w:szCs w:val="20"/>
              </w:rPr>
              <w:t>Number of live births</w:t>
            </w:r>
            <w:r w:rsidRPr="00B80E1B">
              <w:rPr>
                <w:rFonts w:ascii="Arial Narrow" w:hAnsi="Arial Narrow"/>
                <w:i/>
                <w:iCs/>
                <w:sz w:val="20"/>
                <w:szCs w:val="20"/>
                <w:vertAlign w:val="superscript"/>
              </w:rPr>
              <w:t>a</w:t>
            </w:r>
            <w:r w:rsidRPr="00B80E1B">
              <w:rPr>
                <w:rFonts w:ascii="Arial Narrow" w:hAnsi="Arial Narrow"/>
                <w:i/>
                <w:iCs/>
                <w:sz w:val="20"/>
                <w:szCs w:val="20"/>
              </w:rPr>
              <w:t>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0080AF99" w14:textId="3E642CF1"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310,490</w:t>
            </w:r>
          </w:p>
        </w:tc>
        <w:tc>
          <w:tcPr>
            <w:tcW w:w="952" w:type="dxa"/>
            <w:tcBorders>
              <w:top w:val="single" w:sz="6" w:space="0" w:color="auto"/>
              <w:left w:val="single" w:sz="6" w:space="0" w:color="auto"/>
              <w:bottom w:val="single" w:sz="6" w:space="0" w:color="auto"/>
              <w:right w:val="single" w:sz="6" w:space="0" w:color="auto"/>
            </w:tcBorders>
            <w:vAlign w:val="center"/>
            <w:hideMark/>
          </w:tcPr>
          <w:p w14:paraId="63DD22E6" w14:textId="241CDF29"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300,101</w:t>
            </w:r>
          </w:p>
        </w:tc>
        <w:tc>
          <w:tcPr>
            <w:tcW w:w="952" w:type="dxa"/>
            <w:tcBorders>
              <w:top w:val="single" w:sz="6" w:space="0" w:color="auto"/>
              <w:left w:val="single" w:sz="6" w:space="0" w:color="auto"/>
              <w:bottom w:val="single" w:sz="6" w:space="0" w:color="auto"/>
              <w:right w:val="single" w:sz="6" w:space="0" w:color="auto"/>
            </w:tcBorders>
            <w:vAlign w:val="center"/>
            <w:hideMark/>
          </w:tcPr>
          <w:p w14:paraId="3590B2BD" w14:textId="02A9F7EC"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302,183</w:t>
            </w:r>
          </w:p>
        </w:tc>
        <w:tc>
          <w:tcPr>
            <w:tcW w:w="952" w:type="dxa"/>
            <w:tcBorders>
              <w:top w:val="single" w:sz="6" w:space="0" w:color="auto"/>
              <w:left w:val="single" w:sz="6" w:space="0" w:color="auto"/>
              <w:bottom w:val="single" w:sz="6" w:space="0" w:color="auto"/>
              <w:right w:val="single" w:sz="6" w:space="0" w:color="auto"/>
            </w:tcBorders>
            <w:vAlign w:val="center"/>
            <w:hideMark/>
          </w:tcPr>
          <w:p w14:paraId="0B25D228" w14:textId="4D98CBE9"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305,340</w:t>
            </w:r>
          </w:p>
        </w:tc>
        <w:tc>
          <w:tcPr>
            <w:tcW w:w="960" w:type="dxa"/>
            <w:tcBorders>
              <w:top w:val="single" w:sz="6" w:space="0" w:color="auto"/>
              <w:left w:val="single" w:sz="6" w:space="0" w:color="auto"/>
              <w:bottom w:val="single" w:sz="6" w:space="0" w:color="auto"/>
              <w:right w:val="single" w:sz="6" w:space="0" w:color="auto"/>
            </w:tcBorders>
            <w:vAlign w:val="center"/>
            <w:hideMark/>
          </w:tcPr>
          <w:p w14:paraId="44FC05AC" w14:textId="79D385CE"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303,548</w:t>
            </w:r>
          </w:p>
        </w:tc>
        <w:tc>
          <w:tcPr>
            <w:tcW w:w="960" w:type="dxa"/>
            <w:tcBorders>
              <w:top w:val="single" w:sz="6" w:space="0" w:color="auto"/>
              <w:left w:val="single" w:sz="6" w:space="0" w:color="auto"/>
              <w:bottom w:val="single" w:sz="6" w:space="0" w:color="auto"/>
              <w:right w:val="single" w:sz="6" w:space="0" w:color="auto"/>
            </w:tcBorders>
            <w:vAlign w:val="center"/>
            <w:hideMark/>
          </w:tcPr>
          <w:p w14:paraId="137279B8" w14:textId="42C130B6"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306,491</w:t>
            </w:r>
          </w:p>
        </w:tc>
        <w:tc>
          <w:tcPr>
            <w:tcW w:w="960" w:type="dxa"/>
            <w:tcBorders>
              <w:top w:val="single" w:sz="6" w:space="0" w:color="auto"/>
              <w:left w:val="single" w:sz="6" w:space="0" w:color="auto"/>
              <w:bottom w:val="single" w:sz="6" w:space="0" w:color="auto"/>
              <w:right w:val="single" w:sz="6" w:space="0" w:color="auto"/>
            </w:tcBorders>
            <w:vAlign w:val="center"/>
            <w:hideMark/>
          </w:tcPr>
          <w:p w14:paraId="29B44057" w14:textId="0876A025"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306,647</w:t>
            </w:r>
          </w:p>
        </w:tc>
      </w:tr>
      <w:tr w:rsidR="00251D17" w:rsidRPr="00B80E1B" w14:paraId="422D8081"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5CBE60EE"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i/>
                <w:iCs/>
                <w:sz w:val="20"/>
                <w:szCs w:val="20"/>
              </w:rPr>
              <w:t>MPS II cases born and clinically identified (0.62 per 100,000 live births)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0E9971CB" w14:textId="49EA5FBE"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1.93</w:t>
            </w:r>
          </w:p>
        </w:tc>
        <w:tc>
          <w:tcPr>
            <w:tcW w:w="952" w:type="dxa"/>
            <w:tcBorders>
              <w:top w:val="single" w:sz="6" w:space="0" w:color="auto"/>
              <w:left w:val="single" w:sz="6" w:space="0" w:color="auto"/>
              <w:bottom w:val="single" w:sz="6" w:space="0" w:color="auto"/>
              <w:right w:val="single" w:sz="6" w:space="0" w:color="auto"/>
            </w:tcBorders>
            <w:vAlign w:val="center"/>
            <w:hideMark/>
          </w:tcPr>
          <w:p w14:paraId="2FAF2F5F" w14:textId="3F67CD9F"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1.86</w:t>
            </w:r>
          </w:p>
        </w:tc>
        <w:tc>
          <w:tcPr>
            <w:tcW w:w="952" w:type="dxa"/>
            <w:tcBorders>
              <w:top w:val="single" w:sz="6" w:space="0" w:color="auto"/>
              <w:left w:val="single" w:sz="6" w:space="0" w:color="auto"/>
              <w:bottom w:val="single" w:sz="6" w:space="0" w:color="auto"/>
              <w:right w:val="single" w:sz="6" w:space="0" w:color="auto"/>
            </w:tcBorders>
            <w:vAlign w:val="center"/>
            <w:hideMark/>
          </w:tcPr>
          <w:p w14:paraId="6EB912F2" w14:textId="0C481F30"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1.87</w:t>
            </w:r>
          </w:p>
        </w:tc>
        <w:tc>
          <w:tcPr>
            <w:tcW w:w="952" w:type="dxa"/>
            <w:tcBorders>
              <w:top w:val="single" w:sz="6" w:space="0" w:color="auto"/>
              <w:left w:val="single" w:sz="6" w:space="0" w:color="auto"/>
              <w:bottom w:val="single" w:sz="6" w:space="0" w:color="auto"/>
              <w:right w:val="single" w:sz="6" w:space="0" w:color="auto"/>
            </w:tcBorders>
            <w:vAlign w:val="center"/>
            <w:hideMark/>
          </w:tcPr>
          <w:p w14:paraId="4D18BA09" w14:textId="45E1206C"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1.89</w:t>
            </w:r>
          </w:p>
        </w:tc>
        <w:tc>
          <w:tcPr>
            <w:tcW w:w="960" w:type="dxa"/>
            <w:tcBorders>
              <w:top w:val="single" w:sz="6" w:space="0" w:color="auto"/>
              <w:left w:val="single" w:sz="6" w:space="0" w:color="auto"/>
              <w:bottom w:val="single" w:sz="6" w:space="0" w:color="auto"/>
              <w:right w:val="single" w:sz="6" w:space="0" w:color="auto"/>
            </w:tcBorders>
            <w:vAlign w:val="center"/>
            <w:hideMark/>
          </w:tcPr>
          <w:p w14:paraId="48A5C94E" w14:textId="68A59A9C"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1.88</w:t>
            </w:r>
          </w:p>
        </w:tc>
        <w:tc>
          <w:tcPr>
            <w:tcW w:w="960" w:type="dxa"/>
            <w:tcBorders>
              <w:top w:val="single" w:sz="6" w:space="0" w:color="auto"/>
              <w:left w:val="single" w:sz="6" w:space="0" w:color="auto"/>
              <w:bottom w:val="single" w:sz="6" w:space="0" w:color="auto"/>
              <w:right w:val="single" w:sz="6" w:space="0" w:color="auto"/>
            </w:tcBorders>
            <w:vAlign w:val="center"/>
            <w:hideMark/>
          </w:tcPr>
          <w:p w14:paraId="1B288D9B" w14:textId="34294889"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1.90</w:t>
            </w:r>
          </w:p>
        </w:tc>
        <w:tc>
          <w:tcPr>
            <w:tcW w:w="960" w:type="dxa"/>
            <w:tcBorders>
              <w:top w:val="single" w:sz="6" w:space="0" w:color="auto"/>
              <w:left w:val="single" w:sz="6" w:space="0" w:color="auto"/>
              <w:bottom w:val="single" w:sz="6" w:space="0" w:color="auto"/>
              <w:right w:val="single" w:sz="6" w:space="0" w:color="auto"/>
            </w:tcBorders>
            <w:vAlign w:val="center"/>
            <w:hideMark/>
          </w:tcPr>
          <w:p w14:paraId="7DCD25BB" w14:textId="2ED07EE5"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1.90</w:t>
            </w:r>
          </w:p>
        </w:tc>
      </w:tr>
      <w:tr w:rsidR="00251D17" w:rsidRPr="00B80E1B" w14:paraId="46743023"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66A79B38"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i/>
                <w:iCs/>
                <w:sz w:val="20"/>
                <w:szCs w:val="20"/>
              </w:rPr>
              <w:t>Attenuated cases (25% of clinically identified cases)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46FAA2B0" w14:textId="0FA0E9D7"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0.47</w:t>
            </w:r>
          </w:p>
        </w:tc>
        <w:tc>
          <w:tcPr>
            <w:tcW w:w="952" w:type="dxa"/>
            <w:tcBorders>
              <w:top w:val="single" w:sz="6" w:space="0" w:color="auto"/>
              <w:left w:val="single" w:sz="6" w:space="0" w:color="auto"/>
              <w:bottom w:val="single" w:sz="6" w:space="0" w:color="auto"/>
              <w:right w:val="single" w:sz="6" w:space="0" w:color="auto"/>
            </w:tcBorders>
            <w:vAlign w:val="center"/>
            <w:hideMark/>
          </w:tcPr>
          <w:p w14:paraId="184010A2" w14:textId="2B379DFF"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0.46</w:t>
            </w:r>
          </w:p>
        </w:tc>
        <w:tc>
          <w:tcPr>
            <w:tcW w:w="952" w:type="dxa"/>
            <w:tcBorders>
              <w:top w:val="single" w:sz="6" w:space="0" w:color="auto"/>
              <w:left w:val="single" w:sz="6" w:space="0" w:color="auto"/>
              <w:bottom w:val="single" w:sz="6" w:space="0" w:color="auto"/>
              <w:right w:val="single" w:sz="6" w:space="0" w:color="auto"/>
            </w:tcBorders>
            <w:vAlign w:val="center"/>
            <w:hideMark/>
          </w:tcPr>
          <w:p w14:paraId="6CCAD065" w14:textId="0FB4FEA8"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0.46</w:t>
            </w:r>
          </w:p>
        </w:tc>
        <w:tc>
          <w:tcPr>
            <w:tcW w:w="952" w:type="dxa"/>
            <w:tcBorders>
              <w:top w:val="single" w:sz="6" w:space="0" w:color="auto"/>
              <w:left w:val="single" w:sz="6" w:space="0" w:color="auto"/>
              <w:bottom w:val="single" w:sz="6" w:space="0" w:color="auto"/>
              <w:right w:val="single" w:sz="6" w:space="0" w:color="auto"/>
            </w:tcBorders>
            <w:vAlign w:val="center"/>
            <w:hideMark/>
          </w:tcPr>
          <w:p w14:paraId="3BA99FB6" w14:textId="2D9A1D4B"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0.46</w:t>
            </w:r>
          </w:p>
        </w:tc>
        <w:tc>
          <w:tcPr>
            <w:tcW w:w="960" w:type="dxa"/>
            <w:tcBorders>
              <w:top w:val="single" w:sz="6" w:space="0" w:color="auto"/>
              <w:left w:val="single" w:sz="6" w:space="0" w:color="auto"/>
              <w:bottom w:val="single" w:sz="6" w:space="0" w:color="auto"/>
              <w:right w:val="single" w:sz="6" w:space="0" w:color="auto"/>
            </w:tcBorders>
            <w:vAlign w:val="center"/>
            <w:hideMark/>
          </w:tcPr>
          <w:p w14:paraId="7560EE0B" w14:textId="0C628ACF"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0.46</w:t>
            </w:r>
          </w:p>
        </w:tc>
        <w:tc>
          <w:tcPr>
            <w:tcW w:w="960" w:type="dxa"/>
            <w:tcBorders>
              <w:top w:val="single" w:sz="6" w:space="0" w:color="auto"/>
              <w:left w:val="single" w:sz="6" w:space="0" w:color="auto"/>
              <w:bottom w:val="single" w:sz="6" w:space="0" w:color="auto"/>
              <w:right w:val="single" w:sz="6" w:space="0" w:color="auto"/>
            </w:tcBorders>
            <w:vAlign w:val="center"/>
            <w:hideMark/>
          </w:tcPr>
          <w:p w14:paraId="22990F8A" w14:textId="3B73E265"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0.47</w:t>
            </w:r>
          </w:p>
        </w:tc>
        <w:tc>
          <w:tcPr>
            <w:tcW w:w="960" w:type="dxa"/>
            <w:tcBorders>
              <w:top w:val="single" w:sz="6" w:space="0" w:color="auto"/>
              <w:left w:val="single" w:sz="6" w:space="0" w:color="auto"/>
              <w:bottom w:val="single" w:sz="6" w:space="0" w:color="auto"/>
              <w:right w:val="single" w:sz="6" w:space="0" w:color="auto"/>
            </w:tcBorders>
            <w:vAlign w:val="center"/>
            <w:hideMark/>
          </w:tcPr>
          <w:p w14:paraId="64F5D834" w14:textId="67C10332"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0.47</w:t>
            </w:r>
          </w:p>
        </w:tc>
      </w:tr>
      <w:tr w:rsidR="000E114E" w:rsidRPr="00B80E1B" w14:paraId="3888431E"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7267821B"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b/>
                <w:bCs/>
                <w:i/>
                <w:iCs/>
                <w:sz w:val="20"/>
                <w:szCs w:val="20"/>
              </w:rPr>
              <w:t>Expected year of diagnosis for attenuated cases (age six)</w:t>
            </w:r>
            <w:r w:rsidRPr="00B80E1B">
              <w:rPr>
                <w:rFonts w:ascii="Arial Narrow" w:hAnsi="Arial Narrow"/>
                <w:b/>
                <w:bCs/>
                <w:i/>
                <w:iCs/>
                <w:sz w:val="20"/>
                <w:szCs w:val="20"/>
                <w:vertAlign w:val="superscript"/>
              </w:rPr>
              <w:t> </w:t>
            </w:r>
            <w:r w:rsidRPr="00B80E1B">
              <w:rPr>
                <w:rFonts w:ascii="Arial Narrow" w:hAnsi="Arial Narrow"/>
                <w:i/>
                <w:iCs/>
                <w:sz w:val="20"/>
                <w:szCs w:val="20"/>
              </w:rPr>
              <w:t>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07F74C62" w14:textId="72A49271"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2024 - 25</w:t>
            </w:r>
          </w:p>
        </w:tc>
        <w:tc>
          <w:tcPr>
            <w:tcW w:w="952"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353A07C5" w14:textId="2E92EDDE"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2025 – 26</w:t>
            </w:r>
          </w:p>
        </w:tc>
        <w:tc>
          <w:tcPr>
            <w:tcW w:w="952"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0E48E4F0" w14:textId="55BC1804"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2026 - 27</w:t>
            </w:r>
          </w:p>
        </w:tc>
        <w:tc>
          <w:tcPr>
            <w:tcW w:w="952"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1D8392E5" w14:textId="2BF23E67"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2027 - 28</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5BA72E83" w14:textId="0750ACF2"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2028 - 29</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37B030D5" w14:textId="3D0763E1"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2029 - 30</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7D4E1BAA" w14:textId="5F8F8FC5"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2030 - 31</w:t>
            </w:r>
          </w:p>
        </w:tc>
      </w:tr>
      <w:tr w:rsidR="00251D17" w:rsidRPr="00B80E1B" w14:paraId="4174CF70"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5E83A133"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i/>
                <w:iCs/>
                <w:sz w:val="20"/>
                <w:szCs w:val="20"/>
              </w:rPr>
              <w:t>Severe cases (75% of clinically identified cases)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7ACC106B" w14:textId="218B5B06"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1.45</w:t>
            </w:r>
          </w:p>
        </w:tc>
        <w:tc>
          <w:tcPr>
            <w:tcW w:w="952" w:type="dxa"/>
            <w:tcBorders>
              <w:top w:val="single" w:sz="6" w:space="0" w:color="auto"/>
              <w:left w:val="single" w:sz="6" w:space="0" w:color="auto"/>
              <w:bottom w:val="single" w:sz="6" w:space="0" w:color="auto"/>
              <w:right w:val="single" w:sz="6" w:space="0" w:color="auto"/>
            </w:tcBorders>
            <w:vAlign w:val="center"/>
            <w:hideMark/>
          </w:tcPr>
          <w:p w14:paraId="019ED27C" w14:textId="7A2FC294"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1.40</w:t>
            </w:r>
          </w:p>
        </w:tc>
        <w:tc>
          <w:tcPr>
            <w:tcW w:w="952" w:type="dxa"/>
            <w:tcBorders>
              <w:top w:val="single" w:sz="6" w:space="0" w:color="auto"/>
              <w:left w:val="single" w:sz="6" w:space="0" w:color="auto"/>
              <w:bottom w:val="single" w:sz="6" w:space="0" w:color="auto"/>
              <w:right w:val="single" w:sz="6" w:space="0" w:color="auto"/>
            </w:tcBorders>
            <w:vAlign w:val="center"/>
            <w:hideMark/>
          </w:tcPr>
          <w:p w14:paraId="44FD8B08" w14:textId="154899F6"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1.41</w:t>
            </w:r>
          </w:p>
        </w:tc>
        <w:tc>
          <w:tcPr>
            <w:tcW w:w="952" w:type="dxa"/>
            <w:tcBorders>
              <w:top w:val="single" w:sz="6" w:space="0" w:color="auto"/>
              <w:left w:val="single" w:sz="6" w:space="0" w:color="auto"/>
              <w:bottom w:val="single" w:sz="6" w:space="0" w:color="auto"/>
              <w:right w:val="single" w:sz="6" w:space="0" w:color="auto"/>
            </w:tcBorders>
            <w:vAlign w:val="center"/>
            <w:hideMark/>
          </w:tcPr>
          <w:p w14:paraId="4DCB7D49" w14:textId="1D471EF4"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1.43</w:t>
            </w:r>
          </w:p>
        </w:tc>
        <w:tc>
          <w:tcPr>
            <w:tcW w:w="960" w:type="dxa"/>
            <w:tcBorders>
              <w:top w:val="single" w:sz="6" w:space="0" w:color="auto"/>
              <w:left w:val="single" w:sz="6" w:space="0" w:color="auto"/>
              <w:bottom w:val="single" w:sz="6" w:space="0" w:color="auto"/>
              <w:right w:val="single" w:sz="6" w:space="0" w:color="auto"/>
            </w:tcBorders>
            <w:vAlign w:val="center"/>
            <w:hideMark/>
          </w:tcPr>
          <w:p w14:paraId="1292347C" w14:textId="4C7B2D0A"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1.42</w:t>
            </w:r>
          </w:p>
        </w:tc>
        <w:tc>
          <w:tcPr>
            <w:tcW w:w="960" w:type="dxa"/>
            <w:tcBorders>
              <w:top w:val="single" w:sz="6" w:space="0" w:color="auto"/>
              <w:left w:val="single" w:sz="6" w:space="0" w:color="auto"/>
              <w:bottom w:val="single" w:sz="6" w:space="0" w:color="auto"/>
              <w:right w:val="single" w:sz="6" w:space="0" w:color="auto"/>
            </w:tcBorders>
            <w:vAlign w:val="center"/>
            <w:hideMark/>
          </w:tcPr>
          <w:p w14:paraId="0DF44028" w14:textId="2C7BAD87"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1.43</w:t>
            </w:r>
          </w:p>
        </w:tc>
        <w:tc>
          <w:tcPr>
            <w:tcW w:w="960" w:type="dxa"/>
            <w:tcBorders>
              <w:top w:val="single" w:sz="6" w:space="0" w:color="auto"/>
              <w:left w:val="single" w:sz="6" w:space="0" w:color="auto"/>
              <w:bottom w:val="single" w:sz="6" w:space="0" w:color="auto"/>
              <w:right w:val="single" w:sz="6" w:space="0" w:color="auto"/>
            </w:tcBorders>
            <w:vAlign w:val="center"/>
            <w:hideMark/>
          </w:tcPr>
          <w:p w14:paraId="6E4E0077" w14:textId="1FBCE62B"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1.43</w:t>
            </w:r>
          </w:p>
        </w:tc>
      </w:tr>
      <w:tr w:rsidR="00020534" w:rsidRPr="00B80E1B" w14:paraId="24FCB68C" w14:textId="77777777" w:rsidTr="006B5B78">
        <w:trPr>
          <w:trHeight w:val="300"/>
        </w:trPr>
        <w:tc>
          <w:tcPr>
            <w:tcW w:w="2260" w:type="dxa"/>
            <w:tcBorders>
              <w:top w:val="single" w:sz="6" w:space="0" w:color="auto"/>
              <w:left w:val="single" w:sz="6" w:space="0" w:color="auto"/>
              <w:bottom w:val="single" w:sz="6" w:space="0" w:color="auto"/>
              <w:right w:val="single" w:sz="6" w:space="0" w:color="auto"/>
            </w:tcBorders>
            <w:vAlign w:val="center"/>
            <w:hideMark/>
          </w:tcPr>
          <w:p w14:paraId="3946DF6B" w14:textId="77777777" w:rsidR="00901B91" w:rsidRPr="00B80E1B" w:rsidRDefault="00901B91" w:rsidP="009B7624">
            <w:pPr>
              <w:pStyle w:val="Normal2"/>
              <w:spacing w:before="40" w:after="40" w:line="240" w:lineRule="auto"/>
              <w:ind w:left="128"/>
              <w:rPr>
                <w:rFonts w:ascii="Arial Narrow" w:hAnsi="Arial Narrow"/>
                <w:i/>
                <w:iCs/>
                <w:sz w:val="20"/>
                <w:szCs w:val="20"/>
              </w:rPr>
            </w:pPr>
            <w:r w:rsidRPr="00B80E1B">
              <w:rPr>
                <w:rFonts w:ascii="Arial Narrow" w:hAnsi="Arial Narrow"/>
                <w:b/>
                <w:bCs/>
                <w:i/>
                <w:iCs/>
                <w:sz w:val="20"/>
                <w:szCs w:val="20"/>
              </w:rPr>
              <w:t>Expected year of diagnosis for severe cases (age three)</w:t>
            </w:r>
            <w:r w:rsidRPr="00B80E1B">
              <w:rPr>
                <w:rFonts w:ascii="Arial Narrow" w:hAnsi="Arial Narrow"/>
                <w:i/>
                <w:iCs/>
                <w:sz w:val="20"/>
                <w:szCs w:val="20"/>
              </w:rPr>
              <w:t> </w:t>
            </w:r>
          </w:p>
        </w:tc>
        <w:tc>
          <w:tcPr>
            <w:tcW w:w="1014" w:type="dxa"/>
            <w:tcBorders>
              <w:top w:val="single" w:sz="6" w:space="0" w:color="auto"/>
              <w:left w:val="single" w:sz="6" w:space="0" w:color="auto"/>
              <w:bottom w:val="single" w:sz="6" w:space="0" w:color="auto"/>
              <w:right w:val="single" w:sz="6" w:space="0" w:color="auto"/>
            </w:tcBorders>
            <w:vAlign w:val="center"/>
            <w:hideMark/>
          </w:tcPr>
          <w:p w14:paraId="6EF5DCA4" w14:textId="2CD6B618"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2021 - 22</w:t>
            </w:r>
          </w:p>
        </w:tc>
        <w:tc>
          <w:tcPr>
            <w:tcW w:w="952" w:type="dxa"/>
            <w:tcBorders>
              <w:top w:val="single" w:sz="6" w:space="0" w:color="auto"/>
              <w:left w:val="single" w:sz="6" w:space="0" w:color="auto"/>
              <w:bottom w:val="single" w:sz="6" w:space="0" w:color="auto"/>
              <w:right w:val="single" w:sz="6" w:space="0" w:color="auto"/>
            </w:tcBorders>
            <w:vAlign w:val="center"/>
            <w:hideMark/>
          </w:tcPr>
          <w:p w14:paraId="691E786F" w14:textId="44149295"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2022 - 23</w:t>
            </w:r>
          </w:p>
        </w:tc>
        <w:tc>
          <w:tcPr>
            <w:tcW w:w="952" w:type="dxa"/>
            <w:tcBorders>
              <w:top w:val="single" w:sz="6" w:space="0" w:color="auto"/>
              <w:left w:val="single" w:sz="6" w:space="0" w:color="auto"/>
              <w:bottom w:val="single" w:sz="6" w:space="0" w:color="auto"/>
              <w:right w:val="single" w:sz="6" w:space="0" w:color="auto"/>
            </w:tcBorders>
            <w:vAlign w:val="center"/>
            <w:hideMark/>
          </w:tcPr>
          <w:p w14:paraId="50FF3A14" w14:textId="64482C21"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2023 - 24</w:t>
            </w:r>
          </w:p>
        </w:tc>
        <w:tc>
          <w:tcPr>
            <w:tcW w:w="952" w:type="dxa"/>
            <w:tcBorders>
              <w:top w:val="single" w:sz="6" w:space="0" w:color="auto"/>
              <w:left w:val="single" w:sz="6" w:space="0" w:color="auto"/>
              <w:bottom w:val="single" w:sz="6" w:space="0" w:color="auto"/>
              <w:right w:val="single" w:sz="6" w:space="0" w:color="auto"/>
            </w:tcBorders>
            <w:vAlign w:val="center"/>
            <w:hideMark/>
          </w:tcPr>
          <w:p w14:paraId="6A63DF7D" w14:textId="3FD1CB33"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i/>
                <w:iCs/>
                <w:sz w:val="20"/>
                <w:szCs w:val="20"/>
              </w:rPr>
              <w:t>2024 - 25</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1481B087" w14:textId="6E6D3BDE"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2025−26</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4E5DF705" w14:textId="6F9E9367"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2026−27</w:t>
            </w:r>
          </w:p>
        </w:tc>
        <w:tc>
          <w:tcPr>
            <w:tcW w:w="960" w:type="dxa"/>
            <w:tcBorders>
              <w:top w:val="single" w:sz="6" w:space="0" w:color="auto"/>
              <w:left w:val="single" w:sz="6" w:space="0" w:color="auto"/>
              <w:bottom w:val="single" w:sz="6" w:space="0" w:color="auto"/>
              <w:right w:val="single" w:sz="6" w:space="0" w:color="auto"/>
            </w:tcBorders>
            <w:shd w:val="clear" w:color="auto" w:fill="E8E8E8"/>
            <w:vAlign w:val="center"/>
            <w:hideMark/>
          </w:tcPr>
          <w:p w14:paraId="05DA5BB4" w14:textId="3189DC04" w:rsidR="00901B91" w:rsidRPr="00B80E1B" w:rsidRDefault="00901B91" w:rsidP="009B7624">
            <w:pPr>
              <w:pStyle w:val="Normal2"/>
              <w:spacing w:before="40" w:after="40" w:line="240" w:lineRule="auto"/>
              <w:ind w:left="0"/>
              <w:jc w:val="center"/>
              <w:rPr>
                <w:rFonts w:ascii="Arial Narrow" w:hAnsi="Arial Narrow"/>
                <w:i/>
                <w:iCs/>
                <w:sz w:val="20"/>
                <w:szCs w:val="20"/>
              </w:rPr>
            </w:pPr>
            <w:r w:rsidRPr="00B80E1B">
              <w:rPr>
                <w:rFonts w:ascii="Arial Narrow" w:hAnsi="Arial Narrow"/>
                <w:b/>
                <w:bCs/>
                <w:i/>
                <w:iCs/>
                <w:sz w:val="20"/>
                <w:szCs w:val="20"/>
              </w:rPr>
              <w:t>2027−28</w:t>
            </w:r>
          </w:p>
        </w:tc>
      </w:tr>
    </w:tbl>
    <w:p w14:paraId="19C4039D" w14:textId="0CF32C1F" w:rsidR="007800BE" w:rsidRDefault="00901B91" w:rsidP="002A38E2">
      <w:pPr>
        <w:pStyle w:val="TableFigureFooter"/>
        <w:rPr>
          <w:i/>
        </w:rPr>
      </w:pPr>
      <w:r w:rsidRPr="004B72ED">
        <w:t xml:space="preserve">ABS = Australian Burau of Statistics; DCAR = Department Contracted Assessment Report; MPS II = </w:t>
      </w:r>
      <w:r>
        <w:t>mucopolysaccharidosis Type II; NBS = newborn bloodspot screening </w:t>
      </w:r>
      <w:r w:rsidR="007A4D1F">
        <w:br/>
      </w:r>
      <w:r>
        <w:t>Note: NBS for MPS II assumed to be implemented in the 2025 – 26 financial year and all parameters sourced from the 1776 DCAR. Bolded years include costs that are incurred during scope of the financial analysis (2025 – 26 to 2030 – 31). </w:t>
      </w:r>
      <w:r w:rsidR="007A4D1F">
        <w:br/>
      </w:r>
      <w:r w:rsidRPr="33B8537A">
        <w:rPr>
          <w:vertAlign w:val="superscript"/>
        </w:rPr>
        <w:t xml:space="preserve">a </w:t>
      </w:r>
      <w:r>
        <w:t>Number of live births based on observed and projected live births reported by the ABS. </w:t>
      </w:r>
      <w:r w:rsidR="007A4D1F">
        <w:br/>
      </w:r>
      <w:r w:rsidR="004A2794" w:rsidRPr="33B8537A">
        <w:rPr>
          <w:i/>
        </w:rPr>
        <w:t>Source: Rejoinder from the assessment group</w:t>
      </w:r>
    </w:p>
    <w:p w14:paraId="6DE99CD2" w14:textId="637509A1" w:rsidR="00020534" w:rsidRPr="004B72ED" w:rsidRDefault="00020534" w:rsidP="00311E41">
      <w:pPr>
        <w:pStyle w:val="Caption"/>
        <w:keepLines/>
        <w:rPr>
          <w:i/>
          <w:iCs/>
        </w:rPr>
      </w:pPr>
      <w:r w:rsidRPr="004B72ED">
        <w:rPr>
          <w:i/>
          <w:iCs/>
        </w:rPr>
        <w:lastRenderedPageBreak/>
        <w:t xml:space="preserve">Table </w:t>
      </w:r>
      <w:r w:rsidRPr="004B72ED">
        <w:rPr>
          <w:i/>
          <w:iCs/>
        </w:rPr>
        <w:fldChar w:fldCharType="begin"/>
      </w:r>
      <w:r w:rsidRPr="004B72ED">
        <w:rPr>
          <w:i/>
          <w:iCs/>
        </w:rPr>
        <w:instrText xml:space="preserve"> SEQ Table \* ARABIC </w:instrText>
      </w:r>
      <w:r w:rsidRPr="004B72ED">
        <w:rPr>
          <w:i/>
          <w:iCs/>
        </w:rPr>
        <w:fldChar w:fldCharType="separate"/>
      </w:r>
      <w:r w:rsidR="009D183F">
        <w:rPr>
          <w:i/>
          <w:iCs/>
          <w:noProof/>
        </w:rPr>
        <w:t>21</w:t>
      </w:r>
      <w:r w:rsidRPr="004B72ED">
        <w:rPr>
          <w:i/>
          <w:iCs/>
        </w:rPr>
        <w:fldChar w:fldCharType="end"/>
      </w:r>
      <w:r w:rsidR="009F54E1">
        <w:tab/>
      </w:r>
      <w:r w:rsidRPr="004B72ED">
        <w:rPr>
          <w:i/>
          <w:iCs/>
        </w:rPr>
        <w:t xml:space="preserve">Additional ERT costs for clinically diagnosed populations after NBS implementation 2 (supplementary </w:t>
      </w:r>
      <w:r w:rsidR="009F54E1">
        <w:rPr>
          <w:i/>
          <w:iCs/>
        </w:rPr>
        <w:t xml:space="preserve">financial </w:t>
      </w:r>
      <w:r w:rsidRPr="004B72ED">
        <w:rPr>
          <w:i/>
          <w:iCs/>
        </w:rPr>
        <w:t>analysis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3"/>
        <w:gridCol w:w="1210"/>
        <w:gridCol w:w="1210"/>
        <w:gridCol w:w="1210"/>
        <w:gridCol w:w="1209"/>
        <w:gridCol w:w="1209"/>
        <w:gridCol w:w="1209"/>
      </w:tblGrid>
      <w:tr w:rsidR="00B424F0" w:rsidRPr="00B424F0" w14:paraId="4F0D9043" w14:textId="77777777" w:rsidTr="00BF720B">
        <w:trPr>
          <w:trHeight w:val="300"/>
          <w:tblHeader/>
        </w:trPr>
        <w:tc>
          <w:tcPr>
            <w:tcW w:w="971" w:type="pct"/>
            <w:tcBorders>
              <w:top w:val="single" w:sz="6" w:space="0" w:color="auto"/>
              <w:left w:val="single" w:sz="6" w:space="0" w:color="auto"/>
              <w:bottom w:val="single" w:sz="6" w:space="0" w:color="auto"/>
              <w:right w:val="single" w:sz="6" w:space="0" w:color="auto"/>
            </w:tcBorders>
            <w:vAlign w:val="center"/>
            <w:hideMark/>
          </w:tcPr>
          <w:p w14:paraId="422635D2"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b/>
                <w:bCs/>
                <w:i/>
                <w:iCs/>
                <w:sz w:val="20"/>
                <w:szCs w:val="20"/>
              </w:rPr>
              <w:t>Year</w:t>
            </w:r>
            <w:r w:rsidRPr="00200A61">
              <w:rPr>
                <w:rFonts w:ascii="Arial Narrow" w:hAnsi="Arial Narrow"/>
                <w:i/>
                <w:iCs/>
                <w:sz w:val="20"/>
                <w:szCs w:val="20"/>
              </w:rPr>
              <w:t> </w:t>
            </w:r>
          </w:p>
        </w:tc>
        <w:tc>
          <w:tcPr>
            <w:tcW w:w="671" w:type="pct"/>
            <w:tcBorders>
              <w:top w:val="single" w:sz="6" w:space="0" w:color="auto"/>
              <w:left w:val="single" w:sz="6" w:space="0" w:color="auto"/>
              <w:bottom w:val="single" w:sz="6" w:space="0" w:color="auto"/>
              <w:right w:val="single" w:sz="6" w:space="0" w:color="auto"/>
            </w:tcBorders>
            <w:vAlign w:val="center"/>
            <w:hideMark/>
          </w:tcPr>
          <w:p w14:paraId="4EEB9FA4" w14:textId="511569A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2025−26</w:t>
            </w:r>
          </w:p>
        </w:tc>
        <w:tc>
          <w:tcPr>
            <w:tcW w:w="671" w:type="pct"/>
            <w:tcBorders>
              <w:top w:val="single" w:sz="6" w:space="0" w:color="auto"/>
              <w:left w:val="single" w:sz="6" w:space="0" w:color="auto"/>
              <w:bottom w:val="single" w:sz="6" w:space="0" w:color="auto"/>
              <w:right w:val="single" w:sz="6" w:space="0" w:color="auto"/>
            </w:tcBorders>
            <w:vAlign w:val="center"/>
            <w:hideMark/>
          </w:tcPr>
          <w:p w14:paraId="40583510" w14:textId="3D82B9C1"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2026−27</w:t>
            </w:r>
          </w:p>
        </w:tc>
        <w:tc>
          <w:tcPr>
            <w:tcW w:w="671" w:type="pct"/>
            <w:tcBorders>
              <w:top w:val="single" w:sz="6" w:space="0" w:color="auto"/>
              <w:left w:val="single" w:sz="6" w:space="0" w:color="auto"/>
              <w:bottom w:val="single" w:sz="6" w:space="0" w:color="auto"/>
              <w:right w:val="single" w:sz="6" w:space="0" w:color="auto"/>
            </w:tcBorders>
            <w:vAlign w:val="center"/>
            <w:hideMark/>
          </w:tcPr>
          <w:p w14:paraId="12F88287" w14:textId="5B1D00A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2027−28</w:t>
            </w:r>
          </w:p>
        </w:tc>
        <w:tc>
          <w:tcPr>
            <w:tcW w:w="671" w:type="pct"/>
            <w:tcBorders>
              <w:top w:val="single" w:sz="6" w:space="0" w:color="auto"/>
              <w:left w:val="single" w:sz="6" w:space="0" w:color="auto"/>
              <w:bottom w:val="single" w:sz="6" w:space="0" w:color="auto"/>
              <w:right w:val="single" w:sz="6" w:space="0" w:color="auto"/>
            </w:tcBorders>
            <w:vAlign w:val="center"/>
            <w:hideMark/>
          </w:tcPr>
          <w:p w14:paraId="62B4351B" w14:textId="02AEAA7D"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2028−29</w:t>
            </w:r>
          </w:p>
        </w:tc>
        <w:tc>
          <w:tcPr>
            <w:tcW w:w="671" w:type="pct"/>
            <w:tcBorders>
              <w:top w:val="single" w:sz="6" w:space="0" w:color="auto"/>
              <w:left w:val="single" w:sz="6" w:space="0" w:color="auto"/>
              <w:bottom w:val="single" w:sz="6" w:space="0" w:color="auto"/>
              <w:right w:val="single" w:sz="6" w:space="0" w:color="auto"/>
            </w:tcBorders>
            <w:vAlign w:val="center"/>
            <w:hideMark/>
          </w:tcPr>
          <w:p w14:paraId="36663243" w14:textId="01CF2A2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2029−30</w:t>
            </w:r>
          </w:p>
        </w:tc>
        <w:tc>
          <w:tcPr>
            <w:tcW w:w="671" w:type="pct"/>
            <w:tcBorders>
              <w:top w:val="single" w:sz="6" w:space="0" w:color="auto"/>
              <w:left w:val="single" w:sz="6" w:space="0" w:color="auto"/>
              <w:bottom w:val="single" w:sz="6" w:space="0" w:color="auto"/>
              <w:right w:val="single" w:sz="6" w:space="0" w:color="auto"/>
            </w:tcBorders>
            <w:vAlign w:val="center"/>
            <w:hideMark/>
          </w:tcPr>
          <w:p w14:paraId="09A30BEF" w14:textId="039091C8"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b/>
                <w:bCs/>
                <w:i/>
                <w:iCs/>
                <w:sz w:val="20"/>
                <w:szCs w:val="20"/>
              </w:rPr>
              <w:t>2030−31</w:t>
            </w:r>
          </w:p>
        </w:tc>
      </w:tr>
      <w:tr w:rsidR="00B424F0" w:rsidRPr="00B424F0" w14:paraId="7BDF9ADF"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56643C45"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(accumulated cases): attenuated aged 6 and 7 </w:t>
            </w:r>
          </w:p>
        </w:tc>
        <w:tc>
          <w:tcPr>
            <w:tcW w:w="671" w:type="pct"/>
            <w:tcBorders>
              <w:top w:val="single" w:sz="6" w:space="0" w:color="auto"/>
              <w:left w:val="single" w:sz="6" w:space="0" w:color="auto"/>
              <w:bottom w:val="single" w:sz="6" w:space="0" w:color="auto"/>
              <w:right w:val="single" w:sz="6" w:space="0" w:color="auto"/>
            </w:tcBorders>
            <w:vAlign w:val="center"/>
            <w:hideMark/>
          </w:tcPr>
          <w:p w14:paraId="5E690C6A" w14:textId="5C3562F1"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0.46</w:t>
            </w:r>
          </w:p>
        </w:tc>
        <w:tc>
          <w:tcPr>
            <w:tcW w:w="671" w:type="pct"/>
            <w:tcBorders>
              <w:top w:val="single" w:sz="6" w:space="0" w:color="auto"/>
              <w:left w:val="single" w:sz="6" w:space="0" w:color="auto"/>
              <w:bottom w:val="single" w:sz="6" w:space="0" w:color="auto"/>
              <w:right w:val="single" w:sz="6" w:space="0" w:color="auto"/>
            </w:tcBorders>
            <w:vAlign w:val="center"/>
            <w:hideMark/>
          </w:tcPr>
          <w:p w14:paraId="7F0E272E" w14:textId="0721A018"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0.92</w:t>
            </w:r>
          </w:p>
        </w:tc>
        <w:tc>
          <w:tcPr>
            <w:tcW w:w="671" w:type="pct"/>
            <w:tcBorders>
              <w:top w:val="single" w:sz="6" w:space="0" w:color="auto"/>
              <w:left w:val="single" w:sz="6" w:space="0" w:color="auto"/>
              <w:bottom w:val="single" w:sz="6" w:space="0" w:color="auto"/>
              <w:right w:val="single" w:sz="6" w:space="0" w:color="auto"/>
            </w:tcBorders>
            <w:vAlign w:val="center"/>
            <w:hideMark/>
          </w:tcPr>
          <w:p w14:paraId="5D020665" w14:textId="30076B99"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0.93</w:t>
            </w:r>
          </w:p>
        </w:tc>
        <w:tc>
          <w:tcPr>
            <w:tcW w:w="671" w:type="pct"/>
            <w:tcBorders>
              <w:top w:val="single" w:sz="6" w:space="0" w:color="auto"/>
              <w:left w:val="single" w:sz="6" w:space="0" w:color="auto"/>
              <w:bottom w:val="single" w:sz="6" w:space="0" w:color="auto"/>
              <w:right w:val="single" w:sz="6" w:space="0" w:color="auto"/>
            </w:tcBorders>
            <w:vAlign w:val="center"/>
            <w:hideMark/>
          </w:tcPr>
          <w:p w14:paraId="31BC461B" w14:textId="27B78CDF"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0.93</w:t>
            </w:r>
          </w:p>
        </w:tc>
        <w:tc>
          <w:tcPr>
            <w:tcW w:w="671" w:type="pct"/>
            <w:tcBorders>
              <w:top w:val="single" w:sz="6" w:space="0" w:color="auto"/>
              <w:left w:val="single" w:sz="6" w:space="0" w:color="auto"/>
              <w:bottom w:val="single" w:sz="6" w:space="0" w:color="auto"/>
              <w:right w:val="single" w:sz="6" w:space="0" w:color="auto"/>
            </w:tcBorders>
            <w:vAlign w:val="center"/>
            <w:hideMark/>
          </w:tcPr>
          <w:p w14:paraId="1EDA457D" w14:textId="47A41B02"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0.93</w:t>
            </w:r>
          </w:p>
        </w:tc>
        <w:tc>
          <w:tcPr>
            <w:tcW w:w="671" w:type="pct"/>
            <w:tcBorders>
              <w:top w:val="single" w:sz="6" w:space="0" w:color="auto"/>
              <w:left w:val="single" w:sz="6" w:space="0" w:color="auto"/>
              <w:bottom w:val="single" w:sz="6" w:space="0" w:color="auto"/>
              <w:right w:val="single" w:sz="6" w:space="0" w:color="auto"/>
            </w:tcBorders>
            <w:vAlign w:val="center"/>
            <w:hideMark/>
          </w:tcPr>
          <w:p w14:paraId="36A8916C" w14:textId="7DACE6F3"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0.93</w:t>
            </w:r>
          </w:p>
        </w:tc>
      </w:tr>
      <w:tr w:rsidR="00B424F0" w:rsidRPr="00B424F0" w14:paraId="205235EB"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4C455785"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attenuated aged 8+ </w:t>
            </w:r>
          </w:p>
        </w:tc>
        <w:tc>
          <w:tcPr>
            <w:tcW w:w="671" w:type="pct"/>
            <w:tcBorders>
              <w:top w:val="single" w:sz="6" w:space="0" w:color="auto"/>
              <w:left w:val="single" w:sz="6" w:space="0" w:color="auto"/>
              <w:bottom w:val="single" w:sz="6" w:space="0" w:color="auto"/>
              <w:right w:val="single" w:sz="6" w:space="0" w:color="auto"/>
            </w:tcBorders>
            <w:vAlign w:val="center"/>
            <w:hideMark/>
          </w:tcPr>
          <w:p w14:paraId="1B3B628F" w14:textId="6D250690"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0.00</w:t>
            </w:r>
          </w:p>
        </w:tc>
        <w:tc>
          <w:tcPr>
            <w:tcW w:w="671" w:type="pct"/>
            <w:tcBorders>
              <w:top w:val="single" w:sz="6" w:space="0" w:color="auto"/>
              <w:left w:val="single" w:sz="6" w:space="0" w:color="auto"/>
              <w:bottom w:val="single" w:sz="6" w:space="0" w:color="auto"/>
              <w:right w:val="single" w:sz="6" w:space="0" w:color="auto"/>
            </w:tcBorders>
            <w:vAlign w:val="center"/>
            <w:hideMark/>
          </w:tcPr>
          <w:p w14:paraId="5040C83D" w14:textId="4079C01E"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0.00</w:t>
            </w:r>
          </w:p>
        </w:tc>
        <w:tc>
          <w:tcPr>
            <w:tcW w:w="671" w:type="pct"/>
            <w:tcBorders>
              <w:top w:val="single" w:sz="6" w:space="0" w:color="auto"/>
              <w:left w:val="single" w:sz="6" w:space="0" w:color="auto"/>
              <w:bottom w:val="single" w:sz="6" w:space="0" w:color="auto"/>
              <w:right w:val="single" w:sz="6" w:space="0" w:color="auto"/>
            </w:tcBorders>
            <w:vAlign w:val="center"/>
            <w:hideMark/>
          </w:tcPr>
          <w:p w14:paraId="604EA027" w14:textId="19CC17D7"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0.46</w:t>
            </w:r>
          </w:p>
        </w:tc>
        <w:tc>
          <w:tcPr>
            <w:tcW w:w="671" w:type="pct"/>
            <w:tcBorders>
              <w:top w:val="single" w:sz="6" w:space="0" w:color="auto"/>
              <w:left w:val="single" w:sz="6" w:space="0" w:color="auto"/>
              <w:bottom w:val="single" w:sz="6" w:space="0" w:color="auto"/>
              <w:right w:val="single" w:sz="6" w:space="0" w:color="auto"/>
            </w:tcBorders>
            <w:vAlign w:val="center"/>
            <w:hideMark/>
          </w:tcPr>
          <w:p w14:paraId="4362E9C2" w14:textId="45BB5DE2"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0.92</w:t>
            </w:r>
          </w:p>
        </w:tc>
        <w:tc>
          <w:tcPr>
            <w:tcW w:w="671" w:type="pct"/>
            <w:tcBorders>
              <w:top w:val="single" w:sz="6" w:space="0" w:color="auto"/>
              <w:left w:val="single" w:sz="6" w:space="0" w:color="auto"/>
              <w:bottom w:val="single" w:sz="6" w:space="0" w:color="auto"/>
              <w:right w:val="single" w:sz="6" w:space="0" w:color="auto"/>
            </w:tcBorders>
            <w:vAlign w:val="center"/>
            <w:hideMark/>
          </w:tcPr>
          <w:p w14:paraId="44AE9F67" w14:textId="400D8B9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1.38</w:t>
            </w:r>
          </w:p>
        </w:tc>
        <w:tc>
          <w:tcPr>
            <w:tcW w:w="671" w:type="pct"/>
            <w:tcBorders>
              <w:top w:val="single" w:sz="6" w:space="0" w:color="auto"/>
              <w:left w:val="single" w:sz="6" w:space="0" w:color="auto"/>
              <w:bottom w:val="single" w:sz="6" w:space="0" w:color="auto"/>
              <w:right w:val="single" w:sz="6" w:space="0" w:color="auto"/>
            </w:tcBorders>
            <w:vAlign w:val="center"/>
            <w:hideMark/>
          </w:tcPr>
          <w:p w14:paraId="7A2609C8" w14:textId="62B09CDB"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1.84</w:t>
            </w:r>
          </w:p>
        </w:tc>
      </w:tr>
      <w:tr w:rsidR="00B424F0" w:rsidRPr="00B424F0" w14:paraId="0009D237"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0CEB4061"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attenuated aged 6 and 7, cost </w:t>
            </w:r>
          </w:p>
        </w:tc>
        <w:tc>
          <w:tcPr>
            <w:tcW w:w="671" w:type="pct"/>
            <w:tcBorders>
              <w:top w:val="single" w:sz="6" w:space="0" w:color="auto"/>
              <w:left w:val="single" w:sz="6" w:space="0" w:color="auto"/>
              <w:bottom w:val="single" w:sz="6" w:space="0" w:color="auto"/>
              <w:right w:val="single" w:sz="6" w:space="0" w:color="auto"/>
            </w:tcBorders>
            <w:vAlign w:val="center"/>
            <w:hideMark/>
          </w:tcPr>
          <w:p w14:paraId="38119212" w14:textId="54AC71C0" w:rsidR="00901B91" w:rsidRPr="00200A61" w:rsidRDefault="00901B91" w:rsidP="00311E41">
            <w:pPr>
              <w:pStyle w:val="Normal2"/>
              <w:keepNext/>
              <w:keepLines/>
              <w:spacing w:before="40" w:after="40" w:line="240" w:lineRule="auto"/>
              <w:ind w:left="0"/>
              <w:jc w:val="center"/>
              <w:rPr>
                <w:rFonts w:ascii="Arial Narrow" w:hAnsi="Arial Narrow"/>
                <w:i/>
                <w:iCs/>
                <w:sz w:val="20"/>
                <w:szCs w:val="20"/>
                <w:highlight w:val="yellow"/>
              </w:rPr>
            </w:pPr>
            <w:r w:rsidRPr="00011DA9">
              <w:rPr>
                <w:rFonts w:ascii="Arial Narrow" w:hAnsi="Arial Narrow"/>
                <w:i/>
                <w:iCs/>
                <w:sz w:val="20"/>
                <w:szCs w:val="20"/>
              </w:rPr>
              <w:t>$</w:t>
            </w:r>
            <w:r w:rsidR="00706337" w:rsidRPr="00011DA9">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151D854C" w14:textId="7694B102"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88F7666" w14:textId="415786E6"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2BDECF7" w14:textId="55DEF20E"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6B388543" w14:textId="64F8EE62"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725D4AC1" w14:textId="3CDE03A3"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r>
      <w:tr w:rsidR="00B424F0" w:rsidRPr="00B424F0" w14:paraId="35665E21"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13D24473"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attenuated aged 8 - 13, cost </w:t>
            </w:r>
          </w:p>
        </w:tc>
        <w:tc>
          <w:tcPr>
            <w:tcW w:w="671" w:type="pct"/>
            <w:tcBorders>
              <w:top w:val="single" w:sz="6" w:space="0" w:color="auto"/>
              <w:left w:val="single" w:sz="6" w:space="0" w:color="auto"/>
              <w:bottom w:val="single" w:sz="6" w:space="0" w:color="auto"/>
              <w:right w:val="single" w:sz="6" w:space="0" w:color="auto"/>
            </w:tcBorders>
            <w:vAlign w:val="center"/>
            <w:hideMark/>
          </w:tcPr>
          <w:p w14:paraId="0498B9A9" w14:textId="2C3E5C7B"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72174D45" w14:textId="6F6EB379"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02FC45A7" w14:textId="04E80C2B"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308C334" w14:textId="55276D9D"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23569D4" w14:textId="64A50F60"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76299C84" w14:textId="2B4BD2EF"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r>
      <w:tr w:rsidR="00B424F0" w:rsidRPr="00B424F0" w14:paraId="7FC355F0"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3335DA4D"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severe aged 2 - 5 </w:t>
            </w:r>
          </w:p>
        </w:tc>
        <w:tc>
          <w:tcPr>
            <w:tcW w:w="671" w:type="pct"/>
            <w:tcBorders>
              <w:top w:val="single" w:sz="6" w:space="0" w:color="auto"/>
              <w:left w:val="single" w:sz="6" w:space="0" w:color="auto"/>
              <w:bottom w:val="single" w:sz="6" w:space="0" w:color="auto"/>
              <w:right w:val="single" w:sz="6" w:space="0" w:color="auto"/>
            </w:tcBorders>
            <w:vAlign w:val="center"/>
            <w:hideMark/>
          </w:tcPr>
          <w:p w14:paraId="34048C4C" w14:textId="3A56E77F"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1.42</w:t>
            </w:r>
          </w:p>
        </w:tc>
        <w:tc>
          <w:tcPr>
            <w:tcW w:w="671" w:type="pct"/>
            <w:tcBorders>
              <w:top w:val="single" w:sz="6" w:space="0" w:color="auto"/>
              <w:left w:val="single" w:sz="6" w:space="0" w:color="auto"/>
              <w:bottom w:val="single" w:sz="6" w:space="0" w:color="auto"/>
              <w:right w:val="single" w:sz="6" w:space="0" w:color="auto"/>
            </w:tcBorders>
            <w:vAlign w:val="center"/>
            <w:hideMark/>
          </w:tcPr>
          <w:p w14:paraId="2D870EA9" w14:textId="32FBB992"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2.85</w:t>
            </w:r>
          </w:p>
        </w:tc>
        <w:tc>
          <w:tcPr>
            <w:tcW w:w="671" w:type="pct"/>
            <w:tcBorders>
              <w:top w:val="single" w:sz="6" w:space="0" w:color="auto"/>
              <w:left w:val="single" w:sz="6" w:space="0" w:color="auto"/>
              <w:bottom w:val="single" w:sz="6" w:space="0" w:color="auto"/>
              <w:right w:val="single" w:sz="6" w:space="0" w:color="auto"/>
            </w:tcBorders>
            <w:vAlign w:val="center"/>
            <w:hideMark/>
          </w:tcPr>
          <w:p w14:paraId="314A3513" w14:textId="7E0AE5FC"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4.29</w:t>
            </w:r>
          </w:p>
        </w:tc>
        <w:tc>
          <w:tcPr>
            <w:tcW w:w="671" w:type="pct"/>
            <w:tcBorders>
              <w:top w:val="single" w:sz="6" w:space="0" w:color="auto"/>
              <w:left w:val="single" w:sz="6" w:space="0" w:color="auto"/>
              <w:bottom w:val="single" w:sz="6" w:space="0" w:color="auto"/>
              <w:right w:val="single" w:sz="6" w:space="0" w:color="auto"/>
            </w:tcBorders>
            <w:vAlign w:val="center"/>
            <w:hideMark/>
          </w:tcPr>
          <w:p w14:paraId="06E2DEEA" w14:textId="0325ED7C"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4.29</w:t>
            </w:r>
          </w:p>
        </w:tc>
        <w:tc>
          <w:tcPr>
            <w:tcW w:w="671" w:type="pct"/>
            <w:tcBorders>
              <w:top w:val="single" w:sz="6" w:space="0" w:color="auto"/>
              <w:left w:val="single" w:sz="6" w:space="0" w:color="auto"/>
              <w:bottom w:val="single" w:sz="6" w:space="0" w:color="auto"/>
              <w:right w:val="single" w:sz="6" w:space="0" w:color="auto"/>
            </w:tcBorders>
            <w:vAlign w:val="center"/>
            <w:hideMark/>
          </w:tcPr>
          <w:p w14:paraId="488E75A6" w14:textId="6114681D"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4.29</w:t>
            </w:r>
          </w:p>
        </w:tc>
        <w:tc>
          <w:tcPr>
            <w:tcW w:w="671" w:type="pct"/>
            <w:tcBorders>
              <w:top w:val="single" w:sz="6" w:space="0" w:color="auto"/>
              <w:left w:val="single" w:sz="6" w:space="0" w:color="auto"/>
              <w:bottom w:val="single" w:sz="6" w:space="0" w:color="auto"/>
              <w:right w:val="single" w:sz="6" w:space="0" w:color="auto"/>
            </w:tcBorders>
            <w:vAlign w:val="center"/>
            <w:hideMark/>
          </w:tcPr>
          <w:p w14:paraId="1C443574" w14:textId="66EB17F9"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4.29</w:t>
            </w:r>
          </w:p>
        </w:tc>
      </w:tr>
      <w:tr w:rsidR="00B424F0" w:rsidRPr="00B424F0" w14:paraId="77B839C3"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03C4DE3D"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Clinically diagnosed population: severe aged 2 - 5, cost </w:t>
            </w:r>
          </w:p>
        </w:tc>
        <w:tc>
          <w:tcPr>
            <w:tcW w:w="671" w:type="pct"/>
            <w:tcBorders>
              <w:top w:val="single" w:sz="6" w:space="0" w:color="auto"/>
              <w:left w:val="single" w:sz="6" w:space="0" w:color="auto"/>
              <w:bottom w:val="single" w:sz="6" w:space="0" w:color="auto"/>
              <w:right w:val="single" w:sz="6" w:space="0" w:color="auto"/>
            </w:tcBorders>
            <w:vAlign w:val="center"/>
            <w:hideMark/>
          </w:tcPr>
          <w:p w14:paraId="328E7BFD" w14:textId="16E7D45F"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1F376ABC" w14:textId="56CB072B"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C066F43" w14:textId="45DEE179"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0DE72354" w14:textId="127CCB88"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7742F3A7" w14:textId="5898DB73"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5E8A38F7" w14:textId="7B27A9B5" w:rsidR="00901B91" w:rsidRPr="00200A61" w:rsidRDefault="00706337"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r>
      <w:tr w:rsidR="00B424F0" w:rsidRPr="00B424F0" w14:paraId="75021707"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718CEC77"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i/>
                <w:iCs/>
                <w:sz w:val="20"/>
                <w:szCs w:val="20"/>
              </w:rPr>
              <w:t>Total clinically diagnosed population:  </w:t>
            </w:r>
          </w:p>
        </w:tc>
        <w:tc>
          <w:tcPr>
            <w:tcW w:w="671" w:type="pct"/>
            <w:tcBorders>
              <w:top w:val="single" w:sz="6" w:space="0" w:color="auto"/>
              <w:left w:val="single" w:sz="6" w:space="0" w:color="auto"/>
              <w:bottom w:val="single" w:sz="6" w:space="0" w:color="auto"/>
              <w:right w:val="single" w:sz="6" w:space="0" w:color="auto"/>
            </w:tcBorders>
            <w:vAlign w:val="center"/>
            <w:hideMark/>
          </w:tcPr>
          <w:p w14:paraId="46589089" w14:textId="502537BB"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1.88</w:t>
            </w:r>
          </w:p>
        </w:tc>
        <w:tc>
          <w:tcPr>
            <w:tcW w:w="671" w:type="pct"/>
            <w:tcBorders>
              <w:top w:val="single" w:sz="6" w:space="0" w:color="auto"/>
              <w:left w:val="single" w:sz="6" w:space="0" w:color="auto"/>
              <w:bottom w:val="single" w:sz="6" w:space="0" w:color="auto"/>
              <w:right w:val="single" w:sz="6" w:space="0" w:color="auto"/>
            </w:tcBorders>
            <w:vAlign w:val="center"/>
            <w:hideMark/>
          </w:tcPr>
          <w:p w14:paraId="4EADA29F" w14:textId="3ED7DB13"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3.77</w:t>
            </w:r>
          </w:p>
        </w:tc>
        <w:tc>
          <w:tcPr>
            <w:tcW w:w="671" w:type="pct"/>
            <w:tcBorders>
              <w:top w:val="single" w:sz="6" w:space="0" w:color="auto"/>
              <w:left w:val="single" w:sz="6" w:space="0" w:color="auto"/>
              <w:bottom w:val="single" w:sz="6" w:space="0" w:color="auto"/>
              <w:right w:val="single" w:sz="6" w:space="0" w:color="auto"/>
            </w:tcBorders>
            <w:vAlign w:val="center"/>
            <w:hideMark/>
          </w:tcPr>
          <w:p w14:paraId="76449935" w14:textId="79FC2F1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5.67</w:t>
            </w:r>
          </w:p>
        </w:tc>
        <w:tc>
          <w:tcPr>
            <w:tcW w:w="671" w:type="pct"/>
            <w:tcBorders>
              <w:top w:val="single" w:sz="6" w:space="0" w:color="auto"/>
              <w:left w:val="single" w:sz="6" w:space="0" w:color="auto"/>
              <w:bottom w:val="single" w:sz="6" w:space="0" w:color="auto"/>
              <w:right w:val="single" w:sz="6" w:space="0" w:color="auto"/>
            </w:tcBorders>
            <w:vAlign w:val="center"/>
            <w:hideMark/>
          </w:tcPr>
          <w:p w14:paraId="40B6723A" w14:textId="5AA727E5"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6.13</w:t>
            </w:r>
          </w:p>
        </w:tc>
        <w:tc>
          <w:tcPr>
            <w:tcW w:w="671" w:type="pct"/>
            <w:tcBorders>
              <w:top w:val="single" w:sz="6" w:space="0" w:color="auto"/>
              <w:left w:val="single" w:sz="6" w:space="0" w:color="auto"/>
              <w:bottom w:val="single" w:sz="6" w:space="0" w:color="auto"/>
              <w:right w:val="single" w:sz="6" w:space="0" w:color="auto"/>
            </w:tcBorders>
            <w:vAlign w:val="center"/>
            <w:hideMark/>
          </w:tcPr>
          <w:p w14:paraId="3248EB2B" w14:textId="59B2725A"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6.60</w:t>
            </w:r>
          </w:p>
        </w:tc>
        <w:tc>
          <w:tcPr>
            <w:tcW w:w="671" w:type="pct"/>
            <w:tcBorders>
              <w:top w:val="single" w:sz="6" w:space="0" w:color="auto"/>
              <w:left w:val="single" w:sz="6" w:space="0" w:color="auto"/>
              <w:bottom w:val="single" w:sz="6" w:space="0" w:color="auto"/>
              <w:right w:val="single" w:sz="6" w:space="0" w:color="auto"/>
            </w:tcBorders>
            <w:vAlign w:val="center"/>
            <w:hideMark/>
          </w:tcPr>
          <w:p w14:paraId="3272B121" w14:textId="2DD9D1B2" w:rsidR="00901B91" w:rsidRPr="00200A61" w:rsidRDefault="00901B91" w:rsidP="00311E41">
            <w:pPr>
              <w:pStyle w:val="Normal2"/>
              <w:keepNext/>
              <w:keepLines/>
              <w:spacing w:before="40" w:after="40" w:line="240" w:lineRule="auto"/>
              <w:ind w:left="0"/>
              <w:jc w:val="center"/>
              <w:rPr>
                <w:rFonts w:ascii="Arial Narrow" w:hAnsi="Arial Narrow"/>
                <w:i/>
                <w:iCs/>
                <w:sz w:val="20"/>
                <w:szCs w:val="20"/>
              </w:rPr>
            </w:pPr>
            <w:r w:rsidRPr="00200A61">
              <w:rPr>
                <w:rFonts w:ascii="Arial Narrow" w:hAnsi="Arial Narrow"/>
                <w:i/>
                <w:iCs/>
                <w:sz w:val="20"/>
                <w:szCs w:val="20"/>
              </w:rPr>
              <w:t>7.07</w:t>
            </w:r>
          </w:p>
        </w:tc>
      </w:tr>
      <w:tr w:rsidR="00B424F0" w:rsidRPr="00B424F0" w14:paraId="0CDD79D3" w14:textId="77777777" w:rsidTr="00BF720B">
        <w:trPr>
          <w:trHeight w:val="300"/>
        </w:trPr>
        <w:tc>
          <w:tcPr>
            <w:tcW w:w="971" w:type="pct"/>
            <w:tcBorders>
              <w:top w:val="single" w:sz="6" w:space="0" w:color="auto"/>
              <w:left w:val="single" w:sz="6" w:space="0" w:color="auto"/>
              <w:bottom w:val="single" w:sz="6" w:space="0" w:color="auto"/>
              <w:right w:val="single" w:sz="6" w:space="0" w:color="auto"/>
            </w:tcBorders>
            <w:vAlign w:val="center"/>
            <w:hideMark/>
          </w:tcPr>
          <w:p w14:paraId="6C3A51CA" w14:textId="77777777" w:rsidR="00901B91" w:rsidRPr="00200A61" w:rsidRDefault="00901B91" w:rsidP="00311E41">
            <w:pPr>
              <w:pStyle w:val="Normal2"/>
              <w:keepNext/>
              <w:keepLines/>
              <w:spacing w:before="40" w:after="40" w:line="240" w:lineRule="auto"/>
              <w:ind w:left="128"/>
              <w:rPr>
                <w:rFonts w:ascii="Arial Narrow" w:hAnsi="Arial Narrow"/>
                <w:i/>
                <w:iCs/>
                <w:sz w:val="20"/>
                <w:szCs w:val="20"/>
              </w:rPr>
            </w:pPr>
            <w:r w:rsidRPr="00200A61">
              <w:rPr>
                <w:rFonts w:ascii="Arial Narrow" w:hAnsi="Arial Narrow"/>
                <w:b/>
                <w:bCs/>
                <w:i/>
                <w:iCs/>
                <w:sz w:val="20"/>
                <w:szCs w:val="20"/>
              </w:rPr>
              <w:t>Total costs for clinically diagnosed population</w:t>
            </w:r>
            <w:r w:rsidRPr="00200A61">
              <w:rPr>
                <w:rFonts w:ascii="Arial Narrow" w:hAnsi="Arial Narrow"/>
                <w:i/>
                <w:iCs/>
                <w:sz w:val="20"/>
                <w:szCs w:val="20"/>
              </w:rPr>
              <w:t> </w:t>
            </w:r>
          </w:p>
        </w:tc>
        <w:tc>
          <w:tcPr>
            <w:tcW w:w="671" w:type="pct"/>
            <w:tcBorders>
              <w:top w:val="single" w:sz="6" w:space="0" w:color="auto"/>
              <w:left w:val="single" w:sz="6" w:space="0" w:color="auto"/>
              <w:bottom w:val="single" w:sz="6" w:space="0" w:color="auto"/>
              <w:right w:val="single" w:sz="6" w:space="0" w:color="auto"/>
            </w:tcBorders>
            <w:vAlign w:val="center"/>
            <w:hideMark/>
          </w:tcPr>
          <w:p w14:paraId="1460A21B" w14:textId="3BA68A47"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5A3792B0" w14:textId="7F1393A4"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1036293" w14:textId="2D13F038"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19E965D1" w14:textId="70F34EB6"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29F3B02F" w14:textId="411F8910"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c>
          <w:tcPr>
            <w:tcW w:w="671" w:type="pct"/>
            <w:tcBorders>
              <w:top w:val="single" w:sz="6" w:space="0" w:color="auto"/>
              <w:left w:val="single" w:sz="6" w:space="0" w:color="auto"/>
              <w:bottom w:val="single" w:sz="6" w:space="0" w:color="auto"/>
              <w:right w:val="single" w:sz="6" w:space="0" w:color="auto"/>
            </w:tcBorders>
            <w:vAlign w:val="center"/>
            <w:hideMark/>
          </w:tcPr>
          <w:p w14:paraId="04BAC9D4" w14:textId="71DA08D8" w:rsidR="00901B91" w:rsidRPr="00011DA9" w:rsidRDefault="00706337"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706337">
              <w:rPr>
                <w:rFonts w:ascii="Arial Narrow" w:hAnsi="Arial Narrow"/>
                <w:b/>
                <w:bCs/>
                <w:i/>
                <w:iCs/>
                <w:sz w:val="20"/>
                <w:szCs w:val="20"/>
              </w:rPr>
              <w:t>Redacted</w:t>
            </w:r>
          </w:p>
        </w:tc>
      </w:tr>
    </w:tbl>
    <w:p w14:paraId="55C9C520" w14:textId="78DC0ED6" w:rsidR="00901B91" w:rsidRPr="005750D2" w:rsidRDefault="00901B91" w:rsidP="00311E41">
      <w:pPr>
        <w:pStyle w:val="TableFigureFooter"/>
        <w:keepNext/>
        <w:keepLines/>
        <w:rPr>
          <w:i/>
          <w:iCs/>
          <w:szCs w:val="18"/>
        </w:rPr>
      </w:pPr>
      <w:r w:rsidRPr="005750D2">
        <w:t xml:space="preserve">ERT = enzyme replacement therapy; NBS = newborn </w:t>
      </w:r>
      <w:r w:rsidRPr="005750D2">
        <w:rPr>
          <w:szCs w:val="18"/>
        </w:rPr>
        <w:t>bloodspot screening. </w:t>
      </w:r>
      <w:r w:rsidR="00264741">
        <w:rPr>
          <w:i/>
          <w:iCs/>
          <w:szCs w:val="18"/>
        </w:rPr>
        <w:br/>
      </w:r>
      <w:r w:rsidR="004F7820">
        <w:rPr>
          <w:i/>
          <w:iCs/>
          <w:szCs w:val="18"/>
        </w:rPr>
        <w:t>Source: Rejoinder from the assessment group</w:t>
      </w:r>
    </w:p>
    <w:p w14:paraId="27C78C91" w14:textId="4CDC527F" w:rsidR="00020534" w:rsidRPr="005750D2" w:rsidRDefault="00020534" w:rsidP="005750D2">
      <w:pPr>
        <w:pStyle w:val="Caption"/>
        <w:rPr>
          <w:i/>
          <w:iCs/>
        </w:rPr>
      </w:pPr>
      <w:r w:rsidRPr="005750D2">
        <w:rPr>
          <w:i/>
          <w:iCs/>
        </w:rPr>
        <w:t xml:space="preserve">Table </w:t>
      </w:r>
      <w:r w:rsidRPr="005750D2">
        <w:rPr>
          <w:i/>
          <w:iCs/>
        </w:rPr>
        <w:fldChar w:fldCharType="begin"/>
      </w:r>
      <w:r w:rsidRPr="005750D2">
        <w:rPr>
          <w:i/>
          <w:iCs/>
        </w:rPr>
        <w:instrText xml:space="preserve"> SEQ Table \* ARABIC </w:instrText>
      </w:r>
      <w:r w:rsidRPr="005750D2">
        <w:rPr>
          <w:i/>
          <w:iCs/>
        </w:rPr>
        <w:fldChar w:fldCharType="separate"/>
      </w:r>
      <w:r w:rsidR="009D183F">
        <w:rPr>
          <w:i/>
          <w:iCs/>
          <w:noProof/>
        </w:rPr>
        <w:t>22</w:t>
      </w:r>
      <w:r w:rsidRPr="005750D2">
        <w:rPr>
          <w:i/>
          <w:iCs/>
        </w:rPr>
        <w:fldChar w:fldCharType="end"/>
      </w:r>
      <w:r w:rsidR="009F54E1">
        <w:tab/>
      </w:r>
      <w:r w:rsidRPr="005750D2">
        <w:rPr>
          <w:i/>
          <w:iCs/>
        </w:rPr>
        <w:t>Estimated size of MPS II cases who will not be able to access ERT under the LSDP immediately upon birth based on current criteria (</w:t>
      </w:r>
      <w:r w:rsidR="009F54E1">
        <w:rPr>
          <w:i/>
          <w:iCs/>
        </w:rPr>
        <w:t xml:space="preserve">for </w:t>
      </w:r>
      <w:r w:rsidRPr="005750D2">
        <w:rPr>
          <w:i/>
          <w:iCs/>
        </w:rPr>
        <w:t xml:space="preserve">supplementary </w:t>
      </w:r>
      <w:r w:rsidR="009F54E1">
        <w:rPr>
          <w:i/>
          <w:iCs/>
        </w:rPr>
        <w:t xml:space="preserve">financial </w:t>
      </w:r>
      <w:r w:rsidRPr="005750D2">
        <w:rPr>
          <w:i/>
          <w:iCs/>
        </w:rPr>
        <w:t>analysis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0"/>
        <w:gridCol w:w="984"/>
        <w:gridCol w:w="986"/>
        <w:gridCol w:w="986"/>
        <w:gridCol w:w="986"/>
        <w:gridCol w:w="986"/>
        <w:gridCol w:w="982"/>
      </w:tblGrid>
      <w:tr w:rsidR="00901B91" w:rsidRPr="00D53010" w14:paraId="4120E35B" w14:textId="77777777" w:rsidTr="006B5B78">
        <w:trPr>
          <w:trHeight w:val="300"/>
        </w:trPr>
        <w:tc>
          <w:tcPr>
            <w:tcW w:w="1721" w:type="pct"/>
            <w:tcBorders>
              <w:top w:val="single" w:sz="6" w:space="0" w:color="auto"/>
              <w:left w:val="single" w:sz="6" w:space="0" w:color="auto"/>
              <w:bottom w:val="single" w:sz="6" w:space="0" w:color="auto"/>
              <w:right w:val="single" w:sz="6" w:space="0" w:color="auto"/>
            </w:tcBorders>
            <w:vAlign w:val="center"/>
            <w:hideMark/>
          </w:tcPr>
          <w:p w14:paraId="6E394D03" w14:textId="77777777" w:rsidR="00901B91" w:rsidRPr="005750D2" w:rsidRDefault="00901B91" w:rsidP="009B7624">
            <w:pPr>
              <w:pStyle w:val="Normal2"/>
              <w:spacing w:before="40" w:after="40" w:line="240" w:lineRule="auto"/>
              <w:ind w:left="0"/>
              <w:rPr>
                <w:rFonts w:ascii="Arial Narrow" w:hAnsi="Arial Narrow"/>
                <w:i/>
                <w:iCs/>
                <w:sz w:val="20"/>
                <w:szCs w:val="20"/>
              </w:rPr>
            </w:pPr>
            <w:r w:rsidRPr="005750D2">
              <w:rPr>
                <w:rFonts w:ascii="Arial Narrow" w:hAnsi="Arial Narrow"/>
                <w:b/>
                <w:bCs/>
                <w:i/>
                <w:iCs/>
                <w:sz w:val="20"/>
                <w:szCs w:val="20"/>
              </w:rPr>
              <w:t>Year</w:t>
            </w:r>
            <w:r w:rsidRPr="005750D2">
              <w:rPr>
                <w:rFonts w:ascii="Arial Narrow" w:hAnsi="Arial Narrow"/>
                <w:i/>
                <w:iCs/>
                <w:sz w:val="20"/>
                <w:szCs w:val="20"/>
              </w:rPr>
              <w:t> </w:t>
            </w:r>
          </w:p>
        </w:tc>
        <w:tc>
          <w:tcPr>
            <w:tcW w:w="546" w:type="pct"/>
            <w:tcBorders>
              <w:top w:val="single" w:sz="6" w:space="0" w:color="auto"/>
              <w:left w:val="single" w:sz="6" w:space="0" w:color="auto"/>
              <w:bottom w:val="single" w:sz="6" w:space="0" w:color="auto"/>
              <w:right w:val="single" w:sz="6" w:space="0" w:color="auto"/>
            </w:tcBorders>
            <w:vAlign w:val="center"/>
            <w:hideMark/>
          </w:tcPr>
          <w:p w14:paraId="274C5777" w14:textId="39E348A5"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2025−26</w:t>
            </w:r>
          </w:p>
        </w:tc>
        <w:tc>
          <w:tcPr>
            <w:tcW w:w="547" w:type="pct"/>
            <w:tcBorders>
              <w:top w:val="single" w:sz="6" w:space="0" w:color="auto"/>
              <w:left w:val="single" w:sz="6" w:space="0" w:color="auto"/>
              <w:bottom w:val="single" w:sz="6" w:space="0" w:color="auto"/>
              <w:right w:val="single" w:sz="6" w:space="0" w:color="auto"/>
            </w:tcBorders>
            <w:vAlign w:val="center"/>
            <w:hideMark/>
          </w:tcPr>
          <w:p w14:paraId="36C42EF2" w14:textId="5F66A1C7"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2026−27</w:t>
            </w:r>
          </w:p>
        </w:tc>
        <w:tc>
          <w:tcPr>
            <w:tcW w:w="547" w:type="pct"/>
            <w:tcBorders>
              <w:top w:val="single" w:sz="6" w:space="0" w:color="auto"/>
              <w:left w:val="single" w:sz="6" w:space="0" w:color="auto"/>
              <w:bottom w:val="single" w:sz="6" w:space="0" w:color="auto"/>
              <w:right w:val="single" w:sz="6" w:space="0" w:color="auto"/>
            </w:tcBorders>
            <w:vAlign w:val="center"/>
            <w:hideMark/>
          </w:tcPr>
          <w:p w14:paraId="1F49D507" w14:textId="7F594633"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2027−28</w:t>
            </w:r>
          </w:p>
        </w:tc>
        <w:tc>
          <w:tcPr>
            <w:tcW w:w="547" w:type="pct"/>
            <w:tcBorders>
              <w:top w:val="single" w:sz="6" w:space="0" w:color="auto"/>
              <w:left w:val="single" w:sz="6" w:space="0" w:color="auto"/>
              <w:bottom w:val="single" w:sz="6" w:space="0" w:color="auto"/>
              <w:right w:val="single" w:sz="6" w:space="0" w:color="auto"/>
            </w:tcBorders>
            <w:vAlign w:val="center"/>
            <w:hideMark/>
          </w:tcPr>
          <w:p w14:paraId="6E7E4296" w14:textId="1EE71CD9"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2028−29</w:t>
            </w:r>
          </w:p>
        </w:tc>
        <w:tc>
          <w:tcPr>
            <w:tcW w:w="547" w:type="pct"/>
            <w:tcBorders>
              <w:top w:val="single" w:sz="6" w:space="0" w:color="auto"/>
              <w:left w:val="single" w:sz="6" w:space="0" w:color="auto"/>
              <w:bottom w:val="single" w:sz="6" w:space="0" w:color="auto"/>
              <w:right w:val="single" w:sz="6" w:space="0" w:color="auto"/>
            </w:tcBorders>
            <w:vAlign w:val="center"/>
            <w:hideMark/>
          </w:tcPr>
          <w:p w14:paraId="7CCD548C" w14:textId="234A704C"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2029−30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6C3179F7" w14:textId="79C2E7AD"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b/>
                <w:bCs/>
                <w:i/>
                <w:iCs/>
                <w:sz w:val="20"/>
                <w:szCs w:val="20"/>
              </w:rPr>
              <w:t>2030−31</w:t>
            </w:r>
          </w:p>
        </w:tc>
      </w:tr>
      <w:tr w:rsidR="00901B91" w:rsidRPr="00D53010" w14:paraId="6CA4861F" w14:textId="77777777" w:rsidTr="006B5B78">
        <w:trPr>
          <w:trHeight w:val="300"/>
        </w:trPr>
        <w:tc>
          <w:tcPr>
            <w:tcW w:w="1721" w:type="pct"/>
            <w:tcBorders>
              <w:top w:val="single" w:sz="6" w:space="0" w:color="auto"/>
              <w:left w:val="single" w:sz="6" w:space="0" w:color="auto"/>
              <w:bottom w:val="single" w:sz="6" w:space="0" w:color="auto"/>
              <w:right w:val="single" w:sz="6" w:space="0" w:color="auto"/>
            </w:tcBorders>
            <w:hideMark/>
          </w:tcPr>
          <w:p w14:paraId="269D32E3" w14:textId="4C324EB3" w:rsidR="00901B91" w:rsidRPr="005750D2" w:rsidRDefault="00901B91" w:rsidP="009B7624">
            <w:pPr>
              <w:pStyle w:val="Normal2"/>
              <w:spacing w:before="40" w:after="40" w:line="240" w:lineRule="auto"/>
              <w:ind w:left="0"/>
              <w:rPr>
                <w:rFonts w:ascii="Arial Narrow" w:hAnsi="Arial Narrow"/>
                <w:i/>
                <w:iCs/>
                <w:sz w:val="20"/>
                <w:szCs w:val="20"/>
              </w:rPr>
            </w:pPr>
            <w:r w:rsidRPr="005750D2">
              <w:rPr>
                <w:rFonts w:ascii="Arial Narrow" w:hAnsi="Arial Narrow"/>
                <w:i/>
                <w:iCs/>
                <w:sz w:val="20"/>
                <w:szCs w:val="20"/>
              </w:rPr>
              <w:t>Cases identified with NBS  </w:t>
            </w:r>
          </w:p>
        </w:tc>
        <w:tc>
          <w:tcPr>
            <w:tcW w:w="546" w:type="pct"/>
            <w:tcBorders>
              <w:top w:val="single" w:sz="6" w:space="0" w:color="auto"/>
              <w:left w:val="single" w:sz="6" w:space="0" w:color="auto"/>
              <w:bottom w:val="single" w:sz="6" w:space="0" w:color="auto"/>
              <w:right w:val="single" w:sz="6" w:space="0" w:color="auto"/>
            </w:tcBorders>
            <w:vAlign w:val="center"/>
            <w:hideMark/>
          </w:tcPr>
          <w:p w14:paraId="77B5FFC2" w14:textId="453ED068"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1C21B8C1" w14:textId="15CE09AA"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54B98094" w14:textId="1C55771B"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6B869E02" w14:textId="15C71111"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26689050" w14:textId="10E66CE1"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c>
          <w:tcPr>
            <w:tcW w:w="547" w:type="pct"/>
            <w:tcBorders>
              <w:top w:val="single" w:sz="6" w:space="0" w:color="auto"/>
              <w:left w:val="single" w:sz="6" w:space="0" w:color="auto"/>
              <w:bottom w:val="single" w:sz="6" w:space="0" w:color="auto"/>
              <w:right w:val="single" w:sz="6" w:space="0" w:color="auto"/>
            </w:tcBorders>
            <w:vAlign w:val="center"/>
            <w:hideMark/>
          </w:tcPr>
          <w:p w14:paraId="147521F6" w14:textId="72EBB3F3"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4.30</w:t>
            </w:r>
          </w:p>
        </w:tc>
      </w:tr>
      <w:tr w:rsidR="00901B91" w:rsidRPr="00D53010" w14:paraId="59ACFF41" w14:textId="77777777" w:rsidTr="006B5B78">
        <w:trPr>
          <w:trHeight w:val="300"/>
        </w:trPr>
        <w:tc>
          <w:tcPr>
            <w:tcW w:w="1721" w:type="pct"/>
            <w:tcBorders>
              <w:top w:val="single" w:sz="6" w:space="0" w:color="auto"/>
              <w:left w:val="single" w:sz="6" w:space="0" w:color="auto"/>
              <w:bottom w:val="single" w:sz="6" w:space="0" w:color="auto"/>
              <w:right w:val="single" w:sz="6" w:space="0" w:color="auto"/>
            </w:tcBorders>
            <w:hideMark/>
          </w:tcPr>
          <w:p w14:paraId="4D93C8CE" w14:textId="390C5383" w:rsidR="00901B91" w:rsidRPr="005750D2" w:rsidRDefault="00901B91" w:rsidP="009B7624">
            <w:pPr>
              <w:pStyle w:val="Normal2"/>
              <w:spacing w:before="40" w:after="40" w:line="240" w:lineRule="auto"/>
              <w:ind w:left="0"/>
              <w:rPr>
                <w:rFonts w:ascii="Arial Narrow" w:hAnsi="Arial Narrow"/>
                <w:i/>
                <w:iCs/>
                <w:sz w:val="20"/>
                <w:szCs w:val="20"/>
              </w:rPr>
            </w:pPr>
            <w:r w:rsidRPr="005750D2">
              <w:rPr>
                <w:rFonts w:ascii="Arial Narrow" w:hAnsi="Arial Narrow"/>
                <w:i/>
                <w:iCs/>
                <w:sz w:val="20"/>
                <w:szCs w:val="20"/>
              </w:rPr>
              <w:t>Attenuated cases identified per year </w:t>
            </w:r>
          </w:p>
        </w:tc>
        <w:tc>
          <w:tcPr>
            <w:tcW w:w="546" w:type="pct"/>
            <w:tcBorders>
              <w:top w:val="single" w:sz="6" w:space="0" w:color="auto"/>
              <w:left w:val="single" w:sz="6" w:space="0" w:color="auto"/>
              <w:bottom w:val="single" w:sz="6" w:space="0" w:color="auto"/>
              <w:right w:val="single" w:sz="6" w:space="0" w:color="auto"/>
            </w:tcBorders>
            <w:vAlign w:val="center"/>
            <w:hideMark/>
          </w:tcPr>
          <w:p w14:paraId="398B5BE1" w14:textId="576364AA"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3250A6CC" w14:textId="1B19C379"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5B1BB4B4" w14:textId="466CBA25"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50F03A00" w14:textId="542DF854"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2AEDFF52" w14:textId="029C9506"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0768C728" w14:textId="4C0DA6E0"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0.47</w:t>
            </w:r>
          </w:p>
        </w:tc>
      </w:tr>
      <w:tr w:rsidR="00901B91" w:rsidRPr="00D53010" w14:paraId="742CC4A7" w14:textId="77777777" w:rsidTr="006B5B78">
        <w:trPr>
          <w:trHeight w:val="300"/>
        </w:trPr>
        <w:tc>
          <w:tcPr>
            <w:tcW w:w="1721" w:type="pct"/>
            <w:tcBorders>
              <w:top w:val="single" w:sz="6" w:space="0" w:color="auto"/>
              <w:left w:val="single" w:sz="6" w:space="0" w:color="auto"/>
              <w:bottom w:val="single" w:sz="6" w:space="0" w:color="auto"/>
              <w:right w:val="single" w:sz="6" w:space="0" w:color="auto"/>
            </w:tcBorders>
            <w:hideMark/>
          </w:tcPr>
          <w:p w14:paraId="3030162A" w14:textId="799BDF65" w:rsidR="00901B91" w:rsidRPr="005750D2" w:rsidRDefault="00901B91" w:rsidP="009B7624">
            <w:pPr>
              <w:pStyle w:val="Normal2"/>
              <w:spacing w:before="40" w:after="40" w:line="240" w:lineRule="auto"/>
              <w:ind w:left="0"/>
              <w:rPr>
                <w:rFonts w:ascii="Arial Narrow" w:hAnsi="Arial Narrow"/>
                <w:i/>
                <w:iCs/>
                <w:sz w:val="20"/>
                <w:szCs w:val="20"/>
              </w:rPr>
            </w:pPr>
            <w:r w:rsidRPr="005750D2">
              <w:rPr>
                <w:rFonts w:ascii="Arial Narrow" w:hAnsi="Arial Narrow"/>
                <w:i/>
                <w:iCs/>
                <w:sz w:val="20"/>
                <w:szCs w:val="20"/>
              </w:rPr>
              <w:t>Very attenuated cases identified per year </w:t>
            </w:r>
          </w:p>
        </w:tc>
        <w:tc>
          <w:tcPr>
            <w:tcW w:w="546" w:type="pct"/>
            <w:tcBorders>
              <w:top w:val="single" w:sz="6" w:space="0" w:color="auto"/>
              <w:left w:val="single" w:sz="6" w:space="0" w:color="auto"/>
              <w:bottom w:val="single" w:sz="6" w:space="0" w:color="auto"/>
              <w:right w:val="single" w:sz="6" w:space="0" w:color="auto"/>
            </w:tcBorders>
            <w:vAlign w:val="center"/>
            <w:hideMark/>
          </w:tcPr>
          <w:p w14:paraId="3FCF22B9" w14:textId="42C7B2D9"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c>
          <w:tcPr>
            <w:tcW w:w="547" w:type="pct"/>
            <w:tcBorders>
              <w:top w:val="single" w:sz="6" w:space="0" w:color="auto"/>
              <w:left w:val="single" w:sz="6" w:space="0" w:color="auto"/>
              <w:bottom w:val="single" w:sz="6" w:space="0" w:color="auto"/>
              <w:right w:val="single" w:sz="6" w:space="0" w:color="auto"/>
            </w:tcBorders>
            <w:vAlign w:val="center"/>
            <w:hideMark/>
          </w:tcPr>
          <w:p w14:paraId="0873E867" w14:textId="022506A7"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c>
          <w:tcPr>
            <w:tcW w:w="547" w:type="pct"/>
            <w:tcBorders>
              <w:top w:val="single" w:sz="6" w:space="0" w:color="auto"/>
              <w:left w:val="single" w:sz="6" w:space="0" w:color="auto"/>
              <w:bottom w:val="single" w:sz="6" w:space="0" w:color="auto"/>
              <w:right w:val="single" w:sz="6" w:space="0" w:color="auto"/>
            </w:tcBorders>
            <w:vAlign w:val="center"/>
            <w:hideMark/>
          </w:tcPr>
          <w:p w14:paraId="61A77F0C" w14:textId="617CE3A5"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c>
          <w:tcPr>
            <w:tcW w:w="547" w:type="pct"/>
            <w:tcBorders>
              <w:top w:val="single" w:sz="6" w:space="0" w:color="auto"/>
              <w:left w:val="single" w:sz="6" w:space="0" w:color="auto"/>
              <w:bottom w:val="single" w:sz="6" w:space="0" w:color="auto"/>
              <w:right w:val="single" w:sz="6" w:space="0" w:color="auto"/>
            </w:tcBorders>
            <w:vAlign w:val="center"/>
            <w:hideMark/>
          </w:tcPr>
          <w:p w14:paraId="71C1E212" w14:textId="0F362CE1"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c>
          <w:tcPr>
            <w:tcW w:w="547" w:type="pct"/>
            <w:tcBorders>
              <w:top w:val="single" w:sz="6" w:space="0" w:color="auto"/>
              <w:left w:val="single" w:sz="6" w:space="0" w:color="auto"/>
              <w:bottom w:val="single" w:sz="6" w:space="0" w:color="auto"/>
              <w:right w:val="single" w:sz="6" w:space="0" w:color="auto"/>
            </w:tcBorders>
            <w:vAlign w:val="center"/>
            <w:hideMark/>
          </w:tcPr>
          <w:p w14:paraId="360AD044" w14:textId="2C64687D"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c>
          <w:tcPr>
            <w:tcW w:w="547" w:type="pct"/>
            <w:tcBorders>
              <w:top w:val="single" w:sz="6" w:space="0" w:color="auto"/>
              <w:left w:val="single" w:sz="6" w:space="0" w:color="auto"/>
              <w:bottom w:val="single" w:sz="6" w:space="0" w:color="auto"/>
              <w:right w:val="single" w:sz="6" w:space="0" w:color="auto"/>
            </w:tcBorders>
            <w:vAlign w:val="center"/>
            <w:hideMark/>
          </w:tcPr>
          <w:p w14:paraId="57E480C4" w14:textId="23095875" w:rsidR="00901B91" w:rsidRPr="005750D2" w:rsidRDefault="00901B91" w:rsidP="009B7624">
            <w:pPr>
              <w:pStyle w:val="Normal2"/>
              <w:spacing w:before="40" w:after="40" w:line="240" w:lineRule="auto"/>
              <w:ind w:left="0"/>
              <w:jc w:val="center"/>
              <w:rPr>
                <w:rFonts w:ascii="Arial Narrow" w:hAnsi="Arial Narrow"/>
                <w:i/>
                <w:iCs/>
                <w:sz w:val="20"/>
                <w:szCs w:val="20"/>
              </w:rPr>
            </w:pPr>
            <w:r w:rsidRPr="005750D2">
              <w:rPr>
                <w:rFonts w:ascii="Arial Narrow" w:hAnsi="Arial Narrow"/>
                <w:i/>
                <w:iCs/>
                <w:sz w:val="20"/>
                <w:szCs w:val="20"/>
              </w:rPr>
              <w:t>2.41</w:t>
            </w:r>
          </w:p>
        </w:tc>
      </w:tr>
    </w:tbl>
    <w:p w14:paraId="5FDB0E5A" w14:textId="547B51DC" w:rsidR="007800BE" w:rsidRDefault="00901B91" w:rsidP="002A38E2">
      <w:pPr>
        <w:pStyle w:val="TableFigureFooter"/>
        <w:rPr>
          <w:i/>
        </w:rPr>
      </w:pPr>
      <w:r w:rsidRPr="005750D2">
        <w:t>ER</w:t>
      </w:r>
      <w:r>
        <w:t>T = enzyme replacement therapy; LSDP = Life Saving Drugs Program; NBS = newborn bloodspot screening. </w:t>
      </w:r>
      <w:r w:rsidR="00264741">
        <w:br/>
      </w:r>
      <w:r w:rsidR="00020534" w:rsidRPr="33B8537A">
        <w:rPr>
          <w:i/>
        </w:rPr>
        <w:t>Source: Rejoinder from the assessment group</w:t>
      </w:r>
    </w:p>
    <w:p w14:paraId="6BE4C87E" w14:textId="620CDA4F" w:rsidR="00020534" w:rsidRPr="005750D2" w:rsidRDefault="00020534" w:rsidP="00311E41">
      <w:pPr>
        <w:pStyle w:val="Caption"/>
        <w:keepLines/>
        <w:rPr>
          <w:i/>
          <w:iCs/>
        </w:rPr>
      </w:pPr>
      <w:r w:rsidRPr="005750D2">
        <w:rPr>
          <w:i/>
          <w:iCs/>
        </w:rPr>
        <w:lastRenderedPageBreak/>
        <w:t xml:space="preserve">Table </w:t>
      </w:r>
      <w:r w:rsidRPr="005750D2">
        <w:rPr>
          <w:i/>
          <w:iCs/>
        </w:rPr>
        <w:fldChar w:fldCharType="begin"/>
      </w:r>
      <w:r w:rsidRPr="005750D2">
        <w:rPr>
          <w:i/>
          <w:iCs/>
        </w:rPr>
        <w:instrText xml:space="preserve"> SEQ Table \* ARABIC </w:instrText>
      </w:r>
      <w:r w:rsidRPr="005750D2">
        <w:rPr>
          <w:i/>
          <w:iCs/>
        </w:rPr>
        <w:fldChar w:fldCharType="separate"/>
      </w:r>
      <w:r w:rsidR="009D183F">
        <w:rPr>
          <w:i/>
          <w:iCs/>
          <w:noProof/>
        </w:rPr>
        <w:t>23</w:t>
      </w:r>
      <w:r w:rsidRPr="005750D2">
        <w:rPr>
          <w:i/>
          <w:iCs/>
        </w:rPr>
        <w:fldChar w:fldCharType="end"/>
      </w:r>
      <w:r w:rsidR="009F54E1">
        <w:tab/>
      </w:r>
      <w:r w:rsidRPr="005750D2">
        <w:rPr>
          <w:i/>
          <w:iCs/>
        </w:rPr>
        <w:t xml:space="preserve">Additional ERT costs for MPS II cases associated with reduced criteria for LSDP access (supplementary </w:t>
      </w:r>
      <w:r w:rsidR="009F54E1">
        <w:rPr>
          <w:i/>
          <w:iCs/>
        </w:rPr>
        <w:t xml:space="preserve">financial </w:t>
      </w:r>
      <w:r w:rsidRPr="005750D2">
        <w:rPr>
          <w:i/>
          <w:iCs/>
        </w:rPr>
        <w:t>analysis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1187"/>
        <w:gridCol w:w="1187"/>
        <w:gridCol w:w="1188"/>
        <w:gridCol w:w="1188"/>
        <w:gridCol w:w="1188"/>
        <w:gridCol w:w="1186"/>
      </w:tblGrid>
      <w:tr w:rsidR="00190039" w:rsidRPr="00313FF2" w14:paraId="51AC1805" w14:textId="77777777" w:rsidTr="00BF720B">
        <w:trPr>
          <w:trHeight w:val="284"/>
          <w:tblHeader/>
        </w:trPr>
        <w:tc>
          <w:tcPr>
            <w:tcW w:w="1047" w:type="pct"/>
            <w:tcBorders>
              <w:top w:val="single" w:sz="6" w:space="0" w:color="auto"/>
              <w:left w:val="single" w:sz="6" w:space="0" w:color="auto"/>
              <w:bottom w:val="single" w:sz="6" w:space="0" w:color="auto"/>
              <w:right w:val="single" w:sz="6" w:space="0" w:color="auto"/>
            </w:tcBorders>
            <w:vAlign w:val="center"/>
            <w:hideMark/>
          </w:tcPr>
          <w:p w14:paraId="12E5E031" w14:textId="77777777"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b/>
                <w:bCs/>
                <w:i/>
                <w:iCs/>
                <w:sz w:val="20"/>
                <w:szCs w:val="20"/>
              </w:rPr>
              <w:t>Year</w:t>
            </w:r>
            <w:r w:rsidRPr="00313FF2">
              <w:rPr>
                <w:rFonts w:ascii="Arial Narrow" w:hAnsi="Arial Narrow"/>
                <w:i/>
                <w:iCs/>
                <w:sz w:val="20"/>
                <w:szCs w:val="20"/>
              </w:rPr>
              <w:t> </w:t>
            </w:r>
          </w:p>
        </w:tc>
        <w:tc>
          <w:tcPr>
            <w:tcW w:w="659" w:type="pct"/>
            <w:tcBorders>
              <w:top w:val="single" w:sz="6" w:space="0" w:color="auto"/>
              <w:left w:val="single" w:sz="6" w:space="0" w:color="auto"/>
              <w:bottom w:val="single" w:sz="6" w:space="0" w:color="auto"/>
              <w:right w:val="single" w:sz="6" w:space="0" w:color="auto"/>
            </w:tcBorders>
            <w:vAlign w:val="center"/>
            <w:hideMark/>
          </w:tcPr>
          <w:p w14:paraId="17D67DA3" w14:textId="5D104AC6"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2025−26</w:t>
            </w:r>
          </w:p>
        </w:tc>
        <w:tc>
          <w:tcPr>
            <w:tcW w:w="659" w:type="pct"/>
            <w:tcBorders>
              <w:top w:val="single" w:sz="6" w:space="0" w:color="auto"/>
              <w:left w:val="single" w:sz="6" w:space="0" w:color="auto"/>
              <w:bottom w:val="single" w:sz="6" w:space="0" w:color="auto"/>
              <w:right w:val="single" w:sz="6" w:space="0" w:color="auto"/>
            </w:tcBorders>
            <w:vAlign w:val="center"/>
            <w:hideMark/>
          </w:tcPr>
          <w:p w14:paraId="1A9E94C8" w14:textId="55116F69"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2026−27</w:t>
            </w:r>
          </w:p>
        </w:tc>
        <w:tc>
          <w:tcPr>
            <w:tcW w:w="659" w:type="pct"/>
            <w:tcBorders>
              <w:top w:val="single" w:sz="6" w:space="0" w:color="auto"/>
              <w:left w:val="single" w:sz="6" w:space="0" w:color="auto"/>
              <w:bottom w:val="single" w:sz="6" w:space="0" w:color="auto"/>
              <w:right w:val="single" w:sz="6" w:space="0" w:color="auto"/>
            </w:tcBorders>
            <w:vAlign w:val="center"/>
            <w:hideMark/>
          </w:tcPr>
          <w:p w14:paraId="50BE89D5" w14:textId="18EBF50D"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2027−28</w:t>
            </w:r>
          </w:p>
        </w:tc>
        <w:tc>
          <w:tcPr>
            <w:tcW w:w="659" w:type="pct"/>
            <w:tcBorders>
              <w:top w:val="single" w:sz="6" w:space="0" w:color="auto"/>
              <w:left w:val="single" w:sz="6" w:space="0" w:color="auto"/>
              <w:bottom w:val="single" w:sz="6" w:space="0" w:color="auto"/>
              <w:right w:val="single" w:sz="6" w:space="0" w:color="auto"/>
            </w:tcBorders>
            <w:vAlign w:val="center"/>
            <w:hideMark/>
          </w:tcPr>
          <w:p w14:paraId="38BA8DAA" w14:textId="2F24A866"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2028−29</w:t>
            </w:r>
          </w:p>
        </w:tc>
        <w:tc>
          <w:tcPr>
            <w:tcW w:w="659" w:type="pct"/>
            <w:tcBorders>
              <w:top w:val="single" w:sz="6" w:space="0" w:color="auto"/>
              <w:left w:val="single" w:sz="6" w:space="0" w:color="auto"/>
              <w:bottom w:val="single" w:sz="6" w:space="0" w:color="auto"/>
              <w:right w:val="single" w:sz="6" w:space="0" w:color="auto"/>
            </w:tcBorders>
            <w:vAlign w:val="center"/>
            <w:hideMark/>
          </w:tcPr>
          <w:p w14:paraId="67D99211" w14:textId="2C5D1F22"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2029−30</w:t>
            </w:r>
          </w:p>
        </w:tc>
        <w:tc>
          <w:tcPr>
            <w:tcW w:w="659" w:type="pct"/>
            <w:tcBorders>
              <w:top w:val="single" w:sz="6" w:space="0" w:color="auto"/>
              <w:left w:val="single" w:sz="6" w:space="0" w:color="auto"/>
              <w:bottom w:val="single" w:sz="6" w:space="0" w:color="auto"/>
              <w:right w:val="single" w:sz="6" w:space="0" w:color="auto"/>
            </w:tcBorders>
            <w:vAlign w:val="center"/>
            <w:hideMark/>
          </w:tcPr>
          <w:p w14:paraId="20C571D1" w14:textId="0B80192C"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b/>
                <w:bCs/>
                <w:i/>
                <w:iCs/>
                <w:sz w:val="20"/>
                <w:szCs w:val="20"/>
              </w:rPr>
              <w:t>2030−31</w:t>
            </w:r>
          </w:p>
        </w:tc>
      </w:tr>
      <w:tr w:rsidR="00190039" w:rsidRPr="00313FF2" w14:paraId="7CCF9209"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52226164" w14:textId="357679F9"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i/>
                <w:iCs/>
                <w:sz w:val="20"/>
                <w:szCs w:val="20"/>
              </w:rPr>
              <w:t xml:space="preserve">Additional cases, aged below 0 </w:t>
            </w:r>
            <w:r w:rsidR="00020534" w:rsidRPr="00313FF2">
              <w:rPr>
                <w:rFonts w:ascii="Arial Narrow" w:hAnsi="Arial Narrow"/>
                <w:i/>
                <w:iCs/>
                <w:sz w:val="20"/>
                <w:szCs w:val="20"/>
              </w:rPr>
              <w:t>–</w:t>
            </w:r>
            <w:r w:rsidRPr="00313FF2">
              <w:rPr>
                <w:rFonts w:ascii="Arial Narrow" w:hAnsi="Arial Narrow"/>
                <w:i/>
                <w:iCs/>
                <w:sz w:val="20"/>
                <w:szCs w:val="20"/>
              </w:rPr>
              <w:t xml:space="preserve"> 1 (cumulative) </w:t>
            </w:r>
          </w:p>
        </w:tc>
        <w:tc>
          <w:tcPr>
            <w:tcW w:w="659" w:type="pct"/>
            <w:tcBorders>
              <w:top w:val="single" w:sz="6" w:space="0" w:color="auto"/>
              <w:left w:val="single" w:sz="6" w:space="0" w:color="auto"/>
              <w:bottom w:val="single" w:sz="6" w:space="0" w:color="auto"/>
              <w:right w:val="single" w:sz="6" w:space="0" w:color="auto"/>
            </w:tcBorders>
            <w:vAlign w:val="center"/>
            <w:hideMark/>
          </w:tcPr>
          <w:p w14:paraId="0BFF108C" w14:textId="4C525AD7"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2.88</w:t>
            </w:r>
          </w:p>
        </w:tc>
        <w:tc>
          <w:tcPr>
            <w:tcW w:w="659" w:type="pct"/>
            <w:tcBorders>
              <w:top w:val="single" w:sz="6" w:space="0" w:color="auto"/>
              <w:left w:val="single" w:sz="6" w:space="0" w:color="auto"/>
              <w:bottom w:val="single" w:sz="6" w:space="0" w:color="auto"/>
              <w:right w:val="single" w:sz="6" w:space="0" w:color="auto"/>
            </w:tcBorders>
            <w:vAlign w:val="center"/>
            <w:hideMark/>
          </w:tcPr>
          <w:p w14:paraId="532A8ED2" w14:textId="0E73CA3E"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22B5DE77" w14:textId="0B2261BA"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36243C58" w14:textId="410BCEB3"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272BCFE4" w14:textId="7D05705B"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56D32216" w14:textId="54B45043"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5.74</w:t>
            </w:r>
          </w:p>
        </w:tc>
      </w:tr>
      <w:tr w:rsidR="00190039" w:rsidRPr="00313FF2" w14:paraId="57B8A25A"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422260A0" w14:textId="77777777"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i/>
                <w:iCs/>
                <w:sz w:val="20"/>
                <w:szCs w:val="20"/>
              </w:rPr>
              <w:t>Additional ERT costs (cases aged 0 – 1) </w:t>
            </w:r>
          </w:p>
        </w:tc>
        <w:tc>
          <w:tcPr>
            <w:tcW w:w="659" w:type="pct"/>
            <w:tcBorders>
              <w:top w:val="single" w:sz="6" w:space="0" w:color="auto"/>
              <w:left w:val="single" w:sz="6" w:space="0" w:color="auto"/>
              <w:bottom w:val="single" w:sz="6" w:space="0" w:color="auto"/>
              <w:right w:val="single" w:sz="6" w:space="0" w:color="auto"/>
            </w:tcBorders>
            <w:vAlign w:val="center"/>
            <w:hideMark/>
          </w:tcPr>
          <w:p w14:paraId="3BE1AF9E" w14:textId="54924519" w:rsidR="00901B91" w:rsidRPr="00011DA9" w:rsidRDefault="00901B91" w:rsidP="00311E41">
            <w:pPr>
              <w:pStyle w:val="Normal2"/>
              <w:keepNext/>
              <w:keepLines/>
              <w:spacing w:before="40" w:after="40" w:line="240" w:lineRule="auto"/>
              <w:ind w:left="0"/>
              <w:jc w:val="center"/>
              <w:rPr>
                <w:rFonts w:ascii="Arial Narrow" w:hAnsi="Arial Narrow"/>
                <w:i/>
                <w:iCs/>
                <w:sz w:val="20"/>
                <w:szCs w:val="20"/>
              </w:rPr>
            </w:pPr>
            <w:r w:rsidRPr="00011DA9">
              <w:rPr>
                <w:rFonts w:ascii="Arial Narrow" w:hAnsi="Arial Narrow"/>
                <w:i/>
                <w:iCs/>
                <w:sz w:val="20"/>
                <w:szCs w:val="20"/>
              </w:rPr>
              <w:t>$</w:t>
            </w:r>
            <w:r w:rsidR="000A2810" w:rsidRPr="00011DA9">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5C1B23E7" w14:textId="0A71A907"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183D3727" w14:textId="456E15F5"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7F798BA9" w14:textId="2B4D3C7C"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74EFD0F2" w14:textId="6673E3F1"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2F2FCC2D" w14:textId="06FC719E"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r>
      <w:tr w:rsidR="00190039" w:rsidRPr="00313FF2" w14:paraId="504319C3"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613945E3" w14:textId="22A8E92B"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i/>
                <w:iCs/>
                <w:sz w:val="20"/>
                <w:szCs w:val="20"/>
              </w:rPr>
              <w:t xml:space="preserve">Additional cases, aged 2 </w:t>
            </w:r>
            <w:r w:rsidR="00020534" w:rsidRPr="00313FF2">
              <w:rPr>
                <w:rFonts w:ascii="Arial Narrow" w:hAnsi="Arial Narrow"/>
                <w:i/>
                <w:iCs/>
                <w:sz w:val="20"/>
                <w:szCs w:val="20"/>
              </w:rPr>
              <w:t>–</w:t>
            </w:r>
            <w:r w:rsidRPr="00313FF2">
              <w:rPr>
                <w:rFonts w:ascii="Arial Narrow" w:hAnsi="Arial Narrow"/>
                <w:i/>
                <w:iCs/>
                <w:sz w:val="20"/>
                <w:szCs w:val="20"/>
              </w:rPr>
              <w:t xml:space="preserve"> 3 or very attenuated 3+ (cumulative) </w:t>
            </w:r>
          </w:p>
        </w:tc>
        <w:tc>
          <w:tcPr>
            <w:tcW w:w="659" w:type="pct"/>
            <w:tcBorders>
              <w:top w:val="single" w:sz="6" w:space="0" w:color="auto"/>
              <w:left w:val="single" w:sz="6" w:space="0" w:color="auto"/>
              <w:bottom w:val="single" w:sz="6" w:space="0" w:color="auto"/>
              <w:right w:val="single" w:sz="6" w:space="0" w:color="auto"/>
            </w:tcBorders>
            <w:vAlign w:val="center"/>
            <w:hideMark/>
          </w:tcPr>
          <w:p w14:paraId="6D3B0495" w14:textId="0F8E6A23"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0</w:t>
            </w:r>
          </w:p>
        </w:tc>
        <w:tc>
          <w:tcPr>
            <w:tcW w:w="659" w:type="pct"/>
            <w:tcBorders>
              <w:top w:val="single" w:sz="6" w:space="0" w:color="auto"/>
              <w:left w:val="single" w:sz="6" w:space="0" w:color="auto"/>
              <w:bottom w:val="single" w:sz="6" w:space="0" w:color="auto"/>
              <w:right w:val="single" w:sz="6" w:space="0" w:color="auto"/>
            </w:tcBorders>
            <w:vAlign w:val="center"/>
            <w:hideMark/>
          </w:tcPr>
          <w:p w14:paraId="0C2BB048" w14:textId="658A6E92"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0</w:t>
            </w:r>
          </w:p>
        </w:tc>
        <w:tc>
          <w:tcPr>
            <w:tcW w:w="659" w:type="pct"/>
            <w:tcBorders>
              <w:top w:val="single" w:sz="6" w:space="0" w:color="auto"/>
              <w:left w:val="single" w:sz="6" w:space="0" w:color="auto"/>
              <w:bottom w:val="single" w:sz="6" w:space="0" w:color="auto"/>
              <w:right w:val="single" w:sz="6" w:space="0" w:color="auto"/>
            </w:tcBorders>
            <w:vAlign w:val="center"/>
            <w:hideMark/>
          </w:tcPr>
          <w:p w14:paraId="03168038" w14:textId="0AC0B72D"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2.88</w:t>
            </w:r>
          </w:p>
        </w:tc>
        <w:tc>
          <w:tcPr>
            <w:tcW w:w="659" w:type="pct"/>
            <w:tcBorders>
              <w:top w:val="single" w:sz="6" w:space="0" w:color="auto"/>
              <w:left w:val="single" w:sz="6" w:space="0" w:color="auto"/>
              <w:bottom w:val="single" w:sz="6" w:space="0" w:color="auto"/>
              <w:right w:val="single" w:sz="6" w:space="0" w:color="auto"/>
            </w:tcBorders>
            <w:vAlign w:val="center"/>
            <w:hideMark/>
          </w:tcPr>
          <w:p w14:paraId="11419174" w14:textId="1E3FEE8D"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1B75CFF5" w14:textId="15AF495A"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8.16</w:t>
            </w:r>
          </w:p>
        </w:tc>
        <w:tc>
          <w:tcPr>
            <w:tcW w:w="659" w:type="pct"/>
            <w:tcBorders>
              <w:top w:val="single" w:sz="6" w:space="0" w:color="auto"/>
              <w:left w:val="single" w:sz="6" w:space="0" w:color="auto"/>
              <w:bottom w:val="single" w:sz="6" w:space="0" w:color="auto"/>
              <w:right w:val="single" w:sz="6" w:space="0" w:color="auto"/>
            </w:tcBorders>
            <w:vAlign w:val="center"/>
            <w:hideMark/>
          </w:tcPr>
          <w:p w14:paraId="11B7B90E" w14:textId="009DC908"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10.57</w:t>
            </w:r>
          </w:p>
        </w:tc>
      </w:tr>
      <w:tr w:rsidR="00190039" w:rsidRPr="00313FF2" w14:paraId="21F9C226"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39403936" w14:textId="0D90CB71"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i/>
                <w:iCs/>
                <w:sz w:val="20"/>
                <w:szCs w:val="20"/>
              </w:rPr>
              <w:t xml:space="preserve">Additional ERT costs (cases, aged 2 </w:t>
            </w:r>
            <w:r w:rsidR="00020534" w:rsidRPr="00313FF2">
              <w:rPr>
                <w:rFonts w:ascii="Arial Narrow" w:hAnsi="Arial Narrow"/>
                <w:i/>
                <w:iCs/>
                <w:sz w:val="20"/>
                <w:szCs w:val="20"/>
              </w:rPr>
              <w:t>–</w:t>
            </w:r>
            <w:r w:rsidRPr="00313FF2">
              <w:rPr>
                <w:rFonts w:ascii="Arial Narrow" w:hAnsi="Arial Narrow"/>
                <w:i/>
                <w:iCs/>
                <w:sz w:val="20"/>
                <w:szCs w:val="20"/>
              </w:rPr>
              <w:t xml:space="preserve"> 3 or very attenuated aged 3 – 7) </w:t>
            </w:r>
          </w:p>
        </w:tc>
        <w:tc>
          <w:tcPr>
            <w:tcW w:w="659" w:type="pct"/>
            <w:tcBorders>
              <w:top w:val="single" w:sz="6" w:space="0" w:color="auto"/>
              <w:left w:val="single" w:sz="6" w:space="0" w:color="auto"/>
              <w:bottom w:val="single" w:sz="6" w:space="0" w:color="auto"/>
              <w:right w:val="single" w:sz="6" w:space="0" w:color="auto"/>
            </w:tcBorders>
            <w:vAlign w:val="center"/>
            <w:hideMark/>
          </w:tcPr>
          <w:p w14:paraId="6FDFB19E" w14:textId="1D9F5E71"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73ADF4E7" w14:textId="05F6D6B1"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73994185" w14:textId="6996FC45"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5973720B" w14:textId="6058D734"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3CEAEB09" w14:textId="4B44D48F"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1B478659" w14:textId="2A9B56A8" w:rsidR="00901B91" w:rsidRPr="00313FF2" w:rsidRDefault="000A2810" w:rsidP="00311E41">
            <w:pPr>
              <w:pStyle w:val="Normal2"/>
              <w:keepNext/>
              <w:keepLines/>
              <w:spacing w:before="40" w:after="40" w:line="240" w:lineRule="auto"/>
              <w:ind w:left="0"/>
              <w:jc w:val="center"/>
              <w:rPr>
                <w:rFonts w:ascii="Arial Narrow" w:hAnsi="Arial Narrow"/>
                <w:i/>
                <w:iCs/>
                <w:sz w:val="20"/>
                <w:szCs w:val="20"/>
                <w:highlight w:val="yellow"/>
              </w:rPr>
            </w:pPr>
            <w:r w:rsidRPr="008D12FB">
              <w:rPr>
                <w:rFonts w:ascii="Arial Narrow" w:hAnsi="Arial Narrow"/>
                <w:i/>
                <w:iCs/>
                <w:sz w:val="20"/>
                <w:szCs w:val="20"/>
              </w:rPr>
              <w:t>$</w:t>
            </w:r>
            <w:r w:rsidRPr="008D12FB">
              <w:rPr>
                <w:rFonts w:ascii="Arial Narrow" w:hAnsi="Arial Narrow"/>
                <w:b/>
                <w:bCs/>
                <w:i/>
                <w:iCs/>
                <w:sz w:val="20"/>
                <w:szCs w:val="20"/>
              </w:rPr>
              <w:t>Redacted</w:t>
            </w:r>
          </w:p>
        </w:tc>
      </w:tr>
      <w:tr w:rsidR="00190039" w:rsidRPr="00313FF2" w14:paraId="267A9473"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059A0007" w14:textId="77777777"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b/>
                <w:bCs/>
                <w:i/>
                <w:iCs/>
                <w:sz w:val="20"/>
                <w:szCs w:val="20"/>
              </w:rPr>
              <w:t>Total additional non-symptomatic cases with ERT access (cumulative)</w:t>
            </w:r>
            <w:r w:rsidRPr="00313FF2">
              <w:rPr>
                <w:rFonts w:ascii="Arial Narrow" w:hAnsi="Arial Narrow"/>
                <w:i/>
                <w:iCs/>
                <w:sz w:val="20"/>
                <w:szCs w:val="20"/>
              </w:rPr>
              <w:t> </w:t>
            </w:r>
          </w:p>
        </w:tc>
        <w:tc>
          <w:tcPr>
            <w:tcW w:w="659" w:type="pct"/>
            <w:tcBorders>
              <w:top w:val="single" w:sz="6" w:space="0" w:color="auto"/>
              <w:left w:val="single" w:sz="6" w:space="0" w:color="auto"/>
              <w:bottom w:val="single" w:sz="6" w:space="0" w:color="auto"/>
              <w:right w:val="single" w:sz="6" w:space="0" w:color="auto"/>
            </w:tcBorders>
            <w:vAlign w:val="center"/>
            <w:hideMark/>
          </w:tcPr>
          <w:p w14:paraId="7FFFC64F" w14:textId="3CEC60F2"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2.88</w:t>
            </w:r>
          </w:p>
        </w:tc>
        <w:tc>
          <w:tcPr>
            <w:tcW w:w="659" w:type="pct"/>
            <w:tcBorders>
              <w:top w:val="single" w:sz="6" w:space="0" w:color="auto"/>
              <w:left w:val="single" w:sz="6" w:space="0" w:color="auto"/>
              <w:bottom w:val="single" w:sz="6" w:space="0" w:color="auto"/>
              <w:right w:val="single" w:sz="6" w:space="0" w:color="auto"/>
            </w:tcBorders>
            <w:vAlign w:val="center"/>
            <w:hideMark/>
          </w:tcPr>
          <w:p w14:paraId="1267C6A1" w14:textId="3D1A5A0E"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5.75</w:t>
            </w:r>
          </w:p>
        </w:tc>
        <w:tc>
          <w:tcPr>
            <w:tcW w:w="659" w:type="pct"/>
            <w:tcBorders>
              <w:top w:val="single" w:sz="6" w:space="0" w:color="auto"/>
              <w:left w:val="single" w:sz="6" w:space="0" w:color="auto"/>
              <w:bottom w:val="single" w:sz="6" w:space="0" w:color="auto"/>
              <w:right w:val="single" w:sz="6" w:space="0" w:color="auto"/>
            </w:tcBorders>
            <w:vAlign w:val="center"/>
            <w:hideMark/>
          </w:tcPr>
          <w:p w14:paraId="323BC0C4" w14:textId="3BA44A28"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8.62</w:t>
            </w:r>
          </w:p>
        </w:tc>
        <w:tc>
          <w:tcPr>
            <w:tcW w:w="659" w:type="pct"/>
            <w:tcBorders>
              <w:top w:val="single" w:sz="6" w:space="0" w:color="auto"/>
              <w:left w:val="single" w:sz="6" w:space="0" w:color="auto"/>
              <w:bottom w:val="single" w:sz="6" w:space="0" w:color="auto"/>
              <w:right w:val="single" w:sz="6" w:space="0" w:color="auto"/>
            </w:tcBorders>
            <w:vAlign w:val="center"/>
            <w:hideMark/>
          </w:tcPr>
          <w:p w14:paraId="395EF479" w14:textId="136CABA0"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11.50</w:t>
            </w:r>
          </w:p>
        </w:tc>
        <w:tc>
          <w:tcPr>
            <w:tcW w:w="659" w:type="pct"/>
            <w:tcBorders>
              <w:top w:val="single" w:sz="6" w:space="0" w:color="auto"/>
              <w:left w:val="single" w:sz="6" w:space="0" w:color="auto"/>
              <w:bottom w:val="single" w:sz="6" w:space="0" w:color="auto"/>
              <w:right w:val="single" w:sz="6" w:space="0" w:color="auto"/>
            </w:tcBorders>
            <w:vAlign w:val="center"/>
            <w:hideMark/>
          </w:tcPr>
          <w:p w14:paraId="0AD5948F" w14:textId="782EE7B1"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13.90</w:t>
            </w:r>
          </w:p>
        </w:tc>
        <w:tc>
          <w:tcPr>
            <w:tcW w:w="659" w:type="pct"/>
            <w:tcBorders>
              <w:top w:val="single" w:sz="6" w:space="0" w:color="auto"/>
              <w:left w:val="single" w:sz="6" w:space="0" w:color="auto"/>
              <w:bottom w:val="single" w:sz="6" w:space="0" w:color="auto"/>
              <w:right w:val="single" w:sz="6" w:space="0" w:color="auto"/>
            </w:tcBorders>
            <w:vAlign w:val="center"/>
            <w:hideMark/>
          </w:tcPr>
          <w:p w14:paraId="3EB0FA2E" w14:textId="2CF4D13B" w:rsidR="00901B91" w:rsidRPr="00313FF2" w:rsidRDefault="00901B91" w:rsidP="00311E41">
            <w:pPr>
              <w:pStyle w:val="Normal2"/>
              <w:keepNext/>
              <w:keepLines/>
              <w:spacing w:before="40" w:after="40" w:line="240" w:lineRule="auto"/>
              <w:ind w:left="0"/>
              <w:jc w:val="center"/>
              <w:rPr>
                <w:rFonts w:ascii="Arial Narrow" w:hAnsi="Arial Narrow"/>
                <w:i/>
                <w:iCs/>
                <w:sz w:val="20"/>
                <w:szCs w:val="20"/>
              </w:rPr>
            </w:pPr>
            <w:r w:rsidRPr="00313FF2">
              <w:rPr>
                <w:rFonts w:ascii="Arial Narrow" w:hAnsi="Arial Narrow"/>
                <w:i/>
                <w:iCs/>
                <w:sz w:val="20"/>
                <w:szCs w:val="20"/>
              </w:rPr>
              <w:t>16.31</w:t>
            </w:r>
          </w:p>
        </w:tc>
      </w:tr>
      <w:tr w:rsidR="00190039" w:rsidRPr="00313FF2" w14:paraId="51FA5296" w14:textId="77777777" w:rsidTr="00BF720B">
        <w:trPr>
          <w:trHeight w:val="284"/>
        </w:trPr>
        <w:tc>
          <w:tcPr>
            <w:tcW w:w="1047" w:type="pct"/>
            <w:tcBorders>
              <w:top w:val="single" w:sz="6" w:space="0" w:color="auto"/>
              <w:left w:val="single" w:sz="6" w:space="0" w:color="auto"/>
              <w:bottom w:val="single" w:sz="6" w:space="0" w:color="auto"/>
              <w:right w:val="single" w:sz="6" w:space="0" w:color="auto"/>
            </w:tcBorders>
            <w:vAlign w:val="center"/>
            <w:hideMark/>
          </w:tcPr>
          <w:p w14:paraId="479DBC2B" w14:textId="77777777" w:rsidR="00901B91" w:rsidRPr="00313FF2" w:rsidRDefault="00901B91" w:rsidP="00311E41">
            <w:pPr>
              <w:pStyle w:val="Normal2"/>
              <w:keepNext/>
              <w:keepLines/>
              <w:spacing w:before="40" w:after="40" w:line="240" w:lineRule="auto"/>
              <w:ind w:left="0"/>
              <w:rPr>
                <w:rFonts w:ascii="Arial Narrow" w:hAnsi="Arial Narrow"/>
                <w:i/>
                <w:iCs/>
                <w:sz w:val="20"/>
                <w:szCs w:val="20"/>
              </w:rPr>
            </w:pPr>
            <w:r w:rsidRPr="00313FF2">
              <w:rPr>
                <w:rFonts w:ascii="Arial Narrow" w:hAnsi="Arial Narrow"/>
                <w:b/>
                <w:bCs/>
                <w:i/>
                <w:iCs/>
                <w:sz w:val="20"/>
                <w:szCs w:val="20"/>
              </w:rPr>
              <w:t>Total Additional Costs</w:t>
            </w:r>
            <w:r w:rsidRPr="00313FF2">
              <w:rPr>
                <w:rFonts w:ascii="Arial Narrow" w:hAnsi="Arial Narrow"/>
                <w:i/>
                <w:iCs/>
                <w:sz w:val="20"/>
                <w:szCs w:val="20"/>
              </w:rPr>
              <w:t> </w:t>
            </w:r>
          </w:p>
        </w:tc>
        <w:tc>
          <w:tcPr>
            <w:tcW w:w="659" w:type="pct"/>
            <w:tcBorders>
              <w:top w:val="single" w:sz="6" w:space="0" w:color="auto"/>
              <w:left w:val="single" w:sz="6" w:space="0" w:color="auto"/>
              <w:bottom w:val="single" w:sz="6" w:space="0" w:color="auto"/>
              <w:right w:val="single" w:sz="6" w:space="0" w:color="auto"/>
            </w:tcBorders>
            <w:vAlign w:val="center"/>
            <w:hideMark/>
          </w:tcPr>
          <w:p w14:paraId="0948A6E6" w14:textId="2458234E"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433780E6" w14:textId="644F2A9F"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4358CC00" w14:textId="4C22F3F2"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4096EAAD" w14:textId="73F5711D"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78B5BE0B" w14:textId="2A015C73"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c>
          <w:tcPr>
            <w:tcW w:w="659" w:type="pct"/>
            <w:tcBorders>
              <w:top w:val="single" w:sz="6" w:space="0" w:color="auto"/>
              <w:left w:val="single" w:sz="6" w:space="0" w:color="auto"/>
              <w:bottom w:val="single" w:sz="6" w:space="0" w:color="auto"/>
              <w:right w:val="single" w:sz="6" w:space="0" w:color="auto"/>
            </w:tcBorders>
            <w:vAlign w:val="center"/>
            <w:hideMark/>
          </w:tcPr>
          <w:p w14:paraId="6F48ABF9" w14:textId="11446572" w:rsidR="00901B91" w:rsidRPr="00011DA9" w:rsidRDefault="000A2810" w:rsidP="00311E41">
            <w:pPr>
              <w:pStyle w:val="Normal2"/>
              <w:keepNext/>
              <w:keepLines/>
              <w:spacing w:before="40" w:after="40" w:line="240" w:lineRule="auto"/>
              <w:ind w:left="0"/>
              <w:jc w:val="center"/>
              <w:rPr>
                <w:rFonts w:ascii="Arial Narrow" w:hAnsi="Arial Narrow"/>
                <w:b/>
                <w:bCs/>
                <w:i/>
                <w:iCs/>
                <w:sz w:val="20"/>
                <w:szCs w:val="20"/>
                <w:highlight w:val="yellow"/>
              </w:rPr>
            </w:pPr>
            <w:r w:rsidRPr="00011DA9">
              <w:rPr>
                <w:rFonts w:ascii="Arial Narrow" w:hAnsi="Arial Narrow"/>
                <w:b/>
                <w:bCs/>
                <w:i/>
                <w:iCs/>
                <w:sz w:val="20"/>
                <w:szCs w:val="20"/>
              </w:rPr>
              <w:t>$</w:t>
            </w:r>
            <w:r w:rsidRPr="000A2810">
              <w:rPr>
                <w:rFonts w:ascii="Arial Narrow" w:hAnsi="Arial Narrow"/>
                <w:b/>
                <w:bCs/>
                <w:i/>
                <w:iCs/>
                <w:sz w:val="20"/>
                <w:szCs w:val="20"/>
              </w:rPr>
              <w:t>Redacted</w:t>
            </w:r>
          </w:p>
        </w:tc>
      </w:tr>
    </w:tbl>
    <w:p w14:paraId="4CBEAADA" w14:textId="370DE357" w:rsidR="00901B91" w:rsidRDefault="00901B91" w:rsidP="00311E41">
      <w:pPr>
        <w:pStyle w:val="TableFigureFooter"/>
        <w:keepNext/>
        <w:keepLines/>
        <w:rPr>
          <w:i/>
          <w:szCs w:val="18"/>
        </w:rPr>
      </w:pPr>
      <w:r w:rsidRPr="005750D2">
        <w:t>ERT = enzyme replacement therapy; LSDP = Life Saving Drugs Program; MPS II = mucopolysaccharidosis Type II </w:t>
      </w:r>
      <w:r w:rsidR="007A4D1F">
        <w:rPr>
          <w:i/>
          <w:iCs/>
          <w:szCs w:val="18"/>
        </w:rPr>
        <w:br/>
      </w:r>
      <w:r w:rsidR="00020534" w:rsidRPr="005750D2">
        <w:rPr>
          <w:i/>
          <w:iCs/>
          <w:szCs w:val="18"/>
        </w:rPr>
        <w:t>Source: Rejoinder from the assessment group</w:t>
      </w:r>
    </w:p>
    <w:p w14:paraId="097325FE" w14:textId="4F1F794D" w:rsidR="00B17F3E" w:rsidRPr="00F01630" w:rsidRDefault="00B17F3E" w:rsidP="00F01630">
      <w:pPr>
        <w:pStyle w:val="Caption"/>
        <w:rPr>
          <w:i/>
        </w:rPr>
      </w:pPr>
      <w:bookmarkStart w:id="63" w:name="_Ref197509559"/>
      <w:r w:rsidRPr="00F01630">
        <w:rPr>
          <w:i/>
        </w:rPr>
        <w:t xml:space="preserve">Table </w:t>
      </w:r>
      <w:r w:rsidRPr="00F01630">
        <w:rPr>
          <w:i/>
        </w:rPr>
        <w:fldChar w:fldCharType="begin"/>
      </w:r>
      <w:r w:rsidRPr="00F01630">
        <w:rPr>
          <w:i/>
        </w:rPr>
        <w:instrText xml:space="preserve"> SEQ Table \* ARABIC </w:instrText>
      </w:r>
      <w:r w:rsidRPr="00F01630">
        <w:rPr>
          <w:i/>
        </w:rPr>
        <w:fldChar w:fldCharType="separate"/>
      </w:r>
      <w:r w:rsidR="009D183F">
        <w:rPr>
          <w:i/>
          <w:noProof/>
        </w:rPr>
        <w:t>24</w:t>
      </w:r>
      <w:r w:rsidRPr="00F01630">
        <w:rPr>
          <w:i/>
        </w:rPr>
        <w:fldChar w:fldCharType="end"/>
      </w:r>
      <w:bookmarkEnd w:id="63"/>
      <w:r w:rsidRPr="00F01630">
        <w:rPr>
          <w:i/>
        </w:rPr>
        <w:t>: Total ERT costs incorporating base case estimates and additional ERT use estimated in analyses 1 and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7"/>
        <w:gridCol w:w="1189"/>
        <w:gridCol w:w="1189"/>
        <w:gridCol w:w="1189"/>
        <w:gridCol w:w="1189"/>
        <w:gridCol w:w="1189"/>
        <w:gridCol w:w="1188"/>
      </w:tblGrid>
      <w:tr w:rsidR="0013093D" w:rsidRPr="000765DF" w14:paraId="69F1B7BF" w14:textId="77777777" w:rsidTr="33B8537A">
        <w:trPr>
          <w:trHeight w:val="300"/>
          <w:tblHeader/>
        </w:trPr>
        <w:tc>
          <w:tcPr>
            <w:tcW w:w="1041" w:type="pct"/>
            <w:tcBorders>
              <w:top w:val="single" w:sz="6" w:space="0" w:color="auto"/>
              <w:left w:val="single" w:sz="6" w:space="0" w:color="auto"/>
              <w:bottom w:val="single" w:sz="6" w:space="0" w:color="auto"/>
              <w:right w:val="single" w:sz="6" w:space="0" w:color="auto"/>
            </w:tcBorders>
            <w:vAlign w:val="center"/>
            <w:hideMark/>
          </w:tcPr>
          <w:p w14:paraId="1D8B9072" w14:textId="77777777" w:rsidR="000A76E5" w:rsidRPr="00F01630" w:rsidRDefault="000A76E5" w:rsidP="00F01630">
            <w:pPr>
              <w:pStyle w:val="Normal2"/>
              <w:spacing w:before="40" w:after="40" w:line="240" w:lineRule="auto"/>
              <w:ind w:left="0"/>
              <w:rPr>
                <w:rFonts w:ascii="Arial Narrow" w:hAnsi="Arial Narrow"/>
                <w:b/>
                <w:i/>
                <w:sz w:val="20"/>
                <w:szCs w:val="20"/>
              </w:rPr>
            </w:pPr>
            <w:r w:rsidRPr="00F01630">
              <w:rPr>
                <w:rFonts w:ascii="Arial Narrow" w:hAnsi="Arial Narrow"/>
                <w:b/>
                <w:i/>
                <w:sz w:val="20"/>
                <w:szCs w:val="20"/>
              </w:rPr>
              <w:t>Year </w:t>
            </w:r>
          </w:p>
        </w:tc>
        <w:tc>
          <w:tcPr>
            <w:tcW w:w="660" w:type="pct"/>
            <w:tcBorders>
              <w:top w:val="single" w:sz="6" w:space="0" w:color="auto"/>
              <w:left w:val="single" w:sz="6" w:space="0" w:color="auto"/>
              <w:bottom w:val="single" w:sz="6" w:space="0" w:color="auto"/>
              <w:right w:val="single" w:sz="6" w:space="0" w:color="auto"/>
            </w:tcBorders>
            <w:hideMark/>
          </w:tcPr>
          <w:p w14:paraId="0E31197E" w14:textId="77777777"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2025−26 </w:t>
            </w:r>
          </w:p>
        </w:tc>
        <w:tc>
          <w:tcPr>
            <w:tcW w:w="660" w:type="pct"/>
            <w:tcBorders>
              <w:top w:val="single" w:sz="6" w:space="0" w:color="auto"/>
              <w:left w:val="single" w:sz="6" w:space="0" w:color="auto"/>
              <w:bottom w:val="single" w:sz="6" w:space="0" w:color="auto"/>
              <w:right w:val="single" w:sz="6" w:space="0" w:color="auto"/>
            </w:tcBorders>
            <w:hideMark/>
          </w:tcPr>
          <w:p w14:paraId="0CABB378" w14:textId="77777777"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2026−27 </w:t>
            </w:r>
          </w:p>
        </w:tc>
        <w:tc>
          <w:tcPr>
            <w:tcW w:w="660" w:type="pct"/>
            <w:tcBorders>
              <w:top w:val="single" w:sz="6" w:space="0" w:color="auto"/>
              <w:left w:val="single" w:sz="6" w:space="0" w:color="auto"/>
              <w:bottom w:val="single" w:sz="6" w:space="0" w:color="auto"/>
              <w:right w:val="single" w:sz="6" w:space="0" w:color="auto"/>
            </w:tcBorders>
            <w:hideMark/>
          </w:tcPr>
          <w:p w14:paraId="3210BB04" w14:textId="77777777"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2027−28 </w:t>
            </w:r>
          </w:p>
        </w:tc>
        <w:tc>
          <w:tcPr>
            <w:tcW w:w="660" w:type="pct"/>
            <w:tcBorders>
              <w:top w:val="single" w:sz="6" w:space="0" w:color="auto"/>
              <w:left w:val="single" w:sz="6" w:space="0" w:color="auto"/>
              <w:bottom w:val="single" w:sz="6" w:space="0" w:color="auto"/>
              <w:right w:val="single" w:sz="6" w:space="0" w:color="auto"/>
            </w:tcBorders>
            <w:hideMark/>
          </w:tcPr>
          <w:p w14:paraId="46E359AD" w14:textId="77777777"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2028−29 </w:t>
            </w:r>
          </w:p>
        </w:tc>
        <w:tc>
          <w:tcPr>
            <w:tcW w:w="660" w:type="pct"/>
            <w:tcBorders>
              <w:top w:val="single" w:sz="6" w:space="0" w:color="auto"/>
              <w:left w:val="single" w:sz="6" w:space="0" w:color="auto"/>
              <w:bottom w:val="single" w:sz="6" w:space="0" w:color="auto"/>
              <w:right w:val="single" w:sz="6" w:space="0" w:color="auto"/>
            </w:tcBorders>
            <w:hideMark/>
          </w:tcPr>
          <w:p w14:paraId="1AF417CB" w14:textId="77777777"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2029−30 </w:t>
            </w:r>
          </w:p>
        </w:tc>
        <w:tc>
          <w:tcPr>
            <w:tcW w:w="660" w:type="pct"/>
            <w:tcBorders>
              <w:top w:val="single" w:sz="6" w:space="0" w:color="auto"/>
              <w:left w:val="single" w:sz="6" w:space="0" w:color="auto"/>
              <w:bottom w:val="single" w:sz="6" w:space="0" w:color="auto"/>
              <w:right w:val="single" w:sz="6" w:space="0" w:color="auto"/>
            </w:tcBorders>
            <w:hideMark/>
          </w:tcPr>
          <w:p w14:paraId="21418756" w14:textId="55DE8FEF" w:rsidR="000A76E5" w:rsidRPr="00F01630" w:rsidRDefault="000A76E5" w:rsidP="00F01630">
            <w:pPr>
              <w:pStyle w:val="Normal2"/>
              <w:spacing w:before="40" w:after="40" w:line="240" w:lineRule="auto"/>
              <w:ind w:left="0"/>
              <w:jc w:val="center"/>
              <w:rPr>
                <w:rFonts w:ascii="Arial Narrow" w:hAnsi="Arial Narrow"/>
                <w:b/>
                <w:i/>
                <w:sz w:val="20"/>
                <w:szCs w:val="20"/>
              </w:rPr>
            </w:pPr>
            <w:r w:rsidRPr="00F01630">
              <w:rPr>
                <w:rFonts w:ascii="Arial Narrow" w:hAnsi="Arial Narrow"/>
                <w:b/>
                <w:i/>
                <w:sz w:val="20"/>
                <w:szCs w:val="20"/>
              </w:rPr>
              <w:t>2030−31</w:t>
            </w:r>
          </w:p>
        </w:tc>
      </w:tr>
      <w:tr w:rsidR="0013093D" w:rsidRPr="000A76E5" w14:paraId="3382E49D" w14:textId="77777777" w:rsidTr="00BF720B">
        <w:trPr>
          <w:trHeight w:val="283"/>
        </w:trPr>
        <w:tc>
          <w:tcPr>
            <w:tcW w:w="1041" w:type="pct"/>
            <w:tcBorders>
              <w:top w:val="single" w:sz="6" w:space="0" w:color="auto"/>
              <w:left w:val="single" w:sz="6" w:space="0" w:color="auto"/>
              <w:bottom w:val="single" w:sz="6" w:space="0" w:color="auto"/>
              <w:right w:val="single" w:sz="6" w:space="0" w:color="auto"/>
            </w:tcBorders>
            <w:vAlign w:val="center"/>
            <w:hideMark/>
          </w:tcPr>
          <w:p w14:paraId="7922FB7E" w14:textId="77777777" w:rsidR="000A76E5" w:rsidRPr="00F01630" w:rsidRDefault="000A76E5" w:rsidP="00F01630">
            <w:pPr>
              <w:pStyle w:val="Normal2"/>
              <w:spacing w:before="40" w:after="40" w:line="240" w:lineRule="auto"/>
              <w:ind w:left="0"/>
              <w:rPr>
                <w:rFonts w:ascii="Arial Narrow" w:hAnsi="Arial Narrow"/>
                <w:i/>
                <w:sz w:val="20"/>
                <w:szCs w:val="20"/>
              </w:rPr>
            </w:pPr>
            <w:r w:rsidRPr="00F01630">
              <w:rPr>
                <w:rFonts w:ascii="Arial Narrow" w:hAnsi="Arial Narrow"/>
                <w:i/>
                <w:sz w:val="20"/>
                <w:szCs w:val="20"/>
              </w:rPr>
              <w:t>Analysis 1: Additional cases using ERT </w:t>
            </w:r>
          </w:p>
        </w:tc>
        <w:tc>
          <w:tcPr>
            <w:tcW w:w="660" w:type="pct"/>
            <w:tcBorders>
              <w:top w:val="single" w:sz="6" w:space="0" w:color="auto"/>
              <w:left w:val="single" w:sz="6" w:space="0" w:color="auto"/>
              <w:bottom w:val="single" w:sz="6" w:space="0" w:color="auto"/>
              <w:right w:val="single" w:sz="6" w:space="0" w:color="auto"/>
            </w:tcBorders>
            <w:vAlign w:val="center"/>
            <w:hideMark/>
          </w:tcPr>
          <w:p w14:paraId="4E16FA32"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1.88 </w:t>
            </w:r>
          </w:p>
        </w:tc>
        <w:tc>
          <w:tcPr>
            <w:tcW w:w="660" w:type="pct"/>
            <w:tcBorders>
              <w:top w:val="single" w:sz="6" w:space="0" w:color="auto"/>
              <w:left w:val="single" w:sz="6" w:space="0" w:color="auto"/>
              <w:bottom w:val="single" w:sz="6" w:space="0" w:color="auto"/>
              <w:right w:val="single" w:sz="6" w:space="0" w:color="auto"/>
            </w:tcBorders>
            <w:vAlign w:val="center"/>
            <w:hideMark/>
          </w:tcPr>
          <w:p w14:paraId="62893FE1"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3.77 </w:t>
            </w:r>
          </w:p>
        </w:tc>
        <w:tc>
          <w:tcPr>
            <w:tcW w:w="660" w:type="pct"/>
            <w:tcBorders>
              <w:top w:val="single" w:sz="6" w:space="0" w:color="auto"/>
              <w:left w:val="single" w:sz="6" w:space="0" w:color="auto"/>
              <w:bottom w:val="single" w:sz="6" w:space="0" w:color="auto"/>
              <w:right w:val="single" w:sz="6" w:space="0" w:color="auto"/>
            </w:tcBorders>
            <w:vAlign w:val="center"/>
            <w:hideMark/>
          </w:tcPr>
          <w:p w14:paraId="46649446"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5.67 </w:t>
            </w:r>
          </w:p>
        </w:tc>
        <w:tc>
          <w:tcPr>
            <w:tcW w:w="660" w:type="pct"/>
            <w:tcBorders>
              <w:top w:val="single" w:sz="6" w:space="0" w:color="auto"/>
              <w:left w:val="single" w:sz="6" w:space="0" w:color="auto"/>
              <w:bottom w:val="single" w:sz="6" w:space="0" w:color="auto"/>
              <w:right w:val="single" w:sz="6" w:space="0" w:color="auto"/>
            </w:tcBorders>
            <w:vAlign w:val="center"/>
            <w:hideMark/>
          </w:tcPr>
          <w:p w14:paraId="1B990CBC"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6.13 </w:t>
            </w:r>
          </w:p>
        </w:tc>
        <w:tc>
          <w:tcPr>
            <w:tcW w:w="660" w:type="pct"/>
            <w:tcBorders>
              <w:top w:val="single" w:sz="6" w:space="0" w:color="auto"/>
              <w:left w:val="single" w:sz="6" w:space="0" w:color="auto"/>
              <w:bottom w:val="single" w:sz="6" w:space="0" w:color="auto"/>
              <w:right w:val="single" w:sz="6" w:space="0" w:color="auto"/>
            </w:tcBorders>
            <w:vAlign w:val="center"/>
            <w:hideMark/>
          </w:tcPr>
          <w:p w14:paraId="598A50D4"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6.60 </w:t>
            </w:r>
          </w:p>
        </w:tc>
        <w:tc>
          <w:tcPr>
            <w:tcW w:w="660" w:type="pct"/>
            <w:tcBorders>
              <w:top w:val="single" w:sz="6" w:space="0" w:color="auto"/>
              <w:left w:val="single" w:sz="6" w:space="0" w:color="auto"/>
              <w:bottom w:val="single" w:sz="6" w:space="0" w:color="auto"/>
              <w:right w:val="single" w:sz="6" w:space="0" w:color="auto"/>
            </w:tcBorders>
            <w:vAlign w:val="center"/>
            <w:hideMark/>
          </w:tcPr>
          <w:p w14:paraId="2A4BA843"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7.07 </w:t>
            </w:r>
          </w:p>
        </w:tc>
      </w:tr>
      <w:tr w:rsidR="0013093D" w:rsidRPr="000A76E5" w14:paraId="5BFF73C6" w14:textId="77777777" w:rsidTr="00BF720B">
        <w:trPr>
          <w:trHeight w:val="283"/>
        </w:trPr>
        <w:tc>
          <w:tcPr>
            <w:tcW w:w="1041" w:type="pct"/>
            <w:tcBorders>
              <w:top w:val="single" w:sz="6" w:space="0" w:color="auto"/>
              <w:left w:val="single" w:sz="6" w:space="0" w:color="auto"/>
              <w:bottom w:val="single" w:sz="6" w:space="0" w:color="auto"/>
              <w:right w:val="single" w:sz="6" w:space="0" w:color="auto"/>
            </w:tcBorders>
            <w:vAlign w:val="center"/>
            <w:hideMark/>
          </w:tcPr>
          <w:p w14:paraId="3F891F72" w14:textId="77777777" w:rsidR="000A76E5" w:rsidRPr="00F01630" w:rsidRDefault="000A76E5" w:rsidP="00F01630">
            <w:pPr>
              <w:pStyle w:val="Normal2"/>
              <w:spacing w:before="40" w:after="40" w:line="240" w:lineRule="auto"/>
              <w:ind w:left="0"/>
              <w:rPr>
                <w:rFonts w:ascii="Arial Narrow" w:hAnsi="Arial Narrow"/>
                <w:i/>
                <w:sz w:val="20"/>
                <w:szCs w:val="20"/>
              </w:rPr>
            </w:pPr>
            <w:r w:rsidRPr="00F01630">
              <w:rPr>
                <w:rFonts w:ascii="Arial Narrow" w:hAnsi="Arial Narrow"/>
                <w:i/>
                <w:sz w:val="20"/>
                <w:szCs w:val="20"/>
              </w:rPr>
              <w:t>Analysis 2: Additional cases using ERT </w:t>
            </w:r>
          </w:p>
        </w:tc>
        <w:tc>
          <w:tcPr>
            <w:tcW w:w="660" w:type="pct"/>
            <w:tcBorders>
              <w:top w:val="single" w:sz="6" w:space="0" w:color="auto"/>
              <w:left w:val="single" w:sz="6" w:space="0" w:color="auto"/>
              <w:bottom w:val="single" w:sz="6" w:space="0" w:color="auto"/>
              <w:right w:val="single" w:sz="6" w:space="0" w:color="auto"/>
            </w:tcBorders>
            <w:vAlign w:val="center"/>
            <w:hideMark/>
          </w:tcPr>
          <w:p w14:paraId="0A882C0A"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2.88 </w:t>
            </w:r>
          </w:p>
        </w:tc>
        <w:tc>
          <w:tcPr>
            <w:tcW w:w="660" w:type="pct"/>
            <w:tcBorders>
              <w:top w:val="single" w:sz="6" w:space="0" w:color="auto"/>
              <w:left w:val="single" w:sz="6" w:space="0" w:color="auto"/>
              <w:bottom w:val="single" w:sz="6" w:space="0" w:color="auto"/>
              <w:right w:val="single" w:sz="6" w:space="0" w:color="auto"/>
            </w:tcBorders>
            <w:vAlign w:val="center"/>
            <w:hideMark/>
          </w:tcPr>
          <w:p w14:paraId="250E2405"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5.75 </w:t>
            </w:r>
          </w:p>
        </w:tc>
        <w:tc>
          <w:tcPr>
            <w:tcW w:w="660" w:type="pct"/>
            <w:tcBorders>
              <w:top w:val="single" w:sz="6" w:space="0" w:color="auto"/>
              <w:left w:val="single" w:sz="6" w:space="0" w:color="auto"/>
              <w:bottom w:val="single" w:sz="6" w:space="0" w:color="auto"/>
              <w:right w:val="single" w:sz="6" w:space="0" w:color="auto"/>
            </w:tcBorders>
            <w:vAlign w:val="center"/>
            <w:hideMark/>
          </w:tcPr>
          <w:p w14:paraId="2A88A9FC"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8.62 </w:t>
            </w:r>
          </w:p>
        </w:tc>
        <w:tc>
          <w:tcPr>
            <w:tcW w:w="660" w:type="pct"/>
            <w:tcBorders>
              <w:top w:val="single" w:sz="6" w:space="0" w:color="auto"/>
              <w:left w:val="single" w:sz="6" w:space="0" w:color="auto"/>
              <w:bottom w:val="single" w:sz="6" w:space="0" w:color="auto"/>
              <w:right w:val="single" w:sz="6" w:space="0" w:color="auto"/>
            </w:tcBorders>
            <w:vAlign w:val="center"/>
            <w:hideMark/>
          </w:tcPr>
          <w:p w14:paraId="57EDFE0A"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11.50 </w:t>
            </w:r>
          </w:p>
        </w:tc>
        <w:tc>
          <w:tcPr>
            <w:tcW w:w="660" w:type="pct"/>
            <w:tcBorders>
              <w:top w:val="single" w:sz="6" w:space="0" w:color="auto"/>
              <w:left w:val="single" w:sz="6" w:space="0" w:color="auto"/>
              <w:bottom w:val="single" w:sz="6" w:space="0" w:color="auto"/>
              <w:right w:val="single" w:sz="6" w:space="0" w:color="auto"/>
            </w:tcBorders>
            <w:vAlign w:val="center"/>
            <w:hideMark/>
          </w:tcPr>
          <w:p w14:paraId="6037A923"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13.90 </w:t>
            </w:r>
          </w:p>
        </w:tc>
        <w:tc>
          <w:tcPr>
            <w:tcW w:w="660" w:type="pct"/>
            <w:tcBorders>
              <w:top w:val="single" w:sz="6" w:space="0" w:color="auto"/>
              <w:left w:val="single" w:sz="6" w:space="0" w:color="auto"/>
              <w:bottom w:val="single" w:sz="6" w:space="0" w:color="auto"/>
              <w:right w:val="single" w:sz="6" w:space="0" w:color="auto"/>
            </w:tcBorders>
            <w:vAlign w:val="center"/>
            <w:hideMark/>
          </w:tcPr>
          <w:p w14:paraId="526085F2" w14:textId="77777777" w:rsidR="000A76E5" w:rsidRPr="00F01630" w:rsidRDefault="000A76E5" w:rsidP="00F01630">
            <w:pPr>
              <w:pStyle w:val="Normal2"/>
              <w:spacing w:before="40" w:after="40" w:line="240" w:lineRule="auto"/>
              <w:ind w:left="0"/>
              <w:jc w:val="center"/>
              <w:rPr>
                <w:rFonts w:ascii="Arial Narrow" w:hAnsi="Arial Narrow"/>
                <w:i/>
                <w:sz w:val="20"/>
                <w:szCs w:val="20"/>
              </w:rPr>
            </w:pPr>
            <w:r w:rsidRPr="00F01630">
              <w:rPr>
                <w:rFonts w:ascii="Arial Narrow" w:hAnsi="Arial Narrow"/>
                <w:i/>
                <w:sz w:val="20"/>
                <w:szCs w:val="20"/>
              </w:rPr>
              <w:t>16.31 </w:t>
            </w:r>
          </w:p>
        </w:tc>
      </w:tr>
      <w:tr w:rsidR="0013093D" w:rsidRPr="000A76E5" w14:paraId="0F8B6843" w14:textId="77777777" w:rsidTr="00BF720B">
        <w:trPr>
          <w:trHeight w:val="283"/>
        </w:trPr>
        <w:tc>
          <w:tcPr>
            <w:tcW w:w="1041" w:type="pct"/>
            <w:tcBorders>
              <w:top w:val="single" w:sz="6" w:space="0" w:color="auto"/>
              <w:left w:val="single" w:sz="6" w:space="0" w:color="auto"/>
              <w:bottom w:val="single" w:sz="6" w:space="0" w:color="auto"/>
              <w:right w:val="single" w:sz="6" w:space="0" w:color="auto"/>
            </w:tcBorders>
            <w:vAlign w:val="center"/>
            <w:hideMark/>
          </w:tcPr>
          <w:p w14:paraId="72094B1E" w14:textId="77777777" w:rsidR="000A76E5" w:rsidRPr="00F01630" w:rsidRDefault="000A76E5" w:rsidP="00F01630">
            <w:pPr>
              <w:pStyle w:val="Normal2"/>
              <w:spacing w:before="40" w:after="40" w:line="240" w:lineRule="auto"/>
              <w:ind w:left="0"/>
              <w:rPr>
                <w:rFonts w:ascii="Arial Narrow" w:hAnsi="Arial Narrow"/>
                <w:i/>
                <w:sz w:val="20"/>
                <w:szCs w:val="20"/>
              </w:rPr>
            </w:pPr>
            <w:r w:rsidRPr="00F01630">
              <w:rPr>
                <w:rFonts w:ascii="Arial Narrow" w:hAnsi="Arial Narrow"/>
                <w:i/>
                <w:sz w:val="20"/>
                <w:szCs w:val="20"/>
              </w:rPr>
              <w:t>Analysis 1: Additional ERT costs </w:t>
            </w:r>
          </w:p>
        </w:tc>
        <w:tc>
          <w:tcPr>
            <w:tcW w:w="660" w:type="pct"/>
            <w:tcBorders>
              <w:top w:val="single" w:sz="6" w:space="0" w:color="auto"/>
              <w:left w:val="single" w:sz="6" w:space="0" w:color="auto"/>
              <w:bottom w:val="single" w:sz="6" w:space="0" w:color="auto"/>
              <w:right w:val="single" w:sz="6" w:space="0" w:color="auto"/>
            </w:tcBorders>
            <w:vAlign w:val="center"/>
            <w:hideMark/>
          </w:tcPr>
          <w:p w14:paraId="6993B615" w14:textId="4BC6710A"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011DA9">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62BD2AF4" w14:textId="16EB6773"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0E25BEFE" w14:textId="5FEC5FF2"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591CBC69" w14:textId="0A29B776" w:rsidR="000A76E5" w:rsidRPr="00F01630" w:rsidRDefault="00625CA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3E74F371" w14:textId="7D6FD699" w:rsidR="000A76E5" w:rsidRPr="00F01630" w:rsidRDefault="00625CA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27AC1416" w14:textId="46889648" w:rsidR="000A76E5" w:rsidRPr="00F01630" w:rsidRDefault="005336F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r>
      <w:tr w:rsidR="0013093D" w:rsidRPr="000A76E5" w14:paraId="61513BEC" w14:textId="77777777" w:rsidTr="00BF720B">
        <w:trPr>
          <w:trHeight w:val="283"/>
        </w:trPr>
        <w:tc>
          <w:tcPr>
            <w:tcW w:w="1041" w:type="pct"/>
            <w:tcBorders>
              <w:top w:val="single" w:sz="6" w:space="0" w:color="auto"/>
              <w:left w:val="single" w:sz="6" w:space="0" w:color="auto"/>
              <w:bottom w:val="single" w:sz="6" w:space="0" w:color="auto"/>
              <w:right w:val="single" w:sz="6" w:space="0" w:color="auto"/>
            </w:tcBorders>
            <w:vAlign w:val="center"/>
            <w:hideMark/>
          </w:tcPr>
          <w:p w14:paraId="722B84C4" w14:textId="77777777" w:rsidR="000A76E5" w:rsidRPr="00F01630" w:rsidRDefault="000A76E5" w:rsidP="00F01630">
            <w:pPr>
              <w:pStyle w:val="Normal2"/>
              <w:ind w:left="0"/>
              <w:rPr>
                <w:rFonts w:ascii="Arial Narrow" w:hAnsi="Arial Narrow"/>
                <w:i/>
                <w:sz w:val="20"/>
                <w:szCs w:val="20"/>
              </w:rPr>
            </w:pPr>
            <w:r w:rsidRPr="00F01630">
              <w:rPr>
                <w:rFonts w:ascii="Arial Narrow" w:hAnsi="Arial Narrow"/>
                <w:i/>
                <w:sz w:val="20"/>
                <w:szCs w:val="20"/>
              </w:rPr>
              <w:t>Analysis 2: Additional ERT costs </w:t>
            </w:r>
          </w:p>
        </w:tc>
        <w:tc>
          <w:tcPr>
            <w:tcW w:w="660" w:type="pct"/>
            <w:tcBorders>
              <w:top w:val="single" w:sz="6" w:space="0" w:color="auto"/>
              <w:left w:val="single" w:sz="6" w:space="0" w:color="auto"/>
              <w:bottom w:val="single" w:sz="6" w:space="0" w:color="auto"/>
              <w:right w:val="single" w:sz="6" w:space="0" w:color="auto"/>
            </w:tcBorders>
            <w:vAlign w:val="center"/>
            <w:hideMark/>
          </w:tcPr>
          <w:p w14:paraId="0A913669" w14:textId="00FA14D0"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7FE12080" w14:textId="14FD1C13"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7AA8BDD7" w14:textId="4D2AB455"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3687DE50" w14:textId="7A550564" w:rsidR="000A76E5" w:rsidRPr="00F01630" w:rsidRDefault="00625CA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15686A9F" w14:textId="2ABCD40D" w:rsidR="000A76E5" w:rsidRPr="00F01630" w:rsidRDefault="00D243C6"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61CF1B25" w14:textId="291FC0FA" w:rsidR="000A76E5" w:rsidRPr="00F01630" w:rsidRDefault="005336F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r>
      <w:tr w:rsidR="0013093D" w:rsidRPr="000A76E5" w14:paraId="43914549" w14:textId="77777777" w:rsidTr="00BF720B">
        <w:trPr>
          <w:trHeight w:val="283"/>
        </w:trPr>
        <w:tc>
          <w:tcPr>
            <w:tcW w:w="1041" w:type="pct"/>
            <w:tcBorders>
              <w:top w:val="single" w:sz="6" w:space="0" w:color="auto"/>
              <w:left w:val="single" w:sz="6" w:space="0" w:color="auto"/>
              <w:bottom w:val="single" w:sz="6" w:space="0" w:color="auto"/>
              <w:right w:val="single" w:sz="6" w:space="0" w:color="auto"/>
            </w:tcBorders>
            <w:vAlign w:val="center"/>
            <w:hideMark/>
          </w:tcPr>
          <w:p w14:paraId="0474B2A4" w14:textId="77777777" w:rsidR="000A76E5" w:rsidRPr="00F01630" w:rsidRDefault="000A76E5" w:rsidP="00F01630">
            <w:pPr>
              <w:pStyle w:val="Normal2"/>
              <w:ind w:left="0"/>
              <w:rPr>
                <w:rFonts w:ascii="Arial Narrow" w:hAnsi="Arial Narrow"/>
                <w:i/>
                <w:sz w:val="20"/>
                <w:szCs w:val="20"/>
              </w:rPr>
            </w:pPr>
            <w:r w:rsidRPr="00F01630">
              <w:rPr>
                <w:rFonts w:ascii="Arial Narrow" w:hAnsi="Arial Narrow"/>
                <w:i/>
                <w:sz w:val="20"/>
                <w:szCs w:val="20"/>
              </w:rPr>
              <w:t>Base case LSDP costs associated with NBS for MPS II (as per DCAR 1776) </w:t>
            </w:r>
          </w:p>
        </w:tc>
        <w:tc>
          <w:tcPr>
            <w:tcW w:w="660" w:type="pct"/>
            <w:tcBorders>
              <w:top w:val="single" w:sz="6" w:space="0" w:color="auto"/>
              <w:left w:val="single" w:sz="6" w:space="0" w:color="auto"/>
              <w:bottom w:val="single" w:sz="6" w:space="0" w:color="auto"/>
              <w:right w:val="single" w:sz="6" w:space="0" w:color="auto"/>
            </w:tcBorders>
            <w:vAlign w:val="center"/>
            <w:hideMark/>
          </w:tcPr>
          <w:p w14:paraId="0BF5F242" w14:textId="423B10E2"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755B75B0" w14:textId="6F0394AD" w:rsidR="000A76E5" w:rsidRPr="00F01630" w:rsidRDefault="0015305C"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50BEC51E" w14:textId="776BA43C" w:rsidR="000A76E5" w:rsidRPr="00F01630" w:rsidRDefault="00625CA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419CE431" w14:textId="77888782" w:rsidR="000A76E5" w:rsidRPr="00F01630" w:rsidRDefault="00625CA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3AEB12E7" w14:textId="4BC36DDA" w:rsidR="000A76E5" w:rsidRPr="00F01630" w:rsidRDefault="00D243C6"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6740FF5B" w14:textId="235A2621" w:rsidR="000A76E5" w:rsidRPr="00F01630" w:rsidRDefault="005336FB" w:rsidP="00F01630">
            <w:pPr>
              <w:pStyle w:val="Normal2"/>
              <w:spacing w:before="40" w:after="40" w:line="240" w:lineRule="auto"/>
              <w:ind w:left="0"/>
              <w:jc w:val="center"/>
              <w:rPr>
                <w:rFonts w:ascii="Arial Narrow" w:hAnsi="Arial Narrow"/>
                <w:i/>
                <w:sz w:val="20"/>
                <w:szCs w:val="20"/>
                <w:highlight w:val="yellow"/>
              </w:rPr>
            </w:pPr>
            <w:r w:rsidRPr="0015305C">
              <w:rPr>
                <w:rFonts w:ascii="Arial Narrow" w:hAnsi="Arial Narrow"/>
                <w:i/>
                <w:sz w:val="20"/>
                <w:szCs w:val="20"/>
              </w:rPr>
              <w:t>$</w:t>
            </w:r>
            <w:r w:rsidRPr="008D12FB">
              <w:rPr>
                <w:rFonts w:ascii="Arial Narrow" w:hAnsi="Arial Narrow"/>
                <w:b/>
                <w:bCs/>
                <w:i/>
                <w:sz w:val="20"/>
                <w:szCs w:val="20"/>
              </w:rPr>
              <w:t>Redacted</w:t>
            </w:r>
          </w:p>
        </w:tc>
      </w:tr>
      <w:tr w:rsidR="0013093D" w:rsidRPr="000A76E5" w14:paraId="4D43D144" w14:textId="77777777" w:rsidTr="00BF720B">
        <w:trPr>
          <w:trHeight w:val="300"/>
        </w:trPr>
        <w:tc>
          <w:tcPr>
            <w:tcW w:w="1041" w:type="pct"/>
            <w:tcBorders>
              <w:top w:val="single" w:sz="6" w:space="0" w:color="auto"/>
              <w:left w:val="single" w:sz="6" w:space="0" w:color="auto"/>
              <w:bottom w:val="single" w:sz="6" w:space="0" w:color="auto"/>
              <w:right w:val="single" w:sz="6" w:space="0" w:color="auto"/>
            </w:tcBorders>
            <w:vAlign w:val="center"/>
            <w:hideMark/>
          </w:tcPr>
          <w:p w14:paraId="371BEBB2" w14:textId="77777777" w:rsidR="000A76E5" w:rsidRPr="000A76E5" w:rsidRDefault="000A76E5" w:rsidP="000765DF">
            <w:pPr>
              <w:pStyle w:val="Normal2"/>
              <w:spacing w:before="40" w:after="40" w:line="240" w:lineRule="auto"/>
              <w:ind w:left="0"/>
              <w:rPr>
                <w:rFonts w:ascii="Arial Narrow" w:hAnsi="Arial Narrow"/>
                <w:b/>
                <w:i/>
                <w:sz w:val="20"/>
                <w:szCs w:val="20"/>
              </w:rPr>
            </w:pPr>
            <w:r w:rsidRPr="000A76E5">
              <w:rPr>
                <w:rFonts w:ascii="Arial Narrow" w:hAnsi="Arial Narrow"/>
                <w:b/>
                <w:i/>
                <w:sz w:val="20"/>
                <w:szCs w:val="20"/>
              </w:rPr>
              <w:t>Total cost for LSDP </w:t>
            </w:r>
          </w:p>
        </w:tc>
        <w:tc>
          <w:tcPr>
            <w:tcW w:w="660" w:type="pct"/>
            <w:tcBorders>
              <w:top w:val="single" w:sz="6" w:space="0" w:color="auto"/>
              <w:left w:val="single" w:sz="6" w:space="0" w:color="auto"/>
              <w:bottom w:val="single" w:sz="6" w:space="0" w:color="auto"/>
              <w:right w:val="single" w:sz="6" w:space="0" w:color="auto"/>
            </w:tcBorders>
            <w:vAlign w:val="center"/>
            <w:hideMark/>
          </w:tcPr>
          <w:p w14:paraId="452DCDE7" w14:textId="547582F9" w:rsidR="000A76E5" w:rsidRPr="00D243C6" w:rsidRDefault="00D243C6"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D243C6">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0940E047" w14:textId="3B2E7322" w:rsidR="000A76E5" w:rsidRPr="00D243C6" w:rsidRDefault="00D243C6"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D243C6">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18E8B09A" w14:textId="0003AFAE" w:rsidR="000A76E5" w:rsidRPr="00D243C6" w:rsidRDefault="00D243C6"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D243C6">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31CBCF40" w14:textId="28774EE6" w:rsidR="000A76E5" w:rsidRPr="00D243C6" w:rsidRDefault="00D243C6"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D243C6">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72DA92C7" w14:textId="041A993D" w:rsidR="000A76E5" w:rsidRPr="00D243C6" w:rsidRDefault="00D243C6"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D243C6">
              <w:rPr>
                <w:rFonts w:ascii="Arial Narrow" w:hAnsi="Arial Narrow"/>
                <w:b/>
                <w:bCs/>
                <w:i/>
                <w:sz w:val="20"/>
                <w:szCs w:val="20"/>
              </w:rPr>
              <w:t>Redacted</w:t>
            </w:r>
          </w:p>
        </w:tc>
        <w:tc>
          <w:tcPr>
            <w:tcW w:w="660" w:type="pct"/>
            <w:tcBorders>
              <w:top w:val="single" w:sz="6" w:space="0" w:color="auto"/>
              <w:left w:val="single" w:sz="6" w:space="0" w:color="auto"/>
              <w:bottom w:val="single" w:sz="6" w:space="0" w:color="auto"/>
              <w:right w:val="single" w:sz="6" w:space="0" w:color="auto"/>
            </w:tcBorders>
            <w:vAlign w:val="center"/>
            <w:hideMark/>
          </w:tcPr>
          <w:p w14:paraId="463DD5E7" w14:textId="0B7565A2" w:rsidR="000A76E5" w:rsidRPr="005336FB" w:rsidRDefault="005336FB" w:rsidP="2999AA76">
            <w:pPr>
              <w:pStyle w:val="Normal2"/>
              <w:spacing w:before="40" w:after="40" w:line="240" w:lineRule="auto"/>
              <w:ind w:left="0"/>
              <w:jc w:val="center"/>
              <w:rPr>
                <w:rFonts w:ascii="Arial Narrow" w:hAnsi="Arial Narrow"/>
                <w:b/>
                <w:bCs/>
                <w:i/>
                <w:sz w:val="20"/>
                <w:szCs w:val="20"/>
                <w:highlight w:val="yellow"/>
              </w:rPr>
            </w:pPr>
            <w:r w:rsidRPr="00011DA9">
              <w:rPr>
                <w:rFonts w:ascii="Arial Narrow" w:hAnsi="Arial Narrow"/>
                <w:b/>
                <w:bCs/>
                <w:i/>
                <w:sz w:val="20"/>
                <w:szCs w:val="20"/>
              </w:rPr>
              <w:t>$</w:t>
            </w:r>
            <w:r w:rsidRPr="005336FB">
              <w:rPr>
                <w:rFonts w:ascii="Arial Narrow" w:hAnsi="Arial Narrow"/>
                <w:b/>
                <w:bCs/>
                <w:i/>
                <w:sz w:val="20"/>
                <w:szCs w:val="20"/>
              </w:rPr>
              <w:t>Redacted</w:t>
            </w:r>
          </w:p>
        </w:tc>
      </w:tr>
    </w:tbl>
    <w:p w14:paraId="5E944640" w14:textId="58116EE9" w:rsidR="000C4FDB" w:rsidRDefault="000A76E5" w:rsidP="000C4FDB">
      <w:pPr>
        <w:pStyle w:val="TableFigureFooter"/>
      </w:pPr>
      <w:r w:rsidRPr="000A76E5">
        <w:t>DCAR = Department Contracted Assessment Report; ERT = enzyme replacement therapy; LSDP = Life Saving Drugs Program; MPS II = mucopolysaccharidosis Type II; NBS = newborn bloodspot screening. </w:t>
      </w:r>
      <w:r w:rsidRPr="000A76E5">
        <w:br/>
        <w:t>Note:  Analysis 1 refers to cases who were born prior to NBS implementation but are diagnosed within the scope of the six year financial analysis and Analysis 2 refers to attenuated and very attenuated MPS II cases who are diagnosed with NBS and would be able to access ERT immediately if the LSDP criteria requiring symptoms for access to ERT for MPS II cases is removed. ERT costs based on the 1776 DCAR. </w:t>
      </w:r>
      <w:r w:rsidR="000C4FDB">
        <w:br w:type="page"/>
      </w:r>
    </w:p>
    <w:p w14:paraId="2661226A" w14:textId="1DCDEFF8" w:rsidR="00221170" w:rsidRPr="00221170" w:rsidRDefault="00221170" w:rsidP="00311E41">
      <w:pPr>
        <w:pStyle w:val="Heading2"/>
        <w:numPr>
          <w:ilvl w:val="0"/>
          <w:numId w:val="28"/>
        </w:numPr>
        <w:ind w:hanging="720"/>
      </w:pPr>
      <w:bookmarkStart w:id="64" w:name="_Toc145678765"/>
      <w:bookmarkStart w:id="65" w:name="_Toc150172410"/>
      <w:bookmarkStart w:id="66" w:name="_Toc153462785"/>
      <w:r w:rsidRPr="003A793E">
        <w:lastRenderedPageBreak/>
        <w:t>Key issues from ESC to MSAC</w:t>
      </w:r>
    </w:p>
    <w:bookmarkEnd w:id="64"/>
    <w:bookmarkEnd w:id="65"/>
    <w:bookmarkEnd w:id="66"/>
    <w:p w14:paraId="1713A194" w14:textId="77777777" w:rsidR="00221170" w:rsidRPr="005E2D40" w:rsidRDefault="00221170" w:rsidP="00221170">
      <w:pPr>
        <w:pBdr>
          <w:top w:val="single" w:sz="4" w:space="1" w:color="auto"/>
          <w:left w:val="single" w:sz="4" w:space="4" w:color="auto"/>
          <w:bottom w:val="single" w:sz="4" w:space="1" w:color="auto"/>
          <w:right w:val="single" w:sz="4" w:space="4" w:color="auto"/>
        </w:pBdr>
      </w:pPr>
      <w:r w:rsidRPr="009716C2">
        <w:rPr>
          <w:rFonts w:eastAsia="Times New Roman" w:cs="Times New Roman"/>
          <w:b/>
          <w:bCs/>
          <w:color w:val="000000"/>
          <w:sz w:val="24"/>
          <w:szCs w:val="20"/>
          <w:lang w:eastAsia="en-AU"/>
        </w:rPr>
        <w:t>Main issues for MSAC consideration</w:t>
      </w:r>
    </w:p>
    <w:p w14:paraId="672A5A31" w14:textId="77777777" w:rsidR="00221170" w:rsidRPr="00906616" w:rsidDel="00AB7EB3"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rPr>
          <w:b/>
        </w:rPr>
      </w:pPr>
      <w:bookmarkStart w:id="67" w:name="_Hlk191566382"/>
      <w:r w:rsidRPr="00060977">
        <w:rPr>
          <w:b/>
          <w:bCs/>
        </w:rPr>
        <w:t>Is there a suitable screening test(s) (with acceptable clinical sensitivity and specificity according to consensus thresholds for what is considered positive) to accurately identify all newborns at risk for all subtypes of the proposed condition?</w:t>
      </w:r>
    </w:p>
    <w:p w14:paraId="5ED3092D" w14:textId="14561911"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noted that t</w:t>
      </w:r>
      <w:r w:rsidDel="00235693">
        <w:t>he</w:t>
      </w:r>
      <w:r>
        <w:t xml:space="preserve"> sensitivity and specificity of 1</w:t>
      </w:r>
      <w:r w:rsidRPr="00906616">
        <w:rPr>
          <w:vertAlign w:val="superscript"/>
        </w:rPr>
        <w:t>st</w:t>
      </w:r>
      <w:r>
        <w:t>-tier fluorometric or tandem mass spectrometry (MS/MS) enzyme activity testing assessed in case-control studies are very high, but both screening methods risk identifying false positives</w:t>
      </w:r>
      <w:r w:rsidRPr="7B666352">
        <w:t xml:space="preserve"> (</w:t>
      </w:r>
      <w:r>
        <w:t xml:space="preserve">0.026%, </w:t>
      </w:r>
      <w:r w:rsidRPr="7B666352">
        <w:t>range 0.01</w:t>
      </w:r>
      <w:r>
        <w:t>1</w:t>
      </w:r>
      <w:r w:rsidRPr="7B666352">
        <w:t>% to 0.056%</w:t>
      </w:r>
      <w:r>
        <w:t>),</w:t>
      </w:r>
      <w:r w:rsidRPr="7B666352">
        <w:t xml:space="preserve"> </w:t>
      </w:r>
      <w:r>
        <w:t>as reported</w:t>
      </w:r>
      <w:r w:rsidRPr="7B666352">
        <w:t xml:space="preserve"> </w:t>
      </w:r>
      <w:r>
        <w:t xml:space="preserve">in overseas NBS programs, </w:t>
      </w:r>
      <w:r>
        <w:fldChar w:fldCharType="begin"/>
      </w:r>
      <w:r>
        <w:instrText xml:space="preserve"> REF _Ref177656274 \h </w:instrText>
      </w:r>
      <w:r>
        <w:fldChar w:fldCharType="separate"/>
      </w:r>
      <w:r w:rsidR="007F08FA" w:rsidRPr="00496C73" w:rsidDel="009D183F">
        <w:t xml:space="preserve">Table </w:t>
      </w:r>
      <w:r w:rsidR="00797B68" w:rsidDel="009D183F">
        <w:rPr>
          <w:noProof/>
        </w:rPr>
        <w:t>4</w:t>
      </w:r>
      <w:r>
        <w:fldChar w:fldCharType="end"/>
      </w:r>
      <w:r w:rsidRPr="7B666352">
        <w:t>).</w:t>
      </w:r>
    </w:p>
    <w:p w14:paraId="6113FB75"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ESC noted the limited published evidence available to inform the </w:t>
      </w:r>
      <w:r w:rsidRPr="7B666352">
        <w:t>diagnostic accuracy of</w:t>
      </w:r>
      <w:r>
        <w:t xml:space="preserve"> </w:t>
      </w:r>
      <w:r w:rsidRPr="005B7980">
        <w:t>non</w:t>
      </w:r>
      <w:r>
        <w:t>-</w:t>
      </w:r>
      <w:r w:rsidRPr="005B7980">
        <w:t>reducing end-glycosaminoglycan</w:t>
      </w:r>
      <w:r>
        <w:t xml:space="preserve"> (NRE-</w:t>
      </w:r>
      <w:r w:rsidRPr="7B666352">
        <w:t>GAG</w:t>
      </w:r>
      <w:r>
        <w:t>)</w:t>
      </w:r>
      <w:r w:rsidRPr="7B666352">
        <w:t xml:space="preserve"> analysis </w:t>
      </w:r>
      <w:r>
        <w:t>as a 2</w:t>
      </w:r>
      <w:r w:rsidRPr="00906616">
        <w:rPr>
          <w:vertAlign w:val="superscript"/>
        </w:rPr>
        <w:t>nd</w:t>
      </w:r>
      <w:r>
        <w:t xml:space="preserve">-tier test or as a single-tier test on the NBS protocol. ESC advised that the </w:t>
      </w:r>
      <w:r w:rsidRPr="7B666352">
        <w:t xml:space="preserve">existence of a consensus threshold as a discriminatory diagnostic </w:t>
      </w:r>
      <w:r>
        <w:t>2</w:t>
      </w:r>
      <w:r w:rsidRPr="00906616">
        <w:rPr>
          <w:vertAlign w:val="superscript"/>
        </w:rPr>
        <w:t>nd</w:t>
      </w:r>
      <w:r>
        <w:t>-</w:t>
      </w:r>
      <w:r w:rsidRPr="7B666352">
        <w:t xml:space="preserve">tier test to </w:t>
      </w:r>
      <w:r>
        <w:t>rule out disease in</w:t>
      </w:r>
      <w:r w:rsidRPr="7B666352">
        <w:t xml:space="preserve"> individuals with pseudodeficiency needs clarification.</w:t>
      </w:r>
    </w:p>
    <w:p w14:paraId="56A297DC"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rsidRPr="7B666352">
        <w:t>It is anticipated that</w:t>
      </w:r>
      <w:r>
        <w:t>,</w:t>
      </w:r>
      <w:r w:rsidRPr="7B666352">
        <w:t xml:space="preserve"> each year</w:t>
      </w:r>
      <w:r>
        <w:t xml:space="preserve">, </w:t>
      </w:r>
      <w:r w:rsidRPr="7B666352">
        <w:t>NBS will identify 1.4</w:t>
      </w:r>
      <w:r>
        <w:t>3</w:t>
      </w:r>
      <w:r w:rsidRPr="7B666352">
        <w:t xml:space="preserve"> individuals with severe disease and 2.89 individuals at risk for later onset disease (comprising 0.47 cases at risk for attenuated disease </w:t>
      </w:r>
      <w:r>
        <w:t>-</w:t>
      </w:r>
      <w:r w:rsidRPr="7B666352">
        <w:t xml:space="preserve">and 2.42 cases at risk for “very attenuated disease”). </w:t>
      </w:r>
    </w:p>
    <w:p w14:paraId="36A8C364"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considered that screening may identify some individuals considered at-risk for future disease who may never progress to develop symptoms and signs. ESC considered these to be healthy over-diagnosed individuals rather than ‘patients in waiting’.</w:t>
      </w:r>
    </w:p>
    <w:p w14:paraId="035C9F76" w14:textId="065167D4"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noted that the National Pathology Accreditation Advisory Council (NPAAC) advised that screening tests</w:t>
      </w:r>
      <w:r w:rsidDel="00F35949">
        <w:t xml:space="preserve"> </w:t>
      </w:r>
      <w:r>
        <w:t xml:space="preserve">for MPS II require specialist testing and are highly unlikely to be offered widely. Also, no External Quality Assessment (EQA) is offered for MPS II yet. </w:t>
      </w:r>
      <w:r w:rsidRPr="005219D4">
        <w:t xml:space="preserve">ESC </w:t>
      </w:r>
      <w:r>
        <w:t>also</w:t>
      </w:r>
      <w:r w:rsidRPr="005219D4">
        <w:t xml:space="preserve"> noted that </w:t>
      </w:r>
      <w:r w:rsidR="00E76D2C" w:rsidRPr="00005B99">
        <w:rPr>
          <w:b/>
          <w:bCs/>
        </w:rPr>
        <w:t>REDACTED</w:t>
      </w:r>
      <w:r w:rsidR="00E76D2C">
        <w:rPr>
          <w:b/>
          <w:bCs/>
        </w:rPr>
        <w:t xml:space="preserve"> </w:t>
      </w:r>
      <w:r>
        <w:t>has yet to receive NATA accreditation; however, the department advised that this would be sought closer to the implementation stage.</w:t>
      </w:r>
    </w:p>
    <w:p w14:paraId="135E13F6" w14:textId="77777777" w:rsidR="00221170" w:rsidRPr="00906616" w:rsidDel="00060977"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contextualSpacing w:val="0"/>
        <w:rPr>
          <w:b/>
        </w:rPr>
      </w:pPr>
      <w:r w:rsidRPr="00060977">
        <w:rPr>
          <w:b/>
          <w:bCs/>
        </w:rPr>
        <w:t xml:space="preserve">Can disease subtype and prognosis </w:t>
      </w:r>
      <w:r w:rsidRPr="00060977" w:rsidDel="00CD6F6B">
        <w:rPr>
          <w:b/>
          <w:bCs/>
        </w:rPr>
        <w:t>(with consideration of expressivity and penetrance)</w:t>
      </w:r>
      <w:r w:rsidRPr="00060977">
        <w:rPr>
          <w:b/>
          <w:bCs/>
        </w:rPr>
        <w:t xml:space="preserve"> be determined from the screening and confirmatory tests and clinical assessment to determine the need for monitoring and/or earlier treatment?</w:t>
      </w:r>
      <w:r w:rsidRPr="00DF68C6">
        <w:t xml:space="preserve">  </w:t>
      </w:r>
    </w:p>
    <w:p w14:paraId="1B3090A6"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MPS II has 2 main subtypes: a severe (neuronopathic) subtype, characterised by earlier onset, more severe symptoms and neurocognitive involvement, and an attenuated subtype, which has a later onset and milder symptoms.</w:t>
      </w:r>
    </w:p>
    <w:p w14:paraId="3129E056"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Screening and diagnostic testing may be able to differentiate between severe and attenuated disease in some individuals with MPS II, if a known pathogenic or likely pathogenic (P/LP) genotype can be identified. However, </w:t>
      </w:r>
      <w:r>
        <w:rPr>
          <w:bCs/>
          <w:lang w:val="en-US" w:eastAsia="ja-JP"/>
        </w:rPr>
        <w:t>o</w:t>
      </w:r>
      <w:r w:rsidRPr="009F68F0">
        <w:rPr>
          <w:bCs/>
          <w:lang w:val="en-US" w:eastAsia="ja-JP"/>
        </w:rPr>
        <w:t xml:space="preserve">nly a few </w:t>
      </w:r>
      <w:r>
        <w:rPr>
          <w:bCs/>
          <w:lang w:val="en-US" w:eastAsia="ja-JP"/>
        </w:rPr>
        <w:t>of the &gt;300</w:t>
      </w:r>
      <w:r w:rsidRPr="009F68F0">
        <w:rPr>
          <w:bCs/>
          <w:lang w:val="en-US" w:eastAsia="ja-JP"/>
        </w:rPr>
        <w:t xml:space="preserve"> genetic variants </w:t>
      </w:r>
      <w:r>
        <w:rPr>
          <w:bCs/>
          <w:lang w:val="en-US" w:eastAsia="ja-JP"/>
        </w:rPr>
        <w:t>described</w:t>
      </w:r>
      <w:r w:rsidRPr="009F68F0">
        <w:rPr>
          <w:bCs/>
          <w:lang w:val="en-US" w:eastAsia="ja-JP"/>
        </w:rPr>
        <w:t xml:space="preserve"> have confirmed phenotype/genotype associations due to the large number of novel or private variants associated with MPS II</w:t>
      </w:r>
      <w:r>
        <w:rPr>
          <w:bCs/>
          <w:lang w:val="en-US" w:eastAsia="ja-JP"/>
        </w:rPr>
        <w:t>, meaning phenotype often cannot be determined</w:t>
      </w:r>
      <w:r w:rsidRPr="7B666352">
        <w:t>.</w:t>
      </w:r>
    </w:p>
    <w:p w14:paraId="2E900747"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rsidRPr="7B666352">
        <w:t>ESC considered the</w:t>
      </w:r>
      <w:r>
        <w:t>re is a need for clarification regarding the</w:t>
      </w:r>
      <w:r w:rsidRPr="7B666352">
        <w:t xml:space="preserve"> prognostic confidence of </w:t>
      </w:r>
      <w:r>
        <w:t>differentiating between</w:t>
      </w:r>
      <w:r w:rsidRPr="7B666352">
        <w:t xml:space="preserve"> each </w:t>
      </w:r>
      <w:r>
        <w:t xml:space="preserve">disease </w:t>
      </w:r>
      <w:r w:rsidRPr="7B666352">
        <w:t>subtype.</w:t>
      </w:r>
      <w:r>
        <w:t xml:space="preserve"> In particular, what proportion of the estimated </w:t>
      </w:r>
      <w:r w:rsidRPr="006B6034">
        <w:t>1.4</w:t>
      </w:r>
      <w:r>
        <w:t>3</w:t>
      </w:r>
      <w:r w:rsidRPr="006B6034">
        <w:t xml:space="preserve"> severe </w:t>
      </w:r>
      <w:r>
        <w:t xml:space="preserve">patients can be confidently differentiated from the estimated </w:t>
      </w:r>
      <w:r w:rsidRPr="006B6034">
        <w:t xml:space="preserve">2.89 </w:t>
      </w:r>
      <w:r>
        <w:t xml:space="preserve">cases </w:t>
      </w:r>
      <w:r w:rsidRPr="7B666352">
        <w:t>at risk for attenuated disease</w:t>
      </w:r>
      <w:r>
        <w:t xml:space="preserve"> based on </w:t>
      </w:r>
      <w:r w:rsidRPr="006B6034">
        <w:t xml:space="preserve">clearly prognostic genetic results and </w:t>
      </w:r>
      <w:r>
        <w:t xml:space="preserve">what </w:t>
      </w:r>
      <w:r w:rsidRPr="006B6034">
        <w:t xml:space="preserve">remaining </w:t>
      </w:r>
      <w:r>
        <w:t xml:space="preserve">proportion would have </w:t>
      </w:r>
      <w:r w:rsidRPr="006B6034">
        <w:t>unclear prognostic genetic results</w:t>
      </w:r>
      <w:r>
        <w:t xml:space="preserve">. ESC also questioned whether it </w:t>
      </w:r>
      <w:r w:rsidDel="00151762">
        <w:t xml:space="preserve">is </w:t>
      </w:r>
      <w:r>
        <w:t>possible</w:t>
      </w:r>
      <w:r w:rsidDel="00151762">
        <w:t xml:space="preserve"> </w:t>
      </w:r>
      <w:r>
        <w:t>to confidently differentiate</w:t>
      </w:r>
      <w:r w:rsidRPr="7B666352">
        <w:t xml:space="preserve"> </w:t>
      </w:r>
      <w:r>
        <w:t xml:space="preserve">the estimated </w:t>
      </w:r>
      <w:r w:rsidRPr="7B666352">
        <w:t xml:space="preserve">0.47 cases at risk for attenuated disease </w:t>
      </w:r>
      <w:r>
        <w:t xml:space="preserve">(who will manifest a milder form of the disease) from the </w:t>
      </w:r>
      <w:r w:rsidRPr="7B666352">
        <w:t>2.42 cases at risk for “very attenuated disease”</w:t>
      </w:r>
      <w:r>
        <w:t xml:space="preserve"> (who may never manifest any signs or symptoms of the disease) based on genetic results alone.</w:t>
      </w:r>
    </w:p>
    <w:p w14:paraId="667405EF" w14:textId="77777777" w:rsidR="00221170" w:rsidRPr="001968C6" w:rsidRDefault="00221170" w:rsidP="00221170">
      <w:pPr>
        <w:pStyle w:val="Normal2"/>
        <w:pBdr>
          <w:top w:val="single" w:sz="4" w:space="1" w:color="auto"/>
          <w:left w:val="single" w:sz="4" w:space="4" w:color="auto"/>
          <w:bottom w:val="single" w:sz="4" w:space="1" w:color="auto"/>
          <w:right w:val="single" w:sz="4" w:space="4" w:color="auto"/>
        </w:pBdr>
        <w:spacing w:after="240"/>
        <w:ind w:left="0"/>
      </w:pPr>
      <w:r>
        <w:lastRenderedPageBreak/>
        <w:t xml:space="preserve">The identification of a currently assigned variant of uncertain significance (VUS) may further impair the ability to differentiate between subtypes and preclude an accurate prognostic assessment of penetrance, the timing of disease onset and degree of expressivity. Advice is required on whether NBS laboratories will only report variants currently assigned P/LP, whether a VUS will be reported, and then whether that individual is monitored to ascertain pathogenicity, or whether VUS status would not be reported but these data held in a registry to allow for possible reclassification at a later time point should the individual develop symptomatic disease.  </w:t>
      </w:r>
    </w:p>
    <w:bookmarkEnd w:id="67"/>
    <w:p w14:paraId="0C14852F" w14:textId="77777777" w:rsidR="00221170" w:rsidRPr="00025DB6"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rPr>
          <w:b/>
          <w:bCs/>
        </w:rPr>
      </w:pPr>
      <w:r w:rsidRPr="009716C2">
        <w:rPr>
          <w:b/>
          <w:bCs/>
          <w:szCs w:val="18"/>
        </w:rPr>
        <w:t xml:space="preserve">Is there </w:t>
      </w:r>
      <w:r w:rsidRPr="00025DB6">
        <w:rPr>
          <w:b/>
          <w:bCs/>
          <w:szCs w:val="18"/>
        </w:rPr>
        <w:t>is an effective treatment (or treatments) available in Australia for at-risk newborns? If the disease has subtypes are treatments available for each subtype?</w:t>
      </w:r>
    </w:p>
    <w:p w14:paraId="0A460A02"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rsidRPr="7B666352">
        <w:t>ESC noted the</w:t>
      </w:r>
      <w:r>
        <w:t xml:space="preserve"> management of MPS II comprises mainly of enzyme replacement therapy (ERT). Idursulfase is the only Life-Saving Drugs Program (LSDP)-funded drug as intravenous ERT for presymptomatic children &lt;5 years of age with a diagnosis of MPS II and with “clear prediction of progress of the disease, or if, on the basis of a sibling's disease progression, severe disease can be predicted”. </w:t>
      </w:r>
    </w:p>
    <w:p w14:paraId="3BFAAF77"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noted there is no LSDP-funded ERT for the presymptomatic children who would be identified through NBS and predicted to have attenuated disease, or for those whose disease onset and severity cannot be “clearly predicted”.</w:t>
      </w:r>
    </w:p>
    <w:p w14:paraId="1B2A3FAD"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ERT does not cross the blood-brain barrier and is not expected to affect the onset or trajectory of central nervous system (CNS) disease in patients with severe MPS II. There is a paucity of evidence on the earlier use of ERT arising from an NBS-mediated diagnosis in patients with attenuated MPS II.</w:t>
      </w:r>
    </w:p>
    <w:p w14:paraId="3ED9825A"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T</w:t>
      </w:r>
      <w:r w:rsidRPr="00B13D35">
        <w:t xml:space="preserve">here </w:t>
      </w:r>
      <w:r>
        <w:t>are</w:t>
      </w:r>
      <w:r w:rsidRPr="00B13D35">
        <w:t xml:space="preserve"> limited data on the use of haematopoietic stem cell transplant (HSCT) </w:t>
      </w:r>
      <w:r>
        <w:t>for</w:t>
      </w:r>
      <w:r w:rsidRPr="00B13D35">
        <w:t xml:space="preserve"> patients with severe MPS II, which has a biologically plausible benefit, but the timing of transplant and extent of pre-existent disease can impact clinical outcomes.</w:t>
      </w:r>
      <w:r>
        <w:t xml:space="preserve"> There is no evidence for the use of HSCT in attenuated MPS II. HSCT is provided through the states and territories, but there is no routine Commonwealth funding for stem cell collection and transportation from overseas donors.</w:t>
      </w:r>
      <w:r w:rsidRPr="00AE7F8C">
        <w:t xml:space="preserve"> </w:t>
      </w:r>
      <w:r>
        <w:t>A variety of surgical procedures would be used for symptomatic individuals with MPS II, particularly those who have severe disease. There is a potential benefit from knowing an earlier diagnosis of MPS II relating to anaesthetic and surgical complexity/risk.</w:t>
      </w:r>
    </w:p>
    <w:p w14:paraId="396A7A82" w14:textId="77777777" w:rsidR="00221170" w:rsidRPr="00025DB6"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contextualSpacing w:val="0"/>
        <w:rPr>
          <w:b/>
        </w:rPr>
      </w:pPr>
      <w:r w:rsidRPr="00025DB6">
        <w:rPr>
          <w:b/>
        </w:rPr>
        <w:t>Is the available treatment effective from the proposed earlier age of initiation following NBS screening and diagnosis compared to symptomatic presentation?</w:t>
      </w:r>
    </w:p>
    <w:p w14:paraId="44EA8F77"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There is no direct evidence for the comparative safety and effectiveness (improvement in survival or neurocognitive impairment) arising from a change in use of ERT following an earlier diagnosis of severe MPS II through NBS. Whether there is a possible survival benefit from earlier ERT in </w:t>
      </w:r>
      <w:r w:rsidRPr="003E196B">
        <w:t>children with a high probability of developing symptomatic severe MPS II</w:t>
      </w:r>
      <w:r>
        <w:t xml:space="preserve"> is highly uncertain due to the very </w:t>
      </w:r>
      <w:r w:rsidRPr="003E196B">
        <w:t xml:space="preserve">limited observational data </w:t>
      </w:r>
      <w:r>
        <w:t xml:space="preserve">available </w:t>
      </w:r>
      <w:r w:rsidRPr="003E196B">
        <w:t>(</w:t>
      </w:r>
      <w:r>
        <w:t xml:space="preserve">case series detected through NBS </w:t>
      </w:r>
      <w:r w:rsidRPr="003E196B">
        <w:t>compar</w:t>
      </w:r>
      <w:r>
        <w:t xml:space="preserve">ed </w:t>
      </w:r>
      <w:r w:rsidRPr="003E196B">
        <w:t>to historical registry data</w:t>
      </w:r>
      <w:r>
        <w:t xml:space="preserve"> of clinical disease</w:t>
      </w:r>
      <w:r w:rsidRPr="003E196B">
        <w:t>).</w:t>
      </w:r>
      <w:r>
        <w:t xml:space="preserve"> Other indirect evidence (patients not identified through NBS) suggests possible benefits for earlier treatment on quality of life and slowing progression of the disease. Limited observational evidence suggests an increase in ERT-related adverse events arising from earlier ERT use.</w:t>
      </w:r>
    </w:p>
    <w:p w14:paraId="758E9195"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There is no direct evidence for the comparative safety and effectiveness (overall survival) arising from earlier HSCT following an earlier diagnosis of severe MPS II by NBS. Limited observational evidence based on sibling pairs suggests possible benefit on neurocognitive impairment from HSCT delivered prior to symptom onset. </w:t>
      </w:r>
    </w:p>
    <w:p w14:paraId="7973FAA9"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There</w:t>
      </w:r>
      <w:r w:rsidDel="003E196B">
        <w:t xml:space="preserve"> </w:t>
      </w:r>
      <w:r>
        <w:t>are no data to support earlier treatment of children at risk of developing attenuated MPS II.</w:t>
      </w:r>
    </w:p>
    <w:p w14:paraId="71641735" w14:textId="77777777" w:rsidR="00221170" w:rsidRPr="001968C6" w:rsidRDefault="00221170" w:rsidP="00221170">
      <w:pPr>
        <w:pStyle w:val="Normal2"/>
        <w:pBdr>
          <w:top w:val="single" w:sz="4" w:space="1" w:color="auto"/>
          <w:left w:val="single" w:sz="4" w:space="4" w:color="auto"/>
          <w:bottom w:val="single" w:sz="4" w:space="1" w:color="auto"/>
          <w:right w:val="single" w:sz="4" w:space="4" w:color="auto"/>
        </w:pBdr>
        <w:ind w:left="0"/>
      </w:pPr>
      <w:r>
        <w:lastRenderedPageBreak/>
        <w:t>There are potential psychosocial harms associated with diagnostic labelling, clinical surveillance and follow-up testing</w:t>
      </w:r>
      <w:r w:rsidRPr="002A65E3">
        <w:t xml:space="preserve"> </w:t>
      </w:r>
      <w:r>
        <w:t>and</w:t>
      </w:r>
      <w:r w:rsidRPr="002A65E3">
        <w:t xml:space="preserve"> </w:t>
      </w:r>
      <w:r>
        <w:t>potential harms associated with surveillance imaging needed for monitoring children prior to therapy initiation.</w:t>
      </w:r>
    </w:p>
    <w:p w14:paraId="27DB4929" w14:textId="77777777" w:rsidR="00221170" w:rsidRPr="00025DB6"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rPr>
          <w:b/>
        </w:rPr>
      </w:pPr>
      <w:r w:rsidRPr="00025DB6">
        <w:rPr>
          <w:b/>
          <w:bCs/>
          <w:szCs w:val="18"/>
        </w:rPr>
        <w:t>Is the available treatment cost-effective from the proposed earlier age of initiation following NBS screening and diagnosis compared to symptomatic presentation?</w:t>
      </w:r>
    </w:p>
    <w:p w14:paraId="22927BF1"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 department-contracted assessment report (DCAR) evaluated the cost-effectiveness of expanding the NBS to include MPS II compared to current standard of care (management of MPS II at symptom onset in the absence of NBS for MS II). The estimated incremental overall survival (OS) benefit of an extracted case series of only six Japanese patients with clinically presenting severe MPS II who initiated ERT early and were then followed for a median of only 11 years. ESC considered this case series to be the key source of uncertainty in the exploratory QALY-based economic evaluation. </w:t>
      </w:r>
    </w:p>
    <w:p w14:paraId="68A9A26B" w14:textId="36A73256"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 DCAR estimated that it would cost </w:t>
      </w:r>
      <w:r w:rsidRPr="00FD06C7">
        <w:t>$</w:t>
      </w:r>
      <w:r w:rsidR="00E76D2C" w:rsidRPr="00005B99">
        <w:rPr>
          <w:b/>
          <w:bCs/>
        </w:rPr>
        <w:t>REDACTED</w:t>
      </w:r>
      <w:r w:rsidR="00E76D2C">
        <w:rPr>
          <w:b/>
          <w:bCs/>
        </w:rPr>
        <w:t xml:space="preserve"> </w:t>
      </w:r>
      <w:r>
        <w:t xml:space="preserve">per additional case of severe MPS II diagnosed and </w:t>
      </w:r>
      <w:r w:rsidRPr="00CA0425">
        <w:t>$</w:t>
      </w:r>
      <w:r w:rsidR="00E76D2C" w:rsidRPr="00005B99">
        <w:rPr>
          <w:b/>
          <w:bCs/>
        </w:rPr>
        <w:t>REDACTED</w:t>
      </w:r>
      <w:r w:rsidR="00E76D2C">
        <w:rPr>
          <w:b/>
          <w:bCs/>
        </w:rPr>
        <w:t xml:space="preserve"> </w:t>
      </w:r>
      <w:r>
        <w:t>per additional case of MPS II (any subtype) diagnosed.</w:t>
      </w:r>
    </w:p>
    <w:p w14:paraId="4EC8C2DB"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noted the net costs to the LSDP appeared to be overestimated, as these should only be for the earlier use of ERT, and subsequent modelled incremental ERT costs in the economic model should only occur after year 9.</w:t>
      </w:r>
    </w:p>
    <w:p w14:paraId="06E81930"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ESC noted t</w:t>
      </w:r>
      <w:r w:rsidRPr="001806DE">
        <w:t xml:space="preserve">he models’ approach of reducing costs of screening to assess the </w:t>
      </w:r>
      <w:r>
        <w:t>impact on cost-effectiveness</w:t>
      </w:r>
      <w:r w:rsidRPr="001806DE">
        <w:t xml:space="preserve"> of multiplexing provides only a rough estimation. </w:t>
      </w:r>
      <w:r>
        <w:t>ESC considered that a</w:t>
      </w:r>
      <w:r w:rsidRPr="001806DE">
        <w:t xml:space="preserve"> revised “bundled” stepped evaluation of applications 1774, 1775 and 1776 should be considered to ensure any duplication of costs is addressed and cumulative diagnostic yield is appropriately </w:t>
      </w:r>
      <w:r>
        <w:t>captured</w:t>
      </w:r>
      <w:r w:rsidRPr="001806DE">
        <w:t xml:space="preserve"> across the three applications.</w:t>
      </w:r>
      <w:r w:rsidRPr="001806DE" w:rsidDel="001806DE">
        <w:t xml:space="preserve"> </w:t>
      </w:r>
    </w:p>
    <w:p w14:paraId="111B00CF" w14:textId="4742CD28" w:rsidR="00221170" w:rsidRPr="001968C6" w:rsidRDefault="00221170" w:rsidP="00221170">
      <w:pPr>
        <w:pStyle w:val="Normal2"/>
        <w:pBdr>
          <w:top w:val="single" w:sz="4" w:space="1" w:color="auto"/>
          <w:left w:val="single" w:sz="4" w:space="4" w:color="auto"/>
          <w:bottom w:val="single" w:sz="4" w:space="1" w:color="auto"/>
          <w:right w:val="single" w:sz="4" w:space="4" w:color="auto"/>
        </w:pBdr>
        <w:spacing w:after="240"/>
        <w:ind w:left="0"/>
      </w:pPr>
      <w:r>
        <w:t>ESC noted that the one-off set-up costs for program implementation (</w:t>
      </w:r>
      <w:r w:rsidR="004B1CEA">
        <w:t>$</w:t>
      </w:r>
      <w:r w:rsidR="00E76D2C" w:rsidRPr="00005B99">
        <w:rPr>
          <w:b/>
          <w:bCs/>
        </w:rPr>
        <w:t>REDACTED</w:t>
      </w:r>
      <w:r>
        <w:t>) were included in the financial impact but were excluded from the economic modelling.</w:t>
      </w:r>
    </w:p>
    <w:p w14:paraId="53FACBC8" w14:textId="77777777" w:rsidR="00221170" w:rsidRPr="00F3313D"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rPr>
          <w:b/>
        </w:rPr>
      </w:pPr>
      <w:r w:rsidRPr="00F3313D">
        <w:rPr>
          <w:b/>
        </w:rPr>
        <w:t>What is the likely financial impact to all relevant budget holders for NBS screening for the condition</w:t>
      </w:r>
      <w:r w:rsidRPr="00F3313D" w:rsidDel="003568FE">
        <w:rPr>
          <w:b/>
        </w:rPr>
        <w:t>?</w:t>
      </w:r>
    </w:p>
    <w:p w14:paraId="5768958A" w14:textId="4989A782"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 estimated cost of screening was </w:t>
      </w:r>
      <w:r w:rsidR="00181EFC">
        <w:t>$</w:t>
      </w:r>
      <w:r w:rsidR="00152AC1" w:rsidRPr="00005B99">
        <w:rPr>
          <w:b/>
          <w:bCs/>
        </w:rPr>
        <w:t>REDACTED</w:t>
      </w:r>
      <w:r w:rsidR="00152AC1">
        <w:rPr>
          <w:b/>
          <w:bCs/>
        </w:rPr>
        <w:t xml:space="preserve"> </w:t>
      </w:r>
      <w:r>
        <w:t xml:space="preserve">in year 1 </w:t>
      </w:r>
      <w:r w:rsidRPr="004B1CEA">
        <w:t xml:space="preserve">and </w:t>
      </w:r>
      <w:r w:rsidRPr="00011DA9">
        <w:t>$</w:t>
      </w:r>
      <w:r w:rsidR="004B1CEA" w:rsidRPr="004B1CEA">
        <w:rPr>
          <w:b/>
          <w:bCs/>
        </w:rPr>
        <w:t>REDACTED</w:t>
      </w:r>
      <w:r w:rsidR="004B1CEA" w:rsidRPr="00011DA9" w:rsidDel="004B1CEA">
        <w:t xml:space="preserve"> </w:t>
      </w:r>
      <w:r w:rsidRPr="004B1CEA">
        <w:t>in year</w:t>
      </w:r>
      <w:r>
        <w:t xml:space="preserve"> 6, noting there may be additional LSDP expenditure not captured in the current assessment.</w:t>
      </w:r>
    </w:p>
    <w:p w14:paraId="623DBFD3" w14:textId="77777777" w:rsidR="00221170" w:rsidRPr="00F3313D" w:rsidRDefault="00221170" w:rsidP="00BE0CE4">
      <w:pPr>
        <w:pStyle w:val="ListParagraph"/>
        <w:numPr>
          <w:ilvl w:val="0"/>
          <w:numId w:val="21"/>
        </w:numPr>
        <w:pBdr>
          <w:top w:val="single" w:sz="4" w:space="1" w:color="auto"/>
          <w:left w:val="single" w:sz="4" w:space="4" w:color="auto"/>
          <w:bottom w:val="single" w:sz="4" w:space="1" w:color="auto"/>
          <w:right w:val="single" w:sz="4" w:space="4" w:color="auto"/>
        </w:pBdr>
        <w:spacing w:before="0"/>
        <w:ind w:left="284" w:hanging="284"/>
        <w:rPr>
          <w:b/>
        </w:rPr>
      </w:pPr>
      <w:r w:rsidRPr="00F3313D">
        <w:rPr>
          <w:b/>
        </w:rPr>
        <w:t>What are the relevant ethical (incl. equity), legal, social or organisational aspects specific to screening for this condition?</w:t>
      </w:r>
    </w:p>
    <w:p w14:paraId="75F4E2AE" w14:textId="77777777" w:rsidR="00221170" w:rsidRDefault="00221170" w:rsidP="00221170">
      <w:pPr>
        <w:pStyle w:val="Normal2"/>
        <w:pBdr>
          <w:top w:val="single" w:sz="4" w:space="1" w:color="auto"/>
          <w:left w:val="single" w:sz="4" w:space="4" w:color="auto"/>
          <w:bottom w:val="single" w:sz="4" w:space="1" w:color="auto"/>
          <w:right w:val="single" w:sz="4" w:space="4" w:color="auto"/>
        </w:pBdr>
        <w:ind w:left="0"/>
      </w:pPr>
      <w:r>
        <w:t xml:space="preserve">The newborn </w:t>
      </w:r>
      <w:r w:rsidRPr="00325BE4">
        <w:t xml:space="preserve">screening, diagnostic and clinical management pathway will identify individuals who are at-risk for </w:t>
      </w:r>
      <w:r>
        <w:t xml:space="preserve">attenuated disease. This includes </w:t>
      </w:r>
      <w:r w:rsidRPr="00325BE4">
        <w:t xml:space="preserve">cases where </w:t>
      </w:r>
      <w:r>
        <w:t xml:space="preserve">clinically apparent </w:t>
      </w:r>
      <w:r w:rsidRPr="00325BE4">
        <w:t>disease does not eventuate. There are no national clinical management guidelines to guide the use of ERT</w:t>
      </w:r>
      <w:r>
        <w:t xml:space="preserve"> </w:t>
      </w:r>
      <w:r w:rsidRPr="00325BE4">
        <w:t>in children who are presymptomatic</w:t>
      </w:r>
      <w:r>
        <w:t xml:space="preserve"> but whose disease onset and severity cannot be “clearly predicted”.</w:t>
      </w:r>
    </w:p>
    <w:p w14:paraId="4EA93608" w14:textId="77777777" w:rsidR="00221170" w:rsidRPr="00F36FBC" w:rsidRDefault="00221170" w:rsidP="00221170">
      <w:pPr>
        <w:pStyle w:val="Normal2"/>
        <w:pBdr>
          <w:top w:val="single" w:sz="4" w:space="1" w:color="auto"/>
          <w:left w:val="single" w:sz="4" w:space="4" w:color="auto"/>
          <w:bottom w:val="single" w:sz="4" w:space="1" w:color="auto"/>
          <w:right w:val="single" w:sz="4" w:space="4" w:color="auto"/>
        </w:pBdr>
        <w:spacing w:after="240"/>
        <w:ind w:left="0"/>
      </w:pPr>
      <w:r w:rsidRPr="00DF2774">
        <w:t xml:space="preserve">If NBS for </w:t>
      </w:r>
      <w:r>
        <w:t>MPS</w:t>
      </w:r>
      <w:r w:rsidRPr="00DF2774">
        <w:t xml:space="preserve"> II is implemented</w:t>
      </w:r>
      <w:r>
        <w:t>,</w:t>
      </w:r>
      <w:r w:rsidRPr="00DF2774">
        <w:t xml:space="preserve"> there w</w:t>
      </w:r>
      <w:r>
        <w:t>ould</w:t>
      </w:r>
      <w:r w:rsidRPr="00DF2774">
        <w:t xml:space="preserve"> need to be changes to the pre-test consent process informed by the approach of reporting and managing </w:t>
      </w:r>
      <w:r>
        <w:t>VUS</w:t>
      </w:r>
      <w:r w:rsidRPr="00DF2774">
        <w:t xml:space="preserve">, and in relation to managing uncertainty in the prognostic utility of screening in predicting disease subtype, age at onset and severity of disease (these issues may be common across </w:t>
      </w:r>
      <w:r>
        <w:t xml:space="preserve">NBS-related </w:t>
      </w:r>
      <w:r w:rsidRPr="00DF2774">
        <w:t>applications).</w:t>
      </w:r>
    </w:p>
    <w:p w14:paraId="4C8A9E75" w14:textId="77777777" w:rsidR="00221170" w:rsidRPr="00F36FBC" w:rsidRDefault="00221170" w:rsidP="00221170">
      <w:pPr>
        <w:pStyle w:val="Normal2"/>
        <w:pBdr>
          <w:top w:val="single" w:sz="4" w:space="1" w:color="auto"/>
          <w:left w:val="single" w:sz="4" w:space="4" w:color="auto"/>
          <w:bottom w:val="single" w:sz="4" w:space="1" w:color="auto"/>
          <w:right w:val="single" w:sz="4" w:space="4" w:color="auto"/>
        </w:pBdr>
        <w:spacing w:after="240"/>
        <w:ind w:left="0"/>
      </w:pPr>
      <w:r>
        <w:t>There would also be an</w:t>
      </w:r>
      <w:r w:rsidRPr="00C3712C">
        <w:t xml:space="preserve"> ethical obligation to inform parents of a confirmed MPS II diagnosis </w:t>
      </w:r>
      <w:r>
        <w:t xml:space="preserve">in order to </w:t>
      </w:r>
      <w:r w:rsidRPr="00C3712C">
        <w:t>obtain their consent to proceed with further investigation of the child beyond the original bloodspot sample</w:t>
      </w:r>
      <w:r>
        <w:t xml:space="preserve">. </w:t>
      </w:r>
      <w:r w:rsidRPr="001211EB">
        <w:rPr>
          <w:szCs w:val="18"/>
        </w:rPr>
        <w:t xml:space="preserve">Additionally, once further investigation is conducted, ethical principles of transparency and full disclosure </w:t>
      </w:r>
      <w:r>
        <w:rPr>
          <w:szCs w:val="18"/>
        </w:rPr>
        <w:t xml:space="preserve">would </w:t>
      </w:r>
      <w:r w:rsidRPr="001211EB">
        <w:rPr>
          <w:szCs w:val="18"/>
        </w:rPr>
        <w:t>necessitate informing parents of the outcome of the further investigation</w:t>
      </w:r>
      <w:r>
        <w:rPr>
          <w:szCs w:val="18"/>
        </w:rPr>
        <w:t>.</w:t>
      </w:r>
    </w:p>
    <w:p w14:paraId="4928C9C5" w14:textId="77777777" w:rsidR="00221170" w:rsidRDefault="00221170" w:rsidP="00221170">
      <w:pPr>
        <w:pStyle w:val="Heading3"/>
        <w:rPr>
          <w:rStyle w:val="Strong"/>
        </w:rPr>
      </w:pPr>
      <w:r w:rsidRPr="00194327">
        <w:rPr>
          <w:rStyle w:val="Strong"/>
        </w:rPr>
        <w:lastRenderedPageBreak/>
        <w:t>ESC discussion</w:t>
      </w:r>
    </w:p>
    <w:p w14:paraId="3CD16827" w14:textId="77777777" w:rsidR="00221170" w:rsidRDefault="00221170" w:rsidP="00221170">
      <w:r w:rsidRPr="5EAD0D1C">
        <w:rPr>
          <w:rStyle w:val="Strong"/>
          <w:b w:val="0"/>
          <w:bCs w:val="0"/>
        </w:rPr>
        <w:t xml:space="preserve">ESC noted </w:t>
      </w:r>
      <w:r>
        <w:rPr>
          <w:rStyle w:val="Strong"/>
          <w:b w:val="0"/>
          <w:bCs w:val="0"/>
        </w:rPr>
        <w:t xml:space="preserve">that </w:t>
      </w:r>
      <w:r w:rsidRPr="5EAD0D1C">
        <w:rPr>
          <w:rStyle w:val="Strong"/>
          <w:b w:val="0"/>
          <w:bCs w:val="0"/>
        </w:rPr>
        <w:t>this application</w:t>
      </w:r>
      <w:r>
        <w:rPr>
          <w:rStyle w:val="Strong"/>
          <w:b w:val="0"/>
          <w:bCs w:val="0"/>
        </w:rPr>
        <w:t>,</w:t>
      </w:r>
      <w:r w:rsidRPr="5EAD0D1C">
        <w:rPr>
          <w:rStyle w:val="Strong"/>
          <w:b w:val="0"/>
          <w:bCs w:val="0"/>
        </w:rPr>
        <w:t xml:space="preserve"> from the Department of Health and Aged Care Newborn Bloodspot Screening (NBS)</w:t>
      </w:r>
      <w:r>
        <w:rPr>
          <w:rStyle w:val="Strong"/>
          <w:b w:val="0"/>
          <w:bCs w:val="0"/>
        </w:rPr>
        <w:t xml:space="preserve"> Section, sought the addition of</w:t>
      </w:r>
      <w:r w:rsidRPr="5EAD0D1C">
        <w:rPr>
          <w:rStyle w:val="Strong"/>
          <w:b w:val="0"/>
          <w:bCs w:val="0"/>
        </w:rPr>
        <w:t xml:space="preserve"> </w:t>
      </w:r>
      <w:r>
        <w:rPr>
          <w:rStyle w:val="Strong"/>
          <w:b w:val="0"/>
          <w:bCs w:val="0"/>
        </w:rPr>
        <w:t>mucopolysaccharidosis type II (</w:t>
      </w:r>
      <w:r>
        <w:t>MPS II, or Hunter syndrome)</w:t>
      </w:r>
      <w:r w:rsidRPr="5EAD0D1C">
        <w:rPr>
          <w:rStyle w:val="Strong"/>
        </w:rPr>
        <w:t xml:space="preserve"> </w:t>
      </w:r>
      <w:r w:rsidRPr="5EAD0D1C">
        <w:rPr>
          <w:rStyle w:val="Strong"/>
          <w:b w:val="0"/>
          <w:bCs w:val="0"/>
        </w:rPr>
        <w:t xml:space="preserve">to the list of conditions screened as part of </w:t>
      </w:r>
      <w:r>
        <w:rPr>
          <w:rStyle w:val="Strong"/>
          <w:b w:val="0"/>
          <w:bCs w:val="0"/>
        </w:rPr>
        <w:t>Australia’s</w:t>
      </w:r>
      <w:r w:rsidRPr="5EAD0D1C">
        <w:rPr>
          <w:rStyle w:val="Strong"/>
          <w:b w:val="0"/>
          <w:bCs w:val="0"/>
        </w:rPr>
        <w:t xml:space="preserve"> NBS</w:t>
      </w:r>
      <w:r>
        <w:rPr>
          <w:rStyle w:val="Strong"/>
          <w:b w:val="0"/>
          <w:bCs w:val="0"/>
        </w:rPr>
        <w:t xml:space="preserve"> programs</w:t>
      </w:r>
      <w:r w:rsidRPr="5EAD0D1C">
        <w:rPr>
          <w:rStyle w:val="Strong"/>
          <w:b w:val="0"/>
          <w:bCs w:val="0"/>
        </w:rPr>
        <w:t>.</w:t>
      </w:r>
      <w:r w:rsidRPr="00786280">
        <w:t xml:space="preserve"> </w:t>
      </w:r>
      <w:r>
        <w:t xml:space="preserve">ESC noted that the Australian Government first announced funding under the 2022-23 Budget, with further provisions under the 2024-2025 Budget to support expansion of NBS programs. </w:t>
      </w:r>
    </w:p>
    <w:p w14:paraId="489574FD" w14:textId="77777777" w:rsidR="00221170" w:rsidRDefault="00221170" w:rsidP="00221170">
      <w:r>
        <w:t>ESC noted that the NBS is underpinned by the NBS National Policy Framework (NBS NPF)</w:t>
      </w:r>
      <w:r>
        <w:rPr>
          <w:rStyle w:val="FootnoteReference"/>
        </w:rPr>
        <w:footnoteReference w:id="42"/>
      </w:r>
      <w:r>
        <w:t xml:space="preserve">, and implementation remains jurisdiction-based, with screening provided by five NBS laboratories across Australia. For a condition to progress to MSAC for assessment, it needs to align with the NBS NPF, which outlines several criteria the condition must meet. These include that: the condition is serious and benefits from early diagnosis in the newborn period; that there is a suitable screening test available; and having an effective intervention or treatment available. </w:t>
      </w:r>
      <w:r>
        <w:rPr>
          <w:lang w:val="en-US"/>
        </w:rPr>
        <w:t xml:space="preserve">ESC further noted that the 9 </w:t>
      </w:r>
      <w:r w:rsidRPr="00BA487D">
        <w:rPr>
          <w:lang w:val="en-US"/>
        </w:rPr>
        <w:t>Lysosomal Storage Disorder</w:t>
      </w:r>
      <w:r>
        <w:rPr>
          <w:lang w:val="en-US"/>
        </w:rPr>
        <w:t>s</w:t>
      </w:r>
      <w:r w:rsidRPr="00BA487D">
        <w:rPr>
          <w:lang w:val="en-US"/>
        </w:rPr>
        <w:t xml:space="preserve"> </w:t>
      </w:r>
      <w:r>
        <w:rPr>
          <w:lang w:val="en-US"/>
        </w:rPr>
        <w:t xml:space="preserve">(LSD) have been </w:t>
      </w:r>
      <w:r w:rsidRPr="00BA487D">
        <w:rPr>
          <w:lang w:val="en-US"/>
        </w:rPr>
        <w:t>considered</w:t>
      </w:r>
      <w:r>
        <w:rPr>
          <w:lang w:val="en-US"/>
        </w:rPr>
        <w:t xml:space="preserve"> to date by the National NBS Program Management Committee, out of which 3 have been referred to MSAC for assessment</w:t>
      </w:r>
      <w:r w:rsidDel="008D2395">
        <w:t xml:space="preserve"> </w:t>
      </w:r>
      <w:r>
        <w:t xml:space="preserve">(MSAC applications </w:t>
      </w:r>
      <w:r w:rsidRPr="00F0763C">
        <w:rPr>
          <w:lang w:val="en-US"/>
        </w:rPr>
        <w:t>1774</w:t>
      </w:r>
      <w:r w:rsidRPr="00F0763C">
        <w:rPr>
          <w:rStyle w:val="FootnoteReference"/>
          <w:lang w:val="en-US"/>
        </w:rPr>
        <w:footnoteReference w:id="43"/>
      </w:r>
      <w:r w:rsidRPr="00F0763C">
        <w:rPr>
          <w:lang w:val="en-US"/>
        </w:rPr>
        <w:t>, 1775</w:t>
      </w:r>
      <w:r w:rsidRPr="00F0763C">
        <w:rPr>
          <w:rStyle w:val="FootnoteReference"/>
          <w:lang w:val="en-US"/>
        </w:rPr>
        <w:footnoteReference w:id="44"/>
      </w:r>
      <w:r w:rsidRPr="00F0763C">
        <w:rPr>
          <w:lang w:val="en-US"/>
        </w:rPr>
        <w:t xml:space="preserve"> and 1776</w:t>
      </w:r>
      <w:r w:rsidRPr="00F0763C">
        <w:rPr>
          <w:rStyle w:val="FootnoteReference"/>
          <w:lang w:val="en-US"/>
        </w:rPr>
        <w:footnoteReference w:id="45"/>
      </w:r>
      <w:r>
        <w:t>).</w:t>
      </w:r>
    </w:p>
    <w:p w14:paraId="28B5D911" w14:textId="77777777" w:rsidR="00221170" w:rsidRPr="00AA67B1" w:rsidRDefault="00221170" w:rsidP="00221170">
      <w:pPr>
        <w:rPr>
          <w:rStyle w:val="Strong"/>
          <w:b w:val="0"/>
          <w:bCs w:val="0"/>
        </w:rPr>
      </w:pPr>
      <w:r>
        <w:t>ESC noted that, as a starting premise for evaluation, newborn genetic screening needs to fulfil the same criteria for net benefit and cost-effectiveness as any screening program, and additionally must justify why screening should occur in the newborn period.</w:t>
      </w:r>
    </w:p>
    <w:p w14:paraId="63551BC5" w14:textId="498FC26E" w:rsidR="00221170" w:rsidRDefault="00221170" w:rsidP="00221170">
      <w:r w:rsidRPr="46342D3F">
        <w:t>ESC noted and welcomed public consultation feedback from</w:t>
      </w:r>
      <w:r>
        <w:t xml:space="preserve"> 9 organisations and 2 individuals (1 consumer and 1 health professional). ESC noted that the feedback</w:t>
      </w:r>
      <w:r w:rsidRPr="46342D3F">
        <w:t xml:space="preserve"> was </w:t>
      </w:r>
      <w:r>
        <w:t xml:space="preserve">broadly </w:t>
      </w:r>
      <w:r w:rsidRPr="46342D3F">
        <w:t>supportive</w:t>
      </w:r>
      <w:r>
        <w:t xml:space="preserve"> of screening for MPS II, but also raised some concerns around the test methodology and overdiagnosis of newborns who may never develop clinical signs or symptoms of MPS II</w:t>
      </w:r>
      <w:r w:rsidRPr="46342D3F">
        <w:t xml:space="preserve">. </w:t>
      </w:r>
      <w:r>
        <w:t>The f</w:t>
      </w:r>
      <w:r w:rsidRPr="46342D3F">
        <w:t xml:space="preserve">eedback </w:t>
      </w:r>
      <w:r>
        <w:t>indicated</w:t>
      </w:r>
      <w:r w:rsidRPr="46342D3F">
        <w:t xml:space="preserve"> that </w:t>
      </w:r>
      <w:r>
        <w:t>the main perceived benefit</w:t>
      </w:r>
      <w:r w:rsidRPr="46342D3F">
        <w:t xml:space="preserve"> </w:t>
      </w:r>
      <w:r>
        <w:t>of</w:t>
      </w:r>
      <w:r w:rsidRPr="46342D3F">
        <w:t xml:space="preserve"> </w:t>
      </w:r>
      <w:r>
        <w:t>screening for MPS II was</w:t>
      </w:r>
      <w:r w:rsidRPr="46342D3F">
        <w:t xml:space="preserve"> earl</w:t>
      </w:r>
      <w:r>
        <w:t>ier</w:t>
      </w:r>
      <w:r w:rsidRPr="46342D3F">
        <w:t xml:space="preserve"> detection and </w:t>
      </w:r>
      <w:r>
        <w:t>diagnosis, and subsequent earlier</w:t>
      </w:r>
      <w:r w:rsidRPr="46342D3F">
        <w:t xml:space="preserve"> intervention or monitoring</w:t>
      </w:r>
      <w:r>
        <w:t>,</w:t>
      </w:r>
      <w:r w:rsidRPr="46342D3F">
        <w:t xml:space="preserve"> depending on the form </w:t>
      </w:r>
      <w:r>
        <w:t>of MPS II</w:t>
      </w:r>
      <w:r w:rsidRPr="46342D3F">
        <w:t xml:space="preserve"> identified. </w:t>
      </w:r>
      <w:r>
        <w:t>Earlier diagnosis would also</w:t>
      </w:r>
      <w:r w:rsidRPr="46342D3F">
        <w:t xml:space="preserve"> </w:t>
      </w:r>
      <w:r>
        <w:t>avoid the</w:t>
      </w:r>
      <w:r w:rsidRPr="46342D3F">
        <w:t xml:space="preserve"> diagnostic </w:t>
      </w:r>
      <w:r w:rsidR="007104CE">
        <w:t xml:space="preserve">delay </w:t>
      </w:r>
      <w:r>
        <w:t>and associated stress for both newborns and their families</w:t>
      </w:r>
      <w:r w:rsidRPr="46342D3F">
        <w:t>.</w:t>
      </w:r>
      <w:r>
        <w:t xml:space="preserve"> ESC noted that feedback also considered the</w:t>
      </w:r>
      <w:r w:rsidRPr="46342D3F">
        <w:t xml:space="preserve"> equity of access</w:t>
      </w:r>
      <w:r>
        <w:t xml:space="preserve"> associated with NBS (i.e. that screening is without cost and accessible to all families) to be important.</w:t>
      </w:r>
      <w:r w:rsidRPr="46342D3F">
        <w:t xml:space="preserve"> </w:t>
      </w:r>
      <w:r>
        <w:t>ESC noted that feedback stated that</w:t>
      </w:r>
      <w:r w:rsidRPr="46342D3F">
        <w:t xml:space="preserve"> earlier access to treatment</w:t>
      </w:r>
      <w:r>
        <w:t xml:space="preserve"> was likely to </w:t>
      </w:r>
      <w:r w:rsidRPr="46342D3F">
        <w:t xml:space="preserve">help slow disease progression and decrease morbidity, </w:t>
      </w:r>
      <w:r>
        <w:t>and that screening would also facilitate access to any</w:t>
      </w:r>
      <w:r w:rsidRPr="46342D3F">
        <w:t xml:space="preserve"> future treatments on the horizon</w:t>
      </w:r>
      <w:r>
        <w:t>, which</w:t>
      </w:r>
      <w:r w:rsidRPr="46342D3F">
        <w:t xml:space="preserve"> may be more effective or curative. </w:t>
      </w:r>
      <w:r>
        <w:t>However, ESC also noted that some feedback raised concerns</w:t>
      </w:r>
      <w:r w:rsidRPr="46342D3F">
        <w:t xml:space="preserve"> about </w:t>
      </w:r>
      <w:r>
        <w:t>the limited evidence</w:t>
      </w:r>
      <w:r w:rsidRPr="46342D3F">
        <w:t xml:space="preserve"> </w:t>
      </w:r>
      <w:r>
        <w:t>on</w:t>
      </w:r>
      <w:r w:rsidRPr="46342D3F">
        <w:t xml:space="preserve"> </w:t>
      </w:r>
      <w:r>
        <w:t>the benefits of treatment, particularly for those under 1 year of age, and the associated risks of treatment, particularly with HSCT. ESC also noted c</w:t>
      </w:r>
      <w:r w:rsidRPr="46342D3F">
        <w:t>oncerns about</w:t>
      </w:r>
      <w:r>
        <w:t xml:space="preserve"> the potential for</w:t>
      </w:r>
      <w:r w:rsidRPr="46342D3F">
        <w:t xml:space="preserve"> false positive</w:t>
      </w:r>
      <w:r>
        <w:t xml:space="preserve"> (FP)</w:t>
      </w:r>
      <w:r w:rsidRPr="46342D3F">
        <w:t xml:space="preserve"> </w:t>
      </w:r>
      <w:r>
        <w:t>results,</w:t>
      </w:r>
      <w:r w:rsidRPr="46342D3F">
        <w:t xml:space="preserve"> </w:t>
      </w:r>
      <w:r>
        <w:t>as well as the potential for individuals to be diagnosed with</w:t>
      </w:r>
      <w:r w:rsidRPr="46342D3F">
        <w:t xml:space="preserve"> </w:t>
      </w:r>
      <w:r>
        <w:t>MPS II</w:t>
      </w:r>
      <w:r w:rsidRPr="46342D3F">
        <w:t xml:space="preserve"> without full understanding of the condition </w:t>
      </w:r>
      <w:r>
        <w:t>or its associated impacts, particularly for the</w:t>
      </w:r>
      <w:r w:rsidRPr="46342D3F">
        <w:t xml:space="preserve"> late</w:t>
      </w:r>
      <w:r>
        <w:t>r</w:t>
      </w:r>
      <w:r w:rsidRPr="46342D3F">
        <w:t xml:space="preserve"> onset form. Feedback highlighted the importance of education and counselling for affected families.</w:t>
      </w:r>
      <w:r>
        <w:t xml:space="preserve"> ESC noted that feedback from families or carers of individuals with MPS II indicated that the benefits of screening were considered to outweigh any potential disadvantages.</w:t>
      </w:r>
    </w:p>
    <w:p w14:paraId="5317300E" w14:textId="77777777" w:rsidR="00221170" w:rsidRDefault="00221170" w:rsidP="00221170">
      <w:r>
        <w:rPr>
          <w:rStyle w:val="Strong"/>
          <w:b w:val="0"/>
          <w:bCs w:val="0"/>
        </w:rPr>
        <w:t xml:space="preserve">ESC noted that </w:t>
      </w:r>
      <w:r w:rsidRPr="7C4E3BA4">
        <w:rPr>
          <w:rStyle w:val="Strong"/>
          <w:b w:val="0"/>
          <w:bCs w:val="0"/>
        </w:rPr>
        <w:t xml:space="preserve">MPS II is an </w:t>
      </w:r>
      <w:r w:rsidRPr="7C4E3BA4">
        <w:t xml:space="preserve">X-linked recessive </w:t>
      </w:r>
      <w:r>
        <w:t>LSD</w:t>
      </w:r>
      <w:r w:rsidRPr="7C4E3BA4">
        <w:t xml:space="preserve"> caused by an inherited deficiency </w:t>
      </w:r>
      <w:r>
        <w:t xml:space="preserve">or absence </w:t>
      </w:r>
      <w:r w:rsidRPr="7C4E3BA4">
        <w:t xml:space="preserve">of the iduronate 2-sulfatase (IDS) enzyme required to break down GAGs in the lysosomes within cells, leading to impaired cellular function. </w:t>
      </w:r>
      <w:r>
        <w:t xml:space="preserve">Clinical disease varies across a continuum, with two broad subtypes: </w:t>
      </w:r>
    </w:p>
    <w:p w14:paraId="3B9B5A9C" w14:textId="77777777" w:rsidR="00221170" w:rsidRPr="002A652C" w:rsidRDefault="00221170" w:rsidP="00221170">
      <w:pPr>
        <w:pStyle w:val="ListBullet"/>
      </w:pPr>
      <w:r>
        <w:lastRenderedPageBreak/>
        <w:t xml:space="preserve">A </w:t>
      </w:r>
      <w:r w:rsidRPr="002A652C">
        <w:t>severe</w:t>
      </w:r>
      <w:r>
        <w:t xml:space="preserve"> (</w:t>
      </w:r>
      <w:r w:rsidRPr="002A652C">
        <w:t>neuronopathic</w:t>
      </w:r>
      <w:r>
        <w:t>)</w:t>
      </w:r>
      <w:r w:rsidRPr="002A652C">
        <w:t xml:space="preserve"> form with</w:t>
      </w:r>
      <w:r>
        <w:t xml:space="preserve"> central nervous system</w:t>
      </w:r>
      <w:r w:rsidRPr="002A652C">
        <w:t xml:space="preserve"> </w:t>
      </w:r>
      <w:r>
        <w:t>(</w:t>
      </w:r>
      <w:r w:rsidRPr="002A652C">
        <w:t>CNS</w:t>
      </w:r>
      <w:r>
        <w:t>)</w:t>
      </w:r>
      <w:r w:rsidRPr="002A652C">
        <w:t xml:space="preserve"> involvement</w:t>
      </w:r>
      <w:r>
        <w:t xml:space="preserve">, </w:t>
      </w:r>
      <w:r w:rsidRPr="002A652C">
        <w:t>incl</w:t>
      </w:r>
      <w:r>
        <w:t>uding</w:t>
      </w:r>
      <w:r w:rsidRPr="002A652C">
        <w:t xml:space="preserve"> cognitive disability</w:t>
      </w:r>
      <w:r>
        <w:t>, with</w:t>
      </w:r>
      <w:r w:rsidRPr="002A652C">
        <w:t xml:space="preserve"> earlier onset</w:t>
      </w:r>
      <w:r>
        <w:t>.</w:t>
      </w:r>
    </w:p>
    <w:p w14:paraId="51EFDE20" w14:textId="77777777" w:rsidR="00221170" w:rsidRPr="00513F67" w:rsidRDefault="00221170" w:rsidP="00221170">
      <w:pPr>
        <w:pStyle w:val="ListBullet"/>
        <w:rPr>
          <w:rStyle w:val="Strong"/>
          <w:b w:val="0"/>
          <w:bCs w:val="0"/>
        </w:rPr>
      </w:pPr>
      <w:r>
        <w:t xml:space="preserve">A </w:t>
      </w:r>
      <w:r w:rsidRPr="002A652C">
        <w:t>milder</w:t>
      </w:r>
      <w:r>
        <w:t>,</w:t>
      </w:r>
      <w:r w:rsidRPr="002A652C">
        <w:t xml:space="preserve"> attenuated </w:t>
      </w:r>
      <w:r>
        <w:t>(</w:t>
      </w:r>
      <w:r w:rsidRPr="002A652C">
        <w:t>non-neuronopathic</w:t>
      </w:r>
      <w:r>
        <w:t>)</w:t>
      </w:r>
      <w:r w:rsidRPr="002A652C">
        <w:t xml:space="preserve"> form with later</w:t>
      </w:r>
      <w:r>
        <w:t xml:space="preserve"> (including adult)</w:t>
      </w:r>
      <w:r w:rsidRPr="002A652C">
        <w:t xml:space="preserve"> onset</w:t>
      </w:r>
      <w:r>
        <w:t>.</w:t>
      </w:r>
    </w:p>
    <w:p w14:paraId="7A294817" w14:textId="77777777" w:rsidR="00221170" w:rsidRDefault="00221170" w:rsidP="00221170">
      <w:r>
        <w:t xml:space="preserve">ESC noted that the milder form is sometimes further categorised into ‘attenuated’ and ‘very attenuated’ subtypes. ESC noted that for those with the severe neuronopathic form, signs of MPS II are typically observed from 6-12 months of age, and life expectancy is 10-20 years of age. Those with severe MPS II do not meet developmental milestones within the first years of life, and later regress developmentally, losing cognitive function such as speech and language, and fine motor skills. Other characteristics or clinical features include hydrocephalus, frequent upper respiratory infections, sleep apnoea due to narrowing of the airway, an enlarged liver and spleen, hearing loss, reduced vision, narrowing of the spinal canal compressing the spinal cord, heart valve abnormalities leading to heart rhythm abnormalities, and skeletal abnormalities. For those with the late-onset form, the disease is similar but milder, without CNS involvement, and life expectancy is 60-70 years of age. ESC noted that while females are typically carriers, there are also rare instances in which females with a genetic variant may be symptomatic. </w:t>
      </w:r>
    </w:p>
    <w:p w14:paraId="1CBF8BB9" w14:textId="77777777" w:rsidR="00221170" w:rsidRDefault="00221170" w:rsidP="00221170">
      <w:pPr>
        <w:rPr>
          <w:rStyle w:val="Strong"/>
          <w:b w:val="0"/>
          <w:bCs w:val="0"/>
        </w:rPr>
      </w:pPr>
      <w:r>
        <w:rPr>
          <w:rStyle w:val="Strong"/>
          <w:b w:val="0"/>
          <w:bCs w:val="0"/>
        </w:rPr>
        <w:t xml:space="preserve">ESC noted that MPS II is an </w:t>
      </w:r>
      <w:r w:rsidRPr="7C4E3BA4">
        <w:rPr>
          <w:rStyle w:val="Strong"/>
          <w:b w:val="0"/>
          <w:bCs w:val="0"/>
        </w:rPr>
        <w:t>ultra-rare</w:t>
      </w:r>
      <w:r>
        <w:rPr>
          <w:rStyle w:val="Strong"/>
          <w:b w:val="0"/>
          <w:bCs w:val="0"/>
        </w:rPr>
        <w:t xml:space="preserve"> </w:t>
      </w:r>
      <w:r w:rsidRPr="00DA0FA0">
        <w:rPr>
          <w:rStyle w:val="Strong"/>
          <w:b w:val="0"/>
          <w:bCs w:val="0"/>
        </w:rPr>
        <w:t>(defined as 1 or fewer case</w:t>
      </w:r>
      <w:r>
        <w:rPr>
          <w:rStyle w:val="Strong"/>
          <w:b w:val="0"/>
          <w:bCs w:val="0"/>
        </w:rPr>
        <w:t>s</w:t>
      </w:r>
      <w:r w:rsidRPr="00DA0FA0">
        <w:rPr>
          <w:rStyle w:val="Strong"/>
          <w:b w:val="0"/>
          <w:bCs w:val="0"/>
        </w:rPr>
        <w:t xml:space="preserve"> per 50,000 births)</w:t>
      </w:r>
      <w:r>
        <w:rPr>
          <w:rStyle w:val="Strong"/>
          <w:b w:val="0"/>
          <w:bCs w:val="0"/>
        </w:rPr>
        <w:t xml:space="preserve"> condition, with an estimated incidence in Australia of 0.62 per 100,000 live births (i.e. approximately 2 cases per year), although the exact incidence of MPS II in Australia remains unknown. ESC noted estimates that, in Australia, 75% of cases diagnosed through clinical identification are severe, while 25% of cases are attenuated (i.e. attenuated or very attenuated). This equates to an incidence of severe MPS II of approximately 0.47 per 100,000 live births (~1.43 cases per year), and an incidence of attenuated MPS II of approximately 0.15 per 100,000 live births (~0.47 cases per year).</w:t>
      </w:r>
    </w:p>
    <w:p w14:paraId="7B600B4D" w14:textId="21B758DD" w:rsidR="00221170" w:rsidRDefault="00221170" w:rsidP="00221170">
      <w:r w:rsidRPr="00776415">
        <w:t xml:space="preserve">ESC noted </w:t>
      </w:r>
      <w:r>
        <w:t>the current and proposed clinical management algorithms. ESC noted</w:t>
      </w:r>
      <w:r w:rsidRPr="00776415">
        <w:t xml:space="preserve"> that the proposed population for NBS is all newborns (PICO set 1) participating in NBS programs in Australia</w:t>
      </w:r>
      <w:r>
        <w:t xml:space="preserve">. </w:t>
      </w:r>
      <w:r>
        <w:rPr>
          <w:rStyle w:val="Strong"/>
          <w:b w:val="0"/>
        </w:rPr>
        <w:t xml:space="preserve">The proposed screening strategy for PICO set 1 is </w:t>
      </w:r>
      <w:r w:rsidRPr="4B343176">
        <w:rPr>
          <w:rStyle w:val="Strong"/>
          <w:b w:val="0"/>
        </w:rPr>
        <w:t xml:space="preserve">NBS </w:t>
      </w:r>
      <w:r>
        <w:rPr>
          <w:rStyle w:val="Strong"/>
          <w:b w:val="0"/>
        </w:rPr>
        <w:t xml:space="preserve">using </w:t>
      </w:r>
      <w:r w:rsidRPr="00C033B8">
        <w:rPr>
          <w:rStyle w:val="Strong"/>
          <w:b w:val="0"/>
        </w:rPr>
        <w:t xml:space="preserve">a 2-tier testing strategy, </w:t>
      </w:r>
      <w:r>
        <w:rPr>
          <w:rStyle w:val="Strong"/>
          <w:b w:val="0"/>
        </w:rPr>
        <w:t xml:space="preserve">with </w:t>
      </w:r>
      <w:r w:rsidRPr="00C033B8">
        <w:rPr>
          <w:rStyle w:val="Strong"/>
          <w:b w:val="0"/>
        </w:rPr>
        <w:t xml:space="preserve">both </w:t>
      </w:r>
      <w:r>
        <w:rPr>
          <w:rStyle w:val="Strong"/>
          <w:b w:val="0"/>
        </w:rPr>
        <w:t xml:space="preserve">tests </w:t>
      </w:r>
      <w:r w:rsidRPr="00C033B8">
        <w:rPr>
          <w:rStyle w:val="Strong"/>
          <w:b w:val="0"/>
        </w:rPr>
        <w:t>performed on the dried bloodspot</w:t>
      </w:r>
      <w:r>
        <w:rPr>
          <w:rStyle w:val="Strong"/>
          <w:b w:val="0"/>
        </w:rPr>
        <w:t xml:space="preserve"> (DBS)</w:t>
      </w:r>
      <w:r w:rsidRPr="00C033B8">
        <w:rPr>
          <w:rStyle w:val="Strong"/>
          <w:b w:val="0"/>
        </w:rPr>
        <w:t xml:space="preserve">. The first-tier test </w:t>
      </w:r>
      <w:r>
        <w:rPr>
          <w:rStyle w:val="Strong"/>
          <w:b w:val="0"/>
        </w:rPr>
        <w:t>would examine</w:t>
      </w:r>
      <w:r w:rsidRPr="00C033B8">
        <w:rPr>
          <w:rStyle w:val="Strong"/>
          <w:b w:val="0"/>
        </w:rPr>
        <w:t xml:space="preserve"> IDS enzyme activity</w:t>
      </w:r>
      <w:r w:rsidRPr="4B343176">
        <w:rPr>
          <w:rStyle w:val="Strong"/>
          <w:b w:val="0"/>
        </w:rPr>
        <w:t xml:space="preserve"> on the DBS</w:t>
      </w:r>
      <w:r>
        <w:rPr>
          <w:rStyle w:val="Strong"/>
          <w:b w:val="0"/>
        </w:rPr>
        <w:t xml:space="preserve"> </w:t>
      </w:r>
      <w:r>
        <w:t xml:space="preserve">by liquid chromatography (LC)-tandem mass spectrometry (MS/MS), </w:t>
      </w:r>
      <w:r w:rsidRPr="00F82B17">
        <w:t xml:space="preserve">using either </w:t>
      </w:r>
      <w:r w:rsidRPr="001926FC">
        <w:t xml:space="preserve">the NeoLSD2™ kit from Revvity </w:t>
      </w:r>
      <w:r w:rsidRPr="00F82B17">
        <w:t xml:space="preserve">or a </w:t>
      </w:r>
      <w:r w:rsidR="00181EFC" w:rsidRPr="00181EFC">
        <w:rPr>
          <w:b/>
          <w:bCs/>
        </w:rPr>
        <w:t>REDACTED</w:t>
      </w:r>
      <w:r w:rsidR="00181EFC" w:rsidRPr="00011DA9" w:rsidDel="00181EFC">
        <w:t xml:space="preserve"> </w:t>
      </w:r>
      <w:r w:rsidRPr="00181EFC">
        <w:t>kit.</w:t>
      </w:r>
      <w:r>
        <w:t xml:space="preserve"> P</w:t>
      </w:r>
      <w:r w:rsidRPr="00C033B8">
        <w:rPr>
          <w:rStyle w:val="Strong"/>
          <w:b w:val="0"/>
        </w:rPr>
        <w:t>ositive cases</w:t>
      </w:r>
      <w:r>
        <w:rPr>
          <w:rStyle w:val="Strong"/>
          <w:b w:val="0"/>
        </w:rPr>
        <w:t xml:space="preserve">, i.e., cases with reduced IDS enzyme activity, </w:t>
      </w:r>
      <w:r w:rsidRPr="4B343176">
        <w:rPr>
          <w:rStyle w:val="Strong"/>
          <w:b w:val="0"/>
        </w:rPr>
        <w:t xml:space="preserve">would </w:t>
      </w:r>
      <w:r>
        <w:rPr>
          <w:rStyle w:val="Strong"/>
          <w:b w:val="0"/>
        </w:rPr>
        <w:t xml:space="preserve">go through </w:t>
      </w:r>
      <w:r w:rsidRPr="00C033B8">
        <w:rPr>
          <w:rStyle w:val="Strong"/>
          <w:b w:val="0"/>
        </w:rPr>
        <w:t xml:space="preserve">second-tier testing </w:t>
      </w:r>
      <w:r>
        <w:rPr>
          <w:rStyle w:val="Strong"/>
          <w:b w:val="0"/>
        </w:rPr>
        <w:t>(</w:t>
      </w:r>
      <w:r w:rsidRPr="00C033B8">
        <w:rPr>
          <w:rStyle w:val="Strong"/>
          <w:b w:val="0"/>
        </w:rPr>
        <w:t>GAG fragment analysis</w:t>
      </w:r>
      <w:r w:rsidRPr="4B343176">
        <w:rPr>
          <w:rStyle w:val="Strong"/>
          <w:b w:val="0"/>
        </w:rPr>
        <w:t xml:space="preserve"> on the DBS</w:t>
      </w:r>
      <w:r>
        <w:rPr>
          <w:rStyle w:val="Strong"/>
          <w:b w:val="0"/>
        </w:rPr>
        <w:t xml:space="preserve"> </w:t>
      </w:r>
      <w:r>
        <w:t xml:space="preserve">by LC-MS/MS) </w:t>
      </w:r>
      <w:r w:rsidRPr="004B03F9">
        <w:t xml:space="preserve">either in-house or sent to the </w:t>
      </w:r>
      <w:r>
        <w:t>National Referral Laboratory (</w:t>
      </w:r>
      <w:r w:rsidRPr="004B03F9">
        <w:t>NRL</w:t>
      </w:r>
      <w:r>
        <w:t>)</w:t>
      </w:r>
      <w:r w:rsidRPr="004B03F9">
        <w:t xml:space="preserve"> for </w:t>
      </w:r>
      <w:r w:rsidRPr="00A3517F">
        <w:t xml:space="preserve">Lysosomal, Peroxisomal and Other Related Disorders </w:t>
      </w:r>
      <w:r w:rsidRPr="004B03F9">
        <w:t>based in Adelaide, depending on the number of second-tier tests likely to be required</w:t>
      </w:r>
      <w:r w:rsidRPr="4B343176">
        <w:rPr>
          <w:rStyle w:val="Strong"/>
          <w:b w:val="0"/>
        </w:rPr>
        <w:t>.</w:t>
      </w:r>
      <w:r>
        <w:rPr>
          <w:rStyle w:val="Strong"/>
          <w:b w:val="0"/>
        </w:rPr>
        <w:t xml:space="preserve"> </w:t>
      </w:r>
      <w:r w:rsidRPr="4B343176">
        <w:rPr>
          <w:rStyle w:val="Strong"/>
          <w:b w:val="0"/>
        </w:rPr>
        <w:t xml:space="preserve">The second-tier test would rule out those who </w:t>
      </w:r>
      <w:r>
        <w:rPr>
          <w:rStyle w:val="Strong"/>
          <w:b w:val="0"/>
        </w:rPr>
        <w:t>have reduced IDS enzyme activity, but do not have MPS II,</w:t>
      </w:r>
      <w:r w:rsidRPr="4B343176">
        <w:rPr>
          <w:rStyle w:val="Strong"/>
          <w:b w:val="0"/>
        </w:rPr>
        <w:t xml:space="preserve"> such as those with IDS pseudodeficiency. Th</w:t>
      </w:r>
      <w:r>
        <w:rPr>
          <w:rStyle w:val="Strong"/>
          <w:b w:val="0"/>
        </w:rPr>
        <w:t>ese</w:t>
      </w:r>
      <w:r w:rsidRPr="4B343176">
        <w:rPr>
          <w:rStyle w:val="Strong"/>
          <w:b w:val="0"/>
        </w:rPr>
        <w:t xml:space="preserve"> individuals </w:t>
      </w:r>
      <w:r w:rsidRPr="7C4E3BA4">
        <w:t xml:space="preserve">exhibit low IDS enzyme levels (~5–15% of normal activity) but </w:t>
      </w:r>
      <w:r>
        <w:t>have</w:t>
      </w:r>
      <w:r w:rsidRPr="7C4E3BA4">
        <w:t xml:space="preserve"> normal GAG levels and no symptoms. ESC </w:t>
      </w:r>
      <w:r>
        <w:t>noted</w:t>
      </w:r>
      <w:r w:rsidRPr="7C4E3BA4">
        <w:t xml:space="preserve"> that a single-tier </w:t>
      </w:r>
      <w:r>
        <w:t xml:space="preserve">IDS-based </w:t>
      </w:r>
      <w:r w:rsidRPr="7C4E3BA4">
        <w:t>test strategy would be impractical</w:t>
      </w:r>
      <w:r>
        <w:t>,</w:t>
      </w:r>
      <w:r w:rsidRPr="7C4E3BA4">
        <w:t xml:space="preserve"> because the assays used to detect IDS enzyme activity have a low positive predictive value (high FP rate)</w:t>
      </w:r>
      <w:r>
        <w:t>. In the proposed two-tier screening method,</w:t>
      </w:r>
      <w:r w:rsidRPr="7C4E3BA4">
        <w:t xml:space="preserve"> a normal result for the second-tier test would overrule the first-tier test result and greatly reduce the </w:t>
      </w:r>
      <w:r>
        <w:t xml:space="preserve">final </w:t>
      </w:r>
      <w:r w:rsidRPr="7C4E3BA4">
        <w:t xml:space="preserve">number of FP results. </w:t>
      </w:r>
      <w:r>
        <w:t xml:space="preserve">ESC noted that the kit from </w:t>
      </w:r>
      <w:r w:rsidRPr="001926FC">
        <w:t xml:space="preserve">Revvity (NeoLSD2™) </w:t>
      </w:r>
      <w:r>
        <w:t xml:space="preserve">is not commercially available. ESC also noted that the DCAR stated that a </w:t>
      </w:r>
      <w:r w:rsidR="00181EFC" w:rsidRPr="00181EFC">
        <w:rPr>
          <w:b/>
          <w:bCs/>
        </w:rPr>
        <w:t>REDACTED</w:t>
      </w:r>
      <w:r w:rsidR="00181EFC" w:rsidRPr="00011DA9" w:rsidDel="00181EFC">
        <w:t xml:space="preserve"> </w:t>
      </w:r>
      <w:r w:rsidRPr="00181EFC">
        <w:t>kit</w:t>
      </w:r>
      <w:r>
        <w:t xml:space="preserve"> was expected to be available from </w:t>
      </w:r>
      <w:r w:rsidR="00181EFC" w:rsidRPr="00181EFC">
        <w:rPr>
          <w:b/>
          <w:bCs/>
        </w:rPr>
        <w:t>REDACTED</w:t>
      </w:r>
      <w:r w:rsidRPr="00181EFC">
        <w:t>; however</w:t>
      </w:r>
      <w:r>
        <w:t>, this does not yet appear to be the case.</w:t>
      </w:r>
    </w:p>
    <w:p w14:paraId="2E9E73AC" w14:textId="77777777" w:rsidR="00221170" w:rsidRDefault="00221170" w:rsidP="00221170">
      <w:r>
        <w:t xml:space="preserve">Overall, </w:t>
      </w:r>
      <w:r w:rsidRPr="7C4E3BA4">
        <w:t>ESC noted the evidence base is mostly low quality, with high risk of bias</w:t>
      </w:r>
      <w:r>
        <w:t>,</w:t>
      </w:r>
      <w:r w:rsidRPr="7C4E3BA4">
        <w:t xml:space="preserve"> in the form of case-control studies, a case series, a case report and retrospective cohort studies. However, this is to be expected given the rarity of the condition. Study outcomes were health outcomes, accuracy and performance of the test, and change in patient management.</w:t>
      </w:r>
    </w:p>
    <w:p w14:paraId="0FC85A24" w14:textId="77777777" w:rsidR="00221170" w:rsidRDefault="00221170" w:rsidP="00221170">
      <w:r w:rsidRPr="7C4E3BA4">
        <w:t xml:space="preserve">ESC noted the evidence for diagnostic accuracy </w:t>
      </w:r>
      <w:r>
        <w:t>of NBS</w:t>
      </w:r>
      <w:r w:rsidRPr="7C4E3BA4">
        <w:t xml:space="preserve"> for MPS II, which comprised case control studies with high risk of bias. The tests identified people with MPS II, possible MPS II and </w:t>
      </w:r>
      <w:r w:rsidRPr="7C4E3BA4">
        <w:lastRenderedPageBreak/>
        <w:t xml:space="preserve">possible pseudodeficiency. ESC noted that many people with pseudodeficiency were undergoing long-term monitoring and follow-up. Overall, ESC considered that the sensitivity of both the fluorometric and the LC–MS/MS IDS enzyme assays compared to clinical diagnosis was 100% in the case-control studies, suggesting no false negatives (FNs). Additionally, none of the </w:t>
      </w:r>
      <w:r>
        <w:t>overseas</w:t>
      </w:r>
      <w:r w:rsidRPr="7C4E3BA4">
        <w:t xml:space="preserve"> NBS programs have reported any FN patients (cases where the patient had undergone NBS, screened negative for MPS II</w:t>
      </w:r>
      <w:r>
        <w:t>,</w:t>
      </w:r>
      <w:r w:rsidRPr="7C4E3BA4">
        <w:t xml:space="preserve"> and was then later diagnosed with MPS II due to clinical symptoms), including the program that has been running the longest (since 2015). This suggests that the sensitivity of NBS screening using enzyme</w:t>
      </w:r>
      <w:r>
        <w:t xml:space="preserve"> </w:t>
      </w:r>
      <w:r w:rsidRPr="7C4E3BA4">
        <w:t xml:space="preserve">activity assays is likely enough to detect all newborns with severe forms of MPS II. </w:t>
      </w:r>
    </w:p>
    <w:p w14:paraId="1436C397" w14:textId="77777777" w:rsidR="00221170" w:rsidRDefault="00221170" w:rsidP="00221170">
      <w:r w:rsidRPr="7C4E3BA4">
        <w:t xml:space="preserve">ESC noted that no information is available about the level of IDS enzyme activity in newborns with very mild attenuated MPS II, which does not become symptomatic until the patient is in early adulthood. Thus, the likelihood of a patient with low enzyme activity and a variant of </w:t>
      </w:r>
      <w:r>
        <w:t>uncertain</w:t>
      </w:r>
      <w:r w:rsidRPr="7C4E3BA4">
        <w:t xml:space="preserve"> significance (VUS) detected in the </w:t>
      </w:r>
      <w:r w:rsidRPr="7C4E3BA4">
        <w:rPr>
          <w:i/>
        </w:rPr>
        <w:t>IDS</w:t>
      </w:r>
      <w:r w:rsidRPr="7C4E3BA4">
        <w:t xml:space="preserve"> gene causing a very mild form of MPS II being misdiagnosed with pseudodeficiency (and therefore misclassified as a FP) is unknown. However, using the GAG disaccharide analysis as a second-tier NBS test should detect those with mild disease, as they would have elevated GAG disaccharide profiles, reducing the likelihood of a misdiagnosis. </w:t>
      </w:r>
    </w:p>
    <w:p w14:paraId="13FA274A" w14:textId="77777777" w:rsidR="00221170" w:rsidRDefault="00221170" w:rsidP="00221170">
      <w:r w:rsidRPr="7C4E3BA4">
        <w:t xml:space="preserve">ESC </w:t>
      </w:r>
      <w:r>
        <w:t xml:space="preserve">also </w:t>
      </w:r>
      <w:r w:rsidRPr="7C4E3BA4">
        <w:t xml:space="preserve">queried whether the GAG </w:t>
      </w:r>
      <w:r>
        <w:t xml:space="preserve">fragment </w:t>
      </w:r>
      <w:r w:rsidRPr="7C4E3BA4">
        <w:t xml:space="preserve">analysis could be </w:t>
      </w:r>
      <w:r>
        <w:t>performed on a dried bloodspot</w:t>
      </w:r>
      <w:r w:rsidRPr="7C4E3BA4">
        <w:t xml:space="preserve"> as the first-tier test</w:t>
      </w:r>
      <w:r>
        <w:t>,</w:t>
      </w:r>
      <w:r w:rsidRPr="7C4E3BA4">
        <w:t xml:space="preserve"> as it is highly accurate and reliable on dried bloodspot samples, but noted that the evidence for this method was only for diagnosis, not screening</w:t>
      </w:r>
      <w:r>
        <w:t xml:space="preserve">. </w:t>
      </w:r>
    </w:p>
    <w:p w14:paraId="7EC1F488" w14:textId="77777777" w:rsidR="00221170" w:rsidRDefault="00221170" w:rsidP="00221170">
      <w:r>
        <w:t xml:space="preserve">ESC also noted advice that the required mass spectrometer would need to be </w:t>
      </w:r>
      <w:r w:rsidRPr="009659D2">
        <w:t>much more sensitive than those typically used for first-tier enzyme activity analysis in NBS laboratories</w:t>
      </w:r>
      <w:r>
        <w:t xml:space="preserve">, and it </w:t>
      </w:r>
      <w:r w:rsidRPr="009659D2">
        <w:t>would have to be maintained under optimal performance conditions, which is not practical for high throughput NBS laboratories</w:t>
      </w:r>
      <w:r w:rsidRPr="7C4E3BA4">
        <w:t>.</w:t>
      </w:r>
    </w:p>
    <w:p w14:paraId="71CEFD83" w14:textId="77777777" w:rsidR="00221170" w:rsidRPr="00421ED4" w:rsidRDefault="00221170" w:rsidP="00221170">
      <w:r w:rsidRPr="00CC0DEE">
        <w:t xml:space="preserve">ESC noted </w:t>
      </w:r>
      <w:r>
        <w:t xml:space="preserve">data from international NBS programs that showed that </w:t>
      </w:r>
      <w:r w:rsidRPr="00CC0DEE">
        <w:t>21</w:t>
      </w:r>
      <w:r>
        <w:t> </w:t>
      </w:r>
      <w:r w:rsidRPr="00CC0DEE">
        <w:t>newborns with MPS II were detected among a total of 1,479,601 newborns screened. This equate</w:t>
      </w:r>
      <w:r>
        <w:t>d</w:t>
      </w:r>
      <w:r w:rsidRPr="00CC0DEE">
        <w:t xml:space="preserve"> to 1.42 per 100,000</w:t>
      </w:r>
      <w:r>
        <w:t> </w:t>
      </w:r>
      <w:r w:rsidRPr="00CC0DEE">
        <w:t>newborns being diagnosed with MPS II via NBS programs. The overall FP rate for these NBS programs was 0.030% (range of 0.</w:t>
      </w:r>
      <w:r>
        <w:t>0</w:t>
      </w:r>
      <w:r w:rsidRPr="00CC0DEE">
        <w:t xml:space="preserve">11–0.058%). </w:t>
      </w:r>
      <w:r>
        <w:t>ESC noted that a</w:t>
      </w:r>
      <w:r w:rsidRPr="00CC0DEE">
        <w:t xml:space="preserve"> few newborns who screened positive did not have a final diagnosis, mostly due to loss of follow-up. Based on an Australian annual birth rate of approximately 300,000</w:t>
      </w:r>
      <w:r>
        <w:t> </w:t>
      </w:r>
      <w:r w:rsidRPr="00CC0DEE">
        <w:t>babies per year</w:t>
      </w:r>
      <w:r>
        <w:t>, if NBS for MPS II was implemented</w:t>
      </w:r>
      <w:r w:rsidRPr="00CC0DEE">
        <w:t>:</w:t>
      </w:r>
    </w:p>
    <w:p w14:paraId="2CE09163" w14:textId="77777777" w:rsidR="00221170" w:rsidRPr="00421ED4" w:rsidRDefault="00221170" w:rsidP="00BE0CE4">
      <w:pPr>
        <w:pStyle w:val="ListParagraph"/>
        <w:numPr>
          <w:ilvl w:val="0"/>
          <w:numId w:val="22"/>
        </w:numPr>
        <w:ind w:left="714" w:hanging="357"/>
        <w:contextualSpacing w:val="0"/>
      </w:pPr>
      <w:r w:rsidRPr="7C4E3BA4">
        <w:t>8</w:t>
      </w:r>
      <w:r>
        <w:t>8</w:t>
      </w:r>
      <w:r w:rsidRPr="7C4E3BA4">
        <w:t xml:space="preserve"> babies </w:t>
      </w:r>
      <w:r>
        <w:t xml:space="preserve">(includes 84 false-positives) </w:t>
      </w:r>
      <w:r w:rsidRPr="7C4E3BA4">
        <w:t>would undergo second-tier testing</w:t>
      </w:r>
      <w:r>
        <w:t xml:space="preserve"> per year</w:t>
      </w:r>
      <w:r w:rsidRPr="7C4E3BA4">
        <w:t xml:space="preserve"> (most likely the non-reducing end GAG test, and most likely </w:t>
      </w:r>
      <w:r>
        <w:t>at the</w:t>
      </w:r>
      <w:r w:rsidRPr="7C4E3BA4">
        <w:t xml:space="preserve"> </w:t>
      </w:r>
      <w:r>
        <w:t>NRL</w:t>
      </w:r>
      <w:r w:rsidRPr="7C4E3BA4">
        <w:t xml:space="preserve"> in Adelaide)</w:t>
      </w:r>
      <w:r>
        <w:t>. The DCAR stated that the second-tier test would be</w:t>
      </w:r>
      <w:r w:rsidRPr="7C4E3BA4">
        <w:t xml:space="preserve"> expected to eliminate all FPs</w:t>
      </w:r>
      <w:r>
        <w:t>, and that</w:t>
      </w:r>
      <w:r w:rsidRPr="7C4E3BA4">
        <w:t xml:space="preserve"> </w:t>
      </w:r>
      <w:r>
        <w:t>o</w:t>
      </w:r>
      <w:r w:rsidRPr="7C4E3BA4">
        <w:t>nly those who ha</w:t>
      </w:r>
      <w:r>
        <w:t>d</w:t>
      </w:r>
      <w:r w:rsidRPr="7C4E3BA4">
        <w:t xml:space="preserve"> MPS II would be recalled for clinical confirmatory diagnosis</w:t>
      </w:r>
      <w:r>
        <w:t xml:space="preserve">. However, </w:t>
      </w:r>
      <w:r w:rsidRPr="7C4E3BA4">
        <w:t>ESC considered it likely that some FP babies would be recalled as well, noting the international FP rate.</w:t>
      </w:r>
    </w:p>
    <w:p w14:paraId="3E36541D" w14:textId="77777777" w:rsidR="00221170" w:rsidRPr="004B72ED" w:rsidRDefault="00221170" w:rsidP="00BE0CE4">
      <w:pPr>
        <w:pStyle w:val="ListParagraph"/>
        <w:numPr>
          <w:ilvl w:val="0"/>
          <w:numId w:val="22"/>
        </w:numPr>
        <w:rPr>
          <w:i/>
          <w:iCs/>
        </w:rPr>
      </w:pPr>
      <w:r>
        <w:t>O</w:t>
      </w:r>
      <w:r w:rsidRPr="7C4E3BA4">
        <w:t>f these 8</w:t>
      </w:r>
      <w:r>
        <w:t>8</w:t>
      </w:r>
      <w:r w:rsidRPr="7C4E3BA4">
        <w:t> babies,</w:t>
      </w:r>
      <w:r>
        <w:t xml:space="preserve"> based on the global incidence of 1.42 cases per 100,000, the DCAR estimated that</w:t>
      </w:r>
      <w:r w:rsidRPr="7C4E3BA4">
        <w:t xml:space="preserve"> 4</w:t>
      </w:r>
      <w:r>
        <w:t>.33</w:t>
      </w:r>
      <w:r w:rsidRPr="7C4E3BA4">
        <w:t xml:space="preserve"> cases of MPS II per year would be identified across Australia via the NBS program</w:t>
      </w:r>
      <w:r>
        <w:t xml:space="preserve"> (1.43 with severe disease and 2.89 at risk of attenuated disease).</w:t>
      </w:r>
      <w:r w:rsidRPr="7C4E3BA4">
        <w:t xml:space="preserve"> </w:t>
      </w:r>
      <w:r>
        <w:t>Of</w:t>
      </w:r>
      <w:r w:rsidRPr="00163194">
        <w:t xml:space="preserve"> the 2.89</w:t>
      </w:r>
      <w:r>
        <w:t xml:space="preserve"> cases at risk of </w:t>
      </w:r>
      <w:r w:rsidRPr="00163194">
        <w:t xml:space="preserve">attenuated </w:t>
      </w:r>
      <w:r>
        <w:t>disease</w:t>
      </w:r>
      <w:r w:rsidRPr="00163194">
        <w:t>, the extra 2.42</w:t>
      </w:r>
      <w:r>
        <w:t xml:space="preserve"> cases</w:t>
      </w:r>
      <w:r w:rsidRPr="00163194">
        <w:t xml:space="preserve"> </w:t>
      </w:r>
      <w:r>
        <w:t xml:space="preserve">that are predicted to be </w:t>
      </w:r>
      <w:r w:rsidRPr="00163194">
        <w:t xml:space="preserve">detected </w:t>
      </w:r>
      <w:r>
        <w:t xml:space="preserve">through </w:t>
      </w:r>
      <w:r w:rsidRPr="00163194">
        <w:t xml:space="preserve">the NBS </w:t>
      </w:r>
      <w:r>
        <w:t xml:space="preserve">would be </w:t>
      </w:r>
      <w:r w:rsidRPr="7B666352">
        <w:t xml:space="preserve">at risk </w:t>
      </w:r>
      <w:r>
        <w:t>o</w:t>
      </w:r>
      <w:r w:rsidRPr="7B666352">
        <w:t>f “very attenuated disease”</w:t>
      </w:r>
      <w:r>
        <w:t xml:space="preserve">, that is, they would </w:t>
      </w:r>
      <w:r w:rsidRPr="00163194">
        <w:t xml:space="preserve">not </w:t>
      </w:r>
      <w:r>
        <w:t xml:space="preserve">necessarily be </w:t>
      </w:r>
      <w:r w:rsidRPr="00163194">
        <w:t xml:space="preserve">expected to develop </w:t>
      </w:r>
      <w:r>
        <w:t xml:space="preserve">clinically significant or apparent </w:t>
      </w:r>
      <w:r w:rsidRPr="00163194">
        <w:t>symptoms.</w:t>
      </w:r>
    </w:p>
    <w:p w14:paraId="4545AB82" w14:textId="77777777" w:rsidR="00221170" w:rsidRPr="004B72ED" w:rsidRDefault="00221170" w:rsidP="00221170">
      <w:pPr>
        <w:rPr>
          <w:i/>
          <w:iCs/>
        </w:rPr>
      </w:pPr>
      <w:r>
        <w:t>ESC considered that the proposed two-tier screening appears to have very high sensitivity and specificity, and is likely suitable to accurately identify all newborns at risk of having MPS II. However, ESC considered it important to ensure there was a consensus threshold to distinguish between possible MPS II and pseudodeficiency.</w:t>
      </w:r>
    </w:p>
    <w:p w14:paraId="1CD1854D" w14:textId="77777777" w:rsidR="00221170" w:rsidRDefault="00221170" w:rsidP="00221170">
      <w:r>
        <w:lastRenderedPageBreak/>
        <w:t xml:space="preserve">Regarding whether disease subtype and prognosis can be determined from screening and confirmatory tests to determine the need for earlier treatment, ESC noted that, although the proposed screening method can identify MPS II, it does not identify MPS II phenotype. </w:t>
      </w:r>
    </w:p>
    <w:p w14:paraId="2CF3A41B" w14:textId="77777777" w:rsidR="00221170" w:rsidRDefault="00221170" w:rsidP="00221170">
      <w:r>
        <w:t>ESC noted that, i</w:t>
      </w:r>
      <w:r w:rsidRPr="7C4E3BA4">
        <w:t xml:space="preserve">n affected individuals, 10–33% of </w:t>
      </w:r>
      <w:r w:rsidRPr="00F16AA7">
        <w:rPr>
          <w:i/>
        </w:rPr>
        <w:t>IDS</w:t>
      </w:r>
      <w:r w:rsidRPr="7C4E3BA4">
        <w:t xml:space="preserve"> variants are </w:t>
      </w:r>
      <w:r w:rsidRPr="00F16AA7">
        <w:rPr>
          <w:i/>
        </w:rPr>
        <w:t>de novo</w:t>
      </w:r>
      <w:r w:rsidRPr="7C4E3BA4">
        <w:t xml:space="preserve"> rather than familial in origin. </w:t>
      </w:r>
      <w:r>
        <w:t>ESC noted that there</w:t>
      </w:r>
      <w:r w:rsidRPr="7C4E3BA4">
        <w:t xml:space="preserve"> is high genetic heterogeneity (&gt;700 </w:t>
      </w:r>
      <w:r w:rsidRPr="00EC4BFE">
        <w:rPr>
          <w:i/>
        </w:rPr>
        <w:t>IDS</w:t>
      </w:r>
      <w:r w:rsidRPr="7C4E3BA4">
        <w:t xml:space="preserve"> pathogenic variants identified), making it difficult to identify genotype–phenotype associations. </w:t>
      </w:r>
    </w:p>
    <w:p w14:paraId="19EB5E14" w14:textId="77777777" w:rsidR="00221170" w:rsidRDefault="00221170" w:rsidP="00221170">
      <w:r>
        <w:t>ESC noted that while a</w:t>
      </w:r>
      <w:r w:rsidRPr="7C4E3BA4">
        <w:t>ffected family members with the same variant tend to share a similar phenotype</w:t>
      </w:r>
      <w:r>
        <w:t>, d</w:t>
      </w:r>
      <w:r w:rsidRPr="7C4E3BA4">
        <w:t xml:space="preserve">ifferent phenotypes in unrelated MPS II patients </w:t>
      </w:r>
      <w:r>
        <w:t>who carry</w:t>
      </w:r>
      <w:r w:rsidRPr="7C4E3BA4">
        <w:t xml:space="preserve"> the same variant </w:t>
      </w:r>
      <w:r>
        <w:t xml:space="preserve">have also been observed, which </w:t>
      </w:r>
      <w:r w:rsidRPr="46342D3F">
        <w:t>sugges</w:t>
      </w:r>
      <w:r>
        <w:t xml:space="preserve">ts </w:t>
      </w:r>
      <w:r w:rsidRPr="7C4E3BA4">
        <w:t xml:space="preserve">that </w:t>
      </w:r>
      <w:r>
        <w:t>other</w:t>
      </w:r>
      <w:r w:rsidRPr="7C4E3BA4">
        <w:t xml:space="preserve"> factors </w:t>
      </w:r>
      <w:r>
        <w:t>may also play a role in determining phenotype</w:t>
      </w:r>
      <w:r w:rsidRPr="46342D3F">
        <w:t>.</w:t>
      </w:r>
      <w:r w:rsidRPr="7C4E3BA4">
        <w:t xml:space="preserve"> </w:t>
      </w:r>
      <w:r>
        <w:t>However, ESC noted s</w:t>
      </w:r>
      <w:r w:rsidRPr="7C4E3BA4">
        <w:t>ome variants are consistently associated with</w:t>
      </w:r>
      <w:r w:rsidRPr="46342D3F">
        <w:t xml:space="preserve"> </w:t>
      </w:r>
      <w:r>
        <w:t>a</w:t>
      </w:r>
      <w:r w:rsidRPr="7C4E3BA4">
        <w:t xml:space="preserve"> severe MPS II</w:t>
      </w:r>
      <w:r>
        <w:t xml:space="preserve"> phenotype</w:t>
      </w:r>
      <w:r w:rsidRPr="7C4E3BA4">
        <w:t xml:space="preserve">, such as deletion of the </w:t>
      </w:r>
      <w:r w:rsidRPr="7C4E3BA4">
        <w:rPr>
          <w:i/>
          <w:iCs/>
        </w:rPr>
        <w:t>IDS</w:t>
      </w:r>
      <w:r w:rsidRPr="7C4E3BA4">
        <w:t xml:space="preserve"> gene. </w:t>
      </w:r>
    </w:p>
    <w:p w14:paraId="7584D691" w14:textId="77777777" w:rsidR="00221170" w:rsidRDefault="00221170" w:rsidP="00221170">
      <w:r>
        <w:t>Overall, ESC considered that severe MPS II can often be distinguished from attenuated MPS II using genotype and family evaluation, but noted that the prognosis for attenuated cases is uncertain, due to variable expressivity and the presence of VUSs.</w:t>
      </w:r>
    </w:p>
    <w:p w14:paraId="04286673" w14:textId="5B1D76F2" w:rsidR="00221170" w:rsidRDefault="00221170" w:rsidP="00221170">
      <w:r>
        <w:t xml:space="preserve">ESC noted that the comparator for PICO set 1 is no NBS for MPS II, i.e. current practice where MPS II diagnosis only occurs at symptom onset. ESC noted that, globally, the current median age at diagnosis without NBS is 3.1 years (range 0.5 – 14 years) for severe cases and 6 years (range 2.9 – 14 years) for attenuated cases. In Australia, the median age at diagnosis of MPS II was </w:t>
      </w:r>
      <w:r w:rsidR="00181EFC" w:rsidRPr="00181EFC">
        <w:rPr>
          <w:b/>
          <w:bCs/>
        </w:rPr>
        <w:t>REDACTED</w:t>
      </w:r>
      <w:r w:rsidRPr="00181EFC">
        <w:t>.</w:t>
      </w:r>
    </w:p>
    <w:p w14:paraId="1CEF014D" w14:textId="77777777" w:rsidR="00221170" w:rsidRDefault="00221170" w:rsidP="00221170">
      <w:r>
        <w:t xml:space="preserve">ESC noted that there are 2 main treatments available for MPS II: intravenous ERT (funded through the LSDP) and HSCT. </w:t>
      </w:r>
    </w:p>
    <w:p w14:paraId="1811B14E" w14:textId="77777777" w:rsidR="00221170" w:rsidRDefault="00221170" w:rsidP="00221170">
      <w:r>
        <w:t xml:space="preserve">ESC noted that ERT is not currently publicly funded and available for all newborns who would be diagnosed with MPS II via NBS. </w:t>
      </w:r>
      <w:r w:rsidRPr="7C4E3BA4">
        <w:t xml:space="preserve">ESC </w:t>
      </w:r>
      <w:r>
        <w:t>noted</w:t>
      </w:r>
      <w:r w:rsidRPr="7C4E3BA4">
        <w:t xml:space="preserve"> that NBS </w:t>
      </w:r>
      <w:r>
        <w:t>would</w:t>
      </w:r>
      <w:r w:rsidRPr="7C4E3BA4">
        <w:t xml:space="preserve"> identify </w:t>
      </w:r>
      <w:r>
        <w:t>babies</w:t>
      </w:r>
      <w:r w:rsidRPr="7C4E3BA4">
        <w:t xml:space="preserve"> with MPS II before they develop</w:t>
      </w:r>
      <w:r>
        <w:t>ed</w:t>
      </w:r>
      <w:r w:rsidRPr="7C4E3BA4">
        <w:t xml:space="preserve"> symptoms, but </w:t>
      </w:r>
      <w:r>
        <w:t xml:space="preserve">that </w:t>
      </w:r>
      <w:r w:rsidRPr="7C4E3BA4">
        <w:t>some</w:t>
      </w:r>
      <w:r>
        <w:t xml:space="preserve"> of the diagnosed individuals</w:t>
      </w:r>
      <w:r w:rsidRPr="7C4E3BA4">
        <w:t xml:space="preserve"> </w:t>
      </w:r>
      <w:r>
        <w:t>would</w:t>
      </w:r>
      <w:r w:rsidRPr="7C4E3BA4">
        <w:t xml:space="preserve"> not be able to access subsidised ERT</w:t>
      </w:r>
      <w:r>
        <w:t xml:space="preserve"> via the LSDP</w:t>
      </w:r>
      <w:r w:rsidRPr="7C4E3BA4">
        <w:t xml:space="preserve"> due to the LSDP </w:t>
      </w:r>
      <w:r>
        <w:t xml:space="preserve">eligibility </w:t>
      </w:r>
      <w:r w:rsidRPr="7C4E3BA4">
        <w:t xml:space="preserve">criteria. </w:t>
      </w:r>
      <w:r>
        <w:t xml:space="preserve">Currently, for those who are presymptomatic, ERT for MPS II is only funded by the LSDP for children &lt;5 years of age with a diagnosis of MPS II and with “clear prediction of progress of the disease, or if, on the basis of a sibling's disease progression, severe disease can be predicted”. There is no LSDP-funded ERT for presymptomatic children identified through NBS predicted to have attenuated disease, or for those whose disease onset and severity cannot be “clearly predicted”. ESC noted that, since phenotype cannot always be predicted from genotype, and more attenuated cases would be detected via NBS than current clinical diagnosis, a number of babies identified as having MPS II via the NBS would not be immediately eligible for treatment, and would instead be monitored until symptomatic. </w:t>
      </w:r>
    </w:p>
    <w:p w14:paraId="79CBB800" w14:textId="23F9B3CB" w:rsidR="00221170" w:rsidRDefault="00221170" w:rsidP="00221170">
      <w:r>
        <w:t>ESC further noted that, whilst there have been a limited number (</w:t>
      </w:r>
      <w:r w:rsidR="00181EFC" w:rsidRPr="00181EFC">
        <w:rPr>
          <w:b/>
          <w:bCs/>
        </w:rPr>
        <w:t>REDACTED</w:t>
      </w:r>
      <w:r>
        <w:t xml:space="preserve">) of HSCTs performed domestically, funded by the states and territories, the Commonwealth does not fund the collection and transport of cells from overseas for HSCT for MPS II. No outcomes data were available for the Australian cohort of HSCT recipients. </w:t>
      </w:r>
    </w:p>
    <w:p w14:paraId="175EE0D2" w14:textId="77777777" w:rsidR="00221170" w:rsidRDefault="00221170" w:rsidP="00221170">
      <w:r>
        <w:t>ESC considered that, overall, there is a partially effective treatment available for severe MPS II, and for some cases of attenuated MPS II, although considered that the degree of effectiveness was uncertain.</w:t>
      </w:r>
    </w:p>
    <w:p w14:paraId="2DE3A5D7" w14:textId="77777777" w:rsidR="00221170" w:rsidRDefault="00221170" w:rsidP="00221170">
      <w:r>
        <w:t xml:space="preserve">In terms of whether these treatments are more effective if initiated at an earlier age (following NBS, compared to clinical diagnosis at symptom onset), </w:t>
      </w:r>
      <w:r w:rsidRPr="7C4E3BA4">
        <w:t>ESC noted that limited evidence in babies with severe disease suggested that earl</w:t>
      </w:r>
      <w:r>
        <w:t>ier (pre-symptomatic)</w:t>
      </w:r>
      <w:r w:rsidRPr="7C4E3BA4">
        <w:t xml:space="preserve"> initiation of ERT can improve health outcomes compared to initiation of ERT after </w:t>
      </w:r>
      <w:r>
        <w:t>symptom</w:t>
      </w:r>
      <w:r w:rsidRPr="7C4E3BA4">
        <w:t xml:space="preserve"> onset</w:t>
      </w:r>
      <w:r>
        <w:t xml:space="preserve"> and clinical diagnosis</w:t>
      </w:r>
      <w:r w:rsidRPr="7C4E3BA4">
        <w:t xml:space="preserve">. ERT was associated with improved growth rates to a similar degree in younger versus older groups </w:t>
      </w:r>
      <w:r w:rsidRPr="7C4E3BA4">
        <w:lastRenderedPageBreak/>
        <w:t xml:space="preserve">with severe disease, but the benefits tended to be slightly </w:t>
      </w:r>
      <w:r>
        <w:t>greater</w:t>
      </w:r>
      <w:r w:rsidRPr="7C4E3BA4">
        <w:t xml:space="preserve"> in those who had treatment initiated at an earlier age. Early initiation of ERT may also slow the progression of cardiovascular disease, based on limited data. Limited data from sibling studies also showed that, although the use of ERT did not prevent somatic and neurological manifestations of MPS II in general, earlier treatment can slow the progression of the disease. The limited evidence also suggested that pre-symptomatic initiation of ERT can lead to a better quality of life as it may significantly slow or prevent the development of irreversible disease manifestations such as physical disabilities. For other health outcomes such as survival, vision and hearing impairment, musculoskeletal disease and organomegaly, no clear benefit was identified. </w:t>
      </w:r>
    </w:p>
    <w:p w14:paraId="115E02DF" w14:textId="77777777" w:rsidR="00221170" w:rsidRDefault="00221170" w:rsidP="00221170">
      <w:r w:rsidRPr="7C4E3BA4">
        <w:t>ESC noted that ERT cannot cross the blood–brain barrier and therefore has no effect on CNS-related symptoms</w:t>
      </w:r>
      <w:r>
        <w:t xml:space="preserve"> – one of the most debilitating aspects of </w:t>
      </w:r>
      <w:r w:rsidRPr="0043593F">
        <w:t>neuronopathic MPS II</w:t>
      </w:r>
      <w:r w:rsidRPr="7C4E3BA4">
        <w:t>.</w:t>
      </w:r>
      <w:r>
        <w:t xml:space="preserve"> However, novel approaches of ERT delivery (e.g., intraventricular or intrathecal) and gene therapy are under development and may improve treatment outcomes for the neuronopathic MPS II.</w:t>
      </w:r>
    </w:p>
    <w:p w14:paraId="5EA0EFB7" w14:textId="77777777" w:rsidR="00221170" w:rsidRDefault="00221170" w:rsidP="00221170">
      <w:r w:rsidRPr="7C4E3BA4">
        <w:t xml:space="preserve">ESC noted the </w:t>
      </w:r>
      <w:r>
        <w:t>limited</w:t>
      </w:r>
      <w:r w:rsidRPr="7C4E3BA4">
        <w:t xml:space="preserve"> evidence on the impact of early versus late initiation of ERT for babies with attenuated disease. A few studies identified that benefits of early ERT treatment </w:t>
      </w:r>
      <w:r>
        <w:t>are</w:t>
      </w:r>
      <w:r w:rsidRPr="7C4E3BA4">
        <w:t xml:space="preserve"> more pronounced in severe cases</w:t>
      </w:r>
      <w:r>
        <w:t xml:space="preserve"> compared to</w:t>
      </w:r>
      <w:r w:rsidRPr="7C4E3BA4">
        <w:t xml:space="preserve"> attenuated MPS II cases. The applicability of these findings to the comparison of NBS vs no NBS is unknown, as these cases were not identified through an NBS program. In these studies, the early and late treatment groups were both older than </w:t>
      </w:r>
      <w:r>
        <w:t>those</w:t>
      </w:r>
      <w:r w:rsidRPr="7C4E3BA4">
        <w:t xml:space="preserve"> current</w:t>
      </w:r>
      <w:r>
        <w:t>ly treated in</w:t>
      </w:r>
      <w:r w:rsidRPr="7C4E3BA4">
        <w:t xml:space="preserve"> practice in Australia.</w:t>
      </w:r>
    </w:p>
    <w:p w14:paraId="5F191CFD" w14:textId="20F3E9A1" w:rsidR="00221170" w:rsidRDefault="00221170" w:rsidP="00221170">
      <w:r w:rsidRPr="7C4E3BA4">
        <w:t xml:space="preserve">For HSCT, ESC noted that the very limited available data suggested that early initiation of HSCT pre-symptomatically can improve health outcomes when compared to initiation of HSCT after the onset of symptoms. Unlike </w:t>
      </w:r>
      <w:r>
        <w:t xml:space="preserve">intravenous </w:t>
      </w:r>
      <w:r w:rsidRPr="7C4E3BA4">
        <w:t xml:space="preserve">ERT, </w:t>
      </w:r>
      <w:r>
        <w:t>enzymes produced after</w:t>
      </w:r>
      <w:r w:rsidRPr="7C4E3BA4">
        <w:t xml:space="preserve"> HSCT can cross the </w:t>
      </w:r>
      <w:r w:rsidRPr="00DE37CD">
        <w:t>blood-brain barrier</w:t>
      </w:r>
      <w:r w:rsidRPr="7C4E3BA4">
        <w:t xml:space="preserve">, so may have a positive effect on CNS-related symptoms. Two case series based on sibling pairs indicated that pre-symptomatic initiation with HSCT tended to have a positive impact on physical and motor development. In one study, patients’ activities of daily life appeared to be improved when </w:t>
      </w:r>
      <w:r>
        <w:t>HSCT</w:t>
      </w:r>
      <w:r w:rsidRPr="7C4E3BA4">
        <w:t xml:space="preserve"> occurred early in the course of their disease before onset of significant neurological symptoms, although the optimal timing of HSCT was unknown. For other health outcomes such as quality of life, cardiorespiratory disease, vision and hearing impairment, musculoskeletal disease and organomegaly, no evidence was identified comparing early versus late HSCT treatment. There was no evidence available for the benefits of earlier HSCT treatment in people with the attenuated form. ESC noted the </w:t>
      </w:r>
      <w:r>
        <w:t>limited</w:t>
      </w:r>
      <w:r w:rsidRPr="7C4E3BA4">
        <w:t xml:space="preserve"> Australian evidence </w:t>
      </w:r>
      <w:r>
        <w:t xml:space="preserve">related to survival outcomes. Of the </w:t>
      </w:r>
      <w:r w:rsidR="00181EFC" w:rsidRPr="00181EFC">
        <w:rPr>
          <w:b/>
          <w:bCs/>
        </w:rPr>
        <w:t>REDACTED</w:t>
      </w:r>
      <w:r w:rsidR="00181EFC" w:rsidRPr="00011DA9">
        <w:t xml:space="preserve"> </w:t>
      </w:r>
      <w:r w:rsidRPr="00181EFC">
        <w:t xml:space="preserve">patients who received HSCT in Australia, </w:t>
      </w:r>
      <w:r w:rsidR="00181EFC" w:rsidRPr="00181EFC">
        <w:rPr>
          <w:b/>
          <w:bCs/>
        </w:rPr>
        <w:t>REDACTED</w:t>
      </w:r>
      <w:r w:rsidR="00181EFC" w:rsidRPr="00011DA9" w:rsidDel="00181EFC">
        <w:t xml:space="preserve"> </w:t>
      </w:r>
      <w:r w:rsidRPr="00181EFC">
        <w:t>had</w:t>
      </w:r>
      <w:r>
        <w:t xml:space="preserve"> graft versus host disease, and no deaths were recorded.</w:t>
      </w:r>
    </w:p>
    <w:p w14:paraId="617A0A1F" w14:textId="77777777" w:rsidR="00221170" w:rsidRDefault="00221170" w:rsidP="00221170">
      <w:r w:rsidRPr="7C4E3BA4">
        <w:t xml:space="preserve">ESC noted the limited evidence from international NBS programs (Taiwan, US, Japan) showed that, of </w:t>
      </w:r>
      <w:r>
        <w:t xml:space="preserve">the </w:t>
      </w:r>
      <w:r w:rsidRPr="7C4E3BA4">
        <w:t xml:space="preserve">4 babies treated with either ERT </w:t>
      </w:r>
      <w:r>
        <w:t xml:space="preserve">alone </w:t>
      </w:r>
      <w:r w:rsidRPr="7C4E3BA4">
        <w:t xml:space="preserve">or </w:t>
      </w:r>
      <w:r>
        <w:t>ERT +</w:t>
      </w:r>
      <w:r w:rsidRPr="7C4E3BA4">
        <w:t xml:space="preserve"> HSCT, 1 died from complications </w:t>
      </w:r>
      <w:r>
        <w:t>due to</w:t>
      </w:r>
      <w:r w:rsidRPr="7C4E3BA4">
        <w:t xml:space="preserve"> HSCT. In the </w:t>
      </w:r>
      <w:r>
        <w:t xml:space="preserve">remaining </w:t>
      </w:r>
      <w:r w:rsidRPr="7C4E3BA4">
        <w:t>3 babies, there appeared to be a slowing of the progression of symptoms normally seen in children with MPS II</w:t>
      </w:r>
      <w:r>
        <w:t>,</w:t>
      </w:r>
      <w:r w:rsidRPr="7C4E3BA4">
        <w:t xml:space="preserve"> up to 4.3 years of age. ESC acknowledged </w:t>
      </w:r>
      <w:r>
        <w:t>that this evidence</w:t>
      </w:r>
      <w:r w:rsidRPr="7C4E3BA4" w:rsidDel="004E3DB0">
        <w:t xml:space="preserve"> </w:t>
      </w:r>
      <w:r w:rsidRPr="7C4E3BA4">
        <w:t>is difficult to interpret with confidence given the variable clinical expression for the condition</w:t>
      </w:r>
      <w:r>
        <w:t xml:space="preserve"> and the small sample size resulting from disease rarity</w:t>
      </w:r>
      <w:r w:rsidRPr="7C4E3BA4">
        <w:t xml:space="preserve">. The 3 babies treated with ERT within 3 months of birth </w:t>
      </w:r>
      <w:r>
        <w:t>were</w:t>
      </w:r>
      <w:r w:rsidRPr="7C4E3BA4">
        <w:t xml:space="preserve"> still displaying developmental delays</w:t>
      </w:r>
      <w:r>
        <w:t xml:space="preserve"> at the time of reporting</w:t>
      </w:r>
      <w:r w:rsidRPr="7C4E3BA4">
        <w:t>. For attenuated cases identified through an NBS program, no signs or symptoms have been identified as part of regular monitoring.</w:t>
      </w:r>
    </w:p>
    <w:p w14:paraId="21E33CE7" w14:textId="77777777" w:rsidR="00221170" w:rsidRDefault="00221170" w:rsidP="00221170">
      <w:pPr>
        <w:pStyle w:val="Normal2"/>
        <w:ind w:left="0"/>
      </w:pPr>
      <w:r w:rsidRPr="7C4E3BA4">
        <w:t xml:space="preserve">Overall, ESC considered that there is </w:t>
      </w:r>
      <w:r>
        <w:t>limited</w:t>
      </w:r>
      <w:r w:rsidRPr="7C4E3BA4">
        <w:t xml:space="preserve"> evidence to suggest any survival benefit with earlier access to treatment, based on small sample sizes.</w:t>
      </w:r>
      <w:r>
        <w:t xml:space="preserve"> However, </w:t>
      </w:r>
      <w:r w:rsidRPr="7C4E3BA4">
        <w:t>ESC noted</w:t>
      </w:r>
      <w:r>
        <w:t xml:space="preserve"> that there may be other</w:t>
      </w:r>
      <w:r w:rsidRPr="7C4E3BA4">
        <w:t xml:space="preserve"> benefits </w:t>
      </w:r>
      <w:r>
        <w:t>associated with</w:t>
      </w:r>
      <w:r w:rsidRPr="7C4E3BA4">
        <w:t xml:space="preserve"> earlier diagnosis</w:t>
      </w:r>
      <w:r>
        <w:t xml:space="preserve"> via NBS</w:t>
      </w:r>
      <w:r w:rsidRPr="7C4E3BA4">
        <w:t xml:space="preserve">, such as avoidance of surgery, or better preparation of the surgical team should </w:t>
      </w:r>
      <w:r>
        <w:t>an individual with MPS II</w:t>
      </w:r>
      <w:r w:rsidRPr="7C4E3BA4">
        <w:t xml:space="preserve"> require surgery (s</w:t>
      </w:r>
      <w:r>
        <w:t>ince</w:t>
      </w:r>
      <w:r w:rsidRPr="7C4E3BA4">
        <w:t xml:space="preserve"> </w:t>
      </w:r>
      <w:r>
        <w:t>those</w:t>
      </w:r>
      <w:r w:rsidRPr="7C4E3BA4">
        <w:t xml:space="preserve"> with undiagnosed MPS II may be more difficult to intubate). </w:t>
      </w:r>
      <w:r>
        <w:t xml:space="preserve">Additionally, ESC noted that earlier diagnosis may facilitate access to experimental or emerging therapies. </w:t>
      </w:r>
    </w:p>
    <w:p w14:paraId="25A42424" w14:textId="77777777" w:rsidR="00221170" w:rsidRDefault="00221170" w:rsidP="00221170">
      <w:pPr>
        <w:pStyle w:val="Normal2"/>
        <w:ind w:left="0"/>
      </w:pPr>
      <w:r>
        <w:lastRenderedPageBreak/>
        <w:t>Overall, ESC considered NBS for MPS II to have superior effectiveness for the diagnosis of severe (early-onset) MPS II and probable superior effectiveness for attenuated MPS II, compared to no NBS.</w:t>
      </w:r>
    </w:p>
    <w:p w14:paraId="250B31BA" w14:textId="5B1D5A99" w:rsidR="00221170" w:rsidRDefault="00221170" w:rsidP="00221170">
      <w:r>
        <w:t xml:space="preserve">ESC noted the proposed population for </w:t>
      </w:r>
      <w:r w:rsidR="001711C4">
        <w:t xml:space="preserve">family member </w:t>
      </w:r>
      <w:r>
        <w:t>testing following diagnosis of an index case</w:t>
      </w:r>
      <w:r>
        <w:rPr>
          <w:rStyle w:val="FootnoteReference"/>
        </w:rPr>
        <w:footnoteReference w:id="46"/>
      </w:r>
      <w:r>
        <w:t xml:space="preserve">, which comprises biological </w:t>
      </w:r>
      <w:r w:rsidRPr="000138B2">
        <w:t xml:space="preserve">mothers and siblings of </w:t>
      </w:r>
      <w:r>
        <w:t xml:space="preserve">the index case (PICO set 2). The proposed clinical management algorithm for this group involves genetic testing, starting with the mother of male newborns diagnosed with P/LP variants of MPS II. If the mother tests positive, testing will then be offered to the newborn’s maternal grandparents, aunts and uncles. </w:t>
      </w:r>
    </w:p>
    <w:p w14:paraId="397F6C56" w14:textId="485682EE" w:rsidR="00221170" w:rsidRDefault="00221170" w:rsidP="00221170">
      <w:r w:rsidRPr="7C4E3BA4">
        <w:t xml:space="preserve">ESC considered that the stepped economic evaluation </w:t>
      </w:r>
      <w:r>
        <w:t>was</w:t>
      </w:r>
      <w:r w:rsidRPr="7C4E3BA4">
        <w:t xml:space="preserve"> broadly reliable and appropriate for MSAC decision-making, and </w:t>
      </w:r>
      <w:r>
        <w:t>noted that its stepped approach was</w:t>
      </w:r>
      <w:r w:rsidRPr="7C4E3BA4">
        <w:t xml:space="preserve"> structurally similar to that used in the related NBS applications for MPS (applications </w:t>
      </w:r>
      <w:hyperlink r:id="rId11">
        <w:r w:rsidRPr="7C4E3BA4">
          <w:rPr>
            <w:rStyle w:val="Hyperlink"/>
          </w:rPr>
          <w:t>1774</w:t>
        </w:r>
      </w:hyperlink>
      <w:r w:rsidRPr="7C4E3BA4">
        <w:t xml:space="preserve"> and </w:t>
      </w:r>
      <w:hyperlink r:id="rId12">
        <w:r w:rsidRPr="7C4E3BA4">
          <w:rPr>
            <w:rStyle w:val="Hyperlink"/>
          </w:rPr>
          <w:t>1775</w:t>
        </w:r>
      </w:hyperlink>
      <w:r w:rsidRPr="7C4E3BA4">
        <w:t>). ESC considered the time horizons to be appropriate (</w:t>
      </w:r>
      <w:r w:rsidR="00181EFC" w:rsidRPr="00181EFC">
        <w:rPr>
          <w:b/>
          <w:bCs/>
        </w:rPr>
        <w:t>REDACTED</w:t>
      </w:r>
      <w:r w:rsidR="00181EFC" w:rsidRPr="00011DA9" w:rsidDel="00181EFC">
        <w:t xml:space="preserve"> </w:t>
      </w:r>
      <w:r w:rsidRPr="00011DA9">
        <w:t>years</w:t>
      </w:r>
      <w:r w:rsidRPr="7C4E3BA4">
        <w:t xml:space="preserve"> for </w:t>
      </w:r>
      <w:r>
        <w:t xml:space="preserve">cost per </w:t>
      </w:r>
      <w:r w:rsidRPr="7C4E3BA4">
        <w:t>diagnos</w:t>
      </w:r>
      <w:r>
        <w:t>is</w:t>
      </w:r>
      <w:r w:rsidRPr="7C4E3BA4">
        <w:t xml:space="preserve"> and 100 years for </w:t>
      </w:r>
      <w:r>
        <w:t xml:space="preserve">cost per </w:t>
      </w:r>
      <w:r w:rsidRPr="7C4E3BA4">
        <w:t>quality-adjusted life</w:t>
      </w:r>
      <w:r>
        <w:t>-</w:t>
      </w:r>
      <w:r w:rsidRPr="7C4E3BA4">
        <w:t xml:space="preserve">years [QALYs]). ESC considered the model inputs to be mostly reasonable, but </w:t>
      </w:r>
      <w:r>
        <w:t xml:space="preserve">noted </w:t>
      </w:r>
      <w:r w:rsidRPr="7C4E3BA4">
        <w:t>that the multiplexing sensitivity analysis was a rough estimate only. ESC considered the quality of life (QoL) data to be reasonable albeit simplistic. ESC noted that the one-off set-up costs</w:t>
      </w:r>
      <w:r>
        <w:t xml:space="preserve"> for MPS II screening were excluded from the economic evaluation.</w:t>
      </w:r>
    </w:p>
    <w:p w14:paraId="686BE8D2" w14:textId="77777777" w:rsidR="00221170" w:rsidRDefault="00221170" w:rsidP="00221170">
      <w:r w:rsidRPr="7C4E3BA4">
        <w:t xml:space="preserve">ESC considered the model transition probabilities, variables and extrapolation to be the source of greatest uncertainty in QALY modelling, as multiple assumptions </w:t>
      </w:r>
      <w:r>
        <w:t xml:space="preserve">were used </w:t>
      </w:r>
      <w:r w:rsidRPr="7C4E3BA4">
        <w:t xml:space="preserve">with poor </w:t>
      </w:r>
      <w:r>
        <w:t>transitivity</w:t>
      </w:r>
      <w:r w:rsidRPr="7C4E3BA4">
        <w:t xml:space="preserve">. </w:t>
      </w:r>
      <w:r>
        <w:t xml:space="preserve">In particular, </w:t>
      </w:r>
      <w:r w:rsidRPr="7C4E3BA4">
        <w:t xml:space="preserve">ESC noted that the </w:t>
      </w:r>
      <w:r>
        <w:t xml:space="preserve">overall </w:t>
      </w:r>
      <w:r w:rsidRPr="7C4E3BA4">
        <w:t xml:space="preserve">survival curve for all MPS II types without NBS testing </w:t>
      </w:r>
      <w:r>
        <w:t xml:space="preserve">was first extrapolated beyond the observed median follow-up of </w:t>
      </w:r>
      <w:r w:rsidRPr="7C4E3BA4">
        <w:t>35 years</w:t>
      </w:r>
      <w:r>
        <w:t xml:space="preserve"> in 800 patients with MPS II in the global Hunter Outcomes Study (with no patient assumed to die before 9 years of age)</w:t>
      </w:r>
      <w:r w:rsidRPr="7C4E3BA4">
        <w:t xml:space="preserve">. To better estimate </w:t>
      </w:r>
      <w:r>
        <w:t>the OS</w:t>
      </w:r>
      <w:r w:rsidRPr="7C4E3BA4">
        <w:t xml:space="preserve"> </w:t>
      </w:r>
      <w:r>
        <w:t xml:space="preserve">curve </w:t>
      </w:r>
      <w:r w:rsidRPr="7C4E3BA4">
        <w:t xml:space="preserve">for severe </w:t>
      </w:r>
      <w:r>
        <w:t xml:space="preserve">MPS II </w:t>
      </w:r>
      <w:r w:rsidRPr="7C4E3BA4">
        <w:t>cases without NBS testing</w:t>
      </w:r>
      <w:r>
        <w:t xml:space="preserve">, a derived hazard ratio (HR) of severe only Japanese patients to mixed (51% severe, 49% attenuated) Japanese patients was applied to this extrapolation. The upper 95% confidence limit (CI) of this HR was selected rather than the point estimate because it generated more plausible mean OS in severe MPS II patients. To generate the extra OS curve for severe MPS II patients detected earlier with NBS testing, the model assumed that none of these screened patients would die before 16 years of age, and thus shifted their entire subsequent OS curve 16 minus 9 = 7 years to the right of </w:t>
      </w:r>
      <w:r w:rsidRPr="7C4E3BA4">
        <w:t xml:space="preserve">the </w:t>
      </w:r>
      <w:r>
        <w:t xml:space="preserve">derived OS </w:t>
      </w:r>
      <w:r w:rsidRPr="7C4E3BA4">
        <w:t xml:space="preserve">curve </w:t>
      </w:r>
      <w:r>
        <w:t xml:space="preserve">for severe MPS II patients who received late ERT. This last key assumption was based on a case series of 6 Japanese patients extracted from a retrospective cohort study </w:t>
      </w:r>
      <w:r>
        <w:rPr>
          <w:rFonts w:cs="Courier New"/>
          <w:szCs w:val="20"/>
        </w:rPr>
        <w:fldChar w:fldCharType="begin"/>
      </w:r>
      <w:r>
        <w:rPr>
          <w:rFonts w:cs="Courier New"/>
          <w:szCs w:val="20"/>
        </w:rPr>
        <w:instrText xml:space="preserve"> ADDIN EN.CITE &lt;EndNote&gt;&lt;Cite&gt;&lt;Author&gt;Tomita&lt;/Author&gt;&lt;Year&gt;2021&lt;/Year&gt;&lt;RecNum&gt;51&lt;/RecNum&gt;&lt;DisplayText&gt;(Tomita et al. 2021)&lt;/DisplayText&gt;&lt;record&gt;&lt;rec-number&gt;51&lt;/rec-number&gt;&lt;foreign-keys&gt;&lt;key app="EN" db-id="d52ep2vz4f0zwne9vdmx9zzirsxx5pf5pr2f" timestamp="1726633909"&gt;51&lt;/key&gt;&lt;/foreign-keys&gt;&lt;ref-type name="Journal Article"&gt;17&lt;/ref-type&gt;&lt;contributors&gt;&lt;authors&gt;&lt;author&gt;Tomita, K.&lt;/author&gt;&lt;author&gt;Okamoto, S.&lt;/author&gt;&lt;author&gt;Seto, T.&lt;/author&gt;&lt;author&gt;Hamazaki, T.&lt;/author&gt;&lt;/authors&gt;&lt;/contributors&gt;&lt;titles&gt;&lt;title&gt;Real world long-term outcomes in patients with mucopolysaccharidosis type II: A retrospective cohort study&lt;/title&gt;&lt;secondary-title&gt;Mol Genet Metab Rep&lt;/secondary-title&gt;&lt;/titles&gt;&lt;periodical&gt;&lt;full-title&gt;Mol Genet Metab Rep&lt;/full-title&gt;&lt;/periodical&gt;&lt;pages&gt;100816&lt;/pages&gt;&lt;volume&gt;29&lt;/volume&gt;&lt;keywords&gt;&lt;keyword&gt;Activities of daily living&lt;/keyword&gt;&lt;keyword&gt;Enzyme replacement therapy&lt;/keyword&gt;&lt;keyword&gt;Hematopoietic stem cell transplantation&lt;/keyword&gt;&lt;keyword&gt;Hunter syndrome&lt;/keyword&gt;&lt;keyword&gt;Long-term follow-up&lt;/keyword&gt;&lt;keyword&gt;Mucopolysaccharidosis&lt;/keyword&gt;&lt;keyword&gt;Cohort Studies&lt;/keyword&gt;&lt;/keywords&gt;&lt;dates&gt;&lt;year&gt;2021&lt;/year&gt;&lt;pub-dates&gt;&lt;date&gt;2021-12&lt;/date&gt;&lt;/pub-dates&gt;&lt;/dates&gt;&lt;isbn&gt;2214-4269 (Print) 2214-4269&lt;/isbn&gt;&lt;accession-num&gt;rayyan-753370397&lt;/accession-num&gt;&lt;urls&gt;&lt;related-urls&gt;&lt;url&gt;https://www.ncbi.nlm.nih.gov/pmc/articles/PMC8554623/pdf/main.pdf&lt;/url&gt;&lt;/related-urls&gt;&lt;/urls&gt;&lt;custom1&gt;2214-4269 Tomita, Kazuyoshi Okamoto, Shungo Seto, Toshiyuki Hamazaki, Takashi Journal Article United States 2021/11/09 Mol Genet Metab Rep. 2021 Oct 22;29:100816. doi: 10.1016/j.ymgmr.2021.100816. eCollection 2021 Dec. | RAYYAN-INCLUSION: {&amp;quot;Mah&amp;quot;=&amp;gt;&amp;quot;Included&amp;quot;} | RAYYAN-LABELS: Treatment (ERT),Treatment (HSCT)&lt;/custom1&gt;&lt;electronic-resource-num&gt;doi:10.1016/j.ymgmr.2021.100816&lt;/electronic-resource-num&gt;&lt;language&gt;eng&lt;/language&gt;&lt;/record&gt;&lt;/Cite&gt;&lt;/EndNote&gt;</w:instrText>
      </w:r>
      <w:r>
        <w:rPr>
          <w:rFonts w:cs="Courier New"/>
          <w:szCs w:val="20"/>
        </w:rPr>
        <w:fldChar w:fldCharType="separate"/>
      </w:r>
      <w:r>
        <w:rPr>
          <w:rFonts w:cs="Courier New"/>
          <w:noProof/>
          <w:szCs w:val="20"/>
        </w:rPr>
        <w:t>(Tomita et al. 2021)</w:t>
      </w:r>
      <w:r>
        <w:rPr>
          <w:rFonts w:cs="Courier New"/>
          <w:szCs w:val="20"/>
        </w:rPr>
        <w:fldChar w:fldCharType="end"/>
      </w:r>
      <w:r>
        <w:rPr>
          <w:rFonts w:cs="Courier New"/>
          <w:szCs w:val="20"/>
        </w:rPr>
        <w:t xml:space="preserve"> </w:t>
      </w:r>
      <w:r>
        <w:t>who received early ERT, with a median follow-up of 11 years and only one patient who was followed for 16 years</w:t>
      </w:r>
      <w:r w:rsidRPr="7C4E3BA4">
        <w:t xml:space="preserve">, making the modelled </w:t>
      </w:r>
      <w:r>
        <w:t>incremental OS</w:t>
      </w:r>
      <w:r w:rsidRPr="7C4E3BA4" w:rsidDel="00C0618F">
        <w:t xml:space="preserve"> </w:t>
      </w:r>
      <w:r w:rsidRPr="7C4E3BA4">
        <w:t>highly uncertain</w:t>
      </w:r>
      <w:r>
        <w:t xml:space="preserve"> and </w:t>
      </w:r>
      <w:r w:rsidRPr="7C4E3BA4">
        <w:t>s</w:t>
      </w:r>
      <w:r>
        <w:t xml:space="preserve">howing </w:t>
      </w:r>
      <w:r w:rsidRPr="7C4E3BA4">
        <w:t xml:space="preserve">that the model </w:t>
      </w:r>
      <w:r>
        <w:t>is highly sensitive to this assumption.</w:t>
      </w:r>
    </w:p>
    <w:p w14:paraId="0ECFA85E" w14:textId="6242183A" w:rsidR="00221170" w:rsidRDefault="00221170" w:rsidP="00221170">
      <w:r w:rsidRPr="7C4E3BA4">
        <w:t xml:space="preserve">ESC noted that the incremental cost-effectiveness ratio (ICER) was </w:t>
      </w:r>
      <w:r w:rsidRPr="00181EFC">
        <w:t>$</w:t>
      </w:r>
      <w:r w:rsidR="00181EFC" w:rsidRPr="00181EFC">
        <w:rPr>
          <w:b/>
          <w:bCs/>
        </w:rPr>
        <w:t>REDACTED</w:t>
      </w:r>
      <w:r w:rsidR="00181EFC" w:rsidRPr="00011DA9" w:rsidDel="00181EFC">
        <w:t xml:space="preserve"> </w:t>
      </w:r>
      <w:r w:rsidRPr="00181EFC">
        <w:t xml:space="preserve">per early diagnosis of severe MPS II case from the step 1 base case model over </w:t>
      </w:r>
      <w:r w:rsidR="00181EFC" w:rsidRPr="00181EFC">
        <w:rPr>
          <w:b/>
          <w:bCs/>
        </w:rPr>
        <w:t>REDACTED</w:t>
      </w:r>
      <w:r w:rsidR="00181EFC" w:rsidRPr="00011DA9" w:rsidDel="00181EFC">
        <w:t xml:space="preserve"> </w:t>
      </w:r>
      <w:r w:rsidRPr="00011DA9">
        <w:t>years</w:t>
      </w:r>
      <w:r w:rsidRPr="00181EFC">
        <w:t xml:space="preserve"> (per newborn screened), including associated costs of testing, diagnostic </w:t>
      </w:r>
      <w:r w:rsidR="007104CE" w:rsidRPr="00181EFC">
        <w:t>delay</w:t>
      </w:r>
      <w:r w:rsidRPr="00181EFC">
        <w:t>, monitoring and ERT treatment. ESC noted that the ICER was $</w:t>
      </w:r>
      <w:r w:rsidR="00181EFC" w:rsidRPr="00181EFC">
        <w:rPr>
          <w:b/>
          <w:bCs/>
        </w:rPr>
        <w:t>REDACTED</w:t>
      </w:r>
      <w:r w:rsidR="00181EFC" w:rsidRPr="00011DA9" w:rsidDel="00181EFC">
        <w:t xml:space="preserve"> </w:t>
      </w:r>
      <w:r w:rsidRPr="00181EFC">
        <w:t>per early diagnosis of any subtype of MPS II.</w:t>
      </w:r>
    </w:p>
    <w:p w14:paraId="4F7ADD16" w14:textId="3FB1F213" w:rsidR="00221170" w:rsidRDefault="00221170" w:rsidP="00221170">
      <w:r w:rsidRPr="7C4E3BA4">
        <w:t>An exploratory ICER of $</w:t>
      </w:r>
      <w:r w:rsidR="00181EFC" w:rsidRPr="00181EFC">
        <w:rPr>
          <w:b/>
          <w:bCs/>
        </w:rPr>
        <w:t>REDACTED</w:t>
      </w:r>
      <w:r w:rsidR="00181EFC" w:rsidRPr="00011DA9" w:rsidDel="00181EFC">
        <w:t xml:space="preserve"> </w:t>
      </w:r>
      <w:r w:rsidRPr="00181EFC">
        <w:t>per QALY gained was calculated by adding discounted quality-adjusted survival gains, prolonged monitoring and prolonged ERT costs for severe patients. ESC noted this decreased the ICER to $</w:t>
      </w:r>
      <w:r w:rsidR="00181EFC" w:rsidRPr="00181EFC">
        <w:rPr>
          <w:b/>
          <w:bCs/>
        </w:rPr>
        <w:t>REDACTED</w:t>
      </w:r>
      <w:r w:rsidR="00181EFC" w:rsidRPr="00011DA9" w:rsidDel="00181EFC">
        <w:t xml:space="preserve"> </w:t>
      </w:r>
      <w:r w:rsidRPr="00181EFC">
        <w:t>per QALY gained if using another HR from Burton 2017, and decreased to $</w:t>
      </w:r>
      <w:r w:rsidR="00181EFC" w:rsidRPr="00181EFC">
        <w:rPr>
          <w:b/>
          <w:bCs/>
        </w:rPr>
        <w:t>REDACTED</w:t>
      </w:r>
      <w:r w:rsidR="00181EFC" w:rsidRPr="00011DA9" w:rsidDel="00181EFC">
        <w:t xml:space="preserve"> </w:t>
      </w:r>
      <w:r w:rsidRPr="00181EFC">
        <w:t>per</w:t>
      </w:r>
      <w:r w:rsidRPr="7C4E3BA4">
        <w:t xml:space="preserve"> QALY gained if using a different utility value from Beusterien (2012). </w:t>
      </w:r>
      <w:r>
        <w:t>Decreasing the annual d</w:t>
      </w:r>
      <w:r w:rsidRPr="7C4E3BA4">
        <w:t>iscount</w:t>
      </w:r>
      <w:r>
        <w:t xml:space="preserve"> rate</w:t>
      </w:r>
      <w:r w:rsidRPr="7C4E3BA4">
        <w:t xml:space="preserve"> also decreased the ICER.</w:t>
      </w:r>
    </w:p>
    <w:p w14:paraId="37808503" w14:textId="77777777" w:rsidR="00221170" w:rsidRDefault="00221170" w:rsidP="00221170">
      <w:r>
        <w:t>ESC also noted that th</w:t>
      </w:r>
      <w:r w:rsidRPr="0004112D">
        <w:t>e modelled health increments mostly ar</w:t>
      </w:r>
      <w:r>
        <w:t>o</w:t>
      </w:r>
      <w:r w:rsidRPr="0004112D">
        <w:t>se from earlier treatment of severe MPS</w:t>
      </w:r>
      <w:r>
        <w:t> </w:t>
      </w:r>
      <w:r w:rsidRPr="0004112D">
        <w:t xml:space="preserve">II, and </w:t>
      </w:r>
      <w:r>
        <w:t>any</w:t>
      </w:r>
      <w:r w:rsidRPr="0004112D">
        <w:t xml:space="preserve"> attenuated MPS</w:t>
      </w:r>
      <w:r>
        <w:t> </w:t>
      </w:r>
      <w:r w:rsidRPr="0004112D">
        <w:t xml:space="preserve">II health trade-offs </w:t>
      </w:r>
      <w:r>
        <w:t>we</w:t>
      </w:r>
      <w:r w:rsidRPr="0004112D">
        <w:t xml:space="preserve">re not quantified. </w:t>
      </w:r>
    </w:p>
    <w:p w14:paraId="587B8CC5" w14:textId="715B3CD2" w:rsidR="00221170" w:rsidRDefault="00221170" w:rsidP="00221170">
      <w:r w:rsidRPr="7C4E3BA4">
        <w:lastRenderedPageBreak/>
        <w:t xml:space="preserve">ESC concluded that the ICERs are high, </w:t>
      </w:r>
      <w:r>
        <w:t>but acknowledged this is a reflection of the rarity of the condition being screened.</w:t>
      </w:r>
      <w:r w:rsidRPr="7C4E3BA4">
        <w:t xml:space="preserve"> </w:t>
      </w:r>
      <w:r>
        <w:t xml:space="preserve">ESC advised that </w:t>
      </w:r>
      <w:r w:rsidRPr="7C4E3BA4">
        <w:t xml:space="preserve">MSAC may </w:t>
      </w:r>
      <w:r>
        <w:t>wish</w:t>
      </w:r>
      <w:r w:rsidRPr="7C4E3BA4">
        <w:t xml:space="preserve"> to consider the </w:t>
      </w:r>
      <w:r>
        <w:t xml:space="preserve">ICERs for treatments for rare conditions accepted by the </w:t>
      </w:r>
      <w:r w:rsidRPr="7C4E3BA4">
        <w:t>LSDP Expert Panel</w:t>
      </w:r>
      <w:r>
        <w:t>,</w:t>
      </w:r>
      <w:r w:rsidRPr="7C4E3BA4">
        <w:t xml:space="preserve"> to provide context for acceptable </w:t>
      </w:r>
      <w:r w:rsidRPr="00414A96">
        <w:t>ICERs for rare diseases</w:t>
      </w:r>
      <w:r w:rsidRPr="7C4E3BA4">
        <w:t>.</w:t>
      </w:r>
      <w:r w:rsidRPr="00657210">
        <w:t xml:space="preserve"> </w:t>
      </w:r>
      <w:r>
        <w:t xml:space="preserve">ESC further noted that </w:t>
      </w:r>
      <w:r w:rsidRPr="00657210">
        <w:t>MSAC should also be aware that the rule of rescue, which influences LSDP decision-making, is driven by small numbers of identifiable individuals in extremely severe circumstances, which may apply to some of the diagnosed cases, but not to all those screened.</w:t>
      </w:r>
    </w:p>
    <w:p w14:paraId="16D442C0" w14:textId="02318909" w:rsidR="00221170" w:rsidRPr="0004112D" w:rsidRDefault="00221170" w:rsidP="00221170">
      <w:r>
        <w:t>ESC noted that t</w:t>
      </w:r>
      <w:r w:rsidRPr="00EF0BE8">
        <w:t xml:space="preserve">he economic model does not estimate any decreased disutility from minimising the diagnostic </w:t>
      </w:r>
      <w:r w:rsidR="007104CE">
        <w:t xml:space="preserve">delay </w:t>
      </w:r>
      <w:r w:rsidRPr="00EF0BE8">
        <w:t>of detected patients who do develop symptoms</w:t>
      </w:r>
      <w:r>
        <w:t>,</w:t>
      </w:r>
      <w:r w:rsidRPr="00EF0BE8">
        <w:t xml:space="preserve"> nor any increased disutility </w:t>
      </w:r>
      <w:r>
        <w:t>from</w:t>
      </w:r>
      <w:r w:rsidRPr="00EF0BE8">
        <w:t xml:space="preserve"> monitoring</w:t>
      </w:r>
      <w:r>
        <w:t xml:space="preserve">, including </w:t>
      </w:r>
      <w:r w:rsidRPr="00EF0BE8">
        <w:t>lifelong</w:t>
      </w:r>
      <w:r>
        <w:t xml:space="preserve"> monitoring</w:t>
      </w:r>
      <w:r w:rsidRPr="00EF0BE8">
        <w:t xml:space="preserve"> of those detected patients who do not develop symptoms</w:t>
      </w:r>
      <w:r>
        <w:t xml:space="preserve">. However, ESC considered that these omissions </w:t>
      </w:r>
      <w:r w:rsidRPr="00EF0BE8">
        <w:t xml:space="preserve">are likely to have a </w:t>
      </w:r>
      <w:r>
        <w:t>small</w:t>
      </w:r>
      <w:r w:rsidRPr="00EF0BE8">
        <w:t xml:space="preserve"> effect on the </w:t>
      </w:r>
      <w:r>
        <w:t xml:space="preserve">estimated </w:t>
      </w:r>
      <w:r w:rsidRPr="00EF0BE8">
        <w:t>ICER</w:t>
      </w:r>
      <w:r>
        <w:t xml:space="preserve"> per </w:t>
      </w:r>
      <w:r w:rsidRPr="00EF0BE8">
        <w:t>QALY</w:t>
      </w:r>
      <w:r>
        <w:t>, which is driven more by the estimated overall survival gains than by utility changes.</w:t>
      </w:r>
    </w:p>
    <w:p w14:paraId="681189C7" w14:textId="77777777" w:rsidR="00221170" w:rsidRPr="000574D4" w:rsidRDefault="00221170" w:rsidP="00221170">
      <w:r w:rsidRPr="7C4E3BA4">
        <w:t>ESC considered the financial impact calculations were appropriate and largely based on verifiable facts, such as the newborn population, NBS uptake rates, annual incidence rates and literature-based clinical management protocols. In addition, ESC considered the estimated use and financial implications of the proposed NBS expansion to be largely reasonable, except that:</w:t>
      </w:r>
    </w:p>
    <w:p w14:paraId="03DF82D2" w14:textId="77777777" w:rsidR="00221170" w:rsidRPr="000574D4" w:rsidRDefault="00221170" w:rsidP="00BE0CE4">
      <w:pPr>
        <w:pStyle w:val="ListParagraph"/>
        <w:numPr>
          <w:ilvl w:val="0"/>
          <w:numId w:val="23"/>
        </w:numPr>
        <w:ind w:left="714" w:hanging="357"/>
        <w:contextualSpacing w:val="0"/>
      </w:pPr>
      <w:r>
        <w:t>N</w:t>
      </w:r>
      <w:r w:rsidRPr="7C4E3BA4">
        <w:t xml:space="preserve">et costs to the LSDP appear to </w:t>
      </w:r>
      <w:r>
        <w:t xml:space="preserve">have </w:t>
      </w:r>
      <w:r w:rsidRPr="7C4E3BA4">
        <w:t>be</w:t>
      </w:r>
      <w:r>
        <w:t>en</w:t>
      </w:r>
      <w:r w:rsidRPr="7C4E3BA4">
        <w:t xml:space="preserve"> overestimated, as these should only be for the earlier use of ERT; subsequent modelled incremental ERT costs in the economic model should only occur after year 9</w:t>
      </w:r>
      <w:r>
        <w:t>.</w:t>
      </w:r>
    </w:p>
    <w:p w14:paraId="30AA5881" w14:textId="3CB24489" w:rsidR="00221170" w:rsidRPr="000574D4" w:rsidRDefault="00221170" w:rsidP="00BE0CE4">
      <w:pPr>
        <w:pStyle w:val="ListParagraph"/>
        <w:numPr>
          <w:ilvl w:val="0"/>
          <w:numId w:val="23"/>
        </w:numPr>
        <w:ind w:left="714" w:hanging="357"/>
        <w:contextualSpacing w:val="0"/>
      </w:pPr>
      <w:r>
        <w:t xml:space="preserve">The </w:t>
      </w:r>
      <w:r w:rsidRPr="000574D4">
        <w:t>DCAR’s approach to estimating the effects of expanding via a multiplex test is incorrect</w:t>
      </w:r>
      <w:r>
        <w:t xml:space="preserve">; </w:t>
      </w:r>
      <w:r w:rsidRPr="000574D4">
        <w:t>MSAC should consider which costs w</w:t>
      </w:r>
      <w:r>
        <w:t>ill</w:t>
      </w:r>
      <w:r w:rsidRPr="000574D4">
        <w:t xml:space="preserve"> not be duplicated if </w:t>
      </w:r>
      <w:r>
        <w:t>2</w:t>
      </w:r>
      <w:r w:rsidRPr="000574D4">
        <w:t xml:space="preserve"> or more of applications </w:t>
      </w:r>
      <w:hyperlink r:id="rId13" w:history="1">
        <w:r w:rsidRPr="00205EC8">
          <w:rPr>
            <w:rStyle w:val="Hyperlink"/>
          </w:rPr>
          <w:t>1774</w:t>
        </w:r>
      </w:hyperlink>
      <w:r w:rsidRPr="000574D4">
        <w:t xml:space="preserve">, </w:t>
      </w:r>
      <w:hyperlink r:id="rId14" w:history="1">
        <w:r w:rsidRPr="00E7547E">
          <w:rPr>
            <w:rStyle w:val="Hyperlink"/>
          </w:rPr>
          <w:t>1775</w:t>
        </w:r>
      </w:hyperlink>
      <w:r w:rsidRPr="000574D4">
        <w:t xml:space="preserve"> and 1776 are </w:t>
      </w:r>
      <w:r>
        <w:t>supported and NBS-</w:t>
      </w:r>
      <w:r w:rsidRPr="000574D4">
        <w:t>implemented</w:t>
      </w:r>
      <w:r>
        <w:t xml:space="preserve"> </w:t>
      </w:r>
      <w:r w:rsidRPr="00657210">
        <w:t>(such as some of the “once-off set up” program implementation costs and some of the</w:t>
      </w:r>
      <w:r>
        <w:t xml:space="preserve"> n</w:t>
      </w:r>
      <w:r w:rsidRPr="000574D4">
        <w:t>on-test</w:t>
      </w:r>
      <w:r>
        <w:t>-</w:t>
      </w:r>
      <w:r w:rsidRPr="000574D4">
        <w:t xml:space="preserve">kit costs of </w:t>
      </w:r>
      <w:r w:rsidRPr="00CE7E49">
        <w:t>t</w:t>
      </w:r>
      <w:r w:rsidRPr="000574D4">
        <w:t>ier</w:t>
      </w:r>
      <w:r>
        <w:t> </w:t>
      </w:r>
      <w:r w:rsidRPr="000574D4">
        <w:t>1 screening</w:t>
      </w:r>
      <w:r>
        <w:t>).</w:t>
      </w:r>
    </w:p>
    <w:p w14:paraId="121218C5" w14:textId="77777777" w:rsidR="00221170" w:rsidRDefault="00221170" w:rsidP="00221170">
      <w:r>
        <w:t>ESC noted that the</w:t>
      </w:r>
      <w:r w:rsidRPr="7C4E3BA4" w:rsidDel="003568FE">
        <w:t xml:space="preserve"> difference between an LC–MS/MS machine and an electrospray ionisation MS/MS machine </w:t>
      </w:r>
      <w:r>
        <w:t>was considered and the costs of purchasing the former machine appropriately added to the implementation costs for this application. ESC recalled that MSAC supported the use of the latter machine in its consideration of sickle cell disease testing on the NBS (Application 1737.1).</w:t>
      </w:r>
    </w:p>
    <w:p w14:paraId="5B4CF11E" w14:textId="12F97300" w:rsidR="00221170" w:rsidRDefault="00221170" w:rsidP="00221170">
      <w:r w:rsidRPr="7C4E3BA4">
        <w:t xml:space="preserve">ESC noted the largest financial impact would be </w:t>
      </w:r>
      <w:r w:rsidRPr="00181EFC">
        <w:t>to the NBS (</w:t>
      </w:r>
      <w:r w:rsidRPr="00011DA9">
        <w:t>$</w:t>
      </w:r>
      <w:r w:rsidR="00181EFC" w:rsidRPr="00181EFC">
        <w:rPr>
          <w:b/>
          <w:bCs/>
        </w:rPr>
        <w:t>REDACTED</w:t>
      </w:r>
      <w:r w:rsidR="00181EFC" w:rsidRPr="00011DA9" w:rsidDel="00181EFC">
        <w:t xml:space="preserve"> </w:t>
      </w:r>
      <w:r w:rsidRPr="00181EFC">
        <w:t xml:space="preserve">in year 1 to </w:t>
      </w:r>
      <w:r w:rsidRPr="00011DA9">
        <w:t>$</w:t>
      </w:r>
      <w:r w:rsidR="00181EFC" w:rsidRPr="00181EFC">
        <w:rPr>
          <w:b/>
          <w:bCs/>
        </w:rPr>
        <w:t>REDACTED</w:t>
      </w:r>
      <w:r w:rsidR="00181EFC" w:rsidRPr="00011DA9" w:rsidDel="00181EFC">
        <w:t xml:space="preserve"> </w:t>
      </w:r>
      <w:r w:rsidRPr="00181EFC">
        <w:t xml:space="preserve">in year 6), with a total cost to government health budgets of </w:t>
      </w:r>
      <w:r w:rsidRPr="00011DA9">
        <w:t>$</w:t>
      </w:r>
      <w:r w:rsidR="00181EFC" w:rsidRPr="00181EFC">
        <w:rPr>
          <w:b/>
          <w:bCs/>
        </w:rPr>
        <w:t>REDACTED</w:t>
      </w:r>
      <w:r w:rsidR="00181EFC" w:rsidRPr="00011DA9" w:rsidDel="00181EFC">
        <w:t xml:space="preserve"> </w:t>
      </w:r>
      <w:r w:rsidRPr="00181EFC">
        <w:t xml:space="preserve">in year 1 and </w:t>
      </w:r>
      <w:r w:rsidRPr="00011DA9">
        <w:t>$</w:t>
      </w:r>
      <w:r w:rsidR="00181EFC" w:rsidRPr="00181EFC">
        <w:rPr>
          <w:b/>
          <w:bCs/>
        </w:rPr>
        <w:t>REDACTED</w:t>
      </w:r>
      <w:r w:rsidR="00181EFC" w:rsidRPr="00011DA9" w:rsidDel="00181EFC">
        <w:t xml:space="preserve"> </w:t>
      </w:r>
      <w:r w:rsidRPr="00181EFC">
        <w:t>in year 6.</w:t>
      </w:r>
    </w:p>
    <w:p w14:paraId="31CAE48A" w14:textId="77777777" w:rsidR="00221170" w:rsidRDefault="00221170" w:rsidP="00221170">
      <w:r w:rsidRPr="7C4E3BA4">
        <w:t xml:space="preserve">ESC noted the </w:t>
      </w:r>
      <w:r>
        <w:t xml:space="preserve">two </w:t>
      </w:r>
      <w:r w:rsidRPr="7C4E3BA4">
        <w:t>supplementary financial analys</w:t>
      </w:r>
      <w:r>
        <w:t>e</w:t>
      </w:r>
      <w:r w:rsidRPr="7C4E3BA4">
        <w:t xml:space="preserve">s supplied by the rejoinder. ESC considered that </w:t>
      </w:r>
      <w:r>
        <w:t xml:space="preserve">the supplementary </w:t>
      </w:r>
      <w:r w:rsidRPr="7C4E3BA4">
        <w:t xml:space="preserve">financial analysis 2 is informative because it is similar to MSAC’s previous requests to assess the consequence of both changing the NBS and changing the LSDP Guidelines to allow increased access to ERT for presymptomatic MPS II patients. </w:t>
      </w:r>
      <w:r>
        <w:t>ESC considered that t</w:t>
      </w:r>
      <w:r w:rsidRPr="7C4E3BA4">
        <w:t xml:space="preserve">he supplementary financial analysis 1 </w:t>
      </w:r>
      <w:r>
        <w:t>was</w:t>
      </w:r>
      <w:r w:rsidRPr="7C4E3BA4">
        <w:t xml:space="preserve"> not informative for MSAC because adding MPS II to the NBS would not cause an increase in the number of diagnoses of MPS II patients who were born before the NBS implementation, as this analysis implie</w:t>
      </w:r>
      <w:r>
        <w:t>d</w:t>
      </w:r>
      <w:r w:rsidRPr="7C4E3BA4">
        <w:t>.</w:t>
      </w:r>
    </w:p>
    <w:p w14:paraId="4FAE5767" w14:textId="77777777" w:rsidR="00221170" w:rsidRDefault="00221170" w:rsidP="00221170">
      <w:r w:rsidRPr="7C4E3BA4">
        <w:t>ESC noted the complex ethical issues associated with the application. NBS for MPS II would increase the detection of individuals with the attenuated form of the disease</w:t>
      </w:r>
      <w:r>
        <w:t>,</w:t>
      </w:r>
      <w:r w:rsidRPr="7C4E3BA4">
        <w:t xml:space="preserve"> who otherwise might not be diagnosed without screening. </w:t>
      </w:r>
      <w:r>
        <w:t>However, e</w:t>
      </w:r>
      <w:r w:rsidRPr="7C4E3BA4">
        <w:t xml:space="preserve">arly </w:t>
      </w:r>
      <w:r>
        <w:t>screening</w:t>
      </w:r>
      <w:r w:rsidRPr="7C4E3BA4">
        <w:t xml:space="preserve"> for certain conditions may have limited value, as the knowledge of a potential future illness can cause undue stress and anxiety.</w:t>
      </w:r>
      <w:r>
        <w:t xml:space="preserve"> In addition to a</w:t>
      </w:r>
      <w:r w:rsidRPr="7C4E3BA4">
        <w:t xml:space="preserve">dverse effects from </w:t>
      </w:r>
      <w:r>
        <w:t xml:space="preserve">treatment, there are further </w:t>
      </w:r>
      <w:r w:rsidRPr="7C4E3BA4">
        <w:t>potential harms</w:t>
      </w:r>
      <w:r>
        <w:t xml:space="preserve"> resulting from early diagnosis particularly for those with attenuated MPS II, which</w:t>
      </w:r>
      <w:r w:rsidRPr="7C4E3BA4">
        <w:t xml:space="preserve"> </w:t>
      </w:r>
      <w:r>
        <w:t xml:space="preserve">include those </w:t>
      </w:r>
      <w:r w:rsidRPr="7C4E3BA4">
        <w:t>from surveillance imaging (</w:t>
      </w:r>
      <w:r>
        <w:t xml:space="preserve">such as </w:t>
      </w:r>
      <w:r w:rsidRPr="7C4E3BA4">
        <w:t xml:space="preserve">oncogenic risk from multiple CTs, risk from general </w:t>
      </w:r>
      <w:r w:rsidRPr="7C4E3BA4">
        <w:lastRenderedPageBreak/>
        <w:t xml:space="preserve">anaesthetic/sedation with </w:t>
      </w:r>
      <w:r>
        <w:t>magnetic resonance imaging</w:t>
      </w:r>
      <w:r w:rsidRPr="7C4E3BA4">
        <w:t xml:space="preserve">), </w:t>
      </w:r>
      <w:r>
        <w:t>as well as</w:t>
      </w:r>
      <w:r w:rsidRPr="7C4E3BA4">
        <w:t xml:space="preserve"> potential psychosocial harms from diagnostic labelling, clinical surveillance and follow-up testing. </w:t>
      </w:r>
    </w:p>
    <w:p w14:paraId="6E5BD904" w14:textId="6999A191" w:rsidR="00221170" w:rsidRDefault="00221170" w:rsidP="00221170">
      <w:r w:rsidRPr="7C4E3BA4">
        <w:t xml:space="preserve">ESC </w:t>
      </w:r>
      <w:r>
        <w:t>also</w:t>
      </w:r>
      <w:r w:rsidRPr="7C4E3BA4">
        <w:t xml:space="preserve"> noted that some studies argue that </w:t>
      </w:r>
      <w:r>
        <w:t>testing newborns for</w:t>
      </w:r>
      <w:r w:rsidRPr="7C4E3BA4">
        <w:t xml:space="preserve"> adult-onset conditions may infringe on an individual’s right to decide if and when they want to learn about their health. Specifically, ESC identified an ethical obligation to inform parents of a possible diagnosis of glycogen storage disease type II (target condition in application </w:t>
      </w:r>
      <w:hyperlink r:id="rId15">
        <w:r w:rsidRPr="7C4E3BA4">
          <w:rPr>
            <w:rStyle w:val="Hyperlink"/>
          </w:rPr>
          <w:t>1774</w:t>
        </w:r>
      </w:hyperlink>
      <w:r w:rsidRPr="7C4E3BA4">
        <w:t xml:space="preserve">), which may arise once further investigation of the child requires parental consent to proceed beyond the original bloodspot sample. </w:t>
      </w:r>
      <w:r>
        <w:t>In such cases</w:t>
      </w:r>
      <w:r w:rsidRPr="7C4E3BA4">
        <w:t>, an ethical obligation subsequently arises to inform parents of the outcome of the further investigation</w:t>
      </w:r>
      <w:r>
        <w:t>,</w:t>
      </w:r>
      <w:r w:rsidRPr="7C4E3BA4">
        <w:t xml:space="preserve"> </w:t>
      </w:r>
      <w:r>
        <w:t>in accordance</w:t>
      </w:r>
      <w:r w:rsidRPr="7C4E3BA4">
        <w:t xml:space="preserve"> </w:t>
      </w:r>
      <w:r>
        <w:t>with</w:t>
      </w:r>
      <w:r w:rsidRPr="7C4E3BA4">
        <w:t xml:space="preserve"> ethical principles of transparency and full disclosure.</w:t>
      </w:r>
    </w:p>
    <w:p w14:paraId="54A15D0C" w14:textId="03937405" w:rsidR="00221170" w:rsidRDefault="00221170" w:rsidP="00221170">
      <w:r w:rsidRPr="7C4E3BA4">
        <w:t xml:space="preserve">ESC </w:t>
      </w:r>
      <w:r>
        <w:t>noted</w:t>
      </w:r>
      <w:r w:rsidRPr="7C4E3BA4">
        <w:t xml:space="preserve"> that sharing information about later-onset conditions with parents – especially when potential harms can be managed – can benefit the child and support their best interests. There is still limited evidence on the experiences of patients and parents involved in MPS II identification through NBS. Early diagnosis, combined with clear and well-delivered information, could empower parents and patients, enhancing their decision-making abilities, improving access to treatment and enabling more informed family planning choices. In addition, ESC noted the benefits associated with avoiding multiple tests as part of the diagnostic </w:t>
      </w:r>
      <w:r w:rsidR="007104CE">
        <w:t>delay</w:t>
      </w:r>
      <w:r w:rsidR="007104CE" w:rsidRPr="7C4E3BA4">
        <w:t xml:space="preserve"> </w:t>
      </w:r>
      <w:r w:rsidRPr="7C4E3BA4">
        <w:t>that often happens with patients with MPS II. ESC noted a possible benefit of gaining access to future therapies, but considered that access to these therapies is many years away and out of scope for a health technology assessment to consider.</w:t>
      </w:r>
    </w:p>
    <w:p w14:paraId="4D7B7318" w14:textId="2C66FF22" w:rsidR="00221170" w:rsidRDefault="00221170" w:rsidP="00221170">
      <w:r w:rsidRPr="7C4E3BA4">
        <w:t xml:space="preserve">ESC </w:t>
      </w:r>
      <w:r>
        <w:t xml:space="preserve">queried whether </w:t>
      </w:r>
      <w:r w:rsidRPr="7C4E3BA4">
        <w:t>the Re</w:t>
      </w:r>
      <w:r>
        <w:t>v</w:t>
      </w:r>
      <w:r w:rsidRPr="7C4E3BA4">
        <w:t xml:space="preserve">vity </w:t>
      </w:r>
      <w:r>
        <w:t xml:space="preserve">multiplex </w:t>
      </w:r>
      <w:r w:rsidRPr="7C4E3BA4">
        <w:t xml:space="preserve">kit options </w:t>
      </w:r>
      <w:r w:rsidRPr="006B3E69">
        <w:t xml:space="preserve">should be excluded from consideration for use as part of the NBS given that they are </w:t>
      </w:r>
      <w:r>
        <w:t>dominated by the</w:t>
      </w:r>
      <w:r w:rsidRPr="7C4E3BA4">
        <w:t xml:space="preserve"> </w:t>
      </w:r>
      <w:r w:rsidR="00794FE7" w:rsidRPr="00794FE7">
        <w:rPr>
          <w:b/>
          <w:bCs/>
        </w:rPr>
        <w:t>REDACTED</w:t>
      </w:r>
      <w:r w:rsidR="00794FE7" w:rsidRPr="00011DA9" w:rsidDel="00794FE7">
        <w:t xml:space="preserve"> </w:t>
      </w:r>
      <w:r w:rsidRPr="00794FE7">
        <w:t>options</w:t>
      </w:r>
      <w:r>
        <w:t xml:space="preserve"> (that is, they </w:t>
      </w:r>
      <w:r w:rsidRPr="7C4E3BA4">
        <w:t>are more expensive but are not more accurate</w:t>
      </w:r>
      <w:r>
        <w:t>)</w:t>
      </w:r>
      <w:r w:rsidRPr="7C4E3BA4">
        <w:t xml:space="preserve">. </w:t>
      </w:r>
      <w:r>
        <w:t>Further</w:t>
      </w:r>
      <w:r w:rsidRPr="7C4E3BA4">
        <w:t xml:space="preserve">, the MPS7plex kit </w:t>
      </w:r>
      <w:r>
        <w:t xml:space="preserve">may also </w:t>
      </w:r>
      <w:r w:rsidRPr="7C4E3BA4">
        <w:t xml:space="preserve">report results for </w:t>
      </w:r>
      <w:r>
        <w:t>LSD</w:t>
      </w:r>
      <w:r w:rsidRPr="7C4E3BA4">
        <w:t xml:space="preserve"> conditions </w:t>
      </w:r>
      <w:r>
        <w:t xml:space="preserve">(e.g., CLN2, MPS III) </w:t>
      </w:r>
      <w:r w:rsidRPr="7C4E3BA4">
        <w:t>that health ministers have agreed should not progress to MSAC for possible inclusion in the NBS</w:t>
      </w:r>
      <w:r>
        <w:rPr>
          <w:rStyle w:val="FootnoteReference"/>
        </w:rPr>
        <w:footnoteReference w:id="47"/>
      </w:r>
      <w:r w:rsidRPr="7C4E3BA4">
        <w:t xml:space="preserve">, thus creating ethical difficulties for the reporting pathologist that could be avoided by not using this test kit. However, </w:t>
      </w:r>
      <w:r>
        <w:t xml:space="preserve">the department clarified </w:t>
      </w:r>
      <w:r w:rsidRPr="7C4E3BA4">
        <w:t xml:space="preserve">that pathologists have the option of not testing for all </w:t>
      </w:r>
      <w:r>
        <w:t>7 enzymes on the panel</w:t>
      </w:r>
      <w:r w:rsidRPr="7C4E3BA4">
        <w:t xml:space="preserve"> when using the MPS7plex kit</w:t>
      </w:r>
      <w:r>
        <w:rPr>
          <w:rStyle w:val="FootnoteReference"/>
        </w:rPr>
        <w:footnoteReference w:id="48"/>
      </w:r>
      <w:r w:rsidRPr="7C4E3BA4">
        <w:t xml:space="preserve"> which may eliminate this ethical issue.</w:t>
      </w:r>
    </w:p>
    <w:p w14:paraId="13FB427A" w14:textId="77777777" w:rsidR="00221170" w:rsidRDefault="00221170" w:rsidP="00221170">
      <w:r w:rsidRPr="7C4E3BA4" w:rsidDel="006B27FD">
        <w:t xml:space="preserve">ESC </w:t>
      </w:r>
      <w:r w:rsidDel="006B27FD">
        <w:t>noted</w:t>
      </w:r>
      <w:r w:rsidRPr="7C4E3BA4" w:rsidDel="006B27FD">
        <w:t xml:space="preserve"> that </w:t>
      </w:r>
      <w:r w:rsidRPr="7C4E3BA4">
        <w:t>the pre-ESC response</w:t>
      </w:r>
      <w:r>
        <w:t xml:space="preserve"> argued that</w:t>
      </w:r>
      <w:r w:rsidRPr="7C4E3BA4">
        <w:t xml:space="preserve"> the term ‘patients in waiting’</w:t>
      </w:r>
      <w:r>
        <w:t xml:space="preserve"> is not appropriate, because these patients will develop signs and symptoms even if these are milder than for severe cases.</w:t>
      </w:r>
      <w:r w:rsidRPr="7C4E3BA4">
        <w:t xml:space="preserve"> </w:t>
      </w:r>
      <w:r>
        <w:t>H</w:t>
      </w:r>
      <w:r w:rsidRPr="7C4E3BA4">
        <w:t>owever, ESC considered that</w:t>
      </w:r>
      <w:r>
        <w:t xml:space="preserve"> while this may be true for some individuals with attenuated MPS II,</w:t>
      </w:r>
      <w:r w:rsidRPr="7C4E3BA4">
        <w:t xml:space="preserve"> </w:t>
      </w:r>
      <w:r>
        <w:t>others (particularly those considered to have “very attenuated” MPS II)</w:t>
      </w:r>
      <w:r w:rsidRPr="7C4E3BA4">
        <w:t xml:space="preserve"> </w:t>
      </w:r>
      <w:r>
        <w:t>may</w:t>
      </w:r>
      <w:r w:rsidRPr="7C4E3BA4">
        <w:t xml:space="preserve"> never develop symptoms</w:t>
      </w:r>
      <w:r>
        <w:t>, and</w:t>
      </w:r>
      <w:r w:rsidRPr="7C4E3BA4">
        <w:t xml:space="preserve"> are </w:t>
      </w:r>
      <w:r>
        <w:t>in fact</w:t>
      </w:r>
      <w:r w:rsidRPr="7C4E3BA4">
        <w:t xml:space="preserve"> healthy people </w:t>
      </w:r>
      <w:r>
        <w:t>who</w:t>
      </w:r>
      <w:r w:rsidRPr="7C4E3BA4">
        <w:t xml:space="preserve"> </w:t>
      </w:r>
      <w:r>
        <w:t xml:space="preserve">are </w:t>
      </w:r>
      <w:r w:rsidRPr="7C4E3BA4">
        <w:t>over</w:t>
      </w:r>
      <w:r>
        <w:t>-</w:t>
      </w:r>
      <w:r w:rsidRPr="7C4E3BA4">
        <w:t>diagnosed, over</w:t>
      </w:r>
      <w:r>
        <w:t>-monitored</w:t>
      </w:r>
      <w:r w:rsidRPr="7C4E3BA4">
        <w:t xml:space="preserve"> and potentially over</w:t>
      </w:r>
      <w:r>
        <w:t>-</w:t>
      </w:r>
      <w:r w:rsidRPr="7C4E3BA4">
        <w:t>treated.</w:t>
      </w:r>
    </w:p>
    <w:p w14:paraId="2932053C" w14:textId="77777777" w:rsidR="00221170" w:rsidRDefault="00221170" w:rsidP="00221170">
      <w:r w:rsidRPr="7C4E3BA4">
        <w:t xml:space="preserve">ESC noted the PASC comments, particularly regarding the additional equipment and staff that would be required if </w:t>
      </w:r>
      <w:r>
        <w:t>MPS II screening</w:t>
      </w:r>
      <w:r w:rsidRPr="7C4E3BA4">
        <w:t xml:space="preserve"> was to be implemented in NBS laboratories (currently only provided through the NRL), as well as that not all patients would be eligible for access to ERT on the LSDP. ESC noted that the MSAC Executive had requested that the assessment group explore the potential </w:t>
      </w:r>
      <w:r>
        <w:t xml:space="preserve">economic and financial </w:t>
      </w:r>
      <w:r w:rsidRPr="7C4E3BA4">
        <w:t>impacts of changes to LSDP criteria</w:t>
      </w:r>
      <w:r>
        <w:t xml:space="preserve"> to expand treatment to more patients who may be identified through NBS</w:t>
      </w:r>
      <w:r w:rsidRPr="7C4E3BA4">
        <w:t>.</w:t>
      </w:r>
    </w:p>
    <w:p w14:paraId="7EFF8A23" w14:textId="77777777" w:rsidR="00221170" w:rsidRDefault="00221170" w:rsidP="00221170">
      <w:r w:rsidRPr="7C4E3BA4">
        <w:lastRenderedPageBreak/>
        <w:t xml:space="preserve">ESC </w:t>
      </w:r>
      <w:r>
        <w:t>advised</w:t>
      </w:r>
      <w:r w:rsidRPr="7C4E3BA4">
        <w:t xml:space="preserve"> that the following additional </w:t>
      </w:r>
      <w:r>
        <w:t xml:space="preserve">information may be needed to inform </w:t>
      </w:r>
      <w:r w:rsidRPr="7C4E3BA4">
        <w:t>MSAC consideration:</w:t>
      </w:r>
    </w:p>
    <w:p w14:paraId="2C635B86" w14:textId="77777777" w:rsidR="00221170" w:rsidRPr="00AD5A31" w:rsidRDefault="00221170" w:rsidP="00BE0CE4">
      <w:pPr>
        <w:pStyle w:val="Bullet"/>
        <w:numPr>
          <w:ilvl w:val="0"/>
          <w:numId w:val="24"/>
        </w:numPr>
        <w:spacing w:before="0"/>
        <w:rPr>
          <w:rFonts w:ascii="Franklin Gothic Book" w:hAnsi="Franklin Gothic Book"/>
        </w:rPr>
      </w:pPr>
      <w:r>
        <w:rPr>
          <w:rFonts w:ascii="Franklin Gothic Book" w:hAnsi="Franklin Gothic Book"/>
        </w:rPr>
        <w:t>R</w:t>
      </w:r>
      <w:r w:rsidRPr="00AD5A31">
        <w:rPr>
          <w:rFonts w:ascii="Franklin Gothic Book" w:hAnsi="Franklin Gothic Book"/>
        </w:rPr>
        <w:t>evis</w:t>
      </w:r>
      <w:r>
        <w:rPr>
          <w:rFonts w:ascii="Franklin Gothic Book" w:hAnsi="Franklin Gothic Book"/>
        </w:rPr>
        <w:t>e</w:t>
      </w:r>
      <w:r w:rsidRPr="00AD5A31">
        <w:rPr>
          <w:rFonts w:ascii="Franklin Gothic Book" w:hAnsi="Franklin Gothic Book"/>
        </w:rPr>
        <w:t xml:space="preserve"> the current approach to assessing the effects of multiplexing through undertaking a “bundled” stepped evaluation of applications 1774, 1775 and 1776 whereby any duplication of costs is addressed and cumulative diagnostic yield is appropriately assessed across the three </w:t>
      </w:r>
      <w:r>
        <w:rPr>
          <w:rFonts w:ascii="Franklin Gothic Book" w:hAnsi="Franklin Gothic Book"/>
        </w:rPr>
        <w:t>applications.</w:t>
      </w:r>
    </w:p>
    <w:p w14:paraId="7ABAF26D" w14:textId="77777777" w:rsidR="00221170" w:rsidRPr="00F16CE2" w:rsidRDefault="00221170" w:rsidP="00BE0CE4">
      <w:pPr>
        <w:pStyle w:val="Bullet"/>
        <w:numPr>
          <w:ilvl w:val="0"/>
          <w:numId w:val="24"/>
        </w:numPr>
        <w:spacing w:before="0"/>
        <w:rPr>
          <w:rFonts w:ascii="Franklin Gothic Book" w:hAnsi="Franklin Gothic Book"/>
        </w:rPr>
      </w:pPr>
      <w:r w:rsidRPr="00DC53ED">
        <w:rPr>
          <w:rFonts w:ascii="Franklin Gothic Book" w:hAnsi="Franklin Gothic Book"/>
        </w:rPr>
        <w:t xml:space="preserve">Clarify whether the unit cost of the proposed NBS Tier 1 testing should be benchmarked (as per </w:t>
      </w:r>
      <w:r>
        <w:rPr>
          <w:rFonts w:ascii="Franklin Gothic Book" w:hAnsi="Franklin Gothic Book"/>
        </w:rPr>
        <w:t>the public summary document (</w:t>
      </w:r>
      <w:r w:rsidRPr="00414A96">
        <w:rPr>
          <w:rFonts w:ascii="Franklin Gothic Book" w:hAnsi="Franklin Gothic Book"/>
        </w:rPr>
        <w:t>PSD</w:t>
      </w:r>
      <w:r>
        <w:rPr>
          <w:rFonts w:ascii="Franklin Gothic Book" w:hAnsi="Franklin Gothic Book"/>
        </w:rPr>
        <w:t>)</w:t>
      </w:r>
      <w:r w:rsidRPr="00414A96">
        <w:rPr>
          <w:rFonts w:ascii="Franklin Gothic Book" w:hAnsi="Franklin Gothic Book"/>
        </w:rPr>
        <w:t xml:space="preserve"> for </w:t>
      </w:r>
      <w:r>
        <w:rPr>
          <w:rFonts w:ascii="Franklin Gothic Book" w:hAnsi="Franklin Gothic Book"/>
        </w:rPr>
        <w:t>MSAC a</w:t>
      </w:r>
      <w:r w:rsidRPr="00414A96">
        <w:rPr>
          <w:rFonts w:ascii="Franklin Gothic Book" w:hAnsi="Franklin Gothic Book"/>
        </w:rPr>
        <w:t>pplication 1737.1</w:t>
      </w:r>
      <w:r>
        <w:rPr>
          <w:rStyle w:val="FootnoteReference"/>
          <w:rFonts w:ascii="Franklin Gothic Book" w:hAnsi="Franklin Gothic Book"/>
        </w:rPr>
        <w:footnoteReference w:id="49"/>
      </w:r>
      <w:r w:rsidRPr="00414A96">
        <w:rPr>
          <w:rFonts w:ascii="Franklin Gothic Book" w:hAnsi="Franklin Gothic Book"/>
        </w:rPr>
        <w:t>) and if so which test components are to be included in the benchmark (MSAC should also be aware that this approach will not accurately reflect comparative cost-effectiveness because the ICER/diagnosis will vary by the genotypic prevalence of each disease and other incremental costs, and the ICER/QALY will also vary by the incremental health gains.)</w:t>
      </w:r>
      <w:r>
        <w:rPr>
          <w:rFonts w:ascii="Franklin Gothic Book" w:hAnsi="Franklin Gothic Book"/>
        </w:rPr>
        <w:t>.</w:t>
      </w:r>
    </w:p>
    <w:p w14:paraId="70F33C20" w14:textId="77777777" w:rsidR="00221170" w:rsidRPr="00DC53ED" w:rsidRDefault="00221170" w:rsidP="00221170">
      <w:pPr>
        <w:pStyle w:val="Bullet"/>
        <w:rPr>
          <w:rFonts w:ascii="Franklin Gothic Book" w:hAnsi="Franklin Gothic Book"/>
        </w:rPr>
      </w:pPr>
      <w:r w:rsidRPr="00DC53ED">
        <w:rPr>
          <w:rFonts w:ascii="Franklin Gothic Book" w:hAnsi="Franklin Gothic Book"/>
        </w:rPr>
        <w:t>Obtain expert clinical advice on how all screen positive cases would be followed up and managed, including severe cases, cases at risk of attenuated diseases, cases at risk of very attenuated disease, and those assumed to have pseudodeficiency (noting many undergo long-term surveillance after NBS detection as per international evidence).</w:t>
      </w:r>
    </w:p>
    <w:p w14:paraId="1A6A7902" w14:textId="77777777" w:rsidR="00221170" w:rsidRDefault="00221170" w:rsidP="00221170">
      <w:pPr>
        <w:spacing w:before="0"/>
        <w:sectPr w:rsidR="00221170" w:rsidSect="001D0A50">
          <w:footerReference w:type="even" r:id="rId16"/>
          <w:footerReference w:type="default" r:id="rId17"/>
          <w:pgSz w:w="11906" w:h="16838"/>
          <w:pgMar w:top="1440" w:right="1440" w:bottom="1440" w:left="1440" w:header="708" w:footer="708" w:gutter="0"/>
          <w:cols w:space="708"/>
          <w:docGrid w:linePitch="360"/>
        </w:sectPr>
      </w:pPr>
    </w:p>
    <w:p w14:paraId="01B0FC53" w14:textId="6FB1C6B7" w:rsidR="00221170" w:rsidRPr="00AC4255" w:rsidRDefault="00221170" w:rsidP="00316B37">
      <w:pPr>
        <w:keepNext/>
        <w:keepLines/>
        <w:tabs>
          <w:tab w:val="left" w:pos="851"/>
        </w:tabs>
        <w:spacing w:before="360" w:after="0" w:line="240" w:lineRule="auto"/>
        <w:ind w:left="851" w:hanging="851"/>
      </w:pPr>
      <w:r w:rsidRPr="00224A37">
        <w:rPr>
          <w:rFonts w:ascii="Arial Narrow" w:eastAsia="Times New Roman" w:hAnsi="Arial Narrow" w:cs="Times New Roman"/>
          <w:b/>
          <w:bCs/>
          <w:sz w:val="20"/>
          <w:szCs w:val="20"/>
        </w:rPr>
        <w:lastRenderedPageBreak/>
        <w:t xml:space="preserve">Table </w:t>
      </w:r>
      <w:r w:rsidRPr="00224A37">
        <w:rPr>
          <w:rFonts w:ascii="Arial Narrow" w:eastAsia="Times New Roman" w:hAnsi="Arial Narrow" w:cs="Times New Roman"/>
          <w:b/>
          <w:bCs/>
          <w:sz w:val="20"/>
          <w:szCs w:val="20"/>
        </w:rPr>
        <w:fldChar w:fldCharType="begin"/>
      </w:r>
      <w:r w:rsidRPr="00224A37">
        <w:rPr>
          <w:rFonts w:ascii="Arial Narrow" w:eastAsia="Times New Roman" w:hAnsi="Arial Narrow" w:cs="Times New Roman"/>
          <w:b/>
          <w:sz w:val="20"/>
          <w:szCs w:val="20"/>
        </w:rPr>
        <w:instrText xml:space="preserve"> SEQ Table \* ARABIC </w:instrText>
      </w:r>
      <w:r w:rsidRPr="00224A37">
        <w:rPr>
          <w:rFonts w:ascii="Arial Narrow" w:eastAsia="Times New Roman" w:hAnsi="Arial Narrow" w:cs="Times New Roman"/>
          <w:b/>
          <w:bCs/>
          <w:sz w:val="20"/>
          <w:szCs w:val="20"/>
        </w:rPr>
        <w:fldChar w:fldCharType="separate"/>
      </w:r>
      <w:r w:rsidR="009D183F">
        <w:rPr>
          <w:rFonts w:ascii="Arial Narrow" w:eastAsia="Times New Roman" w:hAnsi="Arial Narrow" w:cs="Times New Roman"/>
          <w:b/>
          <w:noProof/>
          <w:sz w:val="20"/>
          <w:szCs w:val="20"/>
        </w:rPr>
        <w:t>28</w:t>
      </w:r>
      <w:r w:rsidRPr="00224A37">
        <w:rPr>
          <w:rFonts w:ascii="Arial Narrow" w:eastAsia="Times New Roman" w:hAnsi="Arial Narrow" w:cs="Times New Roman"/>
          <w:b/>
          <w:bCs/>
          <w:sz w:val="20"/>
          <w:szCs w:val="20"/>
        </w:rPr>
        <w:fldChar w:fldCharType="end"/>
      </w:r>
      <w:r w:rsidRPr="00224A37">
        <w:rPr>
          <w:rFonts w:ascii="Arial Narrow" w:eastAsia="Times New Roman" w:hAnsi="Arial Narrow" w:cs="Times New Roman"/>
          <w:b/>
          <w:bCs/>
          <w:sz w:val="20"/>
          <w:szCs w:val="20"/>
        </w:rPr>
        <w:tab/>
      </w:r>
      <w:r w:rsidRPr="00414A96">
        <w:rPr>
          <w:rFonts w:ascii="Arial Narrow" w:hAnsi="Arial Narrow"/>
          <w:b/>
          <w:sz w:val="20"/>
          <w:szCs w:val="20"/>
        </w:rPr>
        <w:t>Summary table ESC compiled to facilitate MSAC consideration</w:t>
      </w:r>
    </w:p>
    <w:tbl>
      <w:tblPr>
        <w:tblStyle w:val="TableGrid13"/>
        <w:tblpPr w:leftFromText="180" w:rightFromText="180" w:vertAnchor="text" w:horzAnchor="page" w:tblpX="1401" w:tblpY="325"/>
        <w:tblW w:w="5000" w:type="pct"/>
        <w:tblInd w:w="0" w:type="dxa"/>
        <w:tblCellMar>
          <w:left w:w="28" w:type="dxa"/>
          <w:right w:w="28" w:type="dxa"/>
        </w:tblCellMar>
        <w:tblLook w:val="04A0" w:firstRow="1" w:lastRow="0" w:firstColumn="1" w:lastColumn="0" w:noHBand="0" w:noVBand="1"/>
      </w:tblPr>
      <w:tblGrid>
        <w:gridCol w:w="2605"/>
        <w:gridCol w:w="3917"/>
        <w:gridCol w:w="3459"/>
        <w:gridCol w:w="3967"/>
      </w:tblGrid>
      <w:tr w:rsidR="00221170" w:rsidRPr="005A6563" w14:paraId="4A436095" w14:textId="77777777" w:rsidTr="006B5B78">
        <w:trPr>
          <w:cnfStyle w:val="100000000000" w:firstRow="1" w:lastRow="0" w:firstColumn="0" w:lastColumn="0" w:oddVBand="0" w:evenVBand="0" w:oddHBand="0" w:evenHBand="0" w:firstRowFirstColumn="0" w:firstRowLastColumn="0" w:lastRowFirstColumn="0" w:lastRowLastColumn="0"/>
          <w:trHeight w:val="454"/>
          <w:tblHeader/>
        </w:trPr>
        <w:tc>
          <w:tcPr>
            <w:tcW w:w="934" w:type="pct"/>
            <w:tcBorders>
              <w:top w:val="single" w:sz="4" w:space="0" w:color="auto"/>
              <w:left w:val="single" w:sz="4" w:space="0" w:color="auto"/>
              <w:bottom w:val="single" w:sz="4" w:space="0" w:color="auto"/>
              <w:right w:val="single" w:sz="4" w:space="0" w:color="auto"/>
            </w:tcBorders>
            <w:hideMark/>
          </w:tcPr>
          <w:p w14:paraId="7DCCB146" w14:textId="77777777" w:rsidR="00221170" w:rsidRPr="005A6563" w:rsidRDefault="00221170" w:rsidP="00316B37">
            <w:pPr>
              <w:spacing w:before="0" w:after="0" w:line="278" w:lineRule="auto"/>
              <w:ind w:left="-36"/>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Parameter</w:t>
            </w:r>
          </w:p>
        </w:tc>
        <w:tc>
          <w:tcPr>
            <w:tcW w:w="1404" w:type="pct"/>
            <w:tcBorders>
              <w:top w:val="single" w:sz="4" w:space="0" w:color="auto"/>
              <w:left w:val="single" w:sz="4" w:space="0" w:color="auto"/>
              <w:bottom w:val="single" w:sz="4" w:space="0" w:color="auto"/>
              <w:right w:val="single" w:sz="4" w:space="0" w:color="auto"/>
            </w:tcBorders>
            <w:hideMark/>
          </w:tcPr>
          <w:p w14:paraId="30B9C252"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Proposed – Universal Newborn Bloodspot Screening (NBS) for MPS II</w:t>
            </w:r>
          </w:p>
        </w:tc>
        <w:tc>
          <w:tcPr>
            <w:tcW w:w="1240" w:type="pct"/>
            <w:tcBorders>
              <w:top w:val="single" w:sz="4" w:space="0" w:color="auto"/>
              <w:left w:val="single" w:sz="4" w:space="0" w:color="auto"/>
              <w:bottom w:val="single" w:sz="4" w:space="0" w:color="auto"/>
              <w:right w:val="single" w:sz="4" w:space="0" w:color="auto"/>
            </w:tcBorders>
            <w:hideMark/>
          </w:tcPr>
          <w:p w14:paraId="61607FF4"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Current (No universal NBS for MPS II) – diagnosis at symptom onset</w:t>
            </w:r>
          </w:p>
        </w:tc>
        <w:tc>
          <w:tcPr>
            <w:tcW w:w="1422" w:type="pct"/>
            <w:tcBorders>
              <w:top w:val="single" w:sz="4" w:space="0" w:color="auto"/>
              <w:left w:val="single" w:sz="4" w:space="0" w:color="auto"/>
              <w:bottom w:val="single" w:sz="4" w:space="0" w:color="auto"/>
              <w:right w:val="single" w:sz="4" w:space="0" w:color="auto"/>
            </w:tcBorders>
            <w:hideMark/>
          </w:tcPr>
          <w:p w14:paraId="4E19AE5F"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Other/Increment/Comment</w:t>
            </w:r>
          </w:p>
        </w:tc>
      </w:tr>
      <w:tr w:rsidR="00221170" w:rsidRPr="005A6563" w14:paraId="24C24D24" w14:textId="77777777" w:rsidTr="006B5B78">
        <w:trPr>
          <w:trHeight w:val="227"/>
        </w:trPr>
        <w:tc>
          <w:tcPr>
            <w:tcW w:w="934" w:type="pct"/>
            <w:tcBorders>
              <w:top w:val="single" w:sz="4" w:space="0" w:color="auto"/>
              <w:left w:val="single" w:sz="4" w:space="0" w:color="auto"/>
              <w:bottom w:val="single" w:sz="4" w:space="0" w:color="auto"/>
              <w:right w:val="nil"/>
            </w:tcBorders>
          </w:tcPr>
          <w:p w14:paraId="15DD0774"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1) Suitable NBS tests?</w:t>
            </w:r>
          </w:p>
        </w:tc>
        <w:tc>
          <w:tcPr>
            <w:tcW w:w="1404" w:type="pct"/>
            <w:tcBorders>
              <w:top w:val="single" w:sz="4" w:space="0" w:color="auto"/>
              <w:left w:val="nil"/>
              <w:bottom w:val="single" w:sz="4" w:space="0" w:color="auto"/>
              <w:right w:val="nil"/>
            </w:tcBorders>
          </w:tcPr>
          <w:p w14:paraId="5B73A00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nil"/>
              <w:bottom w:val="single" w:sz="4" w:space="0" w:color="auto"/>
              <w:right w:val="nil"/>
            </w:tcBorders>
          </w:tcPr>
          <w:p w14:paraId="7DCEA01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7AE0FFC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4EF47DB"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4D1626A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Availability</w:t>
            </w:r>
          </w:p>
        </w:tc>
        <w:tc>
          <w:tcPr>
            <w:tcW w:w="1404" w:type="pct"/>
            <w:tcBorders>
              <w:top w:val="single" w:sz="4" w:space="0" w:color="auto"/>
              <w:left w:val="single" w:sz="4" w:space="0" w:color="auto"/>
              <w:bottom w:val="single" w:sz="4" w:space="0" w:color="auto"/>
              <w:right w:val="single" w:sz="4" w:space="0" w:color="auto"/>
            </w:tcBorders>
          </w:tcPr>
          <w:p w14:paraId="65D6E1C9"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Partially</w:t>
            </w:r>
            <w:r>
              <w:rPr>
                <w:rFonts w:ascii="Arial Narrow" w:eastAsia="Calibri" w:hAnsi="Arial Narrow" w:cs="Arial"/>
                <w:kern w:val="2"/>
                <w:lang w:eastAsia="en-AU"/>
                <w14:ligatures w14:val="standardContextual"/>
              </w:rPr>
              <w:t xml:space="preserve"> (c.f. Main Issues box)</w:t>
            </w:r>
            <w:r w:rsidRPr="005A6563">
              <w:rPr>
                <w:rFonts w:ascii="Arial Narrow" w:eastAsia="Calibri" w:hAnsi="Arial Narrow" w:cs="Arial"/>
                <w:kern w:val="2"/>
                <w:lang w:eastAsia="en-AU"/>
                <w14:ligatures w14:val="standardContextual"/>
              </w:rPr>
              <w:t xml:space="preserve">. </w:t>
            </w:r>
          </w:p>
          <w:p w14:paraId="7FA0D088"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2-tier protocol:</w:t>
            </w:r>
          </w:p>
          <w:p w14:paraId="576CDC8D" w14:textId="065690D9" w:rsidR="00221170" w:rsidRDefault="00221170" w:rsidP="00316B37">
            <w:pPr>
              <w:pStyle w:val="ListParagraph"/>
              <w:numPr>
                <w:ilvl w:val="0"/>
                <w:numId w:val="26"/>
              </w:numPr>
              <w:spacing w:before="0" w:after="0" w:line="278" w:lineRule="auto"/>
              <w:ind w:left="527" w:hanging="357"/>
              <w:rPr>
                <w:rFonts w:ascii="Arial Narrow" w:eastAsia="Calibri" w:hAnsi="Arial Narrow" w:cs="Arial"/>
                <w:kern w:val="2"/>
                <w:lang w:eastAsia="en-AU"/>
                <w14:ligatures w14:val="standardContextual"/>
              </w:rPr>
            </w:pPr>
            <w:r w:rsidRPr="00EA24F2">
              <w:rPr>
                <w:rFonts w:ascii="Arial Narrow" w:eastAsia="Calibri" w:hAnsi="Arial Narrow" w:cs="Arial"/>
                <w:kern w:val="2"/>
                <w:lang w:eastAsia="en-AU"/>
                <w14:ligatures w14:val="standardContextual"/>
              </w:rPr>
              <w:t xml:space="preserve">Tier 1 screening options include the </w:t>
            </w:r>
            <w:r w:rsidR="0015305C" w:rsidRPr="00011DA9">
              <w:rPr>
                <w:rFonts w:ascii="Arial Narrow" w:eastAsia="Calibri" w:hAnsi="Arial Narrow" w:cs="Arial"/>
                <w:b/>
                <w:bCs/>
                <w:kern w:val="2"/>
                <w:lang w:eastAsia="en-AU"/>
                <w14:ligatures w14:val="standardContextual"/>
              </w:rPr>
              <w:t>Redacted</w:t>
            </w:r>
            <w:r w:rsidRPr="00EA24F2">
              <w:rPr>
                <w:rFonts w:ascii="Arial Narrow" w:eastAsia="Calibri" w:hAnsi="Arial Narrow" w:cs="Arial"/>
                <w:kern w:val="2"/>
                <w:lang w:eastAsia="en-AU"/>
                <w14:ligatures w14:val="standardContextual"/>
              </w:rPr>
              <w:t xml:space="preserve"> (NATA approval is yet to be obtained). </w:t>
            </w:r>
          </w:p>
          <w:p w14:paraId="065603D7" w14:textId="77777777" w:rsidR="00221170" w:rsidRPr="00EA24F2" w:rsidRDefault="00221170" w:rsidP="00316B37">
            <w:pPr>
              <w:pStyle w:val="ListParagraph"/>
              <w:numPr>
                <w:ilvl w:val="0"/>
                <w:numId w:val="26"/>
              </w:numPr>
              <w:spacing w:before="0" w:after="0" w:line="278" w:lineRule="auto"/>
              <w:ind w:left="527" w:hanging="357"/>
              <w:rPr>
                <w:rFonts w:ascii="Arial Narrow" w:eastAsia="Calibri" w:hAnsi="Arial Narrow" w:cs="Arial"/>
                <w:kern w:val="2"/>
                <w:lang w:eastAsia="en-AU"/>
                <w14:ligatures w14:val="standardContextual"/>
              </w:rPr>
            </w:pPr>
            <w:r w:rsidRPr="00EA24F2">
              <w:rPr>
                <w:rFonts w:ascii="Arial Narrow" w:eastAsia="Calibri" w:hAnsi="Arial Narrow" w:cs="Arial"/>
                <w:kern w:val="2"/>
                <w:lang w:eastAsia="en-AU"/>
                <w14:ligatures w14:val="standardContextual"/>
              </w:rPr>
              <w:t>Tier 2 testing involves reflex endogenous NRE-GAG analysis on DBS</w:t>
            </w:r>
            <w:r>
              <w:rPr>
                <w:rFonts w:ascii="Arial Narrow" w:eastAsia="Calibri" w:hAnsi="Arial Narrow" w:cs="Arial"/>
                <w:kern w:val="2"/>
                <w:lang w:eastAsia="en-AU"/>
                <w14:ligatures w14:val="standardContextual"/>
              </w:rPr>
              <w:t>, same method as currently used on urine samples by the NRL for LSDs</w:t>
            </w:r>
            <w:r w:rsidRPr="00EA24F2">
              <w:rPr>
                <w:rFonts w:ascii="Arial Narrow" w:eastAsia="Calibri" w:hAnsi="Arial Narrow" w:cs="Arial"/>
                <w:kern w:val="2"/>
                <w:lang w:eastAsia="en-AU"/>
                <w14:ligatures w14:val="standardContextual"/>
              </w:rPr>
              <w:t xml:space="preserve">. </w:t>
            </w:r>
          </w:p>
          <w:p w14:paraId="2CDDF0D3"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Little evidence for NRE-GAG as a single-tier test is available and it is not recommended due to the need for a sensitive mass spectrometer maintained under optimal performance conditions which is impractical in the high throughput context of the NBS.</w:t>
            </w:r>
            <w:r w:rsidRPr="005A6563" w:rsidDel="00AB62BC">
              <w:rPr>
                <w:rFonts w:ascii="Arial Narrow" w:eastAsia="Calibri" w:hAnsi="Arial Narrow" w:cs="Arial"/>
                <w:kern w:val="2"/>
                <w:lang w:eastAsia="en-AU"/>
                <w14:ligatures w14:val="standardContextual"/>
              </w:rPr>
              <w:t xml:space="preserve"> </w:t>
            </w:r>
          </w:p>
          <w:p w14:paraId="596C9E73" w14:textId="1C9CADCB" w:rsidR="00221170" w:rsidRPr="005A6563" w:rsidRDefault="001711C4"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Family member</w:t>
            </w:r>
            <w:r w:rsidRPr="005A6563">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Arial"/>
                <w:kern w:val="2"/>
                <w:lang w:eastAsia="en-AU"/>
                <w14:ligatures w14:val="standardContextual"/>
              </w:rPr>
              <w:t>test options are already used.</w:t>
            </w:r>
          </w:p>
        </w:tc>
        <w:tc>
          <w:tcPr>
            <w:tcW w:w="1240" w:type="pct"/>
            <w:tcBorders>
              <w:top w:val="single" w:sz="4" w:space="0" w:color="auto"/>
              <w:left w:val="single" w:sz="4" w:space="0" w:color="auto"/>
              <w:bottom w:val="single" w:sz="4" w:space="0" w:color="auto"/>
              <w:right w:val="single" w:sz="4" w:space="0" w:color="auto"/>
            </w:tcBorders>
          </w:tcPr>
          <w:p w14:paraId="37078CC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37B07075" w14:textId="77777777" w:rsidR="00221170" w:rsidRPr="005A6563" w:rsidRDefault="00221170" w:rsidP="00316B37">
            <w:pPr>
              <w:spacing w:before="0" w:after="0" w:line="278" w:lineRule="auto"/>
              <w:rPr>
                <w:rFonts w:ascii="Arial Narrow" w:eastAsia="Calibri" w:hAnsi="Arial Narrow" w:cs="Arial"/>
                <w:kern w:val="2"/>
                <w14:ligatures w14:val="standardContextual"/>
              </w:rPr>
            </w:pPr>
            <w:r w:rsidRPr="005A6563">
              <w:rPr>
                <w:rFonts w:ascii="Arial Narrow" w:eastAsia="Calibri" w:hAnsi="Arial Narrow" w:cs="Arial"/>
                <w:kern w:val="2"/>
                <w:lang w:eastAsia="en-AU"/>
                <w14:ligatures w14:val="standardContextual"/>
              </w:rPr>
              <w:t xml:space="preserve">MSAC should consider whether to advise that </w:t>
            </w:r>
            <w:r w:rsidRPr="005A6563">
              <w:rPr>
                <w:rFonts w:ascii="Arial Narrow" w:eastAsia="Calibri" w:hAnsi="Arial Narrow" w:cs="Arial"/>
                <w:kern w:val="2"/>
                <w:lang w:val="en-US"/>
                <w14:ligatures w14:val="standardContextual"/>
              </w:rPr>
              <w:t>possible Revvity multiplex test options be excluded from this expansion of the NBS because they are dominated by other test options:</w:t>
            </w:r>
          </w:p>
          <w:p w14:paraId="06D6FAE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val="en-US" w:eastAsia="en-AU"/>
                <w14:ligatures w14:val="standardContextual"/>
              </w:rPr>
              <w:t>(a) they are more expensive</w:t>
            </w:r>
          </w:p>
          <w:p w14:paraId="0063D420"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val="en-US" w:eastAsia="en-AU"/>
                <w14:ligatures w14:val="standardContextual"/>
              </w:rPr>
              <w:t>(b) they are not more accurate</w:t>
            </w:r>
          </w:p>
          <w:p w14:paraId="10CD7431"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val="en-US" w:eastAsia="en-AU"/>
                <w14:ligatures w14:val="standardContextual"/>
              </w:rPr>
              <w:t xml:space="preserve">(c) the Revvity MPS7plex kit reports results for conditions agreed by health ministers not to progress to MSAC for possible inclusion in the NBS, </w:t>
            </w:r>
            <w:r w:rsidRPr="005A6563">
              <w:rPr>
                <w:rFonts w:ascii="Arial Narrow" w:eastAsia="Calibri" w:hAnsi="Arial Narrow" w:cs="Arial"/>
                <w:i/>
                <w:iCs/>
                <w:kern w:val="2"/>
                <w:lang w:val="en-US" w:eastAsia="en-AU"/>
                <w14:ligatures w14:val="standardContextual"/>
              </w:rPr>
              <w:t>thus creating avoidable ethical difficulties for the reporting pathologist.</w:t>
            </w:r>
          </w:p>
        </w:tc>
      </w:tr>
      <w:tr w:rsidR="00221170" w:rsidRPr="005A6563" w14:paraId="669E7FBC"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5AA46C6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Accuracy ranges</w:t>
            </w:r>
          </w:p>
        </w:tc>
        <w:tc>
          <w:tcPr>
            <w:tcW w:w="1404" w:type="pct"/>
            <w:tcBorders>
              <w:top w:val="single" w:sz="4" w:space="0" w:color="auto"/>
              <w:left w:val="single" w:sz="4" w:space="0" w:color="auto"/>
              <w:bottom w:val="single" w:sz="4" w:space="0" w:color="auto"/>
              <w:right w:val="single" w:sz="4" w:space="0" w:color="auto"/>
            </w:tcBorders>
          </w:tcPr>
          <w:p w14:paraId="70DFF1F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First-tier, combining fluorometric and mass spectroscopy methods (k=4), median (range):</w:t>
            </w:r>
          </w:p>
          <w:p w14:paraId="5A52EAF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  screen positive rate: 0.029% (0.012–0.062)</w:t>
            </w:r>
          </w:p>
          <w:p w14:paraId="3A0E171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  false positive rate: 0.026% (0.011–0.056)</w:t>
            </w:r>
          </w:p>
          <w:p w14:paraId="4999DBF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  true positive rate: 0.00142%</w:t>
            </w:r>
          </w:p>
          <w:p w14:paraId="2E98C5E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  positive predictive value: 4.89%</w:t>
            </w:r>
          </w:p>
          <w:p w14:paraId="35EC548E" w14:textId="3566624D" w:rsidR="00316B37"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Second-tier (NRE-GAG): few direct results, so 100% true positive rate extrapolated from GAG digestion (a similar testing method) </w:t>
            </w:r>
          </w:p>
        </w:tc>
        <w:tc>
          <w:tcPr>
            <w:tcW w:w="1240" w:type="pct"/>
            <w:tcBorders>
              <w:top w:val="single" w:sz="4" w:space="0" w:color="auto"/>
              <w:left w:val="single" w:sz="4" w:space="0" w:color="auto"/>
              <w:bottom w:val="single" w:sz="4" w:space="0" w:color="auto"/>
              <w:right w:val="single" w:sz="4" w:space="0" w:color="auto"/>
            </w:tcBorders>
          </w:tcPr>
          <w:p w14:paraId="4674A32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 xml:space="preserve">Sensitivity and specificity both accepted as 100%. From a total of 723 subjects including 630 controls, all 93 MPS patients (13 with MPS II) were correctly identified as 1 of 10 subtypes by urinary NRE-GAG. (Urinary NRE-GAG is also accepted as providing additional diagnostic information over NRE-GAG performed on a bloodspot sample.) </w:t>
            </w:r>
          </w:p>
        </w:tc>
        <w:tc>
          <w:tcPr>
            <w:tcW w:w="1422" w:type="pct"/>
            <w:tcBorders>
              <w:top w:val="single" w:sz="4" w:space="0" w:color="auto"/>
              <w:left w:val="single" w:sz="4" w:space="0" w:color="auto"/>
              <w:bottom w:val="single" w:sz="4" w:space="0" w:color="auto"/>
              <w:right w:val="single" w:sz="4" w:space="0" w:color="auto"/>
            </w:tcBorders>
          </w:tcPr>
          <w:p w14:paraId="03A4DC2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MSAC </w:t>
            </w:r>
            <w:r>
              <w:rPr>
                <w:rFonts w:ascii="Arial Narrow" w:eastAsia="Calibri" w:hAnsi="Arial Narrow" w:cs="Arial"/>
                <w:kern w:val="2"/>
                <w:lang w:eastAsia="en-AU"/>
                <w14:ligatures w14:val="standardContextual"/>
              </w:rPr>
              <w:t>may wish to note that there could be an</w:t>
            </w:r>
            <w:r w:rsidRPr="005A6563">
              <w:rPr>
                <w:rFonts w:ascii="Arial Narrow" w:eastAsia="Calibri" w:hAnsi="Arial Narrow" w:cs="Arial"/>
                <w:kern w:val="2"/>
                <w:lang w:val="en-US" w:eastAsia="en-AU"/>
                <w14:ligatures w14:val="standardContextual"/>
              </w:rPr>
              <w:t xml:space="preserve"> ethical obligation to inform parents of a confirmed MPS II diagnosis </w:t>
            </w:r>
            <w:r>
              <w:rPr>
                <w:rFonts w:ascii="Arial Narrow" w:eastAsia="Calibri" w:hAnsi="Arial Narrow" w:cs="Arial"/>
                <w:kern w:val="2"/>
                <w:lang w:val="en-US" w:eastAsia="en-AU"/>
                <w14:ligatures w14:val="standardContextual"/>
              </w:rPr>
              <w:t xml:space="preserve">(and to </w:t>
            </w:r>
            <w:r w:rsidRPr="005A6563">
              <w:rPr>
                <w:rFonts w:ascii="Arial Narrow" w:eastAsia="Calibri" w:hAnsi="Arial Narrow" w:cs="Arial"/>
                <w:kern w:val="2"/>
                <w:lang w:val="en-US" w:eastAsia="en-AU"/>
                <w14:ligatures w14:val="standardContextual"/>
              </w:rPr>
              <w:t>obtain their consent</w:t>
            </w:r>
            <w:r>
              <w:rPr>
                <w:rFonts w:ascii="Arial Narrow" w:eastAsia="Calibri" w:hAnsi="Arial Narrow" w:cs="Arial"/>
                <w:kern w:val="2"/>
                <w:lang w:val="en-US" w:eastAsia="en-AU"/>
                <w14:ligatures w14:val="standardContextual"/>
              </w:rPr>
              <w:t>)</w:t>
            </w:r>
            <w:r w:rsidRPr="005A6563">
              <w:rPr>
                <w:rFonts w:ascii="Arial Narrow" w:eastAsia="Calibri" w:hAnsi="Arial Narrow" w:cs="Arial"/>
                <w:kern w:val="2"/>
                <w:lang w:val="en-US" w:eastAsia="en-AU"/>
                <w14:ligatures w14:val="standardContextual"/>
              </w:rPr>
              <w:t xml:space="preserve"> </w:t>
            </w:r>
            <w:r>
              <w:rPr>
                <w:rFonts w:ascii="Arial Narrow" w:eastAsia="Calibri" w:hAnsi="Arial Narrow" w:cs="Arial"/>
                <w:kern w:val="2"/>
                <w:lang w:val="en-US" w:eastAsia="en-AU"/>
                <w14:ligatures w14:val="standardContextual"/>
              </w:rPr>
              <w:t>if there is a need</w:t>
            </w:r>
            <w:r w:rsidRPr="005A6563">
              <w:rPr>
                <w:rFonts w:ascii="Arial Narrow" w:eastAsia="Calibri" w:hAnsi="Arial Narrow" w:cs="Arial"/>
                <w:kern w:val="2"/>
                <w:lang w:val="en-US" w:eastAsia="en-AU"/>
                <w14:ligatures w14:val="standardContextual"/>
              </w:rPr>
              <w:t xml:space="preserve"> to proceed with further investigation of the child beyond the original bloodspot sample</w:t>
            </w:r>
            <w:r>
              <w:rPr>
                <w:rFonts w:ascii="Arial Narrow" w:eastAsia="Calibri" w:hAnsi="Arial Narrow" w:cs="Arial"/>
                <w:kern w:val="2"/>
                <w:lang w:val="en-US" w:eastAsia="en-AU"/>
                <w14:ligatures w14:val="standardContextual"/>
              </w:rPr>
              <w:t>,</w:t>
            </w:r>
            <w:r w:rsidRPr="005A6563">
              <w:rPr>
                <w:rFonts w:ascii="Arial Narrow" w:eastAsia="Calibri" w:hAnsi="Arial Narrow" w:cs="Arial"/>
                <w:kern w:val="2"/>
                <w:lang w:val="en-US" w:eastAsia="en-AU"/>
                <w14:ligatures w14:val="standardContextual"/>
              </w:rPr>
              <w:t xml:space="preserve"> and therefore </w:t>
            </w:r>
            <w:r>
              <w:rPr>
                <w:rFonts w:ascii="Arial Narrow" w:eastAsia="Calibri" w:hAnsi="Arial Narrow" w:cs="Arial"/>
                <w:kern w:val="2"/>
                <w:lang w:val="en-US" w:eastAsia="en-AU"/>
                <w14:ligatures w14:val="standardContextual"/>
              </w:rPr>
              <w:t xml:space="preserve">also </w:t>
            </w:r>
            <w:r w:rsidRPr="005A6563">
              <w:rPr>
                <w:rFonts w:ascii="Arial Narrow" w:eastAsia="Calibri" w:hAnsi="Arial Narrow" w:cs="Arial"/>
                <w:kern w:val="2"/>
                <w:lang w:val="en-US" w:eastAsia="en-AU"/>
                <w14:ligatures w14:val="standardContextual"/>
              </w:rPr>
              <w:t xml:space="preserve">an </w:t>
            </w:r>
            <w:r>
              <w:rPr>
                <w:rFonts w:ascii="Arial Narrow" w:eastAsia="Calibri" w:hAnsi="Arial Narrow" w:cs="Arial"/>
                <w:kern w:val="2"/>
                <w:lang w:val="en-US" w:eastAsia="en-AU"/>
                <w14:ligatures w14:val="standardContextual"/>
              </w:rPr>
              <w:t xml:space="preserve">additional </w:t>
            </w:r>
            <w:r w:rsidRPr="005A6563">
              <w:rPr>
                <w:rFonts w:ascii="Arial Narrow" w:eastAsia="Calibri" w:hAnsi="Arial Narrow" w:cs="Arial"/>
                <w:kern w:val="2"/>
                <w:lang w:val="en-US" w:eastAsia="en-AU"/>
                <w14:ligatures w14:val="standardContextual"/>
              </w:rPr>
              <w:t xml:space="preserve">ethical obligation </w:t>
            </w:r>
            <w:r>
              <w:rPr>
                <w:rFonts w:ascii="Arial Narrow" w:eastAsia="Calibri" w:hAnsi="Arial Narrow" w:cs="Arial"/>
                <w:kern w:val="2"/>
                <w:lang w:val="en-US" w:eastAsia="en-AU"/>
                <w14:ligatures w14:val="standardContextual"/>
              </w:rPr>
              <w:t>to</w:t>
            </w:r>
            <w:r w:rsidRPr="005A6563">
              <w:rPr>
                <w:rFonts w:ascii="Arial Narrow" w:eastAsia="Calibri" w:hAnsi="Arial Narrow" w:cs="Arial"/>
                <w:kern w:val="2"/>
                <w:lang w:val="en-US" w:eastAsia="en-AU"/>
                <w14:ligatures w14:val="standardContextual"/>
              </w:rPr>
              <w:t xml:space="preserve"> subsequently inform the parents of the outcome of the further investigation</w:t>
            </w:r>
            <w:r w:rsidRPr="005A6563">
              <w:rPr>
                <w:rFonts w:ascii="Arial Narrow" w:eastAsia="Calibri" w:hAnsi="Arial Narrow" w:cs="Arial"/>
                <w:kern w:val="2"/>
                <w:lang w:eastAsia="en-AU"/>
                <w14:ligatures w14:val="standardContextual"/>
              </w:rPr>
              <w:t>.</w:t>
            </w:r>
          </w:p>
        </w:tc>
      </w:tr>
      <w:tr w:rsidR="00221170" w:rsidRPr="005A6563" w14:paraId="34D23B42" w14:textId="77777777" w:rsidTr="006B5B78">
        <w:trPr>
          <w:trHeight w:val="227"/>
        </w:trPr>
        <w:tc>
          <w:tcPr>
            <w:tcW w:w="2338" w:type="pct"/>
            <w:gridSpan w:val="2"/>
            <w:tcBorders>
              <w:top w:val="single" w:sz="4" w:space="0" w:color="auto"/>
              <w:left w:val="single" w:sz="4" w:space="0" w:color="auto"/>
              <w:bottom w:val="single" w:sz="4" w:space="0" w:color="auto"/>
              <w:right w:val="nil"/>
            </w:tcBorders>
          </w:tcPr>
          <w:p w14:paraId="699738A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b/>
                <w:bCs/>
                <w:kern w:val="2"/>
                <w:lang w:eastAsia="en-AU"/>
                <w14:ligatures w14:val="standardContextual"/>
              </w:rPr>
              <w:t>2) Determination of disease subtype and prognosis following NBS?</w:t>
            </w:r>
          </w:p>
        </w:tc>
        <w:tc>
          <w:tcPr>
            <w:tcW w:w="1240" w:type="pct"/>
            <w:tcBorders>
              <w:top w:val="single" w:sz="4" w:space="0" w:color="auto"/>
              <w:left w:val="nil"/>
              <w:bottom w:val="single" w:sz="4" w:space="0" w:color="auto"/>
              <w:right w:val="nil"/>
            </w:tcBorders>
          </w:tcPr>
          <w:p w14:paraId="6964FA9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61EF4FB8"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2A7C488A"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00381EA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04" w:type="pct"/>
            <w:tcBorders>
              <w:top w:val="single" w:sz="4" w:space="0" w:color="auto"/>
              <w:left w:val="single" w:sz="4" w:space="0" w:color="auto"/>
              <w:bottom w:val="single" w:sz="4" w:space="0" w:color="auto"/>
              <w:right w:val="single" w:sz="4" w:space="0" w:color="auto"/>
            </w:tcBorders>
          </w:tcPr>
          <w:p w14:paraId="03FCD80B"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Partially for disease sub-type</w:t>
            </w:r>
            <w:r>
              <w:rPr>
                <w:rFonts w:ascii="Arial Narrow" w:eastAsia="Calibri" w:hAnsi="Arial Narrow" w:cs="Arial"/>
                <w:kern w:val="2"/>
                <w:lang w:eastAsia="en-AU"/>
                <w14:ligatures w14:val="standardContextual"/>
              </w:rPr>
              <w:t xml:space="preserve"> (c.f. Main Issues box)</w:t>
            </w:r>
            <w:r w:rsidRPr="005A6563">
              <w:rPr>
                <w:rFonts w:ascii="Arial Narrow" w:eastAsia="Calibri" w:hAnsi="Arial Narrow" w:cs="Arial"/>
                <w:kern w:val="2"/>
                <w:lang w:eastAsia="en-AU"/>
                <w14:ligatures w14:val="standardContextual"/>
              </w:rPr>
              <w:t xml:space="preserve">. </w:t>
            </w:r>
          </w:p>
          <w:p w14:paraId="15F8DCA4"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MPS II is distinguishable from pseudodeficiency by the second-tier test on the bloodspot sample</w:t>
            </w:r>
            <w:r>
              <w:rPr>
                <w:rFonts w:ascii="Arial Narrow" w:eastAsia="Calibri" w:hAnsi="Arial Narrow" w:cs="Arial"/>
                <w:kern w:val="2"/>
                <w:lang w:eastAsia="en-AU"/>
                <w14:ligatures w14:val="standardContextual"/>
              </w:rPr>
              <w:t xml:space="preserve">, although there is uncertainty whether there is </w:t>
            </w:r>
            <w:r w:rsidRPr="00071930">
              <w:rPr>
                <w:rFonts w:ascii="Arial Narrow" w:eastAsia="Calibri" w:hAnsi="Arial Narrow" w:cs="Arial"/>
                <w:kern w:val="2"/>
                <w:lang w:eastAsia="en-AU"/>
                <w14:ligatures w14:val="standardContextual"/>
              </w:rPr>
              <w:t xml:space="preserve">consensus </w:t>
            </w:r>
            <w:r>
              <w:rPr>
                <w:rFonts w:ascii="Arial Narrow" w:eastAsia="Calibri" w:hAnsi="Arial Narrow" w:cs="Arial"/>
                <w:kern w:val="2"/>
                <w:lang w:eastAsia="en-AU"/>
                <w14:ligatures w14:val="standardContextual"/>
              </w:rPr>
              <w:t xml:space="preserve">on the diagnostic </w:t>
            </w:r>
            <w:r w:rsidRPr="00071930">
              <w:rPr>
                <w:rFonts w:ascii="Arial Narrow" w:eastAsia="Calibri" w:hAnsi="Arial Narrow" w:cs="Arial"/>
                <w:kern w:val="2"/>
                <w:lang w:eastAsia="en-AU"/>
                <w14:ligatures w14:val="standardContextual"/>
              </w:rPr>
              <w:t xml:space="preserve">threshold </w:t>
            </w:r>
            <w:r>
              <w:rPr>
                <w:rFonts w:ascii="Arial Narrow" w:eastAsia="Calibri" w:hAnsi="Arial Narrow" w:cs="Arial"/>
                <w:kern w:val="2"/>
                <w:lang w:eastAsia="en-AU"/>
                <w14:ligatures w14:val="standardContextual"/>
              </w:rPr>
              <w:t xml:space="preserve">that is used to rule out MPS II. </w:t>
            </w:r>
            <w:r w:rsidRPr="00071930">
              <w:rPr>
                <w:rFonts w:ascii="Arial Narrow" w:eastAsia="Calibri" w:hAnsi="Arial Narrow" w:cs="Arial"/>
                <w:kern w:val="2"/>
                <w:lang w:eastAsia="en-AU"/>
                <w14:ligatures w14:val="standardContextual"/>
              </w:rPr>
              <w:t xml:space="preserve"> </w:t>
            </w:r>
            <w:r w:rsidRPr="005A6563">
              <w:rPr>
                <w:rFonts w:ascii="Arial Narrow" w:eastAsia="Calibri" w:hAnsi="Arial Narrow" w:cs="Arial"/>
                <w:kern w:val="2"/>
                <w:lang w:eastAsia="en-AU"/>
                <w14:ligatures w14:val="standardContextual"/>
              </w:rPr>
              <w:t>Neuro</w:t>
            </w:r>
            <w:r>
              <w:rPr>
                <w:rFonts w:ascii="Arial Narrow" w:eastAsia="Calibri" w:hAnsi="Arial Narrow" w:cs="Arial"/>
                <w:kern w:val="2"/>
                <w:lang w:eastAsia="en-AU"/>
                <w14:ligatures w14:val="standardContextual"/>
              </w:rPr>
              <w:t>no</w:t>
            </w:r>
            <w:r w:rsidRPr="005A6563">
              <w:rPr>
                <w:rFonts w:ascii="Arial Narrow" w:eastAsia="Calibri" w:hAnsi="Arial Narrow" w:cs="Arial"/>
                <w:kern w:val="2"/>
                <w:lang w:eastAsia="en-AU"/>
                <w14:ligatures w14:val="standardContextual"/>
              </w:rPr>
              <w:t xml:space="preserve">pathic (severe) MPS II is confidently distinguishable only if “major changes” to the </w:t>
            </w:r>
            <w:r w:rsidRPr="005A6563">
              <w:rPr>
                <w:rFonts w:ascii="Arial Narrow" w:eastAsia="Calibri" w:hAnsi="Arial Narrow" w:cs="Arial"/>
                <w:i/>
                <w:iCs/>
                <w:kern w:val="2"/>
                <w:lang w:eastAsia="en-AU"/>
                <w14:ligatures w14:val="standardContextual"/>
              </w:rPr>
              <w:t>IDS</w:t>
            </w:r>
            <w:r w:rsidRPr="005A6563">
              <w:rPr>
                <w:rFonts w:ascii="Arial Narrow" w:eastAsia="Calibri" w:hAnsi="Arial Narrow" w:cs="Arial"/>
                <w:kern w:val="2"/>
                <w:lang w:eastAsia="en-AU"/>
                <w14:ligatures w14:val="standardContextual"/>
              </w:rPr>
              <w:t xml:space="preserve"> gene</w:t>
            </w:r>
            <w:r>
              <w:rPr>
                <w:rFonts w:ascii="Arial Narrow" w:eastAsia="Calibri" w:hAnsi="Arial Narrow" w:cs="Arial"/>
                <w:kern w:val="2"/>
                <w:lang w:eastAsia="en-AU"/>
                <w14:ligatures w14:val="standardContextual"/>
              </w:rPr>
              <w:t>, or if there are family members with known genotype and phenotype.</w:t>
            </w:r>
            <w:r w:rsidRPr="005A6563">
              <w:rPr>
                <w:rFonts w:ascii="Arial Narrow" w:eastAsia="Calibri" w:hAnsi="Arial Narrow" w:cs="Arial"/>
                <w:kern w:val="2"/>
                <w:lang w:eastAsia="en-AU"/>
                <w14:ligatures w14:val="standardContextual"/>
              </w:rPr>
              <w:t xml:space="preserve"> </w:t>
            </w:r>
            <w:r>
              <w:rPr>
                <w:rFonts w:ascii="Arial Narrow" w:eastAsia="Calibri" w:hAnsi="Arial Narrow" w:cs="Arial"/>
                <w:kern w:val="2"/>
                <w:lang w:eastAsia="en-AU"/>
                <w14:ligatures w14:val="standardContextual"/>
              </w:rPr>
              <w:t>O</w:t>
            </w:r>
            <w:r w:rsidRPr="005A6563">
              <w:rPr>
                <w:rFonts w:ascii="Arial Narrow" w:eastAsia="Calibri" w:hAnsi="Arial Narrow" w:cs="Arial"/>
                <w:kern w:val="2"/>
                <w:lang w:eastAsia="en-AU"/>
                <w14:ligatures w14:val="standardContextual"/>
              </w:rPr>
              <w:t xml:space="preserve">therwise </w:t>
            </w:r>
            <w:r>
              <w:rPr>
                <w:rFonts w:ascii="Arial Narrow" w:eastAsia="Calibri" w:hAnsi="Arial Narrow" w:cs="Arial"/>
                <w:kern w:val="2"/>
                <w:lang w:eastAsia="en-AU"/>
                <w14:ligatures w14:val="standardContextual"/>
              </w:rPr>
              <w:t>not able to confidently predict whether individual may develop neuronopathic or</w:t>
            </w:r>
            <w:r w:rsidRPr="005A6563">
              <w:rPr>
                <w:rFonts w:ascii="Arial Narrow" w:eastAsia="Calibri" w:hAnsi="Arial Narrow" w:cs="Arial"/>
                <w:kern w:val="2"/>
                <w:lang w:eastAsia="en-AU"/>
                <w14:ligatures w14:val="standardContextual"/>
              </w:rPr>
              <w:t xml:space="preserve"> non-neuro</w:t>
            </w:r>
            <w:r>
              <w:rPr>
                <w:rFonts w:ascii="Arial Narrow" w:eastAsia="Calibri" w:hAnsi="Arial Narrow" w:cs="Arial"/>
                <w:kern w:val="2"/>
                <w:lang w:eastAsia="en-AU"/>
                <w14:ligatures w14:val="standardContextual"/>
              </w:rPr>
              <w:t>no</w:t>
            </w:r>
            <w:r w:rsidRPr="005A6563">
              <w:rPr>
                <w:rFonts w:ascii="Arial Narrow" w:eastAsia="Calibri" w:hAnsi="Arial Narrow" w:cs="Arial"/>
                <w:kern w:val="2"/>
                <w:lang w:eastAsia="en-AU"/>
                <w14:ligatures w14:val="standardContextual"/>
              </w:rPr>
              <w:t>pathic (later onset attenuated) MPS II</w:t>
            </w:r>
            <w:r>
              <w:rPr>
                <w:rFonts w:ascii="Arial Narrow" w:eastAsia="Calibri" w:hAnsi="Arial Narrow" w:cs="Arial"/>
                <w:kern w:val="2"/>
                <w:lang w:eastAsia="en-AU"/>
                <w14:ligatures w14:val="standardContextual"/>
              </w:rPr>
              <w:t>.</w:t>
            </w:r>
          </w:p>
          <w:p w14:paraId="07353BB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p w14:paraId="204158C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No for prognosis.</w:t>
            </w:r>
          </w:p>
        </w:tc>
        <w:tc>
          <w:tcPr>
            <w:tcW w:w="1240" w:type="pct"/>
            <w:tcBorders>
              <w:top w:val="single" w:sz="4" w:space="0" w:color="auto"/>
              <w:left w:val="single" w:sz="4" w:space="0" w:color="auto"/>
              <w:bottom w:val="single" w:sz="4" w:space="0" w:color="auto"/>
              <w:right w:val="single" w:sz="4" w:space="0" w:color="auto"/>
            </w:tcBorders>
          </w:tcPr>
          <w:p w14:paraId="05F7925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Severity determined based on clinical presentation.</w:t>
            </w:r>
          </w:p>
        </w:tc>
        <w:tc>
          <w:tcPr>
            <w:tcW w:w="1422" w:type="pct"/>
            <w:tcBorders>
              <w:top w:val="single" w:sz="4" w:space="0" w:color="auto"/>
              <w:left w:val="single" w:sz="4" w:space="0" w:color="auto"/>
              <w:bottom w:val="single" w:sz="4" w:space="0" w:color="auto"/>
              <w:right w:val="single" w:sz="4" w:space="0" w:color="auto"/>
            </w:tcBorders>
          </w:tcPr>
          <w:p w14:paraId="05B5CCBE"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The current treated life expectancy is 10-20 years for severe MPS II (median 17 years, range 14-21 years in one study</w:t>
            </w:r>
            <w:r w:rsidRPr="005A6563" w:rsidDel="00AB62BC">
              <w:rPr>
                <w:rFonts w:ascii="Arial Narrow" w:eastAsia="Calibri" w:hAnsi="Arial Narrow" w:cs="Arial"/>
                <w:kern w:val="2"/>
                <w:lang w:eastAsia="en-AU"/>
                <w14:ligatures w14:val="standardContextual"/>
              </w:rPr>
              <w:t xml:space="preserve">) </w:t>
            </w:r>
            <w:r w:rsidRPr="005A6563">
              <w:rPr>
                <w:rFonts w:ascii="Arial Narrow" w:eastAsia="Calibri" w:hAnsi="Arial Narrow" w:cs="Arial"/>
                <w:kern w:val="2"/>
                <w:lang w:eastAsia="en-AU"/>
                <w14:ligatures w14:val="standardContextual"/>
              </w:rPr>
              <w:t xml:space="preserve">and 60-70 years for attenuated MPS II. </w:t>
            </w:r>
          </w:p>
        </w:tc>
      </w:tr>
      <w:tr w:rsidR="00221170" w:rsidRPr="005A6563" w14:paraId="41932E52" w14:textId="77777777" w:rsidTr="006B5B78">
        <w:trPr>
          <w:trHeight w:val="227"/>
        </w:trPr>
        <w:tc>
          <w:tcPr>
            <w:tcW w:w="5000" w:type="pct"/>
            <w:gridSpan w:val="4"/>
            <w:tcBorders>
              <w:top w:val="single" w:sz="4" w:space="0" w:color="auto"/>
              <w:left w:val="single" w:sz="4" w:space="0" w:color="auto"/>
              <w:bottom w:val="single" w:sz="4" w:space="0" w:color="auto"/>
              <w:right w:val="single" w:sz="4" w:space="0" w:color="auto"/>
            </w:tcBorders>
            <w:hideMark/>
          </w:tcPr>
          <w:p w14:paraId="7CF7981B"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b/>
                <w:bCs/>
                <w:kern w:val="2"/>
                <w:lang w:eastAsia="en-AU"/>
                <w14:ligatures w14:val="standardContextual"/>
              </w:rPr>
              <w:t>3) Effective treatment of each MPS II subtype?</w:t>
            </w:r>
          </w:p>
        </w:tc>
      </w:tr>
      <w:tr w:rsidR="00221170" w:rsidRPr="005A6563" w14:paraId="44D4E15D" w14:textId="77777777" w:rsidTr="006B5B78">
        <w:trPr>
          <w:trHeight w:val="269"/>
        </w:trPr>
        <w:tc>
          <w:tcPr>
            <w:tcW w:w="934" w:type="pct"/>
            <w:tcBorders>
              <w:top w:val="single" w:sz="4" w:space="0" w:color="auto"/>
              <w:left w:val="single" w:sz="4" w:space="0" w:color="auto"/>
              <w:bottom w:val="single" w:sz="4" w:space="0" w:color="auto"/>
              <w:right w:val="single" w:sz="4" w:space="0" w:color="auto"/>
            </w:tcBorders>
            <w:hideMark/>
          </w:tcPr>
          <w:p w14:paraId="4664CE3D" w14:textId="77777777" w:rsidR="00221170" w:rsidRPr="005A6563" w:rsidRDefault="00221170" w:rsidP="00316B37">
            <w:pPr>
              <w:spacing w:before="0" w:after="0" w:line="278" w:lineRule="auto"/>
              <w:ind w:left="112"/>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 including presymptomatic if &lt;5 years of age</w:t>
            </w:r>
          </w:p>
        </w:tc>
        <w:tc>
          <w:tcPr>
            <w:tcW w:w="1404" w:type="pct"/>
            <w:tcBorders>
              <w:top w:val="single" w:sz="4" w:space="0" w:color="auto"/>
              <w:left w:val="single" w:sz="4" w:space="0" w:color="auto"/>
              <w:bottom w:val="single" w:sz="4" w:space="0" w:color="auto"/>
              <w:right w:val="single" w:sz="4" w:space="0" w:color="auto"/>
            </w:tcBorders>
          </w:tcPr>
          <w:p w14:paraId="2448DAD2"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Uncertain effectiveness:</w:t>
            </w:r>
            <w:r w:rsidRPr="005A6563">
              <w:rPr>
                <w:rFonts w:ascii="Arial Narrow" w:eastAsia="Calibri" w:hAnsi="Arial Narrow" w:cs="Arial"/>
                <w:kern w:val="2"/>
                <w:lang w:eastAsia="en-AU"/>
                <w14:ligatures w14:val="standardContextual"/>
              </w:rPr>
              <w:t xml:space="preserve"> </w:t>
            </w:r>
          </w:p>
          <w:p w14:paraId="19FF69E8" w14:textId="77777777" w:rsidR="00221170" w:rsidRPr="00732909" w:rsidRDefault="00221170" w:rsidP="00316B37">
            <w:pPr>
              <w:pStyle w:val="ListParagraph"/>
              <w:numPr>
                <w:ilvl w:val="0"/>
                <w:numId w:val="27"/>
              </w:num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I</w:t>
            </w:r>
            <w:r w:rsidRPr="00E85082">
              <w:rPr>
                <w:rFonts w:ascii="Arial Narrow" w:eastAsia="Calibri" w:hAnsi="Arial Narrow" w:cs="Arial"/>
                <w:kern w:val="2"/>
                <w:lang w:eastAsia="en-AU"/>
                <w14:ligatures w14:val="standardContextual"/>
              </w:rPr>
              <w:t xml:space="preserve">ntravenous ERT (idursulfase) </w:t>
            </w:r>
            <w:r w:rsidRPr="00732909">
              <w:rPr>
                <w:rFonts w:ascii="Arial Narrow" w:eastAsia="Calibri" w:hAnsi="Arial Narrow" w:cs="Arial"/>
                <w:kern w:val="2"/>
                <w:lang w:eastAsia="en-AU"/>
                <w14:ligatures w14:val="standardContextual"/>
              </w:rPr>
              <w:t xml:space="preserve">available </w:t>
            </w:r>
            <w:r w:rsidRPr="00E85082">
              <w:rPr>
                <w:rFonts w:ascii="Arial Narrow" w:eastAsia="Calibri" w:hAnsi="Arial Narrow" w:cs="Arial"/>
                <w:kern w:val="2"/>
                <w:lang w:eastAsia="en-AU"/>
                <w14:ligatures w14:val="standardContextual"/>
              </w:rPr>
              <w:t>via the LSDP</w:t>
            </w:r>
            <w:r>
              <w:rPr>
                <w:rFonts w:ascii="Arial Narrow" w:eastAsia="Calibri" w:hAnsi="Arial Narrow" w:cs="Arial"/>
                <w:kern w:val="2"/>
                <w:lang w:eastAsia="en-AU"/>
                <w14:ligatures w14:val="standardContextual"/>
              </w:rPr>
              <w:t>:</w:t>
            </w:r>
            <w:r w:rsidRPr="00732909">
              <w:rPr>
                <w:rFonts w:ascii="Arial Narrow" w:eastAsia="Calibri" w:hAnsi="Arial Narrow" w:cs="Arial"/>
                <w:kern w:val="2"/>
                <w:lang w:eastAsia="en-AU"/>
                <w14:ligatures w14:val="standardContextual"/>
              </w:rPr>
              <w:t xml:space="preserve"> is ineffective for CNS disease (does not cross blood brain barrier), possible </w:t>
            </w:r>
            <w:r>
              <w:rPr>
                <w:rFonts w:ascii="Arial Narrow" w:eastAsia="Calibri" w:hAnsi="Arial Narrow" w:cs="Arial"/>
                <w:kern w:val="2"/>
                <w:lang w:eastAsia="en-AU"/>
                <w14:ligatures w14:val="standardContextual"/>
              </w:rPr>
              <w:t xml:space="preserve">beneficial </w:t>
            </w:r>
            <w:r w:rsidRPr="00732909">
              <w:rPr>
                <w:rFonts w:ascii="Arial Narrow" w:eastAsia="Calibri" w:hAnsi="Arial Narrow" w:cs="Arial"/>
                <w:kern w:val="2"/>
                <w:lang w:eastAsia="en-AU"/>
                <w14:ligatures w14:val="standardContextual"/>
              </w:rPr>
              <w:t>effects on other outco</w:t>
            </w:r>
            <w:r>
              <w:rPr>
                <w:rFonts w:ascii="Arial Narrow" w:eastAsia="Calibri" w:hAnsi="Arial Narrow" w:cs="Arial"/>
                <w:kern w:val="2"/>
                <w:lang w:eastAsia="en-AU"/>
                <w14:ligatures w14:val="standardContextual"/>
              </w:rPr>
              <w:t>m</w:t>
            </w:r>
            <w:r w:rsidRPr="00732909">
              <w:rPr>
                <w:rFonts w:ascii="Arial Narrow" w:eastAsia="Calibri" w:hAnsi="Arial Narrow" w:cs="Arial"/>
                <w:kern w:val="2"/>
                <w:lang w:eastAsia="en-AU"/>
                <w14:ligatures w14:val="standardContextual"/>
              </w:rPr>
              <w:t xml:space="preserve">es. </w:t>
            </w:r>
          </w:p>
          <w:p w14:paraId="768EA4E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732909">
              <w:rPr>
                <w:rFonts w:ascii="Arial Narrow" w:eastAsia="Calibri" w:hAnsi="Arial Narrow" w:cs="Arial"/>
                <w:kern w:val="2"/>
                <w:lang w:eastAsia="en-AU"/>
                <w14:ligatures w14:val="standardContextual"/>
              </w:rPr>
              <w:t xml:space="preserve">HSCT </w:t>
            </w:r>
            <w:r w:rsidRPr="009B7624">
              <w:rPr>
                <w:rFonts w:ascii="Arial Narrow" w:eastAsia="Calibri" w:hAnsi="Arial Narrow" w:cs="Arial"/>
                <w:kern w:val="2"/>
                <w:lang w:eastAsia="en-AU"/>
                <w14:ligatures w14:val="standardContextual"/>
              </w:rPr>
              <w:t xml:space="preserve">potentially available via </w:t>
            </w:r>
            <w:r w:rsidRPr="00071930">
              <w:rPr>
                <w:rFonts w:ascii="Arial Narrow" w:eastAsia="Calibri" w:hAnsi="Arial Narrow" w:cs="Arial"/>
                <w:kern w:val="2"/>
                <w:lang w:eastAsia="en-AU"/>
                <w14:ligatures w14:val="standardContextual"/>
              </w:rPr>
              <w:t>states and territories</w:t>
            </w:r>
            <w:r>
              <w:rPr>
                <w:rFonts w:ascii="Arial Narrow" w:eastAsia="Calibri" w:hAnsi="Arial Narrow" w:cs="Arial"/>
                <w:kern w:val="2"/>
                <w:lang w:eastAsia="en-AU"/>
                <w14:ligatures w14:val="standardContextual"/>
              </w:rPr>
              <w:t xml:space="preserve"> (</w:t>
            </w:r>
            <w:r w:rsidRPr="00071930">
              <w:rPr>
                <w:rFonts w:ascii="Arial Narrow" w:eastAsia="Calibri" w:hAnsi="Arial Narrow" w:cs="Arial"/>
                <w:kern w:val="2"/>
                <w:lang w:eastAsia="en-AU"/>
                <w14:ligatures w14:val="standardContextual"/>
              </w:rPr>
              <w:t>no routine Commonwealth funding for stem cell collection and transportation from overseas donors</w:t>
            </w:r>
            <w:r>
              <w:rPr>
                <w:rFonts w:ascii="Arial Narrow" w:eastAsia="Calibri" w:hAnsi="Arial Narrow" w:cs="Arial"/>
                <w:kern w:val="2"/>
                <w:lang w:eastAsia="en-AU"/>
                <w14:ligatures w14:val="standardContextual"/>
              </w:rPr>
              <w:t>): possible beneficial effects on CNS disease and other outcomes</w:t>
            </w:r>
          </w:p>
        </w:tc>
        <w:tc>
          <w:tcPr>
            <w:tcW w:w="1240" w:type="pct"/>
            <w:tcBorders>
              <w:top w:val="single" w:sz="4" w:space="0" w:color="auto"/>
              <w:left w:val="single" w:sz="4" w:space="0" w:color="auto"/>
              <w:bottom w:val="single" w:sz="4" w:space="0" w:color="auto"/>
              <w:right w:val="single" w:sz="4" w:space="0" w:color="auto"/>
            </w:tcBorders>
            <w:hideMark/>
          </w:tcPr>
          <w:p w14:paraId="5959E20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As for with NBS – ERT available after diagnosis. HSCT potentially available via states and territories.</w:t>
            </w:r>
          </w:p>
        </w:tc>
        <w:tc>
          <w:tcPr>
            <w:tcW w:w="1422" w:type="pct"/>
            <w:tcBorders>
              <w:top w:val="single" w:sz="4" w:space="0" w:color="auto"/>
              <w:left w:val="single" w:sz="4" w:space="0" w:color="auto"/>
              <w:bottom w:val="single" w:sz="4" w:space="0" w:color="auto"/>
              <w:right w:val="single" w:sz="4" w:space="0" w:color="auto"/>
            </w:tcBorders>
          </w:tcPr>
          <w:p w14:paraId="6841F15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69A3D813" w14:textId="77777777" w:rsidTr="006B5B78">
        <w:trPr>
          <w:trHeight w:val="269"/>
        </w:trPr>
        <w:tc>
          <w:tcPr>
            <w:tcW w:w="934" w:type="pct"/>
            <w:tcBorders>
              <w:top w:val="single" w:sz="4" w:space="0" w:color="auto"/>
              <w:left w:val="single" w:sz="4" w:space="0" w:color="auto"/>
              <w:bottom w:val="single" w:sz="4" w:space="0" w:color="auto"/>
              <w:right w:val="single" w:sz="4" w:space="0" w:color="auto"/>
            </w:tcBorders>
            <w:hideMark/>
          </w:tcPr>
          <w:p w14:paraId="35D67431" w14:textId="77777777" w:rsidR="00221170" w:rsidRPr="005A6563" w:rsidRDefault="00221170" w:rsidP="00316B37">
            <w:pPr>
              <w:spacing w:before="0" w:after="0" w:line="278" w:lineRule="auto"/>
              <w:ind w:left="112"/>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 symptomatic only</w:t>
            </w:r>
          </w:p>
        </w:tc>
        <w:tc>
          <w:tcPr>
            <w:tcW w:w="1404" w:type="pct"/>
            <w:tcBorders>
              <w:top w:val="single" w:sz="4" w:space="0" w:color="auto"/>
              <w:left w:val="single" w:sz="4" w:space="0" w:color="auto"/>
              <w:bottom w:val="single" w:sz="4" w:space="0" w:color="auto"/>
              <w:right w:val="single" w:sz="4" w:space="0" w:color="auto"/>
            </w:tcBorders>
          </w:tcPr>
          <w:p w14:paraId="7F34599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Unknown effectiveness for</w:t>
            </w:r>
            <w:r w:rsidRPr="005A6563">
              <w:rPr>
                <w:rFonts w:ascii="Arial Narrow" w:eastAsia="Calibri" w:hAnsi="Arial Narrow" w:cs="Arial"/>
                <w:kern w:val="2"/>
                <w:lang w:eastAsia="en-AU"/>
                <w14:ligatures w14:val="standardContextual"/>
              </w:rPr>
              <w:t xml:space="preserve"> </w:t>
            </w:r>
            <w:r>
              <w:rPr>
                <w:rFonts w:ascii="Arial Narrow" w:eastAsia="Calibri" w:hAnsi="Arial Narrow" w:cs="Arial"/>
                <w:kern w:val="2"/>
                <w:lang w:eastAsia="en-AU"/>
                <w14:ligatures w14:val="standardContextual"/>
              </w:rPr>
              <w:t>both ERT</w:t>
            </w:r>
            <w:r w:rsidRPr="005A6563">
              <w:rPr>
                <w:rFonts w:ascii="Arial Narrow" w:eastAsia="Calibri" w:hAnsi="Arial Narrow" w:cs="Arial"/>
                <w:kern w:val="2"/>
                <w:lang w:eastAsia="en-AU"/>
                <w14:ligatures w14:val="standardContextual"/>
              </w:rPr>
              <w:t xml:space="preserve"> </w:t>
            </w:r>
            <w:r>
              <w:rPr>
                <w:rFonts w:ascii="Arial Narrow" w:eastAsia="Calibri" w:hAnsi="Arial Narrow" w:cs="Arial"/>
                <w:kern w:val="2"/>
                <w:lang w:eastAsia="en-AU"/>
                <w14:ligatures w14:val="standardContextual"/>
              </w:rPr>
              <w:t xml:space="preserve">and </w:t>
            </w:r>
            <w:r w:rsidRPr="00732909">
              <w:rPr>
                <w:rFonts w:ascii="Arial Narrow" w:eastAsia="Calibri" w:hAnsi="Arial Narrow" w:cs="Arial"/>
                <w:kern w:val="2"/>
                <w:lang w:eastAsia="en-AU"/>
                <w14:ligatures w14:val="standardContextual"/>
              </w:rPr>
              <w:t>HSCT</w:t>
            </w:r>
          </w:p>
        </w:tc>
        <w:tc>
          <w:tcPr>
            <w:tcW w:w="1240" w:type="pct"/>
            <w:tcBorders>
              <w:top w:val="single" w:sz="4" w:space="0" w:color="auto"/>
              <w:left w:val="single" w:sz="4" w:space="0" w:color="auto"/>
              <w:bottom w:val="single" w:sz="4" w:space="0" w:color="auto"/>
              <w:right w:val="single" w:sz="4" w:space="0" w:color="auto"/>
            </w:tcBorders>
            <w:hideMark/>
          </w:tcPr>
          <w:p w14:paraId="165E9F6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4715CAEB" w14:textId="77777777" w:rsidR="00221170" w:rsidRPr="00F85287" w:rsidRDefault="00221170" w:rsidP="00316B37">
            <w:pPr>
              <w:spacing w:before="0" w:after="0" w:line="278" w:lineRule="auto"/>
              <w:rPr>
                <w:rFonts w:ascii="Arial Narrow" w:eastAsia="Calibri" w:hAnsi="Arial Narrow" w:cs="Arial"/>
                <w:kern w:val="2"/>
                <w:lang w:eastAsia="en-AU"/>
                <w14:ligatures w14:val="standardContextual"/>
              </w:rPr>
            </w:pPr>
            <w:r w:rsidRPr="00F85287">
              <w:rPr>
                <w:rFonts w:ascii="Arial Narrow" w:eastAsia="Calibri" w:hAnsi="Arial Narrow" w:cs="Arial"/>
                <w:kern w:val="2"/>
                <w:lang w:eastAsia="en-AU"/>
                <w14:ligatures w14:val="standardContextual"/>
              </w:rPr>
              <w:t xml:space="preserve">Idursulfase is the only Life-Saving Drugs Program (LSDP)-funded drug as intravenous ERT for presymptomatic children &lt;5 years of age with a diagnosis of MPS II and with “clear prediction of progress of the disease, or if, on the basis of a </w:t>
            </w:r>
            <w:r w:rsidRPr="00F85287">
              <w:rPr>
                <w:rFonts w:ascii="Arial Narrow" w:eastAsia="Calibri" w:hAnsi="Arial Narrow" w:cs="Arial"/>
                <w:kern w:val="2"/>
                <w:lang w:eastAsia="en-AU"/>
                <w14:ligatures w14:val="standardContextual"/>
              </w:rPr>
              <w:lastRenderedPageBreak/>
              <w:t xml:space="preserve">sibling's disease progression, severe disease can be predicted”. </w:t>
            </w:r>
          </w:p>
          <w:p w14:paraId="2A16826C"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A55270">
              <w:rPr>
                <w:rFonts w:ascii="Arial Narrow" w:eastAsia="Calibri" w:hAnsi="Arial Narrow" w:cs="Arial"/>
                <w:kern w:val="2"/>
                <w:lang w:eastAsia="en-AU"/>
                <w14:ligatures w14:val="standardContextual"/>
              </w:rPr>
              <w:t>There is no LSDP-funded ERT for presymptomatic children identified through NBS predicted to have attenuated disease, or for those whose disease onset and severity cannot be “clearly predicted”.</w:t>
            </w:r>
          </w:p>
          <w:p w14:paraId="3C96360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2849E6">
              <w:rPr>
                <w:rFonts w:ascii="Arial Narrow" w:eastAsia="Calibri" w:hAnsi="Arial Narrow" w:cs="Arial"/>
                <w:kern w:val="2"/>
                <w:lang w:eastAsia="en-AU"/>
                <w14:ligatures w14:val="standardContextual"/>
              </w:rPr>
              <w:t>There is no evidence for the use of HSCT in attenuated MPS II.</w:t>
            </w:r>
          </w:p>
        </w:tc>
      </w:tr>
      <w:tr w:rsidR="00221170" w:rsidRPr="005A6563" w14:paraId="584DDFB0" w14:textId="77777777" w:rsidTr="006B5B78">
        <w:trPr>
          <w:trHeight w:val="227"/>
        </w:trPr>
        <w:tc>
          <w:tcPr>
            <w:tcW w:w="5000" w:type="pct"/>
            <w:gridSpan w:val="4"/>
            <w:tcBorders>
              <w:top w:val="single" w:sz="4" w:space="0" w:color="auto"/>
              <w:left w:val="single" w:sz="4" w:space="0" w:color="auto"/>
              <w:bottom w:val="single" w:sz="4" w:space="0" w:color="auto"/>
              <w:right w:val="single" w:sz="4" w:space="0" w:color="auto"/>
            </w:tcBorders>
            <w:hideMark/>
          </w:tcPr>
          <w:p w14:paraId="4DA544D1"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b/>
                <w:bCs/>
                <w:kern w:val="2"/>
                <w:lang w:eastAsia="en-AU"/>
                <w14:ligatures w14:val="standardContextual"/>
              </w:rPr>
              <w:lastRenderedPageBreak/>
              <w:t>4) Increased effectiveness of earlier treatment start?</w:t>
            </w:r>
          </w:p>
        </w:tc>
      </w:tr>
      <w:tr w:rsidR="00221170" w:rsidRPr="005A6563" w14:paraId="022287E1" w14:textId="77777777" w:rsidTr="006B5B78">
        <w:trPr>
          <w:trHeight w:val="227"/>
        </w:trPr>
        <w:tc>
          <w:tcPr>
            <w:tcW w:w="5000" w:type="pct"/>
            <w:gridSpan w:val="4"/>
            <w:tcBorders>
              <w:top w:val="single" w:sz="4" w:space="0" w:color="auto"/>
              <w:left w:val="single" w:sz="4" w:space="0" w:color="auto"/>
              <w:bottom w:val="single" w:sz="4" w:space="0" w:color="auto"/>
              <w:right w:val="single" w:sz="4" w:space="0" w:color="auto"/>
            </w:tcBorders>
            <w:hideMark/>
          </w:tcPr>
          <w:p w14:paraId="3E8B5401"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b/>
                <w:bCs/>
                <w:kern w:val="2"/>
                <w:lang w:eastAsia="en-AU"/>
                <w14:ligatures w14:val="standardContextual"/>
              </w:rPr>
              <w:t>Evidentiary basis = Linked evidence: earlier diagnosis =&gt; earlier management change =&gt; better health outcomes</w:t>
            </w:r>
          </w:p>
        </w:tc>
      </w:tr>
      <w:tr w:rsidR="00221170" w:rsidRPr="005A6563" w14:paraId="52DD6366"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01C36A3B"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Age at symptom onset in years, median</w:t>
            </w:r>
          </w:p>
        </w:tc>
        <w:tc>
          <w:tcPr>
            <w:tcW w:w="1404" w:type="pct"/>
            <w:tcBorders>
              <w:top w:val="single" w:sz="4" w:space="0" w:color="auto"/>
              <w:left w:val="single" w:sz="4" w:space="0" w:color="auto"/>
              <w:bottom w:val="single" w:sz="4" w:space="0" w:color="auto"/>
              <w:right w:val="single" w:sz="4" w:space="0" w:color="auto"/>
            </w:tcBorders>
          </w:tcPr>
          <w:p w14:paraId="40CF025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6099E18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0A6EAC8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7C046A05"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123B2E47" w14:textId="77777777" w:rsidR="00221170" w:rsidRPr="005A6563" w:rsidRDefault="00221170" w:rsidP="00316B37">
            <w:pPr>
              <w:spacing w:before="0" w:after="0" w:line="278" w:lineRule="auto"/>
              <w:ind w:left="112"/>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tcPr>
          <w:p w14:paraId="036B14B1"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tcPr>
          <w:p w14:paraId="3E0574EF"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1-3</w:t>
            </w:r>
          </w:p>
        </w:tc>
        <w:tc>
          <w:tcPr>
            <w:tcW w:w="1422" w:type="pct"/>
            <w:tcBorders>
              <w:top w:val="single" w:sz="4" w:space="0" w:color="auto"/>
              <w:left w:val="single" w:sz="4" w:space="0" w:color="auto"/>
              <w:bottom w:val="single" w:sz="4" w:space="0" w:color="auto"/>
              <w:right w:val="single" w:sz="4" w:space="0" w:color="auto"/>
            </w:tcBorders>
          </w:tcPr>
          <w:p w14:paraId="7263DC3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No change expected</w:t>
            </w:r>
          </w:p>
        </w:tc>
      </w:tr>
      <w:tr w:rsidR="00221170" w:rsidRPr="005A6563" w14:paraId="55675A60"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506430A2" w14:textId="77777777" w:rsidR="00221170" w:rsidRPr="005A6563" w:rsidRDefault="00221170" w:rsidP="00316B37">
            <w:pPr>
              <w:spacing w:before="0" w:after="0" w:line="278" w:lineRule="auto"/>
              <w:ind w:left="112"/>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tcPr>
          <w:p w14:paraId="2EAAA991"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tcPr>
          <w:p w14:paraId="6437FD09"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4 </w:t>
            </w:r>
          </w:p>
        </w:tc>
        <w:tc>
          <w:tcPr>
            <w:tcW w:w="1422" w:type="pct"/>
            <w:tcBorders>
              <w:top w:val="single" w:sz="4" w:space="0" w:color="auto"/>
              <w:left w:val="single" w:sz="4" w:space="0" w:color="auto"/>
              <w:bottom w:val="single" w:sz="4" w:space="0" w:color="auto"/>
              <w:right w:val="single" w:sz="4" w:space="0" w:color="auto"/>
            </w:tcBorders>
          </w:tcPr>
          <w:p w14:paraId="52F3288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No change expected</w:t>
            </w:r>
          </w:p>
        </w:tc>
      </w:tr>
      <w:tr w:rsidR="00221170" w:rsidRPr="005A6563" w14:paraId="62F4FFE7"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7902F4B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Age at diagnosis in years, median (range)</w:t>
            </w:r>
          </w:p>
        </w:tc>
        <w:tc>
          <w:tcPr>
            <w:tcW w:w="1404" w:type="pct"/>
            <w:tcBorders>
              <w:top w:val="single" w:sz="4" w:space="0" w:color="auto"/>
              <w:left w:val="single" w:sz="4" w:space="0" w:color="auto"/>
              <w:bottom w:val="single" w:sz="4" w:space="0" w:color="auto"/>
              <w:right w:val="single" w:sz="4" w:space="0" w:color="auto"/>
            </w:tcBorders>
          </w:tcPr>
          <w:p w14:paraId="0172A9C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26E92CF6" w14:textId="048FDFB1" w:rsidR="00221170" w:rsidRPr="005A6563" w:rsidRDefault="0015305C" w:rsidP="00316B37">
            <w:pPr>
              <w:spacing w:before="0" w:after="0" w:line="278" w:lineRule="auto"/>
              <w:jc w:val="center"/>
              <w:rPr>
                <w:rFonts w:ascii="Arial Narrow" w:eastAsia="Calibri" w:hAnsi="Arial Narrow" w:cs="Arial"/>
                <w:kern w:val="2"/>
                <w:lang w:eastAsia="en-AU"/>
                <w14:ligatures w14:val="standardContextual"/>
              </w:rPr>
            </w:pPr>
            <w:r w:rsidRPr="008D12FB">
              <w:rPr>
                <w:rFonts w:ascii="Arial Narrow" w:eastAsia="Calibri" w:hAnsi="Arial Narrow" w:cs="Arial"/>
                <w:b/>
                <w:bCs/>
                <w:kern w:val="2"/>
                <w:lang w:eastAsia="en-AU"/>
                <w14:ligatures w14:val="standardContextual"/>
              </w:rPr>
              <w:t>Redacted</w:t>
            </w:r>
          </w:p>
        </w:tc>
        <w:tc>
          <w:tcPr>
            <w:tcW w:w="1422" w:type="pct"/>
            <w:tcBorders>
              <w:top w:val="single" w:sz="4" w:space="0" w:color="auto"/>
              <w:left w:val="single" w:sz="4" w:space="0" w:color="auto"/>
              <w:bottom w:val="single" w:sz="4" w:space="0" w:color="auto"/>
              <w:right w:val="single" w:sz="4" w:space="0" w:color="auto"/>
            </w:tcBorders>
          </w:tcPr>
          <w:p w14:paraId="5A6EAD2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21DBFA0"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6C0A1D87"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hideMark/>
          </w:tcPr>
          <w:p w14:paraId="5B1BB15D"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0.16</w:t>
            </w:r>
          </w:p>
        </w:tc>
        <w:tc>
          <w:tcPr>
            <w:tcW w:w="1240" w:type="pct"/>
            <w:tcBorders>
              <w:top w:val="single" w:sz="4" w:space="0" w:color="auto"/>
              <w:left w:val="single" w:sz="4" w:space="0" w:color="auto"/>
              <w:bottom w:val="single" w:sz="4" w:space="0" w:color="auto"/>
              <w:right w:val="single" w:sz="4" w:space="0" w:color="auto"/>
            </w:tcBorders>
            <w:hideMark/>
          </w:tcPr>
          <w:p w14:paraId="50701739"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3.1 (0.5 – 14)</w:t>
            </w:r>
          </w:p>
        </w:tc>
        <w:tc>
          <w:tcPr>
            <w:tcW w:w="1422" w:type="pct"/>
            <w:tcBorders>
              <w:top w:val="single" w:sz="4" w:space="0" w:color="auto"/>
              <w:left w:val="single" w:sz="4" w:space="0" w:color="auto"/>
              <w:bottom w:val="single" w:sz="4" w:space="0" w:color="auto"/>
              <w:right w:val="single" w:sz="4" w:space="0" w:color="auto"/>
            </w:tcBorders>
          </w:tcPr>
          <w:p w14:paraId="7737C8C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593BA749"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3A4D2E6C"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tcPr>
          <w:p w14:paraId="3DFAC225"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0.16</w:t>
            </w:r>
          </w:p>
        </w:tc>
        <w:tc>
          <w:tcPr>
            <w:tcW w:w="1240" w:type="pct"/>
            <w:tcBorders>
              <w:top w:val="single" w:sz="4" w:space="0" w:color="auto"/>
              <w:left w:val="single" w:sz="4" w:space="0" w:color="auto"/>
              <w:bottom w:val="single" w:sz="4" w:space="0" w:color="auto"/>
              <w:right w:val="single" w:sz="4" w:space="0" w:color="auto"/>
            </w:tcBorders>
            <w:hideMark/>
          </w:tcPr>
          <w:p w14:paraId="57F6E845"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6 (2.9 – 14)</w:t>
            </w:r>
          </w:p>
        </w:tc>
        <w:tc>
          <w:tcPr>
            <w:tcW w:w="1422" w:type="pct"/>
            <w:tcBorders>
              <w:top w:val="single" w:sz="4" w:space="0" w:color="auto"/>
              <w:left w:val="single" w:sz="4" w:space="0" w:color="auto"/>
              <w:bottom w:val="single" w:sz="4" w:space="0" w:color="auto"/>
              <w:right w:val="single" w:sz="4" w:space="0" w:color="auto"/>
            </w:tcBorders>
          </w:tcPr>
          <w:p w14:paraId="36398F4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6A7B68CF" w14:textId="77777777" w:rsidTr="006B5B78">
        <w:trPr>
          <w:trHeight w:val="281"/>
        </w:trPr>
        <w:tc>
          <w:tcPr>
            <w:tcW w:w="2338" w:type="pct"/>
            <w:gridSpan w:val="2"/>
            <w:tcBorders>
              <w:top w:val="single" w:sz="4" w:space="0" w:color="auto"/>
              <w:left w:val="single" w:sz="4" w:space="0" w:color="auto"/>
              <w:bottom w:val="single" w:sz="4" w:space="0" w:color="auto"/>
              <w:right w:val="single" w:sz="4" w:space="0" w:color="auto"/>
            </w:tcBorders>
            <w:hideMark/>
          </w:tcPr>
          <w:p w14:paraId="608D705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Age at ERT treatment initiation after diagnosis in years, median (range)</w:t>
            </w:r>
          </w:p>
        </w:tc>
        <w:tc>
          <w:tcPr>
            <w:tcW w:w="1240" w:type="pct"/>
            <w:tcBorders>
              <w:top w:val="single" w:sz="4" w:space="0" w:color="auto"/>
              <w:left w:val="single" w:sz="4" w:space="0" w:color="auto"/>
              <w:bottom w:val="single" w:sz="4" w:space="0" w:color="auto"/>
              <w:right w:val="single" w:sz="4" w:space="0" w:color="auto"/>
            </w:tcBorders>
          </w:tcPr>
          <w:p w14:paraId="2D1B84C3" w14:textId="1E8541CD" w:rsidR="00221170" w:rsidRPr="005A6563" w:rsidRDefault="0015305C" w:rsidP="00316B37">
            <w:pPr>
              <w:spacing w:before="0" w:after="0" w:line="278" w:lineRule="auto"/>
              <w:jc w:val="center"/>
              <w:rPr>
                <w:rFonts w:ascii="Arial Narrow" w:eastAsia="Calibri" w:hAnsi="Arial Narrow" w:cs="Arial"/>
                <w:kern w:val="2"/>
                <w:lang w:eastAsia="en-AU"/>
                <w14:ligatures w14:val="standardContextual"/>
              </w:rPr>
            </w:pPr>
            <w:r w:rsidRPr="008D12FB">
              <w:rPr>
                <w:rFonts w:ascii="Arial Narrow" w:eastAsia="Calibri" w:hAnsi="Arial Narrow" w:cs="Arial"/>
                <w:b/>
                <w:bCs/>
                <w:kern w:val="2"/>
                <w:lang w:eastAsia="en-AU"/>
                <w14:ligatures w14:val="standardContextual"/>
              </w:rPr>
              <w:t>Redacted</w:t>
            </w:r>
          </w:p>
        </w:tc>
        <w:tc>
          <w:tcPr>
            <w:tcW w:w="1422" w:type="pct"/>
            <w:tcBorders>
              <w:top w:val="single" w:sz="4" w:space="0" w:color="auto"/>
              <w:left w:val="single" w:sz="4" w:space="0" w:color="auto"/>
              <w:bottom w:val="single" w:sz="4" w:space="0" w:color="auto"/>
              <w:right w:val="single" w:sz="4" w:space="0" w:color="auto"/>
            </w:tcBorders>
          </w:tcPr>
          <w:p w14:paraId="13C0E770"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12B30ED5" w14:textId="77777777" w:rsidTr="006B5B78">
        <w:trPr>
          <w:trHeight w:val="289"/>
        </w:trPr>
        <w:tc>
          <w:tcPr>
            <w:tcW w:w="934" w:type="pct"/>
            <w:tcBorders>
              <w:top w:val="single" w:sz="4" w:space="0" w:color="auto"/>
              <w:left w:val="single" w:sz="4" w:space="0" w:color="auto"/>
              <w:bottom w:val="single" w:sz="4" w:space="0" w:color="auto"/>
              <w:right w:val="single" w:sz="4" w:space="0" w:color="auto"/>
            </w:tcBorders>
            <w:hideMark/>
          </w:tcPr>
          <w:p w14:paraId="1B70C516"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hideMark/>
          </w:tcPr>
          <w:p w14:paraId="5045A872"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L</w:t>
            </w:r>
            <w:r w:rsidRPr="005A6563">
              <w:rPr>
                <w:rFonts w:ascii="Arial Narrow" w:eastAsia="Calibri" w:hAnsi="Arial Narrow" w:cs="Arial"/>
                <w:kern w:val="2"/>
                <w:lang w:eastAsia="en-AU"/>
                <w14:ligatures w14:val="standardContextual"/>
              </w:rPr>
              <w:t>ikely 0.25 (0.08 – 1)</w:t>
            </w:r>
          </w:p>
        </w:tc>
        <w:tc>
          <w:tcPr>
            <w:tcW w:w="1240" w:type="pct"/>
            <w:tcBorders>
              <w:top w:val="single" w:sz="4" w:space="0" w:color="auto"/>
              <w:left w:val="single" w:sz="4" w:space="0" w:color="auto"/>
              <w:bottom w:val="single" w:sz="4" w:space="0" w:color="auto"/>
              <w:right w:val="single" w:sz="4" w:space="0" w:color="auto"/>
            </w:tcBorders>
            <w:hideMark/>
          </w:tcPr>
          <w:p w14:paraId="1B5BF3E2"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5.1 (0.3 – 12.1)</w:t>
            </w:r>
          </w:p>
        </w:tc>
        <w:tc>
          <w:tcPr>
            <w:tcW w:w="1422" w:type="pct"/>
            <w:tcBorders>
              <w:top w:val="single" w:sz="4" w:space="0" w:color="auto"/>
              <w:left w:val="single" w:sz="4" w:space="0" w:color="auto"/>
              <w:bottom w:val="single" w:sz="4" w:space="0" w:color="auto"/>
              <w:right w:val="single" w:sz="4" w:space="0" w:color="auto"/>
            </w:tcBorders>
          </w:tcPr>
          <w:p w14:paraId="31A7F01B"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Age at treatment initiation with NBS was not reported separately for each phenotype; however, given the LSDP criteria for ERT access, the reported age at ERT initiation would likely only apply to severe cases in the Australian context.</w:t>
            </w:r>
          </w:p>
        </w:tc>
      </w:tr>
      <w:tr w:rsidR="00221170" w:rsidRPr="005A6563" w14:paraId="3CA3C1B3"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7A4CBEBE"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hideMark/>
          </w:tcPr>
          <w:p w14:paraId="6D3E7628"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N</w:t>
            </w:r>
            <w:r w:rsidRPr="005A6563">
              <w:rPr>
                <w:rFonts w:ascii="Arial Narrow" w:eastAsia="Calibri" w:hAnsi="Arial Narrow" w:cs="Arial"/>
                <w:kern w:val="2"/>
                <w:lang w:eastAsia="en-AU"/>
                <w14:ligatures w14:val="standardContextual"/>
              </w:rPr>
              <w:t>ot reported separately</w:t>
            </w:r>
            <w:r>
              <w:rPr>
                <w:rFonts w:ascii="Arial Narrow" w:eastAsia="Calibri" w:hAnsi="Arial Narrow" w:cs="Arial"/>
                <w:kern w:val="2"/>
                <w:lang w:eastAsia="en-AU"/>
                <w14:ligatures w14:val="standardContextual"/>
              </w:rPr>
              <w:t xml:space="preserve"> from severe cases</w:t>
            </w:r>
          </w:p>
          <w:p w14:paraId="1047D58B" w14:textId="6E699458"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 xml:space="preserve">4 (estimated using age at treatment initiation in the absence of NBS, minus the median length of diagnostic </w:t>
            </w:r>
            <w:r w:rsidR="007104CE">
              <w:rPr>
                <w:rFonts w:ascii="Arial Narrow" w:eastAsia="Calibri" w:hAnsi="Arial Narrow" w:cs="Arial"/>
                <w:kern w:val="2"/>
                <w:lang w:eastAsia="en-AU"/>
                <w14:ligatures w14:val="standardContextual"/>
              </w:rPr>
              <w:t>delay</w:t>
            </w:r>
            <w:r>
              <w:rPr>
                <w:rFonts w:ascii="Arial Narrow" w:eastAsia="Calibri" w:hAnsi="Arial Narrow" w:cs="Arial"/>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hideMark/>
          </w:tcPr>
          <w:p w14:paraId="2ED7F676"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7.5 (0.13 – 25.3)</w:t>
            </w:r>
          </w:p>
        </w:tc>
        <w:tc>
          <w:tcPr>
            <w:tcW w:w="1422" w:type="pct"/>
            <w:tcBorders>
              <w:top w:val="single" w:sz="4" w:space="0" w:color="auto"/>
              <w:left w:val="single" w:sz="4" w:space="0" w:color="auto"/>
              <w:bottom w:val="single" w:sz="4" w:space="0" w:color="auto"/>
              <w:right w:val="single" w:sz="4" w:space="0" w:color="auto"/>
            </w:tcBorders>
          </w:tcPr>
          <w:p w14:paraId="2E16D2D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Age at treatment initiation with NBS was not reported separately for each phenotype; however, given the LSDP criteria for ERT access, the reported age at ERT initiation would likely only apply to severe cases in the Australian context.</w:t>
            </w:r>
          </w:p>
        </w:tc>
      </w:tr>
      <w:tr w:rsidR="00221170" w:rsidRPr="005A6563" w14:paraId="2C2A143D" w14:textId="77777777" w:rsidTr="006B5B78">
        <w:trPr>
          <w:trHeight w:val="231"/>
        </w:trPr>
        <w:tc>
          <w:tcPr>
            <w:tcW w:w="2338" w:type="pct"/>
            <w:gridSpan w:val="2"/>
            <w:tcBorders>
              <w:top w:val="single" w:sz="4" w:space="0" w:color="auto"/>
              <w:left w:val="single" w:sz="4" w:space="0" w:color="auto"/>
              <w:bottom w:val="single" w:sz="4" w:space="0" w:color="auto"/>
              <w:right w:val="single" w:sz="4" w:space="0" w:color="auto"/>
            </w:tcBorders>
            <w:hideMark/>
          </w:tcPr>
          <w:p w14:paraId="714AB4F5" w14:textId="10A17B5B"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lastRenderedPageBreak/>
              <w:t>Time to diagnosis in years, median (range)</w:t>
            </w:r>
          </w:p>
        </w:tc>
        <w:tc>
          <w:tcPr>
            <w:tcW w:w="1240" w:type="pct"/>
            <w:tcBorders>
              <w:top w:val="single" w:sz="4" w:space="0" w:color="auto"/>
              <w:left w:val="single" w:sz="4" w:space="0" w:color="auto"/>
              <w:bottom w:val="single" w:sz="4" w:space="0" w:color="auto"/>
              <w:right w:val="single" w:sz="4" w:space="0" w:color="auto"/>
            </w:tcBorders>
          </w:tcPr>
          <w:p w14:paraId="5A0D1F6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447A8AC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466B579A"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hideMark/>
          </w:tcPr>
          <w:p w14:paraId="655720E1"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hideMark/>
          </w:tcPr>
          <w:p w14:paraId="5A9544D5"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hideMark/>
          </w:tcPr>
          <w:p w14:paraId="2B7E8B34"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1.5 (0 – 9.2)</w:t>
            </w:r>
          </w:p>
        </w:tc>
        <w:tc>
          <w:tcPr>
            <w:tcW w:w="1422" w:type="pct"/>
            <w:tcBorders>
              <w:top w:val="single" w:sz="4" w:space="0" w:color="auto"/>
              <w:left w:val="single" w:sz="4" w:space="0" w:color="auto"/>
              <w:bottom w:val="single" w:sz="4" w:space="0" w:color="auto"/>
              <w:right w:val="single" w:sz="4" w:space="0" w:color="auto"/>
            </w:tcBorders>
          </w:tcPr>
          <w:p w14:paraId="30AF0BFB"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656A849E"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hideMark/>
          </w:tcPr>
          <w:p w14:paraId="1F0C8A5C" w14:textId="77777777" w:rsidR="00221170" w:rsidRPr="005A6563" w:rsidRDefault="00221170" w:rsidP="00316B37">
            <w:pPr>
              <w:spacing w:before="0" w:after="0" w:line="278" w:lineRule="auto"/>
              <w:ind w:left="113"/>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hideMark/>
          </w:tcPr>
          <w:p w14:paraId="3F24B5FA"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hideMark/>
          </w:tcPr>
          <w:p w14:paraId="7E660764"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Aptos" w:hAnsi="Arial Narrow"/>
                <w:kern w:val="2"/>
                <w14:ligatures w14:val="standardContextual"/>
              </w:rPr>
              <w:t>2.03 (0 – 18)</w:t>
            </w:r>
          </w:p>
        </w:tc>
        <w:tc>
          <w:tcPr>
            <w:tcW w:w="1422" w:type="pct"/>
            <w:tcBorders>
              <w:top w:val="single" w:sz="4" w:space="0" w:color="auto"/>
              <w:left w:val="single" w:sz="4" w:space="0" w:color="auto"/>
              <w:bottom w:val="single" w:sz="4" w:space="0" w:color="auto"/>
              <w:right w:val="single" w:sz="4" w:space="0" w:color="auto"/>
            </w:tcBorders>
          </w:tcPr>
          <w:p w14:paraId="2B3683C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A457FB6" w14:textId="77777777" w:rsidTr="006B5B78">
        <w:trPr>
          <w:trHeight w:val="242"/>
        </w:trPr>
        <w:tc>
          <w:tcPr>
            <w:tcW w:w="934" w:type="pct"/>
            <w:tcBorders>
              <w:top w:val="single" w:sz="4" w:space="0" w:color="auto"/>
              <w:left w:val="single" w:sz="4" w:space="0" w:color="auto"/>
              <w:bottom w:val="single" w:sz="4" w:space="0" w:color="auto"/>
              <w:right w:val="nil"/>
            </w:tcBorders>
          </w:tcPr>
          <w:p w14:paraId="426E8FFE" w14:textId="704A9E0E" w:rsidR="00221170" w:rsidRPr="005A6563" w:rsidRDefault="00221170" w:rsidP="00316B37">
            <w:pPr>
              <w:spacing w:before="0" w:after="0" w:line="278" w:lineRule="auto"/>
              <w:rPr>
                <w:rFonts w:ascii="Arial Narrow" w:eastAsia="Aptos" w:hAnsi="Arial Narrow"/>
                <w:kern w:val="2"/>
                <w14:ligatures w14:val="standardContextual"/>
              </w:rPr>
            </w:pPr>
            <w:r w:rsidRPr="005A6563">
              <w:rPr>
                <w:rFonts w:ascii="Arial Narrow" w:eastAsia="Calibri" w:hAnsi="Arial Narrow" w:cs="Arial"/>
                <w:kern w:val="2"/>
                <w:lang w:eastAsia="en-AU"/>
                <w14:ligatures w14:val="standardContextual"/>
              </w:rPr>
              <w:t xml:space="preserve">Proportion with diagnostic </w:t>
            </w:r>
            <w:r w:rsidR="007104CE">
              <w:rPr>
                <w:rFonts w:ascii="Arial Narrow" w:eastAsia="Calibri" w:hAnsi="Arial Narrow" w:cs="Arial"/>
                <w:kern w:val="2"/>
                <w:lang w:eastAsia="en-AU"/>
                <w14:ligatures w14:val="standardContextual"/>
              </w:rPr>
              <w:t>delay</w:t>
            </w:r>
          </w:p>
        </w:tc>
        <w:tc>
          <w:tcPr>
            <w:tcW w:w="1404" w:type="pct"/>
            <w:tcBorders>
              <w:top w:val="single" w:sz="4" w:space="0" w:color="auto"/>
              <w:left w:val="nil"/>
              <w:bottom w:val="single" w:sz="4" w:space="0" w:color="auto"/>
              <w:right w:val="nil"/>
            </w:tcBorders>
          </w:tcPr>
          <w:p w14:paraId="2696E103" w14:textId="77777777" w:rsidR="00221170" w:rsidRPr="005A6563" w:rsidRDefault="00221170" w:rsidP="00316B37">
            <w:pPr>
              <w:spacing w:before="0" w:after="0" w:line="278" w:lineRule="auto"/>
              <w:jc w:val="center"/>
              <w:rPr>
                <w:rFonts w:ascii="Arial Narrow" w:eastAsia="Calibri" w:hAnsi="Arial Narrow" w:cs="Calibri"/>
                <w:kern w:val="2"/>
                <w:lang w:eastAsia="en-AU"/>
                <w14:ligatures w14:val="standardContextual"/>
              </w:rPr>
            </w:pPr>
          </w:p>
        </w:tc>
        <w:tc>
          <w:tcPr>
            <w:tcW w:w="1240" w:type="pct"/>
            <w:tcBorders>
              <w:top w:val="single" w:sz="4" w:space="0" w:color="auto"/>
              <w:left w:val="nil"/>
              <w:bottom w:val="single" w:sz="4" w:space="0" w:color="auto"/>
              <w:right w:val="nil"/>
            </w:tcBorders>
          </w:tcPr>
          <w:p w14:paraId="0542EC7C" w14:textId="77777777" w:rsidR="00221170" w:rsidRPr="005A6563" w:rsidRDefault="00221170" w:rsidP="00316B37">
            <w:pPr>
              <w:spacing w:before="0" w:after="0" w:line="278" w:lineRule="auto"/>
              <w:jc w:val="center"/>
              <w:rPr>
                <w:rFonts w:ascii="Arial Narrow" w:eastAsia="Aptos" w:hAnsi="Arial Narrow"/>
                <w:kern w:val="2"/>
                <w14:ligatures w14:val="standardContextual"/>
              </w:rPr>
            </w:pPr>
          </w:p>
        </w:tc>
        <w:tc>
          <w:tcPr>
            <w:tcW w:w="1422" w:type="pct"/>
            <w:tcBorders>
              <w:top w:val="single" w:sz="4" w:space="0" w:color="auto"/>
              <w:left w:val="nil"/>
              <w:bottom w:val="single" w:sz="4" w:space="0" w:color="auto"/>
              <w:right w:val="single" w:sz="4" w:space="0" w:color="auto"/>
            </w:tcBorders>
          </w:tcPr>
          <w:p w14:paraId="737713F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526FF926"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tcPr>
          <w:p w14:paraId="17413D90" w14:textId="77777777" w:rsidR="00221170" w:rsidRPr="005A6563" w:rsidRDefault="00221170" w:rsidP="00316B37">
            <w:pPr>
              <w:spacing w:before="0" w:after="0" w:line="278" w:lineRule="auto"/>
              <w:ind w:left="113"/>
              <w:rPr>
                <w:rFonts w:ascii="Arial Narrow" w:eastAsia="Aptos" w:hAnsi="Arial Narrow"/>
                <w:kern w:val="2"/>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tcPr>
          <w:p w14:paraId="3CE38BFD" w14:textId="77777777" w:rsidR="00221170" w:rsidRPr="005A6563" w:rsidRDefault="00221170" w:rsidP="00316B37">
            <w:pPr>
              <w:spacing w:before="0" w:after="0" w:line="278" w:lineRule="auto"/>
              <w:jc w:val="center"/>
              <w:rPr>
                <w:rFonts w:ascii="Arial Narrow" w:eastAsia="Calibri" w:hAnsi="Arial Narrow" w:cs="Calibri"/>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tcPr>
          <w:p w14:paraId="007E381D" w14:textId="77777777" w:rsidR="00221170" w:rsidRPr="005A6563" w:rsidRDefault="00221170" w:rsidP="00316B37">
            <w:pPr>
              <w:spacing w:before="0" w:after="0" w:line="278" w:lineRule="auto"/>
              <w:jc w:val="center"/>
              <w:rPr>
                <w:rFonts w:ascii="Arial Narrow" w:eastAsia="Aptos" w:hAnsi="Arial Narrow"/>
                <w:kern w:val="2"/>
                <w14:ligatures w14:val="standardContextual"/>
              </w:rPr>
            </w:pPr>
            <w:r>
              <w:rPr>
                <w:rFonts w:ascii="Arial Narrow" w:eastAsia="Calibri" w:hAnsi="Arial Narrow" w:cs="Calibri"/>
                <w:kern w:val="2"/>
                <w:lang w:eastAsia="en-AU"/>
                <w14:ligatures w14:val="standardContextual"/>
              </w:rPr>
              <w:t xml:space="preserve">Assumed to be </w:t>
            </w:r>
            <w:r w:rsidRPr="005A6563">
              <w:rPr>
                <w:rFonts w:ascii="Arial Narrow" w:eastAsia="Calibri" w:hAnsi="Arial Narrow" w:cs="Calibri"/>
                <w:kern w:val="2"/>
                <w:lang w:eastAsia="en-AU"/>
                <w14:ligatures w14:val="standardContextual"/>
              </w:rPr>
              <w:t>100%</w:t>
            </w:r>
          </w:p>
        </w:tc>
        <w:tc>
          <w:tcPr>
            <w:tcW w:w="1422" w:type="pct"/>
            <w:tcBorders>
              <w:top w:val="single" w:sz="4" w:space="0" w:color="auto"/>
              <w:left w:val="single" w:sz="4" w:space="0" w:color="auto"/>
              <w:bottom w:val="single" w:sz="4" w:space="0" w:color="auto"/>
              <w:right w:val="single" w:sz="4" w:space="0" w:color="auto"/>
            </w:tcBorders>
          </w:tcPr>
          <w:p w14:paraId="053B63C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2A41EAD2"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tcPr>
          <w:p w14:paraId="2CB6180E" w14:textId="77777777" w:rsidR="00221170" w:rsidRPr="005A6563" w:rsidRDefault="00221170" w:rsidP="00316B37">
            <w:pPr>
              <w:spacing w:before="0" w:after="0" w:line="278" w:lineRule="auto"/>
              <w:ind w:left="113"/>
              <w:rPr>
                <w:rFonts w:ascii="Arial Narrow" w:eastAsia="Aptos" w:hAnsi="Arial Narrow"/>
                <w:kern w:val="2"/>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tcPr>
          <w:p w14:paraId="60C5A53B" w14:textId="77777777" w:rsidR="00221170" w:rsidRPr="005A6563" w:rsidRDefault="00221170" w:rsidP="00316B37">
            <w:pPr>
              <w:spacing w:before="0" w:after="0" w:line="278" w:lineRule="auto"/>
              <w:jc w:val="center"/>
              <w:rPr>
                <w:rFonts w:ascii="Arial Narrow" w:eastAsia="Calibri" w:hAnsi="Arial Narrow" w:cs="Calibri"/>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tcPr>
          <w:p w14:paraId="1960A19A" w14:textId="77777777" w:rsidR="00221170" w:rsidRPr="005A6563" w:rsidRDefault="00221170" w:rsidP="00316B37">
            <w:pPr>
              <w:spacing w:before="0" w:after="0" w:line="278" w:lineRule="auto"/>
              <w:jc w:val="center"/>
              <w:rPr>
                <w:rFonts w:ascii="Arial Narrow" w:eastAsia="Aptos" w:hAnsi="Arial Narrow"/>
                <w:kern w:val="2"/>
                <w14:ligatures w14:val="standardContextual"/>
              </w:rPr>
            </w:pPr>
            <w:r>
              <w:rPr>
                <w:rFonts w:ascii="Arial Narrow" w:eastAsia="Calibri" w:hAnsi="Arial Narrow" w:cs="Calibri"/>
                <w:kern w:val="2"/>
                <w:lang w:eastAsia="en-AU"/>
                <w14:ligatures w14:val="standardContextual"/>
              </w:rPr>
              <w:t xml:space="preserve">Assumed to be </w:t>
            </w:r>
            <w:r w:rsidRPr="005A6563">
              <w:rPr>
                <w:rFonts w:ascii="Arial Narrow" w:eastAsia="Calibri" w:hAnsi="Arial Narrow" w:cs="Calibri"/>
                <w:kern w:val="2"/>
                <w:lang w:eastAsia="en-AU"/>
                <w14:ligatures w14:val="standardContextual"/>
              </w:rPr>
              <w:t>100%</w:t>
            </w:r>
          </w:p>
        </w:tc>
        <w:tc>
          <w:tcPr>
            <w:tcW w:w="1422" w:type="pct"/>
            <w:tcBorders>
              <w:top w:val="single" w:sz="4" w:space="0" w:color="auto"/>
              <w:left w:val="single" w:sz="4" w:space="0" w:color="auto"/>
              <w:bottom w:val="single" w:sz="4" w:space="0" w:color="auto"/>
              <w:right w:val="single" w:sz="4" w:space="0" w:color="auto"/>
            </w:tcBorders>
          </w:tcPr>
          <w:p w14:paraId="2B244A4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799B6186" w14:textId="77777777" w:rsidTr="006B5B78">
        <w:trPr>
          <w:trHeight w:val="242"/>
        </w:trPr>
        <w:tc>
          <w:tcPr>
            <w:tcW w:w="5000" w:type="pct"/>
            <w:gridSpan w:val="4"/>
            <w:tcBorders>
              <w:top w:val="single" w:sz="4" w:space="0" w:color="auto"/>
              <w:left w:val="single" w:sz="4" w:space="0" w:color="auto"/>
              <w:bottom w:val="single" w:sz="4" w:space="0" w:color="auto"/>
              <w:right w:val="single" w:sz="4" w:space="0" w:color="auto"/>
            </w:tcBorders>
          </w:tcPr>
          <w:p w14:paraId="3DDA452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Number of MPS II affected cases monitored</w:t>
            </w:r>
          </w:p>
        </w:tc>
      </w:tr>
      <w:tr w:rsidR="00221170" w:rsidRPr="005A6563" w14:paraId="76BB40DA"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tcPr>
          <w:p w14:paraId="58F93DA6" w14:textId="77777777" w:rsidR="00221170" w:rsidRPr="005A6563" w:rsidRDefault="00221170" w:rsidP="00316B37">
            <w:pPr>
              <w:spacing w:before="0" w:after="0" w:line="278" w:lineRule="auto"/>
              <w:ind w:left="113"/>
              <w:rPr>
                <w:rFonts w:ascii="Arial Narrow" w:eastAsia="Aptos" w:hAnsi="Arial Narrow"/>
                <w:kern w:val="2"/>
                <w14:ligatures w14:val="standardContextual"/>
              </w:rPr>
            </w:pPr>
            <w:r w:rsidRPr="005A6563">
              <w:rPr>
                <w:rFonts w:ascii="Arial Narrow" w:eastAsia="Aptos" w:hAnsi="Arial Narrow"/>
                <w:kern w:val="2"/>
                <w14:ligatures w14:val="standardContextual"/>
              </w:rPr>
              <w:t>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tcPr>
          <w:p w14:paraId="6CBEFFC4" w14:textId="77777777" w:rsidR="00221170" w:rsidRPr="005A6563" w:rsidRDefault="00221170" w:rsidP="00316B37">
            <w:pPr>
              <w:spacing w:before="0" w:after="0" w:line="278" w:lineRule="auto"/>
              <w:jc w:val="center"/>
              <w:rPr>
                <w:rFonts w:ascii="Arial Narrow" w:eastAsia="Calibri" w:hAnsi="Arial Narrow" w:cs="Calibri"/>
                <w:kern w:val="2"/>
                <w:lang w:eastAsia="en-AU"/>
                <w14:ligatures w14:val="standardContextual"/>
              </w:rPr>
            </w:pPr>
            <w:r w:rsidRPr="005A6563">
              <w:rPr>
                <w:rFonts w:ascii="Arial Narrow" w:eastAsia="Calibri" w:hAnsi="Arial Narrow" w:cs="Arial"/>
                <w:kern w:val="2"/>
                <w:lang w:eastAsia="en-AU"/>
                <w14:ligatures w14:val="standardContextual"/>
              </w:rPr>
              <w:t>0</w:t>
            </w:r>
          </w:p>
        </w:tc>
        <w:tc>
          <w:tcPr>
            <w:tcW w:w="1240" w:type="pct"/>
            <w:tcBorders>
              <w:top w:val="single" w:sz="4" w:space="0" w:color="auto"/>
              <w:left w:val="single" w:sz="4" w:space="0" w:color="auto"/>
              <w:bottom w:val="single" w:sz="4" w:space="0" w:color="auto"/>
              <w:right w:val="single" w:sz="4" w:space="0" w:color="auto"/>
            </w:tcBorders>
          </w:tcPr>
          <w:p w14:paraId="7666E2B5" w14:textId="77777777" w:rsidR="00221170" w:rsidRPr="005A6563" w:rsidRDefault="00221170" w:rsidP="00316B37">
            <w:pPr>
              <w:spacing w:before="0" w:after="0" w:line="278" w:lineRule="auto"/>
              <w:jc w:val="center"/>
              <w:rPr>
                <w:rFonts w:ascii="Arial Narrow" w:eastAsia="Aptos" w:hAnsi="Arial Narrow"/>
                <w:kern w:val="2"/>
                <w14:ligatures w14:val="standardContextual"/>
              </w:rPr>
            </w:pPr>
            <w:r w:rsidRPr="005A6563">
              <w:rPr>
                <w:rFonts w:ascii="Arial Narrow" w:eastAsia="Calibri" w:hAnsi="Arial Narrow" w:cs="Calibri"/>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64143828"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7E3F6084"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tcPr>
          <w:p w14:paraId="08B3E1BC" w14:textId="77777777" w:rsidR="00221170" w:rsidRPr="005A6563" w:rsidRDefault="00221170" w:rsidP="00316B37">
            <w:pPr>
              <w:spacing w:before="0" w:after="0" w:line="278" w:lineRule="auto"/>
              <w:ind w:left="113"/>
              <w:rPr>
                <w:rFonts w:ascii="Arial Narrow" w:eastAsia="Aptos" w:hAnsi="Arial Narrow"/>
                <w:kern w:val="2"/>
                <w14:ligatures w14:val="standardContextual"/>
              </w:rPr>
            </w:pPr>
            <w:r w:rsidRPr="005A6563">
              <w:rPr>
                <w:rFonts w:ascii="Arial Narrow" w:eastAsia="Aptos" w:hAnsi="Arial Narrow"/>
                <w:kern w:val="2"/>
                <w14:ligatures w14:val="standardContextual"/>
              </w:rPr>
              <w:t>Non-neuro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tcPr>
          <w:p w14:paraId="77E7AA8E" w14:textId="77777777" w:rsidR="00221170" w:rsidRPr="005A6563" w:rsidRDefault="00221170" w:rsidP="00316B37">
            <w:pPr>
              <w:spacing w:before="0" w:after="0" w:line="278" w:lineRule="auto"/>
              <w:jc w:val="center"/>
              <w:rPr>
                <w:rFonts w:ascii="Arial Narrow" w:eastAsia="Calibri" w:hAnsi="Arial Narrow" w:cs="Calibri"/>
                <w:kern w:val="2"/>
                <w:lang w:eastAsia="en-AU"/>
                <w14:ligatures w14:val="standardContextual"/>
              </w:rPr>
            </w:pPr>
            <w:r w:rsidRPr="005A6563">
              <w:rPr>
                <w:rFonts w:ascii="Arial Narrow" w:eastAsia="Calibri" w:hAnsi="Arial Narrow" w:cs="Arial"/>
                <w:kern w:val="2"/>
                <w:lang w:eastAsia="en-AU"/>
                <w14:ligatures w14:val="standardContextual"/>
              </w:rPr>
              <w:t>2.89</w:t>
            </w:r>
          </w:p>
        </w:tc>
        <w:tc>
          <w:tcPr>
            <w:tcW w:w="1240" w:type="pct"/>
            <w:tcBorders>
              <w:top w:val="single" w:sz="4" w:space="0" w:color="auto"/>
              <w:left w:val="single" w:sz="4" w:space="0" w:color="auto"/>
              <w:bottom w:val="single" w:sz="4" w:space="0" w:color="auto"/>
              <w:right w:val="single" w:sz="4" w:space="0" w:color="auto"/>
            </w:tcBorders>
          </w:tcPr>
          <w:p w14:paraId="0D8711CF" w14:textId="77777777" w:rsidR="00221170" w:rsidRPr="005A6563" w:rsidRDefault="00221170" w:rsidP="00316B37">
            <w:pPr>
              <w:spacing w:before="0" w:after="0" w:line="278" w:lineRule="auto"/>
              <w:jc w:val="center"/>
              <w:rPr>
                <w:rFonts w:ascii="Arial Narrow" w:eastAsia="Aptos" w:hAnsi="Arial Narrow"/>
                <w:kern w:val="2"/>
                <w14:ligatures w14:val="standardContextual"/>
              </w:rPr>
            </w:pPr>
            <w:r w:rsidRPr="005A6563">
              <w:rPr>
                <w:rFonts w:ascii="Arial Narrow" w:eastAsia="Calibri" w:hAnsi="Arial Narrow" w:cs="Calibri"/>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11C2EE5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A0C6843" w14:textId="77777777" w:rsidTr="006B5B78">
        <w:trPr>
          <w:trHeight w:val="227"/>
        </w:trPr>
        <w:tc>
          <w:tcPr>
            <w:tcW w:w="934" w:type="pct"/>
            <w:tcBorders>
              <w:top w:val="single" w:sz="4" w:space="0" w:color="auto"/>
              <w:left w:val="single" w:sz="4" w:space="0" w:color="auto"/>
              <w:bottom w:val="single" w:sz="4" w:space="0" w:color="auto"/>
              <w:right w:val="nil"/>
            </w:tcBorders>
            <w:hideMark/>
          </w:tcPr>
          <w:p w14:paraId="6066960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Treatment effectiveness</w:t>
            </w:r>
          </w:p>
        </w:tc>
        <w:tc>
          <w:tcPr>
            <w:tcW w:w="1404" w:type="pct"/>
            <w:tcBorders>
              <w:top w:val="single" w:sz="4" w:space="0" w:color="auto"/>
              <w:left w:val="nil"/>
              <w:bottom w:val="single" w:sz="4" w:space="0" w:color="auto"/>
              <w:right w:val="nil"/>
            </w:tcBorders>
          </w:tcPr>
          <w:p w14:paraId="5A96379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nil"/>
              <w:bottom w:val="single" w:sz="4" w:space="0" w:color="auto"/>
              <w:right w:val="nil"/>
            </w:tcBorders>
          </w:tcPr>
          <w:p w14:paraId="4FDEE29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34A85D3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5D73A3F9" w14:textId="77777777" w:rsidTr="006B5B78">
        <w:trPr>
          <w:trHeight w:val="696"/>
        </w:trPr>
        <w:tc>
          <w:tcPr>
            <w:tcW w:w="934" w:type="pct"/>
            <w:tcBorders>
              <w:top w:val="single" w:sz="4" w:space="0" w:color="auto"/>
              <w:left w:val="single" w:sz="4" w:space="0" w:color="auto"/>
              <w:bottom w:val="single" w:sz="4" w:space="0" w:color="auto"/>
              <w:right w:val="single" w:sz="4" w:space="0" w:color="auto"/>
            </w:tcBorders>
            <w:hideMark/>
          </w:tcPr>
          <w:p w14:paraId="09089A0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Early vs late ERT (idursulfase 0.5 mg/kg weekly) in n</w:t>
            </w:r>
            <w:r w:rsidRPr="005A6563">
              <w:rPr>
                <w:rFonts w:ascii="Arial Narrow" w:eastAsia="Aptos" w:hAnsi="Arial Narrow"/>
                <w:kern w:val="2"/>
                <w14:ligatures w14:val="standardContextual"/>
              </w:rPr>
              <w:t>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 xml:space="preserve">pathic (severe) MPS II </w:t>
            </w:r>
            <w:r w:rsidRPr="005A6563">
              <w:rPr>
                <w:rFonts w:ascii="Arial Narrow" w:eastAsia="Calibri" w:hAnsi="Arial Narrow" w:cs="Arial"/>
                <w:kern w:val="2"/>
                <w:lang w:eastAsia="en-AU"/>
                <w14:ligatures w14:val="standardContextual"/>
              </w:rPr>
              <w:t>not reported quantitatively</w:t>
            </w:r>
          </w:p>
        </w:tc>
        <w:tc>
          <w:tcPr>
            <w:tcW w:w="1404" w:type="pct"/>
            <w:tcBorders>
              <w:top w:val="single" w:sz="4" w:space="0" w:color="auto"/>
              <w:left w:val="single" w:sz="4" w:space="0" w:color="auto"/>
              <w:bottom w:val="single" w:sz="4" w:space="0" w:color="auto"/>
              <w:right w:val="single" w:sz="4" w:space="0" w:color="auto"/>
            </w:tcBorders>
          </w:tcPr>
          <w:p w14:paraId="2A0A91AE"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The e</w:t>
            </w:r>
            <w:r w:rsidRPr="005A6563">
              <w:rPr>
                <w:rFonts w:ascii="Arial Narrow" w:eastAsia="Calibri" w:hAnsi="Arial Narrow" w:cs="Arial"/>
                <w:kern w:val="2"/>
                <w:lang w:eastAsia="en-AU"/>
                <w14:ligatures w14:val="standardContextual"/>
              </w:rPr>
              <w:t xml:space="preserve">conomic model claims 7 extra years of 100% overall survival (assumption based on </w:t>
            </w:r>
            <w:r>
              <w:rPr>
                <w:rFonts w:ascii="Arial Narrow" w:eastAsia="Calibri" w:hAnsi="Arial Narrow" w:cs="Arial"/>
                <w:kern w:val="2"/>
                <w:lang w:eastAsia="en-AU"/>
                <w14:ligatures w14:val="standardContextual"/>
              </w:rPr>
              <w:t>very uncertain effectiveness data for</w:t>
            </w:r>
            <w:r w:rsidRPr="005A6563">
              <w:rPr>
                <w:rFonts w:ascii="Arial Narrow" w:eastAsia="Calibri" w:hAnsi="Arial Narrow" w:cs="Arial"/>
                <w:kern w:val="2"/>
                <w:lang w:eastAsia="en-AU"/>
                <w14:ligatures w14:val="standardContextual"/>
              </w:rPr>
              <w:t xml:space="preserve"> early use of ERT</w:t>
            </w:r>
            <w:r>
              <w:rPr>
                <w:rFonts w:ascii="Arial Narrow" w:eastAsia="Calibri" w:hAnsi="Arial Narrow" w:cs="Arial"/>
                <w:kern w:val="2"/>
                <w:lang w:eastAsia="en-AU"/>
                <w14:ligatures w14:val="standardContextual"/>
              </w:rPr>
              <w:t xml:space="preserve"> from a case series of </w:t>
            </w:r>
            <w:r w:rsidRPr="005A6563">
              <w:rPr>
                <w:rFonts w:ascii="Arial Narrow" w:eastAsia="Calibri" w:hAnsi="Arial Narrow" w:cs="Arial"/>
                <w:kern w:val="2"/>
                <w:lang w:eastAsia="en-AU"/>
                <w14:ligatures w14:val="standardContextual"/>
              </w:rPr>
              <w:t xml:space="preserve">6 </w:t>
            </w:r>
            <w:r>
              <w:rPr>
                <w:rFonts w:ascii="Arial Narrow" w:eastAsia="Calibri" w:hAnsi="Arial Narrow" w:cs="Arial"/>
                <w:kern w:val="2"/>
                <w:lang w:eastAsia="en-AU"/>
                <w14:ligatures w14:val="standardContextual"/>
              </w:rPr>
              <w:t xml:space="preserve">Japanese children with </w:t>
            </w:r>
            <w:r w:rsidRPr="005A6563">
              <w:rPr>
                <w:rFonts w:ascii="Arial Narrow" w:eastAsia="Calibri" w:hAnsi="Arial Narrow" w:cs="Arial"/>
                <w:kern w:val="2"/>
                <w:lang w:eastAsia="en-AU"/>
                <w14:ligatures w14:val="standardContextual"/>
              </w:rPr>
              <w:t xml:space="preserve">severe </w:t>
            </w:r>
            <w:r>
              <w:rPr>
                <w:rFonts w:ascii="Arial Narrow" w:eastAsia="Calibri" w:hAnsi="Arial Narrow" w:cs="Arial"/>
                <w:kern w:val="2"/>
                <w:lang w:eastAsia="en-AU"/>
                <w14:ligatures w14:val="standardContextual"/>
              </w:rPr>
              <w:t>MPS II who received “early” ERT in a retrospective cohort study of 17 Japanese children compared with modified overall survival data from a cohort of 800 patients receiving late ERT in the global Hunter Outcomes Study</w:t>
            </w:r>
            <w:r w:rsidRPr="005A6563">
              <w:rPr>
                <w:rFonts w:ascii="Arial Narrow" w:eastAsia="Calibri" w:hAnsi="Arial Narrow" w:cs="Arial"/>
                <w:kern w:val="2"/>
                <w:lang w:eastAsia="en-AU"/>
                <w14:ligatures w14:val="standardContextual"/>
              </w:rPr>
              <w:t>)</w:t>
            </w:r>
            <w:r>
              <w:rPr>
                <w:rFonts w:ascii="Arial Narrow" w:eastAsia="Calibri" w:hAnsi="Arial Narrow" w:cs="Arial"/>
                <w:kern w:val="2"/>
                <w:lang w:eastAsia="en-AU"/>
                <w14:ligatures w14:val="standardContextual"/>
              </w:rPr>
              <w:t>.</w:t>
            </w:r>
          </w:p>
        </w:tc>
        <w:tc>
          <w:tcPr>
            <w:tcW w:w="1240" w:type="pct"/>
            <w:tcBorders>
              <w:top w:val="single" w:sz="4" w:space="0" w:color="auto"/>
              <w:left w:val="single" w:sz="4" w:space="0" w:color="auto"/>
              <w:bottom w:val="single" w:sz="4" w:space="0" w:color="auto"/>
              <w:right w:val="single" w:sz="4" w:space="0" w:color="auto"/>
            </w:tcBorders>
          </w:tcPr>
          <w:p w14:paraId="7283997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3DA2B76E"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Concerns about the poor </w:t>
            </w:r>
            <w:r>
              <w:rPr>
                <w:rFonts w:ascii="Arial Narrow" w:eastAsia="Calibri" w:hAnsi="Arial Narrow" w:cs="Arial"/>
                <w:kern w:val="2"/>
                <w:lang w:eastAsia="en-AU"/>
                <w14:ligatures w14:val="standardContextual"/>
              </w:rPr>
              <w:t>transitivity</w:t>
            </w:r>
            <w:r w:rsidRPr="005A6563">
              <w:rPr>
                <w:rFonts w:ascii="Arial Narrow" w:eastAsia="Calibri" w:hAnsi="Arial Narrow" w:cs="Arial"/>
                <w:kern w:val="2"/>
                <w:lang w:eastAsia="en-AU"/>
                <w14:ligatures w14:val="standardContextual"/>
              </w:rPr>
              <w:t xml:space="preserve"> across single-arm studies hinders the drawing of any robust quantified comparison</w:t>
            </w:r>
            <w:r>
              <w:rPr>
                <w:rFonts w:ascii="Arial Narrow" w:eastAsia="Calibri" w:hAnsi="Arial Narrow" w:cs="Arial"/>
                <w:kern w:val="2"/>
                <w:lang w:eastAsia="en-AU"/>
                <w14:ligatures w14:val="standardContextual"/>
              </w:rPr>
              <w:t>.</w:t>
            </w:r>
          </w:p>
          <w:p w14:paraId="2663CB1B"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There is no direct evidence for the comparative safety and effectiveness arising from the change in use of ERT or HSCT following an earlier diagnosis of severe MPS II through NBS. The possible survival benefit from earlier ERT is highly uncertain due to the very limited observational data available.</w:t>
            </w:r>
          </w:p>
        </w:tc>
      </w:tr>
      <w:tr w:rsidR="00221170" w:rsidRPr="005A6563" w14:paraId="5190F087" w14:textId="77777777" w:rsidTr="006B5B78">
        <w:trPr>
          <w:trHeight w:val="468"/>
        </w:trPr>
        <w:tc>
          <w:tcPr>
            <w:tcW w:w="934" w:type="pct"/>
            <w:tcBorders>
              <w:top w:val="single" w:sz="4" w:space="0" w:color="auto"/>
              <w:left w:val="single" w:sz="4" w:space="0" w:color="auto"/>
              <w:bottom w:val="single" w:sz="4" w:space="0" w:color="auto"/>
              <w:right w:val="single" w:sz="4" w:space="0" w:color="auto"/>
            </w:tcBorders>
            <w:hideMark/>
          </w:tcPr>
          <w:p w14:paraId="3866672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Early vs late ERT in n</w:t>
            </w:r>
            <w:r w:rsidRPr="005A6563">
              <w:rPr>
                <w:rFonts w:ascii="Arial Narrow" w:eastAsia="Aptos" w:hAnsi="Arial Narrow"/>
                <w:kern w:val="2"/>
                <w14:ligatures w14:val="standardContextual"/>
              </w:rPr>
              <w:t>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 xml:space="preserve">pathic (later onset, attenuated) MPS II </w:t>
            </w:r>
            <w:r w:rsidRPr="005A6563">
              <w:rPr>
                <w:rFonts w:ascii="Arial Narrow" w:eastAsia="Calibri" w:hAnsi="Arial Narrow" w:cs="Arial"/>
                <w:kern w:val="2"/>
                <w:lang w:eastAsia="en-AU"/>
                <w14:ligatures w14:val="standardContextual"/>
              </w:rPr>
              <w:t>not reported quantitatively</w:t>
            </w:r>
          </w:p>
        </w:tc>
        <w:tc>
          <w:tcPr>
            <w:tcW w:w="1404" w:type="pct"/>
            <w:tcBorders>
              <w:top w:val="single" w:sz="4" w:space="0" w:color="auto"/>
              <w:left w:val="single" w:sz="4" w:space="0" w:color="auto"/>
              <w:bottom w:val="single" w:sz="4" w:space="0" w:color="auto"/>
              <w:right w:val="single" w:sz="4" w:space="0" w:color="auto"/>
            </w:tcBorders>
          </w:tcPr>
          <w:p w14:paraId="4B8FA83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Pr>
                <w:rFonts w:ascii="Arial Narrow" w:eastAsia="Calibri" w:hAnsi="Arial Narrow" w:cs="Arial"/>
                <w:kern w:val="2"/>
                <w:lang w:eastAsia="en-AU"/>
                <w14:ligatures w14:val="standardContextual"/>
              </w:rPr>
              <w:t>The e</w:t>
            </w:r>
            <w:r w:rsidRPr="005A6563">
              <w:rPr>
                <w:rFonts w:ascii="Arial Narrow" w:eastAsia="Calibri" w:hAnsi="Arial Narrow" w:cs="Arial"/>
                <w:kern w:val="2"/>
                <w:lang w:eastAsia="en-AU"/>
                <w14:ligatures w14:val="standardContextual"/>
              </w:rPr>
              <w:t>conomic model makes no incremental health outcome claim.</w:t>
            </w:r>
          </w:p>
        </w:tc>
        <w:tc>
          <w:tcPr>
            <w:tcW w:w="1240" w:type="pct"/>
            <w:tcBorders>
              <w:top w:val="single" w:sz="4" w:space="0" w:color="auto"/>
              <w:left w:val="single" w:sz="4" w:space="0" w:color="auto"/>
              <w:bottom w:val="single" w:sz="4" w:space="0" w:color="auto"/>
              <w:right w:val="single" w:sz="4" w:space="0" w:color="auto"/>
            </w:tcBorders>
          </w:tcPr>
          <w:p w14:paraId="6134510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hideMark/>
          </w:tcPr>
          <w:p w14:paraId="2F14F1E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Concerns about the poor </w:t>
            </w:r>
            <w:r>
              <w:rPr>
                <w:rFonts w:ascii="Arial Narrow" w:eastAsia="Calibri" w:hAnsi="Arial Narrow" w:cs="Arial"/>
                <w:kern w:val="2"/>
                <w:lang w:eastAsia="en-AU"/>
                <w14:ligatures w14:val="standardContextual"/>
              </w:rPr>
              <w:t>transitivity</w:t>
            </w:r>
            <w:r w:rsidRPr="005A6563">
              <w:rPr>
                <w:rFonts w:ascii="Arial Narrow" w:eastAsia="Calibri" w:hAnsi="Arial Narrow" w:cs="Arial"/>
                <w:kern w:val="2"/>
                <w:lang w:eastAsia="en-AU"/>
                <w14:ligatures w14:val="standardContextual"/>
              </w:rPr>
              <w:t xml:space="preserve"> across single-arm studies hinders the drawing of any robust quantified comparison.</w:t>
            </w:r>
          </w:p>
        </w:tc>
      </w:tr>
      <w:tr w:rsidR="00221170" w:rsidRPr="005A6563" w14:paraId="0223039D" w14:textId="77777777" w:rsidTr="006B5B78">
        <w:trPr>
          <w:trHeight w:val="145"/>
        </w:trPr>
        <w:tc>
          <w:tcPr>
            <w:tcW w:w="934" w:type="pct"/>
            <w:tcBorders>
              <w:top w:val="single" w:sz="4" w:space="0" w:color="auto"/>
              <w:left w:val="single" w:sz="4" w:space="0" w:color="auto"/>
              <w:bottom w:val="single" w:sz="4" w:space="0" w:color="auto"/>
              <w:right w:val="nil"/>
            </w:tcBorders>
            <w:hideMark/>
          </w:tcPr>
          <w:p w14:paraId="40683B11"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5) Cost-effectiveness?</w:t>
            </w:r>
          </w:p>
        </w:tc>
        <w:tc>
          <w:tcPr>
            <w:tcW w:w="1404" w:type="pct"/>
            <w:tcBorders>
              <w:top w:val="single" w:sz="4" w:space="0" w:color="auto"/>
              <w:left w:val="nil"/>
              <w:bottom w:val="single" w:sz="4" w:space="0" w:color="auto"/>
              <w:right w:val="nil"/>
            </w:tcBorders>
          </w:tcPr>
          <w:p w14:paraId="79AED4B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nil"/>
              <w:bottom w:val="single" w:sz="4" w:space="0" w:color="auto"/>
              <w:right w:val="nil"/>
            </w:tcBorders>
          </w:tcPr>
          <w:p w14:paraId="43234CA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3C40199A"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1A5DAE7E" w14:textId="77777777" w:rsidTr="006B5B78">
        <w:trPr>
          <w:trHeight w:val="145"/>
        </w:trPr>
        <w:tc>
          <w:tcPr>
            <w:tcW w:w="5000" w:type="pct"/>
            <w:gridSpan w:val="4"/>
            <w:tcBorders>
              <w:top w:val="single" w:sz="4" w:space="0" w:color="auto"/>
              <w:left w:val="single" w:sz="4" w:space="0" w:color="auto"/>
              <w:bottom w:val="single" w:sz="4" w:space="0" w:color="auto"/>
              <w:right w:val="single" w:sz="4" w:space="0" w:color="auto"/>
            </w:tcBorders>
          </w:tcPr>
          <w:p w14:paraId="144E4946" w14:textId="33D5EF47" w:rsidR="00221170" w:rsidRPr="00414A96" w:rsidRDefault="00221170" w:rsidP="00316B37">
            <w:pPr>
              <w:spacing w:before="0" w:after="0" w:line="278" w:lineRule="auto"/>
              <w:rPr>
                <w:rFonts w:ascii="Arial Narrow" w:eastAsia="Calibri" w:hAnsi="Arial Narrow" w:cs="Arial"/>
                <w:b/>
                <w:kern w:val="2"/>
                <w:lang w:eastAsia="en-AU"/>
                <w14:ligatures w14:val="standardContextual"/>
              </w:rPr>
            </w:pPr>
            <w:r w:rsidRPr="00414A96">
              <w:rPr>
                <w:rFonts w:ascii="Arial Narrow" w:eastAsia="Calibri" w:hAnsi="Arial Narrow" w:cs="Arial"/>
                <w:b/>
                <w:kern w:val="2"/>
                <w:lang w:eastAsia="en-AU"/>
                <w14:ligatures w14:val="standardContextual"/>
              </w:rPr>
              <w:t xml:space="preserve">Step 1 Base case model (per newborn screened), </w:t>
            </w:r>
            <w:r w:rsidR="0015305C" w:rsidRPr="0015305C">
              <w:rPr>
                <w:rFonts w:ascii="Arial Narrow" w:eastAsia="Calibri" w:hAnsi="Arial Narrow" w:cs="Arial"/>
                <w:b/>
                <w:bCs/>
                <w:kern w:val="2"/>
                <w:lang w:eastAsia="en-AU"/>
                <w14:ligatures w14:val="standardContextual"/>
              </w:rPr>
              <w:t>Redacted</w:t>
            </w:r>
            <w:r w:rsidRPr="00011DA9">
              <w:rPr>
                <w:rFonts w:ascii="Arial Narrow" w:eastAsia="Calibri" w:hAnsi="Arial Narrow" w:cs="Arial"/>
                <w:b/>
                <w:kern w:val="2"/>
                <w:lang w:eastAsia="en-AU"/>
                <w14:ligatures w14:val="standardContextual"/>
              </w:rPr>
              <w:t>-year</w:t>
            </w:r>
            <w:r w:rsidRPr="0015305C">
              <w:rPr>
                <w:rFonts w:ascii="Arial Narrow" w:eastAsia="Calibri" w:hAnsi="Arial Narrow" w:cs="Arial"/>
                <w:b/>
                <w:kern w:val="2"/>
                <w:lang w:eastAsia="en-AU"/>
                <w14:ligatures w14:val="standardContextual"/>
              </w:rPr>
              <w:t xml:space="preserve"> time</w:t>
            </w:r>
            <w:r w:rsidRPr="00414A96">
              <w:rPr>
                <w:rFonts w:ascii="Arial Narrow" w:eastAsia="Calibri" w:hAnsi="Arial Narrow" w:cs="Arial"/>
                <w:b/>
                <w:kern w:val="2"/>
                <w:lang w:eastAsia="en-AU"/>
                <w14:ligatures w14:val="standardContextual"/>
              </w:rPr>
              <w:t xml:space="preserve"> horizon</w:t>
            </w:r>
            <w:r w:rsidRPr="00414A96">
              <w:rPr>
                <w:rFonts w:ascii="Arial Narrow" w:eastAsia="Calibri" w:hAnsi="Arial Narrow" w:cs="Arial"/>
                <w:b/>
                <w:kern w:val="2"/>
                <w:vertAlign w:val="superscript"/>
                <w:lang w:eastAsia="en-AU"/>
                <w14:ligatures w14:val="standardContextual"/>
              </w:rPr>
              <w:t>a</w:t>
            </w:r>
          </w:p>
        </w:tc>
      </w:tr>
      <w:tr w:rsidR="00221170" w:rsidRPr="005A6563" w14:paraId="16BA2355" w14:textId="77777777" w:rsidTr="006B5B78">
        <w:trPr>
          <w:trHeight w:val="145"/>
        </w:trPr>
        <w:tc>
          <w:tcPr>
            <w:tcW w:w="934" w:type="pct"/>
            <w:vMerge w:val="restart"/>
            <w:tcBorders>
              <w:top w:val="single" w:sz="4" w:space="0" w:color="auto"/>
              <w:left w:val="single" w:sz="4" w:space="0" w:color="auto"/>
              <w:right w:val="single" w:sz="4" w:space="0" w:color="auto"/>
            </w:tcBorders>
            <w:hideMark/>
          </w:tcPr>
          <w:p w14:paraId="16FBDAC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ICER ($/early diagnosis of severe MPS II)</w:t>
            </w:r>
          </w:p>
        </w:tc>
        <w:tc>
          <w:tcPr>
            <w:tcW w:w="1404" w:type="pct"/>
            <w:tcBorders>
              <w:top w:val="single" w:sz="4" w:space="0" w:color="auto"/>
              <w:left w:val="single" w:sz="4" w:space="0" w:color="auto"/>
              <w:bottom w:val="nil"/>
              <w:right w:val="single" w:sz="4" w:space="0" w:color="auto"/>
            </w:tcBorders>
            <w:hideMark/>
          </w:tcPr>
          <w:p w14:paraId="57042D26" w14:textId="4236E6CB"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Cost: </w:t>
            </w:r>
            <w:r w:rsidRPr="00011DA9">
              <w:rPr>
                <w:rFonts w:ascii="Arial Narrow" w:eastAsia="Calibri" w:hAnsi="Arial Narrow" w:cs="Arial"/>
                <w:kern w:val="2"/>
                <w:lang w:eastAsia="en-AU"/>
                <w14:ligatures w14:val="standardContextual"/>
              </w:rPr>
              <w:t>$</w:t>
            </w:r>
            <w:r w:rsidR="0015305C" w:rsidRPr="00011DA9">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p>
        </w:tc>
        <w:tc>
          <w:tcPr>
            <w:tcW w:w="1240" w:type="pct"/>
            <w:tcBorders>
              <w:top w:val="single" w:sz="4" w:space="0" w:color="auto"/>
              <w:left w:val="single" w:sz="4" w:space="0" w:color="auto"/>
              <w:bottom w:val="nil"/>
              <w:right w:val="single" w:sz="4" w:space="0" w:color="auto"/>
            </w:tcBorders>
            <w:hideMark/>
          </w:tcPr>
          <w:p w14:paraId="5645017D" w14:textId="4F40E112"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Cost: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tc>
        <w:tc>
          <w:tcPr>
            <w:tcW w:w="1422" w:type="pct"/>
            <w:tcBorders>
              <w:top w:val="single" w:sz="4" w:space="0" w:color="auto"/>
              <w:left w:val="single" w:sz="4" w:space="0" w:color="auto"/>
              <w:bottom w:val="nil"/>
              <w:right w:val="single" w:sz="4" w:space="0" w:color="auto"/>
            </w:tcBorders>
            <w:hideMark/>
          </w:tcPr>
          <w:p w14:paraId="30570DD3" w14:textId="07075BE4"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Increment: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tc>
      </w:tr>
      <w:tr w:rsidR="00221170" w:rsidRPr="005A6563" w14:paraId="5238E956" w14:textId="77777777" w:rsidTr="006B5B78">
        <w:trPr>
          <w:trHeight w:val="145"/>
        </w:trPr>
        <w:tc>
          <w:tcPr>
            <w:tcW w:w="934" w:type="pct"/>
            <w:vMerge/>
            <w:tcBorders>
              <w:left w:val="single" w:sz="4" w:space="0" w:color="auto"/>
              <w:right w:val="single" w:sz="4" w:space="0" w:color="auto"/>
            </w:tcBorders>
          </w:tcPr>
          <w:p w14:paraId="7DEA38E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04" w:type="pct"/>
            <w:tcBorders>
              <w:top w:val="nil"/>
              <w:left w:val="single" w:sz="4" w:space="0" w:color="auto"/>
              <w:bottom w:val="nil"/>
              <w:right w:val="single" w:sz="4" w:space="0" w:color="auto"/>
            </w:tcBorders>
          </w:tcPr>
          <w:p w14:paraId="1D954178"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Early severe MPS II diagnoses: 0.00000468</w:t>
            </w:r>
          </w:p>
        </w:tc>
        <w:tc>
          <w:tcPr>
            <w:tcW w:w="1240" w:type="pct"/>
            <w:tcBorders>
              <w:top w:val="nil"/>
              <w:left w:val="single" w:sz="4" w:space="0" w:color="auto"/>
              <w:bottom w:val="nil"/>
              <w:right w:val="single" w:sz="4" w:space="0" w:color="auto"/>
            </w:tcBorders>
          </w:tcPr>
          <w:p w14:paraId="01FD6CBE"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Early severe MPS II diagnoses: 0</w:t>
            </w:r>
          </w:p>
        </w:tc>
        <w:tc>
          <w:tcPr>
            <w:tcW w:w="1422" w:type="pct"/>
            <w:tcBorders>
              <w:top w:val="nil"/>
              <w:left w:val="single" w:sz="4" w:space="0" w:color="auto"/>
              <w:bottom w:val="nil"/>
              <w:right w:val="single" w:sz="4" w:space="0" w:color="auto"/>
            </w:tcBorders>
          </w:tcPr>
          <w:p w14:paraId="724167D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Increment: 0.00000468 (4.7 per million)</w:t>
            </w:r>
          </w:p>
        </w:tc>
      </w:tr>
      <w:tr w:rsidR="00221170" w:rsidRPr="005A6563" w14:paraId="3F52956B" w14:textId="77777777" w:rsidTr="006B5B78">
        <w:trPr>
          <w:trHeight w:val="145"/>
        </w:trPr>
        <w:tc>
          <w:tcPr>
            <w:tcW w:w="934" w:type="pct"/>
            <w:vMerge/>
            <w:tcBorders>
              <w:left w:val="single" w:sz="4" w:space="0" w:color="auto"/>
              <w:bottom w:val="single" w:sz="4" w:space="0" w:color="auto"/>
              <w:right w:val="single" w:sz="4" w:space="0" w:color="auto"/>
            </w:tcBorders>
          </w:tcPr>
          <w:p w14:paraId="6C5C775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04" w:type="pct"/>
            <w:tcBorders>
              <w:top w:val="nil"/>
              <w:left w:val="single" w:sz="4" w:space="0" w:color="auto"/>
              <w:bottom w:val="single" w:sz="4" w:space="0" w:color="auto"/>
              <w:right w:val="single" w:sz="4" w:space="0" w:color="auto"/>
            </w:tcBorders>
          </w:tcPr>
          <w:p w14:paraId="325BEC9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nil"/>
              <w:left w:val="single" w:sz="4" w:space="0" w:color="auto"/>
              <w:bottom w:val="single" w:sz="4" w:space="0" w:color="auto"/>
              <w:right w:val="single" w:sz="4" w:space="0" w:color="auto"/>
            </w:tcBorders>
          </w:tcPr>
          <w:p w14:paraId="0B8F897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nil"/>
              <w:left w:val="single" w:sz="4" w:space="0" w:color="auto"/>
              <w:bottom w:val="single" w:sz="4" w:space="0" w:color="auto"/>
              <w:right w:val="single" w:sz="4" w:space="0" w:color="auto"/>
            </w:tcBorders>
          </w:tcPr>
          <w:p w14:paraId="1C994757" w14:textId="4608F20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ICER: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tc>
      </w:tr>
      <w:tr w:rsidR="00221170" w:rsidRPr="005A6563" w14:paraId="255622CB" w14:textId="77777777" w:rsidTr="006B5B78">
        <w:trPr>
          <w:trHeight w:val="145"/>
        </w:trPr>
        <w:tc>
          <w:tcPr>
            <w:tcW w:w="934" w:type="pct"/>
            <w:tcBorders>
              <w:top w:val="single" w:sz="4" w:space="0" w:color="auto"/>
              <w:left w:val="single" w:sz="4" w:space="0" w:color="auto"/>
              <w:bottom w:val="single" w:sz="4" w:space="0" w:color="auto"/>
              <w:right w:val="single" w:sz="4" w:space="0" w:color="auto"/>
            </w:tcBorders>
            <w:hideMark/>
          </w:tcPr>
          <w:p w14:paraId="5E3B084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lastRenderedPageBreak/>
              <w:t xml:space="preserve">ICER ($/early diagnosis of </w:t>
            </w:r>
            <w:r>
              <w:rPr>
                <w:rFonts w:ascii="Arial Narrow" w:eastAsia="Calibri" w:hAnsi="Arial Narrow" w:cs="Arial"/>
                <w:kern w:val="2"/>
                <w:lang w:eastAsia="en-AU"/>
                <w14:ligatures w14:val="standardContextual"/>
              </w:rPr>
              <w:t xml:space="preserve">any subtype of </w:t>
            </w:r>
            <w:r w:rsidRPr="005A6563">
              <w:rPr>
                <w:rFonts w:ascii="Arial Narrow" w:eastAsia="Calibri" w:hAnsi="Arial Narrow" w:cs="Arial"/>
                <w:kern w:val="2"/>
                <w:lang w:eastAsia="en-AU"/>
                <w14:ligatures w14:val="standardContextual"/>
              </w:rPr>
              <w:t>MPS II)</w:t>
            </w:r>
          </w:p>
        </w:tc>
        <w:tc>
          <w:tcPr>
            <w:tcW w:w="1404" w:type="pct"/>
            <w:tcBorders>
              <w:top w:val="single" w:sz="4" w:space="0" w:color="auto"/>
              <w:left w:val="single" w:sz="4" w:space="0" w:color="auto"/>
              <w:bottom w:val="single" w:sz="4" w:space="0" w:color="auto"/>
              <w:right w:val="single" w:sz="4" w:space="0" w:color="auto"/>
            </w:tcBorders>
            <w:hideMark/>
          </w:tcPr>
          <w:p w14:paraId="19B986E7" w14:textId="1496ADB3"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Cost: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p w14:paraId="7D79101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Early </w:t>
            </w:r>
            <w:r>
              <w:rPr>
                <w:rFonts w:ascii="Arial Narrow" w:eastAsia="Calibri" w:hAnsi="Arial Narrow" w:cs="Arial"/>
                <w:kern w:val="2"/>
                <w:lang w:eastAsia="en-AU"/>
                <w14:ligatures w14:val="standardContextual"/>
              </w:rPr>
              <w:t xml:space="preserve">diagnoses of </w:t>
            </w:r>
            <w:r w:rsidRPr="005A6563">
              <w:rPr>
                <w:rFonts w:ascii="Arial Narrow" w:eastAsia="Calibri" w:hAnsi="Arial Narrow" w:cs="Arial"/>
                <w:kern w:val="2"/>
                <w:lang w:eastAsia="en-AU"/>
                <w14:ligatures w14:val="standardContextual"/>
              </w:rPr>
              <w:t xml:space="preserve">MPS II </w:t>
            </w:r>
            <w:r>
              <w:rPr>
                <w:rFonts w:ascii="Arial Narrow" w:eastAsia="Calibri" w:hAnsi="Arial Narrow" w:cs="Arial"/>
                <w:kern w:val="2"/>
                <w:lang w:eastAsia="en-AU"/>
                <w14:ligatures w14:val="standardContextual"/>
              </w:rPr>
              <w:t>(any subtype)</w:t>
            </w:r>
            <w:r w:rsidRPr="005A6563">
              <w:rPr>
                <w:rFonts w:ascii="Arial Narrow" w:eastAsia="Calibri" w:hAnsi="Arial Narrow" w:cs="Arial"/>
                <w:kern w:val="2"/>
                <w:lang w:eastAsia="en-AU"/>
                <w14:ligatures w14:val="standardContextual"/>
              </w:rPr>
              <w:t>: 0.</w:t>
            </w:r>
            <w:r w:rsidRPr="005A6563" w:rsidDel="00F034CE">
              <w:rPr>
                <w:rFonts w:ascii="Arial Narrow" w:eastAsia="Calibri" w:hAnsi="Arial Narrow" w:cs="Arial"/>
                <w:kern w:val="2"/>
                <w:lang w:eastAsia="en-AU"/>
                <w14:ligatures w14:val="standardContextual"/>
              </w:rPr>
              <w:t>00001420</w:t>
            </w:r>
          </w:p>
        </w:tc>
        <w:tc>
          <w:tcPr>
            <w:tcW w:w="1240" w:type="pct"/>
            <w:tcBorders>
              <w:top w:val="single" w:sz="4" w:space="0" w:color="auto"/>
              <w:left w:val="single" w:sz="4" w:space="0" w:color="auto"/>
              <w:bottom w:val="single" w:sz="4" w:space="0" w:color="auto"/>
              <w:right w:val="single" w:sz="4" w:space="0" w:color="auto"/>
            </w:tcBorders>
            <w:hideMark/>
          </w:tcPr>
          <w:p w14:paraId="286B9A86" w14:textId="739268DE" w:rsidR="00221170" w:rsidRDefault="00221170" w:rsidP="00316B37">
            <w:pPr>
              <w:spacing w:before="0" w:after="0" w:line="278" w:lineRule="auto"/>
              <w:rPr>
                <w:rFonts w:ascii="Arial Narrow" w:eastAsia="Calibri" w:hAnsi="Arial Narrow" w:cs="Arial"/>
                <w:kern w:val="2"/>
                <w:lang w:eastAsia="en-AU"/>
                <w14:ligatures w14:val="standardContextual"/>
              </w:rPr>
            </w:pPr>
            <w:r w:rsidRPr="009B7624">
              <w:rPr>
                <w:rFonts w:ascii="Arial Narrow" w:eastAsia="Calibri" w:hAnsi="Arial Narrow" w:cs="Arial"/>
                <w:kern w:val="2"/>
                <w:lang w:eastAsia="en-AU"/>
                <w14:ligatures w14:val="standardContextual"/>
              </w:rPr>
              <w:t xml:space="preserve">Cost: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p w14:paraId="4313E1DE"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Early </w:t>
            </w:r>
            <w:r>
              <w:rPr>
                <w:rFonts w:ascii="Arial Narrow" w:eastAsia="Calibri" w:hAnsi="Arial Narrow" w:cs="Arial"/>
                <w:kern w:val="2"/>
                <w:lang w:eastAsia="en-AU"/>
                <w14:ligatures w14:val="standardContextual"/>
              </w:rPr>
              <w:t xml:space="preserve">diagnoses of </w:t>
            </w:r>
            <w:r w:rsidRPr="005A6563">
              <w:rPr>
                <w:rFonts w:ascii="Arial Narrow" w:eastAsia="Calibri" w:hAnsi="Arial Narrow" w:cs="Arial"/>
                <w:kern w:val="2"/>
                <w:lang w:eastAsia="en-AU"/>
                <w14:ligatures w14:val="standardContextual"/>
              </w:rPr>
              <w:t xml:space="preserve">MPS II </w:t>
            </w:r>
            <w:r>
              <w:rPr>
                <w:rFonts w:ascii="Arial Narrow" w:eastAsia="Calibri" w:hAnsi="Arial Narrow" w:cs="Arial"/>
                <w:kern w:val="2"/>
                <w:lang w:eastAsia="en-AU"/>
                <w14:ligatures w14:val="standardContextual"/>
              </w:rPr>
              <w:t>(any subtype)</w:t>
            </w:r>
            <w:r w:rsidRPr="005A6563">
              <w:rPr>
                <w:rFonts w:ascii="Arial Narrow" w:eastAsia="Calibri" w:hAnsi="Arial Narrow" w:cs="Arial"/>
                <w:kern w:val="2"/>
                <w:lang w:eastAsia="en-AU"/>
                <w14:ligatures w14:val="standardContextual"/>
              </w:rPr>
              <w:t>: 0</w:t>
            </w:r>
          </w:p>
        </w:tc>
        <w:tc>
          <w:tcPr>
            <w:tcW w:w="1422" w:type="pct"/>
            <w:tcBorders>
              <w:top w:val="single" w:sz="4" w:space="0" w:color="auto"/>
              <w:left w:val="single" w:sz="4" w:space="0" w:color="auto"/>
              <w:bottom w:val="single" w:sz="4" w:space="0" w:color="auto"/>
              <w:right w:val="single" w:sz="4" w:space="0" w:color="auto"/>
            </w:tcBorders>
            <w:hideMark/>
          </w:tcPr>
          <w:p w14:paraId="6CCCDDA8" w14:textId="523EEA56"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Increment: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p w14:paraId="0A607856"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Increment: 0.00001420 (14.2 per million) </w:t>
            </w:r>
          </w:p>
          <w:p w14:paraId="31F529EC" w14:textId="61EA16F0"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sidDel="00F034CE">
              <w:rPr>
                <w:rFonts w:ascii="Arial Narrow" w:eastAsia="Calibri" w:hAnsi="Arial Narrow" w:cs="Arial"/>
                <w:kern w:val="2"/>
                <w:lang w:eastAsia="en-AU"/>
                <w14:ligatures w14:val="standardContextual"/>
              </w:rPr>
              <w:t xml:space="preserve">ICER: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tc>
      </w:tr>
      <w:tr w:rsidR="00221170" w:rsidRPr="005A6563" w14:paraId="2B0AD838" w14:textId="77777777" w:rsidTr="006B5B78">
        <w:trPr>
          <w:trHeight w:val="145"/>
        </w:trPr>
        <w:tc>
          <w:tcPr>
            <w:tcW w:w="5000" w:type="pct"/>
            <w:gridSpan w:val="4"/>
            <w:tcBorders>
              <w:top w:val="single" w:sz="4" w:space="0" w:color="auto"/>
              <w:left w:val="single" w:sz="4" w:space="0" w:color="auto"/>
              <w:bottom w:val="single" w:sz="4" w:space="0" w:color="auto"/>
              <w:right w:val="single" w:sz="4" w:space="0" w:color="auto"/>
            </w:tcBorders>
          </w:tcPr>
          <w:p w14:paraId="74819A56" w14:textId="77777777" w:rsidR="00221170" w:rsidRPr="00414A96" w:rsidRDefault="00221170" w:rsidP="00316B37">
            <w:pPr>
              <w:spacing w:before="0" w:after="0" w:line="278" w:lineRule="auto"/>
              <w:rPr>
                <w:rFonts w:ascii="Arial Narrow" w:eastAsia="Calibri" w:hAnsi="Arial Narrow" w:cs="Arial"/>
                <w:b/>
                <w:kern w:val="2"/>
                <w:lang w:eastAsia="en-AU"/>
                <w14:ligatures w14:val="standardContextual"/>
              </w:rPr>
            </w:pPr>
            <w:r w:rsidRPr="00414A96">
              <w:rPr>
                <w:rFonts w:ascii="Arial Narrow" w:eastAsia="Calibri" w:hAnsi="Arial Narrow" w:cs="Arial"/>
                <w:b/>
                <w:kern w:val="2"/>
                <w:lang w:eastAsia="en-AU"/>
                <w14:ligatures w14:val="standardContextual"/>
              </w:rPr>
              <w:t>Step 3 Exploratory model (per newborn screened), lifetime (100 years) time horizon</w:t>
            </w:r>
            <w:r w:rsidRPr="00414A96">
              <w:rPr>
                <w:rFonts w:ascii="Arial Narrow" w:eastAsia="Calibri" w:hAnsi="Arial Narrow" w:cs="Arial"/>
                <w:b/>
                <w:kern w:val="2"/>
                <w:vertAlign w:val="superscript"/>
                <w:lang w:eastAsia="en-AU"/>
                <w14:ligatures w14:val="standardContextual"/>
              </w:rPr>
              <w:t>b</w:t>
            </w:r>
            <w:r>
              <w:rPr>
                <w:rFonts w:ascii="Arial Narrow" w:eastAsia="Calibri" w:hAnsi="Arial Narrow" w:cs="Arial"/>
                <w:kern w:val="2"/>
                <w:lang w:eastAsia="en-AU"/>
                <w14:ligatures w14:val="standardContextual"/>
              </w:rPr>
              <w:t xml:space="preserve"> (exploratory costs included costs of NBS, confirmatory testing, treatment and monitoring)</w:t>
            </w:r>
          </w:p>
        </w:tc>
      </w:tr>
      <w:tr w:rsidR="00221170" w:rsidRPr="005A6563" w14:paraId="425968EF" w14:textId="77777777" w:rsidTr="006B5B78">
        <w:trPr>
          <w:trHeight w:val="145"/>
        </w:trPr>
        <w:tc>
          <w:tcPr>
            <w:tcW w:w="934" w:type="pct"/>
            <w:tcBorders>
              <w:top w:val="single" w:sz="4" w:space="0" w:color="auto"/>
              <w:left w:val="single" w:sz="4" w:space="0" w:color="auto"/>
              <w:bottom w:val="single" w:sz="4" w:space="0" w:color="auto"/>
              <w:right w:val="single" w:sz="4" w:space="0" w:color="auto"/>
            </w:tcBorders>
            <w:hideMark/>
          </w:tcPr>
          <w:p w14:paraId="5A15A34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ICER ($/QALY gained)</w:t>
            </w:r>
          </w:p>
        </w:tc>
        <w:tc>
          <w:tcPr>
            <w:tcW w:w="1404" w:type="pct"/>
            <w:tcBorders>
              <w:top w:val="single" w:sz="4" w:space="0" w:color="auto"/>
              <w:left w:val="single" w:sz="4" w:space="0" w:color="auto"/>
              <w:bottom w:val="single" w:sz="4" w:space="0" w:color="auto"/>
              <w:right w:val="single" w:sz="4" w:space="0" w:color="auto"/>
            </w:tcBorders>
            <w:hideMark/>
          </w:tcPr>
          <w:p w14:paraId="0B269B57" w14:textId="6C7ED684"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F81BB6">
              <w:rPr>
                <w:rFonts w:ascii="Arial Narrow" w:eastAsia="Calibri" w:hAnsi="Arial Narrow" w:cs="Arial"/>
                <w:kern w:val="2"/>
                <w:lang w:eastAsia="en-AU"/>
                <w14:ligatures w14:val="standardContextual"/>
              </w:rPr>
              <w:t xml:space="preserve">Cost: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p>
          <w:p w14:paraId="63220E54"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QALYs: 0.00003462 </w:t>
            </w:r>
            <w:r>
              <w:rPr>
                <w:rFonts w:ascii="Arial Narrow" w:eastAsia="Calibri" w:hAnsi="Arial Narrow" w:cs="Arial"/>
                <w:kern w:val="2"/>
                <w:lang w:eastAsia="en-AU"/>
                <w14:ligatures w14:val="standardContextual"/>
              </w:rPr>
              <w:t>(</w:t>
            </w:r>
            <w:r w:rsidRPr="005A6563">
              <w:rPr>
                <w:rFonts w:ascii="Arial Narrow" w:eastAsia="Calibri" w:hAnsi="Arial Narrow" w:cs="Arial"/>
                <w:kern w:val="2"/>
                <w:lang w:eastAsia="en-AU"/>
                <w14:ligatures w14:val="standardContextual"/>
              </w:rPr>
              <w:t>34.6 per million)</w:t>
            </w:r>
          </w:p>
          <w:p w14:paraId="2C8C8F6C" w14:textId="77777777" w:rsidR="00221170" w:rsidRPr="00046800" w:rsidRDefault="00221170" w:rsidP="00316B37">
            <w:pPr>
              <w:spacing w:before="0" w:after="0" w:line="278" w:lineRule="auto"/>
              <w:rPr>
                <w:rFonts w:ascii="Arial Narrow" w:eastAsia="Calibri" w:hAnsi="Arial Narrow" w:cs="Arial"/>
                <w:kern w:val="2"/>
                <w:lang w:eastAsia="en-AU"/>
                <w14:ligatures w14:val="standardContextual"/>
              </w:rPr>
            </w:pPr>
            <w:r w:rsidRPr="00046800">
              <w:rPr>
                <w:rFonts w:ascii="Arial Narrow" w:eastAsia="Calibri" w:hAnsi="Arial Narrow" w:cs="Arial"/>
                <w:kern w:val="2"/>
                <w:lang w:eastAsia="en-AU"/>
                <w14:ligatures w14:val="standardContextual"/>
              </w:rPr>
              <w:t>Intravenous ERT and monitoring started in first year of life.</w:t>
            </w:r>
          </w:p>
        </w:tc>
        <w:tc>
          <w:tcPr>
            <w:tcW w:w="1240" w:type="pct"/>
            <w:tcBorders>
              <w:top w:val="single" w:sz="4" w:space="0" w:color="auto"/>
              <w:left w:val="single" w:sz="4" w:space="0" w:color="auto"/>
              <w:bottom w:val="single" w:sz="4" w:space="0" w:color="auto"/>
              <w:right w:val="single" w:sz="4" w:space="0" w:color="auto"/>
            </w:tcBorders>
            <w:hideMark/>
          </w:tcPr>
          <w:p w14:paraId="36E9246E" w14:textId="38E81918" w:rsidR="0015305C"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Cost: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r w:rsidR="0015305C">
              <w:rPr>
                <w:rFonts w:ascii="Arial Narrow" w:eastAsia="Calibri" w:hAnsi="Arial Narrow" w:cs="Arial"/>
                <w:kern w:val="2"/>
                <w:lang w:eastAsia="en-AU"/>
                <w14:ligatures w14:val="standardContextual"/>
              </w:rPr>
              <w:t xml:space="preserve"> </w:t>
            </w:r>
          </w:p>
          <w:p w14:paraId="33884618" w14:textId="77777777"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QALYs: 0.00002832 (28.3 per million)</w:t>
            </w:r>
          </w:p>
          <w:p w14:paraId="0DF5DBEA" w14:textId="77777777" w:rsidR="00221170" w:rsidRPr="00046800" w:rsidRDefault="00221170" w:rsidP="00316B37">
            <w:pPr>
              <w:spacing w:before="0" w:after="0" w:line="278" w:lineRule="auto"/>
              <w:rPr>
                <w:rFonts w:ascii="Arial Narrow" w:eastAsia="Calibri" w:hAnsi="Arial Narrow" w:cs="Arial"/>
                <w:kern w:val="2"/>
                <w:lang w:eastAsia="en-AU"/>
                <w14:ligatures w14:val="standardContextual"/>
              </w:rPr>
            </w:pPr>
            <w:r w:rsidRPr="00046800">
              <w:rPr>
                <w:rFonts w:ascii="Arial Narrow" w:eastAsia="Calibri" w:hAnsi="Arial Narrow" w:cs="Arial"/>
                <w:kern w:val="2"/>
                <w:lang w:eastAsia="en-AU"/>
                <w14:ligatures w14:val="standardContextual"/>
              </w:rPr>
              <w:t>Intravenous ERT and monitoring started from year of diagnosis (aged 3 years).</w:t>
            </w:r>
          </w:p>
        </w:tc>
        <w:tc>
          <w:tcPr>
            <w:tcW w:w="1422" w:type="pct"/>
            <w:tcBorders>
              <w:top w:val="single" w:sz="4" w:space="0" w:color="auto"/>
              <w:left w:val="single" w:sz="4" w:space="0" w:color="auto"/>
              <w:bottom w:val="single" w:sz="4" w:space="0" w:color="auto"/>
              <w:right w:val="single" w:sz="4" w:space="0" w:color="auto"/>
            </w:tcBorders>
            <w:hideMark/>
          </w:tcPr>
          <w:p w14:paraId="63B61F6A" w14:textId="755B23EA" w:rsidR="0015305C"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Increment: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r w:rsidR="0015305C">
              <w:rPr>
                <w:rFonts w:ascii="Arial Narrow" w:eastAsia="Calibri" w:hAnsi="Arial Narrow" w:cs="Arial"/>
                <w:kern w:val="2"/>
                <w:lang w:eastAsia="en-AU"/>
                <w14:ligatures w14:val="standardContextual"/>
              </w:rPr>
              <w:t xml:space="preserve"> </w:t>
            </w:r>
          </w:p>
          <w:p w14:paraId="734ECAE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Increment: 0.00000630 (6.3 per million)</w:t>
            </w:r>
          </w:p>
          <w:p w14:paraId="30CBE9D3" w14:textId="291A69EB" w:rsidR="00221170"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 xml:space="preserve">ICER: </w:t>
            </w:r>
            <w:r w:rsidR="0015305C" w:rsidRPr="008D12FB">
              <w:rPr>
                <w:rFonts w:ascii="Arial Narrow" w:eastAsia="Calibri" w:hAnsi="Arial Narrow" w:cs="Arial"/>
                <w:kern w:val="2"/>
                <w:lang w:eastAsia="en-AU"/>
                <w14:ligatures w14:val="standardContextual"/>
              </w:rPr>
              <w:t>$</w:t>
            </w:r>
            <w:r w:rsidR="0015305C" w:rsidRPr="008D12FB">
              <w:rPr>
                <w:rFonts w:ascii="Arial Narrow" w:eastAsia="Calibri" w:hAnsi="Arial Narrow" w:cs="Arial"/>
                <w:b/>
                <w:bCs/>
                <w:kern w:val="2"/>
                <w:lang w:eastAsia="en-AU"/>
                <w14:ligatures w14:val="standardContextual"/>
              </w:rPr>
              <w:t>Redacted</w:t>
            </w:r>
            <w:r w:rsidR="0015305C">
              <w:rPr>
                <w:rFonts w:ascii="Arial Narrow" w:eastAsia="Calibri" w:hAnsi="Arial Narrow" w:cs="Arial"/>
                <w:kern w:val="2"/>
                <w:lang w:eastAsia="en-AU"/>
                <w14:ligatures w14:val="standardContextual"/>
              </w:rPr>
              <w:t xml:space="preserve"> </w:t>
            </w:r>
          </w:p>
          <w:p w14:paraId="19D603B8" w14:textId="77777777" w:rsidR="00221170" w:rsidRPr="00AE514A" w:rsidRDefault="00221170" w:rsidP="00316B37">
            <w:pPr>
              <w:spacing w:before="0" w:after="0" w:line="278" w:lineRule="auto"/>
              <w:rPr>
                <w:rFonts w:ascii="Arial Narrow" w:eastAsia="Calibri" w:hAnsi="Arial Narrow" w:cs="Arial"/>
                <w:kern w:val="2"/>
                <w:lang w:eastAsia="en-AU"/>
                <w14:ligatures w14:val="standardContextual"/>
              </w:rPr>
            </w:pPr>
            <w:r w:rsidRPr="00AE514A">
              <w:rPr>
                <w:rFonts w:ascii="Arial Narrow" w:eastAsia="Calibri" w:hAnsi="Arial Narrow" w:cs="Arial"/>
                <w:kern w:val="2"/>
                <w:lang w:eastAsia="en-AU"/>
                <w14:ligatures w14:val="standardContextual"/>
              </w:rPr>
              <w:t>Exploratory treatment costs included costs of intravenous weekly ERT and administration (assumed 100% compliance and no discontinuation of treatment while alive). Monitoring every 3 months</w:t>
            </w:r>
          </w:p>
        </w:tc>
      </w:tr>
      <w:tr w:rsidR="00221170" w:rsidRPr="005A6563" w14:paraId="0046146C" w14:textId="77777777" w:rsidTr="006B5B78">
        <w:trPr>
          <w:trHeight w:val="227"/>
        </w:trPr>
        <w:tc>
          <w:tcPr>
            <w:tcW w:w="934" w:type="pct"/>
            <w:tcBorders>
              <w:top w:val="single" w:sz="4" w:space="0" w:color="auto"/>
              <w:left w:val="single" w:sz="4" w:space="0" w:color="auto"/>
              <w:bottom w:val="single" w:sz="4" w:space="0" w:color="auto"/>
              <w:right w:val="nil"/>
            </w:tcBorders>
            <w:hideMark/>
          </w:tcPr>
          <w:p w14:paraId="7B1B706A" w14:textId="77777777" w:rsidR="00221170" w:rsidRPr="005A6563" w:rsidRDefault="00221170" w:rsidP="00316B37">
            <w:pPr>
              <w:spacing w:before="0" w:after="0" w:line="278" w:lineRule="auto"/>
              <w:rPr>
                <w:rFonts w:ascii="Arial Narrow" w:eastAsia="Calibri" w:hAnsi="Arial Narrow" w:cs="Arial"/>
                <w:b/>
                <w:bCs/>
                <w:kern w:val="2"/>
                <w:lang w:eastAsia="en-AU"/>
                <w14:ligatures w14:val="standardContextual"/>
              </w:rPr>
            </w:pPr>
            <w:r w:rsidRPr="005A6563">
              <w:rPr>
                <w:rFonts w:ascii="Arial Narrow" w:eastAsia="Calibri" w:hAnsi="Arial Narrow" w:cs="Arial"/>
                <w:b/>
                <w:bCs/>
                <w:kern w:val="2"/>
                <w:lang w:eastAsia="en-AU"/>
                <w14:ligatures w14:val="standardContextual"/>
              </w:rPr>
              <w:t>Utilisation – incident cases</w:t>
            </w:r>
          </w:p>
        </w:tc>
        <w:tc>
          <w:tcPr>
            <w:tcW w:w="1404" w:type="pct"/>
            <w:tcBorders>
              <w:top w:val="single" w:sz="4" w:space="0" w:color="auto"/>
              <w:left w:val="nil"/>
              <w:bottom w:val="single" w:sz="4" w:space="0" w:color="auto"/>
              <w:right w:val="nil"/>
            </w:tcBorders>
          </w:tcPr>
          <w:p w14:paraId="66B4794F"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240" w:type="pct"/>
            <w:tcBorders>
              <w:top w:val="single" w:sz="4" w:space="0" w:color="auto"/>
              <w:left w:val="nil"/>
              <w:bottom w:val="single" w:sz="4" w:space="0" w:color="auto"/>
              <w:right w:val="nil"/>
            </w:tcBorders>
          </w:tcPr>
          <w:p w14:paraId="349EADA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4677E2D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64E4694F" w14:textId="77777777" w:rsidTr="006B5B78">
        <w:trPr>
          <w:trHeight w:val="454"/>
        </w:trPr>
        <w:tc>
          <w:tcPr>
            <w:tcW w:w="934" w:type="pct"/>
            <w:tcBorders>
              <w:top w:val="single" w:sz="4" w:space="0" w:color="auto"/>
              <w:left w:val="single" w:sz="4" w:space="0" w:color="auto"/>
              <w:bottom w:val="single" w:sz="4" w:space="0" w:color="auto"/>
              <w:right w:val="single" w:sz="4" w:space="0" w:color="auto"/>
            </w:tcBorders>
            <w:hideMark/>
          </w:tcPr>
          <w:p w14:paraId="1B8A1D3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Number of MPS II affected cases diagnosed per year</w:t>
            </w:r>
          </w:p>
        </w:tc>
        <w:tc>
          <w:tcPr>
            <w:tcW w:w="1404" w:type="pct"/>
            <w:tcBorders>
              <w:top w:val="single" w:sz="4" w:space="0" w:color="auto"/>
              <w:left w:val="single" w:sz="4" w:space="0" w:color="auto"/>
              <w:bottom w:val="single" w:sz="4" w:space="0" w:color="auto"/>
              <w:right w:val="single" w:sz="4" w:space="0" w:color="auto"/>
            </w:tcBorders>
          </w:tcPr>
          <w:p w14:paraId="1C8ED638"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4.33 = 1.42/100,000</w:t>
            </w:r>
          </w:p>
          <w:p w14:paraId="2EBCD60C"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(which is less than 1/50,000)</w:t>
            </w:r>
          </w:p>
        </w:tc>
        <w:tc>
          <w:tcPr>
            <w:tcW w:w="1240" w:type="pct"/>
            <w:tcBorders>
              <w:top w:val="single" w:sz="4" w:space="0" w:color="auto"/>
              <w:left w:val="single" w:sz="4" w:space="0" w:color="auto"/>
              <w:bottom w:val="single" w:sz="4" w:space="0" w:color="auto"/>
              <w:right w:val="single" w:sz="4" w:space="0" w:color="auto"/>
            </w:tcBorders>
            <w:hideMark/>
          </w:tcPr>
          <w:p w14:paraId="1D6C4A93"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1.89 = 0.62/100,000</w:t>
            </w:r>
          </w:p>
        </w:tc>
        <w:tc>
          <w:tcPr>
            <w:tcW w:w="1422" w:type="pct"/>
            <w:tcBorders>
              <w:top w:val="single" w:sz="4" w:space="0" w:color="auto"/>
              <w:left w:val="single" w:sz="4" w:space="0" w:color="auto"/>
              <w:bottom w:val="single" w:sz="4" w:space="0" w:color="auto"/>
              <w:right w:val="single" w:sz="4" w:space="0" w:color="auto"/>
            </w:tcBorders>
          </w:tcPr>
          <w:p w14:paraId="5E75B66D"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44F1EE4"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29A8E340"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Proportion n</w:t>
            </w:r>
            <w:r w:rsidRPr="005A6563">
              <w:rPr>
                <w:rFonts w:ascii="Arial Narrow" w:eastAsia="Aptos" w:hAnsi="Arial Narrow"/>
                <w:kern w:val="2"/>
                <w14:ligatures w14:val="standardContextual"/>
              </w:rPr>
              <w:t>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w:t>
            </w:r>
          </w:p>
        </w:tc>
        <w:tc>
          <w:tcPr>
            <w:tcW w:w="1404" w:type="pct"/>
            <w:tcBorders>
              <w:top w:val="single" w:sz="4" w:space="0" w:color="auto"/>
              <w:left w:val="single" w:sz="4" w:space="0" w:color="auto"/>
              <w:bottom w:val="single" w:sz="4" w:space="0" w:color="auto"/>
              <w:right w:val="single" w:sz="4" w:space="0" w:color="auto"/>
            </w:tcBorders>
          </w:tcPr>
          <w:p w14:paraId="4F22E923" w14:textId="77777777" w:rsidR="00221170" w:rsidRPr="005A6563" w:rsidRDefault="00221170" w:rsidP="00316B37">
            <w:pPr>
              <w:spacing w:before="0" w:after="0" w:line="278" w:lineRule="auto"/>
              <w:jc w:val="center"/>
              <w:rPr>
                <w:rFonts w:ascii="Arial Narrow" w:eastAsia="Calibri" w:hAnsi="Arial Narrow" w:cs="Arial"/>
                <w:kern w:val="2"/>
                <w:highlight w:val="green"/>
                <w:lang w:eastAsia="en-AU"/>
                <w14:ligatures w14:val="standardContextual"/>
              </w:rPr>
            </w:pPr>
            <w:r w:rsidRPr="005A6563">
              <w:rPr>
                <w:rFonts w:ascii="Arial Narrow" w:eastAsia="Calibri" w:hAnsi="Arial Narrow" w:cs="Arial"/>
                <w:kern w:val="2"/>
                <w:lang w:eastAsia="en-AU"/>
                <w14:ligatures w14:val="standardContextual"/>
              </w:rPr>
              <w:t>33%</w:t>
            </w:r>
          </w:p>
        </w:tc>
        <w:tc>
          <w:tcPr>
            <w:tcW w:w="1240" w:type="pct"/>
            <w:tcBorders>
              <w:top w:val="single" w:sz="4" w:space="0" w:color="auto"/>
              <w:left w:val="single" w:sz="4" w:space="0" w:color="auto"/>
              <w:bottom w:val="single" w:sz="4" w:space="0" w:color="auto"/>
              <w:right w:val="single" w:sz="4" w:space="0" w:color="auto"/>
            </w:tcBorders>
            <w:hideMark/>
          </w:tcPr>
          <w:p w14:paraId="0956CA38"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75%</w:t>
            </w:r>
          </w:p>
        </w:tc>
        <w:tc>
          <w:tcPr>
            <w:tcW w:w="1422" w:type="pct"/>
            <w:tcBorders>
              <w:top w:val="single" w:sz="4" w:space="0" w:color="auto"/>
              <w:left w:val="single" w:sz="4" w:space="0" w:color="auto"/>
              <w:bottom w:val="single" w:sz="4" w:space="0" w:color="auto"/>
              <w:right w:val="single" w:sz="4" w:space="0" w:color="auto"/>
            </w:tcBorders>
          </w:tcPr>
          <w:p w14:paraId="61988C6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74E5B40E"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5A60D1A4"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Proportion n</w:t>
            </w:r>
            <w:r w:rsidRPr="005A6563">
              <w:rPr>
                <w:rFonts w:ascii="Arial Narrow" w:eastAsia="Aptos" w:hAnsi="Arial Narrow"/>
                <w:kern w:val="2"/>
                <w14:ligatures w14:val="standardContextual"/>
              </w:rPr>
              <w:t>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w:t>
            </w:r>
          </w:p>
        </w:tc>
        <w:tc>
          <w:tcPr>
            <w:tcW w:w="1404" w:type="pct"/>
            <w:tcBorders>
              <w:top w:val="single" w:sz="4" w:space="0" w:color="auto"/>
              <w:left w:val="single" w:sz="4" w:space="0" w:color="auto"/>
              <w:bottom w:val="single" w:sz="4" w:space="0" w:color="auto"/>
              <w:right w:val="single" w:sz="4" w:space="0" w:color="auto"/>
            </w:tcBorders>
          </w:tcPr>
          <w:p w14:paraId="4F575EFD" w14:textId="77777777" w:rsidR="00221170" w:rsidRPr="005A6563" w:rsidRDefault="00221170" w:rsidP="00316B37">
            <w:pPr>
              <w:spacing w:before="0" w:after="0" w:line="278" w:lineRule="auto"/>
              <w:jc w:val="center"/>
              <w:rPr>
                <w:rFonts w:ascii="Arial Narrow" w:eastAsia="Calibri" w:hAnsi="Arial Narrow" w:cs="Arial"/>
                <w:kern w:val="2"/>
                <w:highlight w:val="green"/>
                <w:lang w:eastAsia="en-AU"/>
                <w14:ligatures w14:val="standardContextual"/>
              </w:rPr>
            </w:pPr>
            <w:r w:rsidRPr="005A6563">
              <w:rPr>
                <w:rFonts w:ascii="Arial Narrow" w:eastAsia="Calibri" w:hAnsi="Arial Narrow" w:cs="Arial"/>
                <w:kern w:val="2"/>
                <w:lang w:eastAsia="en-AU"/>
                <w14:ligatures w14:val="standardContextual"/>
              </w:rPr>
              <w:t>11%</w:t>
            </w:r>
          </w:p>
        </w:tc>
        <w:tc>
          <w:tcPr>
            <w:tcW w:w="1240" w:type="pct"/>
            <w:tcBorders>
              <w:top w:val="single" w:sz="4" w:space="0" w:color="auto"/>
              <w:left w:val="single" w:sz="4" w:space="0" w:color="auto"/>
              <w:bottom w:val="single" w:sz="4" w:space="0" w:color="auto"/>
              <w:right w:val="single" w:sz="4" w:space="0" w:color="auto"/>
            </w:tcBorders>
            <w:hideMark/>
          </w:tcPr>
          <w:p w14:paraId="65E3E4A7"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25%</w:t>
            </w:r>
          </w:p>
        </w:tc>
        <w:tc>
          <w:tcPr>
            <w:tcW w:w="1422" w:type="pct"/>
            <w:tcBorders>
              <w:top w:val="single" w:sz="4" w:space="0" w:color="auto"/>
              <w:left w:val="single" w:sz="4" w:space="0" w:color="auto"/>
              <w:bottom w:val="single" w:sz="4" w:space="0" w:color="auto"/>
              <w:right w:val="single" w:sz="4" w:space="0" w:color="auto"/>
            </w:tcBorders>
          </w:tcPr>
          <w:p w14:paraId="72C7C53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4487D2F5"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2B397EA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Proportion “very attenuated”</w:t>
            </w:r>
          </w:p>
        </w:tc>
        <w:tc>
          <w:tcPr>
            <w:tcW w:w="1404" w:type="pct"/>
            <w:tcBorders>
              <w:top w:val="single" w:sz="4" w:space="0" w:color="auto"/>
              <w:left w:val="single" w:sz="4" w:space="0" w:color="auto"/>
              <w:bottom w:val="single" w:sz="4" w:space="0" w:color="auto"/>
              <w:right w:val="single" w:sz="4" w:space="0" w:color="auto"/>
            </w:tcBorders>
          </w:tcPr>
          <w:p w14:paraId="57BC0F4D" w14:textId="77777777" w:rsidR="00221170" w:rsidRPr="005A6563" w:rsidRDefault="00221170" w:rsidP="00316B37">
            <w:pPr>
              <w:spacing w:before="0" w:after="0" w:line="278" w:lineRule="auto"/>
              <w:jc w:val="center"/>
              <w:rPr>
                <w:rFonts w:ascii="Arial Narrow" w:eastAsia="Calibri" w:hAnsi="Arial Narrow" w:cs="Arial"/>
                <w:kern w:val="2"/>
                <w:highlight w:val="green"/>
                <w:lang w:eastAsia="en-AU"/>
                <w14:ligatures w14:val="standardContextual"/>
              </w:rPr>
            </w:pPr>
            <w:r w:rsidRPr="005A6563">
              <w:rPr>
                <w:rFonts w:ascii="Arial Narrow" w:eastAsia="Calibri" w:hAnsi="Arial Narrow" w:cs="Arial"/>
                <w:kern w:val="2"/>
                <w:lang w:eastAsia="en-AU"/>
                <w14:ligatures w14:val="standardContextual"/>
              </w:rPr>
              <w:t>56%</w:t>
            </w:r>
          </w:p>
        </w:tc>
        <w:tc>
          <w:tcPr>
            <w:tcW w:w="1240" w:type="pct"/>
            <w:tcBorders>
              <w:top w:val="single" w:sz="4" w:space="0" w:color="auto"/>
              <w:left w:val="single" w:sz="4" w:space="0" w:color="auto"/>
              <w:bottom w:val="single" w:sz="4" w:space="0" w:color="auto"/>
              <w:right w:val="single" w:sz="4" w:space="0" w:color="auto"/>
            </w:tcBorders>
          </w:tcPr>
          <w:p w14:paraId="64A3DFE0"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7DD08B9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6A5566E6"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29B4D659"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Number with n</w:t>
            </w:r>
            <w:r w:rsidRPr="005A6563">
              <w:rPr>
                <w:rFonts w:ascii="Arial Narrow" w:eastAsia="Aptos" w:hAnsi="Arial Narrow"/>
                <w:kern w:val="2"/>
                <w14:ligatures w14:val="standardContextual"/>
              </w:rPr>
              <w:t>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(severe) MPS II</w:t>
            </w:r>
          </w:p>
        </w:tc>
        <w:tc>
          <w:tcPr>
            <w:tcW w:w="1404" w:type="pct"/>
            <w:tcBorders>
              <w:top w:val="single" w:sz="4" w:space="0" w:color="auto"/>
              <w:left w:val="single" w:sz="4" w:space="0" w:color="auto"/>
              <w:bottom w:val="single" w:sz="4" w:space="0" w:color="auto"/>
              <w:right w:val="single" w:sz="4" w:space="0" w:color="auto"/>
            </w:tcBorders>
            <w:hideMark/>
          </w:tcPr>
          <w:p w14:paraId="198FE9E7"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1.43</w:t>
            </w:r>
          </w:p>
        </w:tc>
        <w:tc>
          <w:tcPr>
            <w:tcW w:w="1240" w:type="pct"/>
            <w:tcBorders>
              <w:top w:val="single" w:sz="4" w:space="0" w:color="auto"/>
              <w:left w:val="single" w:sz="4" w:space="0" w:color="auto"/>
              <w:bottom w:val="single" w:sz="4" w:space="0" w:color="auto"/>
              <w:right w:val="single" w:sz="4" w:space="0" w:color="auto"/>
            </w:tcBorders>
            <w:hideMark/>
          </w:tcPr>
          <w:p w14:paraId="410D0707"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1.42</w:t>
            </w:r>
          </w:p>
        </w:tc>
        <w:tc>
          <w:tcPr>
            <w:tcW w:w="1422" w:type="pct"/>
            <w:tcBorders>
              <w:top w:val="single" w:sz="4" w:space="0" w:color="auto"/>
              <w:left w:val="single" w:sz="4" w:space="0" w:color="auto"/>
              <w:bottom w:val="single" w:sz="4" w:space="0" w:color="auto"/>
              <w:right w:val="single" w:sz="4" w:space="0" w:color="auto"/>
            </w:tcBorders>
          </w:tcPr>
          <w:p w14:paraId="2BD375A8"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2721839F"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hideMark/>
          </w:tcPr>
          <w:p w14:paraId="6959809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Number with n</w:t>
            </w:r>
            <w:r w:rsidRPr="005A6563">
              <w:rPr>
                <w:rFonts w:ascii="Arial Narrow" w:eastAsia="Aptos" w:hAnsi="Arial Narrow"/>
                <w:kern w:val="2"/>
                <w14:ligatures w14:val="standardContextual"/>
              </w:rPr>
              <w:t>on-neuro</w:t>
            </w:r>
            <w:r>
              <w:rPr>
                <w:rFonts w:ascii="Arial Narrow" w:eastAsia="Aptos" w:hAnsi="Arial Narrow"/>
                <w:kern w:val="2"/>
                <w14:ligatures w14:val="standardContextual"/>
              </w:rPr>
              <w:t>no</w:t>
            </w:r>
            <w:r w:rsidRPr="005A6563">
              <w:rPr>
                <w:rFonts w:ascii="Arial Narrow" w:eastAsia="Aptos" w:hAnsi="Arial Narrow"/>
                <w:kern w:val="2"/>
                <w14:ligatures w14:val="standardContextual"/>
              </w:rPr>
              <w:t>pathic (later onset, attenuated) MPS II</w:t>
            </w:r>
          </w:p>
        </w:tc>
        <w:tc>
          <w:tcPr>
            <w:tcW w:w="1404" w:type="pct"/>
            <w:tcBorders>
              <w:top w:val="single" w:sz="4" w:space="0" w:color="auto"/>
              <w:left w:val="single" w:sz="4" w:space="0" w:color="auto"/>
              <w:bottom w:val="single" w:sz="4" w:space="0" w:color="auto"/>
              <w:right w:val="single" w:sz="4" w:space="0" w:color="auto"/>
            </w:tcBorders>
            <w:hideMark/>
          </w:tcPr>
          <w:p w14:paraId="29A6DE13"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0.47</w:t>
            </w:r>
          </w:p>
        </w:tc>
        <w:tc>
          <w:tcPr>
            <w:tcW w:w="1240" w:type="pct"/>
            <w:tcBorders>
              <w:top w:val="single" w:sz="4" w:space="0" w:color="auto"/>
              <w:left w:val="single" w:sz="4" w:space="0" w:color="auto"/>
              <w:bottom w:val="single" w:sz="4" w:space="0" w:color="auto"/>
              <w:right w:val="single" w:sz="4" w:space="0" w:color="auto"/>
            </w:tcBorders>
            <w:hideMark/>
          </w:tcPr>
          <w:p w14:paraId="01A241BE"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0.47</w:t>
            </w:r>
          </w:p>
        </w:tc>
        <w:tc>
          <w:tcPr>
            <w:tcW w:w="1422" w:type="pct"/>
            <w:tcBorders>
              <w:top w:val="single" w:sz="4" w:space="0" w:color="auto"/>
              <w:left w:val="single" w:sz="4" w:space="0" w:color="auto"/>
              <w:bottom w:val="single" w:sz="4" w:space="0" w:color="auto"/>
              <w:right w:val="single" w:sz="4" w:space="0" w:color="auto"/>
            </w:tcBorders>
          </w:tcPr>
          <w:p w14:paraId="48C0CA6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54F86F0E" w14:textId="77777777" w:rsidTr="006B5B78">
        <w:trPr>
          <w:trHeight w:val="227"/>
        </w:trPr>
        <w:tc>
          <w:tcPr>
            <w:tcW w:w="934" w:type="pct"/>
            <w:tcBorders>
              <w:top w:val="single" w:sz="4" w:space="0" w:color="auto"/>
              <w:left w:val="single" w:sz="4" w:space="0" w:color="auto"/>
              <w:bottom w:val="single" w:sz="4" w:space="0" w:color="auto"/>
              <w:right w:val="single" w:sz="4" w:space="0" w:color="auto"/>
            </w:tcBorders>
          </w:tcPr>
          <w:p w14:paraId="4BC3448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Number with “very attenuated”</w:t>
            </w:r>
            <w:r w:rsidRPr="005A6563">
              <w:rPr>
                <w:rFonts w:ascii="Arial Narrow" w:eastAsia="Aptos" w:hAnsi="Arial Narrow"/>
                <w:kern w:val="2"/>
                <w14:ligatures w14:val="standardContextual"/>
              </w:rPr>
              <w:t xml:space="preserve"> MPS II</w:t>
            </w:r>
          </w:p>
        </w:tc>
        <w:tc>
          <w:tcPr>
            <w:tcW w:w="1404" w:type="pct"/>
            <w:tcBorders>
              <w:top w:val="single" w:sz="4" w:space="0" w:color="auto"/>
              <w:left w:val="single" w:sz="4" w:space="0" w:color="auto"/>
              <w:bottom w:val="single" w:sz="4" w:space="0" w:color="auto"/>
              <w:right w:val="single" w:sz="4" w:space="0" w:color="auto"/>
            </w:tcBorders>
          </w:tcPr>
          <w:p w14:paraId="1D28B9C0"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2.42</w:t>
            </w:r>
          </w:p>
        </w:tc>
        <w:tc>
          <w:tcPr>
            <w:tcW w:w="1240" w:type="pct"/>
            <w:tcBorders>
              <w:top w:val="single" w:sz="4" w:space="0" w:color="auto"/>
              <w:left w:val="single" w:sz="4" w:space="0" w:color="auto"/>
              <w:bottom w:val="single" w:sz="4" w:space="0" w:color="auto"/>
              <w:right w:val="single" w:sz="4" w:space="0" w:color="auto"/>
            </w:tcBorders>
          </w:tcPr>
          <w:p w14:paraId="3E6AB1E6" w14:textId="77777777" w:rsidR="00221170" w:rsidRPr="005A6563" w:rsidRDefault="00221170" w:rsidP="00316B37">
            <w:pPr>
              <w:spacing w:before="0" w:after="0" w:line="278" w:lineRule="auto"/>
              <w:jc w:val="center"/>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0</w:t>
            </w:r>
          </w:p>
        </w:tc>
        <w:tc>
          <w:tcPr>
            <w:tcW w:w="1422" w:type="pct"/>
            <w:tcBorders>
              <w:top w:val="single" w:sz="4" w:space="0" w:color="auto"/>
              <w:left w:val="single" w:sz="4" w:space="0" w:color="auto"/>
              <w:bottom w:val="single" w:sz="4" w:space="0" w:color="auto"/>
              <w:right w:val="single" w:sz="4" w:space="0" w:color="auto"/>
            </w:tcBorders>
          </w:tcPr>
          <w:p w14:paraId="1E379268"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p>
        </w:tc>
      </w:tr>
      <w:tr w:rsidR="00221170" w:rsidRPr="005A6563" w14:paraId="3CE7F37B" w14:textId="77777777" w:rsidTr="006B5B78">
        <w:trPr>
          <w:trHeight w:val="242"/>
        </w:trPr>
        <w:tc>
          <w:tcPr>
            <w:tcW w:w="2338" w:type="pct"/>
            <w:gridSpan w:val="2"/>
            <w:tcBorders>
              <w:top w:val="single" w:sz="4" w:space="0" w:color="auto"/>
              <w:left w:val="single" w:sz="4" w:space="0" w:color="auto"/>
              <w:bottom w:val="single" w:sz="4" w:space="0" w:color="auto"/>
              <w:right w:val="nil"/>
            </w:tcBorders>
            <w:hideMark/>
          </w:tcPr>
          <w:p w14:paraId="59C94CAB" w14:textId="77777777" w:rsidR="00221170" w:rsidRPr="005A6563" w:rsidRDefault="00221170" w:rsidP="00316B37">
            <w:pPr>
              <w:spacing w:before="0" w:after="0" w:line="278" w:lineRule="auto"/>
              <w:rPr>
                <w:rFonts w:ascii="Arial Narrow" w:eastAsia="Calibri" w:hAnsi="Arial Narrow" w:cs="Calibri"/>
                <w:kern w:val="2"/>
                <w:lang w:eastAsia="en-AU"/>
                <w14:ligatures w14:val="standardContextual"/>
              </w:rPr>
            </w:pPr>
            <w:r w:rsidRPr="005A6563">
              <w:rPr>
                <w:rFonts w:ascii="Arial Narrow" w:eastAsia="Calibri" w:hAnsi="Arial Narrow" w:cs="Arial"/>
                <w:b/>
                <w:bCs/>
                <w:kern w:val="2"/>
                <w:lang w:eastAsia="en-AU"/>
                <w14:ligatures w14:val="standardContextual"/>
              </w:rPr>
              <w:t>6) Financial estimates for each budget holder?</w:t>
            </w:r>
          </w:p>
        </w:tc>
        <w:tc>
          <w:tcPr>
            <w:tcW w:w="1240" w:type="pct"/>
            <w:tcBorders>
              <w:top w:val="single" w:sz="4" w:space="0" w:color="auto"/>
              <w:left w:val="nil"/>
              <w:bottom w:val="single" w:sz="4" w:space="0" w:color="auto"/>
              <w:right w:val="nil"/>
            </w:tcBorders>
          </w:tcPr>
          <w:p w14:paraId="1A8F1B22" w14:textId="77777777" w:rsidR="00221170" w:rsidRPr="005A6563" w:rsidRDefault="00221170" w:rsidP="00316B37">
            <w:pPr>
              <w:spacing w:before="0" w:after="0" w:line="278" w:lineRule="auto"/>
              <w:rPr>
                <w:rFonts w:ascii="Arial Narrow" w:eastAsia="Calibri" w:hAnsi="Arial Narrow" w:cs="Calibri"/>
                <w:kern w:val="2"/>
                <w:lang w:eastAsia="en-AU"/>
                <w14:ligatures w14:val="standardContextual"/>
              </w:rPr>
            </w:pPr>
          </w:p>
        </w:tc>
        <w:tc>
          <w:tcPr>
            <w:tcW w:w="1422" w:type="pct"/>
            <w:tcBorders>
              <w:top w:val="single" w:sz="4" w:space="0" w:color="auto"/>
              <w:left w:val="nil"/>
              <w:bottom w:val="single" w:sz="4" w:space="0" w:color="auto"/>
              <w:right w:val="single" w:sz="4" w:space="0" w:color="auto"/>
            </w:tcBorders>
          </w:tcPr>
          <w:p w14:paraId="7F10A71D" w14:textId="77777777" w:rsidR="00221170" w:rsidRPr="005A6563" w:rsidRDefault="00221170" w:rsidP="00316B37">
            <w:pPr>
              <w:spacing w:before="0" w:after="0" w:line="278" w:lineRule="auto"/>
              <w:rPr>
                <w:rFonts w:ascii="Arial Narrow" w:eastAsia="Aptos" w:hAnsi="Arial Narrow"/>
                <w:kern w:val="2"/>
                <w:lang w:eastAsia="en-AU"/>
                <w14:ligatures w14:val="standardContextual"/>
              </w:rPr>
            </w:pPr>
          </w:p>
        </w:tc>
      </w:tr>
      <w:tr w:rsidR="00221170" w:rsidRPr="005A6563" w14:paraId="58F20EE3"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hideMark/>
          </w:tcPr>
          <w:p w14:paraId="2974778C"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Program implementation costs</w:t>
            </w:r>
          </w:p>
        </w:tc>
        <w:tc>
          <w:tcPr>
            <w:tcW w:w="1404" w:type="pct"/>
            <w:tcBorders>
              <w:top w:val="single" w:sz="4" w:space="0" w:color="auto"/>
              <w:left w:val="single" w:sz="4" w:space="0" w:color="auto"/>
              <w:bottom w:val="single" w:sz="4" w:space="0" w:color="auto"/>
              <w:right w:val="single" w:sz="4" w:space="0" w:color="auto"/>
            </w:tcBorders>
            <w:hideMark/>
          </w:tcPr>
          <w:p w14:paraId="741B02BC" w14:textId="398C3037" w:rsidR="00221170" w:rsidRPr="005A6563" w:rsidRDefault="0015305C" w:rsidP="00316B37">
            <w:pPr>
              <w:spacing w:before="0" w:after="0" w:line="278" w:lineRule="auto"/>
              <w:rPr>
                <w:rFonts w:ascii="Arial Narrow" w:eastAsia="Calibri" w:hAnsi="Arial Narrow" w:cs="Calibri"/>
                <w:kern w:val="2"/>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(Year 1)</w:t>
            </w:r>
          </w:p>
        </w:tc>
        <w:tc>
          <w:tcPr>
            <w:tcW w:w="1240" w:type="pct"/>
            <w:tcBorders>
              <w:top w:val="single" w:sz="4" w:space="0" w:color="auto"/>
              <w:left w:val="single" w:sz="4" w:space="0" w:color="auto"/>
              <w:bottom w:val="single" w:sz="4" w:space="0" w:color="auto"/>
              <w:right w:val="single" w:sz="4" w:space="0" w:color="auto"/>
            </w:tcBorders>
          </w:tcPr>
          <w:p w14:paraId="4B44CE12" w14:textId="77777777" w:rsidR="00221170" w:rsidRPr="005A6563" w:rsidRDefault="00221170" w:rsidP="00316B37">
            <w:pPr>
              <w:spacing w:before="0" w:after="0" w:line="278" w:lineRule="auto"/>
              <w:rPr>
                <w:rFonts w:ascii="Arial Narrow" w:eastAsia="Aptos" w:hAnsi="Arial Narrow"/>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29A27869" w14:textId="0E51BC8A" w:rsidR="00221170" w:rsidRPr="005A6563" w:rsidRDefault="0015305C" w:rsidP="00316B37">
            <w:pPr>
              <w:spacing w:before="0" w:after="0" w:line="278" w:lineRule="auto"/>
              <w:rPr>
                <w:rFonts w:ascii="Arial Narrow" w:eastAsia="Calibri" w:hAnsi="Arial Narrow" w:cs="Arial"/>
                <w:kern w:val="2"/>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(Year 1)</w:t>
            </w:r>
          </w:p>
        </w:tc>
      </w:tr>
      <w:tr w:rsidR="00221170" w:rsidRPr="005A6563" w14:paraId="6EDA00FF" w14:textId="77777777" w:rsidTr="006B5B78">
        <w:trPr>
          <w:trHeight w:val="242"/>
        </w:trPr>
        <w:tc>
          <w:tcPr>
            <w:tcW w:w="934" w:type="pct"/>
            <w:tcBorders>
              <w:top w:val="single" w:sz="4" w:space="0" w:color="auto"/>
              <w:left w:val="single" w:sz="4" w:space="0" w:color="auto"/>
              <w:bottom w:val="single" w:sz="4" w:space="0" w:color="auto"/>
              <w:right w:val="single" w:sz="4" w:space="0" w:color="auto"/>
            </w:tcBorders>
            <w:hideMark/>
          </w:tcPr>
          <w:p w14:paraId="593203E3"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Total cost to the NBS</w:t>
            </w:r>
          </w:p>
        </w:tc>
        <w:tc>
          <w:tcPr>
            <w:tcW w:w="1404" w:type="pct"/>
            <w:tcBorders>
              <w:top w:val="single" w:sz="4" w:space="0" w:color="auto"/>
              <w:left w:val="single" w:sz="4" w:space="0" w:color="auto"/>
              <w:bottom w:val="single" w:sz="4" w:space="0" w:color="auto"/>
              <w:right w:val="single" w:sz="4" w:space="0" w:color="auto"/>
            </w:tcBorders>
            <w:hideMark/>
          </w:tcPr>
          <w:p w14:paraId="6ECC0B1B" w14:textId="5B97B0CA" w:rsidR="00221170" w:rsidRPr="005A6563" w:rsidRDefault="0015305C" w:rsidP="00316B37">
            <w:pPr>
              <w:spacing w:before="0" w:after="0" w:line="278" w:lineRule="auto"/>
              <w:rPr>
                <w:rFonts w:ascii="Arial Narrow" w:eastAsia="Calibri" w:hAnsi="Arial Narrow" w:cs="Calibri"/>
                <w:kern w:val="2"/>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 xml:space="preserve">(Year 1) to </w:t>
            </w: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(Year 6)</w:t>
            </w:r>
          </w:p>
        </w:tc>
        <w:tc>
          <w:tcPr>
            <w:tcW w:w="1240" w:type="pct"/>
            <w:tcBorders>
              <w:top w:val="single" w:sz="4" w:space="0" w:color="auto"/>
              <w:left w:val="single" w:sz="4" w:space="0" w:color="auto"/>
              <w:bottom w:val="single" w:sz="4" w:space="0" w:color="auto"/>
              <w:right w:val="single" w:sz="4" w:space="0" w:color="auto"/>
            </w:tcBorders>
            <w:hideMark/>
          </w:tcPr>
          <w:p w14:paraId="24D2FD60" w14:textId="77777777" w:rsidR="00221170" w:rsidRPr="005A6563" w:rsidRDefault="00221170" w:rsidP="00316B37">
            <w:pPr>
              <w:spacing w:before="0" w:after="0" w:line="278" w:lineRule="auto"/>
              <w:rPr>
                <w:rFonts w:ascii="Arial Narrow" w:eastAsia="Calibri" w:hAnsi="Arial Narrow" w:cs="Calibri"/>
                <w:kern w:val="2"/>
                <w:lang w:eastAsia="en-AU"/>
                <w14:ligatures w14:val="standardContextual"/>
              </w:rPr>
            </w:pPr>
            <w:r w:rsidRPr="005A6563">
              <w:rPr>
                <w:rFonts w:ascii="Arial Narrow" w:eastAsia="Calibri" w:hAnsi="Arial Narrow" w:cs="Calibri"/>
                <w:kern w:val="2"/>
                <w:lang w:eastAsia="en-AU"/>
                <w14:ligatures w14:val="standardContextual"/>
              </w:rPr>
              <w:t>–</w:t>
            </w:r>
          </w:p>
        </w:tc>
        <w:tc>
          <w:tcPr>
            <w:tcW w:w="1422" w:type="pct"/>
            <w:tcBorders>
              <w:top w:val="single" w:sz="4" w:space="0" w:color="auto"/>
              <w:left w:val="single" w:sz="4" w:space="0" w:color="auto"/>
              <w:bottom w:val="single" w:sz="4" w:space="0" w:color="auto"/>
              <w:right w:val="single" w:sz="4" w:space="0" w:color="auto"/>
            </w:tcBorders>
          </w:tcPr>
          <w:p w14:paraId="4D4F1B60" w14:textId="7337728D" w:rsidR="00221170" w:rsidRPr="005A6563" w:rsidRDefault="0015305C" w:rsidP="00316B37">
            <w:pPr>
              <w:spacing w:before="0" w:after="0" w:line="278" w:lineRule="auto"/>
              <w:rPr>
                <w:rFonts w:ascii="Arial Narrow" w:eastAsia="Aptos" w:hAnsi="Arial Narrow"/>
                <w:kern w:val="2"/>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 xml:space="preserve">(Year 1) to </w:t>
            </w: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(Year 6)</w:t>
            </w:r>
          </w:p>
        </w:tc>
      </w:tr>
      <w:tr w:rsidR="00221170" w:rsidRPr="005A6563" w14:paraId="1D622202" w14:textId="77777777" w:rsidTr="006B5B78">
        <w:trPr>
          <w:trHeight w:val="231"/>
        </w:trPr>
        <w:tc>
          <w:tcPr>
            <w:tcW w:w="934" w:type="pct"/>
            <w:tcBorders>
              <w:top w:val="single" w:sz="4" w:space="0" w:color="auto"/>
              <w:left w:val="single" w:sz="4" w:space="0" w:color="auto"/>
              <w:bottom w:val="single" w:sz="4" w:space="0" w:color="auto"/>
              <w:right w:val="single" w:sz="4" w:space="0" w:color="auto"/>
            </w:tcBorders>
            <w:hideMark/>
          </w:tcPr>
          <w:p w14:paraId="3C652FA5"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Cost to States and Territories</w:t>
            </w:r>
          </w:p>
        </w:tc>
        <w:tc>
          <w:tcPr>
            <w:tcW w:w="1404" w:type="pct"/>
            <w:tcBorders>
              <w:top w:val="single" w:sz="4" w:space="0" w:color="auto"/>
              <w:left w:val="single" w:sz="4" w:space="0" w:color="auto"/>
              <w:bottom w:val="single" w:sz="4" w:space="0" w:color="auto"/>
              <w:right w:val="single" w:sz="4" w:space="0" w:color="auto"/>
            </w:tcBorders>
          </w:tcPr>
          <w:p w14:paraId="10E1B445"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3DCD810D" w14:textId="77777777" w:rsidR="00221170" w:rsidRPr="005A6563" w:rsidRDefault="00221170" w:rsidP="00316B37">
            <w:pPr>
              <w:spacing w:before="0" w:after="0" w:line="278" w:lineRule="auto"/>
              <w:rPr>
                <w:rFonts w:ascii="Arial Narrow" w:eastAsia="Calibri" w:hAnsi="Arial Narrow" w:cs="Calibri"/>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hideMark/>
          </w:tcPr>
          <w:p w14:paraId="0FDC9C3A" w14:textId="09D6A1B0" w:rsidR="00221170" w:rsidRPr="005A6563" w:rsidRDefault="0015305C" w:rsidP="00316B37">
            <w:pPr>
              <w:spacing w:before="0" w:after="0" w:line="278" w:lineRule="auto"/>
              <w:rPr>
                <w:rFonts w:ascii="Arial Narrow" w:eastAsia="Aptos" w:hAnsi="Arial Narrow"/>
                <w:kern w:val="2"/>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 xml:space="preserve">(Year 1) to </w:t>
            </w: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5A6563">
              <w:rPr>
                <w:rFonts w:ascii="Arial Narrow" w:eastAsia="Calibri" w:hAnsi="Arial Narrow" w:cs="Calibri"/>
                <w:color w:val="000000"/>
                <w:kern w:val="2"/>
                <w:lang w:eastAsia="en-AU"/>
                <w14:ligatures w14:val="standardContextual"/>
              </w:rPr>
              <w:t>(Year 6)</w:t>
            </w:r>
          </w:p>
        </w:tc>
      </w:tr>
      <w:tr w:rsidR="00221170" w:rsidRPr="005A6563" w14:paraId="4586FBD1" w14:textId="77777777" w:rsidTr="006B5B78">
        <w:trPr>
          <w:trHeight w:val="231"/>
        </w:trPr>
        <w:tc>
          <w:tcPr>
            <w:tcW w:w="934" w:type="pct"/>
            <w:tcBorders>
              <w:top w:val="single" w:sz="4" w:space="0" w:color="auto"/>
              <w:left w:val="single" w:sz="4" w:space="0" w:color="auto"/>
              <w:bottom w:val="single" w:sz="4" w:space="0" w:color="auto"/>
              <w:right w:val="single" w:sz="4" w:space="0" w:color="auto"/>
            </w:tcBorders>
          </w:tcPr>
          <w:p w14:paraId="58BF5E66"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Cost to the MBS (Commonwealth)</w:t>
            </w:r>
          </w:p>
        </w:tc>
        <w:tc>
          <w:tcPr>
            <w:tcW w:w="1404" w:type="pct"/>
            <w:tcBorders>
              <w:top w:val="single" w:sz="4" w:space="0" w:color="auto"/>
              <w:left w:val="single" w:sz="4" w:space="0" w:color="auto"/>
              <w:bottom w:val="single" w:sz="4" w:space="0" w:color="auto"/>
              <w:right w:val="single" w:sz="4" w:space="0" w:color="auto"/>
            </w:tcBorders>
          </w:tcPr>
          <w:p w14:paraId="40954752"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39DDED94"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11F029F9"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r w:rsidRPr="005A6563">
              <w:rPr>
                <w:rFonts w:ascii="Arial Narrow" w:eastAsia="Calibri" w:hAnsi="Arial Narrow" w:cs="Calibri"/>
                <w:color w:val="000000"/>
                <w:kern w:val="2"/>
                <w:lang w:eastAsia="en-AU"/>
                <w14:ligatures w14:val="standardContextual"/>
              </w:rPr>
              <w:t>$0.05</w:t>
            </w:r>
            <w:r>
              <w:rPr>
                <w:rFonts w:ascii="Arial Narrow" w:eastAsia="Calibri" w:hAnsi="Arial Narrow" w:cs="Calibri"/>
                <w:color w:val="000000"/>
                <w:kern w:val="2"/>
                <w:lang w:eastAsia="en-AU"/>
                <w14:ligatures w14:val="standardContextual"/>
              </w:rPr>
              <w:t xml:space="preserve"> </w:t>
            </w:r>
            <w:r w:rsidRPr="005A6563">
              <w:rPr>
                <w:rFonts w:ascii="Arial Narrow" w:eastAsia="Calibri" w:hAnsi="Arial Narrow" w:cs="Calibri"/>
                <w:color w:val="000000"/>
                <w:kern w:val="2"/>
                <w:lang w:eastAsia="en-AU"/>
                <w14:ligatures w14:val="standardContextual"/>
              </w:rPr>
              <w:t>m</w:t>
            </w:r>
            <w:r>
              <w:rPr>
                <w:rFonts w:ascii="Arial Narrow" w:eastAsia="Calibri" w:hAnsi="Arial Narrow" w:cs="Calibri"/>
                <w:color w:val="000000"/>
                <w:kern w:val="2"/>
                <w:lang w:eastAsia="en-AU"/>
                <w14:ligatures w14:val="standardContextual"/>
              </w:rPr>
              <w:t>illion</w:t>
            </w:r>
            <w:r w:rsidRPr="005A6563">
              <w:rPr>
                <w:rFonts w:ascii="Arial Narrow" w:eastAsia="Calibri" w:hAnsi="Arial Narrow" w:cs="Calibri"/>
                <w:color w:val="000000"/>
                <w:kern w:val="2"/>
                <w:lang w:eastAsia="en-AU"/>
                <w14:ligatures w14:val="standardContextual"/>
              </w:rPr>
              <w:t xml:space="preserve"> (Year 1) to $0.17 m</w:t>
            </w:r>
            <w:r>
              <w:rPr>
                <w:rFonts w:ascii="Arial Narrow" w:eastAsia="Calibri" w:hAnsi="Arial Narrow" w:cs="Calibri"/>
                <w:color w:val="000000"/>
                <w:kern w:val="2"/>
                <w:lang w:eastAsia="en-AU"/>
                <w14:ligatures w14:val="standardContextual"/>
              </w:rPr>
              <w:t>illion</w:t>
            </w:r>
            <w:r w:rsidRPr="005A6563">
              <w:rPr>
                <w:rFonts w:ascii="Arial Narrow" w:eastAsia="Calibri" w:hAnsi="Arial Narrow" w:cs="Calibri"/>
                <w:color w:val="000000"/>
                <w:kern w:val="2"/>
                <w:lang w:eastAsia="en-AU"/>
                <w14:ligatures w14:val="standardContextual"/>
              </w:rPr>
              <w:t xml:space="preserve"> (Year 6)</w:t>
            </w:r>
          </w:p>
        </w:tc>
      </w:tr>
      <w:tr w:rsidR="00221170" w:rsidRPr="005A6563" w14:paraId="146CFAB1" w14:textId="77777777" w:rsidTr="006B5B78">
        <w:trPr>
          <w:trHeight w:val="225"/>
        </w:trPr>
        <w:tc>
          <w:tcPr>
            <w:tcW w:w="934" w:type="pct"/>
            <w:tcBorders>
              <w:top w:val="single" w:sz="4" w:space="0" w:color="auto"/>
              <w:left w:val="single" w:sz="4" w:space="0" w:color="auto"/>
              <w:bottom w:val="single" w:sz="4" w:space="0" w:color="auto"/>
              <w:right w:val="single" w:sz="4" w:space="0" w:color="auto"/>
            </w:tcBorders>
            <w:hideMark/>
          </w:tcPr>
          <w:p w14:paraId="667749E7"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t>Cost to the LSDP (Commonwealth)</w:t>
            </w:r>
          </w:p>
        </w:tc>
        <w:tc>
          <w:tcPr>
            <w:tcW w:w="1404" w:type="pct"/>
            <w:tcBorders>
              <w:top w:val="single" w:sz="4" w:space="0" w:color="auto"/>
              <w:left w:val="single" w:sz="4" w:space="0" w:color="auto"/>
              <w:bottom w:val="single" w:sz="4" w:space="0" w:color="auto"/>
              <w:right w:val="single" w:sz="4" w:space="0" w:color="auto"/>
            </w:tcBorders>
          </w:tcPr>
          <w:p w14:paraId="095B1FFA"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07E6735E" w14:textId="77777777" w:rsidR="00221170" w:rsidRPr="005A6563" w:rsidRDefault="00221170" w:rsidP="00316B37">
            <w:pPr>
              <w:spacing w:before="0" w:after="0" w:line="278" w:lineRule="auto"/>
              <w:rPr>
                <w:rFonts w:ascii="Arial Narrow" w:eastAsia="Calibri" w:hAnsi="Arial Narrow" w:cs="Calibri"/>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hideMark/>
          </w:tcPr>
          <w:p w14:paraId="2EE4A3CF" w14:textId="10CA37F8" w:rsidR="00221170" w:rsidRPr="00414A96" w:rsidRDefault="0015305C" w:rsidP="00316B37">
            <w:pPr>
              <w:spacing w:before="0" w:after="0" w:line="278" w:lineRule="auto"/>
              <w:rPr>
                <w:rFonts w:ascii="Arial Narrow" w:eastAsia="Aptos" w:hAnsi="Arial Narrow"/>
                <w:kern w:val="2"/>
                <w:highlight w:val="yellow"/>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00221170" w:rsidRPr="00011DA9">
              <w:rPr>
                <w:rFonts w:ascii="Arial Narrow" w:eastAsia="Calibri" w:hAnsi="Arial Narrow" w:cs="Calibri"/>
                <w:color w:val="000000"/>
                <w:kern w:val="2"/>
                <w:lang w:eastAsia="en-AU"/>
                <w14:ligatures w14:val="standardContextual"/>
              </w:rPr>
              <w:t xml:space="preserve">(Year 1) to </w:t>
            </w:r>
            <w:r w:rsidRPr="0015305C">
              <w:rPr>
                <w:rFonts w:ascii="Arial Narrow" w:eastAsia="Calibri" w:hAnsi="Arial Narrow" w:cs="Arial"/>
                <w:kern w:val="2"/>
                <w:lang w:eastAsia="en-AU"/>
                <w14:ligatures w14:val="standardContextual"/>
              </w:rPr>
              <w:t>$</w:t>
            </w:r>
            <w:r w:rsidRPr="0015305C">
              <w:rPr>
                <w:rFonts w:ascii="Arial Narrow" w:eastAsia="Calibri" w:hAnsi="Arial Narrow" w:cs="Arial"/>
                <w:b/>
                <w:bCs/>
                <w:kern w:val="2"/>
                <w:lang w:eastAsia="en-AU"/>
                <w14:ligatures w14:val="standardContextual"/>
              </w:rPr>
              <w:t>Redacted</w:t>
            </w:r>
            <w:r w:rsidRPr="0015305C">
              <w:rPr>
                <w:rFonts w:ascii="Arial Narrow" w:eastAsia="Calibri" w:hAnsi="Arial Narrow" w:cs="Arial"/>
                <w:kern w:val="2"/>
                <w:lang w:eastAsia="en-AU"/>
                <w14:ligatures w14:val="standardContextual"/>
              </w:rPr>
              <w:t xml:space="preserve"> </w:t>
            </w:r>
            <w:r w:rsidR="00221170" w:rsidRPr="00011DA9">
              <w:rPr>
                <w:rFonts w:ascii="Arial Narrow" w:eastAsia="Calibri" w:hAnsi="Arial Narrow" w:cs="Calibri"/>
                <w:color w:val="000000"/>
                <w:kern w:val="2"/>
                <w:lang w:eastAsia="en-AU"/>
                <w14:ligatures w14:val="standardContextual"/>
              </w:rPr>
              <w:t>(Year 6)</w:t>
            </w:r>
          </w:p>
        </w:tc>
      </w:tr>
      <w:tr w:rsidR="00221170" w:rsidRPr="005A6563" w14:paraId="2D874F6A" w14:textId="77777777" w:rsidTr="006B5B78">
        <w:trPr>
          <w:trHeight w:val="225"/>
        </w:trPr>
        <w:tc>
          <w:tcPr>
            <w:tcW w:w="934" w:type="pct"/>
            <w:tcBorders>
              <w:top w:val="single" w:sz="4" w:space="0" w:color="auto"/>
              <w:left w:val="single" w:sz="4" w:space="0" w:color="auto"/>
              <w:bottom w:val="single" w:sz="4" w:space="0" w:color="auto"/>
              <w:right w:val="single" w:sz="4" w:space="0" w:color="auto"/>
            </w:tcBorders>
          </w:tcPr>
          <w:p w14:paraId="33DA1E82" w14:textId="77777777" w:rsidR="00221170" w:rsidRPr="005A6563" w:rsidRDefault="00221170" w:rsidP="00316B37">
            <w:pPr>
              <w:spacing w:before="0" w:after="0" w:line="278" w:lineRule="auto"/>
              <w:rPr>
                <w:rFonts w:ascii="Arial Narrow" w:eastAsia="Calibri" w:hAnsi="Arial Narrow" w:cs="Arial"/>
                <w:kern w:val="2"/>
                <w:lang w:eastAsia="en-AU"/>
                <w14:ligatures w14:val="standardContextual"/>
              </w:rPr>
            </w:pPr>
            <w:r w:rsidRPr="005A6563">
              <w:rPr>
                <w:rFonts w:ascii="Arial Narrow" w:eastAsia="Calibri" w:hAnsi="Arial Narrow" w:cs="Arial"/>
                <w:kern w:val="2"/>
                <w:lang w:eastAsia="en-AU"/>
                <w14:ligatures w14:val="standardContextual"/>
              </w:rPr>
              <w:lastRenderedPageBreak/>
              <w:t>Cost to government health budgets</w:t>
            </w:r>
          </w:p>
        </w:tc>
        <w:tc>
          <w:tcPr>
            <w:tcW w:w="1404" w:type="pct"/>
            <w:tcBorders>
              <w:top w:val="single" w:sz="4" w:space="0" w:color="auto"/>
              <w:left w:val="single" w:sz="4" w:space="0" w:color="auto"/>
              <w:bottom w:val="single" w:sz="4" w:space="0" w:color="auto"/>
              <w:right w:val="single" w:sz="4" w:space="0" w:color="auto"/>
            </w:tcBorders>
          </w:tcPr>
          <w:p w14:paraId="51D142A2"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240" w:type="pct"/>
            <w:tcBorders>
              <w:top w:val="single" w:sz="4" w:space="0" w:color="auto"/>
              <w:left w:val="single" w:sz="4" w:space="0" w:color="auto"/>
              <w:bottom w:val="single" w:sz="4" w:space="0" w:color="auto"/>
              <w:right w:val="single" w:sz="4" w:space="0" w:color="auto"/>
            </w:tcBorders>
          </w:tcPr>
          <w:p w14:paraId="63F61FC9" w14:textId="77777777" w:rsidR="00221170" w:rsidRPr="005A6563" w:rsidRDefault="00221170" w:rsidP="00316B37">
            <w:pPr>
              <w:spacing w:before="0" w:after="0" w:line="278" w:lineRule="auto"/>
              <w:rPr>
                <w:rFonts w:ascii="Arial Narrow" w:eastAsia="Calibri" w:hAnsi="Arial Narrow" w:cs="Calibri"/>
                <w:color w:val="000000"/>
                <w:kern w:val="2"/>
                <w:lang w:eastAsia="en-AU"/>
                <w14:ligatures w14:val="standardContextual"/>
              </w:rPr>
            </w:pPr>
          </w:p>
        </w:tc>
        <w:tc>
          <w:tcPr>
            <w:tcW w:w="1422" w:type="pct"/>
            <w:tcBorders>
              <w:top w:val="single" w:sz="4" w:space="0" w:color="auto"/>
              <w:left w:val="single" w:sz="4" w:space="0" w:color="auto"/>
              <w:bottom w:val="single" w:sz="4" w:space="0" w:color="auto"/>
              <w:right w:val="single" w:sz="4" w:space="0" w:color="auto"/>
            </w:tcBorders>
          </w:tcPr>
          <w:p w14:paraId="742E412D" w14:textId="38D1E8D4" w:rsidR="00221170" w:rsidRPr="00414A96" w:rsidRDefault="0015305C" w:rsidP="00316B37">
            <w:pPr>
              <w:spacing w:before="0" w:after="0" w:line="278" w:lineRule="auto"/>
              <w:rPr>
                <w:rFonts w:ascii="Arial Narrow" w:eastAsia="Calibri" w:hAnsi="Arial Narrow" w:cs="Calibri"/>
                <w:color w:val="000000"/>
                <w:kern w:val="2"/>
                <w:highlight w:val="yellow"/>
                <w:lang w:eastAsia="en-AU"/>
                <w14:ligatures w14:val="standardContextual"/>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Redacted</w:t>
            </w:r>
            <w:r>
              <w:rPr>
                <w:rFonts w:ascii="Arial Narrow" w:eastAsia="Calibri" w:hAnsi="Arial Narrow" w:cs="Arial"/>
                <w:kern w:val="2"/>
                <w:lang w:eastAsia="en-AU"/>
                <w14:ligatures w14:val="standardContextual"/>
              </w:rPr>
              <w:t xml:space="preserve"> </w:t>
            </w:r>
            <w:r w:rsidRPr="008D12FB">
              <w:rPr>
                <w:rFonts w:ascii="Arial Narrow" w:eastAsia="Calibri" w:hAnsi="Arial Narrow" w:cs="Calibri"/>
                <w:color w:val="000000"/>
                <w:kern w:val="2"/>
                <w:lang w:eastAsia="en-AU"/>
                <w14:ligatures w14:val="standardContextual"/>
              </w:rPr>
              <w:t xml:space="preserve">(Year 1) to </w:t>
            </w:r>
            <w:r w:rsidRPr="0015305C">
              <w:rPr>
                <w:rFonts w:ascii="Arial Narrow" w:eastAsia="Calibri" w:hAnsi="Arial Narrow" w:cs="Arial"/>
                <w:kern w:val="2"/>
                <w:lang w:eastAsia="en-AU"/>
                <w14:ligatures w14:val="standardContextual"/>
              </w:rPr>
              <w:t>$</w:t>
            </w:r>
            <w:r w:rsidRPr="0015305C">
              <w:rPr>
                <w:rFonts w:ascii="Arial Narrow" w:eastAsia="Calibri" w:hAnsi="Arial Narrow" w:cs="Arial"/>
                <w:b/>
                <w:bCs/>
                <w:kern w:val="2"/>
                <w:lang w:eastAsia="en-AU"/>
                <w14:ligatures w14:val="standardContextual"/>
              </w:rPr>
              <w:t>Redacted</w:t>
            </w:r>
            <w:r w:rsidRPr="0015305C">
              <w:rPr>
                <w:rFonts w:ascii="Arial Narrow" w:eastAsia="Calibri" w:hAnsi="Arial Narrow" w:cs="Arial"/>
                <w:kern w:val="2"/>
                <w:lang w:eastAsia="en-AU"/>
                <w14:ligatures w14:val="standardContextual"/>
              </w:rPr>
              <w:t xml:space="preserve"> </w:t>
            </w:r>
            <w:r w:rsidRPr="008D12FB">
              <w:rPr>
                <w:rFonts w:ascii="Arial Narrow" w:eastAsia="Calibri" w:hAnsi="Arial Narrow" w:cs="Calibri"/>
                <w:color w:val="000000"/>
                <w:kern w:val="2"/>
                <w:lang w:eastAsia="en-AU"/>
                <w14:ligatures w14:val="standardContextual"/>
              </w:rPr>
              <w:t>(Year 6)</w:t>
            </w:r>
          </w:p>
        </w:tc>
      </w:tr>
    </w:tbl>
    <w:p w14:paraId="3AFE56EC" w14:textId="77777777" w:rsidR="00221170" w:rsidRPr="006441DC" w:rsidRDefault="00221170" w:rsidP="003758C4">
      <w:pPr>
        <w:pStyle w:val="TableFigureFooter"/>
        <w:rPr>
          <w:rFonts w:eastAsia="Calibri"/>
          <w:i/>
          <w:szCs w:val="18"/>
        </w:rPr>
      </w:pPr>
      <w:bookmarkStart w:id="68" w:name="_Ref180574665"/>
      <w:r w:rsidRPr="006441DC">
        <w:rPr>
          <w:rFonts w:eastAsia="Calibri"/>
        </w:rPr>
        <w:t xml:space="preserve">Source: Compiled by </w:t>
      </w:r>
      <w:r>
        <w:rPr>
          <w:rFonts w:eastAsia="Calibri"/>
          <w:i/>
          <w:iCs/>
          <w:szCs w:val="18"/>
        </w:rPr>
        <w:t xml:space="preserve">ESC with the assistance of </w:t>
      </w:r>
      <w:r w:rsidRPr="006441DC">
        <w:rPr>
          <w:rFonts w:eastAsia="Calibri"/>
          <w:i/>
          <w:szCs w:val="18"/>
        </w:rPr>
        <w:t xml:space="preserve">the department </w:t>
      </w:r>
      <w:r>
        <w:rPr>
          <w:rFonts w:eastAsia="Calibri"/>
          <w:i/>
          <w:iCs/>
          <w:szCs w:val="18"/>
        </w:rPr>
        <w:t xml:space="preserve">based on </w:t>
      </w:r>
      <w:r w:rsidRPr="006441DC">
        <w:rPr>
          <w:rFonts w:eastAsia="Calibri"/>
          <w:i/>
          <w:szCs w:val="18"/>
        </w:rPr>
        <w:t>the 1776 Department</w:t>
      </w:r>
      <w:r>
        <w:rPr>
          <w:rFonts w:eastAsia="Calibri"/>
          <w:i/>
          <w:iCs/>
          <w:szCs w:val="18"/>
        </w:rPr>
        <w:t>-</w:t>
      </w:r>
      <w:r w:rsidRPr="006441DC">
        <w:rPr>
          <w:rFonts w:eastAsia="Calibri"/>
          <w:i/>
          <w:szCs w:val="18"/>
        </w:rPr>
        <w:t>Contracted Assessment Report</w:t>
      </w:r>
      <w:r>
        <w:rPr>
          <w:rFonts w:eastAsia="Calibri"/>
          <w:i/>
          <w:iCs/>
          <w:szCs w:val="18"/>
        </w:rPr>
        <w:t>.</w:t>
      </w:r>
    </w:p>
    <w:bookmarkEnd w:id="68"/>
    <w:p w14:paraId="4A59652A" w14:textId="5000A4CC" w:rsidR="00221170" w:rsidRPr="00975F8B" w:rsidRDefault="00221170" w:rsidP="003758C4">
      <w:pPr>
        <w:pStyle w:val="TableFigureFooter"/>
        <w:rPr>
          <w:rFonts w:eastAsia="Calibri"/>
          <w:szCs w:val="18"/>
        </w:rPr>
      </w:pPr>
      <w:r w:rsidRPr="00975F8B">
        <w:rPr>
          <w:rFonts w:eastAsia="Calibri"/>
          <w:vertAlign w:val="superscript"/>
        </w:rPr>
        <w:t>a</w:t>
      </w:r>
      <w:r w:rsidRPr="00975F8B">
        <w:rPr>
          <w:rFonts w:eastAsia="Calibri"/>
          <w:szCs w:val="18"/>
        </w:rPr>
        <w:t xml:space="preserve"> The NBS arm includes costs for expanding NBS to include MPS II for all newborns, confirmatory and monitoring costs for MPS II cases and treatment costs for severe MPS II cases. The no NBS arm includes costs for diagnostic </w:t>
      </w:r>
      <w:r w:rsidR="007104CE">
        <w:rPr>
          <w:rFonts w:eastAsia="Calibri"/>
          <w:szCs w:val="18"/>
        </w:rPr>
        <w:t>delay</w:t>
      </w:r>
      <w:r w:rsidRPr="00975F8B">
        <w:rPr>
          <w:rFonts w:eastAsia="Calibri"/>
          <w:szCs w:val="18"/>
        </w:rPr>
        <w:t>, confirmatory diagnosis and monitoring costs (once diagnosed) for MPS II cases and treatment costs (once diagnosed) for severe MPS II cases.</w:t>
      </w:r>
    </w:p>
    <w:p w14:paraId="628AD665" w14:textId="77777777" w:rsidR="00221170" w:rsidRPr="00975F8B" w:rsidRDefault="00221170" w:rsidP="003758C4">
      <w:pPr>
        <w:pStyle w:val="TableFigureFooter"/>
        <w:rPr>
          <w:rFonts w:eastAsia="Calibri"/>
          <w:szCs w:val="18"/>
        </w:rPr>
      </w:pPr>
      <w:r w:rsidRPr="00975F8B">
        <w:rPr>
          <w:rFonts w:eastAsia="Calibri"/>
          <w:vertAlign w:val="superscript"/>
        </w:rPr>
        <w:t>b</w:t>
      </w:r>
      <w:r w:rsidRPr="00975F8B">
        <w:rPr>
          <w:rFonts w:eastAsia="Calibri"/>
          <w:szCs w:val="18"/>
        </w:rPr>
        <w:t xml:space="preserve"> Both arms include treatment and monitoring costs for severe disease cases until death. The NBS arm also includes monitoring costs for “very attenuated” patients until death. The no NBS arm does not include any costs for any “very attenuated” disease cases because they are not identified throughout their lifetime.</w:t>
      </w:r>
    </w:p>
    <w:p w14:paraId="27A7C311" w14:textId="72E118D4" w:rsidR="00221170" w:rsidRDefault="00221170" w:rsidP="003758C4">
      <w:pPr>
        <w:pStyle w:val="TableFigureFooter"/>
        <w:rPr>
          <w:rFonts w:eastAsia="Calibri"/>
          <w:szCs w:val="18"/>
        </w:rPr>
      </w:pPr>
      <w:r w:rsidRPr="00975F8B">
        <w:rPr>
          <w:rFonts w:eastAsia="Calibri"/>
        </w:rPr>
        <w:t xml:space="preserve">Abbreviations: </w:t>
      </w:r>
      <w:r>
        <w:rPr>
          <w:rFonts w:eastAsia="Calibri"/>
          <w:szCs w:val="18"/>
        </w:rPr>
        <w:t xml:space="preserve">DBS = dried blood spot; </w:t>
      </w:r>
      <w:r w:rsidRPr="00975F8B">
        <w:rPr>
          <w:rFonts w:eastAsia="Calibri"/>
          <w:szCs w:val="18"/>
        </w:rPr>
        <w:t xml:space="preserve">ERT= enzyme replacement therapy; GAG = glycosaminoglycans; </w:t>
      </w:r>
      <w:r>
        <w:rPr>
          <w:rFonts w:eastAsia="Calibri"/>
          <w:szCs w:val="18"/>
        </w:rPr>
        <w:t>HSCT = haematopoietic stem cell transplant;</w:t>
      </w:r>
      <w:r w:rsidRPr="00975F8B">
        <w:rPr>
          <w:rFonts w:eastAsia="Calibri"/>
          <w:szCs w:val="18"/>
        </w:rPr>
        <w:t xml:space="preserve"> ICER= incremental cost-effectiveness ratio; </w:t>
      </w:r>
      <w:r>
        <w:rPr>
          <w:rFonts w:eastAsia="Calibri"/>
          <w:szCs w:val="18"/>
        </w:rPr>
        <w:t xml:space="preserve">LSD =  Lysosome Storage Disorder; </w:t>
      </w:r>
      <w:r w:rsidRPr="00975F8B">
        <w:rPr>
          <w:rFonts w:eastAsia="Calibri"/>
          <w:szCs w:val="18"/>
        </w:rPr>
        <w:t xml:space="preserve">LSDP= Life Saving Drugs Program; m = month(s); MBS = Medicare Benefits Schedule; MPS II = mucopolysaccharidosis Type II; </w:t>
      </w:r>
      <w:r>
        <w:rPr>
          <w:rFonts w:eastAsia="Calibri"/>
          <w:szCs w:val="18"/>
        </w:rPr>
        <w:t xml:space="preserve">NATA = </w:t>
      </w:r>
      <w:r w:rsidRPr="00F242A3">
        <w:rPr>
          <w:rFonts w:eastAsia="Calibri"/>
          <w:szCs w:val="18"/>
        </w:rPr>
        <w:t>National Association of Testing Authorities</w:t>
      </w:r>
      <w:r>
        <w:rPr>
          <w:rFonts w:eastAsia="Calibri"/>
          <w:szCs w:val="18"/>
        </w:rPr>
        <w:t xml:space="preserve">; </w:t>
      </w:r>
      <w:r w:rsidRPr="00975F8B">
        <w:rPr>
          <w:rFonts w:eastAsia="Calibri"/>
          <w:szCs w:val="18"/>
        </w:rPr>
        <w:t>NBS = newborn bloodspot screening; NR</w:t>
      </w:r>
      <w:r>
        <w:rPr>
          <w:rFonts w:eastAsia="Calibri"/>
          <w:szCs w:val="18"/>
        </w:rPr>
        <w:t>E</w:t>
      </w:r>
      <w:r w:rsidRPr="00975F8B">
        <w:rPr>
          <w:rFonts w:eastAsia="Calibri"/>
          <w:szCs w:val="18"/>
        </w:rPr>
        <w:t xml:space="preserve">-GAG = non-reducing end-glycosaminoglycans; </w:t>
      </w:r>
      <w:r>
        <w:rPr>
          <w:rFonts w:eastAsia="Calibri"/>
          <w:szCs w:val="18"/>
        </w:rPr>
        <w:t xml:space="preserve">NRL = National Referral Laboratory; </w:t>
      </w:r>
      <w:r w:rsidRPr="00975F8B">
        <w:rPr>
          <w:rFonts w:eastAsia="Calibri"/>
          <w:szCs w:val="18"/>
        </w:rPr>
        <w:t>QALY= quality-adjusted life year</w:t>
      </w:r>
      <w:r>
        <w:rPr>
          <w:rFonts w:eastAsia="Calibri"/>
          <w:szCs w:val="18"/>
        </w:rPr>
        <w:t>.</w:t>
      </w:r>
    </w:p>
    <w:p w14:paraId="69F332E6" w14:textId="63920F71" w:rsidR="00221170" w:rsidRPr="002103EF" w:rsidRDefault="00221170" w:rsidP="00221170">
      <w:pPr>
        <w:pStyle w:val="Caption"/>
      </w:pPr>
      <w:r w:rsidRPr="002103EF">
        <w:t xml:space="preserve">Table </w:t>
      </w:r>
      <w:r w:rsidR="009D183F">
        <w:fldChar w:fldCharType="begin"/>
      </w:r>
      <w:r w:rsidR="009D183F">
        <w:instrText xml:space="preserve"> SEQ Table \* ARABIC </w:instrText>
      </w:r>
      <w:r w:rsidR="009D183F">
        <w:fldChar w:fldCharType="separate"/>
      </w:r>
      <w:r w:rsidR="009D183F">
        <w:rPr>
          <w:noProof/>
        </w:rPr>
        <w:t>29</w:t>
      </w:r>
      <w:r w:rsidR="009D183F">
        <w:rPr>
          <w:noProof/>
        </w:rPr>
        <w:fldChar w:fldCharType="end"/>
      </w:r>
      <w:r w:rsidRPr="00732909">
        <w:rPr>
          <w:rFonts w:eastAsia="Calibri" w:cs="Arial"/>
        </w:rPr>
        <w:tab/>
        <w:t>Summary table of estimated annual consequences of Newborn Bloodspot Screening for MPS II (Hunter syndrome)</w:t>
      </w:r>
    </w:p>
    <w:tbl>
      <w:tblPr>
        <w:tblW w:w="13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260"/>
        <w:gridCol w:w="1965"/>
        <w:gridCol w:w="2790"/>
        <w:gridCol w:w="3630"/>
        <w:gridCol w:w="3135"/>
      </w:tblGrid>
      <w:tr w:rsidR="00221170" w:rsidRPr="002103EF" w14:paraId="339FF34C" w14:textId="77777777" w:rsidTr="006B5B78">
        <w:trPr>
          <w:trHeight w:val="300"/>
        </w:trPr>
        <w:tc>
          <w:tcPr>
            <w:tcW w:w="1110" w:type="dxa"/>
            <w:tcBorders>
              <w:top w:val="single" w:sz="6" w:space="0" w:color="auto"/>
              <w:left w:val="single" w:sz="6" w:space="0" w:color="auto"/>
              <w:bottom w:val="single" w:sz="6" w:space="0" w:color="auto"/>
              <w:right w:val="single" w:sz="6" w:space="0" w:color="auto"/>
            </w:tcBorders>
            <w:hideMark/>
          </w:tcPr>
          <w:p w14:paraId="31F49C97"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Screened</w:t>
            </w:r>
            <w:r w:rsidRPr="00732909">
              <w:rPr>
                <w:rFonts w:ascii="Arial Narrow" w:eastAsia="Calibri" w:hAnsi="Arial Narrow" w:cs="Arial"/>
                <w:sz w:val="20"/>
                <w:szCs w:val="20"/>
              </w:rPr>
              <w:t> </w:t>
            </w:r>
          </w:p>
        </w:tc>
        <w:tc>
          <w:tcPr>
            <w:tcW w:w="1260" w:type="dxa"/>
            <w:tcBorders>
              <w:top w:val="single" w:sz="6" w:space="0" w:color="auto"/>
              <w:left w:val="single" w:sz="6" w:space="0" w:color="auto"/>
              <w:bottom w:val="single" w:sz="6" w:space="0" w:color="auto"/>
              <w:right w:val="single" w:sz="6" w:space="0" w:color="auto"/>
            </w:tcBorders>
            <w:hideMark/>
          </w:tcPr>
          <w:p w14:paraId="10280A13"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NBS result to parents</w:t>
            </w:r>
            <w:r w:rsidRPr="00732909">
              <w:rPr>
                <w:rFonts w:ascii="Arial Narrow" w:eastAsia="Calibri" w:hAnsi="Arial Narrow" w:cs="Arial"/>
                <w:sz w:val="20"/>
                <w:szCs w:val="20"/>
              </w:rPr>
              <w:t> </w:t>
            </w:r>
          </w:p>
        </w:tc>
        <w:tc>
          <w:tcPr>
            <w:tcW w:w="1965" w:type="dxa"/>
            <w:tcBorders>
              <w:top w:val="single" w:sz="6" w:space="0" w:color="auto"/>
              <w:left w:val="single" w:sz="6" w:space="0" w:color="auto"/>
              <w:bottom w:val="single" w:sz="6" w:space="0" w:color="auto"/>
              <w:right w:val="single" w:sz="6" w:space="0" w:color="auto"/>
            </w:tcBorders>
            <w:hideMark/>
          </w:tcPr>
          <w:p w14:paraId="6B173DBC"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Subsequent diagnosis to parents</w:t>
            </w:r>
            <w:r w:rsidRPr="00732909">
              <w:rPr>
                <w:rFonts w:ascii="Arial Narrow" w:eastAsia="Calibri" w:hAnsi="Arial Narrow" w:cs="Arial"/>
                <w:sz w:val="20"/>
                <w:szCs w:val="20"/>
              </w:rPr>
              <w:t> </w:t>
            </w:r>
          </w:p>
        </w:tc>
        <w:tc>
          <w:tcPr>
            <w:tcW w:w="2790" w:type="dxa"/>
            <w:tcBorders>
              <w:top w:val="single" w:sz="6" w:space="0" w:color="auto"/>
              <w:left w:val="single" w:sz="6" w:space="0" w:color="auto"/>
              <w:bottom w:val="single" w:sz="6" w:space="0" w:color="auto"/>
              <w:right w:val="single" w:sz="6" w:space="0" w:color="auto"/>
            </w:tcBorders>
            <w:hideMark/>
          </w:tcPr>
          <w:p w14:paraId="75A85665"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Incremental consequence of screening for patients</w:t>
            </w:r>
            <w:r w:rsidRPr="00732909">
              <w:rPr>
                <w:rFonts w:ascii="Arial Narrow" w:eastAsia="Calibri" w:hAnsi="Arial Narrow" w:cs="Arial"/>
                <w:b/>
                <w:bCs/>
                <w:sz w:val="20"/>
                <w:szCs w:val="20"/>
                <w:vertAlign w:val="superscript"/>
              </w:rPr>
              <w:t>b</w:t>
            </w:r>
            <w:r w:rsidRPr="00732909">
              <w:rPr>
                <w:rFonts w:ascii="Arial Narrow" w:eastAsia="Calibri" w:hAnsi="Arial Narrow" w:cs="Arial"/>
                <w:sz w:val="20"/>
                <w:szCs w:val="20"/>
              </w:rPr>
              <w:t> </w:t>
            </w:r>
          </w:p>
        </w:tc>
        <w:tc>
          <w:tcPr>
            <w:tcW w:w="3630" w:type="dxa"/>
            <w:tcBorders>
              <w:top w:val="single" w:sz="6" w:space="0" w:color="auto"/>
              <w:left w:val="single" w:sz="6" w:space="0" w:color="auto"/>
              <w:bottom w:val="single" w:sz="6" w:space="0" w:color="auto"/>
              <w:right w:val="single" w:sz="6" w:space="0" w:color="auto"/>
            </w:tcBorders>
            <w:hideMark/>
          </w:tcPr>
          <w:p w14:paraId="56075FB2"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Health outcome consequences for patients</w:t>
            </w:r>
            <w:r w:rsidRPr="00732909">
              <w:rPr>
                <w:rFonts w:ascii="Arial Narrow" w:eastAsia="Calibri" w:hAnsi="Arial Narrow" w:cs="Arial"/>
                <w:sz w:val="20"/>
                <w:szCs w:val="20"/>
              </w:rPr>
              <w:t> </w:t>
            </w:r>
          </w:p>
        </w:tc>
        <w:tc>
          <w:tcPr>
            <w:tcW w:w="3135" w:type="dxa"/>
            <w:tcBorders>
              <w:top w:val="single" w:sz="6" w:space="0" w:color="auto"/>
              <w:left w:val="single" w:sz="6" w:space="0" w:color="auto"/>
              <w:bottom w:val="single" w:sz="6" w:space="0" w:color="auto"/>
              <w:right w:val="single" w:sz="6" w:space="0" w:color="auto"/>
            </w:tcBorders>
            <w:hideMark/>
          </w:tcPr>
          <w:p w14:paraId="73EF0501"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b/>
                <w:bCs/>
                <w:sz w:val="20"/>
                <w:szCs w:val="20"/>
              </w:rPr>
              <w:t>Incremental cost-effectiveness outcomes for patients</w:t>
            </w:r>
            <w:r w:rsidRPr="00732909">
              <w:rPr>
                <w:rFonts w:ascii="Arial Narrow" w:eastAsia="Calibri" w:hAnsi="Arial Narrow" w:cs="Arial"/>
                <w:sz w:val="20"/>
                <w:szCs w:val="20"/>
              </w:rPr>
              <w:t> </w:t>
            </w:r>
          </w:p>
        </w:tc>
      </w:tr>
      <w:tr w:rsidR="00221170" w:rsidRPr="002103EF" w14:paraId="37EDA233" w14:textId="77777777" w:rsidTr="006B5B78">
        <w:trPr>
          <w:trHeight w:val="300"/>
        </w:trPr>
        <w:tc>
          <w:tcPr>
            <w:tcW w:w="1110" w:type="dxa"/>
            <w:vMerge w:val="restart"/>
            <w:tcBorders>
              <w:top w:val="single" w:sz="6" w:space="0" w:color="auto"/>
              <w:left w:val="single" w:sz="6" w:space="0" w:color="auto"/>
              <w:bottom w:val="single" w:sz="6" w:space="0" w:color="auto"/>
              <w:right w:val="single" w:sz="6" w:space="0" w:color="auto"/>
            </w:tcBorders>
            <w:vAlign w:val="center"/>
            <w:hideMark/>
          </w:tcPr>
          <w:p w14:paraId="1A456EDF"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305,000 </w:t>
            </w:r>
          </w:p>
        </w:tc>
        <w:tc>
          <w:tcPr>
            <w:tcW w:w="1260" w:type="dxa"/>
            <w:tcBorders>
              <w:top w:val="single" w:sz="6" w:space="0" w:color="auto"/>
              <w:left w:val="single" w:sz="6" w:space="0" w:color="auto"/>
              <w:bottom w:val="single" w:sz="6" w:space="0" w:color="auto"/>
              <w:right w:val="single" w:sz="6" w:space="0" w:color="auto"/>
            </w:tcBorders>
            <w:hideMark/>
          </w:tcPr>
          <w:p w14:paraId="74BB26B1"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304,996 no </w:t>
            </w:r>
          </w:p>
        </w:tc>
        <w:tc>
          <w:tcPr>
            <w:tcW w:w="1965" w:type="dxa"/>
            <w:tcBorders>
              <w:top w:val="single" w:sz="6" w:space="0" w:color="auto"/>
              <w:left w:val="single" w:sz="6" w:space="0" w:color="auto"/>
              <w:bottom w:val="single" w:sz="6" w:space="0" w:color="auto"/>
              <w:right w:val="single" w:sz="6" w:space="0" w:color="auto"/>
            </w:tcBorders>
            <w:hideMark/>
          </w:tcPr>
          <w:p w14:paraId="4AC851A8"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w:t>
            </w:r>
          </w:p>
        </w:tc>
        <w:tc>
          <w:tcPr>
            <w:tcW w:w="2790" w:type="dxa"/>
            <w:tcBorders>
              <w:top w:val="single" w:sz="6" w:space="0" w:color="auto"/>
              <w:left w:val="single" w:sz="6" w:space="0" w:color="auto"/>
              <w:bottom w:val="single" w:sz="6" w:space="0" w:color="auto"/>
              <w:right w:val="single" w:sz="6" w:space="0" w:color="auto"/>
            </w:tcBorders>
            <w:hideMark/>
          </w:tcPr>
          <w:p w14:paraId="01F16F87"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w:t>
            </w:r>
          </w:p>
        </w:tc>
        <w:tc>
          <w:tcPr>
            <w:tcW w:w="3630" w:type="dxa"/>
            <w:tcBorders>
              <w:top w:val="single" w:sz="6" w:space="0" w:color="auto"/>
              <w:left w:val="single" w:sz="6" w:space="0" w:color="auto"/>
              <w:bottom w:val="single" w:sz="6" w:space="0" w:color="auto"/>
              <w:right w:val="single" w:sz="6" w:space="0" w:color="auto"/>
            </w:tcBorders>
            <w:hideMark/>
          </w:tcPr>
          <w:p w14:paraId="26504B30"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w:t>
            </w:r>
          </w:p>
        </w:tc>
        <w:tc>
          <w:tcPr>
            <w:tcW w:w="3135" w:type="dxa"/>
            <w:tcBorders>
              <w:top w:val="single" w:sz="6" w:space="0" w:color="auto"/>
              <w:left w:val="single" w:sz="6" w:space="0" w:color="auto"/>
              <w:bottom w:val="single" w:sz="6" w:space="0" w:color="auto"/>
              <w:right w:val="single" w:sz="6" w:space="0" w:color="auto"/>
            </w:tcBorders>
            <w:hideMark/>
          </w:tcPr>
          <w:p w14:paraId="71612C4E"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w:t>
            </w:r>
          </w:p>
        </w:tc>
      </w:tr>
      <w:tr w:rsidR="00221170" w:rsidRPr="002103EF" w14:paraId="08DC476D" w14:textId="77777777" w:rsidTr="006B5B78">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2744DBA" w14:textId="77777777" w:rsidR="00221170" w:rsidRPr="00732909" w:rsidRDefault="00221170" w:rsidP="00A25203">
            <w:pPr>
              <w:spacing w:before="0" w:after="0" w:line="240" w:lineRule="auto"/>
              <w:rPr>
                <w:rFonts w:ascii="Arial Narrow" w:eastAsia="Calibri" w:hAnsi="Arial Narrow"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hideMark/>
          </w:tcPr>
          <w:p w14:paraId="32D6B230"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4.33 yes</w:t>
            </w:r>
            <w:r w:rsidRPr="00732909">
              <w:rPr>
                <w:rFonts w:ascii="Arial Narrow" w:eastAsia="Calibri" w:hAnsi="Arial Narrow" w:cs="Arial"/>
                <w:b/>
                <w:bCs/>
                <w:sz w:val="20"/>
                <w:szCs w:val="20"/>
                <w:vertAlign w:val="superscript"/>
              </w:rPr>
              <w:t>a</w:t>
            </w:r>
            <w:r w:rsidRPr="00732909">
              <w:rPr>
                <w:rFonts w:ascii="Arial Narrow" w:eastAsia="Calibri" w:hAnsi="Arial Narrow" w:cs="Arial"/>
                <w:sz w:val="20"/>
                <w:szCs w:val="20"/>
              </w:rPr>
              <w:t> </w:t>
            </w:r>
          </w:p>
        </w:tc>
        <w:tc>
          <w:tcPr>
            <w:tcW w:w="1965" w:type="dxa"/>
            <w:tcBorders>
              <w:top w:val="single" w:sz="6" w:space="0" w:color="auto"/>
              <w:left w:val="single" w:sz="6" w:space="0" w:color="auto"/>
              <w:bottom w:val="single" w:sz="6" w:space="0" w:color="auto"/>
              <w:right w:val="single" w:sz="6" w:space="0" w:color="auto"/>
            </w:tcBorders>
            <w:hideMark/>
          </w:tcPr>
          <w:p w14:paraId="717E9834"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1.43 severe </w:t>
            </w:r>
          </w:p>
        </w:tc>
        <w:tc>
          <w:tcPr>
            <w:tcW w:w="2790" w:type="dxa"/>
            <w:tcBorders>
              <w:top w:val="single" w:sz="6" w:space="0" w:color="auto"/>
              <w:left w:val="single" w:sz="6" w:space="0" w:color="auto"/>
              <w:bottom w:val="single" w:sz="6" w:space="0" w:color="auto"/>
              <w:right w:val="single" w:sz="6" w:space="0" w:color="auto"/>
            </w:tcBorders>
            <w:hideMark/>
          </w:tcPr>
          <w:p w14:paraId="20A1E8A5"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xml:space="preserve">Patient diagnosed </w:t>
            </w:r>
            <w:r>
              <w:rPr>
                <w:rFonts w:ascii="Arial Narrow" w:eastAsia="Calibri" w:hAnsi="Arial Narrow" w:cs="Arial"/>
                <w:sz w:val="20"/>
                <w:szCs w:val="20"/>
              </w:rPr>
              <w:t xml:space="preserve">~3 years </w:t>
            </w:r>
            <w:r w:rsidRPr="00732909">
              <w:rPr>
                <w:rFonts w:ascii="Arial Narrow" w:eastAsia="Calibri" w:hAnsi="Arial Narrow" w:cs="Arial"/>
                <w:sz w:val="20"/>
                <w:szCs w:val="20"/>
              </w:rPr>
              <w:t>earlier </w:t>
            </w:r>
          </w:p>
        </w:tc>
        <w:tc>
          <w:tcPr>
            <w:tcW w:w="3630" w:type="dxa"/>
            <w:tcBorders>
              <w:top w:val="single" w:sz="6" w:space="0" w:color="auto"/>
              <w:left w:val="single" w:sz="6" w:space="0" w:color="auto"/>
              <w:bottom w:val="single" w:sz="6" w:space="0" w:color="auto"/>
              <w:right w:val="single" w:sz="6" w:space="0" w:color="auto"/>
            </w:tcBorders>
            <w:hideMark/>
          </w:tcPr>
          <w:p w14:paraId="7E66CF30"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Earlier ERT treatment suggested to improve intermediate and symptomatic health outcomes and overall survival </w:t>
            </w:r>
          </w:p>
        </w:tc>
        <w:tc>
          <w:tcPr>
            <w:tcW w:w="3135" w:type="dxa"/>
            <w:tcBorders>
              <w:top w:val="single" w:sz="6" w:space="0" w:color="auto"/>
              <w:left w:val="single" w:sz="6" w:space="0" w:color="auto"/>
              <w:bottom w:val="single" w:sz="6" w:space="0" w:color="auto"/>
              <w:right w:val="single" w:sz="6" w:space="0" w:color="auto"/>
            </w:tcBorders>
            <w:hideMark/>
          </w:tcPr>
          <w:p w14:paraId="49276F0E" w14:textId="481923C8" w:rsidR="00221170" w:rsidRPr="00732909" w:rsidRDefault="0015305C" w:rsidP="00A25203">
            <w:pPr>
              <w:spacing w:before="0" w:after="0" w:line="240" w:lineRule="auto"/>
              <w:rPr>
                <w:rFonts w:ascii="Arial Narrow" w:eastAsia="Calibri" w:hAnsi="Arial Narrow" w:cs="Arial"/>
                <w:sz w:val="20"/>
                <w:szCs w:val="20"/>
              </w:rPr>
            </w:pPr>
            <w:r w:rsidRPr="008D12FB">
              <w:rPr>
                <w:rFonts w:ascii="Arial Narrow" w:eastAsia="Calibri" w:hAnsi="Arial Narrow" w:cs="Arial"/>
                <w:kern w:val="2"/>
                <w:lang w:eastAsia="en-AU"/>
                <w14:ligatures w14:val="standardContextual"/>
              </w:rPr>
              <w:t>$</w:t>
            </w:r>
            <w:r w:rsidRPr="008D12FB">
              <w:rPr>
                <w:rFonts w:ascii="Arial Narrow" w:eastAsia="Calibri" w:hAnsi="Arial Narrow" w:cs="Arial"/>
                <w:b/>
                <w:bCs/>
                <w:kern w:val="2"/>
                <w:lang w:eastAsia="en-AU"/>
                <w14:ligatures w14:val="standardContextual"/>
              </w:rPr>
              <w:t>Redacte</w:t>
            </w:r>
            <w:r w:rsidRPr="0015305C">
              <w:rPr>
                <w:rFonts w:ascii="Arial Narrow" w:eastAsia="Calibri" w:hAnsi="Arial Narrow" w:cs="Arial"/>
                <w:b/>
                <w:bCs/>
                <w:kern w:val="2"/>
                <w:lang w:eastAsia="en-AU"/>
                <w14:ligatures w14:val="standardContextual"/>
              </w:rPr>
              <w:t>d</w:t>
            </w:r>
            <w:r w:rsidR="00221170" w:rsidRPr="00011DA9">
              <w:rPr>
                <w:rFonts w:ascii="Arial Narrow" w:eastAsia="Calibri" w:hAnsi="Arial Narrow" w:cs="Arial"/>
                <w:sz w:val="20"/>
                <w:szCs w:val="20"/>
              </w:rPr>
              <w:t>/QALY</w:t>
            </w:r>
            <w:r w:rsidR="00221170" w:rsidRPr="00732909">
              <w:rPr>
                <w:rFonts w:ascii="Arial Narrow" w:eastAsia="Calibri" w:hAnsi="Arial Narrow" w:cs="Arial"/>
                <w:sz w:val="20"/>
                <w:szCs w:val="20"/>
              </w:rPr>
              <w:t> </w:t>
            </w:r>
          </w:p>
        </w:tc>
      </w:tr>
      <w:tr w:rsidR="00221170" w:rsidRPr="002103EF" w14:paraId="21C67E37" w14:textId="77777777" w:rsidTr="006B5B78">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ACE430" w14:textId="77777777" w:rsidR="00221170" w:rsidRPr="00732909" w:rsidRDefault="00221170" w:rsidP="00A25203">
            <w:pPr>
              <w:spacing w:before="0" w:after="0" w:line="240" w:lineRule="auto"/>
              <w:rPr>
                <w:rFonts w:ascii="Arial Narrow" w:eastAsia="Calibri" w:hAnsi="Arial Narrow"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BAB2C5" w14:textId="77777777" w:rsidR="00221170" w:rsidRPr="00732909" w:rsidRDefault="00221170" w:rsidP="00A25203">
            <w:pPr>
              <w:spacing w:before="0" w:after="0" w:line="240" w:lineRule="auto"/>
              <w:rPr>
                <w:rFonts w:ascii="Arial Narrow" w:eastAsia="Calibri" w:hAnsi="Arial Narrow" w:cs="Arial"/>
                <w:sz w:val="20"/>
                <w:szCs w:val="20"/>
              </w:rPr>
            </w:pPr>
          </w:p>
        </w:tc>
        <w:tc>
          <w:tcPr>
            <w:tcW w:w="1965" w:type="dxa"/>
            <w:tcBorders>
              <w:top w:val="single" w:sz="6" w:space="0" w:color="auto"/>
              <w:left w:val="single" w:sz="6" w:space="0" w:color="auto"/>
              <w:bottom w:val="single" w:sz="6" w:space="0" w:color="auto"/>
              <w:right w:val="single" w:sz="6" w:space="0" w:color="auto"/>
            </w:tcBorders>
            <w:hideMark/>
          </w:tcPr>
          <w:p w14:paraId="19690549"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0.47 later onset, attenuated </w:t>
            </w:r>
          </w:p>
          <w:p w14:paraId="6CFC9390"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2.42 “very attenuated” </w:t>
            </w:r>
          </w:p>
        </w:tc>
        <w:tc>
          <w:tcPr>
            <w:tcW w:w="2790" w:type="dxa"/>
            <w:tcBorders>
              <w:top w:val="single" w:sz="6" w:space="0" w:color="auto"/>
              <w:left w:val="single" w:sz="6" w:space="0" w:color="auto"/>
              <w:bottom w:val="single" w:sz="6" w:space="0" w:color="auto"/>
              <w:right w:val="single" w:sz="6" w:space="0" w:color="auto"/>
            </w:tcBorders>
            <w:hideMark/>
          </w:tcPr>
          <w:p w14:paraId="30B5F78B"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2.4 more “very attenuated” patients diagnosed; all diagnosed years earlier </w:t>
            </w:r>
          </w:p>
        </w:tc>
        <w:tc>
          <w:tcPr>
            <w:tcW w:w="3630" w:type="dxa"/>
            <w:tcBorders>
              <w:top w:val="single" w:sz="6" w:space="0" w:color="auto"/>
              <w:left w:val="single" w:sz="6" w:space="0" w:color="auto"/>
              <w:bottom w:val="single" w:sz="6" w:space="0" w:color="auto"/>
              <w:right w:val="single" w:sz="6" w:space="0" w:color="auto"/>
            </w:tcBorders>
            <w:hideMark/>
          </w:tcPr>
          <w:p w14:paraId="4FE66FA1" w14:textId="39A62B28"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 xml:space="preserve">Earlier ERT treatment not shown to improve outcomes; may cause harms such as developing antibodies; later diagnostic </w:t>
            </w:r>
            <w:r w:rsidR="007104CE">
              <w:rPr>
                <w:rFonts w:ascii="Arial Narrow" w:eastAsia="Calibri" w:hAnsi="Arial Narrow" w:cs="Arial"/>
                <w:sz w:val="20"/>
                <w:szCs w:val="20"/>
              </w:rPr>
              <w:t>delay</w:t>
            </w:r>
            <w:r w:rsidR="007104CE" w:rsidRPr="00732909">
              <w:rPr>
                <w:rFonts w:ascii="Arial Narrow" w:eastAsia="Calibri" w:hAnsi="Arial Narrow" w:cs="Arial"/>
                <w:sz w:val="20"/>
                <w:szCs w:val="20"/>
              </w:rPr>
              <w:t xml:space="preserve"> </w:t>
            </w:r>
            <w:r w:rsidRPr="00732909">
              <w:rPr>
                <w:rFonts w:ascii="Arial Narrow" w:eastAsia="Calibri" w:hAnsi="Arial Narrow" w:cs="Arial"/>
                <w:sz w:val="20"/>
                <w:szCs w:val="20"/>
              </w:rPr>
              <w:t>shortened, extra monitoring (with associated harms) required. </w:t>
            </w:r>
          </w:p>
        </w:tc>
        <w:tc>
          <w:tcPr>
            <w:tcW w:w="3135" w:type="dxa"/>
            <w:tcBorders>
              <w:top w:val="single" w:sz="6" w:space="0" w:color="auto"/>
              <w:left w:val="single" w:sz="6" w:space="0" w:color="auto"/>
              <w:bottom w:val="single" w:sz="6" w:space="0" w:color="auto"/>
              <w:right w:val="single" w:sz="6" w:space="0" w:color="auto"/>
            </w:tcBorders>
            <w:hideMark/>
          </w:tcPr>
          <w:p w14:paraId="56554F0D" w14:textId="77777777" w:rsidR="00221170" w:rsidRPr="00732909" w:rsidRDefault="00221170" w:rsidP="00A25203">
            <w:pPr>
              <w:spacing w:before="0" w:after="0" w:line="240" w:lineRule="auto"/>
              <w:rPr>
                <w:rFonts w:ascii="Arial Narrow" w:eastAsia="Calibri" w:hAnsi="Arial Narrow" w:cs="Arial"/>
                <w:sz w:val="20"/>
                <w:szCs w:val="20"/>
              </w:rPr>
            </w:pPr>
            <w:r w:rsidRPr="00732909">
              <w:rPr>
                <w:rFonts w:ascii="Arial Narrow" w:eastAsia="Calibri" w:hAnsi="Arial Narrow" w:cs="Arial"/>
                <w:sz w:val="20"/>
                <w:szCs w:val="20"/>
              </w:rPr>
              <w:t>Up to 2.42 extra patients receiving prolonged monitoring at $2,101.13 per monitored patient per year </w:t>
            </w:r>
          </w:p>
        </w:tc>
      </w:tr>
    </w:tbl>
    <w:p w14:paraId="56E4CB50" w14:textId="77777777" w:rsidR="00221170" w:rsidRPr="00251998" w:rsidRDefault="00221170" w:rsidP="003758C4">
      <w:pPr>
        <w:pStyle w:val="TableFigureFooter"/>
        <w:rPr>
          <w:rFonts w:eastAsia="Calibri"/>
          <w:szCs w:val="18"/>
        </w:rPr>
      </w:pPr>
      <w:r w:rsidRPr="00251998">
        <w:rPr>
          <w:rFonts w:eastAsia="Calibri"/>
          <w:vertAlign w:val="superscript"/>
        </w:rPr>
        <w:t>a</w:t>
      </w:r>
      <w:r w:rsidRPr="00251998">
        <w:rPr>
          <w:rFonts w:eastAsia="Calibri"/>
          <w:szCs w:val="18"/>
        </w:rPr>
        <w:t xml:space="preserve"> MSAC should consider whether to advise that a new informed consent be obtained from parents at this point to enable subsequent testing beyond the bloodspot sample based on the positive NBS result. </w:t>
      </w:r>
    </w:p>
    <w:p w14:paraId="225892E8" w14:textId="46BF41A5" w:rsidR="00221170" w:rsidRPr="00251998" w:rsidRDefault="00221170" w:rsidP="003758C4">
      <w:pPr>
        <w:pStyle w:val="TableFigureFooter"/>
        <w:rPr>
          <w:rFonts w:eastAsia="Calibri"/>
          <w:szCs w:val="18"/>
        </w:rPr>
      </w:pPr>
      <w:r w:rsidRPr="00251998">
        <w:rPr>
          <w:rFonts w:eastAsia="Calibri"/>
          <w:vertAlign w:val="superscript"/>
        </w:rPr>
        <w:t>b</w:t>
      </w:r>
      <w:r w:rsidRPr="00251998">
        <w:rPr>
          <w:rFonts w:eastAsia="Calibri"/>
          <w:szCs w:val="18"/>
        </w:rPr>
        <w:t xml:space="preserve"> These consequences do not include any estimates of incremental consequences from </w:t>
      </w:r>
      <w:r w:rsidR="001711C4">
        <w:rPr>
          <w:rFonts w:eastAsia="Calibri"/>
          <w:szCs w:val="18"/>
        </w:rPr>
        <w:t>family member</w:t>
      </w:r>
      <w:r w:rsidR="001711C4" w:rsidRPr="00251998">
        <w:rPr>
          <w:rFonts w:eastAsia="Calibri"/>
          <w:szCs w:val="18"/>
        </w:rPr>
        <w:t xml:space="preserve"> </w:t>
      </w:r>
      <w:r w:rsidRPr="00251998">
        <w:rPr>
          <w:rFonts w:eastAsia="Calibri"/>
          <w:szCs w:val="18"/>
        </w:rPr>
        <w:t>testing </w:t>
      </w:r>
    </w:p>
    <w:p w14:paraId="1E34FA88" w14:textId="40826517" w:rsidR="00221170" w:rsidRPr="00975F8B" w:rsidRDefault="00221170" w:rsidP="003758C4">
      <w:pPr>
        <w:pStyle w:val="TableFigureFooter"/>
        <w:rPr>
          <w:rFonts w:eastAsia="Calibri"/>
          <w:szCs w:val="18"/>
        </w:rPr>
      </w:pPr>
      <w:r w:rsidRPr="00251998">
        <w:rPr>
          <w:rFonts w:eastAsia="Calibri"/>
        </w:rPr>
        <w:t>Abbreviations: ERT= enzyme replacement therapy; MPS II = mucopolysaccharidosis Type II; NBS = newborn bloodspot screening; QALY= quality-adjusted life year </w:t>
      </w:r>
    </w:p>
    <w:p w14:paraId="717BEB9A" w14:textId="77777777" w:rsidR="00221170" w:rsidRDefault="00221170" w:rsidP="003758C4">
      <w:pPr>
        <w:pStyle w:val="TableFigureFooter"/>
        <w:sectPr w:rsidR="00221170" w:rsidSect="00221170">
          <w:pgSz w:w="16838" w:h="11906" w:orient="landscape"/>
          <w:pgMar w:top="1440" w:right="1440" w:bottom="1440" w:left="1440" w:header="708" w:footer="708" w:gutter="0"/>
          <w:cols w:space="708"/>
          <w:titlePg/>
          <w:docGrid w:linePitch="360"/>
        </w:sectPr>
      </w:pPr>
    </w:p>
    <w:p w14:paraId="7EB7D08D" w14:textId="77777777" w:rsidR="00BE0CE4" w:rsidRPr="00BE0CE4" w:rsidRDefault="00BE0CE4" w:rsidP="00BE0CE4">
      <w:pPr>
        <w:pStyle w:val="Heading2"/>
        <w:numPr>
          <w:ilvl w:val="0"/>
          <w:numId w:val="28"/>
        </w:numPr>
        <w:ind w:hanging="720"/>
      </w:pPr>
      <w:bookmarkStart w:id="69" w:name="_Hlk193984667"/>
      <w:r w:rsidRPr="003A793E">
        <w:lastRenderedPageBreak/>
        <w:t>Further information on MSAC</w:t>
      </w:r>
    </w:p>
    <w:p w14:paraId="6CC8BDF0" w14:textId="17120D3E" w:rsidR="00BE0CE4" w:rsidRPr="00F428A9" w:rsidRDefault="00BE0CE4" w:rsidP="00BE0CE4">
      <w:pPr>
        <w:pStyle w:val="BodyText"/>
        <w:rPr>
          <w:b/>
          <w:bCs/>
          <w:i/>
          <w:iCs/>
        </w:rPr>
      </w:pPr>
      <w:r w:rsidRPr="00F309FA">
        <w:rPr>
          <w:bCs/>
          <w:iCs/>
        </w:rPr>
        <w:t xml:space="preserve">MSAC Terms of Reference and other information are available on the MSAC Website: </w:t>
      </w:r>
      <w:hyperlink r:id="rId18" w:tooltip="Link to the MSAC website" w:history="1">
        <w:r w:rsidRPr="000D2098">
          <w:rPr>
            <w:rStyle w:val="Hyperlink"/>
            <w:iCs/>
            <w:color w:val="007BB8"/>
          </w:rPr>
          <w:t>visit the MSAC website</w:t>
        </w:r>
      </w:hyperlink>
      <w:bookmarkEnd w:id="69"/>
    </w:p>
    <w:sectPr w:rsidR="00BE0CE4" w:rsidRPr="00F428A9" w:rsidSect="00BE0C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997D6" w14:textId="77777777" w:rsidR="00012065" w:rsidRDefault="00012065" w:rsidP="00B62DF2">
      <w:pPr>
        <w:spacing w:after="0" w:line="240" w:lineRule="auto"/>
      </w:pPr>
      <w:r>
        <w:separator/>
      </w:r>
    </w:p>
  </w:endnote>
  <w:endnote w:type="continuationSeparator" w:id="0">
    <w:p w14:paraId="22468F5B" w14:textId="77777777" w:rsidR="00012065" w:rsidRDefault="00012065" w:rsidP="00B62DF2">
      <w:pPr>
        <w:spacing w:after="0" w:line="240" w:lineRule="auto"/>
      </w:pPr>
      <w:r>
        <w:continuationSeparator/>
      </w:r>
    </w:p>
  </w:endnote>
  <w:endnote w:type="continuationNotice" w:id="1">
    <w:p w14:paraId="0E2801AE" w14:textId="77777777" w:rsidR="00012065" w:rsidRDefault="000120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784729"/>
      <w:docPartObj>
        <w:docPartGallery w:val="Page Numbers (Bottom of Page)"/>
        <w:docPartUnique/>
      </w:docPartObj>
    </w:sdtPr>
    <w:sdtEndPr>
      <w:rPr>
        <w:noProof/>
      </w:rPr>
    </w:sdtEndPr>
    <w:sdtContent>
      <w:p w14:paraId="6D562AD6" w14:textId="77777777" w:rsidR="004920C3" w:rsidRDefault="004920C3" w:rsidP="004810AC">
        <w:pPr>
          <w:pStyle w:val="Footer"/>
          <w:jc w:val="right"/>
        </w:pPr>
        <w:r>
          <w:fldChar w:fldCharType="begin"/>
        </w:r>
        <w:r>
          <w:instrText xml:space="preserve"> PAGE   \* MERGEFORMAT </w:instrText>
        </w:r>
        <w:r>
          <w:fldChar w:fldCharType="separate"/>
        </w:r>
        <w:r w:rsidR="00611BAE">
          <w:rPr>
            <w:noProof/>
          </w:rPr>
          <w:t>78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064254"/>
      <w:docPartObj>
        <w:docPartGallery w:val="Page Numbers (Bottom of Page)"/>
        <w:docPartUnique/>
      </w:docPartObj>
    </w:sdtPr>
    <w:sdtEndPr>
      <w:rPr>
        <w:noProof/>
      </w:rPr>
    </w:sdtEndPr>
    <w:sdtContent>
      <w:p w14:paraId="75DC26CD" w14:textId="77777777" w:rsidR="004920C3" w:rsidRDefault="004920C3" w:rsidP="00052DD3">
        <w:pPr>
          <w:pStyle w:val="Footer"/>
          <w:jc w:val="right"/>
        </w:pPr>
        <w:r>
          <w:fldChar w:fldCharType="begin"/>
        </w:r>
        <w:r>
          <w:instrText xml:space="preserve"> PAGE   \* MERGEFORMAT </w:instrText>
        </w:r>
        <w:r>
          <w:fldChar w:fldCharType="separate"/>
        </w:r>
        <w:r w:rsidR="00611BAE">
          <w:rPr>
            <w:noProof/>
          </w:rPr>
          <w:t>79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2AE4" w14:textId="77777777" w:rsidR="00012065" w:rsidRDefault="00012065" w:rsidP="00B62DF2">
      <w:pPr>
        <w:spacing w:after="0" w:line="240" w:lineRule="auto"/>
      </w:pPr>
      <w:r>
        <w:separator/>
      </w:r>
    </w:p>
  </w:footnote>
  <w:footnote w:type="continuationSeparator" w:id="0">
    <w:p w14:paraId="42B79725" w14:textId="77777777" w:rsidR="00012065" w:rsidRDefault="00012065" w:rsidP="00B62DF2">
      <w:pPr>
        <w:spacing w:after="0" w:line="240" w:lineRule="auto"/>
      </w:pPr>
      <w:r>
        <w:continuationSeparator/>
      </w:r>
    </w:p>
  </w:footnote>
  <w:footnote w:type="continuationNotice" w:id="1">
    <w:p w14:paraId="433CFE91" w14:textId="77777777" w:rsidR="00012065" w:rsidRDefault="00012065">
      <w:pPr>
        <w:spacing w:before="0" w:after="0" w:line="240" w:lineRule="auto"/>
      </w:pPr>
    </w:p>
  </w:footnote>
  <w:footnote w:id="2">
    <w:p w14:paraId="765D71C8" w14:textId="77777777" w:rsidR="004920C3" w:rsidRDefault="004920C3" w:rsidP="009330B0">
      <w:pPr>
        <w:pStyle w:val="FootnoteText"/>
      </w:pPr>
      <w:r>
        <w:rPr>
          <w:rStyle w:val="FootnoteReference"/>
        </w:rPr>
        <w:footnoteRef/>
      </w:r>
      <w:r>
        <w:t xml:space="preserve"> </w:t>
      </w:r>
      <w:hyperlink r:id="rId1" w:history="1">
        <w:r w:rsidRPr="00BD2780">
          <w:rPr>
            <w:rStyle w:val="Hyperlink"/>
            <w:rFonts w:ascii="Arial Narrow" w:hAnsi="Arial Narrow"/>
          </w:rPr>
          <w:t>https://www.health.gov.au/resources/publications/newborn-bloodspot-screening-national-policy-framework?language=en</w:t>
        </w:r>
      </w:hyperlink>
    </w:p>
  </w:footnote>
  <w:footnote w:id="3">
    <w:p w14:paraId="1D0E7240" w14:textId="77777777" w:rsidR="004920C3" w:rsidRDefault="004920C3" w:rsidP="000D30C5">
      <w:pPr>
        <w:pStyle w:val="FootnoteText"/>
      </w:pPr>
      <w:r>
        <w:rPr>
          <w:rStyle w:val="FootnoteReference"/>
        </w:rPr>
        <w:footnoteRef/>
      </w:r>
      <w:r>
        <w:t xml:space="preserve"> </w:t>
      </w:r>
      <w:hyperlink r:id="rId2" w:history="1">
        <w:r w:rsidRPr="00BD2780">
          <w:rPr>
            <w:rStyle w:val="Hyperlink"/>
            <w:rFonts w:ascii="Arial Narrow" w:hAnsi="Arial Narrow"/>
          </w:rPr>
          <w:t>https://www.msac.gov.au/about-us/what-we-do/terms-reference</w:t>
        </w:r>
      </w:hyperlink>
    </w:p>
  </w:footnote>
  <w:footnote w:id="4">
    <w:p w14:paraId="746C63F4" w14:textId="7013165D" w:rsidR="004920C3" w:rsidRDefault="004920C3" w:rsidP="00C413D9">
      <w:pPr>
        <w:pStyle w:val="TableFigureFooter"/>
      </w:pPr>
      <w:r>
        <w:rPr>
          <w:rStyle w:val="FootnoteReference"/>
        </w:rPr>
        <w:footnoteRef/>
      </w:r>
      <w:r>
        <w:t xml:space="preserve"> Newborn Bloodspot Screening National Policy Framework (NBS NPF), Department of Health, 2018. Available at: </w:t>
      </w:r>
      <w:hyperlink r:id="rId3" w:history="1">
        <w:r w:rsidRPr="0008045B">
          <w:rPr>
            <w:rStyle w:val="Hyperlink"/>
          </w:rPr>
          <w:t>https://www.health.gov.au/resources/publications/newborn-bloodspot-screening-national-policyframework?language=en</w:t>
        </w:r>
      </w:hyperlink>
    </w:p>
  </w:footnote>
  <w:footnote w:id="5">
    <w:p w14:paraId="46EF374A" w14:textId="77777777" w:rsidR="004920C3" w:rsidRDefault="004920C3" w:rsidP="00A3064A">
      <w:pPr>
        <w:pStyle w:val="TableFigureFooter"/>
      </w:pPr>
      <w:r>
        <w:rPr>
          <w:rStyle w:val="FootnoteReference"/>
        </w:rPr>
        <w:footnoteRef/>
      </w:r>
      <w:r>
        <w:t xml:space="preserve"> Idursulfase Public Summary Document, November 2007 PBAC meeting.  </w:t>
      </w:r>
      <w:hyperlink r:id="rId4" w:history="1">
        <w:r w:rsidRPr="001E67B6">
          <w:rPr>
            <w:rStyle w:val="Hyperlink"/>
          </w:rPr>
          <w:t>https://www.pbs.gov.au/industry/listing/elements/pbac-meetings/psd/2007-11/Idursulfase%20rhu%20ELAPRASE%20Genzyme%205%203%20PSD%20Nov%2008%20FINAL.pdf</w:t>
        </w:r>
      </w:hyperlink>
    </w:p>
  </w:footnote>
  <w:footnote w:id="6">
    <w:p w14:paraId="5755C868" w14:textId="77777777" w:rsidR="004920C3" w:rsidRDefault="004920C3" w:rsidP="00EB46E9">
      <w:pPr>
        <w:pStyle w:val="TableFigureFooter"/>
      </w:pPr>
      <w:r>
        <w:rPr>
          <w:rStyle w:val="FootnoteReference"/>
        </w:rPr>
        <w:footnoteRef/>
      </w:r>
      <w:r>
        <w:t xml:space="preserve"> </w:t>
      </w:r>
      <w:r w:rsidRPr="000F174B">
        <w:t>Clarke LA</w:t>
      </w:r>
      <w:r>
        <w:t xml:space="preserve"> et al</w:t>
      </w:r>
      <w:r w:rsidRPr="000F174B">
        <w:t>.</w:t>
      </w:r>
      <w:r>
        <w:t xml:space="preserve"> (2020).</w:t>
      </w:r>
      <w:r w:rsidRPr="000F174B">
        <w:t xml:space="preserve"> Newborn Screening for Mucopolysaccharidosis I: Moving Forward Learning from Experience</w:t>
      </w:r>
      <w:r w:rsidRPr="00654583">
        <w:rPr>
          <w:i/>
          <w:iCs/>
        </w:rPr>
        <w:t>. Int J Neonatal Scree</w:t>
      </w:r>
      <w:r>
        <w:rPr>
          <w:i/>
          <w:iCs/>
        </w:rPr>
        <w:t>n</w:t>
      </w:r>
      <w:r w:rsidRPr="000F174B">
        <w:t xml:space="preserve"> 19;6(4):91. doi: 10.3390/ijns6040091.</w:t>
      </w:r>
    </w:p>
  </w:footnote>
  <w:footnote w:id="7">
    <w:p w14:paraId="7AE41CF8" w14:textId="774FB1A3" w:rsidR="004920C3" w:rsidRDefault="004920C3" w:rsidP="00EB46E9">
      <w:pPr>
        <w:pStyle w:val="TableFigureFooter"/>
        <w:rPr>
          <w:rFonts w:eastAsia="Calibri"/>
        </w:rPr>
      </w:pPr>
      <w:r>
        <w:rPr>
          <w:rStyle w:val="FootnoteReference"/>
        </w:rPr>
        <w:footnoteRef/>
      </w:r>
      <w:r>
        <w:t xml:space="preserve"> Vears DF et al. (2024). Human Genetics Society of Australasia Position Statement: Predictive and Presymptomatic Genetic Testing in Adults and Children. </w:t>
      </w:r>
      <w:r>
        <w:rPr>
          <w:i/>
          <w:iCs/>
        </w:rPr>
        <w:t>Twin Res Hum Genet</w:t>
      </w:r>
      <w:r>
        <w:t>. 27(2):120-127. doi: 10.1017/thg.2024.9.</w:t>
      </w:r>
    </w:p>
  </w:footnote>
  <w:footnote w:id="8">
    <w:p w14:paraId="1C383EFF" w14:textId="3E2F4AF9" w:rsidR="004920C3" w:rsidRDefault="004920C3" w:rsidP="00EB46E9">
      <w:pPr>
        <w:pStyle w:val="TableFigureFooter"/>
      </w:pPr>
      <w:r>
        <w:rPr>
          <w:rStyle w:val="FootnoteReference"/>
        </w:rPr>
        <w:footnoteRef/>
      </w:r>
      <w:r>
        <w:t xml:space="preserve"> European Society of Human Genetics (2009). Genetic testing in asymptomatic minors: Recommendations of the European Society of Human Genetics. </w:t>
      </w:r>
      <w:r>
        <w:rPr>
          <w:i/>
          <w:iCs/>
        </w:rPr>
        <w:t>Eur J Hum Genet</w:t>
      </w:r>
      <w:r>
        <w:t>. 17(6):720-1. doi: 10.1038/ejhg.2009.26.</w:t>
      </w:r>
    </w:p>
  </w:footnote>
  <w:footnote w:id="9">
    <w:p w14:paraId="34D57B81" w14:textId="2EF6C0C4" w:rsidR="004920C3" w:rsidRDefault="004920C3" w:rsidP="00EB46E9">
      <w:pPr>
        <w:pStyle w:val="TableFigureFooter"/>
      </w:pPr>
      <w:r>
        <w:rPr>
          <w:rStyle w:val="FootnoteReference"/>
        </w:rPr>
        <w:footnoteRef/>
      </w:r>
      <w:r>
        <w:t xml:space="preserve"> COMMITTEE ON BIOETHICS; COMMITTEE ON GENETICS, AND; AMERICAN COLLEGE OF MEDICAL GENETICS AND; GENOMICS SOCIAL; ETHICAL; LEGAL ISSUES COMMITTEE (2013). Ethical and policy issues in genetic testing and screening of children. </w:t>
      </w:r>
      <w:r>
        <w:rPr>
          <w:i/>
          <w:iCs/>
        </w:rPr>
        <w:t>Pediatrics</w:t>
      </w:r>
      <w:r>
        <w:t>. 131(3):620-2. doi: 10.1542/peds.2012-3680.</w:t>
      </w:r>
    </w:p>
  </w:footnote>
  <w:footnote w:id="10">
    <w:p w14:paraId="7CEFC68C" w14:textId="77777777" w:rsidR="004920C3" w:rsidRDefault="004920C3" w:rsidP="00EB46E9">
      <w:pPr>
        <w:pStyle w:val="TableFigureFooter"/>
      </w:pPr>
      <w:r>
        <w:rPr>
          <w:rStyle w:val="FootnoteReference"/>
        </w:rPr>
        <w:footnoteRef/>
      </w:r>
      <w:r>
        <w:t xml:space="preserve"> Australian Law Reform Commission &amp; National Health and Medical Research Council (Australia) &amp; Australian Health Ethics Committee. (2003). Essentially yours: the protection of human genetic information in Australia (Chapter 24 Population genetic screening programs). From https://www.alrc.gov.au/publication/essentially-yours-the-protection-of-human-genetic-information-in-australia-alrc-report-96/24-population-genetic-screening/population-genetic-screening-programs/</w:t>
      </w:r>
    </w:p>
  </w:footnote>
  <w:footnote w:id="11">
    <w:p w14:paraId="7F11569D" w14:textId="77777777" w:rsidR="004920C3" w:rsidRDefault="004920C3" w:rsidP="001F196B">
      <w:pPr>
        <w:pStyle w:val="TableFigureFooter"/>
      </w:pPr>
      <w:r>
        <w:rPr>
          <w:rStyle w:val="FootnoteReference"/>
        </w:rPr>
        <w:footnoteRef/>
      </w:r>
      <w:r>
        <w:t xml:space="preserve"> </w:t>
      </w:r>
      <w:hyperlink r:id="rId5" w:tgtFrame="_blank" w:tooltip="https://www.health.gov.au/sites/default/files/2024-06/newborn-bloodspot-screening-expansion-readiness-assessment-executive-summary_0.pdf" w:history="1">
        <w:r>
          <w:rPr>
            <w:rStyle w:val="Hyperlink"/>
          </w:rPr>
          <w:t>https://www.health.gov.au/sites/default/files/2024-06/newborn-bloodspot-screening-expansion-readiness-assessment-executive-summary_0.pdf</w:t>
        </w:r>
      </w:hyperlink>
    </w:p>
  </w:footnote>
  <w:footnote w:id="12">
    <w:p w14:paraId="6911C901" w14:textId="2F232715" w:rsidR="004920C3" w:rsidRDefault="004920C3" w:rsidP="003D1A85">
      <w:pPr>
        <w:pStyle w:val="TableFigureFooter"/>
      </w:pPr>
      <w:r>
        <w:rPr>
          <w:rStyle w:val="FootnoteReference"/>
        </w:rPr>
        <w:footnoteRef/>
      </w:r>
      <w:r>
        <w:t xml:space="preserve"> Paternal relatives would only receive cascade testing if the index case is a female at risk of MPS II due to X-chromosome anomaly or skewed X-chromosome inactivation. </w:t>
      </w:r>
    </w:p>
  </w:footnote>
  <w:footnote w:id="13">
    <w:p w14:paraId="5734C53D" w14:textId="03AD055C" w:rsidR="004920C3" w:rsidRDefault="004920C3" w:rsidP="003D1A85">
      <w:pPr>
        <w:pStyle w:val="TableFigureFooter"/>
      </w:pPr>
      <w:r>
        <w:rPr>
          <w:rStyle w:val="FootnoteReference"/>
        </w:rPr>
        <w:footnoteRef/>
      </w:r>
      <w:r>
        <w:t xml:space="preserve"> </w:t>
      </w:r>
      <w:r w:rsidRPr="002D4BDD">
        <w:t>Vears, DF</w:t>
      </w:r>
      <w:r>
        <w:t xml:space="preserve"> et al.</w:t>
      </w:r>
      <w:r w:rsidRPr="002D4BDD">
        <w:t xml:space="preserve"> </w:t>
      </w:r>
      <w:r>
        <w:t>(</w:t>
      </w:r>
      <w:r w:rsidRPr="002D4BDD">
        <w:t>2023</w:t>
      </w:r>
      <w:r>
        <w:t xml:space="preserve">). </w:t>
      </w:r>
      <w:r w:rsidRPr="002D4BDD">
        <w:t>Human Genetics Society of Australasia Position Statement: Genetic Carrier Testing for Recessive Conditions</w:t>
      </w:r>
      <w:r>
        <w:t>.</w:t>
      </w:r>
      <w:r w:rsidRPr="002D4BDD">
        <w:t xml:space="preserve"> </w:t>
      </w:r>
      <w:r w:rsidRPr="002D4BDD">
        <w:rPr>
          <w:i/>
          <w:iCs/>
        </w:rPr>
        <w:t>Twin Res Hum Genet</w:t>
      </w:r>
      <w:r w:rsidRPr="002D4BDD">
        <w:t xml:space="preserve"> 26</w:t>
      </w:r>
      <w:r>
        <w:t>(</w:t>
      </w:r>
      <w:r w:rsidRPr="002D4BDD">
        <w:t>2</w:t>
      </w:r>
      <w:r>
        <w:t>):</w:t>
      </w:r>
      <w:r w:rsidRPr="002D4BDD">
        <w:t>188-194</w:t>
      </w:r>
      <w:r>
        <w:t>. DOI:</w:t>
      </w:r>
      <w:r w:rsidRPr="002D4BDD">
        <w:t>10.1017/thg.2023.15.</w:t>
      </w:r>
    </w:p>
  </w:footnote>
  <w:footnote w:id="14">
    <w:p w14:paraId="1E7F86E9" w14:textId="29BD7F58" w:rsidR="004920C3" w:rsidRPr="005A368B" w:rsidRDefault="004920C3" w:rsidP="00641DCD">
      <w:pPr>
        <w:pStyle w:val="TableFigureFooter"/>
      </w:pPr>
      <w:r>
        <w:rPr>
          <w:rStyle w:val="FootnoteReference"/>
        </w:rPr>
        <w:footnoteRef/>
      </w:r>
      <w:r>
        <w:t xml:space="preserve"> </w:t>
      </w:r>
      <w:r w:rsidRPr="005A368B">
        <w:t>Huynh, T</w:t>
      </w:r>
      <w:r>
        <w:t xml:space="preserve"> et al. (</w:t>
      </w:r>
      <w:r w:rsidRPr="005A368B">
        <w:t>2022</w:t>
      </w:r>
      <w:r>
        <w:t>).</w:t>
      </w:r>
      <w:r w:rsidRPr="005A368B">
        <w:t xml:space="preserve"> Fifty years of newborn screening for congenital hypothyroidism: current status in Australasia and the case for harmonisation</w:t>
      </w:r>
      <w:r>
        <w:t>.</w:t>
      </w:r>
      <w:r w:rsidRPr="005A368B">
        <w:t xml:space="preserve"> </w:t>
      </w:r>
      <w:r w:rsidRPr="003E361D">
        <w:rPr>
          <w:i/>
        </w:rPr>
        <w:t>Clin Chem Lab Med</w:t>
      </w:r>
      <w:r w:rsidRPr="005A368B">
        <w:t xml:space="preserve"> 60</w:t>
      </w:r>
      <w:r>
        <w:t>(</w:t>
      </w:r>
      <w:r w:rsidRPr="005A368B">
        <w:t>10</w:t>
      </w:r>
      <w:r>
        <w:t>):</w:t>
      </w:r>
      <w:r w:rsidRPr="005A368B">
        <w:t xml:space="preserve"> 1551-1561</w:t>
      </w:r>
      <w:r>
        <w:t>.</w:t>
      </w:r>
      <w:r w:rsidRPr="005A368B">
        <w:t xml:space="preserve"> DOI 10.1515/cclm-2022-0403.</w:t>
      </w:r>
    </w:p>
  </w:footnote>
  <w:footnote w:id="15">
    <w:p w14:paraId="6F0C336E" w14:textId="0486F6D2" w:rsidR="004920C3" w:rsidRDefault="004920C3" w:rsidP="00641DCD">
      <w:pPr>
        <w:pStyle w:val="TableFigureFooter"/>
      </w:pPr>
      <w:r>
        <w:rPr>
          <w:rStyle w:val="FootnoteReference"/>
        </w:rPr>
        <w:footnoteRef/>
      </w:r>
      <w:r>
        <w:t xml:space="preserve"> </w:t>
      </w:r>
      <w:r w:rsidRPr="00C34918">
        <w:t xml:space="preserve">Shapiro, EG, Jones, SA &amp; Escolar, ML </w:t>
      </w:r>
      <w:r>
        <w:t>(</w:t>
      </w:r>
      <w:r w:rsidRPr="00C34918">
        <w:t>2017</w:t>
      </w:r>
      <w:r>
        <w:t xml:space="preserve">). </w:t>
      </w:r>
      <w:r w:rsidRPr="00C34918">
        <w:t>Developmental and behavioral aspects of mucopolysaccharidoses with brain manifestations — Neurological signs and symptoms</w:t>
      </w:r>
      <w:r>
        <w:t>.</w:t>
      </w:r>
      <w:r w:rsidRPr="00C34918">
        <w:t xml:space="preserve"> </w:t>
      </w:r>
      <w:r w:rsidRPr="00C34918">
        <w:rPr>
          <w:i/>
          <w:iCs/>
        </w:rPr>
        <w:t>Mol Genet Metab</w:t>
      </w:r>
      <w:r>
        <w:rPr>
          <w:i/>
          <w:iCs/>
        </w:rPr>
        <w:t xml:space="preserve"> </w:t>
      </w:r>
      <w:r w:rsidRPr="00C34918">
        <w:t>122</w:t>
      </w:r>
      <w:r>
        <w:t>:</w:t>
      </w:r>
      <w:r w:rsidRPr="00C34918">
        <w:t xml:space="preserve"> 1-7.</w:t>
      </w:r>
    </w:p>
  </w:footnote>
  <w:footnote w:id="16">
    <w:p w14:paraId="426379F7" w14:textId="010D399C" w:rsidR="004920C3" w:rsidRDefault="004920C3" w:rsidP="00B14F63">
      <w:pPr>
        <w:pStyle w:val="TableFigureFooter"/>
      </w:pPr>
      <w:r>
        <w:rPr>
          <w:rStyle w:val="FootnoteReference"/>
        </w:rPr>
        <w:footnoteRef/>
      </w:r>
      <w:r>
        <w:t xml:space="preserve"> </w:t>
      </w:r>
      <w:r w:rsidRPr="00531588">
        <w:t xml:space="preserve">Lin, HY </w:t>
      </w:r>
      <w:r>
        <w:t>et al.</w:t>
      </w:r>
      <w:r w:rsidRPr="00531588">
        <w:t xml:space="preserve"> </w:t>
      </w:r>
      <w:r>
        <w:t>(</w:t>
      </w:r>
      <w:r w:rsidRPr="00531588">
        <w:t>2022</w:t>
      </w:r>
      <w:r>
        <w:t xml:space="preserve">). </w:t>
      </w:r>
      <w:r w:rsidRPr="00531588">
        <w:t>Newborn Screening Program for Mucopolysaccharidosis Type II and Long-Term Follow-Up of the Screen-Positive Subjects in Taiwan</w:t>
      </w:r>
      <w:r>
        <w:t>.</w:t>
      </w:r>
      <w:r w:rsidRPr="00531588">
        <w:t xml:space="preserve"> </w:t>
      </w:r>
      <w:r w:rsidRPr="00414A96">
        <w:rPr>
          <w:i/>
        </w:rPr>
        <w:t>J Pers Med</w:t>
      </w:r>
      <w:r w:rsidRPr="00531588">
        <w:t xml:space="preserve"> 12</w:t>
      </w:r>
      <w:r>
        <w:t>(</w:t>
      </w:r>
      <w:r w:rsidRPr="00531588">
        <w:t>7</w:t>
      </w:r>
      <w:r>
        <w:t>):</w:t>
      </w:r>
      <w:r w:rsidRPr="00531588">
        <w:t>6-21.</w:t>
      </w:r>
    </w:p>
  </w:footnote>
  <w:footnote w:id="17">
    <w:p w14:paraId="6E78C626" w14:textId="08A2859D" w:rsidR="004920C3" w:rsidRDefault="004920C3" w:rsidP="00B14F63">
      <w:pPr>
        <w:pStyle w:val="TableFigureFooter"/>
      </w:pPr>
      <w:r>
        <w:rPr>
          <w:rStyle w:val="FootnoteReference"/>
        </w:rPr>
        <w:footnoteRef/>
      </w:r>
      <w:r>
        <w:t xml:space="preserve"> </w:t>
      </w:r>
      <w:r w:rsidRPr="00C34918">
        <w:t>Bilyeu, H</w:t>
      </w:r>
      <w:r>
        <w:t xml:space="preserve"> et al. (</w:t>
      </w:r>
      <w:r w:rsidRPr="00C34918">
        <w:t>2020</w:t>
      </w:r>
      <w:r>
        <w:t xml:space="preserve">). </w:t>
      </w:r>
      <w:r w:rsidRPr="00C34918">
        <w:t>Validation and Implementation of a Highly Sensitive and Efficient Newborn Screening Assay for Mucopolysaccharidosis Type II</w:t>
      </w:r>
      <w:r>
        <w:t>.</w:t>
      </w:r>
      <w:r w:rsidRPr="00C34918">
        <w:t xml:space="preserve"> </w:t>
      </w:r>
      <w:r w:rsidRPr="00C34918">
        <w:rPr>
          <w:i/>
          <w:iCs/>
        </w:rPr>
        <w:t>Int J Neonatal Screen</w:t>
      </w:r>
      <w:r w:rsidRPr="00C34918">
        <w:t xml:space="preserve"> 6</w:t>
      </w:r>
      <w:r>
        <w:t>(</w:t>
      </w:r>
      <w:r w:rsidRPr="00C34918">
        <w:t>4</w:t>
      </w:r>
      <w:r>
        <w:t>)</w:t>
      </w:r>
      <w:r w:rsidRPr="00C34918">
        <w:t>.</w:t>
      </w:r>
    </w:p>
  </w:footnote>
  <w:footnote w:id="18">
    <w:p w14:paraId="73742C81" w14:textId="3DA95D71" w:rsidR="004920C3" w:rsidRDefault="004920C3" w:rsidP="00B14F63">
      <w:pPr>
        <w:pStyle w:val="TableFigureFooter"/>
      </w:pPr>
      <w:r>
        <w:rPr>
          <w:rStyle w:val="FootnoteReference"/>
        </w:rPr>
        <w:footnoteRef/>
      </w:r>
      <w:r>
        <w:t xml:space="preserve"> </w:t>
      </w:r>
      <w:r w:rsidRPr="00C34918">
        <w:t>Burton, BK</w:t>
      </w:r>
      <w:r>
        <w:t xml:space="preserve"> et al.</w:t>
      </w:r>
      <w:r w:rsidRPr="00C34918">
        <w:t xml:space="preserve"> </w:t>
      </w:r>
      <w:r>
        <w:t>(</w:t>
      </w:r>
      <w:r w:rsidRPr="00C34918">
        <w:t>2023</w:t>
      </w:r>
      <w:r>
        <w:t>).</w:t>
      </w:r>
      <w:r w:rsidRPr="00C34918">
        <w:t xml:space="preserve"> Newborn screening for mucopolysaccharidosis type II: Lessons learned</w:t>
      </w:r>
      <w:r>
        <w:t>.</w:t>
      </w:r>
      <w:r w:rsidRPr="00C34918">
        <w:t xml:space="preserve"> </w:t>
      </w:r>
      <w:r w:rsidRPr="00C34918">
        <w:rPr>
          <w:i/>
          <w:iCs/>
        </w:rPr>
        <w:t>Mol Genet Metab</w:t>
      </w:r>
      <w:r>
        <w:t xml:space="preserve"> </w:t>
      </w:r>
      <w:r w:rsidRPr="00C34918">
        <w:t>140</w:t>
      </w:r>
      <w:r>
        <w:t>(</w:t>
      </w:r>
      <w:r w:rsidRPr="00C34918">
        <w:t>1</w:t>
      </w:r>
      <w:r>
        <w:t>):</w:t>
      </w:r>
      <w:r w:rsidRPr="00C34918">
        <w:t>107557.</w:t>
      </w:r>
    </w:p>
  </w:footnote>
  <w:footnote w:id="19">
    <w:p w14:paraId="1C2B8126" w14:textId="56AC061A" w:rsidR="004920C3" w:rsidRDefault="004920C3" w:rsidP="00B14F63">
      <w:pPr>
        <w:pStyle w:val="TableFigureFooter"/>
      </w:pPr>
      <w:r>
        <w:rPr>
          <w:rStyle w:val="FootnoteReference"/>
        </w:rPr>
        <w:footnoteRef/>
      </w:r>
      <w:r>
        <w:t xml:space="preserve"> </w:t>
      </w:r>
      <w:r w:rsidRPr="00C34918">
        <w:t>Hattori, Y</w:t>
      </w:r>
      <w:r>
        <w:t xml:space="preserve"> et al. (</w:t>
      </w:r>
      <w:r w:rsidRPr="00C34918">
        <w:t>2023</w:t>
      </w:r>
      <w:r>
        <w:t xml:space="preserve">). </w:t>
      </w:r>
      <w:r w:rsidRPr="00C34918">
        <w:t>Frequency of iduronate-2-sulfatase gene variants detected in newborn screening for mucopolysaccharidosis type II in Japan</w:t>
      </w:r>
      <w:r>
        <w:t>.</w:t>
      </w:r>
      <w:r w:rsidRPr="00C34918">
        <w:t xml:space="preserve"> </w:t>
      </w:r>
      <w:r w:rsidRPr="00C34918">
        <w:rPr>
          <w:i/>
          <w:iCs/>
        </w:rPr>
        <w:t>Mol Genet Metab Rep</w:t>
      </w:r>
      <w:r w:rsidRPr="00C34918">
        <w:t xml:space="preserve"> 37</w:t>
      </w:r>
      <w:r>
        <w:t>:</w:t>
      </w:r>
      <w:r w:rsidRPr="00C34918">
        <w:t>101003.</w:t>
      </w:r>
    </w:p>
  </w:footnote>
  <w:footnote w:id="20">
    <w:p w14:paraId="5D04FB4F" w14:textId="037FF5B9" w:rsidR="004920C3" w:rsidRDefault="004920C3" w:rsidP="00B14F63">
      <w:pPr>
        <w:pStyle w:val="TableFigureFooter"/>
      </w:pPr>
      <w:r>
        <w:rPr>
          <w:rStyle w:val="FootnoteReference"/>
        </w:rPr>
        <w:footnoteRef/>
      </w:r>
      <w:r>
        <w:t xml:space="preserve"> </w:t>
      </w:r>
      <w:r w:rsidRPr="0090755D">
        <w:t>Herbst, ZM</w:t>
      </w:r>
      <w:r>
        <w:t xml:space="preserve"> et al. (</w:t>
      </w:r>
      <w:r w:rsidRPr="0090755D">
        <w:t>2022</w:t>
      </w:r>
      <w:r>
        <w:t xml:space="preserve">). </w:t>
      </w:r>
      <w:r w:rsidRPr="0090755D">
        <w:t>Evaluation of Two Methods for Quantification of Glycosaminoglycan Biomarkers in Newborn Dried Blood Spots from Patients with Severe and Attenuated Mucopolysaccharidosis Type II</w:t>
      </w:r>
      <w:r>
        <w:t>.</w:t>
      </w:r>
      <w:r w:rsidRPr="0090755D">
        <w:t xml:space="preserve"> </w:t>
      </w:r>
      <w:r w:rsidRPr="0090755D">
        <w:rPr>
          <w:i/>
        </w:rPr>
        <w:t>Int J Neonatal Screen</w:t>
      </w:r>
      <w:r w:rsidRPr="0090755D">
        <w:t xml:space="preserve"> 8</w:t>
      </w:r>
      <w:r>
        <w:t>(</w:t>
      </w:r>
      <w:r w:rsidRPr="0090755D">
        <w:t>1</w:t>
      </w:r>
      <w:r>
        <w:t>).</w:t>
      </w:r>
    </w:p>
  </w:footnote>
  <w:footnote w:id="21">
    <w:p w14:paraId="2F422D99" w14:textId="12831A78" w:rsidR="004920C3" w:rsidRDefault="004920C3" w:rsidP="00B14F63">
      <w:pPr>
        <w:pStyle w:val="TableFigureFooter"/>
      </w:pPr>
      <w:r>
        <w:rPr>
          <w:rStyle w:val="FootnoteReference"/>
        </w:rPr>
        <w:footnoteRef/>
      </w:r>
      <w:r>
        <w:t xml:space="preserve"> </w:t>
      </w:r>
      <w:r w:rsidRPr="00F063A3">
        <w:t>Stapleton, M</w:t>
      </w:r>
      <w:r>
        <w:t xml:space="preserve"> et al. (</w:t>
      </w:r>
      <w:r w:rsidRPr="00F063A3">
        <w:t>2020</w:t>
      </w:r>
      <w:r>
        <w:t xml:space="preserve">). </w:t>
      </w:r>
      <w:r w:rsidRPr="00F063A3">
        <w:t>Newborn screening for mucopolysaccharidoses: Measurement of glycosaminoglycans by LC-MS/MS</w:t>
      </w:r>
      <w:r>
        <w:t>.</w:t>
      </w:r>
      <w:r w:rsidRPr="00F063A3">
        <w:t xml:space="preserve"> </w:t>
      </w:r>
      <w:r w:rsidRPr="00414A96">
        <w:rPr>
          <w:i/>
        </w:rPr>
        <w:t>Mol Genet Metab Rep</w:t>
      </w:r>
      <w:r w:rsidRPr="00F063A3">
        <w:t xml:space="preserve"> 22</w:t>
      </w:r>
      <w:r>
        <w:t>:</w:t>
      </w:r>
      <w:r w:rsidRPr="00F063A3">
        <w:t>100563.</w:t>
      </w:r>
    </w:p>
  </w:footnote>
  <w:footnote w:id="22">
    <w:p w14:paraId="20F55360" w14:textId="7D9A86D8" w:rsidR="004920C3" w:rsidRDefault="004920C3" w:rsidP="00FF33B7">
      <w:pPr>
        <w:pStyle w:val="TableFigureFooter"/>
      </w:pPr>
      <w:r>
        <w:rPr>
          <w:rStyle w:val="FootnoteReference"/>
        </w:rPr>
        <w:footnoteRef/>
      </w:r>
      <w:r>
        <w:t xml:space="preserve"> </w:t>
      </w:r>
      <w:r w:rsidRPr="0090755D">
        <w:t>Lin, HY</w:t>
      </w:r>
      <w:r>
        <w:t xml:space="preserve"> et al.(</w:t>
      </w:r>
      <w:r w:rsidRPr="0090755D">
        <w:t>2020a</w:t>
      </w:r>
      <w:r>
        <w:t xml:space="preserve">). </w:t>
      </w:r>
      <w:r w:rsidRPr="0090755D">
        <w:t>Survival and diagnostic age of 175 Taiwanese patients with mucopolysaccharidoses (1985-2019)</w:t>
      </w:r>
      <w:r>
        <w:t>.</w:t>
      </w:r>
      <w:r w:rsidRPr="0090755D">
        <w:t xml:space="preserve"> </w:t>
      </w:r>
      <w:r w:rsidRPr="0090755D">
        <w:rPr>
          <w:i/>
        </w:rPr>
        <w:t>Orphanet J Rare Dis</w:t>
      </w:r>
      <w:r w:rsidRPr="0090755D">
        <w:t xml:space="preserve"> 15</w:t>
      </w:r>
      <w:r>
        <w:t>(</w:t>
      </w:r>
      <w:r w:rsidRPr="0090755D">
        <w:t>1</w:t>
      </w:r>
      <w:r>
        <w:t>):</w:t>
      </w:r>
      <w:r w:rsidRPr="0090755D">
        <w:t xml:space="preserve"> 314</w:t>
      </w:r>
      <w:r>
        <w:t>.</w:t>
      </w:r>
    </w:p>
  </w:footnote>
  <w:footnote w:id="23">
    <w:p w14:paraId="70E90984" w14:textId="4B12E3A4" w:rsidR="004920C3" w:rsidRDefault="004920C3" w:rsidP="00FF33B7">
      <w:pPr>
        <w:pStyle w:val="TableFigureFooter"/>
      </w:pPr>
      <w:r>
        <w:rPr>
          <w:rStyle w:val="FootnoteReference"/>
        </w:rPr>
        <w:footnoteRef/>
      </w:r>
      <w:r>
        <w:t xml:space="preserve"> </w:t>
      </w:r>
      <w:r w:rsidRPr="0073424D">
        <w:t>Crowe, L</w:t>
      </w:r>
      <w:r>
        <w:t xml:space="preserve"> et al. (</w:t>
      </w:r>
      <w:r w:rsidRPr="0073424D">
        <w:t>2017</w:t>
      </w:r>
      <w:r>
        <w:t xml:space="preserve">). </w:t>
      </w:r>
      <w:r w:rsidRPr="0073424D">
        <w:t>Cognitive and behaviour profiles of children with mucopolysaccharidosis Type II</w:t>
      </w:r>
      <w:r>
        <w:t>.</w:t>
      </w:r>
      <w:r w:rsidRPr="0073424D">
        <w:t xml:space="preserve"> </w:t>
      </w:r>
      <w:r w:rsidRPr="0073424D">
        <w:rPr>
          <w:i/>
          <w:iCs/>
        </w:rPr>
        <w:t>Cogn Neuropsychol</w:t>
      </w:r>
      <w:r>
        <w:rPr>
          <w:i/>
          <w:iCs/>
        </w:rPr>
        <w:t xml:space="preserve"> </w:t>
      </w:r>
      <w:r w:rsidRPr="0073424D">
        <w:t>34</w:t>
      </w:r>
      <w:r>
        <w:t>(</w:t>
      </w:r>
      <w:r w:rsidRPr="0073424D">
        <w:t>6</w:t>
      </w:r>
      <w:r>
        <w:t>):</w:t>
      </w:r>
      <w:r w:rsidRPr="0073424D">
        <w:t>347-356.</w:t>
      </w:r>
    </w:p>
  </w:footnote>
  <w:footnote w:id="24">
    <w:p w14:paraId="062BCC97" w14:textId="5B648BA1" w:rsidR="004920C3" w:rsidRDefault="004920C3" w:rsidP="00DE04AE">
      <w:pPr>
        <w:pStyle w:val="TableFigureFooter"/>
      </w:pPr>
      <w:r>
        <w:rPr>
          <w:rStyle w:val="FootnoteReference"/>
        </w:rPr>
        <w:footnoteRef/>
      </w:r>
      <w:r>
        <w:t xml:space="preserve"> </w:t>
      </w:r>
      <w:r w:rsidRPr="0090755D">
        <w:t>Yee, KS</w:t>
      </w:r>
      <w:r>
        <w:t xml:space="preserve"> et al. (</w:t>
      </w:r>
      <w:r w:rsidRPr="0090755D">
        <w:t>2022</w:t>
      </w:r>
      <w:r>
        <w:t xml:space="preserve">). </w:t>
      </w:r>
      <w:r w:rsidRPr="0090755D">
        <w:t>Impact of the Timing of Enzyme Replacement Therapy Initiation and Cognitive Impairment Status on Outcomes for Patients with Mucopolysaccharidosis II (MPS II) in the United States: A Retrospective Chart Review</w:t>
      </w:r>
      <w:r>
        <w:t>.</w:t>
      </w:r>
      <w:r w:rsidRPr="0090755D">
        <w:t xml:space="preserve"> </w:t>
      </w:r>
      <w:r w:rsidRPr="0090755D">
        <w:rPr>
          <w:i/>
        </w:rPr>
        <w:t>J Health Econ Outcomes Res</w:t>
      </w:r>
      <w:r>
        <w:rPr>
          <w:i/>
        </w:rPr>
        <w:t xml:space="preserve"> </w:t>
      </w:r>
      <w:r w:rsidRPr="0090755D">
        <w:t>9</w:t>
      </w:r>
      <w:r>
        <w:t>(</w:t>
      </w:r>
      <w:r w:rsidRPr="0090755D">
        <w:t>2</w:t>
      </w:r>
      <w:r>
        <w:t>):</w:t>
      </w:r>
      <w:r w:rsidRPr="0090755D">
        <w:t>67-76</w:t>
      </w:r>
      <w:r>
        <w:t>.</w:t>
      </w:r>
    </w:p>
  </w:footnote>
  <w:footnote w:id="25">
    <w:p w14:paraId="65C4253E" w14:textId="07165F4E" w:rsidR="004920C3" w:rsidRDefault="004920C3" w:rsidP="00DE04AE">
      <w:pPr>
        <w:pStyle w:val="TableFigureFooter"/>
      </w:pPr>
      <w:r>
        <w:rPr>
          <w:rStyle w:val="FootnoteReference"/>
        </w:rPr>
        <w:footnoteRef/>
      </w:r>
      <w:r>
        <w:t xml:space="preserve"> </w:t>
      </w:r>
      <w:r w:rsidRPr="004C02AC">
        <w:t>Tomanin, R</w:t>
      </w:r>
      <w:r>
        <w:t xml:space="preserve"> et al. (</w:t>
      </w:r>
      <w:r w:rsidRPr="004C02AC">
        <w:t>2014</w:t>
      </w:r>
      <w:r>
        <w:t xml:space="preserve">). </w:t>
      </w:r>
      <w:r w:rsidRPr="004C02AC">
        <w:t>Clinical efficacy of enzyme replacement therapy in paediatric Hunter patients, an independent study of 3.5 years</w:t>
      </w:r>
      <w:r>
        <w:t>.</w:t>
      </w:r>
      <w:r w:rsidRPr="004C02AC">
        <w:t xml:space="preserve"> </w:t>
      </w:r>
      <w:r w:rsidRPr="00414A96">
        <w:rPr>
          <w:i/>
        </w:rPr>
        <w:t>Orphanet J Rare Dis</w:t>
      </w:r>
      <w:r w:rsidRPr="004C02AC">
        <w:t xml:space="preserve"> 9</w:t>
      </w:r>
      <w:r>
        <w:t>:</w:t>
      </w:r>
      <w:r w:rsidRPr="004C02AC">
        <w:t>129.</w:t>
      </w:r>
    </w:p>
  </w:footnote>
  <w:footnote w:id="26">
    <w:p w14:paraId="3AA5DF22" w14:textId="267986C9" w:rsidR="004920C3" w:rsidRDefault="004920C3" w:rsidP="00DE04AE">
      <w:pPr>
        <w:pStyle w:val="TableFigureFooter"/>
      </w:pPr>
      <w:r>
        <w:rPr>
          <w:rStyle w:val="FootnoteReference"/>
        </w:rPr>
        <w:footnoteRef/>
      </w:r>
      <w:r>
        <w:t xml:space="preserve"> </w:t>
      </w:r>
      <w:r w:rsidRPr="00EC75EB">
        <w:t>Tanjuakio, J</w:t>
      </w:r>
      <w:r>
        <w:t xml:space="preserve"> et al. (</w:t>
      </w:r>
      <w:r w:rsidRPr="00EC75EB">
        <w:t>2015</w:t>
      </w:r>
      <w:r>
        <w:t xml:space="preserve">). </w:t>
      </w:r>
      <w:r w:rsidRPr="00EC75EB">
        <w:t>Activities of daily living in patients with Hunter syndrome: impact of enzyme replacement therapy and hematopoietic stem cell transplantation</w:t>
      </w:r>
      <w:r>
        <w:t>.</w:t>
      </w:r>
      <w:r w:rsidRPr="00EC75EB">
        <w:t xml:space="preserve"> </w:t>
      </w:r>
      <w:r w:rsidRPr="00414A96">
        <w:rPr>
          <w:i/>
        </w:rPr>
        <w:t xml:space="preserve">Mol Genet </w:t>
      </w:r>
      <w:r w:rsidRPr="00414A96">
        <w:rPr>
          <w:i/>
          <w:iCs/>
        </w:rPr>
        <w:t>Metab</w:t>
      </w:r>
      <w:r w:rsidRPr="00EC75EB">
        <w:t>114</w:t>
      </w:r>
      <w:r>
        <w:t>(</w:t>
      </w:r>
      <w:r w:rsidRPr="00EC75EB">
        <w:t>2</w:t>
      </w:r>
      <w:r>
        <w:t>):</w:t>
      </w:r>
      <w:r w:rsidRPr="00EC75EB">
        <w:t>161-169.</w:t>
      </w:r>
    </w:p>
  </w:footnote>
  <w:footnote w:id="27">
    <w:p w14:paraId="26B6C322" w14:textId="1DFBDCF5" w:rsidR="004920C3" w:rsidRDefault="004920C3" w:rsidP="00DE04AE">
      <w:pPr>
        <w:pStyle w:val="TableFigureFooter"/>
      </w:pPr>
      <w:r>
        <w:rPr>
          <w:rStyle w:val="FootnoteReference"/>
        </w:rPr>
        <w:footnoteRef/>
      </w:r>
      <w:r>
        <w:t xml:space="preserve"> </w:t>
      </w:r>
      <w:r w:rsidRPr="009E78B2">
        <w:t>Vafiadaki, E</w:t>
      </w:r>
      <w:r>
        <w:t xml:space="preserve"> et al.(</w:t>
      </w:r>
      <w:r w:rsidRPr="009E78B2">
        <w:t>1998</w:t>
      </w:r>
      <w:r>
        <w:t xml:space="preserve">). </w:t>
      </w:r>
      <w:r w:rsidRPr="009E78B2">
        <w:t>Mutation analysis in 57 unrelated patients with MPS II (Hunter's disease)</w:t>
      </w:r>
      <w:r>
        <w:t>.</w:t>
      </w:r>
      <w:r w:rsidRPr="009E78B2">
        <w:t xml:space="preserve"> </w:t>
      </w:r>
      <w:r w:rsidRPr="009E78B2">
        <w:rPr>
          <w:i/>
          <w:iCs/>
        </w:rPr>
        <w:t>Arch Dis Child</w:t>
      </w:r>
      <w:r w:rsidRPr="009E78B2">
        <w:t>79</w:t>
      </w:r>
      <w:r>
        <w:t>(</w:t>
      </w:r>
      <w:r w:rsidRPr="009E78B2">
        <w:t>3</w:t>
      </w:r>
      <w:r>
        <w:t>):</w:t>
      </w:r>
      <w:r w:rsidRPr="009E78B2">
        <w:t>237-241.</w:t>
      </w:r>
    </w:p>
  </w:footnote>
  <w:footnote w:id="28">
    <w:p w14:paraId="196AB31A" w14:textId="186B3A8F" w:rsidR="004920C3" w:rsidRDefault="004920C3" w:rsidP="00DE04AE">
      <w:pPr>
        <w:pStyle w:val="TableFigureFooter"/>
      </w:pPr>
      <w:r>
        <w:rPr>
          <w:rStyle w:val="FootnoteReference"/>
        </w:rPr>
        <w:footnoteRef/>
      </w:r>
      <w:r>
        <w:t xml:space="preserve"> </w:t>
      </w:r>
      <w:r w:rsidRPr="00313639">
        <w:t>Qu, L &amp; Baxter, J 2023, Births in Australia, Australian Government, Canberra.</w:t>
      </w:r>
    </w:p>
  </w:footnote>
  <w:footnote w:id="29">
    <w:p w14:paraId="43F8F352" w14:textId="257975D0" w:rsidR="004920C3" w:rsidRDefault="004920C3" w:rsidP="001117CE">
      <w:pPr>
        <w:pStyle w:val="TableFigureFooter"/>
      </w:pPr>
      <w:r>
        <w:rPr>
          <w:rStyle w:val="FootnoteReference"/>
        </w:rPr>
        <w:footnoteRef/>
      </w:r>
      <w:r>
        <w:t xml:space="preserve"> </w:t>
      </w:r>
      <w:r w:rsidRPr="00C34918">
        <w:t>Burton, BK</w:t>
      </w:r>
      <w:r>
        <w:t xml:space="preserve"> et al.(</w:t>
      </w:r>
      <w:r w:rsidRPr="00C34918">
        <w:t>2023</w:t>
      </w:r>
      <w:r>
        <w:t xml:space="preserve">). </w:t>
      </w:r>
      <w:r w:rsidRPr="00C34918">
        <w:t>Newborn screening for mucopolysaccharidosis type II: Lessons learned</w:t>
      </w:r>
      <w:r>
        <w:t>.</w:t>
      </w:r>
      <w:r w:rsidRPr="00C34918">
        <w:t xml:space="preserve"> </w:t>
      </w:r>
      <w:r w:rsidRPr="00C34918">
        <w:rPr>
          <w:i/>
          <w:iCs/>
        </w:rPr>
        <w:t>Mol Genet Metab</w:t>
      </w:r>
      <w:r w:rsidRPr="00C34918">
        <w:t xml:space="preserve"> 140</w:t>
      </w:r>
      <w:r>
        <w:t>(</w:t>
      </w:r>
      <w:r w:rsidRPr="00C34918">
        <w:t>1</w:t>
      </w:r>
      <w:r>
        <w:t>):</w:t>
      </w:r>
      <w:r w:rsidRPr="00C34918">
        <w:t>107557.</w:t>
      </w:r>
    </w:p>
  </w:footnote>
  <w:footnote w:id="30">
    <w:p w14:paraId="146ED47C" w14:textId="791A88C1" w:rsidR="004920C3" w:rsidRDefault="004920C3" w:rsidP="001117CE">
      <w:pPr>
        <w:pStyle w:val="TableFigureFooter"/>
      </w:pPr>
      <w:r>
        <w:rPr>
          <w:rStyle w:val="FootnoteReference"/>
        </w:rPr>
        <w:footnoteRef/>
      </w:r>
      <w:r>
        <w:t xml:space="preserve"> </w:t>
      </w:r>
      <w:r w:rsidRPr="00C34918">
        <w:t>Quaio, CR</w:t>
      </w:r>
      <w:r>
        <w:t xml:space="preserve"> et al. (</w:t>
      </w:r>
      <w:r w:rsidRPr="00C34918">
        <w:t>2012</w:t>
      </w:r>
      <w:r>
        <w:t xml:space="preserve">). </w:t>
      </w:r>
      <w:r w:rsidRPr="00C34918">
        <w:t>Report of a Large Brazilian Family With a Very Attenuated Form of Hunter Syndrome (MPS II)</w:t>
      </w:r>
      <w:r>
        <w:t>.</w:t>
      </w:r>
      <w:r w:rsidRPr="00C34918">
        <w:t xml:space="preserve"> </w:t>
      </w:r>
      <w:r w:rsidRPr="00C34918">
        <w:rPr>
          <w:i/>
          <w:iCs/>
        </w:rPr>
        <w:t>JIMD Rep</w:t>
      </w:r>
      <w:r w:rsidRPr="00C34918">
        <w:t xml:space="preserve"> 4</w:t>
      </w:r>
      <w:r>
        <w:t>:</w:t>
      </w:r>
      <w:r w:rsidRPr="00C34918">
        <w:t>125-128.</w:t>
      </w:r>
    </w:p>
  </w:footnote>
  <w:footnote w:id="31">
    <w:p w14:paraId="667C3A7A" w14:textId="255ED4CF" w:rsidR="004920C3" w:rsidRPr="00E220C6" w:rsidRDefault="004920C3" w:rsidP="001117CE">
      <w:pPr>
        <w:pStyle w:val="TableFigureFooter"/>
        <w:rPr>
          <w:lang w:val="en-US"/>
        </w:rPr>
      </w:pPr>
      <w:r>
        <w:rPr>
          <w:rStyle w:val="FootnoteReference"/>
        </w:rPr>
        <w:footnoteRef/>
      </w:r>
      <w:r>
        <w:t xml:space="preserve"> </w:t>
      </w:r>
      <w:r w:rsidRPr="00C34918">
        <w:t>Scarpa, M</w:t>
      </w:r>
      <w:r>
        <w:t xml:space="preserve"> et al. (</w:t>
      </w:r>
      <w:r w:rsidRPr="00C34918">
        <w:t>2011</w:t>
      </w:r>
      <w:r>
        <w:t xml:space="preserve">). </w:t>
      </w:r>
      <w:r w:rsidRPr="00C34918">
        <w:t>Mucopolysaccharidosis type II: European recommendations for the diagnosis and multidisciplinary management of a rare disease</w:t>
      </w:r>
      <w:r>
        <w:t>.</w:t>
      </w:r>
      <w:r w:rsidRPr="00C34918">
        <w:t xml:space="preserve"> </w:t>
      </w:r>
      <w:r w:rsidRPr="00C34918">
        <w:rPr>
          <w:i/>
          <w:iCs/>
        </w:rPr>
        <w:t>Orphanet J Rare Dis</w:t>
      </w:r>
      <w:r w:rsidRPr="00C34918">
        <w:t xml:space="preserve"> 6</w:t>
      </w:r>
      <w:r>
        <w:t>:</w:t>
      </w:r>
      <w:r w:rsidRPr="00C34918">
        <w:t>72.</w:t>
      </w:r>
    </w:p>
  </w:footnote>
  <w:footnote w:id="32">
    <w:p w14:paraId="4C7FA6EE" w14:textId="50EEA27D" w:rsidR="004920C3" w:rsidRDefault="004920C3" w:rsidP="001117CE">
      <w:pPr>
        <w:pStyle w:val="TableFigureFooter"/>
      </w:pPr>
      <w:r>
        <w:rPr>
          <w:rStyle w:val="FootnoteReference"/>
        </w:rPr>
        <w:footnoteRef/>
      </w:r>
      <w:r>
        <w:t xml:space="preserve"> </w:t>
      </w:r>
      <w:r w:rsidRPr="00F83A14">
        <w:t xml:space="preserve">Ueda, K &amp; Hokugo, J </w:t>
      </w:r>
      <w:r>
        <w:t>(</w:t>
      </w:r>
      <w:r w:rsidRPr="00F83A14">
        <w:t>2020</w:t>
      </w:r>
      <w:r>
        <w:t xml:space="preserve">). </w:t>
      </w:r>
      <w:r w:rsidRPr="00F83A14">
        <w:t>Safety and efficacy of idursulfase in the treatment of mucopolysaccharidosis II (Hunter syndrome): a post-marketing study in Japan</w:t>
      </w:r>
      <w:r>
        <w:t>.</w:t>
      </w:r>
      <w:r w:rsidRPr="00F83A14">
        <w:t xml:space="preserve"> </w:t>
      </w:r>
      <w:r w:rsidRPr="00F83A14">
        <w:rPr>
          <w:i/>
          <w:iCs/>
        </w:rPr>
        <w:t>Expert Opin Drug Saf</w:t>
      </w:r>
      <w:r w:rsidRPr="00F83A14">
        <w:t xml:space="preserve"> 19</w:t>
      </w:r>
      <w:r>
        <w:t>(</w:t>
      </w:r>
      <w:r w:rsidRPr="00F83A14">
        <w:t>7</w:t>
      </w:r>
      <w:r>
        <w:t>):</w:t>
      </w:r>
      <w:r w:rsidRPr="00F83A14">
        <w:t>891-901.</w:t>
      </w:r>
    </w:p>
  </w:footnote>
  <w:footnote w:id="33">
    <w:p w14:paraId="1B4F9BCF" w14:textId="01FFAA03" w:rsidR="004920C3" w:rsidRDefault="004920C3" w:rsidP="001117CE">
      <w:pPr>
        <w:pStyle w:val="TableFigureFooter"/>
      </w:pPr>
      <w:r>
        <w:rPr>
          <w:rStyle w:val="FootnoteReference"/>
        </w:rPr>
        <w:footnoteRef/>
      </w:r>
      <w:r>
        <w:t xml:space="preserve"> </w:t>
      </w:r>
      <w:r w:rsidRPr="00C34918">
        <w:t>Guffon, N</w:t>
      </w:r>
      <w:r>
        <w:t xml:space="preserve"> et al. (</w:t>
      </w:r>
      <w:r w:rsidRPr="00C34918">
        <w:t>2015</w:t>
      </w:r>
      <w:r>
        <w:t xml:space="preserve">). </w:t>
      </w:r>
      <w:r w:rsidRPr="00C34918">
        <w:t>Diagnosis, quality of life, and treatment of patients with Hunter syndrome in the French healthcare system: a retrospective observational study</w:t>
      </w:r>
      <w:r>
        <w:t>.</w:t>
      </w:r>
      <w:r w:rsidRPr="00C34918">
        <w:t xml:space="preserve"> </w:t>
      </w:r>
      <w:r w:rsidRPr="00C34918">
        <w:rPr>
          <w:i/>
          <w:iCs/>
        </w:rPr>
        <w:t>Orphanet J Rare Dis</w:t>
      </w:r>
      <w:r w:rsidRPr="00C34918">
        <w:t xml:space="preserve"> 10</w:t>
      </w:r>
      <w:r>
        <w:t>:</w:t>
      </w:r>
      <w:r w:rsidRPr="00C34918">
        <w:t>43.</w:t>
      </w:r>
    </w:p>
  </w:footnote>
  <w:footnote w:id="34">
    <w:p w14:paraId="71351F33" w14:textId="0BFC86A5" w:rsidR="004920C3" w:rsidRDefault="004920C3" w:rsidP="001117CE">
      <w:pPr>
        <w:pStyle w:val="TableFigureFooter"/>
      </w:pPr>
      <w:r>
        <w:rPr>
          <w:rStyle w:val="FootnoteReference"/>
        </w:rPr>
        <w:footnoteRef/>
      </w:r>
      <w:r>
        <w:t xml:space="preserve"> </w:t>
      </w:r>
      <w:r w:rsidRPr="00C34918">
        <w:t xml:space="preserve">Scarpa, M </w:t>
      </w:r>
      <w:r>
        <w:t>(</w:t>
      </w:r>
      <w:r w:rsidRPr="00C34918">
        <w:t>1993</w:t>
      </w:r>
      <w:r>
        <w:t xml:space="preserve">). </w:t>
      </w:r>
      <w:r w:rsidRPr="00C34918">
        <w:t xml:space="preserve">Mucopolysaccharidosis Type II, in MP Adam, J Feldman, GM Mirzaa, RA Pagon, SE Wallace, LJH Bean, KW Gripp &amp; A Amemiya (eds), </w:t>
      </w:r>
      <w:r w:rsidRPr="00C34918">
        <w:rPr>
          <w:i/>
          <w:iCs/>
        </w:rPr>
        <w:t>GeneReviews(®)</w:t>
      </w:r>
      <w:r w:rsidRPr="00C34918">
        <w:t>, University of Washington, Seattle</w:t>
      </w:r>
    </w:p>
  </w:footnote>
  <w:footnote w:id="35">
    <w:p w14:paraId="55FE12A7" w14:textId="2DAEF781" w:rsidR="004920C3" w:rsidRPr="00861AF7" w:rsidRDefault="004920C3" w:rsidP="001117CE">
      <w:pPr>
        <w:pStyle w:val="TableFigureFooter"/>
      </w:pPr>
      <w:r>
        <w:rPr>
          <w:rStyle w:val="FootnoteReference"/>
        </w:rPr>
        <w:footnoteRef/>
      </w:r>
      <w:r>
        <w:t xml:space="preserve"> </w:t>
      </w:r>
      <w:r w:rsidRPr="00861AF7">
        <w:t xml:space="preserve">Tenorio, F &amp; de Souza, CFM </w:t>
      </w:r>
      <w:r>
        <w:t>(</w:t>
      </w:r>
      <w:r w:rsidRPr="00861AF7">
        <w:t>2023</w:t>
      </w:r>
      <w:r>
        <w:t xml:space="preserve">). </w:t>
      </w:r>
      <w:r w:rsidRPr="00861AF7">
        <w:t>A Retrospective Study of Mucopolysaccharidosis Type II in Brazil - Data from Brazilian Health System (DATASUS)</w:t>
      </w:r>
      <w:r>
        <w:t>.</w:t>
      </w:r>
      <w:r w:rsidRPr="00861AF7">
        <w:t xml:space="preserve"> </w:t>
      </w:r>
      <w:r w:rsidRPr="00861AF7">
        <w:rPr>
          <w:i/>
          <w:iCs/>
        </w:rPr>
        <w:t>J Inborn Errors Metab</w:t>
      </w:r>
      <w:r>
        <w:rPr>
          <w:i/>
          <w:iCs/>
        </w:rPr>
        <w:t xml:space="preserve"> </w:t>
      </w:r>
      <w:r w:rsidRPr="00861AF7">
        <w:rPr>
          <w:i/>
          <w:iCs/>
        </w:rPr>
        <w:t>Screen</w:t>
      </w:r>
      <w:r w:rsidRPr="00861AF7">
        <w:t>11</w:t>
      </w:r>
      <w:r>
        <w:t>:</w:t>
      </w:r>
      <w:r w:rsidRPr="00861AF7">
        <w:t xml:space="preserve"> e20230003.</w:t>
      </w:r>
    </w:p>
  </w:footnote>
  <w:footnote w:id="36">
    <w:p w14:paraId="77A1C68B" w14:textId="07A2D4C9" w:rsidR="004920C3" w:rsidRDefault="004920C3" w:rsidP="001117CE">
      <w:pPr>
        <w:pStyle w:val="TableFigureFooter"/>
      </w:pPr>
      <w:r>
        <w:rPr>
          <w:rStyle w:val="FootnoteReference"/>
        </w:rPr>
        <w:footnoteRef/>
      </w:r>
      <w:r>
        <w:t xml:space="preserve"> </w:t>
      </w:r>
      <w:r w:rsidRPr="00861AF7">
        <w:t xml:space="preserve">Chin, SJ &amp; Fuller, M </w:t>
      </w:r>
      <w:r>
        <w:t>(</w:t>
      </w:r>
      <w:r w:rsidRPr="00861AF7">
        <w:t>2022</w:t>
      </w:r>
      <w:r>
        <w:t xml:space="preserve">). </w:t>
      </w:r>
      <w:r w:rsidRPr="00861AF7">
        <w:t>Prevalence of lysosomal storage disorders in Australia from 2009 to 2020</w:t>
      </w:r>
      <w:r>
        <w:t>.</w:t>
      </w:r>
      <w:r w:rsidRPr="00861AF7">
        <w:t xml:space="preserve"> </w:t>
      </w:r>
      <w:r w:rsidRPr="00861AF7">
        <w:rPr>
          <w:i/>
          <w:iCs/>
        </w:rPr>
        <w:t>The Lancet Regional Health – Western Pacific</w:t>
      </w:r>
      <w:r w:rsidRPr="00861AF7">
        <w:t xml:space="preserve"> 19.</w:t>
      </w:r>
    </w:p>
  </w:footnote>
  <w:footnote w:id="37">
    <w:p w14:paraId="59D1076B" w14:textId="2631D78A" w:rsidR="004920C3" w:rsidRDefault="004920C3" w:rsidP="001117CE">
      <w:pPr>
        <w:pStyle w:val="TableFigureFooter"/>
      </w:pPr>
      <w:r>
        <w:rPr>
          <w:rStyle w:val="FootnoteReference"/>
        </w:rPr>
        <w:footnoteRef/>
      </w:r>
      <w:r>
        <w:t xml:space="preserve"> </w:t>
      </w:r>
      <w:r w:rsidRPr="00861AF7">
        <w:t>Żuber, Z</w:t>
      </w:r>
      <w:r>
        <w:t xml:space="preserve"> et al. (</w:t>
      </w:r>
      <w:r w:rsidRPr="00861AF7">
        <w:t>2023</w:t>
      </w:r>
      <w:r>
        <w:t xml:space="preserve">). </w:t>
      </w:r>
      <w:r w:rsidRPr="00861AF7">
        <w:t>Diagnosis and Management of Mucopolysaccharidosis Type II (Hunter Syndrome) in Poland</w:t>
      </w:r>
      <w:r>
        <w:t>.</w:t>
      </w:r>
      <w:r w:rsidRPr="00861AF7">
        <w:t xml:space="preserve"> </w:t>
      </w:r>
      <w:r w:rsidRPr="00861AF7">
        <w:rPr>
          <w:i/>
          <w:iCs/>
        </w:rPr>
        <w:t>Biomedicines</w:t>
      </w:r>
      <w:r w:rsidRPr="00861AF7">
        <w:t xml:space="preserve"> 11</w:t>
      </w:r>
      <w:r>
        <w:t>(</w:t>
      </w:r>
      <w:r w:rsidRPr="00861AF7">
        <w:t>6</w:t>
      </w:r>
      <w:r>
        <w:t>)</w:t>
      </w:r>
      <w:r w:rsidRPr="00861AF7">
        <w:t>.</w:t>
      </w:r>
    </w:p>
  </w:footnote>
  <w:footnote w:id="38">
    <w:p w14:paraId="5D54E757" w14:textId="57536052" w:rsidR="004920C3" w:rsidRPr="00E220C6" w:rsidRDefault="004920C3" w:rsidP="001117CE">
      <w:pPr>
        <w:pStyle w:val="TableFigureFooter"/>
        <w:rPr>
          <w:lang w:val="en-US"/>
        </w:rPr>
      </w:pPr>
      <w:r>
        <w:rPr>
          <w:rStyle w:val="FootnoteReference"/>
        </w:rPr>
        <w:footnoteRef/>
      </w:r>
      <w:r>
        <w:t xml:space="preserve"> </w:t>
      </w:r>
      <w:r w:rsidRPr="008F308D">
        <w:t xml:space="preserve">Wu, Yet al. </w:t>
      </w:r>
      <w:r>
        <w:t xml:space="preserve">(2022). </w:t>
      </w:r>
      <w:r w:rsidRPr="008F308D">
        <w:t xml:space="preserve">Genomic sequencing for the diagnosis of childhood mitochondrial disorders: a health economic evaluation. </w:t>
      </w:r>
      <w:r w:rsidRPr="00E220C6">
        <w:rPr>
          <w:i/>
          <w:iCs/>
        </w:rPr>
        <w:t>Eur J Hum Genet</w:t>
      </w:r>
      <w:r w:rsidRPr="008F308D">
        <w:t xml:space="preserve"> 30</w:t>
      </w:r>
      <w:r>
        <w:t>:</w:t>
      </w:r>
      <w:r w:rsidRPr="008F308D">
        <w:t>577–586.</w:t>
      </w:r>
    </w:p>
  </w:footnote>
  <w:footnote w:id="39">
    <w:p w14:paraId="6E721271" w14:textId="18B7210C" w:rsidR="004920C3" w:rsidRPr="00E220C6" w:rsidRDefault="004920C3" w:rsidP="00B8514E">
      <w:pPr>
        <w:pStyle w:val="TableFigureFooter"/>
        <w:rPr>
          <w:lang w:val="en-US"/>
        </w:rPr>
      </w:pPr>
      <w:r>
        <w:rPr>
          <w:rStyle w:val="FootnoteReference"/>
        </w:rPr>
        <w:footnoteRef/>
      </w:r>
      <w:r>
        <w:t xml:space="preserve"> </w:t>
      </w:r>
      <w:r w:rsidRPr="009D5A09">
        <w:t>A</w:t>
      </w:r>
      <w:r>
        <w:t>ustralian Bureau of Statistics</w:t>
      </w:r>
      <w:r w:rsidRPr="009D5A09">
        <w:t xml:space="preserve"> 2022, Births, Australia, Australian Bureau of Statistics, Canberra, Australia, viewed 11 December 2023, &lt;https://www.abs.gov.au/statistics/people/population/births-australia/latest-release&gt;.</w:t>
      </w:r>
    </w:p>
  </w:footnote>
  <w:footnote w:id="40">
    <w:p w14:paraId="4EA5E263" w14:textId="1B4165FF" w:rsidR="004920C3" w:rsidRDefault="004920C3" w:rsidP="00B8514E">
      <w:pPr>
        <w:pStyle w:val="TableFigureFooter"/>
      </w:pPr>
      <w:r>
        <w:rPr>
          <w:rStyle w:val="FootnoteReference"/>
        </w:rPr>
        <w:footnoteRef/>
      </w:r>
      <w:r>
        <w:t xml:space="preserve"> </w:t>
      </w:r>
      <w:r w:rsidRPr="00F83A14">
        <w:t xml:space="preserve">ABS 2023, 'Table 1: Births, summary, Statistical Areas Level 4 of usual residence – 2011 to 2022', </w:t>
      </w:r>
      <w:r w:rsidRPr="00F83A14">
        <w:rPr>
          <w:i/>
          <w:iCs/>
        </w:rPr>
        <w:t>Births, Australia</w:t>
      </w:r>
      <w:r w:rsidRPr="00F83A14">
        <w:t>, Australian Bureau of Statistics, Canberra, ACT,&lt;https://www.abs.gov.au/statistics/people/population/births-australia/2022&gt;.</w:t>
      </w:r>
    </w:p>
  </w:footnote>
  <w:footnote w:id="41">
    <w:p w14:paraId="6D250081" w14:textId="07ED7610" w:rsidR="004920C3" w:rsidRDefault="004920C3">
      <w:pPr>
        <w:pStyle w:val="FootnoteText"/>
      </w:pPr>
      <w:r>
        <w:rPr>
          <w:rStyle w:val="FootnoteReference"/>
        </w:rPr>
        <w:footnoteRef/>
      </w:r>
      <w:r>
        <w:t xml:space="preserve"> </w:t>
      </w:r>
      <w:r w:rsidRPr="00F83A14">
        <w:t xml:space="preserve">ABS 2022, </w:t>
      </w:r>
      <w:r w:rsidRPr="00F83A14">
        <w:rPr>
          <w:i/>
          <w:iCs/>
        </w:rPr>
        <w:t>Births, Australia</w:t>
      </w:r>
      <w:r w:rsidRPr="00F83A14">
        <w:t xml:space="preserve">, Australian Bureau of Statistics, Canberra, Australia, viewed 11 </w:t>
      </w:r>
      <w:r>
        <w:t>D</w:t>
      </w:r>
      <w:r w:rsidRPr="00F83A14">
        <w:t>ecember 2023, &lt;https://www.abs.gov.au/statistics/people/population/births-australia/latest-release&gt;.</w:t>
      </w:r>
    </w:p>
  </w:footnote>
  <w:footnote w:id="42">
    <w:p w14:paraId="3A0A55A0" w14:textId="77777777" w:rsidR="004920C3" w:rsidRDefault="004920C3" w:rsidP="0035245B">
      <w:pPr>
        <w:pStyle w:val="TableFigureFooter"/>
      </w:pPr>
      <w:r>
        <w:rPr>
          <w:rStyle w:val="FootnoteReference"/>
        </w:rPr>
        <w:footnoteRef/>
      </w:r>
      <w:r>
        <w:t xml:space="preserve"> Newborn Bloodspot Screening National Policy Framework (NBS NPF), Department of Health, 2018. Available at: </w:t>
      </w:r>
      <w:hyperlink r:id="rId6" w:history="1">
        <w:r w:rsidRPr="0008045B">
          <w:rPr>
            <w:rStyle w:val="Hyperlink"/>
          </w:rPr>
          <w:t>https://www.health.gov.au/resources/publications/newborn-bloodspot-screening-national-policyframework?language=en</w:t>
        </w:r>
      </w:hyperlink>
    </w:p>
  </w:footnote>
  <w:footnote w:id="43">
    <w:p w14:paraId="3983BD82" w14:textId="77777777" w:rsidR="004920C3" w:rsidRDefault="004920C3" w:rsidP="0035245B">
      <w:pPr>
        <w:pStyle w:val="TableFigureFooter"/>
      </w:pPr>
      <w:r>
        <w:rPr>
          <w:rStyle w:val="FootnoteReference"/>
        </w:rPr>
        <w:footnoteRef/>
      </w:r>
      <w:r>
        <w:t xml:space="preserve"> </w:t>
      </w:r>
      <w:hyperlink r:id="rId7" w:history="1">
        <w:r w:rsidRPr="0076690D">
          <w:rPr>
            <w:rStyle w:val="Hyperlink"/>
          </w:rPr>
          <w:t>https://www.msac.gov.au/applications/1774</w:t>
        </w:r>
      </w:hyperlink>
    </w:p>
  </w:footnote>
  <w:footnote w:id="44">
    <w:p w14:paraId="0E09EAAA" w14:textId="77777777" w:rsidR="004920C3" w:rsidRDefault="004920C3" w:rsidP="0035245B">
      <w:pPr>
        <w:pStyle w:val="TableFigureFooter"/>
      </w:pPr>
      <w:r>
        <w:rPr>
          <w:rStyle w:val="FootnoteReference"/>
        </w:rPr>
        <w:footnoteRef/>
      </w:r>
      <w:r>
        <w:t xml:space="preserve"> </w:t>
      </w:r>
      <w:hyperlink r:id="rId8" w:history="1">
        <w:r w:rsidRPr="003E26E2">
          <w:rPr>
            <w:rStyle w:val="Hyperlink"/>
          </w:rPr>
          <w:t>https://www.msac.gov.au/applications/1775</w:t>
        </w:r>
      </w:hyperlink>
    </w:p>
  </w:footnote>
  <w:footnote w:id="45">
    <w:p w14:paraId="2D7C2558" w14:textId="77777777" w:rsidR="004920C3" w:rsidRDefault="004920C3" w:rsidP="0035245B">
      <w:pPr>
        <w:pStyle w:val="TableFigureFooter"/>
      </w:pPr>
      <w:r>
        <w:rPr>
          <w:rStyle w:val="FootnoteReference"/>
        </w:rPr>
        <w:footnoteRef/>
      </w:r>
      <w:r>
        <w:t xml:space="preserve"> </w:t>
      </w:r>
      <w:hyperlink r:id="rId9" w:history="1">
        <w:r w:rsidRPr="002029CB">
          <w:rPr>
            <w:rStyle w:val="Hyperlink"/>
          </w:rPr>
          <w:t>https://www.msac.gov.au/applications/1776</w:t>
        </w:r>
      </w:hyperlink>
    </w:p>
  </w:footnote>
  <w:footnote w:id="46">
    <w:p w14:paraId="0EB1738B" w14:textId="628589F5" w:rsidR="004920C3" w:rsidRDefault="004920C3" w:rsidP="0035245B">
      <w:pPr>
        <w:pStyle w:val="TableFigureFooter"/>
      </w:pPr>
      <w:r>
        <w:rPr>
          <w:rStyle w:val="FootnoteReference"/>
        </w:rPr>
        <w:footnoteRef/>
      </w:r>
      <w:r>
        <w:t xml:space="preserve"> </w:t>
      </w:r>
      <w:r w:rsidRPr="00DB29A4">
        <w:rPr>
          <w:lang w:val="en-GB"/>
        </w:rPr>
        <w:t xml:space="preserve">Note: “index case” is used in this document to mean the first person in a family detected as having the condition (through diagnostic testing after NBS, but not following symptoms or </w:t>
      </w:r>
      <w:r w:rsidR="001711C4">
        <w:rPr>
          <w:lang w:val="en-GB"/>
        </w:rPr>
        <w:t>family member</w:t>
      </w:r>
      <w:r w:rsidR="001711C4" w:rsidRPr="00DB29A4">
        <w:rPr>
          <w:lang w:val="en-GB"/>
        </w:rPr>
        <w:t xml:space="preserve"> </w:t>
      </w:r>
      <w:r w:rsidRPr="00DB29A4">
        <w:rPr>
          <w:lang w:val="en-GB"/>
        </w:rPr>
        <w:t>testing)</w:t>
      </w:r>
      <w:r w:rsidRPr="00DB29A4">
        <w:t> </w:t>
      </w:r>
    </w:p>
  </w:footnote>
  <w:footnote w:id="47">
    <w:p w14:paraId="48AA556A" w14:textId="77777777" w:rsidR="004920C3" w:rsidRDefault="004920C3" w:rsidP="003758C4">
      <w:pPr>
        <w:pStyle w:val="TableFigureFooter"/>
      </w:pPr>
      <w:r>
        <w:rPr>
          <w:rStyle w:val="FootnoteReference"/>
        </w:rPr>
        <w:footnoteRef/>
      </w:r>
      <w:r>
        <w:t xml:space="preserve"> Available: </w:t>
      </w:r>
      <w:hyperlink r:id="rId10" w:anchor="conditions-agreed-as-nontarget-" w:history="1">
        <w:r w:rsidRPr="00FA2AE6">
          <w:rPr>
            <w:rStyle w:val="Hyperlink"/>
          </w:rPr>
          <w:t>https://www.health.gov.au/our-work/newborn-bloodspot-screening/what-is-screened#conditions-agreed-as-nontarget-</w:t>
        </w:r>
      </w:hyperlink>
      <w:r>
        <w:t xml:space="preserve"> </w:t>
      </w:r>
    </w:p>
  </w:footnote>
  <w:footnote w:id="48">
    <w:p w14:paraId="499BAD02" w14:textId="77777777" w:rsidR="004920C3" w:rsidRDefault="004920C3" w:rsidP="003758C4">
      <w:pPr>
        <w:pStyle w:val="TableFigureFooter"/>
      </w:pPr>
      <w:r>
        <w:rPr>
          <w:rStyle w:val="FootnoteReference"/>
        </w:rPr>
        <w:footnoteRef/>
      </w:r>
      <w:r>
        <w:t xml:space="preserve"> This test evaluates the activity of 7 enzymes associated with the following lysosomal storage diseases: MPS II (Hunter syndrome), MSP IIIB (Sanfilippo syndrome), MPS IVA (Marquio A syndrome), MSP IVB (Marquio A syndrome B), MPS VI (Maroteaux-Lamy syndrome), MPS VII (Sly syndrome) and CLN2 (Neurnal Ceroid Lipofuscinoses syndrome) (available: </w:t>
      </w:r>
      <w:hyperlink r:id="rId11" w:history="1">
        <w:r w:rsidRPr="00FA2AE6">
          <w:rPr>
            <w:rStyle w:val="Hyperlink"/>
          </w:rPr>
          <w:t>https://apps-omics.revvity.com/test/test-pdf/?test-code=B2041</w:t>
        </w:r>
      </w:hyperlink>
      <w:r>
        <w:t xml:space="preserve">). </w:t>
      </w:r>
    </w:p>
  </w:footnote>
  <w:footnote w:id="49">
    <w:p w14:paraId="7448F5F9" w14:textId="77777777" w:rsidR="004920C3" w:rsidRDefault="004920C3" w:rsidP="00221170">
      <w:pPr>
        <w:pStyle w:val="FootnoteText"/>
      </w:pPr>
      <w:r>
        <w:rPr>
          <w:rStyle w:val="FootnoteReference"/>
        </w:rPr>
        <w:footnoteRef/>
      </w:r>
      <w:r>
        <w:t xml:space="preserve"> </w:t>
      </w:r>
      <w:hyperlink r:id="rId12" w:history="1">
        <w:r w:rsidRPr="00D55DD1">
          <w:rPr>
            <w:rStyle w:val="Hyperlink"/>
          </w:rPr>
          <w:t>https://www.msac.gov.au/applications/1737-1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452F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B3270"/>
    <w:multiLevelType w:val="hybridMultilevel"/>
    <w:tmpl w:val="52C4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1CE6"/>
    <w:multiLevelType w:val="hybridMultilevel"/>
    <w:tmpl w:val="A61C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7762D"/>
    <w:multiLevelType w:val="hybridMultilevel"/>
    <w:tmpl w:val="F5AE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82D4C"/>
    <w:multiLevelType w:val="hybridMultilevel"/>
    <w:tmpl w:val="0A86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771AD"/>
    <w:multiLevelType w:val="hybridMultilevel"/>
    <w:tmpl w:val="A402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00156AE"/>
    <w:multiLevelType w:val="hybridMultilevel"/>
    <w:tmpl w:val="49C6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C1EE6156"/>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644F35"/>
    <w:multiLevelType w:val="hybridMultilevel"/>
    <w:tmpl w:val="BA32C1AC"/>
    <w:styleLink w:val="ESSectionheading-numbered"/>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9B1A02"/>
    <w:multiLevelType w:val="hybridMultilevel"/>
    <w:tmpl w:val="0CC8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8212F"/>
    <w:multiLevelType w:val="hybridMultilevel"/>
    <w:tmpl w:val="7BAC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52DD5"/>
    <w:multiLevelType w:val="hybridMultilevel"/>
    <w:tmpl w:val="E9A2A60E"/>
    <w:lvl w:ilvl="0" w:tplc="E56E4D2C">
      <w:start w:val="1"/>
      <w:numFmt w:val="decimal"/>
      <w:lvlText w:val="%1)"/>
      <w:lvlJc w:val="left"/>
      <w:pPr>
        <w:ind w:left="1020" w:hanging="360"/>
      </w:pPr>
    </w:lvl>
    <w:lvl w:ilvl="1" w:tplc="FC90BB66">
      <w:start w:val="1"/>
      <w:numFmt w:val="decimal"/>
      <w:lvlText w:val="%2)"/>
      <w:lvlJc w:val="left"/>
      <w:pPr>
        <w:ind w:left="1020" w:hanging="360"/>
      </w:pPr>
    </w:lvl>
    <w:lvl w:ilvl="2" w:tplc="D9CCF1B6">
      <w:start w:val="1"/>
      <w:numFmt w:val="decimal"/>
      <w:lvlText w:val="%3)"/>
      <w:lvlJc w:val="left"/>
      <w:pPr>
        <w:ind w:left="1020" w:hanging="360"/>
      </w:pPr>
    </w:lvl>
    <w:lvl w:ilvl="3" w:tplc="51FA78C4">
      <w:start w:val="1"/>
      <w:numFmt w:val="decimal"/>
      <w:lvlText w:val="%4)"/>
      <w:lvlJc w:val="left"/>
      <w:pPr>
        <w:ind w:left="1020" w:hanging="360"/>
      </w:pPr>
    </w:lvl>
    <w:lvl w:ilvl="4" w:tplc="698A3CFE">
      <w:start w:val="1"/>
      <w:numFmt w:val="decimal"/>
      <w:lvlText w:val="%5)"/>
      <w:lvlJc w:val="left"/>
      <w:pPr>
        <w:ind w:left="1020" w:hanging="360"/>
      </w:pPr>
    </w:lvl>
    <w:lvl w:ilvl="5" w:tplc="443629D2">
      <w:start w:val="1"/>
      <w:numFmt w:val="decimal"/>
      <w:lvlText w:val="%6)"/>
      <w:lvlJc w:val="left"/>
      <w:pPr>
        <w:ind w:left="1020" w:hanging="360"/>
      </w:pPr>
    </w:lvl>
    <w:lvl w:ilvl="6" w:tplc="DD28C42A">
      <w:start w:val="1"/>
      <w:numFmt w:val="decimal"/>
      <w:lvlText w:val="%7)"/>
      <w:lvlJc w:val="left"/>
      <w:pPr>
        <w:ind w:left="1020" w:hanging="360"/>
      </w:pPr>
    </w:lvl>
    <w:lvl w:ilvl="7" w:tplc="195AE0F4">
      <w:start w:val="1"/>
      <w:numFmt w:val="decimal"/>
      <w:lvlText w:val="%8)"/>
      <w:lvlJc w:val="left"/>
      <w:pPr>
        <w:ind w:left="1020" w:hanging="360"/>
      </w:pPr>
    </w:lvl>
    <w:lvl w:ilvl="8" w:tplc="AF82A0DE">
      <w:start w:val="1"/>
      <w:numFmt w:val="decimal"/>
      <w:lvlText w:val="%9)"/>
      <w:lvlJc w:val="left"/>
      <w:pPr>
        <w:ind w:left="1020" w:hanging="360"/>
      </w:pPr>
    </w:lvl>
  </w:abstractNum>
  <w:abstractNum w:abstractNumId="18" w15:restartNumberingAfterBreak="0">
    <w:nsid w:val="47095746"/>
    <w:multiLevelType w:val="hybridMultilevel"/>
    <w:tmpl w:val="A3488448"/>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78903F9"/>
    <w:multiLevelType w:val="hybridMultilevel"/>
    <w:tmpl w:val="35EA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E7FDB"/>
    <w:multiLevelType w:val="hybridMultilevel"/>
    <w:tmpl w:val="AC24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B0319"/>
    <w:multiLevelType w:val="hybridMultilevel"/>
    <w:tmpl w:val="894830CC"/>
    <w:lvl w:ilvl="0" w:tplc="FFFFFFFF">
      <w:start w:val="1"/>
      <w:numFmt w:val="bullet"/>
      <w:lvlText w:val="•"/>
      <w:lvlJc w:val="left"/>
      <w:pPr>
        <w:tabs>
          <w:tab w:val="num" w:pos="360"/>
        </w:tabs>
        <w:ind w:left="360" w:hanging="360"/>
      </w:pPr>
      <w:rPr>
        <w:rFonts w:hint="default"/>
      </w:rPr>
    </w:lvl>
    <w:lvl w:ilvl="1" w:tplc="4EC69284">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62564"/>
    <w:multiLevelType w:val="hybridMultilevel"/>
    <w:tmpl w:val="31DAE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01924"/>
    <w:multiLevelType w:val="hybridMultilevel"/>
    <w:tmpl w:val="2F0C534E"/>
    <w:lvl w:ilvl="0" w:tplc="BCBE5C24">
      <w:start w:val="1"/>
      <w:numFmt w:val="lowerLetter"/>
      <w:lvlText w:val="(%1)"/>
      <w:lvlJc w:val="left"/>
      <w:pPr>
        <w:ind w:left="720" w:hanging="360"/>
      </w:pPr>
      <w:rPr>
        <w:rFonts w:eastAsia="Franklin Gothic Boo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DF638A"/>
    <w:multiLevelType w:val="hybridMultilevel"/>
    <w:tmpl w:val="CD805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3212F8"/>
    <w:multiLevelType w:val="hybridMultilevel"/>
    <w:tmpl w:val="8C74E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FF242B"/>
    <w:multiLevelType w:val="hybridMultilevel"/>
    <w:tmpl w:val="758CFED2"/>
    <w:lvl w:ilvl="0" w:tplc="7D2EC29E">
      <w:start w:val="1"/>
      <w:numFmt w:val="decimal"/>
      <w:lvlText w:val="%1)"/>
      <w:lvlJc w:val="left"/>
      <w:pPr>
        <w:ind w:left="1020" w:hanging="360"/>
      </w:pPr>
    </w:lvl>
    <w:lvl w:ilvl="1" w:tplc="D070DB92">
      <w:start w:val="1"/>
      <w:numFmt w:val="decimal"/>
      <w:lvlText w:val="%2)"/>
      <w:lvlJc w:val="left"/>
      <w:pPr>
        <w:ind w:left="1020" w:hanging="360"/>
      </w:pPr>
    </w:lvl>
    <w:lvl w:ilvl="2" w:tplc="EC864F78">
      <w:start w:val="1"/>
      <w:numFmt w:val="decimal"/>
      <w:lvlText w:val="%3)"/>
      <w:lvlJc w:val="left"/>
      <w:pPr>
        <w:ind w:left="1020" w:hanging="360"/>
      </w:pPr>
    </w:lvl>
    <w:lvl w:ilvl="3" w:tplc="39F6F17A">
      <w:start w:val="1"/>
      <w:numFmt w:val="decimal"/>
      <w:lvlText w:val="%4)"/>
      <w:lvlJc w:val="left"/>
      <w:pPr>
        <w:ind w:left="1020" w:hanging="360"/>
      </w:pPr>
    </w:lvl>
    <w:lvl w:ilvl="4" w:tplc="65C0CFDC">
      <w:start w:val="1"/>
      <w:numFmt w:val="decimal"/>
      <w:lvlText w:val="%5)"/>
      <w:lvlJc w:val="left"/>
      <w:pPr>
        <w:ind w:left="1020" w:hanging="360"/>
      </w:pPr>
    </w:lvl>
    <w:lvl w:ilvl="5" w:tplc="DD208EB2">
      <w:start w:val="1"/>
      <w:numFmt w:val="decimal"/>
      <w:lvlText w:val="%6)"/>
      <w:lvlJc w:val="left"/>
      <w:pPr>
        <w:ind w:left="1020" w:hanging="360"/>
      </w:pPr>
    </w:lvl>
    <w:lvl w:ilvl="6" w:tplc="ED9C3BCE">
      <w:start w:val="1"/>
      <w:numFmt w:val="decimal"/>
      <w:lvlText w:val="%7)"/>
      <w:lvlJc w:val="left"/>
      <w:pPr>
        <w:ind w:left="1020" w:hanging="360"/>
      </w:pPr>
    </w:lvl>
    <w:lvl w:ilvl="7" w:tplc="CEDEB574">
      <w:start w:val="1"/>
      <w:numFmt w:val="decimal"/>
      <w:lvlText w:val="%8)"/>
      <w:lvlJc w:val="left"/>
      <w:pPr>
        <w:ind w:left="1020" w:hanging="360"/>
      </w:pPr>
    </w:lvl>
    <w:lvl w:ilvl="8" w:tplc="BEFE8F0E">
      <w:start w:val="1"/>
      <w:numFmt w:val="decimal"/>
      <w:lvlText w:val="%9)"/>
      <w:lvlJc w:val="left"/>
      <w:pPr>
        <w:ind w:left="1020" w:hanging="360"/>
      </w:pPr>
    </w:lvl>
  </w:abstractNum>
  <w:abstractNum w:abstractNumId="2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32388"/>
    <w:multiLevelType w:val="hybridMultilevel"/>
    <w:tmpl w:val="BCE8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80D47"/>
    <w:multiLevelType w:val="hybridMultilevel"/>
    <w:tmpl w:val="2976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13635"/>
    <w:multiLevelType w:val="hybridMultilevel"/>
    <w:tmpl w:val="B184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0B2055"/>
    <w:multiLevelType w:val="hybridMultilevel"/>
    <w:tmpl w:val="3F66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F58BA"/>
    <w:multiLevelType w:val="hybridMultilevel"/>
    <w:tmpl w:val="6474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6" w15:restartNumberingAfterBreak="0">
    <w:nsid w:val="7FE673F4"/>
    <w:multiLevelType w:val="hybridMultilevel"/>
    <w:tmpl w:val="5492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705425">
    <w:abstractNumId w:val="13"/>
  </w:num>
  <w:num w:numId="2" w16cid:durableId="1042680424">
    <w:abstractNumId w:val="35"/>
  </w:num>
  <w:num w:numId="3" w16cid:durableId="1461462941">
    <w:abstractNumId w:val="3"/>
  </w:num>
  <w:num w:numId="4" w16cid:durableId="856621717">
    <w:abstractNumId w:val="32"/>
  </w:num>
  <w:num w:numId="5" w16cid:durableId="1068071548">
    <w:abstractNumId w:val="9"/>
  </w:num>
  <w:num w:numId="6" w16cid:durableId="1564633400">
    <w:abstractNumId w:val="10"/>
  </w:num>
  <w:num w:numId="7" w16cid:durableId="876741231">
    <w:abstractNumId w:val="12"/>
  </w:num>
  <w:num w:numId="8" w16cid:durableId="167136197">
    <w:abstractNumId w:val="18"/>
  </w:num>
  <w:num w:numId="9" w16cid:durableId="354304439">
    <w:abstractNumId w:val="16"/>
  </w:num>
  <w:num w:numId="10" w16cid:durableId="1147631477">
    <w:abstractNumId w:val="14"/>
  </w:num>
  <w:num w:numId="11" w16cid:durableId="680082876">
    <w:abstractNumId w:val="36"/>
  </w:num>
  <w:num w:numId="12" w16cid:durableId="747193628">
    <w:abstractNumId w:val="20"/>
  </w:num>
  <w:num w:numId="13" w16cid:durableId="78984052">
    <w:abstractNumId w:val="15"/>
  </w:num>
  <w:num w:numId="14" w16cid:durableId="779111670">
    <w:abstractNumId w:val="19"/>
  </w:num>
  <w:num w:numId="15" w16cid:durableId="284850359">
    <w:abstractNumId w:val="29"/>
  </w:num>
  <w:num w:numId="16" w16cid:durableId="680087156">
    <w:abstractNumId w:val="34"/>
  </w:num>
  <w:num w:numId="17" w16cid:durableId="1364133997">
    <w:abstractNumId w:val="27"/>
  </w:num>
  <w:num w:numId="18" w16cid:durableId="1798717803">
    <w:abstractNumId w:val="1"/>
  </w:num>
  <w:num w:numId="19" w16cid:durableId="1477607254">
    <w:abstractNumId w:val="0"/>
  </w:num>
  <w:num w:numId="20" w16cid:durableId="475950134">
    <w:abstractNumId w:val="6"/>
  </w:num>
  <w:num w:numId="21" w16cid:durableId="115177205">
    <w:abstractNumId w:val="22"/>
  </w:num>
  <w:num w:numId="22" w16cid:durableId="1687249780">
    <w:abstractNumId w:val="7"/>
  </w:num>
  <w:num w:numId="23" w16cid:durableId="1224878145">
    <w:abstractNumId w:val="31"/>
  </w:num>
  <w:num w:numId="24" w16cid:durableId="1834371618">
    <w:abstractNumId w:val="11"/>
  </w:num>
  <w:num w:numId="25" w16cid:durableId="1583955602">
    <w:abstractNumId w:val="33"/>
  </w:num>
  <w:num w:numId="26" w16cid:durableId="1322808523">
    <w:abstractNumId w:val="2"/>
  </w:num>
  <w:num w:numId="27" w16cid:durableId="1144927775">
    <w:abstractNumId w:val="25"/>
  </w:num>
  <w:num w:numId="28" w16cid:durableId="1282498881">
    <w:abstractNumId w:val="24"/>
  </w:num>
  <w:num w:numId="29" w16cid:durableId="458645953">
    <w:abstractNumId w:val="5"/>
  </w:num>
  <w:num w:numId="30" w16cid:durableId="824855242">
    <w:abstractNumId w:val="30"/>
  </w:num>
  <w:num w:numId="31" w16cid:durableId="543293793">
    <w:abstractNumId w:val="8"/>
  </w:num>
  <w:num w:numId="32" w16cid:durableId="105084535">
    <w:abstractNumId w:val="21"/>
  </w:num>
  <w:num w:numId="33" w16cid:durableId="1159536762">
    <w:abstractNumId w:val="28"/>
  </w:num>
  <w:num w:numId="34" w16cid:durableId="304118073">
    <w:abstractNumId w:val="23"/>
  </w:num>
  <w:num w:numId="35" w16cid:durableId="1433552881">
    <w:abstractNumId w:val="28"/>
  </w:num>
  <w:num w:numId="36" w16cid:durableId="1412267561">
    <w:abstractNumId w:val="4"/>
  </w:num>
  <w:num w:numId="37" w16cid:durableId="1520388174">
    <w:abstractNumId w:val="26"/>
  </w:num>
  <w:num w:numId="38" w16cid:durableId="1785533654">
    <w:abstractNumId w:val="17"/>
  </w:num>
  <w:num w:numId="39" w16cid:durableId="98940727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2ep2vz4f0zwne9vdmx9zzirsxx5pf5pr2f&quot;&gt;DCAR library&lt;record-ids&gt;&lt;item&gt;4&lt;/item&gt;&lt;item&gt;6&lt;/item&gt;&lt;item&gt;7&lt;/item&gt;&lt;item&gt;8&lt;/item&gt;&lt;item&gt;9&lt;/item&gt;&lt;item&gt;10&lt;/item&gt;&lt;item&gt;11&lt;/item&gt;&lt;item&gt;12&lt;/item&gt;&lt;item&gt;13&lt;/item&gt;&lt;item&gt;15&lt;/item&gt;&lt;item&gt;16&lt;/item&gt;&lt;item&gt;17&lt;/item&gt;&lt;item&gt;18&lt;/item&gt;&lt;item&gt;19&lt;/item&gt;&lt;item&gt;20&lt;/item&gt;&lt;item&gt;23&lt;/item&gt;&lt;item&gt;24&lt;/item&gt;&lt;item&gt;25&lt;/item&gt;&lt;item&gt;27&lt;/item&gt;&lt;item&gt;28&lt;/item&gt;&lt;item&gt;29&lt;/item&gt;&lt;item&gt;30&lt;/item&gt;&lt;item&gt;31&lt;/item&gt;&lt;item&gt;32&lt;/item&gt;&lt;item&gt;33&lt;/item&gt;&lt;item&gt;34&lt;/item&gt;&lt;item&gt;35&lt;/item&gt;&lt;item&gt;38&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9&lt;/item&gt;&lt;item&gt;70&lt;/item&gt;&lt;item&gt;71&lt;/item&gt;&lt;item&gt;72&lt;/item&gt;&lt;item&gt;75&lt;/item&gt;&lt;item&gt;76&lt;/item&gt;&lt;item&gt;77&lt;/item&gt;&lt;item&gt;78&lt;/item&gt;&lt;item&gt;80&lt;/item&gt;&lt;item&gt;81&lt;/item&gt;&lt;item&gt;82&lt;/item&gt;&lt;item&gt;83&lt;/item&gt;&lt;item&gt;84&lt;/item&gt;&lt;item&gt;85&lt;/item&gt;&lt;item&gt;86&lt;/item&gt;&lt;item&gt;88&lt;/item&gt;&lt;item&gt;98&lt;/item&gt;&lt;item&gt;100&lt;/item&gt;&lt;item&gt;101&lt;/item&gt;&lt;item&gt;110&lt;/item&gt;&lt;item&gt;111&lt;/item&gt;&lt;item&gt;114&lt;/item&gt;&lt;item&gt;118&lt;/item&gt;&lt;item&gt;119&lt;/item&gt;&lt;item&gt;120&lt;/item&gt;&lt;item&gt;121&lt;/item&gt;&lt;item&gt;125&lt;/item&gt;&lt;item&gt;126&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2&lt;/item&gt;&lt;item&gt;153&lt;/item&gt;&lt;item&gt;154&lt;/item&gt;&lt;item&gt;155&lt;/item&gt;&lt;item&gt;156&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5&lt;/item&gt;&lt;item&gt;176&lt;/item&gt;&lt;item&gt;177&lt;/item&gt;&lt;item&gt;178&lt;/item&gt;&lt;item&gt;180&lt;/item&gt;&lt;item&gt;181&lt;/item&gt;&lt;item&gt;182&lt;/item&gt;&lt;item&gt;183&lt;/item&gt;&lt;item&gt;184&lt;/item&gt;&lt;item&gt;187&lt;/item&gt;&lt;item&gt;188&lt;/item&gt;&lt;item&gt;189&lt;/item&gt;&lt;item&gt;192&lt;/item&gt;&lt;item&gt;193&lt;/item&gt;&lt;item&gt;194&lt;/item&gt;&lt;item&gt;195&lt;/item&gt;&lt;item&gt;196&lt;/item&gt;&lt;item&gt;197&lt;/item&gt;&lt;item&gt;198&lt;/item&gt;&lt;item&gt;199&lt;/item&gt;&lt;item&gt;200&lt;/item&gt;&lt;item&gt;201&lt;/item&gt;&lt;item&gt;202&lt;/item&gt;&lt;item&gt;203&lt;/item&gt;&lt;item&gt;204&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6&lt;/item&gt;&lt;item&gt;267&lt;/item&gt;&lt;item&gt;268&lt;/item&gt;&lt;item&gt;269&lt;/item&gt;&lt;item&gt;270&lt;/item&gt;&lt;item&gt;278&lt;/item&gt;&lt;item&gt;279&lt;/item&gt;&lt;item&gt;281&lt;/item&gt;&lt;item&gt;282&lt;/item&gt;&lt;item&gt;283&lt;/item&gt;&lt;item&gt;287&lt;/item&gt;&lt;item&gt;289&lt;/item&gt;&lt;item&gt;290&lt;/item&gt;&lt;item&gt;291&lt;/item&gt;&lt;item&gt;292&lt;/item&gt;&lt;item&gt;293&lt;/item&gt;&lt;item&gt;294&lt;/item&gt;&lt;item&gt;296&lt;/item&gt;&lt;item&gt;297&lt;/item&gt;&lt;item&gt;298&lt;/item&gt;&lt;item&gt;299&lt;/item&gt;&lt;item&gt;300&lt;/item&gt;&lt;item&gt;301&lt;/item&gt;&lt;item&gt;302&lt;/item&gt;&lt;item&gt;303&lt;/item&gt;&lt;item&gt;304&lt;/item&gt;&lt;item&gt;305&lt;/item&gt;&lt;item&gt;307&lt;/item&gt;&lt;item&gt;308&lt;/item&gt;&lt;item&gt;309&lt;/item&gt;&lt;item&gt;310&lt;/item&gt;&lt;item&gt;311&lt;/item&gt;&lt;item&gt;312&lt;/item&gt;&lt;item&gt;314&lt;/item&gt;&lt;item&gt;315&lt;/item&gt;&lt;item&gt;316&lt;/item&gt;&lt;item&gt;317&lt;/item&gt;&lt;item&gt;318&lt;/item&gt;&lt;item&gt;321&lt;/item&gt;&lt;item&gt;322&lt;/item&gt;&lt;/record-ids&gt;&lt;/item&gt;&lt;/Libraries&gt;"/>
  </w:docVars>
  <w:rsids>
    <w:rsidRoot w:val="008157F1"/>
    <w:rsid w:val="00000037"/>
    <w:rsid w:val="00000073"/>
    <w:rsid w:val="000000A0"/>
    <w:rsid w:val="000000BB"/>
    <w:rsid w:val="000000BF"/>
    <w:rsid w:val="0000010B"/>
    <w:rsid w:val="0000016A"/>
    <w:rsid w:val="0000019A"/>
    <w:rsid w:val="00000212"/>
    <w:rsid w:val="0000028B"/>
    <w:rsid w:val="0000041D"/>
    <w:rsid w:val="000004BE"/>
    <w:rsid w:val="0000051F"/>
    <w:rsid w:val="000006AF"/>
    <w:rsid w:val="0000071E"/>
    <w:rsid w:val="00000773"/>
    <w:rsid w:val="00000882"/>
    <w:rsid w:val="000008C0"/>
    <w:rsid w:val="0000097A"/>
    <w:rsid w:val="0000097D"/>
    <w:rsid w:val="00000983"/>
    <w:rsid w:val="000009B3"/>
    <w:rsid w:val="000009C3"/>
    <w:rsid w:val="00000B0C"/>
    <w:rsid w:val="00000B80"/>
    <w:rsid w:val="00000BEB"/>
    <w:rsid w:val="00000C16"/>
    <w:rsid w:val="00000DDF"/>
    <w:rsid w:val="00000F03"/>
    <w:rsid w:val="00000F57"/>
    <w:rsid w:val="00001062"/>
    <w:rsid w:val="0000106F"/>
    <w:rsid w:val="00001075"/>
    <w:rsid w:val="0000109A"/>
    <w:rsid w:val="000010C5"/>
    <w:rsid w:val="00001161"/>
    <w:rsid w:val="0000116D"/>
    <w:rsid w:val="000011CC"/>
    <w:rsid w:val="00001254"/>
    <w:rsid w:val="000012BA"/>
    <w:rsid w:val="000012C7"/>
    <w:rsid w:val="0000137E"/>
    <w:rsid w:val="000013AA"/>
    <w:rsid w:val="000013E6"/>
    <w:rsid w:val="00001419"/>
    <w:rsid w:val="0000147E"/>
    <w:rsid w:val="000015C9"/>
    <w:rsid w:val="000015D4"/>
    <w:rsid w:val="00001606"/>
    <w:rsid w:val="0000164E"/>
    <w:rsid w:val="0000168B"/>
    <w:rsid w:val="000016B1"/>
    <w:rsid w:val="000016C0"/>
    <w:rsid w:val="000016E5"/>
    <w:rsid w:val="0000170F"/>
    <w:rsid w:val="0000172A"/>
    <w:rsid w:val="00001821"/>
    <w:rsid w:val="0000183E"/>
    <w:rsid w:val="000018F7"/>
    <w:rsid w:val="00001918"/>
    <w:rsid w:val="00001AE6"/>
    <w:rsid w:val="00001AF3"/>
    <w:rsid w:val="00001B08"/>
    <w:rsid w:val="00001B3A"/>
    <w:rsid w:val="00001B43"/>
    <w:rsid w:val="00001C11"/>
    <w:rsid w:val="00001DA7"/>
    <w:rsid w:val="00001E0F"/>
    <w:rsid w:val="00001E24"/>
    <w:rsid w:val="00001E66"/>
    <w:rsid w:val="00001EA8"/>
    <w:rsid w:val="00001ED1"/>
    <w:rsid w:val="00001FA7"/>
    <w:rsid w:val="00001FBD"/>
    <w:rsid w:val="00001FF5"/>
    <w:rsid w:val="000020B9"/>
    <w:rsid w:val="000020CE"/>
    <w:rsid w:val="0000216B"/>
    <w:rsid w:val="000021B3"/>
    <w:rsid w:val="00002241"/>
    <w:rsid w:val="0000225E"/>
    <w:rsid w:val="000023B3"/>
    <w:rsid w:val="000023F6"/>
    <w:rsid w:val="0000241C"/>
    <w:rsid w:val="000024FD"/>
    <w:rsid w:val="000025B0"/>
    <w:rsid w:val="0000266E"/>
    <w:rsid w:val="0000270E"/>
    <w:rsid w:val="0000272A"/>
    <w:rsid w:val="0000279D"/>
    <w:rsid w:val="000027BF"/>
    <w:rsid w:val="00002821"/>
    <w:rsid w:val="0000284A"/>
    <w:rsid w:val="000028EE"/>
    <w:rsid w:val="00002961"/>
    <w:rsid w:val="0000296B"/>
    <w:rsid w:val="000029D0"/>
    <w:rsid w:val="000029D3"/>
    <w:rsid w:val="000029E6"/>
    <w:rsid w:val="00002B22"/>
    <w:rsid w:val="00002B2F"/>
    <w:rsid w:val="00002C5C"/>
    <w:rsid w:val="00002CD5"/>
    <w:rsid w:val="00002CD6"/>
    <w:rsid w:val="00002DD4"/>
    <w:rsid w:val="00002E3B"/>
    <w:rsid w:val="00002FE1"/>
    <w:rsid w:val="00002FFA"/>
    <w:rsid w:val="000030AF"/>
    <w:rsid w:val="00003193"/>
    <w:rsid w:val="000031DA"/>
    <w:rsid w:val="0000325D"/>
    <w:rsid w:val="000032C1"/>
    <w:rsid w:val="0000332E"/>
    <w:rsid w:val="00003464"/>
    <w:rsid w:val="00003472"/>
    <w:rsid w:val="000034E5"/>
    <w:rsid w:val="0000357B"/>
    <w:rsid w:val="00003581"/>
    <w:rsid w:val="00003641"/>
    <w:rsid w:val="000036AB"/>
    <w:rsid w:val="000036D3"/>
    <w:rsid w:val="000036F1"/>
    <w:rsid w:val="000036F8"/>
    <w:rsid w:val="00003778"/>
    <w:rsid w:val="000037B1"/>
    <w:rsid w:val="000037DC"/>
    <w:rsid w:val="000037F6"/>
    <w:rsid w:val="00003801"/>
    <w:rsid w:val="00003897"/>
    <w:rsid w:val="000038D2"/>
    <w:rsid w:val="00003926"/>
    <w:rsid w:val="000039AA"/>
    <w:rsid w:val="00003A19"/>
    <w:rsid w:val="00003A8B"/>
    <w:rsid w:val="00003AF4"/>
    <w:rsid w:val="00003BD3"/>
    <w:rsid w:val="00003C94"/>
    <w:rsid w:val="00003D23"/>
    <w:rsid w:val="00003D2F"/>
    <w:rsid w:val="00003EBD"/>
    <w:rsid w:val="00003EED"/>
    <w:rsid w:val="00003F80"/>
    <w:rsid w:val="00004055"/>
    <w:rsid w:val="000040B6"/>
    <w:rsid w:val="0000419E"/>
    <w:rsid w:val="000041B0"/>
    <w:rsid w:val="00004268"/>
    <w:rsid w:val="00004325"/>
    <w:rsid w:val="00004344"/>
    <w:rsid w:val="000043D5"/>
    <w:rsid w:val="000043E1"/>
    <w:rsid w:val="000043EF"/>
    <w:rsid w:val="000043F0"/>
    <w:rsid w:val="00004460"/>
    <w:rsid w:val="00004598"/>
    <w:rsid w:val="000045CD"/>
    <w:rsid w:val="000046C5"/>
    <w:rsid w:val="000046EB"/>
    <w:rsid w:val="000047D2"/>
    <w:rsid w:val="000047D4"/>
    <w:rsid w:val="000047FA"/>
    <w:rsid w:val="00004841"/>
    <w:rsid w:val="000048B7"/>
    <w:rsid w:val="000049FB"/>
    <w:rsid w:val="00004A03"/>
    <w:rsid w:val="00004D3D"/>
    <w:rsid w:val="00004D69"/>
    <w:rsid w:val="00004D75"/>
    <w:rsid w:val="00004DF7"/>
    <w:rsid w:val="00004E48"/>
    <w:rsid w:val="00004E92"/>
    <w:rsid w:val="00004F0A"/>
    <w:rsid w:val="00004F3D"/>
    <w:rsid w:val="00004F7F"/>
    <w:rsid w:val="00004F8F"/>
    <w:rsid w:val="00004FC2"/>
    <w:rsid w:val="00005092"/>
    <w:rsid w:val="000050DC"/>
    <w:rsid w:val="0000514C"/>
    <w:rsid w:val="000051D0"/>
    <w:rsid w:val="000052A0"/>
    <w:rsid w:val="000052BC"/>
    <w:rsid w:val="0000535A"/>
    <w:rsid w:val="000053B7"/>
    <w:rsid w:val="000053D5"/>
    <w:rsid w:val="000053F7"/>
    <w:rsid w:val="0000540E"/>
    <w:rsid w:val="00005491"/>
    <w:rsid w:val="000054AB"/>
    <w:rsid w:val="000054C4"/>
    <w:rsid w:val="000054C9"/>
    <w:rsid w:val="000054E9"/>
    <w:rsid w:val="000054F4"/>
    <w:rsid w:val="00005527"/>
    <w:rsid w:val="0000556E"/>
    <w:rsid w:val="0000558F"/>
    <w:rsid w:val="00005599"/>
    <w:rsid w:val="00005625"/>
    <w:rsid w:val="000056D9"/>
    <w:rsid w:val="00005702"/>
    <w:rsid w:val="0000575B"/>
    <w:rsid w:val="00005768"/>
    <w:rsid w:val="0000577B"/>
    <w:rsid w:val="000057F4"/>
    <w:rsid w:val="0000580D"/>
    <w:rsid w:val="00005830"/>
    <w:rsid w:val="00005851"/>
    <w:rsid w:val="000058D4"/>
    <w:rsid w:val="000058EC"/>
    <w:rsid w:val="00005974"/>
    <w:rsid w:val="000059FF"/>
    <w:rsid w:val="00005A5C"/>
    <w:rsid w:val="00005A72"/>
    <w:rsid w:val="00005BDD"/>
    <w:rsid w:val="00005CB4"/>
    <w:rsid w:val="00005CB8"/>
    <w:rsid w:val="00005D17"/>
    <w:rsid w:val="00005D2E"/>
    <w:rsid w:val="00005D56"/>
    <w:rsid w:val="00005E03"/>
    <w:rsid w:val="00005EAD"/>
    <w:rsid w:val="00005F5C"/>
    <w:rsid w:val="00005FE8"/>
    <w:rsid w:val="00005FFC"/>
    <w:rsid w:val="000060C2"/>
    <w:rsid w:val="000060C8"/>
    <w:rsid w:val="00006166"/>
    <w:rsid w:val="0000624B"/>
    <w:rsid w:val="000062F7"/>
    <w:rsid w:val="0000633C"/>
    <w:rsid w:val="00006412"/>
    <w:rsid w:val="0000644B"/>
    <w:rsid w:val="00006489"/>
    <w:rsid w:val="00006497"/>
    <w:rsid w:val="000064F6"/>
    <w:rsid w:val="00006523"/>
    <w:rsid w:val="0000654B"/>
    <w:rsid w:val="000065CE"/>
    <w:rsid w:val="00006660"/>
    <w:rsid w:val="0000666E"/>
    <w:rsid w:val="0000668D"/>
    <w:rsid w:val="00006714"/>
    <w:rsid w:val="00006721"/>
    <w:rsid w:val="00006731"/>
    <w:rsid w:val="0000674E"/>
    <w:rsid w:val="0000676C"/>
    <w:rsid w:val="000067FD"/>
    <w:rsid w:val="00006893"/>
    <w:rsid w:val="000068FC"/>
    <w:rsid w:val="00006924"/>
    <w:rsid w:val="0000698D"/>
    <w:rsid w:val="00006A9F"/>
    <w:rsid w:val="00006AF1"/>
    <w:rsid w:val="00006B5A"/>
    <w:rsid w:val="00006B77"/>
    <w:rsid w:val="00006BB3"/>
    <w:rsid w:val="00006BBD"/>
    <w:rsid w:val="00006C09"/>
    <w:rsid w:val="00006D60"/>
    <w:rsid w:val="00006F1B"/>
    <w:rsid w:val="00007022"/>
    <w:rsid w:val="00007036"/>
    <w:rsid w:val="000070B4"/>
    <w:rsid w:val="000070F4"/>
    <w:rsid w:val="00007214"/>
    <w:rsid w:val="00007235"/>
    <w:rsid w:val="0000725D"/>
    <w:rsid w:val="0000727F"/>
    <w:rsid w:val="000073AF"/>
    <w:rsid w:val="000073BB"/>
    <w:rsid w:val="000073EF"/>
    <w:rsid w:val="0000741F"/>
    <w:rsid w:val="00007542"/>
    <w:rsid w:val="00007570"/>
    <w:rsid w:val="00007593"/>
    <w:rsid w:val="00007622"/>
    <w:rsid w:val="000076FB"/>
    <w:rsid w:val="00007708"/>
    <w:rsid w:val="00007758"/>
    <w:rsid w:val="00007760"/>
    <w:rsid w:val="00007826"/>
    <w:rsid w:val="00007827"/>
    <w:rsid w:val="00007846"/>
    <w:rsid w:val="000078BF"/>
    <w:rsid w:val="00007993"/>
    <w:rsid w:val="00007A97"/>
    <w:rsid w:val="00007ABB"/>
    <w:rsid w:val="00007AD3"/>
    <w:rsid w:val="00007B25"/>
    <w:rsid w:val="00007BCE"/>
    <w:rsid w:val="00007CD5"/>
    <w:rsid w:val="00007CFF"/>
    <w:rsid w:val="00007DAB"/>
    <w:rsid w:val="00007E03"/>
    <w:rsid w:val="00007E15"/>
    <w:rsid w:val="00007E74"/>
    <w:rsid w:val="00007E7A"/>
    <w:rsid w:val="00007EB4"/>
    <w:rsid w:val="00007EEA"/>
    <w:rsid w:val="00007F3C"/>
    <w:rsid w:val="0001014B"/>
    <w:rsid w:val="000101F5"/>
    <w:rsid w:val="000102E1"/>
    <w:rsid w:val="000103BB"/>
    <w:rsid w:val="00010416"/>
    <w:rsid w:val="00010517"/>
    <w:rsid w:val="00010732"/>
    <w:rsid w:val="00010740"/>
    <w:rsid w:val="00010767"/>
    <w:rsid w:val="0001078C"/>
    <w:rsid w:val="00010804"/>
    <w:rsid w:val="000108A0"/>
    <w:rsid w:val="00010926"/>
    <w:rsid w:val="00010939"/>
    <w:rsid w:val="0001093F"/>
    <w:rsid w:val="000109B4"/>
    <w:rsid w:val="00010A1C"/>
    <w:rsid w:val="00010A31"/>
    <w:rsid w:val="00010A52"/>
    <w:rsid w:val="00010A82"/>
    <w:rsid w:val="00010BA6"/>
    <w:rsid w:val="00010C58"/>
    <w:rsid w:val="00010C83"/>
    <w:rsid w:val="00010C87"/>
    <w:rsid w:val="00010D33"/>
    <w:rsid w:val="00010DB3"/>
    <w:rsid w:val="00010DCE"/>
    <w:rsid w:val="00010DD2"/>
    <w:rsid w:val="00010DF8"/>
    <w:rsid w:val="00010E05"/>
    <w:rsid w:val="00010EE2"/>
    <w:rsid w:val="00010F13"/>
    <w:rsid w:val="00010F68"/>
    <w:rsid w:val="00010F6B"/>
    <w:rsid w:val="0001104F"/>
    <w:rsid w:val="00011078"/>
    <w:rsid w:val="000110A5"/>
    <w:rsid w:val="0001116C"/>
    <w:rsid w:val="0001119F"/>
    <w:rsid w:val="000111B1"/>
    <w:rsid w:val="00011251"/>
    <w:rsid w:val="0001127C"/>
    <w:rsid w:val="00011291"/>
    <w:rsid w:val="0001130E"/>
    <w:rsid w:val="000113EB"/>
    <w:rsid w:val="000113ED"/>
    <w:rsid w:val="000114A4"/>
    <w:rsid w:val="000114B2"/>
    <w:rsid w:val="000114E1"/>
    <w:rsid w:val="00011527"/>
    <w:rsid w:val="00011543"/>
    <w:rsid w:val="00011568"/>
    <w:rsid w:val="00011570"/>
    <w:rsid w:val="0001159B"/>
    <w:rsid w:val="000115BC"/>
    <w:rsid w:val="000115DD"/>
    <w:rsid w:val="0001166E"/>
    <w:rsid w:val="000116FF"/>
    <w:rsid w:val="0001176F"/>
    <w:rsid w:val="000117C6"/>
    <w:rsid w:val="000117EB"/>
    <w:rsid w:val="0001183B"/>
    <w:rsid w:val="0001188A"/>
    <w:rsid w:val="000118EC"/>
    <w:rsid w:val="0001191A"/>
    <w:rsid w:val="0001192F"/>
    <w:rsid w:val="00011973"/>
    <w:rsid w:val="00011A3F"/>
    <w:rsid w:val="00011A45"/>
    <w:rsid w:val="00011ADD"/>
    <w:rsid w:val="00011AF3"/>
    <w:rsid w:val="00011AF7"/>
    <w:rsid w:val="00011B13"/>
    <w:rsid w:val="00011B1C"/>
    <w:rsid w:val="00011B35"/>
    <w:rsid w:val="00011B65"/>
    <w:rsid w:val="00011BDE"/>
    <w:rsid w:val="00011C1E"/>
    <w:rsid w:val="00011DA9"/>
    <w:rsid w:val="00011DDA"/>
    <w:rsid w:val="00011E2A"/>
    <w:rsid w:val="00011F9C"/>
    <w:rsid w:val="00011FAA"/>
    <w:rsid w:val="00011FBD"/>
    <w:rsid w:val="00011FE6"/>
    <w:rsid w:val="00012032"/>
    <w:rsid w:val="00012065"/>
    <w:rsid w:val="0001206A"/>
    <w:rsid w:val="00012173"/>
    <w:rsid w:val="00012237"/>
    <w:rsid w:val="00012301"/>
    <w:rsid w:val="000123C2"/>
    <w:rsid w:val="00012424"/>
    <w:rsid w:val="00012434"/>
    <w:rsid w:val="00012520"/>
    <w:rsid w:val="0001252C"/>
    <w:rsid w:val="0001252D"/>
    <w:rsid w:val="00012594"/>
    <w:rsid w:val="000125DF"/>
    <w:rsid w:val="00012605"/>
    <w:rsid w:val="00012652"/>
    <w:rsid w:val="0001271A"/>
    <w:rsid w:val="000127B6"/>
    <w:rsid w:val="000127F0"/>
    <w:rsid w:val="00012819"/>
    <w:rsid w:val="0001282C"/>
    <w:rsid w:val="0001285E"/>
    <w:rsid w:val="00012865"/>
    <w:rsid w:val="000128F6"/>
    <w:rsid w:val="00012983"/>
    <w:rsid w:val="00012A36"/>
    <w:rsid w:val="00012A65"/>
    <w:rsid w:val="00012AAA"/>
    <w:rsid w:val="00012B05"/>
    <w:rsid w:val="00012B32"/>
    <w:rsid w:val="00012B57"/>
    <w:rsid w:val="00012BEB"/>
    <w:rsid w:val="00012CC9"/>
    <w:rsid w:val="00012D48"/>
    <w:rsid w:val="00012DB0"/>
    <w:rsid w:val="00012E64"/>
    <w:rsid w:val="00012E85"/>
    <w:rsid w:val="00012EEA"/>
    <w:rsid w:val="00012F72"/>
    <w:rsid w:val="00012FD5"/>
    <w:rsid w:val="0001301F"/>
    <w:rsid w:val="00013056"/>
    <w:rsid w:val="00013057"/>
    <w:rsid w:val="000130A6"/>
    <w:rsid w:val="000130FC"/>
    <w:rsid w:val="00013138"/>
    <w:rsid w:val="000131A8"/>
    <w:rsid w:val="000131BB"/>
    <w:rsid w:val="000131D8"/>
    <w:rsid w:val="0001323F"/>
    <w:rsid w:val="0001329D"/>
    <w:rsid w:val="000133C3"/>
    <w:rsid w:val="0001342E"/>
    <w:rsid w:val="00013434"/>
    <w:rsid w:val="00013540"/>
    <w:rsid w:val="00013546"/>
    <w:rsid w:val="000135B1"/>
    <w:rsid w:val="0001362E"/>
    <w:rsid w:val="00013635"/>
    <w:rsid w:val="000136F2"/>
    <w:rsid w:val="00013727"/>
    <w:rsid w:val="00013731"/>
    <w:rsid w:val="000137F2"/>
    <w:rsid w:val="000138A2"/>
    <w:rsid w:val="000138B2"/>
    <w:rsid w:val="000138CC"/>
    <w:rsid w:val="000138EA"/>
    <w:rsid w:val="00013901"/>
    <w:rsid w:val="00013950"/>
    <w:rsid w:val="0001395B"/>
    <w:rsid w:val="00013965"/>
    <w:rsid w:val="000139FE"/>
    <w:rsid w:val="00013A45"/>
    <w:rsid w:val="00013A68"/>
    <w:rsid w:val="00013A97"/>
    <w:rsid w:val="00013AB3"/>
    <w:rsid w:val="00013AC9"/>
    <w:rsid w:val="00013ADF"/>
    <w:rsid w:val="00013B2D"/>
    <w:rsid w:val="00013C26"/>
    <w:rsid w:val="00013C90"/>
    <w:rsid w:val="00013E1E"/>
    <w:rsid w:val="00013E20"/>
    <w:rsid w:val="00013EDC"/>
    <w:rsid w:val="00013F02"/>
    <w:rsid w:val="00013F49"/>
    <w:rsid w:val="00013F73"/>
    <w:rsid w:val="00013FCE"/>
    <w:rsid w:val="00014103"/>
    <w:rsid w:val="0001411A"/>
    <w:rsid w:val="00014195"/>
    <w:rsid w:val="0001420B"/>
    <w:rsid w:val="00014216"/>
    <w:rsid w:val="000142D2"/>
    <w:rsid w:val="0001430A"/>
    <w:rsid w:val="000143D3"/>
    <w:rsid w:val="000143E9"/>
    <w:rsid w:val="000143FF"/>
    <w:rsid w:val="0001449E"/>
    <w:rsid w:val="000144B3"/>
    <w:rsid w:val="000147CB"/>
    <w:rsid w:val="0001492E"/>
    <w:rsid w:val="00014974"/>
    <w:rsid w:val="000149A3"/>
    <w:rsid w:val="000149B6"/>
    <w:rsid w:val="000149C6"/>
    <w:rsid w:val="000149CB"/>
    <w:rsid w:val="00014C16"/>
    <w:rsid w:val="00014C1E"/>
    <w:rsid w:val="00014C46"/>
    <w:rsid w:val="00014C93"/>
    <w:rsid w:val="00014CD2"/>
    <w:rsid w:val="00014CD5"/>
    <w:rsid w:val="00014CF8"/>
    <w:rsid w:val="00014DAF"/>
    <w:rsid w:val="00014E6B"/>
    <w:rsid w:val="00014EE6"/>
    <w:rsid w:val="00014F36"/>
    <w:rsid w:val="00014F43"/>
    <w:rsid w:val="00014FE4"/>
    <w:rsid w:val="00014FEF"/>
    <w:rsid w:val="00015068"/>
    <w:rsid w:val="0001507D"/>
    <w:rsid w:val="00015085"/>
    <w:rsid w:val="000150CF"/>
    <w:rsid w:val="000150ED"/>
    <w:rsid w:val="000150F8"/>
    <w:rsid w:val="000151B0"/>
    <w:rsid w:val="000151CF"/>
    <w:rsid w:val="000151E3"/>
    <w:rsid w:val="0001524F"/>
    <w:rsid w:val="0001529B"/>
    <w:rsid w:val="000152C5"/>
    <w:rsid w:val="000152EA"/>
    <w:rsid w:val="00015348"/>
    <w:rsid w:val="00015364"/>
    <w:rsid w:val="0001539D"/>
    <w:rsid w:val="000154A2"/>
    <w:rsid w:val="00015564"/>
    <w:rsid w:val="000155CA"/>
    <w:rsid w:val="000155DF"/>
    <w:rsid w:val="000155F2"/>
    <w:rsid w:val="000155FC"/>
    <w:rsid w:val="000156D9"/>
    <w:rsid w:val="0001575A"/>
    <w:rsid w:val="000158A1"/>
    <w:rsid w:val="000158AB"/>
    <w:rsid w:val="0001591A"/>
    <w:rsid w:val="000159B0"/>
    <w:rsid w:val="000159B2"/>
    <w:rsid w:val="00015AA6"/>
    <w:rsid w:val="00015B31"/>
    <w:rsid w:val="00015B76"/>
    <w:rsid w:val="00015B94"/>
    <w:rsid w:val="00015D45"/>
    <w:rsid w:val="00015DB6"/>
    <w:rsid w:val="00015DF0"/>
    <w:rsid w:val="00015F1E"/>
    <w:rsid w:val="00015F8E"/>
    <w:rsid w:val="00016077"/>
    <w:rsid w:val="000160C0"/>
    <w:rsid w:val="00016164"/>
    <w:rsid w:val="0001618C"/>
    <w:rsid w:val="0001622B"/>
    <w:rsid w:val="00016312"/>
    <w:rsid w:val="000164A2"/>
    <w:rsid w:val="000164DE"/>
    <w:rsid w:val="00016549"/>
    <w:rsid w:val="000165BC"/>
    <w:rsid w:val="0001660D"/>
    <w:rsid w:val="000166FC"/>
    <w:rsid w:val="0001671B"/>
    <w:rsid w:val="0001672C"/>
    <w:rsid w:val="0001679C"/>
    <w:rsid w:val="000167A2"/>
    <w:rsid w:val="000167D2"/>
    <w:rsid w:val="00016878"/>
    <w:rsid w:val="000168F2"/>
    <w:rsid w:val="000169CE"/>
    <w:rsid w:val="000169FA"/>
    <w:rsid w:val="00016B5D"/>
    <w:rsid w:val="00016B87"/>
    <w:rsid w:val="00016C1A"/>
    <w:rsid w:val="00016C34"/>
    <w:rsid w:val="00016CD2"/>
    <w:rsid w:val="00016D12"/>
    <w:rsid w:val="00016D61"/>
    <w:rsid w:val="00016E11"/>
    <w:rsid w:val="00016E2C"/>
    <w:rsid w:val="00016E2D"/>
    <w:rsid w:val="00016E68"/>
    <w:rsid w:val="00016E8C"/>
    <w:rsid w:val="00016E9F"/>
    <w:rsid w:val="00016EF5"/>
    <w:rsid w:val="00016EFB"/>
    <w:rsid w:val="00016F29"/>
    <w:rsid w:val="00016FC1"/>
    <w:rsid w:val="000170EC"/>
    <w:rsid w:val="000170FA"/>
    <w:rsid w:val="000172F5"/>
    <w:rsid w:val="00017353"/>
    <w:rsid w:val="00017392"/>
    <w:rsid w:val="000173F0"/>
    <w:rsid w:val="0001743A"/>
    <w:rsid w:val="000174D0"/>
    <w:rsid w:val="000174E2"/>
    <w:rsid w:val="000174FE"/>
    <w:rsid w:val="00017576"/>
    <w:rsid w:val="00017583"/>
    <w:rsid w:val="00017668"/>
    <w:rsid w:val="0001769A"/>
    <w:rsid w:val="00017877"/>
    <w:rsid w:val="000178CB"/>
    <w:rsid w:val="000178FF"/>
    <w:rsid w:val="00017909"/>
    <w:rsid w:val="00017A2A"/>
    <w:rsid w:val="00017BB5"/>
    <w:rsid w:val="00017C3D"/>
    <w:rsid w:val="00017CF7"/>
    <w:rsid w:val="00017D3F"/>
    <w:rsid w:val="00017D40"/>
    <w:rsid w:val="00017D88"/>
    <w:rsid w:val="00017E13"/>
    <w:rsid w:val="00017E70"/>
    <w:rsid w:val="00017F98"/>
    <w:rsid w:val="00017FB2"/>
    <w:rsid w:val="000200B1"/>
    <w:rsid w:val="00020108"/>
    <w:rsid w:val="0002017F"/>
    <w:rsid w:val="000201FD"/>
    <w:rsid w:val="00020248"/>
    <w:rsid w:val="000202F1"/>
    <w:rsid w:val="00020534"/>
    <w:rsid w:val="00020576"/>
    <w:rsid w:val="000205D2"/>
    <w:rsid w:val="00020661"/>
    <w:rsid w:val="000206E1"/>
    <w:rsid w:val="0002072E"/>
    <w:rsid w:val="00020778"/>
    <w:rsid w:val="0002090D"/>
    <w:rsid w:val="00020929"/>
    <w:rsid w:val="00020B33"/>
    <w:rsid w:val="00020B50"/>
    <w:rsid w:val="00020B8F"/>
    <w:rsid w:val="00020B93"/>
    <w:rsid w:val="00020C4C"/>
    <w:rsid w:val="00020C58"/>
    <w:rsid w:val="00020C8D"/>
    <w:rsid w:val="00020CE6"/>
    <w:rsid w:val="00020D92"/>
    <w:rsid w:val="00020DFA"/>
    <w:rsid w:val="00020E4C"/>
    <w:rsid w:val="00020E62"/>
    <w:rsid w:val="00020EB3"/>
    <w:rsid w:val="00020ECF"/>
    <w:rsid w:val="00020F36"/>
    <w:rsid w:val="00020F3C"/>
    <w:rsid w:val="00021125"/>
    <w:rsid w:val="00021142"/>
    <w:rsid w:val="000211C4"/>
    <w:rsid w:val="000211CC"/>
    <w:rsid w:val="000211D8"/>
    <w:rsid w:val="000211E8"/>
    <w:rsid w:val="00021236"/>
    <w:rsid w:val="0002138D"/>
    <w:rsid w:val="000213A7"/>
    <w:rsid w:val="000213AD"/>
    <w:rsid w:val="0002143E"/>
    <w:rsid w:val="00021466"/>
    <w:rsid w:val="00021477"/>
    <w:rsid w:val="00021478"/>
    <w:rsid w:val="00021492"/>
    <w:rsid w:val="000214A4"/>
    <w:rsid w:val="0002154D"/>
    <w:rsid w:val="000215D9"/>
    <w:rsid w:val="00021635"/>
    <w:rsid w:val="00021805"/>
    <w:rsid w:val="00021939"/>
    <w:rsid w:val="00021962"/>
    <w:rsid w:val="0002196F"/>
    <w:rsid w:val="00021A12"/>
    <w:rsid w:val="00021B0B"/>
    <w:rsid w:val="00021B8F"/>
    <w:rsid w:val="00021BAE"/>
    <w:rsid w:val="00021BC2"/>
    <w:rsid w:val="00021BEE"/>
    <w:rsid w:val="00021C0A"/>
    <w:rsid w:val="00021C42"/>
    <w:rsid w:val="00021D7C"/>
    <w:rsid w:val="00021DFA"/>
    <w:rsid w:val="00021EB3"/>
    <w:rsid w:val="00021EF7"/>
    <w:rsid w:val="00021F61"/>
    <w:rsid w:val="00021F8B"/>
    <w:rsid w:val="00021FF6"/>
    <w:rsid w:val="0002202A"/>
    <w:rsid w:val="00022103"/>
    <w:rsid w:val="0002218A"/>
    <w:rsid w:val="000221FC"/>
    <w:rsid w:val="0002222F"/>
    <w:rsid w:val="0002228C"/>
    <w:rsid w:val="00022397"/>
    <w:rsid w:val="000223B5"/>
    <w:rsid w:val="00022453"/>
    <w:rsid w:val="00022488"/>
    <w:rsid w:val="000224C8"/>
    <w:rsid w:val="00022516"/>
    <w:rsid w:val="00022537"/>
    <w:rsid w:val="00022593"/>
    <w:rsid w:val="000225CE"/>
    <w:rsid w:val="000225D6"/>
    <w:rsid w:val="00022606"/>
    <w:rsid w:val="000226B9"/>
    <w:rsid w:val="0002279C"/>
    <w:rsid w:val="0002283D"/>
    <w:rsid w:val="000228B8"/>
    <w:rsid w:val="000228CC"/>
    <w:rsid w:val="0002291F"/>
    <w:rsid w:val="0002294D"/>
    <w:rsid w:val="000229A5"/>
    <w:rsid w:val="00022A34"/>
    <w:rsid w:val="00022AE9"/>
    <w:rsid w:val="00022AF2"/>
    <w:rsid w:val="00022AF4"/>
    <w:rsid w:val="00022B17"/>
    <w:rsid w:val="00022B4E"/>
    <w:rsid w:val="00022B6D"/>
    <w:rsid w:val="00022C12"/>
    <w:rsid w:val="00022C27"/>
    <w:rsid w:val="00022C62"/>
    <w:rsid w:val="00022CEE"/>
    <w:rsid w:val="00022CEF"/>
    <w:rsid w:val="00022D5A"/>
    <w:rsid w:val="00022DF2"/>
    <w:rsid w:val="00022E10"/>
    <w:rsid w:val="00022E99"/>
    <w:rsid w:val="00022ECA"/>
    <w:rsid w:val="00022F6F"/>
    <w:rsid w:val="0002302C"/>
    <w:rsid w:val="00023094"/>
    <w:rsid w:val="000231DE"/>
    <w:rsid w:val="00023201"/>
    <w:rsid w:val="0002321C"/>
    <w:rsid w:val="0002323C"/>
    <w:rsid w:val="00023320"/>
    <w:rsid w:val="000233D4"/>
    <w:rsid w:val="0002342C"/>
    <w:rsid w:val="0002350E"/>
    <w:rsid w:val="00023530"/>
    <w:rsid w:val="000235B7"/>
    <w:rsid w:val="0002363C"/>
    <w:rsid w:val="00023651"/>
    <w:rsid w:val="0002365E"/>
    <w:rsid w:val="00023670"/>
    <w:rsid w:val="000236E6"/>
    <w:rsid w:val="00023771"/>
    <w:rsid w:val="0002381B"/>
    <w:rsid w:val="00023826"/>
    <w:rsid w:val="0002382E"/>
    <w:rsid w:val="00023875"/>
    <w:rsid w:val="000238EB"/>
    <w:rsid w:val="000238F2"/>
    <w:rsid w:val="00023942"/>
    <w:rsid w:val="00023949"/>
    <w:rsid w:val="00023955"/>
    <w:rsid w:val="00023A8B"/>
    <w:rsid w:val="00023AA7"/>
    <w:rsid w:val="00023ACD"/>
    <w:rsid w:val="00023AE5"/>
    <w:rsid w:val="00023AF9"/>
    <w:rsid w:val="00023B79"/>
    <w:rsid w:val="00023CCC"/>
    <w:rsid w:val="00023CD3"/>
    <w:rsid w:val="00023D1B"/>
    <w:rsid w:val="00023D52"/>
    <w:rsid w:val="00023DDF"/>
    <w:rsid w:val="00023E2E"/>
    <w:rsid w:val="00023E64"/>
    <w:rsid w:val="00023F3A"/>
    <w:rsid w:val="00023FFF"/>
    <w:rsid w:val="0002403A"/>
    <w:rsid w:val="00024144"/>
    <w:rsid w:val="0002415C"/>
    <w:rsid w:val="000241BB"/>
    <w:rsid w:val="000241F8"/>
    <w:rsid w:val="00024243"/>
    <w:rsid w:val="000242DF"/>
    <w:rsid w:val="000242E5"/>
    <w:rsid w:val="00024318"/>
    <w:rsid w:val="00024383"/>
    <w:rsid w:val="00024400"/>
    <w:rsid w:val="00024458"/>
    <w:rsid w:val="00024469"/>
    <w:rsid w:val="0002450E"/>
    <w:rsid w:val="0002451C"/>
    <w:rsid w:val="0002454D"/>
    <w:rsid w:val="000245B5"/>
    <w:rsid w:val="00024666"/>
    <w:rsid w:val="0002467A"/>
    <w:rsid w:val="0002469A"/>
    <w:rsid w:val="00024845"/>
    <w:rsid w:val="00024899"/>
    <w:rsid w:val="00024990"/>
    <w:rsid w:val="000249BD"/>
    <w:rsid w:val="00024A35"/>
    <w:rsid w:val="00024A36"/>
    <w:rsid w:val="00024A48"/>
    <w:rsid w:val="00024ACC"/>
    <w:rsid w:val="00024B06"/>
    <w:rsid w:val="00024B35"/>
    <w:rsid w:val="00024B6C"/>
    <w:rsid w:val="00024B7E"/>
    <w:rsid w:val="00024B85"/>
    <w:rsid w:val="00024C16"/>
    <w:rsid w:val="00024CD2"/>
    <w:rsid w:val="00024CE6"/>
    <w:rsid w:val="00024D00"/>
    <w:rsid w:val="00024D38"/>
    <w:rsid w:val="00024D57"/>
    <w:rsid w:val="00024E4B"/>
    <w:rsid w:val="00024E74"/>
    <w:rsid w:val="00024EA5"/>
    <w:rsid w:val="00024EED"/>
    <w:rsid w:val="00025053"/>
    <w:rsid w:val="000251B7"/>
    <w:rsid w:val="00025238"/>
    <w:rsid w:val="00025298"/>
    <w:rsid w:val="000252ED"/>
    <w:rsid w:val="000252F3"/>
    <w:rsid w:val="00025315"/>
    <w:rsid w:val="0002533E"/>
    <w:rsid w:val="000253D8"/>
    <w:rsid w:val="000253DC"/>
    <w:rsid w:val="000253F8"/>
    <w:rsid w:val="00025410"/>
    <w:rsid w:val="00025426"/>
    <w:rsid w:val="0002544F"/>
    <w:rsid w:val="00025496"/>
    <w:rsid w:val="00025528"/>
    <w:rsid w:val="000255A0"/>
    <w:rsid w:val="000255E7"/>
    <w:rsid w:val="00025689"/>
    <w:rsid w:val="000256DB"/>
    <w:rsid w:val="00025760"/>
    <w:rsid w:val="0002577C"/>
    <w:rsid w:val="000257D6"/>
    <w:rsid w:val="00025800"/>
    <w:rsid w:val="00025806"/>
    <w:rsid w:val="00025864"/>
    <w:rsid w:val="000258B0"/>
    <w:rsid w:val="000258D7"/>
    <w:rsid w:val="00025A43"/>
    <w:rsid w:val="00025AB4"/>
    <w:rsid w:val="00025B12"/>
    <w:rsid w:val="00025B66"/>
    <w:rsid w:val="00025BC1"/>
    <w:rsid w:val="00025C49"/>
    <w:rsid w:val="00025CBD"/>
    <w:rsid w:val="00025D15"/>
    <w:rsid w:val="00025D2B"/>
    <w:rsid w:val="00025DB6"/>
    <w:rsid w:val="00025E42"/>
    <w:rsid w:val="00025F2F"/>
    <w:rsid w:val="00025F69"/>
    <w:rsid w:val="00025FDF"/>
    <w:rsid w:val="0002600D"/>
    <w:rsid w:val="0002608A"/>
    <w:rsid w:val="0002610C"/>
    <w:rsid w:val="0002617E"/>
    <w:rsid w:val="00026184"/>
    <w:rsid w:val="00026194"/>
    <w:rsid w:val="000261A9"/>
    <w:rsid w:val="000261C7"/>
    <w:rsid w:val="000261E5"/>
    <w:rsid w:val="000262C9"/>
    <w:rsid w:val="000262DA"/>
    <w:rsid w:val="00026329"/>
    <w:rsid w:val="00026367"/>
    <w:rsid w:val="00026587"/>
    <w:rsid w:val="000265AB"/>
    <w:rsid w:val="000265BF"/>
    <w:rsid w:val="000265C5"/>
    <w:rsid w:val="00026641"/>
    <w:rsid w:val="00026709"/>
    <w:rsid w:val="0002671B"/>
    <w:rsid w:val="000267C6"/>
    <w:rsid w:val="000267FF"/>
    <w:rsid w:val="00026810"/>
    <w:rsid w:val="0002682B"/>
    <w:rsid w:val="0002683F"/>
    <w:rsid w:val="00026860"/>
    <w:rsid w:val="0002699C"/>
    <w:rsid w:val="00026ADA"/>
    <w:rsid w:val="00026AE7"/>
    <w:rsid w:val="00026AF1"/>
    <w:rsid w:val="00026B16"/>
    <w:rsid w:val="00026BF2"/>
    <w:rsid w:val="00026C04"/>
    <w:rsid w:val="00026D0D"/>
    <w:rsid w:val="00026D7A"/>
    <w:rsid w:val="00026E06"/>
    <w:rsid w:val="00026E45"/>
    <w:rsid w:val="00026E5E"/>
    <w:rsid w:val="00026E93"/>
    <w:rsid w:val="00027043"/>
    <w:rsid w:val="000270DA"/>
    <w:rsid w:val="0002714C"/>
    <w:rsid w:val="00027158"/>
    <w:rsid w:val="000272A3"/>
    <w:rsid w:val="000274A2"/>
    <w:rsid w:val="0002755F"/>
    <w:rsid w:val="00027624"/>
    <w:rsid w:val="0002762D"/>
    <w:rsid w:val="000276EC"/>
    <w:rsid w:val="00027714"/>
    <w:rsid w:val="00027725"/>
    <w:rsid w:val="00027752"/>
    <w:rsid w:val="00027767"/>
    <w:rsid w:val="000277D9"/>
    <w:rsid w:val="00027829"/>
    <w:rsid w:val="00027872"/>
    <w:rsid w:val="00027889"/>
    <w:rsid w:val="00027946"/>
    <w:rsid w:val="0002796B"/>
    <w:rsid w:val="00027994"/>
    <w:rsid w:val="00027AAA"/>
    <w:rsid w:val="00027B10"/>
    <w:rsid w:val="00027B2A"/>
    <w:rsid w:val="00027B8E"/>
    <w:rsid w:val="00027C3C"/>
    <w:rsid w:val="00027D37"/>
    <w:rsid w:val="00027D5E"/>
    <w:rsid w:val="00027DDD"/>
    <w:rsid w:val="00027E40"/>
    <w:rsid w:val="00027EBE"/>
    <w:rsid w:val="00027EE8"/>
    <w:rsid w:val="00027F3C"/>
    <w:rsid w:val="00027F46"/>
    <w:rsid w:val="00027F58"/>
    <w:rsid w:val="00027FE6"/>
    <w:rsid w:val="00030136"/>
    <w:rsid w:val="00030195"/>
    <w:rsid w:val="00030204"/>
    <w:rsid w:val="00030242"/>
    <w:rsid w:val="00030253"/>
    <w:rsid w:val="0003025E"/>
    <w:rsid w:val="000302E4"/>
    <w:rsid w:val="00030373"/>
    <w:rsid w:val="000303A1"/>
    <w:rsid w:val="0003042C"/>
    <w:rsid w:val="00030579"/>
    <w:rsid w:val="000305F0"/>
    <w:rsid w:val="000306BF"/>
    <w:rsid w:val="00030754"/>
    <w:rsid w:val="0003076D"/>
    <w:rsid w:val="0003081C"/>
    <w:rsid w:val="00030826"/>
    <w:rsid w:val="00030828"/>
    <w:rsid w:val="0003084B"/>
    <w:rsid w:val="00030869"/>
    <w:rsid w:val="0003088D"/>
    <w:rsid w:val="0003089D"/>
    <w:rsid w:val="00030A0B"/>
    <w:rsid w:val="00030A6D"/>
    <w:rsid w:val="00030C53"/>
    <w:rsid w:val="00030C92"/>
    <w:rsid w:val="00030CAE"/>
    <w:rsid w:val="00030CC3"/>
    <w:rsid w:val="00030CC5"/>
    <w:rsid w:val="00030CE2"/>
    <w:rsid w:val="00030CE6"/>
    <w:rsid w:val="00030DD0"/>
    <w:rsid w:val="00030DD6"/>
    <w:rsid w:val="00030E0C"/>
    <w:rsid w:val="00030F53"/>
    <w:rsid w:val="00030FB8"/>
    <w:rsid w:val="00030FD4"/>
    <w:rsid w:val="0003104B"/>
    <w:rsid w:val="00031067"/>
    <w:rsid w:val="00031095"/>
    <w:rsid w:val="000310D1"/>
    <w:rsid w:val="00031138"/>
    <w:rsid w:val="00031289"/>
    <w:rsid w:val="0003130B"/>
    <w:rsid w:val="0003133E"/>
    <w:rsid w:val="00031362"/>
    <w:rsid w:val="000313EE"/>
    <w:rsid w:val="0003141C"/>
    <w:rsid w:val="0003147C"/>
    <w:rsid w:val="00031522"/>
    <w:rsid w:val="0003154C"/>
    <w:rsid w:val="000315F6"/>
    <w:rsid w:val="00031618"/>
    <w:rsid w:val="00031684"/>
    <w:rsid w:val="000316C8"/>
    <w:rsid w:val="00031750"/>
    <w:rsid w:val="000317F0"/>
    <w:rsid w:val="000317F2"/>
    <w:rsid w:val="0003181B"/>
    <w:rsid w:val="00031879"/>
    <w:rsid w:val="000318AC"/>
    <w:rsid w:val="000318AF"/>
    <w:rsid w:val="000318BF"/>
    <w:rsid w:val="000318F7"/>
    <w:rsid w:val="000319A0"/>
    <w:rsid w:val="00031AAF"/>
    <w:rsid w:val="00031ABF"/>
    <w:rsid w:val="00031B4B"/>
    <w:rsid w:val="00031C26"/>
    <w:rsid w:val="00031C80"/>
    <w:rsid w:val="00031C9D"/>
    <w:rsid w:val="00031CBD"/>
    <w:rsid w:val="00031CE1"/>
    <w:rsid w:val="00031D1A"/>
    <w:rsid w:val="00031D1B"/>
    <w:rsid w:val="00031D1C"/>
    <w:rsid w:val="00031DBA"/>
    <w:rsid w:val="00031DD8"/>
    <w:rsid w:val="00031DE4"/>
    <w:rsid w:val="00031E41"/>
    <w:rsid w:val="00031F4E"/>
    <w:rsid w:val="00031FAB"/>
    <w:rsid w:val="000320AE"/>
    <w:rsid w:val="0003211C"/>
    <w:rsid w:val="0003211E"/>
    <w:rsid w:val="000321E5"/>
    <w:rsid w:val="00032261"/>
    <w:rsid w:val="00032302"/>
    <w:rsid w:val="00032459"/>
    <w:rsid w:val="000324DD"/>
    <w:rsid w:val="0003250F"/>
    <w:rsid w:val="00032518"/>
    <w:rsid w:val="00032597"/>
    <w:rsid w:val="000325C5"/>
    <w:rsid w:val="000326F2"/>
    <w:rsid w:val="00032746"/>
    <w:rsid w:val="000327D7"/>
    <w:rsid w:val="00032847"/>
    <w:rsid w:val="000328C3"/>
    <w:rsid w:val="000328EF"/>
    <w:rsid w:val="00032924"/>
    <w:rsid w:val="0003296C"/>
    <w:rsid w:val="00032A40"/>
    <w:rsid w:val="00032A4B"/>
    <w:rsid w:val="00032A51"/>
    <w:rsid w:val="00032A70"/>
    <w:rsid w:val="00032ACB"/>
    <w:rsid w:val="00032B1C"/>
    <w:rsid w:val="00032B88"/>
    <w:rsid w:val="00032B96"/>
    <w:rsid w:val="00032BCB"/>
    <w:rsid w:val="00032C4D"/>
    <w:rsid w:val="00032D55"/>
    <w:rsid w:val="00032D95"/>
    <w:rsid w:val="00032DDC"/>
    <w:rsid w:val="00032DEB"/>
    <w:rsid w:val="00032F7C"/>
    <w:rsid w:val="00032F8A"/>
    <w:rsid w:val="00032FC8"/>
    <w:rsid w:val="00032FED"/>
    <w:rsid w:val="0003305F"/>
    <w:rsid w:val="00033176"/>
    <w:rsid w:val="00033180"/>
    <w:rsid w:val="0003327B"/>
    <w:rsid w:val="000332D0"/>
    <w:rsid w:val="00033363"/>
    <w:rsid w:val="0003339A"/>
    <w:rsid w:val="0003346E"/>
    <w:rsid w:val="000334CC"/>
    <w:rsid w:val="00033506"/>
    <w:rsid w:val="00033565"/>
    <w:rsid w:val="000335B6"/>
    <w:rsid w:val="00033625"/>
    <w:rsid w:val="000336F9"/>
    <w:rsid w:val="00033724"/>
    <w:rsid w:val="000337A1"/>
    <w:rsid w:val="000337CD"/>
    <w:rsid w:val="000338A1"/>
    <w:rsid w:val="000339C4"/>
    <w:rsid w:val="000339DC"/>
    <w:rsid w:val="00033AA1"/>
    <w:rsid w:val="00033BCA"/>
    <w:rsid w:val="00033CAC"/>
    <w:rsid w:val="00033DA7"/>
    <w:rsid w:val="00033F20"/>
    <w:rsid w:val="00033FFB"/>
    <w:rsid w:val="0003401A"/>
    <w:rsid w:val="00034099"/>
    <w:rsid w:val="000340C9"/>
    <w:rsid w:val="00034119"/>
    <w:rsid w:val="00034160"/>
    <w:rsid w:val="000341D3"/>
    <w:rsid w:val="00034220"/>
    <w:rsid w:val="0003423A"/>
    <w:rsid w:val="000342B3"/>
    <w:rsid w:val="0003432A"/>
    <w:rsid w:val="0003437A"/>
    <w:rsid w:val="000343FE"/>
    <w:rsid w:val="00034460"/>
    <w:rsid w:val="000344B2"/>
    <w:rsid w:val="000344FB"/>
    <w:rsid w:val="00034502"/>
    <w:rsid w:val="00034592"/>
    <w:rsid w:val="000345B0"/>
    <w:rsid w:val="000345CD"/>
    <w:rsid w:val="000345DD"/>
    <w:rsid w:val="000345DF"/>
    <w:rsid w:val="000346C4"/>
    <w:rsid w:val="0003470E"/>
    <w:rsid w:val="0003477F"/>
    <w:rsid w:val="00034780"/>
    <w:rsid w:val="0003489D"/>
    <w:rsid w:val="0003489E"/>
    <w:rsid w:val="000348E7"/>
    <w:rsid w:val="000348FA"/>
    <w:rsid w:val="00034961"/>
    <w:rsid w:val="000349C2"/>
    <w:rsid w:val="00034B22"/>
    <w:rsid w:val="00034BD1"/>
    <w:rsid w:val="00034D65"/>
    <w:rsid w:val="00034E43"/>
    <w:rsid w:val="00034E66"/>
    <w:rsid w:val="00034E98"/>
    <w:rsid w:val="00035046"/>
    <w:rsid w:val="000350BA"/>
    <w:rsid w:val="000350DB"/>
    <w:rsid w:val="00035110"/>
    <w:rsid w:val="0003515A"/>
    <w:rsid w:val="00035209"/>
    <w:rsid w:val="0003522B"/>
    <w:rsid w:val="000354A6"/>
    <w:rsid w:val="000354CA"/>
    <w:rsid w:val="000354F0"/>
    <w:rsid w:val="0003550C"/>
    <w:rsid w:val="0003559D"/>
    <w:rsid w:val="0003560E"/>
    <w:rsid w:val="00035654"/>
    <w:rsid w:val="00035740"/>
    <w:rsid w:val="00035783"/>
    <w:rsid w:val="000357AF"/>
    <w:rsid w:val="00035845"/>
    <w:rsid w:val="000358A7"/>
    <w:rsid w:val="000358CB"/>
    <w:rsid w:val="000358E0"/>
    <w:rsid w:val="000358FF"/>
    <w:rsid w:val="00035936"/>
    <w:rsid w:val="0003593F"/>
    <w:rsid w:val="00035971"/>
    <w:rsid w:val="00035997"/>
    <w:rsid w:val="000359A4"/>
    <w:rsid w:val="00035A48"/>
    <w:rsid w:val="00035A5D"/>
    <w:rsid w:val="00035AA2"/>
    <w:rsid w:val="00035BA6"/>
    <w:rsid w:val="00035BC4"/>
    <w:rsid w:val="00035BED"/>
    <w:rsid w:val="00035C08"/>
    <w:rsid w:val="00035C20"/>
    <w:rsid w:val="00035D1E"/>
    <w:rsid w:val="00035D22"/>
    <w:rsid w:val="00035D6A"/>
    <w:rsid w:val="00035D73"/>
    <w:rsid w:val="00035E45"/>
    <w:rsid w:val="00035ECD"/>
    <w:rsid w:val="00035F35"/>
    <w:rsid w:val="00035F4C"/>
    <w:rsid w:val="00035FEE"/>
    <w:rsid w:val="00035FFA"/>
    <w:rsid w:val="00035FFE"/>
    <w:rsid w:val="0003600E"/>
    <w:rsid w:val="00036099"/>
    <w:rsid w:val="000360A9"/>
    <w:rsid w:val="0003614C"/>
    <w:rsid w:val="000361A0"/>
    <w:rsid w:val="00036291"/>
    <w:rsid w:val="000362D6"/>
    <w:rsid w:val="000362FF"/>
    <w:rsid w:val="00036347"/>
    <w:rsid w:val="00036393"/>
    <w:rsid w:val="000363C4"/>
    <w:rsid w:val="00036531"/>
    <w:rsid w:val="00036610"/>
    <w:rsid w:val="0003661A"/>
    <w:rsid w:val="00036694"/>
    <w:rsid w:val="000366C6"/>
    <w:rsid w:val="0003672F"/>
    <w:rsid w:val="000367C4"/>
    <w:rsid w:val="0003685F"/>
    <w:rsid w:val="000368AC"/>
    <w:rsid w:val="000368BC"/>
    <w:rsid w:val="0003691C"/>
    <w:rsid w:val="0003692F"/>
    <w:rsid w:val="00036A3E"/>
    <w:rsid w:val="00036A8B"/>
    <w:rsid w:val="00036AD8"/>
    <w:rsid w:val="00036AFF"/>
    <w:rsid w:val="00036C87"/>
    <w:rsid w:val="00036C94"/>
    <w:rsid w:val="00036D0A"/>
    <w:rsid w:val="00036E84"/>
    <w:rsid w:val="00036EA3"/>
    <w:rsid w:val="00036EA8"/>
    <w:rsid w:val="00036EB4"/>
    <w:rsid w:val="00036EBA"/>
    <w:rsid w:val="00036FAA"/>
    <w:rsid w:val="00036FDA"/>
    <w:rsid w:val="00036FFC"/>
    <w:rsid w:val="0003700F"/>
    <w:rsid w:val="00037021"/>
    <w:rsid w:val="00037037"/>
    <w:rsid w:val="000370AE"/>
    <w:rsid w:val="000370C4"/>
    <w:rsid w:val="00037182"/>
    <w:rsid w:val="000371A3"/>
    <w:rsid w:val="000371C8"/>
    <w:rsid w:val="00037267"/>
    <w:rsid w:val="00037289"/>
    <w:rsid w:val="0003728C"/>
    <w:rsid w:val="000372B3"/>
    <w:rsid w:val="000372E4"/>
    <w:rsid w:val="00037302"/>
    <w:rsid w:val="0003734F"/>
    <w:rsid w:val="000373A7"/>
    <w:rsid w:val="00037471"/>
    <w:rsid w:val="000374B3"/>
    <w:rsid w:val="00037586"/>
    <w:rsid w:val="000375C6"/>
    <w:rsid w:val="0003762A"/>
    <w:rsid w:val="000376AB"/>
    <w:rsid w:val="000376C0"/>
    <w:rsid w:val="00037864"/>
    <w:rsid w:val="0003786F"/>
    <w:rsid w:val="0003787F"/>
    <w:rsid w:val="0003795A"/>
    <w:rsid w:val="0003798B"/>
    <w:rsid w:val="000379A8"/>
    <w:rsid w:val="000379D6"/>
    <w:rsid w:val="00037A51"/>
    <w:rsid w:val="00037B18"/>
    <w:rsid w:val="00037BB3"/>
    <w:rsid w:val="00037BE0"/>
    <w:rsid w:val="00037C05"/>
    <w:rsid w:val="00037C13"/>
    <w:rsid w:val="00037C8C"/>
    <w:rsid w:val="00037D36"/>
    <w:rsid w:val="00037DBA"/>
    <w:rsid w:val="00037DDA"/>
    <w:rsid w:val="00037F12"/>
    <w:rsid w:val="00037F58"/>
    <w:rsid w:val="00037F5B"/>
    <w:rsid w:val="00037FBC"/>
    <w:rsid w:val="00037FD7"/>
    <w:rsid w:val="00040016"/>
    <w:rsid w:val="00040029"/>
    <w:rsid w:val="0004005D"/>
    <w:rsid w:val="000400EE"/>
    <w:rsid w:val="00040155"/>
    <w:rsid w:val="0004019D"/>
    <w:rsid w:val="000401E3"/>
    <w:rsid w:val="00040206"/>
    <w:rsid w:val="00040210"/>
    <w:rsid w:val="0004022F"/>
    <w:rsid w:val="0004023F"/>
    <w:rsid w:val="0004029B"/>
    <w:rsid w:val="000402C9"/>
    <w:rsid w:val="00040327"/>
    <w:rsid w:val="000403EF"/>
    <w:rsid w:val="000404AA"/>
    <w:rsid w:val="000404FE"/>
    <w:rsid w:val="00040504"/>
    <w:rsid w:val="0004055E"/>
    <w:rsid w:val="0004060D"/>
    <w:rsid w:val="00040652"/>
    <w:rsid w:val="000406A3"/>
    <w:rsid w:val="000406AC"/>
    <w:rsid w:val="000408E5"/>
    <w:rsid w:val="00040921"/>
    <w:rsid w:val="00040971"/>
    <w:rsid w:val="000409C2"/>
    <w:rsid w:val="000409CE"/>
    <w:rsid w:val="00040A0E"/>
    <w:rsid w:val="00040A0F"/>
    <w:rsid w:val="00040A6F"/>
    <w:rsid w:val="00040A86"/>
    <w:rsid w:val="00040AA3"/>
    <w:rsid w:val="00040ADF"/>
    <w:rsid w:val="00040AF1"/>
    <w:rsid w:val="00040B6B"/>
    <w:rsid w:val="00040BA5"/>
    <w:rsid w:val="00040CBD"/>
    <w:rsid w:val="00040D2A"/>
    <w:rsid w:val="00040D77"/>
    <w:rsid w:val="00040E42"/>
    <w:rsid w:val="00040EAD"/>
    <w:rsid w:val="00040EBB"/>
    <w:rsid w:val="00040EE8"/>
    <w:rsid w:val="00040FA9"/>
    <w:rsid w:val="00040FB4"/>
    <w:rsid w:val="0004101C"/>
    <w:rsid w:val="00041051"/>
    <w:rsid w:val="000410C4"/>
    <w:rsid w:val="000410C7"/>
    <w:rsid w:val="000410CC"/>
    <w:rsid w:val="00041325"/>
    <w:rsid w:val="00041336"/>
    <w:rsid w:val="00041353"/>
    <w:rsid w:val="000413E8"/>
    <w:rsid w:val="000413EF"/>
    <w:rsid w:val="0004144E"/>
    <w:rsid w:val="00041569"/>
    <w:rsid w:val="000415AA"/>
    <w:rsid w:val="000415AD"/>
    <w:rsid w:val="000415C4"/>
    <w:rsid w:val="00041600"/>
    <w:rsid w:val="00041617"/>
    <w:rsid w:val="00041698"/>
    <w:rsid w:val="0004169A"/>
    <w:rsid w:val="000416BF"/>
    <w:rsid w:val="0004174C"/>
    <w:rsid w:val="00041771"/>
    <w:rsid w:val="0004178C"/>
    <w:rsid w:val="00041844"/>
    <w:rsid w:val="00041852"/>
    <w:rsid w:val="0004185F"/>
    <w:rsid w:val="00041919"/>
    <w:rsid w:val="000419A3"/>
    <w:rsid w:val="000419CD"/>
    <w:rsid w:val="00041A2D"/>
    <w:rsid w:val="00041A51"/>
    <w:rsid w:val="00041BBF"/>
    <w:rsid w:val="00041CA1"/>
    <w:rsid w:val="00041CBA"/>
    <w:rsid w:val="00041D16"/>
    <w:rsid w:val="00041D38"/>
    <w:rsid w:val="00041DC4"/>
    <w:rsid w:val="00041E1F"/>
    <w:rsid w:val="00041E49"/>
    <w:rsid w:val="00041ECD"/>
    <w:rsid w:val="00041F06"/>
    <w:rsid w:val="00041F3A"/>
    <w:rsid w:val="00041F5D"/>
    <w:rsid w:val="000420D5"/>
    <w:rsid w:val="000420DD"/>
    <w:rsid w:val="000420F4"/>
    <w:rsid w:val="00042166"/>
    <w:rsid w:val="000421A0"/>
    <w:rsid w:val="000421B4"/>
    <w:rsid w:val="00042216"/>
    <w:rsid w:val="0004236B"/>
    <w:rsid w:val="000423B1"/>
    <w:rsid w:val="000423BA"/>
    <w:rsid w:val="000423DE"/>
    <w:rsid w:val="000423F1"/>
    <w:rsid w:val="000424C8"/>
    <w:rsid w:val="00042502"/>
    <w:rsid w:val="0004255B"/>
    <w:rsid w:val="0004259D"/>
    <w:rsid w:val="000425A3"/>
    <w:rsid w:val="000425C3"/>
    <w:rsid w:val="0004263A"/>
    <w:rsid w:val="00042656"/>
    <w:rsid w:val="0004265D"/>
    <w:rsid w:val="0004269E"/>
    <w:rsid w:val="000426DD"/>
    <w:rsid w:val="000427C4"/>
    <w:rsid w:val="000427DE"/>
    <w:rsid w:val="00042809"/>
    <w:rsid w:val="0004281F"/>
    <w:rsid w:val="000428CF"/>
    <w:rsid w:val="000428E5"/>
    <w:rsid w:val="000429FF"/>
    <w:rsid w:val="00042A50"/>
    <w:rsid w:val="00042AD1"/>
    <w:rsid w:val="00042B29"/>
    <w:rsid w:val="00042B8F"/>
    <w:rsid w:val="00042B9B"/>
    <w:rsid w:val="00042BD5"/>
    <w:rsid w:val="00042C58"/>
    <w:rsid w:val="00042C6B"/>
    <w:rsid w:val="00042CE0"/>
    <w:rsid w:val="00042CE2"/>
    <w:rsid w:val="00042CEB"/>
    <w:rsid w:val="00042D1D"/>
    <w:rsid w:val="00042F28"/>
    <w:rsid w:val="00042F61"/>
    <w:rsid w:val="00042FD7"/>
    <w:rsid w:val="00042FE4"/>
    <w:rsid w:val="00043126"/>
    <w:rsid w:val="0004312B"/>
    <w:rsid w:val="00043161"/>
    <w:rsid w:val="000431A3"/>
    <w:rsid w:val="000431AC"/>
    <w:rsid w:val="00043229"/>
    <w:rsid w:val="00043254"/>
    <w:rsid w:val="000432CE"/>
    <w:rsid w:val="000432D2"/>
    <w:rsid w:val="00043323"/>
    <w:rsid w:val="00043331"/>
    <w:rsid w:val="00043392"/>
    <w:rsid w:val="0004343B"/>
    <w:rsid w:val="00043447"/>
    <w:rsid w:val="00043458"/>
    <w:rsid w:val="00043470"/>
    <w:rsid w:val="000434B8"/>
    <w:rsid w:val="00043582"/>
    <w:rsid w:val="000435A8"/>
    <w:rsid w:val="0004364E"/>
    <w:rsid w:val="0004368B"/>
    <w:rsid w:val="000436E8"/>
    <w:rsid w:val="0004370F"/>
    <w:rsid w:val="0004372D"/>
    <w:rsid w:val="0004378F"/>
    <w:rsid w:val="000437D0"/>
    <w:rsid w:val="000438A8"/>
    <w:rsid w:val="000438CE"/>
    <w:rsid w:val="00043921"/>
    <w:rsid w:val="00043934"/>
    <w:rsid w:val="00043996"/>
    <w:rsid w:val="00043A0F"/>
    <w:rsid w:val="00043AF2"/>
    <w:rsid w:val="00043BEB"/>
    <w:rsid w:val="00043C36"/>
    <w:rsid w:val="00043CA5"/>
    <w:rsid w:val="00043CB8"/>
    <w:rsid w:val="00043CED"/>
    <w:rsid w:val="00043D2A"/>
    <w:rsid w:val="00043D82"/>
    <w:rsid w:val="00043DCF"/>
    <w:rsid w:val="00043EBA"/>
    <w:rsid w:val="00043F59"/>
    <w:rsid w:val="0004402A"/>
    <w:rsid w:val="000440AB"/>
    <w:rsid w:val="000440BB"/>
    <w:rsid w:val="0004419F"/>
    <w:rsid w:val="000441E2"/>
    <w:rsid w:val="0004420D"/>
    <w:rsid w:val="00044236"/>
    <w:rsid w:val="00044304"/>
    <w:rsid w:val="0004433F"/>
    <w:rsid w:val="000443A6"/>
    <w:rsid w:val="000443E6"/>
    <w:rsid w:val="000443F9"/>
    <w:rsid w:val="0004443F"/>
    <w:rsid w:val="00044495"/>
    <w:rsid w:val="00044678"/>
    <w:rsid w:val="00044767"/>
    <w:rsid w:val="000447C2"/>
    <w:rsid w:val="000449D1"/>
    <w:rsid w:val="00044A22"/>
    <w:rsid w:val="00044A8E"/>
    <w:rsid w:val="00044A93"/>
    <w:rsid w:val="00044AB9"/>
    <w:rsid w:val="00044BE1"/>
    <w:rsid w:val="00044C58"/>
    <w:rsid w:val="00044C6F"/>
    <w:rsid w:val="00044E19"/>
    <w:rsid w:val="00044EAA"/>
    <w:rsid w:val="0004512B"/>
    <w:rsid w:val="0004518D"/>
    <w:rsid w:val="000451B9"/>
    <w:rsid w:val="000451C4"/>
    <w:rsid w:val="00045248"/>
    <w:rsid w:val="000452EB"/>
    <w:rsid w:val="00045317"/>
    <w:rsid w:val="00045319"/>
    <w:rsid w:val="00045425"/>
    <w:rsid w:val="0004542A"/>
    <w:rsid w:val="00045473"/>
    <w:rsid w:val="00045476"/>
    <w:rsid w:val="000454EC"/>
    <w:rsid w:val="0004557C"/>
    <w:rsid w:val="000455B1"/>
    <w:rsid w:val="000455DA"/>
    <w:rsid w:val="000455E4"/>
    <w:rsid w:val="00045625"/>
    <w:rsid w:val="0004563C"/>
    <w:rsid w:val="00045674"/>
    <w:rsid w:val="000456CC"/>
    <w:rsid w:val="000457CF"/>
    <w:rsid w:val="000457E5"/>
    <w:rsid w:val="000457E8"/>
    <w:rsid w:val="0004580D"/>
    <w:rsid w:val="0004584A"/>
    <w:rsid w:val="00045875"/>
    <w:rsid w:val="00045898"/>
    <w:rsid w:val="000458AE"/>
    <w:rsid w:val="000459D1"/>
    <w:rsid w:val="00045B7D"/>
    <w:rsid w:val="00045B8D"/>
    <w:rsid w:val="00045C8C"/>
    <w:rsid w:val="00045CC5"/>
    <w:rsid w:val="00045CE9"/>
    <w:rsid w:val="00045E25"/>
    <w:rsid w:val="00045E55"/>
    <w:rsid w:val="00045FBF"/>
    <w:rsid w:val="00045FD3"/>
    <w:rsid w:val="00046004"/>
    <w:rsid w:val="0004600D"/>
    <w:rsid w:val="0004604E"/>
    <w:rsid w:val="0004609F"/>
    <w:rsid w:val="000460FB"/>
    <w:rsid w:val="0004612C"/>
    <w:rsid w:val="00046135"/>
    <w:rsid w:val="0004617E"/>
    <w:rsid w:val="000461FB"/>
    <w:rsid w:val="000462A6"/>
    <w:rsid w:val="000462DC"/>
    <w:rsid w:val="0004639C"/>
    <w:rsid w:val="000464B9"/>
    <w:rsid w:val="000464F0"/>
    <w:rsid w:val="00046557"/>
    <w:rsid w:val="0004655C"/>
    <w:rsid w:val="000465AB"/>
    <w:rsid w:val="00046617"/>
    <w:rsid w:val="0004662D"/>
    <w:rsid w:val="000467DC"/>
    <w:rsid w:val="000467F5"/>
    <w:rsid w:val="00046800"/>
    <w:rsid w:val="0004682D"/>
    <w:rsid w:val="0004683E"/>
    <w:rsid w:val="000468E8"/>
    <w:rsid w:val="000468ED"/>
    <w:rsid w:val="000468F0"/>
    <w:rsid w:val="000469B1"/>
    <w:rsid w:val="00046A10"/>
    <w:rsid w:val="00046B6A"/>
    <w:rsid w:val="00046C53"/>
    <w:rsid w:val="00046C54"/>
    <w:rsid w:val="00046CD1"/>
    <w:rsid w:val="00046D3C"/>
    <w:rsid w:val="00046D41"/>
    <w:rsid w:val="00046E96"/>
    <w:rsid w:val="00046EBB"/>
    <w:rsid w:val="00046F11"/>
    <w:rsid w:val="00046F60"/>
    <w:rsid w:val="00046F72"/>
    <w:rsid w:val="00047014"/>
    <w:rsid w:val="0004701C"/>
    <w:rsid w:val="0004704D"/>
    <w:rsid w:val="000470A8"/>
    <w:rsid w:val="000470D3"/>
    <w:rsid w:val="00047239"/>
    <w:rsid w:val="0004727F"/>
    <w:rsid w:val="000472D4"/>
    <w:rsid w:val="000472F9"/>
    <w:rsid w:val="00047310"/>
    <w:rsid w:val="0004734A"/>
    <w:rsid w:val="00047356"/>
    <w:rsid w:val="00047411"/>
    <w:rsid w:val="00047458"/>
    <w:rsid w:val="000474C5"/>
    <w:rsid w:val="00047600"/>
    <w:rsid w:val="0004768D"/>
    <w:rsid w:val="0004772D"/>
    <w:rsid w:val="0004777A"/>
    <w:rsid w:val="000477E9"/>
    <w:rsid w:val="0004781A"/>
    <w:rsid w:val="000478B5"/>
    <w:rsid w:val="000478C3"/>
    <w:rsid w:val="00047936"/>
    <w:rsid w:val="0004799B"/>
    <w:rsid w:val="0004799E"/>
    <w:rsid w:val="000479F9"/>
    <w:rsid w:val="00047A74"/>
    <w:rsid w:val="00047B1F"/>
    <w:rsid w:val="00047B3B"/>
    <w:rsid w:val="00047B58"/>
    <w:rsid w:val="00047B9A"/>
    <w:rsid w:val="00047CAD"/>
    <w:rsid w:val="00047E54"/>
    <w:rsid w:val="00047F53"/>
    <w:rsid w:val="00047F61"/>
    <w:rsid w:val="00047FEB"/>
    <w:rsid w:val="000500E1"/>
    <w:rsid w:val="00050194"/>
    <w:rsid w:val="00050283"/>
    <w:rsid w:val="0005036E"/>
    <w:rsid w:val="000503AD"/>
    <w:rsid w:val="000503C9"/>
    <w:rsid w:val="000504F3"/>
    <w:rsid w:val="000505B7"/>
    <w:rsid w:val="000505D0"/>
    <w:rsid w:val="000505D5"/>
    <w:rsid w:val="000506DA"/>
    <w:rsid w:val="00050705"/>
    <w:rsid w:val="00050739"/>
    <w:rsid w:val="000507AC"/>
    <w:rsid w:val="00050891"/>
    <w:rsid w:val="000508AA"/>
    <w:rsid w:val="000508D3"/>
    <w:rsid w:val="000509AC"/>
    <w:rsid w:val="00050A62"/>
    <w:rsid w:val="00050A75"/>
    <w:rsid w:val="00050B51"/>
    <w:rsid w:val="00050C2C"/>
    <w:rsid w:val="00050C42"/>
    <w:rsid w:val="00050C59"/>
    <w:rsid w:val="00050CB1"/>
    <w:rsid w:val="00050CE1"/>
    <w:rsid w:val="00050CF0"/>
    <w:rsid w:val="00050D83"/>
    <w:rsid w:val="00050F4F"/>
    <w:rsid w:val="000510D0"/>
    <w:rsid w:val="000510DB"/>
    <w:rsid w:val="0005113F"/>
    <w:rsid w:val="0005114E"/>
    <w:rsid w:val="000511B2"/>
    <w:rsid w:val="000511D2"/>
    <w:rsid w:val="000511D8"/>
    <w:rsid w:val="00051358"/>
    <w:rsid w:val="000513B7"/>
    <w:rsid w:val="00051401"/>
    <w:rsid w:val="00051432"/>
    <w:rsid w:val="000514FB"/>
    <w:rsid w:val="000514FC"/>
    <w:rsid w:val="00051527"/>
    <w:rsid w:val="00051544"/>
    <w:rsid w:val="000515A1"/>
    <w:rsid w:val="00051605"/>
    <w:rsid w:val="0005163F"/>
    <w:rsid w:val="000516DF"/>
    <w:rsid w:val="000516FA"/>
    <w:rsid w:val="0005176F"/>
    <w:rsid w:val="0005179A"/>
    <w:rsid w:val="00051857"/>
    <w:rsid w:val="000518CE"/>
    <w:rsid w:val="00051A58"/>
    <w:rsid w:val="00051A75"/>
    <w:rsid w:val="00051A98"/>
    <w:rsid w:val="00051B34"/>
    <w:rsid w:val="00051B7E"/>
    <w:rsid w:val="00051C0A"/>
    <w:rsid w:val="00051CA3"/>
    <w:rsid w:val="00051CDA"/>
    <w:rsid w:val="00051CFB"/>
    <w:rsid w:val="00051D75"/>
    <w:rsid w:val="00051D96"/>
    <w:rsid w:val="00052048"/>
    <w:rsid w:val="0005209D"/>
    <w:rsid w:val="00052125"/>
    <w:rsid w:val="0005224B"/>
    <w:rsid w:val="0005234D"/>
    <w:rsid w:val="000523A5"/>
    <w:rsid w:val="00052420"/>
    <w:rsid w:val="00052422"/>
    <w:rsid w:val="000524A0"/>
    <w:rsid w:val="000524AB"/>
    <w:rsid w:val="000524FF"/>
    <w:rsid w:val="0005250D"/>
    <w:rsid w:val="00052543"/>
    <w:rsid w:val="00052554"/>
    <w:rsid w:val="0005258B"/>
    <w:rsid w:val="000525CD"/>
    <w:rsid w:val="000525FD"/>
    <w:rsid w:val="0005261F"/>
    <w:rsid w:val="00052632"/>
    <w:rsid w:val="0005264E"/>
    <w:rsid w:val="00052760"/>
    <w:rsid w:val="000527EA"/>
    <w:rsid w:val="00052832"/>
    <w:rsid w:val="00052884"/>
    <w:rsid w:val="0005297F"/>
    <w:rsid w:val="00052A0F"/>
    <w:rsid w:val="00052A1D"/>
    <w:rsid w:val="00052AB7"/>
    <w:rsid w:val="00052AF6"/>
    <w:rsid w:val="00052AF8"/>
    <w:rsid w:val="00052BA9"/>
    <w:rsid w:val="00052C72"/>
    <w:rsid w:val="00052D25"/>
    <w:rsid w:val="00052DAB"/>
    <w:rsid w:val="00052DD3"/>
    <w:rsid w:val="00052E02"/>
    <w:rsid w:val="00052E34"/>
    <w:rsid w:val="00052E42"/>
    <w:rsid w:val="00052E51"/>
    <w:rsid w:val="00052E8E"/>
    <w:rsid w:val="00052ED7"/>
    <w:rsid w:val="00052EEB"/>
    <w:rsid w:val="00052F9F"/>
    <w:rsid w:val="00053057"/>
    <w:rsid w:val="00053062"/>
    <w:rsid w:val="000530B0"/>
    <w:rsid w:val="0005316F"/>
    <w:rsid w:val="00053199"/>
    <w:rsid w:val="0005322E"/>
    <w:rsid w:val="0005323F"/>
    <w:rsid w:val="00053250"/>
    <w:rsid w:val="0005326D"/>
    <w:rsid w:val="000532ED"/>
    <w:rsid w:val="00053309"/>
    <w:rsid w:val="00053362"/>
    <w:rsid w:val="00053373"/>
    <w:rsid w:val="000533FA"/>
    <w:rsid w:val="00053460"/>
    <w:rsid w:val="00053498"/>
    <w:rsid w:val="000534AE"/>
    <w:rsid w:val="000535D0"/>
    <w:rsid w:val="00053610"/>
    <w:rsid w:val="00053675"/>
    <w:rsid w:val="000536A5"/>
    <w:rsid w:val="000536B7"/>
    <w:rsid w:val="000536BD"/>
    <w:rsid w:val="000536D6"/>
    <w:rsid w:val="00053724"/>
    <w:rsid w:val="00053762"/>
    <w:rsid w:val="00053769"/>
    <w:rsid w:val="0005380E"/>
    <w:rsid w:val="00053838"/>
    <w:rsid w:val="00053871"/>
    <w:rsid w:val="000538CA"/>
    <w:rsid w:val="00053984"/>
    <w:rsid w:val="0005399C"/>
    <w:rsid w:val="00053A04"/>
    <w:rsid w:val="00053B37"/>
    <w:rsid w:val="00053C43"/>
    <w:rsid w:val="00053C81"/>
    <w:rsid w:val="00053CB4"/>
    <w:rsid w:val="00053CBA"/>
    <w:rsid w:val="00053D69"/>
    <w:rsid w:val="00053D91"/>
    <w:rsid w:val="00053DB7"/>
    <w:rsid w:val="00053DFA"/>
    <w:rsid w:val="00053E57"/>
    <w:rsid w:val="00053EDD"/>
    <w:rsid w:val="00053EFF"/>
    <w:rsid w:val="00053F19"/>
    <w:rsid w:val="00053F6C"/>
    <w:rsid w:val="00053FE9"/>
    <w:rsid w:val="00054000"/>
    <w:rsid w:val="00054020"/>
    <w:rsid w:val="00054063"/>
    <w:rsid w:val="00054146"/>
    <w:rsid w:val="0005418F"/>
    <w:rsid w:val="000541D5"/>
    <w:rsid w:val="000541F2"/>
    <w:rsid w:val="000542C0"/>
    <w:rsid w:val="00054375"/>
    <w:rsid w:val="000543DC"/>
    <w:rsid w:val="000543DF"/>
    <w:rsid w:val="000543FC"/>
    <w:rsid w:val="00054419"/>
    <w:rsid w:val="0005446A"/>
    <w:rsid w:val="00054479"/>
    <w:rsid w:val="00054553"/>
    <w:rsid w:val="00054680"/>
    <w:rsid w:val="00054682"/>
    <w:rsid w:val="000547F1"/>
    <w:rsid w:val="0005488F"/>
    <w:rsid w:val="000548FC"/>
    <w:rsid w:val="000549B4"/>
    <w:rsid w:val="00054A31"/>
    <w:rsid w:val="00054AB5"/>
    <w:rsid w:val="00054B3B"/>
    <w:rsid w:val="00054CD8"/>
    <w:rsid w:val="00054D14"/>
    <w:rsid w:val="00054D6D"/>
    <w:rsid w:val="00054DA1"/>
    <w:rsid w:val="00054DB0"/>
    <w:rsid w:val="00054DCB"/>
    <w:rsid w:val="00054DEF"/>
    <w:rsid w:val="00054ECC"/>
    <w:rsid w:val="00054F18"/>
    <w:rsid w:val="00054F86"/>
    <w:rsid w:val="00055018"/>
    <w:rsid w:val="0005502D"/>
    <w:rsid w:val="000550A5"/>
    <w:rsid w:val="000550F3"/>
    <w:rsid w:val="0005511C"/>
    <w:rsid w:val="0005512C"/>
    <w:rsid w:val="0005522D"/>
    <w:rsid w:val="0005523B"/>
    <w:rsid w:val="0005523E"/>
    <w:rsid w:val="000552B7"/>
    <w:rsid w:val="0005534D"/>
    <w:rsid w:val="000553B0"/>
    <w:rsid w:val="000553D1"/>
    <w:rsid w:val="000554A8"/>
    <w:rsid w:val="000554C4"/>
    <w:rsid w:val="000554CC"/>
    <w:rsid w:val="000554D9"/>
    <w:rsid w:val="00055575"/>
    <w:rsid w:val="000555CC"/>
    <w:rsid w:val="000556AF"/>
    <w:rsid w:val="00055709"/>
    <w:rsid w:val="00055723"/>
    <w:rsid w:val="000557D2"/>
    <w:rsid w:val="0005588F"/>
    <w:rsid w:val="000558E1"/>
    <w:rsid w:val="000558F4"/>
    <w:rsid w:val="000559C8"/>
    <w:rsid w:val="000559F8"/>
    <w:rsid w:val="00055A16"/>
    <w:rsid w:val="00055A64"/>
    <w:rsid w:val="00055A77"/>
    <w:rsid w:val="00055AB6"/>
    <w:rsid w:val="00055AD5"/>
    <w:rsid w:val="00055AFE"/>
    <w:rsid w:val="00055B0E"/>
    <w:rsid w:val="00055B41"/>
    <w:rsid w:val="00055B44"/>
    <w:rsid w:val="00055BCA"/>
    <w:rsid w:val="00055BDE"/>
    <w:rsid w:val="00055C20"/>
    <w:rsid w:val="00055D88"/>
    <w:rsid w:val="00055DD6"/>
    <w:rsid w:val="00055DFC"/>
    <w:rsid w:val="00055E72"/>
    <w:rsid w:val="00055E79"/>
    <w:rsid w:val="00055EAE"/>
    <w:rsid w:val="00055ECF"/>
    <w:rsid w:val="00055EF7"/>
    <w:rsid w:val="00055F35"/>
    <w:rsid w:val="00055F5C"/>
    <w:rsid w:val="0005600E"/>
    <w:rsid w:val="00056112"/>
    <w:rsid w:val="000561DD"/>
    <w:rsid w:val="0005626C"/>
    <w:rsid w:val="000563D7"/>
    <w:rsid w:val="000564AA"/>
    <w:rsid w:val="0005651F"/>
    <w:rsid w:val="000565AE"/>
    <w:rsid w:val="0005661C"/>
    <w:rsid w:val="00056628"/>
    <w:rsid w:val="0005665F"/>
    <w:rsid w:val="0005668F"/>
    <w:rsid w:val="00056699"/>
    <w:rsid w:val="000566B5"/>
    <w:rsid w:val="00056710"/>
    <w:rsid w:val="00056759"/>
    <w:rsid w:val="0005676D"/>
    <w:rsid w:val="000567B8"/>
    <w:rsid w:val="000567EF"/>
    <w:rsid w:val="000567F0"/>
    <w:rsid w:val="00056819"/>
    <w:rsid w:val="000568D8"/>
    <w:rsid w:val="0005690A"/>
    <w:rsid w:val="00056917"/>
    <w:rsid w:val="00056946"/>
    <w:rsid w:val="00056988"/>
    <w:rsid w:val="000569D1"/>
    <w:rsid w:val="00056A3A"/>
    <w:rsid w:val="00056AB8"/>
    <w:rsid w:val="00056B0B"/>
    <w:rsid w:val="00056B0F"/>
    <w:rsid w:val="00056B2A"/>
    <w:rsid w:val="00056B94"/>
    <w:rsid w:val="00056BD2"/>
    <w:rsid w:val="00056BF4"/>
    <w:rsid w:val="00056C05"/>
    <w:rsid w:val="00056C6C"/>
    <w:rsid w:val="00056D67"/>
    <w:rsid w:val="00056E40"/>
    <w:rsid w:val="00056E70"/>
    <w:rsid w:val="00056E8C"/>
    <w:rsid w:val="00056EA1"/>
    <w:rsid w:val="00056ED9"/>
    <w:rsid w:val="00056F76"/>
    <w:rsid w:val="00056F8F"/>
    <w:rsid w:val="00056FC4"/>
    <w:rsid w:val="00056FDA"/>
    <w:rsid w:val="0005710D"/>
    <w:rsid w:val="00057192"/>
    <w:rsid w:val="00057258"/>
    <w:rsid w:val="0005730A"/>
    <w:rsid w:val="00057334"/>
    <w:rsid w:val="000573A6"/>
    <w:rsid w:val="0005746F"/>
    <w:rsid w:val="0005747A"/>
    <w:rsid w:val="000574EB"/>
    <w:rsid w:val="00057523"/>
    <w:rsid w:val="00057596"/>
    <w:rsid w:val="000575D5"/>
    <w:rsid w:val="00057688"/>
    <w:rsid w:val="000576A4"/>
    <w:rsid w:val="000576F8"/>
    <w:rsid w:val="0005775C"/>
    <w:rsid w:val="00057809"/>
    <w:rsid w:val="00057812"/>
    <w:rsid w:val="00057904"/>
    <w:rsid w:val="00057936"/>
    <w:rsid w:val="00057981"/>
    <w:rsid w:val="00057A0A"/>
    <w:rsid w:val="00057A70"/>
    <w:rsid w:val="00057A72"/>
    <w:rsid w:val="00057AD6"/>
    <w:rsid w:val="00057BBE"/>
    <w:rsid w:val="00057BC4"/>
    <w:rsid w:val="00057BDD"/>
    <w:rsid w:val="00057C86"/>
    <w:rsid w:val="00057CFF"/>
    <w:rsid w:val="00057D34"/>
    <w:rsid w:val="00057D96"/>
    <w:rsid w:val="00057DE9"/>
    <w:rsid w:val="00057DFF"/>
    <w:rsid w:val="00057E08"/>
    <w:rsid w:val="00057E0A"/>
    <w:rsid w:val="00057F7A"/>
    <w:rsid w:val="000600C4"/>
    <w:rsid w:val="0006018A"/>
    <w:rsid w:val="000601DB"/>
    <w:rsid w:val="00060219"/>
    <w:rsid w:val="00060228"/>
    <w:rsid w:val="00060369"/>
    <w:rsid w:val="00060388"/>
    <w:rsid w:val="0006038B"/>
    <w:rsid w:val="0006049B"/>
    <w:rsid w:val="000604EF"/>
    <w:rsid w:val="0006057D"/>
    <w:rsid w:val="0006061E"/>
    <w:rsid w:val="0006065B"/>
    <w:rsid w:val="0006066D"/>
    <w:rsid w:val="0006069B"/>
    <w:rsid w:val="000606A3"/>
    <w:rsid w:val="000606D7"/>
    <w:rsid w:val="00060756"/>
    <w:rsid w:val="00060766"/>
    <w:rsid w:val="0006077A"/>
    <w:rsid w:val="000607C8"/>
    <w:rsid w:val="000608A7"/>
    <w:rsid w:val="000608C6"/>
    <w:rsid w:val="00060969"/>
    <w:rsid w:val="00060977"/>
    <w:rsid w:val="000609F8"/>
    <w:rsid w:val="00060A35"/>
    <w:rsid w:val="00060A3B"/>
    <w:rsid w:val="00060A54"/>
    <w:rsid w:val="00060A5D"/>
    <w:rsid w:val="00060AD1"/>
    <w:rsid w:val="00060B02"/>
    <w:rsid w:val="00060BE6"/>
    <w:rsid w:val="00060C0B"/>
    <w:rsid w:val="00060C68"/>
    <w:rsid w:val="00060CA2"/>
    <w:rsid w:val="00060CAB"/>
    <w:rsid w:val="00060D95"/>
    <w:rsid w:val="00060ED3"/>
    <w:rsid w:val="00060EE8"/>
    <w:rsid w:val="00060F97"/>
    <w:rsid w:val="00060FD0"/>
    <w:rsid w:val="00060FD2"/>
    <w:rsid w:val="00060FD9"/>
    <w:rsid w:val="00060FE2"/>
    <w:rsid w:val="000611C0"/>
    <w:rsid w:val="00061214"/>
    <w:rsid w:val="00061227"/>
    <w:rsid w:val="00061241"/>
    <w:rsid w:val="000612C6"/>
    <w:rsid w:val="000612E8"/>
    <w:rsid w:val="00061329"/>
    <w:rsid w:val="000613AA"/>
    <w:rsid w:val="000613E4"/>
    <w:rsid w:val="00061409"/>
    <w:rsid w:val="0006140C"/>
    <w:rsid w:val="000614A8"/>
    <w:rsid w:val="000614BA"/>
    <w:rsid w:val="00061533"/>
    <w:rsid w:val="0006159A"/>
    <w:rsid w:val="000615B2"/>
    <w:rsid w:val="000615E8"/>
    <w:rsid w:val="000616D7"/>
    <w:rsid w:val="0006170C"/>
    <w:rsid w:val="00061772"/>
    <w:rsid w:val="000617DD"/>
    <w:rsid w:val="00061827"/>
    <w:rsid w:val="00061932"/>
    <w:rsid w:val="0006194F"/>
    <w:rsid w:val="000619C5"/>
    <w:rsid w:val="00061A07"/>
    <w:rsid w:val="00061A5C"/>
    <w:rsid w:val="00061ACC"/>
    <w:rsid w:val="00061ACF"/>
    <w:rsid w:val="00061AD3"/>
    <w:rsid w:val="00061D76"/>
    <w:rsid w:val="00061E5B"/>
    <w:rsid w:val="00061EA8"/>
    <w:rsid w:val="00061EBA"/>
    <w:rsid w:val="00061F77"/>
    <w:rsid w:val="00061FE6"/>
    <w:rsid w:val="00062025"/>
    <w:rsid w:val="000620B6"/>
    <w:rsid w:val="000620DB"/>
    <w:rsid w:val="000621DF"/>
    <w:rsid w:val="0006227B"/>
    <w:rsid w:val="0006232F"/>
    <w:rsid w:val="00062335"/>
    <w:rsid w:val="000623E7"/>
    <w:rsid w:val="000623FE"/>
    <w:rsid w:val="000623FF"/>
    <w:rsid w:val="0006254C"/>
    <w:rsid w:val="0006255B"/>
    <w:rsid w:val="0006259F"/>
    <w:rsid w:val="000625A0"/>
    <w:rsid w:val="00062626"/>
    <w:rsid w:val="00062708"/>
    <w:rsid w:val="000627E1"/>
    <w:rsid w:val="00062827"/>
    <w:rsid w:val="0006286A"/>
    <w:rsid w:val="0006294B"/>
    <w:rsid w:val="00062968"/>
    <w:rsid w:val="000629E9"/>
    <w:rsid w:val="000629F4"/>
    <w:rsid w:val="00062A0D"/>
    <w:rsid w:val="00062A51"/>
    <w:rsid w:val="00062ACB"/>
    <w:rsid w:val="00062AD0"/>
    <w:rsid w:val="00062B9F"/>
    <w:rsid w:val="00062BD7"/>
    <w:rsid w:val="00062BE0"/>
    <w:rsid w:val="00062C00"/>
    <w:rsid w:val="00062C28"/>
    <w:rsid w:val="00062CC1"/>
    <w:rsid w:val="00062E45"/>
    <w:rsid w:val="00062EFD"/>
    <w:rsid w:val="00062F3F"/>
    <w:rsid w:val="00062F41"/>
    <w:rsid w:val="00062F91"/>
    <w:rsid w:val="00062F96"/>
    <w:rsid w:val="00062FC0"/>
    <w:rsid w:val="00063085"/>
    <w:rsid w:val="000630BD"/>
    <w:rsid w:val="00063104"/>
    <w:rsid w:val="00063153"/>
    <w:rsid w:val="000631AC"/>
    <w:rsid w:val="000631B7"/>
    <w:rsid w:val="000631DB"/>
    <w:rsid w:val="00063217"/>
    <w:rsid w:val="00063274"/>
    <w:rsid w:val="000632CD"/>
    <w:rsid w:val="00063323"/>
    <w:rsid w:val="00063376"/>
    <w:rsid w:val="0006339C"/>
    <w:rsid w:val="000633D4"/>
    <w:rsid w:val="00063481"/>
    <w:rsid w:val="00063511"/>
    <w:rsid w:val="0006353F"/>
    <w:rsid w:val="00063552"/>
    <w:rsid w:val="00063592"/>
    <w:rsid w:val="000635C5"/>
    <w:rsid w:val="000635DE"/>
    <w:rsid w:val="00063631"/>
    <w:rsid w:val="0006379B"/>
    <w:rsid w:val="00063829"/>
    <w:rsid w:val="00063889"/>
    <w:rsid w:val="000638DB"/>
    <w:rsid w:val="00063920"/>
    <w:rsid w:val="00063B01"/>
    <w:rsid w:val="00063B1E"/>
    <w:rsid w:val="00063B30"/>
    <w:rsid w:val="00063BA1"/>
    <w:rsid w:val="00063BB3"/>
    <w:rsid w:val="00063BEE"/>
    <w:rsid w:val="00063BFA"/>
    <w:rsid w:val="00063CF3"/>
    <w:rsid w:val="00063D35"/>
    <w:rsid w:val="00063E34"/>
    <w:rsid w:val="00063E7F"/>
    <w:rsid w:val="00063EE9"/>
    <w:rsid w:val="00063EF1"/>
    <w:rsid w:val="00063EFD"/>
    <w:rsid w:val="00063F13"/>
    <w:rsid w:val="00063F81"/>
    <w:rsid w:val="0006402A"/>
    <w:rsid w:val="00064035"/>
    <w:rsid w:val="000640AA"/>
    <w:rsid w:val="000640C4"/>
    <w:rsid w:val="00064116"/>
    <w:rsid w:val="000641CE"/>
    <w:rsid w:val="00064230"/>
    <w:rsid w:val="00064235"/>
    <w:rsid w:val="00064267"/>
    <w:rsid w:val="0006427B"/>
    <w:rsid w:val="00064304"/>
    <w:rsid w:val="00064374"/>
    <w:rsid w:val="00064377"/>
    <w:rsid w:val="000643D6"/>
    <w:rsid w:val="000643D8"/>
    <w:rsid w:val="00064421"/>
    <w:rsid w:val="0006442B"/>
    <w:rsid w:val="0006443F"/>
    <w:rsid w:val="000644AE"/>
    <w:rsid w:val="00064513"/>
    <w:rsid w:val="0006459A"/>
    <w:rsid w:val="000645CC"/>
    <w:rsid w:val="000645E4"/>
    <w:rsid w:val="00064636"/>
    <w:rsid w:val="0006467A"/>
    <w:rsid w:val="00064701"/>
    <w:rsid w:val="00064783"/>
    <w:rsid w:val="0006478E"/>
    <w:rsid w:val="000647C2"/>
    <w:rsid w:val="0006487A"/>
    <w:rsid w:val="00064912"/>
    <w:rsid w:val="000649CA"/>
    <w:rsid w:val="00064A0D"/>
    <w:rsid w:val="00064A3B"/>
    <w:rsid w:val="00064AEE"/>
    <w:rsid w:val="00064C07"/>
    <w:rsid w:val="00064C24"/>
    <w:rsid w:val="00064C55"/>
    <w:rsid w:val="00064C99"/>
    <w:rsid w:val="00064D5A"/>
    <w:rsid w:val="00064DC8"/>
    <w:rsid w:val="00064DCC"/>
    <w:rsid w:val="00064DF0"/>
    <w:rsid w:val="00064E7D"/>
    <w:rsid w:val="00064EBB"/>
    <w:rsid w:val="000650E1"/>
    <w:rsid w:val="000650EC"/>
    <w:rsid w:val="00065100"/>
    <w:rsid w:val="00065106"/>
    <w:rsid w:val="0006518E"/>
    <w:rsid w:val="0006518F"/>
    <w:rsid w:val="000651FF"/>
    <w:rsid w:val="000652A9"/>
    <w:rsid w:val="000654A7"/>
    <w:rsid w:val="000654E3"/>
    <w:rsid w:val="000654FF"/>
    <w:rsid w:val="00065548"/>
    <w:rsid w:val="00065584"/>
    <w:rsid w:val="0006558E"/>
    <w:rsid w:val="00065590"/>
    <w:rsid w:val="00065593"/>
    <w:rsid w:val="0006563B"/>
    <w:rsid w:val="00065681"/>
    <w:rsid w:val="0006581F"/>
    <w:rsid w:val="00065885"/>
    <w:rsid w:val="000659BC"/>
    <w:rsid w:val="000659BE"/>
    <w:rsid w:val="00065A35"/>
    <w:rsid w:val="00065ABB"/>
    <w:rsid w:val="00065AC8"/>
    <w:rsid w:val="00065AF7"/>
    <w:rsid w:val="00065C00"/>
    <w:rsid w:val="00065C0F"/>
    <w:rsid w:val="00065C2A"/>
    <w:rsid w:val="00065C8E"/>
    <w:rsid w:val="00065CCB"/>
    <w:rsid w:val="00065D6C"/>
    <w:rsid w:val="00065DBB"/>
    <w:rsid w:val="00065E9A"/>
    <w:rsid w:val="00065F2F"/>
    <w:rsid w:val="00065F45"/>
    <w:rsid w:val="00065F62"/>
    <w:rsid w:val="00066074"/>
    <w:rsid w:val="00066189"/>
    <w:rsid w:val="000661FB"/>
    <w:rsid w:val="0006636F"/>
    <w:rsid w:val="00066391"/>
    <w:rsid w:val="000663F7"/>
    <w:rsid w:val="00066439"/>
    <w:rsid w:val="0006644C"/>
    <w:rsid w:val="00066462"/>
    <w:rsid w:val="0006655D"/>
    <w:rsid w:val="0006666E"/>
    <w:rsid w:val="000667FB"/>
    <w:rsid w:val="0006684A"/>
    <w:rsid w:val="00066858"/>
    <w:rsid w:val="00066879"/>
    <w:rsid w:val="000668A3"/>
    <w:rsid w:val="00066911"/>
    <w:rsid w:val="000669B5"/>
    <w:rsid w:val="000669D2"/>
    <w:rsid w:val="00066ADA"/>
    <w:rsid w:val="00066B49"/>
    <w:rsid w:val="00066B68"/>
    <w:rsid w:val="00066B9E"/>
    <w:rsid w:val="00066C1D"/>
    <w:rsid w:val="00066C25"/>
    <w:rsid w:val="00066C7E"/>
    <w:rsid w:val="00066CA1"/>
    <w:rsid w:val="00066CA8"/>
    <w:rsid w:val="00066E01"/>
    <w:rsid w:val="00066E6E"/>
    <w:rsid w:val="00066E74"/>
    <w:rsid w:val="00066FCF"/>
    <w:rsid w:val="000670BF"/>
    <w:rsid w:val="000670D1"/>
    <w:rsid w:val="0006712E"/>
    <w:rsid w:val="0006713B"/>
    <w:rsid w:val="0006715D"/>
    <w:rsid w:val="00067165"/>
    <w:rsid w:val="000671BC"/>
    <w:rsid w:val="000671E2"/>
    <w:rsid w:val="0006721B"/>
    <w:rsid w:val="0006742F"/>
    <w:rsid w:val="0006757C"/>
    <w:rsid w:val="000675B2"/>
    <w:rsid w:val="00067608"/>
    <w:rsid w:val="0006761F"/>
    <w:rsid w:val="00067676"/>
    <w:rsid w:val="00067678"/>
    <w:rsid w:val="00067724"/>
    <w:rsid w:val="000678C4"/>
    <w:rsid w:val="00067953"/>
    <w:rsid w:val="00067B82"/>
    <w:rsid w:val="00067B90"/>
    <w:rsid w:val="00067C53"/>
    <w:rsid w:val="00067CB9"/>
    <w:rsid w:val="00067CC5"/>
    <w:rsid w:val="00067CF9"/>
    <w:rsid w:val="00067DBE"/>
    <w:rsid w:val="00067DD0"/>
    <w:rsid w:val="00067DF3"/>
    <w:rsid w:val="00067E28"/>
    <w:rsid w:val="00067E32"/>
    <w:rsid w:val="00067EDD"/>
    <w:rsid w:val="00067F3C"/>
    <w:rsid w:val="00070009"/>
    <w:rsid w:val="000700C3"/>
    <w:rsid w:val="000700FE"/>
    <w:rsid w:val="000701E8"/>
    <w:rsid w:val="00070218"/>
    <w:rsid w:val="0007021F"/>
    <w:rsid w:val="0007022F"/>
    <w:rsid w:val="00070241"/>
    <w:rsid w:val="00070288"/>
    <w:rsid w:val="0007032B"/>
    <w:rsid w:val="000703AC"/>
    <w:rsid w:val="000703FA"/>
    <w:rsid w:val="0007049C"/>
    <w:rsid w:val="000704B6"/>
    <w:rsid w:val="00070531"/>
    <w:rsid w:val="000705C2"/>
    <w:rsid w:val="000705E5"/>
    <w:rsid w:val="000706E2"/>
    <w:rsid w:val="000706EA"/>
    <w:rsid w:val="0007077C"/>
    <w:rsid w:val="00070795"/>
    <w:rsid w:val="000707E3"/>
    <w:rsid w:val="0007088C"/>
    <w:rsid w:val="000708B7"/>
    <w:rsid w:val="000708DC"/>
    <w:rsid w:val="000708FF"/>
    <w:rsid w:val="0007091B"/>
    <w:rsid w:val="0007097E"/>
    <w:rsid w:val="000709A0"/>
    <w:rsid w:val="000709EC"/>
    <w:rsid w:val="00070A6F"/>
    <w:rsid w:val="00070B10"/>
    <w:rsid w:val="00070B2C"/>
    <w:rsid w:val="00070B41"/>
    <w:rsid w:val="00070B6E"/>
    <w:rsid w:val="00070B84"/>
    <w:rsid w:val="00070B93"/>
    <w:rsid w:val="00070BF6"/>
    <w:rsid w:val="00070C3C"/>
    <w:rsid w:val="00070C7A"/>
    <w:rsid w:val="00070CEA"/>
    <w:rsid w:val="00070EEC"/>
    <w:rsid w:val="00070F03"/>
    <w:rsid w:val="00070FF1"/>
    <w:rsid w:val="00071127"/>
    <w:rsid w:val="0007117D"/>
    <w:rsid w:val="000711AB"/>
    <w:rsid w:val="000711BC"/>
    <w:rsid w:val="000711DD"/>
    <w:rsid w:val="000711E5"/>
    <w:rsid w:val="0007124C"/>
    <w:rsid w:val="0007127D"/>
    <w:rsid w:val="00071333"/>
    <w:rsid w:val="00071338"/>
    <w:rsid w:val="0007134F"/>
    <w:rsid w:val="00071450"/>
    <w:rsid w:val="0007145C"/>
    <w:rsid w:val="00071469"/>
    <w:rsid w:val="0007147C"/>
    <w:rsid w:val="00071488"/>
    <w:rsid w:val="000714A0"/>
    <w:rsid w:val="00071546"/>
    <w:rsid w:val="0007156B"/>
    <w:rsid w:val="000716F5"/>
    <w:rsid w:val="000716FD"/>
    <w:rsid w:val="00071780"/>
    <w:rsid w:val="00071809"/>
    <w:rsid w:val="0007181E"/>
    <w:rsid w:val="0007188D"/>
    <w:rsid w:val="0007189A"/>
    <w:rsid w:val="000718CC"/>
    <w:rsid w:val="00071993"/>
    <w:rsid w:val="000719E0"/>
    <w:rsid w:val="000719F2"/>
    <w:rsid w:val="00071A53"/>
    <w:rsid w:val="00071AB5"/>
    <w:rsid w:val="00071AC7"/>
    <w:rsid w:val="00071B34"/>
    <w:rsid w:val="00071BA9"/>
    <w:rsid w:val="00071BDE"/>
    <w:rsid w:val="00071C3D"/>
    <w:rsid w:val="00071C77"/>
    <w:rsid w:val="00071E01"/>
    <w:rsid w:val="00071E14"/>
    <w:rsid w:val="00071E40"/>
    <w:rsid w:val="00071E64"/>
    <w:rsid w:val="00071E69"/>
    <w:rsid w:val="00071E87"/>
    <w:rsid w:val="00071E9C"/>
    <w:rsid w:val="00071EA5"/>
    <w:rsid w:val="00071F2C"/>
    <w:rsid w:val="00072036"/>
    <w:rsid w:val="000720D3"/>
    <w:rsid w:val="000720F1"/>
    <w:rsid w:val="0007213D"/>
    <w:rsid w:val="0007214D"/>
    <w:rsid w:val="00072288"/>
    <w:rsid w:val="0007237D"/>
    <w:rsid w:val="00072400"/>
    <w:rsid w:val="00072409"/>
    <w:rsid w:val="000725B2"/>
    <w:rsid w:val="000725E1"/>
    <w:rsid w:val="000725F2"/>
    <w:rsid w:val="0007266A"/>
    <w:rsid w:val="000726DD"/>
    <w:rsid w:val="00072757"/>
    <w:rsid w:val="000727C8"/>
    <w:rsid w:val="00072800"/>
    <w:rsid w:val="00072855"/>
    <w:rsid w:val="00072896"/>
    <w:rsid w:val="00072938"/>
    <w:rsid w:val="0007294E"/>
    <w:rsid w:val="000729DB"/>
    <w:rsid w:val="00072ABE"/>
    <w:rsid w:val="00072B26"/>
    <w:rsid w:val="00072B32"/>
    <w:rsid w:val="00072B40"/>
    <w:rsid w:val="00072B56"/>
    <w:rsid w:val="00072B70"/>
    <w:rsid w:val="00072B91"/>
    <w:rsid w:val="00072BE6"/>
    <w:rsid w:val="00072C01"/>
    <w:rsid w:val="00072C53"/>
    <w:rsid w:val="00072C6F"/>
    <w:rsid w:val="00072CDD"/>
    <w:rsid w:val="00072D92"/>
    <w:rsid w:val="00072E0F"/>
    <w:rsid w:val="00072E34"/>
    <w:rsid w:val="00072E4B"/>
    <w:rsid w:val="00072F27"/>
    <w:rsid w:val="00073071"/>
    <w:rsid w:val="000730D6"/>
    <w:rsid w:val="000730E3"/>
    <w:rsid w:val="0007314D"/>
    <w:rsid w:val="00073163"/>
    <w:rsid w:val="000731A9"/>
    <w:rsid w:val="00073238"/>
    <w:rsid w:val="0007335F"/>
    <w:rsid w:val="0007337A"/>
    <w:rsid w:val="000733D2"/>
    <w:rsid w:val="000734F2"/>
    <w:rsid w:val="0007353C"/>
    <w:rsid w:val="0007358D"/>
    <w:rsid w:val="000735BF"/>
    <w:rsid w:val="00073647"/>
    <w:rsid w:val="0007364A"/>
    <w:rsid w:val="00073675"/>
    <w:rsid w:val="0007378A"/>
    <w:rsid w:val="00073795"/>
    <w:rsid w:val="000737AA"/>
    <w:rsid w:val="0007382C"/>
    <w:rsid w:val="0007387F"/>
    <w:rsid w:val="000738B9"/>
    <w:rsid w:val="000738BE"/>
    <w:rsid w:val="000738D7"/>
    <w:rsid w:val="0007392F"/>
    <w:rsid w:val="00073957"/>
    <w:rsid w:val="00073978"/>
    <w:rsid w:val="000739DE"/>
    <w:rsid w:val="00073A14"/>
    <w:rsid w:val="00073A1E"/>
    <w:rsid w:val="00073A30"/>
    <w:rsid w:val="00073A34"/>
    <w:rsid w:val="00073B38"/>
    <w:rsid w:val="00073BBD"/>
    <w:rsid w:val="00073C19"/>
    <w:rsid w:val="00073C7B"/>
    <w:rsid w:val="00073CFB"/>
    <w:rsid w:val="00073DAF"/>
    <w:rsid w:val="00073DB3"/>
    <w:rsid w:val="00073DC4"/>
    <w:rsid w:val="00073E95"/>
    <w:rsid w:val="00073EA7"/>
    <w:rsid w:val="00073ECD"/>
    <w:rsid w:val="00073ED2"/>
    <w:rsid w:val="00073F38"/>
    <w:rsid w:val="00073F48"/>
    <w:rsid w:val="0007400B"/>
    <w:rsid w:val="00074098"/>
    <w:rsid w:val="000740E5"/>
    <w:rsid w:val="00074199"/>
    <w:rsid w:val="000741C1"/>
    <w:rsid w:val="00074222"/>
    <w:rsid w:val="00074230"/>
    <w:rsid w:val="00074239"/>
    <w:rsid w:val="00074277"/>
    <w:rsid w:val="0007435F"/>
    <w:rsid w:val="0007442C"/>
    <w:rsid w:val="000744DA"/>
    <w:rsid w:val="0007454A"/>
    <w:rsid w:val="0007455F"/>
    <w:rsid w:val="000745C5"/>
    <w:rsid w:val="000745F6"/>
    <w:rsid w:val="0007464A"/>
    <w:rsid w:val="0007464B"/>
    <w:rsid w:val="00074677"/>
    <w:rsid w:val="000746C2"/>
    <w:rsid w:val="000746DB"/>
    <w:rsid w:val="000746FB"/>
    <w:rsid w:val="00074762"/>
    <w:rsid w:val="0007479F"/>
    <w:rsid w:val="000747BF"/>
    <w:rsid w:val="000747C7"/>
    <w:rsid w:val="000748A1"/>
    <w:rsid w:val="000749AE"/>
    <w:rsid w:val="00074A00"/>
    <w:rsid w:val="00074A05"/>
    <w:rsid w:val="00074A89"/>
    <w:rsid w:val="00074A9A"/>
    <w:rsid w:val="00074AD1"/>
    <w:rsid w:val="00074AD7"/>
    <w:rsid w:val="00074B7C"/>
    <w:rsid w:val="00074B9E"/>
    <w:rsid w:val="00074BB7"/>
    <w:rsid w:val="00074BF2"/>
    <w:rsid w:val="00074C21"/>
    <w:rsid w:val="00074C9A"/>
    <w:rsid w:val="00074C9C"/>
    <w:rsid w:val="00074CAD"/>
    <w:rsid w:val="00074D8D"/>
    <w:rsid w:val="00074DC3"/>
    <w:rsid w:val="00074F7F"/>
    <w:rsid w:val="00074F9A"/>
    <w:rsid w:val="00074FFE"/>
    <w:rsid w:val="0007507A"/>
    <w:rsid w:val="00075088"/>
    <w:rsid w:val="000750CB"/>
    <w:rsid w:val="00075131"/>
    <w:rsid w:val="0007516F"/>
    <w:rsid w:val="000751F8"/>
    <w:rsid w:val="00075251"/>
    <w:rsid w:val="00075281"/>
    <w:rsid w:val="000752B8"/>
    <w:rsid w:val="000752C9"/>
    <w:rsid w:val="0007530B"/>
    <w:rsid w:val="0007537C"/>
    <w:rsid w:val="000753AC"/>
    <w:rsid w:val="00075456"/>
    <w:rsid w:val="00075474"/>
    <w:rsid w:val="000754F6"/>
    <w:rsid w:val="000754FE"/>
    <w:rsid w:val="0007550A"/>
    <w:rsid w:val="00075546"/>
    <w:rsid w:val="00075680"/>
    <w:rsid w:val="000756A3"/>
    <w:rsid w:val="0007578A"/>
    <w:rsid w:val="000757A2"/>
    <w:rsid w:val="000757E1"/>
    <w:rsid w:val="0007584F"/>
    <w:rsid w:val="00075854"/>
    <w:rsid w:val="0007589C"/>
    <w:rsid w:val="000758C0"/>
    <w:rsid w:val="00075901"/>
    <w:rsid w:val="00075920"/>
    <w:rsid w:val="000759CA"/>
    <w:rsid w:val="000759E7"/>
    <w:rsid w:val="000759F2"/>
    <w:rsid w:val="00075A37"/>
    <w:rsid w:val="00075A64"/>
    <w:rsid w:val="00075A71"/>
    <w:rsid w:val="00075A85"/>
    <w:rsid w:val="00075AB1"/>
    <w:rsid w:val="00075BC3"/>
    <w:rsid w:val="00075BCF"/>
    <w:rsid w:val="00075CA4"/>
    <w:rsid w:val="00075CF2"/>
    <w:rsid w:val="00075DDA"/>
    <w:rsid w:val="00075DE0"/>
    <w:rsid w:val="00075E19"/>
    <w:rsid w:val="00075E28"/>
    <w:rsid w:val="00075EA1"/>
    <w:rsid w:val="00076089"/>
    <w:rsid w:val="00076136"/>
    <w:rsid w:val="0007617E"/>
    <w:rsid w:val="000761DE"/>
    <w:rsid w:val="000762D4"/>
    <w:rsid w:val="00076327"/>
    <w:rsid w:val="000763B2"/>
    <w:rsid w:val="000763B4"/>
    <w:rsid w:val="00076468"/>
    <w:rsid w:val="000764E5"/>
    <w:rsid w:val="000764F3"/>
    <w:rsid w:val="00076550"/>
    <w:rsid w:val="000765B5"/>
    <w:rsid w:val="000765DF"/>
    <w:rsid w:val="00076623"/>
    <w:rsid w:val="00076635"/>
    <w:rsid w:val="000766E8"/>
    <w:rsid w:val="000766F8"/>
    <w:rsid w:val="0007676F"/>
    <w:rsid w:val="000767A0"/>
    <w:rsid w:val="000767A4"/>
    <w:rsid w:val="00076808"/>
    <w:rsid w:val="0007686E"/>
    <w:rsid w:val="000769E4"/>
    <w:rsid w:val="000769EB"/>
    <w:rsid w:val="00076A33"/>
    <w:rsid w:val="00076A9C"/>
    <w:rsid w:val="00076AA3"/>
    <w:rsid w:val="00076AB7"/>
    <w:rsid w:val="00076AC0"/>
    <w:rsid w:val="00076B0E"/>
    <w:rsid w:val="00076B44"/>
    <w:rsid w:val="00076B53"/>
    <w:rsid w:val="00076B56"/>
    <w:rsid w:val="00076B65"/>
    <w:rsid w:val="00076C38"/>
    <w:rsid w:val="00076C92"/>
    <w:rsid w:val="00076C9B"/>
    <w:rsid w:val="00076CBC"/>
    <w:rsid w:val="00076D1E"/>
    <w:rsid w:val="00076D6B"/>
    <w:rsid w:val="00076D82"/>
    <w:rsid w:val="00076D8F"/>
    <w:rsid w:val="00076DDD"/>
    <w:rsid w:val="00076E4B"/>
    <w:rsid w:val="00076EAA"/>
    <w:rsid w:val="00076EAE"/>
    <w:rsid w:val="00076F4A"/>
    <w:rsid w:val="00076F68"/>
    <w:rsid w:val="00076F85"/>
    <w:rsid w:val="00076FB5"/>
    <w:rsid w:val="00076FD3"/>
    <w:rsid w:val="00077087"/>
    <w:rsid w:val="00077127"/>
    <w:rsid w:val="000771BE"/>
    <w:rsid w:val="0007721A"/>
    <w:rsid w:val="00077258"/>
    <w:rsid w:val="00077269"/>
    <w:rsid w:val="000772F5"/>
    <w:rsid w:val="000773C6"/>
    <w:rsid w:val="0007743E"/>
    <w:rsid w:val="0007744E"/>
    <w:rsid w:val="00077524"/>
    <w:rsid w:val="00077571"/>
    <w:rsid w:val="000775AC"/>
    <w:rsid w:val="00077631"/>
    <w:rsid w:val="00077696"/>
    <w:rsid w:val="000776A8"/>
    <w:rsid w:val="000776EA"/>
    <w:rsid w:val="000777D2"/>
    <w:rsid w:val="000777DB"/>
    <w:rsid w:val="000777FC"/>
    <w:rsid w:val="00077840"/>
    <w:rsid w:val="0007787C"/>
    <w:rsid w:val="00077936"/>
    <w:rsid w:val="0007795A"/>
    <w:rsid w:val="00077970"/>
    <w:rsid w:val="000779D6"/>
    <w:rsid w:val="000779E3"/>
    <w:rsid w:val="00077A50"/>
    <w:rsid w:val="00077A61"/>
    <w:rsid w:val="00077A6B"/>
    <w:rsid w:val="00077AE2"/>
    <w:rsid w:val="00077AF7"/>
    <w:rsid w:val="00077AF8"/>
    <w:rsid w:val="00077B66"/>
    <w:rsid w:val="00077BAE"/>
    <w:rsid w:val="00077C9C"/>
    <w:rsid w:val="00077C9E"/>
    <w:rsid w:val="00077CD3"/>
    <w:rsid w:val="00077CD9"/>
    <w:rsid w:val="00077CEA"/>
    <w:rsid w:val="00077DB0"/>
    <w:rsid w:val="00077E25"/>
    <w:rsid w:val="00077E40"/>
    <w:rsid w:val="00077F42"/>
    <w:rsid w:val="00077FCF"/>
    <w:rsid w:val="00077FD4"/>
    <w:rsid w:val="00077FE1"/>
    <w:rsid w:val="00080000"/>
    <w:rsid w:val="0008007C"/>
    <w:rsid w:val="0008015E"/>
    <w:rsid w:val="0008016A"/>
    <w:rsid w:val="000801CA"/>
    <w:rsid w:val="000801E5"/>
    <w:rsid w:val="00080241"/>
    <w:rsid w:val="000802DE"/>
    <w:rsid w:val="000803A6"/>
    <w:rsid w:val="0008059B"/>
    <w:rsid w:val="0008062F"/>
    <w:rsid w:val="0008068E"/>
    <w:rsid w:val="000806B5"/>
    <w:rsid w:val="000807C4"/>
    <w:rsid w:val="000807C5"/>
    <w:rsid w:val="00080812"/>
    <w:rsid w:val="000808B7"/>
    <w:rsid w:val="0008096B"/>
    <w:rsid w:val="000809AF"/>
    <w:rsid w:val="000809F8"/>
    <w:rsid w:val="00080A41"/>
    <w:rsid w:val="00080ABE"/>
    <w:rsid w:val="00080BCC"/>
    <w:rsid w:val="00080C1D"/>
    <w:rsid w:val="00080C33"/>
    <w:rsid w:val="00080C6B"/>
    <w:rsid w:val="00080CCB"/>
    <w:rsid w:val="00080D88"/>
    <w:rsid w:val="00080E3C"/>
    <w:rsid w:val="00080F9B"/>
    <w:rsid w:val="00080FD7"/>
    <w:rsid w:val="0008102A"/>
    <w:rsid w:val="00081110"/>
    <w:rsid w:val="0008117F"/>
    <w:rsid w:val="0008122E"/>
    <w:rsid w:val="00081271"/>
    <w:rsid w:val="00081297"/>
    <w:rsid w:val="000812CA"/>
    <w:rsid w:val="000812F9"/>
    <w:rsid w:val="00081367"/>
    <w:rsid w:val="00081407"/>
    <w:rsid w:val="00081486"/>
    <w:rsid w:val="000814F4"/>
    <w:rsid w:val="000814F7"/>
    <w:rsid w:val="00081683"/>
    <w:rsid w:val="000816A2"/>
    <w:rsid w:val="000816A4"/>
    <w:rsid w:val="000816A9"/>
    <w:rsid w:val="00081749"/>
    <w:rsid w:val="00081778"/>
    <w:rsid w:val="00081799"/>
    <w:rsid w:val="00081855"/>
    <w:rsid w:val="000818AE"/>
    <w:rsid w:val="00081930"/>
    <w:rsid w:val="00081983"/>
    <w:rsid w:val="00081A32"/>
    <w:rsid w:val="00081B2B"/>
    <w:rsid w:val="00081B31"/>
    <w:rsid w:val="00081B38"/>
    <w:rsid w:val="00081C76"/>
    <w:rsid w:val="00081CC5"/>
    <w:rsid w:val="00081CD9"/>
    <w:rsid w:val="00081D2F"/>
    <w:rsid w:val="00081DC2"/>
    <w:rsid w:val="00081F9A"/>
    <w:rsid w:val="00081FC3"/>
    <w:rsid w:val="00082127"/>
    <w:rsid w:val="00082142"/>
    <w:rsid w:val="0008215A"/>
    <w:rsid w:val="0008219F"/>
    <w:rsid w:val="000821B3"/>
    <w:rsid w:val="000821B6"/>
    <w:rsid w:val="000821D2"/>
    <w:rsid w:val="0008220C"/>
    <w:rsid w:val="000822CF"/>
    <w:rsid w:val="000822EA"/>
    <w:rsid w:val="000822FA"/>
    <w:rsid w:val="0008231A"/>
    <w:rsid w:val="000823DB"/>
    <w:rsid w:val="00082432"/>
    <w:rsid w:val="00082444"/>
    <w:rsid w:val="000824CE"/>
    <w:rsid w:val="0008255E"/>
    <w:rsid w:val="0008257A"/>
    <w:rsid w:val="0008259B"/>
    <w:rsid w:val="000825A6"/>
    <w:rsid w:val="00082604"/>
    <w:rsid w:val="000826AB"/>
    <w:rsid w:val="00082731"/>
    <w:rsid w:val="00082762"/>
    <w:rsid w:val="0008277F"/>
    <w:rsid w:val="000827A3"/>
    <w:rsid w:val="000827FF"/>
    <w:rsid w:val="00082838"/>
    <w:rsid w:val="00082858"/>
    <w:rsid w:val="000828AF"/>
    <w:rsid w:val="00082936"/>
    <w:rsid w:val="0008293B"/>
    <w:rsid w:val="00082A06"/>
    <w:rsid w:val="00082A6C"/>
    <w:rsid w:val="00082ACB"/>
    <w:rsid w:val="00082B58"/>
    <w:rsid w:val="00082C2F"/>
    <w:rsid w:val="00082CAB"/>
    <w:rsid w:val="00082CDC"/>
    <w:rsid w:val="00082D2B"/>
    <w:rsid w:val="00082DD0"/>
    <w:rsid w:val="00082DEC"/>
    <w:rsid w:val="00082E6F"/>
    <w:rsid w:val="00082E8F"/>
    <w:rsid w:val="00082F37"/>
    <w:rsid w:val="00082F50"/>
    <w:rsid w:val="00082FBF"/>
    <w:rsid w:val="00082FF3"/>
    <w:rsid w:val="000830F2"/>
    <w:rsid w:val="000831BE"/>
    <w:rsid w:val="0008320F"/>
    <w:rsid w:val="0008323A"/>
    <w:rsid w:val="00083265"/>
    <w:rsid w:val="000832C0"/>
    <w:rsid w:val="000832C8"/>
    <w:rsid w:val="0008334E"/>
    <w:rsid w:val="00083354"/>
    <w:rsid w:val="00083499"/>
    <w:rsid w:val="000834B2"/>
    <w:rsid w:val="00083524"/>
    <w:rsid w:val="0008357A"/>
    <w:rsid w:val="0008357D"/>
    <w:rsid w:val="000835CA"/>
    <w:rsid w:val="000835D5"/>
    <w:rsid w:val="00083647"/>
    <w:rsid w:val="000836A1"/>
    <w:rsid w:val="00083713"/>
    <w:rsid w:val="00083774"/>
    <w:rsid w:val="000837FD"/>
    <w:rsid w:val="00083835"/>
    <w:rsid w:val="00083882"/>
    <w:rsid w:val="000838FD"/>
    <w:rsid w:val="0008390A"/>
    <w:rsid w:val="00083A92"/>
    <w:rsid w:val="00083AAF"/>
    <w:rsid w:val="00083AC3"/>
    <w:rsid w:val="00083BAA"/>
    <w:rsid w:val="00083BD5"/>
    <w:rsid w:val="00083C1E"/>
    <w:rsid w:val="00083D69"/>
    <w:rsid w:val="00083DFE"/>
    <w:rsid w:val="00083E09"/>
    <w:rsid w:val="00083E0A"/>
    <w:rsid w:val="00083E4B"/>
    <w:rsid w:val="00083E96"/>
    <w:rsid w:val="00083EF8"/>
    <w:rsid w:val="000840D4"/>
    <w:rsid w:val="00084124"/>
    <w:rsid w:val="00084139"/>
    <w:rsid w:val="0008417B"/>
    <w:rsid w:val="000842CB"/>
    <w:rsid w:val="0008431D"/>
    <w:rsid w:val="00084467"/>
    <w:rsid w:val="000844E8"/>
    <w:rsid w:val="0008450B"/>
    <w:rsid w:val="00084520"/>
    <w:rsid w:val="0008452A"/>
    <w:rsid w:val="00084555"/>
    <w:rsid w:val="00084563"/>
    <w:rsid w:val="000845A1"/>
    <w:rsid w:val="000845C6"/>
    <w:rsid w:val="000845FE"/>
    <w:rsid w:val="0008460E"/>
    <w:rsid w:val="000846A0"/>
    <w:rsid w:val="000846AF"/>
    <w:rsid w:val="000847FD"/>
    <w:rsid w:val="0008483A"/>
    <w:rsid w:val="000848D1"/>
    <w:rsid w:val="00084A4E"/>
    <w:rsid w:val="00084A5A"/>
    <w:rsid w:val="00084AD2"/>
    <w:rsid w:val="00084ADD"/>
    <w:rsid w:val="00084B33"/>
    <w:rsid w:val="00084B43"/>
    <w:rsid w:val="00084C0E"/>
    <w:rsid w:val="00084C1F"/>
    <w:rsid w:val="00084C48"/>
    <w:rsid w:val="00084C56"/>
    <w:rsid w:val="00084C98"/>
    <w:rsid w:val="00084D00"/>
    <w:rsid w:val="00084DF6"/>
    <w:rsid w:val="00084E79"/>
    <w:rsid w:val="00084E9A"/>
    <w:rsid w:val="00084F6A"/>
    <w:rsid w:val="00084FA2"/>
    <w:rsid w:val="00085016"/>
    <w:rsid w:val="0008506E"/>
    <w:rsid w:val="000850D6"/>
    <w:rsid w:val="00085101"/>
    <w:rsid w:val="0008512A"/>
    <w:rsid w:val="000852F2"/>
    <w:rsid w:val="0008539D"/>
    <w:rsid w:val="0008540F"/>
    <w:rsid w:val="00085466"/>
    <w:rsid w:val="000854CB"/>
    <w:rsid w:val="000854D2"/>
    <w:rsid w:val="0008550E"/>
    <w:rsid w:val="000855B6"/>
    <w:rsid w:val="000855DB"/>
    <w:rsid w:val="000855FB"/>
    <w:rsid w:val="00085679"/>
    <w:rsid w:val="0008579D"/>
    <w:rsid w:val="00085802"/>
    <w:rsid w:val="00085804"/>
    <w:rsid w:val="00085811"/>
    <w:rsid w:val="00085836"/>
    <w:rsid w:val="00085847"/>
    <w:rsid w:val="000858E3"/>
    <w:rsid w:val="00085936"/>
    <w:rsid w:val="00085997"/>
    <w:rsid w:val="00085A05"/>
    <w:rsid w:val="00085A07"/>
    <w:rsid w:val="00085B8D"/>
    <w:rsid w:val="00085BC6"/>
    <w:rsid w:val="00085BCE"/>
    <w:rsid w:val="00085CAB"/>
    <w:rsid w:val="00085CD1"/>
    <w:rsid w:val="00085DA3"/>
    <w:rsid w:val="00085DD4"/>
    <w:rsid w:val="00085E07"/>
    <w:rsid w:val="00085E5D"/>
    <w:rsid w:val="00085ECA"/>
    <w:rsid w:val="00085F2C"/>
    <w:rsid w:val="00085F33"/>
    <w:rsid w:val="00085F65"/>
    <w:rsid w:val="00085FA7"/>
    <w:rsid w:val="00085FC5"/>
    <w:rsid w:val="00086027"/>
    <w:rsid w:val="0008604F"/>
    <w:rsid w:val="00086090"/>
    <w:rsid w:val="000860F1"/>
    <w:rsid w:val="00086103"/>
    <w:rsid w:val="00086107"/>
    <w:rsid w:val="000863D6"/>
    <w:rsid w:val="000863E3"/>
    <w:rsid w:val="000863F1"/>
    <w:rsid w:val="0008649C"/>
    <w:rsid w:val="00086562"/>
    <w:rsid w:val="0008656D"/>
    <w:rsid w:val="000865E1"/>
    <w:rsid w:val="000865F5"/>
    <w:rsid w:val="00086617"/>
    <w:rsid w:val="00086676"/>
    <w:rsid w:val="000866D5"/>
    <w:rsid w:val="000866FE"/>
    <w:rsid w:val="000867C6"/>
    <w:rsid w:val="00086843"/>
    <w:rsid w:val="00086854"/>
    <w:rsid w:val="0008689F"/>
    <w:rsid w:val="000868BD"/>
    <w:rsid w:val="0008696C"/>
    <w:rsid w:val="00086973"/>
    <w:rsid w:val="000869E8"/>
    <w:rsid w:val="00086A5B"/>
    <w:rsid w:val="00086ACD"/>
    <w:rsid w:val="00086AEB"/>
    <w:rsid w:val="00086B1B"/>
    <w:rsid w:val="00086B7F"/>
    <w:rsid w:val="00086C4E"/>
    <w:rsid w:val="00086C5D"/>
    <w:rsid w:val="00086C60"/>
    <w:rsid w:val="00086D65"/>
    <w:rsid w:val="00086D79"/>
    <w:rsid w:val="00086D98"/>
    <w:rsid w:val="00086DD3"/>
    <w:rsid w:val="00086E2A"/>
    <w:rsid w:val="00086E96"/>
    <w:rsid w:val="00086EF4"/>
    <w:rsid w:val="00086F03"/>
    <w:rsid w:val="00086F84"/>
    <w:rsid w:val="00087089"/>
    <w:rsid w:val="000870B6"/>
    <w:rsid w:val="00087123"/>
    <w:rsid w:val="00087194"/>
    <w:rsid w:val="000871C1"/>
    <w:rsid w:val="000871E0"/>
    <w:rsid w:val="000871F1"/>
    <w:rsid w:val="0008723C"/>
    <w:rsid w:val="00087240"/>
    <w:rsid w:val="000872F3"/>
    <w:rsid w:val="0008731F"/>
    <w:rsid w:val="00087321"/>
    <w:rsid w:val="00087388"/>
    <w:rsid w:val="000873D6"/>
    <w:rsid w:val="000873F8"/>
    <w:rsid w:val="00087438"/>
    <w:rsid w:val="00087476"/>
    <w:rsid w:val="000874C0"/>
    <w:rsid w:val="0008750C"/>
    <w:rsid w:val="0008755A"/>
    <w:rsid w:val="000875D3"/>
    <w:rsid w:val="0008770E"/>
    <w:rsid w:val="000877F4"/>
    <w:rsid w:val="000877FC"/>
    <w:rsid w:val="00087801"/>
    <w:rsid w:val="00087823"/>
    <w:rsid w:val="00087826"/>
    <w:rsid w:val="00087873"/>
    <w:rsid w:val="00087915"/>
    <w:rsid w:val="00087B17"/>
    <w:rsid w:val="00087B36"/>
    <w:rsid w:val="00087BDD"/>
    <w:rsid w:val="00087C21"/>
    <w:rsid w:val="00087C72"/>
    <w:rsid w:val="00087D64"/>
    <w:rsid w:val="00087D87"/>
    <w:rsid w:val="00087E45"/>
    <w:rsid w:val="00087E74"/>
    <w:rsid w:val="00087E9B"/>
    <w:rsid w:val="00087EDE"/>
    <w:rsid w:val="00087F76"/>
    <w:rsid w:val="0009006C"/>
    <w:rsid w:val="000900B3"/>
    <w:rsid w:val="000900E8"/>
    <w:rsid w:val="0009010C"/>
    <w:rsid w:val="000901E3"/>
    <w:rsid w:val="00090221"/>
    <w:rsid w:val="0009028D"/>
    <w:rsid w:val="00090313"/>
    <w:rsid w:val="0009036F"/>
    <w:rsid w:val="000903D5"/>
    <w:rsid w:val="0009040D"/>
    <w:rsid w:val="00090476"/>
    <w:rsid w:val="000904A5"/>
    <w:rsid w:val="000904DA"/>
    <w:rsid w:val="000904FE"/>
    <w:rsid w:val="00090557"/>
    <w:rsid w:val="0009059E"/>
    <w:rsid w:val="000905C9"/>
    <w:rsid w:val="000905D1"/>
    <w:rsid w:val="000905D3"/>
    <w:rsid w:val="00090613"/>
    <w:rsid w:val="00090645"/>
    <w:rsid w:val="000906DD"/>
    <w:rsid w:val="00090719"/>
    <w:rsid w:val="00090754"/>
    <w:rsid w:val="000908F9"/>
    <w:rsid w:val="000909E7"/>
    <w:rsid w:val="00090A26"/>
    <w:rsid w:val="00090A4D"/>
    <w:rsid w:val="00090A75"/>
    <w:rsid w:val="00090A8F"/>
    <w:rsid w:val="00090B00"/>
    <w:rsid w:val="00090B9C"/>
    <w:rsid w:val="00090BD1"/>
    <w:rsid w:val="00090BD5"/>
    <w:rsid w:val="00090D00"/>
    <w:rsid w:val="00090D13"/>
    <w:rsid w:val="00090D36"/>
    <w:rsid w:val="00090D94"/>
    <w:rsid w:val="00090DC6"/>
    <w:rsid w:val="00090E00"/>
    <w:rsid w:val="00090EC6"/>
    <w:rsid w:val="00090F31"/>
    <w:rsid w:val="0009108E"/>
    <w:rsid w:val="000910FC"/>
    <w:rsid w:val="00091143"/>
    <w:rsid w:val="00091174"/>
    <w:rsid w:val="000911C1"/>
    <w:rsid w:val="0009125B"/>
    <w:rsid w:val="0009136A"/>
    <w:rsid w:val="00091404"/>
    <w:rsid w:val="00091469"/>
    <w:rsid w:val="00091497"/>
    <w:rsid w:val="000914A9"/>
    <w:rsid w:val="000914FA"/>
    <w:rsid w:val="0009153F"/>
    <w:rsid w:val="00091543"/>
    <w:rsid w:val="0009155D"/>
    <w:rsid w:val="0009159A"/>
    <w:rsid w:val="00091674"/>
    <w:rsid w:val="0009171A"/>
    <w:rsid w:val="0009171B"/>
    <w:rsid w:val="000917A0"/>
    <w:rsid w:val="00091806"/>
    <w:rsid w:val="00091857"/>
    <w:rsid w:val="00091892"/>
    <w:rsid w:val="000918B5"/>
    <w:rsid w:val="00091935"/>
    <w:rsid w:val="000919BB"/>
    <w:rsid w:val="00091A81"/>
    <w:rsid w:val="00091B0D"/>
    <w:rsid w:val="00091B80"/>
    <w:rsid w:val="00091C59"/>
    <w:rsid w:val="00091C6F"/>
    <w:rsid w:val="00091C72"/>
    <w:rsid w:val="00091CFE"/>
    <w:rsid w:val="00091D56"/>
    <w:rsid w:val="00091DBB"/>
    <w:rsid w:val="00091E2B"/>
    <w:rsid w:val="00091E72"/>
    <w:rsid w:val="00091E80"/>
    <w:rsid w:val="00091FFA"/>
    <w:rsid w:val="0009214E"/>
    <w:rsid w:val="0009218D"/>
    <w:rsid w:val="00092257"/>
    <w:rsid w:val="000922C3"/>
    <w:rsid w:val="00092320"/>
    <w:rsid w:val="00092324"/>
    <w:rsid w:val="00092365"/>
    <w:rsid w:val="0009239E"/>
    <w:rsid w:val="000923B4"/>
    <w:rsid w:val="000923DE"/>
    <w:rsid w:val="000923EF"/>
    <w:rsid w:val="00092481"/>
    <w:rsid w:val="000924BF"/>
    <w:rsid w:val="000924D0"/>
    <w:rsid w:val="000924EF"/>
    <w:rsid w:val="000925C3"/>
    <w:rsid w:val="000925DF"/>
    <w:rsid w:val="00092686"/>
    <w:rsid w:val="000926D2"/>
    <w:rsid w:val="00092702"/>
    <w:rsid w:val="0009271B"/>
    <w:rsid w:val="00092722"/>
    <w:rsid w:val="00092744"/>
    <w:rsid w:val="0009282C"/>
    <w:rsid w:val="000928FB"/>
    <w:rsid w:val="0009292D"/>
    <w:rsid w:val="0009293B"/>
    <w:rsid w:val="00092A16"/>
    <w:rsid w:val="00092A21"/>
    <w:rsid w:val="00092AAF"/>
    <w:rsid w:val="00092B68"/>
    <w:rsid w:val="00092BEF"/>
    <w:rsid w:val="00092C13"/>
    <w:rsid w:val="00092CE3"/>
    <w:rsid w:val="00092CF1"/>
    <w:rsid w:val="00092DA6"/>
    <w:rsid w:val="00092DE0"/>
    <w:rsid w:val="00092E6C"/>
    <w:rsid w:val="00092E6D"/>
    <w:rsid w:val="00092E91"/>
    <w:rsid w:val="00092EAA"/>
    <w:rsid w:val="00092F4A"/>
    <w:rsid w:val="00092FB8"/>
    <w:rsid w:val="00092FBB"/>
    <w:rsid w:val="00092FC2"/>
    <w:rsid w:val="00093013"/>
    <w:rsid w:val="0009309F"/>
    <w:rsid w:val="00093127"/>
    <w:rsid w:val="00093146"/>
    <w:rsid w:val="00093179"/>
    <w:rsid w:val="000931C1"/>
    <w:rsid w:val="0009325E"/>
    <w:rsid w:val="0009326C"/>
    <w:rsid w:val="0009332F"/>
    <w:rsid w:val="000933A6"/>
    <w:rsid w:val="000934A0"/>
    <w:rsid w:val="000934D5"/>
    <w:rsid w:val="00093585"/>
    <w:rsid w:val="0009365C"/>
    <w:rsid w:val="00093783"/>
    <w:rsid w:val="000937AB"/>
    <w:rsid w:val="000937EE"/>
    <w:rsid w:val="00093856"/>
    <w:rsid w:val="00093977"/>
    <w:rsid w:val="000939C3"/>
    <w:rsid w:val="000939FC"/>
    <w:rsid w:val="00093A0A"/>
    <w:rsid w:val="00093A76"/>
    <w:rsid w:val="00093B21"/>
    <w:rsid w:val="00093B3E"/>
    <w:rsid w:val="00093B97"/>
    <w:rsid w:val="00093BA1"/>
    <w:rsid w:val="00093C02"/>
    <w:rsid w:val="00093C17"/>
    <w:rsid w:val="00093D48"/>
    <w:rsid w:val="00093D7B"/>
    <w:rsid w:val="00093D9A"/>
    <w:rsid w:val="00093DA5"/>
    <w:rsid w:val="00093DBE"/>
    <w:rsid w:val="00093DC4"/>
    <w:rsid w:val="00093DF5"/>
    <w:rsid w:val="00093E3E"/>
    <w:rsid w:val="00093E89"/>
    <w:rsid w:val="00093EBB"/>
    <w:rsid w:val="00093ED4"/>
    <w:rsid w:val="00093F2D"/>
    <w:rsid w:val="00093F3C"/>
    <w:rsid w:val="00093F7C"/>
    <w:rsid w:val="00093F80"/>
    <w:rsid w:val="00094025"/>
    <w:rsid w:val="0009402F"/>
    <w:rsid w:val="0009404A"/>
    <w:rsid w:val="0009404E"/>
    <w:rsid w:val="00094051"/>
    <w:rsid w:val="00094060"/>
    <w:rsid w:val="000940B0"/>
    <w:rsid w:val="000940E7"/>
    <w:rsid w:val="00094124"/>
    <w:rsid w:val="000941C3"/>
    <w:rsid w:val="00094229"/>
    <w:rsid w:val="0009423D"/>
    <w:rsid w:val="000943B8"/>
    <w:rsid w:val="00094416"/>
    <w:rsid w:val="0009441E"/>
    <w:rsid w:val="0009446B"/>
    <w:rsid w:val="000944F3"/>
    <w:rsid w:val="00094527"/>
    <w:rsid w:val="000945D2"/>
    <w:rsid w:val="000945F6"/>
    <w:rsid w:val="00094601"/>
    <w:rsid w:val="0009463B"/>
    <w:rsid w:val="00094656"/>
    <w:rsid w:val="000946E9"/>
    <w:rsid w:val="00094764"/>
    <w:rsid w:val="000947C5"/>
    <w:rsid w:val="000947FA"/>
    <w:rsid w:val="000948AD"/>
    <w:rsid w:val="00094920"/>
    <w:rsid w:val="00094966"/>
    <w:rsid w:val="000949C2"/>
    <w:rsid w:val="000949C6"/>
    <w:rsid w:val="00094A2A"/>
    <w:rsid w:val="00094A72"/>
    <w:rsid w:val="00094AA7"/>
    <w:rsid w:val="00094C06"/>
    <w:rsid w:val="00094C32"/>
    <w:rsid w:val="00094C7B"/>
    <w:rsid w:val="00094D4D"/>
    <w:rsid w:val="00094DE5"/>
    <w:rsid w:val="00094E9D"/>
    <w:rsid w:val="00094EB6"/>
    <w:rsid w:val="00094F15"/>
    <w:rsid w:val="00095056"/>
    <w:rsid w:val="000950A5"/>
    <w:rsid w:val="000950F0"/>
    <w:rsid w:val="000951BA"/>
    <w:rsid w:val="000951EA"/>
    <w:rsid w:val="00095345"/>
    <w:rsid w:val="00095404"/>
    <w:rsid w:val="00095497"/>
    <w:rsid w:val="000954D9"/>
    <w:rsid w:val="000955D9"/>
    <w:rsid w:val="00095638"/>
    <w:rsid w:val="0009569B"/>
    <w:rsid w:val="000956A6"/>
    <w:rsid w:val="0009580A"/>
    <w:rsid w:val="00095818"/>
    <w:rsid w:val="00095839"/>
    <w:rsid w:val="0009590B"/>
    <w:rsid w:val="0009594E"/>
    <w:rsid w:val="000959DA"/>
    <w:rsid w:val="000959F4"/>
    <w:rsid w:val="00095A7F"/>
    <w:rsid w:val="00095A8F"/>
    <w:rsid w:val="00095AA2"/>
    <w:rsid w:val="00095C45"/>
    <w:rsid w:val="00095C56"/>
    <w:rsid w:val="00095C8D"/>
    <w:rsid w:val="00095C97"/>
    <w:rsid w:val="00095C9E"/>
    <w:rsid w:val="00095D36"/>
    <w:rsid w:val="00095DF5"/>
    <w:rsid w:val="00095E40"/>
    <w:rsid w:val="00095EBD"/>
    <w:rsid w:val="00095EE1"/>
    <w:rsid w:val="00095F03"/>
    <w:rsid w:val="00095F2B"/>
    <w:rsid w:val="00096015"/>
    <w:rsid w:val="00096051"/>
    <w:rsid w:val="0009611B"/>
    <w:rsid w:val="00096127"/>
    <w:rsid w:val="00096129"/>
    <w:rsid w:val="000961A8"/>
    <w:rsid w:val="0009622A"/>
    <w:rsid w:val="00096301"/>
    <w:rsid w:val="0009635C"/>
    <w:rsid w:val="00096368"/>
    <w:rsid w:val="0009645F"/>
    <w:rsid w:val="000964D1"/>
    <w:rsid w:val="00096504"/>
    <w:rsid w:val="000966D9"/>
    <w:rsid w:val="000966FB"/>
    <w:rsid w:val="00096723"/>
    <w:rsid w:val="0009674B"/>
    <w:rsid w:val="000968AB"/>
    <w:rsid w:val="000968FA"/>
    <w:rsid w:val="000968FF"/>
    <w:rsid w:val="000969B6"/>
    <w:rsid w:val="00096A6B"/>
    <w:rsid w:val="00096A93"/>
    <w:rsid w:val="00096AA4"/>
    <w:rsid w:val="00096B51"/>
    <w:rsid w:val="00096B52"/>
    <w:rsid w:val="00096B69"/>
    <w:rsid w:val="00096BC6"/>
    <w:rsid w:val="00096CF2"/>
    <w:rsid w:val="00096CFB"/>
    <w:rsid w:val="00096D3B"/>
    <w:rsid w:val="00096D83"/>
    <w:rsid w:val="00096D9C"/>
    <w:rsid w:val="00096DBA"/>
    <w:rsid w:val="00096DC6"/>
    <w:rsid w:val="00096E23"/>
    <w:rsid w:val="00096E37"/>
    <w:rsid w:val="00096EC5"/>
    <w:rsid w:val="00096F0F"/>
    <w:rsid w:val="00096F73"/>
    <w:rsid w:val="00096FD0"/>
    <w:rsid w:val="0009706F"/>
    <w:rsid w:val="0009708E"/>
    <w:rsid w:val="000970E4"/>
    <w:rsid w:val="000970FF"/>
    <w:rsid w:val="0009710B"/>
    <w:rsid w:val="00097147"/>
    <w:rsid w:val="00097172"/>
    <w:rsid w:val="000971DD"/>
    <w:rsid w:val="000971F4"/>
    <w:rsid w:val="00097236"/>
    <w:rsid w:val="000972CD"/>
    <w:rsid w:val="00097345"/>
    <w:rsid w:val="0009735C"/>
    <w:rsid w:val="0009737F"/>
    <w:rsid w:val="00097462"/>
    <w:rsid w:val="000975BC"/>
    <w:rsid w:val="000975F1"/>
    <w:rsid w:val="00097657"/>
    <w:rsid w:val="000976F3"/>
    <w:rsid w:val="00097747"/>
    <w:rsid w:val="00097749"/>
    <w:rsid w:val="0009774C"/>
    <w:rsid w:val="000977F7"/>
    <w:rsid w:val="00097842"/>
    <w:rsid w:val="0009789E"/>
    <w:rsid w:val="000978F4"/>
    <w:rsid w:val="0009792B"/>
    <w:rsid w:val="00097968"/>
    <w:rsid w:val="0009799B"/>
    <w:rsid w:val="000979ED"/>
    <w:rsid w:val="00097A04"/>
    <w:rsid w:val="00097A0F"/>
    <w:rsid w:val="00097AFB"/>
    <w:rsid w:val="00097B06"/>
    <w:rsid w:val="00097C8B"/>
    <w:rsid w:val="00097C96"/>
    <w:rsid w:val="00097CF9"/>
    <w:rsid w:val="00097D64"/>
    <w:rsid w:val="00097D7C"/>
    <w:rsid w:val="00097D88"/>
    <w:rsid w:val="00097E7B"/>
    <w:rsid w:val="00097F4C"/>
    <w:rsid w:val="000A0060"/>
    <w:rsid w:val="000A0096"/>
    <w:rsid w:val="000A00D0"/>
    <w:rsid w:val="000A0109"/>
    <w:rsid w:val="000A011B"/>
    <w:rsid w:val="000A0150"/>
    <w:rsid w:val="000A01CD"/>
    <w:rsid w:val="000A0213"/>
    <w:rsid w:val="000A0225"/>
    <w:rsid w:val="000A022C"/>
    <w:rsid w:val="000A0234"/>
    <w:rsid w:val="000A02A5"/>
    <w:rsid w:val="000A02F7"/>
    <w:rsid w:val="000A0358"/>
    <w:rsid w:val="000A045B"/>
    <w:rsid w:val="000A047B"/>
    <w:rsid w:val="000A0518"/>
    <w:rsid w:val="000A05C4"/>
    <w:rsid w:val="000A06A9"/>
    <w:rsid w:val="000A06DC"/>
    <w:rsid w:val="000A0711"/>
    <w:rsid w:val="000A0733"/>
    <w:rsid w:val="000A076D"/>
    <w:rsid w:val="000A0841"/>
    <w:rsid w:val="000A0853"/>
    <w:rsid w:val="000A085B"/>
    <w:rsid w:val="000A08CE"/>
    <w:rsid w:val="000A08CF"/>
    <w:rsid w:val="000A08EB"/>
    <w:rsid w:val="000A0958"/>
    <w:rsid w:val="000A09A0"/>
    <w:rsid w:val="000A0A16"/>
    <w:rsid w:val="000A0B36"/>
    <w:rsid w:val="000A0BFF"/>
    <w:rsid w:val="000A0CF3"/>
    <w:rsid w:val="000A0DC8"/>
    <w:rsid w:val="000A0DFF"/>
    <w:rsid w:val="000A0E13"/>
    <w:rsid w:val="000A0E4C"/>
    <w:rsid w:val="000A0EAD"/>
    <w:rsid w:val="000A0EB1"/>
    <w:rsid w:val="000A0F01"/>
    <w:rsid w:val="000A0F85"/>
    <w:rsid w:val="000A0FEB"/>
    <w:rsid w:val="000A1020"/>
    <w:rsid w:val="000A106C"/>
    <w:rsid w:val="000A10BF"/>
    <w:rsid w:val="000A1150"/>
    <w:rsid w:val="000A1199"/>
    <w:rsid w:val="000A1211"/>
    <w:rsid w:val="000A1248"/>
    <w:rsid w:val="000A12C9"/>
    <w:rsid w:val="000A12F2"/>
    <w:rsid w:val="000A13C8"/>
    <w:rsid w:val="000A13D7"/>
    <w:rsid w:val="000A141A"/>
    <w:rsid w:val="000A1481"/>
    <w:rsid w:val="000A148E"/>
    <w:rsid w:val="000A149F"/>
    <w:rsid w:val="000A14B2"/>
    <w:rsid w:val="000A14FE"/>
    <w:rsid w:val="000A1508"/>
    <w:rsid w:val="000A1529"/>
    <w:rsid w:val="000A153E"/>
    <w:rsid w:val="000A1767"/>
    <w:rsid w:val="000A1768"/>
    <w:rsid w:val="000A1775"/>
    <w:rsid w:val="000A177A"/>
    <w:rsid w:val="000A17FC"/>
    <w:rsid w:val="000A182D"/>
    <w:rsid w:val="000A1906"/>
    <w:rsid w:val="000A191E"/>
    <w:rsid w:val="000A19F7"/>
    <w:rsid w:val="000A1A54"/>
    <w:rsid w:val="000A1A60"/>
    <w:rsid w:val="000A1AC5"/>
    <w:rsid w:val="000A1B66"/>
    <w:rsid w:val="000A1B90"/>
    <w:rsid w:val="000A1BD2"/>
    <w:rsid w:val="000A1BD4"/>
    <w:rsid w:val="000A1C13"/>
    <w:rsid w:val="000A1C28"/>
    <w:rsid w:val="000A1C3C"/>
    <w:rsid w:val="000A1C7D"/>
    <w:rsid w:val="000A1C83"/>
    <w:rsid w:val="000A1CA0"/>
    <w:rsid w:val="000A1CA3"/>
    <w:rsid w:val="000A1CA8"/>
    <w:rsid w:val="000A1CD9"/>
    <w:rsid w:val="000A1CFC"/>
    <w:rsid w:val="000A1D91"/>
    <w:rsid w:val="000A1E11"/>
    <w:rsid w:val="000A1EFA"/>
    <w:rsid w:val="000A1F44"/>
    <w:rsid w:val="000A2009"/>
    <w:rsid w:val="000A20F0"/>
    <w:rsid w:val="000A217E"/>
    <w:rsid w:val="000A2219"/>
    <w:rsid w:val="000A226E"/>
    <w:rsid w:val="000A22A5"/>
    <w:rsid w:val="000A22C8"/>
    <w:rsid w:val="000A2336"/>
    <w:rsid w:val="000A2365"/>
    <w:rsid w:val="000A252A"/>
    <w:rsid w:val="000A252E"/>
    <w:rsid w:val="000A2532"/>
    <w:rsid w:val="000A253E"/>
    <w:rsid w:val="000A2583"/>
    <w:rsid w:val="000A2591"/>
    <w:rsid w:val="000A2616"/>
    <w:rsid w:val="000A269A"/>
    <w:rsid w:val="000A27AD"/>
    <w:rsid w:val="000A27E0"/>
    <w:rsid w:val="000A2805"/>
    <w:rsid w:val="000A2810"/>
    <w:rsid w:val="000A281F"/>
    <w:rsid w:val="000A2869"/>
    <w:rsid w:val="000A2889"/>
    <w:rsid w:val="000A2904"/>
    <w:rsid w:val="000A2966"/>
    <w:rsid w:val="000A296B"/>
    <w:rsid w:val="000A2A95"/>
    <w:rsid w:val="000A2ACD"/>
    <w:rsid w:val="000A2B65"/>
    <w:rsid w:val="000A2B66"/>
    <w:rsid w:val="000A2B78"/>
    <w:rsid w:val="000A2BCB"/>
    <w:rsid w:val="000A2C3D"/>
    <w:rsid w:val="000A2DA8"/>
    <w:rsid w:val="000A2DD6"/>
    <w:rsid w:val="000A2ED6"/>
    <w:rsid w:val="000A2EDD"/>
    <w:rsid w:val="000A2EFE"/>
    <w:rsid w:val="000A2FD2"/>
    <w:rsid w:val="000A306F"/>
    <w:rsid w:val="000A307F"/>
    <w:rsid w:val="000A30B8"/>
    <w:rsid w:val="000A30CF"/>
    <w:rsid w:val="000A3127"/>
    <w:rsid w:val="000A31BD"/>
    <w:rsid w:val="000A31EA"/>
    <w:rsid w:val="000A32D5"/>
    <w:rsid w:val="000A32DB"/>
    <w:rsid w:val="000A3316"/>
    <w:rsid w:val="000A335A"/>
    <w:rsid w:val="000A33B5"/>
    <w:rsid w:val="000A3530"/>
    <w:rsid w:val="000A3572"/>
    <w:rsid w:val="000A35D9"/>
    <w:rsid w:val="000A3776"/>
    <w:rsid w:val="000A381E"/>
    <w:rsid w:val="000A3877"/>
    <w:rsid w:val="000A38B9"/>
    <w:rsid w:val="000A3934"/>
    <w:rsid w:val="000A3959"/>
    <w:rsid w:val="000A399E"/>
    <w:rsid w:val="000A39B7"/>
    <w:rsid w:val="000A39C6"/>
    <w:rsid w:val="000A39E4"/>
    <w:rsid w:val="000A3ADA"/>
    <w:rsid w:val="000A3B69"/>
    <w:rsid w:val="000A3C25"/>
    <w:rsid w:val="000A3CD5"/>
    <w:rsid w:val="000A3D00"/>
    <w:rsid w:val="000A3D86"/>
    <w:rsid w:val="000A3DC4"/>
    <w:rsid w:val="000A3DDA"/>
    <w:rsid w:val="000A3DE3"/>
    <w:rsid w:val="000A3E0B"/>
    <w:rsid w:val="000A3E47"/>
    <w:rsid w:val="000A3E62"/>
    <w:rsid w:val="000A3E6B"/>
    <w:rsid w:val="000A3FE1"/>
    <w:rsid w:val="000A4091"/>
    <w:rsid w:val="000A40A7"/>
    <w:rsid w:val="000A40BA"/>
    <w:rsid w:val="000A4176"/>
    <w:rsid w:val="000A41AE"/>
    <w:rsid w:val="000A41CD"/>
    <w:rsid w:val="000A41D4"/>
    <w:rsid w:val="000A4257"/>
    <w:rsid w:val="000A426D"/>
    <w:rsid w:val="000A4293"/>
    <w:rsid w:val="000A42A9"/>
    <w:rsid w:val="000A4312"/>
    <w:rsid w:val="000A460B"/>
    <w:rsid w:val="000A4614"/>
    <w:rsid w:val="000A461D"/>
    <w:rsid w:val="000A464F"/>
    <w:rsid w:val="000A46E1"/>
    <w:rsid w:val="000A4747"/>
    <w:rsid w:val="000A4758"/>
    <w:rsid w:val="000A47C4"/>
    <w:rsid w:val="000A4800"/>
    <w:rsid w:val="000A4861"/>
    <w:rsid w:val="000A49AE"/>
    <w:rsid w:val="000A49DF"/>
    <w:rsid w:val="000A4A25"/>
    <w:rsid w:val="000A4A42"/>
    <w:rsid w:val="000A4A7C"/>
    <w:rsid w:val="000A4AA3"/>
    <w:rsid w:val="000A4AA4"/>
    <w:rsid w:val="000A4AB0"/>
    <w:rsid w:val="000A4AB6"/>
    <w:rsid w:val="000A4C37"/>
    <w:rsid w:val="000A4CBE"/>
    <w:rsid w:val="000A4D07"/>
    <w:rsid w:val="000A4D1C"/>
    <w:rsid w:val="000A4D81"/>
    <w:rsid w:val="000A4D8D"/>
    <w:rsid w:val="000A4DE8"/>
    <w:rsid w:val="000A4E9F"/>
    <w:rsid w:val="000A4F24"/>
    <w:rsid w:val="000A4F2F"/>
    <w:rsid w:val="000A5070"/>
    <w:rsid w:val="000A50EA"/>
    <w:rsid w:val="000A514B"/>
    <w:rsid w:val="000A5250"/>
    <w:rsid w:val="000A529C"/>
    <w:rsid w:val="000A52E3"/>
    <w:rsid w:val="000A52F0"/>
    <w:rsid w:val="000A52FA"/>
    <w:rsid w:val="000A532F"/>
    <w:rsid w:val="000A5359"/>
    <w:rsid w:val="000A5362"/>
    <w:rsid w:val="000A5372"/>
    <w:rsid w:val="000A53BC"/>
    <w:rsid w:val="000A53BF"/>
    <w:rsid w:val="000A54FA"/>
    <w:rsid w:val="000A5532"/>
    <w:rsid w:val="000A55B5"/>
    <w:rsid w:val="000A55B9"/>
    <w:rsid w:val="000A55C7"/>
    <w:rsid w:val="000A5688"/>
    <w:rsid w:val="000A56A6"/>
    <w:rsid w:val="000A56B5"/>
    <w:rsid w:val="000A573A"/>
    <w:rsid w:val="000A575A"/>
    <w:rsid w:val="000A57EF"/>
    <w:rsid w:val="000A588C"/>
    <w:rsid w:val="000A58A2"/>
    <w:rsid w:val="000A58A6"/>
    <w:rsid w:val="000A5952"/>
    <w:rsid w:val="000A59F2"/>
    <w:rsid w:val="000A5A76"/>
    <w:rsid w:val="000A5AD7"/>
    <w:rsid w:val="000A5AE3"/>
    <w:rsid w:val="000A5B00"/>
    <w:rsid w:val="000A5B81"/>
    <w:rsid w:val="000A5C47"/>
    <w:rsid w:val="000A5C56"/>
    <w:rsid w:val="000A5C87"/>
    <w:rsid w:val="000A5C95"/>
    <w:rsid w:val="000A5CEF"/>
    <w:rsid w:val="000A5D0A"/>
    <w:rsid w:val="000A5DDC"/>
    <w:rsid w:val="000A5DF5"/>
    <w:rsid w:val="000A5FA8"/>
    <w:rsid w:val="000A5FAB"/>
    <w:rsid w:val="000A5FD6"/>
    <w:rsid w:val="000A5FFB"/>
    <w:rsid w:val="000A6076"/>
    <w:rsid w:val="000A60F3"/>
    <w:rsid w:val="000A6148"/>
    <w:rsid w:val="000A61A9"/>
    <w:rsid w:val="000A6227"/>
    <w:rsid w:val="000A6252"/>
    <w:rsid w:val="000A6299"/>
    <w:rsid w:val="000A629E"/>
    <w:rsid w:val="000A62B7"/>
    <w:rsid w:val="000A6302"/>
    <w:rsid w:val="000A6314"/>
    <w:rsid w:val="000A6367"/>
    <w:rsid w:val="000A63BD"/>
    <w:rsid w:val="000A6421"/>
    <w:rsid w:val="000A6514"/>
    <w:rsid w:val="000A655A"/>
    <w:rsid w:val="000A6565"/>
    <w:rsid w:val="000A6596"/>
    <w:rsid w:val="000A660A"/>
    <w:rsid w:val="000A6613"/>
    <w:rsid w:val="000A6636"/>
    <w:rsid w:val="000A6641"/>
    <w:rsid w:val="000A6687"/>
    <w:rsid w:val="000A66C7"/>
    <w:rsid w:val="000A6706"/>
    <w:rsid w:val="000A671E"/>
    <w:rsid w:val="000A675E"/>
    <w:rsid w:val="000A6764"/>
    <w:rsid w:val="000A6783"/>
    <w:rsid w:val="000A67AF"/>
    <w:rsid w:val="000A6808"/>
    <w:rsid w:val="000A681A"/>
    <w:rsid w:val="000A6839"/>
    <w:rsid w:val="000A6881"/>
    <w:rsid w:val="000A69BE"/>
    <w:rsid w:val="000A69E9"/>
    <w:rsid w:val="000A6B30"/>
    <w:rsid w:val="000A6BDD"/>
    <w:rsid w:val="000A6C1B"/>
    <w:rsid w:val="000A6C72"/>
    <w:rsid w:val="000A6CA3"/>
    <w:rsid w:val="000A6CC5"/>
    <w:rsid w:val="000A6CF4"/>
    <w:rsid w:val="000A6D80"/>
    <w:rsid w:val="000A6E60"/>
    <w:rsid w:val="000A6E85"/>
    <w:rsid w:val="000A6E95"/>
    <w:rsid w:val="000A6E9D"/>
    <w:rsid w:val="000A6F8C"/>
    <w:rsid w:val="000A6FC5"/>
    <w:rsid w:val="000A7079"/>
    <w:rsid w:val="000A707B"/>
    <w:rsid w:val="000A7112"/>
    <w:rsid w:val="000A713E"/>
    <w:rsid w:val="000A714A"/>
    <w:rsid w:val="000A71D1"/>
    <w:rsid w:val="000A71FA"/>
    <w:rsid w:val="000A723C"/>
    <w:rsid w:val="000A7289"/>
    <w:rsid w:val="000A72AF"/>
    <w:rsid w:val="000A7393"/>
    <w:rsid w:val="000A73BD"/>
    <w:rsid w:val="000A73DA"/>
    <w:rsid w:val="000A7491"/>
    <w:rsid w:val="000A749C"/>
    <w:rsid w:val="000A7563"/>
    <w:rsid w:val="000A7617"/>
    <w:rsid w:val="000A7627"/>
    <w:rsid w:val="000A7635"/>
    <w:rsid w:val="000A76E5"/>
    <w:rsid w:val="000A76EA"/>
    <w:rsid w:val="000A76FA"/>
    <w:rsid w:val="000A77A8"/>
    <w:rsid w:val="000A7839"/>
    <w:rsid w:val="000A78B0"/>
    <w:rsid w:val="000A78B6"/>
    <w:rsid w:val="000A7A47"/>
    <w:rsid w:val="000A7C35"/>
    <w:rsid w:val="000A7C79"/>
    <w:rsid w:val="000A7D18"/>
    <w:rsid w:val="000A7E18"/>
    <w:rsid w:val="000A7EA0"/>
    <w:rsid w:val="000A7EC9"/>
    <w:rsid w:val="000A7F1E"/>
    <w:rsid w:val="000A7FBB"/>
    <w:rsid w:val="000A7FBF"/>
    <w:rsid w:val="000A7FCF"/>
    <w:rsid w:val="000A7FF7"/>
    <w:rsid w:val="000B0020"/>
    <w:rsid w:val="000B004D"/>
    <w:rsid w:val="000B00C2"/>
    <w:rsid w:val="000B024A"/>
    <w:rsid w:val="000B02BA"/>
    <w:rsid w:val="000B02D8"/>
    <w:rsid w:val="000B03AC"/>
    <w:rsid w:val="000B03B7"/>
    <w:rsid w:val="000B04A7"/>
    <w:rsid w:val="000B052B"/>
    <w:rsid w:val="000B0563"/>
    <w:rsid w:val="000B0679"/>
    <w:rsid w:val="000B06A7"/>
    <w:rsid w:val="000B06C6"/>
    <w:rsid w:val="000B072F"/>
    <w:rsid w:val="000B0794"/>
    <w:rsid w:val="000B079D"/>
    <w:rsid w:val="000B083D"/>
    <w:rsid w:val="000B0858"/>
    <w:rsid w:val="000B08A5"/>
    <w:rsid w:val="000B08B2"/>
    <w:rsid w:val="000B090E"/>
    <w:rsid w:val="000B0A04"/>
    <w:rsid w:val="000B0A58"/>
    <w:rsid w:val="000B0AB5"/>
    <w:rsid w:val="000B0C03"/>
    <w:rsid w:val="000B0CAA"/>
    <w:rsid w:val="000B0D27"/>
    <w:rsid w:val="000B0D3B"/>
    <w:rsid w:val="000B0DD6"/>
    <w:rsid w:val="000B0E12"/>
    <w:rsid w:val="000B0E17"/>
    <w:rsid w:val="000B0ECC"/>
    <w:rsid w:val="000B0F78"/>
    <w:rsid w:val="000B0F88"/>
    <w:rsid w:val="000B0FAF"/>
    <w:rsid w:val="000B1050"/>
    <w:rsid w:val="000B1143"/>
    <w:rsid w:val="000B120D"/>
    <w:rsid w:val="000B12CC"/>
    <w:rsid w:val="000B12FB"/>
    <w:rsid w:val="000B131F"/>
    <w:rsid w:val="000B135D"/>
    <w:rsid w:val="000B1406"/>
    <w:rsid w:val="000B143F"/>
    <w:rsid w:val="000B1513"/>
    <w:rsid w:val="000B153D"/>
    <w:rsid w:val="000B15AC"/>
    <w:rsid w:val="000B16BC"/>
    <w:rsid w:val="000B170B"/>
    <w:rsid w:val="000B1793"/>
    <w:rsid w:val="000B17EF"/>
    <w:rsid w:val="000B1826"/>
    <w:rsid w:val="000B1854"/>
    <w:rsid w:val="000B1958"/>
    <w:rsid w:val="000B197B"/>
    <w:rsid w:val="000B1997"/>
    <w:rsid w:val="000B1BAF"/>
    <w:rsid w:val="000B1BB2"/>
    <w:rsid w:val="000B1BC9"/>
    <w:rsid w:val="000B1C62"/>
    <w:rsid w:val="000B1C65"/>
    <w:rsid w:val="000B1CB7"/>
    <w:rsid w:val="000B1CBE"/>
    <w:rsid w:val="000B1D33"/>
    <w:rsid w:val="000B1D4A"/>
    <w:rsid w:val="000B1D95"/>
    <w:rsid w:val="000B1E0A"/>
    <w:rsid w:val="000B1E51"/>
    <w:rsid w:val="000B1E62"/>
    <w:rsid w:val="000B1E77"/>
    <w:rsid w:val="000B1EDB"/>
    <w:rsid w:val="000B1FA1"/>
    <w:rsid w:val="000B1FC9"/>
    <w:rsid w:val="000B2048"/>
    <w:rsid w:val="000B2093"/>
    <w:rsid w:val="000B20BF"/>
    <w:rsid w:val="000B20DB"/>
    <w:rsid w:val="000B215F"/>
    <w:rsid w:val="000B2164"/>
    <w:rsid w:val="000B216D"/>
    <w:rsid w:val="000B22A2"/>
    <w:rsid w:val="000B22CB"/>
    <w:rsid w:val="000B2318"/>
    <w:rsid w:val="000B232E"/>
    <w:rsid w:val="000B2386"/>
    <w:rsid w:val="000B240B"/>
    <w:rsid w:val="000B246F"/>
    <w:rsid w:val="000B2476"/>
    <w:rsid w:val="000B24C1"/>
    <w:rsid w:val="000B2583"/>
    <w:rsid w:val="000B259A"/>
    <w:rsid w:val="000B2740"/>
    <w:rsid w:val="000B279A"/>
    <w:rsid w:val="000B27DE"/>
    <w:rsid w:val="000B27E0"/>
    <w:rsid w:val="000B27F2"/>
    <w:rsid w:val="000B2826"/>
    <w:rsid w:val="000B28A8"/>
    <w:rsid w:val="000B293D"/>
    <w:rsid w:val="000B29D5"/>
    <w:rsid w:val="000B29D7"/>
    <w:rsid w:val="000B2A69"/>
    <w:rsid w:val="000B2AAD"/>
    <w:rsid w:val="000B2B4F"/>
    <w:rsid w:val="000B2B60"/>
    <w:rsid w:val="000B2B9C"/>
    <w:rsid w:val="000B2BC1"/>
    <w:rsid w:val="000B2CF3"/>
    <w:rsid w:val="000B2D04"/>
    <w:rsid w:val="000B2D09"/>
    <w:rsid w:val="000B2D13"/>
    <w:rsid w:val="000B2E28"/>
    <w:rsid w:val="000B2EF6"/>
    <w:rsid w:val="000B309C"/>
    <w:rsid w:val="000B313F"/>
    <w:rsid w:val="000B31D3"/>
    <w:rsid w:val="000B31EE"/>
    <w:rsid w:val="000B32C2"/>
    <w:rsid w:val="000B3323"/>
    <w:rsid w:val="000B3330"/>
    <w:rsid w:val="000B33D2"/>
    <w:rsid w:val="000B3523"/>
    <w:rsid w:val="000B3644"/>
    <w:rsid w:val="000B3788"/>
    <w:rsid w:val="000B37C9"/>
    <w:rsid w:val="000B382B"/>
    <w:rsid w:val="000B3888"/>
    <w:rsid w:val="000B3895"/>
    <w:rsid w:val="000B3974"/>
    <w:rsid w:val="000B3981"/>
    <w:rsid w:val="000B39A9"/>
    <w:rsid w:val="000B39E5"/>
    <w:rsid w:val="000B3AA5"/>
    <w:rsid w:val="000B3B47"/>
    <w:rsid w:val="000B3BB1"/>
    <w:rsid w:val="000B3BD6"/>
    <w:rsid w:val="000B3BE4"/>
    <w:rsid w:val="000B3C01"/>
    <w:rsid w:val="000B3C44"/>
    <w:rsid w:val="000B3CAD"/>
    <w:rsid w:val="000B3D77"/>
    <w:rsid w:val="000B3DD8"/>
    <w:rsid w:val="000B3E97"/>
    <w:rsid w:val="000B3EAB"/>
    <w:rsid w:val="000B3ED2"/>
    <w:rsid w:val="000B3EF3"/>
    <w:rsid w:val="000B3FA5"/>
    <w:rsid w:val="000B3FB7"/>
    <w:rsid w:val="000B401C"/>
    <w:rsid w:val="000B4047"/>
    <w:rsid w:val="000B4073"/>
    <w:rsid w:val="000B40A9"/>
    <w:rsid w:val="000B40BE"/>
    <w:rsid w:val="000B4178"/>
    <w:rsid w:val="000B42A8"/>
    <w:rsid w:val="000B42F0"/>
    <w:rsid w:val="000B42F3"/>
    <w:rsid w:val="000B42FD"/>
    <w:rsid w:val="000B4354"/>
    <w:rsid w:val="000B43BA"/>
    <w:rsid w:val="000B43D9"/>
    <w:rsid w:val="000B43FD"/>
    <w:rsid w:val="000B44D5"/>
    <w:rsid w:val="000B44D8"/>
    <w:rsid w:val="000B4518"/>
    <w:rsid w:val="000B4554"/>
    <w:rsid w:val="000B45A9"/>
    <w:rsid w:val="000B45B9"/>
    <w:rsid w:val="000B45DB"/>
    <w:rsid w:val="000B463A"/>
    <w:rsid w:val="000B4643"/>
    <w:rsid w:val="000B4662"/>
    <w:rsid w:val="000B4674"/>
    <w:rsid w:val="000B46D9"/>
    <w:rsid w:val="000B46E0"/>
    <w:rsid w:val="000B46ED"/>
    <w:rsid w:val="000B4734"/>
    <w:rsid w:val="000B4741"/>
    <w:rsid w:val="000B4774"/>
    <w:rsid w:val="000B4782"/>
    <w:rsid w:val="000B478D"/>
    <w:rsid w:val="000B47A7"/>
    <w:rsid w:val="000B47C5"/>
    <w:rsid w:val="000B47DA"/>
    <w:rsid w:val="000B47F8"/>
    <w:rsid w:val="000B48A5"/>
    <w:rsid w:val="000B48BC"/>
    <w:rsid w:val="000B490A"/>
    <w:rsid w:val="000B4917"/>
    <w:rsid w:val="000B4979"/>
    <w:rsid w:val="000B4AA8"/>
    <w:rsid w:val="000B4AD0"/>
    <w:rsid w:val="000B4C38"/>
    <w:rsid w:val="000B4C7A"/>
    <w:rsid w:val="000B4D2B"/>
    <w:rsid w:val="000B4D72"/>
    <w:rsid w:val="000B4E16"/>
    <w:rsid w:val="000B4E32"/>
    <w:rsid w:val="000B4F05"/>
    <w:rsid w:val="000B4F5F"/>
    <w:rsid w:val="000B4F8F"/>
    <w:rsid w:val="000B4F98"/>
    <w:rsid w:val="000B5053"/>
    <w:rsid w:val="000B5086"/>
    <w:rsid w:val="000B50C3"/>
    <w:rsid w:val="000B5117"/>
    <w:rsid w:val="000B519B"/>
    <w:rsid w:val="000B5256"/>
    <w:rsid w:val="000B5391"/>
    <w:rsid w:val="000B54B2"/>
    <w:rsid w:val="000B54F5"/>
    <w:rsid w:val="000B558F"/>
    <w:rsid w:val="000B56EE"/>
    <w:rsid w:val="000B5709"/>
    <w:rsid w:val="000B5766"/>
    <w:rsid w:val="000B5778"/>
    <w:rsid w:val="000B5850"/>
    <w:rsid w:val="000B5852"/>
    <w:rsid w:val="000B588A"/>
    <w:rsid w:val="000B58CB"/>
    <w:rsid w:val="000B58FC"/>
    <w:rsid w:val="000B592E"/>
    <w:rsid w:val="000B5A02"/>
    <w:rsid w:val="000B5A44"/>
    <w:rsid w:val="000B5A67"/>
    <w:rsid w:val="000B5A72"/>
    <w:rsid w:val="000B5AD4"/>
    <w:rsid w:val="000B5C34"/>
    <w:rsid w:val="000B5C3C"/>
    <w:rsid w:val="000B5C3D"/>
    <w:rsid w:val="000B5C87"/>
    <w:rsid w:val="000B5C9D"/>
    <w:rsid w:val="000B5CB9"/>
    <w:rsid w:val="000B5CC4"/>
    <w:rsid w:val="000B5D41"/>
    <w:rsid w:val="000B5DAA"/>
    <w:rsid w:val="000B5DD8"/>
    <w:rsid w:val="000B5E59"/>
    <w:rsid w:val="000B5EE6"/>
    <w:rsid w:val="000B5F57"/>
    <w:rsid w:val="000B5F6F"/>
    <w:rsid w:val="000B5FF8"/>
    <w:rsid w:val="000B6078"/>
    <w:rsid w:val="000B6171"/>
    <w:rsid w:val="000B617D"/>
    <w:rsid w:val="000B6235"/>
    <w:rsid w:val="000B63A5"/>
    <w:rsid w:val="000B644C"/>
    <w:rsid w:val="000B6462"/>
    <w:rsid w:val="000B659D"/>
    <w:rsid w:val="000B65AC"/>
    <w:rsid w:val="000B660A"/>
    <w:rsid w:val="000B6710"/>
    <w:rsid w:val="000B671E"/>
    <w:rsid w:val="000B671F"/>
    <w:rsid w:val="000B6735"/>
    <w:rsid w:val="000B6790"/>
    <w:rsid w:val="000B67C0"/>
    <w:rsid w:val="000B67F4"/>
    <w:rsid w:val="000B6900"/>
    <w:rsid w:val="000B69B9"/>
    <w:rsid w:val="000B69D7"/>
    <w:rsid w:val="000B6A18"/>
    <w:rsid w:val="000B6A92"/>
    <w:rsid w:val="000B6B16"/>
    <w:rsid w:val="000B6B1C"/>
    <w:rsid w:val="000B6BC9"/>
    <w:rsid w:val="000B6BED"/>
    <w:rsid w:val="000B6C38"/>
    <w:rsid w:val="000B6CAA"/>
    <w:rsid w:val="000B6CD3"/>
    <w:rsid w:val="000B6CEE"/>
    <w:rsid w:val="000B6CF0"/>
    <w:rsid w:val="000B6D4B"/>
    <w:rsid w:val="000B6DF1"/>
    <w:rsid w:val="000B6E44"/>
    <w:rsid w:val="000B6E81"/>
    <w:rsid w:val="000B6ECF"/>
    <w:rsid w:val="000B6EF3"/>
    <w:rsid w:val="000B6F2C"/>
    <w:rsid w:val="000B6F98"/>
    <w:rsid w:val="000B7023"/>
    <w:rsid w:val="000B7067"/>
    <w:rsid w:val="000B70B3"/>
    <w:rsid w:val="000B70CA"/>
    <w:rsid w:val="000B70DA"/>
    <w:rsid w:val="000B70EC"/>
    <w:rsid w:val="000B7148"/>
    <w:rsid w:val="000B71D8"/>
    <w:rsid w:val="000B720C"/>
    <w:rsid w:val="000B721B"/>
    <w:rsid w:val="000B7222"/>
    <w:rsid w:val="000B72CA"/>
    <w:rsid w:val="000B7342"/>
    <w:rsid w:val="000B73B6"/>
    <w:rsid w:val="000B7413"/>
    <w:rsid w:val="000B742A"/>
    <w:rsid w:val="000B742E"/>
    <w:rsid w:val="000B74A3"/>
    <w:rsid w:val="000B7500"/>
    <w:rsid w:val="000B7593"/>
    <w:rsid w:val="000B7665"/>
    <w:rsid w:val="000B7674"/>
    <w:rsid w:val="000B7676"/>
    <w:rsid w:val="000B76ED"/>
    <w:rsid w:val="000B770F"/>
    <w:rsid w:val="000B778B"/>
    <w:rsid w:val="000B7843"/>
    <w:rsid w:val="000B797C"/>
    <w:rsid w:val="000B7981"/>
    <w:rsid w:val="000B79C1"/>
    <w:rsid w:val="000B79D8"/>
    <w:rsid w:val="000B7B35"/>
    <w:rsid w:val="000B7BDB"/>
    <w:rsid w:val="000B7C7B"/>
    <w:rsid w:val="000B7C98"/>
    <w:rsid w:val="000B7CE2"/>
    <w:rsid w:val="000B7D57"/>
    <w:rsid w:val="000B7E36"/>
    <w:rsid w:val="000B7E5A"/>
    <w:rsid w:val="000B7F28"/>
    <w:rsid w:val="000B7F4F"/>
    <w:rsid w:val="000B7F63"/>
    <w:rsid w:val="000C00EB"/>
    <w:rsid w:val="000C0228"/>
    <w:rsid w:val="000C023D"/>
    <w:rsid w:val="000C02F5"/>
    <w:rsid w:val="000C02FD"/>
    <w:rsid w:val="000C03D9"/>
    <w:rsid w:val="000C045D"/>
    <w:rsid w:val="000C04B8"/>
    <w:rsid w:val="000C0548"/>
    <w:rsid w:val="000C054C"/>
    <w:rsid w:val="000C0626"/>
    <w:rsid w:val="000C062D"/>
    <w:rsid w:val="000C073F"/>
    <w:rsid w:val="000C077B"/>
    <w:rsid w:val="000C07EB"/>
    <w:rsid w:val="000C0843"/>
    <w:rsid w:val="000C08E7"/>
    <w:rsid w:val="000C0926"/>
    <w:rsid w:val="000C0941"/>
    <w:rsid w:val="000C0984"/>
    <w:rsid w:val="000C0AD3"/>
    <w:rsid w:val="000C0B16"/>
    <w:rsid w:val="000C0BA5"/>
    <w:rsid w:val="000C0BC8"/>
    <w:rsid w:val="000C0C42"/>
    <w:rsid w:val="000C0C68"/>
    <w:rsid w:val="000C0C6E"/>
    <w:rsid w:val="000C0CE4"/>
    <w:rsid w:val="000C0D29"/>
    <w:rsid w:val="000C0D97"/>
    <w:rsid w:val="000C0E33"/>
    <w:rsid w:val="000C0E57"/>
    <w:rsid w:val="000C0ED7"/>
    <w:rsid w:val="000C0EEF"/>
    <w:rsid w:val="000C0F75"/>
    <w:rsid w:val="000C0FCA"/>
    <w:rsid w:val="000C100E"/>
    <w:rsid w:val="000C108D"/>
    <w:rsid w:val="000C10EB"/>
    <w:rsid w:val="000C1193"/>
    <w:rsid w:val="000C1222"/>
    <w:rsid w:val="000C12AF"/>
    <w:rsid w:val="000C12F3"/>
    <w:rsid w:val="000C13D3"/>
    <w:rsid w:val="000C13F3"/>
    <w:rsid w:val="000C1419"/>
    <w:rsid w:val="000C141D"/>
    <w:rsid w:val="000C143B"/>
    <w:rsid w:val="000C147E"/>
    <w:rsid w:val="000C1494"/>
    <w:rsid w:val="000C153E"/>
    <w:rsid w:val="000C1584"/>
    <w:rsid w:val="000C1595"/>
    <w:rsid w:val="000C15BD"/>
    <w:rsid w:val="000C1624"/>
    <w:rsid w:val="000C170D"/>
    <w:rsid w:val="000C1782"/>
    <w:rsid w:val="000C17CD"/>
    <w:rsid w:val="000C17D8"/>
    <w:rsid w:val="000C1943"/>
    <w:rsid w:val="000C194E"/>
    <w:rsid w:val="000C19BE"/>
    <w:rsid w:val="000C19BF"/>
    <w:rsid w:val="000C19C1"/>
    <w:rsid w:val="000C19E1"/>
    <w:rsid w:val="000C19FC"/>
    <w:rsid w:val="000C1A61"/>
    <w:rsid w:val="000C1B43"/>
    <w:rsid w:val="000C1B47"/>
    <w:rsid w:val="000C1B5F"/>
    <w:rsid w:val="000C1BB4"/>
    <w:rsid w:val="000C1BC2"/>
    <w:rsid w:val="000C1C47"/>
    <w:rsid w:val="000C1CA6"/>
    <w:rsid w:val="000C1D58"/>
    <w:rsid w:val="000C1DA7"/>
    <w:rsid w:val="000C1E64"/>
    <w:rsid w:val="000C1EBE"/>
    <w:rsid w:val="000C1EE4"/>
    <w:rsid w:val="000C1EEC"/>
    <w:rsid w:val="000C1EF8"/>
    <w:rsid w:val="000C2000"/>
    <w:rsid w:val="000C2024"/>
    <w:rsid w:val="000C205C"/>
    <w:rsid w:val="000C20AB"/>
    <w:rsid w:val="000C21C3"/>
    <w:rsid w:val="000C2269"/>
    <w:rsid w:val="000C227D"/>
    <w:rsid w:val="000C236C"/>
    <w:rsid w:val="000C2377"/>
    <w:rsid w:val="000C2399"/>
    <w:rsid w:val="000C239B"/>
    <w:rsid w:val="000C23A9"/>
    <w:rsid w:val="000C2450"/>
    <w:rsid w:val="000C2466"/>
    <w:rsid w:val="000C25C0"/>
    <w:rsid w:val="000C2631"/>
    <w:rsid w:val="000C267F"/>
    <w:rsid w:val="000C26FC"/>
    <w:rsid w:val="000C270A"/>
    <w:rsid w:val="000C2710"/>
    <w:rsid w:val="000C278C"/>
    <w:rsid w:val="000C27DD"/>
    <w:rsid w:val="000C2865"/>
    <w:rsid w:val="000C2990"/>
    <w:rsid w:val="000C29CF"/>
    <w:rsid w:val="000C2A7A"/>
    <w:rsid w:val="000C2ABA"/>
    <w:rsid w:val="000C2C0F"/>
    <w:rsid w:val="000C2CC5"/>
    <w:rsid w:val="000C2CF6"/>
    <w:rsid w:val="000C2D1B"/>
    <w:rsid w:val="000C2DC9"/>
    <w:rsid w:val="000C2DE2"/>
    <w:rsid w:val="000C2DF6"/>
    <w:rsid w:val="000C2E8C"/>
    <w:rsid w:val="000C3001"/>
    <w:rsid w:val="000C3010"/>
    <w:rsid w:val="000C3043"/>
    <w:rsid w:val="000C314C"/>
    <w:rsid w:val="000C31D2"/>
    <w:rsid w:val="000C3205"/>
    <w:rsid w:val="000C3290"/>
    <w:rsid w:val="000C32B7"/>
    <w:rsid w:val="000C331E"/>
    <w:rsid w:val="000C33D0"/>
    <w:rsid w:val="000C3413"/>
    <w:rsid w:val="000C34DC"/>
    <w:rsid w:val="000C35CC"/>
    <w:rsid w:val="000C35F8"/>
    <w:rsid w:val="000C36A2"/>
    <w:rsid w:val="000C378E"/>
    <w:rsid w:val="000C379D"/>
    <w:rsid w:val="000C396C"/>
    <w:rsid w:val="000C39E9"/>
    <w:rsid w:val="000C3A52"/>
    <w:rsid w:val="000C3A59"/>
    <w:rsid w:val="000C3AA7"/>
    <w:rsid w:val="000C3AB0"/>
    <w:rsid w:val="000C3B63"/>
    <w:rsid w:val="000C3B94"/>
    <w:rsid w:val="000C3BCF"/>
    <w:rsid w:val="000C3CC7"/>
    <w:rsid w:val="000C3D30"/>
    <w:rsid w:val="000C3E6C"/>
    <w:rsid w:val="000C3ED6"/>
    <w:rsid w:val="000C3F7B"/>
    <w:rsid w:val="000C3FCB"/>
    <w:rsid w:val="000C4035"/>
    <w:rsid w:val="000C4054"/>
    <w:rsid w:val="000C40CC"/>
    <w:rsid w:val="000C40E5"/>
    <w:rsid w:val="000C416E"/>
    <w:rsid w:val="000C4221"/>
    <w:rsid w:val="000C426E"/>
    <w:rsid w:val="000C4285"/>
    <w:rsid w:val="000C428C"/>
    <w:rsid w:val="000C42A2"/>
    <w:rsid w:val="000C4310"/>
    <w:rsid w:val="000C438A"/>
    <w:rsid w:val="000C43F0"/>
    <w:rsid w:val="000C4413"/>
    <w:rsid w:val="000C4529"/>
    <w:rsid w:val="000C4533"/>
    <w:rsid w:val="000C45C1"/>
    <w:rsid w:val="000C45D9"/>
    <w:rsid w:val="000C463F"/>
    <w:rsid w:val="000C4699"/>
    <w:rsid w:val="000C479A"/>
    <w:rsid w:val="000C47E4"/>
    <w:rsid w:val="000C4801"/>
    <w:rsid w:val="000C4802"/>
    <w:rsid w:val="000C4862"/>
    <w:rsid w:val="000C48B8"/>
    <w:rsid w:val="000C4A75"/>
    <w:rsid w:val="000C4ADE"/>
    <w:rsid w:val="000C4CFB"/>
    <w:rsid w:val="000C4D5E"/>
    <w:rsid w:val="000C4D6F"/>
    <w:rsid w:val="000C4D79"/>
    <w:rsid w:val="000C4EDB"/>
    <w:rsid w:val="000C4EE6"/>
    <w:rsid w:val="000C4EFC"/>
    <w:rsid w:val="000C4F71"/>
    <w:rsid w:val="000C4FDB"/>
    <w:rsid w:val="000C502A"/>
    <w:rsid w:val="000C5149"/>
    <w:rsid w:val="000C5156"/>
    <w:rsid w:val="000C51C6"/>
    <w:rsid w:val="000C51EA"/>
    <w:rsid w:val="000C5206"/>
    <w:rsid w:val="000C5236"/>
    <w:rsid w:val="000C5274"/>
    <w:rsid w:val="000C52B0"/>
    <w:rsid w:val="000C5324"/>
    <w:rsid w:val="000C533E"/>
    <w:rsid w:val="000C5522"/>
    <w:rsid w:val="000C557F"/>
    <w:rsid w:val="000C55B0"/>
    <w:rsid w:val="000C55B7"/>
    <w:rsid w:val="000C55B8"/>
    <w:rsid w:val="000C55D0"/>
    <w:rsid w:val="000C5766"/>
    <w:rsid w:val="000C57C5"/>
    <w:rsid w:val="000C585A"/>
    <w:rsid w:val="000C585D"/>
    <w:rsid w:val="000C586B"/>
    <w:rsid w:val="000C58DD"/>
    <w:rsid w:val="000C5905"/>
    <w:rsid w:val="000C592C"/>
    <w:rsid w:val="000C5989"/>
    <w:rsid w:val="000C5B3E"/>
    <w:rsid w:val="000C5B94"/>
    <w:rsid w:val="000C5C8A"/>
    <w:rsid w:val="000C5D02"/>
    <w:rsid w:val="000C5D7A"/>
    <w:rsid w:val="000C5D85"/>
    <w:rsid w:val="000C5DEF"/>
    <w:rsid w:val="000C5E27"/>
    <w:rsid w:val="000C5E6C"/>
    <w:rsid w:val="000C5EA8"/>
    <w:rsid w:val="000C5EAC"/>
    <w:rsid w:val="000C5EEA"/>
    <w:rsid w:val="000C5F26"/>
    <w:rsid w:val="000C5FC5"/>
    <w:rsid w:val="000C605A"/>
    <w:rsid w:val="000C60B0"/>
    <w:rsid w:val="000C61B7"/>
    <w:rsid w:val="000C61FF"/>
    <w:rsid w:val="000C6332"/>
    <w:rsid w:val="000C633A"/>
    <w:rsid w:val="000C637E"/>
    <w:rsid w:val="000C6442"/>
    <w:rsid w:val="000C6486"/>
    <w:rsid w:val="000C64F8"/>
    <w:rsid w:val="000C6514"/>
    <w:rsid w:val="000C6521"/>
    <w:rsid w:val="000C6580"/>
    <w:rsid w:val="000C65F9"/>
    <w:rsid w:val="000C6761"/>
    <w:rsid w:val="000C67A1"/>
    <w:rsid w:val="000C687A"/>
    <w:rsid w:val="000C689B"/>
    <w:rsid w:val="000C68B2"/>
    <w:rsid w:val="000C68E5"/>
    <w:rsid w:val="000C690B"/>
    <w:rsid w:val="000C69E2"/>
    <w:rsid w:val="000C6A6D"/>
    <w:rsid w:val="000C6A6E"/>
    <w:rsid w:val="000C6A8C"/>
    <w:rsid w:val="000C6AC6"/>
    <w:rsid w:val="000C6AF5"/>
    <w:rsid w:val="000C6BB6"/>
    <w:rsid w:val="000C6DE3"/>
    <w:rsid w:val="000C6E3F"/>
    <w:rsid w:val="000C6E5E"/>
    <w:rsid w:val="000C6E70"/>
    <w:rsid w:val="000C6E76"/>
    <w:rsid w:val="000C6ED7"/>
    <w:rsid w:val="000C6FA4"/>
    <w:rsid w:val="000C6FDE"/>
    <w:rsid w:val="000C6FF4"/>
    <w:rsid w:val="000C7023"/>
    <w:rsid w:val="000C703F"/>
    <w:rsid w:val="000C7090"/>
    <w:rsid w:val="000C70EA"/>
    <w:rsid w:val="000C715D"/>
    <w:rsid w:val="000C7166"/>
    <w:rsid w:val="000C718E"/>
    <w:rsid w:val="000C71BC"/>
    <w:rsid w:val="000C7266"/>
    <w:rsid w:val="000C72E9"/>
    <w:rsid w:val="000C7329"/>
    <w:rsid w:val="000C7369"/>
    <w:rsid w:val="000C73C4"/>
    <w:rsid w:val="000C7431"/>
    <w:rsid w:val="000C74AC"/>
    <w:rsid w:val="000C74D5"/>
    <w:rsid w:val="000C7533"/>
    <w:rsid w:val="000C754D"/>
    <w:rsid w:val="000C7571"/>
    <w:rsid w:val="000C7632"/>
    <w:rsid w:val="000C765B"/>
    <w:rsid w:val="000C7685"/>
    <w:rsid w:val="000C76A5"/>
    <w:rsid w:val="000C76BF"/>
    <w:rsid w:val="000C773E"/>
    <w:rsid w:val="000C7763"/>
    <w:rsid w:val="000C7861"/>
    <w:rsid w:val="000C794F"/>
    <w:rsid w:val="000C7954"/>
    <w:rsid w:val="000C7960"/>
    <w:rsid w:val="000C79C2"/>
    <w:rsid w:val="000C7AA1"/>
    <w:rsid w:val="000C7AB8"/>
    <w:rsid w:val="000C7ADC"/>
    <w:rsid w:val="000C7AF7"/>
    <w:rsid w:val="000C7B95"/>
    <w:rsid w:val="000C7BB1"/>
    <w:rsid w:val="000C7BD1"/>
    <w:rsid w:val="000C7C46"/>
    <w:rsid w:val="000C7C6B"/>
    <w:rsid w:val="000C7D65"/>
    <w:rsid w:val="000D007F"/>
    <w:rsid w:val="000D019D"/>
    <w:rsid w:val="000D020B"/>
    <w:rsid w:val="000D035B"/>
    <w:rsid w:val="000D038F"/>
    <w:rsid w:val="000D042E"/>
    <w:rsid w:val="000D04CA"/>
    <w:rsid w:val="000D04D2"/>
    <w:rsid w:val="000D04E8"/>
    <w:rsid w:val="000D0501"/>
    <w:rsid w:val="000D05E4"/>
    <w:rsid w:val="000D05E6"/>
    <w:rsid w:val="000D067C"/>
    <w:rsid w:val="000D069B"/>
    <w:rsid w:val="000D072B"/>
    <w:rsid w:val="000D0842"/>
    <w:rsid w:val="000D08A6"/>
    <w:rsid w:val="000D08BB"/>
    <w:rsid w:val="000D0907"/>
    <w:rsid w:val="000D0975"/>
    <w:rsid w:val="000D09CD"/>
    <w:rsid w:val="000D0A05"/>
    <w:rsid w:val="000D0A6F"/>
    <w:rsid w:val="000D0A9A"/>
    <w:rsid w:val="000D0B3E"/>
    <w:rsid w:val="000D0BA9"/>
    <w:rsid w:val="000D0BF0"/>
    <w:rsid w:val="000D0C19"/>
    <w:rsid w:val="000D0C2A"/>
    <w:rsid w:val="000D0C46"/>
    <w:rsid w:val="000D0C9B"/>
    <w:rsid w:val="000D0CC3"/>
    <w:rsid w:val="000D0D42"/>
    <w:rsid w:val="000D0D66"/>
    <w:rsid w:val="000D0D9E"/>
    <w:rsid w:val="000D0E5C"/>
    <w:rsid w:val="000D0F5C"/>
    <w:rsid w:val="000D0F79"/>
    <w:rsid w:val="000D1065"/>
    <w:rsid w:val="000D113C"/>
    <w:rsid w:val="000D1168"/>
    <w:rsid w:val="000D11B2"/>
    <w:rsid w:val="000D11C4"/>
    <w:rsid w:val="000D11D3"/>
    <w:rsid w:val="000D1233"/>
    <w:rsid w:val="000D12D9"/>
    <w:rsid w:val="000D142B"/>
    <w:rsid w:val="000D149D"/>
    <w:rsid w:val="000D14C3"/>
    <w:rsid w:val="000D15C0"/>
    <w:rsid w:val="000D1673"/>
    <w:rsid w:val="000D16A6"/>
    <w:rsid w:val="000D1702"/>
    <w:rsid w:val="000D177A"/>
    <w:rsid w:val="000D1785"/>
    <w:rsid w:val="000D1895"/>
    <w:rsid w:val="000D18D2"/>
    <w:rsid w:val="000D18DE"/>
    <w:rsid w:val="000D198F"/>
    <w:rsid w:val="000D19DB"/>
    <w:rsid w:val="000D19F0"/>
    <w:rsid w:val="000D1A5B"/>
    <w:rsid w:val="000D1A99"/>
    <w:rsid w:val="000D1ABC"/>
    <w:rsid w:val="000D1B52"/>
    <w:rsid w:val="000D1BEA"/>
    <w:rsid w:val="000D1C0C"/>
    <w:rsid w:val="000D1C32"/>
    <w:rsid w:val="000D1D48"/>
    <w:rsid w:val="000D1D7D"/>
    <w:rsid w:val="000D1DAA"/>
    <w:rsid w:val="000D1DC0"/>
    <w:rsid w:val="000D1EE8"/>
    <w:rsid w:val="000D1F8E"/>
    <w:rsid w:val="000D1FBB"/>
    <w:rsid w:val="000D1FBD"/>
    <w:rsid w:val="000D1FC4"/>
    <w:rsid w:val="000D201E"/>
    <w:rsid w:val="000D215C"/>
    <w:rsid w:val="000D216A"/>
    <w:rsid w:val="000D2189"/>
    <w:rsid w:val="000D21C8"/>
    <w:rsid w:val="000D21E7"/>
    <w:rsid w:val="000D2251"/>
    <w:rsid w:val="000D231F"/>
    <w:rsid w:val="000D2323"/>
    <w:rsid w:val="000D2324"/>
    <w:rsid w:val="000D250A"/>
    <w:rsid w:val="000D2533"/>
    <w:rsid w:val="000D255D"/>
    <w:rsid w:val="000D257C"/>
    <w:rsid w:val="000D25C9"/>
    <w:rsid w:val="000D260C"/>
    <w:rsid w:val="000D26FF"/>
    <w:rsid w:val="000D278C"/>
    <w:rsid w:val="000D27BF"/>
    <w:rsid w:val="000D282A"/>
    <w:rsid w:val="000D28A7"/>
    <w:rsid w:val="000D2943"/>
    <w:rsid w:val="000D299A"/>
    <w:rsid w:val="000D29F5"/>
    <w:rsid w:val="000D2B34"/>
    <w:rsid w:val="000D2BA8"/>
    <w:rsid w:val="000D2C12"/>
    <w:rsid w:val="000D2CF6"/>
    <w:rsid w:val="000D2D01"/>
    <w:rsid w:val="000D2DE7"/>
    <w:rsid w:val="000D2EA6"/>
    <w:rsid w:val="000D2ECF"/>
    <w:rsid w:val="000D2F30"/>
    <w:rsid w:val="000D2F4E"/>
    <w:rsid w:val="000D2FA1"/>
    <w:rsid w:val="000D303F"/>
    <w:rsid w:val="000D30B0"/>
    <w:rsid w:val="000D30BF"/>
    <w:rsid w:val="000D30C5"/>
    <w:rsid w:val="000D30CE"/>
    <w:rsid w:val="000D30E7"/>
    <w:rsid w:val="000D30EA"/>
    <w:rsid w:val="000D30ED"/>
    <w:rsid w:val="000D3161"/>
    <w:rsid w:val="000D31C9"/>
    <w:rsid w:val="000D31E9"/>
    <w:rsid w:val="000D320A"/>
    <w:rsid w:val="000D3240"/>
    <w:rsid w:val="000D328F"/>
    <w:rsid w:val="000D32F2"/>
    <w:rsid w:val="000D3395"/>
    <w:rsid w:val="000D34B9"/>
    <w:rsid w:val="000D34DC"/>
    <w:rsid w:val="000D34E3"/>
    <w:rsid w:val="000D353F"/>
    <w:rsid w:val="000D35AA"/>
    <w:rsid w:val="000D35E2"/>
    <w:rsid w:val="000D3655"/>
    <w:rsid w:val="000D36D3"/>
    <w:rsid w:val="000D3708"/>
    <w:rsid w:val="000D37FA"/>
    <w:rsid w:val="000D384D"/>
    <w:rsid w:val="000D38AF"/>
    <w:rsid w:val="000D39DD"/>
    <w:rsid w:val="000D3A30"/>
    <w:rsid w:val="000D3B6A"/>
    <w:rsid w:val="000D3BBE"/>
    <w:rsid w:val="000D3BC4"/>
    <w:rsid w:val="000D3C4F"/>
    <w:rsid w:val="000D3D37"/>
    <w:rsid w:val="000D3D55"/>
    <w:rsid w:val="000D3DC3"/>
    <w:rsid w:val="000D3EE1"/>
    <w:rsid w:val="000D3F3C"/>
    <w:rsid w:val="000D3FDE"/>
    <w:rsid w:val="000D3FF1"/>
    <w:rsid w:val="000D405E"/>
    <w:rsid w:val="000D40B3"/>
    <w:rsid w:val="000D412F"/>
    <w:rsid w:val="000D4153"/>
    <w:rsid w:val="000D41E4"/>
    <w:rsid w:val="000D4226"/>
    <w:rsid w:val="000D4253"/>
    <w:rsid w:val="000D4373"/>
    <w:rsid w:val="000D43D6"/>
    <w:rsid w:val="000D44E2"/>
    <w:rsid w:val="000D4526"/>
    <w:rsid w:val="000D46EC"/>
    <w:rsid w:val="000D4769"/>
    <w:rsid w:val="000D4793"/>
    <w:rsid w:val="000D47C1"/>
    <w:rsid w:val="000D47C6"/>
    <w:rsid w:val="000D47D3"/>
    <w:rsid w:val="000D4817"/>
    <w:rsid w:val="000D4844"/>
    <w:rsid w:val="000D486F"/>
    <w:rsid w:val="000D48A6"/>
    <w:rsid w:val="000D48C3"/>
    <w:rsid w:val="000D48C7"/>
    <w:rsid w:val="000D48E4"/>
    <w:rsid w:val="000D4A39"/>
    <w:rsid w:val="000D4A93"/>
    <w:rsid w:val="000D4A96"/>
    <w:rsid w:val="000D4AC1"/>
    <w:rsid w:val="000D4B4F"/>
    <w:rsid w:val="000D4C1B"/>
    <w:rsid w:val="000D4C52"/>
    <w:rsid w:val="000D4CAD"/>
    <w:rsid w:val="000D4CBB"/>
    <w:rsid w:val="000D4CD6"/>
    <w:rsid w:val="000D4D07"/>
    <w:rsid w:val="000D4DBE"/>
    <w:rsid w:val="000D4E02"/>
    <w:rsid w:val="000D4EC8"/>
    <w:rsid w:val="000D4F33"/>
    <w:rsid w:val="000D4F52"/>
    <w:rsid w:val="000D4F6B"/>
    <w:rsid w:val="000D4FEC"/>
    <w:rsid w:val="000D5038"/>
    <w:rsid w:val="000D5076"/>
    <w:rsid w:val="000D50BC"/>
    <w:rsid w:val="000D50BD"/>
    <w:rsid w:val="000D5116"/>
    <w:rsid w:val="000D518C"/>
    <w:rsid w:val="000D5194"/>
    <w:rsid w:val="000D5310"/>
    <w:rsid w:val="000D53B0"/>
    <w:rsid w:val="000D53E1"/>
    <w:rsid w:val="000D5429"/>
    <w:rsid w:val="000D544E"/>
    <w:rsid w:val="000D549E"/>
    <w:rsid w:val="000D551D"/>
    <w:rsid w:val="000D5523"/>
    <w:rsid w:val="000D5589"/>
    <w:rsid w:val="000D560A"/>
    <w:rsid w:val="000D566E"/>
    <w:rsid w:val="000D5692"/>
    <w:rsid w:val="000D56CE"/>
    <w:rsid w:val="000D56D8"/>
    <w:rsid w:val="000D570D"/>
    <w:rsid w:val="000D5742"/>
    <w:rsid w:val="000D576B"/>
    <w:rsid w:val="000D585D"/>
    <w:rsid w:val="000D5980"/>
    <w:rsid w:val="000D599E"/>
    <w:rsid w:val="000D5AD4"/>
    <w:rsid w:val="000D5ADC"/>
    <w:rsid w:val="000D5B1B"/>
    <w:rsid w:val="000D5BB4"/>
    <w:rsid w:val="000D5C0E"/>
    <w:rsid w:val="000D5C39"/>
    <w:rsid w:val="000D5D11"/>
    <w:rsid w:val="000D5D4A"/>
    <w:rsid w:val="000D5DA6"/>
    <w:rsid w:val="000D5DE0"/>
    <w:rsid w:val="000D5E55"/>
    <w:rsid w:val="000D5E8A"/>
    <w:rsid w:val="000D5EE7"/>
    <w:rsid w:val="000D5F1A"/>
    <w:rsid w:val="000D5FAE"/>
    <w:rsid w:val="000D5FC6"/>
    <w:rsid w:val="000D5FCD"/>
    <w:rsid w:val="000D6001"/>
    <w:rsid w:val="000D606A"/>
    <w:rsid w:val="000D60CF"/>
    <w:rsid w:val="000D60D7"/>
    <w:rsid w:val="000D60EF"/>
    <w:rsid w:val="000D615F"/>
    <w:rsid w:val="000D6199"/>
    <w:rsid w:val="000D61C5"/>
    <w:rsid w:val="000D6266"/>
    <w:rsid w:val="000D62BF"/>
    <w:rsid w:val="000D631F"/>
    <w:rsid w:val="000D6465"/>
    <w:rsid w:val="000D6474"/>
    <w:rsid w:val="000D6491"/>
    <w:rsid w:val="000D666B"/>
    <w:rsid w:val="000D66B5"/>
    <w:rsid w:val="000D66E5"/>
    <w:rsid w:val="000D67A4"/>
    <w:rsid w:val="000D680B"/>
    <w:rsid w:val="000D6814"/>
    <w:rsid w:val="000D684E"/>
    <w:rsid w:val="000D6973"/>
    <w:rsid w:val="000D6A8C"/>
    <w:rsid w:val="000D6AB1"/>
    <w:rsid w:val="000D6B1C"/>
    <w:rsid w:val="000D6B9B"/>
    <w:rsid w:val="000D6BDC"/>
    <w:rsid w:val="000D6BFE"/>
    <w:rsid w:val="000D6C02"/>
    <w:rsid w:val="000D6D16"/>
    <w:rsid w:val="000D6DFD"/>
    <w:rsid w:val="000D6E28"/>
    <w:rsid w:val="000D6FD5"/>
    <w:rsid w:val="000D6FE9"/>
    <w:rsid w:val="000D7046"/>
    <w:rsid w:val="000D707F"/>
    <w:rsid w:val="000D70A7"/>
    <w:rsid w:val="000D70C2"/>
    <w:rsid w:val="000D719D"/>
    <w:rsid w:val="000D7226"/>
    <w:rsid w:val="000D7361"/>
    <w:rsid w:val="000D73DE"/>
    <w:rsid w:val="000D73F4"/>
    <w:rsid w:val="000D74AC"/>
    <w:rsid w:val="000D7501"/>
    <w:rsid w:val="000D7554"/>
    <w:rsid w:val="000D758F"/>
    <w:rsid w:val="000D75F6"/>
    <w:rsid w:val="000D77E0"/>
    <w:rsid w:val="000D7887"/>
    <w:rsid w:val="000D788F"/>
    <w:rsid w:val="000D79F3"/>
    <w:rsid w:val="000D7A4F"/>
    <w:rsid w:val="000D7A51"/>
    <w:rsid w:val="000D7A5C"/>
    <w:rsid w:val="000D7B54"/>
    <w:rsid w:val="000D7B82"/>
    <w:rsid w:val="000D7BD8"/>
    <w:rsid w:val="000D7D3A"/>
    <w:rsid w:val="000D7E3D"/>
    <w:rsid w:val="000D7E70"/>
    <w:rsid w:val="000D7E84"/>
    <w:rsid w:val="000D7E8F"/>
    <w:rsid w:val="000D7ECF"/>
    <w:rsid w:val="000D7F23"/>
    <w:rsid w:val="000D7F89"/>
    <w:rsid w:val="000D7FBA"/>
    <w:rsid w:val="000D7FF4"/>
    <w:rsid w:val="000E0019"/>
    <w:rsid w:val="000E001E"/>
    <w:rsid w:val="000E0068"/>
    <w:rsid w:val="000E00B2"/>
    <w:rsid w:val="000E0105"/>
    <w:rsid w:val="000E0155"/>
    <w:rsid w:val="000E0166"/>
    <w:rsid w:val="000E01D1"/>
    <w:rsid w:val="000E01E8"/>
    <w:rsid w:val="000E0236"/>
    <w:rsid w:val="000E029F"/>
    <w:rsid w:val="000E02A9"/>
    <w:rsid w:val="000E02C1"/>
    <w:rsid w:val="000E02D9"/>
    <w:rsid w:val="000E032E"/>
    <w:rsid w:val="000E03DC"/>
    <w:rsid w:val="000E03DD"/>
    <w:rsid w:val="000E041C"/>
    <w:rsid w:val="000E0530"/>
    <w:rsid w:val="000E0574"/>
    <w:rsid w:val="000E05B2"/>
    <w:rsid w:val="000E05C6"/>
    <w:rsid w:val="000E05EB"/>
    <w:rsid w:val="000E061A"/>
    <w:rsid w:val="000E06B8"/>
    <w:rsid w:val="000E06F0"/>
    <w:rsid w:val="000E07A1"/>
    <w:rsid w:val="000E07AB"/>
    <w:rsid w:val="000E07E9"/>
    <w:rsid w:val="000E08C5"/>
    <w:rsid w:val="000E08FC"/>
    <w:rsid w:val="000E0968"/>
    <w:rsid w:val="000E0A53"/>
    <w:rsid w:val="000E0ABD"/>
    <w:rsid w:val="000E0AC5"/>
    <w:rsid w:val="000E0B01"/>
    <w:rsid w:val="000E0B56"/>
    <w:rsid w:val="000E0B7C"/>
    <w:rsid w:val="000E0B83"/>
    <w:rsid w:val="000E0B87"/>
    <w:rsid w:val="000E0BDE"/>
    <w:rsid w:val="000E0C42"/>
    <w:rsid w:val="000E0C5A"/>
    <w:rsid w:val="000E0C7C"/>
    <w:rsid w:val="000E0CB3"/>
    <w:rsid w:val="000E0CC5"/>
    <w:rsid w:val="000E0D0F"/>
    <w:rsid w:val="000E0E16"/>
    <w:rsid w:val="000E0E83"/>
    <w:rsid w:val="000E0EC0"/>
    <w:rsid w:val="000E0ED6"/>
    <w:rsid w:val="000E0EDE"/>
    <w:rsid w:val="000E0F5C"/>
    <w:rsid w:val="000E1001"/>
    <w:rsid w:val="000E101D"/>
    <w:rsid w:val="000E1028"/>
    <w:rsid w:val="000E107C"/>
    <w:rsid w:val="000E109C"/>
    <w:rsid w:val="000E1124"/>
    <w:rsid w:val="000E114E"/>
    <w:rsid w:val="000E11DD"/>
    <w:rsid w:val="000E122E"/>
    <w:rsid w:val="000E127E"/>
    <w:rsid w:val="000E12B1"/>
    <w:rsid w:val="000E1322"/>
    <w:rsid w:val="000E1405"/>
    <w:rsid w:val="000E1428"/>
    <w:rsid w:val="000E144F"/>
    <w:rsid w:val="000E145A"/>
    <w:rsid w:val="000E14E6"/>
    <w:rsid w:val="000E152D"/>
    <w:rsid w:val="000E1537"/>
    <w:rsid w:val="000E158D"/>
    <w:rsid w:val="000E159F"/>
    <w:rsid w:val="000E15DE"/>
    <w:rsid w:val="000E166B"/>
    <w:rsid w:val="000E16B0"/>
    <w:rsid w:val="000E171C"/>
    <w:rsid w:val="000E1751"/>
    <w:rsid w:val="000E1763"/>
    <w:rsid w:val="000E17A0"/>
    <w:rsid w:val="000E197D"/>
    <w:rsid w:val="000E19AD"/>
    <w:rsid w:val="000E19AF"/>
    <w:rsid w:val="000E1B7D"/>
    <w:rsid w:val="000E1C47"/>
    <w:rsid w:val="000E1CE3"/>
    <w:rsid w:val="000E1CEB"/>
    <w:rsid w:val="000E1CFD"/>
    <w:rsid w:val="000E1D3F"/>
    <w:rsid w:val="000E1D5C"/>
    <w:rsid w:val="000E1D5D"/>
    <w:rsid w:val="000E1DB1"/>
    <w:rsid w:val="000E1E31"/>
    <w:rsid w:val="000E1F36"/>
    <w:rsid w:val="000E1F66"/>
    <w:rsid w:val="000E2021"/>
    <w:rsid w:val="000E20FB"/>
    <w:rsid w:val="000E2108"/>
    <w:rsid w:val="000E22C6"/>
    <w:rsid w:val="000E22ED"/>
    <w:rsid w:val="000E22F3"/>
    <w:rsid w:val="000E23B4"/>
    <w:rsid w:val="000E23FC"/>
    <w:rsid w:val="000E241F"/>
    <w:rsid w:val="000E24A2"/>
    <w:rsid w:val="000E2532"/>
    <w:rsid w:val="000E254A"/>
    <w:rsid w:val="000E25DA"/>
    <w:rsid w:val="000E2641"/>
    <w:rsid w:val="000E2686"/>
    <w:rsid w:val="000E272E"/>
    <w:rsid w:val="000E2732"/>
    <w:rsid w:val="000E27A0"/>
    <w:rsid w:val="000E2806"/>
    <w:rsid w:val="000E285E"/>
    <w:rsid w:val="000E28C8"/>
    <w:rsid w:val="000E294B"/>
    <w:rsid w:val="000E296D"/>
    <w:rsid w:val="000E2A64"/>
    <w:rsid w:val="000E2ABE"/>
    <w:rsid w:val="000E2B2A"/>
    <w:rsid w:val="000E2B33"/>
    <w:rsid w:val="000E2B70"/>
    <w:rsid w:val="000E2B96"/>
    <w:rsid w:val="000E2BC7"/>
    <w:rsid w:val="000E2C32"/>
    <w:rsid w:val="000E2C9C"/>
    <w:rsid w:val="000E2CB8"/>
    <w:rsid w:val="000E2CEF"/>
    <w:rsid w:val="000E2CF1"/>
    <w:rsid w:val="000E2D14"/>
    <w:rsid w:val="000E2D55"/>
    <w:rsid w:val="000E2DEC"/>
    <w:rsid w:val="000E2E41"/>
    <w:rsid w:val="000E2E5A"/>
    <w:rsid w:val="000E2E63"/>
    <w:rsid w:val="000E2EE6"/>
    <w:rsid w:val="000E2EF6"/>
    <w:rsid w:val="000E2F83"/>
    <w:rsid w:val="000E2FB3"/>
    <w:rsid w:val="000E304E"/>
    <w:rsid w:val="000E308B"/>
    <w:rsid w:val="000E308C"/>
    <w:rsid w:val="000E30DE"/>
    <w:rsid w:val="000E312C"/>
    <w:rsid w:val="000E3137"/>
    <w:rsid w:val="000E319B"/>
    <w:rsid w:val="000E320B"/>
    <w:rsid w:val="000E322E"/>
    <w:rsid w:val="000E323F"/>
    <w:rsid w:val="000E326C"/>
    <w:rsid w:val="000E3332"/>
    <w:rsid w:val="000E3389"/>
    <w:rsid w:val="000E3398"/>
    <w:rsid w:val="000E33AC"/>
    <w:rsid w:val="000E33B9"/>
    <w:rsid w:val="000E33C8"/>
    <w:rsid w:val="000E33DC"/>
    <w:rsid w:val="000E343C"/>
    <w:rsid w:val="000E347D"/>
    <w:rsid w:val="000E34A7"/>
    <w:rsid w:val="000E3535"/>
    <w:rsid w:val="000E35EE"/>
    <w:rsid w:val="000E3626"/>
    <w:rsid w:val="000E3649"/>
    <w:rsid w:val="000E36A8"/>
    <w:rsid w:val="000E36E4"/>
    <w:rsid w:val="000E37A4"/>
    <w:rsid w:val="000E37AC"/>
    <w:rsid w:val="000E37C3"/>
    <w:rsid w:val="000E37E9"/>
    <w:rsid w:val="000E37F1"/>
    <w:rsid w:val="000E39EE"/>
    <w:rsid w:val="000E3AB4"/>
    <w:rsid w:val="000E3B00"/>
    <w:rsid w:val="000E3C03"/>
    <w:rsid w:val="000E3C14"/>
    <w:rsid w:val="000E3C4A"/>
    <w:rsid w:val="000E3CA8"/>
    <w:rsid w:val="000E3D2E"/>
    <w:rsid w:val="000E3DD1"/>
    <w:rsid w:val="000E3DF5"/>
    <w:rsid w:val="000E3E16"/>
    <w:rsid w:val="000E3E23"/>
    <w:rsid w:val="000E3EAC"/>
    <w:rsid w:val="000E3EEC"/>
    <w:rsid w:val="000E3F43"/>
    <w:rsid w:val="000E3F4A"/>
    <w:rsid w:val="000E4198"/>
    <w:rsid w:val="000E419A"/>
    <w:rsid w:val="000E41CF"/>
    <w:rsid w:val="000E420D"/>
    <w:rsid w:val="000E425D"/>
    <w:rsid w:val="000E4293"/>
    <w:rsid w:val="000E42BD"/>
    <w:rsid w:val="000E431F"/>
    <w:rsid w:val="000E446D"/>
    <w:rsid w:val="000E44B9"/>
    <w:rsid w:val="000E454E"/>
    <w:rsid w:val="000E4651"/>
    <w:rsid w:val="000E467B"/>
    <w:rsid w:val="000E468D"/>
    <w:rsid w:val="000E4772"/>
    <w:rsid w:val="000E47AE"/>
    <w:rsid w:val="000E48F1"/>
    <w:rsid w:val="000E48FA"/>
    <w:rsid w:val="000E4934"/>
    <w:rsid w:val="000E49C2"/>
    <w:rsid w:val="000E49DB"/>
    <w:rsid w:val="000E49F4"/>
    <w:rsid w:val="000E4A33"/>
    <w:rsid w:val="000E4A62"/>
    <w:rsid w:val="000E4B22"/>
    <w:rsid w:val="000E4BB9"/>
    <w:rsid w:val="000E4C29"/>
    <w:rsid w:val="000E4D1F"/>
    <w:rsid w:val="000E4D2A"/>
    <w:rsid w:val="000E4D68"/>
    <w:rsid w:val="000E4DA4"/>
    <w:rsid w:val="000E4DAE"/>
    <w:rsid w:val="000E4DF7"/>
    <w:rsid w:val="000E4E20"/>
    <w:rsid w:val="000E4E55"/>
    <w:rsid w:val="000E4E96"/>
    <w:rsid w:val="000E4E97"/>
    <w:rsid w:val="000E4F7B"/>
    <w:rsid w:val="000E5030"/>
    <w:rsid w:val="000E5093"/>
    <w:rsid w:val="000E515D"/>
    <w:rsid w:val="000E515F"/>
    <w:rsid w:val="000E51D0"/>
    <w:rsid w:val="000E525A"/>
    <w:rsid w:val="000E528D"/>
    <w:rsid w:val="000E5381"/>
    <w:rsid w:val="000E5393"/>
    <w:rsid w:val="000E54BA"/>
    <w:rsid w:val="000E54C3"/>
    <w:rsid w:val="000E54CE"/>
    <w:rsid w:val="000E54DD"/>
    <w:rsid w:val="000E54FB"/>
    <w:rsid w:val="000E552A"/>
    <w:rsid w:val="000E5531"/>
    <w:rsid w:val="000E56E3"/>
    <w:rsid w:val="000E573E"/>
    <w:rsid w:val="000E57CD"/>
    <w:rsid w:val="000E589E"/>
    <w:rsid w:val="000E595E"/>
    <w:rsid w:val="000E59A2"/>
    <w:rsid w:val="000E5A5C"/>
    <w:rsid w:val="000E5A6D"/>
    <w:rsid w:val="000E5AF5"/>
    <w:rsid w:val="000E5AFB"/>
    <w:rsid w:val="000E5B2B"/>
    <w:rsid w:val="000E5BA8"/>
    <w:rsid w:val="000E5CAF"/>
    <w:rsid w:val="000E5CD4"/>
    <w:rsid w:val="000E5D67"/>
    <w:rsid w:val="000E5E07"/>
    <w:rsid w:val="000E5E13"/>
    <w:rsid w:val="000E5E58"/>
    <w:rsid w:val="000E5E93"/>
    <w:rsid w:val="000E5F72"/>
    <w:rsid w:val="000E5FA6"/>
    <w:rsid w:val="000E5FB6"/>
    <w:rsid w:val="000E6001"/>
    <w:rsid w:val="000E6051"/>
    <w:rsid w:val="000E60FC"/>
    <w:rsid w:val="000E611E"/>
    <w:rsid w:val="000E6286"/>
    <w:rsid w:val="000E62DC"/>
    <w:rsid w:val="000E62F0"/>
    <w:rsid w:val="000E6300"/>
    <w:rsid w:val="000E6354"/>
    <w:rsid w:val="000E635F"/>
    <w:rsid w:val="000E63A3"/>
    <w:rsid w:val="000E63AE"/>
    <w:rsid w:val="000E6408"/>
    <w:rsid w:val="000E6410"/>
    <w:rsid w:val="000E6413"/>
    <w:rsid w:val="000E6416"/>
    <w:rsid w:val="000E6478"/>
    <w:rsid w:val="000E6484"/>
    <w:rsid w:val="000E64C2"/>
    <w:rsid w:val="000E651E"/>
    <w:rsid w:val="000E6525"/>
    <w:rsid w:val="000E652C"/>
    <w:rsid w:val="000E65B3"/>
    <w:rsid w:val="000E65F0"/>
    <w:rsid w:val="000E65F6"/>
    <w:rsid w:val="000E664B"/>
    <w:rsid w:val="000E6683"/>
    <w:rsid w:val="000E66C4"/>
    <w:rsid w:val="000E66E3"/>
    <w:rsid w:val="000E676C"/>
    <w:rsid w:val="000E6783"/>
    <w:rsid w:val="000E678B"/>
    <w:rsid w:val="000E681B"/>
    <w:rsid w:val="000E6828"/>
    <w:rsid w:val="000E682A"/>
    <w:rsid w:val="000E6838"/>
    <w:rsid w:val="000E68DD"/>
    <w:rsid w:val="000E690D"/>
    <w:rsid w:val="000E698F"/>
    <w:rsid w:val="000E69B6"/>
    <w:rsid w:val="000E6A1F"/>
    <w:rsid w:val="000E6A65"/>
    <w:rsid w:val="000E6AAD"/>
    <w:rsid w:val="000E6B1F"/>
    <w:rsid w:val="000E6B34"/>
    <w:rsid w:val="000E6BA6"/>
    <w:rsid w:val="000E6BD1"/>
    <w:rsid w:val="000E6DFB"/>
    <w:rsid w:val="000E6E82"/>
    <w:rsid w:val="000E6F33"/>
    <w:rsid w:val="000E6FAF"/>
    <w:rsid w:val="000E70A9"/>
    <w:rsid w:val="000E70AB"/>
    <w:rsid w:val="000E70D2"/>
    <w:rsid w:val="000E7102"/>
    <w:rsid w:val="000E7117"/>
    <w:rsid w:val="000E713C"/>
    <w:rsid w:val="000E7153"/>
    <w:rsid w:val="000E7164"/>
    <w:rsid w:val="000E71B1"/>
    <w:rsid w:val="000E71E2"/>
    <w:rsid w:val="000E726C"/>
    <w:rsid w:val="000E728B"/>
    <w:rsid w:val="000E72D8"/>
    <w:rsid w:val="000E72FC"/>
    <w:rsid w:val="000E730B"/>
    <w:rsid w:val="000E747C"/>
    <w:rsid w:val="000E74F4"/>
    <w:rsid w:val="000E750A"/>
    <w:rsid w:val="000E7522"/>
    <w:rsid w:val="000E75F4"/>
    <w:rsid w:val="000E761D"/>
    <w:rsid w:val="000E7662"/>
    <w:rsid w:val="000E770D"/>
    <w:rsid w:val="000E773C"/>
    <w:rsid w:val="000E7825"/>
    <w:rsid w:val="000E796F"/>
    <w:rsid w:val="000E7979"/>
    <w:rsid w:val="000E799F"/>
    <w:rsid w:val="000E7A03"/>
    <w:rsid w:val="000E7A3C"/>
    <w:rsid w:val="000E7A83"/>
    <w:rsid w:val="000E7AD5"/>
    <w:rsid w:val="000E7AE1"/>
    <w:rsid w:val="000E7BA3"/>
    <w:rsid w:val="000E7BDD"/>
    <w:rsid w:val="000E7C6D"/>
    <w:rsid w:val="000E7CBB"/>
    <w:rsid w:val="000E7CDB"/>
    <w:rsid w:val="000E7D87"/>
    <w:rsid w:val="000E7EA9"/>
    <w:rsid w:val="000E7ECB"/>
    <w:rsid w:val="000E7ED5"/>
    <w:rsid w:val="000E7F0C"/>
    <w:rsid w:val="000E7F5F"/>
    <w:rsid w:val="000EDDD0"/>
    <w:rsid w:val="000F009C"/>
    <w:rsid w:val="000F0140"/>
    <w:rsid w:val="000F0151"/>
    <w:rsid w:val="000F016C"/>
    <w:rsid w:val="000F0176"/>
    <w:rsid w:val="000F022A"/>
    <w:rsid w:val="000F02E1"/>
    <w:rsid w:val="000F0315"/>
    <w:rsid w:val="000F0395"/>
    <w:rsid w:val="000F039C"/>
    <w:rsid w:val="000F03E5"/>
    <w:rsid w:val="000F044F"/>
    <w:rsid w:val="000F0531"/>
    <w:rsid w:val="000F0559"/>
    <w:rsid w:val="000F0590"/>
    <w:rsid w:val="000F05AD"/>
    <w:rsid w:val="000F05D9"/>
    <w:rsid w:val="000F06C2"/>
    <w:rsid w:val="000F071D"/>
    <w:rsid w:val="000F075D"/>
    <w:rsid w:val="000F07EA"/>
    <w:rsid w:val="000F086F"/>
    <w:rsid w:val="000F08C8"/>
    <w:rsid w:val="000F08D3"/>
    <w:rsid w:val="000F08FB"/>
    <w:rsid w:val="000F09A0"/>
    <w:rsid w:val="000F09D4"/>
    <w:rsid w:val="000F09DD"/>
    <w:rsid w:val="000F09EC"/>
    <w:rsid w:val="000F0A3C"/>
    <w:rsid w:val="000F0AC6"/>
    <w:rsid w:val="000F0AD7"/>
    <w:rsid w:val="000F0AD8"/>
    <w:rsid w:val="000F0ADC"/>
    <w:rsid w:val="000F0B43"/>
    <w:rsid w:val="000F0B6A"/>
    <w:rsid w:val="000F0BD0"/>
    <w:rsid w:val="000F0C0B"/>
    <w:rsid w:val="000F0C44"/>
    <w:rsid w:val="000F0C92"/>
    <w:rsid w:val="000F0D4E"/>
    <w:rsid w:val="000F0E29"/>
    <w:rsid w:val="000F0EF2"/>
    <w:rsid w:val="000F0F1C"/>
    <w:rsid w:val="000F0F3E"/>
    <w:rsid w:val="000F0F68"/>
    <w:rsid w:val="000F0FD3"/>
    <w:rsid w:val="000F0FDF"/>
    <w:rsid w:val="000F1003"/>
    <w:rsid w:val="000F1017"/>
    <w:rsid w:val="000F1030"/>
    <w:rsid w:val="000F10D4"/>
    <w:rsid w:val="000F1117"/>
    <w:rsid w:val="000F1193"/>
    <w:rsid w:val="000F11A9"/>
    <w:rsid w:val="000F11BF"/>
    <w:rsid w:val="000F13E3"/>
    <w:rsid w:val="000F1481"/>
    <w:rsid w:val="000F150A"/>
    <w:rsid w:val="000F15FC"/>
    <w:rsid w:val="000F160F"/>
    <w:rsid w:val="000F162C"/>
    <w:rsid w:val="000F1645"/>
    <w:rsid w:val="000F16B0"/>
    <w:rsid w:val="000F16C1"/>
    <w:rsid w:val="000F16EE"/>
    <w:rsid w:val="000F1741"/>
    <w:rsid w:val="000F176F"/>
    <w:rsid w:val="000F17C6"/>
    <w:rsid w:val="000F1812"/>
    <w:rsid w:val="000F1828"/>
    <w:rsid w:val="000F18DF"/>
    <w:rsid w:val="000F190B"/>
    <w:rsid w:val="000F1946"/>
    <w:rsid w:val="000F199C"/>
    <w:rsid w:val="000F19D0"/>
    <w:rsid w:val="000F19ED"/>
    <w:rsid w:val="000F1B4C"/>
    <w:rsid w:val="000F1B8D"/>
    <w:rsid w:val="000F1C29"/>
    <w:rsid w:val="000F1C82"/>
    <w:rsid w:val="000F1C8A"/>
    <w:rsid w:val="000F1C8E"/>
    <w:rsid w:val="000F1D68"/>
    <w:rsid w:val="000F1DDE"/>
    <w:rsid w:val="000F1E23"/>
    <w:rsid w:val="000F1E98"/>
    <w:rsid w:val="000F1EC9"/>
    <w:rsid w:val="000F1EDE"/>
    <w:rsid w:val="000F1F62"/>
    <w:rsid w:val="000F1F88"/>
    <w:rsid w:val="000F2001"/>
    <w:rsid w:val="000F2090"/>
    <w:rsid w:val="000F2115"/>
    <w:rsid w:val="000F2174"/>
    <w:rsid w:val="000F21F1"/>
    <w:rsid w:val="000F2214"/>
    <w:rsid w:val="000F223F"/>
    <w:rsid w:val="000F232A"/>
    <w:rsid w:val="000F234C"/>
    <w:rsid w:val="000F2371"/>
    <w:rsid w:val="000F2486"/>
    <w:rsid w:val="000F24EB"/>
    <w:rsid w:val="000F25A3"/>
    <w:rsid w:val="000F25C2"/>
    <w:rsid w:val="000F25EB"/>
    <w:rsid w:val="000F2611"/>
    <w:rsid w:val="000F2623"/>
    <w:rsid w:val="000F267E"/>
    <w:rsid w:val="000F28EE"/>
    <w:rsid w:val="000F28F7"/>
    <w:rsid w:val="000F2977"/>
    <w:rsid w:val="000F2A66"/>
    <w:rsid w:val="000F2AA3"/>
    <w:rsid w:val="000F2B0E"/>
    <w:rsid w:val="000F2B2A"/>
    <w:rsid w:val="000F2B99"/>
    <w:rsid w:val="000F2C75"/>
    <w:rsid w:val="000F2CB9"/>
    <w:rsid w:val="000F2CD8"/>
    <w:rsid w:val="000F2CF1"/>
    <w:rsid w:val="000F2D00"/>
    <w:rsid w:val="000F2D25"/>
    <w:rsid w:val="000F2E01"/>
    <w:rsid w:val="000F2E84"/>
    <w:rsid w:val="000F2ECA"/>
    <w:rsid w:val="000F2F7F"/>
    <w:rsid w:val="000F2F8C"/>
    <w:rsid w:val="000F2FB4"/>
    <w:rsid w:val="000F3113"/>
    <w:rsid w:val="000F314F"/>
    <w:rsid w:val="000F320B"/>
    <w:rsid w:val="000F3281"/>
    <w:rsid w:val="000F328D"/>
    <w:rsid w:val="000F32BE"/>
    <w:rsid w:val="000F33D7"/>
    <w:rsid w:val="000F33FA"/>
    <w:rsid w:val="000F3424"/>
    <w:rsid w:val="000F3500"/>
    <w:rsid w:val="000F3647"/>
    <w:rsid w:val="000F3676"/>
    <w:rsid w:val="000F36DE"/>
    <w:rsid w:val="000F37AA"/>
    <w:rsid w:val="000F37D0"/>
    <w:rsid w:val="000F37D5"/>
    <w:rsid w:val="000F37EB"/>
    <w:rsid w:val="000F38A3"/>
    <w:rsid w:val="000F38DE"/>
    <w:rsid w:val="000F38F9"/>
    <w:rsid w:val="000F3949"/>
    <w:rsid w:val="000F395C"/>
    <w:rsid w:val="000F3964"/>
    <w:rsid w:val="000F39B3"/>
    <w:rsid w:val="000F3A1B"/>
    <w:rsid w:val="000F3A60"/>
    <w:rsid w:val="000F3C44"/>
    <w:rsid w:val="000F3CC1"/>
    <w:rsid w:val="000F3D00"/>
    <w:rsid w:val="000F3D73"/>
    <w:rsid w:val="000F3DA0"/>
    <w:rsid w:val="000F3DA2"/>
    <w:rsid w:val="000F3DB6"/>
    <w:rsid w:val="000F3DBC"/>
    <w:rsid w:val="000F3E62"/>
    <w:rsid w:val="000F3F0A"/>
    <w:rsid w:val="000F3F1D"/>
    <w:rsid w:val="000F3FB6"/>
    <w:rsid w:val="000F3FDD"/>
    <w:rsid w:val="000F4000"/>
    <w:rsid w:val="000F4002"/>
    <w:rsid w:val="000F4006"/>
    <w:rsid w:val="000F402F"/>
    <w:rsid w:val="000F407C"/>
    <w:rsid w:val="000F4099"/>
    <w:rsid w:val="000F40DD"/>
    <w:rsid w:val="000F412B"/>
    <w:rsid w:val="000F4166"/>
    <w:rsid w:val="000F416A"/>
    <w:rsid w:val="000F417C"/>
    <w:rsid w:val="000F421E"/>
    <w:rsid w:val="000F422D"/>
    <w:rsid w:val="000F430F"/>
    <w:rsid w:val="000F4362"/>
    <w:rsid w:val="000F44A5"/>
    <w:rsid w:val="000F44EF"/>
    <w:rsid w:val="000F4535"/>
    <w:rsid w:val="000F45B8"/>
    <w:rsid w:val="000F45BB"/>
    <w:rsid w:val="000F45D8"/>
    <w:rsid w:val="000F45E1"/>
    <w:rsid w:val="000F4695"/>
    <w:rsid w:val="000F46B8"/>
    <w:rsid w:val="000F46D9"/>
    <w:rsid w:val="000F474A"/>
    <w:rsid w:val="000F4753"/>
    <w:rsid w:val="000F47B1"/>
    <w:rsid w:val="000F47DE"/>
    <w:rsid w:val="000F4857"/>
    <w:rsid w:val="000F485D"/>
    <w:rsid w:val="000F4870"/>
    <w:rsid w:val="000F48AF"/>
    <w:rsid w:val="000F48B3"/>
    <w:rsid w:val="000F4968"/>
    <w:rsid w:val="000F4998"/>
    <w:rsid w:val="000F4A86"/>
    <w:rsid w:val="000F4A92"/>
    <w:rsid w:val="000F4C21"/>
    <w:rsid w:val="000F4CBA"/>
    <w:rsid w:val="000F4E93"/>
    <w:rsid w:val="000F4EC6"/>
    <w:rsid w:val="000F4F1E"/>
    <w:rsid w:val="000F4F69"/>
    <w:rsid w:val="000F4F8D"/>
    <w:rsid w:val="000F4FB7"/>
    <w:rsid w:val="000F5066"/>
    <w:rsid w:val="000F5090"/>
    <w:rsid w:val="000F5165"/>
    <w:rsid w:val="000F51C1"/>
    <w:rsid w:val="000F51D6"/>
    <w:rsid w:val="000F51E7"/>
    <w:rsid w:val="000F5218"/>
    <w:rsid w:val="000F522E"/>
    <w:rsid w:val="000F52AF"/>
    <w:rsid w:val="000F53D8"/>
    <w:rsid w:val="000F541D"/>
    <w:rsid w:val="000F5429"/>
    <w:rsid w:val="000F546F"/>
    <w:rsid w:val="000F54A9"/>
    <w:rsid w:val="000F5501"/>
    <w:rsid w:val="000F5564"/>
    <w:rsid w:val="000F55AE"/>
    <w:rsid w:val="000F55D1"/>
    <w:rsid w:val="000F55F7"/>
    <w:rsid w:val="000F563F"/>
    <w:rsid w:val="000F5648"/>
    <w:rsid w:val="000F5698"/>
    <w:rsid w:val="000F5725"/>
    <w:rsid w:val="000F5757"/>
    <w:rsid w:val="000F575D"/>
    <w:rsid w:val="000F577B"/>
    <w:rsid w:val="000F5826"/>
    <w:rsid w:val="000F5844"/>
    <w:rsid w:val="000F590E"/>
    <w:rsid w:val="000F5A0A"/>
    <w:rsid w:val="000F5A54"/>
    <w:rsid w:val="000F5AB6"/>
    <w:rsid w:val="000F5AD8"/>
    <w:rsid w:val="000F5ADB"/>
    <w:rsid w:val="000F5B0C"/>
    <w:rsid w:val="000F5B17"/>
    <w:rsid w:val="000F5B47"/>
    <w:rsid w:val="000F5B68"/>
    <w:rsid w:val="000F5B72"/>
    <w:rsid w:val="000F5BC1"/>
    <w:rsid w:val="000F5C65"/>
    <w:rsid w:val="000F5CE9"/>
    <w:rsid w:val="000F5CF4"/>
    <w:rsid w:val="000F5CFC"/>
    <w:rsid w:val="000F5D07"/>
    <w:rsid w:val="000F5D2C"/>
    <w:rsid w:val="000F5D47"/>
    <w:rsid w:val="000F5E9C"/>
    <w:rsid w:val="000F5EA4"/>
    <w:rsid w:val="000F5F54"/>
    <w:rsid w:val="000F5F86"/>
    <w:rsid w:val="000F5F99"/>
    <w:rsid w:val="000F60B4"/>
    <w:rsid w:val="000F6152"/>
    <w:rsid w:val="000F6164"/>
    <w:rsid w:val="000F62CE"/>
    <w:rsid w:val="000F62E2"/>
    <w:rsid w:val="000F6355"/>
    <w:rsid w:val="000F6374"/>
    <w:rsid w:val="000F6394"/>
    <w:rsid w:val="000F63F2"/>
    <w:rsid w:val="000F6420"/>
    <w:rsid w:val="000F6609"/>
    <w:rsid w:val="000F668C"/>
    <w:rsid w:val="000F66A0"/>
    <w:rsid w:val="000F66CE"/>
    <w:rsid w:val="000F66F6"/>
    <w:rsid w:val="000F6732"/>
    <w:rsid w:val="000F6772"/>
    <w:rsid w:val="000F6773"/>
    <w:rsid w:val="000F67D4"/>
    <w:rsid w:val="000F688A"/>
    <w:rsid w:val="000F68B6"/>
    <w:rsid w:val="000F6907"/>
    <w:rsid w:val="000F6910"/>
    <w:rsid w:val="000F6954"/>
    <w:rsid w:val="000F69A3"/>
    <w:rsid w:val="000F69EB"/>
    <w:rsid w:val="000F6A38"/>
    <w:rsid w:val="000F6A60"/>
    <w:rsid w:val="000F6BDD"/>
    <w:rsid w:val="000F6C42"/>
    <w:rsid w:val="000F6CD0"/>
    <w:rsid w:val="000F6D4D"/>
    <w:rsid w:val="000F6D4E"/>
    <w:rsid w:val="000F6E93"/>
    <w:rsid w:val="000F6EE9"/>
    <w:rsid w:val="000F6F44"/>
    <w:rsid w:val="000F6F71"/>
    <w:rsid w:val="000F705D"/>
    <w:rsid w:val="000F7060"/>
    <w:rsid w:val="000F7154"/>
    <w:rsid w:val="000F71AA"/>
    <w:rsid w:val="000F71FA"/>
    <w:rsid w:val="000F7242"/>
    <w:rsid w:val="000F726F"/>
    <w:rsid w:val="000F7278"/>
    <w:rsid w:val="000F729F"/>
    <w:rsid w:val="000F733E"/>
    <w:rsid w:val="000F734A"/>
    <w:rsid w:val="000F73CE"/>
    <w:rsid w:val="000F7408"/>
    <w:rsid w:val="000F7451"/>
    <w:rsid w:val="000F7533"/>
    <w:rsid w:val="000F759F"/>
    <w:rsid w:val="000F76EE"/>
    <w:rsid w:val="000F7726"/>
    <w:rsid w:val="000F775B"/>
    <w:rsid w:val="000F777B"/>
    <w:rsid w:val="000F778F"/>
    <w:rsid w:val="000F7810"/>
    <w:rsid w:val="000F785C"/>
    <w:rsid w:val="000F78AF"/>
    <w:rsid w:val="000F7925"/>
    <w:rsid w:val="000F794B"/>
    <w:rsid w:val="000F7987"/>
    <w:rsid w:val="000F79F5"/>
    <w:rsid w:val="000F7A2F"/>
    <w:rsid w:val="000F7A3D"/>
    <w:rsid w:val="000F7A96"/>
    <w:rsid w:val="000F7BB2"/>
    <w:rsid w:val="000F7BDF"/>
    <w:rsid w:val="000F7C48"/>
    <w:rsid w:val="000F7D4A"/>
    <w:rsid w:val="000F7D83"/>
    <w:rsid w:val="000F7D8A"/>
    <w:rsid w:val="000F7E4C"/>
    <w:rsid w:val="000F7E74"/>
    <w:rsid w:val="000F7F2F"/>
    <w:rsid w:val="000F7FEC"/>
    <w:rsid w:val="001000F8"/>
    <w:rsid w:val="001001CB"/>
    <w:rsid w:val="00100329"/>
    <w:rsid w:val="001003B2"/>
    <w:rsid w:val="0010048E"/>
    <w:rsid w:val="001004BE"/>
    <w:rsid w:val="0010051C"/>
    <w:rsid w:val="00100534"/>
    <w:rsid w:val="00100538"/>
    <w:rsid w:val="00100674"/>
    <w:rsid w:val="00100700"/>
    <w:rsid w:val="00100759"/>
    <w:rsid w:val="00100791"/>
    <w:rsid w:val="001007F6"/>
    <w:rsid w:val="001008D1"/>
    <w:rsid w:val="001008DB"/>
    <w:rsid w:val="00100904"/>
    <w:rsid w:val="00100909"/>
    <w:rsid w:val="00100938"/>
    <w:rsid w:val="001009F9"/>
    <w:rsid w:val="00100A0E"/>
    <w:rsid w:val="00100A35"/>
    <w:rsid w:val="00100A98"/>
    <w:rsid w:val="00100B23"/>
    <w:rsid w:val="00100B28"/>
    <w:rsid w:val="00100C11"/>
    <w:rsid w:val="00100C46"/>
    <w:rsid w:val="00100C51"/>
    <w:rsid w:val="00100C5D"/>
    <w:rsid w:val="00100C61"/>
    <w:rsid w:val="00100C7F"/>
    <w:rsid w:val="00100C97"/>
    <w:rsid w:val="00100D2E"/>
    <w:rsid w:val="00100E3E"/>
    <w:rsid w:val="00100E4B"/>
    <w:rsid w:val="00100ED0"/>
    <w:rsid w:val="00100F22"/>
    <w:rsid w:val="00100FA5"/>
    <w:rsid w:val="001010CB"/>
    <w:rsid w:val="001010F7"/>
    <w:rsid w:val="001010FF"/>
    <w:rsid w:val="00101129"/>
    <w:rsid w:val="0010116B"/>
    <w:rsid w:val="0010119C"/>
    <w:rsid w:val="001011F3"/>
    <w:rsid w:val="001012A9"/>
    <w:rsid w:val="0010134D"/>
    <w:rsid w:val="001013C8"/>
    <w:rsid w:val="001013E5"/>
    <w:rsid w:val="0010147D"/>
    <w:rsid w:val="00101494"/>
    <w:rsid w:val="0010153B"/>
    <w:rsid w:val="001015C0"/>
    <w:rsid w:val="001016AE"/>
    <w:rsid w:val="0010170B"/>
    <w:rsid w:val="00101741"/>
    <w:rsid w:val="001017E2"/>
    <w:rsid w:val="001018A3"/>
    <w:rsid w:val="001018F7"/>
    <w:rsid w:val="00101A17"/>
    <w:rsid w:val="00101A97"/>
    <w:rsid w:val="00101AE3"/>
    <w:rsid w:val="00101B0A"/>
    <w:rsid w:val="00101B44"/>
    <w:rsid w:val="00101BC6"/>
    <w:rsid w:val="00101C2E"/>
    <w:rsid w:val="00101C66"/>
    <w:rsid w:val="00101C86"/>
    <w:rsid w:val="00101DD2"/>
    <w:rsid w:val="00101E34"/>
    <w:rsid w:val="00101E9D"/>
    <w:rsid w:val="00101F3D"/>
    <w:rsid w:val="00101FD0"/>
    <w:rsid w:val="00102017"/>
    <w:rsid w:val="00102052"/>
    <w:rsid w:val="00102136"/>
    <w:rsid w:val="0010221C"/>
    <w:rsid w:val="0010221E"/>
    <w:rsid w:val="00102235"/>
    <w:rsid w:val="0010223C"/>
    <w:rsid w:val="0010229E"/>
    <w:rsid w:val="001022CE"/>
    <w:rsid w:val="0010237C"/>
    <w:rsid w:val="00102457"/>
    <w:rsid w:val="00102468"/>
    <w:rsid w:val="00102578"/>
    <w:rsid w:val="001025BE"/>
    <w:rsid w:val="00102619"/>
    <w:rsid w:val="00102651"/>
    <w:rsid w:val="0010265D"/>
    <w:rsid w:val="001026E7"/>
    <w:rsid w:val="001026FD"/>
    <w:rsid w:val="00102795"/>
    <w:rsid w:val="00102834"/>
    <w:rsid w:val="001028B0"/>
    <w:rsid w:val="001029A4"/>
    <w:rsid w:val="00102C67"/>
    <w:rsid w:val="00102C97"/>
    <w:rsid w:val="00102D0C"/>
    <w:rsid w:val="00102D94"/>
    <w:rsid w:val="00102DA3"/>
    <w:rsid w:val="00102DDD"/>
    <w:rsid w:val="00102E3E"/>
    <w:rsid w:val="00102E71"/>
    <w:rsid w:val="00102EFA"/>
    <w:rsid w:val="00102F63"/>
    <w:rsid w:val="00102F88"/>
    <w:rsid w:val="00103013"/>
    <w:rsid w:val="00103072"/>
    <w:rsid w:val="001030B5"/>
    <w:rsid w:val="00103144"/>
    <w:rsid w:val="00103210"/>
    <w:rsid w:val="0010324A"/>
    <w:rsid w:val="00103309"/>
    <w:rsid w:val="00103361"/>
    <w:rsid w:val="00103378"/>
    <w:rsid w:val="0010337E"/>
    <w:rsid w:val="001033A6"/>
    <w:rsid w:val="0010344F"/>
    <w:rsid w:val="00103495"/>
    <w:rsid w:val="001034E2"/>
    <w:rsid w:val="00103573"/>
    <w:rsid w:val="0010360E"/>
    <w:rsid w:val="00103654"/>
    <w:rsid w:val="001036CD"/>
    <w:rsid w:val="0010378C"/>
    <w:rsid w:val="001037AE"/>
    <w:rsid w:val="001037BF"/>
    <w:rsid w:val="001037E3"/>
    <w:rsid w:val="00103818"/>
    <w:rsid w:val="001038A6"/>
    <w:rsid w:val="00103922"/>
    <w:rsid w:val="00103925"/>
    <w:rsid w:val="00103966"/>
    <w:rsid w:val="0010397A"/>
    <w:rsid w:val="001039AB"/>
    <w:rsid w:val="00103A3F"/>
    <w:rsid w:val="00103B87"/>
    <w:rsid w:val="00103B8A"/>
    <w:rsid w:val="00103BCB"/>
    <w:rsid w:val="00103C80"/>
    <w:rsid w:val="00103D2C"/>
    <w:rsid w:val="00103D58"/>
    <w:rsid w:val="00103DA5"/>
    <w:rsid w:val="00103E72"/>
    <w:rsid w:val="00103EE1"/>
    <w:rsid w:val="00103FA4"/>
    <w:rsid w:val="0010404D"/>
    <w:rsid w:val="00104056"/>
    <w:rsid w:val="0010406E"/>
    <w:rsid w:val="00104078"/>
    <w:rsid w:val="001040A7"/>
    <w:rsid w:val="00104142"/>
    <w:rsid w:val="00104186"/>
    <w:rsid w:val="001041AD"/>
    <w:rsid w:val="001041AE"/>
    <w:rsid w:val="0010427F"/>
    <w:rsid w:val="001042B5"/>
    <w:rsid w:val="001042C0"/>
    <w:rsid w:val="0010432B"/>
    <w:rsid w:val="001043AE"/>
    <w:rsid w:val="001043C5"/>
    <w:rsid w:val="0010448B"/>
    <w:rsid w:val="00104533"/>
    <w:rsid w:val="001045CE"/>
    <w:rsid w:val="0010466E"/>
    <w:rsid w:val="0010466F"/>
    <w:rsid w:val="0010468E"/>
    <w:rsid w:val="00104720"/>
    <w:rsid w:val="001047CC"/>
    <w:rsid w:val="00104812"/>
    <w:rsid w:val="0010482C"/>
    <w:rsid w:val="00104835"/>
    <w:rsid w:val="001048F1"/>
    <w:rsid w:val="00104900"/>
    <w:rsid w:val="0010498F"/>
    <w:rsid w:val="001049D7"/>
    <w:rsid w:val="00104AE3"/>
    <w:rsid w:val="00104B3D"/>
    <w:rsid w:val="00104B7F"/>
    <w:rsid w:val="00104B83"/>
    <w:rsid w:val="00104B8F"/>
    <w:rsid w:val="00104B9E"/>
    <w:rsid w:val="00104BA4"/>
    <w:rsid w:val="00104BFA"/>
    <w:rsid w:val="00104C8E"/>
    <w:rsid w:val="00104C93"/>
    <w:rsid w:val="00104D01"/>
    <w:rsid w:val="00104D55"/>
    <w:rsid w:val="00104DA9"/>
    <w:rsid w:val="00104E45"/>
    <w:rsid w:val="00104E6C"/>
    <w:rsid w:val="00104E88"/>
    <w:rsid w:val="00104EC3"/>
    <w:rsid w:val="00104F26"/>
    <w:rsid w:val="00105057"/>
    <w:rsid w:val="001050DD"/>
    <w:rsid w:val="001051C3"/>
    <w:rsid w:val="0010521F"/>
    <w:rsid w:val="00105297"/>
    <w:rsid w:val="0010531A"/>
    <w:rsid w:val="0010533A"/>
    <w:rsid w:val="00105374"/>
    <w:rsid w:val="00105387"/>
    <w:rsid w:val="0010547E"/>
    <w:rsid w:val="00105483"/>
    <w:rsid w:val="0010554D"/>
    <w:rsid w:val="0010555B"/>
    <w:rsid w:val="00105581"/>
    <w:rsid w:val="00105631"/>
    <w:rsid w:val="0010566D"/>
    <w:rsid w:val="0010570B"/>
    <w:rsid w:val="00105761"/>
    <w:rsid w:val="0010585C"/>
    <w:rsid w:val="00105916"/>
    <w:rsid w:val="0010597A"/>
    <w:rsid w:val="001059B5"/>
    <w:rsid w:val="001059D3"/>
    <w:rsid w:val="001059EA"/>
    <w:rsid w:val="00105A4B"/>
    <w:rsid w:val="00105AD2"/>
    <w:rsid w:val="00105BC0"/>
    <w:rsid w:val="00105C2C"/>
    <w:rsid w:val="00105C8F"/>
    <w:rsid w:val="00105CEF"/>
    <w:rsid w:val="00105D99"/>
    <w:rsid w:val="00105DCE"/>
    <w:rsid w:val="00105E1D"/>
    <w:rsid w:val="00105E73"/>
    <w:rsid w:val="00105E7F"/>
    <w:rsid w:val="00105E87"/>
    <w:rsid w:val="00105EB3"/>
    <w:rsid w:val="00105EEC"/>
    <w:rsid w:val="00105EF6"/>
    <w:rsid w:val="00105F02"/>
    <w:rsid w:val="00105F30"/>
    <w:rsid w:val="00105FD2"/>
    <w:rsid w:val="00105FD3"/>
    <w:rsid w:val="00106016"/>
    <w:rsid w:val="00106078"/>
    <w:rsid w:val="00106126"/>
    <w:rsid w:val="0010612B"/>
    <w:rsid w:val="00106142"/>
    <w:rsid w:val="00106169"/>
    <w:rsid w:val="001061EA"/>
    <w:rsid w:val="0010625A"/>
    <w:rsid w:val="0010628F"/>
    <w:rsid w:val="001062CB"/>
    <w:rsid w:val="00106314"/>
    <w:rsid w:val="00106315"/>
    <w:rsid w:val="0010639C"/>
    <w:rsid w:val="001063BE"/>
    <w:rsid w:val="001063CF"/>
    <w:rsid w:val="00106500"/>
    <w:rsid w:val="00106667"/>
    <w:rsid w:val="001066FA"/>
    <w:rsid w:val="0010670F"/>
    <w:rsid w:val="0010673E"/>
    <w:rsid w:val="00106759"/>
    <w:rsid w:val="001067A3"/>
    <w:rsid w:val="00106823"/>
    <w:rsid w:val="00106843"/>
    <w:rsid w:val="001068D1"/>
    <w:rsid w:val="00106906"/>
    <w:rsid w:val="00106962"/>
    <w:rsid w:val="00106996"/>
    <w:rsid w:val="001069A4"/>
    <w:rsid w:val="001069CE"/>
    <w:rsid w:val="00106A0C"/>
    <w:rsid w:val="00106AC2"/>
    <w:rsid w:val="00106AE4"/>
    <w:rsid w:val="00106B78"/>
    <w:rsid w:val="00106B7C"/>
    <w:rsid w:val="00106BE5"/>
    <w:rsid w:val="00106C6D"/>
    <w:rsid w:val="00106CAB"/>
    <w:rsid w:val="00106CCB"/>
    <w:rsid w:val="00106D3D"/>
    <w:rsid w:val="00106D5B"/>
    <w:rsid w:val="00106E60"/>
    <w:rsid w:val="00106F10"/>
    <w:rsid w:val="00106F7D"/>
    <w:rsid w:val="00106F8A"/>
    <w:rsid w:val="00106FB3"/>
    <w:rsid w:val="001070EB"/>
    <w:rsid w:val="001070F1"/>
    <w:rsid w:val="001070FD"/>
    <w:rsid w:val="0010716B"/>
    <w:rsid w:val="0010718C"/>
    <w:rsid w:val="001071BA"/>
    <w:rsid w:val="00107211"/>
    <w:rsid w:val="00107219"/>
    <w:rsid w:val="00107225"/>
    <w:rsid w:val="00107236"/>
    <w:rsid w:val="00107239"/>
    <w:rsid w:val="001072B6"/>
    <w:rsid w:val="001072CD"/>
    <w:rsid w:val="001073FA"/>
    <w:rsid w:val="001073FE"/>
    <w:rsid w:val="001074A9"/>
    <w:rsid w:val="001074D3"/>
    <w:rsid w:val="00107524"/>
    <w:rsid w:val="00107550"/>
    <w:rsid w:val="00107571"/>
    <w:rsid w:val="001075C1"/>
    <w:rsid w:val="00107672"/>
    <w:rsid w:val="00107711"/>
    <w:rsid w:val="0010776B"/>
    <w:rsid w:val="00107787"/>
    <w:rsid w:val="001077E9"/>
    <w:rsid w:val="001077EF"/>
    <w:rsid w:val="0010789F"/>
    <w:rsid w:val="0010796E"/>
    <w:rsid w:val="0010796F"/>
    <w:rsid w:val="00107A4B"/>
    <w:rsid w:val="00107A4E"/>
    <w:rsid w:val="00107A87"/>
    <w:rsid w:val="00107BE0"/>
    <w:rsid w:val="00107C1F"/>
    <w:rsid w:val="00107C38"/>
    <w:rsid w:val="00107C97"/>
    <w:rsid w:val="00107CA9"/>
    <w:rsid w:val="00107D37"/>
    <w:rsid w:val="00107D75"/>
    <w:rsid w:val="00107DCD"/>
    <w:rsid w:val="00107EF0"/>
    <w:rsid w:val="00107F06"/>
    <w:rsid w:val="00107F7C"/>
    <w:rsid w:val="0011007A"/>
    <w:rsid w:val="00110082"/>
    <w:rsid w:val="00110165"/>
    <w:rsid w:val="00110234"/>
    <w:rsid w:val="00110238"/>
    <w:rsid w:val="001102BD"/>
    <w:rsid w:val="00110350"/>
    <w:rsid w:val="0011038B"/>
    <w:rsid w:val="001103A1"/>
    <w:rsid w:val="001103AD"/>
    <w:rsid w:val="001103FB"/>
    <w:rsid w:val="001104B7"/>
    <w:rsid w:val="0011050B"/>
    <w:rsid w:val="0011053F"/>
    <w:rsid w:val="00110605"/>
    <w:rsid w:val="00110638"/>
    <w:rsid w:val="00110721"/>
    <w:rsid w:val="0011073B"/>
    <w:rsid w:val="0011075F"/>
    <w:rsid w:val="00110795"/>
    <w:rsid w:val="00110826"/>
    <w:rsid w:val="0011082F"/>
    <w:rsid w:val="00110836"/>
    <w:rsid w:val="00110844"/>
    <w:rsid w:val="0011084B"/>
    <w:rsid w:val="0011086B"/>
    <w:rsid w:val="00110911"/>
    <w:rsid w:val="0011098E"/>
    <w:rsid w:val="001109A4"/>
    <w:rsid w:val="001109CC"/>
    <w:rsid w:val="001109F5"/>
    <w:rsid w:val="00110A4D"/>
    <w:rsid w:val="00110A9B"/>
    <w:rsid w:val="00110CBA"/>
    <w:rsid w:val="00110CDC"/>
    <w:rsid w:val="00110D8F"/>
    <w:rsid w:val="00110D95"/>
    <w:rsid w:val="00110DD0"/>
    <w:rsid w:val="00110EC1"/>
    <w:rsid w:val="00110ED5"/>
    <w:rsid w:val="00110F0F"/>
    <w:rsid w:val="00111021"/>
    <w:rsid w:val="001110B2"/>
    <w:rsid w:val="001110CF"/>
    <w:rsid w:val="001110FF"/>
    <w:rsid w:val="00111122"/>
    <w:rsid w:val="0011122D"/>
    <w:rsid w:val="0011128A"/>
    <w:rsid w:val="001112EF"/>
    <w:rsid w:val="001112F8"/>
    <w:rsid w:val="0011130E"/>
    <w:rsid w:val="00111376"/>
    <w:rsid w:val="00111417"/>
    <w:rsid w:val="00111566"/>
    <w:rsid w:val="00111655"/>
    <w:rsid w:val="0011169D"/>
    <w:rsid w:val="001116FA"/>
    <w:rsid w:val="00111769"/>
    <w:rsid w:val="00111786"/>
    <w:rsid w:val="001117CE"/>
    <w:rsid w:val="0011181B"/>
    <w:rsid w:val="00111945"/>
    <w:rsid w:val="00111A13"/>
    <w:rsid w:val="00111A15"/>
    <w:rsid w:val="00111A37"/>
    <w:rsid w:val="00111B73"/>
    <w:rsid w:val="00111B8C"/>
    <w:rsid w:val="00111B97"/>
    <w:rsid w:val="00111D08"/>
    <w:rsid w:val="00111D32"/>
    <w:rsid w:val="00111D8A"/>
    <w:rsid w:val="00111E46"/>
    <w:rsid w:val="00111E5D"/>
    <w:rsid w:val="00111F28"/>
    <w:rsid w:val="00111F4C"/>
    <w:rsid w:val="00111FDB"/>
    <w:rsid w:val="00111FDF"/>
    <w:rsid w:val="00112003"/>
    <w:rsid w:val="001120CC"/>
    <w:rsid w:val="0011211D"/>
    <w:rsid w:val="00112243"/>
    <w:rsid w:val="00112255"/>
    <w:rsid w:val="00112374"/>
    <w:rsid w:val="00112430"/>
    <w:rsid w:val="00112568"/>
    <w:rsid w:val="001125CE"/>
    <w:rsid w:val="00112607"/>
    <w:rsid w:val="00112616"/>
    <w:rsid w:val="0011263C"/>
    <w:rsid w:val="0011265D"/>
    <w:rsid w:val="0011270C"/>
    <w:rsid w:val="0011279D"/>
    <w:rsid w:val="001127AE"/>
    <w:rsid w:val="001127F3"/>
    <w:rsid w:val="00112806"/>
    <w:rsid w:val="0011281C"/>
    <w:rsid w:val="0011283A"/>
    <w:rsid w:val="0011285C"/>
    <w:rsid w:val="00112977"/>
    <w:rsid w:val="00112A9A"/>
    <w:rsid w:val="00112AFB"/>
    <w:rsid w:val="00112B00"/>
    <w:rsid w:val="00112B9A"/>
    <w:rsid w:val="00112BC1"/>
    <w:rsid w:val="00112BC7"/>
    <w:rsid w:val="00112BD1"/>
    <w:rsid w:val="00112C03"/>
    <w:rsid w:val="00112C10"/>
    <w:rsid w:val="00112C77"/>
    <w:rsid w:val="00112CCF"/>
    <w:rsid w:val="00112D60"/>
    <w:rsid w:val="00112DF3"/>
    <w:rsid w:val="00112E5B"/>
    <w:rsid w:val="00112ED0"/>
    <w:rsid w:val="00112ED1"/>
    <w:rsid w:val="00112EF5"/>
    <w:rsid w:val="00112F2E"/>
    <w:rsid w:val="00112F84"/>
    <w:rsid w:val="00112FCA"/>
    <w:rsid w:val="00112FDB"/>
    <w:rsid w:val="0011310C"/>
    <w:rsid w:val="00113176"/>
    <w:rsid w:val="001132C8"/>
    <w:rsid w:val="001132D3"/>
    <w:rsid w:val="00113459"/>
    <w:rsid w:val="0011347C"/>
    <w:rsid w:val="0011347D"/>
    <w:rsid w:val="00113492"/>
    <w:rsid w:val="001134D4"/>
    <w:rsid w:val="001134FD"/>
    <w:rsid w:val="001135D5"/>
    <w:rsid w:val="0011377D"/>
    <w:rsid w:val="00113784"/>
    <w:rsid w:val="0011378A"/>
    <w:rsid w:val="0011387C"/>
    <w:rsid w:val="001138F5"/>
    <w:rsid w:val="00113901"/>
    <w:rsid w:val="00113959"/>
    <w:rsid w:val="001139D7"/>
    <w:rsid w:val="00113A9E"/>
    <w:rsid w:val="00113B27"/>
    <w:rsid w:val="00113B39"/>
    <w:rsid w:val="00113C2C"/>
    <w:rsid w:val="00113C60"/>
    <w:rsid w:val="00113DA2"/>
    <w:rsid w:val="00113DA5"/>
    <w:rsid w:val="00113EA0"/>
    <w:rsid w:val="00113ECF"/>
    <w:rsid w:val="00113F17"/>
    <w:rsid w:val="00113F9B"/>
    <w:rsid w:val="00113FC3"/>
    <w:rsid w:val="00113FD0"/>
    <w:rsid w:val="00114016"/>
    <w:rsid w:val="00114240"/>
    <w:rsid w:val="0011425E"/>
    <w:rsid w:val="00114321"/>
    <w:rsid w:val="00114391"/>
    <w:rsid w:val="00114443"/>
    <w:rsid w:val="00114455"/>
    <w:rsid w:val="001144F7"/>
    <w:rsid w:val="00114506"/>
    <w:rsid w:val="00114526"/>
    <w:rsid w:val="00114546"/>
    <w:rsid w:val="00114554"/>
    <w:rsid w:val="00114559"/>
    <w:rsid w:val="00114563"/>
    <w:rsid w:val="001145E7"/>
    <w:rsid w:val="00114662"/>
    <w:rsid w:val="00114672"/>
    <w:rsid w:val="00114722"/>
    <w:rsid w:val="00114774"/>
    <w:rsid w:val="001147D0"/>
    <w:rsid w:val="00114912"/>
    <w:rsid w:val="00114916"/>
    <w:rsid w:val="0011495E"/>
    <w:rsid w:val="001149BA"/>
    <w:rsid w:val="001149DA"/>
    <w:rsid w:val="001149F4"/>
    <w:rsid w:val="00114A5F"/>
    <w:rsid w:val="00114AFA"/>
    <w:rsid w:val="00114B32"/>
    <w:rsid w:val="00114B5C"/>
    <w:rsid w:val="00114C3B"/>
    <w:rsid w:val="00114D78"/>
    <w:rsid w:val="00114E20"/>
    <w:rsid w:val="00114E21"/>
    <w:rsid w:val="00114E72"/>
    <w:rsid w:val="00114EDF"/>
    <w:rsid w:val="00114EE9"/>
    <w:rsid w:val="00115030"/>
    <w:rsid w:val="0011505A"/>
    <w:rsid w:val="001150D9"/>
    <w:rsid w:val="00115110"/>
    <w:rsid w:val="00115156"/>
    <w:rsid w:val="001151F6"/>
    <w:rsid w:val="0011522F"/>
    <w:rsid w:val="0011528C"/>
    <w:rsid w:val="001152AC"/>
    <w:rsid w:val="001152CD"/>
    <w:rsid w:val="00115425"/>
    <w:rsid w:val="0011543C"/>
    <w:rsid w:val="00115444"/>
    <w:rsid w:val="00115503"/>
    <w:rsid w:val="0011554E"/>
    <w:rsid w:val="00115571"/>
    <w:rsid w:val="00115691"/>
    <w:rsid w:val="001156C0"/>
    <w:rsid w:val="001157CC"/>
    <w:rsid w:val="00115846"/>
    <w:rsid w:val="001159F8"/>
    <w:rsid w:val="00115A09"/>
    <w:rsid w:val="00115A4B"/>
    <w:rsid w:val="00115AB9"/>
    <w:rsid w:val="00115AFF"/>
    <w:rsid w:val="00115BA3"/>
    <w:rsid w:val="00115D25"/>
    <w:rsid w:val="00115DBB"/>
    <w:rsid w:val="00115EA2"/>
    <w:rsid w:val="00115F1D"/>
    <w:rsid w:val="00115FDF"/>
    <w:rsid w:val="00116048"/>
    <w:rsid w:val="00116175"/>
    <w:rsid w:val="0011617C"/>
    <w:rsid w:val="0011617F"/>
    <w:rsid w:val="001161A2"/>
    <w:rsid w:val="001162D4"/>
    <w:rsid w:val="00116338"/>
    <w:rsid w:val="0011635A"/>
    <w:rsid w:val="00116365"/>
    <w:rsid w:val="001163A3"/>
    <w:rsid w:val="001163C8"/>
    <w:rsid w:val="0011650F"/>
    <w:rsid w:val="00116550"/>
    <w:rsid w:val="00116598"/>
    <w:rsid w:val="00116628"/>
    <w:rsid w:val="00116733"/>
    <w:rsid w:val="001168C6"/>
    <w:rsid w:val="001168F8"/>
    <w:rsid w:val="00116916"/>
    <w:rsid w:val="00116942"/>
    <w:rsid w:val="00116A0E"/>
    <w:rsid w:val="00116A61"/>
    <w:rsid w:val="00116A7B"/>
    <w:rsid w:val="00116B20"/>
    <w:rsid w:val="00116B30"/>
    <w:rsid w:val="00116BA4"/>
    <w:rsid w:val="00116DA2"/>
    <w:rsid w:val="00116E25"/>
    <w:rsid w:val="00116E34"/>
    <w:rsid w:val="00116ED5"/>
    <w:rsid w:val="00116F38"/>
    <w:rsid w:val="00116F7C"/>
    <w:rsid w:val="00117039"/>
    <w:rsid w:val="0011704E"/>
    <w:rsid w:val="001170AE"/>
    <w:rsid w:val="001170C3"/>
    <w:rsid w:val="00117193"/>
    <w:rsid w:val="001171C6"/>
    <w:rsid w:val="001171C7"/>
    <w:rsid w:val="00117233"/>
    <w:rsid w:val="00117303"/>
    <w:rsid w:val="00117406"/>
    <w:rsid w:val="00117419"/>
    <w:rsid w:val="00117459"/>
    <w:rsid w:val="001174D6"/>
    <w:rsid w:val="00117512"/>
    <w:rsid w:val="00117550"/>
    <w:rsid w:val="00117661"/>
    <w:rsid w:val="0011766D"/>
    <w:rsid w:val="0011767D"/>
    <w:rsid w:val="00117705"/>
    <w:rsid w:val="00117722"/>
    <w:rsid w:val="00117771"/>
    <w:rsid w:val="00117815"/>
    <w:rsid w:val="0011790A"/>
    <w:rsid w:val="001179D0"/>
    <w:rsid w:val="00117A43"/>
    <w:rsid w:val="00117AC4"/>
    <w:rsid w:val="00117B10"/>
    <w:rsid w:val="00117B1D"/>
    <w:rsid w:val="00117B4E"/>
    <w:rsid w:val="00117B5E"/>
    <w:rsid w:val="00117B7F"/>
    <w:rsid w:val="00117BBC"/>
    <w:rsid w:val="00117C20"/>
    <w:rsid w:val="00117C40"/>
    <w:rsid w:val="00117C8E"/>
    <w:rsid w:val="00117C97"/>
    <w:rsid w:val="00117D46"/>
    <w:rsid w:val="00117D7A"/>
    <w:rsid w:val="00117EF0"/>
    <w:rsid w:val="00117F04"/>
    <w:rsid w:val="00117F1A"/>
    <w:rsid w:val="00117F78"/>
    <w:rsid w:val="0012001F"/>
    <w:rsid w:val="00120021"/>
    <w:rsid w:val="00120024"/>
    <w:rsid w:val="00120091"/>
    <w:rsid w:val="001200F0"/>
    <w:rsid w:val="001200F4"/>
    <w:rsid w:val="001200F8"/>
    <w:rsid w:val="00120106"/>
    <w:rsid w:val="00120114"/>
    <w:rsid w:val="001201C4"/>
    <w:rsid w:val="001201D2"/>
    <w:rsid w:val="001201F8"/>
    <w:rsid w:val="001201FD"/>
    <w:rsid w:val="00120281"/>
    <w:rsid w:val="001202D7"/>
    <w:rsid w:val="0012038D"/>
    <w:rsid w:val="001203DC"/>
    <w:rsid w:val="00120407"/>
    <w:rsid w:val="00120526"/>
    <w:rsid w:val="0012056C"/>
    <w:rsid w:val="00120597"/>
    <w:rsid w:val="001205C4"/>
    <w:rsid w:val="00120616"/>
    <w:rsid w:val="0012061B"/>
    <w:rsid w:val="0012062B"/>
    <w:rsid w:val="0012073C"/>
    <w:rsid w:val="001207C6"/>
    <w:rsid w:val="001207C9"/>
    <w:rsid w:val="0012089E"/>
    <w:rsid w:val="001208D6"/>
    <w:rsid w:val="001208EF"/>
    <w:rsid w:val="001208F7"/>
    <w:rsid w:val="00120A25"/>
    <w:rsid w:val="00120A87"/>
    <w:rsid w:val="00120AA5"/>
    <w:rsid w:val="00120B18"/>
    <w:rsid w:val="00120B69"/>
    <w:rsid w:val="00120B92"/>
    <w:rsid w:val="00120BC3"/>
    <w:rsid w:val="00120BE4"/>
    <w:rsid w:val="00120C09"/>
    <w:rsid w:val="00120C68"/>
    <w:rsid w:val="00120DD2"/>
    <w:rsid w:val="00120F23"/>
    <w:rsid w:val="00120F89"/>
    <w:rsid w:val="00120F9F"/>
    <w:rsid w:val="00120FA8"/>
    <w:rsid w:val="00120FDF"/>
    <w:rsid w:val="00120FFC"/>
    <w:rsid w:val="00121026"/>
    <w:rsid w:val="00121057"/>
    <w:rsid w:val="00121095"/>
    <w:rsid w:val="001210C6"/>
    <w:rsid w:val="001210E3"/>
    <w:rsid w:val="001210FB"/>
    <w:rsid w:val="00121193"/>
    <w:rsid w:val="001211A6"/>
    <w:rsid w:val="0012124E"/>
    <w:rsid w:val="00121382"/>
    <w:rsid w:val="001213D7"/>
    <w:rsid w:val="00121464"/>
    <w:rsid w:val="00121465"/>
    <w:rsid w:val="0012149B"/>
    <w:rsid w:val="001214C8"/>
    <w:rsid w:val="00121590"/>
    <w:rsid w:val="0012159D"/>
    <w:rsid w:val="001215BA"/>
    <w:rsid w:val="001215C1"/>
    <w:rsid w:val="001215C6"/>
    <w:rsid w:val="00121618"/>
    <w:rsid w:val="00121699"/>
    <w:rsid w:val="0012169A"/>
    <w:rsid w:val="001216EF"/>
    <w:rsid w:val="00121755"/>
    <w:rsid w:val="00121789"/>
    <w:rsid w:val="0012178D"/>
    <w:rsid w:val="001217F2"/>
    <w:rsid w:val="001218A5"/>
    <w:rsid w:val="00121918"/>
    <w:rsid w:val="00121955"/>
    <w:rsid w:val="00121A43"/>
    <w:rsid w:val="00121AD2"/>
    <w:rsid w:val="00121AE1"/>
    <w:rsid w:val="00121C13"/>
    <w:rsid w:val="00121C55"/>
    <w:rsid w:val="00121D23"/>
    <w:rsid w:val="00121D32"/>
    <w:rsid w:val="00121D3E"/>
    <w:rsid w:val="00121D88"/>
    <w:rsid w:val="00121D92"/>
    <w:rsid w:val="00121DD9"/>
    <w:rsid w:val="00121E26"/>
    <w:rsid w:val="00121E55"/>
    <w:rsid w:val="00121E61"/>
    <w:rsid w:val="00121EAB"/>
    <w:rsid w:val="00121EC2"/>
    <w:rsid w:val="00121F21"/>
    <w:rsid w:val="00121FFA"/>
    <w:rsid w:val="00122090"/>
    <w:rsid w:val="001220FC"/>
    <w:rsid w:val="001221CE"/>
    <w:rsid w:val="001221DE"/>
    <w:rsid w:val="0012222C"/>
    <w:rsid w:val="00122230"/>
    <w:rsid w:val="00122232"/>
    <w:rsid w:val="001222CA"/>
    <w:rsid w:val="001223BC"/>
    <w:rsid w:val="00122434"/>
    <w:rsid w:val="00122465"/>
    <w:rsid w:val="00122531"/>
    <w:rsid w:val="00122555"/>
    <w:rsid w:val="0012255A"/>
    <w:rsid w:val="00122569"/>
    <w:rsid w:val="00122680"/>
    <w:rsid w:val="0012274F"/>
    <w:rsid w:val="0012275E"/>
    <w:rsid w:val="001227A0"/>
    <w:rsid w:val="00122832"/>
    <w:rsid w:val="0012286D"/>
    <w:rsid w:val="0012287C"/>
    <w:rsid w:val="001228C7"/>
    <w:rsid w:val="001229A9"/>
    <w:rsid w:val="001229B9"/>
    <w:rsid w:val="001229E0"/>
    <w:rsid w:val="00122A96"/>
    <w:rsid w:val="00122AA9"/>
    <w:rsid w:val="00122AE3"/>
    <w:rsid w:val="00122AE5"/>
    <w:rsid w:val="00122B21"/>
    <w:rsid w:val="00122B67"/>
    <w:rsid w:val="00122B70"/>
    <w:rsid w:val="00122B80"/>
    <w:rsid w:val="00122B83"/>
    <w:rsid w:val="00122BCE"/>
    <w:rsid w:val="00122C08"/>
    <w:rsid w:val="00122C47"/>
    <w:rsid w:val="00122D4E"/>
    <w:rsid w:val="00122D98"/>
    <w:rsid w:val="00122DB1"/>
    <w:rsid w:val="00122EBD"/>
    <w:rsid w:val="00122EE1"/>
    <w:rsid w:val="00122F95"/>
    <w:rsid w:val="00123059"/>
    <w:rsid w:val="00123078"/>
    <w:rsid w:val="00123097"/>
    <w:rsid w:val="001230FB"/>
    <w:rsid w:val="00123153"/>
    <w:rsid w:val="00123164"/>
    <w:rsid w:val="001231A7"/>
    <w:rsid w:val="00123355"/>
    <w:rsid w:val="001233A6"/>
    <w:rsid w:val="00123471"/>
    <w:rsid w:val="001234D5"/>
    <w:rsid w:val="001235AE"/>
    <w:rsid w:val="001235EB"/>
    <w:rsid w:val="001235F8"/>
    <w:rsid w:val="0012360B"/>
    <w:rsid w:val="00123658"/>
    <w:rsid w:val="00123661"/>
    <w:rsid w:val="001236FD"/>
    <w:rsid w:val="001237AF"/>
    <w:rsid w:val="001237C7"/>
    <w:rsid w:val="00123923"/>
    <w:rsid w:val="00123929"/>
    <w:rsid w:val="00123935"/>
    <w:rsid w:val="00123970"/>
    <w:rsid w:val="001239CA"/>
    <w:rsid w:val="00123ACE"/>
    <w:rsid w:val="00123B62"/>
    <w:rsid w:val="00123B6D"/>
    <w:rsid w:val="00123B98"/>
    <w:rsid w:val="00123D39"/>
    <w:rsid w:val="00123D95"/>
    <w:rsid w:val="00123DCE"/>
    <w:rsid w:val="00123E23"/>
    <w:rsid w:val="00123E48"/>
    <w:rsid w:val="00123E82"/>
    <w:rsid w:val="00123EAB"/>
    <w:rsid w:val="00123ECA"/>
    <w:rsid w:val="00123ED5"/>
    <w:rsid w:val="00123F37"/>
    <w:rsid w:val="00124024"/>
    <w:rsid w:val="00124086"/>
    <w:rsid w:val="00124092"/>
    <w:rsid w:val="00124117"/>
    <w:rsid w:val="0012418E"/>
    <w:rsid w:val="001241A9"/>
    <w:rsid w:val="00124224"/>
    <w:rsid w:val="00124275"/>
    <w:rsid w:val="00124285"/>
    <w:rsid w:val="00124286"/>
    <w:rsid w:val="00124291"/>
    <w:rsid w:val="001242B9"/>
    <w:rsid w:val="00124322"/>
    <w:rsid w:val="001244A8"/>
    <w:rsid w:val="00124533"/>
    <w:rsid w:val="00124569"/>
    <w:rsid w:val="0012456B"/>
    <w:rsid w:val="00124644"/>
    <w:rsid w:val="00124728"/>
    <w:rsid w:val="0012474F"/>
    <w:rsid w:val="001247BC"/>
    <w:rsid w:val="001247EB"/>
    <w:rsid w:val="001248C9"/>
    <w:rsid w:val="001248EE"/>
    <w:rsid w:val="00124977"/>
    <w:rsid w:val="001249EC"/>
    <w:rsid w:val="00124A29"/>
    <w:rsid w:val="00124A91"/>
    <w:rsid w:val="00124B03"/>
    <w:rsid w:val="00124B85"/>
    <w:rsid w:val="00124C66"/>
    <w:rsid w:val="00124CD4"/>
    <w:rsid w:val="00124DC1"/>
    <w:rsid w:val="00124E00"/>
    <w:rsid w:val="00124E31"/>
    <w:rsid w:val="00124E47"/>
    <w:rsid w:val="00124EBA"/>
    <w:rsid w:val="00124F3C"/>
    <w:rsid w:val="00124F8B"/>
    <w:rsid w:val="0012508A"/>
    <w:rsid w:val="001250DB"/>
    <w:rsid w:val="0012517D"/>
    <w:rsid w:val="00125196"/>
    <w:rsid w:val="00125212"/>
    <w:rsid w:val="0012535B"/>
    <w:rsid w:val="00125379"/>
    <w:rsid w:val="001253C2"/>
    <w:rsid w:val="001254B3"/>
    <w:rsid w:val="001254BD"/>
    <w:rsid w:val="001254F4"/>
    <w:rsid w:val="00125593"/>
    <w:rsid w:val="001255CC"/>
    <w:rsid w:val="001255E9"/>
    <w:rsid w:val="00125680"/>
    <w:rsid w:val="0012570A"/>
    <w:rsid w:val="00125714"/>
    <w:rsid w:val="00125732"/>
    <w:rsid w:val="00125770"/>
    <w:rsid w:val="0012579C"/>
    <w:rsid w:val="001257DE"/>
    <w:rsid w:val="001257F5"/>
    <w:rsid w:val="00125829"/>
    <w:rsid w:val="0012592B"/>
    <w:rsid w:val="0012596F"/>
    <w:rsid w:val="00125973"/>
    <w:rsid w:val="00125981"/>
    <w:rsid w:val="00125A44"/>
    <w:rsid w:val="00125A85"/>
    <w:rsid w:val="00125B61"/>
    <w:rsid w:val="00125B78"/>
    <w:rsid w:val="00125C27"/>
    <w:rsid w:val="00125CFB"/>
    <w:rsid w:val="00125DCB"/>
    <w:rsid w:val="00125DD9"/>
    <w:rsid w:val="00125E91"/>
    <w:rsid w:val="00125FCC"/>
    <w:rsid w:val="00125FDC"/>
    <w:rsid w:val="0012601B"/>
    <w:rsid w:val="00126040"/>
    <w:rsid w:val="0012610F"/>
    <w:rsid w:val="00126116"/>
    <w:rsid w:val="00126122"/>
    <w:rsid w:val="00126207"/>
    <w:rsid w:val="0012633A"/>
    <w:rsid w:val="0012637E"/>
    <w:rsid w:val="00126519"/>
    <w:rsid w:val="00126551"/>
    <w:rsid w:val="00126599"/>
    <w:rsid w:val="00126670"/>
    <w:rsid w:val="0012675B"/>
    <w:rsid w:val="00126779"/>
    <w:rsid w:val="001267B0"/>
    <w:rsid w:val="001267D6"/>
    <w:rsid w:val="0012685E"/>
    <w:rsid w:val="0012689D"/>
    <w:rsid w:val="001268A4"/>
    <w:rsid w:val="0012692B"/>
    <w:rsid w:val="0012693B"/>
    <w:rsid w:val="001269DB"/>
    <w:rsid w:val="00126AA8"/>
    <w:rsid w:val="00126B88"/>
    <w:rsid w:val="00126C50"/>
    <w:rsid w:val="00126CD4"/>
    <w:rsid w:val="00126D17"/>
    <w:rsid w:val="00126D85"/>
    <w:rsid w:val="00126E7A"/>
    <w:rsid w:val="00126EA6"/>
    <w:rsid w:val="00126ECD"/>
    <w:rsid w:val="00126EE5"/>
    <w:rsid w:val="00126F3B"/>
    <w:rsid w:val="00126FF0"/>
    <w:rsid w:val="00126FFF"/>
    <w:rsid w:val="00127025"/>
    <w:rsid w:val="00127044"/>
    <w:rsid w:val="0012704C"/>
    <w:rsid w:val="001270AD"/>
    <w:rsid w:val="001271DF"/>
    <w:rsid w:val="00127223"/>
    <w:rsid w:val="001272CA"/>
    <w:rsid w:val="00127380"/>
    <w:rsid w:val="001273A3"/>
    <w:rsid w:val="001273C9"/>
    <w:rsid w:val="00127480"/>
    <w:rsid w:val="001274FE"/>
    <w:rsid w:val="0012755E"/>
    <w:rsid w:val="0012758B"/>
    <w:rsid w:val="0012763F"/>
    <w:rsid w:val="001276A4"/>
    <w:rsid w:val="001276E5"/>
    <w:rsid w:val="00127704"/>
    <w:rsid w:val="0012770F"/>
    <w:rsid w:val="00127750"/>
    <w:rsid w:val="001277A2"/>
    <w:rsid w:val="001277D4"/>
    <w:rsid w:val="00127820"/>
    <w:rsid w:val="00127838"/>
    <w:rsid w:val="00127866"/>
    <w:rsid w:val="00127884"/>
    <w:rsid w:val="00127890"/>
    <w:rsid w:val="0012789F"/>
    <w:rsid w:val="001279BB"/>
    <w:rsid w:val="00127A23"/>
    <w:rsid w:val="00127A67"/>
    <w:rsid w:val="00127A6D"/>
    <w:rsid w:val="00127B01"/>
    <w:rsid w:val="00127B53"/>
    <w:rsid w:val="00127B75"/>
    <w:rsid w:val="00127BAE"/>
    <w:rsid w:val="00127C34"/>
    <w:rsid w:val="00127C6E"/>
    <w:rsid w:val="00127CAD"/>
    <w:rsid w:val="00127D79"/>
    <w:rsid w:val="00127D93"/>
    <w:rsid w:val="00127DDE"/>
    <w:rsid w:val="00127DF1"/>
    <w:rsid w:val="00127E25"/>
    <w:rsid w:val="00127E59"/>
    <w:rsid w:val="00127EF1"/>
    <w:rsid w:val="00127FAB"/>
    <w:rsid w:val="00130186"/>
    <w:rsid w:val="001301BB"/>
    <w:rsid w:val="001301BE"/>
    <w:rsid w:val="00130319"/>
    <w:rsid w:val="00130345"/>
    <w:rsid w:val="00130417"/>
    <w:rsid w:val="00130454"/>
    <w:rsid w:val="00130477"/>
    <w:rsid w:val="0013054C"/>
    <w:rsid w:val="0013056E"/>
    <w:rsid w:val="001305EA"/>
    <w:rsid w:val="0013061D"/>
    <w:rsid w:val="00130651"/>
    <w:rsid w:val="001306D4"/>
    <w:rsid w:val="0013070D"/>
    <w:rsid w:val="0013093D"/>
    <w:rsid w:val="00130988"/>
    <w:rsid w:val="001309BC"/>
    <w:rsid w:val="00130B2B"/>
    <w:rsid w:val="00130B73"/>
    <w:rsid w:val="00130B8C"/>
    <w:rsid w:val="00130BAE"/>
    <w:rsid w:val="00130C23"/>
    <w:rsid w:val="00130C47"/>
    <w:rsid w:val="00130C82"/>
    <w:rsid w:val="00130CCD"/>
    <w:rsid w:val="00130DF8"/>
    <w:rsid w:val="00130E00"/>
    <w:rsid w:val="00130E93"/>
    <w:rsid w:val="00130EB4"/>
    <w:rsid w:val="00130EC9"/>
    <w:rsid w:val="00130ECE"/>
    <w:rsid w:val="00130EF8"/>
    <w:rsid w:val="00130F3E"/>
    <w:rsid w:val="0013100F"/>
    <w:rsid w:val="00131072"/>
    <w:rsid w:val="00131098"/>
    <w:rsid w:val="001310E2"/>
    <w:rsid w:val="00131106"/>
    <w:rsid w:val="00131242"/>
    <w:rsid w:val="001312B9"/>
    <w:rsid w:val="001312ED"/>
    <w:rsid w:val="001312F0"/>
    <w:rsid w:val="00131344"/>
    <w:rsid w:val="00131349"/>
    <w:rsid w:val="001313C7"/>
    <w:rsid w:val="001313F2"/>
    <w:rsid w:val="001313FA"/>
    <w:rsid w:val="0013146A"/>
    <w:rsid w:val="00131476"/>
    <w:rsid w:val="00131512"/>
    <w:rsid w:val="00131518"/>
    <w:rsid w:val="0013155E"/>
    <w:rsid w:val="0013155F"/>
    <w:rsid w:val="00131698"/>
    <w:rsid w:val="001316A6"/>
    <w:rsid w:val="001316B2"/>
    <w:rsid w:val="001316E5"/>
    <w:rsid w:val="00131825"/>
    <w:rsid w:val="0013184A"/>
    <w:rsid w:val="0013187A"/>
    <w:rsid w:val="001318DC"/>
    <w:rsid w:val="001318FC"/>
    <w:rsid w:val="0013190D"/>
    <w:rsid w:val="001319B3"/>
    <w:rsid w:val="001319CB"/>
    <w:rsid w:val="00131B37"/>
    <w:rsid w:val="00131BD3"/>
    <w:rsid w:val="00131BDE"/>
    <w:rsid w:val="00131D41"/>
    <w:rsid w:val="00131D45"/>
    <w:rsid w:val="00131D9A"/>
    <w:rsid w:val="00131F47"/>
    <w:rsid w:val="00131F8F"/>
    <w:rsid w:val="001320F0"/>
    <w:rsid w:val="001320FE"/>
    <w:rsid w:val="001321E6"/>
    <w:rsid w:val="00132290"/>
    <w:rsid w:val="001322DA"/>
    <w:rsid w:val="00132379"/>
    <w:rsid w:val="001323B7"/>
    <w:rsid w:val="001323D7"/>
    <w:rsid w:val="00132482"/>
    <w:rsid w:val="00132583"/>
    <w:rsid w:val="0013261F"/>
    <w:rsid w:val="0013266D"/>
    <w:rsid w:val="001326FE"/>
    <w:rsid w:val="0013274E"/>
    <w:rsid w:val="001327DF"/>
    <w:rsid w:val="0013284D"/>
    <w:rsid w:val="0013287A"/>
    <w:rsid w:val="00132953"/>
    <w:rsid w:val="00132A7B"/>
    <w:rsid w:val="00132BAE"/>
    <w:rsid w:val="00132C4F"/>
    <w:rsid w:val="00132C60"/>
    <w:rsid w:val="00132CE0"/>
    <w:rsid w:val="00132D2C"/>
    <w:rsid w:val="00132D64"/>
    <w:rsid w:val="00132DA7"/>
    <w:rsid w:val="00132E24"/>
    <w:rsid w:val="00132F7C"/>
    <w:rsid w:val="00132FEC"/>
    <w:rsid w:val="00133007"/>
    <w:rsid w:val="001330B7"/>
    <w:rsid w:val="00133156"/>
    <w:rsid w:val="001331FC"/>
    <w:rsid w:val="00133206"/>
    <w:rsid w:val="001332FB"/>
    <w:rsid w:val="00133378"/>
    <w:rsid w:val="001333DF"/>
    <w:rsid w:val="001333F1"/>
    <w:rsid w:val="001333F2"/>
    <w:rsid w:val="00133489"/>
    <w:rsid w:val="001334B6"/>
    <w:rsid w:val="00133578"/>
    <w:rsid w:val="00133595"/>
    <w:rsid w:val="001336E0"/>
    <w:rsid w:val="001337E3"/>
    <w:rsid w:val="00133927"/>
    <w:rsid w:val="00133A14"/>
    <w:rsid w:val="00133AC2"/>
    <w:rsid w:val="00133AFB"/>
    <w:rsid w:val="00133BC0"/>
    <w:rsid w:val="00133BFF"/>
    <w:rsid w:val="00133C84"/>
    <w:rsid w:val="00133D29"/>
    <w:rsid w:val="00133D57"/>
    <w:rsid w:val="00133D83"/>
    <w:rsid w:val="00133E69"/>
    <w:rsid w:val="00133EAB"/>
    <w:rsid w:val="00133EDB"/>
    <w:rsid w:val="00133EFC"/>
    <w:rsid w:val="00133F1E"/>
    <w:rsid w:val="00133F34"/>
    <w:rsid w:val="00133FD2"/>
    <w:rsid w:val="00134047"/>
    <w:rsid w:val="00134088"/>
    <w:rsid w:val="00134145"/>
    <w:rsid w:val="00134226"/>
    <w:rsid w:val="00134270"/>
    <w:rsid w:val="001342C2"/>
    <w:rsid w:val="00134351"/>
    <w:rsid w:val="001343B6"/>
    <w:rsid w:val="001344B5"/>
    <w:rsid w:val="001344C9"/>
    <w:rsid w:val="001344D7"/>
    <w:rsid w:val="0013463D"/>
    <w:rsid w:val="0013465D"/>
    <w:rsid w:val="00134697"/>
    <w:rsid w:val="00134752"/>
    <w:rsid w:val="001347CC"/>
    <w:rsid w:val="00134819"/>
    <w:rsid w:val="001348A5"/>
    <w:rsid w:val="001348E7"/>
    <w:rsid w:val="00134916"/>
    <w:rsid w:val="0013491B"/>
    <w:rsid w:val="0013499D"/>
    <w:rsid w:val="001349C9"/>
    <w:rsid w:val="001349ED"/>
    <w:rsid w:val="00134A13"/>
    <w:rsid w:val="00134A16"/>
    <w:rsid w:val="00134A24"/>
    <w:rsid w:val="00134A98"/>
    <w:rsid w:val="00134B4F"/>
    <w:rsid w:val="00134B61"/>
    <w:rsid w:val="00134C0A"/>
    <w:rsid w:val="00134C12"/>
    <w:rsid w:val="00134C98"/>
    <w:rsid w:val="00134D02"/>
    <w:rsid w:val="00134D60"/>
    <w:rsid w:val="00134D73"/>
    <w:rsid w:val="00134DD4"/>
    <w:rsid w:val="00134DD6"/>
    <w:rsid w:val="00134DE9"/>
    <w:rsid w:val="00134E66"/>
    <w:rsid w:val="00134EDA"/>
    <w:rsid w:val="00134F6B"/>
    <w:rsid w:val="00134F70"/>
    <w:rsid w:val="00134F93"/>
    <w:rsid w:val="00134F9E"/>
    <w:rsid w:val="0013502E"/>
    <w:rsid w:val="00135101"/>
    <w:rsid w:val="00135204"/>
    <w:rsid w:val="00135273"/>
    <w:rsid w:val="001352A2"/>
    <w:rsid w:val="00135303"/>
    <w:rsid w:val="001353C0"/>
    <w:rsid w:val="001353DC"/>
    <w:rsid w:val="001353E5"/>
    <w:rsid w:val="00135405"/>
    <w:rsid w:val="00135443"/>
    <w:rsid w:val="00135485"/>
    <w:rsid w:val="0013552D"/>
    <w:rsid w:val="00135556"/>
    <w:rsid w:val="001355C4"/>
    <w:rsid w:val="001355CE"/>
    <w:rsid w:val="0013562A"/>
    <w:rsid w:val="00135656"/>
    <w:rsid w:val="00135748"/>
    <w:rsid w:val="001357A8"/>
    <w:rsid w:val="001357DD"/>
    <w:rsid w:val="00135806"/>
    <w:rsid w:val="0013580B"/>
    <w:rsid w:val="00135830"/>
    <w:rsid w:val="001358D1"/>
    <w:rsid w:val="001358F1"/>
    <w:rsid w:val="001358FD"/>
    <w:rsid w:val="00135954"/>
    <w:rsid w:val="00135A9B"/>
    <w:rsid w:val="00135AFF"/>
    <w:rsid w:val="00135B10"/>
    <w:rsid w:val="00135BFD"/>
    <w:rsid w:val="00135C46"/>
    <w:rsid w:val="00135D0A"/>
    <w:rsid w:val="00135D61"/>
    <w:rsid w:val="00135E27"/>
    <w:rsid w:val="00135E52"/>
    <w:rsid w:val="00135EBA"/>
    <w:rsid w:val="00135EE5"/>
    <w:rsid w:val="00135F9A"/>
    <w:rsid w:val="00135FC9"/>
    <w:rsid w:val="00135FD6"/>
    <w:rsid w:val="001360FC"/>
    <w:rsid w:val="00136108"/>
    <w:rsid w:val="00136198"/>
    <w:rsid w:val="0013629C"/>
    <w:rsid w:val="001362F9"/>
    <w:rsid w:val="0013633B"/>
    <w:rsid w:val="0013639A"/>
    <w:rsid w:val="001363C5"/>
    <w:rsid w:val="001363CF"/>
    <w:rsid w:val="0013641C"/>
    <w:rsid w:val="0013644A"/>
    <w:rsid w:val="0013646D"/>
    <w:rsid w:val="0013647F"/>
    <w:rsid w:val="001365B1"/>
    <w:rsid w:val="0013663B"/>
    <w:rsid w:val="00136687"/>
    <w:rsid w:val="001366D4"/>
    <w:rsid w:val="00136712"/>
    <w:rsid w:val="00136727"/>
    <w:rsid w:val="00136850"/>
    <w:rsid w:val="00136A54"/>
    <w:rsid w:val="00136ABC"/>
    <w:rsid w:val="00136B21"/>
    <w:rsid w:val="00136BEA"/>
    <w:rsid w:val="00136C13"/>
    <w:rsid w:val="00136D00"/>
    <w:rsid w:val="00136DCA"/>
    <w:rsid w:val="00136E4D"/>
    <w:rsid w:val="00136E6C"/>
    <w:rsid w:val="00136F3D"/>
    <w:rsid w:val="00136F5B"/>
    <w:rsid w:val="00136F86"/>
    <w:rsid w:val="00136FDF"/>
    <w:rsid w:val="00137075"/>
    <w:rsid w:val="001371AD"/>
    <w:rsid w:val="001371B1"/>
    <w:rsid w:val="001371C7"/>
    <w:rsid w:val="0013727B"/>
    <w:rsid w:val="00137327"/>
    <w:rsid w:val="0013736D"/>
    <w:rsid w:val="00137393"/>
    <w:rsid w:val="00137435"/>
    <w:rsid w:val="0013748C"/>
    <w:rsid w:val="001374A0"/>
    <w:rsid w:val="001374FC"/>
    <w:rsid w:val="00137517"/>
    <w:rsid w:val="00137552"/>
    <w:rsid w:val="001375A1"/>
    <w:rsid w:val="001375B6"/>
    <w:rsid w:val="001375E7"/>
    <w:rsid w:val="00137677"/>
    <w:rsid w:val="001376E9"/>
    <w:rsid w:val="001376FF"/>
    <w:rsid w:val="00137772"/>
    <w:rsid w:val="00137783"/>
    <w:rsid w:val="00137795"/>
    <w:rsid w:val="001377A6"/>
    <w:rsid w:val="001377C6"/>
    <w:rsid w:val="001377ED"/>
    <w:rsid w:val="00137801"/>
    <w:rsid w:val="00137833"/>
    <w:rsid w:val="001378B3"/>
    <w:rsid w:val="00137902"/>
    <w:rsid w:val="00137955"/>
    <w:rsid w:val="001379BC"/>
    <w:rsid w:val="00137A4F"/>
    <w:rsid w:val="00137A82"/>
    <w:rsid w:val="00137B15"/>
    <w:rsid w:val="00137B19"/>
    <w:rsid w:val="00137B1A"/>
    <w:rsid w:val="00137B5F"/>
    <w:rsid w:val="00137BAA"/>
    <w:rsid w:val="00137C16"/>
    <w:rsid w:val="00137C57"/>
    <w:rsid w:val="00137D44"/>
    <w:rsid w:val="00137D4F"/>
    <w:rsid w:val="00137DE2"/>
    <w:rsid w:val="00137DF7"/>
    <w:rsid w:val="00137E97"/>
    <w:rsid w:val="00137EBE"/>
    <w:rsid w:val="00137F55"/>
    <w:rsid w:val="00137F61"/>
    <w:rsid w:val="00137F7E"/>
    <w:rsid w:val="001400AB"/>
    <w:rsid w:val="001400E8"/>
    <w:rsid w:val="00140139"/>
    <w:rsid w:val="001401CC"/>
    <w:rsid w:val="001401FB"/>
    <w:rsid w:val="00140219"/>
    <w:rsid w:val="00140233"/>
    <w:rsid w:val="00140255"/>
    <w:rsid w:val="001402CB"/>
    <w:rsid w:val="001402F8"/>
    <w:rsid w:val="00140319"/>
    <w:rsid w:val="0014037C"/>
    <w:rsid w:val="001403AB"/>
    <w:rsid w:val="0014046D"/>
    <w:rsid w:val="0014049F"/>
    <w:rsid w:val="00140529"/>
    <w:rsid w:val="00140564"/>
    <w:rsid w:val="00140588"/>
    <w:rsid w:val="001405AF"/>
    <w:rsid w:val="00140695"/>
    <w:rsid w:val="001406BE"/>
    <w:rsid w:val="001406E3"/>
    <w:rsid w:val="00140747"/>
    <w:rsid w:val="0014074F"/>
    <w:rsid w:val="00140763"/>
    <w:rsid w:val="0014087A"/>
    <w:rsid w:val="001408DB"/>
    <w:rsid w:val="001408E7"/>
    <w:rsid w:val="00140900"/>
    <w:rsid w:val="00140925"/>
    <w:rsid w:val="00140987"/>
    <w:rsid w:val="0014098A"/>
    <w:rsid w:val="001409BD"/>
    <w:rsid w:val="001409C5"/>
    <w:rsid w:val="00140A04"/>
    <w:rsid w:val="00140A33"/>
    <w:rsid w:val="00140A7D"/>
    <w:rsid w:val="00140AA5"/>
    <w:rsid w:val="00140AC3"/>
    <w:rsid w:val="00140B21"/>
    <w:rsid w:val="00140BB7"/>
    <w:rsid w:val="00140BB9"/>
    <w:rsid w:val="00140C06"/>
    <w:rsid w:val="00140C64"/>
    <w:rsid w:val="00140C66"/>
    <w:rsid w:val="00140D30"/>
    <w:rsid w:val="00140D7E"/>
    <w:rsid w:val="00140D9A"/>
    <w:rsid w:val="00140DA5"/>
    <w:rsid w:val="00140DD0"/>
    <w:rsid w:val="00140ECD"/>
    <w:rsid w:val="00140F38"/>
    <w:rsid w:val="00140FCA"/>
    <w:rsid w:val="00141027"/>
    <w:rsid w:val="00141063"/>
    <w:rsid w:val="00141098"/>
    <w:rsid w:val="001410DF"/>
    <w:rsid w:val="00141207"/>
    <w:rsid w:val="0014121F"/>
    <w:rsid w:val="00141228"/>
    <w:rsid w:val="0014127A"/>
    <w:rsid w:val="00141357"/>
    <w:rsid w:val="001413DF"/>
    <w:rsid w:val="001413FC"/>
    <w:rsid w:val="0014143C"/>
    <w:rsid w:val="001414AB"/>
    <w:rsid w:val="00141507"/>
    <w:rsid w:val="00141579"/>
    <w:rsid w:val="001415A1"/>
    <w:rsid w:val="001415B5"/>
    <w:rsid w:val="001415E4"/>
    <w:rsid w:val="00141609"/>
    <w:rsid w:val="00141686"/>
    <w:rsid w:val="00141693"/>
    <w:rsid w:val="0014173C"/>
    <w:rsid w:val="0014174A"/>
    <w:rsid w:val="001417DE"/>
    <w:rsid w:val="001417EB"/>
    <w:rsid w:val="00141861"/>
    <w:rsid w:val="00141866"/>
    <w:rsid w:val="001418EB"/>
    <w:rsid w:val="001418F9"/>
    <w:rsid w:val="0014192F"/>
    <w:rsid w:val="00141979"/>
    <w:rsid w:val="00141995"/>
    <w:rsid w:val="001419D4"/>
    <w:rsid w:val="00141A34"/>
    <w:rsid w:val="00141A37"/>
    <w:rsid w:val="00141A9C"/>
    <w:rsid w:val="00141AD5"/>
    <w:rsid w:val="00141B18"/>
    <w:rsid w:val="00141B9C"/>
    <w:rsid w:val="00141BCA"/>
    <w:rsid w:val="00141CAC"/>
    <w:rsid w:val="00141CC8"/>
    <w:rsid w:val="00141CF5"/>
    <w:rsid w:val="00141D9E"/>
    <w:rsid w:val="00141EA5"/>
    <w:rsid w:val="00141EB6"/>
    <w:rsid w:val="00141F0A"/>
    <w:rsid w:val="00141F3A"/>
    <w:rsid w:val="00141FC3"/>
    <w:rsid w:val="0014200A"/>
    <w:rsid w:val="00142088"/>
    <w:rsid w:val="0014208D"/>
    <w:rsid w:val="001420BD"/>
    <w:rsid w:val="00142114"/>
    <w:rsid w:val="001421E1"/>
    <w:rsid w:val="001421E9"/>
    <w:rsid w:val="001421F0"/>
    <w:rsid w:val="00142226"/>
    <w:rsid w:val="0014224B"/>
    <w:rsid w:val="0014226A"/>
    <w:rsid w:val="0014228E"/>
    <w:rsid w:val="00142349"/>
    <w:rsid w:val="0014235C"/>
    <w:rsid w:val="0014237D"/>
    <w:rsid w:val="00142399"/>
    <w:rsid w:val="001423F8"/>
    <w:rsid w:val="001423FE"/>
    <w:rsid w:val="001424B9"/>
    <w:rsid w:val="00142693"/>
    <w:rsid w:val="001426D0"/>
    <w:rsid w:val="001426F4"/>
    <w:rsid w:val="00142790"/>
    <w:rsid w:val="001427E8"/>
    <w:rsid w:val="001427F0"/>
    <w:rsid w:val="0014281C"/>
    <w:rsid w:val="0014285E"/>
    <w:rsid w:val="001428D5"/>
    <w:rsid w:val="00142971"/>
    <w:rsid w:val="001429BC"/>
    <w:rsid w:val="00142A3F"/>
    <w:rsid w:val="00142AF1"/>
    <w:rsid w:val="00142B0D"/>
    <w:rsid w:val="00142B54"/>
    <w:rsid w:val="00142B85"/>
    <w:rsid w:val="00142BBE"/>
    <w:rsid w:val="00142BDF"/>
    <w:rsid w:val="00142C31"/>
    <w:rsid w:val="00142D0C"/>
    <w:rsid w:val="00142D63"/>
    <w:rsid w:val="00142D8A"/>
    <w:rsid w:val="00142E0B"/>
    <w:rsid w:val="00142E64"/>
    <w:rsid w:val="00142E7D"/>
    <w:rsid w:val="00142EB5"/>
    <w:rsid w:val="00143054"/>
    <w:rsid w:val="00143072"/>
    <w:rsid w:val="0014307C"/>
    <w:rsid w:val="001430D2"/>
    <w:rsid w:val="00143126"/>
    <w:rsid w:val="0014318C"/>
    <w:rsid w:val="001431D5"/>
    <w:rsid w:val="001431F0"/>
    <w:rsid w:val="00143251"/>
    <w:rsid w:val="001432B8"/>
    <w:rsid w:val="0014331E"/>
    <w:rsid w:val="00143413"/>
    <w:rsid w:val="0014341E"/>
    <w:rsid w:val="00143478"/>
    <w:rsid w:val="001435CC"/>
    <w:rsid w:val="00143601"/>
    <w:rsid w:val="00143661"/>
    <w:rsid w:val="001436CD"/>
    <w:rsid w:val="001436FB"/>
    <w:rsid w:val="001437CC"/>
    <w:rsid w:val="001437D9"/>
    <w:rsid w:val="001437EA"/>
    <w:rsid w:val="0014383E"/>
    <w:rsid w:val="0014393D"/>
    <w:rsid w:val="0014398E"/>
    <w:rsid w:val="00143A0B"/>
    <w:rsid w:val="00143A53"/>
    <w:rsid w:val="00143A58"/>
    <w:rsid w:val="00143AB8"/>
    <w:rsid w:val="00143ACF"/>
    <w:rsid w:val="00143AF7"/>
    <w:rsid w:val="00143B0A"/>
    <w:rsid w:val="00143B35"/>
    <w:rsid w:val="00143BBE"/>
    <w:rsid w:val="00143C47"/>
    <w:rsid w:val="00143C61"/>
    <w:rsid w:val="00143D55"/>
    <w:rsid w:val="00143DDD"/>
    <w:rsid w:val="00143E4F"/>
    <w:rsid w:val="00143F06"/>
    <w:rsid w:val="00143F2F"/>
    <w:rsid w:val="00143F42"/>
    <w:rsid w:val="00143FCF"/>
    <w:rsid w:val="0014406B"/>
    <w:rsid w:val="001440A5"/>
    <w:rsid w:val="001440D0"/>
    <w:rsid w:val="001440ED"/>
    <w:rsid w:val="001440F9"/>
    <w:rsid w:val="0014412D"/>
    <w:rsid w:val="00144355"/>
    <w:rsid w:val="001443AF"/>
    <w:rsid w:val="00144475"/>
    <w:rsid w:val="0014447A"/>
    <w:rsid w:val="00144499"/>
    <w:rsid w:val="001444CA"/>
    <w:rsid w:val="001444DF"/>
    <w:rsid w:val="00144689"/>
    <w:rsid w:val="00144698"/>
    <w:rsid w:val="0014481C"/>
    <w:rsid w:val="00144859"/>
    <w:rsid w:val="00144867"/>
    <w:rsid w:val="001448B2"/>
    <w:rsid w:val="001448DA"/>
    <w:rsid w:val="0014495C"/>
    <w:rsid w:val="001449A4"/>
    <w:rsid w:val="001449EE"/>
    <w:rsid w:val="001449FC"/>
    <w:rsid w:val="00144A1B"/>
    <w:rsid w:val="00144A5C"/>
    <w:rsid w:val="00144BD3"/>
    <w:rsid w:val="00144C0C"/>
    <w:rsid w:val="00144C56"/>
    <w:rsid w:val="00144C64"/>
    <w:rsid w:val="00144CA0"/>
    <w:rsid w:val="00144D2D"/>
    <w:rsid w:val="00144D2E"/>
    <w:rsid w:val="00144D67"/>
    <w:rsid w:val="00144DB9"/>
    <w:rsid w:val="00144E0B"/>
    <w:rsid w:val="00144EDC"/>
    <w:rsid w:val="00144FD5"/>
    <w:rsid w:val="00144FD6"/>
    <w:rsid w:val="0014514E"/>
    <w:rsid w:val="001451FE"/>
    <w:rsid w:val="00145215"/>
    <w:rsid w:val="00145223"/>
    <w:rsid w:val="00145229"/>
    <w:rsid w:val="00145256"/>
    <w:rsid w:val="0014526F"/>
    <w:rsid w:val="001452CB"/>
    <w:rsid w:val="001452D3"/>
    <w:rsid w:val="001452F2"/>
    <w:rsid w:val="0014537F"/>
    <w:rsid w:val="00145537"/>
    <w:rsid w:val="00145543"/>
    <w:rsid w:val="00145571"/>
    <w:rsid w:val="0014557F"/>
    <w:rsid w:val="00145618"/>
    <w:rsid w:val="001456BE"/>
    <w:rsid w:val="001456F8"/>
    <w:rsid w:val="00145863"/>
    <w:rsid w:val="0014588C"/>
    <w:rsid w:val="001458AB"/>
    <w:rsid w:val="001458ED"/>
    <w:rsid w:val="00145A06"/>
    <w:rsid w:val="00145A20"/>
    <w:rsid w:val="00145A2E"/>
    <w:rsid w:val="00145A9D"/>
    <w:rsid w:val="00145ACA"/>
    <w:rsid w:val="00145AE7"/>
    <w:rsid w:val="00145B51"/>
    <w:rsid w:val="00145BB4"/>
    <w:rsid w:val="00145C06"/>
    <w:rsid w:val="00145C17"/>
    <w:rsid w:val="00145C36"/>
    <w:rsid w:val="00145C44"/>
    <w:rsid w:val="00145C55"/>
    <w:rsid w:val="00145C6A"/>
    <w:rsid w:val="00145CEC"/>
    <w:rsid w:val="00145D16"/>
    <w:rsid w:val="00145DEE"/>
    <w:rsid w:val="00145DF0"/>
    <w:rsid w:val="00145E60"/>
    <w:rsid w:val="00145E66"/>
    <w:rsid w:val="00145EA9"/>
    <w:rsid w:val="00145EF4"/>
    <w:rsid w:val="00145F00"/>
    <w:rsid w:val="00145F0A"/>
    <w:rsid w:val="00145F4C"/>
    <w:rsid w:val="00145FBF"/>
    <w:rsid w:val="0014601C"/>
    <w:rsid w:val="00146172"/>
    <w:rsid w:val="001461AD"/>
    <w:rsid w:val="00146224"/>
    <w:rsid w:val="001462F9"/>
    <w:rsid w:val="00146358"/>
    <w:rsid w:val="001463AF"/>
    <w:rsid w:val="00146476"/>
    <w:rsid w:val="001464CD"/>
    <w:rsid w:val="00146567"/>
    <w:rsid w:val="0014658C"/>
    <w:rsid w:val="00146610"/>
    <w:rsid w:val="00146624"/>
    <w:rsid w:val="001466B8"/>
    <w:rsid w:val="0014677B"/>
    <w:rsid w:val="00146834"/>
    <w:rsid w:val="0014688A"/>
    <w:rsid w:val="001468E9"/>
    <w:rsid w:val="001469E4"/>
    <w:rsid w:val="00146A06"/>
    <w:rsid w:val="00146A07"/>
    <w:rsid w:val="00146A8C"/>
    <w:rsid w:val="00146B3D"/>
    <w:rsid w:val="00146B90"/>
    <w:rsid w:val="00146B9B"/>
    <w:rsid w:val="00146C0E"/>
    <w:rsid w:val="00146C49"/>
    <w:rsid w:val="00146C57"/>
    <w:rsid w:val="00146C7A"/>
    <w:rsid w:val="00146D5B"/>
    <w:rsid w:val="00146E24"/>
    <w:rsid w:val="00146F72"/>
    <w:rsid w:val="00146F8A"/>
    <w:rsid w:val="00146FF7"/>
    <w:rsid w:val="00147049"/>
    <w:rsid w:val="001470CF"/>
    <w:rsid w:val="00147182"/>
    <w:rsid w:val="00147199"/>
    <w:rsid w:val="001471DE"/>
    <w:rsid w:val="0014724A"/>
    <w:rsid w:val="001472B0"/>
    <w:rsid w:val="0014734D"/>
    <w:rsid w:val="0014738B"/>
    <w:rsid w:val="00147391"/>
    <w:rsid w:val="00147393"/>
    <w:rsid w:val="001473F4"/>
    <w:rsid w:val="00147411"/>
    <w:rsid w:val="00147427"/>
    <w:rsid w:val="0014747B"/>
    <w:rsid w:val="001474C2"/>
    <w:rsid w:val="00147523"/>
    <w:rsid w:val="00147528"/>
    <w:rsid w:val="00147536"/>
    <w:rsid w:val="00147549"/>
    <w:rsid w:val="0014754D"/>
    <w:rsid w:val="0014759F"/>
    <w:rsid w:val="001475A8"/>
    <w:rsid w:val="001475F3"/>
    <w:rsid w:val="00147724"/>
    <w:rsid w:val="00147765"/>
    <w:rsid w:val="00147841"/>
    <w:rsid w:val="001478AB"/>
    <w:rsid w:val="001478D2"/>
    <w:rsid w:val="0014797A"/>
    <w:rsid w:val="0014798F"/>
    <w:rsid w:val="00147992"/>
    <w:rsid w:val="001479D1"/>
    <w:rsid w:val="00147A87"/>
    <w:rsid w:val="00147A92"/>
    <w:rsid w:val="00147B2E"/>
    <w:rsid w:val="00147CD3"/>
    <w:rsid w:val="00147D11"/>
    <w:rsid w:val="00147D1A"/>
    <w:rsid w:val="00147D5C"/>
    <w:rsid w:val="00147DB9"/>
    <w:rsid w:val="00147DBD"/>
    <w:rsid w:val="00147E17"/>
    <w:rsid w:val="00147E57"/>
    <w:rsid w:val="00147E81"/>
    <w:rsid w:val="00147E90"/>
    <w:rsid w:val="00147F88"/>
    <w:rsid w:val="00147F8A"/>
    <w:rsid w:val="00147FB7"/>
    <w:rsid w:val="00150032"/>
    <w:rsid w:val="00150068"/>
    <w:rsid w:val="001500AA"/>
    <w:rsid w:val="001501C9"/>
    <w:rsid w:val="001501D2"/>
    <w:rsid w:val="00150376"/>
    <w:rsid w:val="00150390"/>
    <w:rsid w:val="001503AE"/>
    <w:rsid w:val="001503F4"/>
    <w:rsid w:val="0015043A"/>
    <w:rsid w:val="0015044B"/>
    <w:rsid w:val="00150486"/>
    <w:rsid w:val="0015053F"/>
    <w:rsid w:val="001505FC"/>
    <w:rsid w:val="0015060A"/>
    <w:rsid w:val="0015065C"/>
    <w:rsid w:val="0015067D"/>
    <w:rsid w:val="001506D8"/>
    <w:rsid w:val="0015075D"/>
    <w:rsid w:val="00150908"/>
    <w:rsid w:val="0015099D"/>
    <w:rsid w:val="001509A6"/>
    <w:rsid w:val="00150A2A"/>
    <w:rsid w:val="00150B04"/>
    <w:rsid w:val="00150B08"/>
    <w:rsid w:val="00150B22"/>
    <w:rsid w:val="00150B25"/>
    <w:rsid w:val="00150B72"/>
    <w:rsid w:val="00150BDC"/>
    <w:rsid w:val="00150BDF"/>
    <w:rsid w:val="00150C21"/>
    <w:rsid w:val="00150C83"/>
    <w:rsid w:val="00150CD7"/>
    <w:rsid w:val="00150D53"/>
    <w:rsid w:val="00150E26"/>
    <w:rsid w:val="00150E4F"/>
    <w:rsid w:val="00150F50"/>
    <w:rsid w:val="00150F7B"/>
    <w:rsid w:val="00151069"/>
    <w:rsid w:val="001510B3"/>
    <w:rsid w:val="00151108"/>
    <w:rsid w:val="0015126C"/>
    <w:rsid w:val="001512E6"/>
    <w:rsid w:val="0015130B"/>
    <w:rsid w:val="00151318"/>
    <w:rsid w:val="00151327"/>
    <w:rsid w:val="00151361"/>
    <w:rsid w:val="0015138A"/>
    <w:rsid w:val="00151468"/>
    <w:rsid w:val="001514B4"/>
    <w:rsid w:val="001514E3"/>
    <w:rsid w:val="00151692"/>
    <w:rsid w:val="001516DD"/>
    <w:rsid w:val="00151704"/>
    <w:rsid w:val="00151710"/>
    <w:rsid w:val="00151756"/>
    <w:rsid w:val="00151762"/>
    <w:rsid w:val="00151876"/>
    <w:rsid w:val="001518AD"/>
    <w:rsid w:val="001518E0"/>
    <w:rsid w:val="00151921"/>
    <w:rsid w:val="00151969"/>
    <w:rsid w:val="00151A09"/>
    <w:rsid w:val="00151B61"/>
    <w:rsid w:val="00151BCC"/>
    <w:rsid w:val="00151BDA"/>
    <w:rsid w:val="00151C12"/>
    <w:rsid w:val="00151C66"/>
    <w:rsid w:val="00151C7A"/>
    <w:rsid w:val="00151CF4"/>
    <w:rsid w:val="00151DB5"/>
    <w:rsid w:val="00151DBD"/>
    <w:rsid w:val="00151E35"/>
    <w:rsid w:val="00151E8B"/>
    <w:rsid w:val="00151EBD"/>
    <w:rsid w:val="00151F9D"/>
    <w:rsid w:val="00151FB8"/>
    <w:rsid w:val="00151FC0"/>
    <w:rsid w:val="00152056"/>
    <w:rsid w:val="0015207E"/>
    <w:rsid w:val="001520C4"/>
    <w:rsid w:val="001520D6"/>
    <w:rsid w:val="0015213A"/>
    <w:rsid w:val="0015214D"/>
    <w:rsid w:val="001521CD"/>
    <w:rsid w:val="00152228"/>
    <w:rsid w:val="00152364"/>
    <w:rsid w:val="00152370"/>
    <w:rsid w:val="00152471"/>
    <w:rsid w:val="00152512"/>
    <w:rsid w:val="0015251F"/>
    <w:rsid w:val="0015255B"/>
    <w:rsid w:val="0015257A"/>
    <w:rsid w:val="00152644"/>
    <w:rsid w:val="001526CD"/>
    <w:rsid w:val="001526F2"/>
    <w:rsid w:val="001526F5"/>
    <w:rsid w:val="00152700"/>
    <w:rsid w:val="0015272A"/>
    <w:rsid w:val="00152751"/>
    <w:rsid w:val="001527B2"/>
    <w:rsid w:val="001527C1"/>
    <w:rsid w:val="00152841"/>
    <w:rsid w:val="00152853"/>
    <w:rsid w:val="0015287C"/>
    <w:rsid w:val="00152895"/>
    <w:rsid w:val="00152985"/>
    <w:rsid w:val="001529E5"/>
    <w:rsid w:val="00152A09"/>
    <w:rsid w:val="00152A5F"/>
    <w:rsid w:val="00152A7F"/>
    <w:rsid w:val="00152A9F"/>
    <w:rsid w:val="00152AC1"/>
    <w:rsid w:val="00152B08"/>
    <w:rsid w:val="00152B45"/>
    <w:rsid w:val="00152BA6"/>
    <w:rsid w:val="00152D36"/>
    <w:rsid w:val="00152D37"/>
    <w:rsid w:val="00152D4E"/>
    <w:rsid w:val="00152DEC"/>
    <w:rsid w:val="00152E11"/>
    <w:rsid w:val="00152E49"/>
    <w:rsid w:val="00152E56"/>
    <w:rsid w:val="00152EAD"/>
    <w:rsid w:val="00152F49"/>
    <w:rsid w:val="00152F6D"/>
    <w:rsid w:val="00152F8C"/>
    <w:rsid w:val="00152F94"/>
    <w:rsid w:val="00152F96"/>
    <w:rsid w:val="00153025"/>
    <w:rsid w:val="00153037"/>
    <w:rsid w:val="0015305C"/>
    <w:rsid w:val="00153087"/>
    <w:rsid w:val="0015308C"/>
    <w:rsid w:val="001530A0"/>
    <w:rsid w:val="001530EC"/>
    <w:rsid w:val="00153104"/>
    <w:rsid w:val="001531D6"/>
    <w:rsid w:val="001531FF"/>
    <w:rsid w:val="00153255"/>
    <w:rsid w:val="001533D2"/>
    <w:rsid w:val="00153448"/>
    <w:rsid w:val="00153477"/>
    <w:rsid w:val="00153560"/>
    <w:rsid w:val="00153699"/>
    <w:rsid w:val="00153701"/>
    <w:rsid w:val="00153726"/>
    <w:rsid w:val="001537D0"/>
    <w:rsid w:val="001537DE"/>
    <w:rsid w:val="0015383B"/>
    <w:rsid w:val="00153884"/>
    <w:rsid w:val="001538FE"/>
    <w:rsid w:val="00153917"/>
    <w:rsid w:val="00153924"/>
    <w:rsid w:val="00153975"/>
    <w:rsid w:val="0015399F"/>
    <w:rsid w:val="001539CD"/>
    <w:rsid w:val="00153A8F"/>
    <w:rsid w:val="00153B02"/>
    <w:rsid w:val="00153B19"/>
    <w:rsid w:val="00153C0B"/>
    <w:rsid w:val="00153C9D"/>
    <w:rsid w:val="00153D37"/>
    <w:rsid w:val="00153D45"/>
    <w:rsid w:val="00153DEA"/>
    <w:rsid w:val="00153FA1"/>
    <w:rsid w:val="00153FD6"/>
    <w:rsid w:val="00153FF3"/>
    <w:rsid w:val="00153FFB"/>
    <w:rsid w:val="0015404D"/>
    <w:rsid w:val="00154163"/>
    <w:rsid w:val="00154177"/>
    <w:rsid w:val="00154192"/>
    <w:rsid w:val="0015423C"/>
    <w:rsid w:val="001542E3"/>
    <w:rsid w:val="00154300"/>
    <w:rsid w:val="00154439"/>
    <w:rsid w:val="00154532"/>
    <w:rsid w:val="0015457A"/>
    <w:rsid w:val="001547CA"/>
    <w:rsid w:val="001548CD"/>
    <w:rsid w:val="00154989"/>
    <w:rsid w:val="00154A91"/>
    <w:rsid w:val="00154B0B"/>
    <w:rsid w:val="00154BB4"/>
    <w:rsid w:val="00154BB8"/>
    <w:rsid w:val="00154C41"/>
    <w:rsid w:val="00154C51"/>
    <w:rsid w:val="00154CC2"/>
    <w:rsid w:val="00154CFF"/>
    <w:rsid w:val="00154D31"/>
    <w:rsid w:val="00154F65"/>
    <w:rsid w:val="00154F88"/>
    <w:rsid w:val="00154FAE"/>
    <w:rsid w:val="00155011"/>
    <w:rsid w:val="0015501F"/>
    <w:rsid w:val="00155061"/>
    <w:rsid w:val="00155121"/>
    <w:rsid w:val="001551A6"/>
    <w:rsid w:val="001551F1"/>
    <w:rsid w:val="00155252"/>
    <w:rsid w:val="00155277"/>
    <w:rsid w:val="00155292"/>
    <w:rsid w:val="001552A0"/>
    <w:rsid w:val="001553C5"/>
    <w:rsid w:val="00155434"/>
    <w:rsid w:val="00155471"/>
    <w:rsid w:val="00155579"/>
    <w:rsid w:val="00155624"/>
    <w:rsid w:val="00155657"/>
    <w:rsid w:val="00155674"/>
    <w:rsid w:val="001556A9"/>
    <w:rsid w:val="001556EE"/>
    <w:rsid w:val="001556F7"/>
    <w:rsid w:val="0015572B"/>
    <w:rsid w:val="00155739"/>
    <w:rsid w:val="00155742"/>
    <w:rsid w:val="0015574D"/>
    <w:rsid w:val="0015579B"/>
    <w:rsid w:val="001557AD"/>
    <w:rsid w:val="00155864"/>
    <w:rsid w:val="00155897"/>
    <w:rsid w:val="001558A5"/>
    <w:rsid w:val="001558B7"/>
    <w:rsid w:val="001558EF"/>
    <w:rsid w:val="0015594E"/>
    <w:rsid w:val="00155956"/>
    <w:rsid w:val="00155973"/>
    <w:rsid w:val="001559A5"/>
    <w:rsid w:val="001559D8"/>
    <w:rsid w:val="001559E3"/>
    <w:rsid w:val="00155A09"/>
    <w:rsid w:val="00155A1E"/>
    <w:rsid w:val="00155BD9"/>
    <w:rsid w:val="00155BDA"/>
    <w:rsid w:val="00155C45"/>
    <w:rsid w:val="00155C67"/>
    <w:rsid w:val="00155C71"/>
    <w:rsid w:val="00155CD7"/>
    <w:rsid w:val="00155D51"/>
    <w:rsid w:val="00155D9D"/>
    <w:rsid w:val="00155E40"/>
    <w:rsid w:val="00155F45"/>
    <w:rsid w:val="00155FDF"/>
    <w:rsid w:val="00156007"/>
    <w:rsid w:val="001560B8"/>
    <w:rsid w:val="0015613E"/>
    <w:rsid w:val="00156182"/>
    <w:rsid w:val="00156187"/>
    <w:rsid w:val="001561F9"/>
    <w:rsid w:val="001562A1"/>
    <w:rsid w:val="0015631B"/>
    <w:rsid w:val="0015631F"/>
    <w:rsid w:val="0015633B"/>
    <w:rsid w:val="00156359"/>
    <w:rsid w:val="0015657C"/>
    <w:rsid w:val="00156766"/>
    <w:rsid w:val="001567D8"/>
    <w:rsid w:val="001568B3"/>
    <w:rsid w:val="0015691A"/>
    <w:rsid w:val="00156946"/>
    <w:rsid w:val="00156A36"/>
    <w:rsid w:val="00156B42"/>
    <w:rsid w:val="00156B63"/>
    <w:rsid w:val="00156B7C"/>
    <w:rsid w:val="00156B92"/>
    <w:rsid w:val="00156BB6"/>
    <w:rsid w:val="00156CCE"/>
    <w:rsid w:val="00156E1C"/>
    <w:rsid w:val="00156E77"/>
    <w:rsid w:val="00156F18"/>
    <w:rsid w:val="00156F27"/>
    <w:rsid w:val="00156FA7"/>
    <w:rsid w:val="00156FA9"/>
    <w:rsid w:val="0015700A"/>
    <w:rsid w:val="0015706B"/>
    <w:rsid w:val="00157080"/>
    <w:rsid w:val="00157093"/>
    <w:rsid w:val="001570BB"/>
    <w:rsid w:val="00157138"/>
    <w:rsid w:val="00157172"/>
    <w:rsid w:val="0015717B"/>
    <w:rsid w:val="00157207"/>
    <w:rsid w:val="0015720B"/>
    <w:rsid w:val="001573F2"/>
    <w:rsid w:val="001574B8"/>
    <w:rsid w:val="001574EE"/>
    <w:rsid w:val="00157511"/>
    <w:rsid w:val="0015752E"/>
    <w:rsid w:val="00157659"/>
    <w:rsid w:val="001576B5"/>
    <w:rsid w:val="001576CB"/>
    <w:rsid w:val="001576DF"/>
    <w:rsid w:val="001576EE"/>
    <w:rsid w:val="00157730"/>
    <w:rsid w:val="0015781B"/>
    <w:rsid w:val="00157832"/>
    <w:rsid w:val="001578B2"/>
    <w:rsid w:val="001578F7"/>
    <w:rsid w:val="00157964"/>
    <w:rsid w:val="001579E8"/>
    <w:rsid w:val="00157A7D"/>
    <w:rsid w:val="00157A8E"/>
    <w:rsid w:val="00157AA9"/>
    <w:rsid w:val="00157B2D"/>
    <w:rsid w:val="00157B33"/>
    <w:rsid w:val="00157BB3"/>
    <w:rsid w:val="00157C14"/>
    <w:rsid w:val="00157C50"/>
    <w:rsid w:val="00157C79"/>
    <w:rsid w:val="00157CB9"/>
    <w:rsid w:val="00157CFA"/>
    <w:rsid w:val="00157D3E"/>
    <w:rsid w:val="00157DFE"/>
    <w:rsid w:val="00157F55"/>
    <w:rsid w:val="00157F81"/>
    <w:rsid w:val="00157FB3"/>
    <w:rsid w:val="00160055"/>
    <w:rsid w:val="0016007D"/>
    <w:rsid w:val="001600B3"/>
    <w:rsid w:val="001600C8"/>
    <w:rsid w:val="001601E1"/>
    <w:rsid w:val="0016023A"/>
    <w:rsid w:val="00160265"/>
    <w:rsid w:val="001602F4"/>
    <w:rsid w:val="00160372"/>
    <w:rsid w:val="001603D5"/>
    <w:rsid w:val="0016042F"/>
    <w:rsid w:val="00160469"/>
    <w:rsid w:val="001605AB"/>
    <w:rsid w:val="001605AE"/>
    <w:rsid w:val="001605B9"/>
    <w:rsid w:val="00160651"/>
    <w:rsid w:val="001606E8"/>
    <w:rsid w:val="00160703"/>
    <w:rsid w:val="00160769"/>
    <w:rsid w:val="001608AF"/>
    <w:rsid w:val="0016094A"/>
    <w:rsid w:val="00160975"/>
    <w:rsid w:val="00160BC6"/>
    <w:rsid w:val="00160C48"/>
    <w:rsid w:val="00160C57"/>
    <w:rsid w:val="00160C69"/>
    <w:rsid w:val="00160D5A"/>
    <w:rsid w:val="00160D62"/>
    <w:rsid w:val="00160DD3"/>
    <w:rsid w:val="00160DF8"/>
    <w:rsid w:val="00160E08"/>
    <w:rsid w:val="00160E79"/>
    <w:rsid w:val="00160EA8"/>
    <w:rsid w:val="00160F12"/>
    <w:rsid w:val="00160F50"/>
    <w:rsid w:val="00160F89"/>
    <w:rsid w:val="00160FAF"/>
    <w:rsid w:val="00160FF1"/>
    <w:rsid w:val="0016101A"/>
    <w:rsid w:val="0016106D"/>
    <w:rsid w:val="00161101"/>
    <w:rsid w:val="00161177"/>
    <w:rsid w:val="0016117E"/>
    <w:rsid w:val="001611B9"/>
    <w:rsid w:val="00161392"/>
    <w:rsid w:val="00161446"/>
    <w:rsid w:val="00161481"/>
    <w:rsid w:val="00161548"/>
    <w:rsid w:val="001616CD"/>
    <w:rsid w:val="0016172A"/>
    <w:rsid w:val="0016180F"/>
    <w:rsid w:val="001618EB"/>
    <w:rsid w:val="00161999"/>
    <w:rsid w:val="001619D5"/>
    <w:rsid w:val="00161A3D"/>
    <w:rsid w:val="00161A80"/>
    <w:rsid w:val="00161ABC"/>
    <w:rsid w:val="00161BAA"/>
    <w:rsid w:val="00161BCF"/>
    <w:rsid w:val="00161CBB"/>
    <w:rsid w:val="00161CBF"/>
    <w:rsid w:val="00161DF8"/>
    <w:rsid w:val="00161E1E"/>
    <w:rsid w:val="00161EC1"/>
    <w:rsid w:val="00161F3C"/>
    <w:rsid w:val="00161F5E"/>
    <w:rsid w:val="00161FCC"/>
    <w:rsid w:val="00162041"/>
    <w:rsid w:val="001620A1"/>
    <w:rsid w:val="001620CF"/>
    <w:rsid w:val="0016217E"/>
    <w:rsid w:val="00162185"/>
    <w:rsid w:val="001621A4"/>
    <w:rsid w:val="0016226D"/>
    <w:rsid w:val="00162289"/>
    <w:rsid w:val="001622A6"/>
    <w:rsid w:val="001622D2"/>
    <w:rsid w:val="0016240B"/>
    <w:rsid w:val="00162411"/>
    <w:rsid w:val="00162490"/>
    <w:rsid w:val="001624ED"/>
    <w:rsid w:val="001625AA"/>
    <w:rsid w:val="001625F1"/>
    <w:rsid w:val="001626A8"/>
    <w:rsid w:val="001626AF"/>
    <w:rsid w:val="001626B2"/>
    <w:rsid w:val="001626CC"/>
    <w:rsid w:val="0016272D"/>
    <w:rsid w:val="00162735"/>
    <w:rsid w:val="001627A1"/>
    <w:rsid w:val="001627AD"/>
    <w:rsid w:val="001627DB"/>
    <w:rsid w:val="001628D1"/>
    <w:rsid w:val="00162928"/>
    <w:rsid w:val="0016295C"/>
    <w:rsid w:val="00162A1E"/>
    <w:rsid w:val="00162A7A"/>
    <w:rsid w:val="00162A80"/>
    <w:rsid w:val="00162A93"/>
    <w:rsid w:val="00162AEC"/>
    <w:rsid w:val="00162B08"/>
    <w:rsid w:val="00162B24"/>
    <w:rsid w:val="00162B5C"/>
    <w:rsid w:val="00162B60"/>
    <w:rsid w:val="00162BAB"/>
    <w:rsid w:val="00162CBE"/>
    <w:rsid w:val="00162CFE"/>
    <w:rsid w:val="00162CFF"/>
    <w:rsid w:val="00162D2A"/>
    <w:rsid w:val="00162DBF"/>
    <w:rsid w:val="00162E35"/>
    <w:rsid w:val="00162EDE"/>
    <w:rsid w:val="00162F90"/>
    <w:rsid w:val="00162FDC"/>
    <w:rsid w:val="00162FFE"/>
    <w:rsid w:val="00163061"/>
    <w:rsid w:val="0016306E"/>
    <w:rsid w:val="0016313D"/>
    <w:rsid w:val="0016314C"/>
    <w:rsid w:val="00163200"/>
    <w:rsid w:val="00163219"/>
    <w:rsid w:val="0016325D"/>
    <w:rsid w:val="0016328A"/>
    <w:rsid w:val="001632CB"/>
    <w:rsid w:val="0016330A"/>
    <w:rsid w:val="00163329"/>
    <w:rsid w:val="001633E7"/>
    <w:rsid w:val="00163439"/>
    <w:rsid w:val="00163464"/>
    <w:rsid w:val="001634B2"/>
    <w:rsid w:val="001634F3"/>
    <w:rsid w:val="00163522"/>
    <w:rsid w:val="00163540"/>
    <w:rsid w:val="001635BE"/>
    <w:rsid w:val="0016378D"/>
    <w:rsid w:val="00163824"/>
    <w:rsid w:val="0016384A"/>
    <w:rsid w:val="0016389E"/>
    <w:rsid w:val="0016398F"/>
    <w:rsid w:val="001639D3"/>
    <w:rsid w:val="00163A63"/>
    <w:rsid w:val="00163A9B"/>
    <w:rsid w:val="00163AE1"/>
    <w:rsid w:val="00163AF4"/>
    <w:rsid w:val="00163B07"/>
    <w:rsid w:val="00163B95"/>
    <w:rsid w:val="00163BE0"/>
    <w:rsid w:val="00163CD3"/>
    <w:rsid w:val="00163D17"/>
    <w:rsid w:val="00163D5C"/>
    <w:rsid w:val="00163E2E"/>
    <w:rsid w:val="00163E87"/>
    <w:rsid w:val="00163F16"/>
    <w:rsid w:val="00163F3D"/>
    <w:rsid w:val="00163FA9"/>
    <w:rsid w:val="00163FDB"/>
    <w:rsid w:val="00163FE9"/>
    <w:rsid w:val="00164095"/>
    <w:rsid w:val="00164106"/>
    <w:rsid w:val="0016410F"/>
    <w:rsid w:val="00164138"/>
    <w:rsid w:val="00164159"/>
    <w:rsid w:val="0016429D"/>
    <w:rsid w:val="00164311"/>
    <w:rsid w:val="00164345"/>
    <w:rsid w:val="00164352"/>
    <w:rsid w:val="001643AD"/>
    <w:rsid w:val="001643BC"/>
    <w:rsid w:val="001644A0"/>
    <w:rsid w:val="001644A3"/>
    <w:rsid w:val="00164595"/>
    <w:rsid w:val="001645AE"/>
    <w:rsid w:val="001645BA"/>
    <w:rsid w:val="001645C3"/>
    <w:rsid w:val="001645E2"/>
    <w:rsid w:val="00164667"/>
    <w:rsid w:val="0016477E"/>
    <w:rsid w:val="001647D7"/>
    <w:rsid w:val="001647E2"/>
    <w:rsid w:val="001647F5"/>
    <w:rsid w:val="00164801"/>
    <w:rsid w:val="0016481D"/>
    <w:rsid w:val="001648D2"/>
    <w:rsid w:val="00164958"/>
    <w:rsid w:val="00164970"/>
    <w:rsid w:val="00164984"/>
    <w:rsid w:val="001649D6"/>
    <w:rsid w:val="00164A28"/>
    <w:rsid w:val="00164AA8"/>
    <w:rsid w:val="00164B25"/>
    <w:rsid w:val="00164B7F"/>
    <w:rsid w:val="00164BD1"/>
    <w:rsid w:val="00164BE5"/>
    <w:rsid w:val="00164C4D"/>
    <w:rsid w:val="00164C82"/>
    <w:rsid w:val="00164CBA"/>
    <w:rsid w:val="00164CF8"/>
    <w:rsid w:val="00164D72"/>
    <w:rsid w:val="00164D94"/>
    <w:rsid w:val="00164E13"/>
    <w:rsid w:val="00164E8A"/>
    <w:rsid w:val="00164EC4"/>
    <w:rsid w:val="00164F07"/>
    <w:rsid w:val="00164F3C"/>
    <w:rsid w:val="00164FF3"/>
    <w:rsid w:val="00165042"/>
    <w:rsid w:val="001650A9"/>
    <w:rsid w:val="00165179"/>
    <w:rsid w:val="001651D6"/>
    <w:rsid w:val="00165248"/>
    <w:rsid w:val="00165269"/>
    <w:rsid w:val="001652BD"/>
    <w:rsid w:val="001652C4"/>
    <w:rsid w:val="001652FC"/>
    <w:rsid w:val="00165303"/>
    <w:rsid w:val="0016532A"/>
    <w:rsid w:val="0016535B"/>
    <w:rsid w:val="001653AE"/>
    <w:rsid w:val="0016543A"/>
    <w:rsid w:val="001654F4"/>
    <w:rsid w:val="00165510"/>
    <w:rsid w:val="001655B2"/>
    <w:rsid w:val="001655FD"/>
    <w:rsid w:val="0016567A"/>
    <w:rsid w:val="00165684"/>
    <w:rsid w:val="001656AF"/>
    <w:rsid w:val="001656E1"/>
    <w:rsid w:val="00165726"/>
    <w:rsid w:val="00165769"/>
    <w:rsid w:val="001657A7"/>
    <w:rsid w:val="001657CF"/>
    <w:rsid w:val="001658D1"/>
    <w:rsid w:val="001658F7"/>
    <w:rsid w:val="00165941"/>
    <w:rsid w:val="0016597E"/>
    <w:rsid w:val="001659DB"/>
    <w:rsid w:val="00165A35"/>
    <w:rsid w:val="00165A85"/>
    <w:rsid w:val="00165A8C"/>
    <w:rsid w:val="00165B4B"/>
    <w:rsid w:val="00165B85"/>
    <w:rsid w:val="00165BAB"/>
    <w:rsid w:val="00165C8E"/>
    <w:rsid w:val="00165C95"/>
    <w:rsid w:val="00165CA5"/>
    <w:rsid w:val="00165CE5"/>
    <w:rsid w:val="00165D23"/>
    <w:rsid w:val="00165D30"/>
    <w:rsid w:val="00165E76"/>
    <w:rsid w:val="00165E84"/>
    <w:rsid w:val="00166025"/>
    <w:rsid w:val="0016606C"/>
    <w:rsid w:val="00166082"/>
    <w:rsid w:val="001661E2"/>
    <w:rsid w:val="001662B0"/>
    <w:rsid w:val="00166341"/>
    <w:rsid w:val="00166419"/>
    <w:rsid w:val="00166529"/>
    <w:rsid w:val="0016653A"/>
    <w:rsid w:val="001665EA"/>
    <w:rsid w:val="0016660F"/>
    <w:rsid w:val="00166740"/>
    <w:rsid w:val="001667F5"/>
    <w:rsid w:val="0016682D"/>
    <w:rsid w:val="0016683C"/>
    <w:rsid w:val="001669FB"/>
    <w:rsid w:val="00166AB6"/>
    <w:rsid w:val="00166B38"/>
    <w:rsid w:val="00166BAB"/>
    <w:rsid w:val="00166BAC"/>
    <w:rsid w:val="00166C3A"/>
    <w:rsid w:val="00166CB2"/>
    <w:rsid w:val="00166CC5"/>
    <w:rsid w:val="00166E06"/>
    <w:rsid w:val="00166E39"/>
    <w:rsid w:val="00166E57"/>
    <w:rsid w:val="00166E83"/>
    <w:rsid w:val="00166E8A"/>
    <w:rsid w:val="00166E96"/>
    <w:rsid w:val="00166EC0"/>
    <w:rsid w:val="00166F28"/>
    <w:rsid w:val="00166F35"/>
    <w:rsid w:val="00166FA0"/>
    <w:rsid w:val="00166FA7"/>
    <w:rsid w:val="00166FB8"/>
    <w:rsid w:val="0016703B"/>
    <w:rsid w:val="0016710E"/>
    <w:rsid w:val="00167232"/>
    <w:rsid w:val="00167235"/>
    <w:rsid w:val="0016724E"/>
    <w:rsid w:val="00167323"/>
    <w:rsid w:val="00167328"/>
    <w:rsid w:val="0016737A"/>
    <w:rsid w:val="0016737C"/>
    <w:rsid w:val="001673DA"/>
    <w:rsid w:val="00167478"/>
    <w:rsid w:val="001674C1"/>
    <w:rsid w:val="0016750C"/>
    <w:rsid w:val="00167566"/>
    <w:rsid w:val="00167618"/>
    <w:rsid w:val="00167645"/>
    <w:rsid w:val="0016766A"/>
    <w:rsid w:val="001676D6"/>
    <w:rsid w:val="0016777E"/>
    <w:rsid w:val="0016785E"/>
    <w:rsid w:val="00167892"/>
    <w:rsid w:val="001678A6"/>
    <w:rsid w:val="001679B5"/>
    <w:rsid w:val="00167A70"/>
    <w:rsid w:val="00167A96"/>
    <w:rsid w:val="00167AD5"/>
    <w:rsid w:val="00167B97"/>
    <w:rsid w:val="00167BA1"/>
    <w:rsid w:val="00167BF4"/>
    <w:rsid w:val="00167C97"/>
    <w:rsid w:val="00167CA1"/>
    <w:rsid w:val="00167DAC"/>
    <w:rsid w:val="00167E64"/>
    <w:rsid w:val="00167E8E"/>
    <w:rsid w:val="00167ED2"/>
    <w:rsid w:val="00167F0E"/>
    <w:rsid w:val="00170003"/>
    <w:rsid w:val="00170071"/>
    <w:rsid w:val="001700BD"/>
    <w:rsid w:val="00170127"/>
    <w:rsid w:val="0017018A"/>
    <w:rsid w:val="0017021F"/>
    <w:rsid w:val="00170288"/>
    <w:rsid w:val="0017031B"/>
    <w:rsid w:val="00170410"/>
    <w:rsid w:val="00170433"/>
    <w:rsid w:val="0017058B"/>
    <w:rsid w:val="0017059B"/>
    <w:rsid w:val="001706C8"/>
    <w:rsid w:val="0017075F"/>
    <w:rsid w:val="00170816"/>
    <w:rsid w:val="00170898"/>
    <w:rsid w:val="001709B7"/>
    <w:rsid w:val="001709D4"/>
    <w:rsid w:val="00170A3C"/>
    <w:rsid w:val="00170A46"/>
    <w:rsid w:val="00170A49"/>
    <w:rsid w:val="00170AAB"/>
    <w:rsid w:val="00170C13"/>
    <w:rsid w:val="00170C44"/>
    <w:rsid w:val="00170C62"/>
    <w:rsid w:val="00170C6D"/>
    <w:rsid w:val="00170CA5"/>
    <w:rsid w:val="00170CB8"/>
    <w:rsid w:val="00170CD8"/>
    <w:rsid w:val="00170D29"/>
    <w:rsid w:val="00170D5B"/>
    <w:rsid w:val="00170DF8"/>
    <w:rsid w:val="00170E0C"/>
    <w:rsid w:val="00170E5E"/>
    <w:rsid w:val="00170EC9"/>
    <w:rsid w:val="00170F8C"/>
    <w:rsid w:val="00170FAE"/>
    <w:rsid w:val="001711C4"/>
    <w:rsid w:val="0017122D"/>
    <w:rsid w:val="00171266"/>
    <w:rsid w:val="00171288"/>
    <w:rsid w:val="0017146C"/>
    <w:rsid w:val="001714C7"/>
    <w:rsid w:val="00171559"/>
    <w:rsid w:val="0017156F"/>
    <w:rsid w:val="001715E9"/>
    <w:rsid w:val="00171724"/>
    <w:rsid w:val="00171730"/>
    <w:rsid w:val="001717E7"/>
    <w:rsid w:val="001717F5"/>
    <w:rsid w:val="00171970"/>
    <w:rsid w:val="001719EE"/>
    <w:rsid w:val="00171A10"/>
    <w:rsid w:val="00171A29"/>
    <w:rsid w:val="00171B96"/>
    <w:rsid w:val="00171BA0"/>
    <w:rsid w:val="00171BC1"/>
    <w:rsid w:val="00171C60"/>
    <w:rsid w:val="00171CA7"/>
    <w:rsid w:val="00171D5B"/>
    <w:rsid w:val="00171D86"/>
    <w:rsid w:val="00171DA7"/>
    <w:rsid w:val="00171DC2"/>
    <w:rsid w:val="00171DEE"/>
    <w:rsid w:val="00171E89"/>
    <w:rsid w:val="00171EC0"/>
    <w:rsid w:val="00171EC3"/>
    <w:rsid w:val="00171FB9"/>
    <w:rsid w:val="00171FC2"/>
    <w:rsid w:val="00171FEA"/>
    <w:rsid w:val="0017202F"/>
    <w:rsid w:val="0017205B"/>
    <w:rsid w:val="00172072"/>
    <w:rsid w:val="001720C9"/>
    <w:rsid w:val="0017215A"/>
    <w:rsid w:val="00172183"/>
    <w:rsid w:val="001721F6"/>
    <w:rsid w:val="00172235"/>
    <w:rsid w:val="00172236"/>
    <w:rsid w:val="0017223B"/>
    <w:rsid w:val="00172302"/>
    <w:rsid w:val="001723B1"/>
    <w:rsid w:val="00172401"/>
    <w:rsid w:val="00172411"/>
    <w:rsid w:val="00172477"/>
    <w:rsid w:val="00172497"/>
    <w:rsid w:val="001724F4"/>
    <w:rsid w:val="001724F5"/>
    <w:rsid w:val="00172584"/>
    <w:rsid w:val="00172597"/>
    <w:rsid w:val="00172602"/>
    <w:rsid w:val="00172693"/>
    <w:rsid w:val="00172694"/>
    <w:rsid w:val="001726C5"/>
    <w:rsid w:val="001726F3"/>
    <w:rsid w:val="0017275D"/>
    <w:rsid w:val="00172802"/>
    <w:rsid w:val="00172893"/>
    <w:rsid w:val="0017289A"/>
    <w:rsid w:val="001728EB"/>
    <w:rsid w:val="001728F6"/>
    <w:rsid w:val="0017296B"/>
    <w:rsid w:val="001729F0"/>
    <w:rsid w:val="00172A22"/>
    <w:rsid w:val="00172B16"/>
    <w:rsid w:val="00172B4E"/>
    <w:rsid w:val="00172B58"/>
    <w:rsid w:val="00172B8F"/>
    <w:rsid w:val="00172BB4"/>
    <w:rsid w:val="00172C54"/>
    <w:rsid w:val="00172CAE"/>
    <w:rsid w:val="00172D19"/>
    <w:rsid w:val="00172D2D"/>
    <w:rsid w:val="00172D7A"/>
    <w:rsid w:val="00172E08"/>
    <w:rsid w:val="00172E40"/>
    <w:rsid w:val="00172E98"/>
    <w:rsid w:val="00172E9B"/>
    <w:rsid w:val="00172EBB"/>
    <w:rsid w:val="00172F0A"/>
    <w:rsid w:val="00172F2A"/>
    <w:rsid w:val="00172F7F"/>
    <w:rsid w:val="00173053"/>
    <w:rsid w:val="00173081"/>
    <w:rsid w:val="00173116"/>
    <w:rsid w:val="00173139"/>
    <w:rsid w:val="00173172"/>
    <w:rsid w:val="001732C8"/>
    <w:rsid w:val="00173309"/>
    <w:rsid w:val="001733E6"/>
    <w:rsid w:val="001734DC"/>
    <w:rsid w:val="0017350D"/>
    <w:rsid w:val="00173513"/>
    <w:rsid w:val="001735A2"/>
    <w:rsid w:val="00173672"/>
    <w:rsid w:val="0017367A"/>
    <w:rsid w:val="00173696"/>
    <w:rsid w:val="00173698"/>
    <w:rsid w:val="001736A0"/>
    <w:rsid w:val="001736DB"/>
    <w:rsid w:val="001736E2"/>
    <w:rsid w:val="001736F8"/>
    <w:rsid w:val="00173710"/>
    <w:rsid w:val="0017375E"/>
    <w:rsid w:val="001737C3"/>
    <w:rsid w:val="001737FA"/>
    <w:rsid w:val="0017382E"/>
    <w:rsid w:val="0017386E"/>
    <w:rsid w:val="00173924"/>
    <w:rsid w:val="0017392E"/>
    <w:rsid w:val="00173992"/>
    <w:rsid w:val="00173BC5"/>
    <w:rsid w:val="00173BDF"/>
    <w:rsid w:val="00173C6A"/>
    <w:rsid w:val="00173CB0"/>
    <w:rsid w:val="00173CC0"/>
    <w:rsid w:val="00173D42"/>
    <w:rsid w:val="00173D85"/>
    <w:rsid w:val="00173DFA"/>
    <w:rsid w:val="00173F6B"/>
    <w:rsid w:val="00173F6D"/>
    <w:rsid w:val="00174145"/>
    <w:rsid w:val="0017415E"/>
    <w:rsid w:val="00174191"/>
    <w:rsid w:val="001741CA"/>
    <w:rsid w:val="001742EA"/>
    <w:rsid w:val="00174368"/>
    <w:rsid w:val="001743EB"/>
    <w:rsid w:val="001743FD"/>
    <w:rsid w:val="00174438"/>
    <w:rsid w:val="0017446F"/>
    <w:rsid w:val="001744E1"/>
    <w:rsid w:val="001744F3"/>
    <w:rsid w:val="001744FE"/>
    <w:rsid w:val="0017450B"/>
    <w:rsid w:val="0017454F"/>
    <w:rsid w:val="001745A1"/>
    <w:rsid w:val="001745CA"/>
    <w:rsid w:val="001745E9"/>
    <w:rsid w:val="0017462B"/>
    <w:rsid w:val="001746E5"/>
    <w:rsid w:val="0017480D"/>
    <w:rsid w:val="00174918"/>
    <w:rsid w:val="00174A90"/>
    <w:rsid w:val="00174B08"/>
    <w:rsid w:val="00174B4C"/>
    <w:rsid w:val="00174B6E"/>
    <w:rsid w:val="00174B82"/>
    <w:rsid w:val="00174B96"/>
    <w:rsid w:val="00174C56"/>
    <w:rsid w:val="00174C5B"/>
    <w:rsid w:val="00174C98"/>
    <w:rsid w:val="00174CB0"/>
    <w:rsid w:val="00174CFE"/>
    <w:rsid w:val="00174D92"/>
    <w:rsid w:val="00174E88"/>
    <w:rsid w:val="00174EC1"/>
    <w:rsid w:val="00174ECA"/>
    <w:rsid w:val="00174EED"/>
    <w:rsid w:val="00174EF3"/>
    <w:rsid w:val="00174EF4"/>
    <w:rsid w:val="00174F24"/>
    <w:rsid w:val="00174FD4"/>
    <w:rsid w:val="00175088"/>
    <w:rsid w:val="00175094"/>
    <w:rsid w:val="00175175"/>
    <w:rsid w:val="00175199"/>
    <w:rsid w:val="0017523F"/>
    <w:rsid w:val="0017531A"/>
    <w:rsid w:val="00175365"/>
    <w:rsid w:val="001753D8"/>
    <w:rsid w:val="00175421"/>
    <w:rsid w:val="0017547B"/>
    <w:rsid w:val="001754CB"/>
    <w:rsid w:val="0017550F"/>
    <w:rsid w:val="0017559D"/>
    <w:rsid w:val="001755C0"/>
    <w:rsid w:val="001755FE"/>
    <w:rsid w:val="001757D5"/>
    <w:rsid w:val="001758D6"/>
    <w:rsid w:val="001758EE"/>
    <w:rsid w:val="0017597B"/>
    <w:rsid w:val="00175981"/>
    <w:rsid w:val="001759A0"/>
    <w:rsid w:val="001759D6"/>
    <w:rsid w:val="001759EC"/>
    <w:rsid w:val="00175AE8"/>
    <w:rsid w:val="00175BC3"/>
    <w:rsid w:val="00175CBA"/>
    <w:rsid w:val="00175D36"/>
    <w:rsid w:val="00175D4F"/>
    <w:rsid w:val="00175DFB"/>
    <w:rsid w:val="00175E52"/>
    <w:rsid w:val="00175E8E"/>
    <w:rsid w:val="00175F2A"/>
    <w:rsid w:val="00175F2F"/>
    <w:rsid w:val="001760CA"/>
    <w:rsid w:val="0017610D"/>
    <w:rsid w:val="00176117"/>
    <w:rsid w:val="001761A3"/>
    <w:rsid w:val="001761F0"/>
    <w:rsid w:val="00176278"/>
    <w:rsid w:val="001762E9"/>
    <w:rsid w:val="00176339"/>
    <w:rsid w:val="00176354"/>
    <w:rsid w:val="001763C9"/>
    <w:rsid w:val="001764CB"/>
    <w:rsid w:val="001764DD"/>
    <w:rsid w:val="0017652E"/>
    <w:rsid w:val="00176582"/>
    <w:rsid w:val="001765E8"/>
    <w:rsid w:val="001765F4"/>
    <w:rsid w:val="00176641"/>
    <w:rsid w:val="0017668C"/>
    <w:rsid w:val="001766BB"/>
    <w:rsid w:val="00176700"/>
    <w:rsid w:val="0017671F"/>
    <w:rsid w:val="0017676C"/>
    <w:rsid w:val="0017679D"/>
    <w:rsid w:val="0017684E"/>
    <w:rsid w:val="00176916"/>
    <w:rsid w:val="00176A03"/>
    <w:rsid w:val="00176A3B"/>
    <w:rsid w:val="00176A8E"/>
    <w:rsid w:val="00176AEA"/>
    <w:rsid w:val="00176B4F"/>
    <w:rsid w:val="00176BF9"/>
    <w:rsid w:val="00176C0C"/>
    <w:rsid w:val="00176CE3"/>
    <w:rsid w:val="00176D7F"/>
    <w:rsid w:val="00176DB5"/>
    <w:rsid w:val="00176ED2"/>
    <w:rsid w:val="00177062"/>
    <w:rsid w:val="001770B9"/>
    <w:rsid w:val="001771E7"/>
    <w:rsid w:val="001771F8"/>
    <w:rsid w:val="001771F9"/>
    <w:rsid w:val="001771FB"/>
    <w:rsid w:val="00177242"/>
    <w:rsid w:val="001772AC"/>
    <w:rsid w:val="001772D2"/>
    <w:rsid w:val="00177314"/>
    <w:rsid w:val="001773A1"/>
    <w:rsid w:val="00177441"/>
    <w:rsid w:val="00177531"/>
    <w:rsid w:val="00177544"/>
    <w:rsid w:val="00177561"/>
    <w:rsid w:val="0017757E"/>
    <w:rsid w:val="00177616"/>
    <w:rsid w:val="0017763E"/>
    <w:rsid w:val="0017768D"/>
    <w:rsid w:val="001776CD"/>
    <w:rsid w:val="00177709"/>
    <w:rsid w:val="00177714"/>
    <w:rsid w:val="00177744"/>
    <w:rsid w:val="00177791"/>
    <w:rsid w:val="00177868"/>
    <w:rsid w:val="0017786B"/>
    <w:rsid w:val="00177879"/>
    <w:rsid w:val="001778C2"/>
    <w:rsid w:val="001779A5"/>
    <w:rsid w:val="001779D8"/>
    <w:rsid w:val="001779E9"/>
    <w:rsid w:val="00177A61"/>
    <w:rsid w:val="00177A9A"/>
    <w:rsid w:val="00177ABA"/>
    <w:rsid w:val="00177C46"/>
    <w:rsid w:val="00177DAF"/>
    <w:rsid w:val="00177E19"/>
    <w:rsid w:val="00177E67"/>
    <w:rsid w:val="00177E72"/>
    <w:rsid w:val="00180177"/>
    <w:rsid w:val="00180235"/>
    <w:rsid w:val="00180298"/>
    <w:rsid w:val="00180321"/>
    <w:rsid w:val="001803B6"/>
    <w:rsid w:val="001804CC"/>
    <w:rsid w:val="0018052F"/>
    <w:rsid w:val="00180538"/>
    <w:rsid w:val="00180581"/>
    <w:rsid w:val="00180617"/>
    <w:rsid w:val="001806DE"/>
    <w:rsid w:val="00180768"/>
    <w:rsid w:val="0018081C"/>
    <w:rsid w:val="0018087B"/>
    <w:rsid w:val="00180935"/>
    <w:rsid w:val="0018097D"/>
    <w:rsid w:val="0018098A"/>
    <w:rsid w:val="0018098D"/>
    <w:rsid w:val="001809CE"/>
    <w:rsid w:val="00180A46"/>
    <w:rsid w:val="00180A76"/>
    <w:rsid w:val="00180A82"/>
    <w:rsid w:val="00180BCB"/>
    <w:rsid w:val="00180C2F"/>
    <w:rsid w:val="00180CB0"/>
    <w:rsid w:val="00180CBD"/>
    <w:rsid w:val="00180D7F"/>
    <w:rsid w:val="00180DC1"/>
    <w:rsid w:val="00180DD5"/>
    <w:rsid w:val="00180E30"/>
    <w:rsid w:val="00180E56"/>
    <w:rsid w:val="00180EAC"/>
    <w:rsid w:val="00181133"/>
    <w:rsid w:val="0018116C"/>
    <w:rsid w:val="001811A9"/>
    <w:rsid w:val="001811AB"/>
    <w:rsid w:val="001811D8"/>
    <w:rsid w:val="00181211"/>
    <w:rsid w:val="001812E5"/>
    <w:rsid w:val="00181315"/>
    <w:rsid w:val="0018133A"/>
    <w:rsid w:val="00181370"/>
    <w:rsid w:val="00181381"/>
    <w:rsid w:val="001813C7"/>
    <w:rsid w:val="00181467"/>
    <w:rsid w:val="00181475"/>
    <w:rsid w:val="001814A8"/>
    <w:rsid w:val="001816D7"/>
    <w:rsid w:val="001816EF"/>
    <w:rsid w:val="00181744"/>
    <w:rsid w:val="0018178E"/>
    <w:rsid w:val="00181880"/>
    <w:rsid w:val="001819F0"/>
    <w:rsid w:val="00181A6F"/>
    <w:rsid w:val="00181B27"/>
    <w:rsid w:val="00181B61"/>
    <w:rsid w:val="00181B6E"/>
    <w:rsid w:val="00181BAE"/>
    <w:rsid w:val="00181C34"/>
    <w:rsid w:val="00181D2D"/>
    <w:rsid w:val="00181DE5"/>
    <w:rsid w:val="00181ECD"/>
    <w:rsid w:val="00181EFC"/>
    <w:rsid w:val="00181F92"/>
    <w:rsid w:val="00181FCF"/>
    <w:rsid w:val="00182004"/>
    <w:rsid w:val="00182091"/>
    <w:rsid w:val="00182109"/>
    <w:rsid w:val="0018219B"/>
    <w:rsid w:val="001821C6"/>
    <w:rsid w:val="001821C9"/>
    <w:rsid w:val="001821D5"/>
    <w:rsid w:val="00182207"/>
    <w:rsid w:val="00182222"/>
    <w:rsid w:val="00182255"/>
    <w:rsid w:val="00182267"/>
    <w:rsid w:val="001822F1"/>
    <w:rsid w:val="001823A0"/>
    <w:rsid w:val="001823B2"/>
    <w:rsid w:val="001823B6"/>
    <w:rsid w:val="001823C2"/>
    <w:rsid w:val="0018248A"/>
    <w:rsid w:val="001824F7"/>
    <w:rsid w:val="00182583"/>
    <w:rsid w:val="00182653"/>
    <w:rsid w:val="001827BC"/>
    <w:rsid w:val="001827C9"/>
    <w:rsid w:val="001827D6"/>
    <w:rsid w:val="0018280B"/>
    <w:rsid w:val="0018286A"/>
    <w:rsid w:val="001828D3"/>
    <w:rsid w:val="00182931"/>
    <w:rsid w:val="001829F8"/>
    <w:rsid w:val="00182A11"/>
    <w:rsid w:val="00182A8D"/>
    <w:rsid w:val="00182A9B"/>
    <w:rsid w:val="00182ADB"/>
    <w:rsid w:val="00182B8A"/>
    <w:rsid w:val="00182C81"/>
    <w:rsid w:val="00182C8D"/>
    <w:rsid w:val="00182C97"/>
    <w:rsid w:val="00182CF9"/>
    <w:rsid w:val="00182CFB"/>
    <w:rsid w:val="00182D7B"/>
    <w:rsid w:val="00182D87"/>
    <w:rsid w:val="00182DDA"/>
    <w:rsid w:val="00182E42"/>
    <w:rsid w:val="00182E97"/>
    <w:rsid w:val="00182EB2"/>
    <w:rsid w:val="00182EC7"/>
    <w:rsid w:val="00182EEC"/>
    <w:rsid w:val="00182FF2"/>
    <w:rsid w:val="00183187"/>
    <w:rsid w:val="001831FF"/>
    <w:rsid w:val="001832F2"/>
    <w:rsid w:val="00183365"/>
    <w:rsid w:val="0018344F"/>
    <w:rsid w:val="001834A3"/>
    <w:rsid w:val="001834C3"/>
    <w:rsid w:val="0018350D"/>
    <w:rsid w:val="0018358E"/>
    <w:rsid w:val="001835EF"/>
    <w:rsid w:val="0018366F"/>
    <w:rsid w:val="001836CE"/>
    <w:rsid w:val="00183798"/>
    <w:rsid w:val="001837AC"/>
    <w:rsid w:val="001837FD"/>
    <w:rsid w:val="00183824"/>
    <w:rsid w:val="001838AE"/>
    <w:rsid w:val="001838FE"/>
    <w:rsid w:val="00183903"/>
    <w:rsid w:val="0018395E"/>
    <w:rsid w:val="001839A4"/>
    <w:rsid w:val="00183A06"/>
    <w:rsid w:val="00183A23"/>
    <w:rsid w:val="00183A3D"/>
    <w:rsid w:val="00183A58"/>
    <w:rsid w:val="00183AD0"/>
    <w:rsid w:val="00183B51"/>
    <w:rsid w:val="00183B5A"/>
    <w:rsid w:val="00183C60"/>
    <w:rsid w:val="00183C6C"/>
    <w:rsid w:val="00183CD0"/>
    <w:rsid w:val="00183D83"/>
    <w:rsid w:val="00183E20"/>
    <w:rsid w:val="00183EC9"/>
    <w:rsid w:val="00183F38"/>
    <w:rsid w:val="00183FE9"/>
    <w:rsid w:val="0018401A"/>
    <w:rsid w:val="0018401C"/>
    <w:rsid w:val="00184061"/>
    <w:rsid w:val="001841D5"/>
    <w:rsid w:val="001841E8"/>
    <w:rsid w:val="001841F8"/>
    <w:rsid w:val="00184274"/>
    <w:rsid w:val="001842AB"/>
    <w:rsid w:val="001842B2"/>
    <w:rsid w:val="001842D6"/>
    <w:rsid w:val="001842FE"/>
    <w:rsid w:val="001843B3"/>
    <w:rsid w:val="00184411"/>
    <w:rsid w:val="001844E4"/>
    <w:rsid w:val="00184552"/>
    <w:rsid w:val="0018457F"/>
    <w:rsid w:val="00184685"/>
    <w:rsid w:val="001846C8"/>
    <w:rsid w:val="001846CB"/>
    <w:rsid w:val="00184741"/>
    <w:rsid w:val="0018481A"/>
    <w:rsid w:val="00184838"/>
    <w:rsid w:val="001848AA"/>
    <w:rsid w:val="00184927"/>
    <w:rsid w:val="0018495E"/>
    <w:rsid w:val="0018496A"/>
    <w:rsid w:val="0018498D"/>
    <w:rsid w:val="001849BC"/>
    <w:rsid w:val="00184A89"/>
    <w:rsid w:val="00184BAE"/>
    <w:rsid w:val="00184BCC"/>
    <w:rsid w:val="00184C4D"/>
    <w:rsid w:val="00184DA3"/>
    <w:rsid w:val="00184EA6"/>
    <w:rsid w:val="00184EE9"/>
    <w:rsid w:val="00184FBC"/>
    <w:rsid w:val="00184FC0"/>
    <w:rsid w:val="0018507E"/>
    <w:rsid w:val="001850C8"/>
    <w:rsid w:val="0018519A"/>
    <w:rsid w:val="0018519B"/>
    <w:rsid w:val="001851CF"/>
    <w:rsid w:val="00185234"/>
    <w:rsid w:val="001852B8"/>
    <w:rsid w:val="00185330"/>
    <w:rsid w:val="00185379"/>
    <w:rsid w:val="0018538E"/>
    <w:rsid w:val="001853B0"/>
    <w:rsid w:val="00185481"/>
    <w:rsid w:val="0018548D"/>
    <w:rsid w:val="001854D7"/>
    <w:rsid w:val="0018558F"/>
    <w:rsid w:val="0018561E"/>
    <w:rsid w:val="00185733"/>
    <w:rsid w:val="00185769"/>
    <w:rsid w:val="00185773"/>
    <w:rsid w:val="001857BD"/>
    <w:rsid w:val="001857C2"/>
    <w:rsid w:val="001858AB"/>
    <w:rsid w:val="001858C3"/>
    <w:rsid w:val="001858DB"/>
    <w:rsid w:val="001859BF"/>
    <w:rsid w:val="001859FB"/>
    <w:rsid w:val="00185A55"/>
    <w:rsid w:val="00185A56"/>
    <w:rsid w:val="00185B54"/>
    <w:rsid w:val="00185BF9"/>
    <w:rsid w:val="00185C3D"/>
    <w:rsid w:val="00185D47"/>
    <w:rsid w:val="00185D56"/>
    <w:rsid w:val="00185E16"/>
    <w:rsid w:val="00185E17"/>
    <w:rsid w:val="00185E7F"/>
    <w:rsid w:val="00185ED2"/>
    <w:rsid w:val="00185F64"/>
    <w:rsid w:val="00185F98"/>
    <w:rsid w:val="00185FBE"/>
    <w:rsid w:val="0018601B"/>
    <w:rsid w:val="001860EE"/>
    <w:rsid w:val="00186105"/>
    <w:rsid w:val="00186144"/>
    <w:rsid w:val="001861AE"/>
    <w:rsid w:val="001862CE"/>
    <w:rsid w:val="00186410"/>
    <w:rsid w:val="00186467"/>
    <w:rsid w:val="00186498"/>
    <w:rsid w:val="001864A0"/>
    <w:rsid w:val="001864AD"/>
    <w:rsid w:val="00186569"/>
    <w:rsid w:val="0018660D"/>
    <w:rsid w:val="00186617"/>
    <w:rsid w:val="00186666"/>
    <w:rsid w:val="001866F0"/>
    <w:rsid w:val="00186709"/>
    <w:rsid w:val="0018675C"/>
    <w:rsid w:val="001867AC"/>
    <w:rsid w:val="001867E9"/>
    <w:rsid w:val="00186833"/>
    <w:rsid w:val="00186850"/>
    <w:rsid w:val="00186862"/>
    <w:rsid w:val="0018688F"/>
    <w:rsid w:val="001868DB"/>
    <w:rsid w:val="00186921"/>
    <w:rsid w:val="00186935"/>
    <w:rsid w:val="0018696C"/>
    <w:rsid w:val="0018696F"/>
    <w:rsid w:val="00186A95"/>
    <w:rsid w:val="00186AA7"/>
    <w:rsid w:val="00186AE6"/>
    <w:rsid w:val="00186AE7"/>
    <w:rsid w:val="00186AF0"/>
    <w:rsid w:val="00186B49"/>
    <w:rsid w:val="00186B6C"/>
    <w:rsid w:val="00186B7F"/>
    <w:rsid w:val="00186B88"/>
    <w:rsid w:val="00186B8B"/>
    <w:rsid w:val="00186B90"/>
    <w:rsid w:val="00186BA7"/>
    <w:rsid w:val="00186C04"/>
    <w:rsid w:val="00186C13"/>
    <w:rsid w:val="00186C52"/>
    <w:rsid w:val="00186E66"/>
    <w:rsid w:val="00186E90"/>
    <w:rsid w:val="00186E9A"/>
    <w:rsid w:val="00186F25"/>
    <w:rsid w:val="00186F9C"/>
    <w:rsid w:val="00187015"/>
    <w:rsid w:val="0018714B"/>
    <w:rsid w:val="00187165"/>
    <w:rsid w:val="001871EF"/>
    <w:rsid w:val="00187298"/>
    <w:rsid w:val="001873DD"/>
    <w:rsid w:val="00187425"/>
    <w:rsid w:val="00187477"/>
    <w:rsid w:val="0018750C"/>
    <w:rsid w:val="001875D4"/>
    <w:rsid w:val="00187695"/>
    <w:rsid w:val="001876D9"/>
    <w:rsid w:val="001877A9"/>
    <w:rsid w:val="00187837"/>
    <w:rsid w:val="0018786E"/>
    <w:rsid w:val="00187892"/>
    <w:rsid w:val="00187908"/>
    <w:rsid w:val="00187927"/>
    <w:rsid w:val="00187961"/>
    <w:rsid w:val="0018798D"/>
    <w:rsid w:val="00187A19"/>
    <w:rsid w:val="00187AD6"/>
    <w:rsid w:val="00187BD7"/>
    <w:rsid w:val="00187BF9"/>
    <w:rsid w:val="00187CB7"/>
    <w:rsid w:val="00187E4D"/>
    <w:rsid w:val="00187EB4"/>
    <w:rsid w:val="00187EC1"/>
    <w:rsid w:val="0019000E"/>
    <w:rsid w:val="00190039"/>
    <w:rsid w:val="00190067"/>
    <w:rsid w:val="00190082"/>
    <w:rsid w:val="001900F1"/>
    <w:rsid w:val="00190132"/>
    <w:rsid w:val="001903D2"/>
    <w:rsid w:val="001903FE"/>
    <w:rsid w:val="0019043F"/>
    <w:rsid w:val="00190461"/>
    <w:rsid w:val="0019049C"/>
    <w:rsid w:val="00190531"/>
    <w:rsid w:val="0019053A"/>
    <w:rsid w:val="001905AB"/>
    <w:rsid w:val="001905BF"/>
    <w:rsid w:val="001906A2"/>
    <w:rsid w:val="001906A4"/>
    <w:rsid w:val="001906C5"/>
    <w:rsid w:val="001906E5"/>
    <w:rsid w:val="00190711"/>
    <w:rsid w:val="001907BA"/>
    <w:rsid w:val="0019092C"/>
    <w:rsid w:val="00190943"/>
    <w:rsid w:val="00190992"/>
    <w:rsid w:val="00190A37"/>
    <w:rsid w:val="00190AD0"/>
    <w:rsid w:val="00190BD7"/>
    <w:rsid w:val="00190BED"/>
    <w:rsid w:val="00190C1D"/>
    <w:rsid w:val="00190C52"/>
    <w:rsid w:val="00190CFE"/>
    <w:rsid w:val="00190D2C"/>
    <w:rsid w:val="00190D2E"/>
    <w:rsid w:val="00190D46"/>
    <w:rsid w:val="00190E94"/>
    <w:rsid w:val="00190F56"/>
    <w:rsid w:val="00190FB3"/>
    <w:rsid w:val="00191006"/>
    <w:rsid w:val="00191009"/>
    <w:rsid w:val="00191010"/>
    <w:rsid w:val="0019108B"/>
    <w:rsid w:val="001910A6"/>
    <w:rsid w:val="001910FB"/>
    <w:rsid w:val="00191161"/>
    <w:rsid w:val="001911CC"/>
    <w:rsid w:val="001911FC"/>
    <w:rsid w:val="00191255"/>
    <w:rsid w:val="00191293"/>
    <w:rsid w:val="0019129D"/>
    <w:rsid w:val="00191307"/>
    <w:rsid w:val="00191376"/>
    <w:rsid w:val="0019137F"/>
    <w:rsid w:val="00191404"/>
    <w:rsid w:val="0019142D"/>
    <w:rsid w:val="00191463"/>
    <w:rsid w:val="00191474"/>
    <w:rsid w:val="0019147B"/>
    <w:rsid w:val="00191683"/>
    <w:rsid w:val="0019178E"/>
    <w:rsid w:val="00191936"/>
    <w:rsid w:val="0019196B"/>
    <w:rsid w:val="00191976"/>
    <w:rsid w:val="0019198B"/>
    <w:rsid w:val="001919C4"/>
    <w:rsid w:val="00191A29"/>
    <w:rsid w:val="00191A82"/>
    <w:rsid w:val="00191A94"/>
    <w:rsid w:val="00191ADA"/>
    <w:rsid w:val="00191BB7"/>
    <w:rsid w:val="00191CE1"/>
    <w:rsid w:val="00191D23"/>
    <w:rsid w:val="00191DC0"/>
    <w:rsid w:val="00191DC2"/>
    <w:rsid w:val="00191EE3"/>
    <w:rsid w:val="00191EF3"/>
    <w:rsid w:val="00191F02"/>
    <w:rsid w:val="00191F2A"/>
    <w:rsid w:val="00191F71"/>
    <w:rsid w:val="00191F75"/>
    <w:rsid w:val="0019202D"/>
    <w:rsid w:val="0019206A"/>
    <w:rsid w:val="00192101"/>
    <w:rsid w:val="0019219F"/>
    <w:rsid w:val="00192235"/>
    <w:rsid w:val="0019227F"/>
    <w:rsid w:val="0019229E"/>
    <w:rsid w:val="00192341"/>
    <w:rsid w:val="0019234D"/>
    <w:rsid w:val="00192352"/>
    <w:rsid w:val="001923F4"/>
    <w:rsid w:val="00192447"/>
    <w:rsid w:val="0019244B"/>
    <w:rsid w:val="0019244E"/>
    <w:rsid w:val="00192486"/>
    <w:rsid w:val="0019248A"/>
    <w:rsid w:val="0019257E"/>
    <w:rsid w:val="001925B9"/>
    <w:rsid w:val="001926F9"/>
    <w:rsid w:val="001926FC"/>
    <w:rsid w:val="00192794"/>
    <w:rsid w:val="001927BA"/>
    <w:rsid w:val="001927C2"/>
    <w:rsid w:val="001927F6"/>
    <w:rsid w:val="001928D0"/>
    <w:rsid w:val="001929C2"/>
    <w:rsid w:val="001929DA"/>
    <w:rsid w:val="00192A21"/>
    <w:rsid w:val="00192A45"/>
    <w:rsid w:val="00192B4E"/>
    <w:rsid w:val="00192B54"/>
    <w:rsid w:val="00192BBE"/>
    <w:rsid w:val="00192BE9"/>
    <w:rsid w:val="00192D14"/>
    <w:rsid w:val="00192D23"/>
    <w:rsid w:val="00192D6B"/>
    <w:rsid w:val="00192D8F"/>
    <w:rsid w:val="00192DB1"/>
    <w:rsid w:val="00192DBF"/>
    <w:rsid w:val="00192E38"/>
    <w:rsid w:val="00192E3D"/>
    <w:rsid w:val="00192E52"/>
    <w:rsid w:val="00192EF2"/>
    <w:rsid w:val="00192F3A"/>
    <w:rsid w:val="00192FD4"/>
    <w:rsid w:val="0019300A"/>
    <w:rsid w:val="00193022"/>
    <w:rsid w:val="001930D4"/>
    <w:rsid w:val="001930FB"/>
    <w:rsid w:val="00193237"/>
    <w:rsid w:val="001932BF"/>
    <w:rsid w:val="001932E4"/>
    <w:rsid w:val="001932FA"/>
    <w:rsid w:val="001934C6"/>
    <w:rsid w:val="00193576"/>
    <w:rsid w:val="0019362A"/>
    <w:rsid w:val="00193639"/>
    <w:rsid w:val="00193699"/>
    <w:rsid w:val="001936FC"/>
    <w:rsid w:val="00193770"/>
    <w:rsid w:val="0019378E"/>
    <w:rsid w:val="001937AA"/>
    <w:rsid w:val="001937D2"/>
    <w:rsid w:val="00193811"/>
    <w:rsid w:val="001938A5"/>
    <w:rsid w:val="001938F2"/>
    <w:rsid w:val="0019391D"/>
    <w:rsid w:val="0019391F"/>
    <w:rsid w:val="00193961"/>
    <w:rsid w:val="00193966"/>
    <w:rsid w:val="00193A03"/>
    <w:rsid w:val="00193ADD"/>
    <w:rsid w:val="00193B45"/>
    <w:rsid w:val="00193B4D"/>
    <w:rsid w:val="00193B85"/>
    <w:rsid w:val="00193B87"/>
    <w:rsid w:val="00193BA5"/>
    <w:rsid w:val="00193BC4"/>
    <w:rsid w:val="00193BCD"/>
    <w:rsid w:val="00193ECD"/>
    <w:rsid w:val="00193EDE"/>
    <w:rsid w:val="00193F81"/>
    <w:rsid w:val="0019401F"/>
    <w:rsid w:val="00194041"/>
    <w:rsid w:val="0019406D"/>
    <w:rsid w:val="0019408E"/>
    <w:rsid w:val="001940F4"/>
    <w:rsid w:val="001941D1"/>
    <w:rsid w:val="0019424D"/>
    <w:rsid w:val="00194276"/>
    <w:rsid w:val="001942DE"/>
    <w:rsid w:val="001943C6"/>
    <w:rsid w:val="00194461"/>
    <w:rsid w:val="001944B1"/>
    <w:rsid w:val="001945E9"/>
    <w:rsid w:val="00194613"/>
    <w:rsid w:val="0019474E"/>
    <w:rsid w:val="00194838"/>
    <w:rsid w:val="001948E7"/>
    <w:rsid w:val="00194950"/>
    <w:rsid w:val="00194959"/>
    <w:rsid w:val="001949B5"/>
    <w:rsid w:val="00194A5A"/>
    <w:rsid w:val="00194AB9"/>
    <w:rsid w:val="00194B2A"/>
    <w:rsid w:val="00194C38"/>
    <w:rsid w:val="00194C69"/>
    <w:rsid w:val="00194CAC"/>
    <w:rsid w:val="00194CBB"/>
    <w:rsid w:val="00194CC8"/>
    <w:rsid w:val="00194CE5"/>
    <w:rsid w:val="00194DDC"/>
    <w:rsid w:val="00194DFD"/>
    <w:rsid w:val="00194E6E"/>
    <w:rsid w:val="00194F76"/>
    <w:rsid w:val="00194F95"/>
    <w:rsid w:val="0019509F"/>
    <w:rsid w:val="001950C0"/>
    <w:rsid w:val="0019514C"/>
    <w:rsid w:val="001951CB"/>
    <w:rsid w:val="001951D2"/>
    <w:rsid w:val="00195253"/>
    <w:rsid w:val="0019526A"/>
    <w:rsid w:val="00195274"/>
    <w:rsid w:val="001952B4"/>
    <w:rsid w:val="001952C7"/>
    <w:rsid w:val="00195367"/>
    <w:rsid w:val="0019536A"/>
    <w:rsid w:val="0019544E"/>
    <w:rsid w:val="0019545D"/>
    <w:rsid w:val="00195460"/>
    <w:rsid w:val="00195557"/>
    <w:rsid w:val="001955D2"/>
    <w:rsid w:val="00195614"/>
    <w:rsid w:val="0019564F"/>
    <w:rsid w:val="00195656"/>
    <w:rsid w:val="001956CE"/>
    <w:rsid w:val="00195716"/>
    <w:rsid w:val="00195728"/>
    <w:rsid w:val="00195775"/>
    <w:rsid w:val="0019581E"/>
    <w:rsid w:val="00195859"/>
    <w:rsid w:val="001958AD"/>
    <w:rsid w:val="001958CB"/>
    <w:rsid w:val="00195902"/>
    <w:rsid w:val="001959A0"/>
    <w:rsid w:val="001959A8"/>
    <w:rsid w:val="00195A24"/>
    <w:rsid w:val="00195AD3"/>
    <w:rsid w:val="00195AFC"/>
    <w:rsid w:val="00195B8E"/>
    <w:rsid w:val="00195B9E"/>
    <w:rsid w:val="00195C39"/>
    <w:rsid w:val="00195C49"/>
    <w:rsid w:val="00195C75"/>
    <w:rsid w:val="00195CD4"/>
    <w:rsid w:val="00195CDA"/>
    <w:rsid w:val="00195CFC"/>
    <w:rsid w:val="00195D15"/>
    <w:rsid w:val="00195D56"/>
    <w:rsid w:val="00195DE4"/>
    <w:rsid w:val="00195E92"/>
    <w:rsid w:val="00196031"/>
    <w:rsid w:val="001960E1"/>
    <w:rsid w:val="001960FA"/>
    <w:rsid w:val="0019614E"/>
    <w:rsid w:val="00196178"/>
    <w:rsid w:val="001961D9"/>
    <w:rsid w:val="001961F3"/>
    <w:rsid w:val="00196245"/>
    <w:rsid w:val="00196268"/>
    <w:rsid w:val="00196303"/>
    <w:rsid w:val="001963C2"/>
    <w:rsid w:val="0019642A"/>
    <w:rsid w:val="00196439"/>
    <w:rsid w:val="001964CE"/>
    <w:rsid w:val="0019650F"/>
    <w:rsid w:val="00196576"/>
    <w:rsid w:val="001965B6"/>
    <w:rsid w:val="001965BA"/>
    <w:rsid w:val="001965D7"/>
    <w:rsid w:val="00196681"/>
    <w:rsid w:val="00196720"/>
    <w:rsid w:val="0019678A"/>
    <w:rsid w:val="00196793"/>
    <w:rsid w:val="001967A2"/>
    <w:rsid w:val="001967F0"/>
    <w:rsid w:val="00196843"/>
    <w:rsid w:val="00196854"/>
    <w:rsid w:val="00196869"/>
    <w:rsid w:val="001968C6"/>
    <w:rsid w:val="00196976"/>
    <w:rsid w:val="001969B3"/>
    <w:rsid w:val="001969B7"/>
    <w:rsid w:val="00196A00"/>
    <w:rsid w:val="00196AD7"/>
    <w:rsid w:val="00196B2D"/>
    <w:rsid w:val="00196B84"/>
    <w:rsid w:val="00196C40"/>
    <w:rsid w:val="00196CCD"/>
    <w:rsid w:val="00196D74"/>
    <w:rsid w:val="00196D76"/>
    <w:rsid w:val="00196E0D"/>
    <w:rsid w:val="00196EBA"/>
    <w:rsid w:val="00196FB9"/>
    <w:rsid w:val="00197023"/>
    <w:rsid w:val="00197050"/>
    <w:rsid w:val="00197064"/>
    <w:rsid w:val="001970C0"/>
    <w:rsid w:val="001970CD"/>
    <w:rsid w:val="00197133"/>
    <w:rsid w:val="001971BB"/>
    <w:rsid w:val="001971BF"/>
    <w:rsid w:val="001971E8"/>
    <w:rsid w:val="001971EE"/>
    <w:rsid w:val="0019724D"/>
    <w:rsid w:val="0019726D"/>
    <w:rsid w:val="00197297"/>
    <w:rsid w:val="001972B9"/>
    <w:rsid w:val="001972F2"/>
    <w:rsid w:val="0019738D"/>
    <w:rsid w:val="00197468"/>
    <w:rsid w:val="0019748B"/>
    <w:rsid w:val="001974D4"/>
    <w:rsid w:val="00197546"/>
    <w:rsid w:val="001975A2"/>
    <w:rsid w:val="001975CC"/>
    <w:rsid w:val="00197701"/>
    <w:rsid w:val="00197738"/>
    <w:rsid w:val="001977E3"/>
    <w:rsid w:val="00197857"/>
    <w:rsid w:val="00197935"/>
    <w:rsid w:val="00197949"/>
    <w:rsid w:val="001979CA"/>
    <w:rsid w:val="001979E9"/>
    <w:rsid w:val="001979F8"/>
    <w:rsid w:val="001979FB"/>
    <w:rsid w:val="00197A2D"/>
    <w:rsid w:val="00197A7C"/>
    <w:rsid w:val="00197B36"/>
    <w:rsid w:val="00197B48"/>
    <w:rsid w:val="00197BEE"/>
    <w:rsid w:val="00197C33"/>
    <w:rsid w:val="00197C71"/>
    <w:rsid w:val="00197CB4"/>
    <w:rsid w:val="00197CDC"/>
    <w:rsid w:val="00197D27"/>
    <w:rsid w:val="00197D56"/>
    <w:rsid w:val="00197D63"/>
    <w:rsid w:val="00197E0E"/>
    <w:rsid w:val="00197E16"/>
    <w:rsid w:val="00197F75"/>
    <w:rsid w:val="001A005F"/>
    <w:rsid w:val="001A007F"/>
    <w:rsid w:val="001A0091"/>
    <w:rsid w:val="001A0125"/>
    <w:rsid w:val="001A014A"/>
    <w:rsid w:val="001A026A"/>
    <w:rsid w:val="001A027F"/>
    <w:rsid w:val="001A028F"/>
    <w:rsid w:val="001A02A6"/>
    <w:rsid w:val="001A0365"/>
    <w:rsid w:val="001A03F4"/>
    <w:rsid w:val="001A042F"/>
    <w:rsid w:val="001A0453"/>
    <w:rsid w:val="001A0653"/>
    <w:rsid w:val="001A066B"/>
    <w:rsid w:val="001A07B8"/>
    <w:rsid w:val="001A07F1"/>
    <w:rsid w:val="001A087C"/>
    <w:rsid w:val="001A08A1"/>
    <w:rsid w:val="001A08C7"/>
    <w:rsid w:val="001A092C"/>
    <w:rsid w:val="001A093E"/>
    <w:rsid w:val="001A095D"/>
    <w:rsid w:val="001A0A3A"/>
    <w:rsid w:val="001A0A4E"/>
    <w:rsid w:val="001A0A69"/>
    <w:rsid w:val="001A0B7F"/>
    <w:rsid w:val="001A0BDB"/>
    <w:rsid w:val="001A0C8D"/>
    <w:rsid w:val="001A0CB4"/>
    <w:rsid w:val="001A0D05"/>
    <w:rsid w:val="001A0D10"/>
    <w:rsid w:val="001A0D41"/>
    <w:rsid w:val="001A0D9B"/>
    <w:rsid w:val="001A0DBA"/>
    <w:rsid w:val="001A0DDD"/>
    <w:rsid w:val="001A0F07"/>
    <w:rsid w:val="001A0FF6"/>
    <w:rsid w:val="001A1345"/>
    <w:rsid w:val="001A1432"/>
    <w:rsid w:val="001A14A2"/>
    <w:rsid w:val="001A1528"/>
    <w:rsid w:val="001A1541"/>
    <w:rsid w:val="001A1566"/>
    <w:rsid w:val="001A16E1"/>
    <w:rsid w:val="001A1738"/>
    <w:rsid w:val="001A1773"/>
    <w:rsid w:val="001A17C7"/>
    <w:rsid w:val="001A1804"/>
    <w:rsid w:val="001A189B"/>
    <w:rsid w:val="001A1959"/>
    <w:rsid w:val="001A199D"/>
    <w:rsid w:val="001A19C1"/>
    <w:rsid w:val="001A1A34"/>
    <w:rsid w:val="001A1A5D"/>
    <w:rsid w:val="001A1B27"/>
    <w:rsid w:val="001A1B78"/>
    <w:rsid w:val="001A1C09"/>
    <w:rsid w:val="001A1C7B"/>
    <w:rsid w:val="001A1CAB"/>
    <w:rsid w:val="001A1CB7"/>
    <w:rsid w:val="001A1D61"/>
    <w:rsid w:val="001A1D71"/>
    <w:rsid w:val="001A1DE0"/>
    <w:rsid w:val="001A1E06"/>
    <w:rsid w:val="001A1E29"/>
    <w:rsid w:val="001A1E2F"/>
    <w:rsid w:val="001A1E5E"/>
    <w:rsid w:val="001A1EDA"/>
    <w:rsid w:val="001A1F15"/>
    <w:rsid w:val="001A1F1B"/>
    <w:rsid w:val="001A1F25"/>
    <w:rsid w:val="001A1F2C"/>
    <w:rsid w:val="001A1F74"/>
    <w:rsid w:val="001A1FD7"/>
    <w:rsid w:val="001A2044"/>
    <w:rsid w:val="001A20FF"/>
    <w:rsid w:val="001A2122"/>
    <w:rsid w:val="001A213F"/>
    <w:rsid w:val="001A215F"/>
    <w:rsid w:val="001A21CB"/>
    <w:rsid w:val="001A227E"/>
    <w:rsid w:val="001A23CC"/>
    <w:rsid w:val="001A24C3"/>
    <w:rsid w:val="001A24F8"/>
    <w:rsid w:val="001A25C2"/>
    <w:rsid w:val="001A25E7"/>
    <w:rsid w:val="001A2685"/>
    <w:rsid w:val="001A2722"/>
    <w:rsid w:val="001A275D"/>
    <w:rsid w:val="001A27A5"/>
    <w:rsid w:val="001A2808"/>
    <w:rsid w:val="001A2809"/>
    <w:rsid w:val="001A283C"/>
    <w:rsid w:val="001A2844"/>
    <w:rsid w:val="001A2852"/>
    <w:rsid w:val="001A2897"/>
    <w:rsid w:val="001A295A"/>
    <w:rsid w:val="001A29E2"/>
    <w:rsid w:val="001A2A2A"/>
    <w:rsid w:val="001A2A36"/>
    <w:rsid w:val="001A2AEF"/>
    <w:rsid w:val="001A2B51"/>
    <w:rsid w:val="001A2B96"/>
    <w:rsid w:val="001A2C54"/>
    <w:rsid w:val="001A2D07"/>
    <w:rsid w:val="001A2D98"/>
    <w:rsid w:val="001A2DF0"/>
    <w:rsid w:val="001A2E0C"/>
    <w:rsid w:val="001A2E13"/>
    <w:rsid w:val="001A2FA1"/>
    <w:rsid w:val="001A2FE0"/>
    <w:rsid w:val="001A3052"/>
    <w:rsid w:val="001A3086"/>
    <w:rsid w:val="001A30C4"/>
    <w:rsid w:val="001A30D4"/>
    <w:rsid w:val="001A30F8"/>
    <w:rsid w:val="001A30FE"/>
    <w:rsid w:val="001A310D"/>
    <w:rsid w:val="001A31C9"/>
    <w:rsid w:val="001A31D1"/>
    <w:rsid w:val="001A31EE"/>
    <w:rsid w:val="001A325E"/>
    <w:rsid w:val="001A328E"/>
    <w:rsid w:val="001A32EE"/>
    <w:rsid w:val="001A3360"/>
    <w:rsid w:val="001A336C"/>
    <w:rsid w:val="001A3379"/>
    <w:rsid w:val="001A338C"/>
    <w:rsid w:val="001A3393"/>
    <w:rsid w:val="001A339F"/>
    <w:rsid w:val="001A33AF"/>
    <w:rsid w:val="001A3406"/>
    <w:rsid w:val="001A347B"/>
    <w:rsid w:val="001A348B"/>
    <w:rsid w:val="001A3493"/>
    <w:rsid w:val="001A34A5"/>
    <w:rsid w:val="001A35A7"/>
    <w:rsid w:val="001A35BF"/>
    <w:rsid w:val="001A365F"/>
    <w:rsid w:val="001A3667"/>
    <w:rsid w:val="001A3699"/>
    <w:rsid w:val="001A36AC"/>
    <w:rsid w:val="001A36B8"/>
    <w:rsid w:val="001A3878"/>
    <w:rsid w:val="001A39CF"/>
    <w:rsid w:val="001A39F3"/>
    <w:rsid w:val="001A3A05"/>
    <w:rsid w:val="001A3A89"/>
    <w:rsid w:val="001A3AD0"/>
    <w:rsid w:val="001A3C59"/>
    <w:rsid w:val="001A3CA8"/>
    <w:rsid w:val="001A3CE6"/>
    <w:rsid w:val="001A3CF1"/>
    <w:rsid w:val="001A3CFE"/>
    <w:rsid w:val="001A3D24"/>
    <w:rsid w:val="001A3D31"/>
    <w:rsid w:val="001A3E4B"/>
    <w:rsid w:val="001A3E55"/>
    <w:rsid w:val="001A3EB7"/>
    <w:rsid w:val="001A3ED1"/>
    <w:rsid w:val="001A3EDF"/>
    <w:rsid w:val="001A3FCA"/>
    <w:rsid w:val="001A3FF3"/>
    <w:rsid w:val="001A400F"/>
    <w:rsid w:val="001A4053"/>
    <w:rsid w:val="001A4087"/>
    <w:rsid w:val="001A4089"/>
    <w:rsid w:val="001A408A"/>
    <w:rsid w:val="001A41F1"/>
    <w:rsid w:val="001A420B"/>
    <w:rsid w:val="001A4227"/>
    <w:rsid w:val="001A423C"/>
    <w:rsid w:val="001A424E"/>
    <w:rsid w:val="001A43EE"/>
    <w:rsid w:val="001A4443"/>
    <w:rsid w:val="001A44C5"/>
    <w:rsid w:val="001A44F1"/>
    <w:rsid w:val="001A45DE"/>
    <w:rsid w:val="001A461E"/>
    <w:rsid w:val="001A467B"/>
    <w:rsid w:val="001A46FD"/>
    <w:rsid w:val="001A472D"/>
    <w:rsid w:val="001A476C"/>
    <w:rsid w:val="001A478C"/>
    <w:rsid w:val="001A4845"/>
    <w:rsid w:val="001A4861"/>
    <w:rsid w:val="001A4933"/>
    <w:rsid w:val="001A494F"/>
    <w:rsid w:val="001A4953"/>
    <w:rsid w:val="001A49A0"/>
    <w:rsid w:val="001A49EC"/>
    <w:rsid w:val="001A4A14"/>
    <w:rsid w:val="001A4A75"/>
    <w:rsid w:val="001A4A83"/>
    <w:rsid w:val="001A4B97"/>
    <w:rsid w:val="001A4BC4"/>
    <w:rsid w:val="001A4BCA"/>
    <w:rsid w:val="001A4C71"/>
    <w:rsid w:val="001A4C90"/>
    <w:rsid w:val="001A4D4A"/>
    <w:rsid w:val="001A4D5D"/>
    <w:rsid w:val="001A4E65"/>
    <w:rsid w:val="001A4EA3"/>
    <w:rsid w:val="001A4EE0"/>
    <w:rsid w:val="001A4F3F"/>
    <w:rsid w:val="001A4F58"/>
    <w:rsid w:val="001A4F7D"/>
    <w:rsid w:val="001A4F9B"/>
    <w:rsid w:val="001A4FAA"/>
    <w:rsid w:val="001A5039"/>
    <w:rsid w:val="001A512A"/>
    <w:rsid w:val="001A51FC"/>
    <w:rsid w:val="001A52A5"/>
    <w:rsid w:val="001A52C0"/>
    <w:rsid w:val="001A541C"/>
    <w:rsid w:val="001A54AE"/>
    <w:rsid w:val="001A5597"/>
    <w:rsid w:val="001A55B1"/>
    <w:rsid w:val="001A55F7"/>
    <w:rsid w:val="001A5606"/>
    <w:rsid w:val="001A5674"/>
    <w:rsid w:val="001A5708"/>
    <w:rsid w:val="001A580E"/>
    <w:rsid w:val="001A5828"/>
    <w:rsid w:val="001A5990"/>
    <w:rsid w:val="001A59D0"/>
    <w:rsid w:val="001A59DC"/>
    <w:rsid w:val="001A59E5"/>
    <w:rsid w:val="001A5A57"/>
    <w:rsid w:val="001A5AD5"/>
    <w:rsid w:val="001A5B3E"/>
    <w:rsid w:val="001A5BE2"/>
    <w:rsid w:val="001A5CAD"/>
    <w:rsid w:val="001A5D18"/>
    <w:rsid w:val="001A5DF9"/>
    <w:rsid w:val="001A5F6C"/>
    <w:rsid w:val="001A5FC8"/>
    <w:rsid w:val="001A6012"/>
    <w:rsid w:val="001A6040"/>
    <w:rsid w:val="001A6100"/>
    <w:rsid w:val="001A612A"/>
    <w:rsid w:val="001A61B7"/>
    <w:rsid w:val="001A625C"/>
    <w:rsid w:val="001A6270"/>
    <w:rsid w:val="001A62A7"/>
    <w:rsid w:val="001A6305"/>
    <w:rsid w:val="001A6319"/>
    <w:rsid w:val="001A6497"/>
    <w:rsid w:val="001A64CF"/>
    <w:rsid w:val="001A64E1"/>
    <w:rsid w:val="001A6563"/>
    <w:rsid w:val="001A6571"/>
    <w:rsid w:val="001A6626"/>
    <w:rsid w:val="001A66A7"/>
    <w:rsid w:val="001A6780"/>
    <w:rsid w:val="001A67C7"/>
    <w:rsid w:val="001A691C"/>
    <w:rsid w:val="001A69C0"/>
    <w:rsid w:val="001A6A37"/>
    <w:rsid w:val="001A6A46"/>
    <w:rsid w:val="001A6A50"/>
    <w:rsid w:val="001A6AF5"/>
    <w:rsid w:val="001A6B5B"/>
    <w:rsid w:val="001A6B7E"/>
    <w:rsid w:val="001A6B87"/>
    <w:rsid w:val="001A6C79"/>
    <w:rsid w:val="001A6C97"/>
    <w:rsid w:val="001A6D1F"/>
    <w:rsid w:val="001A6D56"/>
    <w:rsid w:val="001A6D62"/>
    <w:rsid w:val="001A6D66"/>
    <w:rsid w:val="001A6E11"/>
    <w:rsid w:val="001A6E2F"/>
    <w:rsid w:val="001A6E4D"/>
    <w:rsid w:val="001A6E70"/>
    <w:rsid w:val="001A6EA1"/>
    <w:rsid w:val="001A6FAE"/>
    <w:rsid w:val="001A6FE9"/>
    <w:rsid w:val="001A70F5"/>
    <w:rsid w:val="001A712E"/>
    <w:rsid w:val="001A71BC"/>
    <w:rsid w:val="001A71D6"/>
    <w:rsid w:val="001A71F4"/>
    <w:rsid w:val="001A728C"/>
    <w:rsid w:val="001A72BA"/>
    <w:rsid w:val="001A72D9"/>
    <w:rsid w:val="001A73CD"/>
    <w:rsid w:val="001A73D1"/>
    <w:rsid w:val="001A74CE"/>
    <w:rsid w:val="001A74E3"/>
    <w:rsid w:val="001A751A"/>
    <w:rsid w:val="001A761D"/>
    <w:rsid w:val="001A772A"/>
    <w:rsid w:val="001A775A"/>
    <w:rsid w:val="001A77E4"/>
    <w:rsid w:val="001A7829"/>
    <w:rsid w:val="001A782B"/>
    <w:rsid w:val="001A785A"/>
    <w:rsid w:val="001A787B"/>
    <w:rsid w:val="001A7880"/>
    <w:rsid w:val="001A788F"/>
    <w:rsid w:val="001A78A0"/>
    <w:rsid w:val="001A78E2"/>
    <w:rsid w:val="001A7934"/>
    <w:rsid w:val="001A7A30"/>
    <w:rsid w:val="001A7A53"/>
    <w:rsid w:val="001A7A79"/>
    <w:rsid w:val="001A7B16"/>
    <w:rsid w:val="001A7B1A"/>
    <w:rsid w:val="001A7B42"/>
    <w:rsid w:val="001A7B78"/>
    <w:rsid w:val="001A7C15"/>
    <w:rsid w:val="001A7D2A"/>
    <w:rsid w:val="001A7D8F"/>
    <w:rsid w:val="001A7E19"/>
    <w:rsid w:val="001A7E8F"/>
    <w:rsid w:val="001A7E91"/>
    <w:rsid w:val="001A7EB2"/>
    <w:rsid w:val="001A7F0D"/>
    <w:rsid w:val="001A7F12"/>
    <w:rsid w:val="001A7F16"/>
    <w:rsid w:val="001A7FF5"/>
    <w:rsid w:val="001B00D1"/>
    <w:rsid w:val="001B0141"/>
    <w:rsid w:val="001B0179"/>
    <w:rsid w:val="001B017D"/>
    <w:rsid w:val="001B0302"/>
    <w:rsid w:val="001B03C0"/>
    <w:rsid w:val="001B0453"/>
    <w:rsid w:val="001B0462"/>
    <w:rsid w:val="001B04F0"/>
    <w:rsid w:val="001B05F8"/>
    <w:rsid w:val="001B0748"/>
    <w:rsid w:val="001B07A5"/>
    <w:rsid w:val="001B07CE"/>
    <w:rsid w:val="001B0826"/>
    <w:rsid w:val="001B0887"/>
    <w:rsid w:val="001B08C0"/>
    <w:rsid w:val="001B08CC"/>
    <w:rsid w:val="001B08E3"/>
    <w:rsid w:val="001B08F3"/>
    <w:rsid w:val="001B0938"/>
    <w:rsid w:val="001B097E"/>
    <w:rsid w:val="001B0A09"/>
    <w:rsid w:val="001B0B07"/>
    <w:rsid w:val="001B0B2F"/>
    <w:rsid w:val="001B0B50"/>
    <w:rsid w:val="001B0BC8"/>
    <w:rsid w:val="001B0CA7"/>
    <w:rsid w:val="001B0CE9"/>
    <w:rsid w:val="001B0D15"/>
    <w:rsid w:val="001B0D46"/>
    <w:rsid w:val="001B0D51"/>
    <w:rsid w:val="001B0D83"/>
    <w:rsid w:val="001B0DB3"/>
    <w:rsid w:val="001B0DF0"/>
    <w:rsid w:val="001B0E00"/>
    <w:rsid w:val="001B0E13"/>
    <w:rsid w:val="001B0E9C"/>
    <w:rsid w:val="001B0F92"/>
    <w:rsid w:val="001B0F95"/>
    <w:rsid w:val="001B0FA3"/>
    <w:rsid w:val="001B0FDC"/>
    <w:rsid w:val="001B1038"/>
    <w:rsid w:val="001B1057"/>
    <w:rsid w:val="001B1123"/>
    <w:rsid w:val="001B1144"/>
    <w:rsid w:val="001B11E0"/>
    <w:rsid w:val="001B12DF"/>
    <w:rsid w:val="001B1317"/>
    <w:rsid w:val="001B138D"/>
    <w:rsid w:val="001B14D5"/>
    <w:rsid w:val="001B156C"/>
    <w:rsid w:val="001B159D"/>
    <w:rsid w:val="001B15A1"/>
    <w:rsid w:val="001B166B"/>
    <w:rsid w:val="001B16CC"/>
    <w:rsid w:val="001B1750"/>
    <w:rsid w:val="001B175F"/>
    <w:rsid w:val="001B176F"/>
    <w:rsid w:val="001B17A9"/>
    <w:rsid w:val="001B17AF"/>
    <w:rsid w:val="001B17ED"/>
    <w:rsid w:val="001B18FF"/>
    <w:rsid w:val="001B19AF"/>
    <w:rsid w:val="001B19EB"/>
    <w:rsid w:val="001B1B11"/>
    <w:rsid w:val="001B1BBD"/>
    <w:rsid w:val="001B1C5A"/>
    <w:rsid w:val="001B1C5B"/>
    <w:rsid w:val="001B1C8A"/>
    <w:rsid w:val="001B1D1A"/>
    <w:rsid w:val="001B1D26"/>
    <w:rsid w:val="001B1DA4"/>
    <w:rsid w:val="001B1DAC"/>
    <w:rsid w:val="001B1E00"/>
    <w:rsid w:val="001B1E3F"/>
    <w:rsid w:val="001B1E6E"/>
    <w:rsid w:val="001B1ED8"/>
    <w:rsid w:val="001B2075"/>
    <w:rsid w:val="001B20B7"/>
    <w:rsid w:val="001B20EB"/>
    <w:rsid w:val="001B216C"/>
    <w:rsid w:val="001B2173"/>
    <w:rsid w:val="001B2260"/>
    <w:rsid w:val="001B22A3"/>
    <w:rsid w:val="001B2318"/>
    <w:rsid w:val="001B2346"/>
    <w:rsid w:val="001B2376"/>
    <w:rsid w:val="001B2402"/>
    <w:rsid w:val="001B24D3"/>
    <w:rsid w:val="001B262C"/>
    <w:rsid w:val="001B2689"/>
    <w:rsid w:val="001B26D7"/>
    <w:rsid w:val="001B27BE"/>
    <w:rsid w:val="001B280E"/>
    <w:rsid w:val="001B2862"/>
    <w:rsid w:val="001B28A3"/>
    <w:rsid w:val="001B28B6"/>
    <w:rsid w:val="001B28FA"/>
    <w:rsid w:val="001B2909"/>
    <w:rsid w:val="001B29B3"/>
    <w:rsid w:val="001B29C9"/>
    <w:rsid w:val="001B2A74"/>
    <w:rsid w:val="001B2A97"/>
    <w:rsid w:val="001B2AE8"/>
    <w:rsid w:val="001B2B8C"/>
    <w:rsid w:val="001B2BAF"/>
    <w:rsid w:val="001B2BF8"/>
    <w:rsid w:val="001B2C28"/>
    <w:rsid w:val="001B2C5B"/>
    <w:rsid w:val="001B2C7A"/>
    <w:rsid w:val="001B2C8E"/>
    <w:rsid w:val="001B2CD4"/>
    <w:rsid w:val="001B2D74"/>
    <w:rsid w:val="001B2DA9"/>
    <w:rsid w:val="001B2F3E"/>
    <w:rsid w:val="001B2F67"/>
    <w:rsid w:val="001B2F7B"/>
    <w:rsid w:val="001B2FB1"/>
    <w:rsid w:val="001B2FBA"/>
    <w:rsid w:val="001B2FF6"/>
    <w:rsid w:val="001B3108"/>
    <w:rsid w:val="001B311F"/>
    <w:rsid w:val="001B3134"/>
    <w:rsid w:val="001B3140"/>
    <w:rsid w:val="001B3161"/>
    <w:rsid w:val="001B31BD"/>
    <w:rsid w:val="001B31E9"/>
    <w:rsid w:val="001B3225"/>
    <w:rsid w:val="001B3240"/>
    <w:rsid w:val="001B3255"/>
    <w:rsid w:val="001B3266"/>
    <w:rsid w:val="001B329A"/>
    <w:rsid w:val="001B32DF"/>
    <w:rsid w:val="001B32ED"/>
    <w:rsid w:val="001B337E"/>
    <w:rsid w:val="001B342D"/>
    <w:rsid w:val="001B348E"/>
    <w:rsid w:val="001B34A3"/>
    <w:rsid w:val="001B35B6"/>
    <w:rsid w:val="001B35B8"/>
    <w:rsid w:val="001B35CC"/>
    <w:rsid w:val="001B35FF"/>
    <w:rsid w:val="001B3607"/>
    <w:rsid w:val="001B3656"/>
    <w:rsid w:val="001B367C"/>
    <w:rsid w:val="001B369D"/>
    <w:rsid w:val="001B36CC"/>
    <w:rsid w:val="001B372C"/>
    <w:rsid w:val="001B3732"/>
    <w:rsid w:val="001B3768"/>
    <w:rsid w:val="001B3910"/>
    <w:rsid w:val="001B393B"/>
    <w:rsid w:val="001B3976"/>
    <w:rsid w:val="001B3A0A"/>
    <w:rsid w:val="001B3AA2"/>
    <w:rsid w:val="001B3AC2"/>
    <w:rsid w:val="001B3B1D"/>
    <w:rsid w:val="001B3BE7"/>
    <w:rsid w:val="001B3CC3"/>
    <w:rsid w:val="001B3CEE"/>
    <w:rsid w:val="001B3E3C"/>
    <w:rsid w:val="001B3E7D"/>
    <w:rsid w:val="001B3EC8"/>
    <w:rsid w:val="001B3F5C"/>
    <w:rsid w:val="001B3F9E"/>
    <w:rsid w:val="001B3FA7"/>
    <w:rsid w:val="001B3FB4"/>
    <w:rsid w:val="001B4027"/>
    <w:rsid w:val="001B4033"/>
    <w:rsid w:val="001B40A6"/>
    <w:rsid w:val="001B412A"/>
    <w:rsid w:val="001B4137"/>
    <w:rsid w:val="001B41A4"/>
    <w:rsid w:val="001B41BB"/>
    <w:rsid w:val="001B4228"/>
    <w:rsid w:val="001B426D"/>
    <w:rsid w:val="001B4271"/>
    <w:rsid w:val="001B42DE"/>
    <w:rsid w:val="001B44F5"/>
    <w:rsid w:val="001B45A5"/>
    <w:rsid w:val="001B4648"/>
    <w:rsid w:val="001B4662"/>
    <w:rsid w:val="001B4668"/>
    <w:rsid w:val="001B46A7"/>
    <w:rsid w:val="001B46B3"/>
    <w:rsid w:val="001B46C5"/>
    <w:rsid w:val="001B4700"/>
    <w:rsid w:val="001B4750"/>
    <w:rsid w:val="001B4781"/>
    <w:rsid w:val="001B4784"/>
    <w:rsid w:val="001B47BF"/>
    <w:rsid w:val="001B48FC"/>
    <w:rsid w:val="001B4914"/>
    <w:rsid w:val="001B49A0"/>
    <w:rsid w:val="001B49A2"/>
    <w:rsid w:val="001B49B0"/>
    <w:rsid w:val="001B4A89"/>
    <w:rsid w:val="001B4B1D"/>
    <w:rsid w:val="001B4BFC"/>
    <w:rsid w:val="001B4C65"/>
    <w:rsid w:val="001B4CC9"/>
    <w:rsid w:val="001B4CCA"/>
    <w:rsid w:val="001B4DB4"/>
    <w:rsid w:val="001B4DB8"/>
    <w:rsid w:val="001B4DD4"/>
    <w:rsid w:val="001B4E2C"/>
    <w:rsid w:val="001B4E36"/>
    <w:rsid w:val="001B4EB1"/>
    <w:rsid w:val="001B4EFB"/>
    <w:rsid w:val="001B4F41"/>
    <w:rsid w:val="001B4F71"/>
    <w:rsid w:val="001B4FB4"/>
    <w:rsid w:val="001B4FBD"/>
    <w:rsid w:val="001B5070"/>
    <w:rsid w:val="001B5087"/>
    <w:rsid w:val="001B50B5"/>
    <w:rsid w:val="001B5156"/>
    <w:rsid w:val="001B51A4"/>
    <w:rsid w:val="001B5246"/>
    <w:rsid w:val="001B5328"/>
    <w:rsid w:val="001B547C"/>
    <w:rsid w:val="001B5498"/>
    <w:rsid w:val="001B549D"/>
    <w:rsid w:val="001B5514"/>
    <w:rsid w:val="001B564F"/>
    <w:rsid w:val="001B56F9"/>
    <w:rsid w:val="001B5720"/>
    <w:rsid w:val="001B5721"/>
    <w:rsid w:val="001B5744"/>
    <w:rsid w:val="001B5A25"/>
    <w:rsid w:val="001B5A30"/>
    <w:rsid w:val="001B5A50"/>
    <w:rsid w:val="001B5A98"/>
    <w:rsid w:val="001B5B1C"/>
    <w:rsid w:val="001B5C12"/>
    <w:rsid w:val="001B5C4D"/>
    <w:rsid w:val="001B5C65"/>
    <w:rsid w:val="001B5C77"/>
    <w:rsid w:val="001B5D10"/>
    <w:rsid w:val="001B5D8A"/>
    <w:rsid w:val="001B5E66"/>
    <w:rsid w:val="001B5E9B"/>
    <w:rsid w:val="001B5F2E"/>
    <w:rsid w:val="001B613B"/>
    <w:rsid w:val="001B61FC"/>
    <w:rsid w:val="001B6207"/>
    <w:rsid w:val="001B621B"/>
    <w:rsid w:val="001B628F"/>
    <w:rsid w:val="001B634E"/>
    <w:rsid w:val="001B6391"/>
    <w:rsid w:val="001B6439"/>
    <w:rsid w:val="001B646A"/>
    <w:rsid w:val="001B64D3"/>
    <w:rsid w:val="001B661A"/>
    <w:rsid w:val="001B662A"/>
    <w:rsid w:val="001B667A"/>
    <w:rsid w:val="001B66C8"/>
    <w:rsid w:val="001B66E2"/>
    <w:rsid w:val="001B66FC"/>
    <w:rsid w:val="001B671A"/>
    <w:rsid w:val="001B67CF"/>
    <w:rsid w:val="001B6826"/>
    <w:rsid w:val="001B685C"/>
    <w:rsid w:val="001B687C"/>
    <w:rsid w:val="001B68B3"/>
    <w:rsid w:val="001B694B"/>
    <w:rsid w:val="001B69DD"/>
    <w:rsid w:val="001B69FA"/>
    <w:rsid w:val="001B6A0F"/>
    <w:rsid w:val="001B6A37"/>
    <w:rsid w:val="001B6AAB"/>
    <w:rsid w:val="001B6CAC"/>
    <w:rsid w:val="001B6D11"/>
    <w:rsid w:val="001B6D20"/>
    <w:rsid w:val="001B6E5B"/>
    <w:rsid w:val="001B6E67"/>
    <w:rsid w:val="001B6FB9"/>
    <w:rsid w:val="001B6FDB"/>
    <w:rsid w:val="001B7092"/>
    <w:rsid w:val="001B70E4"/>
    <w:rsid w:val="001B7110"/>
    <w:rsid w:val="001B712B"/>
    <w:rsid w:val="001B71C6"/>
    <w:rsid w:val="001B7253"/>
    <w:rsid w:val="001B72BC"/>
    <w:rsid w:val="001B72C9"/>
    <w:rsid w:val="001B72D9"/>
    <w:rsid w:val="001B72DC"/>
    <w:rsid w:val="001B7329"/>
    <w:rsid w:val="001B733F"/>
    <w:rsid w:val="001B73FF"/>
    <w:rsid w:val="001B74EA"/>
    <w:rsid w:val="001B74ED"/>
    <w:rsid w:val="001B7508"/>
    <w:rsid w:val="001B750C"/>
    <w:rsid w:val="001B7535"/>
    <w:rsid w:val="001B762C"/>
    <w:rsid w:val="001B7636"/>
    <w:rsid w:val="001B764E"/>
    <w:rsid w:val="001B765C"/>
    <w:rsid w:val="001B76DA"/>
    <w:rsid w:val="001B7701"/>
    <w:rsid w:val="001B7735"/>
    <w:rsid w:val="001B77B3"/>
    <w:rsid w:val="001B77D7"/>
    <w:rsid w:val="001B77F0"/>
    <w:rsid w:val="001B7862"/>
    <w:rsid w:val="001B787D"/>
    <w:rsid w:val="001B78C9"/>
    <w:rsid w:val="001B790C"/>
    <w:rsid w:val="001B793D"/>
    <w:rsid w:val="001B7981"/>
    <w:rsid w:val="001B798A"/>
    <w:rsid w:val="001B79D5"/>
    <w:rsid w:val="001B7A62"/>
    <w:rsid w:val="001B7AC2"/>
    <w:rsid w:val="001B7B46"/>
    <w:rsid w:val="001B7B5F"/>
    <w:rsid w:val="001B7CAE"/>
    <w:rsid w:val="001B7D2A"/>
    <w:rsid w:val="001B7D83"/>
    <w:rsid w:val="001B7E0B"/>
    <w:rsid w:val="001B7E61"/>
    <w:rsid w:val="001B7EAA"/>
    <w:rsid w:val="001B7EAB"/>
    <w:rsid w:val="001B7EAF"/>
    <w:rsid w:val="001B7EB7"/>
    <w:rsid w:val="001C0041"/>
    <w:rsid w:val="001C0071"/>
    <w:rsid w:val="001C0088"/>
    <w:rsid w:val="001C0092"/>
    <w:rsid w:val="001C00BB"/>
    <w:rsid w:val="001C0125"/>
    <w:rsid w:val="001C0187"/>
    <w:rsid w:val="001C01AF"/>
    <w:rsid w:val="001C01C7"/>
    <w:rsid w:val="001C0284"/>
    <w:rsid w:val="001C028D"/>
    <w:rsid w:val="001C03CD"/>
    <w:rsid w:val="001C040C"/>
    <w:rsid w:val="001C045B"/>
    <w:rsid w:val="001C0462"/>
    <w:rsid w:val="001C05A9"/>
    <w:rsid w:val="001C05EE"/>
    <w:rsid w:val="001C0648"/>
    <w:rsid w:val="001C0649"/>
    <w:rsid w:val="001C0793"/>
    <w:rsid w:val="001C07AD"/>
    <w:rsid w:val="001C07DD"/>
    <w:rsid w:val="001C07E3"/>
    <w:rsid w:val="001C0885"/>
    <w:rsid w:val="001C08E0"/>
    <w:rsid w:val="001C0919"/>
    <w:rsid w:val="001C09A6"/>
    <w:rsid w:val="001C09BA"/>
    <w:rsid w:val="001C0A37"/>
    <w:rsid w:val="001C0A68"/>
    <w:rsid w:val="001C0A96"/>
    <w:rsid w:val="001C0AE4"/>
    <w:rsid w:val="001C0BE0"/>
    <w:rsid w:val="001C0C6D"/>
    <w:rsid w:val="001C0C93"/>
    <w:rsid w:val="001C0D9A"/>
    <w:rsid w:val="001C0DC4"/>
    <w:rsid w:val="001C0E46"/>
    <w:rsid w:val="001C0E56"/>
    <w:rsid w:val="001C0E5A"/>
    <w:rsid w:val="001C0E94"/>
    <w:rsid w:val="001C0EFA"/>
    <w:rsid w:val="001C0F52"/>
    <w:rsid w:val="001C104B"/>
    <w:rsid w:val="001C1093"/>
    <w:rsid w:val="001C10B7"/>
    <w:rsid w:val="001C10F5"/>
    <w:rsid w:val="001C10FD"/>
    <w:rsid w:val="001C1114"/>
    <w:rsid w:val="001C111F"/>
    <w:rsid w:val="001C116C"/>
    <w:rsid w:val="001C1170"/>
    <w:rsid w:val="001C121D"/>
    <w:rsid w:val="001C124E"/>
    <w:rsid w:val="001C12A0"/>
    <w:rsid w:val="001C12BC"/>
    <w:rsid w:val="001C12DB"/>
    <w:rsid w:val="001C13CC"/>
    <w:rsid w:val="001C13E8"/>
    <w:rsid w:val="001C155E"/>
    <w:rsid w:val="001C158A"/>
    <w:rsid w:val="001C15C2"/>
    <w:rsid w:val="001C15C5"/>
    <w:rsid w:val="001C15F8"/>
    <w:rsid w:val="001C160D"/>
    <w:rsid w:val="001C174A"/>
    <w:rsid w:val="001C181C"/>
    <w:rsid w:val="001C18AC"/>
    <w:rsid w:val="001C18DB"/>
    <w:rsid w:val="001C1983"/>
    <w:rsid w:val="001C199F"/>
    <w:rsid w:val="001C19E1"/>
    <w:rsid w:val="001C1AD0"/>
    <w:rsid w:val="001C1B52"/>
    <w:rsid w:val="001C1B5A"/>
    <w:rsid w:val="001C1BBE"/>
    <w:rsid w:val="001C1C39"/>
    <w:rsid w:val="001C1CA3"/>
    <w:rsid w:val="001C1D05"/>
    <w:rsid w:val="001C1D5E"/>
    <w:rsid w:val="001C1DB2"/>
    <w:rsid w:val="001C1DCE"/>
    <w:rsid w:val="001C1DDB"/>
    <w:rsid w:val="001C1E1F"/>
    <w:rsid w:val="001C1E2B"/>
    <w:rsid w:val="001C1F21"/>
    <w:rsid w:val="001C1F68"/>
    <w:rsid w:val="001C1FF1"/>
    <w:rsid w:val="001C203D"/>
    <w:rsid w:val="001C2098"/>
    <w:rsid w:val="001C20BC"/>
    <w:rsid w:val="001C2171"/>
    <w:rsid w:val="001C218C"/>
    <w:rsid w:val="001C21A5"/>
    <w:rsid w:val="001C2222"/>
    <w:rsid w:val="001C22B1"/>
    <w:rsid w:val="001C22B8"/>
    <w:rsid w:val="001C2349"/>
    <w:rsid w:val="001C238E"/>
    <w:rsid w:val="001C2497"/>
    <w:rsid w:val="001C24B6"/>
    <w:rsid w:val="001C2518"/>
    <w:rsid w:val="001C25D8"/>
    <w:rsid w:val="001C2664"/>
    <w:rsid w:val="001C2748"/>
    <w:rsid w:val="001C2768"/>
    <w:rsid w:val="001C27AB"/>
    <w:rsid w:val="001C27F5"/>
    <w:rsid w:val="001C285C"/>
    <w:rsid w:val="001C288E"/>
    <w:rsid w:val="001C2891"/>
    <w:rsid w:val="001C28CB"/>
    <w:rsid w:val="001C28ED"/>
    <w:rsid w:val="001C28FC"/>
    <w:rsid w:val="001C2920"/>
    <w:rsid w:val="001C29C8"/>
    <w:rsid w:val="001C29E1"/>
    <w:rsid w:val="001C2A0A"/>
    <w:rsid w:val="001C2A2E"/>
    <w:rsid w:val="001C2A48"/>
    <w:rsid w:val="001C2A74"/>
    <w:rsid w:val="001C2B4B"/>
    <w:rsid w:val="001C2B83"/>
    <w:rsid w:val="001C2BF3"/>
    <w:rsid w:val="001C2C09"/>
    <w:rsid w:val="001C2C6C"/>
    <w:rsid w:val="001C2C76"/>
    <w:rsid w:val="001C2DA2"/>
    <w:rsid w:val="001C2ED9"/>
    <w:rsid w:val="001C2F21"/>
    <w:rsid w:val="001C302B"/>
    <w:rsid w:val="001C304F"/>
    <w:rsid w:val="001C308A"/>
    <w:rsid w:val="001C30AE"/>
    <w:rsid w:val="001C3120"/>
    <w:rsid w:val="001C3182"/>
    <w:rsid w:val="001C31B0"/>
    <w:rsid w:val="001C31BC"/>
    <w:rsid w:val="001C31DE"/>
    <w:rsid w:val="001C324E"/>
    <w:rsid w:val="001C32E6"/>
    <w:rsid w:val="001C33BE"/>
    <w:rsid w:val="001C34B4"/>
    <w:rsid w:val="001C34C1"/>
    <w:rsid w:val="001C353E"/>
    <w:rsid w:val="001C3546"/>
    <w:rsid w:val="001C356B"/>
    <w:rsid w:val="001C3607"/>
    <w:rsid w:val="001C3672"/>
    <w:rsid w:val="001C372E"/>
    <w:rsid w:val="001C37C7"/>
    <w:rsid w:val="001C3897"/>
    <w:rsid w:val="001C38FA"/>
    <w:rsid w:val="001C391B"/>
    <w:rsid w:val="001C395E"/>
    <w:rsid w:val="001C3A80"/>
    <w:rsid w:val="001C3A84"/>
    <w:rsid w:val="001C3AC3"/>
    <w:rsid w:val="001C3B71"/>
    <w:rsid w:val="001C3B77"/>
    <w:rsid w:val="001C3CE9"/>
    <w:rsid w:val="001C3D0B"/>
    <w:rsid w:val="001C3D1B"/>
    <w:rsid w:val="001C3D8D"/>
    <w:rsid w:val="001C3E6E"/>
    <w:rsid w:val="001C3FDF"/>
    <w:rsid w:val="001C3FF1"/>
    <w:rsid w:val="001C4142"/>
    <w:rsid w:val="001C423E"/>
    <w:rsid w:val="001C428E"/>
    <w:rsid w:val="001C4294"/>
    <w:rsid w:val="001C42D4"/>
    <w:rsid w:val="001C434E"/>
    <w:rsid w:val="001C43BD"/>
    <w:rsid w:val="001C43C9"/>
    <w:rsid w:val="001C43E8"/>
    <w:rsid w:val="001C4574"/>
    <w:rsid w:val="001C4636"/>
    <w:rsid w:val="001C473A"/>
    <w:rsid w:val="001C47D0"/>
    <w:rsid w:val="001C48EB"/>
    <w:rsid w:val="001C4915"/>
    <w:rsid w:val="001C4934"/>
    <w:rsid w:val="001C499A"/>
    <w:rsid w:val="001C4A88"/>
    <w:rsid w:val="001C4AC4"/>
    <w:rsid w:val="001C4ADD"/>
    <w:rsid w:val="001C4B4E"/>
    <w:rsid w:val="001C4BD7"/>
    <w:rsid w:val="001C4C59"/>
    <w:rsid w:val="001C4C8E"/>
    <w:rsid w:val="001C4D19"/>
    <w:rsid w:val="001C4D24"/>
    <w:rsid w:val="001C4D9F"/>
    <w:rsid w:val="001C4DCA"/>
    <w:rsid w:val="001C4EDB"/>
    <w:rsid w:val="001C4EF5"/>
    <w:rsid w:val="001C4F3C"/>
    <w:rsid w:val="001C4F9C"/>
    <w:rsid w:val="001C5008"/>
    <w:rsid w:val="001C5019"/>
    <w:rsid w:val="001C505E"/>
    <w:rsid w:val="001C5121"/>
    <w:rsid w:val="001C5173"/>
    <w:rsid w:val="001C5181"/>
    <w:rsid w:val="001C5194"/>
    <w:rsid w:val="001C525E"/>
    <w:rsid w:val="001C5282"/>
    <w:rsid w:val="001C52B6"/>
    <w:rsid w:val="001C5361"/>
    <w:rsid w:val="001C53C4"/>
    <w:rsid w:val="001C542A"/>
    <w:rsid w:val="001C543E"/>
    <w:rsid w:val="001C5517"/>
    <w:rsid w:val="001C5532"/>
    <w:rsid w:val="001C55C0"/>
    <w:rsid w:val="001C55F9"/>
    <w:rsid w:val="001C57C2"/>
    <w:rsid w:val="001C57F4"/>
    <w:rsid w:val="001C5835"/>
    <w:rsid w:val="001C58BE"/>
    <w:rsid w:val="001C58CE"/>
    <w:rsid w:val="001C5AC5"/>
    <w:rsid w:val="001C5BC0"/>
    <w:rsid w:val="001C5C42"/>
    <w:rsid w:val="001C5C58"/>
    <w:rsid w:val="001C5CBC"/>
    <w:rsid w:val="001C5D7C"/>
    <w:rsid w:val="001C5DAC"/>
    <w:rsid w:val="001C5DCA"/>
    <w:rsid w:val="001C5E59"/>
    <w:rsid w:val="001C5F4E"/>
    <w:rsid w:val="001C5FC8"/>
    <w:rsid w:val="001C60DA"/>
    <w:rsid w:val="001C60E6"/>
    <w:rsid w:val="001C61C0"/>
    <w:rsid w:val="001C61E3"/>
    <w:rsid w:val="001C6308"/>
    <w:rsid w:val="001C632D"/>
    <w:rsid w:val="001C640B"/>
    <w:rsid w:val="001C6536"/>
    <w:rsid w:val="001C6613"/>
    <w:rsid w:val="001C6633"/>
    <w:rsid w:val="001C6646"/>
    <w:rsid w:val="001C66AA"/>
    <w:rsid w:val="001C68D6"/>
    <w:rsid w:val="001C68D8"/>
    <w:rsid w:val="001C68E5"/>
    <w:rsid w:val="001C6952"/>
    <w:rsid w:val="001C69E3"/>
    <w:rsid w:val="001C6A94"/>
    <w:rsid w:val="001C6AD1"/>
    <w:rsid w:val="001C6AD4"/>
    <w:rsid w:val="001C6B03"/>
    <w:rsid w:val="001C6B42"/>
    <w:rsid w:val="001C6B4A"/>
    <w:rsid w:val="001C6C34"/>
    <w:rsid w:val="001C6C39"/>
    <w:rsid w:val="001C6CF1"/>
    <w:rsid w:val="001C6CF6"/>
    <w:rsid w:val="001C6DFD"/>
    <w:rsid w:val="001C6E24"/>
    <w:rsid w:val="001C6E3F"/>
    <w:rsid w:val="001C6E44"/>
    <w:rsid w:val="001C6F76"/>
    <w:rsid w:val="001C7061"/>
    <w:rsid w:val="001C7093"/>
    <w:rsid w:val="001C710B"/>
    <w:rsid w:val="001C7184"/>
    <w:rsid w:val="001C71DE"/>
    <w:rsid w:val="001C71EE"/>
    <w:rsid w:val="001C7283"/>
    <w:rsid w:val="001C72CD"/>
    <w:rsid w:val="001C7344"/>
    <w:rsid w:val="001C73FD"/>
    <w:rsid w:val="001C74ED"/>
    <w:rsid w:val="001C765C"/>
    <w:rsid w:val="001C768E"/>
    <w:rsid w:val="001C7760"/>
    <w:rsid w:val="001C7791"/>
    <w:rsid w:val="001C77D6"/>
    <w:rsid w:val="001C7811"/>
    <w:rsid w:val="001C78BF"/>
    <w:rsid w:val="001C798D"/>
    <w:rsid w:val="001C7B8E"/>
    <w:rsid w:val="001C7BCC"/>
    <w:rsid w:val="001C7C19"/>
    <w:rsid w:val="001C7D20"/>
    <w:rsid w:val="001C7D32"/>
    <w:rsid w:val="001C7D5A"/>
    <w:rsid w:val="001C7D6D"/>
    <w:rsid w:val="001C7DB3"/>
    <w:rsid w:val="001C7E42"/>
    <w:rsid w:val="001C7EAD"/>
    <w:rsid w:val="001C7EED"/>
    <w:rsid w:val="001C7F55"/>
    <w:rsid w:val="001D0021"/>
    <w:rsid w:val="001D00BA"/>
    <w:rsid w:val="001D00BB"/>
    <w:rsid w:val="001D00F0"/>
    <w:rsid w:val="001D011E"/>
    <w:rsid w:val="001D0123"/>
    <w:rsid w:val="001D02AF"/>
    <w:rsid w:val="001D02B6"/>
    <w:rsid w:val="001D0308"/>
    <w:rsid w:val="001D0333"/>
    <w:rsid w:val="001D03D6"/>
    <w:rsid w:val="001D0411"/>
    <w:rsid w:val="001D0413"/>
    <w:rsid w:val="001D0439"/>
    <w:rsid w:val="001D046E"/>
    <w:rsid w:val="001D04AA"/>
    <w:rsid w:val="001D04B6"/>
    <w:rsid w:val="001D0574"/>
    <w:rsid w:val="001D0676"/>
    <w:rsid w:val="001D077A"/>
    <w:rsid w:val="001D0842"/>
    <w:rsid w:val="001D0855"/>
    <w:rsid w:val="001D087D"/>
    <w:rsid w:val="001D08C9"/>
    <w:rsid w:val="001D0900"/>
    <w:rsid w:val="001D09ED"/>
    <w:rsid w:val="001D0A0A"/>
    <w:rsid w:val="001D0A50"/>
    <w:rsid w:val="001D0AF9"/>
    <w:rsid w:val="001D0C82"/>
    <w:rsid w:val="001D0CBA"/>
    <w:rsid w:val="001D0CBC"/>
    <w:rsid w:val="001D0CFC"/>
    <w:rsid w:val="001D0D5E"/>
    <w:rsid w:val="001D0DDF"/>
    <w:rsid w:val="001D0E20"/>
    <w:rsid w:val="001D0FBC"/>
    <w:rsid w:val="001D1020"/>
    <w:rsid w:val="001D1046"/>
    <w:rsid w:val="001D1117"/>
    <w:rsid w:val="001D11B2"/>
    <w:rsid w:val="001D122D"/>
    <w:rsid w:val="001D1260"/>
    <w:rsid w:val="001D1289"/>
    <w:rsid w:val="001D12C3"/>
    <w:rsid w:val="001D1350"/>
    <w:rsid w:val="001D13C2"/>
    <w:rsid w:val="001D13FC"/>
    <w:rsid w:val="001D1474"/>
    <w:rsid w:val="001D149F"/>
    <w:rsid w:val="001D14B3"/>
    <w:rsid w:val="001D14BA"/>
    <w:rsid w:val="001D14D2"/>
    <w:rsid w:val="001D1537"/>
    <w:rsid w:val="001D1575"/>
    <w:rsid w:val="001D15E2"/>
    <w:rsid w:val="001D15E4"/>
    <w:rsid w:val="001D1614"/>
    <w:rsid w:val="001D1623"/>
    <w:rsid w:val="001D162E"/>
    <w:rsid w:val="001D1741"/>
    <w:rsid w:val="001D1767"/>
    <w:rsid w:val="001D1801"/>
    <w:rsid w:val="001D183D"/>
    <w:rsid w:val="001D188A"/>
    <w:rsid w:val="001D1939"/>
    <w:rsid w:val="001D19B7"/>
    <w:rsid w:val="001D19EB"/>
    <w:rsid w:val="001D1A34"/>
    <w:rsid w:val="001D1AD8"/>
    <w:rsid w:val="001D1B0E"/>
    <w:rsid w:val="001D1B16"/>
    <w:rsid w:val="001D1B1D"/>
    <w:rsid w:val="001D1BA2"/>
    <w:rsid w:val="001D1CE8"/>
    <w:rsid w:val="001D1D18"/>
    <w:rsid w:val="001D1DC5"/>
    <w:rsid w:val="001D1DC6"/>
    <w:rsid w:val="001D1DEF"/>
    <w:rsid w:val="001D1E54"/>
    <w:rsid w:val="001D1E59"/>
    <w:rsid w:val="001D1E67"/>
    <w:rsid w:val="001D1E8B"/>
    <w:rsid w:val="001D1EF0"/>
    <w:rsid w:val="001D1F3C"/>
    <w:rsid w:val="001D1FD3"/>
    <w:rsid w:val="001D2099"/>
    <w:rsid w:val="001D20EB"/>
    <w:rsid w:val="001D211E"/>
    <w:rsid w:val="001D219E"/>
    <w:rsid w:val="001D2269"/>
    <w:rsid w:val="001D236B"/>
    <w:rsid w:val="001D23A6"/>
    <w:rsid w:val="001D2402"/>
    <w:rsid w:val="001D2406"/>
    <w:rsid w:val="001D241A"/>
    <w:rsid w:val="001D2431"/>
    <w:rsid w:val="001D2484"/>
    <w:rsid w:val="001D24BA"/>
    <w:rsid w:val="001D24DC"/>
    <w:rsid w:val="001D25CA"/>
    <w:rsid w:val="001D263D"/>
    <w:rsid w:val="001D2694"/>
    <w:rsid w:val="001D26E8"/>
    <w:rsid w:val="001D275B"/>
    <w:rsid w:val="001D282C"/>
    <w:rsid w:val="001D282F"/>
    <w:rsid w:val="001D2907"/>
    <w:rsid w:val="001D2921"/>
    <w:rsid w:val="001D2A18"/>
    <w:rsid w:val="001D2A38"/>
    <w:rsid w:val="001D2B1E"/>
    <w:rsid w:val="001D2B38"/>
    <w:rsid w:val="001D2B60"/>
    <w:rsid w:val="001D2B67"/>
    <w:rsid w:val="001D2B9B"/>
    <w:rsid w:val="001D2CA3"/>
    <w:rsid w:val="001D2D84"/>
    <w:rsid w:val="001D2E12"/>
    <w:rsid w:val="001D2E44"/>
    <w:rsid w:val="001D2E4B"/>
    <w:rsid w:val="001D2EA3"/>
    <w:rsid w:val="001D2F79"/>
    <w:rsid w:val="001D2FA2"/>
    <w:rsid w:val="001D300C"/>
    <w:rsid w:val="001D3045"/>
    <w:rsid w:val="001D3176"/>
    <w:rsid w:val="001D324B"/>
    <w:rsid w:val="001D32C0"/>
    <w:rsid w:val="001D32F5"/>
    <w:rsid w:val="001D3338"/>
    <w:rsid w:val="001D33B1"/>
    <w:rsid w:val="001D3477"/>
    <w:rsid w:val="001D348C"/>
    <w:rsid w:val="001D353D"/>
    <w:rsid w:val="001D35AE"/>
    <w:rsid w:val="001D35E9"/>
    <w:rsid w:val="001D35EE"/>
    <w:rsid w:val="001D363E"/>
    <w:rsid w:val="001D3792"/>
    <w:rsid w:val="001D3818"/>
    <w:rsid w:val="001D388D"/>
    <w:rsid w:val="001D38AF"/>
    <w:rsid w:val="001D391B"/>
    <w:rsid w:val="001D39B2"/>
    <w:rsid w:val="001D39E4"/>
    <w:rsid w:val="001D3A0A"/>
    <w:rsid w:val="001D3A53"/>
    <w:rsid w:val="001D3A64"/>
    <w:rsid w:val="001D3A82"/>
    <w:rsid w:val="001D3B4E"/>
    <w:rsid w:val="001D3BA2"/>
    <w:rsid w:val="001D3BA5"/>
    <w:rsid w:val="001D3BC0"/>
    <w:rsid w:val="001D3BDF"/>
    <w:rsid w:val="001D3CFE"/>
    <w:rsid w:val="001D3CFF"/>
    <w:rsid w:val="001D3D06"/>
    <w:rsid w:val="001D3D1A"/>
    <w:rsid w:val="001D3D7A"/>
    <w:rsid w:val="001D3E26"/>
    <w:rsid w:val="001D3E82"/>
    <w:rsid w:val="001D3EAF"/>
    <w:rsid w:val="001D3F29"/>
    <w:rsid w:val="001D3FC1"/>
    <w:rsid w:val="001D3FDB"/>
    <w:rsid w:val="001D3FF0"/>
    <w:rsid w:val="001D401C"/>
    <w:rsid w:val="001D40F6"/>
    <w:rsid w:val="001D4178"/>
    <w:rsid w:val="001D41AF"/>
    <w:rsid w:val="001D41BD"/>
    <w:rsid w:val="001D423B"/>
    <w:rsid w:val="001D4292"/>
    <w:rsid w:val="001D43AC"/>
    <w:rsid w:val="001D43ED"/>
    <w:rsid w:val="001D4447"/>
    <w:rsid w:val="001D445D"/>
    <w:rsid w:val="001D4466"/>
    <w:rsid w:val="001D44E9"/>
    <w:rsid w:val="001D451C"/>
    <w:rsid w:val="001D46B8"/>
    <w:rsid w:val="001D4723"/>
    <w:rsid w:val="001D4728"/>
    <w:rsid w:val="001D472E"/>
    <w:rsid w:val="001D482E"/>
    <w:rsid w:val="001D4875"/>
    <w:rsid w:val="001D4906"/>
    <w:rsid w:val="001D4949"/>
    <w:rsid w:val="001D49B6"/>
    <w:rsid w:val="001D4AAF"/>
    <w:rsid w:val="001D4ACA"/>
    <w:rsid w:val="001D4ADE"/>
    <w:rsid w:val="001D4B0F"/>
    <w:rsid w:val="001D4B4F"/>
    <w:rsid w:val="001D4B6A"/>
    <w:rsid w:val="001D4B96"/>
    <w:rsid w:val="001D4B9B"/>
    <w:rsid w:val="001D4BDB"/>
    <w:rsid w:val="001D4D01"/>
    <w:rsid w:val="001D4D22"/>
    <w:rsid w:val="001D4D77"/>
    <w:rsid w:val="001D4DDA"/>
    <w:rsid w:val="001D4E28"/>
    <w:rsid w:val="001D4EB9"/>
    <w:rsid w:val="001D5011"/>
    <w:rsid w:val="001D5052"/>
    <w:rsid w:val="001D5251"/>
    <w:rsid w:val="001D5252"/>
    <w:rsid w:val="001D52C5"/>
    <w:rsid w:val="001D52DC"/>
    <w:rsid w:val="001D534F"/>
    <w:rsid w:val="001D5381"/>
    <w:rsid w:val="001D5388"/>
    <w:rsid w:val="001D5401"/>
    <w:rsid w:val="001D54B5"/>
    <w:rsid w:val="001D54CD"/>
    <w:rsid w:val="001D54DF"/>
    <w:rsid w:val="001D5551"/>
    <w:rsid w:val="001D558B"/>
    <w:rsid w:val="001D55B0"/>
    <w:rsid w:val="001D55B8"/>
    <w:rsid w:val="001D5694"/>
    <w:rsid w:val="001D56FC"/>
    <w:rsid w:val="001D5753"/>
    <w:rsid w:val="001D5793"/>
    <w:rsid w:val="001D57E4"/>
    <w:rsid w:val="001D57E9"/>
    <w:rsid w:val="001D58F0"/>
    <w:rsid w:val="001D58F6"/>
    <w:rsid w:val="001D591E"/>
    <w:rsid w:val="001D593D"/>
    <w:rsid w:val="001D59E8"/>
    <w:rsid w:val="001D5A88"/>
    <w:rsid w:val="001D5AD6"/>
    <w:rsid w:val="001D5B21"/>
    <w:rsid w:val="001D5B7C"/>
    <w:rsid w:val="001D5B92"/>
    <w:rsid w:val="001D5BDB"/>
    <w:rsid w:val="001D5C53"/>
    <w:rsid w:val="001D5C5E"/>
    <w:rsid w:val="001D5CCD"/>
    <w:rsid w:val="001D5D7A"/>
    <w:rsid w:val="001D5D9E"/>
    <w:rsid w:val="001D5E11"/>
    <w:rsid w:val="001D5E73"/>
    <w:rsid w:val="001D5EF7"/>
    <w:rsid w:val="001D5F14"/>
    <w:rsid w:val="001D5F83"/>
    <w:rsid w:val="001D5F94"/>
    <w:rsid w:val="001D60EB"/>
    <w:rsid w:val="001D61BF"/>
    <w:rsid w:val="001D61D4"/>
    <w:rsid w:val="001D6288"/>
    <w:rsid w:val="001D629A"/>
    <w:rsid w:val="001D62AE"/>
    <w:rsid w:val="001D62F1"/>
    <w:rsid w:val="001D63AE"/>
    <w:rsid w:val="001D63CC"/>
    <w:rsid w:val="001D63FA"/>
    <w:rsid w:val="001D6413"/>
    <w:rsid w:val="001D6419"/>
    <w:rsid w:val="001D64E2"/>
    <w:rsid w:val="001D650B"/>
    <w:rsid w:val="001D6557"/>
    <w:rsid w:val="001D656E"/>
    <w:rsid w:val="001D66D8"/>
    <w:rsid w:val="001D66E0"/>
    <w:rsid w:val="001D66F2"/>
    <w:rsid w:val="001D681A"/>
    <w:rsid w:val="001D684D"/>
    <w:rsid w:val="001D688F"/>
    <w:rsid w:val="001D693F"/>
    <w:rsid w:val="001D69DF"/>
    <w:rsid w:val="001D69E3"/>
    <w:rsid w:val="001D6A18"/>
    <w:rsid w:val="001D6A36"/>
    <w:rsid w:val="001D6A43"/>
    <w:rsid w:val="001D6AB5"/>
    <w:rsid w:val="001D6B5A"/>
    <w:rsid w:val="001D6B5E"/>
    <w:rsid w:val="001D6BC5"/>
    <w:rsid w:val="001D6C33"/>
    <w:rsid w:val="001D6CF7"/>
    <w:rsid w:val="001D6DB9"/>
    <w:rsid w:val="001D6E18"/>
    <w:rsid w:val="001D6F01"/>
    <w:rsid w:val="001D6F16"/>
    <w:rsid w:val="001D6F96"/>
    <w:rsid w:val="001D7007"/>
    <w:rsid w:val="001D700F"/>
    <w:rsid w:val="001D7044"/>
    <w:rsid w:val="001D706F"/>
    <w:rsid w:val="001D7071"/>
    <w:rsid w:val="001D709E"/>
    <w:rsid w:val="001D7103"/>
    <w:rsid w:val="001D711D"/>
    <w:rsid w:val="001D7126"/>
    <w:rsid w:val="001D71C8"/>
    <w:rsid w:val="001D71FC"/>
    <w:rsid w:val="001D7233"/>
    <w:rsid w:val="001D7264"/>
    <w:rsid w:val="001D72DC"/>
    <w:rsid w:val="001D72EE"/>
    <w:rsid w:val="001D7355"/>
    <w:rsid w:val="001D73F3"/>
    <w:rsid w:val="001D7403"/>
    <w:rsid w:val="001D7410"/>
    <w:rsid w:val="001D74A7"/>
    <w:rsid w:val="001D755C"/>
    <w:rsid w:val="001D757E"/>
    <w:rsid w:val="001D7597"/>
    <w:rsid w:val="001D75FC"/>
    <w:rsid w:val="001D76A3"/>
    <w:rsid w:val="001D7795"/>
    <w:rsid w:val="001D77F1"/>
    <w:rsid w:val="001D78AD"/>
    <w:rsid w:val="001D7911"/>
    <w:rsid w:val="001D7932"/>
    <w:rsid w:val="001D79A9"/>
    <w:rsid w:val="001D7A11"/>
    <w:rsid w:val="001D7A45"/>
    <w:rsid w:val="001D7A98"/>
    <w:rsid w:val="001D7B1E"/>
    <w:rsid w:val="001D7BA0"/>
    <w:rsid w:val="001D7BAD"/>
    <w:rsid w:val="001D7BDE"/>
    <w:rsid w:val="001D7C2B"/>
    <w:rsid w:val="001D7C3B"/>
    <w:rsid w:val="001D7C61"/>
    <w:rsid w:val="001D7C7E"/>
    <w:rsid w:val="001D7CD3"/>
    <w:rsid w:val="001D7D2D"/>
    <w:rsid w:val="001D7D46"/>
    <w:rsid w:val="001D7DB6"/>
    <w:rsid w:val="001D7F80"/>
    <w:rsid w:val="001E006D"/>
    <w:rsid w:val="001E00BA"/>
    <w:rsid w:val="001E00F9"/>
    <w:rsid w:val="001E0159"/>
    <w:rsid w:val="001E02C3"/>
    <w:rsid w:val="001E02E9"/>
    <w:rsid w:val="001E02EC"/>
    <w:rsid w:val="001E02FD"/>
    <w:rsid w:val="001E031B"/>
    <w:rsid w:val="001E033E"/>
    <w:rsid w:val="001E036F"/>
    <w:rsid w:val="001E045D"/>
    <w:rsid w:val="001E0509"/>
    <w:rsid w:val="001E053D"/>
    <w:rsid w:val="001E0540"/>
    <w:rsid w:val="001E05A8"/>
    <w:rsid w:val="001E05CE"/>
    <w:rsid w:val="001E0632"/>
    <w:rsid w:val="001E0669"/>
    <w:rsid w:val="001E0789"/>
    <w:rsid w:val="001E07BD"/>
    <w:rsid w:val="001E082C"/>
    <w:rsid w:val="001E08EA"/>
    <w:rsid w:val="001E0920"/>
    <w:rsid w:val="001E099D"/>
    <w:rsid w:val="001E09FE"/>
    <w:rsid w:val="001E0AF0"/>
    <w:rsid w:val="001E0B02"/>
    <w:rsid w:val="001E0B1A"/>
    <w:rsid w:val="001E0C70"/>
    <w:rsid w:val="001E0C9A"/>
    <w:rsid w:val="001E0CEC"/>
    <w:rsid w:val="001E0D0E"/>
    <w:rsid w:val="001E0D34"/>
    <w:rsid w:val="001E0D4F"/>
    <w:rsid w:val="001E0D55"/>
    <w:rsid w:val="001E0DC1"/>
    <w:rsid w:val="001E0E39"/>
    <w:rsid w:val="001E0E5C"/>
    <w:rsid w:val="001E0EE7"/>
    <w:rsid w:val="001E0F27"/>
    <w:rsid w:val="001E0F33"/>
    <w:rsid w:val="001E0FBA"/>
    <w:rsid w:val="001E107F"/>
    <w:rsid w:val="001E10D5"/>
    <w:rsid w:val="001E1134"/>
    <w:rsid w:val="001E11EB"/>
    <w:rsid w:val="001E121E"/>
    <w:rsid w:val="001E125D"/>
    <w:rsid w:val="001E1365"/>
    <w:rsid w:val="001E13F0"/>
    <w:rsid w:val="001E1407"/>
    <w:rsid w:val="001E1410"/>
    <w:rsid w:val="001E142B"/>
    <w:rsid w:val="001E1431"/>
    <w:rsid w:val="001E144D"/>
    <w:rsid w:val="001E149E"/>
    <w:rsid w:val="001E14A7"/>
    <w:rsid w:val="001E1548"/>
    <w:rsid w:val="001E15F2"/>
    <w:rsid w:val="001E15FD"/>
    <w:rsid w:val="001E167C"/>
    <w:rsid w:val="001E17D0"/>
    <w:rsid w:val="001E187C"/>
    <w:rsid w:val="001E189A"/>
    <w:rsid w:val="001E18A3"/>
    <w:rsid w:val="001E18CE"/>
    <w:rsid w:val="001E1960"/>
    <w:rsid w:val="001E19E2"/>
    <w:rsid w:val="001E1A05"/>
    <w:rsid w:val="001E1A39"/>
    <w:rsid w:val="001E1A66"/>
    <w:rsid w:val="001E1AB8"/>
    <w:rsid w:val="001E1B7A"/>
    <w:rsid w:val="001E1BC5"/>
    <w:rsid w:val="001E1C67"/>
    <w:rsid w:val="001E1CB6"/>
    <w:rsid w:val="001E1CC3"/>
    <w:rsid w:val="001E1D2D"/>
    <w:rsid w:val="001E1D67"/>
    <w:rsid w:val="001E1D78"/>
    <w:rsid w:val="001E1D7A"/>
    <w:rsid w:val="001E1D7B"/>
    <w:rsid w:val="001E1DD4"/>
    <w:rsid w:val="001E1EF2"/>
    <w:rsid w:val="001E1FA9"/>
    <w:rsid w:val="001E1FB9"/>
    <w:rsid w:val="001E205A"/>
    <w:rsid w:val="001E216D"/>
    <w:rsid w:val="001E226B"/>
    <w:rsid w:val="001E22DC"/>
    <w:rsid w:val="001E22F7"/>
    <w:rsid w:val="001E2385"/>
    <w:rsid w:val="001E24CB"/>
    <w:rsid w:val="001E24EE"/>
    <w:rsid w:val="001E2608"/>
    <w:rsid w:val="001E2632"/>
    <w:rsid w:val="001E270B"/>
    <w:rsid w:val="001E270C"/>
    <w:rsid w:val="001E2727"/>
    <w:rsid w:val="001E2731"/>
    <w:rsid w:val="001E277F"/>
    <w:rsid w:val="001E2818"/>
    <w:rsid w:val="001E2831"/>
    <w:rsid w:val="001E2839"/>
    <w:rsid w:val="001E285A"/>
    <w:rsid w:val="001E2875"/>
    <w:rsid w:val="001E2882"/>
    <w:rsid w:val="001E2904"/>
    <w:rsid w:val="001E291E"/>
    <w:rsid w:val="001E29D9"/>
    <w:rsid w:val="001E2A3B"/>
    <w:rsid w:val="001E2A6A"/>
    <w:rsid w:val="001E2AC2"/>
    <w:rsid w:val="001E2AE3"/>
    <w:rsid w:val="001E2B83"/>
    <w:rsid w:val="001E2B9F"/>
    <w:rsid w:val="001E2C79"/>
    <w:rsid w:val="001E2D71"/>
    <w:rsid w:val="001E2E99"/>
    <w:rsid w:val="001E2F68"/>
    <w:rsid w:val="001E2F74"/>
    <w:rsid w:val="001E2FDF"/>
    <w:rsid w:val="001E315D"/>
    <w:rsid w:val="001E31A5"/>
    <w:rsid w:val="001E31E4"/>
    <w:rsid w:val="001E31E8"/>
    <w:rsid w:val="001E331D"/>
    <w:rsid w:val="001E3324"/>
    <w:rsid w:val="001E33BA"/>
    <w:rsid w:val="001E3412"/>
    <w:rsid w:val="001E3429"/>
    <w:rsid w:val="001E343A"/>
    <w:rsid w:val="001E3450"/>
    <w:rsid w:val="001E3513"/>
    <w:rsid w:val="001E3549"/>
    <w:rsid w:val="001E35E4"/>
    <w:rsid w:val="001E35FC"/>
    <w:rsid w:val="001E36E8"/>
    <w:rsid w:val="001E373A"/>
    <w:rsid w:val="001E376B"/>
    <w:rsid w:val="001E3777"/>
    <w:rsid w:val="001E3778"/>
    <w:rsid w:val="001E3793"/>
    <w:rsid w:val="001E37A2"/>
    <w:rsid w:val="001E384A"/>
    <w:rsid w:val="001E38E3"/>
    <w:rsid w:val="001E390C"/>
    <w:rsid w:val="001E3932"/>
    <w:rsid w:val="001E3943"/>
    <w:rsid w:val="001E3976"/>
    <w:rsid w:val="001E39D7"/>
    <w:rsid w:val="001E3A19"/>
    <w:rsid w:val="001E3A31"/>
    <w:rsid w:val="001E3AA8"/>
    <w:rsid w:val="001E3AE1"/>
    <w:rsid w:val="001E3B23"/>
    <w:rsid w:val="001E3B81"/>
    <w:rsid w:val="001E3BAB"/>
    <w:rsid w:val="001E3BAF"/>
    <w:rsid w:val="001E3C08"/>
    <w:rsid w:val="001E3C1D"/>
    <w:rsid w:val="001E3C2E"/>
    <w:rsid w:val="001E3CA9"/>
    <w:rsid w:val="001E3CB1"/>
    <w:rsid w:val="001E3CD6"/>
    <w:rsid w:val="001E3E22"/>
    <w:rsid w:val="001E3E2D"/>
    <w:rsid w:val="001E3E37"/>
    <w:rsid w:val="001E3E6C"/>
    <w:rsid w:val="001E3F1D"/>
    <w:rsid w:val="001E3F96"/>
    <w:rsid w:val="001E3F9E"/>
    <w:rsid w:val="001E3FC0"/>
    <w:rsid w:val="001E3FE0"/>
    <w:rsid w:val="001E3FF8"/>
    <w:rsid w:val="001E4094"/>
    <w:rsid w:val="001E40BD"/>
    <w:rsid w:val="001E4112"/>
    <w:rsid w:val="001E4149"/>
    <w:rsid w:val="001E4150"/>
    <w:rsid w:val="001E41E6"/>
    <w:rsid w:val="001E4216"/>
    <w:rsid w:val="001E4245"/>
    <w:rsid w:val="001E4248"/>
    <w:rsid w:val="001E42A3"/>
    <w:rsid w:val="001E4316"/>
    <w:rsid w:val="001E4336"/>
    <w:rsid w:val="001E43AB"/>
    <w:rsid w:val="001E43D9"/>
    <w:rsid w:val="001E441B"/>
    <w:rsid w:val="001E45A1"/>
    <w:rsid w:val="001E45EA"/>
    <w:rsid w:val="001E45F0"/>
    <w:rsid w:val="001E4658"/>
    <w:rsid w:val="001E465F"/>
    <w:rsid w:val="001E46A3"/>
    <w:rsid w:val="001E46C5"/>
    <w:rsid w:val="001E4935"/>
    <w:rsid w:val="001E4949"/>
    <w:rsid w:val="001E4A6D"/>
    <w:rsid w:val="001E4C0C"/>
    <w:rsid w:val="001E4C7B"/>
    <w:rsid w:val="001E4C9F"/>
    <w:rsid w:val="001E4CA2"/>
    <w:rsid w:val="001E4CC7"/>
    <w:rsid w:val="001E4CD5"/>
    <w:rsid w:val="001E4D9C"/>
    <w:rsid w:val="001E4DB9"/>
    <w:rsid w:val="001E4DDC"/>
    <w:rsid w:val="001E4E2E"/>
    <w:rsid w:val="001E4E37"/>
    <w:rsid w:val="001E4F01"/>
    <w:rsid w:val="001E4F2C"/>
    <w:rsid w:val="001E4FA3"/>
    <w:rsid w:val="001E4FEA"/>
    <w:rsid w:val="001E5016"/>
    <w:rsid w:val="001E507C"/>
    <w:rsid w:val="001E5094"/>
    <w:rsid w:val="001E510F"/>
    <w:rsid w:val="001E5218"/>
    <w:rsid w:val="001E521D"/>
    <w:rsid w:val="001E531F"/>
    <w:rsid w:val="001E53E5"/>
    <w:rsid w:val="001E5424"/>
    <w:rsid w:val="001E54EF"/>
    <w:rsid w:val="001E54F3"/>
    <w:rsid w:val="001E54F5"/>
    <w:rsid w:val="001E552A"/>
    <w:rsid w:val="001E55A9"/>
    <w:rsid w:val="001E55D3"/>
    <w:rsid w:val="001E5600"/>
    <w:rsid w:val="001E5642"/>
    <w:rsid w:val="001E564B"/>
    <w:rsid w:val="001E571E"/>
    <w:rsid w:val="001E5731"/>
    <w:rsid w:val="001E5885"/>
    <w:rsid w:val="001E58FA"/>
    <w:rsid w:val="001E5905"/>
    <w:rsid w:val="001E5958"/>
    <w:rsid w:val="001E599F"/>
    <w:rsid w:val="001E59A1"/>
    <w:rsid w:val="001E59A3"/>
    <w:rsid w:val="001E59A5"/>
    <w:rsid w:val="001E59C0"/>
    <w:rsid w:val="001E5A91"/>
    <w:rsid w:val="001E5ADC"/>
    <w:rsid w:val="001E5AFD"/>
    <w:rsid w:val="001E5B37"/>
    <w:rsid w:val="001E5BF6"/>
    <w:rsid w:val="001E5CA9"/>
    <w:rsid w:val="001E5CFF"/>
    <w:rsid w:val="001E5D06"/>
    <w:rsid w:val="001E5E51"/>
    <w:rsid w:val="001E5E83"/>
    <w:rsid w:val="001E5F0D"/>
    <w:rsid w:val="001E5F15"/>
    <w:rsid w:val="001E5F1C"/>
    <w:rsid w:val="001E5F99"/>
    <w:rsid w:val="001E5F9E"/>
    <w:rsid w:val="001E5FA4"/>
    <w:rsid w:val="001E5FAA"/>
    <w:rsid w:val="001E6023"/>
    <w:rsid w:val="001E6050"/>
    <w:rsid w:val="001E6066"/>
    <w:rsid w:val="001E60B2"/>
    <w:rsid w:val="001E6112"/>
    <w:rsid w:val="001E6158"/>
    <w:rsid w:val="001E61E3"/>
    <w:rsid w:val="001E61F0"/>
    <w:rsid w:val="001E62A2"/>
    <w:rsid w:val="001E6344"/>
    <w:rsid w:val="001E634A"/>
    <w:rsid w:val="001E6394"/>
    <w:rsid w:val="001E6435"/>
    <w:rsid w:val="001E64CE"/>
    <w:rsid w:val="001E64D2"/>
    <w:rsid w:val="001E64DB"/>
    <w:rsid w:val="001E64DD"/>
    <w:rsid w:val="001E6580"/>
    <w:rsid w:val="001E659B"/>
    <w:rsid w:val="001E65A0"/>
    <w:rsid w:val="001E6645"/>
    <w:rsid w:val="001E67B0"/>
    <w:rsid w:val="001E67B6"/>
    <w:rsid w:val="001E67E6"/>
    <w:rsid w:val="001E68D7"/>
    <w:rsid w:val="001E6916"/>
    <w:rsid w:val="001E691B"/>
    <w:rsid w:val="001E6AE4"/>
    <w:rsid w:val="001E6AF9"/>
    <w:rsid w:val="001E6B19"/>
    <w:rsid w:val="001E6B5A"/>
    <w:rsid w:val="001E6BD4"/>
    <w:rsid w:val="001E6C35"/>
    <w:rsid w:val="001E6C84"/>
    <w:rsid w:val="001E6D06"/>
    <w:rsid w:val="001E6D78"/>
    <w:rsid w:val="001E6D9B"/>
    <w:rsid w:val="001E6DC1"/>
    <w:rsid w:val="001E6DF6"/>
    <w:rsid w:val="001E6E19"/>
    <w:rsid w:val="001E6F40"/>
    <w:rsid w:val="001E7001"/>
    <w:rsid w:val="001E7009"/>
    <w:rsid w:val="001E7052"/>
    <w:rsid w:val="001E70E9"/>
    <w:rsid w:val="001E71EA"/>
    <w:rsid w:val="001E733E"/>
    <w:rsid w:val="001E73BF"/>
    <w:rsid w:val="001E7524"/>
    <w:rsid w:val="001E75B3"/>
    <w:rsid w:val="001E75B6"/>
    <w:rsid w:val="001E7678"/>
    <w:rsid w:val="001E76E9"/>
    <w:rsid w:val="001E7767"/>
    <w:rsid w:val="001E776F"/>
    <w:rsid w:val="001E779B"/>
    <w:rsid w:val="001E77B7"/>
    <w:rsid w:val="001E783C"/>
    <w:rsid w:val="001E7895"/>
    <w:rsid w:val="001E78C5"/>
    <w:rsid w:val="001E790A"/>
    <w:rsid w:val="001E793D"/>
    <w:rsid w:val="001E7989"/>
    <w:rsid w:val="001E798A"/>
    <w:rsid w:val="001E7993"/>
    <w:rsid w:val="001E7A3A"/>
    <w:rsid w:val="001E7A74"/>
    <w:rsid w:val="001E7B11"/>
    <w:rsid w:val="001E7C1E"/>
    <w:rsid w:val="001E7C9F"/>
    <w:rsid w:val="001E7D35"/>
    <w:rsid w:val="001E7D9A"/>
    <w:rsid w:val="001E7DC9"/>
    <w:rsid w:val="001E7DCC"/>
    <w:rsid w:val="001E7DEE"/>
    <w:rsid w:val="001E7E66"/>
    <w:rsid w:val="001E7E9B"/>
    <w:rsid w:val="001E7E9E"/>
    <w:rsid w:val="001E7F22"/>
    <w:rsid w:val="001E7F62"/>
    <w:rsid w:val="001F0084"/>
    <w:rsid w:val="001F008F"/>
    <w:rsid w:val="001F0162"/>
    <w:rsid w:val="001F0212"/>
    <w:rsid w:val="001F0257"/>
    <w:rsid w:val="001F02B2"/>
    <w:rsid w:val="001F034B"/>
    <w:rsid w:val="001F0404"/>
    <w:rsid w:val="001F04B8"/>
    <w:rsid w:val="001F057D"/>
    <w:rsid w:val="001F0649"/>
    <w:rsid w:val="001F0726"/>
    <w:rsid w:val="001F07C2"/>
    <w:rsid w:val="001F07CA"/>
    <w:rsid w:val="001F07D8"/>
    <w:rsid w:val="001F07EC"/>
    <w:rsid w:val="001F0880"/>
    <w:rsid w:val="001F08E0"/>
    <w:rsid w:val="001F08E7"/>
    <w:rsid w:val="001F0923"/>
    <w:rsid w:val="001F0949"/>
    <w:rsid w:val="001F09A7"/>
    <w:rsid w:val="001F0A5C"/>
    <w:rsid w:val="001F0AD6"/>
    <w:rsid w:val="001F0B76"/>
    <w:rsid w:val="001F0C04"/>
    <w:rsid w:val="001F0CBE"/>
    <w:rsid w:val="001F0D02"/>
    <w:rsid w:val="001F0D2C"/>
    <w:rsid w:val="001F0D7C"/>
    <w:rsid w:val="001F0E63"/>
    <w:rsid w:val="001F0E78"/>
    <w:rsid w:val="001F0ED7"/>
    <w:rsid w:val="001F0F09"/>
    <w:rsid w:val="001F0FCE"/>
    <w:rsid w:val="001F0FFA"/>
    <w:rsid w:val="001F1044"/>
    <w:rsid w:val="001F1080"/>
    <w:rsid w:val="001F111D"/>
    <w:rsid w:val="001F1198"/>
    <w:rsid w:val="001F119B"/>
    <w:rsid w:val="001F11D5"/>
    <w:rsid w:val="001F124A"/>
    <w:rsid w:val="001F12EF"/>
    <w:rsid w:val="001F1352"/>
    <w:rsid w:val="001F1431"/>
    <w:rsid w:val="001F1457"/>
    <w:rsid w:val="001F146F"/>
    <w:rsid w:val="001F14A5"/>
    <w:rsid w:val="001F14C8"/>
    <w:rsid w:val="001F1511"/>
    <w:rsid w:val="001F1603"/>
    <w:rsid w:val="001F1688"/>
    <w:rsid w:val="001F16C4"/>
    <w:rsid w:val="001F1719"/>
    <w:rsid w:val="001F1778"/>
    <w:rsid w:val="001F1803"/>
    <w:rsid w:val="001F1877"/>
    <w:rsid w:val="001F1954"/>
    <w:rsid w:val="001F196B"/>
    <w:rsid w:val="001F19B7"/>
    <w:rsid w:val="001F1A08"/>
    <w:rsid w:val="001F1BA6"/>
    <w:rsid w:val="001F1BE9"/>
    <w:rsid w:val="001F1C4B"/>
    <w:rsid w:val="001F1D2A"/>
    <w:rsid w:val="001F1DA0"/>
    <w:rsid w:val="001F1EF2"/>
    <w:rsid w:val="001F1F9D"/>
    <w:rsid w:val="001F1FE7"/>
    <w:rsid w:val="001F1FEC"/>
    <w:rsid w:val="001F20AB"/>
    <w:rsid w:val="001F217F"/>
    <w:rsid w:val="001F2183"/>
    <w:rsid w:val="001F21CC"/>
    <w:rsid w:val="001F2322"/>
    <w:rsid w:val="001F23D6"/>
    <w:rsid w:val="001F23E8"/>
    <w:rsid w:val="001F24B3"/>
    <w:rsid w:val="001F2507"/>
    <w:rsid w:val="001F2551"/>
    <w:rsid w:val="001F2560"/>
    <w:rsid w:val="001F25B1"/>
    <w:rsid w:val="001F25EB"/>
    <w:rsid w:val="001F26E3"/>
    <w:rsid w:val="001F2746"/>
    <w:rsid w:val="001F2752"/>
    <w:rsid w:val="001F2754"/>
    <w:rsid w:val="001F2782"/>
    <w:rsid w:val="001F27E6"/>
    <w:rsid w:val="001F27E7"/>
    <w:rsid w:val="001F28E2"/>
    <w:rsid w:val="001F28FE"/>
    <w:rsid w:val="001F2902"/>
    <w:rsid w:val="001F290D"/>
    <w:rsid w:val="001F2921"/>
    <w:rsid w:val="001F2981"/>
    <w:rsid w:val="001F29EA"/>
    <w:rsid w:val="001F2AC3"/>
    <w:rsid w:val="001F2B0C"/>
    <w:rsid w:val="001F2B22"/>
    <w:rsid w:val="001F2BBF"/>
    <w:rsid w:val="001F2BD4"/>
    <w:rsid w:val="001F2C4C"/>
    <w:rsid w:val="001F2C4F"/>
    <w:rsid w:val="001F2C8E"/>
    <w:rsid w:val="001F2D3A"/>
    <w:rsid w:val="001F2E7C"/>
    <w:rsid w:val="001F2EDB"/>
    <w:rsid w:val="001F2F40"/>
    <w:rsid w:val="001F304F"/>
    <w:rsid w:val="001F30D0"/>
    <w:rsid w:val="001F335C"/>
    <w:rsid w:val="001F3491"/>
    <w:rsid w:val="001F34C8"/>
    <w:rsid w:val="001F35AC"/>
    <w:rsid w:val="001F3611"/>
    <w:rsid w:val="001F3620"/>
    <w:rsid w:val="001F3664"/>
    <w:rsid w:val="001F367C"/>
    <w:rsid w:val="001F3680"/>
    <w:rsid w:val="001F36B7"/>
    <w:rsid w:val="001F37A1"/>
    <w:rsid w:val="001F3810"/>
    <w:rsid w:val="001F384A"/>
    <w:rsid w:val="001F38E0"/>
    <w:rsid w:val="001F38EF"/>
    <w:rsid w:val="001F39B5"/>
    <w:rsid w:val="001F39C6"/>
    <w:rsid w:val="001F39D2"/>
    <w:rsid w:val="001F3A49"/>
    <w:rsid w:val="001F3A86"/>
    <w:rsid w:val="001F3AC0"/>
    <w:rsid w:val="001F3ADE"/>
    <w:rsid w:val="001F3B19"/>
    <w:rsid w:val="001F3B54"/>
    <w:rsid w:val="001F3B8E"/>
    <w:rsid w:val="001F3B9A"/>
    <w:rsid w:val="001F3BEC"/>
    <w:rsid w:val="001F3CF0"/>
    <w:rsid w:val="001F3D05"/>
    <w:rsid w:val="001F3DE2"/>
    <w:rsid w:val="001F3E06"/>
    <w:rsid w:val="001F3E1D"/>
    <w:rsid w:val="001F3EB1"/>
    <w:rsid w:val="001F3F1E"/>
    <w:rsid w:val="001F3F36"/>
    <w:rsid w:val="001F4056"/>
    <w:rsid w:val="001F40B8"/>
    <w:rsid w:val="001F40EA"/>
    <w:rsid w:val="001F42A6"/>
    <w:rsid w:val="001F437F"/>
    <w:rsid w:val="001F448A"/>
    <w:rsid w:val="001F44B6"/>
    <w:rsid w:val="001F44E4"/>
    <w:rsid w:val="001F44FC"/>
    <w:rsid w:val="001F45C4"/>
    <w:rsid w:val="001F4745"/>
    <w:rsid w:val="001F4777"/>
    <w:rsid w:val="001F47AD"/>
    <w:rsid w:val="001F47E9"/>
    <w:rsid w:val="001F49D1"/>
    <w:rsid w:val="001F4A3A"/>
    <w:rsid w:val="001F4A65"/>
    <w:rsid w:val="001F4A72"/>
    <w:rsid w:val="001F4A80"/>
    <w:rsid w:val="001F4ACE"/>
    <w:rsid w:val="001F4B05"/>
    <w:rsid w:val="001F4B79"/>
    <w:rsid w:val="001F4BA9"/>
    <w:rsid w:val="001F4BB8"/>
    <w:rsid w:val="001F4C01"/>
    <w:rsid w:val="001F4CBD"/>
    <w:rsid w:val="001F4DA8"/>
    <w:rsid w:val="001F4DE8"/>
    <w:rsid w:val="001F4DF1"/>
    <w:rsid w:val="001F4E09"/>
    <w:rsid w:val="001F4E25"/>
    <w:rsid w:val="001F4E40"/>
    <w:rsid w:val="001F4E4B"/>
    <w:rsid w:val="001F4EDF"/>
    <w:rsid w:val="001F4F37"/>
    <w:rsid w:val="001F4FE0"/>
    <w:rsid w:val="001F4FFA"/>
    <w:rsid w:val="001F5048"/>
    <w:rsid w:val="001F50F0"/>
    <w:rsid w:val="001F5106"/>
    <w:rsid w:val="001F51FE"/>
    <w:rsid w:val="001F5287"/>
    <w:rsid w:val="001F5318"/>
    <w:rsid w:val="001F536B"/>
    <w:rsid w:val="001F5374"/>
    <w:rsid w:val="001F53AF"/>
    <w:rsid w:val="001F53D5"/>
    <w:rsid w:val="001F53E7"/>
    <w:rsid w:val="001F53F1"/>
    <w:rsid w:val="001F53FE"/>
    <w:rsid w:val="001F545F"/>
    <w:rsid w:val="001F546E"/>
    <w:rsid w:val="001F5474"/>
    <w:rsid w:val="001F54F1"/>
    <w:rsid w:val="001F557B"/>
    <w:rsid w:val="001F5603"/>
    <w:rsid w:val="001F5622"/>
    <w:rsid w:val="001F57B0"/>
    <w:rsid w:val="001F57DE"/>
    <w:rsid w:val="001F597C"/>
    <w:rsid w:val="001F59C2"/>
    <w:rsid w:val="001F5A01"/>
    <w:rsid w:val="001F5A67"/>
    <w:rsid w:val="001F5A81"/>
    <w:rsid w:val="001F5B43"/>
    <w:rsid w:val="001F5D32"/>
    <w:rsid w:val="001F5E36"/>
    <w:rsid w:val="001F5E71"/>
    <w:rsid w:val="001F5EDA"/>
    <w:rsid w:val="001F5F5B"/>
    <w:rsid w:val="001F5F99"/>
    <w:rsid w:val="001F6025"/>
    <w:rsid w:val="001F603A"/>
    <w:rsid w:val="001F609E"/>
    <w:rsid w:val="001F60C9"/>
    <w:rsid w:val="001F60EE"/>
    <w:rsid w:val="001F611A"/>
    <w:rsid w:val="001F6172"/>
    <w:rsid w:val="001F61B4"/>
    <w:rsid w:val="001F61D4"/>
    <w:rsid w:val="001F62DE"/>
    <w:rsid w:val="001F639F"/>
    <w:rsid w:val="001F63D2"/>
    <w:rsid w:val="001F64DC"/>
    <w:rsid w:val="001F64E9"/>
    <w:rsid w:val="001F64FA"/>
    <w:rsid w:val="001F6529"/>
    <w:rsid w:val="001F6548"/>
    <w:rsid w:val="001F6559"/>
    <w:rsid w:val="001F658C"/>
    <w:rsid w:val="001F6651"/>
    <w:rsid w:val="001F6654"/>
    <w:rsid w:val="001F667A"/>
    <w:rsid w:val="001F66DA"/>
    <w:rsid w:val="001F6708"/>
    <w:rsid w:val="001F671A"/>
    <w:rsid w:val="001F6751"/>
    <w:rsid w:val="001F675C"/>
    <w:rsid w:val="001F6813"/>
    <w:rsid w:val="001F6849"/>
    <w:rsid w:val="001F68C1"/>
    <w:rsid w:val="001F6952"/>
    <w:rsid w:val="001F6967"/>
    <w:rsid w:val="001F69EE"/>
    <w:rsid w:val="001F6BA5"/>
    <w:rsid w:val="001F6BEE"/>
    <w:rsid w:val="001F6CAC"/>
    <w:rsid w:val="001F6CAE"/>
    <w:rsid w:val="001F6D35"/>
    <w:rsid w:val="001F6D55"/>
    <w:rsid w:val="001F6F23"/>
    <w:rsid w:val="001F6F44"/>
    <w:rsid w:val="001F6FCC"/>
    <w:rsid w:val="001F6FDA"/>
    <w:rsid w:val="001F7008"/>
    <w:rsid w:val="001F7036"/>
    <w:rsid w:val="001F7158"/>
    <w:rsid w:val="001F71F4"/>
    <w:rsid w:val="001F728D"/>
    <w:rsid w:val="001F7320"/>
    <w:rsid w:val="001F732A"/>
    <w:rsid w:val="001F733B"/>
    <w:rsid w:val="001F7389"/>
    <w:rsid w:val="001F73AA"/>
    <w:rsid w:val="001F73DD"/>
    <w:rsid w:val="001F73EB"/>
    <w:rsid w:val="001F7467"/>
    <w:rsid w:val="001F7563"/>
    <w:rsid w:val="001F767C"/>
    <w:rsid w:val="001F768C"/>
    <w:rsid w:val="001F76CC"/>
    <w:rsid w:val="001F77CE"/>
    <w:rsid w:val="001F78C5"/>
    <w:rsid w:val="001F7903"/>
    <w:rsid w:val="001F79E8"/>
    <w:rsid w:val="001F7A22"/>
    <w:rsid w:val="001F7A4D"/>
    <w:rsid w:val="001F7A5E"/>
    <w:rsid w:val="001F7A87"/>
    <w:rsid w:val="001F7A89"/>
    <w:rsid w:val="001F7AD1"/>
    <w:rsid w:val="001F7B1C"/>
    <w:rsid w:val="001F7B69"/>
    <w:rsid w:val="001F7B8D"/>
    <w:rsid w:val="001F7BB0"/>
    <w:rsid w:val="001F7C01"/>
    <w:rsid w:val="001F7C02"/>
    <w:rsid w:val="001F7C1D"/>
    <w:rsid w:val="001F7CC8"/>
    <w:rsid w:val="001F7CF5"/>
    <w:rsid w:val="001F7D75"/>
    <w:rsid w:val="001F7DD7"/>
    <w:rsid w:val="001F7E33"/>
    <w:rsid w:val="001F7E45"/>
    <w:rsid w:val="00200037"/>
    <w:rsid w:val="00200044"/>
    <w:rsid w:val="002000B7"/>
    <w:rsid w:val="00200105"/>
    <w:rsid w:val="0020019C"/>
    <w:rsid w:val="00200211"/>
    <w:rsid w:val="002002F0"/>
    <w:rsid w:val="00200336"/>
    <w:rsid w:val="0020039E"/>
    <w:rsid w:val="002004AB"/>
    <w:rsid w:val="00200544"/>
    <w:rsid w:val="00200576"/>
    <w:rsid w:val="002005D3"/>
    <w:rsid w:val="002005F3"/>
    <w:rsid w:val="00200617"/>
    <w:rsid w:val="00200622"/>
    <w:rsid w:val="00200690"/>
    <w:rsid w:val="0020070C"/>
    <w:rsid w:val="00200791"/>
    <w:rsid w:val="0020086A"/>
    <w:rsid w:val="00200879"/>
    <w:rsid w:val="00200905"/>
    <w:rsid w:val="0020092E"/>
    <w:rsid w:val="0020093E"/>
    <w:rsid w:val="00200970"/>
    <w:rsid w:val="00200A22"/>
    <w:rsid w:val="00200A61"/>
    <w:rsid w:val="00200C1E"/>
    <w:rsid w:val="00200C2B"/>
    <w:rsid w:val="00200C30"/>
    <w:rsid w:val="00200CD5"/>
    <w:rsid w:val="00200CE5"/>
    <w:rsid w:val="00200D13"/>
    <w:rsid w:val="00200D88"/>
    <w:rsid w:val="00200D96"/>
    <w:rsid w:val="00200DC1"/>
    <w:rsid w:val="00200DCF"/>
    <w:rsid w:val="00200E2C"/>
    <w:rsid w:val="00200E49"/>
    <w:rsid w:val="00200E89"/>
    <w:rsid w:val="00200ECE"/>
    <w:rsid w:val="00200EED"/>
    <w:rsid w:val="00200F43"/>
    <w:rsid w:val="00201019"/>
    <w:rsid w:val="0020104E"/>
    <w:rsid w:val="002010B1"/>
    <w:rsid w:val="0020112E"/>
    <w:rsid w:val="00201175"/>
    <w:rsid w:val="00201181"/>
    <w:rsid w:val="002011C0"/>
    <w:rsid w:val="0020124E"/>
    <w:rsid w:val="0020126F"/>
    <w:rsid w:val="0020128F"/>
    <w:rsid w:val="002012DE"/>
    <w:rsid w:val="00201345"/>
    <w:rsid w:val="0020136A"/>
    <w:rsid w:val="002013CE"/>
    <w:rsid w:val="002013F4"/>
    <w:rsid w:val="0020143A"/>
    <w:rsid w:val="002014EC"/>
    <w:rsid w:val="002014F6"/>
    <w:rsid w:val="0020150F"/>
    <w:rsid w:val="002015A2"/>
    <w:rsid w:val="002016A8"/>
    <w:rsid w:val="002016D8"/>
    <w:rsid w:val="002016F4"/>
    <w:rsid w:val="00201755"/>
    <w:rsid w:val="00201774"/>
    <w:rsid w:val="0020178C"/>
    <w:rsid w:val="002017C3"/>
    <w:rsid w:val="002017EF"/>
    <w:rsid w:val="0020184B"/>
    <w:rsid w:val="002018FE"/>
    <w:rsid w:val="002019A2"/>
    <w:rsid w:val="002019B6"/>
    <w:rsid w:val="00201A35"/>
    <w:rsid w:val="00201A52"/>
    <w:rsid w:val="00201A97"/>
    <w:rsid w:val="00201ADA"/>
    <w:rsid w:val="00201BC0"/>
    <w:rsid w:val="00201C26"/>
    <w:rsid w:val="00201C3C"/>
    <w:rsid w:val="00201C59"/>
    <w:rsid w:val="00201C5F"/>
    <w:rsid w:val="00201CB5"/>
    <w:rsid w:val="00201D29"/>
    <w:rsid w:val="00201D75"/>
    <w:rsid w:val="00201D77"/>
    <w:rsid w:val="00201D78"/>
    <w:rsid w:val="00201DF6"/>
    <w:rsid w:val="00201EBF"/>
    <w:rsid w:val="00201F3F"/>
    <w:rsid w:val="00201FF2"/>
    <w:rsid w:val="002020DC"/>
    <w:rsid w:val="00202148"/>
    <w:rsid w:val="0020222B"/>
    <w:rsid w:val="002022CF"/>
    <w:rsid w:val="002022FF"/>
    <w:rsid w:val="00202300"/>
    <w:rsid w:val="0020230C"/>
    <w:rsid w:val="00202331"/>
    <w:rsid w:val="0020247A"/>
    <w:rsid w:val="00202601"/>
    <w:rsid w:val="002026DC"/>
    <w:rsid w:val="00202774"/>
    <w:rsid w:val="00202848"/>
    <w:rsid w:val="0020299B"/>
    <w:rsid w:val="002029C1"/>
    <w:rsid w:val="002029CB"/>
    <w:rsid w:val="002029CC"/>
    <w:rsid w:val="002029D8"/>
    <w:rsid w:val="00202A83"/>
    <w:rsid w:val="00202ADB"/>
    <w:rsid w:val="00202ADC"/>
    <w:rsid w:val="00202AF9"/>
    <w:rsid w:val="00202B9C"/>
    <w:rsid w:val="00202C8D"/>
    <w:rsid w:val="00202CD7"/>
    <w:rsid w:val="00202D92"/>
    <w:rsid w:val="00202D99"/>
    <w:rsid w:val="00202DC2"/>
    <w:rsid w:val="00202E27"/>
    <w:rsid w:val="00202EA6"/>
    <w:rsid w:val="00202EA7"/>
    <w:rsid w:val="00202EB2"/>
    <w:rsid w:val="00202F0D"/>
    <w:rsid w:val="00202F66"/>
    <w:rsid w:val="00202FB5"/>
    <w:rsid w:val="00202FB8"/>
    <w:rsid w:val="00202FF1"/>
    <w:rsid w:val="0020307C"/>
    <w:rsid w:val="00203094"/>
    <w:rsid w:val="002030A0"/>
    <w:rsid w:val="002030F7"/>
    <w:rsid w:val="00203167"/>
    <w:rsid w:val="002031A8"/>
    <w:rsid w:val="002031B9"/>
    <w:rsid w:val="00203262"/>
    <w:rsid w:val="00203263"/>
    <w:rsid w:val="002032A7"/>
    <w:rsid w:val="002032E9"/>
    <w:rsid w:val="0020331D"/>
    <w:rsid w:val="0020334C"/>
    <w:rsid w:val="002033C5"/>
    <w:rsid w:val="00203485"/>
    <w:rsid w:val="002034BE"/>
    <w:rsid w:val="002034D5"/>
    <w:rsid w:val="00203552"/>
    <w:rsid w:val="002035D8"/>
    <w:rsid w:val="002035DE"/>
    <w:rsid w:val="00203621"/>
    <w:rsid w:val="00203652"/>
    <w:rsid w:val="002036C3"/>
    <w:rsid w:val="00203711"/>
    <w:rsid w:val="00203714"/>
    <w:rsid w:val="002037B3"/>
    <w:rsid w:val="002037B9"/>
    <w:rsid w:val="00203814"/>
    <w:rsid w:val="00203855"/>
    <w:rsid w:val="0020386E"/>
    <w:rsid w:val="00203870"/>
    <w:rsid w:val="0020387B"/>
    <w:rsid w:val="00203894"/>
    <w:rsid w:val="00203898"/>
    <w:rsid w:val="00203993"/>
    <w:rsid w:val="00203A59"/>
    <w:rsid w:val="00203A79"/>
    <w:rsid w:val="00203A87"/>
    <w:rsid w:val="00203B08"/>
    <w:rsid w:val="00203B47"/>
    <w:rsid w:val="00203B77"/>
    <w:rsid w:val="00203B87"/>
    <w:rsid w:val="00203BF8"/>
    <w:rsid w:val="00203C70"/>
    <w:rsid w:val="00203D8B"/>
    <w:rsid w:val="00203D98"/>
    <w:rsid w:val="00203DF4"/>
    <w:rsid w:val="00203E8D"/>
    <w:rsid w:val="00203F10"/>
    <w:rsid w:val="00203F2C"/>
    <w:rsid w:val="00203F38"/>
    <w:rsid w:val="00203F39"/>
    <w:rsid w:val="00203FB5"/>
    <w:rsid w:val="00204000"/>
    <w:rsid w:val="00204033"/>
    <w:rsid w:val="00204051"/>
    <w:rsid w:val="00204094"/>
    <w:rsid w:val="002040F4"/>
    <w:rsid w:val="002041D5"/>
    <w:rsid w:val="0020422D"/>
    <w:rsid w:val="0020423E"/>
    <w:rsid w:val="00204269"/>
    <w:rsid w:val="002042A5"/>
    <w:rsid w:val="002042CF"/>
    <w:rsid w:val="002042D3"/>
    <w:rsid w:val="002042EE"/>
    <w:rsid w:val="00204305"/>
    <w:rsid w:val="0020433E"/>
    <w:rsid w:val="00204342"/>
    <w:rsid w:val="002043E0"/>
    <w:rsid w:val="00204424"/>
    <w:rsid w:val="002044F4"/>
    <w:rsid w:val="002044FC"/>
    <w:rsid w:val="00204505"/>
    <w:rsid w:val="00204508"/>
    <w:rsid w:val="0020467C"/>
    <w:rsid w:val="002046C2"/>
    <w:rsid w:val="0020470C"/>
    <w:rsid w:val="00204733"/>
    <w:rsid w:val="0020477C"/>
    <w:rsid w:val="00204798"/>
    <w:rsid w:val="00204829"/>
    <w:rsid w:val="00204892"/>
    <w:rsid w:val="002048AC"/>
    <w:rsid w:val="00204A2B"/>
    <w:rsid w:val="00204A8C"/>
    <w:rsid w:val="00204B3F"/>
    <w:rsid w:val="00204B6C"/>
    <w:rsid w:val="00204BDD"/>
    <w:rsid w:val="00204BE0"/>
    <w:rsid w:val="00204BE1"/>
    <w:rsid w:val="00204BEF"/>
    <w:rsid w:val="00204C49"/>
    <w:rsid w:val="00204CCE"/>
    <w:rsid w:val="00204D3E"/>
    <w:rsid w:val="00204D9B"/>
    <w:rsid w:val="00204DAE"/>
    <w:rsid w:val="00204E3E"/>
    <w:rsid w:val="00204E45"/>
    <w:rsid w:val="00204E5F"/>
    <w:rsid w:val="00204E77"/>
    <w:rsid w:val="00204ED8"/>
    <w:rsid w:val="00204EDC"/>
    <w:rsid w:val="00204F6A"/>
    <w:rsid w:val="00204FA7"/>
    <w:rsid w:val="00204FF5"/>
    <w:rsid w:val="00205002"/>
    <w:rsid w:val="00205021"/>
    <w:rsid w:val="002050BB"/>
    <w:rsid w:val="0020514C"/>
    <w:rsid w:val="00205255"/>
    <w:rsid w:val="002052AF"/>
    <w:rsid w:val="0020534C"/>
    <w:rsid w:val="00205367"/>
    <w:rsid w:val="0020541A"/>
    <w:rsid w:val="00205450"/>
    <w:rsid w:val="0020575B"/>
    <w:rsid w:val="00205821"/>
    <w:rsid w:val="00205862"/>
    <w:rsid w:val="00205871"/>
    <w:rsid w:val="00205901"/>
    <w:rsid w:val="002059DA"/>
    <w:rsid w:val="00205A36"/>
    <w:rsid w:val="00205A4A"/>
    <w:rsid w:val="00205A79"/>
    <w:rsid w:val="00205AB3"/>
    <w:rsid w:val="00205ACA"/>
    <w:rsid w:val="00205B58"/>
    <w:rsid w:val="00205B8C"/>
    <w:rsid w:val="00205BFA"/>
    <w:rsid w:val="00205C19"/>
    <w:rsid w:val="00205C44"/>
    <w:rsid w:val="00205C6D"/>
    <w:rsid w:val="00205CA6"/>
    <w:rsid w:val="00205EC6"/>
    <w:rsid w:val="00205EF3"/>
    <w:rsid w:val="00205F17"/>
    <w:rsid w:val="00205F7A"/>
    <w:rsid w:val="00205F93"/>
    <w:rsid w:val="00205FFC"/>
    <w:rsid w:val="00206036"/>
    <w:rsid w:val="00206040"/>
    <w:rsid w:val="00206077"/>
    <w:rsid w:val="00206116"/>
    <w:rsid w:val="00206269"/>
    <w:rsid w:val="002062CD"/>
    <w:rsid w:val="00206399"/>
    <w:rsid w:val="002063E2"/>
    <w:rsid w:val="002063E9"/>
    <w:rsid w:val="0020640D"/>
    <w:rsid w:val="0020641E"/>
    <w:rsid w:val="002064DF"/>
    <w:rsid w:val="0020652E"/>
    <w:rsid w:val="00206535"/>
    <w:rsid w:val="00206563"/>
    <w:rsid w:val="0020657F"/>
    <w:rsid w:val="00206610"/>
    <w:rsid w:val="0020661F"/>
    <w:rsid w:val="002066B4"/>
    <w:rsid w:val="0020683F"/>
    <w:rsid w:val="00206869"/>
    <w:rsid w:val="00206870"/>
    <w:rsid w:val="00206912"/>
    <w:rsid w:val="00206930"/>
    <w:rsid w:val="002069F2"/>
    <w:rsid w:val="00206A36"/>
    <w:rsid w:val="00206A64"/>
    <w:rsid w:val="00206AAA"/>
    <w:rsid w:val="00206B10"/>
    <w:rsid w:val="00206B25"/>
    <w:rsid w:val="00206B89"/>
    <w:rsid w:val="00206BD4"/>
    <w:rsid w:val="00206BF5"/>
    <w:rsid w:val="00206C0C"/>
    <w:rsid w:val="00206C25"/>
    <w:rsid w:val="00206DA5"/>
    <w:rsid w:val="00206F8B"/>
    <w:rsid w:val="00206FA3"/>
    <w:rsid w:val="00206FEB"/>
    <w:rsid w:val="0020706C"/>
    <w:rsid w:val="0020712F"/>
    <w:rsid w:val="0020715B"/>
    <w:rsid w:val="002071A8"/>
    <w:rsid w:val="00207257"/>
    <w:rsid w:val="00207273"/>
    <w:rsid w:val="0020734C"/>
    <w:rsid w:val="002074C5"/>
    <w:rsid w:val="002074DA"/>
    <w:rsid w:val="00207502"/>
    <w:rsid w:val="0020750D"/>
    <w:rsid w:val="002075B2"/>
    <w:rsid w:val="002075F5"/>
    <w:rsid w:val="002075F7"/>
    <w:rsid w:val="00207649"/>
    <w:rsid w:val="002076AF"/>
    <w:rsid w:val="002076EA"/>
    <w:rsid w:val="002076FE"/>
    <w:rsid w:val="00207731"/>
    <w:rsid w:val="0020778A"/>
    <w:rsid w:val="00207794"/>
    <w:rsid w:val="0020779C"/>
    <w:rsid w:val="002077AD"/>
    <w:rsid w:val="00207829"/>
    <w:rsid w:val="00207860"/>
    <w:rsid w:val="00207866"/>
    <w:rsid w:val="00207875"/>
    <w:rsid w:val="00207901"/>
    <w:rsid w:val="00207987"/>
    <w:rsid w:val="00207A07"/>
    <w:rsid w:val="00207AAD"/>
    <w:rsid w:val="00207B33"/>
    <w:rsid w:val="00207B40"/>
    <w:rsid w:val="00207B55"/>
    <w:rsid w:val="00207B75"/>
    <w:rsid w:val="00207B9F"/>
    <w:rsid w:val="00207BFE"/>
    <w:rsid w:val="00207C0F"/>
    <w:rsid w:val="00207C6E"/>
    <w:rsid w:val="00207CC0"/>
    <w:rsid w:val="00207D3E"/>
    <w:rsid w:val="00207D9F"/>
    <w:rsid w:val="00207DEE"/>
    <w:rsid w:val="00207ED5"/>
    <w:rsid w:val="00207F06"/>
    <w:rsid w:val="00207F1C"/>
    <w:rsid w:val="00207F39"/>
    <w:rsid w:val="00207F59"/>
    <w:rsid w:val="00207FF2"/>
    <w:rsid w:val="00210083"/>
    <w:rsid w:val="00210176"/>
    <w:rsid w:val="00210229"/>
    <w:rsid w:val="0021023D"/>
    <w:rsid w:val="002102A2"/>
    <w:rsid w:val="002102D0"/>
    <w:rsid w:val="002103B7"/>
    <w:rsid w:val="002103EF"/>
    <w:rsid w:val="0021040E"/>
    <w:rsid w:val="0021042D"/>
    <w:rsid w:val="002104B3"/>
    <w:rsid w:val="002104EF"/>
    <w:rsid w:val="00210564"/>
    <w:rsid w:val="002105AB"/>
    <w:rsid w:val="00210620"/>
    <w:rsid w:val="0021062B"/>
    <w:rsid w:val="00210632"/>
    <w:rsid w:val="00210671"/>
    <w:rsid w:val="0021069A"/>
    <w:rsid w:val="0021070D"/>
    <w:rsid w:val="00210721"/>
    <w:rsid w:val="00210770"/>
    <w:rsid w:val="0021084E"/>
    <w:rsid w:val="00210852"/>
    <w:rsid w:val="0021089E"/>
    <w:rsid w:val="00210927"/>
    <w:rsid w:val="002109A0"/>
    <w:rsid w:val="002109F4"/>
    <w:rsid w:val="00210A67"/>
    <w:rsid w:val="00210ABE"/>
    <w:rsid w:val="00210AC9"/>
    <w:rsid w:val="00210B68"/>
    <w:rsid w:val="00210B87"/>
    <w:rsid w:val="00210BB1"/>
    <w:rsid w:val="00210BC0"/>
    <w:rsid w:val="00210BDA"/>
    <w:rsid w:val="00210CCC"/>
    <w:rsid w:val="00210CFF"/>
    <w:rsid w:val="00210D3D"/>
    <w:rsid w:val="00210D58"/>
    <w:rsid w:val="00210E07"/>
    <w:rsid w:val="00210E43"/>
    <w:rsid w:val="00210E44"/>
    <w:rsid w:val="00210EB8"/>
    <w:rsid w:val="00210ED1"/>
    <w:rsid w:val="00210F56"/>
    <w:rsid w:val="00210F65"/>
    <w:rsid w:val="00210F78"/>
    <w:rsid w:val="00210FAE"/>
    <w:rsid w:val="00210FC6"/>
    <w:rsid w:val="00210FCC"/>
    <w:rsid w:val="0021105C"/>
    <w:rsid w:val="00211083"/>
    <w:rsid w:val="002110C5"/>
    <w:rsid w:val="0021110A"/>
    <w:rsid w:val="00211147"/>
    <w:rsid w:val="002111F4"/>
    <w:rsid w:val="0021122C"/>
    <w:rsid w:val="002112EA"/>
    <w:rsid w:val="00211316"/>
    <w:rsid w:val="00211370"/>
    <w:rsid w:val="00211412"/>
    <w:rsid w:val="0021143A"/>
    <w:rsid w:val="0021144D"/>
    <w:rsid w:val="0021145D"/>
    <w:rsid w:val="002114C6"/>
    <w:rsid w:val="002114D1"/>
    <w:rsid w:val="002114E9"/>
    <w:rsid w:val="00211538"/>
    <w:rsid w:val="002115EB"/>
    <w:rsid w:val="002115F4"/>
    <w:rsid w:val="00211621"/>
    <w:rsid w:val="0021163C"/>
    <w:rsid w:val="002116B9"/>
    <w:rsid w:val="00211724"/>
    <w:rsid w:val="0021179A"/>
    <w:rsid w:val="00211815"/>
    <w:rsid w:val="00211867"/>
    <w:rsid w:val="00211876"/>
    <w:rsid w:val="002118D4"/>
    <w:rsid w:val="00211901"/>
    <w:rsid w:val="002119ED"/>
    <w:rsid w:val="00211A74"/>
    <w:rsid w:val="00211BD8"/>
    <w:rsid w:val="00211BEA"/>
    <w:rsid w:val="00211CC7"/>
    <w:rsid w:val="00211D1B"/>
    <w:rsid w:val="00211DC3"/>
    <w:rsid w:val="00211E69"/>
    <w:rsid w:val="00211F0C"/>
    <w:rsid w:val="00211F70"/>
    <w:rsid w:val="00211F7C"/>
    <w:rsid w:val="00212045"/>
    <w:rsid w:val="00212061"/>
    <w:rsid w:val="002120BD"/>
    <w:rsid w:val="002120BE"/>
    <w:rsid w:val="002120D4"/>
    <w:rsid w:val="0021215D"/>
    <w:rsid w:val="002121A8"/>
    <w:rsid w:val="002121AF"/>
    <w:rsid w:val="002121DF"/>
    <w:rsid w:val="002121EF"/>
    <w:rsid w:val="00212253"/>
    <w:rsid w:val="0021240E"/>
    <w:rsid w:val="00212462"/>
    <w:rsid w:val="002124C1"/>
    <w:rsid w:val="002124C6"/>
    <w:rsid w:val="0021250C"/>
    <w:rsid w:val="00212529"/>
    <w:rsid w:val="002126B2"/>
    <w:rsid w:val="00212747"/>
    <w:rsid w:val="00212852"/>
    <w:rsid w:val="0021287D"/>
    <w:rsid w:val="0021293A"/>
    <w:rsid w:val="00212996"/>
    <w:rsid w:val="00212A56"/>
    <w:rsid w:val="00212AC1"/>
    <w:rsid w:val="00212ACF"/>
    <w:rsid w:val="00212B44"/>
    <w:rsid w:val="00212B4D"/>
    <w:rsid w:val="00212B4F"/>
    <w:rsid w:val="00212B57"/>
    <w:rsid w:val="00212BCB"/>
    <w:rsid w:val="00212BF8"/>
    <w:rsid w:val="00212C9D"/>
    <w:rsid w:val="00212CB1"/>
    <w:rsid w:val="00212CC1"/>
    <w:rsid w:val="00212D4C"/>
    <w:rsid w:val="00212D6F"/>
    <w:rsid w:val="00212DCB"/>
    <w:rsid w:val="00212E63"/>
    <w:rsid w:val="00212EB3"/>
    <w:rsid w:val="00212FBD"/>
    <w:rsid w:val="00213097"/>
    <w:rsid w:val="0021312D"/>
    <w:rsid w:val="002131C7"/>
    <w:rsid w:val="002132FD"/>
    <w:rsid w:val="00213363"/>
    <w:rsid w:val="00213391"/>
    <w:rsid w:val="002133C5"/>
    <w:rsid w:val="0021350F"/>
    <w:rsid w:val="00213574"/>
    <w:rsid w:val="002135B6"/>
    <w:rsid w:val="00213656"/>
    <w:rsid w:val="0021366B"/>
    <w:rsid w:val="00213775"/>
    <w:rsid w:val="0021386E"/>
    <w:rsid w:val="002138A8"/>
    <w:rsid w:val="002138B7"/>
    <w:rsid w:val="002138E5"/>
    <w:rsid w:val="002139C3"/>
    <w:rsid w:val="00213AF4"/>
    <w:rsid w:val="00213AFE"/>
    <w:rsid w:val="00213B0B"/>
    <w:rsid w:val="00213BB6"/>
    <w:rsid w:val="00213C2B"/>
    <w:rsid w:val="00213C85"/>
    <w:rsid w:val="00213CC5"/>
    <w:rsid w:val="00213D44"/>
    <w:rsid w:val="00213D66"/>
    <w:rsid w:val="00213D75"/>
    <w:rsid w:val="00213D89"/>
    <w:rsid w:val="00213E65"/>
    <w:rsid w:val="00213E69"/>
    <w:rsid w:val="00213EAE"/>
    <w:rsid w:val="00213EEF"/>
    <w:rsid w:val="00213FDD"/>
    <w:rsid w:val="00214028"/>
    <w:rsid w:val="0021405E"/>
    <w:rsid w:val="002141BE"/>
    <w:rsid w:val="002141CF"/>
    <w:rsid w:val="002141FC"/>
    <w:rsid w:val="00214214"/>
    <w:rsid w:val="0021428C"/>
    <w:rsid w:val="00214295"/>
    <w:rsid w:val="002142B4"/>
    <w:rsid w:val="002142F2"/>
    <w:rsid w:val="002142F7"/>
    <w:rsid w:val="00214366"/>
    <w:rsid w:val="002143FA"/>
    <w:rsid w:val="00214418"/>
    <w:rsid w:val="002144A8"/>
    <w:rsid w:val="002144D8"/>
    <w:rsid w:val="00214511"/>
    <w:rsid w:val="0021452C"/>
    <w:rsid w:val="00214629"/>
    <w:rsid w:val="00214687"/>
    <w:rsid w:val="002146A2"/>
    <w:rsid w:val="002148F1"/>
    <w:rsid w:val="00214938"/>
    <w:rsid w:val="00214979"/>
    <w:rsid w:val="00214A05"/>
    <w:rsid w:val="00214AB4"/>
    <w:rsid w:val="00214AB6"/>
    <w:rsid w:val="00214ADD"/>
    <w:rsid w:val="00214B10"/>
    <w:rsid w:val="00214B21"/>
    <w:rsid w:val="00214BC3"/>
    <w:rsid w:val="00214BD3"/>
    <w:rsid w:val="00214BEE"/>
    <w:rsid w:val="00214C77"/>
    <w:rsid w:val="00214CB8"/>
    <w:rsid w:val="00214CD7"/>
    <w:rsid w:val="00214CEE"/>
    <w:rsid w:val="00214D46"/>
    <w:rsid w:val="00214DA3"/>
    <w:rsid w:val="00214E14"/>
    <w:rsid w:val="00214E55"/>
    <w:rsid w:val="00214EAB"/>
    <w:rsid w:val="00214F70"/>
    <w:rsid w:val="00214F9D"/>
    <w:rsid w:val="00215047"/>
    <w:rsid w:val="0021514E"/>
    <w:rsid w:val="002152A9"/>
    <w:rsid w:val="0021530B"/>
    <w:rsid w:val="00215367"/>
    <w:rsid w:val="00215372"/>
    <w:rsid w:val="002153E6"/>
    <w:rsid w:val="002154A3"/>
    <w:rsid w:val="00215553"/>
    <w:rsid w:val="00215554"/>
    <w:rsid w:val="002155B6"/>
    <w:rsid w:val="002155FE"/>
    <w:rsid w:val="00215623"/>
    <w:rsid w:val="00215677"/>
    <w:rsid w:val="002156A9"/>
    <w:rsid w:val="00215754"/>
    <w:rsid w:val="0021579A"/>
    <w:rsid w:val="002157E4"/>
    <w:rsid w:val="002158B1"/>
    <w:rsid w:val="002158B7"/>
    <w:rsid w:val="00215A86"/>
    <w:rsid w:val="00215AEE"/>
    <w:rsid w:val="00215AFB"/>
    <w:rsid w:val="00215B07"/>
    <w:rsid w:val="00215B11"/>
    <w:rsid w:val="00215B8A"/>
    <w:rsid w:val="00215BC0"/>
    <w:rsid w:val="00215BE3"/>
    <w:rsid w:val="00215BF7"/>
    <w:rsid w:val="00215C66"/>
    <w:rsid w:val="00215C92"/>
    <w:rsid w:val="00215C98"/>
    <w:rsid w:val="00215CB5"/>
    <w:rsid w:val="00215CCE"/>
    <w:rsid w:val="00215D00"/>
    <w:rsid w:val="00215D22"/>
    <w:rsid w:val="00215D3A"/>
    <w:rsid w:val="00215DEA"/>
    <w:rsid w:val="00215E06"/>
    <w:rsid w:val="00215E63"/>
    <w:rsid w:val="00215EC8"/>
    <w:rsid w:val="00215EFC"/>
    <w:rsid w:val="00215F17"/>
    <w:rsid w:val="00215F58"/>
    <w:rsid w:val="00215F76"/>
    <w:rsid w:val="00215F8A"/>
    <w:rsid w:val="00215FFA"/>
    <w:rsid w:val="002160AA"/>
    <w:rsid w:val="002160E9"/>
    <w:rsid w:val="002160EA"/>
    <w:rsid w:val="0021611D"/>
    <w:rsid w:val="0021615E"/>
    <w:rsid w:val="00216198"/>
    <w:rsid w:val="002161D2"/>
    <w:rsid w:val="00216226"/>
    <w:rsid w:val="0021627A"/>
    <w:rsid w:val="002163E4"/>
    <w:rsid w:val="0021641D"/>
    <w:rsid w:val="0021642D"/>
    <w:rsid w:val="00216502"/>
    <w:rsid w:val="002165C1"/>
    <w:rsid w:val="00216679"/>
    <w:rsid w:val="002166A1"/>
    <w:rsid w:val="00216735"/>
    <w:rsid w:val="0021675F"/>
    <w:rsid w:val="002168BB"/>
    <w:rsid w:val="00216967"/>
    <w:rsid w:val="002169A6"/>
    <w:rsid w:val="002169C2"/>
    <w:rsid w:val="002169D2"/>
    <w:rsid w:val="00216A15"/>
    <w:rsid w:val="00216A4E"/>
    <w:rsid w:val="00216AAD"/>
    <w:rsid w:val="00216B36"/>
    <w:rsid w:val="00216BBD"/>
    <w:rsid w:val="00216BFF"/>
    <w:rsid w:val="00216C50"/>
    <w:rsid w:val="00216CB7"/>
    <w:rsid w:val="00216CCD"/>
    <w:rsid w:val="00216D32"/>
    <w:rsid w:val="00216D68"/>
    <w:rsid w:val="00216E23"/>
    <w:rsid w:val="00216E6F"/>
    <w:rsid w:val="00216F6E"/>
    <w:rsid w:val="00216F9E"/>
    <w:rsid w:val="00216FFE"/>
    <w:rsid w:val="0021700B"/>
    <w:rsid w:val="00217070"/>
    <w:rsid w:val="002170F4"/>
    <w:rsid w:val="0021717F"/>
    <w:rsid w:val="0021719D"/>
    <w:rsid w:val="002171BF"/>
    <w:rsid w:val="002171F0"/>
    <w:rsid w:val="0021722B"/>
    <w:rsid w:val="0021722F"/>
    <w:rsid w:val="002172D9"/>
    <w:rsid w:val="002172EB"/>
    <w:rsid w:val="002172F3"/>
    <w:rsid w:val="0021732E"/>
    <w:rsid w:val="00217363"/>
    <w:rsid w:val="0021749F"/>
    <w:rsid w:val="002174D5"/>
    <w:rsid w:val="00217520"/>
    <w:rsid w:val="002175AF"/>
    <w:rsid w:val="00217623"/>
    <w:rsid w:val="00217663"/>
    <w:rsid w:val="0021766A"/>
    <w:rsid w:val="00217695"/>
    <w:rsid w:val="00217785"/>
    <w:rsid w:val="002177F6"/>
    <w:rsid w:val="00217811"/>
    <w:rsid w:val="0021781C"/>
    <w:rsid w:val="0021782C"/>
    <w:rsid w:val="00217864"/>
    <w:rsid w:val="00217944"/>
    <w:rsid w:val="0021794F"/>
    <w:rsid w:val="0021795E"/>
    <w:rsid w:val="00217963"/>
    <w:rsid w:val="0021796E"/>
    <w:rsid w:val="00217AA3"/>
    <w:rsid w:val="00217B72"/>
    <w:rsid w:val="00217BD7"/>
    <w:rsid w:val="00217BE6"/>
    <w:rsid w:val="00217BED"/>
    <w:rsid w:val="00217C80"/>
    <w:rsid w:val="00217CA5"/>
    <w:rsid w:val="00217CD1"/>
    <w:rsid w:val="00217DF0"/>
    <w:rsid w:val="00217EF4"/>
    <w:rsid w:val="00217F15"/>
    <w:rsid w:val="002200C7"/>
    <w:rsid w:val="002200D4"/>
    <w:rsid w:val="002200D8"/>
    <w:rsid w:val="00220104"/>
    <w:rsid w:val="002201B0"/>
    <w:rsid w:val="0022023B"/>
    <w:rsid w:val="0022024B"/>
    <w:rsid w:val="0022025C"/>
    <w:rsid w:val="0022035A"/>
    <w:rsid w:val="00220387"/>
    <w:rsid w:val="002203DA"/>
    <w:rsid w:val="002203DB"/>
    <w:rsid w:val="002204AE"/>
    <w:rsid w:val="002204F5"/>
    <w:rsid w:val="00220593"/>
    <w:rsid w:val="00220596"/>
    <w:rsid w:val="002205D6"/>
    <w:rsid w:val="00220600"/>
    <w:rsid w:val="00220605"/>
    <w:rsid w:val="002206CA"/>
    <w:rsid w:val="002207CC"/>
    <w:rsid w:val="002207EE"/>
    <w:rsid w:val="0022086A"/>
    <w:rsid w:val="002208E4"/>
    <w:rsid w:val="002208FD"/>
    <w:rsid w:val="0022093D"/>
    <w:rsid w:val="00220973"/>
    <w:rsid w:val="00220A7A"/>
    <w:rsid w:val="00220B70"/>
    <w:rsid w:val="00220B92"/>
    <w:rsid w:val="00220BEF"/>
    <w:rsid w:val="00220CA2"/>
    <w:rsid w:val="00220CAD"/>
    <w:rsid w:val="00220CF1"/>
    <w:rsid w:val="00220D2F"/>
    <w:rsid w:val="00220DE7"/>
    <w:rsid w:val="00220F09"/>
    <w:rsid w:val="00220F4B"/>
    <w:rsid w:val="00220FD9"/>
    <w:rsid w:val="00221036"/>
    <w:rsid w:val="0022114F"/>
    <w:rsid w:val="00221170"/>
    <w:rsid w:val="002211EE"/>
    <w:rsid w:val="00221240"/>
    <w:rsid w:val="00221383"/>
    <w:rsid w:val="00221464"/>
    <w:rsid w:val="0022147F"/>
    <w:rsid w:val="002214E5"/>
    <w:rsid w:val="0022154D"/>
    <w:rsid w:val="002216E7"/>
    <w:rsid w:val="002217A8"/>
    <w:rsid w:val="0022180D"/>
    <w:rsid w:val="00221939"/>
    <w:rsid w:val="0022199F"/>
    <w:rsid w:val="00221A70"/>
    <w:rsid w:val="00221B09"/>
    <w:rsid w:val="00221C75"/>
    <w:rsid w:val="00221D9D"/>
    <w:rsid w:val="00221F38"/>
    <w:rsid w:val="00221F41"/>
    <w:rsid w:val="00221F60"/>
    <w:rsid w:val="00221FA7"/>
    <w:rsid w:val="00221FBB"/>
    <w:rsid w:val="002220CD"/>
    <w:rsid w:val="002221FC"/>
    <w:rsid w:val="00222297"/>
    <w:rsid w:val="002223AB"/>
    <w:rsid w:val="0022240C"/>
    <w:rsid w:val="00222434"/>
    <w:rsid w:val="00222456"/>
    <w:rsid w:val="00222461"/>
    <w:rsid w:val="002224F1"/>
    <w:rsid w:val="00222519"/>
    <w:rsid w:val="0022253A"/>
    <w:rsid w:val="0022255E"/>
    <w:rsid w:val="002225BD"/>
    <w:rsid w:val="00222642"/>
    <w:rsid w:val="002226A0"/>
    <w:rsid w:val="0022274F"/>
    <w:rsid w:val="00222751"/>
    <w:rsid w:val="00222762"/>
    <w:rsid w:val="00222773"/>
    <w:rsid w:val="002227C6"/>
    <w:rsid w:val="00222815"/>
    <w:rsid w:val="00222897"/>
    <w:rsid w:val="0022289A"/>
    <w:rsid w:val="002228AC"/>
    <w:rsid w:val="002228BD"/>
    <w:rsid w:val="002228E7"/>
    <w:rsid w:val="002228FC"/>
    <w:rsid w:val="00222962"/>
    <w:rsid w:val="00222983"/>
    <w:rsid w:val="002229E5"/>
    <w:rsid w:val="00222A0E"/>
    <w:rsid w:val="00222A29"/>
    <w:rsid w:val="00222A34"/>
    <w:rsid w:val="00222AD1"/>
    <w:rsid w:val="00222AFD"/>
    <w:rsid w:val="00222B1A"/>
    <w:rsid w:val="00222B61"/>
    <w:rsid w:val="00222B9C"/>
    <w:rsid w:val="00222C28"/>
    <w:rsid w:val="00222C72"/>
    <w:rsid w:val="00222D45"/>
    <w:rsid w:val="00222D6F"/>
    <w:rsid w:val="00222D8B"/>
    <w:rsid w:val="00222DC0"/>
    <w:rsid w:val="00222EB3"/>
    <w:rsid w:val="00222EB8"/>
    <w:rsid w:val="00222EC6"/>
    <w:rsid w:val="00222F6E"/>
    <w:rsid w:val="002230CC"/>
    <w:rsid w:val="00223206"/>
    <w:rsid w:val="00223223"/>
    <w:rsid w:val="0022323B"/>
    <w:rsid w:val="0022327F"/>
    <w:rsid w:val="0022329B"/>
    <w:rsid w:val="002232B5"/>
    <w:rsid w:val="002232CB"/>
    <w:rsid w:val="002233C3"/>
    <w:rsid w:val="00223520"/>
    <w:rsid w:val="00223533"/>
    <w:rsid w:val="0022353F"/>
    <w:rsid w:val="002235D7"/>
    <w:rsid w:val="00223623"/>
    <w:rsid w:val="0022363A"/>
    <w:rsid w:val="00223655"/>
    <w:rsid w:val="00223664"/>
    <w:rsid w:val="00223692"/>
    <w:rsid w:val="00223714"/>
    <w:rsid w:val="00223902"/>
    <w:rsid w:val="002239CD"/>
    <w:rsid w:val="002239E1"/>
    <w:rsid w:val="00223A56"/>
    <w:rsid w:val="00223A7F"/>
    <w:rsid w:val="00223B30"/>
    <w:rsid w:val="00223BB2"/>
    <w:rsid w:val="00223BF5"/>
    <w:rsid w:val="00223C1D"/>
    <w:rsid w:val="00223C4F"/>
    <w:rsid w:val="00223CB4"/>
    <w:rsid w:val="00223D63"/>
    <w:rsid w:val="00223D81"/>
    <w:rsid w:val="00223E38"/>
    <w:rsid w:val="00223E46"/>
    <w:rsid w:val="00223E79"/>
    <w:rsid w:val="00223EC4"/>
    <w:rsid w:val="00223F1C"/>
    <w:rsid w:val="00223F73"/>
    <w:rsid w:val="00223FB3"/>
    <w:rsid w:val="00223FD5"/>
    <w:rsid w:val="0022407F"/>
    <w:rsid w:val="0022409F"/>
    <w:rsid w:val="002240B6"/>
    <w:rsid w:val="002240E7"/>
    <w:rsid w:val="002240EC"/>
    <w:rsid w:val="002240F9"/>
    <w:rsid w:val="0022416C"/>
    <w:rsid w:val="00224234"/>
    <w:rsid w:val="002242A8"/>
    <w:rsid w:val="002242D2"/>
    <w:rsid w:val="00224306"/>
    <w:rsid w:val="0022434E"/>
    <w:rsid w:val="00224433"/>
    <w:rsid w:val="00224455"/>
    <w:rsid w:val="002244DB"/>
    <w:rsid w:val="002244F9"/>
    <w:rsid w:val="00224554"/>
    <w:rsid w:val="00224557"/>
    <w:rsid w:val="00224569"/>
    <w:rsid w:val="0022459E"/>
    <w:rsid w:val="002245BC"/>
    <w:rsid w:val="002245F2"/>
    <w:rsid w:val="00224665"/>
    <w:rsid w:val="0022468A"/>
    <w:rsid w:val="002246B9"/>
    <w:rsid w:val="00224738"/>
    <w:rsid w:val="002248D3"/>
    <w:rsid w:val="002248DE"/>
    <w:rsid w:val="00224928"/>
    <w:rsid w:val="00224A37"/>
    <w:rsid w:val="00224A99"/>
    <w:rsid w:val="00224AA9"/>
    <w:rsid w:val="00224AF4"/>
    <w:rsid w:val="00224B70"/>
    <w:rsid w:val="00224C87"/>
    <w:rsid w:val="00224CF3"/>
    <w:rsid w:val="00224D44"/>
    <w:rsid w:val="00224D47"/>
    <w:rsid w:val="00224D6B"/>
    <w:rsid w:val="00224DD8"/>
    <w:rsid w:val="00224DE9"/>
    <w:rsid w:val="00224ED1"/>
    <w:rsid w:val="00224EE4"/>
    <w:rsid w:val="00224F08"/>
    <w:rsid w:val="00224F5B"/>
    <w:rsid w:val="00224F5C"/>
    <w:rsid w:val="00224FA1"/>
    <w:rsid w:val="00224FF8"/>
    <w:rsid w:val="0022509E"/>
    <w:rsid w:val="00225156"/>
    <w:rsid w:val="002251E6"/>
    <w:rsid w:val="002251F3"/>
    <w:rsid w:val="0022532C"/>
    <w:rsid w:val="0022538F"/>
    <w:rsid w:val="00225439"/>
    <w:rsid w:val="002254A2"/>
    <w:rsid w:val="002254DD"/>
    <w:rsid w:val="00225501"/>
    <w:rsid w:val="002255AA"/>
    <w:rsid w:val="002255EE"/>
    <w:rsid w:val="002256C5"/>
    <w:rsid w:val="00225759"/>
    <w:rsid w:val="0022576A"/>
    <w:rsid w:val="0022579B"/>
    <w:rsid w:val="00225833"/>
    <w:rsid w:val="00225889"/>
    <w:rsid w:val="00225909"/>
    <w:rsid w:val="00225913"/>
    <w:rsid w:val="002259C3"/>
    <w:rsid w:val="00225A8C"/>
    <w:rsid w:val="00225B1C"/>
    <w:rsid w:val="00225BD6"/>
    <w:rsid w:val="00225C00"/>
    <w:rsid w:val="00225EB4"/>
    <w:rsid w:val="00225EEA"/>
    <w:rsid w:val="00225EF6"/>
    <w:rsid w:val="00225F20"/>
    <w:rsid w:val="00225F85"/>
    <w:rsid w:val="00225FB3"/>
    <w:rsid w:val="00226031"/>
    <w:rsid w:val="00226065"/>
    <w:rsid w:val="00226081"/>
    <w:rsid w:val="00226095"/>
    <w:rsid w:val="002261F1"/>
    <w:rsid w:val="0022620A"/>
    <w:rsid w:val="0022622D"/>
    <w:rsid w:val="0022629E"/>
    <w:rsid w:val="002263C7"/>
    <w:rsid w:val="002264B2"/>
    <w:rsid w:val="00226567"/>
    <w:rsid w:val="0022659F"/>
    <w:rsid w:val="002265E9"/>
    <w:rsid w:val="002265F7"/>
    <w:rsid w:val="00226678"/>
    <w:rsid w:val="0022668C"/>
    <w:rsid w:val="0022675C"/>
    <w:rsid w:val="002267EF"/>
    <w:rsid w:val="0022681D"/>
    <w:rsid w:val="002268AC"/>
    <w:rsid w:val="00226A1F"/>
    <w:rsid w:val="00226AA4"/>
    <w:rsid w:val="00226B0E"/>
    <w:rsid w:val="00226B10"/>
    <w:rsid w:val="00226B38"/>
    <w:rsid w:val="00226B69"/>
    <w:rsid w:val="00226B79"/>
    <w:rsid w:val="00226BC6"/>
    <w:rsid w:val="00226BCF"/>
    <w:rsid w:val="00226C61"/>
    <w:rsid w:val="00226CD8"/>
    <w:rsid w:val="00226D40"/>
    <w:rsid w:val="00226D91"/>
    <w:rsid w:val="00226E06"/>
    <w:rsid w:val="00226E0A"/>
    <w:rsid w:val="00226E58"/>
    <w:rsid w:val="00226E85"/>
    <w:rsid w:val="00226F6C"/>
    <w:rsid w:val="00226F85"/>
    <w:rsid w:val="00226F97"/>
    <w:rsid w:val="00226FFF"/>
    <w:rsid w:val="00227019"/>
    <w:rsid w:val="0022701F"/>
    <w:rsid w:val="00227030"/>
    <w:rsid w:val="00227040"/>
    <w:rsid w:val="002271A9"/>
    <w:rsid w:val="002271B3"/>
    <w:rsid w:val="002271E9"/>
    <w:rsid w:val="0022723C"/>
    <w:rsid w:val="002272BC"/>
    <w:rsid w:val="002272EB"/>
    <w:rsid w:val="002273BE"/>
    <w:rsid w:val="0022740C"/>
    <w:rsid w:val="002274C7"/>
    <w:rsid w:val="00227508"/>
    <w:rsid w:val="0022752F"/>
    <w:rsid w:val="0022756C"/>
    <w:rsid w:val="002275B8"/>
    <w:rsid w:val="002275E5"/>
    <w:rsid w:val="002275EE"/>
    <w:rsid w:val="00227662"/>
    <w:rsid w:val="002276A4"/>
    <w:rsid w:val="002276BF"/>
    <w:rsid w:val="0022776C"/>
    <w:rsid w:val="00227778"/>
    <w:rsid w:val="00227779"/>
    <w:rsid w:val="00227829"/>
    <w:rsid w:val="002278F0"/>
    <w:rsid w:val="00227909"/>
    <w:rsid w:val="002279C5"/>
    <w:rsid w:val="002279DE"/>
    <w:rsid w:val="00227A34"/>
    <w:rsid w:val="00227AA8"/>
    <w:rsid w:val="00227B89"/>
    <w:rsid w:val="00227C5D"/>
    <w:rsid w:val="00227E55"/>
    <w:rsid w:val="00227E69"/>
    <w:rsid w:val="00227EEF"/>
    <w:rsid w:val="00227F43"/>
    <w:rsid w:val="00227F5D"/>
    <w:rsid w:val="00227F65"/>
    <w:rsid w:val="00227F82"/>
    <w:rsid w:val="00230027"/>
    <w:rsid w:val="00230048"/>
    <w:rsid w:val="002300D6"/>
    <w:rsid w:val="00230121"/>
    <w:rsid w:val="0023017B"/>
    <w:rsid w:val="002301C6"/>
    <w:rsid w:val="002301DE"/>
    <w:rsid w:val="002301EC"/>
    <w:rsid w:val="00230237"/>
    <w:rsid w:val="00230273"/>
    <w:rsid w:val="002302A2"/>
    <w:rsid w:val="002302BF"/>
    <w:rsid w:val="00230311"/>
    <w:rsid w:val="002303EA"/>
    <w:rsid w:val="002304BD"/>
    <w:rsid w:val="002304E1"/>
    <w:rsid w:val="00230515"/>
    <w:rsid w:val="002305A9"/>
    <w:rsid w:val="0023061A"/>
    <w:rsid w:val="002306AA"/>
    <w:rsid w:val="002306EE"/>
    <w:rsid w:val="002307D0"/>
    <w:rsid w:val="002307D3"/>
    <w:rsid w:val="0023087B"/>
    <w:rsid w:val="00230956"/>
    <w:rsid w:val="00230A2C"/>
    <w:rsid w:val="00230A40"/>
    <w:rsid w:val="00230A46"/>
    <w:rsid w:val="00230BAD"/>
    <w:rsid w:val="00230C2A"/>
    <w:rsid w:val="00230C2E"/>
    <w:rsid w:val="00230C90"/>
    <w:rsid w:val="00230C9B"/>
    <w:rsid w:val="00230CAD"/>
    <w:rsid w:val="00230D81"/>
    <w:rsid w:val="00230E1A"/>
    <w:rsid w:val="00230E1B"/>
    <w:rsid w:val="00230E8E"/>
    <w:rsid w:val="00230F33"/>
    <w:rsid w:val="00230F61"/>
    <w:rsid w:val="0023101C"/>
    <w:rsid w:val="00231031"/>
    <w:rsid w:val="00231035"/>
    <w:rsid w:val="0023111A"/>
    <w:rsid w:val="00231121"/>
    <w:rsid w:val="00231170"/>
    <w:rsid w:val="002311F9"/>
    <w:rsid w:val="002311FA"/>
    <w:rsid w:val="0023121F"/>
    <w:rsid w:val="00231235"/>
    <w:rsid w:val="002312E3"/>
    <w:rsid w:val="002312FA"/>
    <w:rsid w:val="00231376"/>
    <w:rsid w:val="0023156F"/>
    <w:rsid w:val="002315FA"/>
    <w:rsid w:val="002316DA"/>
    <w:rsid w:val="002316FF"/>
    <w:rsid w:val="00231737"/>
    <w:rsid w:val="0023177E"/>
    <w:rsid w:val="0023179C"/>
    <w:rsid w:val="002317D7"/>
    <w:rsid w:val="002317F6"/>
    <w:rsid w:val="00231823"/>
    <w:rsid w:val="00231862"/>
    <w:rsid w:val="00231936"/>
    <w:rsid w:val="00231949"/>
    <w:rsid w:val="0023194B"/>
    <w:rsid w:val="00231B4F"/>
    <w:rsid w:val="00231B94"/>
    <w:rsid w:val="00231BFE"/>
    <w:rsid w:val="00231C5B"/>
    <w:rsid w:val="00231CD4"/>
    <w:rsid w:val="00231D66"/>
    <w:rsid w:val="00231D95"/>
    <w:rsid w:val="00231E2F"/>
    <w:rsid w:val="00231E54"/>
    <w:rsid w:val="00231E62"/>
    <w:rsid w:val="00231EF8"/>
    <w:rsid w:val="00231F86"/>
    <w:rsid w:val="00231FAA"/>
    <w:rsid w:val="00231FC2"/>
    <w:rsid w:val="00231FF7"/>
    <w:rsid w:val="00232037"/>
    <w:rsid w:val="0023203B"/>
    <w:rsid w:val="00232048"/>
    <w:rsid w:val="00232070"/>
    <w:rsid w:val="00232079"/>
    <w:rsid w:val="00232099"/>
    <w:rsid w:val="00232149"/>
    <w:rsid w:val="00232191"/>
    <w:rsid w:val="002321CE"/>
    <w:rsid w:val="002321D2"/>
    <w:rsid w:val="002322CC"/>
    <w:rsid w:val="002323A2"/>
    <w:rsid w:val="002323C8"/>
    <w:rsid w:val="00232426"/>
    <w:rsid w:val="00232457"/>
    <w:rsid w:val="002324CE"/>
    <w:rsid w:val="0023255F"/>
    <w:rsid w:val="00232564"/>
    <w:rsid w:val="0023259B"/>
    <w:rsid w:val="002326A1"/>
    <w:rsid w:val="00232746"/>
    <w:rsid w:val="002327CD"/>
    <w:rsid w:val="00232856"/>
    <w:rsid w:val="0023286C"/>
    <w:rsid w:val="002328B5"/>
    <w:rsid w:val="002328D2"/>
    <w:rsid w:val="002328E4"/>
    <w:rsid w:val="00232953"/>
    <w:rsid w:val="002329E2"/>
    <w:rsid w:val="00232A43"/>
    <w:rsid w:val="00232B9B"/>
    <w:rsid w:val="00232BE1"/>
    <w:rsid w:val="00232C3A"/>
    <w:rsid w:val="00232C51"/>
    <w:rsid w:val="00232C83"/>
    <w:rsid w:val="00232D29"/>
    <w:rsid w:val="00232D74"/>
    <w:rsid w:val="00232DA0"/>
    <w:rsid w:val="00232E32"/>
    <w:rsid w:val="00232E3C"/>
    <w:rsid w:val="00232F66"/>
    <w:rsid w:val="00232FC9"/>
    <w:rsid w:val="0023304E"/>
    <w:rsid w:val="002330A3"/>
    <w:rsid w:val="00233319"/>
    <w:rsid w:val="0023332D"/>
    <w:rsid w:val="00233340"/>
    <w:rsid w:val="00233344"/>
    <w:rsid w:val="002333C4"/>
    <w:rsid w:val="002333E8"/>
    <w:rsid w:val="00233481"/>
    <w:rsid w:val="002334B3"/>
    <w:rsid w:val="0023355E"/>
    <w:rsid w:val="002335E0"/>
    <w:rsid w:val="00233649"/>
    <w:rsid w:val="002336B9"/>
    <w:rsid w:val="002336C4"/>
    <w:rsid w:val="00233742"/>
    <w:rsid w:val="002338A7"/>
    <w:rsid w:val="00233949"/>
    <w:rsid w:val="00233969"/>
    <w:rsid w:val="00233970"/>
    <w:rsid w:val="002339A0"/>
    <w:rsid w:val="002339A2"/>
    <w:rsid w:val="002339BE"/>
    <w:rsid w:val="00233A12"/>
    <w:rsid w:val="00233A2E"/>
    <w:rsid w:val="00233A6D"/>
    <w:rsid w:val="00233AF6"/>
    <w:rsid w:val="00233B27"/>
    <w:rsid w:val="00233B83"/>
    <w:rsid w:val="00233B9C"/>
    <w:rsid w:val="00233BE6"/>
    <w:rsid w:val="00233CB7"/>
    <w:rsid w:val="00233D88"/>
    <w:rsid w:val="00234030"/>
    <w:rsid w:val="00234043"/>
    <w:rsid w:val="00234098"/>
    <w:rsid w:val="002340A6"/>
    <w:rsid w:val="00234188"/>
    <w:rsid w:val="00234193"/>
    <w:rsid w:val="00234263"/>
    <w:rsid w:val="00234299"/>
    <w:rsid w:val="002342A4"/>
    <w:rsid w:val="00234323"/>
    <w:rsid w:val="00234396"/>
    <w:rsid w:val="002343E3"/>
    <w:rsid w:val="002344B2"/>
    <w:rsid w:val="002345E1"/>
    <w:rsid w:val="00234640"/>
    <w:rsid w:val="002346F2"/>
    <w:rsid w:val="00234709"/>
    <w:rsid w:val="0023478A"/>
    <w:rsid w:val="0023479A"/>
    <w:rsid w:val="002347AC"/>
    <w:rsid w:val="002347E0"/>
    <w:rsid w:val="0023480B"/>
    <w:rsid w:val="00234841"/>
    <w:rsid w:val="00234846"/>
    <w:rsid w:val="00234948"/>
    <w:rsid w:val="00234A28"/>
    <w:rsid w:val="00234A4D"/>
    <w:rsid w:val="00234A9A"/>
    <w:rsid w:val="00234B00"/>
    <w:rsid w:val="00234B6A"/>
    <w:rsid w:val="00234B87"/>
    <w:rsid w:val="00234B98"/>
    <w:rsid w:val="00234BBB"/>
    <w:rsid w:val="00234BD2"/>
    <w:rsid w:val="00234C1C"/>
    <w:rsid w:val="00234C65"/>
    <w:rsid w:val="00234D70"/>
    <w:rsid w:val="00234E2B"/>
    <w:rsid w:val="00234E31"/>
    <w:rsid w:val="00234E8B"/>
    <w:rsid w:val="00234E8F"/>
    <w:rsid w:val="00234EAC"/>
    <w:rsid w:val="00234F13"/>
    <w:rsid w:val="00234F44"/>
    <w:rsid w:val="0023506C"/>
    <w:rsid w:val="0023508E"/>
    <w:rsid w:val="002350BF"/>
    <w:rsid w:val="002350F5"/>
    <w:rsid w:val="0023515D"/>
    <w:rsid w:val="00235173"/>
    <w:rsid w:val="0023518D"/>
    <w:rsid w:val="002352BD"/>
    <w:rsid w:val="00235374"/>
    <w:rsid w:val="002353BC"/>
    <w:rsid w:val="0023544F"/>
    <w:rsid w:val="0023545D"/>
    <w:rsid w:val="00235474"/>
    <w:rsid w:val="00235479"/>
    <w:rsid w:val="00235494"/>
    <w:rsid w:val="0023549E"/>
    <w:rsid w:val="002354CB"/>
    <w:rsid w:val="0023550C"/>
    <w:rsid w:val="002355A4"/>
    <w:rsid w:val="0023562A"/>
    <w:rsid w:val="0023563B"/>
    <w:rsid w:val="00235693"/>
    <w:rsid w:val="00235706"/>
    <w:rsid w:val="00235721"/>
    <w:rsid w:val="0023575C"/>
    <w:rsid w:val="0023583E"/>
    <w:rsid w:val="0023584B"/>
    <w:rsid w:val="0023585D"/>
    <w:rsid w:val="002358B5"/>
    <w:rsid w:val="002358C4"/>
    <w:rsid w:val="00235971"/>
    <w:rsid w:val="002359AD"/>
    <w:rsid w:val="00235AC6"/>
    <w:rsid w:val="00235AF4"/>
    <w:rsid w:val="00235B44"/>
    <w:rsid w:val="00235B96"/>
    <w:rsid w:val="00235BC4"/>
    <w:rsid w:val="00235C20"/>
    <w:rsid w:val="00235C36"/>
    <w:rsid w:val="00235CC3"/>
    <w:rsid w:val="00235CF0"/>
    <w:rsid w:val="00235CFF"/>
    <w:rsid w:val="00235D5F"/>
    <w:rsid w:val="00235DBF"/>
    <w:rsid w:val="00235DC9"/>
    <w:rsid w:val="00235E06"/>
    <w:rsid w:val="0023601F"/>
    <w:rsid w:val="00236050"/>
    <w:rsid w:val="0023606A"/>
    <w:rsid w:val="00236155"/>
    <w:rsid w:val="00236196"/>
    <w:rsid w:val="002362B0"/>
    <w:rsid w:val="002363A0"/>
    <w:rsid w:val="00236410"/>
    <w:rsid w:val="00236453"/>
    <w:rsid w:val="00236458"/>
    <w:rsid w:val="002364C9"/>
    <w:rsid w:val="002364EE"/>
    <w:rsid w:val="0023650C"/>
    <w:rsid w:val="0023654B"/>
    <w:rsid w:val="0023663B"/>
    <w:rsid w:val="00236752"/>
    <w:rsid w:val="002367A3"/>
    <w:rsid w:val="00236889"/>
    <w:rsid w:val="00236942"/>
    <w:rsid w:val="00236A01"/>
    <w:rsid w:val="00236A81"/>
    <w:rsid w:val="00236B2D"/>
    <w:rsid w:val="00236B43"/>
    <w:rsid w:val="00236B4F"/>
    <w:rsid w:val="00236BE2"/>
    <w:rsid w:val="00236BFC"/>
    <w:rsid w:val="00236C02"/>
    <w:rsid w:val="00236C48"/>
    <w:rsid w:val="00236CE2"/>
    <w:rsid w:val="00236D65"/>
    <w:rsid w:val="00236D7F"/>
    <w:rsid w:val="00236D94"/>
    <w:rsid w:val="00236DE6"/>
    <w:rsid w:val="00236DF3"/>
    <w:rsid w:val="00236E03"/>
    <w:rsid w:val="00236E6F"/>
    <w:rsid w:val="00236E7C"/>
    <w:rsid w:val="00236E94"/>
    <w:rsid w:val="00236EA3"/>
    <w:rsid w:val="00236ECC"/>
    <w:rsid w:val="00236EF3"/>
    <w:rsid w:val="00236F23"/>
    <w:rsid w:val="00236F30"/>
    <w:rsid w:val="00236F37"/>
    <w:rsid w:val="00236F61"/>
    <w:rsid w:val="00236FBF"/>
    <w:rsid w:val="0023701F"/>
    <w:rsid w:val="0023702C"/>
    <w:rsid w:val="00237067"/>
    <w:rsid w:val="00237075"/>
    <w:rsid w:val="002370B1"/>
    <w:rsid w:val="0023711F"/>
    <w:rsid w:val="002371AC"/>
    <w:rsid w:val="002371C3"/>
    <w:rsid w:val="00237210"/>
    <w:rsid w:val="002372FE"/>
    <w:rsid w:val="0023736F"/>
    <w:rsid w:val="002374A6"/>
    <w:rsid w:val="002374C2"/>
    <w:rsid w:val="002374F5"/>
    <w:rsid w:val="002374F6"/>
    <w:rsid w:val="0023754B"/>
    <w:rsid w:val="00237570"/>
    <w:rsid w:val="0023758C"/>
    <w:rsid w:val="002376AF"/>
    <w:rsid w:val="00237719"/>
    <w:rsid w:val="00237726"/>
    <w:rsid w:val="002377E9"/>
    <w:rsid w:val="00237822"/>
    <w:rsid w:val="00237842"/>
    <w:rsid w:val="0023788F"/>
    <w:rsid w:val="00237940"/>
    <w:rsid w:val="00237971"/>
    <w:rsid w:val="00237972"/>
    <w:rsid w:val="002379CA"/>
    <w:rsid w:val="00237A32"/>
    <w:rsid w:val="00237A8B"/>
    <w:rsid w:val="00237AB6"/>
    <w:rsid w:val="00237AC3"/>
    <w:rsid w:val="00237AC4"/>
    <w:rsid w:val="00237AD4"/>
    <w:rsid w:val="00237B28"/>
    <w:rsid w:val="00237B46"/>
    <w:rsid w:val="00237C09"/>
    <w:rsid w:val="00237C68"/>
    <w:rsid w:val="00237CC4"/>
    <w:rsid w:val="00237CD1"/>
    <w:rsid w:val="00237CF5"/>
    <w:rsid w:val="00237DA4"/>
    <w:rsid w:val="00237DC8"/>
    <w:rsid w:val="00237E19"/>
    <w:rsid w:val="00237EA6"/>
    <w:rsid w:val="00237EC0"/>
    <w:rsid w:val="00237F29"/>
    <w:rsid w:val="00237FB8"/>
    <w:rsid w:val="0024002C"/>
    <w:rsid w:val="00240106"/>
    <w:rsid w:val="00240170"/>
    <w:rsid w:val="002401DB"/>
    <w:rsid w:val="002401F9"/>
    <w:rsid w:val="00240269"/>
    <w:rsid w:val="00240301"/>
    <w:rsid w:val="0024032B"/>
    <w:rsid w:val="0024032C"/>
    <w:rsid w:val="00240355"/>
    <w:rsid w:val="0024038C"/>
    <w:rsid w:val="002403A6"/>
    <w:rsid w:val="00240457"/>
    <w:rsid w:val="0024052E"/>
    <w:rsid w:val="0024053F"/>
    <w:rsid w:val="0024055D"/>
    <w:rsid w:val="00240592"/>
    <w:rsid w:val="00240699"/>
    <w:rsid w:val="002406C5"/>
    <w:rsid w:val="0024075E"/>
    <w:rsid w:val="00240789"/>
    <w:rsid w:val="002407D1"/>
    <w:rsid w:val="00240818"/>
    <w:rsid w:val="0024087B"/>
    <w:rsid w:val="0024089E"/>
    <w:rsid w:val="00240991"/>
    <w:rsid w:val="00240A56"/>
    <w:rsid w:val="00240B11"/>
    <w:rsid w:val="00240B27"/>
    <w:rsid w:val="00240B81"/>
    <w:rsid w:val="00240D4F"/>
    <w:rsid w:val="00240D71"/>
    <w:rsid w:val="00240DC7"/>
    <w:rsid w:val="00240E79"/>
    <w:rsid w:val="00240ED1"/>
    <w:rsid w:val="00240F61"/>
    <w:rsid w:val="00240F71"/>
    <w:rsid w:val="00240FAA"/>
    <w:rsid w:val="00240FDE"/>
    <w:rsid w:val="0024113D"/>
    <w:rsid w:val="0024118D"/>
    <w:rsid w:val="002411C7"/>
    <w:rsid w:val="0024121F"/>
    <w:rsid w:val="002412A0"/>
    <w:rsid w:val="0024130A"/>
    <w:rsid w:val="0024137E"/>
    <w:rsid w:val="0024144D"/>
    <w:rsid w:val="00241560"/>
    <w:rsid w:val="0024158E"/>
    <w:rsid w:val="002415E1"/>
    <w:rsid w:val="00241622"/>
    <w:rsid w:val="00241625"/>
    <w:rsid w:val="002416F3"/>
    <w:rsid w:val="00241788"/>
    <w:rsid w:val="002418D1"/>
    <w:rsid w:val="00241912"/>
    <w:rsid w:val="00241975"/>
    <w:rsid w:val="002419E4"/>
    <w:rsid w:val="002419E9"/>
    <w:rsid w:val="002419FB"/>
    <w:rsid w:val="002419FF"/>
    <w:rsid w:val="00241A07"/>
    <w:rsid w:val="00241B1F"/>
    <w:rsid w:val="00241BA9"/>
    <w:rsid w:val="00241C18"/>
    <w:rsid w:val="00241C38"/>
    <w:rsid w:val="00241C98"/>
    <w:rsid w:val="00241CAB"/>
    <w:rsid w:val="00241CE6"/>
    <w:rsid w:val="00241D61"/>
    <w:rsid w:val="00241E58"/>
    <w:rsid w:val="00241E7F"/>
    <w:rsid w:val="00241F27"/>
    <w:rsid w:val="00241F6A"/>
    <w:rsid w:val="00241F81"/>
    <w:rsid w:val="00242029"/>
    <w:rsid w:val="002420E0"/>
    <w:rsid w:val="00242144"/>
    <w:rsid w:val="00242147"/>
    <w:rsid w:val="002421BC"/>
    <w:rsid w:val="00242256"/>
    <w:rsid w:val="00242257"/>
    <w:rsid w:val="002422D0"/>
    <w:rsid w:val="002422DE"/>
    <w:rsid w:val="00242353"/>
    <w:rsid w:val="00242367"/>
    <w:rsid w:val="002423B5"/>
    <w:rsid w:val="002423C0"/>
    <w:rsid w:val="002424E6"/>
    <w:rsid w:val="00242500"/>
    <w:rsid w:val="0024254B"/>
    <w:rsid w:val="0024254E"/>
    <w:rsid w:val="002425C8"/>
    <w:rsid w:val="0024261F"/>
    <w:rsid w:val="0024268A"/>
    <w:rsid w:val="0024273D"/>
    <w:rsid w:val="002427B2"/>
    <w:rsid w:val="00242885"/>
    <w:rsid w:val="00242936"/>
    <w:rsid w:val="00242948"/>
    <w:rsid w:val="00242B19"/>
    <w:rsid w:val="00242C0B"/>
    <w:rsid w:val="00242C0D"/>
    <w:rsid w:val="00242C0F"/>
    <w:rsid w:val="00242E33"/>
    <w:rsid w:val="00242F2D"/>
    <w:rsid w:val="00242F38"/>
    <w:rsid w:val="00242F4E"/>
    <w:rsid w:val="00242FE7"/>
    <w:rsid w:val="0024302D"/>
    <w:rsid w:val="0024310F"/>
    <w:rsid w:val="00243143"/>
    <w:rsid w:val="0024324A"/>
    <w:rsid w:val="0024332A"/>
    <w:rsid w:val="0024337B"/>
    <w:rsid w:val="00243397"/>
    <w:rsid w:val="0024343F"/>
    <w:rsid w:val="002434A1"/>
    <w:rsid w:val="00243514"/>
    <w:rsid w:val="00243530"/>
    <w:rsid w:val="00243579"/>
    <w:rsid w:val="002435E3"/>
    <w:rsid w:val="00243674"/>
    <w:rsid w:val="002436A6"/>
    <w:rsid w:val="002436B2"/>
    <w:rsid w:val="002436F9"/>
    <w:rsid w:val="0024377A"/>
    <w:rsid w:val="0024380D"/>
    <w:rsid w:val="002438E3"/>
    <w:rsid w:val="00243931"/>
    <w:rsid w:val="00243960"/>
    <w:rsid w:val="00243968"/>
    <w:rsid w:val="00243A7E"/>
    <w:rsid w:val="00243A8D"/>
    <w:rsid w:val="00243ACA"/>
    <w:rsid w:val="00243B97"/>
    <w:rsid w:val="00243B9A"/>
    <w:rsid w:val="00243BA8"/>
    <w:rsid w:val="00243BC9"/>
    <w:rsid w:val="00243C71"/>
    <w:rsid w:val="00243CB4"/>
    <w:rsid w:val="00243D4B"/>
    <w:rsid w:val="00243D89"/>
    <w:rsid w:val="00243D8A"/>
    <w:rsid w:val="00243E25"/>
    <w:rsid w:val="00243E39"/>
    <w:rsid w:val="00243EF3"/>
    <w:rsid w:val="00243F30"/>
    <w:rsid w:val="00243F66"/>
    <w:rsid w:val="00243FD2"/>
    <w:rsid w:val="00244061"/>
    <w:rsid w:val="00244063"/>
    <w:rsid w:val="00244130"/>
    <w:rsid w:val="0024413E"/>
    <w:rsid w:val="00244189"/>
    <w:rsid w:val="002441A6"/>
    <w:rsid w:val="002441AB"/>
    <w:rsid w:val="002441AD"/>
    <w:rsid w:val="00244232"/>
    <w:rsid w:val="00244250"/>
    <w:rsid w:val="00244293"/>
    <w:rsid w:val="0024429B"/>
    <w:rsid w:val="002442AD"/>
    <w:rsid w:val="002442ED"/>
    <w:rsid w:val="00244302"/>
    <w:rsid w:val="00244358"/>
    <w:rsid w:val="002443A2"/>
    <w:rsid w:val="002443B9"/>
    <w:rsid w:val="00244524"/>
    <w:rsid w:val="0024456F"/>
    <w:rsid w:val="00244593"/>
    <w:rsid w:val="002445E1"/>
    <w:rsid w:val="00244629"/>
    <w:rsid w:val="00244637"/>
    <w:rsid w:val="00244645"/>
    <w:rsid w:val="00244754"/>
    <w:rsid w:val="002447A4"/>
    <w:rsid w:val="002447EC"/>
    <w:rsid w:val="00244813"/>
    <w:rsid w:val="00244871"/>
    <w:rsid w:val="00244882"/>
    <w:rsid w:val="00244883"/>
    <w:rsid w:val="00244998"/>
    <w:rsid w:val="00244C02"/>
    <w:rsid w:val="00244DCC"/>
    <w:rsid w:val="00244DE3"/>
    <w:rsid w:val="00244DED"/>
    <w:rsid w:val="00244F2B"/>
    <w:rsid w:val="002450E4"/>
    <w:rsid w:val="00245104"/>
    <w:rsid w:val="002451F5"/>
    <w:rsid w:val="002452A0"/>
    <w:rsid w:val="002452AC"/>
    <w:rsid w:val="002453BA"/>
    <w:rsid w:val="002453DB"/>
    <w:rsid w:val="002453EE"/>
    <w:rsid w:val="00245478"/>
    <w:rsid w:val="0024554D"/>
    <w:rsid w:val="00245566"/>
    <w:rsid w:val="00245575"/>
    <w:rsid w:val="00245664"/>
    <w:rsid w:val="00245733"/>
    <w:rsid w:val="002457F3"/>
    <w:rsid w:val="00245800"/>
    <w:rsid w:val="00245806"/>
    <w:rsid w:val="00245822"/>
    <w:rsid w:val="002458FE"/>
    <w:rsid w:val="00245981"/>
    <w:rsid w:val="002459A0"/>
    <w:rsid w:val="002459AB"/>
    <w:rsid w:val="002459B2"/>
    <w:rsid w:val="00245AC4"/>
    <w:rsid w:val="00245ADC"/>
    <w:rsid w:val="00245B16"/>
    <w:rsid w:val="00245B53"/>
    <w:rsid w:val="00245CDF"/>
    <w:rsid w:val="00245D38"/>
    <w:rsid w:val="00245D41"/>
    <w:rsid w:val="00245D51"/>
    <w:rsid w:val="00245D80"/>
    <w:rsid w:val="00245DC2"/>
    <w:rsid w:val="00245E6C"/>
    <w:rsid w:val="00245E7A"/>
    <w:rsid w:val="00245FAE"/>
    <w:rsid w:val="00246030"/>
    <w:rsid w:val="00246161"/>
    <w:rsid w:val="00246177"/>
    <w:rsid w:val="00246194"/>
    <w:rsid w:val="002462C9"/>
    <w:rsid w:val="002462D7"/>
    <w:rsid w:val="0024631A"/>
    <w:rsid w:val="002463A6"/>
    <w:rsid w:val="00246409"/>
    <w:rsid w:val="00246485"/>
    <w:rsid w:val="00246545"/>
    <w:rsid w:val="00246661"/>
    <w:rsid w:val="00246743"/>
    <w:rsid w:val="0024677D"/>
    <w:rsid w:val="00246804"/>
    <w:rsid w:val="00246828"/>
    <w:rsid w:val="0024695C"/>
    <w:rsid w:val="002469D3"/>
    <w:rsid w:val="002469DA"/>
    <w:rsid w:val="00246A42"/>
    <w:rsid w:val="00246A70"/>
    <w:rsid w:val="00246ADB"/>
    <w:rsid w:val="00246AFB"/>
    <w:rsid w:val="00246B6F"/>
    <w:rsid w:val="00246B86"/>
    <w:rsid w:val="00246BD1"/>
    <w:rsid w:val="00246C2C"/>
    <w:rsid w:val="00246CB0"/>
    <w:rsid w:val="00246CF4"/>
    <w:rsid w:val="00246D0F"/>
    <w:rsid w:val="00246D1B"/>
    <w:rsid w:val="00246D55"/>
    <w:rsid w:val="00246E39"/>
    <w:rsid w:val="00246EF9"/>
    <w:rsid w:val="00246FFF"/>
    <w:rsid w:val="00247014"/>
    <w:rsid w:val="00247078"/>
    <w:rsid w:val="002471AF"/>
    <w:rsid w:val="002471EF"/>
    <w:rsid w:val="002471FB"/>
    <w:rsid w:val="00247263"/>
    <w:rsid w:val="002473AB"/>
    <w:rsid w:val="002473B7"/>
    <w:rsid w:val="00247418"/>
    <w:rsid w:val="00247452"/>
    <w:rsid w:val="00247497"/>
    <w:rsid w:val="002474A0"/>
    <w:rsid w:val="00247586"/>
    <w:rsid w:val="002476BC"/>
    <w:rsid w:val="002476F6"/>
    <w:rsid w:val="002477B5"/>
    <w:rsid w:val="00247804"/>
    <w:rsid w:val="00247858"/>
    <w:rsid w:val="0024790C"/>
    <w:rsid w:val="0024791A"/>
    <w:rsid w:val="00247AF4"/>
    <w:rsid w:val="00247B00"/>
    <w:rsid w:val="00247BC8"/>
    <w:rsid w:val="00247BE7"/>
    <w:rsid w:val="00247C1A"/>
    <w:rsid w:val="00247C1C"/>
    <w:rsid w:val="00247D47"/>
    <w:rsid w:val="00247D84"/>
    <w:rsid w:val="00247DA4"/>
    <w:rsid w:val="00247DFC"/>
    <w:rsid w:val="00247EE3"/>
    <w:rsid w:val="00247F41"/>
    <w:rsid w:val="00247FC0"/>
    <w:rsid w:val="00250039"/>
    <w:rsid w:val="00250147"/>
    <w:rsid w:val="00250229"/>
    <w:rsid w:val="00250239"/>
    <w:rsid w:val="00250314"/>
    <w:rsid w:val="002503AF"/>
    <w:rsid w:val="002504BC"/>
    <w:rsid w:val="002504DA"/>
    <w:rsid w:val="00250544"/>
    <w:rsid w:val="0025060E"/>
    <w:rsid w:val="00250616"/>
    <w:rsid w:val="0025065C"/>
    <w:rsid w:val="0025067F"/>
    <w:rsid w:val="002506B2"/>
    <w:rsid w:val="002506B6"/>
    <w:rsid w:val="00250715"/>
    <w:rsid w:val="00250720"/>
    <w:rsid w:val="00250752"/>
    <w:rsid w:val="00250777"/>
    <w:rsid w:val="002507E7"/>
    <w:rsid w:val="002508D3"/>
    <w:rsid w:val="00250998"/>
    <w:rsid w:val="00250A37"/>
    <w:rsid w:val="00250A51"/>
    <w:rsid w:val="00250B0E"/>
    <w:rsid w:val="00250B29"/>
    <w:rsid w:val="00250D22"/>
    <w:rsid w:val="00250D34"/>
    <w:rsid w:val="00250D5A"/>
    <w:rsid w:val="00250DA2"/>
    <w:rsid w:val="00250DFD"/>
    <w:rsid w:val="00250E9D"/>
    <w:rsid w:val="00250EBF"/>
    <w:rsid w:val="00250EC9"/>
    <w:rsid w:val="00250ED4"/>
    <w:rsid w:val="00250EE3"/>
    <w:rsid w:val="00250EF3"/>
    <w:rsid w:val="00250FA6"/>
    <w:rsid w:val="0025102B"/>
    <w:rsid w:val="00251052"/>
    <w:rsid w:val="00251180"/>
    <w:rsid w:val="0025119C"/>
    <w:rsid w:val="002511B2"/>
    <w:rsid w:val="002511BB"/>
    <w:rsid w:val="0025125A"/>
    <w:rsid w:val="00251313"/>
    <w:rsid w:val="00251330"/>
    <w:rsid w:val="0025135D"/>
    <w:rsid w:val="002513EC"/>
    <w:rsid w:val="00251424"/>
    <w:rsid w:val="002514FA"/>
    <w:rsid w:val="00251532"/>
    <w:rsid w:val="0025159D"/>
    <w:rsid w:val="00251608"/>
    <w:rsid w:val="0025163F"/>
    <w:rsid w:val="0025165D"/>
    <w:rsid w:val="002516A0"/>
    <w:rsid w:val="002516D6"/>
    <w:rsid w:val="002516E9"/>
    <w:rsid w:val="00251736"/>
    <w:rsid w:val="00251738"/>
    <w:rsid w:val="00251765"/>
    <w:rsid w:val="002517A5"/>
    <w:rsid w:val="00251865"/>
    <w:rsid w:val="002518C4"/>
    <w:rsid w:val="00251993"/>
    <w:rsid w:val="00251998"/>
    <w:rsid w:val="002519E7"/>
    <w:rsid w:val="002519EA"/>
    <w:rsid w:val="00251BA3"/>
    <w:rsid w:val="00251C58"/>
    <w:rsid w:val="00251C69"/>
    <w:rsid w:val="00251D17"/>
    <w:rsid w:val="00251D26"/>
    <w:rsid w:val="00251DBD"/>
    <w:rsid w:val="00251E54"/>
    <w:rsid w:val="00251E64"/>
    <w:rsid w:val="00251F60"/>
    <w:rsid w:val="00251F6C"/>
    <w:rsid w:val="00251F91"/>
    <w:rsid w:val="00251F9C"/>
    <w:rsid w:val="00252009"/>
    <w:rsid w:val="00252164"/>
    <w:rsid w:val="0025227F"/>
    <w:rsid w:val="00252356"/>
    <w:rsid w:val="002523AF"/>
    <w:rsid w:val="0025240F"/>
    <w:rsid w:val="00252447"/>
    <w:rsid w:val="0025249C"/>
    <w:rsid w:val="002524EC"/>
    <w:rsid w:val="00252550"/>
    <w:rsid w:val="002525A5"/>
    <w:rsid w:val="002525AD"/>
    <w:rsid w:val="00252607"/>
    <w:rsid w:val="0025266D"/>
    <w:rsid w:val="0025266F"/>
    <w:rsid w:val="002526C1"/>
    <w:rsid w:val="00252766"/>
    <w:rsid w:val="00252780"/>
    <w:rsid w:val="0025285E"/>
    <w:rsid w:val="00252870"/>
    <w:rsid w:val="0025290A"/>
    <w:rsid w:val="00252929"/>
    <w:rsid w:val="00252A2B"/>
    <w:rsid w:val="00252AFA"/>
    <w:rsid w:val="00252B09"/>
    <w:rsid w:val="00252B2A"/>
    <w:rsid w:val="00252B49"/>
    <w:rsid w:val="00252B61"/>
    <w:rsid w:val="00252BAD"/>
    <w:rsid w:val="00252C0C"/>
    <w:rsid w:val="00252C5D"/>
    <w:rsid w:val="00252C96"/>
    <w:rsid w:val="00252CB7"/>
    <w:rsid w:val="00252E7E"/>
    <w:rsid w:val="00252FBE"/>
    <w:rsid w:val="0025300A"/>
    <w:rsid w:val="0025304D"/>
    <w:rsid w:val="002530AF"/>
    <w:rsid w:val="002530BB"/>
    <w:rsid w:val="00253119"/>
    <w:rsid w:val="002531C8"/>
    <w:rsid w:val="0025325C"/>
    <w:rsid w:val="00253268"/>
    <w:rsid w:val="002533BB"/>
    <w:rsid w:val="00253441"/>
    <w:rsid w:val="002534AE"/>
    <w:rsid w:val="002534DD"/>
    <w:rsid w:val="0025357D"/>
    <w:rsid w:val="002535B9"/>
    <w:rsid w:val="00253644"/>
    <w:rsid w:val="0025364C"/>
    <w:rsid w:val="0025368E"/>
    <w:rsid w:val="00253742"/>
    <w:rsid w:val="0025375D"/>
    <w:rsid w:val="00253843"/>
    <w:rsid w:val="0025389E"/>
    <w:rsid w:val="002538EE"/>
    <w:rsid w:val="0025398D"/>
    <w:rsid w:val="002539DC"/>
    <w:rsid w:val="002539ED"/>
    <w:rsid w:val="002539F1"/>
    <w:rsid w:val="00253A0A"/>
    <w:rsid w:val="00253A9F"/>
    <w:rsid w:val="00253B3C"/>
    <w:rsid w:val="00253BA0"/>
    <w:rsid w:val="00253BE2"/>
    <w:rsid w:val="00253CFE"/>
    <w:rsid w:val="00253D93"/>
    <w:rsid w:val="00253E64"/>
    <w:rsid w:val="00253F3A"/>
    <w:rsid w:val="00253F3F"/>
    <w:rsid w:val="00253FC4"/>
    <w:rsid w:val="00254017"/>
    <w:rsid w:val="0025402F"/>
    <w:rsid w:val="00254046"/>
    <w:rsid w:val="00254090"/>
    <w:rsid w:val="002540C3"/>
    <w:rsid w:val="0025411D"/>
    <w:rsid w:val="00254179"/>
    <w:rsid w:val="002541C3"/>
    <w:rsid w:val="002541DC"/>
    <w:rsid w:val="0025424D"/>
    <w:rsid w:val="002542B9"/>
    <w:rsid w:val="00254311"/>
    <w:rsid w:val="00254334"/>
    <w:rsid w:val="0025434F"/>
    <w:rsid w:val="00254394"/>
    <w:rsid w:val="0025440D"/>
    <w:rsid w:val="0025450E"/>
    <w:rsid w:val="00254534"/>
    <w:rsid w:val="0025463C"/>
    <w:rsid w:val="002546CE"/>
    <w:rsid w:val="00254718"/>
    <w:rsid w:val="002547CC"/>
    <w:rsid w:val="002547E6"/>
    <w:rsid w:val="00254899"/>
    <w:rsid w:val="0025494A"/>
    <w:rsid w:val="00254960"/>
    <w:rsid w:val="00254965"/>
    <w:rsid w:val="00254A27"/>
    <w:rsid w:val="00254A3D"/>
    <w:rsid w:val="00254A67"/>
    <w:rsid w:val="00254ADF"/>
    <w:rsid w:val="00254BCF"/>
    <w:rsid w:val="00254BD1"/>
    <w:rsid w:val="00254CC3"/>
    <w:rsid w:val="00254CD6"/>
    <w:rsid w:val="00254CF5"/>
    <w:rsid w:val="00254DDB"/>
    <w:rsid w:val="00254F83"/>
    <w:rsid w:val="00254FF3"/>
    <w:rsid w:val="00254FF7"/>
    <w:rsid w:val="0025500B"/>
    <w:rsid w:val="0025502B"/>
    <w:rsid w:val="00255033"/>
    <w:rsid w:val="002550CD"/>
    <w:rsid w:val="00255152"/>
    <w:rsid w:val="0025516A"/>
    <w:rsid w:val="00255188"/>
    <w:rsid w:val="002551E4"/>
    <w:rsid w:val="00255342"/>
    <w:rsid w:val="00255351"/>
    <w:rsid w:val="00255368"/>
    <w:rsid w:val="00255375"/>
    <w:rsid w:val="002553A3"/>
    <w:rsid w:val="00255481"/>
    <w:rsid w:val="002554F0"/>
    <w:rsid w:val="00255548"/>
    <w:rsid w:val="0025554A"/>
    <w:rsid w:val="0025554E"/>
    <w:rsid w:val="00255552"/>
    <w:rsid w:val="00255585"/>
    <w:rsid w:val="002555AC"/>
    <w:rsid w:val="002555E9"/>
    <w:rsid w:val="002555FA"/>
    <w:rsid w:val="00255681"/>
    <w:rsid w:val="002556A9"/>
    <w:rsid w:val="0025573A"/>
    <w:rsid w:val="00255752"/>
    <w:rsid w:val="002557B8"/>
    <w:rsid w:val="002558CB"/>
    <w:rsid w:val="002559DD"/>
    <w:rsid w:val="002559F4"/>
    <w:rsid w:val="002559F7"/>
    <w:rsid w:val="00255A6D"/>
    <w:rsid w:val="00255ADB"/>
    <w:rsid w:val="00255AE7"/>
    <w:rsid w:val="00255B62"/>
    <w:rsid w:val="00255C03"/>
    <w:rsid w:val="00255C25"/>
    <w:rsid w:val="00255D27"/>
    <w:rsid w:val="00255D3F"/>
    <w:rsid w:val="00255D40"/>
    <w:rsid w:val="00255DFD"/>
    <w:rsid w:val="00255E82"/>
    <w:rsid w:val="00255ED5"/>
    <w:rsid w:val="00255F32"/>
    <w:rsid w:val="00255F4E"/>
    <w:rsid w:val="00256063"/>
    <w:rsid w:val="00256102"/>
    <w:rsid w:val="00256149"/>
    <w:rsid w:val="00256167"/>
    <w:rsid w:val="002561E4"/>
    <w:rsid w:val="002561E9"/>
    <w:rsid w:val="002561F2"/>
    <w:rsid w:val="0025623D"/>
    <w:rsid w:val="0025624F"/>
    <w:rsid w:val="0025626F"/>
    <w:rsid w:val="00256328"/>
    <w:rsid w:val="00256377"/>
    <w:rsid w:val="00256396"/>
    <w:rsid w:val="002563AB"/>
    <w:rsid w:val="002563B3"/>
    <w:rsid w:val="0025646A"/>
    <w:rsid w:val="002564B0"/>
    <w:rsid w:val="002564C8"/>
    <w:rsid w:val="00256540"/>
    <w:rsid w:val="0025668C"/>
    <w:rsid w:val="00256697"/>
    <w:rsid w:val="0025669D"/>
    <w:rsid w:val="002567D0"/>
    <w:rsid w:val="002567F7"/>
    <w:rsid w:val="0025681D"/>
    <w:rsid w:val="0025688F"/>
    <w:rsid w:val="002568A2"/>
    <w:rsid w:val="0025697F"/>
    <w:rsid w:val="00256986"/>
    <w:rsid w:val="00256993"/>
    <w:rsid w:val="00256A44"/>
    <w:rsid w:val="00256AE8"/>
    <w:rsid w:val="00256B19"/>
    <w:rsid w:val="00256B38"/>
    <w:rsid w:val="00256B42"/>
    <w:rsid w:val="00256B48"/>
    <w:rsid w:val="00256C4A"/>
    <w:rsid w:val="00256C78"/>
    <w:rsid w:val="00256CD6"/>
    <w:rsid w:val="00256D97"/>
    <w:rsid w:val="00256E86"/>
    <w:rsid w:val="00256EA7"/>
    <w:rsid w:val="00256ED9"/>
    <w:rsid w:val="00256F13"/>
    <w:rsid w:val="00256F2D"/>
    <w:rsid w:val="002570BE"/>
    <w:rsid w:val="0025722A"/>
    <w:rsid w:val="0025724B"/>
    <w:rsid w:val="0025728D"/>
    <w:rsid w:val="00257329"/>
    <w:rsid w:val="00257356"/>
    <w:rsid w:val="0025739B"/>
    <w:rsid w:val="002573A4"/>
    <w:rsid w:val="002573BC"/>
    <w:rsid w:val="00257471"/>
    <w:rsid w:val="0025749D"/>
    <w:rsid w:val="002574A4"/>
    <w:rsid w:val="002574FA"/>
    <w:rsid w:val="002576A5"/>
    <w:rsid w:val="002576FC"/>
    <w:rsid w:val="00257765"/>
    <w:rsid w:val="00257789"/>
    <w:rsid w:val="002577F8"/>
    <w:rsid w:val="00257800"/>
    <w:rsid w:val="0025781A"/>
    <w:rsid w:val="00257969"/>
    <w:rsid w:val="002579AD"/>
    <w:rsid w:val="00257A22"/>
    <w:rsid w:val="00257A30"/>
    <w:rsid w:val="00257A5D"/>
    <w:rsid w:val="00257A66"/>
    <w:rsid w:val="00257B1E"/>
    <w:rsid w:val="00257C11"/>
    <w:rsid w:val="00257C4F"/>
    <w:rsid w:val="00257C8F"/>
    <w:rsid w:val="00257D10"/>
    <w:rsid w:val="00257DA3"/>
    <w:rsid w:val="00257DAA"/>
    <w:rsid w:val="00257DF3"/>
    <w:rsid w:val="00257EAE"/>
    <w:rsid w:val="00257F85"/>
    <w:rsid w:val="00260139"/>
    <w:rsid w:val="0026017D"/>
    <w:rsid w:val="002601E7"/>
    <w:rsid w:val="00260299"/>
    <w:rsid w:val="002602D7"/>
    <w:rsid w:val="002602DC"/>
    <w:rsid w:val="002602E7"/>
    <w:rsid w:val="00260309"/>
    <w:rsid w:val="0026031E"/>
    <w:rsid w:val="00260449"/>
    <w:rsid w:val="00260477"/>
    <w:rsid w:val="0026047B"/>
    <w:rsid w:val="002605B3"/>
    <w:rsid w:val="00260636"/>
    <w:rsid w:val="002606D7"/>
    <w:rsid w:val="002606DF"/>
    <w:rsid w:val="00260707"/>
    <w:rsid w:val="0026078A"/>
    <w:rsid w:val="002607A9"/>
    <w:rsid w:val="002608D2"/>
    <w:rsid w:val="00260914"/>
    <w:rsid w:val="002609C8"/>
    <w:rsid w:val="00260A2E"/>
    <w:rsid w:val="00260A31"/>
    <w:rsid w:val="00260A3F"/>
    <w:rsid w:val="00260A82"/>
    <w:rsid w:val="00260AF4"/>
    <w:rsid w:val="00260B64"/>
    <w:rsid w:val="00260C17"/>
    <w:rsid w:val="00260C72"/>
    <w:rsid w:val="00260D47"/>
    <w:rsid w:val="00260DC6"/>
    <w:rsid w:val="00260DF7"/>
    <w:rsid w:val="00260DFA"/>
    <w:rsid w:val="00260EC8"/>
    <w:rsid w:val="00260EF3"/>
    <w:rsid w:val="00260F4B"/>
    <w:rsid w:val="0026108A"/>
    <w:rsid w:val="002610C2"/>
    <w:rsid w:val="002610E2"/>
    <w:rsid w:val="00261135"/>
    <w:rsid w:val="00261148"/>
    <w:rsid w:val="0026114D"/>
    <w:rsid w:val="00261170"/>
    <w:rsid w:val="002611B1"/>
    <w:rsid w:val="0026126A"/>
    <w:rsid w:val="002612D4"/>
    <w:rsid w:val="002612E4"/>
    <w:rsid w:val="002615A3"/>
    <w:rsid w:val="002615C0"/>
    <w:rsid w:val="002615D8"/>
    <w:rsid w:val="00261625"/>
    <w:rsid w:val="002616BD"/>
    <w:rsid w:val="00261744"/>
    <w:rsid w:val="0026182C"/>
    <w:rsid w:val="00261863"/>
    <w:rsid w:val="00261957"/>
    <w:rsid w:val="0026198B"/>
    <w:rsid w:val="00261A06"/>
    <w:rsid w:val="00261A1F"/>
    <w:rsid w:val="00261AB8"/>
    <w:rsid w:val="00261B0F"/>
    <w:rsid w:val="00261BBE"/>
    <w:rsid w:val="00261BDA"/>
    <w:rsid w:val="00261BFD"/>
    <w:rsid w:val="00261C0F"/>
    <w:rsid w:val="00261C16"/>
    <w:rsid w:val="00261C65"/>
    <w:rsid w:val="00261C92"/>
    <w:rsid w:val="00261CF5"/>
    <w:rsid w:val="00261D11"/>
    <w:rsid w:val="00261D8A"/>
    <w:rsid w:val="00261DB3"/>
    <w:rsid w:val="00261DCC"/>
    <w:rsid w:val="00261DD5"/>
    <w:rsid w:val="00261DD8"/>
    <w:rsid w:val="00261F0D"/>
    <w:rsid w:val="00261FE5"/>
    <w:rsid w:val="002620C5"/>
    <w:rsid w:val="002620F4"/>
    <w:rsid w:val="00262127"/>
    <w:rsid w:val="00262182"/>
    <w:rsid w:val="002621A4"/>
    <w:rsid w:val="002621F3"/>
    <w:rsid w:val="00262226"/>
    <w:rsid w:val="0026223E"/>
    <w:rsid w:val="00262252"/>
    <w:rsid w:val="00262434"/>
    <w:rsid w:val="0026246E"/>
    <w:rsid w:val="002624E4"/>
    <w:rsid w:val="00262595"/>
    <w:rsid w:val="00262670"/>
    <w:rsid w:val="0026268A"/>
    <w:rsid w:val="00262697"/>
    <w:rsid w:val="002626FC"/>
    <w:rsid w:val="002627C6"/>
    <w:rsid w:val="00262825"/>
    <w:rsid w:val="002628B5"/>
    <w:rsid w:val="00262909"/>
    <w:rsid w:val="0026293B"/>
    <w:rsid w:val="00262A11"/>
    <w:rsid w:val="00262C39"/>
    <w:rsid w:val="00262C9E"/>
    <w:rsid w:val="00262CC4"/>
    <w:rsid w:val="00262CE0"/>
    <w:rsid w:val="00262D36"/>
    <w:rsid w:val="00262D94"/>
    <w:rsid w:val="00262E60"/>
    <w:rsid w:val="00262E6C"/>
    <w:rsid w:val="00262E92"/>
    <w:rsid w:val="00262E9C"/>
    <w:rsid w:val="00262F37"/>
    <w:rsid w:val="00262FA0"/>
    <w:rsid w:val="00262FC5"/>
    <w:rsid w:val="00263017"/>
    <w:rsid w:val="0026306C"/>
    <w:rsid w:val="002630EB"/>
    <w:rsid w:val="002630EF"/>
    <w:rsid w:val="00263220"/>
    <w:rsid w:val="0026323D"/>
    <w:rsid w:val="002632BB"/>
    <w:rsid w:val="00263323"/>
    <w:rsid w:val="0026332B"/>
    <w:rsid w:val="00263357"/>
    <w:rsid w:val="0026341B"/>
    <w:rsid w:val="00263443"/>
    <w:rsid w:val="002634B7"/>
    <w:rsid w:val="002634EF"/>
    <w:rsid w:val="0026351D"/>
    <w:rsid w:val="00263535"/>
    <w:rsid w:val="002635F2"/>
    <w:rsid w:val="00263647"/>
    <w:rsid w:val="002636BD"/>
    <w:rsid w:val="002636F3"/>
    <w:rsid w:val="00263767"/>
    <w:rsid w:val="0026378D"/>
    <w:rsid w:val="002637B0"/>
    <w:rsid w:val="002638A8"/>
    <w:rsid w:val="002638F4"/>
    <w:rsid w:val="002639D9"/>
    <w:rsid w:val="002639EA"/>
    <w:rsid w:val="00263A9C"/>
    <w:rsid w:val="00263ABB"/>
    <w:rsid w:val="00263B1A"/>
    <w:rsid w:val="00263B35"/>
    <w:rsid w:val="00263B62"/>
    <w:rsid w:val="00263C26"/>
    <w:rsid w:val="00263CAC"/>
    <w:rsid w:val="00263D85"/>
    <w:rsid w:val="00263DEE"/>
    <w:rsid w:val="00263E43"/>
    <w:rsid w:val="00263E76"/>
    <w:rsid w:val="00263E89"/>
    <w:rsid w:val="00264000"/>
    <w:rsid w:val="0026400F"/>
    <w:rsid w:val="0026402B"/>
    <w:rsid w:val="002640D3"/>
    <w:rsid w:val="002641D4"/>
    <w:rsid w:val="002642C9"/>
    <w:rsid w:val="00264390"/>
    <w:rsid w:val="0026440C"/>
    <w:rsid w:val="00264454"/>
    <w:rsid w:val="00264631"/>
    <w:rsid w:val="00264654"/>
    <w:rsid w:val="002646F5"/>
    <w:rsid w:val="00264741"/>
    <w:rsid w:val="00264837"/>
    <w:rsid w:val="0026495A"/>
    <w:rsid w:val="00264966"/>
    <w:rsid w:val="00264AC5"/>
    <w:rsid w:val="00264AD0"/>
    <w:rsid w:val="00264B1A"/>
    <w:rsid w:val="00264C50"/>
    <w:rsid w:val="00264C66"/>
    <w:rsid w:val="00264DD7"/>
    <w:rsid w:val="00264E65"/>
    <w:rsid w:val="00264F09"/>
    <w:rsid w:val="00264F37"/>
    <w:rsid w:val="00264F83"/>
    <w:rsid w:val="00265002"/>
    <w:rsid w:val="0026500E"/>
    <w:rsid w:val="00265015"/>
    <w:rsid w:val="0026509D"/>
    <w:rsid w:val="00265189"/>
    <w:rsid w:val="002651DD"/>
    <w:rsid w:val="002652F6"/>
    <w:rsid w:val="0026532C"/>
    <w:rsid w:val="002653EA"/>
    <w:rsid w:val="0026550D"/>
    <w:rsid w:val="002655FC"/>
    <w:rsid w:val="002656DC"/>
    <w:rsid w:val="002656E5"/>
    <w:rsid w:val="002657A4"/>
    <w:rsid w:val="002658A4"/>
    <w:rsid w:val="002658C0"/>
    <w:rsid w:val="0026594B"/>
    <w:rsid w:val="00265950"/>
    <w:rsid w:val="00265960"/>
    <w:rsid w:val="00265A34"/>
    <w:rsid w:val="00265B4B"/>
    <w:rsid w:val="00265B6B"/>
    <w:rsid w:val="00265B6C"/>
    <w:rsid w:val="00265CB4"/>
    <w:rsid w:val="00265CCA"/>
    <w:rsid w:val="00265D5F"/>
    <w:rsid w:val="00265DB9"/>
    <w:rsid w:val="00265DD9"/>
    <w:rsid w:val="00265DE6"/>
    <w:rsid w:val="00265E28"/>
    <w:rsid w:val="00265E71"/>
    <w:rsid w:val="00265EBE"/>
    <w:rsid w:val="00265F6E"/>
    <w:rsid w:val="00266052"/>
    <w:rsid w:val="0026606D"/>
    <w:rsid w:val="002660DA"/>
    <w:rsid w:val="002660EB"/>
    <w:rsid w:val="0026615A"/>
    <w:rsid w:val="0026617F"/>
    <w:rsid w:val="00266180"/>
    <w:rsid w:val="00266266"/>
    <w:rsid w:val="00266282"/>
    <w:rsid w:val="002662BD"/>
    <w:rsid w:val="0026634C"/>
    <w:rsid w:val="0026637B"/>
    <w:rsid w:val="002663A8"/>
    <w:rsid w:val="00266522"/>
    <w:rsid w:val="00266579"/>
    <w:rsid w:val="002665D3"/>
    <w:rsid w:val="002665D6"/>
    <w:rsid w:val="00266637"/>
    <w:rsid w:val="00266654"/>
    <w:rsid w:val="002666A7"/>
    <w:rsid w:val="002666D5"/>
    <w:rsid w:val="0026677C"/>
    <w:rsid w:val="002667C1"/>
    <w:rsid w:val="002667E0"/>
    <w:rsid w:val="00266840"/>
    <w:rsid w:val="002668D8"/>
    <w:rsid w:val="0026691A"/>
    <w:rsid w:val="00266986"/>
    <w:rsid w:val="002669B0"/>
    <w:rsid w:val="00266AA0"/>
    <w:rsid w:val="00266AD6"/>
    <w:rsid w:val="00266AE4"/>
    <w:rsid w:val="00266AF4"/>
    <w:rsid w:val="00266B77"/>
    <w:rsid w:val="00266C6D"/>
    <w:rsid w:val="00266C75"/>
    <w:rsid w:val="00266CDF"/>
    <w:rsid w:val="00266CE3"/>
    <w:rsid w:val="00266CED"/>
    <w:rsid w:val="00266E2B"/>
    <w:rsid w:val="00266EA5"/>
    <w:rsid w:val="00266EAC"/>
    <w:rsid w:val="00266F1F"/>
    <w:rsid w:val="00266F2A"/>
    <w:rsid w:val="002670E1"/>
    <w:rsid w:val="002670FF"/>
    <w:rsid w:val="00267146"/>
    <w:rsid w:val="0026716B"/>
    <w:rsid w:val="0026721D"/>
    <w:rsid w:val="00267341"/>
    <w:rsid w:val="002673AF"/>
    <w:rsid w:val="00267479"/>
    <w:rsid w:val="002674B5"/>
    <w:rsid w:val="002674DE"/>
    <w:rsid w:val="0026752F"/>
    <w:rsid w:val="0026759E"/>
    <w:rsid w:val="002675A8"/>
    <w:rsid w:val="002675B8"/>
    <w:rsid w:val="0026766F"/>
    <w:rsid w:val="002676FE"/>
    <w:rsid w:val="0026774A"/>
    <w:rsid w:val="00267862"/>
    <w:rsid w:val="002678E4"/>
    <w:rsid w:val="002678FB"/>
    <w:rsid w:val="0026792B"/>
    <w:rsid w:val="0026796B"/>
    <w:rsid w:val="002679EF"/>
    <w:rsid w:val="002679F9"/>
    <w:rsid w:val="00267AD8"/>
    <w:rsid w:val="00267B67"/>
    <w:rsid w:val="00267BA7"/>
    <w:rsid w:val="00267C04"/>
    <w:rsid w:val="00267C06"/>
    <w:rsid w:val="00267C97"/>
    <w:rsid w:val="00267CE7"/>
    <w:rsid w:val="00267DB0"/>
    <w:rsid w:val="00267E74"/>
    <w:rsid w:val="00267EAC"/>
    <w:rsid w:val="00267ED3"/>
    <w:rsid w:val="00267EDB"/>
    <w:rsid w:val="00267F48"/>
    <w:rsid w:val="00267F99"/>
    <w:rsid w:val="00267FC4"/>
    <w:rsid w:val="00270140"/>
    <w:rsid w:val="00270151"/>
    <w:rsid w:val="002701BE"/>
    <w:rsid w:val="002701C9"/>
    <w:rsid w:val="002702AD"/>
    <w:rsid w:val="002702AF"/>
    <w:rsid w:val="0027033B"/>
    <w:rsid w:val="002703BC"/>
    <w:rsid w:val="00270469"/>
    <w:rsid w:val="0027048B"/>
    <w:rsid w:val="0027053B"/>
    <w:rsid w:val="00270651"/>
    <w:rsid w:val="002706B6"/>
    <w:rsid w:val="0027072F"/>
    <w:rsid w:val="0027092B"/>
    <w:rsid w:val="00270A44"/>
    <w:rsid w:val="00270A72"/>
    <w:rsid w:val="00270A82"/>
    <w:rsid w:val="00270AE7"/>
    <w:rsid w:val="00270D77"/>
    <w:rsid w:val="00270E5C"/>
    <w:rsid w:val="00270E78"/>
    <w:rsid w:val="00270E7E"/>
    <w:rsid w:val="00270E93"/>
    <w:rsid w:val="00270EE8"/>
    <w:rsid w:val="00270F01"/>
    <w:rsid w:val="00270F0D"/>
    <w:rsid w:val="00270F33"/>
    <w:rsid w:val="00270F34"/>
    <w:rsid w:val="00270F64"/>
    <w:rsid w:val="00270F77"/>
    <w:rsid w:val="00270F8D"/>
    <w:rsid w:val="00270FDD"/>
    <w:rsid w:val="00270FEC"/>
    <w:rsid w:val="00271010"/>
    <w:rsid w:val="002710B4"/>
    <w:rsid w:val="00271167"/>
    <w:rsid w:val="0027117C"/>
    <w:rsid w:val="002711F7"/>
    <w:rsid w:val="0027121D"/>
    <w:rsid w:val="00271249"/>
    <w:rsid w:val="0027126B"/>
    <w:rsid w:val="00271278"/>
    <w:rsid w:val="002712B7"/>
    <w:rsid w:val="002712E5"/>
    <w:rsid w:val="00271331"/>
    <w:rsid w:val="00271371"/>
    <w:rsid w:val="002713FD"/>
    <w:rsid w:val="0027142E"/>
    <w:rsid w:val="002714A1"/>
    <w:rsid w:val="002715A3"/>
    <w:rsid w:val="002715DC"/>
    <w:rsid w:val="0027160C"/>
    <w:rsid w:val="0027160E"/>
    <w:rsid w:val="002717C4"/>
    <w:rsid w:val="002717FE"/>
    <w:rsid w:val="0027185F"/>
    <w:rsid w:val="002718E8"/>
    <w:rsid w:val="002718EE"/>
    <w:rsid w:val="0027191B"/>
    <w:rsid w:val="002719EE"/>
    <w:rsid w:val="00271A20"/>
    <w:rsid w:val="00271A3F"/>
    <w:rsid w:val="00271AA5"/>
    <w:rsid w:val="00271B48"/>
    <w:rsid w:val="00271C2F"/>
    <w:rsid w:val="00271CE8"/>
    <w:rsid w:val="00271D1F"/>
    <w:rsid w:val="00271E35"/>
    <w:rsid w:val="00271FA8"/>
    <w:rsid w:val="002720CA"/>
    <w:rsid w:val="00272113"/>
    <w:rsid w:val="002721C3"/>
    <w:rsid w:val="002721DB"/>
    <w:rsid w:val="00272271"/>
    <w:rsid w:val="002722B6"/>
    <w:rsid w:val="0027233C"/>
    <w:rsid w:val="0027236C"/>
    <w:rsid w:val="0027238B"/>
    <w:rsid w:val="002723E1"/>
    <w:rsid w:val="00272495"/>
    <w:rsid w:val="002724CE"/>
    <w:rsid w:val="002725B0"/>
    <w:rsid w:val="002725D7"/>
    <w:rsid w:val="00272656"/>
    <w:rsid w:val="00272716"/>
    <w:rsid w:val="002727F9"/>
    <w:rsid w:val="00272890"/>
    <w:rsid w:val="0027289C"/>
    <w:rsid w:val="002728A1"/>
    <w:rsid w:val="0027291A"/>
    <w:rsid w:val="00272944"/>
    <w:rsid w:val="002729BD"/>
    <w:rsid w:val="002729E9"/>
    <w:rsid w:val="00272A19"/>
    <w:rsid w:val="00272B1D"/>
    <w:rsid w:val="00272B86"/>
    <w:rsid w:val="00272C6B"/>
    <w:rsid w:val="00272C96"/>
    <w:rsid w:val="00272CA4"/>
    <w:rsid w:val="00272D48"/>
    <w:rsid w:val="00272EE9"/>
    <w:rsid w:val="00272F06"/>
    <w:rsid w:val="00272F20"/>
    <w:rsid w:val="00272F9F"/>
    <w:rsid w:val="0027300A"/>
    <w:rsid w:val="00273079"/>
    <w:rsid w:val="002730C5"/>
    <w:rsid w:val="002730EA"/>
    <w:rsid w:val="00273107"/>
    <w:rsid w:val="00273215"/>
    <w:rsid w:val="00273245"/>
    <w:rsid w:val="002732B5"/>
    <w:rsid w:val="002732F4"/>
    <w:rsid w:val="0027331A"/>
    <w:rsid w:val="00273402"/>
    <w:rsid w:val="00273405"/>
    <w:rsid w:val="00273430"/>
    <w:rsid w:val="002734C0"/>
    <w:rsid w:val="00273567"/>
    <w:rsid w:val="002735A3"/>
    <w:rsid w:val="00273618"/>
    <w:rsid w:val="00273627"/>
    <w:rsid w:val="00273657"/>
    <w:rsid w:val="00273662"/>
    <w:rsid w:val="00273663"/>
    <w:rsid w:val="0027368E"/>
    <w:rsid w:val="0027371A"/>
    <w:rsid w:val="00273789"/>
    <w:rsid w:val="002738CB"/>
    <w:rsid w:val="00273953"/>
    <w:rsid w:val="00273959"/>
    <w:rsid w:val="002739A7"/>
    <w:rsid w:val="00273A0F"/>
    <w:rsid w:val="00273AD0"/>
    <w:rsid w:val="00273AE6"/>
    <w:rsid w:val="00273B98"/>
    <w:rsid w:val="00273C4F"/>
    <w:rsid w:val="00273CA7"/>
    <w:rsid w:val="00273CD5"/>
    <w:rsid w:val="00273CE6"/>
    <w:rsid w:val="00273D96"/>
    <w:rsid w:val="00273E78"/>
    <w:rsid w:val="00273E8C"/>
    <w:rsid w:val="00273EAE"/>
    <w:rsid w:val="00273ED4"/>
    <w:rsid w:val="002740B8"/>
    <w:rsid w:val="002740EB"/>
    <w:rsid w:val="0027411C"/>
    <w:rsid w:val="0027416A"/>
    <w:rsid w:val="00274210"/>
    <w:rsid w:val="002742DA"/>
    <w:rsid w:val="002742EB"/>
    <w:rsid w:val="00274330"/>
    <w:rsid w:val="00274337"/>
    <w:rsid w:val="002743B4"/>
    <w:rsid w:val="002743C3"/>
    <w:rsid w:val="002743DE"/>
    <w:rsid w:val="002743F2"/>
    <w:rsid w:val="00274556"/>
    <w:rsid w:val="002745D6"/>
    <w:rsid w:val="0027468E"/>
    <w:rsid w:val="002746B6"/>
    <w:rsid w:val="002746B7"/>
    <w:rsid w:val="0027470F"/>
    <w:rsid w:val="00274722"/>
    <w:rsid w:val="0027474C"/>
    <w:rsid w:val="002747A3"/>
    <w:rsid w:val="002747AF"/>
    <w:rsid w:val="002747D2"/>
    <w:rsid w:val="00274828"/>
    <w:rsid w:val="0027483D"/>
    <w:rsid w:val="0027494E"/>
    <w:rsid w:val="002749F2"/>
    <w:rsid w:val="00274A65"/>
    <w:rsid w:val="00274A9F"/>
    <w:rsid w:val="00274AA0"/>
    <w:rsid w:val="00274B02"/>
    <w:rsid w:val="00274B51"/>
    <w:rsid w:val="00274BBE"/>
    <w:rsid w:val="00274BCA"/>
    <w:rsid w:val="00274C7E"/>
    <w:rsid w:val="00274CAA"/>
    <w:rsid w:val="00274D92"/>
    <w:rsid w:val="00274D9F"/>
    <w:rsid w:val="00274DE1"/>
    <w:rsid w:val="00274E7C"/>
    <w:rsid w:val="00274EB9"/>
    <w:rsid w:val="00274EE5"/>
    <w:rsid w:val="00274F67"/>
    <w:rsid w:val="00274FB8"/>
    <w:rsid w:val="0027500A"/>
    <w:rsid w:val="002750D3"/>
    <w:rsid w:val="002750EA"/>
    <w:rsid w:val="00275144"/>
    <w:rsid w:val="00275193"/>
    <w:rsid w:val="002751BC"/>
    <w:rsid w:val="002751CE"/>
    <w:rsid w:val="002751D1"/>
    <w:rsid w:val="00275209"/>
    <w:rsid w:val="0027523D"/>
    <w:rsid w:val="0027525A"/>
    <w:rsid w:val="0027534A"/>
    <w:rsid w:val="00275374"/>
    <w:rsid w:val="00275396"/>
    <w:rsid w:val="002753E9"/>
    <w:rsid w:val="00275458"/>
    <w:rsid w:val="00275478"/>
    <w:rsid w:val="0027554D"/>
    <w:rsid w:val="002755C3"/>
    <w:rsid w:val="002756A1"/>
    <w:rsid w:val="002756B0"/>
    <w:rsid w:val="0027571B"/>
    <w:rsid w:val="0027578B"/>
    <w:rsid w:val="00275791"/>
    <w:rsid w:val="002757F9"/>
    <w:rsid w:val="00275836"/>
    <w:rsid w:val="0027584D"/>
    <w:rsid w:val="002758BA"/>
    <w:rsid w:val="002758C3"/>
    <w:rsid w:val="00275903"/>
    <w:rsid w:val="00275942"/>
    <w:rsid w:val="0027597C"/>
    <w:rsid w:val="00275ADB"/>
    <w:rsid w:val="00275B00"/>
    <w:rsid w:val="00275BAF"/>
    <w:rsid w:val="00275BE9"/>
    <w:rsid w:val="00275C35"/>
    <w:rsid w:val="00275C79"/>
    <w:rsid w:val="00275D06"/>
    <w:rsid w:val="00275D68"/>
    <w:rsid w:val="00275DB6"/>
    <w:rsid w:val="00275E04"/>
    <w:rsid w:val="00275E1E"/>
    <w:rsid w:val="00275E2E"/>
    <w:rsid w:val="00275E41"/>
    <w:rsid w:val="00275F23"/>
    <w:rsid w:val="00276048"/>
    <w:rsid w:val="0027605D"/>
    <w:rsid w:val="00276099"/>
    <w:rsid w:val="002760DC"/>
    <w:rsid w:val="00276141"/>
    <w:rsid w:val="002761AB"/>
    <w:rsid w:val="002761B0"/>
    <w:rsid w:val="002761B2"/>
    <w:rsid w:val="002762E0"/>
    <w:rsid w:val="002763B6"/>
    <w:rsid w:val="00276427"/>
    <w:rsid w:val="00276578"/>
    <w:rsid w:val="002765F6"/>
    <w:rsid w:val="0027669C"/>
    <w:rsid w:val="002766BC"/>
    <w:rsid w:val="00276735"/>
    <w:rsid w:val="0027675C"/>
    <w:rsid w:val="002767B5"/>
    <w:rsid w:val="00276807"/>
    <w:rsid w:val="0027681F"/>
    <w:rsid w:val="0027684F"/>
    <w:rsid w:val="00276884"/>
    <w:rsid w:val="002768AF"/>
    <w:rsid w:val="002768E3"/>
    <w:rsid w:val="002768EF"/>
    <w:rsid w:val="0027691E"/>
    <w:rsid w:val="00276A06"/>
    <w:rsid w:val="00276AAF"/>
    <w:rsid w:val="00276AEA"/>
    <w:rsid w:val="00276C43"/>
    <w:rsid w:val="00276C5A"/>
    <w:rsid w:val="00276C73"/>
    <w:rsid w:val="00276CC7"/>
    <w:rsid w:val="00276CF8"/>
    <w:rsid w:val="00276D05"/>
    <w:rsid w:val="00276D3A"/>
    <w:rsid w:val="00276D40"/>
    <w:rsid w:val="00276D8C"/>
    <w:rsid w:val="00276E22"/>
    <w:rsid w:val="00276E65"/>
    <w:rsid w:val="00276EE5"/>
    <w:rsid w:val="00276F36"/>
    <w:rsid w:val="00276F60"/>
    <w:rsid w:val="00277015"/>
    <w:rsid w:val="00277073"/>
    <w:rsid w:val="002770A4"/>
    <w:rsid w:val="002770BA"/>
    <w:rsid w:val="00277116"/>
    <w:rsid w:val="002771E3"/>
    <w:rsid w:val="00277206"/>
    <w:rsid w:val="00277208"/>
    <w:rsid w:val="00277255"/>
    <w:rsid w:val="002772E2"/>
    <w:rsid w:val="0027730C"/>
    <w:rsid w:val="00277342"/>
    <w:rsid w:val="00277388"/>
    <w:rsid w:val="002773C8"/>
    <w:rsid w:val="00277403"/>
    <w:rsid w:val="00277445"/>
    <w:rsid w:val="00277461"/>
    <w:rsid w:val="00277480"/>
    <w:rsid w:val="002774ED"/>
    <w:rsid w:val="002774F9"/>
    <w:rsid w:val="002775D1"/>
    <w:rsid w:val="002775DB"/>
    <w:rsid w:val="002775F3"/>
    <w:rsid w:val="00277629"/>
    <w:rsid w:val="00277638"/>
    <w:rsid w:val="002776DF"/>
    <w:rsid w:val="00277740"/>
    <w:rsid w:val="0027777E"/>
    <w:rsid w:val="0027781A"/>
    <w:rsid w:val="00277825"/>
    <w:rsid w:val="002778F3"/>
    <w:rsid w:val="00277909"/>
    <w:rsid w:val="0027790F"/>
    <w:rsid w:val="0027791B"/>
    <w:rsid w:val="002779FB"/>
    <w:rsid w:val="00277A33"/>
    <w:rsid w:val="00277A44"/>
    <w:rsid w:val="00277A4A"/>
    <w:rsid w:val="00277ACD"/>
    <w:rsid w:val="00277B1D"/>
    <w:rsid w:val="00277B59"/>
    <w:rsid w:val="00277BB7"/>
    <w:rsid w:val="00277CBB"/>
    <w:rsid w:val="00277CBE"/>
    <w:rsid w:val="00277D5D"/>
    <w:rsid w:val="00277D5E"/>
    <w:rsid w:val="00277D73"/>
    <w:rsid w:val="00277DC8"/>
    <w:rsid w:val="00277E2E"/>
    <w:rsid w:val="00277EE9"/>
    <w:rsid w:val="00277FAE"/>
    <w:rsid w:val="00277FAF"/>
    <w:rsid w:val="0028000B"/>
    <w:rsid w:val="00280144"/>
    <w:rsid w:val="0028015F"/>
    <w:rsid w:val="002802A5"/>
    <w:rsid w:val="002803B1"/>
    <w:rsid w:val="002803FE"/>
    <w:rsid w:val="0028048B"/>
    <w:rsid w:val="002804AB"/>
    <w:rsid w:val="002804E0"/>
    <w:rsid w:val="00280552"/>
    <w:rsid w:val="002805A9"/>
    <w:rsid w:val="00280630"/>
    <w:rsid w:val="00280653"/>
    <w:rsid w:val="00280655"/>
    <w:rsid w:val="002806F5"/>
    <w:rsid w:val="0028075A"/>
    <w:rsid w:val="00280786"/>
    <w:rsid w:val="0028079B"/>
    <w:rsid w:val="00280892"/>
    <w:rsid w:val="00280898"/>
    <w:rsid w:val="002808A0"/>
    <w:rsid w:val="002808F6"/>
    <w:rsid w:val="00280991"/>
    <w:rsid w:val="002809A8"/>
    <w:rsid w:val="002809C0"/>
    <w:rsid w:val="002809D1"/>
    <w:rsid w:val="002809D9"/>
    <w:rsid w:val="002809E4"/>
    <w:rsid w:val="00280B58"/>
    <w:rsid w:val="00280BC2"/>
    <w:rsid w:val="00280C99"/>
    <w:rsid w:val="00280CE6"/>
    <w:rsid w:val="00280D55"/>
    <w:rsid w:val="00280DE9"/>
    <w:rsid w:val="00280DFB"/>
    <w:rsid w:val="00280E46"/>
    <w:rsid w:val="00280E4A"/>
    <w:rsid w:val="00280F06"/>
    <w:rsid w:val="00280F42"/>
    <w:rsid w:val="002810AA"/>
    <w:rsid w:val="00281107"/>
    <w:rsid w:val="0028110E"/>
    <w:rsid w:val="002811DB"/>
    <w:rsid w:val="0028129D"/>
    <w:rsid w:val="002812AB"/>
    <w:rsid w:val="002812CA"/>
    <w:rsid w:val="0028135B"/>
    <w:rsid w:val="00281382"/>
    <w:rsid w:val="0028138D"/>
    <w:rsid w:val="002813E4"/>
    <w:rsid w:val="00281403"/>
    <w:rsid w:val="00281481"/>
    <w:rsid w:val="002814DF"/>
    <w:rsid w:val="00281593"/>
    <w:rsid w:val="002815D3"/>
    <w:rsid w:val="00281627"/>
    <w:rsid w:val="0028162B"/>
    <w:rsid w:val="00281764"/>
    <w:rsid w:val="0028179B"/>
    <w:rsid w:val="00281816"/>
    <w:rsid w:val="002818B0"/>
    <w:rsid w:val="002818F3"/>
    <w:rsid w:val="00281924"/>
    <w:rsid w:val="00281934"/>
    <w:rsid w:val="0028198E"/>
    <w:rsid w:val="00281A2B"/>
    <w:rsid w:val="00281A5A"/>
    <w:rsid w:val="00281B04"/>
    <w:rsid w:val="00281B69"/>
    <w:rsid w:val="00281BD7"/>
    <w:rsid w:val="00281C66"/>
    <w:rsid w:val="00281D31"/>
    <w:rsid w:val="00281D85"/>
    <w:rsid w:val="00281D9A"/>
    <w:rsid w:val="00281DA0"/>
    <w:rsid w:val="00281E4E"/>
    <w:rsid w:val="00281EAF"/>
    <w:rsid w:val="00281F05"/>
    <w:rsid w:val="00281F1B"/>
    <w:rsid w:val="00281F6A"/>
    <w:rsid w:val="00281FC5"/>
    <w:rsid w:val="00281FC6"/>
    <w:rsid w:val="00281FF9"/>
    <w:rsid w:val="00282009"/>
    <w:rsid w:val="0028205D"/>
    <w:rsid w:val="00282103"/>
    <w:rsid w:val="00282193"/>
    <w:rsid w:val="002822DD"/>
    <w:rsid w:val="00282404"/>
    <w:rsid w:val="0028246A"/>
    <w:rsid w:val="00282542"/>
    <w:rsid w:val="002825A1"/>
    <w:rsid w:val="002825CC"/>
    <w:rsid w:val="00282605"/>
    <w:rsid w:val="00282692"/>
    <w:rsid w:val="00282723"/>
    <w:rsid w:val="00282831"/>
    <w:rsid w:val="00282868"/>
    <w:rsid w:val="002828C2"/>
    <w:rsid w:val="00282A12"/>
    <w:rsid w:val="00282A54"/>
    <w:rsid w:val="00282B07"/>
    <w:rsid w:val="00282B40"/>
    <w:rsid w:val="00282C01"/>
    <w:rsid w:val="00282C2F"/>
    <w:rsid w:val="00282C3E"/>
    <w:rsid w:val="00282CA4"/>
    <w:rsid w:val="00282D72"/>
    <w:rsid w:val="00282D8C"/>
    <w:rsid w:val="00282DD8"/>
    <w:rsid w:val="00282E03"/>
    <w:rsid w:val="00282E7D"/>
    <w:rsid w:val="00282F3A"/>
    <w:rsid w:val="00282FBB"/>
    <w:rsid w:val="00283004"/>
    <w:rsid w:val="00283009"/>
    <w:rsid w:val="0028304A"/>
    <w:rsid w:val="0028305F"/>
    <w:rsid w:val="0028320B"/>
    <w:rsid w:val="00283248"/>
    <w:rsid w:val="002832E6"/>
    <w:rsid w:val="00283358"/>
    <w:rsid w:val="002833B9"/>
    <w:rsid w:val="002833E3"/>
    <w:rsid w:val="002833F9"/>
    <w:rsid w:val="002834BB"/>
    <w:rsid w:val="002834FC"/>
    <w:rsid w:val="0028356C"/>
    <w:rsid w:val="002835A7"/>
    <w:rsid w:val="002835DA"/>
    <w:rsid w:val="002835EC"/>
    <w:rsid w:val="0028367C"/>
    <w:rsid w:val="0028368C"/>
    <w:rsid w:val="0028377D"/>
    <w:rsid w:val="0028378B"/>
    <w:rsid w:val="002838E8"/>
    <w:rsid w:val="0028393C"/>
    <w:rsid w:val="00283987"/>
    <w:rsid w:val="00283A17"/>
    <w:rsid w:val="00283A2D"/>
    <w:rsid w:val="00283A88"/>
    <w:rsid w:val="00283AE7"/>
    <w:rsid w:val="00283B0D"/>
    <w:rsid w:val="00283B7F"/>
    <w:rsid w:val="00283BC2"/>
    <w:rsid w:val="00283C07"/>
    <w:rsid w:val="00283C17"/>
    <w:rsid w:val="00283CA8"/>
    <w:rsid w:val="00283CE1"/>
    <w:rsid w:val="00283CED"/>
    <w:rsid w:val="00283D5A"/>
    <w:rsid w:val="00283D60"/>
    <w:rsid w:val="00283E7D"/>
    <w:rsid w:val="00283E8C"/>
    <w:rsid w:val="00283EDC"/>
    <w:rsid w:val="00283EEA"/>
    <w:rsid w:val="0028404D"/>
    <w:rsid w:val="00284078"/>
    <w:rsid w:val="00284144"/>
    <w:rsid w:val="002841F8"/>
    <w:rsid w:val="002842ED"/>
    <w:rsid w:val="00284340"/>
    <w:rsid w:val="002843F0"/>
    <w:rsid w:val="00284457"/>
    <w:rsid w:val="0028453D"/>
    <w:rsid w:val="0028453F"/>
    <w:rsid w:val="00284554"/>
    <w:rsid w:val="002845AE"/>
    <w:rsid w:val="002846F9"/>
    <w:rsid w:val="00284702"/>
    <w:rsid w:val="0028474A"/>
    <w:rsid w:val="00284777"/>
    <w:rsid w:val="00284780"/>
    <w:rsid w:val="0028480E"/>
    <w:rsid w:val="0028484B"/>
    <w:rsid w:val="00284867"/>
    <w:rsid w:val="0028498F"/>
    <w:rsid w:val="002849E6"/>
    <w:rsid w:val="00284A45"/>
    <w:rsid w:val="00284A4D"/>
    <w:rsid w:val="00284B66"/>
    <w:rsid w:val="00284B6C"/>
    <w:rsid w:val="00284BE3"/>
    <w:rsid w:val="00284BF1"/>
    <w:rsid w:val="00284C19"/>
    <w:rsid w:val="00284C21"/>
    <w:rsid w:val="00284CDE"/>
    <w:rsid w:val="00284D86"/>
    <w:rsid w:val="00284DFC"/>
    <w:rsid w:val="00284E40"/>
    <w:rsid w:val="00284EB2"/>
    <w:rsid w:val="00284EC7"/>
    <w:rsid w:val="00284F0B"/>
    <w:rsid w:val="00285108"/>
    <w:rsid w:val="0028510A"/>
    <w:rsid w:val="00285199"/>
    <w:rsid w:val="002852F7"/>
    <w:rsid w:val="0028532A"/>
    <w:rsid w:val="00285462"/>
    <w:rsid w:val="0028546C"/>
    <w:rsid w:val="002854B0"/>
    <w:rsid w:val="002854B2"/>
    <w:rsid w:val="00285580"/>
    <w:rsid w:val="0028561D"/>
    <w:rsid w:val="002856A0"/>
    <w:rsid w:val="002856AA"/>
    <w:rsid w:val="00285742"/>
    <w:rsid w:val="0028580C"/>
    <w:rsid w:val="00285834"/>
    <w:rsid w:val="002858AC"/>
    <w:rsid w:val="002858F0"/>
    <w:rsid w:val="00285970"/>
    <w:rsid w:val="002859C8"/>
    <w:rsid w:val="002859DF"/>
    <w:rsid w:val="00285A22"/>
    <w:rsid w:val="00285A31"/>
    <w:rsid w:val="00285A4C"/>
    <w:rsid w:val="00285A59"/>
    <w:rsid w:val="00285A87"/>
    <w:rsid w:val="00285B8F"/>
    <w:rsid w:val="00285BB2"/>
    <w:rsid w:val="00285BB8"/>
    <w:rsid w:val="00285C90"/>
    <w:rsid w:val="00285C9A"/>
    <w:rsid w:val="00285CCC"/>
    <w:rsid w:val="00285D31"/>
    <w:rsid w:val="00285D5D"/>
    <w:rsid w:val="00285E01"/>
    <w:rsid w:val="00285E59"/>
    <w:rsid w:val="00285E82"/>
    <w:rsid w:val="00285EB5"/>
    <w:rsid w:val="00285EFB"/>
    <w:rsid w:val="00285F45"/>
    <w:rsid w:val="00285F59"/>
    <w:rsid w:val="00285F7E"/>
    <w:rsid w:val="00285FBB"/>
    <w:rsid w:val="00285FF0"/>
    <w:rsid w:val="00286021"/>
    <w:rsid w:val="00286061"/>
    <w:rsid w:val="002860D0"/>
    <w:rsid w:val="002860EE"/>
    <w:rsid w:val="00286120"/>
    <w:rsid w:val="00286123"/>
    <w:rsid w:val="00286169"/>
    <w:rsid w:val="00286260"/>
    <w:rsid w:val="002863D0"/>
    <w:rsid w:val="002864CD"/>
    <w:rsid w:val="002864E0"/>
    <w:rsid w:val="0028652D"/>
    <w:rsid w:val="00286541"/>
    <w:rsid w:val="00286573"/>
    <w:rsid w:val="002866D0"/>
    <w:rsid w:val="002867A7"/>
    <w:rsid w:val="002867C3"/>
    <w:rsid w:val="002867C9"/>
    <w:rsid w:val="0028684E"/>
    <w:rsid w:val="002868A4"/>
    <w:rsid w:val="002868D2"/>
    <w:rsid w:val="0028693E"/>
    <w:rsid w:val="0028699F"/>
    <w:rsid w:val="002869FB"/>
    <w:rsid w:val="00286A5A"/>
    <w:rsid w:val="00286A79"/>
    <w:rsid w:val="00286C31"/>
    <w:rsid w:val="00286C41"/>
    <w:rsid w:val="00286C5A"/>
    <w:rsid w:val="00286C8D"/>
    <w:rsid w:val="00286D05"/>
    <w:rsid w:val="00286D84"/>
    <w:rsid w:val="00286D86"/>
    <w:rsid w:val="00286F03"/>
    <w:rsid w:val="00286F2F"/>
    <w:rsid w:val="00286F5F"/>
    <w:rsid w:val="00286FC6"/>
    <w:rsid w:val="00286FCD"/>
    <w:rsid w:val="00287018"/>
    <w:rsid w:val="002872B7"/>
    <w:rsid w:val="00287353"/>
    <w:rsid w:val="0028739C"/>
    <w:rsid w:val="002873AE"/>
    <w:rsid w:val="002873D0"/>
    <w:rsid w:val="0028760B"/>
    <w:rsid w:val="00287648"/>
    <w:rsid w:val="0028764B"/>
    <w:rsid w:val="00287696"/>
    <w:rsid w:val="00287744"/>
    <w:rsid w:val="0028783B"/>
    <w:rsid w:val="002878D9"/>
    <w:rsid w:val="00287919"/>
    <w:rsid w:val="00287936"/>
    <w:rsid w:val="002879C0"/>
    <w:rsid w:val="00287AF6"/>
    <w:rsid w:val="00287C71"/>
    <w:rsid w:val="00287D25"/>
    <w:rsid w:val="00287D53"/>
    <w:rsid w:val="00287D58"/>
    <w:rsid w:val="00287D6F"/>
    <w:rsid w:val="00287D90"/>
    <w:rsid w:val="00287DCB"/>
    <w:rsid w:val="00287DFA"/>
    <w:rsid w:val="00287E78"/>
    <w:rsid w:val="00287EF7"/>
    <w:rsid w:val="00287F0D"/>
    <w:rsid w:val="00287FAD"/>
    <w:rsid w:val="00287FE8"/>
    <w:rsid w:val="00290018"/>
    <w:rsid w:val="002900DA"/>
    <w:rsid w:val="0029014F"/>
    <w:rsid w:val="00290282"/>
    <w:rsid w:val="002902B7"/>
    <w:rsid w:val="002902D3"/>
    <w:rsid w:val="00290331"/>
    <w:rsid w:val="002903BC"/>
    <w:rsid w:val="002903C0"/>
    <w:rsid w:val="002903CB"/>
    <w:rsid w:val="00290430"/>
    <w:rsid w:val="0029043E"/>
    <w:rsid w:val="0029055D"/>
    <w:rsid w:val="002905C4"/>
    <w:rsid w:val="00290628"/>
    <w:rsid w:val="00290676"/>
    <w:rsid w:val="002906CF"/>
    <w:rsid w:val="00290753"/>
    <w:rsid w:val="002907B9"/>
    <w:rsid w:val="002907FF"/>
    <w:rsid w:val="0029085D"/>
    <w:rsid w:val="0029091A"/>
    <w:rsid w:val="002909C7"/>
    <w:rsid w:val="00290B0D"/>
    <w:rsid w:val="00290BCF"/>
    <w:rsid w:val="00290BEB"/>
    <w:rsid w:val="00290C59"/>
    <w:rsid w:val="00290C67"/>
    <w:rsid w:val="00290D0B"/>
    <w:rsid w:val="00290D73"/>
    <w:rsid w:val="00290D77"/>
    <w:rsid w:val="00290DA8"/>
    <w:rsid w:val="00290DB7"/>
    <w:rsid w:val="00290DBA"/>
    <w:rsid w:val="00290E1A"/>
    <w:rsid w:val="00290E2E"/>
    <w:rsid w:val="00290EDE"/>
    <w:rsid w:val="00290EE4"/>
    <w:rsid w:val="00290F25"/>
    <w:rsid w:val="00290F62"/>
    <w:rsid w:val="00290F8E"/>
    <w:rsid w:val="0029100F"/>
    <w:rsid w:val="00291080"/>
    <w:rsid w:val="002910C8"/>
    <w:rsid w:val="00291122"/>
    <w:rsid w:val="00291132"/>
    <w:rsid w:val="00291177"/>
    <w:rsid w:val="0029117E"/>
    <w:rsid w:val="00291182"/>
    <w:rsid w:val="0029136D"/>
    <w:rsid w:val="00291462"/>
    <w:rsid w:val="00291536"/>
    <w:rsid w:val="00291558"/>
    <w:rsid w:val="00291572"/>
    <w:rsid w:val="00291596"/>
    <w:rsid w:val="002915B3"/>
    <w:rsid w:val="002915BE"/>
    <w:rsid w:val="002915D5"/>
    <w:rsid w:val="00291643"/>
    <w:rsid w:val="00291667"/>
    <w:rsid w:val="0029168B"/>
    <w:rsid w:val="0029169B"/>
    <w:rsid w:val="002916CE"/>
    <w:rsid w:val="0029176A"/>
    <w:rsid w:val="002917CD"/>
    <w:rsid w:val="00291805"/>
    <w:rsid w:val="0029184D"/>
    <w:rsid w:val="0029187C"/>
    <w:rsid w:val="002918BD"/>
    <w:rsid w:val="00291923"/>
    <w:rsid w:val="00291999"/>
    <w:rsid w:val="00291AD9"/>
    <w:rsid w:val="00291AFC"/>
    <w:rsid w:val="00291B28"/>
    <w:rsid w:val="00291B3C"/>
    <w:rsid w:val="00291B3F"/>
    <w:rsid w:val="00291B49"/>
    <w:rsid w:val="00291BE0"/>
    <w:rsid w:val="00291C7B"/>
    <w:rsid w:val="00291CA0"/>
    <w:rsid w:val="00291D00"/>
    <w:rsid w:val="00291D3C"/>
    <w:rsid w:val="00291D8D"/>
    <w:rsid w:val="00291E9C"/>
    <w:rsid w:val="00291F2D"/>
    <w:rsid w:val="00291F57"/>
    <w:rsid w:val="00291F8F"/>
    <w:rsid w:val="00292022"/>
    <w:rsid w:val="0029203D"/>
    <w:rsid w:val="0029204D"/>
    <w:rsid w:val="002921AE"/>
    <w:rsid w:val="002921E8"/>
    <w:rsid w:val="00292219"/>
    <w:rsid w:val="0029221F"/>
    <w:rsid w:val="00292368"/>
    <w:rsid w:val="00292374"/>
    <w:rsid w:val="002923C4"/>
    <w:rsid w:val="0029240D"/>
    <w:rsid w:val="0029243D"/>
    <w:rsid w:val="00292446"/>
    <w:rsid w:val="0029245E"/>
    <w:rsid w:val="002924EC"/>
    <w:rsid w:val="00292503"/>
    <w:rsid w:val="0029260E"/>
    <w:rsid w:val="00292772"/>
    <w:rsid w:val="0029277C"/>
    <w:rsid w:val="00292785"/>
    <w:rsid w:val="00292792"/>
    <w:rsid w:val="002927AF"/>
    <w:rsid w:val="002927C0"/>
    <w:rsid w:val="002927D1"/>
    <w:rsid w:val="002927FC"/>
    <w:rsid w:val="002928AB"/>
    <w:rsid w:val="002928AD"/>
    <w:rsid w:val="002928BE"/>
    <w:rsid w:val="00292912"/>
    <w:rsid w:val="00292956"/>
    <w:rsid w:val="002929E3"/>
    <w:rsid w:val="00292A04"/>
    <w:rsid w:val="00292B16"/>
    <w:rsid w:val="00292B5C"/>
    <w:rsid w:val="00292B8F"/>
    <w:rsid w:val="00292BD7"/>
    <w:rsid w:val="00292BE8"/>
    <w:rsid w:val="00292BFA"/>
    <w:rsid w:val="00292D1B"/>
    <w:rsid w:val="00292D97"/>
    <w:rsid w:val="00292DE4"/>
    <w:rsid w:val="00292E04"/>
    <w:rsid w:val="00292EBF"/>
    <w:rsid w:val="00292EDF"/>
    <w:rsid w:val="00292FA4"/>
    <w:rsid w:val="002930AE"/>
    <w:rsid w:val="00293213"/>
    <w:rsid w:val="0029325A"/>
    <w:rsid w:val="0029327A"/>
    <w:rsid w:val="002933C8"/>
    <w:rsid w:val="002933EB"/>
    <w:rsid w:val="002934A7"/>
    <w:rsid w:val="00293610"/>
    <w:rsid w:val="00293628"/>
    <w:rsid w:val="00293657"/>
    <w:rsid w:val="002936C7"/>
    <w:rsid w:val="00293733"/>
    <w:rsid w:val="0029384B"/>
    <w:rsid w:val="00293853"/>
    <w:rsid w:val="00293892"/>
    <w:rsid w:val="002938B1"/>
    <w:rsid w:val="002938CF"/>
    <w:rsid w:val="0029395A"/>
    <w:rsid w:val="002939B7"/>
    <w:rsid w:val="002939BE"/>
    <w:rsid w:val="002939E1"/>
    <w:rsid w:val="002939EC"/>
    <w:rsid w:val="00293A8A"/>
    <w:rsid w:val="00293BF9"/>
    <w:rsid w:val="00293C37"/>
    <w:rsid w:val="00293C55"/>
    <w:rsid w:val="00293C81"/>
    <w:rsid w:val="00293CA7"/>
    <w:rsid w:val="00293CBB"/>
    <w:rsid w:val="00293CBE"/>
    <w:rsid w:val="00293CD5"/>
    <w:rsid w:val="00293DD5"/>
    <w:rsid w:val="00293E44"/>
    <w:rsid w:val="00293E49"/>
    <w:rsid w:val="00293E7A"/>
    <w:rsid w:val="00293F06"/>
    <w:rsid w:val="00293F0A"/>
    <w:rsid w:val="00293FD6"/>
    <w:rsid w:val="00294035"/>
    <w:rsid w:val="00294082"/>
    <w:rsid w:val="002940C0"/>
    <w:rsid w:val="002940EB"/>
    <w:rsid w:val="00294102"/>
    <w:rsid w:val="00294166"/>
    <w:rsid w:val="002941A2"/>
    <w:rsid w:val="002941D2"/>
    <w:rsid w:val="00294254"/>
    <w:rsid w:val="002942DC"/>
    <w:rsid w:val="00294327"/>
    <w:rsid w:val="00294442"/>
    <w:rsid w:val="00294462"/>
    <w:rsid w:val="002944ED"/>
    <w:rsid w:val="00294513"/>
    <w:rsid w:val="00294518"/>
    <w:rsid w:val="00294519"/>
    <w:rsid w:val="0029455A"/>
    <w:rsid w:val="00294592"/>
    <w:rsid w:val="00294634"/>
    <w:rsid w:val="0029465D"/>
    <w:rsid w:val="002946AB"/>
    <w:rsid w:val="002946D1"/>
    <w:rsid w:val="002946D3"/>
    <w:rsid w:val="00294725"/>
    <w:rsid w:val="0029479D"/>
    <w:rsid w:val="002947A8"/>
    <w:rsid w:val="00294885"/>
    <w:rsid w:val="002948CC"/>
    <w:rsid w:val="002948CE"/>
    <w:rsid w:val="002948E1"/>
    <w:rsid w:val="00294984"/>
    <w:rsid w:val="00294990"/>
    <w:rsid w:val="002949D1"/>
    <w:rsid w:val="00294A81"/>
    <w:rsid w:val="00294A9F"/>
    <w:rsid w:val="00294AA2"/>
    <w:rsid w:val="00294AC5"/>
    <w:rsid w:val="00294B30"/>
    <w:rsid w:val="00294B45"/>
    <w:rsid w:val="00294B77"/>
    <w:rsid w:val="00294B99"/>
    <w:rsid w:val="00294BB1"/>
    <w:rsid w:val="00294BF8"/>
    <w:rsid w:val="00294BFF"/>
    <w:rsid w:val="00294C1F"/>
    <w:rsid w:val="00294D27"/>
    <w:rsid w:val="00294D86"/>
    <w:rsid w:val="00294DB5"/>
    <w:rsid w:val="00294DE7"/>
    <w:rsid w:val="00294DF8"/>
    <w:rsid w:val="00294E35"/>
    <w:rsid w:val="00294E6F"/>
    <w:rsid w:val="00294E7A"/>
    <w:rsid w:val="00294EC6"/>
    <w:rsid w:val="00294F19"/>
    <w:rsid w:val="00294F5B"/>
    <w:rsid w:val="00294F79"/>
    <w:rsid w:val="00294FAD"/>
    <w:rsid w:val="00294FE0"/>
    <w:rsid w:val="0029500C"/>
    <w:rsid w:val="0029500F"/>
    <w:rsid w:val="00295076"/>
    <w:rsid w:val="00295092"/>
    <w:rsid w:val="00295121"/>
    <w:rsid w:val="002952DE"/>
    <w:rsid w:val="00295318"/>
    <w:rsid w:val="00295344"/>
    <w:rsid w:val="002953FB"/>
    <w:rsid w:val="002953FD"/>
    <w:rsid w:val="00295496"/>
    <w:rsid w:val="002955AF"/>
    <w:rsid w:val="00295617"/>
    <w:rsid w:val="0029566B"/>
    <w:rsid w:val="002956A1"/>
    <w:rsid w:val="002956B9"/>
    <w:rsid w:val="002956EE"/>
    <w:rsid w:val="00295747"/>
    <w:rsid w:val="0029579A"/>
    <w:rsid w:val="00295843"/>
    <w:rsid w:val="0029586B"/>
    <w:rsid w:val="00295872"/>
    <w:rsid w:val="002958DB"/>
    <w:rsid w:val="002959D2"/>
    <w:rsid w:val="00295A6D"/>
    <w:rsid w:val="00295A72"/>
    <w:rsid w:val="00295A8D"/>
    <w:rsid w:val="00295AE0"/>
    <w:rsid w:val="00295C05"/>
    <w:rsid w:val="00295CCA"/>
    <w:rsid w:val="00295CD9"/>
    <w:rsid w:val="00295D40"/>
    <w:rsid w:val="00295D6B"/>
    <w:rsid w:val="00295E78"/>
    <w:rsid w:val="00295EBD"/>
    <w:rsid w:val="00295ED2"/>
    <w:rsid w:val="00295F03"/>
    <w:rsid w:val="00295F40"/>
    <w:rsid w:val="00295F6E"/>
    <w:rsid w:val="00295FA5"/>
    <w:rsid w:val="00296089"/>
    <w:rsid w:val="002960AE"/>
    <w:rsid w:val="0029623F"/>
    <w:rsid w:val="002962C1"/>
    <w:rsid w:val="00296342"/>
    <w:rsid w:val="002963AB"/>
    <w:rsid w:val="00296488"/>
    <w:rsid w:val="002964A6"/>
    <w:rsid w:val="002965D5"/>
    <w:rsid w:val="00296699"/>
    <w:rsid w:val="00296707"/>
    <w:rsid w:val="00296715"/>
    <w:rsid w:val="002967A2"/>
    <w:rsid w:val="002967FE"/>
    <w:rsid w:val="00296813"/>
    <w:rsid w:val="002968BF"/>
    <w:rsid w:val="002968D4"/>
    <w:rsid w:val="00296916"/>
    <w:rsid w:val="00296922"/>
    <w:rsid w:val="002969C8"/>
    <w:rsid w:val="002969E6"/>
    <w:rsid w:val="00296A1F"/>
    <w:rsid w:val="00296AC0"/>
    <w:rsid w:val="00296AFA"/>
    <w:rsid w:val="00296B03"/>
    <w:rsid w:val="00296B1B"/>
    <w:rsid w:val="00296B21"/>
    <w:rsid w:val="00296B90"/>
    <w:rsid w:val="00296C21"/>
    <w:rsid w:val="00296C3B"/>
    <w:rsid w:val="00296C59"/>
    <w:rsid w:val="00296C92"/>
    <w:rsid w:val="00296CDD"/>
    <w:rsid w:val="00296D5B"/>
    <w:rsid w:val="00296D94"/>
    <w:rsid w:val="00296DD5"/>
    <w:rsid w:val="00296DFF"/>
    <w:rsid w:val="00296E4A"/>
    <w:rsid w:val="00296E9A"/>
    <w:rsid w:val="00296EE1"/>
    <w:rsid w:val="00296EF2"/>
    <w:rsid w:val="00296F90"/>
    <w:rsid w:val="00297060"/>
    <w:rsid w:val="00297073"/>
    <w:rsid w:val="00297076"/>
    <w:rsid w:val="00297082"/>
    <w:rsid w:val="002970E0"/>
    <w:rsid w:val="00297236"/>
    <w:rsid w:val="00297349"/>
    <w:rsid w:val="002973A6"/>
    <w:rsid w:val="002973CC"/>
    <w:rsid w:val="002973CF"/>
    <w:rsid w:val="002973D0"/>
    <w:rsid w:val="002973D9"/>
    <w:rsid w:val="00297441"/>
    <w:rsid w:val="002974AB"/>
    <w:rsid w:val="002974C7"/>
    <w:rsid w:val="00297630"/>
    <w:rsid w:val="00297740"/>
    <w:rsid w:val="0029776C"/>
    <w:rsid w:val="002977B7"/>
    <w:rsid w:val="00297873"/>
    <w:rsid w:val="00297884"/>
    <w:rsid w:val="002978B3"/>
    <w:rsid w:val="002978FE"/>
    <w:rsid w:val="00297935"/>
    <w:rsid w:val="00297A88"/>
    <w:rsid w:val="00297AFB"/>
    <w:rsid w:val="00297B6C"/>
    <w:rsid w:val="00297B93"/>
    <w:rsid w:val="00297BCD"/>
    <w:rsid w:val="00297BD4"/>
    <w:rsid w:val="00297C3C"/>
    <w:rsid w:val="00297DC6"/>
    <w:rsid w:val="00297E4B"/>
    <w:rsid w:val="00297E5A"/>
    <w:rsid w:val="00297E6A"/>
    <w:rsid w:val="00297E7B"/>
    <w:rsid w:val="00297E7D"/>
    <w:rsid w:val="00297F4F"/>
    <w:rsid w:val="00297FE9"/>
    <w:rsid w:val="002A0016"/>
    <w:rsid w:val="002A0028"/>
    <w:rsid w:val="002A008E"/>
    <w:rsid w:val="002A011F"/>
    <w:rsid w:val="002A0178"/>
    <w:rsid w:val="002A0184"/>
    <w:rsid w:val="002A01FA"/>
    <w:rsid w:val="002A0230"/>
    <w:rsid w:val="002A0358"/>
    <w:rsid w:val="002A037F"/>
    <w:rsid w:val="002A03ED"/>
    <w:rsid w:val="002A03F9"/>
    <w:rsid w:val="002A0411"/>
    <w:rsid w:val="002A0421"/>
    <w:rsid w:val="002A0471"/>
    <w:rsid w:val="002A048D"/>
    <w:rsid w:val="002A04B4"/>
    <w:rsid w:val="002A0554"/>
    <w:rsid w:val="002A058A"/>
    <w:rsid w:val="002A05C8"/>
    <w:rsid w:val="002A06E1"/>
    <w:rsid w:val="002A06EA"/>
    <w:rsid w:val="002A0848"/>
    <w:rsid w:val="002A0884"/>
    <w:rsid w:val="002A0965"/>
    <w:rsid w:val="002A0990"/>
    <w:rsid w:val="002A0A61"/>
    <w:rsid w:val="002A0AAD"/>
    <w:rsid w:val="002A0B2A"/>
    <w:rsid w:val="002A0B56"/>
    <w:rsid w:val="002A0C96"/>
    <w:rsid w:val="002A0CAE"/>
    <w:rsid w:val="002A0D21"/>
    <w:rsid w:val="002A0DC0"/>
    <w:rsid w:val="002A0DEA"/>
    <w:rsid w:val="002A0EA0"/>
    <w:rsid w:val="002A0EA8"/>
    <w:rsid w:val="002A0EB0"/>
    <w:rsid w:val="002A0EE3"/>
    <w:rsid w:val="002A0F1E"/>
    <w:rsid w:val="002A0F24"/>
    <w:rsid w:val="002A105F"/>
    <w:rsid w:val="002A10DE"/>
    <w:rsid w:val="002A10E9"/>
    <w:rsid w:val="002A1118"/>
    <w:rsid w:val="002A1141"/>
    <w:rsid w:val="002A117F"/>
    <w:rsid w:val="002A11AB"/>
    <w:rsid w:val="002A1243"/>
    <w:rsid w:val="002A1250"/>
    <w:rsid w:val="002A125E"/>
    <w:rsid w:val="002A12E3"/>
    <w:rsid w:val="002A1315"/>
    <w:rsid w:val="002A1386"/>
    <w:rsid w:val="002A138F"/>
    <w:rsid w:val="002A13A3"/>
    <w:rsid w:val="002A13C8"/>
    <w:rsid w:val="002A142B"/>
    <w:rsid w:val="002A145B"/>
    <w:rsid w:val="002A14A0"/>
    <w:rsid w:val="002A14A8"/>
    <w:rsid w:val="002A14E0"/>
    <w:rsid w:val="002A150F"/>
    <w:rsid w:val="002A1535"/>
    <w:rsid w:val="002A1621"/>
    <w:rsid w:val="002A1732"/>
    <w:rsid w:val="002A1745"/>
    <w:rsid w:val="002A1773"/>
    <w:rsid w:val="002A17FD"/>
    <w:rsid w:val="002A1803"/>
    <w:rsid w:val="002A182E"/>
    <w:rsid w:val="002A1866"/>
    <w:rsid w:val="002A18A2"/>
    <w:rsid w:val="002A18BE"/>
    <w:rsid w:val="002A1990"/>
    <w:rsid w:val="002A1A6A"/>
    <w:rsid w:val="002A1A9B"/>
    <w:rsid w:val="002A1AA5"/>
    <w:rsid w:val="002A1AC5"/>
    <w:rsid w:val="002A1ADF"/>
    <w:rsid w:val="002A1AFE"/>
    <w:rsid w:val="002A1B47"/>
    <w:rsid w:val="002A1B4D"/>
    <w:rsid w:val="002A1B6A"/>
    <w:rsid w:val="002A1B9B"/>
    <w:rsid w:val="002A1BEA"/>
    <w:rsid w:val="002A1C44"/>
    <w:rsid w:val="002A1C90"/>
    <w:rsid w:val="002A1D29"/>
    <w:rsid w:val="002A1D31"/>
    <w:rsid w:val="002A1D8F"/>
    <w:rsid w:val="002A1EE5"/>
    <w:rsid w:val="002A1FF6"/>
    <w:rsid w:val="002A2088"/>
    <w:rsid w:val="002A20A6"/>
    <w:rsid w:val="002A210E"/>
    <w:rsid w:val="002A2129"/>
    <w:rsid w:val="002A2185"/>
    <w:rsid w:val="002A2187"/>
    <w:rsid w:val="002A219B"/>
    <w:rsid w:val="002A226C"/>
    <w:rsid w:val="002A2293"/>
    <w:rsid w:val="002A2314"/>
    <w:rsid w:val="002A236E"/>
    <w:rsid w:val="002A2458"/>
    <w:rsid w:val="002A249E"/>
    <w:rsid w:val="002A24C9"/>
    <w:rsid w:val="002A24CB"/>
    <w:rsid w:val="002A24E7"/>
    <w:rsid w:val="002A2503"/>
    <w:rsid w:val="002A253B"/>
    <w:rsid w:val="002A25B6"/>
    <w:rsid w:val="002A2601"/>
    <w:rsid w:val="002A26A8"/>
    <w:rsid w:val="002A26CA"/>
    <w:rsid w:val="002A2703"/>
    <w:rsid w:val="002A2758"/>
    <w:rsid w:val="002A27CA"/>
    <w:rsid w:val="002A27DB"/>
    <w:rsid w:val="002A282D"/>
    <w:rsid w:val="002A2841"/>
    <w:rsid w:val="002A2861"/>
    <w:rsid w:val="002A2874"/>
    <w:rsid w:val="002A287E"/>
    <w:rsid w:val="002A291F"/>
    <w:rsid w:val="002A296E"/>
    <w:rsid w:val="002A29BD"/>
    <w:rsid w:val="002A29F4"/>
    <w:rsid w:val="002A2A90"/>
    <w:rsid w:val="002A2B09"/>
    <w:rsid w:val="002A2B22"/>
    <w:rsid w:val="002A2B4D"/>
    <w:rsid w:val="002A2B5C"/>
    <w:rsid w:val="002A2BA1"/>
    <w:rsid w:val="002A2C06"/>
    <w:rsid w:val="002A2C43"/>
    <w:rsid w:val="002A2CA0"/>
    <w:rsid w:val="002A2CA9"/>
    <w:rsid w:val="002A2D62"/>
    <w:rsid w:val="002A2DF5"/>
    <w:rsid w:val="002A2E75"/>
    <w:rsid w:val="002A2EA2"/>
    <w:rsid w:val="002A2EDE"/>
    <w:rsid w:val="002A3070"/>
    <w:rsid w:val="002A309C"/>
    <w:rsid w:val="002A313D"/>
    <w:rsid w:val="002A31D9"/>
    <w:rsid w:val="002A323E"/>
    <w:rsid w:val="002A336A"/>
    <w:rsid w:val="002A33F1"/>
    <w:rsid w:val="002A344B"/>
    <w:rsid w:val="002A344D"/>
    <w:rsid w:val="002A34D9"/>
    <w:rsid w:val="002A35C7"/>
    <w:rsid w:val="002A36F6"/>
    <w:rsid w:val="002A36FE"/>
    <w:rsid w:val="002A378F"/>
    <w:rsid w:val="002A37E1"/>
    <w:rsid w:val="002A389A"/>
    <w:rsid w:val="002A389F"/>
    <w:rsid w:val="002A38AF"/>
    <w:rsid w:val="002A38CE"/>
    <w:rsid w:val="002A38E2"/>
    <w:rsid w:val="002A38EE"/>
    <w:rsid w:val="002A3956"/>
    <w:rsid w:val="002A39EE"/>
    <w:rsid w:val="002A39F3"/>
    <w:rsid w:val="002A3A7F"/>
    <w:rsid w:val="002A3B61"/>
    <w:rsid w:val="002A3B7E"/>
    <w:rsid w:val="002A3B9B"/>
    <w:rsid w:val="002A3BD3"/>
    <w:rsid w:val="002A3C07"/>
    <w:rsid w:val="002A3C78"/>
    <w:rsid w:val="002A3CB9"/>
    <w:rsid w:val="002A3CE0"/>
    <w:rsid w:val="002A3DCB"/>
    <w:rsid w:val="002A3E21"/>
    <w:rsid w:val="002A3E76"/>
    <w:rsid w:val="002A3EB0"/>
    <w:rsid w:val="002A3F69"/>
    <w:rsid w:val="002A3F79"/>
    <w:rsid w:val="002A3FA5"/>
    <w:rsid w:val="002A4000"/>
    <w:rsid w:val="002A403E"/>
    <w:rsid w:val="002A4084"/>
    <w:rsid w:val="002A416A"/>
    <w:rsid w:val="002A4237"/>
    <w:rsid w:val="002A427B"/>
    <w:rsid w:val="002A42B9"/>
    <w:rsid w:val="002A42F8"/>
    <w:rsid w:val="002A4339"/>
    <w:rsid w:val="002A444F"/>
    <w:rsid w:val="002A4476"/>
    <w:rsid w:val="002A45AE"/>
    <w:rsid w:val="002A462F"/>
    <w:rsid w:val="002A46AE"/>
    <w:rsid w:val="002A46CA"/>
    <w:rsid w:val="002A46D8"/>
    <w:rsid w:val="002A4890"/>
    <w:rsid w:val="002A48B6"/>
    <w:rsid w:val="002A49F8"/>
    <w:rsid w:val="002A4A46"/>
    <w:rsid w:val="002A4A49"/>
    <w:rsid w:val="002A4A53"/>
    <w:rsid w:val="002A4ACE"/>
    <w:rsid w:val="002A4AD6"/>
    <w:rsid w:val="002A4B2F"/>
    <w:rsid w:val="002A4B33"/>
    <w:rsid w:val="002A4B6D"/>
    <w:rsid w:val="002A4B72"/>
    <w:rsid w:val="002A4BAD"/>
    <w:rsid w:val="002A4C0D"/>
    <w:rsid w:val="002A4C11"/>
    <w:rsid w:val="002A4C36"/>
    <w:rsid w:val="002A4CAC"/>
    <w:rsid w:val="002A4D65"/>
    <w:rsid w:val="002A4E23"/>
    <w:rsid w:val="002A4EAA"/>
    <w:rsid w:val="002A4F75"/>
    <w:rsid w:val="002A5069"/>
    <w:rsid w:val="002A5077"/>
    <w:rsid w:val="002A50FD"/>
    <w:rsid w:val="002A513D"/>
    <w:rsid w:val="002A52EE"/>
    <w:rsid w:val="002A5365"/>
    <w:rsid w:val="002A53A3"/>
    <w:rsid w:val="002A53BE"/>
    <w:rsid w:val="002A5407"/>
    <w:rsid w:val="002A54B6"/>
    <w:rsid w:val="002A54E6"/>
    <w:rsid w:val="002A56E6"/>
    <w:rsid w:val="002A56E8"/>
    <w:rsid w:val="002A56FA"/>
    <w:rsid w:val="002A57A3"/>
    <w:rsid w:val="002A57E3"/>
    <w:rsid w:val="002A581B"/>
    <w:rsid w:val="002A58BB"/>
    <w:rsid w:val="002A5925"/>
    <w:rsid w:val="002A59CB"/>
    <w:rsid w:val="002A5A54"/>
    <w:rsid w:val="002A5B37"/>
    <w:rsid w:val="002A5BD5"/>
    <w:rsid w:val="002A5C99"/>
    <w:rsid w:val="002A5DE2"/>
    <w:rsid w:val="002A5E41"/>
    <w:rsid w:val="002A5F19"/>
    <w:rsid w:val="002A5F23"/>
    <w:rsid w:val="002A5F3F"/>
    <w:rsid w:val="002A5F6D"/>
    <w:rsid w:val="002A5F70"/>
    <w:rsid w:val="002A5FEB"/>
    <w:rsid w:val="002A6004"/>
    <w:rsid w:val="002A607D"/>
    <w:rsid w:val="002A61F5"/>
    <w:rsid w:val="002A6256"/>
    <w:rsid w:val="002A62BB"/>
    <w:rsid w:val="002A6309"/>
    <w:rsid w:val="002A633F"/>
    <w:rsid w:val="002A649D"/>
    <w:rsid w:val="002A64CA"/>
    <w:rsid w:val="002A6507"/>
    <w:rsid w:val="002A6540"/>
    <w:rsid w:val="002A6551"/>
    <w:rsid w:val="002A6574"/>
    <w:rsid w:val="002A65B5"/>
    <w:rsid w:val="002A65CB"/>
    <w:rsid w:val="002A65E3"/>
    <w:rsid w:val="002A66A2"/>
    <w:rsid w:val="002A6751"/>
    <w:rsid w:val="002A679C"/>
    <w:rsid w:val="002A67A6"/>
    <w:rsid w:val="002A67AC"/>
    <w:rsid w:val="002A6885"/>
    <w:rsid w:val="002A68B5"/>
    <w:rsid w:val="002A695D"/>
    <w:rsid w:val="002A696C"/>
    <w:rsid w:val="002A696E"/>
    <w:rsid w:val="002A69E5"/>
    <w:rsid w:val="002A6A0A"/>
    <w:rsid w:val="002A6B10"/>
    <w:rsid w:val="002A6B21"/>
    <w:rsid w:val="002A6B3E"/>
    <w:rsid w:val="002A6B52"/>
    <w:rsid w:val="002A6BE8"/>
    <w:rsid w:val="002A6C3C"/>
    <w:rsid w:val="002A6C93"/>
    <w:rsid w:val="002A6D52"/>
    <w:rsid w:val="002A6FA2"/>
    <w:rsid w:val="002A7141"/>
    <w:rsid w:val="002A7196"/>
    <w:rsid w:val="002A72C1"/>
    <w:rsid w:val="002A7397"/>
    <w:rsid w:val="002A73F6"/>
    <w:rsid w:val="002A7438"/>
    <w:rsid w:val="002A7464"/>
    <w:rsid w:val="002A7484"/>
    <w:rsid w:val="002A749A"/>
    <w:rsid w:val="002A74E7"/>
    <w:rsid w:val="002A7537"/>
    <w:rsid w:val="002A75DA"/>
    <w:rsid w:val="002A7620"/>
    <w:rsid w:val="002A7653"/>
    <w:rsid w:val="002A76AE"/>
    <w:rsid w:val="002A77B0"/>
    <w:rsid w:val="002A77E8"/>
    <w:rsid w:val="002A77EA"/>
    <w:rsid w:val="002A7809"/>
    <w:rsid w:val="002A7915"/>
    <w:rsid w:val="002A79CD"/>
    <w:rsid w:val="002A7A8B"/>
    <w:rsid w:val="002A7A9F"/>
    <w:rsid w:val="002A7AEC"/>
    <w:rsid w:val="002A7B4A"/>
    <w:rsid w:val="002A7C13"/>
    <w:rsid w:val="002A7CAF"/>
    <w:rsid w:val="002A7CBF"/>
    <w:rsid w:val="002A7D14"/>
    <w:rsid w:val="002A7D79"/>
    <w:rsid w:val="002A7DE1"/>
    <w:rsid w:val="002A7DF5"/>
    <w:rsid w:val="002A7E00"/>
    <w:rsid w:val="002A7E9C"/>
    <w:rsid w:val="002A7EAF"/>
    <w:rsid w:val="002A7F5C"/>
    <w:rsid w:val="002A7F86"/>
    <w:rsid w:val="002B0022"/>
    <w:rsid w:val="002B0090"/>
    <w:rsid w:val="002B00A7"/>
    <w:rsid w:val="002B00B0"/>
    <w:rsid w:val="002B0142"/>
    <w:rsid w:val="002B020D"/>
    <w:rsid w:val="002B024D"/>
    <w:rsid w:val="002B02AC"/>
    <w:rsid w:val="002B032D"/>
    <w:rsid w:val="002B03A9"/>
    <w:rsid w:val="002B042E"/>
    <w:rsid w:val="002B043C"/>
    <w:rsid w:val="002B0486"/>
    <w:rsid w:val="002B0495"/>
    <w:rsid w:val="002B04B5"/>
    <w:rsid w:val="002B04DF"/>
    <w:rsid w:val="002B0569"/>
    <w:rsid w:val="002B057D"/>
    <w:rsid w:val="002B0630"/>
    <w:rsid w:val="002B068B"/>
    <w:rsid w:val="002B06B6"/>
    <w:rsid w:val="002B06C0"/>
    <w:rsid w:val="002B06CB"/>
    <w:rsid w:val="002B0769"/>
    <w:rsid w:val="002B077E"/>
    <w:rsid w:val="002B07B7"/>
    <w:rsid w:val="002B07BA"/>
    <w:rsid w:val="002B08AB"/>
    <w:rsid w:val="002B08C6"/>
    <w:rsid w:val="002B0919"/>
    <w:rsid w:val="002B0A17"/>
    <w:rsid w:val="002B0A57"/>
    <w:rsid w:val="002B0A7F"/>
    <w:rsid w:val="002B0A96"/>
    <w:rsid w:val="002B0A9B"/>
    <w:rsid w:val="002B0B1B"/>
    <w:rsid w:val="002B0B21"/>
    <w:rsid w:val="002B0B7C"/>
    <w:rsid w:val="002B0BFB"/>
    <w:rsid w:val="002B0C53"/>
    <w:rsid w:val="002B0C6D"/>
    <w:rsid w:val="002B0C93"/>
    <w:rsid w:val="002B0CC6"/>
    <w:rsid w:val="002B0CD6"/>
    <w:rsid w:val="002B0D0C"/>
    <w:rsid w:val="002B0DEB"/>
    <w:rsid w:val="002B0DF2"/>
    <w:rsid w:val="002B0E0C"/>
    <w:rsid w:val="002B0E4A"/>
    <w:rsid w:val="002B0E83"/>
    <w:rsid w:val="002B0F43"/>
    <w:rsid w:val="002B0FF1"/>
    <w:rsid w:val="002B10A7"/>
    <w:rsid w:val="002B115C"/>
    <w:rsid w:val="002B1227"/>
    <w:rsid w:val="002B1349"/>
    <w:rsid w:val="002B1384"/>
    <w:rsid w:val="002B1410"/>
    <w:rsid w:val="002B1514"/>
    <w:rsid w:val="002B1575"/>
    <w:rsid w:val="002B1653"/>
    <w:rsid w:val="002B1660"/>
    <w:rsid w:val="002B167E"/>
    <w:rsid w:val="002B174D"/>
    <w:rsid w:val="002B17CA"/>
    <w:rsid w:val="002B180C"/>
    <w:rsid w:val="002B1864"/>
    <w:rsid w:val="002B19E0"/>
    <w:rsid w:val="002B1A0E"/>
    <w:rsid w:val="002B1A36"/>
    <w:rsid w:val="002B1A78"/>
    <w:rsid w:val="002B1A89"/>
    <w:rsid w:val="002B1ACF"/>
    <w:rsid w:val="002B1B6F"/>
    <w:rsid w:val="002B1CC7"/>
    <w:rsid w:val="002B1DD4"/>
    <w:rsid w:val="002B1E17"/>
    <w:rsid w:val="002B1E75"/>
    <w:rsid w:val="002B1E8B"/>
    <w:rsid w:val="002B1E90"/>
    <w:rsid w:val="002B1EB9"/>
    <w:rsid w:val="002B1F0A"/>
    <w:rsid w:val="002B1F19"/>
    <w:rsid w:val="002B1F3E"/>
    <w:rsid w:val="002B1F65"/>
    <w:rsid w:val="002B200B"/>
    <w:rsid w:val="002B2029"/>
    <w:rsid w:val="002B2078"/>
    <w:rsid w:val="002B2080"/>
    <w:rsid w:val="002B220E"/>
    <w:rsid w:val="002B22C2"/>
    <w:rsid w:val="002B2304"/>
    <w:rsid w:val="002B2312"/>
    <w:rsid w:val="002B236E"/>
    <w:rsid w:val="002B238C"/>
    <w:rsid w:val="002B23EE"/>
    <w:rsid w:val="002B243D"/>
    <w:rsid w:val="002B2471"/>
    <w:rsid w:val="002B2540"/>
    <w:rsid w:val="002B2566"/>
    <w:rsid w:val="002B26AE"/>
    <w:rsid w:val="002B26DE"/>
    <w:rsid w:val="002B26E3"/>
    <w:rsid w:val="002B2815"/>
    <w:rsid w:val="002B2829"/>
    <w:rsid w:val="002B2867"/>
    <w:rsid w:val="002B28A6"/>
    <w:rsid w:val="002B28C1"/>
    <w:rsid w:val="002B2A04"/>
    <w:rsid w:val="002B2A06"/>
    <w:rsid w:val="002B2A96"/>
    <w:rsid w:val="002B2AD5"/>
    <w:rsid w:val="002B2AF3"/>
    <w:rsid w:val="002B2BF2"/>
    <w:rsid w:val="002B2CA5"/>
    <w:rsid w:val="002B2CEE"/>
    <w:rsid w:val="002B2CF3"/>
    <w:rsid w:val="002B2D5B"/>
    <w:rsid w:val="002B2E38"/>
    <w:rsid w:val="002B2EF2"/>
    <w:rsid w:val="002B2F04"/>
    <w:rsid w:val="002B2F46"/>
    <w:rsid w:val="002B2F6D"/>
    <w:rsid w:val="002B2F85"/>
    <w:rsid w:val="002B2FE9"/>
    <w:rsid w:val="002B303C"/>
    <w:rsid w:val="002B30A1"/>
    <w:rsid w:val="002B316D"/>
    <w:rsid w:val="002B31D3"/>
    <w:rsid w:val="002B3265"/>
    <w:rsid w:val="002B32B6"/>
    <w:rsid w:val="002B32CF"/>
    <w:rsid w:val="002B32E7"/>
    <w:rsid w:val="002B331C"/>
    <w:rsid w:val="002B339A"/>
    <w:rsid w:val="002B33B9"/>
    <w:rsid w:val="002B347F"/>
    <w:rsid w:val="002B3502"/>
    <w:rsid w:val="002B3567"/>
    <w:rsid w:val="002B3606"/>
    <w:rsid w:val="002B3629"/>
    <w:rsid w:val="002B3655"/>
    <w:rsid w:val="002B3681"/>
    <w:rsid w:val="002B3696"/>
    <w:rsid w:val="002B36B9"/>
    <w:rsid w:val="002B3774"/>
    <w:rsid w:val="002B378A"/>
    <w:rsid w:val="002B3873"/>
    <w:rsid w:val="002B38C5"/>
    <w:rsid w:val="002B38D1"/>
    <w:rsid w:val="002B38E6"/>
    <w:rsid w:val="002B38EA"/>
    <w:rsid w:val="002B38F0"/>
    <w:rsid w:val="002B38FB"/>
    <w:rsid w:val="002B3A32"/>
    <w:rsid w:val="002B3C9E"/>
    <w:rsid w:val="002B3CBD"/>
    <w:rsid w:val="002B3CDD"/>
    <w:rsid w:val="002B3D08"/>
    <w:rsid w:val="002B3D54"/>
    <w:rsid w:val="002B3D7C"/>
    <w:rsid w:val="002B3E93"/>
    <w:rsid w:val="002B3EC1"/>
    <w:rsid w:val="002B3F63"/>
    <w:rsid w:val="002B3F7E"/>
    <w:rsid w:val="002B3F80"/>
    <w:rsid w:val="002B3FD0"/>
    <w:rsid w:val="002B4010"/>
    <w:rsid w:val="002B407E"/>
    <w:rsid w:val="002B40CB"/>
    <w:rsid w:val="002B41AA"/>
    <w:rsid w:val="002B41AF"/>
    <w:rsid w:val="002B41F1"/>
    <w:rsid w:val="002B422E"/>
    <w:rsid w:val="002B425A"/>
    <w:rsid w:val="002B4268"/>
    <w:rsid w:val="002B4292"/>
    <w:rsid w:val="002B42C1"/>
    <w:rsid w:val="002B441B"/>
    <w:rsid w:val="002B45C2"/>
    <w:rsid w:val="002B45D4"/>
    <w:rsid w:val="002B45FB"/>
    <w:rsid w:val="002B461A"/>
    <w:rsid w:val="002B462E"/>
    <w:rsid w:val="002B4762"/>
    <w:rsid w:val="002B4782"/>
    <w:rsid w:val="002B47F2"/>
    <w:rsid w:val="002B4852"/>
    <w:rsid w:val="002B492B"/>
    <w:rsid w:val="002B49AE"/>
    <w:rsid w:val="002B4A10"/>
    <w:rsid w:val="002B4ACF"/>
    <w:rsid w:val="002B4AFE"/>
    <w:rsid w:val="002B4B9F"/>
    <w:rsid w:val="002B4BA3"/>
    <w:rsid w:val="002B4C2B"/>
    <w:rsid w:val="002B4C4D"/>
    <w:rsid w:val="002B4C81"/>
    <w:rsid w:val="002B4CA7"/>
    <w:rsid w:val="002B4D38"/>
    <w:rsid w:val="002B4EA7"/>
    <w:rsid w:val="002B4EE0"/>
    <w:rsid w:val="002B4F21"/>
    <w:rsid w:val="002B4F5D"/>
    <w:rsid w:val="002B5078"/>
    <w:rsid w:val="002B51F6"/>
    <w:rsid w:val="002B52A4"/>
    <w:rsid w:val="002B52D4"/>
    <w:rsid w:val="002B5390"/>
    <w:rsid w:val="002B540B"/>
    <w:rsid w:val="002B5431"/>
    <w:rsid w:val="002B5462"/>
    <w:rsid w:val="002B546E"/>
    <w:rsid w:val="002B551D"/>
    <w:rsid w:val="002B553B"/>
    <w:rsid w:val="002B554B"/>
    <w:rsid w:val="002B5566"/>
    <w:rsid w:val="002B55A2"/>
    <w:rsid w:val="002B55CF"/>
    <w:rsid w:val="002B55E0"/>
    <w:rsid w:val="002B561E"/>
    <w:rsid w:val="002B5628"/>
    <w:rsid w:val="002B57CC"/>
    <w:rsid w:val="002B582B"/>
    <w:rsid w:val="002B5834"/>
    <w:rsid w:val="002B5875"/>
    <w:rsid w:val="002B5896"/>
    <w:rsid w:val="002B59AA"/>
    <w:rsid w:val="002B5A53"/>
    <w:rsid w:val="002B5AC2"/>
    <w:rsid w:val="002B5ADA"/>
    <w:rsid w:val="002B5B5E"/>
    <w:rsid w:val="002B5B76"/>
    <w:rsid w:val="002B5B7A"/>
    <w:rsid w:val="002B5B96"/>
    <w:rsid w:val="002B5C54"/>
    <w:rsid w:val="002B5C77"/>
    <w:rsid w:val="002B5D4D"/>
    <w:rsid w:val="002B5E0B"/>
    <w:rsid w:val="002B5F17"/>
    <w:rsid w:val="002B5F1E"/>
    <w:rsid w:val="002B5FFF"/>
    <w:rsid w:val="002B60E8"/>
    <w:rsid w:val="002B6102"/>
    <w:rsid w:val="002B610B"/>
    <w:rsid w:val="002B613A"/>
    <w:rsid w:val="002B61E2"/>
    <w:rsid w:val="002B6257"/>
    <w:rsid w:val="002B626B"/>
    <w:rsid w:val="002B62F5"/>
    <w:rsid w:val="002B634C"/>
    <w:rsid w:val="002B635E"/>
    <w:rsid w:val="002B6366"/>
    <w:rsid w:val="002B6495"/>
    <w:rsid w:val="002B6536"/>
    <w:rsid w:val="002B65DB"/>
    <w:rsid w:val="002B6635"/>
    <w:rsid w:val="002B6661"/>
    <w:rsid w:val="002B667C"/>
    <w:rsid w:val="002B6694"/>
    <w:rsid w:val="002B6764"/>
    <w:rsid w:val="002B681A"/>
    <w:rsid w:val="002B6822"/>
    <w:rsid w:val="002B682D"/>
    <w:rsid w:val="002B68E5"/>
    <w:rsid w:val="002B6AB1"/>
    <w:rsid w:val="002B6ACF"/>
    <w:rsid w:val="002B6B4C"/>
    <w:rsid w:val="002B6B68"/>
    <w:rsid w:val="002B6BA1"/>
    <w:rsid w:val="002B6BE1"/>
    <w:rsid w:val="002B6D80"/>
    <w:rsid w:val="002B6E02"/>
    <w:rsid w:val="002B6ED2"/>
    <w:rsid w:val="002B6F6E"/>
    <w:rsid w:val="002B6FA0"/>
    <w:rsid w:val="002B7019"/>
    <w:rsid w:val="002B7043"/>
    <w:rsid w:val="002B7073"/>
    <w:rsid w:val="002B71B9"/>
    <w:rsid w:val="002B71BC"/>
    <w:rsid w:val="002B71F9"/>
    <w:rsid w:val="002B7299"/>
    <w:rsid w:val="002B740D"/>
    <w:rsid w:val="002B743E"/>
    <w:rsid w:val="002B7452"/>
    <w:rsid w:val="002B7469"/>
    <w:rsid w:val="002B7484"/>
    <w:rsid w:val="002B74B2"/>
    <w:rsid w:val="002B74EB"/>
    <w:rsid w:val="002B75F8"/>
    <w:rsid w:val="002B76FD"/>
    <w:rsid w:val="002B7723"/>
    <w:rsid w:val="002B7747"/>
    <w:rsid w:val="002B7777"/>
    <w:rsid w:val="002B777E"/>
    <w:rsid w:val="002B78EB"/>
    <w:rsid w:val="002B78FC"/>
    <w:rsid w:val="002B7984"/>
    <w:rsid w:val="002B7A07"/>
    <w:rsid w:val="002B7A57"/>
    <w:rsid w:val="002B7BF4"/>
    <w:rsid w:val="002B7C02"/>
    <w:rsid w:val="002B7CA3"/>
    <w:rsid w:val="002B7CBA"/>
    <w:rsid w:val="002B7D15"/>
    <w:rsid w:val="002B7D18"/>
    <w:rsid w:val="002B7D7E"/>
    <w:rsid w:val="002B7E42"/>
    <w:rsid w:val="002B7E46"/>
    <w:rsid w:val="002B7EF4"/>
    <w:rsid w:val="002B7FC1"/>
    <w:rsid w:val="002B7FC8"/>
    <w:rsid w:val="002C007D"/>
    <w:rsid w:val="002C022F"/>
    <w:rsid w:val="002C023F"/>
    <w:rsid w:val="002C025B"/>
    <w:rsid w:val="002C03A2"/>
    <w:rsid w:val="002C03D5"/>
    <w:rsid w:val="002C042E"/>
    <w:rsid w:val="002C0487"/>
    <w:rsid w:val="002C0536"/>
    <w:rsid w:val="002C0552"/>
    <w:rsid w:val="002C0574"/>
    <w:rsid w:val="002C061F"/>
    <w:rsid w:val="002C062B"/>
    <w:rsid w:val="002C066D"/>
    <w:rsid w:val="002C0693"/>
    <w:rsid w:val="002C069D"/>
    <w:rsid w:val="002C06AE"/>
    <w:rsid w:val="002C06D1"/>
    <w:rsid w:val="002C071D"/>
    <w:rsid w:val="002C07A6"/>
    <w:rsid w:val="002C0852"/>
    <w:rsid w:val="002C0856"/>
    <w:rsid w:val="002C086E"/>
    <w:rsid w:val="002C0879"/>
    <w:rsid w:val="002C0899"/>
    <w:rsid w:val="002C0925"/>
    <w:rsid w:val="002C094D"/>
    <w:rsid w:val="002C0A01"/>
    <w:rsid w:val="002C0A1A"/>
    <w:rsid w:val="002C0A33"/>
    <w:rsid w:val="002C0A4F"/>
    <w:rsid w:val="002C0A69"/>
    <w:rsid w:val="002C0AF8"/>
    <w:rsid w:val="002C0C29"/>
    <w:rsid w:val="002C0D56"/>
    <w:rsid w:val="002C0DDB"/>
    <w:rsid w:val="002C0DE7"/>
    <w:rsid w:val="002C0E88"/>
    <w:rsid w:val="002C0FBD"/>
    <w:rsid w:val="002C0FED"/>
    <w:rsid w:val="002C1029"/>
    <w:rsid w:val="002C1052"/>
    <w:rsid w:val="002C10E9"/>
    <w:rsid w:val="002C1117"/>
    <w:rsid w:val="002C1125"/>
    <w:rsid w:val="002C1157"/>
    <w:rsid w:val="002C11A9"/>
    <w:rsid w:val="002C11CA"/>
    <w:rsid w:val="002C11F7"/>
    <w:rsid w:val="002C123E"/>
    <w:rsid w:val="002C1264"/>
    <w:rsid w:val="002C128D"/>
    <w:rsid w:val="002C12F5"/>
    <w:rsid w:val="002C1314"/>
    <w:rsid w:val="002C1340"/>
    <w:rsid w:val="002C1380"/>
    <w:rsid w:val="002C13A6"/>
    <w:rsid w:val="002C1461"/>
    <w:rsid w:val="002C1485"/>
    <w:rsid w:val="002C14B3"/>
    <w:rsid w:val="002C14EC"/>
    <w:rsid w:val="002C160A"/>
    <w:rsid w:val="002C163E"/>
    <w:rsid w:val="002C16EE"/>
    <w:rsid w:val="002C182B"/>
    <w:rsid w:val="002C187D"/>
    <w:rsid w:val="002C1929"/>
    <w:rsid w:val="002C1936"/>
    <w:rsid w:val="002C1961"/>
    <w:rsid w:val="002C19D1"/>
    <w:rsid w:val="002C1A1C"/>
    <w:rsid w:val="002C1A64"/>
    <w:rsid w:val="002C1A8D"/>
    <w:rsid w:val="002C1B67"/>
    <w:rsid w:val="002C1BF3"/>
    <w:rsid w:val="002C1C75"/>
    <w:rsid w:val="002C1DAA"/>
    <w:rsid w:val="002C1DDA"/>
    <w:rsid w:val="002C1E16"/>
    <w:rsid w:val="002C1E72"/>
    <w:rsid w:val="002C1EDD"/>
    <w:rsid w:val="002C1FF7"/>
    <w:rsid w:val="002C2018"/>
    <w:rsid w:val="002C20A6"/>
    <w:rsid w:val="002C215A"/>
    <w:rsid w:val="002C215F"/>
    <w:rsid w:val="002C21D8"/>
    <w:rsid w:val="002C21E9"/>
    <w:rsid w:val="002C21F4"/>
    <w:rsid w:val="002C2225"/>
    <w:rsid w:val="002C2233"/>
    <w:rsid w:val="002C227A"/>
    <w:rsid w:val="002C2280"/>
    <w:rsid w:val="002C22FC"/>
    <w:rsid w:val="002C2314"/>
    <w:rsid w:val="002C236E"/>
    <w:rsid w:val="002C23AE"/>
    <w:rsid w:val="002C23CD"/>
    <w:rsid w:val="002C23E0"/>
    <w:rsid w:val="002C245E"/>
    <w:rsid w:val="002C24BE"/>
    <w:rsid w:val="002C2504"/>
    <w:rsid w:val="002C254D"/>
    <w:rsid w:val="002C258D"/>
    <w:rsid w:val="002C25A4"/>
    <w:rsid w:val="002C25B8"/>
    <w:rsid w:val="002C263B"/>
    <w:rsid w:val="002C2687"/>
    <w:rsid w:val="002C2728"/>
    <w:rsid w:val="002C275F"/>
    <w:rsid w:val="002C279A"/>
    <w:rsid w:val="002C27FD"/>
    <w:rsid w:val="002C2804"/>
    <w:rsid w:val="002C2811"/>
    <w:rsid w:val="002C28A4"/>
    <w:rsid w:val="002C2932"/>
    <w:rsid w:val="002C2947"/>
    <w:rsid w:val="002C2965"/>
    <w:rsid w:val="002C29C6"/>
    <w:rsid w:val="002C2ACA"/>
    <w:rsid w:val="002C2AE4"/>
    <w:rsid w:val="002C2AEA"/>
    <w:rsid w:val="002C2B87"/>
    <w:rsid w:val="002C2BB0"/>
    <w:rsid w:val="002C2C71"/>
    <w:rsid w:val="002C2C7B"/>
    <w:rsid w:val="002C2CC1"/>
    <w:rsid w:val="002C2CED"/>
    <w:rsid w:val="002C2E09"/>
    <w:rsid w:val="002C2E80"/>
    <w:rsid w:val="002C2E86"/>
    <w:rsid w:val="002C2EFD"/>
    <w:rsid w:val="002C2F0F"/>
    <w:rsid w:val="002C2F25"/>
    <w:rsid w:val="002C2F47"/>
    <w:rsid w:val="002C2F49"/>
    <w:rsid w:val="002C2F9E"/>
    <w:rsid w:val="002C2FC0"/>
    <w:rsid w:val="002C2FE8"/>
    <w:rsid w:val="002C2FF8"/>
    <w:rsid w:val="002C3020"/>
    <w:rsid w:val="002C32BE"/>
    <w:rsid w:val="002C32E3"/>
    <w:rsid w:val="002C32EA"/>
    <w:rsid w:val="002C3410"/>
    <w:rsid w:val="002C36C2"/>
    <w:rsid w:val="002C37B5"/>
    <w:rsid w:val="002C37D1"/>
    <w:rsid w:val="002C385E"/>
    <w:rsid w:val="002C395D"/>
    <w:rsid w:val="002C39F1"/>
    <w:rsid w:val="002C3A40"/>
    <w:rsid w:val="002C3A46"/>
    <w:rsid w:val="002C3A48"/>
    <w:rsid w:val="002C3AAF"/>
    <w:rsid w:val="002C3B23"/>
    <w:rsid w:val="002C3B51"/>
    <w:rsid w:val="002C3BDA"/>
    <w:rsid w:val="002C3C7F"/>
    <w:rsid w:val="002C3D0C"/>
    <w:rsid w:val="002C3D78"/>
    <w:rsid w:val="002C3D7B"/>
    <w:rsid w:val="002C3E2A"/>
    <w:rsid w:val="002C3E48"/>
    <w:rsid w:val="002C3EA1"/>
    <w:rsid w:val="002C3F3D"/>
    <w:rsid w:val="002C3F5E"/>
    <w:rsid w:val="002C3F78"/>
    <w:rsid w:val="002C3FAB"/>
    <w:rsid w:val="002C3FE0"/>
    <w:rsid w:val="002C4048"/>
    <w:rsid w:val="002C4065"/>
    <w:rsid w:val="002C40C2"/>
    <w:rsid w:val="002C40D3"/>
    <w:rsid w:val="002C4149"/>
    <w:rsid w:val="002C4177"/>
    <w:rsid w:val="002C41AA"/>
    <w:rsid w:val="002C4236"/>
    <w:rsid w:val="002C4256"/>
    <w:rsid w:val="002C42EE"/>
    <w:rsid w:val="002C4406"/>
    <w:rsid w:val="002C443C"/>
    <w:rsid w:val="002C448E"/>
    <w:rsid w:val="002C44DA"/>
    <w:rsid w:val="002C4502"/>
    <w:rsid w:val="002C45B0"/>
    <w:rsid w:val="002C45E8"/>
    <w:rsid w:val="002C470B"/>
    <w:rsid w:val="002C47BA"/>
    <w:rsid w:val="002C47E4"/>
    <w:rsid w:val="002C481D"/>
    <w:rsid w:val="002C4856"/>
    <w:rsid w:val="002C490E"/>
    <w:rsid w:val="002C49CF"/>
    <w:rsid w:val="002C49DF"/>
    <w:rsid w:val="002C4AA3"/>
    <w:rsid w:val="002C4B10"/>
    <w:rsid w:val="002C4B76"/>
    <w:rsid w:val="002C4BEF"/>
    <w:rsid w:val="002C4C68"/>
    <w:rsid w:val="002C4CE9"/>
    <w:rsid w:val="002C4D1A"/>
    <w:rsid w:val="002C4DBB"/>
    <w:rsid w:val="002C4DFE"/>
    <w:rsid w:val="002C4F6D"/>
    <w:rsid w:val="002C5098"/>
    <w:rsid w:val="002C5232"/>
    <w:rsid w:val="002C5243"/>
    <w:rsid w:val="002C524A"/>
    <w:rsid w:val="002C5270"/>
    <w:rsid w:val="002C527F"/>
    <w:rsid w:val="002C534B"/>
    <w:rsid w:val="002C54D2"/>
    <w:rsid w:val="002C54E3"/>
    <w:rsid w:val="002C54F1"/>
    <w:rsid w:val="002C5537"/>
    <w:rsid w:val="002C5546"/>
    <w:rsid w:val="002C555D"/>
    <w:rsid w:val="002C5572"/>
    <w:rsid w:val="002C5596"/>
    <w:rsid w:val="002C56BC"/>
    <w:rsid w:val="002C5740"/>
    <w:rsid w:val="002C5764"/>
    <w:rsid w:val="002C57C1"/>
    <w:rsid w:val="002C57CD"/>
    <w:rsid w:val="002C5859"/>
    <w:rsid w:val="002C58BF"/>
    <w:rsid w:val="002C58E8"/>
    <w:rsid w:val="002C58FD"/>
    <w:rsid w:val="002C59A2"/>
    <w:rsid w:val="002C5A4F"/>
    <w:rsid w:val="002C5ACD"/>
    <w:rsid w:val="002C5AF8"/>
    <w:rsid w:val="002C5AFE"/>
    <w:rsid w:val="002C5B18"/>
    <w:rsid w:val="002C5B5A"/>
    <w:rsid w:val="002C5BD7"/>
    <w:rsid w:val="002C5C27"/>
    <w:rsid w:val="002C5C89"/>
    <w:rsid w:val="002C5C90"/>
    <w:rsid w:val="002C5CA5"/>
    <w:rsid w:val="002C5CC2"/>
    <w:rsid w:val="002C5CDD"/>
    <w:rsid w:val="002C5D82"/>
    <w:rsid w:val="002C5DBD"/>
    <w:rsid w:val="002C5DD6"/>
    <w:rsid w:val="002C5DED"/>
    <w:rsid w:val="002C5DFB"/>
    <w:rsid w:val="002C5E54"/>
    <w:rsid w:val="002C5EAF"/>
    <w:rsid w:val="002C5EE0"/>
    <w:rsid w:val="002C5EEA"/>
    <w:rsid w:val="002C6088"/>
    <w:rsid w:val="002C60FA"/>
    <w:rsid w:val="002C6158"/>
    <w:rsid w:val="002C6182"/>
    <w:rsid w:val="002C627B"/>
    <w:rsid w:val="002C628C"/>
    <w:rsid w:val="002C62DF"/>
    <w:rsid w:val="002C63E4"/>
    <w:rsid w:val="002C6417"/>
    <w:rsid w:val="002C6446"/>
    <w:rsid w:val="002C659C"/>
    <w:rsid w:val="002C65AD"/>
    <w:rsid w:val="002C65E6"/>
    <w:rsid w:val="002C65E7"/>
    <w:rsid w:val="002C6681"/>
    <w:rsid w:val="002C66CE"/>
    <w:rsid w:val="002C6711"/>
    <w:rsid w:val="002C6797"/>
    <w:rsid w:val="002C692E"/>
    <w:rsid w:val="002C6984"/>
    <w:rsid w:val="002C6A9A"/>
    <w:rsid w:val="002C6AC8"/>
    <w:rsid w:val="002C6B5C"/>
    <w:rsid w:val="002C6BBD"/>
    <w:rsid w:val="002C6C2D"/>
    <w:rsid w:val="002C6CBC"/>
    <w:rsid w:val="002C6CCD"/>
    <w:rsid w:val="002C6D14"/>
    <w:rsid w:val="002C6D2F"/>
    <w:rsid w:val="002C6D8D"/>
    <w:rsid w:val="002C6D9B"/>
    <w:rsid w:val="002C6DD2"/>
    <w:rsid w:val="002C6E63"/>
    <w:rsid w:val="002C6E66"/>
    <w:rsid w:val="002C6EF3"/>
    <w:rsid w:val="002C6F2E"/>
    <w:rsid w:val="002C6F43"/>
    <w:rsid w:val="002C6F6B"/>
    <w:rsid w:val="002C6FB3"/>
    <w:rsid w:val="002C6FD1"/>
    <w:rsid w:val="002C6FF8"/>
    <w:rsid w:val="002C6FFE"/>
    <w:rsid w:val="002C70C8"/>
    <w:rsid w:val="002C70CE"/>
    <w:rsid w:val="002C7111"/>
    <w:rsid w:val="002C7140"/>
    <w:rsid w:val="002C7162"/>
    <w:rsid w:val="002C7187"/>
    <w:rsid w:val="002C753D"/>
    <w:rsid w:val="002C7600"/>
    <w:rsid w:val="002C769C"/>
    <w:rsid w:val="002C77D3"/>
    <w:rsid w:val="002C77E6"/>
    <w:rsid w:val="002C789E"/>
    <w:rsid w:val="002C78AB"/>
    <w:rsid w:val="002C78D6"/>
    <w:rsid w:val="002C79FA"/>
    <w:rsid w:val="002C7A90"/>
    <w:rsid w:val="002C7AC3"/>
    <w:rsid w:val="002C7B8C"/>
    <w:rsid w:val="002C7B8E"/>
    <w:rsid w:val="002C7BBA"/>
    <w:rsid w:val="002C7BC4"/>
    <w:rsid w:val="002C7BD4"/>
    <w:rsid w:val="002C7C3D"/>
    <w:rsid w:val="002C7C79"/>
    <w:rsid w:val="002C7D2A"/>
    <w:rsid w:val="002C7D2F"/>
    <w:rsid w:val="002C7D7D"/>
    <w:rsid w:val="002C7DB5"/>
    <w:rsid w:val="002C7DE1"/>
    <w:rsid w:val="002C7E2E"/>
    <w:rsid w:val="002C7E73"/>
    <w:rsid w:val="002C7E97"/>
    <w:rsid w:val="002C7EA1"/>
    <w:rsid w:val="002C7F7A"/>
    <w:rsid w:val="002C7FDB"/>
    <w:rsid w:val="002D0070"/>
    <w:rsid w:val="002D0156"/>
    <w:rsid w:val="002D0244"/>
    <w:rsid w:val="002D0250"/>
    <w:rsid w:val="002D025D"/>
    <w:rsid w:val="002D02BF"/>
    <w:rsid w:val="002D02F7"/>
    <w:rsid w:val="002D033F"/>
    <w:rsid w:val="002D0361"/>
    <w:rsid w:val="002D0384"/>
    <w:rsid w:val="002D03C5"/>
    <w:rsid w:val="002D03F1"/>
    <w:rsid w:val="002D0419"/>
    <w:rsid w:val="002D0543"/>
    <w:rsid w:val="002D05B2"/>
    <w:rsid w:val="002D05EC"/>
    <w:rsid w:val="002D060A"/>
    <w:rsid w:val="002D063C"/>
    <w:rsid w:val="002D0691"/>
    <w:rsid w:val="002D06D3"/>
    <w:rsid w:val="002D06E7"/>
    <w:rsid w:val="002D06F1"/>
    <w:rsid w:val="002D075E"/>
    <w:rsid w:val="002D0797"/>
    <w:rsid w:val="002D079A"/>
    <w:rsid w:val="002D07C4"/>
    <w:rsid w:val="002D0809"/>
    <w:rsid w:val="002D0991"/>
    <w:rsid w:val="002D09D8"/>
    <w:rsid w:val="002D0AB7"/>
    <w:rsid w:val="002D0AE2"/>
    <w:rsid w:val="002D0B4F"/>
    <w:rsid w:val="002D0B7F"/>
    <w:rsid w:val="002D0BDF"/>
    <w:rsid w:val="002D0BFE"/>
    <w:rsid w:val="002D0C7F"/>
    <w:rsid w:val="002D0C99"/>
    <w:rsid w:val="002D0D51"/>
    <w:rsid w:val="002D0DEB"/>
    <w:rsid w:val="002D0E11"/>
    <w:rsid w:val="002D0ECE"/>
    <w:rsid w:val="002D0F26"/>
    <w:rsid w:val="002D0F64"/>
    <w:rsid w:val="002D1064"/>
    <w:rsid w:val="002D1099"/>
    <w:rsid w:val="002D10D7"/>
    <w:rsid w:val="002D10D8"/>
    <w:rsid w:val="002D10E2"/>
    <w:rsid w:val="002D11EF"/>
    <w:rsid w:val="002D11FA"/>
    <w:rsid w:val="002D122F"/>
    <w:rsid w:val="002D12BA"/>
    <w:rsid w:val="002D13BE"/>
    <w:rsid w:val="002D14BF"/>
    <w:rsid w:val="002D153F"/>
    <w:rsid w:val="002D154A"/>
    <w:rsid w:val="002D1587"/>
    <w:rsid w:val="002D15CD"/>
    <w:rsid w:val="002D15DC"/>
    <w:rsid w:val="002D1617"/>
    <w:rsid w:val="002D163D"/>
    <w:rsid w:val="002D165D"/>
    <w:rsid w:val="002D167F"/>
    <w:rsid w:val="002D16CF"/>
    <w:rsid w:val="002D178E"/>
    <w:rsid w:val="002D17D4"/>
    <w:rsid w:val="002D185C"/>
    <w:rsid w:val="002D185F"/>
    <w:rsid w:val="002D189B"/>
    <w:rsid w:val="002D18E0"/>
    <w:rsid w:val="002D18E5"/>
    <w:rsid w:val="002D1931"/>
    <w:rsid w:val="002D199B"/>
    <w:rsid w:val="002D1AD9"/>
    <w:rsid w:val="002D1B31"/>
    <w:rsid w:val="002D1C0E"/>
    <w:rsid w:val="002D1C68"/>
    <w:rsid w:val="002D1D52"/>
    <w:rsid w:val="002D1DC1"/>
    <w:rsid w:val="002D1DF2"/>
    <w:rsid w:val="002D1E24"/>
    <w:rsid w:val="002D1ECE"/>
    <w:rsid w:val="002D1EDB"/>
    <w:rsid w:val="002D1FF2"/>
    <w:rsid w:val="002D208F"/>
    <w:rsid w:val="002D2091"/>
    <w:rsid w:val="002D2122"/>
    <w:rsid w:val="002D2129"/>
    <w:rsid w:val="002D2131"/>
    <w:rsid w:val="002D21AF"/>
    <w:rsid w:val="002D21C9"/>
    <w:rsid w:val="002D220F"/>
    <w:rsid w:val="002D2222"/>
    <w:rsid w:val="002D22D8"/>
    <w:rsid w:val="002D23B3"/>
    <w:rsid w:val="002D23C2"/>
    <w:rsid w:val="002D23C4"/>
    <w:rsid w:val="002D23FA"/>
    <w:rsid w:val="002D2402"/>
    <w:rsid w:val="002D243D"/>
    <w:rsid w:val="002D254C"/>
    <w:rsid w:val="002D25F2"/>
    <w:rsid w:val="002D26CB"/>
    <w:rsid w:val="002D2701"/>
    <w:rsid w:val="002D278A"/>
    <w:rsid w:val="002D27C9"/>
    <w:rsid w:val="002D281F"/>
    <w:rsid w:val="002D28DC"/>
    <w:rsid w:val="002D2911"/>
    <w:rsid w:val="002D294B"/>
    <w:rsid w:val="002D297B"/>
    <w:rsid w:val="002D2B91"/>
    <w:rsid w:val="002D2BE1"/>
    <w:rsid w:val="002D2CE1"/>
    <w:rsid w:val="002D2D5B"/>
    <w:rsid w:val="002D2D67"/>
    <w:rsid w:val="002D2DCB"/>
    <w:rsid w:val="002D2EA1"/>
    <w:rsid w:val="002D2EEC"/>
    <w:rsid w:val="002D2F01"/>
    <w:rsid w:val="002D2F6C"/>
    <w:rsid w:val="002D2F94"/>
    <w:rsid w:val="002D2FBE"/>
    <w:rsid w:val="002D3005"/>
    <w:rsid w:val="002D309C"/>
    <w:rsid w:val="002D312F"/>
    <w:rsid w:val="002D313A"/>
    <w:rsid w:val="002D3196"/>
    <w:rsid w:val="002D31B5"/>
    <w:rsid w:val="002D31F9"/>
    <w:rsid w:val="002D321F"/>
    <w:rsid w:val="002D323B"/>
    <w:rsid w:val="002D339F"/>
    <w:rsid w:val="002D33E6"/>
    <w:rsid w:val="002D33F3"/>
    <w:rsid w:val="002D3408"/>
    <w:rsid w:val="002D340E"/>
    <w:rsid w:val="002D34D5"/>
    <w:rsid w:val="002D34F4"/>
    <w:rsid w:val="002D3587"/>
    <w:rsid w:val="002D3599"/>
    <w:rsid w:val="002D370E"/>
    <w:rsid w:val="002D3820"/>
    <w:rsid w:val="002D38A9"/>
    <w:rsid w:val="002D390F"/>
    <w:rsid w:val="002D3947"/>
    <w:rsid w:val="002D39C2"/>
    <w:rsid w:val="002D3A21"/>
    <w:rsid w:val="002D3AA3"/>
    <w:rsid w:val="002D3BB9"/>
    <w:rsid w:val="002D3BC5"/>
    <w:rsid w:val="002D3C37"/>
    <w:rsid w:val="002D3C9E"/>
    <w:rsid w:val="002D3CD5"/>
    <w:rsid w:val="002D3CD8"/>
    <w:rsid w:val="002D3D33"/>
    <w:rsid w:val="002D3DC5"/>
    <w:rsid w:val="002D3E5E"/>
    <w:rsid w:val="002D3E95"/>
    <w:rsid w:val="002D3EC8"/>
    <w:rsid w:val="002D3F40"/>
    <w:rsid w:val="002D3F6E"/>
    <w:rsid w:val="002D3FD1"/>
    <w:rsid w:val="002D404C"/>
    <w:rsid w:val="002D4200"/>
    <w:rsid w:val="002D4258"/>
    <w:rsid w:val="002D425E"/>
    <w:rsid w:val="002D42EC"/>
    <w:rsid w:val="002D43C2"/>
    <w:rsid w:val="002D43E4"/>
    <w:rsid w:val="002D4409"/>
    <w:rsid w:val="002D4414"/>
    <w:rsid w:val="002D44A0"/>
    <w:rsid w:val="002D45DD"/>
    <w:rsid w:val="002D4601"/>
    <w:rsid w:val="002D46D0"/>
    <w:rsid w:val="002D4781"/>
    <w:rsid w:val="002D47BC"/>
    <w:rsid w:val="002D4834"/>
    <w:rsid w:val="002D4843"/>
    <w:rsid w:val="002D487F"/>
    <w:rsid w:val="002D4886"/>
    <w:rsid w:val="002D4911"/>
    <w:rsid w:val="002D496B"/>
    <w:rsid w:val="002D497B"/>
    <w:rsid w:val="002D49AF"/>
    <w:rsid w:val="002D49CD"/>
    <w:rsid w:val="002D4A0C"/>
    <w:rsid w:val="002D4AC8"/>
    <w:rsid w:val="002D4CBA"/>
    <w:rsid w:val="002D4D12"/>
    <w:rsid w:val="002D4D1C"/>
    <w:rsid w:val="002D4D71"/>
    <w:rsid w:val="002D4E04"/>
    <w:rsid w:val="002D4F22"/>
    <w:rsid w:val="002D4F81"/>
    <w:rsid w:val="002D507A"/>
    <w:rsid w:val="002D5097"/>
    <w:rsid w:val="002D51DB"/>
    <w:rsid w:val="002D51DF"/>
    <w:rsid w:val="002D5225"/>
    <w:rsid w:val="002D5298"/>
    <w:rsid w:val="002D53AF"/>
    <w:rsid w:val="002D53F7"/>
    <w:rsid w:val="002D5409"/>
    <w:rsid w:val="002D547B"/>
    <w:rsid w:val="002D54C5"/>
    <w:rsid w:val="002D5512"/>
    <w:rsid w:val="002D552F"/>
    <w:rsid w:val="002D555C"/>
    <w:rsid w:val="002D5585"/>
    <w:rsid w:val="002D55E4"/>
    <w:rsid w:val="002D568D"/>
    <w:rsid w:val="002D56B3"/>
    <w:rsid w:val="002D5793"/>
    <w:rsid w:val="002D57B1"/>
    <w:rsid w:val="002D58DD"/>
    <w:rsid w:val="002D59ED"/>
    <w:rsid w:val="002D5A68"/>
    <w:rsid w:val="002D5AD4"/>
    <w:rsid w:val="002D5B23"/>
    <w:rsid w:val="002D5B25"/>
    <w:rsid w:val="002D5C2F"/>
    <w:rsid w:val="002D5C3B"/>
    <w:rsid w:val="002D5C73"/>
    <w:rsid w:val="002D5D0B"/>
    <w:rsid w:val="002D5D46"/>
    <w:rsid w:val="002D5DBE"/>
    <w:rsid w:val="002D5E01"/>
    <w:rsid w:val="002D5EB5"/>
    <w:rsid w:val="002D5ECD"/>
    <w:rsid w:val="002D60B8"/>
    <w:rsid w:val="002D6128"/>
    <w:rsid w:val="002D6187"/>
    <w:rsid w:val="002D619A"/>
    <w:rsid w:val="002D61D8"/>
    <w:rsid w:val="002D61E6"/>
    <w:rsid w:val="002D6235"/>
    <w:rsid w:val="002D6244"/>
    <w:rsid w:val="002D6268"/>
    <w:rsid w:val="002D627D"/>
    <w:rsid w:val="002D62C1"/>
    <w:rsid w:val="002D62E7"/>
    <w:rsid w:val="002D6378"/>
    <w:rsid w:val="002D63A5"/>
    <w:rsid w:val="002D63E3"/>
    <w:rsid w:val="002D642B"/>
    <w:rsid w:val="002D6502"/>
    <w:rsid w:val="002D65F9"/>
    <w:rsid w:val="002D66B1"/>
    <w:rsid w:val="002D66D6"/>
    <w:rsid w:val="002D6745"/>
    <w:rsid w:val="002D685F"/>
    <w:rsid w:val="002D68A5"/>
    <w:rsid w:val="002D690D"/>
    <w:rsid w:val="002D6941"/>
    <w:rsid w:val="002D6A6E"/>
    <w:rsid w:val="002D6AEE"/>
    <w:rsid w:val="002D6BF4"/>
    <w:rsid w:val="002D6C64"/>
    <w:rsid w:val="002D6CFC"/>
    <w:rsid w:val="002D6D1E"/>
    <w:rsid w:val="002D6EAC"/>
    <w:rsid w:val="002D6EDB"/>
    <w:rsid w:val="002D6F2F"/>
    <w:rsid w:val="002D6F7A"/>
    <w:rsid w:val="002D7032"/>
    <w:rsid w:val="002D703F"/>
    <w:rsid w:val="002D7065"/>
    <w:rsid w:val="002D7081"/>
    <w:rsid w:val="002D71F0"/>
    <w:rsid w:val="002D71FB"/>
    <w:rsid w:val="002D7241"/>
    <w:rsid w:val="002D7281"/>
    <w:rsid w:val="002D738A"/>
    <w:rsid w:val="002D73BF"/>
    <w:rsid w:val="002D73C4"/>
    <w:rsid w:val="002D73D1"/>
    <w:rsid w:val="002D7415"/>
    <w:rsid w:val="002D7437"/>
    <w:rsid w:val="002D74B7"/>
    <w:rsid w:val="002D7651"/>
    <w:rsid w:val="002D76C6"/>
    <w:rsid w:val="002D770D"/>
    <w:rsid w:val="002D7710"/>
    <w:rsid w:val="002D7720"/>
    <w:rsid w:val="002D775C"/>
    <w:rsid w:val="002D7769"/>
    <w:rsid w:val="002D77A1"/>
    <w:rsid w:val="002D77B0"/>
    <w:rsid w:val="002D7854"/>
    <w:rsid w:val="002D7908"/>
    <w:rsid w:val="002D7916"/>
    <w:rsid w:val="002D799B"/>
    <w:rsid w:val="002D7B21"/>
    <w:rsid w:val="002D7B72"/>
    <w:rsid w:val="002D7C43"/>
    <w:rsid w:val="002D7C68"/>
    <w:rsid w:val="002D7D1C"/>
    <w:rsid w:val="002D7D31"/>
    <w:rsid w:val="002D7E39"/>
    <w:rsid w:val="002D7E5E"/>
    <w:rsid w:val="002D7E7B"/>
    <w:rsid w:val="002D7EC5"/>
    <w:rsid w:val="002D7F03"/>
    <w:rsid w:val="002E000C"/>
    <w:rsid w:val="002E0014"/>
    <w:rsid w:val="002E0035"/>
    <w:rsid w:val="002E00EE"/>
    <w:rsid w:val="002E0154"/>
    <w:rsid w:val="002E0189"/>
    <w:rsid w:val="002E01C7"/>
    <w:rsid w:val="002E022E"/>
    <w:rsid w:val="002E023A"/>
    <w:rsid w:val="002E0295"/>
    <w:rsid w:val="002E02D8"/>
    <w:rsid w:val="002E02DB"/>
    <w:rsid w:val="002E03D4"/>
    <w:rsid w:val="002E042F"/>
    <w:rsid w:val="002E0436"/>
    <w:rsid w:val="002E04EB"/>
    <w:rsid w:val="002E050D"/>
    <w:rsid w:val="002E0528"/>
    <w:rsid w:val="002E05FD"/>
    <w:rsid w:val="002E0600"/>
    <w:rsid w:val="002E062F"/>
    <w:rsid w:val="002E074F"/>
    <w:rsid w:val="002E0793"/>
    <w:rsid w:val="002E0801"/>
    <w:rsid w:val="002E0846"/>
    <w:rsid w:val="002E086A"/>
    <w:rsid w:val="002E08C0"/>
    <w:rsid w:val="002E08DF"/>
    <w:rsid w:val="002E0921"/>
    <w:rsid w:val="002E0948"/>
    <w:rsid w:val="002E094C"/>
    <w:rsid w:val="002E09FD"/>
    <w:rsid w:val="002E0A1E"/>
    <w:rsid w:val="002E0A33"/>
    <w:rsid w:val="002E0A9B"/>
    <w:rsid w:val="002E0AA0"/>
    <w:rsid w:val="002E0AC4"/>
    <w:rsid w:val="002E0ACF"/>
    <w:rsid w:val="002E0B8E"/>
    <w:rsid w:val="002E0BBB"/>
    <w:rsid w:val="002E0BC5"/>
    <w:rsid w:val="002E0BF7"/>
    <w:rsid w:val="002E0C0B"/>
    <w:rsid w:val="002E0D30"/>
    <w:rsid w:val="002E0D73"/>
    <w:rsid w:val="002E0E05"/>
    <w:rsid w:val="002E0EA3"/>
    <w:rsid w:val="002E0EC3"/>
    <w:rsid w:val="002E0F8F"/>
    <w:rsid w:val="002E0FEE"/>
    <w:rsid w:val="002E1052"/>
    <w:rsid w:val="002E1076"/>
    <w:rsid w:val="002E117F"/>
    <w:rsid w:val="002E130C"/>
    <w:rsid w:val="002E1392"/>
    <w:rsid w:val="002E13F6"/>
    <w:rsid w:val="002E13FF"/>
    <w:rsid w:val="002E140A"/>
    <w:rsid w:val="002E1440"/>
    <w:rsid w:val="002E1533"/>
    <w:rsid w:val="002E161E"/>
    <w:rsid w:val="002E17C2"/>
    <w:rsid w:val="002E17DB"/>
    <w:rsid w:val="002E1862"/>
    <w:rsid w:val="002E18CC"/>
    <w:rsid w:val="002E18D7"/>
    <w:rsid w:val="002E18E5"/>
    <w:rsid w:val="002E18F1"/>
    <w:rsid w:val="002E1912"/>
    <w:rsid w:val="002E19DB"/>
    <w:rsid w:val="002E19EC"/>
    <w:rsid w:val="002E1AB2"/>
    <w:rsid w:val="002E1AEC"/>
    <w:rsid w:val="002E1B2D"/>
    <w:rsid w:val="002E1B5C"/>
    <w:rsid w:val="002E1BA5"/>
    <w:rsid w:val="002E1BAE"/>
    <w:rsid w:val="002E1BC3"/>
    <w:rsid w:val="002E1C71"/>
    <w:rsid w:val="002E1C97"/>
    <w:rsid w:val="002E1CA6"/>
    <w:rsid w:val="002E1DCE"/>
    <w:rsid w:val="002E1E45"/>
    <w:rsid w:val="002E1E61"/>
    <w:rsid w:val="002E1E63"/>
    <w:rsid w:val="002E1E7C"/>
    <w:rsid w:val="002E1E86"/>
    <w:rsid w:val="002E1ECF"/>
    <w:rsid w:val="002E1FC9"/>
    <w:rsid w:val="002E2029"/>
    <w:rsid w:val="002E20B2"/>
    <w:rsid w:val="002E20C9"/>
    <w:rsid w:val="002E2129"/>
    <w:rsid w:val="002E2182"/>
    <w:rsid w:val="002E21C7"/>
    <w:rsid w:val="002E2224"/>
    <w:rsid w:val="002E2227"/>
    <w:rsid w:val="002E23C4"/>
    <w:rsid w:val="002E2462"/>
    <w:rsid w:val="002E2478"/>
    <w:rsid w:val="002E24CB"/>
    <w:rsid w:val="002E24E0"/>
    <w:rsid w:val="002E24FA"/>
    <w:rsid w:val="002E253D"/>
    <w:rsid w:val="002E255C"/>
    <w:rsid w:val="002E2709"/>
    <w:rsid w:val="002E272F"/>
    <w:rsid w:val="002E278E"/>
    <w:rsid w:val="002E2794"/>
    <w:rsid w:val="002E2795"/>
    <w:rsid w:val="002E2812"/>
    <w:rsid w:val="002E284B"/>
    <w:rsid w:val="002E2855"/>
    <w:rsid w:val="002E28DA"/>
    <w:rsid w:val="002E28E8"/>
    <w:rsid w:val="002E2921"/>
    <w:rsid w:val="002E29E6"/>
    <w:rsid w:val="002E2A06"/>
    <w:rsid w:val="002E2A52"/>
    <w:rsid w:val="002E2AA7"/>
    <w:rsid w:val="002E2B00"/>
    <w:rsid w:val="002E2B18"/>
    <w:rsid w:val="002E2BD5"/>
    <w:rsid w:val="002E2CC8"/>
    <w:rsid w:val="002E2D7E"/>
    <w:rsid w:val="002E2E33"/>
    <w:rsid w:val="002E2E70"/>
    <w:rsid w:val="002E2E92"/>
    <w:rsid w:val="002E2EAB"/>
    <w:rsid w:val="002E2EC0"/>
    <w:rsid w:val="002E2F33"/>
    <w:rsid w:val="002E2FAA"/>
    <w:rsid w:val="002E3040"/>
    <w:rsid w:val="002E307A"/>
    <w:rsid w:val="002E307F"/>
    <w:rsid w:val="002E3098"/>
    <w:rsid w:val="002E30C9"/>
    <w:rsid w:val="002E319C"/>
    <w:rsid w:val="002E3228"/>
    <w:rsid w:val="002E32FA"/>
    <w:rsid w:val="002E32FC"/>
    <w:rsid w:val="002E33B5"/>
    <w:rsid w:val="002E33FE"/>
    <w:rsid w:val="002E3409"/>
    <w:rsid w:val="002E353A"/>
    <w:rsid w:val="002E35DC"/>
    <w:rsid w:val="002E3675"/>
    <w:rsid w:val="002E36EB"/>
    <w:rsid w:val="002E36EF"/>
    <w:rsid w:val="002E377B"/>
    <w:rsid w:val="002E37FB"/>
    <w:rsid w:val="002E3811"/>
    <w:rsid w:val="002E38A0"/>
    <w:rsid w:val="002E38B2"/>
    <w:rsid w:val="002E391E"/>
    <w:rsid w:val="002E3940"/>
    <w:rsid w:val="002E3994"/>
    <w:rsid w:val="002E39C7"/>
    <w:rsid w:val="002E3A76"/>
    <w:rsid w:val="002E3B83"/>
    <w:rsid w:val="002E3C19"/>
    <w:rsid w:val="002E3C3F"/>
    <w:rsid w:val="002E3CB0"/>
    <w:rsid w:val="002E3CDE"/>
    <w:rsid w:val="002E3D3A"/>
    <w:rsid w:val="002E3D3C"/>
    <w:rsid w:val="002E3E3E"/>
    <w:rsid w:val="002E3E89"/>
    <w:rsid w:val="002E3F01"/>
    <w:rsid w:val="002E3F29"/>
    <w:rsid w:val="002E3FD5"/>
    <w:rsid w:val="002E407A"/>
    <w:rsid w:val="002E41B7"/>
    <w:rsid w:val="002E41BA"/>
    <w:rsid w:val="002E424A"/>
    <w:rsid w:val="002E4268"/>
    <w:rsid w:val="002E42B0"/>
    <w:rsid w:val="002E42CD"/>
    <w:rsid w:val="002E43AB"/>
    <w:rsid w:val="002E43AC"/>
    <w:rsid w:val="002E4419"/>
    <w:rsid w:val="002E447C"/>
    <w:rsid w:val="002E46F4"/>
    <w:rsid w:val="002E471B"/>
    <w:rsid w:val="002E47D9"/>
    <w:rsid w:val="002E4814"/>
    <w:rsid w:val="002E4819"/>
    <w:rsid w:val="002E483D"/>
    <w:rsid w:val="002E483E"/>
    <w:rsid w:val="002E4864"/>
    <w:rsid w:val="002E48F2"/>
    <w:rsid w:val="002E4911"/>
    <w:rsid w:val="002E4914"/>
    <w:rsid w:val="002E4934"/>
    <w:rsid w:val="002E49DD"/>
    <w:rsid w:val="002E49F3"/>
    <w:rsid w:val="002E4A40"/>
    <w:rsid w:val="002E4A72"/>
    <w:rsid w:val="002E4ADA"/>
    <w:rsid w:val="002E4B38"/>
    <w:rsid w:val="002E4B3C"/>
    <w:rsid w:val="002E4C42"/>
    <w:rsid w:val="002E4D84"/>
    <w:rsid w:val="002E4D8E"/>
    <w:rsid w:val="002E4D91"/>
    <w:rsid w:val="002E4D98"/>
    <w:rsid w:val="002E4DDA"/>
    <w:rsid w:val="002E4E79"/>
    <w:rsid w:val="002E4E7F"/>
    <w:rsid w:val="002E4EC9"/>
    <w:rsid w:val="002E500C"/>
    <w:rsid w:val="002E50BA"/>
    <w:rsid w:val="002E5197"/>
    <w:rsid w:val="002E51E2"/>
    <w:rsid w:val="002E51F3"/>
    <w:rsid w:val="002E5208"/>
    <w:rsid w:val="002E520E"/>
    <w:rsid w:val="002E52DC"/>
    <w:rsid w:val="002E530F"/>
    <w:rsid w:val="002E53A3"/>
    <w:rsid w:val="002E53AF"/>
    <w:rsid w:val="002E53CD"/>
    <w:rsid w:val="002E5422"/>
    <w:rsid w:val="002E5424"/>
    <w:rsid w:val="002E54FF"/>
    <w:rsid w:val="002E55B3"/>
    <w:rsid w:val="002E55F6"/>
    <w:rsid w:val="002E5637"/>
    <w:rsid w:val="002E5677"/>
    <w:rsid w:val="002E569C"/>
    <w:rsid w:val="002E575A"/>
    <w:rsid w:val="002E577D"/>
    <w:rsid w:val="002E57A5"/>
    <w:rsid w:val="002E58CB"/>
    <w:rsid w:val="002E58EE"/>
    <w:rsid w:val="002E5994"/>
    <w:rsid w:val="002E59D9"/>
    <w:rsid w:val="002E5A05"/>
    <w:rsid w:val="002E5A20"/>
    <w:rsid w:val="002E5A7B"/>
    <w:rsid w:val="002E5AED"/>
    <w:rsid w:val="002E5B8E"/>
    <w:rsid w:val="002E5B9C"/>
    <w:rsid w:val="002E5C1D"/>
    <w:rsid w:val="002E5C6C"/>
    <w:rsid w:val="002E5C9D"/>
    <w:rsid w:val="002E5CB9"/>
    <w:rsid w:val="002E5D79"/>
    <w:rsid w:val="002E5F55"/>
    <w:rsid w:val="002E5F8D"/>
    <w:rsid w:val="002E6029"/>
    <w:rsid w:val="002E60B6"/>
    <w:rsid w:val="002E60D6"/>
    <w:rsid w:val="002E614C"/>
    <w:rsid w:val="002E619B"/>
    <w:rsid w:val="002E61DB"/>
    <w:rsid w:val="002E620C"/>
    <w:rsid w:val="002E621D"/>
    <w:rsid w:val="002E62DE"/>
    <w:rsid w:val="002E6323"/>
    <w:rsid w:val="002E634A"/>
    <w:rsid w:val="002E63FE"/>
    <w:rsid w:val="002E64D8"/>
    <w:rsid w:val="002E6560"/>
    <w:rsid w:val="002E65EF"/>
    <w:rsid w:val="002E66E8"/>
    <w:rsid w:val="002E670D"/>
    <w:rsid w:val="002E67A8"/>
    <w:rsid w:val="002E682E"/>
    <w:rsid w:val="002E6845"/>
    <w:rsid w:val="002E6878"/>
    <w:rsid w:val="002E688F"/>
    <w:rsid w:val="002E6927"/>
    <w:rsid w:val="002E6994"/>
    <w:rsid w:val="002E6A4C"/>
    <w:rsid w:val="002E6A8B"/>
    <w:rsid w:val="002E6ACB"/>
    <w:rsid w:val="002E6B16"/>
    <w:rsid w:val="002E6BA1"/>
    <w:rsid w:val="002E6C86"/>
    <w:rsid w:val="002E6CD4"/>
    <w:rsid w:val="002E6D8E"/>
    <w:rsid w:val="002E6E80"/>
    <w:rsid w:val="002E6EA9"/>
    <w:rsid w:val="002E6F3E"/>
    <w:rsid w:val="002E6F82"/>
    <w:rsid w:val="002E7019"/>
    <w:rsid w:val="002E703F"/>
    <w:rsid w:val="002E70DB"/>
    <w:rsid w:val="002E715C"/>
    <w:rsid w:val="002E7176"/>
    <w:rsid w:val="002E7274"/>
    <w:rsid w:val="002E73EB"/>
    <w:rsid w:val="002E7417"/>
    <w:rsid w:val="002E7464"/>
    <w:rsid w:val="002E7478"/>
    <w:rsid w:val="002E756B"/>
    <w:rsid w:val="002E756E"/>
    <w:rsid w:val="002E7611"/>
    <w:rsid w:val="002E769B"/>
    <w:rsid w:val="002E76C0"/>
    <w:rsid w:val="002E76DF"/>
    <w:rsid w:val="002E7775"/>
    <w:rsid w:val="002E77E4"/>
    <w:rsid w:val="002E788C"/>
    <w:rsid w:val="002E789C"/>
    <w:rsid w:val="002E78D2"/>
    <w:rsid w:val="002E7928"/>
    <w:rsid w:val="002E796B"/>
    <w:rsid w:val="002E7979"/>
    <w:rsid w:val="002E79A9"/>
    <w:rsid w:val="002E7A55"/>
    <w:rsid w:val="002E7AD2"/>
    <w:rsid w:val="002E7B9B"/>
    <w:rsid w:val="002E7BDB"/>
    <w:rsid w:val="002E7BF8"/>
    <w:rsid w:val="002E7C54"/>
    <w:rsid w:val="002E7C7F"/>
    <w:rsid w:val="002E7D11"/>
    <w:rsid w:val="002E7D71"/>
    <w:rsid w:val="002E7DE4"/>
    <w:rsid w:val="002E7F97"/>
    <w:rsid w:val="002E7FB7"/>
    <w:rsid w:val="002E7FF0"/>
    <w:rsid w:val="002E8AE6"/>
    <w:rsid w:val="002F0042"/>
    <w:rsid w:val="002F0325"/>
    <w:rsid w:val="002F0374"/>
    <w:rsid w:val="002F03B1"/>
    <w:rsid w:val="002F03C6"/>
    <w:rsid w:val="002F03C9"/>
    <w:rsid w:val="002F0446"/>
    <w:rsid w:val="002F04FF"/>
    <w:rsid w:val="002F060D"/>
    <w:rsid w:val="002F06B1"/>
    <w:rsid w:val="002F07AE"/>
    <w:rsid w:val="002F0886"/>
    <w:rsid w:val="002F088D"/>
    <w:rsid w:val="002F08AF"/>
    <w:rsid w:val="002F0906"/>
    <w:rsid w:val="002F0980"/>
    <w:rsid w:val="002F0A1C"/>
    <w:rsid w:val="002F0A4B"/>
    <w:rsid w:val="002F0B0F"/>
    <w:rsid w:val="002F0B30"/>
    <w:rsid w:val="002F0B7E"/>
    <w:rsid w:val="002F0B92"/>
    <w:rsid w:val="002F0BBB"/>
    <w:rsid w:val="002F0BDA"/>
    <w:rsid w:val="002F0BFD"/>
    <w:rsid w:val="002F0C27"/>
    <w:rsid w:val="002F0C28"/>
    <w:rsid w:val="002F0C45"/>
    <w:rsid w:val="002F0CD9"/>
    <w:rsid w:val="002F0CE9"/>
    <w:rsid w:val="002F0D16"/>
    <w:rsid w:val="002F0ECE"/>
    <w:rsid w:val="002F0F66"/>
    <w:rsid w:val="002F0F7D"/>
    <w:rsid w:val="002F10B2"/>
    <w:rsid w:val="002F117E"/>
    <w:rsid w:val="002F118A"/>
    <w:rsid w:val="002F1262"/>
    <w:rsid w:val="002F12EA"/>
    <w:rsid w:val="002F1399"/>
    <w:rsid w:val="002F143A"/>
    <w:rsid w:val="002F145E"/>
    <w:rsid w:val="002F14E2"/>
    <w:rsid w:val="002F1523"/>
    <w:rsid w:val="002F15A1"/>
    <w:rsid w:val="002F1601"/>
    <w:rsid w:val="002F1650"/>
    <w:rsid w:val="002F16BB"/>
    <w:rsid w:val="002F16E2"/>
    <w:rsid w:val="002F1789"/>
    <w:rsid w:val="002F17C1"/>
    <w:rsid w:val="002F17CB"/>
    <w:rsid w:val="002F1855"/>
    <w:rsid w:val="002F195D"/>
    <w:rsid w:val="002F1A6F"/>
    <w:rsid w:val="002F1A9F"/>
    <w:rsid w:val="002F1AB0"/>
    <w:rsid w:val="002F1AF3"/>
    <w:rsid w:val="002F1B08"/>
    <w:rsid w:val="002F1B37"/>
    <w:rsid w:val="002F1BD5"/>
    <w:rsid w:val="002F1BEE"/>
    <w:rsid w:val="002F1CAE"/>
    <w:rsid w:val="002F1CDB"/>
    <w:rsid w:val="002F1CE1"/>
    <w:rsid w:val="002F1DC7"/>
    <w:rsid w:val="002F1DD9"/>
    <w:rsid w:val="002F1E02"/>
    <w:rsid w:val="002F1F05"/>
    <w:rsid w:val="002F1F07"/>
    <w:rsid w:val="002F1FF1"/>
    <w:rsid w:val="002F20AA"/>
    <w:rsid w:val="002F21B6"/>
    <w:rsid w:val="002F21F1"/>
    <w:rsid w:val="002F22F7"/>
    <w:rsid w:val="002F2317"/>
    <w:rsid w:val="002F2323"/>
    <w:rsid w:val="002F23A5"/>
    <w:rsid w:val="002F23BB"/>
    <w:rsid w:val="002F23D6"/>
    <w:rsid w:val="002F2486"/>
    <w:rsid w:val="002F2530"/>
    <w:rsid w:val="002F2560"/>
    <w:rsid w:val="002F2568"/>
    <w:rsid w:val="002F266F"/>
    <w:rsid w:val="002F2682"/>
    <w:rsid w:val="002F26B7"/>
    <w:rsid w:val="002F2771"/>
    <w:rsid w:val="002F2841"/>
    <w:rsid w:val="002F2852"/>
    <w:rsid w:val="002F28E4"/>
    <w:rsid w:val="002F2911"/>
    <w:rsid w:val="002F2933"/>
    <w:rsid w:val="002F2963"/>
    <w:rsid w:val="002F297B"/>
    <w:rsid w:val="002F2990"/>
    <w:rsid w:val="002F2A35"/>
    <w:rsid w:val="002F2AC5"/>
    <w:rsid w:val="002F2AD6"/>
    <w:rsid w:val="002F2CB1"/>
    <w:rsid w:val="002F2D45"/>
    <w:rsid w:val="002F2D58"/>
    <w:rsid w:val="002F2DCB"/>
    <w:rsid w:val="002F2E20"/>
    <w:rsid w:val="002F2E26"/>
    <w:rsid w:val="002F2E6C"/>
    <w:rsid w:val="002F2EC0"/>
    <w:rsid w:val="002F2ECB"/>
    <w:rsid w:val="002F2F02"/>
    <w:rsid w:val="002F2FC3"/>
    <w:rsid w:val="002F2FD2"/>
    <w:rsid w:val="002F3032"/>
    <w:rsid w:val="002F3129"/>
    <w:rsid w:val="002F31B2"/>
    <w:rsid w:val="002F3224"/>
    <w:rsid w:val="002F3274"/>
    <w:rsid w:val="002F32A1"/>
    <w:rsid w:val="002F32E0"/>
    <w:rsid w:val="002F32FB"/>
    <w:rsid w:val="002F3305"/>
    <w:rsid w:val="002F330A"/>
    <w:rsid w:val="002F339D"/>
    <w:rsid w:val="002F33AA"/>
    <w:rsid w:val="002F3420"/>
    <w:rsid w:val="002F3448"/>
    <w:rsid w:val="002F34AE"/>
    <w:rsid w:val="002F34E9"/>
    <w:rsid w:val="002F3507"/>
    <w:rsid w:val="002F3617"/>
    <w:rsid w:val="002F3621"/>
    <w:rsid w:val="002F367A"/>
    <w:rsid w:val="002F36E3"/>
    <w:rsid w:val="002F372E"/>
    <w:rsid w:val="002F37D5"/>
    <w:rsid w:val="002F3987"/>
    <w:rsid w:val="002F39DE"/>
    <w:rsid w:val="002F3A01"/>
    <w:rsid w:val="002F3B1C"/>
    <w:rsid w:val="002F3B39"/>
    <w:rsid w:val="002F3B65"/>
    <w:rsid w:val="002F3B6B"/>
    <w:rsid w:val="002F3BB0"/>
    <w:rsid w:val="002F3BC1"/>
    <w:rsid w:val="002F3BED"/>
    <w:rsid w:val="002F3C29"/>
    <w:rsid w:val="002F3C50"/>
    <w:rsid w:val="002F3CE9"/>
    <w:rsid w:val="002F3D34"/>
    <w:rsid w:val="002F3E52"/>
    <w:rsid w:val="002F3E90"/>
    <w:rsid w:val="002F3F08"/>
    <w:rsid w:val="002F3F14"/>
    <w:rsid w:val="002F3FC1"/>
    <w:rsid w:val="002F417D"/>
    <w:rsid w:val="002F417F"/>
    <w:rsid w:val="002F41AC"/>
    <w:rsid w:val="002F42D2"/>
    <w:rsid w:val="002F4308"/>
    <w:rsid w:val="002F4373"/>
    <w:rsid w:val="002F4376"/>
    <w:rsid w:val="002F4399"/>
    <w:rsid w:val="002F4405"/>
    <w:rsid w:val="002F442F"/>
    <w:rsid w:val="002F4487"/>
    <w:rsid w:val="002F44D8"/>
    <w:rsid w:val="002F44E0"/>
    <w:rsid w:val="002F44FA"/>
    <w:rsid w:val="002F4520"/>
    <w:rsid w:val="002F457D"/>
    <w:rsid w:val="002F463D"/>
    <w:rsid w:val="002F4750"/>
    <w:rsid w:val="002F4760"/>
    <w:rsid w:val="002F47B1"/>
    <w:rsid w:val="002F47CC"/>
    <w:rsid w:val="002F47CD"/>
    <w:rsid w:val="002F47D1"/>
    <w:rsid w:val="002F47FD"/>
    <w:rsid w:val="002F4886"/>
    <w:rsid w:val="002F48B6"/>
    <w:rsid w:val="002F4904"/>
    <w:rsid w:val="002F4944"/>
    <w:rsid w:val="002F4A47"/>
    <w:rsid w:val="002F4A52"/>
    <w:rsid w:val="002F4AFB"/>
    <w:rsid w:val="002F4B5B"/>
    <w:rsid w:val="002F4B8D"/>
    <w:rsid w:val="002F4C54"/>
    <w:rsid w:val="002F4CCD"/>
    <w:rsid w:val="002F4CF4"/>
    <w:rsid w:val="002F4FA1"/>
    <w:rsid w:val="002F5014"/>
    <w:rsid w:val="002F504B"/>
    <w:rsid w:val="002F514B"/>
    <w:rsid w:val="002F51EF"/>
    <w:rsid w:val="002F521E"/>
    <w:rsid w:val="002F530C"/>
    <w:rsid w:val="002F5463"/>
    <w:rsid w:val="002F54DE"/>
    <w:rsid w:val="002F55CB"/>
    <w:rsid w:val="002F5611"/>
    <w:rsid w:val="002F5647"/>
    <w:rsid w:val="002F5675"/>
    <w:rsid w:val="002F56BB"/>
    <w:rsid w:val="002F5710"/>
    <w:rsid w:val="002F57DD"/>
    <w:rsid w:val="002F580E"/>
    <w:rsid w:val="002F5945"/>
    <w:rsid w:val="002F59F5"/>
    <w:rsid w:val="002F5A02"/>
    <w:rsid w:val="002F5A0E"/>
    <w:rsid w:val="002F5A37"/>
    <w:rsid w:val="002F5B04"/>
    <w:rsid w:val="002F5B2C"/>
    <w:rsid w:val="002F5B85"/>
    <w:rsid w:val="002F5BA9"/>
    <w:rsid w:val="002F5BCE"/>
    <w:rsid w:val="002F5C32"/>
    <w:rsid w:val="002F5C7E"/>
    <w:rsid w:val="002F5CAD"/>
    <w:rsid w:val="002F5CF8"/>
    <w:rsid w:val="002F5EDA"/>
    <w:rsid w:val="002F5F4D"/>
    <w:rsid w:val="002F5F5E"/>
    <w:rsid w:val="002F5F69"/>
    <w:rsid w:val="002F5F85"/>
    <w:rsid w:val="002F5F90"/>
    <w:rsid w:val="002F6011"/>
    <w:rsid w:val="002F6162"/>
    <w:rsid w:val="002F616C"/>
    <w:rsid w:val="002F629A"/>
    <w:rsid w:val="002F62FE"/>
    <w:rsid w:val="002F63B8"/>
    <w:rsid w:val="002F6405"/>
    <w:rsid w:val="002F64A0"/>
    <w:rsid w:val="002F64AC"/>
    <w:rsid w:val="002F652B"/>
    <w:rsid w:val="002F6565"/>
    <w:rsid w:val="002F65CC"/>
    <w:rsid w:val="002F662F"/>
    <w:rsid w:val="002F6662"/>
    <w:rsid w:val="002F678C"/>
    <w:rsid w:val="002F67A0"/>
    <w:rsid w:val="002F6828"/>
    <w:rsid w:val="002F682C"/>
    <w:rsid w:val="002F6892"/>
    <w:rsid w:val="002F6909"/>
    <w:rsid w:val="002F693F"/>
    <w:rsid w:val="002F6983"/>
    <w:rsid w:val="002F6993"/>
    <w:rsid w:val="002F6A7B"/>
    <w:rsid w:val="002F6AA3"/>
    <w:rsid w:val="002F6AE6"/>
    <w:rsid w:val="002F6BAD"/>
    <w:rsid w:val="002F6D13"/>
    <w:rsid w:val="002F6D32"/>
    <w:rsid w:val="002F6D53"/>
    <w:rsid w:val="002F6D63"/>
    <w:rsid w:val="002F6DEA"/>
    <w:rsid w:val="002F6E13"/>
    <w:rsid w:val="002F6E1F"/>
    <w:rsid w:val="002F6EB7"/>
    <w:rsid w:val="002F6FC1"/>
    <w:rsid w:val="002F7104"/>
    <w:rsid w:val="002F71C5"/>
    <w:rsid w:val="002F7265"/>
    <w:rsid w:val="002F7267"/>
    <w:rsid w:val="002F72EF"/>
    <w:rsid w:val="002F736F"/>
    <w:rsid w:val="002F73A8"/>
    <w:rsid w:val="002F73F6"/>
    <w:rsid w:val="002F748F"/>
    <w:rsid w:val="002F7490"/>
    <w:rsid w:val="002F7522"/>
    <w:rsid w:val="002F765A"/>
    <w:rsid w:val="002F7723"/>
    <w:rsid w:val="002F774A"/>
    <w:rsid w:val="002F77DB"/>
    <w:rsid w:val="002F7893"/>
    <w:rsid w:val="002F78EA"/>
    <w:rsid w:val="002F794D"/>
    <w:rsid w:val="002F79C4"/>
    <w:rsid w:val="002F79CA"/>
    <w:rsid w:val="002F79D5"/>
    <w:rsid w:val="002F7A86"/>
    <w:rsid w:val="002F7A8B"/>
    <w:rsid w:val="002F7AE1"/>
    <w:rsid w:val="002F7B86"/>
    <w:rsid w:val="002F7BA2"/>
    <w:rsid w:val="002F7C1C"/>
    <w:rsid w:val="002F7D52"/>
    <w:rsid w:val="002F7D8B"/>
    <w:rsid w:val="002F7DA5"/>
    <w:rsid w:val="002F7DC9"/>
    <w:rsid w:val="002F7E23"/>
    <w:rsid w:val="002F7ECD"/>
    <w:rsid w:val="0030004F"/>
    <w:rsid w:val="00300103"/>
    <w:rsid w:val="0030013B"/>
    <w:rsid w:val="0030022E"/>
    <w:rsid w:val="003002ED"/>
    <w:rsid w:val="00300301"/>
    <w:rsid w:val="0030032C"/>
    <w:rsid w:val="0030040C"/>
    <w:rsid w:val="00300582"/>
    <w:rsid w:val="00300626"/>
    <w:rsid w:val="0030063C"/>
    <w:rsid w:val="003006D6"/>
    <w:rsid w:val="003007F8"/>
    <w:rsid w:val="00300814"/>
    <w:rsid w:val="0030084B"/>
    <w:rsid w:val="00300897"/>
    <w:rsid w:val="003008CC"/>
    <w:rsid w:val="003008D4"/>
    <w:rsid w:val="0030091C"/>
    <w:rsid w:val="00300A72"/>
    <w:rsid w:val="00300AC3"/>
    <w:rsid w:val="00300AED"/>
    <w:rsid w:val="00300B63"/>
    <w:rsid w:val="00300B8C"/>
    <w:rsid w:val="00300BB5"/>
    <w:rsid w:val="00300BD3"/>
    <w:rsid w:val="00300BF1"/>
    <w:rsid w:val="00300C69"/>
    <w:rsid w:val="00300C85"/>
    <w:rsid w:val="00300CDF"/>
    <w:rsid w:val="00300CE3"/>
    <w:rsid w:val="00300D7D"/>
    <w:rsid w:val="00300EDE"/>
    <w:rsid w:val="00300EEB"/>
    <w:rsid w:val="00300F94"/>
    <w:rsid w:val="00300FEF"/>
    <w:rsid w:val="00300FFA"/>
    <w:rsid w:val="0030111E"/>
    <w:rsid w:val="00301294"/>
    <w:rsid w:val="003012B6"/>
    <w:rsid w:val="003013A9"/>
    <w:rsid w:val="003013E5"/>
    <w:rsid w:val="00301504"/>
    <w:rsid w:val="003015A0"/>
    <w:rsid w:val="00301696"/>
    <w:rsid w:val="00301730"/>
    <w:rsid w:val="00301763"/>
    <w:rsid w:val="0030178B"/>
    <w:rsid w:val="003017E6"/>
    <w:rsid w:val="00301800"/>
    <w:rsid w:val="003018AD"/>
    <w:rsid w:val="003018B0"/>
    <w:rsid w:val="00301948"/>
    <w:rsid w:val="003019D7"/>
    <w:rsid w:val="003019D8"/>
    <w:rsid w:val="00301B1F"/>
    <w:rsid w:val="00301BAF"/>
    <w:rsid w:val="00301BB7"/>
    <w:rsid w:val="00301CBA"/>
    <w:rsid w:val="00301DEB"/>
    <w:rsid w:val="00301DF2"/>
    <w:rsid w:val="00301DFC"/>
    <w:rsid w:val="00301E27"/>
    <w:rsid w:val="003020EC"/>
    <w:rsid w:val="0030215E"/>
    <w:rsid w:val="0030217F"/>
    <w:rsid w:val="003021BE"/>
    <w:rsid w:val="00302252"/>
    <w:rsid w:val="00302258"/>
    <w:rsid w:val="00302318"/>
    <w:rsid w:val="00302323"/>
    <w:rsid w:val="00302492"/>
    <w:rsid w:val="003025F1"/>
    <w:rsid w:val="003025F9"/>
    <w:rsid w:val="00302610"/>
    <w:rsid w:val="0030267E"/>
    <w:rsid w:val="003026E4"/>
    <w:rsid w:val="003026EA"/>
    <w:rsid w:val="0030271B"/>
    <w:rsid w:val="0030271C"/>
    <w:rsid w:val="0030278E"/>
    <w:rsid w:val="00302849"/>
    <w:rsid w:val="0030288B"/>
    <w:rsid w:val="003028E8"/>
    <w:rsid w:val="003028FC"/>
    <w:rsid w:val="00302917"/>
    <w:rsid w:val="00302961"/>
    <w:rsid w:val="003029AF"/>
    <w:rsid w:val="003029B9"/>
    <w:rsid w:val="00302A55"/>
    <w:rsid w:val="00302A69"/>
    <w:rsid w:val="00302B3B"/>
    <w:rsid w:val="00302B8C"/>
    <w:rsid w:val="00302C53"/>
    <w:rsid w:val="00302DDD"/>
    <w:rsid w:val="00302E09"/>
    <w:rsid w:val="00302E95"/>
    <w:rsid w:val="00302EAC"/>
    <w:rsid w:val="0030302A"/>
    <w:rsid w:val="00303033"/>
    <w:rsid w:val="00303098"/>
    <w:rsid w:val="003030D2"/>
    <w:rsid w:val="003030D3"/>
    <w:rsid w:val="00303132"/>
    <w:rsid w:val="003031A0"/>
    <w:rsid w:val="003032AC"/>
    <w:rsid w:val="003032C1"/>
    <w:rsid w:val="0030334D"/>
    <w:rsid w:val="00303433"/>
    <w:rsid w:val="0030352E"/>
    <w:rsid w:val="003035B0"/>
    <w:rsid w:val="003035ED"/>
    <w:rsid w:val="0030368B"/>
    <w:rsid w:val="003036C3"/>
    <w:rsid w:val="00303759"/>
    <w:rsid w:val="0030377B"/>
    <w:rsid w:val="003037AA"/>
    <w:rsid w:val="003037CE"/>
    <w:rsid w:val="003038A4"/>
    <w:rsid w:val="003038A7"/>
    <w:rsid w:val="003038B7"/>
    <w:rsid w:val="003038FA"/>
    <w:rsid w:val="00303967"/>
    <w:rsid w:val="00303A4A"/>
    <w:rsid w:val="00303AA7"/>
    <w:rsid w:val="00303B30"/>
    <w:rsid w:val="00303BAE"/>
    <w:rsid w:val="00303BEC"/>
    <w:rsid w:val="00303C60"/>
    <w:rsid w:val="00303C84"/>
    <w:rsid w:val="00303E65"/>
    <w:rsid w:val="00303E85"/>
    <w:rsid w:val="00303E9E"/>
    <w:rsid w:val="00303FF4"/>
    <w:rsid w:val="00304035"/>
    <w:rsid w:val="003040A8"/>
    <w:rsid w:val="003040BC"/>
    <w:rsid w:val="003040EB"/>
    <w:rsid w:val="0030419D"/>
    <w:rsid w:val="00304234"/>
    <w:rsid w:val="003042BE"/>
    <w:rsid w:val="00304300"/>
    <w:rsid w:val="00304309"/>
    <w:rsid w:val="0030432B"/>
    <w:rsid w:val="00304416"/>
    <w:rsid w:val="003044E0"/>
    <w:rsid w:val="003044F1"/>
    <w:rsid w:val="00304560"/>
    <w:rsid w:val="00304569"/>
    <w:rsid w:val="0030464F"/>
    <w:rsid w:val="003046C0"/>
    <w:rsid w:val="00304722"/>
    <w:rsid w:val="00304726"/>
    <w:rsid w:val="003047AC"/>
    <w:rsid w:val="00304864"/>
    <w:rsid w:val="00304897"/>
    <w:rsid w:val="00304963"/>
    <w:rsid w:val="0030496E"/>
    <w:rsid w:val="0030496F"/>
    <w:rsid w:val="0030497D"/>
    <w:rsid w:val="00304986"/>
    <w:rsid w:val="00304987"/>
    <w:rsid w:val="00304AA8"/>
    <w:rsid w:val="00304B63"/>
    <w:rsid w:val="00304B9A"/>
    <w:rsid w:val="00304BAC"/>
    <w:rsid w:val="00304C2C"/>
    <w:rsid w:val="00304C47"/>
    <w:rsid w:val="00304C58"/>
    <w:rsid w:val="00304C8D"/>
    <w:rsid w:val="00304D97"/>
    <w:rsid w:val="00304DC6"/>
    <w:rsid w:val="00304DF8"/>
    <w:rsid w:val="00304E4D"/>
    <w:rsid w:val="00304E92"/>
    <w:rsid w:val="00304F1E"/>
    <w:rsid w:val="00304F5A"/>
    <w:rsid w:val="00304FB8"/>
    <w:rsid w:val="00304FB9"/>
    <w:rsid w:val="0030500C"/>
    <w:rsid w:val="0030500E"/>
    <w:rsid w:val="00305016"/>
    <w:rsid w:val="003050EC"/>
    <w:rsid w:val="003050FE"/>
    <w:rsid w:val="0030514A"/>
    <w:rsid w:val="0030516D"/>
    <w:rsid w:val="0030519E"/>
    <w:rsid w:val="003051E9"/>
    <w:rsid w:val="00305250"/>
    <w:rsid w:val="00305431"/>
    <w:rsid w:val="00305466"/>
    <w:rsid w:val="00305477"/>
    <w:rsid w:val="00305550"/>
    <w:rsid w:val="003055B9"/>
    <w:rsid w:val="003055E2"/>
    <w:rsid w:val="00305601"/>
    <w:rsid w:val="0030567A"/>
    <w:rsid w:val="0030586D"/>
    <w:rsid w:val="003058DB"/>
    <w:rsid w:val="0030590B"/>
    <w:rsid w:val="00305926"/>
    <w:rsid w:val="00305A42"/>
    <w:rsid w:val="00305AF1"/>
    <w:rsid w:val="00305AF7"/>
    <w:rsid w:val="00305B06"/>
    <w:rsid w:val="00305BF5"/>
    <w:rsid w:val="00305C6E"/>
    <w:rsid w:val="00305D01"/>
    <w:rsid w:val="00305D6B"/>
    <w:rsid w:val="00305D73"/>
    <w:rsid w:val="00305D7D"/>
    <w:rsid w:val="00305E03"/>
    <w:rsid w:val="00305E40"/>
    <w:rsid w:val="00305EDA"/>
    <w:rsid w:val="00305EE7"/>
    <w:rsid w:val="00305F20"/>
    <w:rsid w:val="00305F94"/>
    <w:rsid w:val="00305FCC"/>
    <w:rsid w:val="00306007"/>
    <w:rsid w:val="003060D4"/>
    <w:rsid w:val="003060F4"/>
    <w:rsid w:val="0030617E"/>
    <w:rsid w:val="003061A1"/>
    <w:rsid w:val="003061AE"/>
    <w:rsid w:val="003061F5"/>
    <w:rsid w:val="0030621E"/>
    <w:rsid w:val="0030625D"/>
    <w:rsid w:val="00306263"/>
    <w:rsid w:val="003062DE"/>
    <w:rsid w:val="00306353"/>
    <w:rsid w:val="003063A6"/>
    <w:rsid w:val="003063B4"/>
    <w:rsid w:val="003063C4"/>
    <w:rsid w:val="00306447"/>
    <w:rsid w:val="0030644C"/>
    <w:rsid w:val="00306531"/>
    <w:rsid w:val="0030656D"/>
    <w:rsid w:val="003065D8"/>
    <w:rsid w:val="00306636"/>
    <w:rsid w:val="0030669B"/>
    <w:rsid w:val="00306705"/>
    <w:rsid w:val="003067DF"/>
    <w:rsid w:val="003068F0"/>
    <w:rsid w:val="00306945"/>
    <w:rsid w:val="00306998"/>
    <w:rsid w:val="00306AAC"/>
    <w:rsid w:val="00306AEB"/>
    <w:rsid w:val="00306B67"/>
    <w:rsid w:val="00306B91"/>
    <w:rsid w:val="00306BEE"/>
    <w:rsid w:val="00306BF9"/>
    <w:rsid w:val="00306C0B"/>
    <w:rsid w:val="00306D79"/>
    <w:rsid w:val="00306E18"/>
    <w:rsid w:val="00306EE8"/>
    <w:rsid w:val="00306F94"/>
    <w:rsid w:val="0030705E"/>
    <w:rsid w:val="00307083"/>
    <w:rsid w:val="003070C3"/>
    <w:rsid w:val="003070D2"/>
    <w:rsid w:val="00307115"/>
    <w:rsid w:val="003071A8"/>
    <w:rsid w:val="003071C0"/>
    <w:rsid w:val="00307299"/>
    <w:rsid w:val="003072B1"/>
    <w:rsid w:val="003072B6"/>
    <w:rsid w:val="0030738C"/>
    <w:rsid w:val="0030743C"/>
    <w:rsid w:val="003074BC"/>
    <w:rsid w:val="003074F1"/>
    <w:rsid w:val="00307570"/>
    <w:rsid w:val="003075A9"/>
    <w:rsid w:val="00307683"/>
    <w:rsid w:val="003076B1"/>
    <w:rsid w:val="0030776A"/>
    <w:rsid w:val="003077B0"/>
    <w:rsid w:val="00307832"/>
    <w:rsid w:val="003078E5"/>
    <w:rsid w:val="00307959"/>
    <w:rsid w:val="00307A51"/>
    <w:rsid w:val="00307AB5"/>
    <w:rsid w:val="00307B0C"/>
    <w:rsid w:val="00307B15"/>
    <w:rsid w:val="00307B2B"/>
    <w:rsid w:val="00307B6B"/>
    <w:rsid w:val="00307B82"/>
    <w:rsid w:val="00307BD9"/>
    <w:rsid w:val="00307D76"/>
    <w:rsid w:val="00307DE2"/>
    <w:rsid w:val="00307E25"/>
    <w:rsid w:val="00307E53"/>
    <w:rsid w:val="00307E76"/>
    <w:rsid w:val="00307F5E"/>
    <w:rsid w:val="00307FC7"/>
    <w:rsid w:val="00310040"/>
    <w:rsid w:val="003100C5"/>
    <w:rsid w:val="00310282"/>
    <w:rsid w:val="003102EE"/>
    <w:rsid w:val="0031045B"/>
    <w:rsid w:val="0031048B"/>
    <w:rsid w:val="003104AB"/>
    <w:rsid w:val="00310523"/>
    <w:rsid w:val="00310565"/>
    <w:rsid w:val="003105AA"/>
    <w:rsid w:val="00310714"/>
    <w:rsid w:val="00310756"/>
    <w:rsid w:val="00310764"/>
    <w:rsid w:val="003107EA"/>
    <w:rsid w:val="003107ED"/>
    <w:rsid w:val="003108B0"/>
    <w:rsid w:val="003108B6"/>
    <w:rsid w:val="003109CC"/>
    <w:rsid w:val="00310A55"/>
    <w:rsid w:val="00310A7C"/>
    <w:rsid w:val="00310A87"/>
    <w:rsid w:val="00310A91"/>
    <w:rsid w:val="00310AB5"/>
    <w:rsid w:val="00310B3F"/>
    <w:rsid w:val="00310B9B"/>
    <w:rsid w:val="00310BAF"/>
    <w:rsid w:val="00310BC2"/>
    <w:rsid w:val="00310C3F"/>
    <w:rsid w:val="00310C6F"/>
    <w:rsid w:val="00310C96"/>
    <w:rsid w:val="00310CFC"/>
    <w:rsid w:val="00310D6E"/>
    <w:rsid w:val="00310E05"/>
    <w:rsid w:val="00310E2B"/>
    <w:rsid w:val="00310F1E"/>
    <w:rsid w:val="003110FF"/>
    <w:rsid w:val="00311189"/>
    <w:rsid w:val="0031119E"/>
    <w:rsid w:val="003111FD"/>
    <w:rsid w:val="003112D2"/>
    <w:rsid w:val="003113AB"/>
    <w:rsid w:val="003114A2"/>
    <w:rsid w:val="003114EE"/>
    <w:rsid w:val="00311535"/>
    <w:rsid w:val="0031158C"/>
    <w:rsid w:val="003115E1"/>
    <w:rsid w:val="00311686"/>
    <w:rsid w:val="003116C1"/>
    <w:rsid w:val="003116E4"/>
    <w:rsid w:val="00311752"/>
    <w:rsid w:val="00311756"/>
    <w:rsid w:val="00311773"/>
    <w:rsid w:val="00311893"/>
    <w:rsid w:val="00311902"/>
    <w:rsid w:val="00311907"/>
    <w:rsid w:val="00311A11"/>
    <w:rsid w:val="00311A74"/>
    <w:rsid w:val="00311AA1"/>
    <w:rsid w:val="00311ADC"/>
    <w:rsid w:val="00311AE4"/>
    <w:rsid w:val="00311B4B"/>
    <w:rsid w:val="00311CC1"/>
    <w:rsid w:val="00311D89"/>
    <w:rsid w:val="00311DA0"/>
    <w:rsid w:val="00311DD7"/>
    <w:rsid w:val="00311E41"/>
    <w:rsid w:val="00311E74"/>
    <w:rsid w:val="00311EB9"/>
    <w:rsid w:val="00311EBF"/>
    <w:rsid w:val="00311EFB"/>
    <w:rsid w:val="00311FC6"/>
    <w:rsid w:val="003120CB"/>
    <w:rsid w:val="003120CD"/>
    <w:rsid w:val="00312227"/>
    <w:rsid w:val="00312228"/>
    <w:rsid w:val="003122D1"/>
    <w:rsid w:val="00312341"/>
    <w:rsid w:val="00312358"/>
    <w:rsid w:val="00312399"/>
    <w:rsid w:val="003123E8"/>
    <w:rsid w:val="00312405"/>
    <w:rsid w:val="003124B2"/>
    <w:rsid w:val="0031253B"/>
    <w:rsid w:val="0031256E"/>
    <w:rsid w:val="00312626"/>
    <w:rsid w:val="00312661"/>
    <w:rsid w:val="00312677"/>
    <w:rsid w:val="003126FC"/>
    <w:rsid w:val="0031270C"/>
    <w:rsid w:val="00312715"/>
    <w:rsid w:val="0031277E"/>
    <w:rsid w:val="003127C7"/>
    <w:rsid w:val="00312801"/>
    <w:rsid w:val="00312821"/>
    <w:rsid w:val="00312891"/>
    <w:rsid w:val="00312926"/>
    <w:rsid w:val="00312928"/>
    <w:rsid w:val="00312935"/>
    <w:rsid w:val="00312941"/>
    <w:rsid w:val="00312956"/>
    <w:rsid w:val="00312988"/>
    <w:rsid w:val="00312A87"/>
    <w:rsid w:val="00312B1E"/>
    <w:rsid w:val="00312CB1"/>
    <w:rsid w:val="00312DD1"/>
    <w:rsid w:val="00312DDA"/>
    <w:rsid w:val="00312E00"/>
    <w:rsid w:val="00312E34"/>
    <w:rsid w:val="00312E63"/>
    <w:rsid w:val="00312EAE"/>
    <w:rsid w:val="00312EBB"/>
    <w:rsid w:val="00312EC1"/>
    <w:rsid w:val="00312F08"/>
    <w:rsid w:val="00312FC1"/>
    <w:rsid w:val="00312FF1"/>
    <w:rsid w:val="00313169"/>
    <w:rsid w:val="003131EE"/>
    <w:rsid w:val="00313222"/>
    <w:rsid w:val="00313265"/>
    <w:rsid w:val="0031327C"/>
    <w:rsid w:val="003132A6"/>
    <w:rsid w:val="00313320"/>
    <w:rsid w:val="00313409"/>
    <w:rsid w:val="00313474"/>
    <w:rsid w:val="0031349D"/>
    <w:rsid w:val="00313511"/>
    <w:rsid w:val="003135F6"/>
    <w:rsid w:val="00313639"/>
    <w:rsid w:val="00313680"/>
    <w:rsid w:val="003136FE"/>
    <w:rsid w:val="00313701"/>
    <w:rsid w:val="003137BB"/>
    <w:rsid w:val="00313816"/>
    <w:rsid w:val="00313872"/>
    <w:rsid w:val="00313985"/>
    <w:rsid w:val="00313991"/>
    <w:rsid w:val="003139D5"/>
    <w:rsid w:val="00313A09"/>
    <w:rsid w:val="00313AC9"/>
    <w:rsid w:val="00313B0A"/>
    <w:rsid w:val="00313CB3"/>
    <w:rsid w:val="00313DBA"/>
    <w:rsid w:val="00313E24"/>
    <w:rsid w:val="00313E54"/>
    <w:rsid w:val="00313F27"/>
    <w:rsid w:val="00313F41"/>
    <w:rsid w:val="00313F5A"/>
    <w:rsid w:val="00313FCC"/>
    <w:rsid w:val="00313FF2"/>
    <w:rsid w:val="00314038"/>
    <w:rsid w:val="00314081"/>
    <w:rsid w:val="003140D2"/>
    <w:rsid w:val="00314218"/>
    <w:rsid w:val="00314252"/>
    <w:rsid w:val="00314288"/>
    <w:rsid w:val="003142A2"/>
    <w:rsid w:val="003142D5"/>
    <w:rsid w:val="003142DF"/>
    <w:rsid w:val="00314497"/>
    <w:rsid w:val="003144D6"/>
    <w:rsid w:val="003145DD"/>
    <w:rsid w:val="0031469C"/>
    <w:rsid w:val="003146A9"/>
    <w:rsid w:val="003146C4"/>
    <w:rsid w:val="003146F5"/>
    <w:rsid w:val="0031471E"/>
    <w:rsid w:val="0031478C"/>
    <w:rsid w:val="003147A1"/>
    <w:rsid w:val="0031486D"/>
    <w:rsid w:val="00314897"/>
    <w:rsid w:val="003148BB"/>
    <w:rsid w:val="003148F9"/>
    <w:rsid w:val="00314916"/>
    <w:rsid w:val="00314933"/>
    <w:rsid w:val="00314940"/>
    <w:rsid w:val="00314987"/>
    <w:rsid w:val="003149DD"/>
    <w:rsid w:val="00314A2E"/>
    <w:rsid w:val="00314A3C"/>
    <w:rsid w:val="00314A4A"/>
    <w:rsid w:val="00314B39"/>
    <w:rsid w:val="00314C10"/>
    <w:rsid w:val="00314C71"/>
    <w:rsid w:val="00314CD5"/>
    <w:rsid w:val="00314DFE"/>
    <w:rsid w:val="00314E1D"/>
    <w:rsid w:val="00314E61"/>
    <w:rsid w:val="00314E95"/>
    <w:rsid w:val="00314E9C"/>
    <w:rsid w:val="00314FAE"/>
    <w:rsid w:val="00315133"/>
    <w:rsid w:val="0031514E"/>
    <w:rsid w:val="00315195"/>
    <w:rsid w:val="003151D6"/>
    <w:rsid w:val="00315270"/>
    <w:rsid w:val="003152BE"/>
    <w:rsid w:val="0031530F"/>
    <w:rsid w:val="0031532A"/>
    <w:rsid w:val="003153DC"/>
    <w:rsid w:val="003153E3"/>
    <w:rsid w:val="003154D4"/>
    <w:rsid w:val="00315563"/>
    <w:rsid w:val="00315629"/>
    <w:rsid w:val="00315631"/>
    <w:rsid w:val="0031564C"/>
    <w:rsid w:val="003156A0"/>
    <w:rsid w:val="00315729"/>
    <w:rsid w:val="00315871"/>
    <w:rsid w:val="00315881"/>
    <w:rsid w:val="003158E5"/>
    <w:rsid w:val="0031592B"/>
    <w:rsid w:val="003159D4"/>
    <w:rsid w:val="003159EF"/>
    <w:rsid w:val="00315A0B"/>
    <w:rsid w:val="00315A96"/>
    <w:rsid w:val="00315B0C"/>
    <w:rsid w:val="00315B0F"/>
    <w:rsid w:val="00315C8E"/>
    <w:rsid w:val="00315CBF"/>
    <w:rsid w:val="00315D08"/>
    <w:rsid w:val="00315D0B"/>
    <w:rsid w:val="00315DC4"/>
    <w:rsid w:val="00315E27"/>
    <w:rsid w:val="00315E8C"/>
    <w:rsid w:val="00315EB3"/>
    <w:rsid w:val="00315EFD"/>
    <w:rsid w:val="00315F35"/>
    <w:rsid w:val="0031603F"/>
    <w:rsid w:val="003160DD"/>
    <w:rsid w:val="00316117"/>
    <w:rsid w:val="00316164"/>
    <w:rsid w:val="003161BC"/>
    <w:rsid w:val="00316210"/>
    <w:rsid w:val="00316227"/>
    <w:rsid w:val="003162D2"/>
    <w:rsid w:val="00316339"/>
    <w:rsid w:val="0031634B"/>
    <w:rsid w:val="00316458"/>
    <w:rsid w:val="0031649E"/>
    <w:rsid w:val="0031657E"/>
    <w:rsid w:val="00316582"/>
    <w:rsid w:val="003165B3"/>
    <w:rsid w:val="00316627"/>
    <w:rsid w:val="00316673"/>
    <w:rsid w:val="0031667E"/>
    <w:rsid w:val="003166F7"/>
    <w:rsid w:val="003166FB"/>
    <w:rsid w:val="00316744"/>
    <w:rsid w:val="003168F4"/>
    <w:rsid w:val="00316912"/>
    <w:rsid w:val="00316A30"/>
    <w:rsid w:val="00316AAC"/>
    <w:rsid w:val="00316B34"/>
    <w:rsid w:val="00316B37"/>
    <w:rsid w:val="00316B84"/>
    <w:rsid w:val="00316B89"/>
    <w:rsid w:val="00316BC2"/>
    <w:rsid w:val="00316BE9"/>
    <w:rsid w:val="00316C45"/>
    <w:rsid w:val="00316DF0"/>
    <w:rsid w:val="00316E35"/>
    <w:rsid w:val="00316E3F"/>
    <w:rsid w:val="00316E72"/>
    <w:rsid w:val="00316EA1"/>
    <w:rsid w:val="00316F2F"/>
    <w:rsid w:val="00316F3A"/>
    <w:rsid w:val="00316FB1"/>
    <w:rsid w:val="00316FE2"/>
    <w:rsid w:val="00317039"/>
    <w:rsid w:val="0031705E"/>
    <w:rsid w:val="00317080"/>
    <w:rsid w:val="0031709D"/>
    <w:rsid w:val="003170A0"/>
    <w:rsid w:val="00317176"/>
    <w:rsid w:val="00317210"/>
    <w:rsid w:val="0031727D"/>
    <w:rsid w:val="00317308"/>
    <w:rsid w:val="0031733D"/>
    <w:rsid w:val="003173C9"/>
    <w:rsid w:val="00317406"/>
    <w:rsid w:val="00317462"/>
    <w:rsid w:val="003174FB"/>
    <w:rsid w:val="0031751A"/>
    <w:rsid w:val="00317592"/>
    <w:rsid w:val="00317656"/>
    <w:rsid w:val="0031767A"/>
    <w:rsid w:val="00317714"/>
    <w:rsid w:val="0031772A"/>
    <w:rsid w:val="00317739"/>
    <w:rsid w:val="00317773"/>
    <w:rsid w:val="00317788"/>
    <w:rsid w:val="003177C4"/>
    <w:rsid w:val="0031781C"/>
    <w:rsid w:val="0031799B"/>
    <w:rsid w:val="00317A24"/>
    <w:rsid w:val="00317A5D"/>
    <w:rsid w:val="00317B0F"/>
    <w:rsid w:val="00317B18"/>
    <w:rsid w:val="00317B38"/>
    <w:rsid w:val="00317B7A"/>
    <w:rsid w:val="00317B8D"/>
    <w:rsid w:val="00317C9A"/>
    <w:rsid w:val="00317D64"/>
    <w:rsid w:val="00317D71"/>
    <w:rsid w:val="00317DA7"/>
    <w:rsid w:val="00317DD7"/>
    <w:rsid w:val="00317E97"/>
    <w:rsid w:val="00317EF1"/>
    <w:rsid w:val="00317F48"/>
    <w:rsid w:val="00317F73"/>
    <w:rsid w:val="00317FD1"/>
    <w:rsid w:val="00320005"/>
    <w:rsid w:val="003200A4"/>
    <w:rsid w:val="003200C5"/>
    <w:rsid w:val="00320150"/>
    <w:rsid w:val="003201CF"/>
    <w:rsid w:val="0032027A"/>
    <w:rsid w:val="00320309"/>
    <w:rsid w:val="0032031F"/>
    <w:rsid w:val="0032037C"/>
    <w:rsid w:val="0032049C"/>
    <w:rsid w:val="003204C9"/>
    <w:rsid w:val="0032057B"/>
    <w:rsid w:val="00320598"/>
    <w:rsid w:val="00320631"/>
    <w:rsid w:val="00320694"/>
    <w:rsid w:val="0032070D"/>
    <w:rsid w:val="003207D8"/>
    <w:rsid w:val="003207E9"/>
    <w:rsid w:val="003208DF"/>
    <w:rsid w:val="003209BF"/>
    <w:rsid w:val="00320A17"/>
    <w:rsid w:val="00320A9C"/>
    <w:rsid w:val="00320AB7"/>
    <w:rsid w:val="00320BA2"/>
    <w:rsid w:val="00320BB5"/>
    <w:rsid w:val="00320BD0"/>
    <w:rsid w:val="00320BD3"/>
    <w:rsid w:val="00320C6A"/>
    <w:rsid w:val="00320C9B"/>
    <w:rsid w:val="00320D01"/>
    <w:rsid w:val="00320D10"/>
    <w:rsid w:val="00320D5C"/>
    <w:rsid w:val="00320DC5"/>
    <w:rsid w:val="00320EA4"/>
    <w:rsid w:val="00320EC1"/>
    <w:rsid w:val="00320EFC"/>
    <w:rsid w:val="00320F53"/>
    <w:rsid w:val="00320F79"/>
    <w:rsid w:val="0032101E"/>
    <w:rsid w:val="00321083"/>
    <w:rsid w:val="00321148"/>
    <w:rsid w:val="00321163"/>
    <w:rsid w:val="0032117D"/>
    <w:rsid w:val="0032119D"/>
    <w:rsid w:val="003211E4"/>
    <w:rsid w:val="003211F3"/>
    <w:rsid w:val="00321220"/>
    <w:rsid w:val="00321265"/>
    <w:rsid w:val="003212A1"/>
    <w:rsid w:val="003212A5"/>
    <w:rsid w:val="003212FB"/>
    <w:rsid w:val="00321331"/>
    <w:rsid w:val="003213D0"/>
    <w:rsid w:val="00321474"/>
    <w:rsid w:val="00321492"/>
    <w:rsid w:val="003214E9"/>
    <w:rsid w:val="00321561"/>
    <w:rsid w:val="003215A6"/>
    <w:rsid w:val="003215A7"/>
    <w:rsid w:val="003215D3"/>
    <w:rsid w:val="0032160D"/>
    <w:rsid w:val="00321623"/>
    <w:rsid w:val="00321754"/>
    <w:rsid w:val="003217A8"/>
    <w:rsid w:val="00321895"/>
    <w:rsid w:val="0032199C"/>
    <w:rsid w:val="00321A43"/>
    <w:rsid w:val="00321A49"/>
    <w:rsid w:val="00321A6B"/>
    <w:rsid w:val="00321AB1"/>
    <w:rsid w:val="00321ADA"/>
    <w:rsid w:val="00321B33"/>
    <w:rsid w:val="00321B58"/>
    <w:rsid w:val="00321B9E"/>
    <w:rsid w:val="00321CBB"/>
    <w:rsid w:val="00321DBE"/>
    <w:rsid w:val="00321ED6"/>
    <w:rsid w:val="00321EDC"/>
    <w:rsid w:val="00321EE3"/>
    <w:rsid w:val="00321EED"/>
    <w:rsid w:val="00321F54"/>
    <w:rsid w:val="00321F89"/>
    <w:rsid w:val="00321FDA"/>
    <w:rsid w:val="00322016"/>
    <w:rsid w:val="003220A2"/>
    <w:rsid w:val="003220F3"/>
    <w:rsid w:val="00322157"/>
    <w:rsid w:val="003221AD"/>
    <w:rsid w:val="003222CF"/>
    <w:rsid w:val="003223B1"/>
    <w:rsid w:val="003223D5"/>
    <w:rsid w:val="00322426"/>
    <w:rsid w:val="00322455"/>
    <w:rsid w:val="00322490"/>
    <w:rsid w:val="00322544"/>
    <w:rsid w:val="003225BA"/>
    <w:rsid w:val="003225F3"/>
    <w:rsid w:val="00322722"/>
    <w:rsid w:val="00322741"/>
    <w:rsid w:val="00322749"/>
    <w:rsid w:val="00322822"/>
    <w:rsid w:val="0032283D"/>
    <w:rsid w:val="0032286A"/>
    <w:rsid w:val="00322AD2"/>
    <w:rsid w:val="00322AF2"/>
    <w:rsid w:val="00322B47"/>
    <w:rsid w:val="00322B52"/>
    <w:rsid w:val="00322BE3"/>
    <w:rsid w:val="00322C23"/>
    <w:rsid w:val="00322C74"/>
    <w:rsid w:val="00322CB5"/>
    <w:rsid w:val="00322D4F"/>
    <w:rsid w:val="00322D6D"/>
    <w:rsid w:val="00322DA9"/>
    <w:rsid w:val="00322E3D"/>
    <w:rsid w:val="00322E56"/>
    <w:rsid w:val="00322E75"/>
    <w:rsid w:val="00322FF0"/>
    <w:rsid w:val="0032301C"/>
    <w:rsid w:val="00323040"/>
    <w:rsid w:val="0032304D"/>
    <w:rsid w:val="00323097"/>
    <w:rsid w:val="00323099"/>
    <w:rsid w:val="00323180"/>
    <w:rsid w:val="003231AC"/>
    <w:rsid w:val="0032323D"/>
    <w:rsid w:val="00323259"/>
    <w:rsid w:val="003232FF"/>
    <w:rsid w:val="00323399"/>
    <w:rsid w:val="0032340A"/>
    <w:rsid w:val="0032343C"/>
    <w:rsid w:val="00323478"/>
    <w:rsid w:val="0032349D"/>
    <w:rsid w:val="003234BC"/>
    <w:rsid w:val="003234D8"/>
    <w:rsid w:val="003234EC"/>
    <w:rsid w:val="0032353F"/>
    <w:rsid w:val="0032358D"/>
    <w:rsid w:val="003235E7"/>
    <w:rsid w:val="0032365C"/>
    <w:rsid w:val="00323663"/>
    <w:rsid w:val="003236B6"/>
    <w:rsid w:val="003236D2"/>
    <w:rsid w:val="00323740"/>
    <w:rsid w:val="00323789"/>
    <w:rsid w:val="00323841"/>
    <w:rsid w:val="0032386D"/>
    <w:rsid w:val="003238A6"/>
    <w:rsid w:val="003238BC"/>
    <w:rsid w:val="003238EF"/>
    <w:rsid w:val="00323900"/>
    <w:rsid w:val="00323932"/>
    <w:rsid w:val="00323966"/>
    <w:rsid w:val="00323A13"/>
    <w:rsid w:val="00323A45"/>
    <w:rsid w:val="00323A82"/>
    <w:rsid w:val="00323A95"/>
    <w:rsid w:val="00323AF6"/>
    <w:rsid w:val="00323B00"/>
    <w:rsid w:val="00323B1E"/>
    <w:rsid w:val="00323B27"/>
    <w:rsid w:val="00323B3B"/>
    <w:rsid w:val="00323BC2"/>
    <w:rsid w:val="00323CCC"/>
    <w:rsid w:val="00323CD8"/>
    <w:rsid w:val="00323D0B"/>
    <w:rsid w:val="00323D7D"/>
    <w:rsid w:val="00323EEF"/>
    <w:rsid w:val="00323F10"/>
    <w:rsid w:val="00323F25"/>
    <w:rsid w:val="00323F36"/>
    <w:rsid w:val="003240D1"/>
    <w:rsid w:val="003240D7"/>
    <w:rsid w:val="0032414D"/>
    <w:rsid w:val="003241F9"/>
    <w:rsid w:val="0032420F"/>
    <w:rsid w:val="00324241"/>
    <w:rsid w:val="0032424D"/>
    <w:rsid w:val="00324257"/>
    <w:rsid w:val="00324262"/>
    <w:rsid w:val="00324271"/>
    <w:rsid w:val="003242A3"/>
    <w:rsid w:val="003242E0"/>
    <w:rsid w:val="0032432E"/>
    <w:rsid w:val="003243AE"/>
    <w:rsid w:val="00324429"/>
    <w:rsid w:val="00324450"/>
    <w:rsid w:val="003244ED"/>
    <w:rsid w:val="0032450D"/>
    <w:rsid w:val="0032461E"/>
    <w:rsid w:val="00324677"/>
    <w:rsid w:val="0032468F"/>
    <w:rsid w:val="0032472F"/>
    <w:rsid w:val="0032482A"/>
    <w:rsid w:val="0032483D"/>
    <w:rsid w:val="00324A4D"/>
    <w:rsid w:val="00324A9A"/>
    <w:rsid w:val="00324B91"/>
    <w:rsid w:val="00324C30"/>
    <w:rsid w:val="00324C85"/>
    <w:rsid w:val="00324E0D"/>
    <w:rsid w:val="00324E6C"/>
    <w:rsid w:val="00324E9D"/>
    <w:rsid w:val="00324EA4"/>
    <w:rsid w:val="00324F6D"/>
    <w:rsid w:val="00325066"/>
    <w:rsid w:val="003250F8"/>
    <w:rsid w:val="00325100"/>
    <w:rsid w:val="003251C2"/>
    <w:rsid w:val="0032521D"/>
    <w:rsid w:val="00325264"/>
    <w:rsid w:val="00325269"/>
    <w:rsid w:val="00325271"/>
    <w:rsid w:val="003252F4"/>
    <w:rsid w:val="0032536E"/>
    <w:rsid w:val="00325371"/>
    <w:rsid w:val="00325426"/>
    <w:rsid w:val="00325441"/>
    <w:rsid w:val="0032549D"/>
    <w:rsid w:val="0032552B"/>
    <w:rsid w:val="00325531"/>
    <w:rsid w:val="003256BE"/>
    <w:rsid w:val="00325751"/>
    <w:rsid w:val="003257CC"/>
    <w:rsid w:val="0032585B"/>
    <w:rsid w:val="0032587D"/>
    <w:rsid w:val="00325981"/>
    <w:rsid w:val="003259D7"/>
    <w:rsid w:val="00325A12"/>
    <w:rsid w:val="00325A1B"/>
    <w:rsid w:val="00325A5C"/>
    <w:rsid w:val="00325B11"/>
    <w:rsid w:val="00325B51"/>
    <w:rsid w:val="00325BE4"/>
    <w:rsid w:val="00325CF9"/>
    <w:rsid w:val="00325D0B"/>
    <w:rsid w:val="00325DCE"/>
    <w:rsid w:val="00325E84"/>
    <w:rsid w:val="00325EFB"/>
    <w:rsid w:val="00325FA0"/>
    <w:rsid w:val="00326069"/>
    <w:rsid w:val="00326095"/>
    <w:rsid w:val="003260DD"/>
    <w:rsid w:val="00326276"/>
    <w:rsid w:val="003262B7"/>
    <w:rsid w:val="003262F8"/>
    <w:rsid w:val="00326330"/>
    <w:rsid w:val="00326354"/>
    <w:rsid w:val="00326368"/>
    <w:rsid w:val="00326374"/>
    <w:rsid w:val="00326451"/>
    <w:rsid w:val="003264C9"/>
    <w:rsid w:val="003264DC"/>
    <w:rsid w:val="0032656F"/>
    <w:rsid w:val="003265AF"/>
    <w:rsid w:val="003265C5"/>
    <w:rsid w:val="003265D8"/>
    <w:rsid w:val="00326619"/>
    <w:rsid w:val="00326712"/>
    <w:rsid w:val="00326962"/>
    <w:rsid w:val="00326A29"/>
    <w:rsid w:val="00326A55"/>
    <w:rsid w:val="00326ABE"/>
    <w:rsid w:val="00326B84"/>
    <w:rsid w:val="00326BEE"/>
    <w:rsid w:val="00326C75"/>
    <w:rsid w:val="00326E3B"/>
    <w:rsid w:val="00326F1C"/>
    <w:rsid w:val="00326F20"/>
    <w:rsid w:val="00326FC8"/>
    <w:rsid w:val="00326FE9"/>
    <w:rsid w:val="0032700E"/>
    <w:rsid w:val="003270C3"/>
    <w:rsid w:val="003270D9"/>
    <w:rsid w:val="003270DB"/>
    <w:rsid w:val="003270E4"/>
    <w:rsid w:val="003270F1"/>
    <w:rsid w:val="0032712A"/>
    <w:rsid w:val="0032714B"/>
    <w:rsid w:val="00327162"/>
    <w:rsid w:val="003271B3"/>
    <w:rsid w:val="003271BD"/>
    <w:rsid w:val="00327243"/>
    <w:rsid w:val="003272FD"/>
    <w:rsid w:val="00327387"/>
    <w:rsid w:val="003273F2"/>
    <w:rsid w:val="00327449"/>
    <w:rsid w:val="0032744F"/>
    <w:rsid w:val="003274D2"/>
    <w:rsid w:val="0032751D"/>
    <w:rsid w:val="00327524"/>
    <w:rsid w:val="003275CA"/>
    <w:rsid w:val="003275ED"/>
    <w:rsid w:val="003275F3"/>
    <w:rsid w:val="0032768D"/>
    <w:rsid w:val="00327735"/>
    <w:rsid w:val="00327774"/>
    <w:rsid w:val="003277DB"/>
    <w:rsid w:val="0032780B"/>
    <w:rsid w:val="00327848"/>
    <w:rsid w:val="003278DF"/>
    <w:rsid w:val="003279E5"/>
    <w:rsid w:val="00327A39"/>
    <w:rsid w:val="00327B74"/>
    <w:rsid w:val="00327C0C"/>
    <w:rsid w:val="00327C5C"/>
    <w:rsid w:val="00327C70"/>
    <w:rsid w:val="00327CD5"/>
    <w:rsid w:val="00327CF3"/>
    <w:rsid w:val="00327CF8"/>
    <w:rsid w:val="00327D2F"/>
    <w:rsid w:val="00327D81"/>
    <w:rsid w:val="00327DD8"/>
    <w:rsid w:val="00327E29"/>
    <w:rsid w:val="00327E6C"/>
    <w:rsid w:val="00327E7E"/>
    <w:rsid w:val="00327EF9"/>
    <w:rsid w:val="003300C9"/>
    <w:rsid w:val="0033013F"/>
    <w:rsid w:val="00330153"/>
    <w:rsid w:val="00330223"/>
    <w:rsid w:val="0033030B"/>
    <w:rsid w:val="0033031D"/>
    <w:rsid w:val="00330347"/>
    <w:rsid w:val="0033035B"/>
    <w:rsid w:val="0033036B"/>
    <w:rsid w:val="00330443"/>
    <w:rsid w:val="00330515"/>
    <w:rsid w:val="0033057F"/>
    <w:rsid w:val="003305E3"/>
    <w:rsid w:val="00330632"/>
    <w:rsid w:val="003306DB"/>
    <w:rsid w:val="0033070C"/>
    <w:rsid w:val="00330731"/>
    <w:rsid w:val="00330732"/>
    <w:rsid w:val="003307E4"/>
    <w:rsid w:val="00330837"/>
    <w:rsid w:val="0033085B"/>
    <w:rsid w:val="003308CA"/>
    <w:rsid w:val="003308FF"/>
    <w:rsid w:val="0033090A"/>
    <w:rsid w:val="0033090D"/>
    <w:rsid w:val="0033092A"/>
    <w:rsid w:val="00330932"/>
    <w:rsid w:val="0033093F"/>
    <w:rsid w:val="00330944"/>
    <w:rsid w:val="00330957"/>
    <w:rsid w:val="003309A7"/>
    <w:rsid w:val="003309DA"/>
    <w:rsid w:val="003309E4"/>
    <w:rsid w:val="00330A0A"/>
    <w:rsid w:val="00330A18"/>
    <w:rsid w:val="00330A26"/>
    <w:rsid w:val="00330A60"/>
    <w:rsid w:val="00330A8E"/>
    <w:rsid w:val="00330A9D"/>
    <w:rsid w:val="00330AC5"/>
    <w:rsid w:val="00330AED"/>
    <w:rsid w:val="00330AF1"/>
    <w:rsid w:val="00330C2B"/>
    <w:rsid w:val="00330C41"/>
    <w:rsid w:val="00330C68"/>
    <w:rsid w:val="00330CA6"/>
    <w:rsid w:val="00330DCD"/>
    <w:rsid w:val="00330DE3"/>
    <w:rsid w:val="00330E68"/>
    <w:rsid w:val="00330E73"/>
    <w:rsid w:val="00330E8A"/>
    <w:rsid w:val="00330EE9"/>
    <w:rsid w:val="00330F2B"/>
    <w:rsid w:val="00330F31"/>
    <w:rsid w:val="00330F7D"/>
    <w:rsid w:val="00330F8D"/>
    <w:rsid w:val="00331006"/>
    <w:rsid w:val="00331017"/>
    <w:rsid w:val="00331026"/>
    <w:rsid w:val="003310B0"/>
    <w:rsid w:val="0033113E"/>
    <w:rsid w:val="0033118F"/>
    <w:rsid w:val="00331207"/>
    <w:rsid w:val="00331260"/>
    <w:rsid w:val="00331395"/>
    <w:rsid w:val="00331416"/>
    <w:rsid w:val="00331432"/>
    <w:rsid w:val="0033146A"/>
    <w:rsid w:val="003314DA"/>
    <w:rsid w:val="003314DD"/>
    <w:rsid w:val="003315CD"/>
    <w:rsid w:val="003315FB"/>
    <w:rsid w:val="0033168B"/>
    <w:rsid w:val="003316AE"/>
    <w:rsid w:val="003316EE"/>
    <w:rsid w:val="00331729"/>
    <w:rsid w:val="00331936"/>
    <w:rsid w:val="00331999"/>
    <w:rsid w:val="003319DC"/>
    <w:rsid w:val="00331A08"/>
    <w:rsid w:val="00331A63"/>
    <w:rsid w:val="00331AC3"/>
    <w:rsid w:val="00331B65"/>
    <w:rsid w:val="00331B8F"/>
    <w:rsid w:val="00331C3E"/>
    <w:rsid w:val="00331C91"/>
    <w:rsid w:val="00331CB2"/>
    <w:rsid w:val="00331CC7"/>
    <w:rsid w:val="00331D24"/>
    <w:rsid w:val="00331D33"/>
    <w:rsid w:val="00331D76"/>
    <w:rsid w:val="00331D98"/>
    <w:rsid w:val="00331E88"/>
    <w:rsid w:val="00331F7B"/>
    <w:rsid w:val="00331F7F"/>
    <w:rsid w:val="00331FBF"/>
    <w:rsid w:val="00331FE5"/>
    <w:rsid w:val="00331FF7"/>
    <w:rsid w:val="00332028"/>
    <w:rsid w:val="00332050"/>
    <w:rsid w:val="00332070"/>
    <w:rsid w:val="00332152"/>
    <w:rsid w:val="0033231F"/>
    <w:rsid w:val="00332336"/>
    <w:rsid w:val="003323CB"/>
    <w:rsid w:val="003323FD"/>
    <w:rsid w:val="00332404"/>
    <w:rsid w:val="00332426"/>
    <w:rsid w:val="003324CD"/>
    <w:rsid w:val="0033253E"/>
    <w:rsid w:val="0033257C"/>
    <w:rsid w:val="00332581"/>
    <w:rsid w:val="003325B7"/>
    <w:rsid w:val="003326AF"/>
    <w:rsid w:val="00332711"/>
    <w:rsid w:val="00332755"/>
    <w:rsid w:val="003327AF"/>
    <w:rsid w:val="00332853"/>
    <w:rsid w:val="00332856"/>
    <w:rsid w:val="003328A9"/>
    <w:rsid w:val="003328C5"/>
    <w:rsid w:val="003328EA"/>
    <w:rsid w:val="00332902"/>
    <w:rsid w:val="0033291D"/>
    <w:rsid w:val="0033294A"/>
    <w:rsid w:val="0033295F"/>
    <w:rsid w:val="003329BF"/>
    <w:rsid w:val="00332A46"/>
    <w:rsid w:val="00332A84"/>
    <w:rsid w:val="00332C8E"/>
    <w:rsid w:val="00332CB6"/>
    <w:rsid w:val="00332D42"/>
    <w:rsid w:val="00332D68"/>
    <w:rsid w:val="00332DA1"/>
    <w:rsid w:val="00332DC8"/>
    <w:rsid w:val="00332DF7"/>
    <w:rsid w:val="00332EC4"/>
    <w:rsid w:val="00332EFE"/>
    <w:rsid w:val="00332EFF"/>
    <w:rsid w:val="00332F02"/>
    <w:rsid w:val="00332F5C"/>
    <w:rsid w:val="0033300C"/>
    <w:rsid w:val="00333104"/>
    <w:rsid w:val="00333110"/>
    <w:rsid w:val="00333151"/>
    <w:rsid w:val="00333154"/>
    <w:rsid w:val="00333204"/>
    <w:rsid w:val="00333265"/>
    <w:rsid w:val="0033326F"/>
    <w:rsid w:val="0033327C"/>
    <w:rsid w:val="003332C3"/>
    <w:rsid w:val="00333321"/>
    <w:rsid w:val="00333327"/>
    <w:rsid w:val="0033332C"/>
    <w:rsid w:val="00333390"/>
    <w:rsid w:val="003333DB"/>
    <w:rsid w:val="00333456"/>
    <w:rsid w:val="0033348D"/>
    <w:rsid w:val="003334AB"/>
    <w:rsid w:val="00333644"/>
    <w:rsid w:val="0033369B"/>
    <w:rsid w:val="0033376E"/>
    <w:rsid w:val="003338C2"/>
    <w:rsid w:val="003338CE"/>
    <w:rsid w:val="003338FA"/>
    <w:rsid w:val="0033393C"/>
    <w:rsid w:val="0033394C"/>
    <w:rsid w:val="00333A01"/>
    <w:rsid w:val="00333A1E"/>
    <w:rsid w:val="00333A42"/>
    <w:rsid w:val="00333A8E"/>
    <w:rsid w:val="00333AC3"/>
    <w:rsid w:val="00333B89"/>
    <w:rsid w:val="00333BA5"/>
    <w:rsid w:val="00333BB2"/>
    <w:rsid w:val="00333BF4"/>
    <w:rsid w:val="00333C0D"/>
    <w:rsid w:val="00333C5B"/>
    <w:rsid w:val="00333C7E"/>
    <w:rsid w:val="00333D0E"/>
    <w:rsid w:val="00333D36"/>
    <w:rsid w:val="00333D3B"/>
    <w:rsid w:val="00333DBD"/>
    <w:rsid w:val="00333E79"/>
    <w:rsid w:val="00333E92"/>
    <w:rsid w:val="00333E9E"/>
    <w:rsid w:val="00333EB4"/>
    <w:rsid w:val="00333EFA"/>
    <w:rsid w:val="00333F23"/>
    <w:rsid w:val="00333F82"/>
    <w:rsid w:val="00333F91"/>
    <w:rsid w:val="00333FD3"/>
    <w:rsid w:val="00333FD9"/>
    <w:rsid w:val="00334035"/>
    <w:rsid w:val="003340C8"/>
    <w:rsid w:val="0033416B"/>
    <w:rsid w:val="00334190"/>
    <w:rsid w:val="003341D7"/>
    <w:rsid w:val="00334202"/>
    <w:rsid w:val="003342AD"/>
    <w:rsid w:val="003343CA"/>
    <w:rsid w:val="00334491"/>
    <w:rsid w:val="0033459F"/>
    <w:rsid w:val="003345A0"/>
    <w:rsid w:val="0033462C"/>
    <w:rsid w:val="00334684"/>
    <w:rsid w:val="003346B8"/>
    <w:rsid w:val="003346EB"/>
    <w:rsid w:val="00334799"/>
    <w:rsid w:val="003347C0"/>
    <w:rsid w:val="00334804"/>
    <w:rsid w:val="003348DA"/>
    <w:rsid w:val="003348EB"/>
    <w:rsid w:val="00334913"/>
    <w:rsid w:val="0033499A"/>
    <w:rsid w:val="00334A0A"/>
    <w:rsid w:val="00334A58"/>
    <w:rsid w:val="00334A9D"/>
    <w:rsid w:val="00334C37"/>
    <w:rsid w:val="00334C56"/>
    <w:rsid w:val="00334C6A"/>
    <w:rsid w:val="00334D03"/>
    <w:rsid w:val="00334D66"/>
    <w:rsid w:val="00334DDB"/>
    <w:rsid w:val="00334E20"/>
    <w:rsid w:val="00334E5C"/>
    <w:rsid w:val="00334ED0"/>
    <w:rsid w:val="00334ED7"/>
    <w:rsid w:val="00334EFB"/>
    <w:rsid w:val="00334FF1"/>
    <w:rsid w:val="00335089"/>
    <w:rsid w:val="0033508C"/>
    <w:rsid w:val="0033514F"/>
    <w:rsid w:val="00335173"/>
    <w:rsid w:val="00335207"/>
    <w:rsid w:val="0033525A"/>
    <w:rsid w:val="0033527E"/>
    <w:rsid w:val="0033528C"/>
    <w:rsid w:val="003352B3"/>
    <w:rsid w:val="003352FB"/>
    <w:rsid w:val="00335364"/>
    <w:rsid w:val="00335389"/>
    <w:rsid w:val="00335575"/>
    <w:rsid w:val="003355FE"/>
    <w:rsid w:val="0033578B"/>
    <w:rsid w:val="003357C5"/>
    <w:rsid w:val="00335874"/>
    <w:rsid w:val="003358FA"/>
    <w:rsid w:val="00335959"/>
    <w:rsid w:val="0033595D"/>
    <w:rsid w:val="00335A20"/>
    <w:rsid w:val="00335ACD"/>
    <w:rsid w:val="00335BC6"/>
    <w:rsid w:val="00335C54"/>
    <w:rsid w:val="00335CD5"/>
    <w:rsid w:val="00335DDA"/>
    <w:rsid w:val="00335FC2"/>
    <w:rsid w:val="00336002"/>
    <w:rsid w:val="0033608B"/>
    <w:rsid w:val="003360B0"/>
    <w:rsid w:val="003360B6"/>
    <w:rsid w:val="00336144"/>
    <w:rsid w:val="00336149"/>
    <w:rsid w:val="0033615F"/>
    <w:rsid w:val="00336176"/>
    <w:rsid w:val="0033630F"/>
    <w:rsid w:val="003363F9"/>
    <w:rsid w:val="0033651C"/>
    <w:rsid w:val="003365C1"/>
    <w:rsid w:val="003365EE"/>
    <w:rsid w:val="0033681C"/>
    <w:rsid w:val="0033684D"/>
    <w:rsid w:val="0033685B"/>
    <w:rsid w:val="0033686D"/>
    <w:rsid w:val="00336946"/>
    <w:rsid w:val="00336996"/>
    <w:rsid w:val="00336A5F"/>
    <w:rsid w:val="00336ADE"/>
    <w:rsid w:val="00336B25"/>
    <w:rsid w:val="00336B4B"/>
    <w:rsid w:val="00336B94"/>
    <w:rsid w:val="00336BEC"/>
    <w:rsid w:val="00336BEE"/>
    <w:rsid w:val="00336C2B"/>
    <w:rsid w:val="00336C56"/>
    <w:rsid w:val="00336CD4"/>
    <w:rsid w:val="00336D13"/>
    <w:rsid w:val="00336E4B"/>
    <w:rsid w:val="00336F01"/>
    <w:rsid w:val="00336F50"/>
    <w:rsid w:val="00336FCB"/>
    <w:rsid w:val="00336FEA"/>
    <w:rsid w:val="0033702A"/>
    <w:rsid w:val="00337045"/>
    <w:rsid w:val="003370E8"/>
    <w:rsid w:val="003370FF"/>
    <w:rsid w:val="00337178"/>
    <w:rsid w:val="003371B5"/>
    <w:rsid w:val="003371BC"/>
    <w:rsid w:val="003371BF"/>
    <w:rsid w:val="003371E0"/>
    <w:rsid w:val="003371F2"/>
    <w:rsid w:val="00337211"/>
    <w:rsid w:val="0033728C"/>
    <w:rsid w:val="003372BB"/>
    <w:rsid w:val="003372FF"/>
    <w:rsid w:val="00337307"/>
    <w:rsid w:val="0033733B"/>
    <w:rsid w:val="00337341"/>
    <w:rsid w:val="003373AA"/>
    <w:rsid w:val="003373E6"/>
    <w:rsid w:val="0033746B"/>
    <w:rsid w:val="003374C4"/>
    <w:rsid w:val="003374C7"/>
    <w:rsid w:val="0033755C"/>
    <w:rsid w:val="003375DE"/>
    <w:rsid w:val="00337601"/>
    <w:rsid w:val="00337637"/>
    <w:rsid w:val="003376A0"/>
    <w:rsid w:val="0033782B"/>
    <w:rsid w:val="003378A8"/>
    <w:rsid w:val="00337944"/>
    <w:rsid w:val="00337994"/>
    <w:rsid w:val="00337A28"/>
    <w:rsid w:val="00337AB3"/>
    <w:rsid w:val="00337BAF"/>
    <w:rsid w:val="00337C1D"/>
    <w:rsid w:val="00337CA8"/>
    <w:rsid w:val="00337CDD"/>
    <w:rsid w:val="00337DFD"/>
    <w:rsid w:val="00337E12"/>
    <w:rsid w:val="00337E1A"/>
    <w:rsid w:val="00337F90"/>
    <w:rsid w:val="00337FA5"/>
    <w:rsid w:val="0034006D"/>
    <w:rsid w:val="00340078"/>
    <w:rsid w:val="0034015A"/>
    <w:rsid w:val="00340182"/>
    <w:rsid w:val="003401DB"/>
    <w:rsid w:val="00340211"/>
    <w:rsid w:val="0034024B"/>
    <w:rsid w:val="0034028B"/>
    <w:rsid w:val="0034031A"/>
    <w:rsid w:val="00340328"/>
    <w:rsid w:val="00340341"/>
    <w:rsid w:val="00340347"/>
    <w:rsid w:val="0034039A"/>
    <w:rsid w:val="0034042E"/>
    <w:rsid w:val="0034045B"/>
    <w:rsid w:val="0034046F"/>
    <w:rsid w:val="0034049C"/>
    <w:rsid w:val="00340537"/>
    <w:rsid w:val="003405D5"/>
    <w:rsid w:val="00340601"/>
    <w:rsid w:val="00340614"/>
    <w:rsid w:val="0034068B"/>
    <w:rsid w:val="0034069B"/>
    <w:rsid w:val="003407BD"/>
    <w:rsid w:val="00340896"/>
    <w:rsid w:val="003408DC"/>
    <w:rsid w:val="003408F5"/>
    <w:rsid w:val="003409A4"/>
    <w:rsid w:val="003409F4"/>
    <w:rsid w:val="00340A0F"/>
    <w:rsid w:val="00340A2A"/>
    <w:rsid w:val="00340A9B"/>
    <w:rsid w:val="00340B12"/>
    <w:rsid w:val="00340B27"/>
    <w:rsid w:val="00340BD7"/>
    <w:rsid w:val="00340BDE"/>
    <w:rsid w:val="00340C8B"/>
    <w:rsid w:val="00340CB4"/>
    <w:rsid w:val="00340DE5"/>
    <w:rsid w:val="00340E16"/>
    <w:rsid w:val="00340EC4"/>
    <w:rsid w:val="00340FAC"/>
    <w:rsid w:val="00341010"/>
    <w:rsid w:val="00341029"/>
    <w:rsid w:val="0034103F"/>
    <w:rsid w:val="00341082"/>
    <w:rsid w:val="00341084"/>
    <w:rsid w:val="0034112A"/>
    <w:rsid w:val="00341133"/>
    <w:rsid w:val="003411FF"/>
    <w:rsid w:val="0034121C"/>
    <w:rsid w:val="003413A8"/>
    <w:rsid w:val="003413F8"/>
    <w:rsid w:val="003413FF"/>
    <w:rsid w:val="00341406"/>
    <w:rsid w:val="00341407"/>
    <w:rsid w:val="00341468"/>
    <w:rsid w:val="00341481"/>
    <w:rsid w:val="00341496"/>
    <w:rsid w:val="003414CA"/>
    <w:rsid w:val="00341526"/>
    <w:rsid w:val="003415A3"/>
    <w:rsid w:val="003415B5"/>
    <w:rsid w:val="0034166C"/>
    <w:rsid w:val="00341711"/>
    <w:rsid w:val="0034173B"/>
    <w:rsid w:val="0034173C"/>
    <w:rsid w:val="00341790"/>
    <w:rsid w:val="003417CB"/>
    <w:rsid w:val="003417E6"/>
    <w:rsid w:val="003417FA"/>
    <w:rsid w:val="003418DA"/>
    <w:rsid w:val="003419B0"/>
    <w:rsid w:val="00341A02"/>
    <w:rsid w:val="00341A90"/>
    <w:rsid w:val="00341B3D"/>
    <w:rsid w:val="00341B46"/>
    <w:rsid w:val="00341CE8"/>
    <w:rsid w:val="00341D98"/>
    <w:rsid w:val="00341E00"/>
    <w:rsid w:val="00341E0E"/>
    <w:rsid w:val="00341E4C"/>
    <w:rsid w:val="00341E6D"/>
    <w:rsid w:val="00341ED0"/>
    <w:rsid w:val="00341F6D"/>
    <w:rsid w:val="00341FCA"/>
    <w:rsid w:val="003420E6"/>
    <w:rsid w:val="003421CD"/>
    <w:rsid w:val="00342250"/>
    <w:rsid w:val="00342266"/>
    <w:rsid w:val="003422A0"/>
    <w:rsid w:val="003422A3"/>
    <w:rsid w:val="003422CE"/>
    <w:rsid w:val="0034235F"/>
    <w:rsid w:val="003423FB"/>
    <w:rsid w:val="003423FF"/>
    <w:rsid w:val="0034242D"/>
    <w:rsid w:val="003424C2"/>
    <w:rsid w:val="003424D6"/>
    <w:rsid w:val="00342544"/>
    <w:rsid w:val="00342563"/>
    <w:rsid w:val="00342641"/>
    <w:rsid w:val="00342712"/>
    <w:rsid w:val="00342728"/>
    <w:rsid w:val="0034272F"/>
    <w:rsid w:val="00342765"/>
    <w:rsid w:val="00342781"/>
    <w:rsid w:val="003427BB"/>
    <w:rsid w:val="00342835"/>
    <w:rsid w:val="0034287C"/>
    <w:rsid w:val="003429A7"/>
    <w:rsid w:val="00342A11"/>
    <w:rsid w:val="00342A7C"/>
    <w:rsid w:val="00342C40"/>
    <w:rsid w:val="00342D32"/>
    <w:rsid w:val="00342D51"/>
    <w:rsid w:val="00342DF2"/>
    <w:rsid w:val="00342EA9"/>
    <w:rsid w:val="00342EB4"/>
    <w:rsid w:val="00342FC0"/>
    <w:rsid w:val="00342FF4"/>
    <w:rsid w:val="00343000"/>
    <w:rsid w:val="00343039"/>
    <w:rsid w:val="003430C8"/>
    <w:rsid w:val="003430DE"/>
    <w:rsid w:val="0034318B"/>
    <w:rsid w:val="0034319A"/>
    <w:rsid w:val="0034321C"/>
    <w:rsid w:val="00343349"/>
    <w:rsid w:val="003433BA"/>
    <w:rsid w:val="003433C3"/>
    <w:rsid w:val="003433EF"/>
    <w:rsid w:val="0034342A"/>
    <w:rsid w:val="00343475"/>
    <w:rsid w:val="0034347D"/>
    <w:rsid w:val="00343595"/>
    <w:rsid w:val="003435A9"/>
    <w:rsid w:val="0034360D"/>
    <w:rsid w:val="0034361B"/>
    <w:rsid w:val="00343671"/>
    <w:rsid w:val="00343676"/>
    <w:rsid w:val="00343688"/>
    <w:rsid w:val="003436E1"/>
    <w:rsid w:val="003436E4"/>
    <w:rsid w:val="0034376D"/>
    <w:rsid w:val="003437B3"/>
    <w:rsid w:val="0034386D"/>
    <w:rsid w:val="00343956"/>
    <w:rsid w:val="003439A2"/>
    <w:rsid w:val="00343A06"/>
    <w:rsid w:val="00343A3F"/>
    <w:rsid w:val="00343AA2"/>
    <w:rsid w:val="00343B10"/>
    <w:rsid w:val="00343B4C"/>
    <w:rsid w:val="00343B7B"/>
    <w:rsid w:val="00343BD5"/>
    <w:rsid w:val="00343BD7"/>
    <w:rsid w:val="00343C11"/>
    <w:rsid w:val="00343C7A"/>
    <w:rsid w:val="00343CEB"/>
    <w:rsid w:val="00343D94"/>
    <w:rsid w:val="00343D9E"/>
    <w:rsid w:val="00343EC0"/>
    <w:rsid w:val="00343F72"/>
    <w:rsid w:val="00344277"/>
    <w:rsid w:val="00344289"/>
    <w:rsid w:val="003442A0"/>
    <w:rsid w:val="003442C2"/>
    <w:rsid w:val="003442D3"/>
    <w:rsid w:val="003443BB"/>
    <w:rsid w:val="003443F6"/>
    <w:rsid w:val="0034448B"/>
    <w:rsid w:val="003445C3"/>
    <w:rsid w:val="00344612"/>
    <w:rsid w:val="00344649"/>
    <w:rsid w:val="0034467B"/>
    <w:rsid w:val="0034475C"/>
    <w:rsid w:val="00344789"/>
    <w:rsid w:val="00344825"/>
    <w:rsid w:val="00344857"/>
    <w:rsid w:val="0034486E"/>
    <w:rsid w:val="0034487C"/>
    <w:rsid w:val="003448D8"/>
    <w:rsid w:val="00344923"/>
    <w:rsid w:val="003449AF"/>
    <w:rsid w:val="003449F0"/>
    <w:rsid w:val="00344A5C"/>
    <w:rsid w:val="00344A84"/>
    <w:rsid w:val="00344AF3"/>
    <w:rsid w:val="00344B5D"/>
    <w:rsid w:val="00344B7E"/>
    <w:rsid w:val="00344B87"/>
    <w:rsid w:val="00344BA3"/>
    <w:rsid w:val="00344BBB"/>
    <w:rsid w:val="00344C4A"/>
    <w:rsid w:val="00344E0D"/>
    <w:rsid w:val="00344E95"/>
    <w:rsid w:val="00344EB1"/>
    <w:rsid w:val="00344FB7"/>
    <w:rsid w:val="0034508C"/>
    <w:rsid w:val="003450A9"/>
    <w:rsid w:val="0034514C"/>
    <w:rsid w:val="00345178"/>
    <w:rsid w:val="003451A7"/>
    <w:rsid w:val="003451E1"/>
    <w:rsid w:val="0034534F"/>
    <w:rsid w:val="00345359"/>
    <w:rsid w:val="00345389"/>
    <w:rsid w:val="003453C1"/>
    <w:rsid w:val="003453D0"/>
    <w:rsid w:val="00345431"/>
    <w:rsid w:val="00345455"/>
    <w:rsid w:val="00345496"/>
    <w:rsid w:val="0034566A"/>
    <w:rsid w:val="0034590E"/>
    <w:rsid w:val="0034599D"/>
    <w:rsid w:val="003459C9"/>
    <w:rsid w:val="00345A86"/>
    <w:rsid w:val="00345A90"/>
    <w:rsid w:val="00345B30"/>
    <w:rsid w:val="00345B50"/>
    <w:rsid w:val="00345B7E"/>
    <w:rsid w:val="00345BCF"/>
    <w:rsid w:val="00345BFE"/>
    <w:rsid w:val="00345C03"/>
    <w:rsid w:val="00345C04"/>
    <w:rsid w:val="00345C2F"/>
    <w:rsid w:val="00345CA0"/>
    <w:rsid w:val="00345CB2"/>
    <w:rsid w:val="00345D32"/>
    <w:rsid w:val="00345DAD"/>
    <w:rsid w:val="00345E98"/>
    <w:rsid w:val="00345F24"/>
    <w:rsid w:val="00345FA8"/>
    <w:rsid w:val="00345FC2"/>
    <w:rsid w:val="00345FC9"/>
    <w:rsid w:val="00345FD9"/>
    <w:rsid w:val="00345FE3"/>
    <w:rsid w:val="00346031"/>
    <w:rsid w:val="00346044"/>
    <w:rsid w:val="00346073"/>
    <w:rsid w:val="003460BD"/>
    <w:rsid w:val="003460E5"/>
    <w:rsid w:val="00346110"/>
    <w:rsid w:val="0034611D"/>
    <w:rsid w:val="0034614A"/>
    <w:rsid w:val="003461A8"/>
    <w:rsid w:val="00346255"/>
    <w:rsid w:val="0034635D"/>
    <w:rsid w:val="003463A0"/>
    <w:rsid w:val="003463E7"/>
    <w:rsid w:val="0034644B"/>
    <w:rsid w:val="00346471"/>
    <w:rsid w:val="00346476"/>
    <w:rsid w:val="003465D3"/>
    <w:rsid w:val="003465E1"/>
    <w:rsid w:val="003466C1"/>
    <w:rsid w:val="003466F9"/>
    <w:rsid w:val="00346730"/>
    <w:rsid w:val="00346733"/>
    <w:rsid w:val="003467A1"/>
    <w:rsid w:val="00346895"/>
    <w:rsid w:val="00346896"/>
    <w:rsid w:val="003468B0"/>
    <w:rsid w:val="003468C1"/>
    <w:rsid w:val="003469C8"/>
    <w:rsid w:val="00346A4A"/>
    <w:rsid w:val="00346ADE"/>
    <w:rsid w:val="00346B45"/>
    <w:rsid w:val="00346BBC"/>
    <w:rsid w:val="00346C83"/>
    <w:rsid w:val="00346D2D"/>
    <w:rsid w:val="00346D38"/>
    <w:rsid w:val="00346D5D"/>
    <w:rsid w:val="00346E05"/>
    <w:rsid w:val="00346EB6"/>
    <w:rsid w:val="00346EB7"/>
    <w:rsid w:val="00346EC3"/>
    <w:rsid w:val="00346F07"/>
    <w:rsid w:val="00346F4E"/>
    <w:rsid w:val="0034714E"/>
    <w:rsid w:val="003471A7"/>
    <w:rsid w:val="003472DE"/>
    <w:rsid w:val="0034731D"/>
    <w:rsid w:val="003473CC"/>
    <w:rsid w:val="0034743A"/>
    <w:rsid w:val="00347454"/>
    <w:rsid w:val="003476B7"/>
    <w:rsid w:val="003477FB"/>
    <w:rsid w:val="0034783F"/>
    <w:rsid w:val="00347845"/>
    <w:rsid w:val="003478AC"/>
    <w:rsid w:val="0034794A"/>
    <w:rsid w:val="003479B1"/>
    <w:rsid w:val="00347A00"/>
    <w:rsid w:val="00347B5A"/>
    <w:rsid w:val="00347B5C"/>
    <w:rsid w:val="00347BA6"/>
    <w:rsid w:val="00347BD2"/>
    <w:rsid w:val="00347C09"/>
    <w:rsid w:val="00347C32"/>
    <w:rsid w:val="00347C3C"/>
    <w:rsid w:val="00347C54"/>
    <w:rsid w:val="00347D82"/>
    <w:rsid w:val="00347DDE"/>
    <w:rsid w:val="00347E42"/>
    <w:rsid w:val="00347F48"/>
    <w:rsid w:val="0035003E"/>
    <w:rsid w:val="0035005E"/>
    <w:rsid w:val="00350092"/>
    <w:rsid w:val="003500DD"/>
    <w:rsid w:val="0035014B"/>
    <w:rsid w:val="00350165"/>
    <w:rsid w:val="003501C1"/>
    <w:rsid w:val="003501DE"/>
    <w:rsid w:val="003501E9"/>
    <w:rsid w:val="00350213"/>
    <w:rsid w:val="0035022A"/>
    <w:rsid w:val="003502AB"/>
    <w:rsid w:val="0035042C"/>
    <w:rsid w:val="0035044F"/>
    <w:rsid w:val="00350693"/>
    <w:rsid w:val="00350699"/>
    <w:rsid w:val="003506A3"/>
    <w:rsid w:val="00350744"/>
    <w:rsid w:val="00350755"/>
    <w:rsid w:val="003507AE"/>
    <w:rsid w:val="00350836"/>
    <w:rsid w:val="00350873"/>
    <w:rsid w:val="003508AF"/>
    <w:rsid w:val="003508FB"/>
    <w:rsid w:val="00350911"/>
    <w:rsid w:val="00350952"/>
    <w:rsid w:val="003509A7"/>
    <w:rsid w:val="003509B0"/>
    <w:rsid w:val="003509DD"/>
    <w:rsid w:val="00350A5F"/>
    <w:rsid w:val="00350AB2"/>
    <w:rsid w:val="00350B0C"/>
    <w:rsid w:val="00350B18"/>
    <w:rsid w:val="00350B77"/>
    <w:rsid w:val="00350B7B"/>
    <w:rsid w:val="00350BC3"/>
    <w:rsid w:val="00350CA5"/>
    <w:rsid w:val="00350D9F"/>
    <w:rsid w:val="00350E02"/>
    <w:rsid w:val="00350E76"/>
    <w:rsid w:val="00350E7C"/>
    <w:rsid w:val="00350ECC"/>
    <w:rsid w:val="00350EE2"/>
    <w:rsid w:val="00350F39"/>
    <w:rsid w:val="00350FBF"/>
    <w:rsid w:val="003510A5"/>
    <w:rsid w:val="00351163"/>
    <w:rsid w:val="00351225"/>
    <w:rsid w:val="00351328"/>
    <w:rsid w:val="00351355"/>
    <w:rsid w:val="003513C4"/>
    <w:rsid w:val="003513C8"/>
    <w:rsid w:val="003513ED"/>
    <w:rsid w:val="00351449"/>
    <w:rsid w:val="0035148E"/>
    <w:rsid w:val="0035150E"/>
    <w:rsid w:val="00351510"/>
    <w:rsid w:val="00351523"/>
    <w:rsid w:val="00351548"/>
    <w:rsid w:val="0035162E"/>
    <w:rsid w:val="003516BD"/>
    <w:rsid w:val="0035173F"/>
    <w:rsid w:val="0035188D"/>
    <w:rsid w:val="003518A5"/>
    <w:rsid w:val="003519AD"/>
    <w:rsid w:val="003519BD"/>
    <w:rsid w:val="00351A66"/>
    <w:rsid w:val="00351A89"/>
    <w:rsid w:val="00351A9D"/>
    <w:rsid w:val="00351AC6"/>
    <w:rsid w:val="00351CBF"/>
    <w:rsid w:val="00351D20"/>
    <w:rsid w:val="00351D33"/>
    <w:rsid w:val="00351D81"/>
    <w:rsid w:val="00351E0E"/>
    <w:rsid w:val="00351E13"/>
    <w:rsid w:val="00351E3A"/>
    <w:rsid w:val="00351E5E"/>
    <w:rsid w:val="00351F64"/>
    <w:rsid w:val="00351F74"/>
    <w:rsid w:val="00352011"/>
    <w:rsid w:val="0035212E"/>
    <w:rsid w:val="00352172"/>
    <w:rsid w:val="003521D5"/>
    <w:rsid w:val="003521EE"/>
    <w:rsid w:val="0035235A"/>
    <w:rsid w:val="0035239C"/>
    <w:rsid w:val="003523A0"/>
    <w:rsid w:val="00352434"/>
    <w:rsid w:val="0035245B"/>
    <w:rsid w:val="00352461"/>
    <w:rsid w:val="00352505"/>
    <w:rsid w:val="00352544"/>
    <w:rsid w:val="00352577"/>
    <w:rsid w:val="003525C6"/>
    <w:rsid w:val="00352661"/>
    <w:rsid w:val="003526AE"/>
    <w:rsid w:val="003526CD"/>
    <w:rsid w:val="00352710"/>
    <w:rsid w:val="00352716"/>
    <w:rsid w:val="0035276D"/>
    <w:rsid w:val="00352780"/>
    <w:rsid w:val="003527F6"/>
    <w:rsid w:val="00352854"/>
    <w:rsid w:val="00352881"/>
    <w:rsid w:val="00352887"/>
    <w:rsid w:val="00352893"/>
    <w:rsid w:val="003528ED"/>
    <w:rsid w:val="00352986"/>
    <w:rsid w:val="003529D2"/>
    <w:rsid w:val="003529FB"/>
    <w:rsid w:val="00352A7E"/>
    <w:rsid w:val="00352AEB"/>
    <w:rsid w:val="00352B13"/>
    <w:rsid w:val="00352C5A"/>
    <w:rsid w:val="00352CBB"/>
    <w:rsid w:val="00352CD5"/>
    <w:rsid w:val="00352D05"/>
    <w:rsid w:val="00352D0E"/>
    <w:rsid w:val="00352D8D"/>
    <w:rsid w:val="00352DA2"/>
    <w:rsid w:val="00352E4F"/>
    <w:rsid w:val="00352F8E"/>
    <w:rsid w:val="00352FEE"/>
    <w:rsid w:val="00353207"/>
    <w:rsid w:val="0035330D"/>
    <w:rsid w:val="0035339C"/>
    <w:rsid w:val="0035346E"/>
    <w:rsid w:val="003536F7"/>
    <w:rsid w:val="0035379C"/>
    <w:rsid w:val="003537EA"/>
    <w:rsid w:val="003537EC"/>
    <w:rsid w:val="00353830"/>
    <w:rsid w:val="0035385F"/>
    <w:rsid w:val="0035388A"/>
    <w:rsid w:val="003538E2"/>
    <w:rsid w:val="00353910"/>
    <w:rsid w:val="0035394E"/>
    <w:rsid w:val="0035396C"/>
    <w:rsid w:val="003539EF"/>
    <w:rsid w:val="00353A40"/>
    <w:rsid w:val="00353AA1"/>
    <w:rsid w:val="00353B25"/>
    <w:rsid w:val="00353B5C"/>
    <w:rsid w:val="00353C6D"/>
    <w:rsid w:val="00353D07"/>
    <w:rsid w:val="00353D73"/>
    <w:rsid w:val="00353EE0"/>
    <w:rsid w:val="00353F39"/>
    <w:rsid w:val="00353F61"/>
    <w:rsid w:val="00353F71"/>
    <w:rsid w:val="00353F84"/>
    <w:rsid w:val="003540BF"/>
    <w:rsid w:val="003540DC"/>
    <w:rsid w:val="003540EF"/>
    <w:rsid w:val="00354121"/>
    <w:rsid w:val="0035418B"/>
    <w:rsid w:val="003541B2"/>
    <w:rsid w:val="003541FE"/>
    <w:rsid w:val="00354217"/>
    <w:rsid w:val="00354225"/>
    <w:rsid w:val="00354311"/>
    <w:rsid w:val="00354364"/>
    <w:rsid w:val="00354467"/>
    <w:rsid w:val="00354515"/>
    <w:rsid w:val="00354562"/>
    <w:rsid w:val="00354582"/>
    <w:rsid w:val="003545A2"/>
    <w:rsid w:val="003545C8"/>
    <w:rsid w:val="00354709"/>
    <w:rsid w:val="0035474B"/>
    <w:rsid w:val="00354839"/>
    <w:rsid w:val="00354866"/>
    <w:rsid w:val="0035489D"/>
    <w:rsid w:val="003548A9"/>
    <w:rsid w:val="003549DD"/>
    <w:rsid w:val="003549E0"/>
    <w:rsid w:val="00354A68"/>
    <w:rsid w:val="00354A9B"/>
    <w:rsid w:val="00354ACA"/>
    <w:rsid w:val="00354B38"/>
    <w:rsid w:val="00354BD0"/>
    <w:rsid w:val="00354BDA"/>
    <w:rsid w:val="00354C1C"/>
    <w:rsid w:val="00354C81"/>
    <w:rsid w:val="00354D27"/>
    <w:rsid w:val="00354D5D"/>
    <w:rsid w:val="00354E0A"/>
    <w:rsid w:val="00354E21"/>
    <w:rsid w:val="00354E47"/>
    <w:rsid w:val="00354E7C"/>
    <w:rsid w:val="00354EAA"/>
    <w:rsid w:val="00354EB4"/>
    <w:rsid w:val="003550BD"/>
    <w:rsid w:val="0035510D"/>
    <w:rsid w:val="00355131"/>
    <w:rsid w:val="003551E1"/>
    <w:rsid w:val="0035524B"/>
    <w:rsid w:val="003552FB"/>
    <w:rsid w:val="00355365"/>
    <w:rsid w:val="003553E7"/>
    <w:rsid w:val="00355445"/>
    <w:rsid w:val="0035544E"/>
    <w:rsid w:val="00355466"/>
    <w:rsid w:val="00355503"/>
    <w:rsid w:val="00355532"/>
    <w:rsid w:val="00355630"/>
    <w:rsid w:val="003556B5"/>
    <w:rsid w:val="003556CC"/>
    <w:rsid w:val="003557C6"/>
    <w:rsid w:val="003557E8"/>
    <w:rsid w:val="00355834"/>
    <w:rsid w:val="003558C1"/>
    <w:rsid w:val="00355957"/>
    <w:rsid w:val="00355973"/>
    <w:rsid w:val="00355985"/>
    <w:rsid w:val="00355A47"/>
    <w:rsid w:val="00355A9D"/>
    <w:rsid w:val="00355AE8"/>
    <w:rsid w:val="00355B0C"/>
    <w:rsid w:val="00355B1C"/>
    <w:rsid w:val="00355B36"/>
    <w:rsid w:val="00355B3F"/>
    <w:rsid w:val="00355B67"/>
    <w:rsid w:val="00355BDA"/>
    <w:rsid w:val="00355C03"/>
    <w:rsid w:val="00355C47"/>
    <w:rsid w:val="00355C48"/>
    <w:rsid w:val="00355C4F"/>
    <w:rsid w:val="00355C5F"/>
    <w:rsid w:val="00355C6C"/>
    <w:rsid w:val="00355D27"/>
    <w:rsid w:val="00355D2C"/>
    <w:rsid w:val="00355E7E"/>
    <w:rsid w:val="00355E9D"/>
    <w:rsid w:val="00355ED6"/>
    <w:rsid w:val="00355F7E"/>
    <w:rsid w:val="00355F82"/>
    <w:rsid w:val="00355F97"/>
    <w:rsid w:val="00355FFD"/>
    <w:rsid w:val="00356048"/>
    <w:rsid w:val="003560DA"/>
    <w:rsid w:val="0035611A"/>
    <w:rsid w:val="0035625A"/>
    <w:rsid w:val="00356296"/>
    <w:rsid w:val="003562DD"/>
    <w:rsid w:val="00356314"/>
    <w:rsid w:val="0035635D"/>
    <w:rsid w:val="003563DA"/>
    <w:rsid w:val="003563F9"/>
    <w:rsid w:val="0035644B"/>
    <w:rsid w:val="0035645B"/>
    <w:rsid w:val="003564E8"/>
    <w:rsid w:val="00356549"/>
    <w:rsid w:val="00356564"/>
    <w:rsid w:val="00356662"/>
    <w:rsid w:val="00356694"/>
    <w:rsid w:val="003566E7"/>
    <w:rsid w:val="0035670B"/>
    <w:rsid w:val="00356747"/>
    <w:rsid w:val="0035683F"/>
    <w:rsid w:val="0035687D"/>
    <w:rsid w:val="0035689A"/>
    <w:rsid w:val="003568A2"/>
    <w:rsid w:val="003568EC"/>
    <w:rsid w:val="003568FE"/>
    <w:rsid w:val="0035691E"/>
    <w:rsid w:val="003569CF"/>
    <w:rsid w:val="00356AAB"/>
    <w:rsid w:val="00356AE5"/>
    <w:rsid w:val="00356B20"/>
    <w:rsid w:val="00356B61"/>
    <w:rsid w:val="00356B9C"/>
    <w:rsid w:val="00356C1F"/>
    <w:rsid w:val="00356C8F"/>
    <w:rsid w:val="00356CA1"/>
    <w:rsid w:val="00356D29"/>
    <w:rsid w:val="00356D45"/>
    <w:rsid w:val="00356D5A"/>
    <w:rsid w:val="00356D76"/>
    <w:rsid w:val="00356DCA"/>
    <w:rsid w:val="00356DDD"/>
    <w:rsid w:val="00356E74"/>
    <w:rsid w:val="00356E97"/>
    <w:rsid w:val="00357041"/>
    <w:rsid w:val="003570BD"/>
    <w:rsid w:val="003570FF"/>
    <w:rsid w:val="00357180"/>
    <w:rsid w:val="003571C2"/>
    <w:rsid w:val="00357236"/>
    <w:rsid w:val="00357275"/>
    <w:rsid w:val="0035728B"/>
    <w:rsid w:val="003572B0"/>
    <w:rsid w:val="003572D3"/>
    <w:rsid w:val="003572FB"/>
    <w:rsid w:val="0035731C"/>
    <w:rsid w:val="003575C9"/>
    <w:rsid w:val="0035761C"/>
    <w:rsid w:val="0035761F"/>
    <w:rsid w:val="0035762A"/>
    <w:rsid w:val="003576D7"/>
    <w:rsid w:val="00357703"/>
    <w:rsid w:val="00357868"/>
    <w:rsid w:val="0035786E"/>
    <w:rsid w:val="003578AC"/>
    <w:rsid w:val="00357983"/>
    <w:rsid w:val="003579A4"/>
    <w:rsid w:val="003579DA"/>
    <w:rsid w:val="00357A1C"/>
    <w:rsid w:val="00357A2A"/>
    <w:rsid w:val="00357A3D"/>
    <w:rsid w:val="00357A45"/>
    <w:rsid w:val="00357CA2"/>
    <w:rsid w:val="00357CE8"/>
    <w:rsid w:val="00357D3D"/>
    <w:rsid w:val="00357D4E"/>
    <w:rsid w:val="00357D9B"/>
    <w:rsid w:val="00357DEB"/>
    <w:rsid w:val="00357FEF"/>
    <w:rsid w:val="00360006"/>
    <w:rsid w:val="0036005E"/>
    <w:rsid w:val="00360140"/>
    <w:rsid w:val="0036015C"/>
    <w:rsid w:val="003601A1"/>
    <w:rsid w:val="003601C7"/>
    <w:rsid w:val="003601D1"/>
    <w:rsid w:val="00360250"/>
    <w:rsid w:val="00360324"/>
    <w:rsid w:val="00360340"/>
    <w:rsid w:val="0036041C"/>
    <w:rsid w:val="003604F8"/>
    <w:rsid w:val="00360556"/>
    <w:rsid w:val="00360614"/>
    <w:rsid w:val="0036071F"/>
    <w:rsid w:val="0036073A"/>
    <w:rsid w:val="003607E8"/>
    <w:rsid w:val="00360877"/>
    <w:rsid w:val="003608EA"/>
    <w:rsid w:val="0036093F"/>
    <w:rsid w:val="00360962"/>
    <w:rsid w:val="00360967"/>
    <w:rsid w:val="00360983"/>
    <w:rsid w:val="00360A73"/>
    <w:rsid w:val="00360B67"/>
    <w:rsid w:val="00360B7A"/>
    <w:rsid w:val="00360C22"/>
    <w:rsid w:val="00360C4F"/>
    <w:rsid w:val="00360C70"/>
    <w:rsid w:val="00360D06"/>
    <w:rsid w:val="00360D10"/>
    <w:rsid w:val="00360D5F"/>
    <w:rsid w:val="00360D6E"/>
    <w:rsid w:val="00360D7E"/>
    <w:rsid w:val="00360EA8"/>
    <w:rsid w:val="00360ECB"/>
    <w:rsid w:val="00360F19"/>
    <w:rsid w:val="00360F2B"/>
    <w:rsid w:val="00360FE2"/>
    <w:rsid w:val="003610A8"/>
    <w:rsid w:val="003610E4"/>
    <w:rsid w:val="003610E8"/>
    <w:rsid w:val="00361313"/>
    <w:rsid w:val="00361348"/>
    <w:rsid w:val="0036134A"/>
    <w:rsid w:val="00361475"/>
    <w:rsid w:val="0036148F"/>
    <w:rsid w:val="00361496"/>
    <w:rsid w:val="003614B9"/>
    <w:rsid w:val="00361541"/>
    <w:rsid w:val="003615C9"/>
    <w:rsid w:val="0036161B"/>
    <w:rsid w:val="003616DC"/>
    <w:rsid w:val="0036172C"/>
    <w:rsid w:val="003617A9"/>
    <w:rsid w:val="003617B3"/>
    <w:rsid w:val="003617CC"/>
    <w:rsid w:val="0036181E"/>
    <w:rsid w:val="00361837"/>
    <w:rsid w:val="00361876"/>
    <w:rsid w:val="003618A6"/>
    <w:rsid w:val="003619F2"/>
    <w:rsid w:val="00361A81"/>
    <w:rsid w:val="00361AAD"/>
    <w:rsid w:val="00361ADF"/>
    <w:rsid w:val="00361AEC"/>
    <w:rsid w:val="00361AEE"/>
    <w:rsid w:val="00361B1D"/>
    <w:rsid w:val="00361B55"/>
    <w:rsid w:val="00361BA6"/>
    <w:rsid w:val="00361C0B"/>
    <w:rsid w:val="00361C10"/>
    <w:rsid w:val="00361C4E"/>
    <w:rsid w:val="00361D6A"/>
    <w:rsid w:val="00361D7E"/>
    <w:rsid w:val="00361DCA"/>
    <w:rsid w:val="00361E14"/>
    <w:rsid w:val="00361E50"/>
    <w:rsid w:val="00361EE1"/>
    <w:rsid w:val="00361F40"/>
    <w:rsid w:val="00361FA5"/>
    <w:rsid w:val="00362002"/>
    <w:rsid w:val="00362059"/>
    <w:rsid w:val="0036208A"/>
    <w:rsid w:val="003620CA"/>
    <w:rsid w:val="0036210A"/>
    <w:rsid w:val="0036214F"/>
    <w:rsid w:val="0036219F"/>
    <w:rsid w:val="003621E0"/>
    <w:rsid w:val="0036224B"/>
    <w:rsid w:val="00362315"/>
    <w:rsid w:val="00362338"/>
    <w:rsid w:val="00362355"/>
    <w:rsid w:val="0036235F"/>
    <w:rsid w:val="0036242E"/>
    <w:rsid w:val="00362600"/>
    <w:rsid w:val="0036276C"/>
    <w:rsid w:val="00362791"/>
    <w:rsid w:val="0036285A"/>
    <w:rsid w:val="003628B3"/>
    <w:rsid w:val="00362979"/>
    <w:rsid w:val="00362A22"/>
    <w:rsid w:val="00362A27"/>
    <w:rsid w:val="00362B09"/>
    <w:rsid w:val="00362BDD"/>
    <w:rsid w:val="00362CE8"/>
    <w:rsid w:val="00362D75"/>
    <w:rsid w:val="00362D96"/>
    <w:rsid w:val="00362E71"/>
    <w:rsid w:val="00362E88"/>
    <w:rsid w:val="00362EC0"/>
    <w:rsid w:val="00362F01"/>
    <w:rsid w:val="00362F74"/>
    <w:rsid w:val="003630E0"/>
    <w:rsid w:val="003631BB"/>
    <w:rsid w:val="0036324B"/>
    <w:rsid w:val="00363380"/>
    <w:rsid w:val="003633E8"/>
    <w:rsid w:val="0036344E"/>
    <w:rsid w:val="00363463"/>
    <w:rsid w:val="003634BE"/>
    <w:rsid w:val="003634EB"/>
    <w:rsid w:val="00363561"/>
    <w:rsid w:val="0036361B"/>
    <w:rsid w:val="00363675"/>
    <w:rsid w:val="0036372D"/>
    <w:rsid w:val="00363732"/>
    <w:rsid w:val="0036374E"/>
    <w:rsid w:val="00363951"/>
    <w:rsid w:val="003639E2"/>
    <w:rsid w:val="00363A05"/>
    <w:rsid w:val="00363A1E"/>
    <w:rsid w:val="00363A77"/>
    <w:rsid w:val="00363AC0"/>
    <w:rsid w:val="00363AC1"/>
    <w:rsid w:val="00363B21"/>
    <w:rsid w:val="00363B78"/>
    <w:rsid w:val="00363B7A"/>
    <w:rsid w:val="00363C1A"/>
    <w:rsid w:val="00363CC8"/>
    <w:rsid w:val="00363D1A"/>
    <w:rsid w:val="00363D2A"/>
    <w:rsid w:val="00363D77"/>
    <w:rsid w:val="00363DC9"/>
    <w:rsid w:val="00363E15"/>
    <w:rsid w:val="00363E56"/>
    <w:rsid w:val="00363E5B"/>
    <w:rsid w:val="00363EB8"/>
    <w:rsid w:val="00363ED7"/>
    <w:rsid w:val="00363EF3"/>
    <w:rsid w:val="00363FC7"/>
    <w:rsid w:val="0036400B"/>
    <w:rsid w:val="003640A7"/>
    <w:rsid w:val="00364153"/>
    <w:rsid w:val="00364189"/>
    <w:rsid w:val="003642A6"/>
    <w:rsid w:val="003642D9"/>
    <w:rsid w:val="003642E2"/>
    <w:rsid w:val="003642FE"/>
    <w:rsid w:val="003644C4"/>
    <w:rsid w:val="003644CA"/>
    <w:rsid w:val="0036451F"/>
    <w:rsid w:val="0036454B"/>
    <w:rsid w:val="00364595"/>
    <w:rsid w:val="003646CA"/>
    <w:rsid w:val="003646FE"/>
    <w:rsid w:val="0036471B"/>
    <w:rsid w:val="003647C6"/>
    <w:rsid w:val="003647CD"/>
    <w:rsid w:val="0036484B"/>
    <w:rsid w:val="003649DB"/>
    <w:rsid w:val="003649F6"/>
    <w:rsid w:val="003649F7"/>
    <w:rsid w:val="00364A05"/>
    <w:rsid w:val="00364A37"/>
    <w:rsid w:val="00364B97"/>
    <w:rsid w:val="00364BAA"/>
    <w:rsid w:val="00364D22"/>
    <w:rsid w:val="00364D4C"/>
    <w:rsid w:val="00364D89"/>
    <w:rsid w:val="00364E45"/>
    <w:rsid w:val="00364E4F"/>
    <w:rsid w:val="00364E68"/>
    <w:rsid w:val="00364EA8"/>
    <w:rsid w:val="00364F53"/>
    <w:rsid w:val="00365027"/>
    <w:rsid w:val="00365062"/>
    <w:rsid w:val="0036506D"/>
    <w:rsid w:val="003650CA"/>
    <w:rsid w:val="00365178"/>
    <w:rsid w:val="00365349"/>
    <w:rsid w:val="00365447"/>
    <w:rsid w:val="00365481"/>
    <w:rsid w:val="0036548F"/>
    <w:rsid w:val="003654B3"/>
    <w:rsid w:val="003654FB"/>
    <w:rsid w:val="0036554E"/>
    <w:rsid w:val="00365592"/>
    <w:rsid w:val="003655F5"/>
    <w:rsid w:val="0036564F"/>
    <w:rsid w:val="00365715"/>
    <w:rsid w:val="00365753"/>
    <w:rsid w:val="00365839"/>
    <w:rsid w:val="003658D4"/>
    <w:rsid w:val="00365957"/>
    <w:rsid w:val="00365999"/>
    <w:rsid w:val="00365A08"/>
    <w:rsid w:val="00365A67"/>
    <w:rsid w:val="00365A8F"/>
    <w:rsid w:val="00365A99"/>
    <w:rsid w:val="00365ACB"/>
    <w:rsid w:val="00365B2B"/>
    <w:rsid w:val="00365BDC"/>
    <w:rsid w:val="00365C36"/>
    <w:rsid w:val="00365DCD"/>
    <w:rsid w:val="00365F29"/>
    <w:rsid w:val="00365F84"/>
    <w:rsid w:val="00366023"/>
    <w:rsid w:val="00366075"/>
    <w:rsid w:val="00366096"/>
    <w:rsid w:val="003661E3"/>
    <w:rsid w:val="00366228"/>
    <w:rsid w:val="003662FA"/>
    <w:rsid w:val="0036633A"/>
    <w:rsid w:val="00366355"/>
    <w:rsid w:val="00366365"/>
    <w:rsid w:val="003663B6"/>
    <w:rsid w:val="003663EF"/>
    <w:rsid w:val="003664A7"/>
    <w:rsid w:val="0036650E"/>
    <w:rsid w:val="0036652B"/>
    <w:rsid w:val="00366566"/>
    <w:rsid w:val="00366581"/>
    <w:rsid w:val="0036663B"/>
    <w:rsid w:val="0036667C"/>
    <w:rsid w:val="003666A7"/>
    <w:rsid w:val="003666FB"/>
    <w:rsid w:val="0036671A"/>
    <w:rsid w:val="0036671E"/>
    <w:rsid w:val="0036677C"/>
    <w:rsid w:val="003667E6"/>
    <w:rsid w:val="00366851"/>
    <w:rsid w:val="0036685F"/>
    <w:rsid w:val="003668B6"/>
    <w:rsid w:val="00366910"/>
    <w:rsid w:val="00366985"/>
    <w:rsid w:val="00366A76"/>
    <w:rsid w:val="00366A92"/>
    <w:rsid w:val="00366AA6"/>
    <w:rsid w:val="00366BA8"/>
    <w:rsid w:val="00366BAA"/>
    <w:rsid w:val="00366BC5"/>
    <w:rsid w:val="00366BD7"/>
    <w:rsid w:val="00366BEA"/>
    <w:rsid w:val="00366C00"/>
    <w:rsid w:val="00366DE7"/>
    <w:rsid w:val="00366E21"/>
    <w:rsid w:val="00366E7F"/>
    <w:rsid w:val="00366EE6"/>
    <w:rsid w:val="00366F1E"/>
    <w:rsid w:val="00366F44"/>
    <w:rsid w:val="00366FA5"/>
    <w:rsid w:val="0036704B"/>
    <w:rsid w:val="00367085"/>
    <w:rsid w:val="0036709E"/>
    <w:rsid w:val="003670DA"/>
    <w:rsid w:val="0036711F"/>
    <w:rsid w:val="00367137"/>
    <w:rsid w:val="003672E4"/>
    <w:rsid w:val="003672FF"/>
    <w:rsid w:val="003673A4"/>
    <w:rsid w:val="00367420"/>
    <w:rsid w:val="00367429"/>
    <w:rsid w:val="003674B3"/>
    <w:rsid w:val="00367548"/>
    <w:rsid w:val="00367556"/>
    <w:rsid w:val="00367586"/>
    <w:rsid w:val="003676A4"/>
    <w:rsid w:val="003676D2"/>
    <w:rsid w:val="003676F0"/>
    <w:rsid w:val="0036793C"/>
    <w:rsid w:val="0036794B"/>
    <w:rsid w:val="0036794E"/>
    <w:rsid w:val="003679AC"/>
    <w:rsid w:val="00367A49"/>
    <w:rsid w:val="00367B84"/>
    <w:rsid w:val="00367BBE"/>
    <w:rsid w:val="00367BD7"/>
    <w:rsid w:val="00367C53"/>
    <w:rsid w:val="00367C73"/>
    <w:rsid w:val="00367D55"/>
    <w:rsid w:val="00367DB9"/>
    <w:rsid w:val="00367E00"/>
    <w:rsid w:val="00367E32"/>
    <w:rsid w:val="0037005B"/>
    <w:rsid w:val="003700C5"/>
    <w:rsid w:val="00370209"/>
    <w:rsid w:val="00370268"/>
    <w:rsid w:val="00370373"/>
    <w:rsid w:val="003703FF"/>
    <w:rsid w:val="0037051B"/>
    <w:rsid w:val="0037061C"/>
    <w:rsid w:val="00370675"/>
    <w:rsid w:val="003706ED"/>
    <w:rsid w:val="00370758"/>
    <w:rsid w:val="0037079B"/>
    <w:rsid w:val="00370835"/>
    <w:rsid w:val="00370909"/>
    <w:rsid w:val="00370B3D"/>
    <w:rsid w:val="00370C1F"/>
    <w:rsid w:val="00370C2F"/>
    <w:rsid w:val="00370DB3"/>
    <w:rsid w:val="00370EA4"/>
    <w:rsid w:val="00370ECF"/>
    <w:rsid w:val="00370F1F"/>
    <w:rsid w:val="00371126"/>
    <w:rsid w:val="00371293"/>
    <w:rsid w:val="003713B3"/>
    <w:rsid w:val="00371425"/>
    <w:rsid w:val="00371429"/>
    <w:rsid w:val="0037147C"/>
    <w:rsid w:val="00371489"/>
    <w:rsid w:val="00371501"/>
    <w:rsid w:val="00371510"/>
    <w:rsid w:val="00371634"/>
    <w:rsid w:val="00371635"/>
    <w:rsid w:val="00371698"/>
    <w:rsid w:val="003716AA"/>
    <w:rsid w:val="0037175F"/>
    <w:rsid w:val="0037177B"/>
    <w:rsid w:val="00371840"/>
    <w:rsid w:val="0037187E"/>
    <w:rsid w:val="003718BA"/>
    <w:rsid w:val="0037191F"/>
    <w:rsid w:val="003719E0"/>
    <w:rsid w:val="00371A27"/>
    <w:rsid w:val="00371A2D"/>
    <w:rsid w:val="00371A2F"/>
    <w:rsid w:val="00371A3F"/>
    <w:rsid w:val="00371A5C"/>
    <w:rsid w:val="00371B59"/>
    <w:rsid w:val="00371BB6"/>
    <w:rsid w:val="00371BCC"/>
    <w:rsid w:val="00371BF7"/>
    <w:rsid w:val="00371D31"/>
    <w:rsid w:val="00371D62"/>
    <w:rsid w:val="00371E25"/>
    <w:rsid w:val="00371E86"/>
    <w:rsid w:val="00371F07"/>
    <w:rsid w:val="00371FA4"/>
    <w:rsid w:val="00372005"/>
    <w:rsid w:val="00372062"/>
    <w:rsid w:val="00372127"/>
    <w:rsid w:val="003721B4"/>
    <w:rsid w:val="003721BA"/>
    <w:rsid w:val="00372299"/>
    <w:rsid w:val="00372349"/>
    <w:rsid w:val="0037238C"/>
    <w:rsid w:val="003723D4"/>
    <w:rsid w:val="00372425"/>
    <w:rsid w:val="003724C8"/>
    <w:rsid w:val="003724F4"/>
    <w:rsid w:val="00372530"/>
    <w:rsid w:val="003727E5"/>
    <w:rsid w:val="003727FB"/>
    <w:rsid w:val="003728E5"/>
    <w:rsid w:val="00372928"/>
    <w:rsid w:val="00372946"/>
    <w:rsid w:val="003729E5"/>
    <w:rsid w:val="003729EE"/>
    <w:rsid w:val="003729FA"/>
    <w:rsid w:val="00372B57"/>
    <w:rsid w:val="00372B81"/>
    <w:rsid w:val="00372C6F"/>
    <w:rsid w:val="00372D0E"/>
    <w:rsid w:val="00372D27"/>
    <w:rsid w:val="00372D43"/>
    <w:rsid w:val="00372D7F"/>
    <w:rsid w:val="00372EBD"/>
    <w:rsid w:val="00372F37"/>
    <w:rsid w:val="00372F4F"/>
    <w:rsid w:val="00372F81"/>
    <w:rsid w:val="00372F85"/>
    <w:rsid w:val="00373128"/>
    <w:rsid w:val="0037312C"/>
    <w:rsid w:val="00373150"/>
    <w:rsid w:val="00373266"/>
    <w:rsid w:val="0037331D"/>
    <w:rsid w:val="00373352"/>
    <w:rsid w:val="003733F1"/>
    <w:rsid w:val="00373406"/>
    <w:rsid w:val="0037341E"/>
    <w:rsid w:val="0037343B"/>
    <w:rsid w:val="00373454"/>
    <w:rsid w:val="00373515"/>
    <w:rsid w:val="00373558"/>
    <w:rsid w:val="0037355C"/>
    <w:rsid w:val="00373585"/>
    <w:rsid w:val="003735BD"/>
    <w:rsid w:val="003735CF"/>
    <w:rsid w:val="003736A4"/>
    <w:rsid w:val="003736DF"/>
    <w:rsid w:val="00373713"/>
    <w:rsid w:val="00373725"/>
    <w:rsid w:val="0037373B"/>
    <w:rsid w:val="003737E5"/>
    <w:rsid w:val="00373845"/>
    <w:rsid w:val="00373868"/>
    <w:rsid w:val="00373879"/>
    <w:rsid w:val="00373908"/>
    <w:rsid w:val="003739B9"/>
    <w:rsid w:val="003739BE"/>
    <w:rsid w:val="00373A4A"/>
    <w:rsid w:val="00373AB1"/>
    <w:rsid w:val="00373AC5"/>
    <w:rsid w:val="00373ADB"/>
    <w:rsid w:val="00373B2C"/>
    <w:rsid w:val="00373B51"/>
    <w:rsid w:val="00373B65"/>
    <w:rsid w:val="00373C17"/>
    <w:rsid w:val="00373C96"/>
    <w:rsid w:val="00373CE1"/>
    <w:rsid w:val="00373D00"/>
    <w:rsid w:val="00373D66"/>
    <w:rsid w:val="00373DB5"/>
    <w:rsid w:val="00373E1A"/>
    <w:rsid w:val="00373E4C"/>
    <w:rsid w:val="00373F00"/>
    <w:rsid w:val="00373FDB"/>
    <w:rsid w:val="00374000"/>
    <w:rsid w:val="00374044"/>
    <w:rsid w:val="00374062"/>
    <w:rsid w:val="00374114"/>
    <w:rsid w:val="00374175"/>
    <w:rsid w:val="003741CC"/>
    <w:rsid w:val="00374215"/>
    <w:rsid w:val="00374272"/>
    <w:rsid w:val="00374365"/>
    <w:rsid w:val="00374468"/>
    <w:rsid w:val="00374498"/>
    <w:rsid w:val="00374597"/>
    <w:rsid w:val="0037460B"/>
    <w:rsid w:val="0037466D"/>
    <w:rsid w:val="00374719"/>
    <w:rsid w:val="0037471A"/>
    <w:rsid w:val="00374731"/>
    <w:rsid w:val="0037479A"/>
    <w:rsid w:val="003747A0"/>
    <w:rsid w:val="003747C3"/>
    <w:rsid w:val="0037481A"/>
    <w:rsid w:val="00374869"/>
    <w:rsid w:val="003748CD"/>
    <w:rsid w:val="00374910"/>
    <w:rsid w:val="00374939"/>
    <w:rsid w:val="00374990"/>
    <w:rsid w:val="003749CF"/>
    <w:rsid w:val="00374A1C"/>
    <w:rsid w:val="00374A2A"/>
    <w:rsid w:val="00374A8A"/>
    <w:rsid w:val="00374AC9"/>
    <w:rsid w:val="00374AF9"/>
    <w:rsid w:val="00374B76"/>
    <w:rsid w:val="00374BD6"/>
    <w:rsid w:val="00374BE4"/>
    <w:rsid w:val="00374D45"/>
    <w:rsid w:val="00374D46"/>
    <w:rsid w:val="00374D6C"/>
    <w:rsid w:val="00374EE0"/>
    <w:rsid w:val="00374FB2"/>
    <w:rsid w:val="00374FC6"/>
    <w:rsid w:val="00374FCD"/>
    <w:rsid w:val="00374FD1"/>
    <w:rsid w:val="00374FD5"/>
    <w:rsid w:val="003750BE"/>
    <w:rsid w:val="003750DB"/>
    <w:rsid w:val="003750FD"/>
    <w:rsid w:val="0037512F"/>
    <w:rsid w:val="00375183"/>
    <w:rsid w:val="00375278"/>
    <w:rsid w:val="003752DF"/>
    <w:rsid w:val="00375355"/>
    <w:rsid w:val="0037536D"/>
    <w:rsid w:val="0037538F"/>
    <w:rsid w:val="003753B0"/>
    <w:rsid w:val="003753BB"/>
    <w:rsid w:val="00375425"/>
    <w:rsid w:val="00375486"/>
    <w:rsid w:val="0037549E"/>
    <w:rsid w:val="003755C8"/>
    <w:rsid w:val="003755F3"/>
    <w:rsid w:val="00375615"/>
    <w:rsid w:val="0037567B"/>
    <w:rsid w:val="003756B4"/>
    <w:rsid w:val="003756BB"/>
    <w:rsid w:val="003756F2"/>
    <w:rsid w:val="00375706"/>
    <w:rsid w:val="00375712"/>
    <w:rsid w:val="00375739"/>
    <w:rsid w:val="003757F2"/>
    <w:rsid w:val="0037587E"/>
    <w:rsid w:val="003758C4"/>
    <w:rsid w:val="003758EE"/>
    <w:rsid w:val="0037599C"/>
    <w:rsid w:val="0037599D"/>
    <w:rsid w:val="003759C3"/>
    <w:rsid w:val="003759D8"/>
    <w:rsid w:val="003759FF"/>
    <w:rsid w:val="00375A31"/>
    <w:rsid w:val="00375A76"/>
    <w:rsid w:val="00375AD2"/>
    <w:rsid w:val="00375ADC"/>
    <w:rsid w:val="00375AF3"/>
    <w:rsid w:val="00375BA6"/>
    <w:rsid w:val="00375BB7"/>
    <w:rsid w:val="00375BD4"/>
    <w:rsid w:val="00375BF9"/>
    <w:rsid w:val="00375C15"/>
    <w:rsid w:val="00375C4F"/>
    <w:rsid w:val="00375C9B"/>
    <w:rsid w:val="00375CA9"/>
    <w:rsid w:val="00375CFB"/>
    <w:rsid w:val="00375D06"/>
    <w:rsid w:val="00375D60"/>
    <w:rsid w:val="00375DF5"/>
    <w:rsid w:val="00375E54"/>
    <w:rsid w:val="00375E5F"/>
    <w:rsid w:val="00375E75"/>
    <w:rsid w:val="00375EFB"/>
    <w:rsid w:val="00375F10"/>
    <w:rsid w:val="00375F35"/>
    <w:rsid w:val="00375F63"/>
    <w:rsid w:val="00375F88"/>
    <w:rsid w:val="00375FFE"/>
    <w:rsid w:val="00376040"/>
    <w:rsid w:val="003760BC"/>
    <w:rsid w:val="003760F7"/>
    <w:rsid w:val="00376118"/>
    <w:rsid w:val="00376197"/>
    <w:rsid w:val="003761C3"/>
    <w:rsid w:val="003761CA"/>
    <w:rsid w:val="00376295"/>
    <w:rsid w:val="003762AC"/>
    <w:rsid w:val="0037632C"/>
    <w:rsid w:val="00376353"/>
    <w:rsid w:val="0037635A"/>
    <w:rsid w:val="003763A9"/>
    <w:rsid w:val="003763CF"/>
    <w:rsid w:val="003763DC"/>
    <w:rsid w:val="00376408"/>
    <w:rsid w:val="0037642C"/>
    <w:rsid w:val="00376439"/>
    <w:rsid w:val="00376473"/>
    <w:rsid w:val="00376481"/>
    <w:rsid w:val="003764E6"/>
    <w:rsid w:val="003764F7"/>
    <w:rsid w:val="00376516"/>
    <w:rsid w:val="0037656C"/>
    <w:rsid w:val="003765EC"/>
    <w:rsid w:val="003765F5"/>
    <w:rsid w:val="003767DF"/>
    <w:rsid w:val="003767E0"/>
    <w:rsid w:val="003767E8"/>
    <w:rsid w:val="00376821"/>
    <w:rsid w:val="00376862"/>
    <w:rsid w:val="00376940"/>
    <w:rsid w:val="003769E5"/>
    <w:rsid w:val="00376A2C"/>
    <w:rsid w:val="00376A58"/>
    <w:rsid w:val="00376AD4"/>
    <w:rsid w:val="00376B53"/>
    <w:rsid w:val="00376C7D"/>
    <w:rsid w:val="00376D51"/>
    <w:rsid w:val="00376DC3"/>
    <w:rsid w:val="00376DF2"/>
    <w:rsid w:val="00376EBD"/>
    <w:rsid w:val="00376F7C"/>
    <w:rsid w:val="00376FBE"/>
    <w:rsid w:val="00376FF5"/>
    <w:rsid w:val="00377016"/>
    <w:rsid w:val="00377029"/>
    <w:rsid w:val="00377031"/>
    <w:rsid w:val="00377125"/>
    <w:rsid w:val="00377223"/>
    <w:rsid w:val="00377244"/>
    <w:rsid w:val="00377482"/>
    <w:rsid w:val="00377598"/>
    <w:rsid w:val="003775A9"/>
    <w:rsid w:val="00377616"/>
    <w:rsid w:val="00377625"/>
    <w:rsid w:val="0037764B"/>
    <w:rsid w:val="003776E7"/>
    <w:rsid w:val="003777AB"/>
    <w:rsid w:val="003777EA"/>
    <w:rsid w:val="0037782E"/>
    <w:rsid w:val="00377879"/>
    <w:rsid w:val="003778A2"/>
    <w:rsid w:val="003778E8"/>
    <w:rsid w:val="00377907"/>
    <w:rsid w:val="0037795D"/>
    <w:rsid w:val="003779DD"/>
    <w:rsid w:val="003779E0"/>
    <w:rsid w:val="00377AAE"/>
    <w:rsid w:val="00377B27"/>
    <w:rsid w:val="00377B6B"/>
    <w:rsid w:val="00377B82"/>
    <w:rsid w:val="00377B93"/>
    <w:rsid w:val="00377BD9"/>
    <w:rsid w:val="00377C37"/>
    <w:rsid w:val="00377C38"/>
    <w:rsid w:val="00377C4F"/>
    <w:rsid w:val="00377D84"/>
    <w:rsid w:val="00377DA1"/>
    <w:rsid w:val="00377E1D"/>
    <w:rsid w:val="00377E2D"/>
    <w:rsid w:val="00377E62"/>
    <w:rsid w:val="00377F28"/>
    <w:rsid w:val="0038002E"/>
    <w:rsid w:val="00380089"/>
    <w:rsid w:val="00380171"/>
    <w:rsid w:val="003801B6"/>
    <w:rsid w:val="00380280"/>
    <w:rsid w:val="0038028B"/>
    <w:rsid w:val="00380292"/>
    <w:rsid w:val="003802A9"/>
    <w:rsid w:val="003802B9"/>
    <w:rsid w:val="003802BC"/>
    <w:rsid w:val="003803A5"/>
    <w:rsid w:val="00380462"/>
    <w:rsid w:val="003804B7"/>
    <w:rsid w:val="00380691"/>
    <w:rsid w:val="00380734"/>
    <w:rsid w:val="00380855"/>
    <w:rsid w:val="00380885"/>
    <w:rsid w:val="00380921"/>
    <w:rsid w:val="00380936"/>
    <w:rsid w:val="00380ABB"/>
    <w:rsid w:val="00380B52"/>
    <w:rsid w:val="00380CA6"/>
    <w:rsid w:val="00380CED"/>
    <w:rsid w:val="00380CFD"/>
    <w:rsid w:val="00380D24"/>
    <w:rsid w:val="00380D8B"/>
    <w:rsid w:val="00380E07"/>
    <w:rsid w:val="00380F5B"/>
    <w:rsid w:val="00380FDB"/>
    <w:rsid w:val="0038101E"/>
    <w:rsid w:val="00381040"/>
    <w:rsid w:val="0038108D"/>
    <w:rsid w:val="00381108"/>
    <w:rsid w:val="00381270"/>
    <w:rsid w:val="003812D9"/>
    <w:rsid w:val="003812F7"/>
    <w:rsid w:val="00381340"/>
    <w:rsid w:val="0038137B"/>
    <w:rsid w:val="003813C9"/>
    <w:rsid w:val="003813CD"/>
    <w:rsid w:val="003813EB"/>
    <w:rsid w:val="0038144F"/>
    <w:rsid w:val="0038146C"/>
    <w:rsid w:val="003814B9"/>
    <w:rsid w:val="003815C5"/>
    <w:rsid w:val="00381684"/>
    <w:rsid w:val="003816DE"/>
    <w:rsid w:val="003817D4"/>
    <w:rsid w:val="003817DD"/>
    <w:rsid w:val="0038189F"/>
    <w:rsid w:val="003818D8"/>
    <w:rsid w:val="003818F3"/>
    <w:rsid w:val="0038192F"/>
    <w:rsid w:val="00381938"/>
    <w:rsid w:val="0038193A"/>
    <w:rsid w:val="00381973"/>
    <w:rsid w:val="0038198A"/>
    <w:rsid w:val="00381A4F"/>
    <w:rsid w:val="00381A99"/>
    <w:rsid w:val="00381B8F"/>
    <w:rsid w:val="00381B98"/>
    <w:rsid w:val="00381BB6"/>
    <w:rsid w:val="00381BC8"/>
    <w:rsid w:val="00381C1F"/>
    <w:rsid w:val="00381D07"/>
    <w:rsid w:val="00381DEA"/>
    <w:rsid w:val="00381E7B"/>
    <w:rsid w:val="00381F50"/>
    <w:rsid w:val="003820E6"/>
    <w:rsid w:val="0038213F"/>
    <w:rsid w:val="0038223F"/>
    <w:rsid w:val="003822F9"/>
    <w:rsid w:val="00382310"/>
    <w:rsid w:val="00382338"/>
    <w:rsid w:val="003823AA"/>
    <w:rsid w:val="003823D1"/>
    <w:rsid w:val="0038245E"/>
    <w:rsid w:val="00382463"/>
    <w:rsid w:val="00382484"/>
    <w:rsid w:val="00382489"/>
    <w:rsid w:val="003824E4"/>
    <w:rsid w:val="003824FA"/>
    <w:rsid w:val="0038253E"/>
    <w:rsid w:val="0038254F"/>
    <w:rsid w:val="00382556"/>
    <w:rsid w:val="00382599"/>
    <w:rsid w:val="00382609"/>
    <w:rsid w:val="00382669"/>
    <w:rsid w:val="00382690"/>
    <w:rsid w:val="003826D8"/>
    <w:rsid w:val="00382700"/>
    <w:rsid w:val="00382775"/>
    <w:rsid w:val="0038277F"/>
    <w:rsid w:val="00382798"/>
    <w:rsid w:val="00382820"/>
    <w:rsid w:val="003828F8"/>
    <w:rsid w:val="00382AEE"/>
    <w:rsid w:val="00382BF0"/>
    <w:rsid w:val="00382BF3"/>
    <w:rsid w:val="00382C33"/>
    <w:rsid w:val="00382C7D"/>
    <w:rsid w:val="00382D80"/>
    <w:rsid w:val="00382E19"/>
    <w:rsid w:val="00382F74"/>
    <w:rsid w:val="00382F9E"/>
    <w:rsid w:val="00382FD7"/>
    <w:rsid w:val="00383096"/>
    <w:rsid w:val="00383194"/>
    <w:rsid w:val="003831B0"/>
    <w:rsid w:val="00383208"/>
    <w:rsid w:val="00383231"/>
    <w:rsid w:val="00383275"/>
    <w:rsid w:val="00383334"/>
    <w:rsid w:val="00383412"/>
    <w:rsid w:val="003834A5"/>
    <w:rsid w:val="00383516"/>
    <w:rsid w:val="00383768"/>
    <w:rsid w:val="0038376D"/>
    <w:rsid w:val="003837F1"/>
    <w:rsid w:val="003837F7"/>
    <w:rsid w:val="00383868"/>
    <w:rsid w:val="003838BC"/>
    <w:rsid w:val="00383961"/>
    <w:rsid w:val="00383A15"/>
    <w:rsid w:val="00383A4C"/>
    <w:rsid w:val="00383A59"/>
    <w:rsid w:val="00383AA5"/>
    <w:rsid w:val="00383AB3"/>
    <w:rsid w:val="00383B60"/>
    <w:rsid w:val="00383BB3"/>
    <w:rsid w:val="00383C3E"/>
    <w:rsid w:val="00383C5D"/>
    <w:rsid w:val="00383CA9"/>
    <w:rsid w:val="00383D27"/>
    <w:rsid w:val="00383DA4"/>
    <w:rsid w:val="00383DB0"/>
    <w:rsid w:val="00383DC6"/>
    <w:rsid w:val="00383E1F"/>
    <w:rsid w:val="00383E87"/>
    <w:rsid w:val="00383F12"/>
    <w:rsid w:val="00383F78"/>
    <w:rsid w:val="00383FDD"/>
    <w:rsid w:val="00384019"/>
    <w:rsid w:val="0038401B"/>
    <w:rsid w:val="00384146"/>
    <w:rsid w:val="00384156"/>
    <w:rsid w:val="00384233"/>
    <w:rsid w:val="003842DA"/>
    <w:rsid w:val="00384417"/>
    <w:rsid w:val="0038445A"/>
    <w:rsid w:val="00384490"/>
    <w:rsid w:val="003845B4"/>
    <w:rsid w:val="003845BD"/>
    <w:rsid w:val="00384636"/>
    <w:rsid w:val="00384652"/>
    <w:rsid w:val="003846A2"/>
    <w:rsid w:val="003846C1"/>
    <w:rsid w:val="00384737"/>
    <w:rsid w:val="0038474D"/>
    <w:rsid w:val="00384755"/>
    <w:rsid w:val="00384770"/>
    <w:rsid w:val="003847C9"/>
    <w:rsid w:val="003847CB"/>
    <w:rsid w:val="003847EA"/>
    <w:rsid w:val="003847EE"/>
    <w:rsid w:val="00384876"/>
    <w:rsid w:val="00384893"/>
    <w:rsid w:val="003848B9"/>
    <w:rsid w:val="0038494F"/>
    <w:rsid w:val="00384967"/>
    <w:rsid w:val="003849D8"/>
    <w:rsid w:val="003849EA"/>
    <w:rsid w:val="00384A3A"/>
    <w:rsid w:val="00384A46"/>
    <w:rsid w:val="00384B71"/>
    <w:rsid w:val="00384B8E"/>
    <w:rsid w:val="00384BDD"/>
    <w:rsid w:val="00384BDF"/>
    <w:rsid w:val="00384C34"/>
    <w:rsid w:val="00384D3E"/>
    <w:rsid w:val="00384DC4"/>
    <w:rsid w:val="00384E26"/>
    <w:rsid w:val="00384E5D"/>
    <w:rsid w:val="00384F02"/>
    <w:rsid w:val="00384F1F"/>
    <w:rsid w:val="00384F26"/>
    <w:rsid w:val="00384F87"/>
    <w:rsid w:val="00384FD2"/>
    <w:rsid w:val="003851BC"/>
    <w:rsid w:val="003852D4"/>
    <w:rsid w:val="0038530F"/>
    <w:rsid w:val="003853CC"/>
    <w:rsid w:val="00385468"/>
    <w:rsid w:val="00385525"/>
    <w:rsid w:val="00385583"/>
    <w:rsid w:val="003855C8"/>
    <w:rsid w:val="0038567D"/>
    <w:rsid w:val="00385708"/>
    <w:rsid w:val="00385782"/>
    <w:rsid w:val="00385787"/>
    <w:rsid w:val="003857CA"/>
    <w:rsid w:val="00385846"/>
    <w:rsid w:val="0038592D"/>
    <w:rsid w:val="003859ED"/>
    <w:rsid w:val="00385A3F"/>
    <w:rsid w:val="00385ADA"/>
    <w:rsid w:val="00385B10"/>
    <w:rsid w:val="00385B16"/>
    <w:rsid w:val="00385B8E"/>
    <w:rsid w:val="00385BB6"/>
    <w:rsid w:val="00385BFB"/>
    <w:rsid w:val="00385C38"/>
    <w:rsid w:val="00385C3C"/>
    <w:rsid w:val="00385CBA"/>
    <w:rsid w:val="00385CDF"/>
    <w:rsid w:val="00385D80"/>
    <w:rsid w:val="00385DF4"/>
    <w:rsid w:val="00385E40"/>
    <w:rsid w:val="00385F0F"/>
    <w:rsid w:val="00385FB1"/>
    <w:rsid w:val="00385FC9"/>
    <w:rsid w:val="00386027"/>
    <w:rsid w:val="0038605E"/>
    <w:rsid w:val="003860AC"/>
    <w:rsid w:val="003860C5"/>
    <w:rsid w:val="0038611D"/>
    <w:rsid w:val="00386124"/>
    <w:rsid w:val="00386281"/>
    <w:rsid w:val="00386289"/>
    <w:rsid w:val="003862B4"/>
    <w:rsid w:val="0038631C"/>
    <w:rsid w:val="003863CE"/>
    <w:rsid w:val="0038646A"/>
    <w:rsid w:val="003864D5"/>
    <w:rsid w:val="0038652D"/>
    <w:rsid w:val="00386581"/>
    <w:rsid w:val="00386585"/>
    <w:rsid w:val="0038658B"/>
    <w:rsid w:val="00386668"/>
    <w:rsid w:val="0038668A"/>
    <w:rsid w:val="00386746"/>
    <w:rsid w:val="003867D4"/>
    <w:rsid w:val="003867F1"/>
    <w:rsid w:val="00386860"/>
    <w:rsid w:val="0038697D"/>
    <w:rsid w:val="00386983"/>
    <w:rsid w:val="003869B1"/>
    <w:rsid w:val="00386A03"/>
    <w:rsid w:val="00386A09"/>
    <w:rsid w:val="00386ACF"/>
    <w:rsid w:val="00386B8A"/>
    <w:rsid w:val="00386BB8"/>
    <w:rsid w:val="00386C03"/>
    <w:rsid w:val="00386C0B"/>
    <w:rsid w:val="00386C26"/>
    <w:rsid w:val="00386C41"/>
    <w:rsid w:val="00386CA8"/>
    <w:rsid w:val="00386E13"/>
    <w:rsid w:val="00386E43"/>
    <w:rsid w:val="00386EB8"/>
    <w:rsid w:val="00387073"/>
    <w:rsid w:val="0038708E"/>
    <w:rsid w:val="0038711B"/>
    <w:rsid w:val="00387126"/>
    <w:rsid w:val="00387177"/>
    <w:rsid w:val="003871BC"/>
    <w:rsid w:val="0038725C"/>
    <w:rsid w:val="00387356"/>
    <w:rsid w:val="00387469"/>
    <w:rsid w:val="00387498"/>
    <w:rsid w:val="0038749D"/>
    <w:rsid w:val="003874AD"/>
    <w:rsid w:val="0038757A"/>
    <w:rsid w:val="0038766D"/>
    <w:rsid w:val="00387680"/>
    <w:rsid w:val="00387690"/>
    <w:rsid w:val="0038772B"/>
    <w:rsid w:val="0038774A"/>
    <w:rsid w:val="003877E0"/>
    <w:rsid w:val="003877E8"/>
    <w:rsid w:val="003877F1"/>
    <w:rsid w:val="0038780E"/>
    <w:rsid w:val="00387817"/>
    <w:rsid w:val="0038782C"/>
    <w:rsid w:val="00387967"/>
    <w:rsid w:val="003879EF"/>
    <w:rsid w:val="00387A13"/>
    <w:rsid w:val="00387B25"/>
    <w:rsid w:val="00387B3F"/>
    <w:rsid w:val="00387BF6"/>
    <w:rsid w:val="00387C0F"/>
    <w:rsid w:val="00387C1B"/>
    <w:rsid w:val="00387C37"/>
    <w:rsid w:val="00387C60"/>
    <w:rsid w:val="00387CDA"/>
    <w:rsid w:val="00387DBE"/>
    <w:rsid w:val="00387E1D"/>
    <w:rsid w:val="00387EA4"/>
    <w:rsid w:val="00387EB6"/>
    <w:rsid w:val="00387EDD"/>
    <w:rsid w:val="00387EDF"/>
    <w:rsid w:val="00387EEC"/>
    <w:rsid w:val="00387EF7"/>
    <w:rsid w:val="00387F0E"/>
    <w:rsid w:val="00387F65"/>
    <w:rsid w:val="00387F97"/>
    <w:rsid w:val="0039000F"/>
    <w:rsid w:val="0039003B"/>
    <w:rsid w:val="00390048"/>
    <w:rsid w:val="0039008C"/>
    <w:rsid w:val="003900B4"/>
    <w:rsid w:val="003900EB"/>
    <w:rsid w:val="0039013C"/>
    <w:rsid w:val="00390191"/>
    <w:rsid w:val="00390193"/>
    <w:rsid w:val="003901BB"/>
    <w:rsid w:val="003902BC"/>
    <w:rsid w:val="003902D3"/>
    <w:rsid w:val="00390410"/>
    <w:rsid w:val="00390498"/>
    <w:rsid w:val="0039050A"/>
    <w:rsid w:val="00390567"/>
    <w:rsid w:val="00390572"/>
    <w:rsid w:val="00390622"/>
    <w:rsid w:val="003906B8"/>
    <w:rsid w:val="003906C5"/>
    <w:rsid w:val="00390794"/>
    <w:rsid w:val="0039081B"/>
    <w:rsid w:val="00390874"/>
    <w:rsid w:val="0039087B"/>
    <w:rsid w:val="00390897"/>
    <w:rsid w:val="003908E2"/>
    <w:rsid w:val="003908EB"/>
    <w:rsid w:val="00390998"/>
    <w:rsid w:val="00390A02"/>
    <w:rsid w:val="00390A6E"/>
    <w:rsid w:val="00390A81"/>
    <w:rsid w:val="00390A9F"/>
    <w:rsid w:val="00390ACC"/>
    <w:rsid w:val="00390AF9"/>
    <w:rsid w:val="00390BA7"/>
    <w:rsid w:val="00390C97"/>
    <w:rsid w:val="00390CC7"/>
    <w:rsid w:val="00390E25"/>
    <w:rsid w:val="00390E2D"/>
    <w:rsid w:val="00390E89"/>
    <w:rsid w:val="00390F45"/>
    <w:rsid w:val="00390F51"/>
    <w:rsid w:val="00390FFC"/>
    <w:rsid w:val="0039107E"/>
    <w:rsid w:val="00391142"/>
    <w:rsid w:val="00391160"/>
    <w:rsid w:val="0039132B"/>
    <w:rsid w:val="0039135D"/>
    <w:rsid w:val="0039136A"/>
    <w:rsid w:val="003913A4"/>
    <w:rsid w:val="003913DC"/>
    <w:rsid w:val="0039142A"/>
    <w:rsid w:val="003914F2"/>
    <w:rsid w:val="00391613"/>
    <w:rsid w:val="0039161B"/>
    <w:rsid w:val="003916BC"/>
    <w:rsid w:val="003916DB"/>
    <w:rsid w:val="00391738"/>
    <w:rsid w:val="00391744"/>
    <w:rsid w:val="00391804"/>
    <w:rsid w:val="00391831"/>
    <w:rsid w:val="00391857"/>
    <w:rsid w:val="00391870"/>
    <w:rsid w:val="003918D3"/>
    <w:rsid w:val="00391919"/>
    <w:rsid w:val="00391942"/>
    <w:rsid w:val="00391982"/>
    <w:rsid w:val="003919FD"/>
    <w:rsid w:val="00391AD5"/>
    <w:rsid w:val="00391B22"/>
    <w:rsid w:val="00391BB1"/>
    <w:rsid w:val="00391C1F"/>
    <w:rsid w:val="00391C21"/>
    <w:rsid w:val="00391C82"/>
    <w:rsid w:val="00391CB0"/>
    <w:rsid w:val="00391D87"/>
    <w:rsid w:val="00391DF3"/>
    <w:rsid w:val="00391E30"/>
    <w:rsid w:val="00391EA8"/>
    <w:rsid w:val="00391ED7"/>
    <w:rsid w:val="00391EEE"/>
    <w:rsid w:val="00391F46"/>
    <w:rsid w:val="00391F6D"/>
    <w:rsid w:val="00391FD9"/>
    <w:rsid w:val="003921C7"/>
    <w:rsid w:val="00392222"/>
    <w:rsid w:val="00392279"/>
    <w:rsid w:val="0039234B"/>
    <w:rsid w:val="003923D6"/>
    <w:rsid w:val="00392405"/>
    <w:rsid w:val="0039241E"/>
    <w:rsid w:val="00392437"/>
    <w:rsid w:val="003924AE"/>
    <w:rsid w:val="003924BA"/>
    <w:rsid w:val="00392580"/>
    <w:rsid w:val="00392595"/>
    <w:rsid w:val="003925FA"/>
    <w:rsid w:val="00392607"/>
    <w:rsid w:val="00392610"/>
    <w:rsid w:val="00392640"/>
    <w:rsid w:val="00392646"/>
    <w:rsid w:val="003926A8"/>
    <w:rsid w:val="003926D9"/>
    <w:rsid w:val="003926E2"/>
    <w:rsid w:val="00392774"/>
    <w:rsid w:val="00392984"/>
    <w:rsid w:val="00392AB0"/>
    <w:rsid w:val="00392B70"/>
    <w:rsid w:val="00392C13"/>
    <w:rsid w:val="00392C39"/>
    <w:rsid w:val="00392C5D"/>
    <w:rsid w:val="00392C9F"/>
    <w:rsid w:val="00392CDF"/>
    <w:rsid w:val="00392E28"/>
    <w:rsid w:val="00392E38"/>
    <w:rsid w:val="00392EBE"/>
    <w:rsid w:val="00392F7B"/>
    <w:rsid w:val="003930F4"/>
    <w:rsid w:val="00393125"/>
    <w:rsid w:val="0039318D"/>
    <w:rsid w:val="003931C1"/>
    <w:rsid w:val="003931D0"/>
    <w:rsid w:val="0039325F"/>
    <w:rsid w:val="0039335C"/>
    <w:rsid w:val="003933B6"/>
    <w:rsid w:val="00393426"/>
    <w:rsid w:val="0039343A"/>
    <w:rsid w:val="00393487"/>
    <w:rsid w:val="003934AE"/>
    <w:rsid w:val="003934DC"/>
    <w:rsid w:val="00393522"/>
    <w:rsid w:val="003935D5"/>
    <w:rsid w:val="003935FE"/>
    <w:rsid w:val="003936E2"/>
    <w:rsid w:val="00393745"/>
    <w:rsid w:val="0039375D"/>
    <w:rsid w:val="003937A7"/>
    <w:rsid w:val="00393874"/>
    <w:rsid w:val="0039396D"/>
    <w:rsid w:val="00393992"/>
    <w:rsid w:val="00393A60"/>
    <w:rsid w:val="00393A6C"/>
    <w:rsid w:val="00393B02"/>
    <w:rsid w:val="00393BAC"/>
    <w:rsid w:val="00393C69"/>
    <w:rsid w:val="00393CA9"/>
    <w:rsid w:val="00393CB0"/>
    <w:rsid w:val="00393CC7"/>
    <w:rsid w:val="00393CDF"/>
    <w:rsid w:val="00393DAE"/>
    <w:rsid w:val="00393E21"/>
    <w:rsid w:val="00393F59"/>
    <w:rsid w:val="00393F5E"/>
    <w:rsid w:val="00393FE8"/>
    <w:rsid w:val="00394006"/>
    <w:rsid w:val="00394128"/>
    <w:rsid w:val="0039412A"/>
    <w:rsid w:val="00394132"/>
    <w:rsid w:val="00394149"/>
    <w:rsid w:val="0039424B"/>
    <w:rsid w:val="0039438A"/>
    <w:rsid w:val="003943C7"/>
    <w:rsid w:val="00394411"/>
    <w:rsid w:val="00394412"/>
    <w:rsid w:val="0039454E"/>
    <w:rsid w:val="00394567"/>
    <w:rsid w:val="003945C4"/>
    <w:rsid w:val="00394710"/>
    <w:rsid w:val="00394892"/>
    <w:rsid w:val="00394ACA"/>
    <w:rsid w:val="00394AFF"/>
    <w:rsid w:val="00394B36"/>
    <w:rsid w:val="00394B59"/>
    <w:rsid w:val="00394BEF"/>
    <w:rsid w:val="00394C13"/>
    <w:rsid w:val="00394C18"/>
    <w:rsid w:val="00394C6C"/>
    <w:rsid w:val="00394D1B"/>
    <w:rsid w:val="00394DB9"/>
    <w:rsid w:val="00394E1C"/>
    <w:rsid w:val="00394E87"/>
    <w:rsid w:val="00394EAD"/>
    <w:rsid w:val="00394EB6"/>
    <w:rsid w:val="00394F29"/>
    <w:rsid w:val="00394F32"/>
    <w:rsid w:val="00394F52"/>
    <w:rsid w:val="0039505A"/>
    <w:rsid w:val="003950EB"/>
    <w:rsid w:val="00395112"/>
    <w:rsid w:val="003951AA"/>
    <w:rsid w:val="00395266"/>
    <w:rsid w:val="003953D4"/>
    <w:rsid w:val="003953FF"/>
    <w:rsid w:val="00395428"/>
    <w:rsid w:val="00395432"/>
    <w:rsid w:val="00395486"/>
    <w:rsid w:val="0039558B"/>
    <w:rsid w:val="003955CC"/>
    <w:rsid w:val="0039566A"/>
    <w:rsid w:val="00395750"/>
    <w:rsid w:val="003957C1"/>
    <w:rsid w:val="00395808"/>
    <w:rsid w:val="0039587E"/>
    <w:rsid w:val="00395889"/>
    <w:rsid w:val="003958FF"/>
    <w:rsid w:val="00395900"/>
    <w:rsid w:val="00395931"/>
    <w:rsid w:val="0039594A"/>
    <w:rsid w:val="00395955"/>
    <w:rsid w:val="00395A02"/>
    <w:rsid w:val="00395A37"/>
    <w:rsid w:val="00395ADA"/>
    <w:rsid w:val="00395B07"/>
    <w:rsid w:val="00395B28"/>
    <w:rsid w:val="00395B3B"/>
    <w:rsid w:val="00395B80"/>
    <w:rsid w:val="00395BDF"/>
    <w:rsid w:val="00395C02"/>
    <w:rsid w:val="00395C42"/>
    <w:rsid w:val="00395C45"/>
    <w:rsid w:val="00395C68"/>
    <w:rsid w:val="00395CF1"/>
    <w:rsid w:val="00395D0A"/>
    <w:rsid w:val="00395DAE"/>
    <w:rsid w:val="00395E22"/>
    <w:rsid w:val="00395ED3"/>
    <w:rsid w:val="00395F94"/>
    <w:rsid w:val="00396013"/>
    <w:rsid w:val="00396059"/>
    <w:rsid w:val="003960AB"/>
    <w:rsid w:val="00396190"/>
    <w:rsid w:val="003961B1"/>
    <w:rsid w:val="00396209"/>
    <w:rsid w:val="00396218"/>
    <w:rsid w:val="00396280"/>
    <w:rsid w:val="003962BA"/>
    <w:rsid w:val="0039635F"/>
    <w:rsid w:val="00396370"/>
    <w:rsid w:val="003963AF"/>
    <w:rsid w:val="003963CB"/>
    <w:rsid w:val="003963FE"/>
    <w:rsid w:val="0039641E"/>
    <w:rsid w:val="0039642E"/>
    <w:rsid w:val="00396551"/>
    <w:rsid w:val="00396605"/>
    <w:rsid w:val="003966F1"/>
    <w:rsid w:val="003966F6"/>
    <w:rsid w:val="00396734"/>
    <w:rsid w:val="00396768"/>
    <w:rsid w:val="0039677D"/>
    <w:rsid w:val="0039688A"/>
    <w:rsid w:val="00396894"/>
    <w:rsid w:val="0039689D"/>
    <w:rsid w:val="00396ACC"/>
    <w:rsid w:val="00396ADD"/>
    <w:rsid w:val="00396CA5"/>
    <w:rsid w:val="00396CC5"/>
    <w:rsid w:val="00396D2B"/>
    <w:rsid w:val="00396D30"/>
    <w:rsid w:val="00396D76"/>
    <w:rsid w:val="00396D85"/>
    <w:rsid w:val="00396DCB"/>
    <w:rsid w:val="00396E77"/>
    <w:rsid w:val="00396F24"/>
    <w:rsid w:val="00396F5F"/>
    <w:rsid w:val="00396F7C"/>
    <w:rsid w:val="00396F7E"/>
    <w:rsid w:val="00396F94"/>
    <w:rsid w:val="00396FD5"/>
    <w:rsid w:val="003970D2"/>
    <w:rsid w:val="003971AD"/>
    <w:rsid w:val="003971D8"/>
    <w:rsid w:val="00397208"/>
    <w:rsid w:val="00397320"/>
    <w:rsid w:val="0039733A"/>
    <w:rsid w:val="003973D1"/>
    <w:rsid w:val="00397474"/>
    <w:rsid w:val="003974E4"/>
    <w:rsid w:val="00397534"/>
    <w:rsid w:val="003975A5"/>
    <w:rsid w:val="00397658"/>
    <w:rsid w:val="0039765E"/>
    <w:rsid w:val="00397679"/>
    <w:rsid w:val="003976C4"/>
    <w:rsid w:val="0039772F"/>
    <w:rsid w:val="00397768"/>
    <w:rsid w:val="003977E7"/>
    <w:rsid w:val="0039783E"/>
    <w:rsid w:val="00397861"/>
    <w:rsid w:val="003978C7"/>
    <w:rsid w:val="00397A51"/>
    <w:rsid w:val="00397A60"/>
    <w:rsid w:val="00397ABD"/>
    <w:rsid w:val="00397B54"/>
    <w:rsid w:val="00397B7A"/>
    <w:rsid w:val="00397B99"/>
    <w:rsid w:val="00397BA0"/>
    <w:rsid w:val="00397C0B"/>
    <w:rsid w:val="00397C2C"/>
    <w:rsid w:val="00397C56"/>
    <w:rsid w:val="00397C5F"/>
    <w:rsid w:val="00397CF9"/>
    <w:rsid w:val="00397D05"/>
    <w:rsid w:val="00397D34"/>
    <w:rsid w:val="00397D3A"/>
    <w:rsid w:val="00397D3E"/>
    <w:rsid w:val="00397D80"/>
    <w:rsid w:val="00397DD2"/>
    <w:rsid w:val="00397DD7"/>
    <w:rsid w:val="00397DEA"/>
    <w:rsid w:val="00397E99"/>
    <w:rsid w:val="00397FA8"/>
    <w:rsid w:val="003A001E"/>
    <w:rsid w:val="003A0099"/>
    <w:rsid w:val="003A00B4"/>
    <w:rsid w:val="003A00F0"/>
    <w:rsid w:val="003A010B"/>
    <w:rsid w:val="003A016C"/>
    <w:rsid w:val="003A018C"/>
    <w:rsid w:val="003A01FE"/>
    <w:rsid w:val="003A0213"/>
    <w:rsid w:val="003A0217"/>
    <w:rsid w:val="003A026C"/>
    <w:rsid w:val="003A02B7"/>
    <w:rsid w:val="003A040D"/>
    <w:rsid w:val="003A0420"/>
    <w:rsid w:val="003A04A5"/>
    <w:rsid w:val="003A0535"/>
    <w:rsid w:val="003A054D"/>
    <w:rsid w:val="003A05A3"/>
    <w:rsid w:val="003A05C5"/>
    <w:rsid w:val="003A05F4"/>
    <w:rsid w:val="003A061D"/>
    <w:rsid w:val="003A0660"/>
    <w:rsid w:val="003A06AD"/>
    <w:rsid w:val="003A071D"/>
    <w:rsid w:val="003A07A7"/>
    <w:rsid w:val="003A0848"/>
    <w:rsid w:val="003A09B3"/>
    <w:rsid w:val="003A09D3"/>
    <w:rsid w:val="003A09F1"/>
    <w:rsid w:val="003A0AB7"/>
    <w:rsid w:val="003A0AE6"/>
    <w:rsid w:val="003A0B38"/>
    <w:rsid w:val="003A0C0A"/>
    <w:rsid w:val="003A0C0B"/>
    <w:rsid w:val="003A0D52"/>
    <w:rsid w:val="003A0D53"/>
    <w:rsid w:val="003A0DD1"/>
    <w:rsid w:val="003A0E6C"/>
    <w:rsid w:val="003A0EB5"/>
    <w:rsid w:val="003A0EC8"/>
    <w:rsid w:val="003A0EE6"/>
    <w:rsid w:val="003A0F20"/>
    <w:rsid w:val="003A0F4C"/>
    <w:rsid w:val="003A0F9C"/>
    <w:rsid w:val="003A0FDE"/>
    <w:rsid w:val="003A10B7"/>
    <w:rsid w:val="003A11BE"/>
    <w:rsid w:val="003A11D4"/>
    <w:rsid w:val="003A11E7"/>
    <w:rsid w:val="003A1209"/>
    <w:rsid w:val="003A12EB"/>
    <w:rsid w:val="003A139E"/>
    <w:rsid w:val="003A13DB"/>
    <w:rsid w:val="003A1428"/>
    <w:rsid w:val="003A14A7"/>
    <w:rsid w:val="003A14E5"/>
    <w:rsid w:val="003A157B"/>
    <w:rsid w:val="003A15E9"/>
    <w:rsid w:val="003A15F9"/>
    <w:rsid w:val="003A1615"/>
    <w:rsid w:val="003A16C0"/>
    <w:rsid w:val="003A17CB"/>
    <w:rsid w:val="003A184F"/>
    <w:rsid w:val="003A193A"/>
    <w:rsid w:val="003A19C3"/>
    <w:rsid w:val="003A1A49"/>
    <w:rsid w:val="003A1A66"/>
    <w:rsid w:val="003A1BED"/>
    <w:rsid w:val="003A1CD8"/>
    <w:rsid w:val="003A1DA8"/>
    <w:rsid w:val="003A1DC4"/>
    <w:rsid w:val="003A1DD6"/>
    <w:rsid w:val="003A1EB8"/>
    <w:rsid w:val="003A1F1F"/>
    <w:rsid w:val="003A1F36"/>
    <w:rsid w:val="003A1F54"/>
    <w:rsid w:val="003A1F7E"/>
    <w:rsid w:val="003A1F90"/>
    <w:rsid w:val="003A211E"/>
    <w:rsid w:val="003A21D0"/>
    <w:rsid w:val="003A21DA"/>
    <w:rsid w:val="003A22D5"/>
    <w:rsid w:val="003A22D8"/>
    <w:rsid w:val="003A22F2"/>
    <w:rsid w:val="003A2368"/>
    <w:rsid w:val="003A2562"/>
    <w:rsid w:val="003A25C9"/>
    <w:rsid w:val="003A2693"/>
    <w:rsid w:val="003A26A6"/>
    <w:rsid w:val="003A26DE"/>
    <w:rsid w:val="003A26E6"/>
    <w:rsid w:val="003A26FF"/>
    <w:rsid w:val="003A27AA"/>
    <w:rsid w:val="003A27B5"/>
    <w:rsid w:val="003A288B"/>
    <w:rsid w:val="003A28F7"/>
    <w:rsid w:val="003A29AC"/>
    <w:rsid w:val="003A29DB"/>
    <w:rsid w:val="003A2A03"/>
    <w:rsid w:val="003A2A58"/>
    <w:rsid w:val="003A2A85"/>
    <w:rsid w:val="003A2ADC"/>
    <w:rsid w:val="003A2B15"/>
    <w:rsid w:val="003A2BD6"/>
    <w:rsid w:val="003A2C9F"/>
    <w:rsid w:val="003A2D73"/>
    <w:rsid w:val="003A2DAD"/>
    <w:rsid w:val="003A2E38"/>
    <w:rsid w:val="003A2ED1"/>
    <w:rsid w:val="003A2F67"/>
    <w:rsid w:val="003A2F68"/>
    <w:rsid w:val="003A2FB4"/>
    <w:rsid w:val="003A2FD0"/>
    <w:rsid w:val="003A305D"/>
    <w:rsid w:val="003A30DF"/>
    <w:rsid w:val="003A3145"/>
    <w:rsid w:val="003A3204"/>
    <w:rsid w:val="003A3258"/>
    <w:rsid w:val="003A32FF"/>
    <w:rsid w:val="003A3337"/>
    <w:rsid w:val="003A333E"/>
    <w:rsid w:val="003A33B1"/>
    <w:rsid w:val="003A3460"/>
    <w:rsid w:val="003A34F4"/>
    <w:rsid w:val="003A3535"/>
    <w:rsid w:val="003A355E"/>
    <w:rsid w:val="003A35BF"/>
    <w:rsid w:val="003A360B"/>
    <w:rsid w:val="003A36AA"/>
    <w:rsid w:val="003A36AB"/>
    <w:rsid w:val="003A3740"/>
    <w:rsid w:val="003A377B"/>
    <w:rsid w:val="003A3898"/>
    <w:rsid w:val="003A38CB"/>
    <w:rsid w:val="003A38E3"/>
    <w:rsid w:val="003A3900"/>
    <w:rsid w:val="003A3904"/>
    <w:rsid w:val="003A399E"/>
    <w:rsid w:val="003A3A0E"/>
    <w:rsid w:val="003A3A23"/>
    <w:rsid w:val="003A3A29"/>
    <w:rsid w:val="003A3B3E"/>
    <w:rsid w:val="003A3BA3"/>
    <w:rsid w:val="003A3BBA"/>
    <w:rsid w:val="003A3C65"/>
    <w:rsid w:val="003A3CD0"/>
    <w:rsid w:val="003A3D37"/>
    <w:rsid w:val="003A3D97"/>
    <w:rsid w:val="003A3E35"/>
    <w:rsid w:val="003A3EC7"/>
    <w:rsid w:val="003A3F32"/>
    <w:rsid w:val="003A3F71"/>
    <w:rsid w:val="003A3F8F"/>
    <w:rsid w:val="003A3FE1"/>
    <w:rsid w:val="003A4001"/>
    <w:rsid w:val="003A405C"/>
    <w:rsid w:val="003A40B0"/>
    <w:rsid w:val="003A40F0"/>
    <w:rsid w:val="003A4183"/>
    <w:rsid w:val="003A41D2"/>
    <w:rsid w:val="003A41FC"/>
    <w:rsid w:val="003A4325"/>
    <w:rsid w:val="003A4336"/>
    <w:rsid w:val="003A438E"/>
    <w:rsid w:val="003A43CA"/>
    <w:rsid w:val="003A44D1"/>
    <w:rsid w:val="003A453E"/>
    <w:rsid w:val="003A45E1"/>
    <w:rsid w:val="003A464B"/>
    <w:rsid w:val="003A46BD"/>
    <w:rsid w:val="003A471F"/>
    <w:rsid w:val="003A47AA"/>
    <w:rsid w:val="003A47E9"/>
    <w:rsid w:val="003A4812"/>
    <w:rsid w:val="003A483D"/>
    <w:rsid w:val="003A4854"/>
    <w:rsid w:val="003A48C2"/>
    <w:rsid w:val="003A493F"/>
    <w:rsid w:val="003A4979"/>
    <w:rsid w:val="003A4985"/>
    <w:rsid w:val="003A49BB"/>
    <w:rsid w:val="003A49DF"/>
    <w:rsid w:val="003A4A9B"/>
    <w:rsid w:val="003A4AEF"/>
    <w:rsid w:val="003A4B77"/>
    <w:rsid w:val="003A4B7A"/>
    <w:rsid w:val="003A4C47"/>
    <w:rsid w:val="003A4C69"/>
    <w:rsid w:val="003A4CD4"/>
    <w:rsid w:val="003A4D63"/>
    <w:rsid w:val="003A4E2C"/>
    <w:rsid w:val="003A4E6A"/>
    <w:rsid w:val="003A4EBE"/>
    <w:rsid w:val="003A4ECE"/>
    <w:rsid w:val="003A4EEC"/>
    <w:rsid w:val="003A4F89"/>
    <w:rsid w:val="003A4FA0"/>
    <w:rsid w:val="003A4FC0"/>
    <w:rsid w:val="003A502F"/>
    <w:rsid w:val="003A50B5"/>
    <w:rsid w:val="003A51EB"/>
    <w:rsid w:val="003A5214"/>
    <w:rsid w:val="003A5275"/>
    <w:rsid w:val="003A5293"/>
    <w:rsid w:val="003A52A9"/>
    <w:rsid w:val="003A5421"/>
    <w:rsid w:val="003A5458"/>
    <w:rsid w:val="003A546B"/>
    <w:rsid w:val="003A5489"/>
    <w:rsid w:val="003A553F"/>
    <w:rsid w:val="003A5561"/>
    <w:rsid w:val="003A55BA"/>
    <w:rsid w:val="003A5620"/>
    <w:rsid w:val="003A57CE"/>
    <w:rsid w:val="003A588E"/>
    <w:rsid w:val="003A58B9"/>
    <w:rsid w:val="003A595D"/>
    <w:rsid w:val="003A599A"/>
    <w:rsid w:val="003A59A6"/>
    <w:rsid w:val="003A5AA5"/>
    <w:rsid w:val="003A5ABD"/>
    <w:rsid w:val="003A5AF0"/>
    <w:rsid w:val="003A5BB0"/>
    <w:rsid w:val="003A5C17"/>
    <w:rsid w:val="003A5D21"/>
    <w:rsid w:val="003A5D4B"/>
    <w:rsid w:val="003A5E14"/>
    <w:rsid w:val="003A5E4E"/>
    <w:rsid w:val="003A5EF0"/>
    <w:rsid w:val="003A5F22"/>
    <w:rsid w:val="003A6217"/>
    <w:rsid w:val="003A62F1"/>
    <w:rsid w:val="003A62F3"/>
    <w:rsid w:val="003A6352"/>
    <w:rsid w:val="003A63C1"/>
    <w:rsid w:val="003A6487"/>
    <w:rsid w:val="003A6500"/>
    <w:rsid w:val="003A6511"/>
    <w:rsid w:val="003A6521"/>
    <w:rsid w:val="003A6553"/>
    <w:rsid w:val="003A658F"/>
    <w:rsid w:val="003A65FC"/>
    <w:rsid w:val="003A668A"/>
    <w:rsid w:val="003A6694"/>
    <w:rsid w:val="003A66ED"/>
    <w:rsid w:val="003A6724"/>
    <w:rsid w:val="003A6792"/>
    <w:rsid w:val="003A67B6"/>
    <w:rsid w:val="003A67CA"/>
    <w:rsid w:val="003A67D9"/>
    <w:rsid w:val="003A686C"/>
    <w:rsid w:val="003A689B"/>
    <w:rsid w:val="003A68F8"/>
    <w:rsid w:val="003A6988"/>
    <w:rsid w:val="003A6995"/>
    <w:rsid w:val="003A69CC"/>
    <w:rsid w:val="003A6A29"/>
    <w:rsid w:val="003A6AFE"/>
    <w:rsid w:val="003A6B14"/>
    <w:rsid w:val="003A6B93"/>
    <w:rsid w:val="003A6BEF"/>
    <w:rsid w:val="003A6D14"/>
    <w:rsid w:val="003A6D26"/>
    <w:rsid w:val="003A6D4C"/>
    <w:rsid w:val="003A6DC5"/>
    <w:rsid w:val="003A6E1A"/>
    <w:rsid w:val="003A6E56"/>
    <w:rsid w:val="003A6E6B"/>
    <w:rsid w:val="003A6E70"/>
    <w:rsid w:val="003A6F98"/>
    <w:rsid w:val="003A6FDD"/>
    <w:rsid w:val="003A7054"/>
    <w:rsid w:val="003A70E7"/>
    <w:rsid w:val="003A71E8"/>
    <w:rsid w:val="003A71F5"/>
    <w:rsid w:val="003A72F5"/>
    <w:rsid w:val="003A735D"/>
    <w:rsid w:val="003A7412"/>
    <w:rsid w:val="003A74D2"/>
    <w:rsid w:val="003A74E2"/>
    <w:rsid w:val="003A7601"/>
    <w:rsid w:val="003A76B0"/>
    <w:rsid w:val="003A7788"/>
    <w:rsid w:val="003A77F2"/>
    <w:rsid w:val="003A783E"/>
    <w:rsid w:val="003A7847"/>
    <w:rsid w:val="003A78F5"/>
    <w:rsid w:val="003A7971"/>
    <w:rsid w:val="003A79A3"/>
    <w:rsid w:val="003A79B2"/>
    <w:rsid w:val="003A7A03"/>
    <w:rsid w:val="003A7A79"/>
    <w:rsid w:val="003A7B40"/>
    <w:rsid w:val="003A7B6A"/>
    <w:rsid w:val="003A7BD1"/>
    <w:rsid w:val="003A7CA2"/>
    <w:rsid w:val="003A7D4D"/>
    <w:rsid w:val="003A7D71"/>
    <w:rsid w:val="003A7E38"/>
    <w:rsid w:val="003A7E53"/>
    <w:rsid w:val="003A7F08"/>
    <w:rsid w:val="003A7F1E"/>
    <w:rsid w:val="003A7F71"/>
    <w:rsid w:val="003A7FAB"/>
    <w:rsid w:val="003B00BA"/>
    <w:rsid w:val="003B0101"/>
    <w:rsid w:val="003B011D"/>
    <w:rsid w:val="003B0350"/>
    <w:rsid w:val="003B03DD"/>
    <w:rsid w:val="003B0465"/>
    <w:rsid w:val="003B0498"/>
    <w:rsid w:val="003B049E"/>
    <w:rsid w:val="003B04CF"/>
    <w:rsid w:val="003B0565"/>
    <w:rsid w:val="003B0712"/>
    <w:rsid w:val="003B0730"/>
    <w:rsid w:val="003B0739"/>
    <w:rsid w:val="003B0757"/>
    <w:rsid w:val="003B075B"/>
    <w:rsid w:val="003B079D"/>
    <w:rsid w:val="003B07A9"/>
    <w:rsid w:val="003B07CC"/>
    <w:rsid w:val="003B0802"/>
    <w:rsid w:val="003B0815"/>
    <w:rsid w:val="003B0847"/>
    <w:rsid w:val="003B08B3"/>
    <w:rsid w:val="003B08FA"/>
    <w:rsid w:val="003B0930"/>
    <w:rsid w:val="003B097F"/>
    <w:rsid w:val="003B09AE"/>
    <w:rsid w:val="003B0A45"/>
    <w:rsid w:val="003B0AF5"/>
    <w:rsid w:val="003B0B3E"/>
    <w:rsid w:val="003B0BA1"/>
    <w:rsid w:val="003B0BD1"/>
    <w:rsid w:val="003B0BE9"/>
    <w:rsid w:val="003B0C13"/>
    <w:rsid w:val="003B0C54"/>
    <w:rsid w:val="003B0CA4"/>
    <w:rsid w:val="003B0CC4"/>
    <w:rsid w:val="003B0D4C"/>
    <w:rsid w:val="003B0DCF"/>
    <w:rsid w:val="003B0E31"/>
    <w:rsid w:val="003B0E5B"/>
    <w:rsid w:val="003B0EAF"/>
    <w:rsid w:val="003B0F3C"/>
    <w:rsid w:val="003B0F4A"/>
    <w:rsid w:val="003B0F5E"/>
    <w:rsid w:val="003B100A"/>
    <w:rsid w:val="003B1049"/>
    <w:rsid w:val="003B111E"/>
    <w:rsid w:val="003B118F"/>
    <w:rsid w:val="003B1471"/>
    <w:rsid w:val="003B14D4"/>
    <w:rsid w:val="003B14F5"/>
    <w:rsid w:val="003B1545"/>
    <w:rsid w:val="003B172B"/>
    <w:rsid w:val="003B1791"/>
    <w:rsid w:val="003B1810"/>
    <w:rsid w:val="003B1825"/>
    <w:rsid w:val="003B1835"/>
    <w:rsid w:val="003B18A1"/>
    <w:rsid w:val="003B1B17"/>
    <w:rsid w:val="003B1CC1"/>
    <w:rsid w:val="003B1D11"/>
    <w:rsid w:val="003B1D57"/>
    <w:rsid w:val="003B1DB3"/>
    <w:rsid w:val="003B1E1B"/>
    <w:rsid w:val="003B1E3E"/>
    <w:rsid w:val="003B1E91"/>
    <w:rsid w:val="003B1F5E"/>
    <w:rsid w:val="003B1FFD"/>
    <w:rsid w:val="003B2012"/>
    <w:rsid w:val="003B20A1"/>
    <w:rsid w:val="003B2105"/>
    <w:rsid w:val="003B21C8"/>
    <w:rsid w:val="003B21CA"/>
    <w:rsid w:val="003B2202"/>
    <w:rsid w:val="003B2218"/>
    <w:rsid w:val="003B2220"/>
    <w:rsid w:val="003B231F"/>
    <w:rsid w:val="003B23CD"/>
    <w:rsid w:val="003B23E5"/>
    <w:rsid w:val="003B2443"/>
    <w:rsid w:val="003B2497"/>
    <w:rsid w:val="003B24DB"/>
    <w:rsid w:val="003B25B7"/>
    <w:rsid w:val="003B25BF"/>
    <w:rsid w:val="003B25C0"/>
    <w:rsid w:val="003B25E3"/>
    <w:rsid w:val="003B2605"/>
    <w:rsid w:val="003B261B"/>
    <w:rsid w:val="003B26F5"/>
    <w:rsid w:val="003B26FD"/>
    <w:rsid w:val="003B298A"/>
    <w:rsid w:val="003B2A15"/>
    <w:rsid w:val="003B2A64"/>
    <w:rsid w:val="003B2A7A"/>
    <w:rsid w:val="003B2BF2"/>
    <w:rsid w:val="003B2C96"/>
    <w:rsid w:val="003B2D7D"/>
    <w:rsid w:val="003B2EB2"/>
    <w:rsid w:val="003B2F1F"/>
    <w:rsid w:val="003B2FEA"/>
    <w:rsid w:val="003B305B"/>
    <w:rsid w:val="003B3109"/>
    <w:rsid w:val="003B3209"/>
    <w:rsid w:val="003B321C"/>
    <w:rsid w:val="003B328D"/>
    <w:rsid w:val="003B3304"/>
    <w:rsid w:val="003B3314"/>
    <w:rsid w:val="003B3318"/>
    <w:rsid w:val="003B3367"/>
    <w:rsid w:val="003B33FB"/>
    <w:rsid w:val="003B348B"/>
    <w:rsid w:val="003B3520"/>
    <w:rsid w:val="003B3582"/>
    <w:rsid w:val="003B3591"/>
    <w:rsid w:val="003B3609"/>
    <w:rsid w:val="003B365E"/>
    <w:rsid w:val="003B36EC"/>
    <w:rsid w:val="003B375A"/>
    <w:rsid w:val="003B375E"/>
    <w:rsid w:val="003B37B6"/>
    <w:rsid w:val="003B37F2"/>
    <w:rsid w:val="003B381E"/>
    <w:rsid w:val="003B384D"/>
    <w:rsid w:val="003B3856"/>
    <w:rsid w:val="003B38EB"/>
    <w:rsid w:val="003B38EF"/>
    <w:rsid w:val="003B3922"/>
    <w:rsid w:val="003B394C"/>
    <w:rsid w:val="003B396B"/>
    <w:rsid w:val="003B3A54"/>
    <w:rsid w:val="003B3A5F"/>
    <w:rsid w:val="003B3AA1"/>
    <w:rsid w:val="003B3C2B"/>
    <w:rsid w:val="003B3C63"/>
    <w:rsid w:val="003B3D1D"/>
    <w:rsid w:val="003B3D49"/>
    <w:rsid w:val="003B3D59"/>
    <w:rsid w:val="003B3DDD"/>
    <w:rsid w:val="003B414B"/>
    <w:rsid w:val="003B4170"/>
    <w:rsid w:val="003B42DC"/>
    <w:rsid w:val="003B42F5"/>
    <w:rsid w:val="003B431B"/>
    <w:rsid w:val="003B442C"/>
    <w:rsid w:val="003B4431"/>
    <w:rsid w:val="003B444C"/>
    <w:rsid w:val="003B44B7"/>
    <w:rsid w:val="003B451F"/>
    <w:rsid w:val="003B452F"/>
    <w:rsid w:val="003B455F"/>
    <w:rsid w:val="003B4599"/>
    <w:rsid w:val="003B4630"/>
    <w:rsid w:val="003B468F"/>
    <w:rsid w:val="003B4715"/>
    <w:rsid w:val="003B47BB"/>
    <w:rsid w:val="003B4814"/>
    <w:rsid w:val="003B4825"/>
    <w:rsid w:val="003B48FE"/>
    <w:rsid w:val="003B4A25"/>
    <w:rsid w:val="003B4A2D"/>
    <w:rsid w:val="003B4A3F"/>
    <w:rsid w:val="003B4A78"/>
    <w:rsid w:val="003B4B69"/>
    <w:rsid w:val="003B4B74"/>
    <w:rsid w:val="003B4BF5"/>
    <w:rsid w:val="003B4C0C"/>
    <w:rsid w:val="003B4E86"/>
    <w:rsid w:val="003B4EEA"/>
    <w:rsid w:val="003B4FDA"/>
    <w:rsid w:val="003B5013"/>
    <w:rsid w:val="003B5096"/>
    <w:rsid w:val="003B5149"/>
    <w:rsid w:val="003B514D"/>
    <w:rsid w:val="003B5173"/>
    <w:rsid w:val="003B519D"/>
    <w:rsid w:val="003B51CA"/>
    <w:rsid w:val="003B5252"/>
    <w:rsid w:val="003B529B"/>
    <w:rsid w:val="003B5316"/>
    <w:rsid w:val="003B546F"/>
    <w:rsid w:val="003B5486"/>
    <w:rsid w:val="003B549E"/>
    <w:rsid w:val="003B54B7"/>
    <w:rsid w:val="003B54D7"/>
    <w:rsid w:val="003B5512"/>
    <w:rsid w:val="003B5697"/>
    <w:rsid w:val="003B56AB"/>
    <w:rsid w:val="003B5717"/>
    <w:rsid w:val="003B5762"/>
    <w:rsid w:val="003B57B3"/>
    <w:rsid w:val="003B581C"/>
    <w:rsid w:val="003B5871"/>
    <w:rsid w:val="003B5997"/>
    <w:rsid w:val="003B5A28"/>
    <w:rsid w:val="003B5AD1"/>
    <w:rsid w:val="003B5B0C"/>
    <w:rsid w:val="003B5B30"/>
    <w:rsid w:val="003B5B34"/>
    <w:rsid w:val="003B5BB9"/>
    <w:rsid w:val="003B5C19"/>
    <w:rsid w:val="003B5C55"/>
    <w:rsid w:val="003B5CAC"/>
    <w:rsid w:val="003B5D01"/>
    <w:rsid w:val="003B5D39"/>
    <w:rsid w:val="003B5F6A"/>
    <w:rsid w:val="003B5F7D"/>
    <w:rsid w:val="003B5FFA"/>
    <w:rsid w:val="003B6044"/>
    <w:rsid w:val="003B605F"/>
    <w:rsid w:val="003B6062"/>
    <w:rsid w:val="003B607B"/>
    <w:rsid w:val="003B609E"/>
    <w:rsid w:val="003B611C"/>
    <w:rsid w:val="003B616D"/>
    <w:rsid w:val="003B61B7"/>
    <w:rsid w:val="003B61FE"/>
    <w:rsid w:val="003B6215"/>
    <w:rsid w:val="003B6245"/>
    <w:rsid w:val="003B624B"/>
    <w:rsid w:val="003B62AC"/>
    <w:rsid w:val="003B62B7"/>
    <w:rsid w:val="003B636D"/>
    <w:rsid w:val="003B638A"/>
    <w:rsid w:val="003B63C0"/>
    <w:rsid w:val="003B63C6"/>
    <w:rsid w:val="003B63DA"/>
    <w:rsid w:val="003B6407"/>
    <w:rsid w:val="003B645A"/>
    <w:rsid w:val="003B6513"/>
    <w:rsid w:val="003B6515"/>
    <w:rsid w:val="003B6673"/>
    <w:rsid w:val="003B66BE"/>
    <w:rsid w:val="003B6701"/>
    <w:rsid w:val="003B6730"/>
    <w:rsid w:val="003B675D"/>
    <w:rsid w:val="003B680E"/>
    <w:rsid w:val="003B687A"/>
    <w:rsid w:val="003B68B7"/>
    <w:rsid w:val="003B6915"/>
    <w:rsid w:val="003B6948"/>
    <w:rsid w:val="003B6981"/>
    <w:rsid w:val="003B6A28"/>
    <w:rsid w:val="003B6A3F"/>
    <w:rsid w:val="003B6A64"/>
    <w:rsid w:val="003B6A99"/>
    <w:rsid w:val="003B6AED"/>
    <w:rsid w:val="003B6AF2"/>
    <w:rsid w:val="003B6B47"/>
    <w:rsid w:val="003B6B4D"/>
    <w:rsid w:val="003B6BC7"/>
    <w:rsid w:val="003B6BFF"/>
    <w:rsid w:val="003B6C21"/>
    <w:rsid w:val="003B6C5A"/>
    <w:rsid w:val="003B6C86"/>
    <w:rsid w:val="003B6D04"/>
    <w:rsid w:val="003B6D66"/>
    <w:rsid w:val="003B6F0E"/>
    <w:rsid w:val="003B6F6C"/>
    <w:rsid w:val="003B6F7F"/>
    <w:rsid w:val="003B7019"/>
    <w:rsid w:val="003B7073"/>
    <w:rsid w:val="003B7158"/>
    <w:rsid w:val="003B71C5"/>
    <w:rsid w:val="003B71FC"/>
    <w:rsid w:val="003B722F"/>
    <w:rsid w:val="003B7237"/>
    <w:rsid w:val="003B731E"/>
    <w:rsid w:val="003B738B"/>
    <w:rsid w:val="003B7390"/>
    <w:rsid w:val="003B73E5"/>
    <w:rsid w:val="003B73EF"/>
    <w:rsid w:val="003B7443"/>
    <w:rsid w:val="003B746F"/>
    <w:rsid w:val="003B74AB"/>
    <w:rsid w:val="003B7529"/>
    <w:rsid w:val="003B7543"/>
    <w:rsid w:val="003B764E"/>
    <w:rsid w:val="003B7653"/>
    <w:rsid w:val="003B766F"/>
    <w:rsid w:val="003B768E"/>
    <w:rsid w:val="003B779C"/>
    <w:rsid w:val="003B7912"/>
    <w:rsid w:val="003B797D"/>
    <w:rsid w:val="003B7983"/>
    <w:rsid w:val="003B7A47"/>
    <w:rsid w:val="003B7ACD"/>
    <w:rsid w:val="003B7B8B"/>
    <w:rsid w:val="003B7BFE"/>
    <w:rsid w:val="003B7C6D"/>
    <w:rsid w:val="003B7C98"/>
    <w:rsid w:val="003B7CD0"/>
    <w:rsid w:val="003B7CFC"/>
    <w:rsid w:val="003B7D25"/>
    <w:rsid w:val="003B7D3D"/>
    <w:rsid w:val="003B7D78"/>
    <w:rsid w:val="003B7E51"/>
    <w:rsid w:val="003B7E56"/>
    <w:rsid w:val="003B7EE6"/>
    <w:rsid w:val="003B7F3F"/>
    <w:rsid w:val="003C003D"/>
    <w:rsid w:val="003C0048"/>
    <w:rsid w:val="003C0090"/>
    <w:rsid w:val="003C0121"/>
    <w:rsid w:val="003C0160"/>
    <w:rsid w:val="003C020B"/>
    <w:rsid w:val="003C0242"/>
    <w:rsid w:val="003C024E"/>
    <w:rsid w:val="003C02A6"/>
    <w:rsid w:val="003C02D0"/>
    <w:rsid w:val="003C0387"/>
    <w:rsid w:val="003C059C"/>
    <w:rsid w:val="003C05C8"/>
    <w:rsid w:val="003C06A2"/>
    <w:rsid w:val="003C0708"/>
    <w:rsid w:val="003C0710"/>
    <w:rsid w:val="003C07B2"/>
    <w:rsid w:val="003C084C"/>
    <w:rsid w:val="003C087F"/>
    <w:rsid w:val="003C0923"/>
    <w:rsid w:val="003C0945"/>
    <w:rsid w:val="003C09E6"/>
    <w:rsid w:val="003C0A2C"/>
    <w:rsid w:val="003C0AA7"/>
    <w:rsid w:val="003C0B64"/>
    <w:rsid w:val="003C0B8B"/>
    <w:rsid w:val="003C0DBC"/>
    <w:rsid w:val="003C0E6C"/>
    <w:rsid w:val="003C0EEE"/>
    <w:rsid w:val="003C0F1D"/>
    <w:rsid w:val="003C0F4D"/>
    <w:rsid w:val="003C0FE6"/>
    <w:rsid w:val="003C0FF8"/>
    <w:rsid w:val="003C0FFB"/>
    <w:rsid w:val="003C0FFD"/>
    <w:rsid w:val="003C1046"/>
    <w:rsid w:val="003C1047"/>
    <w:rsid w:val="003C1167"/>
    <w:rsid w:val="003C11A1"/>
    <w:rsid w:val="003C1215"/>
    <w:rsid w:val="003C1266"/>
    <w:rsid w:val="003C1285"/>
    <w:rsid w:val="003C12D6"/>
    <w:rsid w:val="003C1398"/>
    <w:rsid w:val="003C1535"/>
    <w:rsid w:val="003C1537"/>
    <w:rsid w:val="003C158E"/>
    <w:rsid w:val="003C15D1"/>
    <w:rsid w:val="003C15DB"/>
    <w:rsid w:val="003C16EA"/>
    <w:rsid w:val="003C17B7"/>
    <w:rsid w:val="003C17CA"/>
    <w:rsid w:val="003C17CC"/>
    <w:rsid w:val="003C17D1"/>
    <w:rsid w:val="003C1813"/>
    <w:rsid w:val="003C1872"/>
    <w:rsid w:val="003C1885"/>
    <w:rsid w:val="003C18D5"/>
    <w:rsid w:val="003C1920"/>
    <w:rsid w:val="003C1991"/>
    <w:rsid w:val="003C1A2C"/>
    <w:rsid w:val="003C1A57"/>
    <w:rsid w:val="003C1A87"/>
    <w:rsid w:val="003C1AE2"/>
    <w:rsid w:val="003C1B49"/>
    <w:rsid w:val="003C1B4A"/>
    <w:rsid w:val="003C1BD6"/>
    <w:rsid w:val="003C1C33"/>
    <w:rsid w:val="003C1D64"/>
    <w:rsid w:val="003C1D86"/>
    <w:rsid w:val="003C1DDE"/>
    <w:rsid w:val="003C1E28"/>
    <w:rsid w:val="003C2009"/>
    <w:rsid w:val="003C2021"/>
    <w:rsid w:val="003C20CD"/>
    <w:rsid w:val="003C20E8"/>
    <w:rsid w:val="003C20EF"/>
    <w:rsid w:val="003C21AB"/>
    <w:rsid w:val="003C2304"/>
    <w:rsid w:val="003C2320"/>
    <w:rsid w:val="003C23BB"/>
    <w:rsid w:val="003C23FB"/>
    <w:rsid w:val="003C2406"/>
    <w:rsid w:val="003C256B"/>
    <w:rsid w:val="003C2577"/>
    <w:rsid w:val="003C25C3"/>
    <w:rsid w:val="003C25DA"/>
    <w:rsid w:val="003C25E5"/>
    <w:rsid w:val="003C2601"/>
    <w:rsid w:val="003C2640"/>
    <w:rsid w:val="003C2692"/>
    <w:rsid w:val="003C26A7"/>
    <w:rsid w:val="003C26B1"/>
    <w:rsid w:val="003C26F2"/>
    <w:rsid w:val="003C27B2"/>
    <w:rsid w:val="003C2810"/>
    <w:rsid w:val="003C282A"/>
    <w:rsid w:val="003C28C7"/>
    <w:rsid w:val="003C29BA"/>
    <w:rsid w:val="003C29BB"/>
    <w:rsid w:val="003C29BD"/>
    <w:rsid w:val="003C29CC"/>
    <w:rsid w:val="003C29F5"/>
    <w:rsid w:val="003C2A42"/>
    <w:rsid w:val="003C2A80"/>
    <w:rsid w:val="003C2ACA"/>
    <w:rsid w:val="003C2C46"/>
    <w:rsid w:val="003C2C8D"/>
    <w:rsid w:val="003C2DC2"/>
    <w:rsid w:val="003C2DF1"/>
    <w:rsid w:val="003C2E00"/>
    <w:rsid w:val="003C2E37"/>
    <w:rsid w:val="003C2EB1"/>
    <w:rsid w:val="003C2F20"/>
    <w:rsid w:val="003C2F49"/>
    <w:rsid w:val="003C2F61"/>
    <w:rsid w:val="003C2FAE"/>
    <w:rsid w:val="003C3008"/>
    <w:rsid w:val="003C301F"/>
    <w:rsid w:val="003C3048"/>
    <w:rsid w:val="003C3085"/>
    <w:rsid w:val="003C30DF"/>
    <w:rsid w:val="003C3194"/>
    <w:rsid w:val="003C3279"/>
    <w:rsid w:val="003C32E4"/>
    <w:rsid w:val="003C330B"/>
    <w:rsid w:val="003C3352"/>
    <w:rsid w:val="003C337F"/>
    <w:rsid w:val="003C33B7"/>
    <w:rsid w:val="003C3458"/>
    <w:rsid w:val="003C3592"/>
    <w:rsid w:val="003C3635"/>
    <w:rsid w:val="003C3737"/>
    <w:rsid w:val="003C383C"/>
    <w:rsid w:val="003C38B8"/>
    <w:rsid w:val="003C39B9"/>
    <w:rsid w:val="003C3A1F"/>
    <w:rsid w:val="003C3A36"/>
    <w:rsid w:val="003C3A67"/>
    <w:rsid w:val="003C3BD6"/>
    <w:rsid w:val="003C3BE9"/>
    <w:rsid w:val="003C3C24"/>
    <w:rsid w:val="003C3C4F"/>
    <w:rsid w:val="003C3C71"/>
    <w:rsid w:val="003C3C7E"/>
    <w:rsid w:val="003C3C80"/>
    <w:rsid w:val="003C3C9A"/>
    <w:rsid w:val="003C3CA1"/>
    <w:rsid w:val="003C3CA3"/>
    <w:rsid w:val="003C3ECF"/>
    <w:rsid w:val="003C3FB6"/>
    <w:rsid w:val="003C40F5"/>
    <w:rsid w:val="003C4107"/>
    <w:rsid w:val="003C410D"/>
    <w:rsid w:val="003C4123"/>
    <w:rsid w:val="003C4160"/>
    <w:rsid w:val="003C4225"/>
    <w:rsid w:val="003C424F"/>
    <w:rsid w:val="003C42B8"/>
    <w:rsid w:val="003C4485"/>
    <w:rsid w:val="003C4501"/>
    <w:rsid w:val="003C45D0"/>
    <w:rsid w:val="003C4677"/>
    <w:rsid w:val="003C46FB"/>
    <w:rsid w:val="003C474B"/>
    <w:rsid w:val="003C474D"/>
    <w:rsid w:val="003C474F"/>
    <w:rsid w:val="003C4774"/>
    <w:rsid w:val="003C4895"/>
    <w:rsid w:val="003C48B3"/>
    <w:rsid w:val="003C4912"/>
    <w:rsid w:val="003C4A75"/>
    <w:rsid w:val="003C4CA3"/>
    <w:rsid w:val="003C4D1C"/>
    <w:rsid w:val="003C4D4A"/>
    <w:rsid w:val="003C4E69"/>
    <w:rsid w:val="003C4F11"/>
    <w:rsid w:val="003C4F8F"/>
    <w:rsid w:val="003C5089"/>
    <w:rsid w:val="003C50E8"/>
    <w:rsid w:val="003C511A"/>
    <w:rsid w:val="003C5171"/>
    <w:rsid w:val="003C51C7"/>
    <w:rsid w:val="003C5260"/>
    <w:rsid w:val="003C532F"/>
    <w:rsid w:val="003C5334"/>
    <w:rsid w:val="003C5412"/>
    <w:rsid w:val="003C54FB"/>
    <w:rsid w:val="003C5513"/>
    <w:rsid w:val="003C55B1"/>
    <w:rsid w:val="003C569D"/>
    <w:rsid w:val="003C56B2"/>
    <w:rsid w:val="003C57E1"/>
    <w:rsid w:val="003C583F"/>
    <w:rsid w:val="003C585D"/>
    <w:rsid w:val="003C588C"/>
    <w:rsid w:val="003C5906"/>
    <w:rsid w:val="003C59AD"/>
    <w:rsid w:val="003C59B2"/>
    <w:rsid w:val="003C59D2"/>
    <w:rsid w:val="003C5A5C"/>
    <w:rsid w:val="003C5AB6"/>
    <w:rsid w:val="003C5BBE"/>
    <w:rsid w:val="003C5C64"/>
    <w:rsid w:val="003C5D1B"/>
    <w:rsid w:val="003C5EC9"/>
    <w:rsid w:val="003C5FED"/>
    <w:rsid w:val="003C603E"/>
    <w:rsid w:val="003C60D0"/>
    <w:rsid w:val="003C60DF"/>
    <w:rsid w:val="003C6132"/>
    <w:rsid w:val="003C6148"/>
    <w:rsid w:val="003C6188"/>
    <w:rsid w:val="003C61BA"/>
    <w:rsid w:val="003C61CD"/>
    <w:rsid w:val="003C62C8"/>
    <w:rsid w:val="003C62DA"/>
    <w:rsid w:val="003C6305"/>
    <w:rsid w:val="003C6391"/>
    <w:rsid w:val="003C639A"/>
    <w:rsid w:val="003C63F6"/>
    <w:rsid w:val="003C644A"/>
    <w:rsid w:val="003C6484"/>
    <w:rsid w:val="003C6619"/>
    <w:rsid w:val="003C66C2"/>
    <w:rsid w:val="003C66D5"/>
    <w:rsid w:val="003C6723"/>
    <w:rsid w:val="003C683D"/>
    <w:rsid w:val="003C691C"/>
    <w:rsid w:val="003C691D"/>
    <w:rsid w:val="003C693A"/>
    <w:rsid w:val="003C6987"/>
    <w:rsid w:val="003C6AA4"/>
    <w:rsid w:val="003C6B59"/>
    <w:rsid w:val="003C6B64"/>
    <w:rsid w:val="003C6B86"/>
    <w:rsid w:val="003C6D1A"/>
    <w:rsid w:val="003C6E25"/>
    <w:rsid w:val="003C6E5D"/>
    <w:rsid w:val="003C6E7C"/>
    <w:rsid w:val="003C6F04"/>
    <w:rsid w:val="003C6F74"/>
    <w:rsid w:val="003C6FB9"/>
    <w:rsid w:val="003C6FEA"/>
    <w:rsid w:val="003C7027"/>
    <w:rsid w:val="003C7045"/>
    <w:rsid w:val="003C7048"/>
    <w:rsid w:val="003C7088"/>
    <w:rsid w:val="003C70C3"/>
    <w:rsid w:val="003C70F4"/>
    <w:rsid w:val="003C7181"/>
    <w:rsid w:val="003C71BE"/>
    <w:rsid w:val="003C71E4"/>
    <w:rsid w:val="003C71EF"/>
    <w:rsid w:val="003C7207"/>
    <w:rsid w:val="003C729F"/>
    <w:rsid w:val="003C72EA"/>
    <w:rsid w:val="003C72FE"/>
    <w:rsid w:val="003C73DF"/>
    <w:rsid w:val="003C73FD"/>
    <w:rsid w:val="003C7449"/>
    <w:rsid w:val="003C74EC"/>
    <w:rsid w:val="003C7507"/>
    <w:rsid w:val="003C758D"/>
    <w:rsid w:val="003C7619"/>
    <w:rsid w:val="003C7643"/>
    <w:rsid w:val="003C76E2"/>
    <w:rsid w:val="003C77C4"/>
    <w:rsid w:val="003C7873"/>
    <w:rsid w:val="003C787A"/>
    <w:rsid w:val="003C7882"/>
    <w:rsid w:val="003C78E6"/>
    <w:rsid w:val="003C7942"/>
    <w:rsid w:val="003C794B"/>
    <w:rsid w:val="003C7967"/>
    <w:rsid w:val="003C796E"/>
    <w:rsid w:val="003C79B9"/>
    <w:rsid w:val="003C79CA"/>
    <w:rsid w:val="003C7A6F"/>
    <w:rsid w:val="003C7AD5"/>
    <w:rsid w:val="003C7B3D"/>
    <w:rsid w:val="003C7B6B"/>
    <w:rsid w:val="003C7BCC"/>
    <w:rsid w:val="003C7C1F"/>
    <w:rsid w:val="003C7CA4"/>
    <w:rsid w:val="003C7E8C"/>
    <w:rsid w:val="003C7E8D"/>
    <w:rsid w:val="003C7EFE"/>
    <w:rsid w:val="003C7F68"/>
    <w:rsid w:val="003D000B"/>
    <w:rsid w:val="003D0037"/>
    <w:rsid w:val="003D0163"/>
    <w:rsid w:val="003D016D"/>
    <w:rsid w:val="003D019E"/>
    <w:rsid w:val="003D01BB"/>
    <w:rsid w:val="003D01CB"/>
    <w:rsid w:val="003D01D1"/>
    <w:rsid w:val="003D01DD"/>
    <w:rsid w:val="003D020A"/>
    <w:rsid w:val="003D02C5"/>
    <w:rsid w:val="003D034D"/>
    <w:rsid w:val="003D03FC"/>
    <w:rsid w:val="003D0478"/>
    <w:rsid w:val="003D0495"/>
    <w:rsid w:val="003D0552"/>
    <w:rsid w:val="003D0559"/>
    <w:rsid w:val="003D0583"/>
    <w:rsid w:val="003D05AC"/>
    <w:rsid w:val="003D05E2"/>
    <w:rsid w:val="003D05F0"/>
    <w:rsid w:val="003D0606"/>
    <w:rsid w:val="003D06C3"/>
    <w:rsid w:val="003D0756"/>
    <w:rsid w:val="003D0786"/>
    <w:rsid w:val="003D081D"/>
    <w:rsid w:val="003D08F8"/>
    <w:rsid w:val="003D0913"/>
    <w:rsid w:val="003D0936"/>
    <w:rsid w:val="003D0992"/>
    <w:rsid w:val="003D0A67"/>
    <w:rsid w:val="003D0AF1"/>
    <w:rsid w:val="003D0AFE"/>
    <w:rsid w:val="003D0B6E"/>
    <w:rsid w:val="003D0B9D"/>
    <w:rsid w:val="003D0B9E"/>
    <w:rsid w:val="003D0BDD"/>
    <w:rsid w:val="003D0C41"/>
    <w:rsid w:val="003D0CAB"/>
    <w:rsid w:val="003D0D97"/>
    <w:rsid w:val="003D0DA0"/>
    <w:rsid w:val="003D0DAF"/>
    <w:rsid w:val="003D0EAD"/>
    <w:rsid w:val="003D0ECA"/>
    <w:rsid w:val="003D0EDA"/>
    <w:rsid w:val="003D0FBC"/>
    <w:rsid w:val="003D0FCF"/>
    <w:rsid w:val="003D1022"/>
    <w:rsid w:val="003D103F"/>
    <w:rsid w:val="003D10B8"/>
    <w:rsid w:val="003D112B"/>
    <w:rsid w:val="003D11A0"/>
    <w:rsid w:val="003D11AC"/>
    <w:rsid w:val="003D13AA"/>
    <w:rsid w:val="003D13BB"/>
    <w:rsid w:val="003D1422"/>
    <w:rsid w:val="003D1447"/>
    <w:rsid w:val="003D146C"/>
    <w:rsid w:val="003D148E"/>
    <w:rsid w:val="003D149D"/>
    <w:rsid w:val="003D14A1"/>
    <w:rsid w:val="003D14EE"/>
    <w:rsid w:val="003D158C"/>
    <w:rsid w:val="003D15A7"/>
    <w:rsid w:val="003D15BB"/>
    <w:rsid w:val="003D160A"/>
    <w:rsid w:val="003D165F"/>
    <w:rsid w:val="003D16DC"/>
    <w:rsid w:val="003D172B"/>
    <w:rsid w:val="003D188A"/>
    <w:rsid w:val="003D18E1"/>
    <w:rsid w:val="003D1908"/>
    <w:rsid w:val="003D1953"/>
    <w:rsid w:val="003D1A85"/>
    <w:rsid w:val="003D1B73"/>
    <w:rsid w:val="003D1BC1"/>
    <w:rsid w:val="003D1BD2"/>
    <w:rsid w:val="003D1C1B"/>
    <w:rsid w:val="003D1C27"/>
    <w:rsid w:val="003D1C4B"/>
    <w:rsid w:val="003D1C71"/>
    <w:rsid w:val="003D1D1B"/>
    <w:rsid w:val="003D1D48"/>
    <w:rsid w:val="003D1E3A"/>
    <w:rsid w:val="003D1E4A"/>
    <w:rsid w:val="003D1E61"/>
    <w:rsid w:val="003D1EEA"/>
    <w:rsid w:val="003D1EF6"/>
    <w:rsid w:val="003D1F0A"/>
    <w:rsid w:val="003D1FF8"/>
    <w:rsid w:val="003D201B"/>
    <w:rsid w:val="003D2032"/>
    <w:rsid w:val="003D2099"/>
    <w:rsid w:val="003D21EE"/>
    <w:rsid w:val="003D2338"/>
    <w:rsid w:val="003D233C"/>
    <w:rsid w:val="003D23DD"/>
    <w:rsid w:val="003D2417"/>
    <w:rsid w:val="003D24F8"/>
    <w:rsid w:val="003D25C7"/>
    <w:rsid w:val="003D25D2"/>
    <w:rsid w:val="003D25DE"/>
    <w:rsid w:val="003D2666"/>
    <w:rsid w:val="003D26CC"/>
    <w:rsid w:val="003D2718"/>
    <w:rsid w:val="003D272B"/>
    <w:rsid w:val="003D274D"/>
    <w:rsid w:val="003D27E3"/>
    <w:rsid w:val="003D286D"/>
    <w:rsid w:val="003D2876"/>
    <w:rsid w:val="003D288A"/>
    <w:rsid w:val="003D28D8"/>
    <w:rsid w:val="003D28E6"/>
    <w:rsid w:val="003D2902"/>
    <w:rsid w:val="003D2941"/>
    <w:rsid w:val="003D299E"/>
    <w:rsid w:val="003D29D4"/>
    <w:rsid w:val="003D29FA"/>
    <w:rsid w:val="003D2A13"/>
    <w:rsid w:val="003D2A25"/>
    <w:rsid w:val="003D2A4B"/>
    <w:rsid w:val="003D2A9E"/>
    <w:rsid w:val="003D2AA0"/>
    <w:rsid w:val="003D2B15"/>
    <w:rsid w:val="003D2B4E"/>
    <w:rsid w:val="003D2BFC"/>
    <w:rsid w:val="003D2C40"/>
    <w:rsid w:val="003D2C62"/>
    <w:rsid w:val="003D2CFF"/>
    <w:rsid w:val="003D2D88"/>
    <w:rsid w:val="003D2EA5"/>
    <w:rsid w:val="003D2F12"/>
    <w:rsid w:val="003D2F79"/>
    <w:rsid w:val="003D2F95"/>
    <w:rsid w:val="003D2FB2"/>
    <w:rsid w:val="003D3057"/>
    <w:rsid w:val="003D317B"/>
    <w:rsid w:val="003D3323"/>
    <w:rsid w:val="003D33E1"/>
    <w:rsid w:val="003D33F3"/>
    <w:rsid w:val="003D352B"/>
    <w:rsid w:val="003D363E"/>
    <w:rsid w:val="003D3709"/>
    <w:rsid w:val="003D372C"/>
    <w:rsid w:val="003D375C"/>
    <w:rsid w:val="003D377B"/>
    <w:rsid w:val="003D37AB"/>
    <w:rsid w:val="003D37EB"/>
    <w:rsid w:val="003D3806"/>
    <w:rsid w:val="003D3808"/>
    <w:rsid w:val="003D3921"/>
    <w:rsid w:val="003D39B7"/>
    <w:rsid w:val="003D39C6"/>
    <w:rsid w:val="003D3A4E"/>
    <w:rsid w:val="003D3A6A"/>
    <w:rsid w:val="003D3AB7"/>
    <w:rsid w:val="003D3C73"/>
    <w:rsid w:val="003D3CC0"/>
    <w:rsid w:val="003D3DE5"/>
    <w:rsid w:val="003D3E0C"/>
    <w:rsid w:val="003D3E1E"/>
    <w:rsid w:val="003D3E81"/>
    <w:rsid w:val="003D3EB0"/>
    <w:rsid w:val="003D3F19"/>
    <w:rsid w:val="003D3F5F"/>
    <w:rsid w:val="003D3F6C"/>
    <w:rsid w:val="003D3FD5"/>
    <w:rsid w:val="003D42A4"/>
    <w:rsid w:val="003D4323"/>
    <w:rsid w:val="003D4460"/>
    <w:rsid w:val="003D4481"/>
    <w:rsid w:val="003D462C"/>
    <w:rsid w:val="003D46D3"/>
    <w:rsid w:val="003D4707"/>
    <w:rsid w:val="003D4734"/>
    <w:rsid w:val="003D47B6"/>
    <w:rsid w:val="003D47B9"/>
    <w:rsid w:val="003D4841"/>
    <w:rsid w:val="003D48D2"/>
    <w:rsid w:val="003D48D9"/>
    <w:rsid w:val="003D492E"/>
    <w:rsid w:val="003D4B07"/>
    <w:rsid w:val="003D4B12"/>
    <w:rsid w:val="003D4B8E"/>
    <w:rsid w:val="003D4C8F"/>
    <w:rsid w:val="003D4CE1"/>
    <w:rsid w:val="003D4DB0"/>
    <w:rsid w:val="003D4E0F"/>
    <w:rsid w:val="003D4E48"/>
    <w:rsid w:val="003D4E97"/>
    <w:rsid w:val="003D4F5B"/>
    <w:rsid w:val="003D4F95"/>
    <w:rsid w:val="003D5058"/>
    <w:rsid w:val="003D514D"/>
    <w:rsid w:val="003D51D1"/>
    <w:rsid w:val="003D52CC"/>
    <w:rsid w:val="003D52E8"/>
    <w:rsid w:val="003D5369"/>
    <w:rsid w:val="003D538F"/>
    <w:rsid w:val="003D53EB"/>
    <w:rsid w:val="003D5423"/>
    <w:rsid w:val="003D5486"/>
    <w:rsid w:val="003D54FA"/>
    <w:rsid w:val="003D552F"/>
    <w:rsid w:val="003D554C"/>
    <w:rsid w:val="003D55E1"/>
    <w:rsid w:val="003D56C6"/>
    <w:rsid w:val="003D56C8"/>
    <w:rsid w:val="003D56E5"/>
    <w:rsid w:val="003D578D"/>
    <w:rsid w:val="003D5796"/>
    <w:rsid w:val="003D579F"/>
    <w:rsid w:val="003D5813"/>
    <w:rsid w:val="003D59FE"/>
    <w:rsid w:val="003D5A1F"/>
    <w:rsid w:val="003D5B27"/>
    <w:rsid w:val="003D5B44"/>
    <w:rsid w:val="003D5C32"/>
    <w:rsid w:val="003D5C3A"/>
    <w:rsid w:val="003D5C56"/>
    <w:rsid w:val="003D5CB3"/>
    <w:rsid w:val="003D5D22"/>
    <w:rsid w:val="003D5E78"/>
    <w:rsid w:val="003D5EF0"/>
    <w:rsid w:val="003D5F13"/>
    <w:rsid w:val="003D5F1D"/>
    <w:rsid w:val="003D5F2F"/>
    <w:rsid w:val="003D5F79"/>
    <w:rsid w:val="003D5FB5"/>
    <w:rsid w:val="003D606F"/>
    <w:rsid w:val="003D6077"/>
    <w:rsid w:val="003D60A8"/>
    <w:rsid w:val="003D6111"/>
    <w:rsid w:val="003D618B"/>
    <w:rsid w:val="003D61E9"/>
    <w:rsid w:val="003D6245"/>
    <w:rsid w:val="003D6289"/>
    <w:rsid w:val="003D6298"/>
    <w:rsid w:val="003D62A1"/>
    <w:rsid w:val="003D62D1"/>
    <w:rsid w:val="003D6304"/>
    <w:rsid w:val="003D641A"/>
    <w:rsid w:val="003D644C"/>
    <w:rsid w:val="003D64B3"/>
    <w:rsid w:val="003D6511"/>
    <w:rsid w:val="003D655B"/>
    <w:rsid w:val="003D65E2"/>
    <w:rsid w:val="003D6640"/>
    <w:rsid w:val="003D6641"/>
    <w:rsid w:val="003D66A1"/>
    <w:rsid w:val="003D66A9"/>
    <w:rsid w:val="003D66ED"/>
    <w:rsid w:val="003D674F"/>
    <w:rsid w:val="003D68DD"/>
    <w:rsid w:val="003D6968"/>
    <w:rsid w:val="003D69B7"/>
    <w:rsid w:val="003D69FA"/>
    <w:rsid w:val="003D6AD6"/>
    <w:rsid w:val="003D6C2B"/>
    <w:rsid w:val="003D6C36"/>
    <w:rsid w:val="003D6D36"/>
    <w:rsid w:val="003D6E51"/>
    <w:rsid w:val="003D6F59"/>
    <w:rsid w:val="003D6FE1"/>
    <w:rsid w:val="003D7151"/>
    <w:rsid w:val="003D7178"/>
    <w:rsid w:val="003D71EB"/>
    <w:rsid w:val="003D7325"/>
    <w:rsid w:val="003D73CC"/>
    <w:rsid w:val="003D7446"/>
    <w:rsid w:val="003D74D3"/>
    <w:rsid w:val="003D75AE"/>
    <w:rsid w:val="003D75C9"/>
    <w:rsid w:val="003D7683"/>
    <w:rsid w:val="003D76A4"/>
    <w:rsid w:val="003D76AA"/>
    <w:rsid w:val="003D76C2"/>
    <w:rsid w:val="003D7754"/>
    <w:rsid w:val="003D775B"/>
    <w:rsid w:val="003D776D"/>
    <w:rsid w:val="003D777B"/>
    <w:rsid w:val="003D7942"/>
    <w:rsid w:val="003D7970"/>
    <w:rsid w:val="003D7976"/>
    <w:rsid w:val="003D79D3"/>
    <w:rsid w:val="003D7A00"/>
    <w:rsid w:val="003D7A6E"/>
    <w:rsid w:val="003D7A74"/>
    <w:rsid w:val="003D7A96"/>
    <w:rsid w:val="003D7AA3"/>
    <w:rsid w:val="003D7B8F"/>
    <w:rsid w:val="003D7BB7"/>
    <w:rsid w:val="003D7BCB"/>
    <w:rsid w:val="003D7C1B"/>
    <w:rsid w:val="003D7C56"/>
    <w:rsid w:val="003D7C9D"/>
    <w:rsid w:val="003D7DA6"/>
    <w:rsid w:val="003D7DD7"/>
    <w:rsid w:val="003D7E30"/>
    <w:rsid w:val="003D7F2D"/>
    <w:rsid w:val="003D7FF7"/>
    <w:rsid w:val="003E0034"/>
    <w:rsid w:val="003E0039"/>
    <w:rsid w:val="003E015A"/>
    <w:rsid w:val="003E020A"/>
    <w:rsid w:val="003E020E"/>
    <w:rsid w:val="003E0248"/>
    <w:rsid w:val="003E02A7"/>
    <w:rsid w:val="003E02A9"/>
    <w:rsid w:val="003E0318"/>
    <w:rsid w:val="003E0351"/>
    <w:rsid w:val="003E03F0"/>
    <w:rsid w:val="003E03F9"/>
    <w:rsid w:val="003E0448"/>
    <w:rsid w:val="003E046D"/>
    <w:rsid w:val="003E0547"/>
    <w:rsid w:val="003E0670"/>
    <w:rsid w:val="003E07BF"/>
    <w:rsid w:val="003E0834"/>
    <w:rsid w:val="003E086B"/>
    <w:rsid w:val="003E08D0"/>
    <w:rsid w:val="003E090E"/>
    <w:rsid w:val="003E091E"/>
    <w:rsid w:val="003E097A"/>
    <w:rsid w:val="003E09B9"/>
    <w:rsid w:val="003E0A04"/>
    <w:rsid w:val="003E0BEE"/>
    <w:rsid w:val="003E0C4E"/>
    <w:rsid w:val="003E0C66"/>
    <w:rsid w:val="003E0C91"/>
    <w:rsid w:val="003E0CAD"/>
    <w:rsid w:val="003E0D07"/>
    <w:rsid w:val="003E0D32"/>
    <w:rsid w:val="003E0D8A"/>
    <w:rsid w:val="003E0DCF"/>
    <w:rsid w:val="003E0DEA"/>
    <w:rsid w:val="003E0E81"/>
    <w:rsid w:val="003E0EA3"/>
    <w:rsid w:val="003E0EAB"/>
    <w:rsid w:val="003E0F24"/>
    <w:rsid w:val="003E10FB"/>
    <w:rsid w:val="003E110C"/>
    <w:rsid w:val="003E114E"/>
    <w:rsid w:val="003E11E0"/>
    <w:rsid w:val="003E1200"/>
    <w:rsid w:val="003E120D"/>
    <w:rsid w:val="003E1296"/>
    <w:rsid w:val="003E1366"/>
    <w:rsid w:val="003E1377"/>
    <w:rsid w:val="003E1408"/>
    <w:rsid w:val="003E1468"/>
    <w:rsid w:val="003E14DB"/>
    <w:rsid w:val="003E1502"/>
    <w:rsid w:val="003E153C"/>
    <w:rsid w:val="003E15A3"/>
    <w:rsid w:val="003E1600"/>
    <w:rsid w:val="003E1658"/>
    <w:rsid w:val="003E165B"/>
    <w:rsid w:val="003E1684"/>
    <w:rsid w:val="003E16B4"/>
    <w:rsid w:val="003E1782"/>
    <w:rsid w:val="003E17B8"/>
    <w:rsid w:val="003E186A"/>
    <w:rsid w:val="003E18AC"/>
    <w:rsid w:val="003E18C5"/>
    <w:rsid w:val="003E1958"/>
    <w:rsid w:val="003E1959"/>
    <w:rsid w:val="003E19C2"/>
    <w:rsid w:val="003E1A49"/>
    <w:rsid w:val="003E1A4C"/>
    <w:rsid w:val="003E1A72"/>
    <w:rsid w:val="003E1ACD"/>
    <w:rsid w:val="003E1ADF"/>
    <w:rsid w:val="003E1B2E"/>
    <w:rsid w:val="003E1BBA"/>
    <w:rsid w:val="003E1C0E"/>
    <w:rsid w:val="003E1C1A"/>
    <w:rsid w:val="003E1C6D"/>
    <w:rsid w:val="003E1E52"/>
    <w:rsid w:val="003E1EA0"/>
    <w:rsid w:val="003E1EC7"/>
    <w:rsid w:val="003E1ECD"/>
    <w:rsid w:val="003E1F0B"/>
    <w:rsid w:val="003E2050"/>
    <w:rsid w:val="003E2128"/>
    <w:rsid w:val="003E2129"/>
    <w:rsid w:val="003E2177"/>
    <w:rsid w:val="003E2191"/>
    <w:rsid w:val="003E21A7"/>
    <w:rsid w:val="003E220B"/>
    <w:rsid w:val="003E2277"/>
    <w:rsid w:val="003E22BA"/>
    <w:rsid w:val="003E22CB"/>
    <w:rsid w:val="003E2343"/>
    <w:rsid w:val="003E237C"/>
    <w:rsid w:val="003E24E4"/>
    <w:rsid w:val="003E2539"/>
    <w:rsid w:val="003E2544"/>
    <w:rsid w:val="003E2558"/>
    <w:rsid w:val="003E257A"/>
    <w:rsid w:val="003E258F"/>
    <w:rsid w:val="003E25A7"/>
    <w:rsid w:val="003E2640"/>
    <w:rsid w:val="003E26E2"/>
    <w:rsid w:val="003E270B"/>
    <w:rsid w:val="003E295A"/>
    <w:rsid w:val="003E295E"/>
    <w:rsid w:val="003E2983"/>
    <w:rsid w:val="003E2990"/>
    <w:rsid w:val="003E2A2D"/>
    <w:rsid w:val="003E2AD0"/>
    <w:rsid w:val="003E2BE6"/>
    <w:rsid w:val="003E2C38"/>
    <w:rsid w:val="003E2C47"/>
    <w:rsid w:val="003E2C86"/>
    <w:rsid w:val="003E2D7E"/>
    <w:rsid w:val="003E2D80"/>
    <w:rsid w:val="003E2E87"/>
    <w:rsid w:val="003E2E92"/>
    <w:rsid w:val="003E2EB3"/>
    <w:rsid w:val="003E2ED2"/>
    <w:rsid w:val="003E2EE4"/>
    <w:rsid w:val="003E2F31"/>
    <w:rsid w:val="003E2F5D"/>
    <w:rsid w:val="003E2FD8"/>
    <w:rsid w:val="003E30F5"/>
    <w:rsid w:val="003E312B"/>
    <w:rsid w:val="003E3161"/>
    <w:rsid w:val="003E318A"/>
    <w:rsid w:val="003E3198"/>
    <w:rsid w:val="003E3265"/>
    <w:rsid w:val="003E326F"/>
    <w:rsid w:val="003E328B"/>
    <w:rsid w:val="003E33AA"/>
    <w:rsid w:val="003E33B8"/>
    <w:rsid w:val="003E351E"/>
    <w:rsid w:val="003E3524"/>
    <w:rsid w:val="003E3604"/>
    <w:rsid w:val="003E361D"/>
    <w:rsid w:val="003E3676"/>
    <w:rsid w:val="003E36C0"/>
    <w:rsid w:val="003E36DE"/>
    <w:rsid w:val="003E3714"/>
    <w:rsid w:val="003E3749"/>
    <w:rsid w:val="003E374E"/>
    <w:rsid w:val="003E3768"/>
    <w:rsid w:val="003E382D"/>
    <w:rsid w:val="003E39A8"/>
    <w:rsid w:val="003E39CB"/>
    <w:rsid w:val="003E39E4"/>
    <w:rsid w:val="003E39E9"/>
    <w:rsid w:val="003E3A20"/>
    <w:rsid w:val="003E3A2E"/>
    <w:rsid w:val="003E3A83"/>
    <w:rsid w:val="003E3AF6"/>
    <w:rsid w:val="003E3B4C"/>
    <w:rsid w:val="003E3BA1"/>
    <w:rsid w:val="003E3BC9"/>
    <w:rsid w:val="003E3BCB"/>
    <w:rsid w:val="003E3BF7"/>
    <w:rsid w:val="003E3C2B"/>
    <w:rsid w:val="003E3C41"/>
    <w:rsid w:val="003E3D95"/>
    <w:rsid w:val="003E3EB9"/>
    <w:rsid w:val="003E4037"/>
    <w:rsid w:val="003E406A"/>
    <w:rsid w:val="003E406B"/>
    <w:rsid w:val="003E40EE"/>
    <w:rsid w:val="003E4102"/>
    <w:rsid w:val="003E417E"/>
    <w:rsid w:val="003E41CE"/>
    <w:rsid w:val="003E41F1"/>
    <w:rsid w:val="003E4204"/>
    <w:rsid w:val="003E4279"/>
    <w:rsid w:val="003E427F"/>
    <w:rsid w:val="003E430B"/>
    <w:rsid w:val="003E43C2"/>
    <w:rsid w:val="003E4405"/>
    <w:rsid w:val="003E4443"/>
    <w:rsid w:val="003E4466"/>
    <w:rsid w:val="003E4498"/>
    <w:rsid w:val="003E44B6"/>
    <w:rsid w:val="003E4509"/>
    <w:rsid w:val="003E450B"/>
    <w:rsid w:val="003E453B"/>
    <w:rsid w:val="003E4558"/>
    <w:rsid w:val="003E4758"/>
    <w:rsid w:val="003E4768"/>
    <w:rsid w:val="003E4806"/>
    <w:rsid w:val="003E4844"/>
    <w:rsid w:val="003E486D"/>
    <w:rsid w:val="003E4894"/>
    <w:rsid w:val="003E48CB"/>
    <w:rsid w:val="003E4935"/>
    <w:rsid w:val="003E49D8"/>
    <w:rsid w:val="003E4ADC"/>
    <w:rsid w:val="003E4AF5"/>
    <w:rsid w:val="003E4B39"/>
    <w:rsid w:val="003E4B93"/>
    <w:rsid w:val="003E4BB6"/>
    <w:rsid w:val="003E4C16"/>
    <w:rsid w:val="003E4C50"/>
    <w:rsid w:val="003E4CE7"/>
    <w:rsid w:val="003E4D4C"/>
    <w:rsid w:val="003E4D62"/>
    <w:rsid w:val="003E4D72"/>
    <w:rsid w:val="003E4DA5"/>
    <w:rsid w:val="003E4DDE"/>
    <w:rsid w:val="003E4E03"/>
    <w:rsid w:val="003E4E47"/>
    <w:rsid w:val="003E4EF3"/>
    <w:rsid w:val="003E4F05"/>
    <w:rsid w:val="003E4F13"/>
    <w:rsid w:val="003E4F67"/>
    <w:rsid w:val="003E4F6C"/>
    <w:rsid w:val="003E4F96"/>
    <w:rsid w:val="003E4FA0"/>
    <w:rsid w:val="003E4FED"/>
    <w:rsid w:val="003E500C"/>
    <w:rsid w:val="003E5049"/>
    <w:rsid w:val="003E50AA"/>
    <w:rsid w:val="003E5134"/>
    <w:rsid w:val="003E5197"/>
    <w:rsid w:val="003E52A8"/>
    <w:rsid w:val="003E52C6"/>
    <w:rsid w:val="003E539B"/>
    <w:rsid w:val="003E53B0"/>
    <w:rsid w:val="003E53E7"/>
    <w:rsid w:val="003E54F0"/>
    <w:rsid w:val="003E556A"/>
    <w:rsid w:val="003E55AF"/>
    <w:rsid w:val="003E55C6"/>
    <w:rsid w:val="003E55CD"/>
    <w:rsid w:val="003E5602"/>
    <w:rsid w:val="003E5606"/>
    <w:rsid w:val="003E562A"/>
    <w:rsid w:val="003E5688"/>
    <w:rsid w:val="003E56BF"/>
    <w:rsid w:val="003E570F"/>
    <w:rsid w:val="003E574D"/>
    <w:rsid w:val="003E57B4"/>
    <w:rsid w:val="003E57C9"/>
    <w:rsid w:val="003E5812"/>
    <w:rsid w:val="003E589C"/>
    <w:rsid w:val="003E5A1A"/>
    <w:rsid w:val="003E5B6C"/>
    <w:rsid w:val="003E5B9B"/>
    <w:rsid w:val="003E5C1E"/>
    <w:rsid w:val="003E5C97"/>
    <w:rsid w:val="003E5CCA"/>
    <w:rsid w:val="003E5D48"/>
    <w:rsid w:val="003E5DDB"/>
    <w:rsid w:val="003E5E6D"/>
    <w:rsid w:val="003E5F82"/>
    <w:rsid w:val="003E5F84"/>
    <w:rsid w:val="003E5F8C"/>
    <w:rsid w:val="003E5FF6"/>
    <w:rsid w:val="003E6032"/>
    <w:rsid w:val="003E6077"/>
    <w:rsid w:val="003E60AC"/>
    <w:rsid w:val="003E60C4"/>
    <w:rsid w:val="003E61C6"/>
    <w:rsid w:val="003E61C9"/>
    <w:rsid w:val="003E6209"/>
    <w:rsid w:val="003E620F"/>
    <w:rsid w:val="003E6242"/>
    <w:rsid w:val="003E6269"/>
    <w:rsid w:val="003E62D7"/>
    <w:rsid w:val="003E634F"/>
    <w:rsid w:val="003E6367"/>
    <w:rsid w:val="003E638D"/>
    <w:rsid w:val="003E63B3"/>
    <w:rsid w:val="003E646A"/>
    <w:rsid w:val="003E64A0"/>
    <w:rsid w:val="003E64C4"/>
    <w:rsid w:val="003E655E"/>
    <w:rsid w:val="003E6576"/>
    <w:rsid w:val="003E65B8"/>
    <w:rsid w:val="003E660B"/>
    <w:rsid w:val="003E66DF"/>
    <w:rsid w:val="003E670E"/>
    <w:rsid w:val="003E672A"/>
    <w:rsid w:val="003E6764"/>
    <w:rsid w:val="003E6779"/>
    <w:rsid w:val="003E67E5"/>
    <w:rsid w:val="003E6800"/>
    <w:rsid w:val="003E6808"/>
    <w:rsid w:val="003E6847"/>
    <w:rsid w:val="003E68AD"/>
    <w:rsid w:val="003E6923"/>
    <w:rsid w:val="003E6975"/>
    <w:rsid w:val="003E6A3A"/>
    <w:rsid w:val="003E6A46"/>
    <w:rsid w:val="003E6AB8"/>
    <w:rsid w:val="003E6AE0"/>
    <w:rsid w:val="003E6CCC"/>
    <w:rsid w:val="003E6CFF"/>
    <w:rsid w:val="003E6DC2"/>
    <w:rsid w:val="003E6E75"/>
    <w:rsid w:val="003E6F23"/>
    <w:rsid w:val="003E6F6E"/>
    <w:rsid w:val="003E6F95"/>
    <w:rsid w:val="003E6FAC"/>
    <w:rsid w:val="003E7025"/>
    <w:rsid w:val="003E7084"/>
    <w:rsid w:val="003E70BF"/>
    <w:rsid w:val="003E71D1"/>
    <w:rsid w:val="003E71E0"/>
    <w:rsid w:val="003E7220"/>
    <w:rsid w:val="003E72A1"/>
    <w:rsid w:val="003E72CB"/>
    <w:rsid w:val="003E7313"/>
    <w:rsid w:val="003E742D"/>
    <w:rsid w:val="003E74ED"/>
    <w:rsid w:val="003E750C"/>
    <w:rsid w:val="003E75B5"/>
    <w:rsid w:val="003E75D7"/>
    <w:rsid w:val="003E764D"/>
    <w:rsid w:val="003E768E"/>
    <w:rsid w:val="003E7690"/>
    <w:rsid w:val="003E7758"/>
    <w:rsid w:val="003E7773"/>
    <w:rsid w:val="003E7774"/>
    <w:rsid w:val="003E7797"/>
    <w:rsid w:val="003E77A6"/>
    <w:rsid w:val="003E77B8"/>
    <w:rsid w:val="003E7842"/>
    <w:rsid w:val="003E7935"/>
    <w:rsid w:val="003E794A"/>
    <w:rsid w:val="003E79DA"/>
    <w:rsid w:val="003E7AA6"/>
    <w:rsid w:val="003E7ACE"/>
    <w:rsid w:val="003E7B13"/>
    <w:rsid w:val="003E7B4C"/>
    <w:rsid w:val="003E7B5A"/>
    <w:rsid w:val="003E7C02"/>
    <w:rsid w:val="003E7C18"/>
    <w:rsid w:val="003E7C2C"/>
    <w:rsid w:val="003E7C44"/>
    <w:rsid w:val="003E7C92"/>
    <w:rsid w:val="003E7D39"/>
    <w:rsid w:val="003E7DF0"/>
    <w:rsid w:val="003F00AA"/>
    <w:rsid w:val="003F00CF"/>
    <w:rsid w:val="003F010B"/>
    <w:rsid w:val="003F014B"/>
    <w:rsid w:val="003F0184"/>
    <w:rsid w:val="003F0190"/>
    <w:rsid w:val="003F01B2"/>
    <w:rsid w:val="003F01B9"/>
    <w:rsid w:val="003F01EB"/>
    <w:rsid w:val="003F024F"/>
    <w:rsid w:val="003F0255"/>
    <w:rsid w:val="003F0261"/>
    <w:rsid w:val="003F030B"/>
    <w:rsid w:val="003F049A"/>
    <w:rsid w:val="003F04BC"/>
    <w:rsid w:val="003F0592"/>
    <w:rsid w:val="003F0660"/>
    <w:rsid w:val="003F0692"/>
    <w:rsid w:val="003F0761"/>
    <w:rsid w:val="003F0780"/>
    <w:rsid w:val="003F0788"/>
    <w:rsid w:val="003F0866"/>
    <w:rsid w:val="003F086D"/>
    <w:rsid w:val="003F0917"/>
    <w:rsid w:val="003F0947"/>
    <w:rsid w:val="003F0981"/>
    <w:rsid w:val="003F09F9"/>
    <w:rsid w:val="003F0B17"/>
    <w:rsid w:val="003F0B78"/>
    <w:rsid w:val="003F0BB3"/>
    <w:rsid w:val="003F0BCC"/>
    <w:rsid w:val="003F0BCF"/>
    <w:rsid w:val="003F0C9B"/>
    <w:rsid w:val="003F0D10"/>
    <w:rsid w:val="003F0D47"/>
    <w:rsid w:val="003F0D75"/>
    <w:rsid w:val="003F0D96"/>
    <w:rsid w:val="003F0DAD"/>
    <w:rsid w:val="003F0E55"/>
    <w:rsid w:val="003F0EB5"/>
    <w:rsid w:val="003F0ECC"/>
    <w:rsid w:val="003F0F0B"/>
    <w:rsid w:val="003F0FB7"/>
    <w:rsid w:val="003F0FCE"/>
    <w:rsid w:val="003F1118"/>
    <w:rsid w:val="003F1132"/>
    <w:rsid w:val="003F115E"/>
    <w:rsid w:val="003F11F1"/>
    <w:rsid w:val="003F122C"/>
    <w:rsid w:val="003F126D"/>
    <w:rsid w:val="003F12CB"/>
    <w:rsid w:val="003F1388"/>
    <w:rsid w:val="003F13A6"/>
    <w:rsid w:val="003F13AD"/>
    <w:rsid w:val="003F1488"/>
    <w:rsid w:val="003F14C2"/>
    <w:rsid w:val="003F14CD"/>
    <w:rsid w:val="003F1551"/>
    <w:rsid w:val="003F15D4"/>
    <w:rsid w:val="003F15F0"/>
    <w:rsid w:val="003F1602"/>
    <w:rsid w:val="003F163A"/>
    <w:rsid w:val="003F1756"/>
    <w:rsid w:val="003F1839"/>
    <w:rsid w:val="003F184A"/>
    <w:rsid w:val="003F1862"/>
    <w:rsid w:val="003F18D2"/>
    <w:rsid w:val="003F191E"/>
    <w:rsid w:val="003F197E"/>
    <w:rsid w:val="003F1992"/>
    <w:rsid w:val="003F19CA"/>
    <w:rsid w:val="003F1A01"/>
    <w:rsid w:val="003F1B2F"/>
    <w:rsid w:val="003F1CB5"/>
    <w:rsid w:val="003F1CD5"/>
    <w:rsid w:val="003F1D28"/>
    <w:rsid w:val="003F1DE9"/>
    <w:rsid w:val="003F1E1E"/>
    <w:rsid w:val="003F1E96"/>
    <w:rsid w:val="003F1EB7"/>
    <w:rsid w:val="003F1F45"/>
    <w:rsid w:val="003F1F8E"/>
    <w:rsid w:val="003F1FEA"/>
    <w:rsid w:val="003F20F4"/>
    <w:rsid w:val="003F219A"/>
    <w:rsid w:val="003F2210"/>
    <w:rsid w:val="003F22ED"/>
    <w:rsid w:val="003F22FF"/>
    <w:rsid w:val="003F2360"/>
    <w:rsid w:val="003F2487"/>
    <w:rsid w:val="003F2489"/>
    <w:rsid w:val="003F2597"/>
    <w:rsid w:val="003F2617"/>
    <w:rsid w:val="003F263B"/>
    <w:rsid w:val="003F2640"/>
    <w:rsid w:val="003F2739"/>
    <w:rsid w:val="003F2749"/>
    <w:rsid w:val="003F27EA"/>
    <w:rsid w:val="003F291B"/>
    <w:rsid w:val="003F2954"/>
    <w:rsid w:val="003F2955"/>
    <w:rsid w:val="003F2B31"/>
    <w:rsid w:val="003F2C01"/>
    <w:rsid w:val="003F2C1B"/>
    <w:rsid w:val="003F2C71"/>
    <w:rsid w:val="003F2CFC"/>
    <w:rsid w:val="003F2D18"/>
    <w:rsid w:val="003F2D78"/>
    <w:rsid w:val="003F2DA6"/>
    <w:rsid w:val="003F2DEE"/>
    <w:rsid w:val="003F2E52"/>
    <w:rsid w:val="003F2E98"/>
    <w:rsid w:val="003F2EBA"/>
    <w:rsid w:val="003F2EE7"/>
    <w:rsid w:val="003F2F2A"/>
    <w:rsid w:val="003F2F96"/>
    <w:rsid w:val="003F2FBA"/>
    <w:rsid w:val="003F2FC0"/>
    <w:rsid w:val="003F2FCF"/>
    <w:rsid w:val="003F306D"/>
    <w:rsid w:val="003F3086"/>
    <w:rsid w:val="003F30C9"/>
    <w:rsid w:val="003F311B"/>
    <w:rsid w:val="003F3128"/>
    <w:rsid w:val="003F312A"/>
    <w:rsid w:val="003F31CE"/>
    <w:rsid w:val="003F3273"/>
    <w:rsid w:val="003F32A9"/>
    <w:rsid w:val="003F3478"/>
    <w:rsid w:val="003F3497"/>
    <w:rsid w:val="003F3561"/>
    <w:rsid w:val="003F3566"/>
    <w:rsid w:val="003F3568"/>
    <w:rsid w:val="003F35AC"/>
    <w:rsid w:val="003F35BC"/>
    <w:rsid w:val="003F3606"/>
    <w:rsid w:val="003F360A"/>
    <w:rsid w:val="003F367C"/>
    <w:rsid w:val="003F369A"/>
    <w:rsid w:val="003F37AA"/>
    <w:rsid w:val="003F37F8"/>
    <w:rsid w:val="003F3800"/>
    <w:rsid w:val="003F3841"/>
    <w:rsid w:val="003F3877"/>
    <w:rsid w:val="003F38D2"/>
    <w:rsid w:val="003F3921"/>
    <w:rsid w:val="003F393D"/>
    <w:rsid w:val="003F3A7D"/>
    <w:rsid w:val="003F3B3F"/>
    <w:rsid w:val="003F3B5C"/>
    <w:rsid w:val="003F3C39"/>
    <w:rsid w:val="003F3CD8"/>
    <w:rsid w:val="003F3CF4"/>
    <w:rsid w:val="003F3EA2"/>
    <w:rsid w:val="003F3EC2"/>
    <w:rsid w:val="003F3F0B"/>
    <w:rsid w:val="003F3F5B"/>
    <w:rsid w:val="003F407C"/>
    <w:rsid w:val="003F408F"/>
    <w:rsid w:val="003F40EA"/>
    <w:rsid w:val="003F4131"/>
    <w:rsid w:val="003F413B"/>
    <w:rsid w:val="003F4187"/>
    <w:rsid w:val="003F425D"/>
    <w:rsid w:val="003F4268"/>
    <w:rsid w:val="003F42B3"/>
    <w:rsid w:val="003F42E1"/>
    <w:rsid w:val="003F4315"/>
    <w:rsid w:val="003F434D"/>
    <w:rsid w:val="003F4359"/>
    <w:rsid w:val="003F43BF"/>
    <w:rsid w:val="003F444A"/>
    <w:rsid w:val="003F4507"/>
    <w:rsid w:val="003F45E6"/>
    <w:rsid w:val="003F475B"/>
    <w:rsid w:val="003F47C0"/>
    <w:rsid w:val="003F48C7"/>
    <w:rsid w:val="003F4908"/>
    <w:rsid w:val="003F4984"/>
    <w:rsid w:val="003F4992"/>
    <w:rsid w:val="003F49D5"/>
    <w:rsid w:val="003F4ADE"/>
    <w:rsid w:val="003F4B18"/>
    <w:rsid w:val="003F4B20"/>
    <w:rsid w:val="003F4B26"/>
    <w:rsid w:val="003F4B36"/>
    <w:rsid w:val="003F4B46"/>
    <w:rsid w:val="003F4C43"/>
    <w:rsid w:val="003F4CEF"/>
    <w:rsid w:val="003F4D1A"/>
    <w:rsid w:val="003F4D1D"/>
    <w:rsid w:val="003F4E69"/>
    <w:rsid w:val="003F4EA6"/>
    <w:rsid w:val="003F4EE6"/>
    <w:rsid w:val="003F4F48"/>
    <w:rsid w:val="003F4F9E"/>
    <w:rsid w:val="003F4FDC"/>
    <w:rsid w:val="003F5009"/>
    <w:rsid w:val="003F5020"/>
    <w:rsid w:val="003F5078"/>
    <w:rsid w:val="003F50AC"/>
    <w:rsid w:val="003F50BE"/>
    <w:rsid w:val="003F5134"/>
    <w:rsid w:val="003F513A"/>
    <w:rsid w:val="003F5200"/>
    <w:rsid w:val="003F5272"/>
    <w:rsid w:val="003F52B3"/>
    <w:rsid w:val="003F52E5"/>
    <w:rsid w:val="003F5322"/>
    <w:rsid w:val="003F534D"/>
    <w:rsid w:val="003F535C"/>
    <w:rsid w:val="003F536C"/>
    <w:rsid w:val="003F5393"/>
    <w:rsid w:val="003F53B7"/>
    <w:rsid w:val="003F54F3"/>
    <w:rsid w:val="003F5554"/>
    <w:rsid w:val="003F562D"/>
    <w:rsid w:val="003F5695"/>
    <w:rsid w:val="003F56B1"/>
    <w:rsid w:val="003F574C"/>
    <w:rsid w:val="003F5786"/>
    <w:rsid w:val="003F57C4"/>
    <w:rsid w:val="003F5813"/>
    <w:rsid w:val="003F59DC"/>
    <w:rsid w:val="003F5A3F"/>
    <w:rsid w:val="003F5A7C"/>
    <w:rsid w:val="003F5A80"/>
    <w:rsid w:val="003F5AB6"/>
    <w:rsid w:val="003F5B28"/>
    <w:rsid w:val="003F5B4B"/>
    <w:rsid w:val="003F5CB5"/>
    <w:rsid w:val="003F5CE6"/>
    <w:rsid w:val="003F5DB3"/>
    <w:rsid w:val="003F5E16"/>
    <w:rsid w:val="003F5E18"/>
    <w:rsid w:val="003F5E29"/>
    <w:rsid w:val="003F5E3D"/>
    <w:rsid w:val="003F5F0B"/>
    <w:rsid w:val="003F5F91"/>
    <w:rsid w:val="003F5FF7"/>
    <w:rsid w:val="003F6076"/>
    <w:rsid w:val="003F6084"/>
    <w:rsid w:val="003F61C3"/>
    <w:rsid w:val="003F6207"/>
    <w:rsid w:val="003F6264"/>
    <w:rsid w:val="003F63DE"/>
    <w:rsid w:val="003F644D"/>
    <w:rsid w:val="003F64C1"/>
    <w:rsid w:val="003F65BC"/>
    <w:rsid w:val="003F6603"/>
    <w:rsid w:val="003F660E"/>
    <w:rsid w:val="003F6652"/>
    <w:rsid w:val="003F6703"/>
    <w:rsid w:val="003F6780"/>
    <w:rsid w:val="003F68B2"/>
    <w:rsid w:val="003F68C7"/>
    <w:rsid w:val="003F68E4"/>
    <w:rsid w:val="003F69A6"/>
    <w:rsid w:val="003F6A64"/>
    <w:rsid w:val="003F6A79"/>
    <w:rsid w:val="003F6AD6"/>
    <w:rsid w:val="003F6ADC"/>
    <w:rsid w:val="003F6C05"/>
    <w:rsid w:val="003F6C8A"/>
    <w:rsid w:val="003F6D5D"/>
    <w:rsid w:val="003F6D9D"/>
    <w:rsid w:val="003F6DD6"/>
    <w:rsid w:val="003F6E48"/>
    <w:rsid w:val="003F6EFE"/>
    <w:rsid w:val="003F6F07"/>
    <w:rsid w:val="003F6F66"/>
    <w:rsid w:val="003F6F6B"/>
    <w:rsid w:val="003F6F7D"/>
    <w:rsid w:val="003F6F82"/>
    <w:rsid w:val="003F6FFE"/>
    <w:rsid w:val="003F704A"/>
    <w:rsid w:val="003F7051"/>
    <w:rsid w:val="003F706C"/>
    <w:rsid w:val="003F7166"/>
    <w:rsid w:val="003F7196"/>
    <w:rsid w:val="003F721A"/>
    <w:rsid w:val="003F7260"/>
    <w:rsid w:val="003F729E"/>
    <w:rsid w:val="003F72F6"/>
    <w:rsid w:val="003F73A2"/>
    <w:rsid w:val="003F73BD"/>
    <w:rsid w:val="003F73C8"/>
    <w:rsid w:val="003F741C"/>
    <w:rsid w:val="003F7443"/>
    <w:rsid w:val="003F7458"/>
    <w:rsid w:val="003F75A0"/>
    <w:rsid w:val="003F762F"/>
    <w:rsid w:val="003F76C2"/>
    <w:rsid w:val="003F76DD"/>
    <w:rsid w:val="003F7771"/>
    <w:rsid w:val="003F7785"/>
    <w:rsid w:val="003F77ED"/>
    <w:rsid w:val="003F7841"/>
    <w:rsid w:val="003F7874"/>
    <w:rsid w:val="003F7876"/>
    <w:rsid w:val="003F788B"/>
    <w:rsid w:val="003F795A"/>
    <w:rsid w:val="003F7A5A"/>
    <w:rsid w:val="003F7A5F"/>
    <w:rsid w:val="003F7AFD"/>
    <w:rsid w:val="003F7B82"/>
    <w:rsid w:val="003F7CE7"/>
    <w:rsid w:val="003F7D8C"/>
    <w:rsid w:val="003F7E00"/>
    <w:rsid w:val="003F7E4A"/>
    <w:rsid w:val="003F7E53"/>
    <w:rsid w:val="003F7EDF"/>
    <w:rsid w:val="003F7FCD"/>
    <w:rsid w:val="004000A6"/>
    <w:rsid w:val="004000F9"/>
    <w:rsid w:val="0040012B"/>
    <w:rsid w:val="00400180"/>
    <w:rsid w:val="0040023F"/>
    <w:rsid w:val="0040028D"/>
    <w:rsid w:val="0040037D"/>
    <w:rsid w:val="00400382"/>
    <w:rsid w:val="004003F4"/>
    <w:rsid w:val="004004A1"/>
    <w:rsid w:val="00400569"/>
    <w:rsid w:val="00400582"/>
    <w:rsid w:val="0040065D"/>
    <w:rsid w:val="00400679"/>
    <w:rsid w:val="004006A6"/>
    <w:rsid w:val="004006A9"/>
    <w:rsid w:val="004006B9"/>
    <w:rsid w:val="00400703"/>
    <w:rsid w:val="00400756"/>
    <w:rsid w:val="004007E1"/>
    <w:rsid w:val="00400847"/>
    <w:rsid w:val="0040085F"/>
    <w:rsid w:val="0040086F"/>
    <w:rsid w:val="004008AF"/>
    <w:rsid w:val="004008C1"/>
    <w:rsid w:val="00400936"/>
    <w:rsid w:val="0040095D"/>
    <w:rsid w:val="004009F2"/>
    <w:rsid w:val="00400AA8"/>
    <w:rsid w:val="00400B09"/>
    <w:rsid w:val="00400B0C"/>
    <w:rsid w:val="00400B41"/>
    <w:rsid w:val="00400B5F"/>
    <w:rsid w:val="00400BE5"/>
    <w:rsid w:val="00400BE8"/>
    <w:rsid w:val="00400BEA"/>
    <w:rsid w:val="00400BFE"/>
    <w:rsid w:val="00400C34"/>
    <w:rsid w:val="00400C95"/>
    <w:rsid w:val="00400C9F"/>
    <w:rsid w:val="00400CCB"/>
    <w:rsid w:val="00400D1A"/>
    <w:rsid w:val="00400D1B"/>
    <w:rsid w:val="00400E19"/>
    <w:rsid w:val="00400E30"/>
    <w:rsid w:val="00400E73"/>
    <w:rsid w:val="00400E8D"/>
    <w:rsid w:val="00400EAF"/>
    <w:rsid w:val="00400FB8"/>
    <w:rsid w:val="004010CB"/>
    <w:rsid w:val="00401168"/>
    <w:rsid w:val="004011ED"/>
    <w:rsid w:val="0040120E"/>
    <w:rsid w:val="004012FE"/>
    <w:rsid w:val="004013F9"/>
    <w:rsid w:val="00401427"/>
    <w:rsid w:val="004014D1"/>
    <w:rsid w:val="004015D4"/>
    <w:rsid w:val="00401610"/>
    <w:rsid w:val="0040173B"/>
    <w:rsid w:val="004017B5"/>
    <w:rsid w:val="004017F2"/>
    <w:rsid w:val="00401898"/>
    <w:rsid w:val="0040198F"/>
    <w:rsid w:val="004019BD"/>
    <w:rsid w:val="00401AAF"/>
    <w:rsid w:val="00401B09"/>
    <w:rsid w:val="00401B2E"/>
    <w:rsid w:val="00401CF7"/>
    <w:rsid w:val="00401D3B"/>
    <w:rsid w:val="00401D45"/>
    <w:rsid w:val="00401D5E"/>
    <w:rsid w:val="00401D7E"/>
    <w:rsid w:val="00401DBF"/>
    <w:rsid w:val="00401E1C"/>
    <w:rsid w:val="00401F75"/>
    <w:rsid w:val="00401FD8"/>
    <w:rsid w:val="00401FEE"/>
    <w:rsid w:val="0040208F"/>
    <w:rsid w:val="00402092"/>
    <w:rsid w:val="004020C7"/>
    <w:rsid w:val="004020E4"/>
    <w:rsid w:val="004020F3"/>
    <w:rsid w:val="00402118"/>
    <w:rsid w:val="00402190"/>
    <w:rsid w:val="004022C8"/>
    <w:rsid w:val="00402354"/>
    <w:rsid w:val="00402366"/>
    <w:rsid w:val="00402396"/>
    <w:rsid w:val="004023AA"/>
    <w:rsid w:val="00402437"/>
    <w:rsid w:val="004024C7"/>
    <w:rsid w:val="004024C8"/>
    <w:rsid w:val="0040257C"/>
    <w:rsid w:val="0040261C"/>
    <w:rsid w:val="00402655"/>
    <w:rsid w:val="00402711"/>
    <w:rsid w:val="00402734"/>
    <w:rsid w:val="004027AC"/>
    <w:rsid w:val="004027F4"/>
    <w:rsid w:val="00402843"/>
    <w:rsid w:val="00402949"/>
    <w:rsid w:val="004029A9"/>
    <w:rsid w:val="004029DD"/>
    <w:rsid w:val="004029E9"/>
    <w:rsid w:val="00402A06"/>
    <w:rsid w:val="00402A0C"/>
    <w:rsid w:val="00402A19"/>
    <w:rsid w:val="00402A1E"/>
    <w:rsid w:val="00402BAF"/>
    <w:rsid w:val="00402C70"/>
    <w:rsid w:val="00402E75"/>
    <w:rsid w:val="00402E85"/>
    <w:rsid w:val="00402E9E"/>
    <w:rsid w:val="00402EC4"/>
    <w:rsid w:val="00402EEB"/>
    <w:rsid w:val="00402FCA"/>
    <w:rsid w:val="00402FCB"/>
    <w:rsid w:val="00403025"/>
    <w:rsid w:val="0040303F"/>
    <w:rsid w:val="00403093"/>
    <w:rsid w:val="004030FC"/>
    <w:rsid w:val="0040314D"/>
    <w:rsid w:val="00403160"/>
    <w:rsid w:val="004031A4"/>
    <w:rsid w:val="004031E5"/>
    <w:rsid w:val="00403226"/>
    <w:rsid w:val="0040322F"/>
    <w:rsid w:val="0040323A"/>
    <w:rsid w:val="004032B1"/>
    <w:rsid w:val="0040331A"/>
    <w:rsid w:val="004033A9"/>
    <w:rsid w:val="004033D9"/>
    <w:rsid w:val="004033FB"/>
    <w:rsid w:val="00403460"/>
    <w:rsid w:val="0040349F"/>
    <w:rsid w:val="004034FF"/>
    <w:rsid w:val="00403515"/>
    <w:rsid w:val="004035FA"/>
    <w:rsid w:val="00403631"/>
    <w:rsid w:val="0040364B"/>
    <w:rsid w:val="00403729"/>
    <w:rsid w:val="0040375C"/>
    <w:rsid w:val="004037A8"/>
    <w:rsid w:val="004038D6"/>
    <w:rsid w:val="00403931"/>
    <w:rsid w:val="0040393A"/>
    <w:rsid w:val="00403A25"/>
    <w:rsid w:val="00403AAD"/>
    <w:rsid w:val="00403AD0"/>
    <w:rsid w:val="00403AFA"/>
    <w:rsid w:val="00403B08"/>
    <w:rsid w:val="00403B30"/>
    <w:rsid w:val="00403B53"/>
    <w:rsid w:val="00403B60"/>
    <w:rsid w:val="00403C3D"/>
    <w:rsid w:val="00403D93"/>
    <w:rsid w:val="00403DBB"/>
    <w:rsid w:val="00403E1D"/>
    <w:rsid w:val="00403E7E"/>
    <w:rsid w:val="00403E82"/>
    <w:rsid w:val="00403E8F"/>
    <w:rsid w:val="00403F02"/>
    <w:rsid w:val="00403F53"/>
    <w:rsid w:val="00403FDD"/>
    <w:rsid w:val="00404024"/>
    <w:rsid w:val="00404034"/>
    <w:rsid w:val="00404039"/>
    <w:rsid w:val="004040B2"/>
    <w:rsid w:val="004040BC"/>
    <w:rsid w:val="0040416F"/>
    <w:rsid w:val="00404209"/>
    <w:rsid w:val="00404211"/>
    <w:rsid w:val="00404250"/>
    <w:rsid w:val="00404274"/>
    <w:rsid w:val="0040427F"/>
    <w:rsid w:val="004042C1"/>
    <w:rsid w:val="00404405"/>
    <w:rsid w:val="00404492"/>
    <w:rsid w:val="00404510"/>
    <w:rsid w:val="004045EE"/>
    <w:rsid w:val="004045FF"/>
    <w:rsid w:val="004046BC"/>
    <w:rsid w:val="004046DB"/>
    <w:rsid w:val="00404777"/>
    <w:rsid w:val="00404803"/>
    <w:rsid w:val="00404822"/>
    <w:rsid w:val="0040491C"/>
    <w:rsid w:val="00404980"/>
    <w:rsid w:val="004049B4"/>
    <w:rsid w:val="004049FF"/>
    <w:rsid w:val="00404A01"/>
    <w:rsid w:val="00404A69"/>
    <w:rsid w:val="00404A79"/>
    <w:rsid w:val="00404A94"/>
    <w:rsid w:val="00404B47"/>
    <w:rsid w:val="00404BAE"/>
    <w:rsid w:val="00404BC6"/>
    <w:rsid w:val="00404BD4"/>
    <w:rsid w:val="00404C28"/>
    <w:rsid w:val="00404C8C"/>
    <w:rsid w:val="00404CBD"/>
    <w:rsid w:val="00404D7E"/>
    <w:rsid w:val="00404E2A"/>
    <w:rsid w:val="00404EE9"/>
    <w:rsid w:val="00404F79"/>
    <w:rsid w:val="00404F94"/>
    <w:rsid w:val="00405050"/>
    <w:rsid w:val="00405067"/>
    <w:rsid w:val="0040510A"/>
    <w:rsid w:val="0040526A"/>
    <w:rsid w:val="004052A1"/>
    <w:rsid w:val="004052BB"/>
    <w:rsid w:val="004053B2"/>
    <w:rsid w:val="004053DB"/>
    <w:rsid w:val="00405400"/>
    <w:rsid w:val="0040548D"/>
    <w:rsid w:val="0040551F"/>
    <w:rsid w:val="00405531"/>
    <w:rsid w:val="0040555C"/>
    <w:rsid w:val="00405601"/>
    <w:rsid w:val="00405646"/>
    <w:rsid w:val="004056B6"/>
    <w:rsid w:val="004056DD"/>
    <w:rsid w:val="00405721"/>
    <w:rsid w:val="004057AF"/>
    <w:rsid w:val="00405860"/>
    <w:rsid w:val="00405950"/>
    <w:rsid w:val="004059AE"/>
    <w:rsid w:val="00405A81"/>
    <w:rsid w:val="00405A8A"/>
    <w:rsid w:val="00405BB9"/>
    <w:rsid w:val="00405C3A"/>
    <w:rsid w:val="00405C53"/>
    <w:rsid w:val="00405D0E"/>
    <w:rsid w:val="00405D36"/>
    <w:rsid w:val="00405D77"/>
    <w:rsid w:val="00405DC9"/>
    <w:rsid w:val="00405DD2"/>
    <w:rsid w:val="00405E36"/>
    <w:rsid w:val="00405E3B"/>
    <w:rsid w:val="00405EBF"/>
    <w:rsid w:val="00405F34"/>
    <w:rsid w:val="00405FAE"/>
    <w:rsid w:val="004060D8"/>
    <w:rsid w:val="0040615B"/>
    <w:rsid w:val="00406175"/>
    <w:rsid w:val="004061FA"/>
    <w:rsid w:val="0040625C"/>
    <w:rsid w:val="0040626D"/>
    <w:rsid w:val="004062F6"/>
    <w:rsid w:val="00406378"/>
    <w:rsid w:val="004063D0"/>
    <w:rsid w:val="0040644B"/>
    <w:rsid w:val="004064D1"/>
    <w:rsid w:val="004064D8"/>
    <w:rsid w:val="004064F9"/>
    <w:rsid w:val="00406521"/>
    <w:rsid w:val="0040652A"/>
    <w:rsid w:val="00406583"/>
    <w:rsid w:val="00406631"/>
    <w:rsid w:val="00406661"/>
    <w:rsid w:val="00406692"/>
    <w:rsid w:val="00406707"/>
    <w:rsid w:val="00406723"/>
    <w:rsid w:val="004068CC"/>
    <w:rsid w:val="004068ED"/>
    <w:rsid w:val="004069DD"/>
    <w:rsid w:val="00406AD8"/>
    <w:rsid w:val="00406AF6"/>
    <w:rsid w:val="00406B66"/>
    <w:rsid w:val="00406BA8"/>
    <w:rsid w:val="00406BF5"/>
    <w:rsid w:val="00406C00"/>
    <w:rsid w:val="00406C36"/>
    <w:rsid w:val="00406C9F"/>
    <w:rsid w:val="00406CA4"/>
    <w:rsid w:val="00406D8A"/>
    <w:rsid w:val="00406DA9"/>
    <w:rsid w:val="00406E5E"/>
    <w:rsid w:val="00406EAA"/>
    <w:rsid w:val="00406FBC"/>
    <w:rsid w:val="00406FDB"/>
    <w:rsid w:val="00407027"/>
    <w:rsid w:val="00407177"/>
    <w:rsid w:val="00407178"/>
    <w:rsid w:val="004071CB"/>
    <w:rsid w:val="00407202"/>
    <w:rsid w:val="0040729E"/>
    <w:rsid w:val="004072D3"/>
    <w:rsid w:val="004073B1"/>
    <w:rsid w:val="0040748B"/>
    <w:rsid w:val="00407521"/>
    <w:rsid w:val="00407558"/>
    <w:rsid w:val="00407565"/>
    <w:rsid w:val="0040761C"/>
    <w:rsid w:val="0040769C"/>
    <w:rsid w:val="004076D0"/>
    <w:rsid w:val="0040771F"/>
    <w:rsid w:val="00407739"/>
    <w:rsid w:val="00407781"/>
    <w:rsid w:val="004077DA"/>
    <w:rsid w:val="00407875"/>
    <w:rsid w:val="00407886"/>
    <w:rsid w:val="004078B4"/>
    <w:rsid w:val="00407A1A"/>
    <w:rsid w:val="00407A35"/>
    <w:rsid w:val="00407ABD"/>
    <w:rsid w:val="00407AD9"/>
    <w:rsid w:val="00407B03"/>
    <w:rsid w:val="00407B5C"/>
    <w:rsid w:val="00407B89"/>
    <w:rsid w:val="00407C3D"/>
    <w:rsid w:val="00407D58"/>
    <w:rsid w:val="00407D70"/>
    <w:rsid w:val="00407DCD"/>
    <w:rsid w:val="00407DF9"/>
    <w:rsid w:val="00407FAB"/>
    <w:rsid w:val="0041001E"/>
    <w:rsid w:val="004100AA"/>
    <w:rsid w:val="004100E6"/>
    <w:rsid w:val="004100F8"/>
    <w:rsid w:val="00410144"/>
    <w:rsid w:val="0041014B"/>
    <w:rsid w:val="0041027C"/>
    <w:rsid w:val="004103F0"/>
    <w:rsid w:val="0041050A"/>
    <w:rsid w:val="0041052D"/>
    <w:rsid w:val="004105A8"/>
    <w:rsid w:val="004105D0"/>
    <w:rsid w:val="0041075F"/>
    <w:rsid w:val="0041076F"/>
    <w:rsid w:val="004107D7"/>
    <w:rsid w:val="004107E1"/>
    <w:rsid w:val="004107EA"/>
    <w:rsid w:val="004108AF"/>
    <w:rsid w:val="00410949"/>
    <w:rsid w:val="00410993"/>
    <w:rsid w:val="004109CA"/>
    <w:rsid w:val="004109F2"/>
    <w:rsid w:val="00410A36"/>
    <w:rsid w:val="00410A95"/>
    <w:rsid w:val="00410AFD"/>
    <w:rsid w:val="00410B01"/>
    <w:rsid w:val="00410B4B"/>
    <w:rsid w:val="00410BC5"/>
    <w:rsid w:val="00410BD3"/>
    <w:rsid w:val="00410CE2"/>
    <w:rsid w:val="00410DE5"/>
    <w:rsid w:val="00410EB4"/>
    <w:rsid w:val="00410F36"/>
    <w:rsid w:val="00410F52"/>
    <w:rsid w:val="00410F87"/>
    <w:rsid w:val="00410FFF"/>
    <w:rsid w:val="00411028"/>
    <w:rsid w:val="00411047"/>
    <w:rsid w:val="00411056"/>
    <w:rsid w:val="00411078"/>
    <w:rsid w:val="00411083"/>
    <w:rsid w:val="0041112B"/>
    <w:rsid w:val="0041115A"/>
    <w:rsid w:val="0041115B"/>
    <w:rsid w:val="00411189"/>
    <w:rsid w:val="004111F7"/>
    <w:rsid w:val="004112A0"/>
    <w:rsid w:val="00411325"/>
    <w:rsid w:val="0041138B"/>
    <w:rsid w:val="004113BB"/>
    <w:rsid w:val="004113F3"/>
    <w:rsid w:val="00411400"/>
    <w:rsid w:val="00411435"/>
    <w:rsid w:val="004114D4"/>
    <w:rsid w:val="00411534"/>
    <w:rsid w:val="004115B8"/>
    <w:rsid w:val="0041170D"/>
    <w:rsid w:val="00411757"/>
    <w:rsid w:val="004117D0"/>
    <w:rsid w:val="0041181C"/>
    <w:rsid w:val="0041189C"/>
    <w:rsid w:val="004118DD"/>
    <w:rsid w:val="00411985"/>
    <w:rsid w:val="00411A2A"/>
    <w:rsid w:val="00411BA9"/>
    <w:rsid w:val="00411BBF"/>
    <w:rsid w:val="00411C8C"/>
    <w:rsid w:val="00411CE7"/>
    <w:rsid w:val="00411DE0"/>
    <w:rsid w:val="00411DEC"/>
    <w:rsid w:val="00411E74"/>
    <w:rsid w:val="00411E77"/>
    <w:rsid w:val="00411E87"/>
    <w:rsid w:val="00411EE7"/>
    <w:rsid w:val="00411F0E"/>
    <w:rsid w:val="00411F7D"/>
    <w:rsid w:val="0041206A"/>
    <w:rsid w:val="004120D1"/>
    <w:rsid w:val="00412120"/>
    <w:rsid w:val="0041214E"/>
    <w:rsid w:val="0041217D"/>
    <w:rsid w:val="0041221E"/>
    <w:rsid w:val="00412240"/>
    <w:rsid w:val="0041231A"/>
    <w:rsid w:val="0041237D"/>
    <w:rsid w:val="0041248E"/>
    <w:rsid w:val="004124D6"/>
    <w:rsid w:val="0041256A"/>
    <w:rsid w:val="004125C6"/>
    <w:rsid w:val="004125D0"/>
    <w:rsid w:val="00412713"/>
    <w:rsid w:val="00412715"/>
    <w:rsid w:val="0041275F"/>
    <w:rsid w:val="00412808"/>
    <w:rsid w:val="0041287D"/>
    <w:rsid w:val="004128CA"/>
    <w:rsid w:val="00412907"/>
    <w:rsid w:val="004129AB"/>
    <w:rsid w:val="004129E2"/>
    <w:rsid w:val="00412A38"/>
    <w:rsid w:val="00412A7E"/>
    <w:rsid w:val="00412A80"/>
    <w:rsid w:val="00412AF3"/>
    <w:rsid w:val="00412BB9"/>
    <w:rsid w:val="00412C0A"/>
    <w:rsid w:val="00412C50"/>
    <w:rsid w:val="00412C78"/>
    <w:rsid w:val="00412C9E"/>
    <w:rsid w:val="00412CFE"/>
    <w:rsid w:val="00412D54"/>
    <w:rsid w:val="00412D6C"/>
    <w:rsid w:val="00412D87"/>
    <w:rsid w:val="00412E63"/>
    <w:rsid w:val="00412F1B"/>
    <w:rsid w:val="00412F24"/>
    <w:rsid w:val="00412F6E"/>
    <w:rsid w:val="00412F80"/>
    <w:rsid w:val="00412F85"/>
    <w:rsid w:val="00412FAC"/>
    <w:rsid w:val="0041309E"/>
    <w:rsid w:val="004130ED"/>
    <w:rsid w:val="00413181"/>
    <w:rsid w:val="0041320D"/>
    <w:rsid w:val="0041322B"/>
    <w:rsid w:val="00413243"/>
    <w:rsid w:val="00413273"/>
    <w:rsid w:val="0041328E"/>
    <w:rsid w:val="00413310"/>
    <w:rsid w:val="0041335D"/>
    <w:rsid w:val="0041335F"/>
    <w:rsid w:val="004133F5"/>
    <w:rsid w:val="00413437"/>
    <w:rsid w:val="00413465"/>
    <w:rsid w:val="004134F3"/>
    <w:rsid w:val="00413513"/>
    <w:rsid w:val="00413518"/>
    <w:rsid w:val="00413543"/>
    <w:rsid w:val="00413552"/>
    <w:rsid w:val="00413565"/>
    <w:rsid w:val="004135AC"/>
    <w:rsid w:val="004135D9"/>
    <w:rsid w:val="004135F1"/>
    <w:rsid w:val="004135F7"/>
    <w:rsid w:val="00413611"/>
    <w:rsid w:val="00413627"/>
    <w:rsid w:val="00413636"/>
    <w:rsid w:val="0041366A"/>
    <w:rsid w:val="0041366E"/>
    <w:rsid w:val="00413684"/>
    <w:rsid w:val="00413839"/>
    <w:rsid w:val="00413875"/>
    <w:rsid w:val="004138E2"/>
    <w:rsid w:val="00413959"/>
    <w:rsid w:val="00413996"/>
    <w:rsid w:val="00413A0E"/>
    <w:rsid w:val="00413AD3"/>
    <w:rsid w:val="00413ADC"/>
    <w:rsid w:val="00413AEF"/>
    <w:rsid w:val="00413B4A"/>
    <w:rsid w:val="00413DB6"/>
    <w:rsid w:val="00413DB8"/>
    <w:rsid w:val="00413E04"/>
    <w:rsid w:val="00413E10"/>
    <w:rsid w:val="00413E1D"/>
    <w:rsid w:val="00413F88"/>
    <w:rsid w:val="0041409F"/>
    <w:rsid w:val="004140EB"/>
    <w:rsid w:val="0041411D"/>
    <w:rsid w:val="00414177"/>
    <w:rsid w:val="004141DB"/>
    <w:rsid w:val="004141F2"/>
    <w:rsid w:val="0041421C"/>
    <w:rsid w:val="0041431E"/>
    <w:rsid w:val="0041432C"/>
    <w:rsid w:val="0041435A"/>
    <w:rsid w:val="0041435B"/>
    <w:rsid w:val="004143C9"/>
    <w:rsid w:val="0041441A"/>
    <w:rsid w:val="00414432"/>
    <w:rsid w:val="00414443"/>
    <w:rsid w:val="00414449"/>
    <w:rsid w:val="0041445E"/>
    <w:rsid w:val="004144B3"/>
    <w:rsid w:val="0041451C"/>
    <w:rsid w:val="00414572"/>
    <w:rsid w:val="00414581"/>
    <w:rsid w:val="004145AC"/>
    <w:rsid w:val="00414775"/>
    <w:rsid w:val="00414A11"/>
    <w:rsid w:val="00414A7E"/>
    <w:rsid w:val="00414A96"/>
    <w:rsid w:val="00414ADE"/>
    <w:rsid w:val="00414BA1"/>
    <w:rsid w:val="00414C47"/>
    <w:rsid w:val="00414C5F"/>
    <w:rsid w:val="00414C67"/>
    <w:rsid w:val="00414C88"/>
    <w:rsid w:val="00414CD8"/>
    <w:rsid w:val="00414D1F"/>
    <w:rsid w:val="00414D38"/>
    <w:rsid w:val="00414D48"/>
    <w:rsid w:val="00414D6A"/>
    <w:rsid w:val="00414D6F"/>
    <w:rsid w:val="00414DBE"/>
    <w:rsid w:val="00414E06"/>
    <w:rsid w:val="00414ED2"/>
    <w:rsid w:val="004150C4"/>
    <w:rsid w:val="0041512E"/>
    <w:rsid w:val="004151E7"/>
    <w:rsid w:val="00415265"/>
    <w:rsid w:val="004152E4"/>
    <w:rsid w:val="004152E7"/>
    <w:rsid w:val="0041534A"/>
    <w:rsid w:val="004153D7"/>
    <w:rsid w:val="004153E0"/>
    <w:rsid w:val="00415406"/>
    <w:rsid w:val="00415449"/>
    <w:rsid w:val="00415531"/>
    <w:rsid w:val="00415539"/>
    <w:rsid w:val="00415540"/>
    <w:rsid w:val="0041554B"/>
    <w:rsid w:val="00415571"/>
    <w:rsid w:val="0041557B"/>
    <w:rsid w:val="00415651"/>
    <w:rsid w:val="0041573E"/>
    <w:rsid w:val="0041585F"/>
    <w:rsid w:val="0041589B"/>
    <w:rsid w:val="004158A8"/>
    <w:rsid w:val="00415900"/>
    <w:rsid w:val="00415A33"/>
    <w:rsid w:val="00415A3C"/>
    <w:rsid w:val="00415AB5"/>
    <w:rsid w:val="00415B49"/>
    <w:rsid w:val="00415BF0"/>
    <w:rsid w:val="00415C13"/>
    <w:rsid w:val="00415CCC"/>
    <w:rsid w:val="00415DAF"/>
    <w:rsid w:val="00415E51"/>
    <w:rsid w:val="00415F04"/>
    <w:rsid w:val="00415F06"/>
    <w:rsid w:val="00415F3E"/>
    <w:rsid w:val="00415F65"/>
    <w:rsid w:val="00415F88"/>
    <w:rsid w:val="00415F99"/>
    <w:rsid w:val="00415F9B"/>
    <w:rsid w:val="00415FC6"/>
    <w:rsid w:val="00415FFF"/>
    <w:rsid w:val="00416042"/>
    <w:rsid w:val="00416070"/>
    <w:rsid w:val="00416090"/>
    <w:rsid w:val="0041610E"/>
    <w:rsid w:val="00416152"/>
    <w:rsid w:val="004161AA"/>
    <w:rsid w:val="004161C3"/>
    <w:rsid w:val="00416219"/>
    <w:rsid w:val="00416227"/>
    <w:rsid w:val="0041624B"/>
    <w:rsid w:val="0041626B"/>
    <w:rsid w:val="00416316"/>
    <w:rsid w:val="004163AE"/>
    <w:rsid w:val="0041642D"/>
    <w:rsid w:val="0041647B"/>
    <w:rsid w:val="004164B8"/>
    <w:rsid w:val="00416542"/>
    <w:rsid w:val="0041657E"/>
    <w:rsid w:val="004165CE"/>
    <w:rsid w:val="00416635"/>
    <w:rsid w:val="0041668E"/>
    <w:rsid w:val="004166D1"/>
    <w:rsid w:val="004167CA"/>
    <w:rsid w:val="004167D3"/>
    <w:rsid w:val="00416862"/>
    <w:rsid w:val="0041693E"/>
    <w:rsid w:val="00416A8B"/>
    <w:rsid w:val="00416ADF"/>
    <w:rsid w:val="00416B8B"/>
    <w:rsid w:val="00416C02"/>
    <w:rsid w:val="00416C07"/>
    <w:rsid w:val="00416C8F"/>
    <w:rsid w:val="00416D01"/>
    <w:rsid w:val="00416E18"/>
    <w:rsid w:val="00416E1C"/>
    <w:rsid w:val="00416E78"/>
    <w:rsid w:val="00416FEB"/>
    <w:rsid w:val="00417010"/>
    <w:rsid w:val="0041709D"/>
    <w:rsid w:val="00417174"/>
    <w:rsid w:val="00417182"/>
    <w:rsid w:val="004172D4"/>
    <w:rsid w:val="00417475"/>
    <w:rsid w:val="00417478"/>
    <w:rsid w:val="0041749B"/>
    <w:rsid w:val="00417547"/>
    <w:rsid w:val="00417575"/>
    <w:rsid w:val="00417595"/>
    <w:rsid w:val="004175B3"/>
    <w:rsid w:val="0041766B"/>
    <w:rsid w:val="004176A2"/>
    <w:rsid w:val="004176DC"/>
    <w:rsid w:val="00417816"/>
    <w:rsid w:val="0041789D"/>
    <w:rsid w:val="00417913"/>
    <w:rsid w:val="0041791F"/>
    <w:rsid w:val="004179F6"/>
    <w:rsid w:val="00417A5C"/>
    <w:rsid w:val="00417AB7"/>
    <w:rsid w:val="00417AE7"/>
    <w:rsid w:val="00417B74"/>
    <w:rsid w:val="00417BA0"/>
    <w:rsid w:val="00417BCD"/>
    <w:rsid w:val="00417BE3"/>
    <w:rsid w:val="00417C0C"/>
    <w:rsid w:val="00417CBA"/>
    <w:rsid w:val="00417CBF"/>
    <w:rsid w:val="00417CD9"/>
    <w:rsid w:val="00417D21"/>
    <w:rsid w:val="00417D5B"/>
    <w:rsid w:val="00417DF5"/>
    <w:rsid w:val="00417E45"/>
    <w:rsid w:val="00417E48"/>
    <w:rsid w:val="00417E70"/>
    <w:rsid w:val="00417E77"/>
    <w:rsid w:val="00417E80"/>
    <w:rsid w:val="00417FAF"/>
    <w:rsid w:val="00417FDE"/>
    <w:rsid w:val="00420052"/>
    <w:rsid w:val="004200DB"/>
    <w:rsid w:val="004200E3"/>
    <w:rsid w:val="00420138"/>
    <w:rsid w:val="00420175"/>
    <w:rsid w:val="00420189"/>
    <w:rsid w:val="00420266"/>
    <w:rsid w:val="00420319"/>
    <w:rsid w:val="00420362"/>
    <w:rsid w:val="004203BC"/>
    <w:rsid w:val="004204D7"/>
    <w:rsid w:val="00420557"/>
    <w:rsid w:val="0042056F"/>
    <w:rsid w:val="0042059B"/>
    <w:rsid w:val="004205F6"/>
    <w:rsid w:val="0042065F"/>
    <w:rsid w:val="004207CF"/>
    <w:rsid w:val="00420849"/>
    <w:rsid w:val="004208D2"/>
    <w:rsid w:val="004208D5"/>
    <w:rsid w:val="00420920"/>
    <w:rsid w:val="004209C3"/>
    <w:rsid w:val="00420B4D"/>
    <w:rsid w:val="00420B93"/>
    <w:rsid w:val="00420C94"/>
    <w:rsid w:val="00420CDC"/>
    <w:rsid w:val="00420CE7"/>
    <w:rsid w:val="00420D1E"/>
    <w:rsid w:val="00420D61"/>
    <w:rsid w:val="00420E9A"/>
    <w:rsid w:val="00420F30"/>
    <w:rsid w:val="00421079"/>
    <w:rsid w:val="0042107A"/>
    <w:rsid w:val="004210FF"/>
    <w:rsid w:val="0042110E"/>
    <w:rsid w:val="004211B2"/>
    <w:rsid w:val="00421206"/>
    <w:rsid w:val="0042122D"/>
    <w:rsid w:val="0042124A"/>
    <w:rsid w:val="0042126C"/>
    <w:rsid w:val="00421401"/>
    <w:rsid w:val="00421426"/>
    <w:rsid w:val="00421428"/>
    <w:rsid w:val="00421463"/>
    <w:rsid w:val="00421497"/>
    <w:rsid w:val="00421511"/>
    <w:rsid w:val="004216AA"/>
    <w:rsid w:val="00421753"/>
    <w:rsid w:val="00421756"/>
    <w:rsid w:val="00421789"/>
    <w:rsid w:val="0042190E"/>
    <w:rsid w:val="0042193D"/>
    <w:rsid w:val="00421967"/>
    <w:rsid w:val="00421A58"/>
    <w:rsid w:val="00421A89"/>
    <w:rsid w:val="00421AB2"/>
    <w:rsid w:val="00421B04"/>
    <w:rsid w:val="00421B32"/>
    <w:rsid w:val="00421B60"/>
    <w:rsid w:val="00421BB6"/>
    <w:rsid w:val="00421BC5"/>
    <w:rsid w:val="00421BDD"/>
    <w:rsid w:val="00421C32"/>
    <w:rsid w:val="00421C40"/>
    <w:rsid w:val="00421C5F"/>
    <w:rsid w:val="00421C6D"/>
    <w:rsid w:val="00421CD1"/>
    <w:rsid w:val="00421CDE"/>
    <w:rsid w:val="00421D13"/>
    <w:rsid w:val="00421D16"/>
    <w:rsid w:val="00421D1A"/>
    <w:rsid w:val="00421DD0"/>
    <w:rsid w:val="00421DED"/>
    <w:rsid w:val="00421E0F"/>
    <w:rsid w:val="00421E78"/>
    <w:rsid w:val="00421E8A"/>
    <w:rsid w:val="00421EB2"/>
    <w:rsid w:val="00421EBC"/>
    <w:rsid w:val="00421F94"/>
    <w:rsid w:val="00421F9F"/>
    <w:rsid w:val="00422007"/>
    <w:rsid w:val="00422049"/>
    <w:rsid w:val="00422169"/>
    <w:rsid w:val="0042224B"/>
    <w:rsid w:val="004222AD"/>
    <w:rsid w:val="004222D2"/>
    <w:rsid w:val="004222F1"/>
    <w:rsid w:val="00422335"/>
    <w:rsid w:val="00422392"/>
    <w:rsid w:val="004223CC"/>
    <w:rsid w:val="004223ED"/>
    <w:rsid w:val="00422417"/>
    <w:rsid w:val="00422425"/>
    <w:rsid w:val="0042244E"/>
    <w:rsid w:val="0042245F"/>
    <w:rsid w:val="00422461"/>
    <w:rsid w:val="004224EC"/>
    <w:rsid w:val="004224F6"/>
    <w:rsid w:val="00422537"/>
    <w:rsid w:val="0042253E"/>
    <w:rsid w:val="004225A8"/>
    <w:rsid w:val="004226F1"/>
    <w:rsid w:val="00422768"/>
    <w:rsid w:val="004227E2"/>
    <w:rsid w:val="0042281A"/>
    <w:rsid w:val="0042284A"/>
    <w:rsid w:val="0042289E"/>
    <w:rsid w:val="004228C3"/>
    <w:rsid w:val="004228CB"/>
    <w:rsid w:val="0042292C"/>
    <w:rsid w:val="00422955"/>
    <w:rsid w:val="004229AB"/>
    <w:rsid w:val="004229D4"/>
    <w:rsid w:val="00422A56"/>
    <w:rsid w:val="00422C4E"/>
    <w:rsid w:val="00422C56"/>
    <w:rsid w:val="00422C64"/>
    <w:rsid w:val="00422C8E"/>
    <w:rsid w:val="00422CFB"/>
    <w:rsid w:val="00422D27"/>
    <w:rsid w:val="00422F36"/>
    <w:rsid w:val="00422F7A"/>
    <w:rsid w:val="00422FEA"/>
    <w:rsid w:val="00423003"/>
    <w:rsid w:val="0042304B"/>
    <w:rsid w:val="004230B9"/>
    <w:rsid w:val="00423145"/>
    <w:rsid w:val="00423181"/>
    <w:rsid w:val="00423191"/>
    <w:rsid w:val="00423257"/>
    <w:rsid w:val="004232C5"/>
    <w:rsid w:val="004232CA"/>
    <w:rsid w:val="004233CE"/>
    <w:rsid w:val="0042344E"/>
    <w:rsid w:val="004234DB"/>
    <w:rsid w:val="004235C2"/>
    <w:rsid w:val="0042369D"/>
    <w:rsid w:val="00423783"/>
    <w:rsid w:val="00423844"/>
    <w:rsid w:val="004238D6"/>
    <w:rsid w:val="004238E6"/>
    <w:rsid w:val="0042390E"/>
    <w:rsid w:val="004239BD"/>
    <w:rsid w:val="00423A09"/>
    <w:rsid w:val="00423ABB"/>
    <w:rsid w:val="00423AEA"/>
    <w:rsid w:val="00423B13"/>
    <w:rsid w:val="00423CBC"/>
    <w:rsid w:val="00423D48"/>
    <w:rsid w:val="00423E52"/>
    <w:rsid w:val="00423E81"/>
    <w:rsid w:val="00423E83"/>
    <w:rsid w:val="00423EBD"/>
    <w:rsid w:val="00423EE4"/>
    <w:rsid w:val="00423F29"/>
    <w:rsid w:val="00423F63"/>
    <w:rsid w:val="00423F6D"/>
    <w:rsid w:val="00423FCD"/>
    <w:rsid w:val="00424076"/>
    <w:rsid w:val="0042407F"/>
    <w:rsid w:val="00424084"/>
    <w:rsid w:val="00424093"/>
    <w:rsid w:val="004240A0"/>
    <w:rsid w:val="004240BD"/>
    <w:rsid w:val="0042416C"/>
    <w:rsid w:val="004241BC"/>
    <w:rsid w:val="0042425F"/>
    <w:rsid w:val="0042426A"/>
    <w:rsid w:val="00424323"/>
    <w:rsid w:val="00424425"/>
    <w:rsid w:val="004244A5"/>
    <w:rsid w:val="004244DE"/>
    <w:rsid w:val="00424587"/>
    <w:rsid w:val="00424686"/>
    <w:rsid w:val="004246D6"/>
    <w:rsid w:val="00424773"/>
    <w:rsid w:val="004247BB"/>
    <w:rsid w:val="00424912"/>
    <w:rsid w:val="0042495F"/>
    <w:rsid w:val="00424BBE"/>
    <w:rsid w:val="00424BFD"/>
    <w:rsid w:val="00424C40"/>
    <w:rsid w:val="00424C64"/>
    <w:rsid w:val="00424C8C"/>
    <w:rsid w:val="00424CD4"/>
    <w:rsid w:val="00424CE0"/>
    <w:rsid w:val="00424D24"/>
    <w:rsid w:val="00424DB5"/>
    <w:rsid w:val="00424DB6"/>
    <w:rsid w:val="00424E25"/>
    <w:rsid w:val="00424E3E"/>
    <w:rsid w:val="00424E7D"/>
    <w:rsid w:val="00424EAD"/>
    <w:rsid w:val="00424F51"/>
    <w:rsid w:val="00425026"/>
    <w:rsid w:val="00425088"/>
    <w:rsid w:val="00425102"/>
    <w:rsid w:val="00425113"/>
    <w:rsid w:val="0042513B"/>
    <w:rsid w:val="00425169"/>
    <w:rsid w:val="00425255"/>
    <w:rsid w:val="0042525C"/>
    <w:rsid w:val="00425310"/>
    <w:rsid w:val="00425344"/>
    <w:rsid w:val="00425405"/>
    <w:rsid w:val="00425421"/>
    <w:rsid w:val="0042547C"/>
    <w:rsid w:val="00425484"/>
    <w:rsid w:val="004254BA"/>
    <w:rsid w:val="004256A1"/>
    <w:rsid w:val="004257B4"/>
    <w:rsid w:val="004257FC"/>
    <w:rsid w:val="00425821"/>
    <w:rsid w:val="00425825"/>
    <w:rsid w:val="00425991"/>
    <w:rsid w:val="004259B4"/>
    <w:rsid w:val="004259B5"/>
    <w:rsid w:val="004259B6"/>
    <w:rsid w:val="004259C0"/>
    <w:rsid w:val="00425A8E"/>
    <w:rsid w:val="00425BD6"/>
    <w:rsid w:val="00425BE7"/>
    <w:rsid w:val="00425C2A"/>
    <w:rsid w:val="00425C40"/>
    <w:rsid w:val="00425CA9"/>
    <w:rsid w:val="00425CE3"/>
    <w:rsid w:val="00425D30"/>
    <w:rsid w:val="00425D5D"/>
    <w:rsid w:val="00425E8D"/>
    <w:rsid w:val="00425F7F"/>
    <w:rsid w:val="004260E2"/>
    <w:rsid w:val="0042611B"/>
    <w:rsid w:val="0042613B"/>
    <w:rsid w:val="00426140"/>
    <w:rsid w:val="0042618A"/>
    <w:rsid w:val="004261FE"/>
    <w:rsid w:val="00426212"/>
    <w:rsid w:val="00426221"/>
    <w:rsid w:val="00426225"/>
    <w:rsid w:val="0042634A"/>
    <w:rsid w:val="00426362"/>
    <w:rsid w:val="00426404"/>
    <w:rsid w:val="004264AC"/>
    <w:rsid w:val="00426511"/>
    <w:rsid w:val="0042655B"/>
    <w:rsid w:val="004265CC"/>
    <w:rsid w:val="004265D7"/>
    <w:rsid w:val="004266A9"/>
    <w:rsid w:val="004266DD"/>
    <w:rsid w:val="004266F1"/>
    <w:rsid w:val="0042670E"/>
    <w:rsid w:val="00426760"/>
    <w:rsid w:val="00426764"/>
    <w:rsid w:val="00426788"/>
    <w:rsid w:val="004267C0"/>
    <w:rsid w:val="00426820"/>
    <w:rsid w:val="0042689D"/>
    <w:rsid w:val="00426A6F"/>
    <w:rsid w:val="00426A8D"/>
    <w:rsid w:val="00426AA0"/>
    <w:rsid w:val="00426B56"/>
    <w:rsid w:val="00426C0E"/>
    <w:rsid w:val="00426C5F"/>
    <w:rsid w:val="00426D15"/>
    <w:rsid w:val="00426D8B"/>
    <w:rsid w:val="00426E7F"/>
    <w:rsid w:val="00426EA1"/>
    <w:rsid w:val="00426ED7"/>
    <w:rsid w:val="00426FC0"/>
    <w:rsid w:val="00427000"/>
    <w:rsid w:val="0042701D"/>
    <w:rsid w:val="0042716E"/>
    <w:rsid w:val="004271A3"/>
    <w:rsid w:val="00427239"/>
    <w:rsid w:val="00427295"/>
    <w:rsid w:val="004272D4"/>
    <w:rsid w:val="00427300"/>
    <w:rsid w:val="004273AD"/>
    <w:rsid w:val="00427496"/>
    <w:rsid w:val="004274F1"/>
    <w:rsid w:val="00427768"/>
    <w:rsid w:val="00427776"/>
    <w:rsid w:val="004277CE"/>
    <w:rsid w:val="004277F3"/>
    <w:rsid w:val="00427826"/>
    <w:rsid w:val="0042785F"/>
    <w:rsid w:val="00427947"/>
    <w:rsid w:val="00427992"/>
    <w:rsid w:val="00427A52"/>
    <w:rsid w:val="00427B6E"/>
    <w:rsid w:val="00427C16"/>
    <w:rsid w:val="00427C2C"/>
    <w:rsid w:val="00427D40"/>
    <w:rsid w:val="00427D48"/>
    <w:rsid w:val="00427D82"/>
    <w:rsid w:val="00427E2D"/>
    <w:rsid w:val="00427EFC"/>
    <w:rsid w:val="0043009E"/>
    <w:rsid w:val="00430249"/>
    <w:rsid w:val="004302C7"/>
    <w:rsid w:val="00430384"/>
    <w:rsid w:val="004303AC"/>
    <w:rsid w:val="0043045E"/>
    <w:rsid w:val="0043049E"/>
    <w:rsid w:val="00430500"/>
    <w:rsid w:val="0043051E"/>
    <w:rsid w:val="00430546"/>
    <w:rsid w:val="0043054B"/>
    <w:rsid w:val="004305AE"/>
    <w:rsid w:val="004305ED"/>
    <w:rsid w:val="004306A0"/>
    <w:rsid w:val="004306E8"/>
    <w:rsid w:val="00430722"/>
    <w:rsid w:val="00430767"/>
    <w:rsid w:val="00430865"/>
    <w:rsid w:val="00430906"/>
    <w:rsid w:val="0043093D"/>
    <w:rsid w:val="004309AF"/>
    <w:rsid w:val="00430A8C"/>
    <w:rsid w:val="00430B56"/>
    <w:rsid w:val="00430C82"/>
    <w:rsid w:val="00430C94"/>
    <w:rsid w:val="00430CCF"/>
    <w:rsid w:val="00430D9F"/>
    <w:rsid w:val="00430E00"/>
    <w:rsid w:val="00430E25"/>
    <w:rsid w:val="00430E2B"/>
    <w:rsid w:val="00430EAD"/>
    <w:rsid w:val="00430EED"/>
    <w:rsid w:val="00430F04"/>
    <w:rsid w:val="00430F23"/>
    <w:rsid w:val="00430F35"/>
    <w:rsid w:val="00431092"/>
    <w:rsid w:val="0043119C"/>
    <w:rsid w:val="004311B8"/>
    <w:rsid w:val="004311E6"/>
    <w:rsid w:val="0043123E"/>
    <w:rsid w:val="00431240"/>
    <w:rsid w:val="004312F8"/>
    <w:rsid w:val="00431300"/>
    <w:rsid w:val="00431516"/>
    <w:rsid w:val="0043155E"/>
    <w:rsid w:val="0043159B"/>
    <w:rsid w:val="0043160D"/>
    <w:rsid w:val="00431675"/>
    <w:rsid w:val="0043168B"/>
    <w:rsid w:val="004316EF"/>
    <w:rsid w:val="00431800"/>
    <w:rsid w:val="00431803"/>
    <w:rsid w:val="004318D1"/>
    <w:rsid w:val="0043196D"/>
    <w:rsid w:val="00431972"/>
    <w:rsid w:val="004319CB"/>
    <w:rsid w:val="004319CE"/>
    <w:rsid w:val="004319D5"/>
    <w:rsid w:val="004319F9"/>
    <w:rsid w:val="004319FD"/>
    <w:rsid w:val="00431A36"/>
    <w:rsid w:val="00431A48"/>
    <w:rsid w:val="00431A99"/>
    <w:rsid w:val="00431AC9"/>
    <w:rsid w:val="00431B46"/>
    <w:rsid w:val="00431B6C"/>
    <w:rsid w:val="00431BC0"/>
    <w:rsid w:val="00431C3F"/>
    <w:rsid w:val="00431CC9"/>
    <w:rsid w:val="00431D06"/>
    <w:rsid w:val="00431D30"/>
    <w:rsid w:val="00431D4B"/>
    <w:rsid w:val="00431D50"/>
    <w:rsid w:val="00431D58"/>
    <w:rsid w:val="00431D6D"/>
    <w:rsid w:val="00431DFC"/>
    <w:rsid w:val="00432070"/>
    <w:rsid w:val="00432096"/>
    <w:rsid w:val="00432099"/>
    <w:rsid w:val="0043212F"/>
    <w:rsid w:val="004321DD"/>
    <w:rsid w:val="00432231"/>
    <w:rsid w:val="00432235"/>
    <w:rsid w:val="004322FC"/>
    <w:rsid w:val="00432431"/>
    <w:rsid w:val="0043245F"/>
    <w:rsid w:val="00432476"/>
    <w:rsid w:val="0043248E"/>
    <w:rsid w:val="004324FC"/>
    <w:rsid w:val="0043251E"/>
    <w:rsid w:val="00432540"/>
    <w:rsid w:val="00432543"/>
    <w:rsid w:val="004325B5"/>
    <w:rsid w:val="004325C1"/>
    <w:rsid w:val="004325D0"/>
    <w:rsid w:val="00432624"/>
    <w:rsid w:val="00432676"/>
    <w:rsid w:val="004326E3"/>
    <w:rsid w:val="00432770"/>
    <w:rsid w:val="004327A6"/>
    <w:rsid w:val="0043280E"/>
    <w:rsid w:val="004328A2"/>
    <w:rsid w:val="004328DA"/>
    <w:rsid w:val="0043292E"/>
    <w:rsid w:val="00432973"/>
    <w:rsid w:val="0043299F"/>
    <w:rsid w:val="00432A72"/>
    <w:rsid w:val="00432A73"/>
    <w:rsid w:val="00432A7B"/>
    <w:rsid w:val="00432A9B"/>
    <w:rsid w:val="00432AD4"/>
    <w:rsid w:val="00432AEA"/>
    <w:rsid w:val="00432B2E"/>
    <w:rsid w:val="00432C35"/>
    <w:rsid w:val="00432C54"/>
    <w:rsid w:val="00432C6D"/>
    <w:rsid w:val="00432D25"/>
    <w:rsid w:val="00432D62"/>
    <w:rsid w:val="00432DDE"/>
    <w:rsid w:val="00432E73"/>
    <w:rsid w:val="00432EDA"/>
    <w:rsid w:val="00432EF0"/>
    <w:rsid w:val="00432F1A"/>
    <w:rsid w:val="00432F4E"/>
    <w:rsid w:val="00432FB5"/>
    <w:rsid w:val="00433027"/>
    <w:rsid w:val="00433029"/>
    <w:rsid w:val="0043305A"/>
    <w:rsid w:val="00433085"/>
    <w:rsid w:val="004330B4"/>
    <w:rsid w:val="004330B6"/>
    <w:rsid w:val="004330BE"/>
    <w:rsid w:val="004330D6"/>
    <w:rsid w:val="00433190"/>
    <w:rsid w:val="00433213"/>
    <w:rsid w:val="00433243"/>
    <w:rsid w:val="0043327B"/>
    <w:rsid w:val="00433298"/>
    <w:rsid w:val="0043330D"/>
    <w:rsid w:val="00433541"/>
    <w:rsid w:val="00433562"/>
    <w:rsid w:val="00433661"/>
    <w:rsid w:val="004336AD"/>
    <w:rsid w:val="004336F1"/>
    <w:rsid w:val="004337AC"/>
    <w:rsid w:val="004337ED"/>
    <w:rsid w:val="004337FD"/>
    <w:rsid w:val="0043388D"/>
    <w:rsid w:val="00433954"/>
    <w:rsid w:val="004339E1"/>
    <w:rsid w:val="00433A9C"/>
    <w:rsid w:val="00433AFD"/>
    <w:rsid w:val="00433C4C"/>
    <w:rsid w:val="00433C5E"/>
    <w:rsid w:val="00433CFB"/>
    <w:rsid w:val="00433DC1"/>
    <w:rsid w:val="00433F51"/>
    <w:rsid w:val="00433F72"/>
    <w:rsid w:val="00433FB5"/>
    <w:rsid w:val="00434125"/>
    <w:rsid w:val="00434152"/>
    <w:rsid w:val="0043418B"/>
    <w:rsid w:val="004341F6"/>
    <w:rsid w:val="00434248"/>
    <w:rsid w:val="00434259"/>
    <w:rsid w:val="00434322"/>
    <w:rsid w:val="00434412"/>
    <w:rsid w:val="0043447A"/>
    <w:rsid w:val="004344CF"/>
    <w:rsid w:val="00434666"/>
    <w:rsid w:val="0043466F"/>
    <w:rsid w:val="0043469A"/>
    <w:rsid w:val="004346D3"/>
    <w:rsid w:val="004347B6"/>
    <w:rsid w:val="004347BA"/>
    <w:rsid w:val="004347D1"/>
    <w:rsid w:val="004347EB"/>
    <w:rsid w:val="00434872"/>
    <w:rsid w:val="00434897"/>
    <w:rsid w:val="0043496E"/>
    <w:rsid w:val="00434981"/>
    <w:rsid w:val="00434A74"/>
    <w:rsid w:val="00434A97"/>
    <w:rsid w:val="00434AA5"/>
    <w:rsid w:val="00434AC6"/>
    <w:rsid w:val="00434B70"/>
    <w:rsid w:val="00434BB3"/>
    <w:rsid w:val="00434BE5"/>
    <w:rsid w:val="00434C63"/>
    <w:rsid w:val="00434C7B"/>
    <w:rsid w:val="00434CBE"/>
    <w:rsid w:val="00434CFD"/>
    <w:rsid w:val="00434E19"/>
    <w:rsid w:val="00434E20"/>
    <w:rsid w:val="00434F50"/>
    <w:rsid w:val="00434FDC"/>
    <w:rsid w:val="00435176"/>
    <w:rsid w:val="00435234"/>
    <w:rsid w:val="0043533A"/>
    <w:rsid w:val="004353DA"/>
    <w:rsid w:val="00435413"/>
    <w:rsid w:val="00435434"/>
    <w:rsid w:val="00435573"/>
    <w:rsid w:val="004355A6"/>
    <w:rsid w:val="004355E2"/>
    <w:rsid w:val="00435616"/>
    <w:rsid w:val="0043561A"/>
    <w:rsid w:val="004356A7"/>
    <w:rsid w:val="004356B5"/>
    <w:rsid w:val="0043572E"/>
    <w:rsid w:val="004357C9"/>
    <w:rsid w:val="004357DE"/>
    <w:rsid w:val="004358B7"/>
    <w:rsid w:val="0043593F"/>
    <w:rsid w:val="004359F2"/>
    <w:rsid w:val="004359FA"/>
    <w:rsid w:val="00435A31"/>
    <w:rsid w:val="00435AF3"/>
    <w:rsid w:val="00435B3D"/>
    <w:rsid w:val="00435B5B"/>
    <w:rsid w:val="00435B61"/>
    <w:rsid w:val="00435E07"/>
    <w:rsid w:val="00435E6B"/>
    <w:rsid w:val="00435EC3"/>
    <w:rsid w:val="00435EDD"/>
    <w:rsid w:val="00435EE1"/>
    <w:rsid w:val="00435F75"/>
    <w:rsid w:val="00435FB8"/>
    <w:rsid w:val="004360D2"/>
    <w:rsid w:val="0043611F"/>
    <w:rsid w:val="0043614E"/>
    <w:rsid w:val="00436175"/>
    <w:rsid w:val="004361E6"/>
    <w:rsid w:val="00436248"/>
    <w:rsid w:val="0043625F"/>
    <w:rsid w:val="004362A7"/>
    <w:rsid w:val="00436323"/>
    <w:rsid w:val="004363AE"/>
    <w:rsid w:val="00436514"/>
    <w:rsid w:val="0043655E"/>
    <w:rsid w:val="00436575"/>
    <w:rsid w:val="00436814"/>
    <w:rsid w:val="004368B7"/>
    <w:rsid w:val="004368CF"/>
    <w:rsid w:val="004368E6"/>
    <w:rsid w:val="0043696B"/>
    <w:rsid w:val="004369DE"/>
    <w:rsid w:val="00436B36"/>
    <w:rsid w:val="00436B5B"/>
    <w:rsid w:val="00436BCD"/>
    <w:rsid w:val="00436C79"/>
    <w:rsid w:val="00436CB0"/>
    <w:rsid w:val="00436D09"/>
    <w:rsid w:val="00436D2E"/>
    <w:rsid w:val="00436D2F"/>
    <w:rsid w:val="00436DA6"/>
    <w:rsid w:val="00436E74"/>
    <w:rsid w:val="00436ED3"/>
    <w:rsid w:val="00436ED6"/>
    <w:rsid w:val="004370A6"/>
    <w:rsid w:val="004370E3"/>
    <w:rsid w:val="004371DF"/>
    <w:rsid w:val="00437222"/>
    <w:rsid w:val="0043723D"/>
    <w:rsid w:val="00437288"/>
    <w:rsid w:val="004372A1"/>
    <w:rsid w:val="004372C2"/>
    <w:rsid w:val="004373AF"/>
    <w:rsid w:val="004373C4"/>
    <w:rsid w:val="00437479"/>
    <w:rsid w:val="0043752C"/>
    <w:rsid w:val="0043753F"/>
    <w:rsid w:val="00437542"/>
    <w:rsid w:val="00437563"/>
    <w:rsid w:val="004375EB"/>
    <w:rsid w:val="00437604"/>
    <w:rsid w:val="00437751"/>
    <w:rsid w:val="00437783"/>
    <w:rsid w:val="00437836"/>
    <w:rsid w:val="0043784A"/>
    <w:rsid w:val="004378DD"/>
    <w:rsid w:val="0043793E"/>
    <w:rsid w:val="004379AA"/>
    <w:rsid w:val="004379B2"/>
    <w:rsid w:val="004379EF"/>
    <w:rsid w:val="00437AD2"/>
    <w:rsid w:val="00437AD7"/>
    <w:rsid w:val="00437BAD"/>
    <w:rsid w:val="00437DBF"/>
    <w:rsid w:val="00437E0F"/>
    <w:rsid w:val="00437E28"/>
    <w:rsid w:val="00437E80"/>
    <w:rsid w:val="00437ECE"/>
    <w:rsid w:val="00437FF1"/>
    <w:rsid w:val="0044006E"/>
    <w:rsid w:val="004400BC"/>
    <w:rsid w:val="004400EC"/>
    <w:rsid w:val="0044021D"/>
    <w:rsid w:val="004402B3"/>
    <w:rsid w:val="004402C0"/>
    <w:rsid w:val="00440388"/>
    <w:rsid w:val="004403B3"/>
    <w:rsid w:val="004403C5"/>
    <w:rsid w:val="004403DF"/>
    <w:rsid w:val="004404B9"/>
    <w:rsid w:val="0044053F"/>
    <w:rsid w:val="00440570"/>
    <w:rsid w:val="00440627"/>
    <w:rsid w:val="00440637"/>
    <w:rsid w:val="00440654"/>
    <w:rsid w:val="00440683"/>
    <w:rsid w:val="004406B6"/>
    <w:rsid w:val="00440782"/>
    <w:rsid w:val="004407EB"/>
    <w:rsid w:val="004408A0"/>
    <w:rsid w:val="00440A13"/>
    <w:rsid w:val="00440AF0"/>
    <w:rsid w:val="00440B2A"/>
    <w:rsid w:val="00440C6E"/>
    <w:rsid w:val="00440D38"/>
    <w:rsid w:val="00440D57"/>
    <w:rsid w:val="00440DCD"/>
    <w:rsid w:val="00440DCF"/>
    <w:rsid w:val="00440E42"/>
    <w:rsid w:val="00440E51"/>
    <w:rsid w:val="00440E94"/>
    <w:rsid w:val="00440EC0"/>
    <w:rsid w:val="00440F0A"/>
    <w:rsid w:val="00440FAA"/>
    <w:rsid w:val="00440FB1"/>
    <w:rsid w:val="00440FC3"/>
    <w:rsid w:val="00440FF4"/>
    <w:rsid w:val="00440FF7"/>
    <w:rsid w:val="00441092"/>
    <w:rsid w:val="004410EF"/>
    <w:rsid w:val="00441109"/>
    <w:rsid w:val="00441150"/>
    <w:rsid w:val="00441166"/>
    <w:rsid w:val="0044116C"/>
    <w:rsid w:val="004411BD"/>
    <w:rsid w:val="00441248"/>
    <w:rsid w:val="00441259"/>
    <w:rsid w:val="004412C0"/>
    <w:rsid w:val="0044136D"/>
    <w:rsid w:val="004413BF"/>
    <w:rsid w:val="0044148A"/>
    <w:rsid w:val="004414E7"/>
    <w:rsid w:val="004414F1"/>
    <w:rsid w:val="004415F2"/>
    <w:rsid w:val="00441665"/>
    <w:rsid w:val="00441712"/>
    <w:rsid w:val="0044179F"/>
    <w:rsid w:val="004417D9"/>
    <w:rsid w:val="00441969"/>
    <w:rsid w:val="00441975"/>
    <w:rsid w:val="00441A00"/>
    <w:rsid w:val="00441AF8"/>
    <w:rsid w:val="00441BD0"/>
    <w:rsid w:val="00441C31"/>
    <w:rsid w:val="00441C39"/>
    <w:rsid w:val="00441D4F"/>
    <w:rsid w:val="00441D8B"/>
    <w:rsid w:val="00441F9B"/>
    <w:rsid w:val="0044204A"/>
    <w:rsid w:val="00442090"/>
    <w:rsid w:val="0044212C"/>
    <w:rsid w:val="00442172"/>
    <w:rsid w:val="00442236"/>
    <w:rsid w:val="004423B5"/>
    <w:rsid w:val="004423F7"/>
    <w:rsid w:val="00442415"/>
    <w:rsid w:val="00442441"/>
    <w:rsid w:val="00442465"/>
    <w:rsid w:val="00442470"/>
    <w:rsid w:val="00442482"/>
    <w:rsid w:val="00442499"/>
    <w:rsid w:val="004424CA"/>
    <w:rsid w:val="00442500"/>
    <w:rsid w:val="0044257B"/>
    <w:rsid w:val="0044261E"/>
    <w:rsid w:val="004426BB"/>
    <w:rsid w:val="004426EF"/>
    <w:rsid w:val="00442749"/>
    <w:rsid w:val="00442762"/>
    <w:rsid w:val="004427EB"/>
    <w:rsid w:val="00442808"/>
    <w:rsid w:val="00442903"/>
    <w:rsid w:val="0044292A"/>
    <w:rsid w:val="00442947"/>
    <w:rsid w:val="004429B5"/>
    <w:rsid w:val="004429EE"/>
    <w:rsid w:val="00442A49"/>
    <w:rsid w:val="00442AEA"/>
    <w:rsid w:val="00442B65"/>
    <w:rsid w:val="00442C0C"/>
    <w:rsid w:val="00442C1E"/>
    <w:rsid w:val="00442CC9"/>
    <w:rsid w:val="00442D3F"/>
    <w:rsid w:val="00442DA5"/>
    <w:rsid w:val="00442E10"/>
    <w:rsid w:val="00442E22"/>
    <w:rsid w:val="00442E78"/>
    <w:rsid w:val="00442EAB"/>
    <w:rsid w:val="00443000"/>
    <w:rsid w:val="00443048"/>
    <w:rsid w:val="0044307A"/>
    <w:rsid w:val="00443082"/>
    <w:rsid w:val="004430D5"/>
    <w:rsid w:val="004430F8"/>
    <w:rsid w:val="0044310C"/>
    <w:rsid w:val="0044312D"/>
    <w:rsid w:val="00443170"/>
    <w:rsid w:val="004431F9"/>
    <w:rsid w:val="0044325E"/>
    <w:rsid w:val="00443268"/>
    <w:rsid w:val="00443289"/>
    <w:rsid w:val="004432F9"/>
    <w:rsid w:val="0044331B"/>
    <w:rsid w:val="0044341D"/>
    <w:rsid w:val="004434B4"/>
    <w:rsid w:val="004434EE"/>
    <w:rsid w:val="0044350C"/>
    <w:rsid w:val="0044373F"/>
    <w:rsid w:val="0044377F"/>
    <w:rsid w:val="004437B1"/>
    <w:rsid w:val="0044386D"/>
    <w:rsid w:val="004438E7"/>
    <w:rsid w:val="00443946"/>
    <w:rsid w:val="004439F6"/>
    <w:rsid w:val="00443AC5"/>
    <w:rsid w:val="00443B51"/>
    <w:rsid w:val="00443BB7"/>
    <w:rsid w:val="00443BC1"/>
    <w:rsid w:val="00443C39"/>
    <w:rsid w:val="00443C87"/>
    <w:rsid w:val="00443CEE"/>
    <w:rsid w:val="00443E42"/>
    <w:rsid w:val="00443E53"/>
    <w:rsid w:val="00443EAA"/>
    <w:rsid w:val="00443EF5"/>
    <w:rsid w:val="004440D9"/>
    <w:rsid w:val="0044410F"/>
    <w:rsid w:val="0044412E"/>
    <w:rsid w:val="0044415D"/>
    <w:rsid w:val="004441B3"/>
    <w:rsid w:val="00444267"/>
    <w:rsid w:val="004442CD"/>
    <w:rsid w:val="004442D1"/>
    <w:rsid w:val="004442F5"/>
    <w:rsid w:val="00444427"/>
    <w:rsid w:val="0044455A"/>
    <w:rsid w:val="004445AB"/>
    <w:rsid w:val="004445C4"/>
    <w:rsid w:val="0044475A"/>
    <w:rsid w:val="00444778"/>
    <w:rsid w:val="0044479B"/>
    <w:rsid w:val="00444812"/>
    <w:rsid w:val="004448AE"/>
    <w:rsid w:val="004448BA"/>
    <w:rsid w:val="004448C1"/>
    <w:rsid w:val="004448E8"/>
    <w:rsid w:val="00444985"/>
    <w:rsid w:val="0044498B"/>
    <w:rsid w:val="00444A11"/>
    <w:rsid w:val="00444A95"/>
    <w:rsid w:val="00444B09"/>
    <w:rsid w:val="00444B3C"/>
    <w:rsid w:val="00444B4B"/>
    <w:rsid w:val="00444B92"/>
    <w:rsid w:val="00444BC2"/>
    <w:rsid w:val="00444DC1"/>
    <w:rsid w:val="00444EFF"/>
    <w:rsid w:val="00444F39"/>
    <w:rsid w:val="00444F73"/>
    <w:rsid w:val="00444FD3"/>
    <w:rsid w:val="004450DC"/>
    <w:rsid w:val="004450EE"/>
    <w:rsid w:val="0044516C"/>
    <w:rsid w:val="0044522F"/>
    <w:rsid w:val="004453D1"/>
    <w:rsid w:val="004454D4"/>
    <w:rsid w:val="004454DD"/>
    <w:rsid w:val="0044558B"/>
    <w:rsid w:val="004455BC"/>
    <w:rsid w:val="00445716"/>
    <w:rsid w:val="004457E8"/>
    <w:rsid w:val="0044582C"/>
    <w:rsid w:val="0044584C"/>
    <w:rsid w:val="00445876"/>
    <w:rsid w:val="00445878"/>
    <w:rsid w:val="00445A20"/>
    <w:rsid w:val="00445AE5"/>
    <w:rsid w:val="00445BAA"/>
    <w:rsid w:val="00445C16"/>
    <w:rsid w:val="00445CD7"/>
    <w:rsid w:val="00445D0A"/>
    <w:rsid w:val="00445D68"/>
    <w:rsid w:val="00445DAA"/>
    <w:rsid w:val="00445DD2"/>
    <w:rsid w:val="00445E17"/>
    <w:rsid w:val="00445E87"/>
    <w:rsid w:val="00445ECE"/>
    <w:rsid w:val="00445F04"/>
    <w:rsid w:val="00445F25"/>
    <w:rsid w:val="00445FE5"/>
    <w:rsid w:val="004460C3"/>
    <w:rsid w:val="004460D8"/>
    <w:rsid w:val="00446100"/>
    <w:rsid w:val="0044612C"/>
    <w:rsid w:val="00446150"/>
    <w:rsid w:val="00446166"/>
    <w:rsid w:val="004462D5"/>
    <w:rsid w:val="00446363"/>
    <w:rsid w:val="004464C3"/>
    <w:rsid w:val="004464DC"/>
    <w:rsid w:val="00446556"/>
    <w:rsid w:val="0044667A"/>
    <w:rsid w:val="0044672B"/>
    <w:rsid w:val="0044675F"/>
    <w:rsid w:val="004467E3"/>
    <w:rsid w:val="00446817"/>
    <w:rsid w:val="004468A0"/>
    <w:rsid w:val="004468DD"/>
    <w:rsid w:val="0044690B"/>
    <w:rsid w:val="00446942"/>
    <w:rsid w:val="004469B4"/>
    <w:rsid w:val="00446A13"/>
    <w:rsid w:val="00446A46"/>
    <w:rsid w:val="00446AA8"/>
    <w:rsid w:val="00446AAB"/>
    <w:rsid w:val="00446AD8"/>
    <w:rsid w:val="00446B55"/>
    <w:rsid w:val="00446B96"/>
    <w:rsid w:val="00446B98"/>
    <w:rsid w:val="00446BBE"/>
    <w:rsid w:val="00446D50"/>
    <w:rsid w:val="00446D7F"/>
    <w:rsid w:val="00446DC2"/>
    <w:rsid w:val="00446E04"/>
    <w:rsid w:val="00446EA1"/>
    <w:rsid w:val="00446F26"/>
    <w:rsid w:val="0044705A"/>
    <w:rsid w:val="004470B4"/>
    <w:rsid w:val="004470BB"/>
    <w:rsid w:val="0044711C"/>
    <w:rsid w:val="004471CA"/>
    <w:rsid w:val="004471EF"/>
    <w:rsid w:val="00447250"/>
    <w:rsid w:val="004472F6"/>
    <w:rsid w:val="004473F6"/>
    <w:rsid w:val="00447439"/>
    <w:rsid w:val="0044747A"/>
    <w:rsid w:val="0044748E"/>
    <w:rsid w:val="004475C6"/>
    <w:rsid w:val="0044766C"/>
    <w:rsid w:val="0044766F"/>
    <w:rsid w:val="004476CD"/>
    <w:rsid w:val="004476D2"/>
    <w:rsid w:val="00447789"/>
    <w:rsid w:val="004477CA"/>
    <w:rsid w:val="0044782C"/>
    <w:rsid w:val="0044782F"/>
    <w:rsid w:val="004478A0"/>
    <w:rsid w:val="004478FE"/>
    <w:rsid w:val="00447906"/>
    <w:rsid w:val="0044790A"/>
    <w:rsid w:val="0044791D"/>
    <w:rsid w:val="00447931"/>
    <w:rsid w:val="00447956"/>
    <w:rsid w:val="004479A5"/>
    <w:rsid w:val="00447ADA"/>
    <w:rsid w:val="00447BA5"/>
    <w:rsid w:val="00447BB9"/>
    <w:rsid w:val="00447C12"/>
    <w:rsid w:val="00447C3D"/>
    <w:rsid w:val="00447C59"/>
    <w:rsid w:val="00447C86"/>
    <w:rsid w:val="00447C8A"/>
    <w:rsid w:val="00447CFA"/>
    <w:rsid w:val="00447D47"/>
    <w:rsid w:val="00447D50"/>
    <w:rsid w:val="00447D56"/>
    <w:rsid w:val="00447DAD"/>
    <w:rsid w:val="00447E9C"/>
    <w:rsid w:val="00447EE7"/>
    <w:rsid w:val="00447F7A"/>
    <w:rsid w:val="00447F91"/>
    <w:rsid w:val="00450124"/>
    <w:rsid w:val="00450127"/>
    <w:rsid w:val="004501D0"/>
    <w:rsid w:val="004501E4"/>
    <w:rsid w:val="004502A7"/>
    <w:rsid w:val="00450368"/>
    <w:rsid w:val="0045040A"/>
    <w:rsid w:val="00450437"/>
    <w:rsid w:val="004504D8"/>
    <w:rsid w:val="004504FD"/>
    <w:rsid w:val="0045051C"/>
    <w:rsid w:val="0045056B"/>
    <w:rsid w:val="00450588"/>
    <w:rsid w:val="00450642"/>
    <w:rsid w:val="00450660"/>
    <w:rsid w:val="004506F8"/>
    <w:rsid w:val="004506FA"/>
    <w:rsid w:val="0045076E"/>
    <w:rsid w:val="004507C3"/>
    <w:rsid w:val="004507F9"/>
    <w:rsid w:val="00450865"/>
    <w:rsid w:val="0045089B"/>
    <w:rsid w:val="00450911"/>
    <w:rsid w:val="0045093D"/>
    <w:rsid w:val="00450986"/>
    <w:rsid w:val="004509D0"/>
    <w:rsid w:val="004509FE"/>
    <w:rsid w:val="00450A98"/>
    <w:rsid w:val="00450AEC"/>
    <w:rsid w:val="00450AF2"/>
    <w:rsid w:val="00450B09"/>
    <w:rsid w:val="00450B50"/>
    <w:rsid w:val="00450B5D"/>
    <w:rsid w:val="00450BB0"/>
    <w:rsid w:val="00450C45"/>
    <w:rsid w:val="00450C4B"/>
    <w:rsid w:val="00450CD0"/>
    <w:rsid w:val="00450CD5"/>
    <w:rsid w:val="00450DAD"/>
    <w:rsid w:val="00450E81"/>
    <w:rsid w:val="00450F77"/>
    <w:rsid w:val="00450F95"/>
    <w:rsid w:val="00450FCB"/>
    <w:rsid w:val="00450FCF"/>
    <w:rsid w:val="00450FEB"/>
    <w:rsid w:val="00451005"/>
    <w:rsid w:val="0045100C"/>
    <w:rsid w:val="0045102B"/>
    <w:rsid w:val="0045105D"/>
    <w:rsid w:val="0045107A"/>
    <w:rsid w:val="00451081"/>
    <w:rsid w:val="004510CA"/>
    <w:rsid w:val="004511F5"/>
    <w:rsid w:val="00451213"/>
    <w:rsid w:val="00451271"/>
    <w:rsid w:val="004512DC"/>
    <w:rsid w:val="004512E1"/>
    <w:rsid w:val="0045137D"/>
    <w:rsid w:val="00451387"/>
    <w:rsid w:val="00451399"/>
    <w:rsid w:val="004513A5"/>
    <w:rsid w:val="004513D4"/>
    <w:rsid w:val="0045146B"/>
    <w:rsid w:val="0045146D"/>
    <w:rsid w:val="004515A0"/>
    <w:rsid w:val="004515D4"/>
    <w:rsid w:val="004515EF"/>
    <w:rsid w:val="004515F3"/>
    <w:rsid w:val="0045161F"/>
    <w:rsid w:val="00451642"/>
    <w:rsid w:val="00451645"/>
    <w:rsid w:val="0045167D"/>
    <w:rsid w:val="004516A3"/>
    <w:rsid w:val="0045178B"/>
    <w:rsid w:val="004517AB"/>
    <w:rsid w:val="004517EB"/>
    <w:rsid w:val="004518B3"/>
    <w:rsid w:val="004518D4"/>
    <w:rsid w:val="004518EE"/>
    <w:rsid w:val="004518F6"/>
    <w:rsid w:val="004519DF"/>
    <w:rsid w:val="004519F2"/>
    <w:rsid w:val="00451A76"/>
    <w:rsid w:val="00451AF4"/>
    <w:rsid w:val="00451BA6"/>
    <w:rsid w:val="00451CA8"/>
    <w:rsid w:val="00451CC0"/>
    <w:rsid w:val="00451DE1"/>
    <w:rsid w:val="00451E27"/>
    <w:rsid w:val="00451E76"/>
    <w:rsid w:val="00451E7E"/>
    <w:rsid w:val="00451E9B"/>
    <w:rsid w:val="00451ED4"/>
    <w:rsid w:val="00451EFF"/>
    <w:rsid w:val="00451F21"/>
    <w:rsid w:val="0045200A"/>
    <w:rsid w:val="004520E3"/>
    <w:rsid w:val="004520EA"/>
    <w:rsid w:val="00452137"/>
    <w:rsid w:val="0045214C"/>
    <w:rsid w:val="00452167"/>
    <w:rsid w:val="004521DC"/>
    <w:rsid w:val="004521F1"/>
    <w:rsid w:val="00452279"/>
    <w:rsid w:val="0045231A"/>
    <w:rsid w:val="0045236E"/>
    <w:rsid w:val="00452387"/>
    <w:rsid w:val="004523C5"/>
    <w:rsid w:val="00452414"/>
    <w:rsid w:val="00452458"/>
    <w:rsid w:val="00452483"/>
    <w:rsid w:val="004524A9"/>
    <w:rsid w:val="0045253B"/>
    <w:rsid w:val="0045254B"/>
    <w:rsid w:val="00452570"/>
    <w:rsid w:val="004525C1"/>
    <w:rsid w:val="004525D3"/>
    <w:rsid w:val="0045263D"/>
    <w:rsid w:val="0045264C"/>
    <w:rsid w:val="00452654"/>
    <w:rsid w:val="00452674"/>
    <w:rsid w:val="004527B4"/>
    <w:rsid w:val="00452811"/>
    <w:rsid w:val="0045291D"/>
    <w:rsid w:val="0045294A"/>
    <w:rsid w:val="00452968"/>
    <w:rsid w:val="00452987"/>
    <w:rsid w:val="004529F9"/>
    <w:rsid w:val="00452A69"/>
    <w:rsid w:val="00452A8E"/>
    <w:rsid w:val="00452AAF"/>
    <w:rsid w:val="00452AB3"/>
    <w:rsid w:val="00452B7B"/>
    <w:rsid w:val="00452D49"/>
    <w:rsid w:val="00452D4B"/>
    <w:rsid w:val="00452D7C"/>
    <w:rsid w:val="00452E2A"/>
    <w:rsid w:val="00452ECF"/>
    <w:rsid w:val="00452FD8"/>
    <w:rsid w:val="00452FDF"/>
    <w:rsid w:val="0045301E"/>
    <w:rsid w:val="00453058"/>
    <w:rsid w:val="00453098"/>
    <w:rsid w:val="004530C8"/>
    <w:rsid w:val="004530C9"/>
    <w:rsid w:val="00453219"/>
    <w:rsid w:val="0045323E"/>
    <w:rsid w:val="00453281"/>
    <w:rsid w:val="00453283"/>
    <w:rsid w:val="004532FB"/>
    <w:rsid w:val="00453313"/>
    <w:rsid w:val="00453390"/>
    <w:rsid w:val="00453421"/>
    <w:rsid w:val="00453489"/>
    <w:rsid w:val="004534A4"/>
    <w:rsid w:val="004534DC"/>
    <w:rsid w:val="00453507"/>
    <w:rsid w:val="00453529"/>
    <w:rsid w:val="00453553"/>
    <w:rsid w:val="00453577"/>
    <w:rsid w:val="00453608"/>
    <w:rsid w:val="0045362C"/>
    <w:rsid w:val="00453636"/>
    <w:rsid w:val="0045371A"/>
    <w:rsid w:val="0045373A"/>
    <w:rsid w:val="004537A9"/>
    <w:rsid w:val="0045380C"/>
    <w:rsid w:val="00453833"/>
    <w:rsid w:val="00453870"/>
    <w:rsid w:val="00453897"/>
    <w:rsid w:val="004538C6"/>
    <w:rsid w:val="004538E2"/>
    <w:rsid w:val="004538FC"/>
    <w:rsid w:val="0045398F"/>
    <w:rsid w:val="00453993"/>
    <w:rsid w:val="004539BD"/>
    <w:rsid w:val="00453A9C"/>
    <w:rsid w:val="00453AD0"/>
    <w:rsid w:val="00453B77"/>
    <w:rsid w:val="00453C00"/>
    <w:rsid w:val="00453C12"/>
    <w:rsid w:val="00453C72"/>
    <w:rsid w:val="00453C88"/>
    <w:rsid w:val="00453D5A"/>
    <w:rsid w:val="00453D8E"/>
    <w:rsid w:val="00453D97"/>
    <w:rsid w:val="00453DC9"/>
    <w:rsid w:val="00453E68"/>
    <w:rsid w:val="00453E86"/>
    <w:rsid w:val="00453F46"/>
    <w:rsid w:val="00453F59"/>
    <w:rsid w:val="00453FD2"/>
    <w:rsid w:val="0045403E"/>
    <w:rsid w:val="00454082"/>
    <w:rsid w:val="004540A6"/>
    <w:rsid w:val="00454104"/>
    <w:rsid w:val="0045410F"/>
    <w:rsid w:val="004541B2"/>
    <w:rsid w:val="0045426E"/>
    <w:rsid w:val="004542A4"/>
    <w:rsid w:val="00454330"/>
    <w:rsid w:val="00454373"/>
    <w:rsid w:val="0045444E"/>
    <w:rsid w:val="00454487"/>
    <w:rsid w:val="0045449B"/>
    <w:rsid w:val="004544CB"/>
    <w:rsid w:val="004544E3"/>
    <w:rsid w:val="004544EE"/>
    <w:rsid w:val="00454510"/>
    <w:rsid w:val="0045451A"/>
    <w:rsid w:val="00454545"/>
    <w:rsid w:val="00454582"/>
    <w:rsid w:val="004545F5"/>
    <w:rsid w:val="00454705"/>
    <w:rsid w:val="00454789"/>
    <w:rsid w:val="00454881"/>
    <w:rsid w:val="004548FB"/>
    <w:rsid w:val="0045493F"/>
    <w:rsid w:val="00454942"/>
    <w:rsid w:val="004549A9"/>
    <w:rsid w:val="00454A5A"/>
    <w:rsid w:val="00454A62"/>
    <w:rsid w:val="00454A6C"/>
    <w:rsid w:val="00454BC7"/>
    <w:rsid w:val="00454C43"/>
    <w:rsid w:val="00454D06"/>
    <w:rsid w:val="00454D25"/>
    <w:rsid w:val="00454D60"/>
    <w:rsid w:val="00454D6F"/>
    <w:rsid w:val="00454DB1"/>
    <w:rsid w:val="00454DEA"/>
    <w:rsid w:val="00454E44"/>
    <w:rsid w:val="00454E53"/>
    <w:rsid w:val="00454E79"/>
    <w:rsid w:val="00454F5B"/>
    <w:rsid w:val="00454F8E"/>
    <w:rsid w:val="00454F94"/>
    <w:rsid w:val="00454FC7"/>
    <w:rsid w:val="00455005"/>
    <w:rsid w:val="00455042"/>
    <w:rsid w:val="0045506E"/>
    <w:rsid w:val="004550B8"/>
    <w:rsid w:val="004550E4"/>
    <w:rsid w:val="00455134"/>
    <w:rsid w:val="00455135"/>
    <w:rsid w:val="004551BE"/>
    <w:rsid w:val="004551F2"/>
    <w:rsid w:val="00455221"/>
    <w:rsid w:val="0045527F"/>
    <w:rsid w:val="00455282"/>
    <w:rsid w:val="004552B1"/>
    <w:rsid w:val="004552B9"/>
    <w:rsid w:val="004552EB"/>
    <w:rsid w:val="004552F9"/>
    <w:rsid w:val="0045536E"/>
    <w:rsid w:val="004553F6"/>
    <w:rsid w:val="00455496"/>
    <w:rsid w:val="00455559"/>
    <w:rsid w:val="0045555A"/>
    <w:rsid w:val="00455599"/>
    <w:rsid w:val="0045567D"/>
    <w:rsid w:val="0045576A"/>
    <w:rsid w:val="00455774"/>
    <w:rsid w:val="004557D8"/>
    <w:rsid w:val="0045584D"/>
    <w:rsid w:val="00455890"/>
    <w:rsid w:val="0045589E"/>
    <w:rsid w:val="00455913"/>
    <w:rsid w:val="004559A1"/>
    <w:rsid w:val="004559CE"/>
    <w:rsid w:val="00455A30"/>
    <w:rsid w:val="00455A32"/>
    <w:rsid w:val="00455A40"/>
    <w:rsid w:val="00455A68"/>
    <w:rsid w:val="00455A86"/>
    <w:rsid w:val="00455A91"/>
    <w:rsid w:val="00455A94"/>
    <w:rsid w:val="00455AC0"/>
    <w:rsid w:val="00455AD3"/>
    <w:rsid w:val="00455AF1"/>
    <w:rsid w:val="00455B82"/>
    <w:rsid w:val="00455BCF"/>
    <w:rsid w:val="00455C8C"/>
    <w:rsid w:val="00455CE2"/>
    <w:rsid w:val="00455D1E"/>
    <w:rsid w:val="00455D8B"/>
    <w:rsid w:val="00455DC3"/>
    <w:rsid w:val="00455E1A"/>
    <w:rsid w:val="00455E7D"/>
    <w:rsid w:val="00455EC5"/>
    <w:rsid w:val="00455F0D"/>
    <w:rsid w:val="0045601C"/>
    <w:rsid w:val="00456021"/>
    <w:rsid w:val="00456054"/>
    <w:rsid w:val="004560B6"/>
    <w:rsid w:val="004561AE"/>
    <w:rsid w:val="004561D0"/>
    <w:rsid w:val="004561E1"/>
    <w:rsid w:val="004561F0"/>
    <w:rsid w:val="00456353"/>
    <w:rsid w:val="00456364"/>
    <w:rsid w:val="00456379"/>
    <w:rsid w:val="00456387"/>
    <w:rsid w:val="004563AD"/>
    <w:rsid w:val="004563B5"/>
    <w:rsid w:val="004563E5"/>
    <w:rsid w:val="00456442"/>
    <w:rsid w:val="004564C8"/>
    <w:rsid w:val="004564DE"/>
    <w:rsid w:val="0045656C"/>
    <w:rsid w:val="0045658B"/>
    <w:rsid w:val="004565B4"/>
    <w:rsid w:val="004565EB"/>
    <w:rsid w:val="00456636"/>
    <w:rsid w:val="0045665B"/>
    <w:rsid w:val="004566C3"/>
    <w:rsid w:val="00456730"/>
    <w:rsid w:val="00456774"/>
    <w:rsid w:val="004569CD"/>
    <w:rsid w:val="00456A1A"/>
    <w:rsid w:val="00456B24"/>
    <w:rsid w:val="00456C63"/>
    <w:rsid w:val="00456DAE"/>
    <w:rsid w:val="00456E21"/>
    <w:rsid w:val="00456F13"/>
    <w:rsid w:val="00456F18"/>
    <w:rsid w:val="00456F2F"/>
    <w:rsid w:val="00456F60"/>
    <w:rsid w:val="00456FC8"/>
    <w:rsid w:val="00456FDF"/>
    <w:rsid w:val="00457160"/>
    <w:rsid w:val="004571DB"/>
    <w:rsid w:val="0045722E"/>
    <w:rsid w:val="00457231"/>
    <w:rsid w:val="00457234"/>
    <w:rsid w:val="004572D3"/>
    <w:rsid w:val="0045737C"/>
    <w:rsid w:val="00457392"/>
    <w:rsid w:val="00457393"/>
    <w:rsid w:val="00457404"/>
    <w:rsid w:val="004574F4"/>
    <w:rsid w:val="004574F5"/>
    <w:rsid w:val="00457535"/>
    <w:rsid w:val="0045754D"/>
    <w:rsid w:val="00457551"/>
    <w:rsid w:val="0045757A"/>
    <w:rsid w:val="0045759E"/>
    <w:rsid w:val="004575E6"/>
    <w:rsid w:val="00457601"/>
    <w:rsid w:val="00457638"/>
    <w:rsid w:val="004576C0"/>
    <w:rsid w:val="00457723"/>
    <w:rsid w:val="0045773C"/>
    <w:rsid w:val="00457805"/>
    <w:rsid w:val="004578AD"/>
    <w:rsid w:val="0045796F"/>
    <w:rsid w:val="004579F9"/>
    <w:rsid w:val="00457A06"/>
    <w:rsid w:val="00457A2C"/>
    <w:rsid w:val="00457A5C"/>
    <w:rsid w:val="00457AF1"/>
    <w:rsid w:val="00457B30"/>
    <w:rsid w:val="00457BEE"/>
    <w:rsid w:val="00457C2D"/>
    <w:rsid w:val="00457C62"/>
    <w:rsid w:val="00457CBC"/>
    <w:rsid w:val="00457CE5"/>
    <w:rsid w:val="00457D32"/>
    <w:rsid w:val="00457D4C"/>
    <w:rsid w:val="00457D7F"/>
    <w:rsid w:val="00457D9B"/>
    <w:rsid w:val="00457E37"/>
    <w:rsid w:val="00457E6B"/>
    <w:rsid w:val="00457E77"/>
    <w:rsid w:val="00457E9C"/>
    <w:rsid w:val="00457F30"/>
    <w:rsid w:val="00457FD4"/>
    <w:rsid w:val="0046009B"/>
    <w:rsid w:val="004600A0"/>
    <w:rsid w:val="0046013C"/>
    <w:rsid w:val="00460180"/>
    <w:rsid w:val="00460194"/>
    <w:rsid w:val="004601B8"/>
    <w:rsid w:val="004601BD"/>
    <w:rsid w:val="004601CE"/>
    <w:rsid w:val="004601FB"/>
    <w:rsid w:val="00460248"/>
    <w:rsid w:val="0046026C"/>
    <w:rsid w:val="0046027E"/>
    <w:rsid w:val="004602BD"/>
    <w:rsid w:val="00460387"/>
    <w:rsid w:val="004603BB"/>
    <w:rsid w:val="004603FA"/>
    <w:rsid w:val="0046044E"/>
    <w:rsid w:val="0046048C"/>
    <w:rsid w:val="00460529"/>
    <w:rsid w:val="00460547"/>
    <w:rsid w:val="00460562"/>
    <w:rsid w:val="004605DA"/>
    <w:rsid w:val="00460695"/>
    <w:rsid w:val="004606DB"/>
    <w:rsid w:val="004606E3"/>
    <w:rsid w:val="0046074A"/>
    <w:rsid w:val="004607E4"/>
    <w:rsid w:val="00460821"/>
    <w:rsid w:val="00460892"/>
    <w:rsid w:val="004608EE"/>
    <w:rsid w:val="00460916"/>
    <w:rsid w:val="0046092D"/>
    <w:rsid w:val="004609B2"/>
    <w:rsid w:val="004609FB"/>
    <w:rsid w:val="00460A2E"/>
    <w:rsid w:val="00460B2B"/>
    <w:rsid w:val="00460B4C"/>
    <w:rsid w:val="00460C1B"/>
    <w:rsid w:val="00460C83"/>
    <w:rsid w:val="00460CB2"/>
    <w:rsid w:val="00460CDE"/>
    <w:rsid w:val="00460D11"/>
    <w:rsid w:val="00460D53"/>
    <w:rsid w:val="00460DCF"/>
    <w:rsid w:val="00460EC0"/>
    <w:rsid w:val="00460F07"/>
    <w:rsid w:val="00460F6C"/>
    <w:rsid w:val="00460FA0"/>
    <w:rsid w:val="00460FF4"/>
    <w:rsid w:val="00461002"/>
    <w:rsid w:val="00461077"/>
    <w:rsid w:val="004610B9"/>
    <w:rsid w:val="00461133"/>
    <w:rsid w:val="0046115D"/>
    <w:rsid w:val="004611BF"/>
    <w:rsid w:val="004611DA"/>
    <w:rsid w:val="00461240"/>
    <w:rsid w:val="0046124C"/>
    <w:rsid w:val="00461290"/>
    <w:rsid w:val="004612D7"/>
    <w:rsid w:val="004612DA"/>
    <w:rsid w:val="00461309"/>
    <w:rsid w:val="0046136E"/>
    <w:rsid w:val="004613A0"/>
    <w:rsid w:val="004613D8"/>
    <w:rsid w:val="004613D9"/>
    <w:rsid w:val="004613E1"/>
    <w:rsid w:val="004614F8"/>
    <w:rsid w:val="00461564"/>
    <w:rsid w:val="00461630"/>
    <w:rsid w:val="004616CB"/>
    <w:rsid w:val="004616F6"/>
    <w:rsid w:val="0046178F"/>
    <w:rsid w:val="004617AC"/>
    <w:rsid w:val="004617B3"/>
    <w:rsid w:val="0046180F"/>
    <w:rsid w:val="00461880"/>
    <w:rsid w:val="004618C0"/>
    <w:rsid w:val="00461919"/>
    <w:rsid w:val="004619E4"/>
    <w:rsid w:val="004619F3"/>
    <w:rsid w:val="00461A30"/>
    <w:rsid w:val="00461A80"/>
    <w:rsid w:val="00461B83"/>
    <w:rsid w:val="00461C3B"/>
    <w:rsid w:val="00461C4E"/>
    <w:rsid w:val="00461D31"/>
    <w:rsid w:val="00461DCE"/>
    <w:rsid w:val="00461DDE"/>
    <w:rsid w:val="00461E00"/>
    <w:rsid w:val="00461E2D"/>
    <w:rsid w:val="00461E41"/>
    <w:rsid w:val="00461F7C"/>
    <w:rsid w:val="00461FCD"/>
    <w:rsid w:val="00462000"/>
    <w:rsid w:val="0046200A"/>
    <w:rsid w:val="00462030"/>
    <w:rsid w:val="00462051"/>
    <w:rsid w:val="00462054"/>
    <w:rsid w:val="004620CC"/>
    <w:rsid w:val="0046211A"/>
    <w:rsid w:val="00462174"/>
    <w:rsid w:val="00462242"/>
    <w:rsid w:val="004622A3"/>
    <w:rsid w:val="004622C0"/>
    <w:rsid w:val="004622F0"/>
    <w:rsid w:val="004622F5"/>
    <w:rsid w:val="00462356"/>
    <w:rsid w:val="0046237E"/>
    <w:rsid w:val="004623B8"/>
    <w:rsid w:val="00462400"/>
    <w:rsid w:val="00462446"/>
    <w:rsid w:val="004624F0"/>
    <w:rsid w:val="00462528"/>
    <w:rsid w:val="004625C9"/>
    <w:rsid w:val="004625CB"/>
    <w:rsid w:val="004626A9"/>
    <w:rsid w:val="004626E9"/>
    <w:rsid w:val="00462741"/>
    <w:rsid w:val="00462778"/>
    <w:rsid w:val="0046282B"/>
    <w:rsid w:val="004628BB"/>
    <w:rsid w:val="004628F1"/>
    <w:rsid w:val="00462919"/>
    <w:rsid w:val="00462986"/>
    <w:rsid w:val="0046299A"/>
    <w:rsid w:val="004629BB"/>
    <w:rsid w:val="00462A11"/>
    <w:rsid w:val="00462A7C"/>
    <w:rsid w:val="00462B4B"/>
    <w:rsid w:val="00462B56"/>
    <w:rsid w:val="00462C20"/>
    <w:rsid w:val="00462C74"/>
    <w:rsid w:val="00462E08"/>
    <w:rsid w:val="00462E6C"/>
    <w:rsid w:val="00462E78"/>
    <w:rsid w:val="00462ECD"/>
    <w:rsid w:val="00462FAC"/>
    <w:rsid w:val="00462FDB"/>
    <w:rsid w:val="0046311B"/>
    <w:rsid w:val="0046320F"/>
    <w:rsid w:val="0046324C"/>
    <w:rsid w:val="00463291"/>
    <w:rsid w:val="0046337D"/>
    <w:rsid w:val="00463391"/>
    <w:rsid w:val="0046347D"/>
    <w:rsid w:val="0046349C"/>
    <w:rsid w:val="004634DE"/>
    <w:rsid w:val="0046352D"/>
    <w:rsid w:val="00463660"/>
    <w:rsid w:val="00463723"/>
    <w:rsid w:val="00463777"/>
    <w:rsid w:val="004637A4"/>
    <w:rsid w:val="00463834"/>
    <w:rsid w:val="00463974"/>
    <w:rsid w:val="00463A9A"/>
    <w:rsid w:val="00463AB1"/>
    <w:rsid w:val="00463ADC"/>
    <w:rsid w:val="00463AE6"/>
    <w:rsid w:val="00463AFA"/>
    <w:rsid w:val="00463B50"/>
    <w:rsid w:val="00463B7D"/>
    <w:rsid w:val="00463C82"/>
    <w:rsid w:val="00463CBC"/>
    <w:rsid w:val="00463D60"/>
    <w:rsid w:val="00463FA9"/>
    <w:rsid w:val="00463FB8"/>
    <w:rsid w:val="0046405C"/>
    <w:rsid w:val="0046413B"/>
    <w:rsid w:val="00464264"/>
    <w:rsid w:val="00464270"/>
    <w:rsid w:val="004642E6"/>
    <w:rsid w:val="0046436E"/>
    <w:rsid w:val="0046438A"/>
    <w:rsid w:val="00464394"/>
    <w:rsid w:val="0046440C"/>
    <w:rsid w:val="0046440E"/>
    <w:rsid w:val="004644BB"/>
    <w:rsid w:val="004644C2"/>
    <w:rsid w:val="004644ED"/>
    <w:rsid w:val="0046451F"/>
    <w:rsid w:val="00464582"/>
    <w:rsid w:val="0046459C"/>
    <w:rsid w:val="004645FA"/>
    <w:rsid w:val="004646A0"/>
    <w:rsid w:val="0046489F"/>
    <w:rsid w:val="0046491D"/>
    <w:rsid w:val="004649E4"/>
    <w:rsid w:val="00464A0D"/>
    <w:rsid w:val="00464A3C"/>
    <w:rsid w:val="00464A8A"/>
    <w:rsid w:val="00464AA0"/>
    <w:rsid w:val="00464ABD"/>
    <w:rsid w:val="00464B42"/>
    <w:rsid w:val="00464B6C"/>
    <w:rsid w:val="00464BC4"/>
    <w:rsid w:val="00464CE8"/>
    <w:rsid w:val="00464D3A"/>
    <w:rsid w:val="00464D77"/>
    <w:rsid w:val="00464DA0"/>
    <w:rsid w:val="00464F07"/>
    <w:rsid w:val="00464F6C"/>
    <w:rsid w:val="0046506B"/>
    <w:rsid w:val="0046507A"/>
    <w:rsid w:val="004650DB"/>
    <w:rsid w:val="0046511F"/>
    <w:rsid w:val="00465159"/>
    <w:rsid w:val="004651E0"/>
    <w:rsid w:val="00465277"/>
    <w:rsid w:val="00465311"/>
    <w:rsid w:val="00465340"/>
    <w:rsid w:val="004654ED"/>
    <w:rsid w:val="0046550D"/>
    <w:rsid w:val="00465535"/>
    <w:rsid w:val="004655A2"/>
    <w:rsid w:val="004655FA"/>
    <w:rsid w:val="004658B3"/>
    <w:rsid w:val="004658D6"/>
    <w:rsid w:val="004658F6"/>
    <w:rsid w:val="004658FF"/>
    <w:rsid w:val="0046592E"/>
    <w:rsid w:val="00465938"/>
    <w:rsid w:val="0046594D"/>
    <w:rsid w:val="004659A0"/>
    <w:rsid w:val="004659A1"/>
    <w:rsid w:val="00465AC7"/>
    <w:rsid w:val="00465AEC"/>
    <w:rsid w:val="00465B01"/>
    <w:rsid w:val="00465BA7"/>
    <w:rsid w:val="00465C2D"/>
    <w:rsid w:val="00465C40"/>
    <w:rsid w:val="00465CFF"/>
    <w:rsid w:val="00465DD2"/>
    <w:rsid w:val="00465DE1"/>
    <w:rsid w:val="00465DE6"/>
    <w:rsid w:val="00465ED0"/>
    <w:rsid w:val="00465F15"/>
    <w:rsid w:val="00465FE1"/>
    <w:rsid w:val="00465FE7"/>
    <w:rsid w:val="00465FEB"/>
    <w:rsid w:val="0046603C"/>
    <w:rsid w:val="0046609F"/>
    <w:rsid w:val="0046610A"/>
    <w:rsid w:val="00466148"/>
    <w:rsid w:val="004661C1"/>
    <w:rsid w:val="004661C8"/>
    <w:rsid w:val="004661DF"/>
    <w:rsid w:val="00466221"/>
    <w:rsid w:val="00466242"/>
    <w:rsid w:val="004662D6"/>
    <w:rsid w:val="004662EB"/>
    <w:rsid w:val="00466323"/>
    <w:rsid w:val="0046633E"/>
    <w:rsid w:val="00466357"/>
    <w:rsid w:val="00466370"/>
    <w:rsid w:val="00466482"/>
    <w:rsid w:val="0046650D"/>
    <w:rsid w:val="00466553"/>
    <w:rsid w:val="00466561"/>
    <w:rsid w:val="004665E3"/>
    <w:rsid w:val="0046668B"/>
    <w:rsid w:val="004666B7"/>
    <w:rsid w:val="004666C1"/>
    <w:rsid w:val="004667B2"/>
    <w:rsid w:val="004667F9"/>
    <w:rsid w:val="00466886"/>
    <w:rsid w:val="0046690C"/>
    <w:rsid w:val="00466921"/>
    <w:rsid w:val="004669C0"/>
    <w:rsid w:val="004669D4"/>
    <w:rsid w:val="004669F1"/>
    <w:rsid w:val="00466A10"/>
    <w:rsid w:val="00466A2C"/>
    <w:rsid w:val="00466AA7"/>
    <w:rsid w:val="00466B7F"/>
    <w:rsid w:val="00466BB3"/>
    <w:rsid w:val="00466CAB"/>
    <w:rsid w:val="00466CF0"/>
    <w:rsid w:val="00466D77"/>
    <w:rsid w:val="00466D7A"/>
    <w:rsid w:val="00466DD7"/>
    <w:rsid w:val="00466F2A"/>
    <w:rsid w:val="00466F6F"/>
    <w:rsid w:val="00466F7E"/>
    <w:rsid w:val="00466F8D"/>
    <w:rsid w:val="00466FDA"/>
    <w:rsid w:val="00466FFB"/>
    <w:rsid w:val="0046700B"/>
    <w:rsid w:val="00467077"/>
    <w:rsid w:val="004670D5"/>
    <w:rsid w:val="004670F5"/>
    <w:rsid w:val="00467105"/>
    <w:rsid w:val="004671B3"/>
    <w:rsid w:val="004671E0"/>
    <w:rsid w:val="004671E9"/>
    <w:rsid w:val="0046722A"/>
    <w:rsid w:val="00467248"/>
    <w:rsid w:val="0046724D"/>
    <w:rsid w:val="004672DE"/>
    <w:rsid w:val="0046733A"/>
    <w:rsid w:val="004674CA"/>
    <w:rsid w:val="00467603"/>
    <w:rsid w:val="00467696"/>
    <w:rsid w:val="004676BF"/>
    <w:rsid w:val="004676DA"/>
    <w:rsid w:val="00467755"/>
    <w:rsid w:val="004677C1"/>
    <w:rsid w:val="00467811"/>
    <w:rsid w:val="00467819"/>
    <w:rsid w:val="0046781B"/>
    <w:rsid w:val="00467833"/>
    <w:rsid w:val="00467844"/>
    <w:rsid w:val="00467868"/>
    <w:rsid w:val="0046786C"/>
    <w:rsid w:val="00467876"/>
    <w:rsid w:val="004678DE"/>
    <w:rsid w:val="00467960"/>
    <w:rsid w:val="004679B1"/>
    <w:rsid w:val="004679B3"/>
    <w:rsid w:val="004679D8"/>
    <w:rsid w:val="00467A39"/>
    <w:rsid w:val="00467A81"/>
    <w:rsid w:val="00467AAC"/>
    <w:rsid w:val="00467AE4"/>
    <w:rsid w:val="00467B96"/>
    <w:rsid w:val="00467C47"/>
    <w:rsid w:val="00467D9A"/>
    <w:rsid w:val="00467E03"/>
    <w:rsid w:val="00467E36"/>
    <w:rsid w:val="00467E45"/>
    <w:rsid w:val="00467EF2"/>
    <w:rsid w:val="0047004F"/>
    <w:rsid w:val="00470094"/>
    <w:rsid w:val="004700B8"/>
    <w:rsid w:val="0047015F"/>
    <w:rsid w:val="004701E2"/>
    <w:rsid w:val="00470217"/>
    <w:rsid w:val="00470253"/>
    <w:rsid w:val="004702A7"/>
    <w:rsid w:val="00470311"/>
    <w:rsid w:val="0047036C"/>
    <w:rsid w:val="004703C7"/>
    <w:rsid w:val="004703DB"/>
    <w:rsid w:val="004704E5"/>
    <w:rsid w:val="00470522"/>
    <w:rsid w:val="004705B5"/>
    <w:rsid w:val="004705D7"/>
    <w:rsid w:val="00470629"/>
    <w:rsid w:val="00470698"/>
    <w:rsid w:val="004706A4"/>
    <w:rsid w:val="00470747"/>
    <w:rsid w:val="004707BD"/>
    <w:rsid w:val="004707D0"/>
    <w:rsid w:val="004707F4"/>
    <w:rsid w:val="004708F7"/>
    <w:rsid w:val="00470903"/>
    <w:rsid w:val="004709E7"/>
    <w:rsid w:val="00470A18"/>
    <w:rsid w:val="00470AB6"/>
    <w:rsid w:val="00470AD2"/>
    <w:rsid w:val="00470AE7"/>
    <w:rsid w:val="00470B2E"/>
    <w:rsid w:val="00470B37"/>
    <w:rsid w:val="00470B71"/>
    <w:rsid w:val="00470C14"/>
    <w:rsid w:val="00470C89"/>
    <w:rsid w:val="00470C90"/>
    <w:rsid w:val="00470CB6"/>
    <w:rsid w:val="00470D5F"/>
    <w:rsid w:val="00470D8F"/>
    <w:rsid w:val="00470DB9"/>
    <w:rsid w:val="00470E2F"/>
    <w:rsid w:val="00470E63"/>
    <w:rsid w:val="00470EDB"/>
    <w:rsid w:val="00470F28"/>
    <w:rsid w:val="00470FC1"/>
    <w:rsid w:val="00470FD6"/>
    <w:rsid w:val="00470FF3"/>
    <w:rsid w:val="00471005"/>
    <w:rsid w:val="004710BA"/>
    <w:rsid w:val="004710BB"/>
    <w:rsid w:val="00471166"/>
    <w:rsid w:val="004711A9"/>
    <w:rsid w:val="004711CF"/>
    <w:rsid w:val="004713AB"/>
    <w:rsid w:val="004713FD"/>
    <w:rsid w:val="00471400"/>
    <w:rsid w:val="00471413"/>
    <w:rsid w:val="0047141E"/>
    <w:rsid w:val="00471442"/>
    <w:rsid w:val="004714E1"/>
    <w:rsid w:val="004714FA"/>
    <w:rsid w:val="00471513"/>
    <w:rsid w:val="00471554"/>
    <w:rsid w:val="0047158B"/>
    <w:rsid w:val="0047162B"/>
    <w:rsid w:val="00471650"/>
    <w:rsid w:val="0047167A"/>
    <w:rsid w:val="004716A5"/>
    <w:rsid w:val="004716F2"/>
    <w:rsid w:val="004717AD"/>
    <w:rsid w:val="00471830"/>
    <w:rsid w:val="00471861"/>
    <w:rsid w:val="004718A6"/>
    <w:rsid w:val="004718C4"/>
    <w:rsid w:val="00471900"/>
    <w:rsid w:val="00471904"/>
    <w:rsid w:val="004719B3"/>
    <w:rsid w:val="00471A38"/>
    <w:rsid w:val="00471A92"/>
    <w:rsid w:val="00471AB8"/>
    <w:rsid w:val="00471B7A"/>
    <w:rsid w:val="00471B96"/>
    <w:rsid w:val="00471BDB"/>
    <w:rsid w:val="00471BDC"/>
    <w:rsid w:val="00471CDA"/>
    <w:rsid w:val="00471D0D"/>
    <w:rsid w:val="00471D7E"/>
    <w:rsid w:val="00471E87"/>
    <w:rsid w:val="00471EA5"/>
    <w:rsid w:val="00471F8A"/>
    <w:rsid w:val="00471FF9"/>
    <w:rsid w:val="004720DE"/>
    <w:rsid w:val="004721AB"/>
    <w:rsid w:val="004721DB"/>
    <w:rsid w:val="00472208"/>
    <w:rsid w:val="00472266"/>
    <w:rsid w:val="00472295"/>
    <w:rsid w:val="004722DD"/>
    <w:rsid w:val="0047231D"/>
    <w:rsid w:val="00472378"/>
    <w:rsid w:val="004723ED"/>
    <w:rsid w:val="00472498"/>
    <w:rsid w:val="00472575"/>
    <w:rsid w:val="00472577"/>
    <w:rsid w:val="004725BD"/>
    <w:rsid w:val="00472612"/>
    <w:rsid w:val="0047268E"/>
    <w:rsid w:val="0047268F"/>
    <w:rsid w:val="004726A3"/>
    <w:rsid w:val="0047270A"/>
    <w:rsid w:val="00472722"/>
    <w:rsid w:val="004727E4"/>
    <w:rsid w:val="0047285E"/>
    <w:rsid w:val="00472932"/>
    <w:rsid w:val="00472948"/>
    <w:rsid w:val="004729C6"/>
    <w:rsid w:val="00472A40"/>
    <w:rsid w:val="00472AB8"/>
    <w:rsid w:val="00472ACB"/>
    <w:rsid w:val="00472B00"/>
    <w:rsid w:val="00472B35"/>
    <w:rsid w:val="00472B4B"/>
    <w:rsid w:val="00472B84"/>
    <w:rsid w:val="00472BCB"/>
    <w:rsid w:val="00472BFF"/>
    <w:rsid w:val="00472C0E"/>
    <w:rsid w:val="00472C43"/>
    <w:rsid w:val="00472C92"/>
    <w:rsid w:val="00472ED4"/>
    <w:rsid w:val="00472F89"/>
    <w:rsid w:val="00472FCB"/>
    <w:rsid w:val="0047305C"/>
    <w:rsid w:val="004730B7"/>
    <w:rsid w:val="00473153"/>
    <w:rsid w:val="004731CB"/>
    <w:rsid w:val="0047323A"/>
    <w:rsid w:val="00473320"/>
    <w:rsid w:val="00473398"/>
    <w:rsid w:val="004733C6"/>
    <w:rsid w:val="004733D4"/>
    <w:rsid w:val="00473424"/>
    <w:rsid w:val="004734C9"/>
    <w:rsid w:val="00473540"/>
    <w:rsid w:val="004735A0"/>
    <w:rsid w:val="00473644"/>
    <w:rsid w:val="004736F3"/>
    <w:rsid w:val="00473746"/>
    <w:rsid w:val="00473795"/>
    <w:rsid w:val="00473797"/>
    <w:rsid w:val="004737E4"/>
    <w:rsid w:val="0047380E"/>
    <w:rsid w:val="00473825"/>
    <w:rsid w:val="0047385C"/>
    <w:rsid w:val="00473896"/>
    <w:rsid w:val="004738E8"/>
    <w:rsid w:val="004739DD"/>
    <w:rsid w:val="004739F4"/>
    <w:rsid w:val="00473A3E"/>
    <w:rsid w:val="00473B0F"/>
    <w:rsid w:val="00473B1A"/>
    <w:rsid w:val="00473B32"/>
    <w:rsid w:val="00473B95"/>
    <w:rsid w:val="00473B9B"/>
    <w:rsid w:val="00473BC1"/>
    <w:rsid w:val="00473CC9"/>
    <w:rsid w:val="00473E23"/>
    <w:rsid w:val="00473EE2"/>
    <w:rsid w:val="00473EEA"/>
    <w:rsid w:val="00473F55"/>
    <w:rsid w:val="00473F5B"/>
    <w:rsid w:val="00473F94"/>
    <w:rsid w:val="00473F96"/>
    <w:rsid w:val="0047404A"/>
    <w:rsid w:val="004740B7"/>
    <w:rsid w:val="004740C3"/>
    <w:rsid w:val="004740D1"/>
    <w:rsid w:val="00474112"/>
    <w:rsid w:val="00474151"/>
    <w:rsid w:val="00474155"/>
    <w:rsid w:val="0047417B"/>
    <w:rsid w:val="004741A5"/>
    <w:rsid w:val="004741B8"/>
    <w:rsid w:val="004741C2"/>
    <w:rsid w:val="0047420D"/>
    <w:rsid w:val="004742C8"/>
    <w:rsid w:val="004742FE"/>
    <w:rsid w:val="004743CB"/>
    <w:rsid w:val="004743D5"/>
    <w:rsid w:val="004743E4"/>
    <w:rsid w:val="0047442F"/>
    <w:rsid w:val="004744F5"/>
    <w:rsid w:val="0047454E"/>
    <w:rsid w:val="00474561"/>
    <w:rsid w:val="0047456C"/>
    <w:rsid w:val="0047462B"/>
    <w:rsid w:val="00474672"/>
    <w:rsid w:val="0047469C"/>
    <w:rsid w:val="004746AD"/>
    <w:rsid w:val="004746B4"/>
    <w:rsid w:val="004746B5"/>
    <w:rsid w:val="00474784"/>
    <w:rsid w:val="004747AB"/>
    <w:rsid w:val="004748B4"/>
    <w:rsid w:val="004748D7"/>
    <w:rsid w:val="00474A19"/>
    <w:rsid w:val="00474A45"/>
    <w:rsid w:val="00474A5A"/>
    <w:rsid w:val="00474AC4"/>
    <w:rsid w:val="00474AF8"/>
    <w:rsid w:val="00474B1D"/>
    <w:rsid w:val="00474B57"/>
    <w:rsid w:val="00474C35"/>
    <w:rsid w:val="00474C79"/>
    <w:rsid w:val="00474C92"/>
    <w:rsid w:val="00474CAF"/>
    <w:rsid w:val="00474CCB"/>
    <w:rsid w:val="00474CD8"/>
    <w:rsid w:val="00474D89"/>
    <w:rsid w:val="00474DD0"/>
    <w:rsid w:val="00474DDB"/>
    <w:rsid w:val="00474E01"/>
    <w:rsid w:val="00474E1E"/>
    <w:rsid w:val="00474E29"/>
    <w:rsid w:val="00474EF3"/>
    <w:rsid w:val="00474F00"/>
    <w:rsid w:val="00474F88"/>
    <w:rsid w:val="00474FF2"/>
    <w:rsid w:val="00475048"/>
    <w:rsid w:val="004750CE"/>
    <w:rsid w:val="00475167"/>
    <w:rsid w:val="004751D8"/>
    <w:rsid w:val="004751D9"/>
    <w:rsid w:val="004751E5"/>
    <w:rsid w:val="0047526E"/>
    <w:rsid w:val="004752C8"/>
    <w:rsid w:val="004752D3"/>
    <w:rsid w:val="00475358"/>
    <w:rsid w:val="0047535D"/>
    <w:rsid w:val="0047544B"/>
    <w:rsid w:val="00475495"/>
    <w:rsid w:val="00475511"/>
    <w:rsid w:val="00475604"/>
    <w:rsid w:val="0047563D"/>
    <w:rsid w:val="0047566E"/>
    <w:rsid w:val="004756CC"/>
    <w:rsid w:val="00475716"/>
    <w:rsid w:val="00475788"/>
    <w:rsid w:val="00475794"/>
    <w:rsid w:val="0047583F"/>
    <w:rsid w:val="004758B3"/>
    <w:rsid w:val="004758E7"/>
    <w:rsid w:val="0047590F"/>
    <w:rsid w:val="00475945"/>
    <w:rsid w:val="00475970"/>
    <w:rsid w:val="00475A06"/>
    <w:rsid w:val="00475A13"/>
    <w:rsid w:val="00475A93"/>
    <w:rsid w:val="00475ABF"/>
    <w:rsid w:val="00475ADE"/>
    <w:rsid w:val="00475B21"/>
    <w:rsid w:val="00475B3B"/>
    <w:rsid w:val="00475B6C"/>
    <w:rsid w:val="00475C2F"/>
    <w:rsid w:val="00475C96"/>
    <w:rsid w:val="00475CB9"/>
    <w:rsid w:val="00475CF7"/>
    <w:rsid w:val="00475DD5"/>
    <w:rsid w:val="00475E1A"/>
    <w:rsid w:val="00475EC0"/>
    <w:rsid w:val="00475EDB"/>
    <w:rsid w:val="00475EE9"/>
    <w:rsid w:val="00475F2B"/>
    <w:rsid w:val="00475F3B"/>
    <w:rsid w:val="00475F8D"/>
    <w:rsid w:val="00475FC4"/>
    <w:rsid w:val="00476184"/>
    <w:rsid w:val="004761A6"/>
    <w:rsid w:val="004761DF"/>
    <w:rsid w:val="00476218"/>
    <w:rsid w:val="00476273"/>
    <w:rsid w:val="00476283"/>
    <w:rsid w:val="004762DF"/>
    <w:rsid w:val="004763A7"/>
    <w:rsid w:val="0047646B"/>
    <w:rsid w:val="004764A1"/>
    <w:rsid w:val="00476516"/>
    <w:rsid w:val="0047658C"/>
    <w:rsid w:val="00476646"/>
    <w:rsid w:val="004766E8"/>
    <w:rsid w:val="0047673D"/>
    <w:rsid w:val="00476799"/>
    <w:rsid w:val="0047681F"/>
    <w:rsid w:val="00476827"/>
    <w:rsid w:val="0047685C"/>
    <w:rsid w:val="0047685E"/>
    <w:rsid w:val="004768F8"/>
    <w:rsid w:val="00476966"/>
    <w:rsid w:val="00476970"/>
    <w:rsid w:val="00476981"/>
    <w:rsid w:val="004769C7"/>
    <w:rsid w:val="00476A46"/>
    <w:rsid w:val="00476B72"/>
    <w:rsid w:val="00476BCA"/>
    <w:rsid w:val="00476BE3"/>
    <w:rsid w:val="00476C1D"/>
    <w:rsid w:val="00476CE7"/>
    <w:rsid w:val="00476D11"/>
    <w:rsid w:val="00476D7F"/>
    <w:rsid w:val="00476DFA"/>
    <w:rsid w:val="00476E4E"/>
    <w:rsid w:val="00476F98"/>
    <w:rsid w:val="00477049"/>
    <w:rsid w:val="00477103"/>
    <w:rsid w:val="0047717C"/>
    <w:rsid w:val="00477289"/>
    <w:rsid w:val="004772ED"/>
    <w:rsid w:val="00477477"/>
    <w:rsid w:val="0047750E"/>
    <w:rsid w:val="00477610"/>
    <w:rsid w:val="00477628"/>
    <w:rsid w:val="00477629"/>
    <w:rsid w:val="00477639"/>
    <w:rsid w:val="00477648"/>
    <w:rsid w:val="004776F8"/>
    <w:rsid w:val="00477712"/>
    <w:rsid w:val="00477832"/>
    <w:rsid w:val="0047783C"/>
    <w:rsid w:val="0047783E"/>
    <w:rsid w:val="0047787F"/>
    <w:rsid w:val="00477899"/>
    <w:rsid w:val="00477908"/>
    <w:rsid w:val="0047790C"/>
    <w:rsid w:val="004779B5"/>
    <w:rsid w:val="004779FB"/>
    <w:rsid w:val="00477A10"/>
    <w:rsid w:val="00477A31"/>
    <w:rsid w:val="00477A4F"/>
    <w:rsid w:val="00477A5B"/>
    <w:rsid w:val="00477B0B"/>
    <w:rsid w:val="00477BBA"/>
    <w:rsid w:val="00477C36"/>
    <w:rsid w:val="00477C58"/>
    <w:rsid w:val="00477D06"/>
    <w:rsid w:val="00477D3E"/>
    <w:rsid w:val="00477DE2"/>
    <w:rsid w:val="00477E32"/>
    <w:rsid w:val="00477E46"/>
    <w:rsid w:val="00477E70"/>
    <w:rsid w:val="00477E7E"/>
    <w:rsid w:val="00477E8A"/>
    <w:rsid w:val="00477ED5"/>
    <w:rsid w:val="00477EE5"/>
    <w:rsid w:val="00477EE9"/>
    <w:rsid w:val="00480019"/>
    <w:rsid w:val="00480029"/>
    <w:rsid w:val="00480088"/>
    <w:rsid w:val="0048016D"/>
    <w:rsid w:val="00480197"/>
    <w:rsid w:val="00480275"/>
    <w:rsid w:val="004802F2"/>
    <w:rsid w:val="00480315"/>
    <w:rsid w:val="004803D1"/>
    <w:rsid w:val="004803DE"/>
    <w:rsid w:val="004803FC"/>
    <w:rsid w:val="0048045A"/>
    <w:rsid w:val="00480659"/>
    <w:rsid w:val="00480668"/>
    <w:rsid w:val="0048070F"/>
    <w:rsid w:val="00480724"/>
    <w:rsid w:val="0048084B"/>
    <w:rsid w:val="0048092D"/>
    <w:rsid w:val="00480937"/>
    <w:rsid w:val="00480977"/>
    <w:rsid w:val="00480A82"/>
    <w:rsid w:val="00480AF8"/>
    <w:rsid w:val="00480B27"/>
    <w:rsid w:val="00480BBF"/>
    <w:rsid w:val="00480BEB"/>
    <w:rsid w:val="00480BF0"/>
    <w:rsid w:val="00480C09"/>
    <w:rsid w:val="00480C17"/>
    <w:rsid w:val="00480C44"/>
    <w:rsid w:val="00480C4B"/>
    <w:rsid w:val="00480C9B"/>
    <w:rsid w:val="00480DE3"/>
    <w:rsid w:val="00480DE8"/>
    <w:rsid w:val="00480F0C"/>
    <w:rsid w:val="00480F39"/>
    <w:rsid w:val="00480F41"/>
    <w:rsid w:val="00480F88"/>
    <w:rsid w:val="00480FBC"/>
    <w:rsid w:val="00481029"/>
    <w:rsid w:val="00481054"/>
    <w:rsid w:val="0048109C"/>
    <w:rsid w:val="004810AC"/>
    <w:rsid w:val="004810DB"/>
    <w:rsid w:val="00481130"/>
    <w:rsid w:val="00481159"/>
    <w:rsid w:val="004811D6"/>
    <w:rsid w:val="004811FB"/>
    <w:rsid w:val="004812AB"/>
    <w:rsid w:val="004812F7"/>
    <w:rsid w:val="0048138A"/>
    <w:rsid w:val="00481406"/>
    <w:rsid w:val="00481438"/>
    <w:rsid w:val="00481460"/>
    <w:rsid w:val="004814EC"/>
    <w:rsid w:val="004814F7"/>
    <w:rsid w:val="00481557"/>
    <w:rsid w:val="004815A5"/>
    <w:rsid w:val="00481617"/>
    <w:rsid w:val="00481692"/>
    <w:rsid w:val="004816AA"/>
    <w:rsid w:val="00481776"/>
    <w:rsid w:val="004817B4"/>
    <w:rsid w:val="0048181B"/>
    <w:rsid w:val="00481847"/>
    <w:rsid w:val="00481889"/>
    <w:rsid w:val="0048189E"/>
    <w:rsid w:val="004818CE"/>
    <w:rsid w:val="004818F3"/>
    <w:rsid w:val="0048194F"/>
    <w:rsid w:val="0048195A"/>
    <w:rsid w:val="004819E5"/>
    <w:rsid w:val="00481A60"/>
    <w:rsid w:val="00481B5E"/>
    <w:rsid w:val="00481B84"/>
    <w:rsid w:val="00481BB5"/>
    <w:rsid w:val="00481BB9"/>
    <w:rsid w:val="00481C47"/>
    <w:rsid w:val="00481C4A"/>
    <w:rsid w:val="00481C8E"/>
    <w:rsid w:val="00481CAB"/>
    <w:rsid w:val="00481D1A"/>
    <w:rsid w:val="00481D65"/>
    <w:rsid w:val="00481E9F"/>
    <w:rsid w:val="00481EE6"/>
    <w:rsid w:val="00481F4B"/>
    <w:rsid w:val="00481FB4"/>
    <w:rsid w:val="00481FBA"/>
    <w:rsid w:val="00482048"/>
    <w:rsid w:val="004820D0"/>
    <w:rsid w:val="004820EE"/>
    <w:rsid w:val="0048211E"/>
    <w:rsid w:val="00482126"/>
    <w:rsid w:val="00482183"/>
    <w:rsid w:val="00482190"/>
    <w:rsid w:val="0048220C"/>
    <w:rsid w:val="0048221F"/>
    <w:rsid w:val="0048223B"/>
    <w:rsid w:val="004822E4"/>
    <w:rsid w:val="00482377"/>
    <w:rsid w:val="0048237D"/>
    <w:rsid w:val="0048239A"/>
    <w:rsid w:val="004823B1"/>
    <w:rsid w:val="004823C8"/>
    <w:rsid w:val="004824E9"/>
    <w:rsid w:val="00482536"/>
    <w:rsid w:val="00482540"/>
    <w:rsid w:val="0048257E"/>
    <w:rsid w:val="00482605"/>
    <w:rsid w:val="00482661"/>
    <w:rsid w:val="00482674"/>
    <w:rsid w:val="00482684"/>
    <w:rsid w:val="004826C3"/>
    <w:rsid w:val="004826ED"/>
    <w:rsid w:val="00482715"/>
    <w:rsid w:val="00482747"/>
    <w:rsid w:val="00482761"/>
    <w:rsid w:val="00482804"/>
    <w:rsid w:val="00482866"/>
    <w:rsid w:val="0048286A"/>
    <w:rsid w:val="0048289E"/>
    <w:rsid w:val="00482A8F"/>
    <w:rsid w:val="00482AEF"/>
    <w:rsid w:val="00482B47"/>
    <w:rsid w:val="00482B8A"/>
    <w:rsid w:val="00482C36"/>
    <w:rsid w:val="00482CA5"/>
    <w:rsid w:val="00482CAE"/>
    <w:rsid w:val="00482D3A"/>
    <w:rsid w:val="00482D76"/>
    <w:rsid w:val="00482D8D"/>
    <w:rsid w:val="00482DB3"/>
    <w:rsid w:val="00482DE2"/>
    <w:rsid w:val="00482E24"/>
    <w:rsid w:val="00482E77"/>
    <w:rsid w:val="00482EE4"/>
    <w:rsid w:val="00482F34"/>
    <w:rsid w:val="00482F43"/>
    <w:rsid w:val="00482FA0"/>
    <w:rsid w:val="00483050"/>
    <w:rsid w:val="00483098"/>
    <w:rsid w:val="004830BE"/>
    <w:rsid w:val="00483139"/>
    <w:rsid w:val="004831D3"/>
    <w:rsid w:val="0048323E"/>
    <w:rsid w:val="0048326E"/>
    <w:rsid w:val="00483328"/>
    <w:rsid w:val="00483347"/>
    <w:rsid w:val="00483356"/>
    <w:rsid w:val="00483406"/>
    <w:rsid w:val="00483535"/>
    <w:rsid w:val="0048356A"/>
    <w:rsid w:val="004835B3"/>
    <w:rsid w:val="00483642"/>
    <w:rsid w:val="0048365F"/>
    <w:rsid w:val="004836E0"/>
    <w:rsid w:val="0048372E"/>
    <w:rsid w:val="0048376E"/>
    <w:rsid w:val="0048378A"/>
    <w:rsid w:val="004837B1"/>
    <w:rsid w:val="004837FA"/>
    <w:rsid w:val="00483851"/>
    <w:rsid w:val="00483903"/>
    <w:rsid w:val="0048393A"/>
    <w:rsid w:val="0048393C"/>
    <w:rsid w:val="004839C0"/>
    <w:rsid w:val="004839E0"/>
    <w:rsid w:val="004839ED"/>
    <w:rsid w:val="004839F2"/>
    <w:rsid w:val="00483A23"/>
    <w:rsid w:val="00483AD6"/>
    <w:rsid w:val="00483ADE"/>
    <w:rsid w:val="00483B3B"/>
    <w:rsid w:val="00483B45"/>
    <w:rsid w:val="00483BF9"/>
    <w:rsid w:val="00483C15"/>
    <w:rsid w:val="00483C19"/>
    <w:rsid w:val="00483C62"/>
    <w:rsid w:val="00483CA1"/>
    <w:rsid w:val="00483CFA"/>
    <w:rsid w:val="00483D89"/>
    <w:rsid w:val="00483DC6"/>
    <w:rsid w:val="00483DCF"/>
    <w:rsid w:val="00483DF4"/>
    <w:rsid w:val="00483DFE"/>
    <w:rsid w:val="00483EC9"/>
    <w:rsid w:val="00483F19"/>
    <w:rsid w:val="00483F40"/>
    <w:rsid w:val="00484055"/>
    <w:rsid w:val="0048407F"/>
    <w:rsid w:val="004840E8"/>
    <w:rsid w:val="004840F7"/>
    <w:rsid w:val="004841A8"/>
    <w:rsid w:val="00484226"/>
    <w:rsid w:val="0048422B"/>
    <w:rsid w:val="004842CC"/>
    <w:rsid w:val="004842D9"/>
    <w:rsid w:val="004842DD"/>
    <w:rsid w:val="00484442"/>
    <w:rsid w:val="004846AD"/>
    <w:rsid w:val="004846E3"/>
    <w:rsid w:val="004849B3"/>
    <w:rsid w:val="00484A72"/>
    <w:rsid w:val="00484AC4"/>
    <w:rsid w:val="00484ACF"/>
    <w:rsid w:val="00484B0E"/>
    <w:rsid w:val="00484B24"/>
    <w:rsid w:val="00484B5C"/>
    <w:rsid w:val="00484C83"/>
    <w:rsid w:val="00484CFC"/>
    <w:rsid w:val="00484D3B"/>
    <w:rsid w:val="00484DC5"/>
    <w:rsid w:val="00484E32"/>
    <w:rsid w:val="00484E7E"/>
    <w:rsid w:val="00484E8A"/>
    <w:rsid w:val="00484E8D"/>
    <w:rsid w:val="00484F2E"/>
    <w:rsid w:val="00484FAE"/>
    <w:rsid w:val="0048504B"/>
    <w:rsid w:val="004850E6"/>
    <w:rsid w:val="004850FC"/>
    <w:rsid w:val="00485284"/>
    <w:rsid w:val="00485285"/>
    <w:rsid w:val="004852A6"/>
    <w:rsid w:val="00485421"/>
    <w:rsid w:val="00485493"/>
    <w:rsid w:val="004854D7"/>
    <w:rsid w:val="00485599"/>
    <w:rsid w:val="004855D0"/>
    <w:rsid w:val="0048562A"/>
    <w:rsid w:val="00485675"/>
    <w:rsid w:val="004856AA"/>
    <w:rsid w:val="0048573F"/>
    <w:rsid w:val="00485829"/>
    <w:rsid w:val="00485970"/>
    <w:rsid w:val="00485BCB"/>
    <w:rsid w:val="00485BCC"/>
    <w:rsid w:val="00485BD9"/>
    <w:rsid w:val="00485C2B"/>
    <w:rsid w:val="00485C69"/>
    <w:rsid w:val="00485D3F"/>
    <w:rsid w:val="00485D67"/>
    <w:rsid w:val="00485D6D"/>
    <w:rsid w:val="00485E6E"/>
    <w:rsid w:val="00485EA6"/>
    <w:rsid w:val="00485F61"/>
    <w:rsid w:val="00486008"/>
    <w:rsid w:val="004860F7"/>
    <w:rsid w:val="00486292"/>
    <w:rsid w:val="004862AD"/>
    <w:rsid w:val="004863D0"/>
    <w:rsid w:val="004863DE"/>
    <w:rsid w:val="004863F7"/>
    <w:rsid w:val="0048643B"/>
    <w:rsid w:val="0048646D"/>
    <w:rsid w:val="0048647C"/>
    <w:rsid w:val="00486489"/>
    <w:rsid w:val="0048653B"/>
    <w:rsid w:val="004865C1"/>
    <w:rsid w:val="00486695"/>
    <w:rsid w:val="004866A1"/>
    <w:rsid w:val="0048672C"/>
    <w:rsid w:val="00486797"/>
    <w:rsid w:val="004867F0"/>
    <w:rsid w:val="004867FD"/>
    <w:rsid w:val="00486834"/>
    <w:rsid w:val="004868A2"/>
    <w:rsid w:val="00486925"/>
    <w:rsid w:val="0048695C"/>
    <w:rsid w:val="0048696A"/>
    <w:rsid w:val="004869BE"/>
    <w:rsid w:val="00486A27"/>
    <w:rsid w:val="00486A75"/>
    <w:rsid w:val="00486ADC"/>
    <w:rsid w:val="00486B07"/>
    <w:rsid w:val="00486B2C"/>
    <w:rsid w:val="00486B6A"/>
    <w:rsid w:val="00486B6C"/>
    <w:rsid w:val="00486C64"/>
    <w:rsid w:val="00486CA4"/>
    <w:rsid w:val="00486D14"/>
    <w:rsid w:val="00486D34"/>
    <w:rsid w:val="00486DE7"/>
    <w:rsid w:val="00486E36"/>
    <w:rsid w:val="0048700C"/>
    <w:rsid w:val="00487017"/>
    <w:rsid w:val="00487021"/>
    <w:rsid w:val="0048704F"/>
    <w:rsid w:val="004870A9"/>
    <w:rsid w:val="004870F7"/>
    <w:rsid w:val="00487139"/>
    <w:rsid w:val="00487191"/>
    <w:rsid w:val="004871B4"/>
    <w:rsid w:val="004872A1"/>
    <w:rsid w:val="004872A6"/>
    <w:rsid w:val="004872AE"/>
    <w:rsid w:val="004872C1"/>
    <w:rsid w:val="004872FF"/>
    <w:rsid w:val="00487352"/>
    <w:rsid w:val="00487386"/>
    <w:rsid w:val="004873D7"/>
    <w:rsid w:val="00487411"/>
    <w:rsid w:val="00487493"/>
    <w:rsid w:val="004874BB"/>
    <w:rsid w:val="004874E0"/>
    <w:rsid w:val="004874FB"/>
    <w:rsid w:val="004875B8"/>
    <w:rsid w:val="004875DE"/>
    <w:rsid w:val="0048766C"/>
    <w:rsid w:val="004876E6"/>
    <w:rsid w:val="00487700"/>
    <w:rsid w:val="00487789"/>
    <w:rsid w:val="004877D8"/>
    <w:rsid w:val="0048786E"/>
    <w:rsid w:val="004878F1"/>
    <w:rsid w:val="004879A4"/>
    <w:rsid w:val="00487A4D"/>
    <w:rsid w:val="00487B48"/>
    <w:rsid w:val="00487B8F"/>
    <w:rsid w:val="00487C85"/>
    <w:rsid w:val="00487D8A"/>
    <w:rsid w:val="00487E1E"/>
    <w:rsid w:val="00487EB4"/>
    <w:rsid w:val="00487EBE"/>
    <w:rsid w:val="00487F02"/>
    <w:rsid w:val="00487F20"/>
    <w:rsid w:val="00487F50"/>
    <w:rsid w:val="00487FB4"/>
    <w:rsid w:val="00487FF3"/>
    <w:rsid w:val="00487FF6"/>
    <w:rsid w:val="00490001"/>
    <w:rsid w:val="0049003F"/>
    <w:rsid w:val="0049005F"/>
    <w:rsid w:val="00490060"/>
    <w:rsid w:val="004900C2"/>
    <w:rsid w:val="004900D2"/>
    <w:rsid w:val="00490124"/>
    <w:rsid w:val="00490239"/>
    <w:rsid w:val="004902A6"/>
    <w:rsid w:val="00490367"/>
    <w:rsid w:val="00490396"/>
    <w:rsid w:val="00490422"/>
    <w:rsid w:val="00490463"/>
    <w:rsid w:val="004904C2"/>
    <w:rsid w:val="0049059D"/>
    <w:rsid w:val="004905B5"/>
    <w:rsid w:val="0049060B"/>
    <w:rsid w:val="004906B3"/>
    <w:rsid w:val="004906C8"/>
    <w:rsid w:val="00490761"/>
    <w:rsid w:val="00490766"/>
    <w:rsid w:val="00490806"/>
    <w:rsid w:val="0049087A"/>
    <w:rsid w:val="00490976"/>
    <w:rsid w:val="00490984"/>
    <w:rsid w:val="004909FF"/>
    <w:rsid w:val="00490A06"/>
    <w:rsid w:val="00490A95"/>
    <w:rsid w:val="00490B0D"/>
    <w:rsid w:val="00490B61"/>
    <w:rsid w:val="00490BAE"/>
    <w:rsid w:val="00490DC4"/>
    <w:rsid w:val="00490DD4"/>
    <w:rsid w:val="00490E09"/>
    <w:rsid w:val="00490E41"/>
    <w:rsid w:val="00490E4E"/>
    <w:rsid w:val="00490EEF"/>
    <w:rsid w:val="00490F2E"/>
    <w:rsid w:val="00490F8E"/>
    <w:rsid w:val="00490FF5"/>
    <w:rsid w:val="00491066"/>
    <w:rsid w:val="004910D9"/>
    <w:rsid w:val="004910DF"/>
    <w:rsid w:val="004910E5"/>
    <w:rsid w:val="00491161"/>
    <w:rsid w:val="004912C0"/>
    <w:rsid w:val="004912C3"/>
    <w:rsid w:val="004913A3"/>
    <w:rsid w:val="004913CB"/>
    <w:rsid w:val="004914F2"/>
    <w:rsid w:val="0049154A"/>
    <w:rsid w:val="00491583"/>
    <w:rsid w:val="004915CD"/>
    <w:rsid w:val="0049163C"/>
    <w:rsid w:val="00491790"/>
    <w:rsid w:val="0049179F"/>
    <w:rsid w:val="0049182D"/>
    <w:rsid w:val="0049185A"/>
    <w:rsid w:val="00491992"/>
    <w:rsid w:val="00491A32"/>
    <w:rsid w:val="00491A4E"/>
    <w:rsid w:val="00491A9D"/>
    <w:rsid w:val="00491AAD"/>
    <w:rsid w:val="00491ABE"/>
    <w:rsid w:val="00491B1B"/>
    <w:rsid w:val="00491B3B"/>
    <w:rsid w:val="00491B4B"/>
    <w:rsid w:val="00491B5A"/>
    <w:rsid w:val="00491BF4"/>
    <w:rsid w:val="00491ECC"/>
    <w:rsid w:val="00491F9B"/>
    <w:rsid w:val="00491FAC"/>
    <w:rsid w:val="00491FD3"/>
    <w:rsid w:val="00491FDB"/>
    <w:rsid w:val="00492023"/>
    <w:rsid w:val="00492057"/>
    <w:rsid w:val="00492073"/>
    <w:rsid w:val="0049208E"/>
    <w:rsid w:val="004920B9"/>
    <w:rsid w:val="004920C3"/>
    <w:rsid w:val="00492143"/>
    <w:rsid w:val="0049214A"/>
    <w:rsid w:val="004921B2"/>
    <w:rsid w:val="0049221C"/>
    <w:rsid w:val="004922BE"/>
    <w:rsid w:val="004922CA"/>
    <w:rsid w:val="004923DC"/>
    <w:rsid w:val="004924D7"/>
    <w:rsid w:val="004924E9"/>
    <w:rsid w:val="00492598"/>
    <w:rsid w:val="00492873"/>
    <w:rsid w:val="004928D8"/>
    <w:rsid w:val="004928E4"/>
    <w:rsid w:val="0049290E"/>
    <w:rsid w:val="00492977"/>
    <w:rsid w:val="004929CE"/>
    <w:rsid w:val="00492A30"/>
    <w:rsid w:val="00492A57"/>
    <w:rsid w:val="00492AF2"/>
    <w:rsid w:val="00492AF8"/>
    <w:rsid w:val="00492AFF"/>
    <w:rsid w:val="00492B48"/>
    <w:rsid w:val="00492B57"/>
    <w:rsid w:val="00492B7A"/>
    <w:rsid w:val="00492C24"/>
    <w:rsid w:val="00492E1E"/>
    <w:rsid w:val="00492E51"/>
    <w:rsid w:val="00492E8F"/>
    <w:rsid w:val="00492E97"/>
    <w:rsid w:val="00492EB6"/>
    <w:rsid w:val="00492EC0"/>
    <w:rsid w:val="00492EEE"/>
    <w:rsid w:val="00492F9A"/>
    <w:rsid w:val="00493019"/>
    <w:rsid w:val="004930AB"/>
    <w:rsid w:val="00493112"/>
    <w:rsid w:val="004931D5"/>
    <w:rsid w:val="00493289"/>
    <w:rsid w:val="004932CC"/>
    <w:rsid w:val="00493306"/>
    <w:rsid w:val="00493361"/>
    <w:rsid w:val="00493482"/>
    <w:rsid w:val="00493487"/>
    <w:rsid w:val="0049349E"/>
    <w:rsid w:val="004934C3"/>
    <w:rsid w:val="00493518"/>
    <w:rsid w:val="004935B7"/>
    <w:rsid w:val="004935D4"/>
    <w:rsid w:val="004935F5"/>
    <w:rsid w:val="00493696"/>
    <w:rsid w:val="0049370A"/>
    <w:rsid w:val="00493746"/>
    <w:rsid w:val="004937FB"/>
    <w:rsid w:val="0049384A"/>
    <w:rsid w:val="0049385C"/>
    <w:rsid w:val="00493892"/>
    <w:rsid w:val="00493955"/>
    <w:rsid w:val="00493A04"/>
    <w:rsid w:val="00493A10"/>
    <w:rsid w:val="00493ADC"/>
    <w:rsid w:val="00493C71"/>
    <w:rsid w:val="00493C87"/>
    <w:rsid w:val="00493D17"/>
    <w:rsid w:val="00493E0F"/>
    <w:rsid w:val="00493E6C"/>
    <w:rsid w:val="00493EC8"/>
    <w:rsid w:val="00493ECB"/>
    <w:rsid w:val="00493EDC"/>
    <w:rsid w:val="00493EE6"/>
    <w:rsid w:val="00493EF2"/>
    <w:rsid w:val="0049403B"/>
    <w:rsid w:val="00494047"/>
    <w:rsid w:val="004940CE"/>
    <w:rsid w:val="00494114"/>
    <w:rsid w:val="00494174"/>
    <w:rsid w:val="00494199"/>
    <w:rsid w:val="004941C9"/>
    <w:rsid w:val="0049421B"/>
    <w:rsid w:val="0049421D"/>
    <w:rsid w:val="00494222"/>
    <w:rsid w:val="00494272"/>
    <w:rsid w:val="0049427F"/>
    <w:rsid w:val="00494286"/>
    <w:rsid w:val="004943DE"/>
    <w:rsid w:val="0049443C"/>
    <w:rsid w:val="00494468"/>
    <w:rsid w:val="00494474"/>
    <w:rsid w:val="00494589"/>
    <w:rsid w:val="004945F4"/>
    <w:rsid w:val="0049465E"/>
    <w:rsid w:val="00494727"/>
    <w:rsid w:val="0049472C"/>
    <w:rsid w:val="004947B5"/>
    <w:rsid w:val="00494832"/>
    <w:rsid w:val="0049484A"/>
    <w:rsid w:val="00494910"/>
    <w:rsid w:val="004949DE"/>
    <w:rsid w:val="00494A71"/>
    <w:rsid w:val="00494B0F"/>
    <w:rsid w:val="00494BCF"/>
    <w:rsid w:val="00494C33"/>
    <w:rsid w:val="00494C3E"/>
    <w:rsid w:val="00494DF6"/>
    <w:rsid w:val="00494E3F"/>
    <w:rsid w:val="00494E73"/>
    <w:rsid w:val="00494F1F"/>
    <w:rsid w:val="00494F64"/>
    <w:rsid w:val="00494F6B"/>
    <w:rsid w:val="00495042"/>
    <w:rsid w:val="0049507D"/>
    <w:rsid w:val="0049508B"/>
    <w:rsid w:val="004950BF"/>
    <w:rsid w:val="00495100"/>
    <w:rsid w:val="00495123"/>
    <w:rsid w:val="00495156"/>
    <w:rsid w:val="0049517D"/>
    <w:rsid w:val="0049517E"/>
    <w:rsid w:val="00495195"/>
    <w:rsid w:val="004951DC"/>
    <w:rsid w:val="00495293"/>
    <w:rsid w:val="00495295"/>
    <w:rsid w:val="004952CC"/>
    <w:rsid w:val="004953A1"/>
    <w:rsid w:val="004953D2"/>
    <w:rsid w:val="00495426"/>
    <w:rsid w:val="00495472"/>
    <w:rsid w:val="004954A5"/>
    <w:rsid w:val="004954DD"/>
    <w:rsid w:val="00495556"/>
    <w:rsid w:val="004955A1"/>
    <w:rsid w:val="004955C2"/>
    <w:rsid w:val="00495604"/>
    <w:rsid w:val="004956C6"/>
    <w:rsid w:val="004956DC"/>
    <w:rsid w:val="00495709"/>
    <w:rsid w:val="0049575A"/>
    <w:rsid w:val="0049578B"/>
    <w:rsid w:val="004957C9"/>
    <w:rsid w:val="004957F0"/>
    <w:rsid w:val="00495873"/>
    <w:rsid w:val="00495896"/>
    <w:rsid w:val="004958BF"/>
    <w:rsid w:val="004958E1"/>
    <w:rsid w:val="00495B40"/>
    <w:rsid w:val="00495BAB"/>
    <w:rsid w:val="00495C97"/>
    <w:rsid w:val="00495CAE"/>
    <w:rsid w:val="00495D77"/>
    <w:rsid w:val="00495D86"/>
    <w:rsid w:val="00495E23"/>
    <w:rsid w:val="00495E45"/>
    <w:rsid w:val="00495E55"/>
    <w:rsid w:val="00495E7D"/>
    <w:rsid w:val="00495FB7"/>
    <w:rsid w:val="0049604B"/>
    <w:rsid w:val="004960B0"/>
    <w:rsid w:val="00496182"/>
    <w:rsid w:val="004961E3"/>
    <w:rsid w:val="004961EA"/>
    <w:rsid w:val="004961FB"/>
    <w:rsid w:val="00496210"/>
    <w:rsid w:val="00496297"/>
    <w:rsid w:val="00496374"/>
    <w:rsid w:val="0049637C"/>
    <w:rsid w:val="00496399"/>
    <w:rsid w:val="00496428"/>
    <w:rsid w:val="00496510"/>
    <w:rsid w:val="004965B7"/>
    <w:rsid w:val="00496652"/>
    <w:rsid w:val="00496663"/>
    <w:rsid w:val="00496792"/>
    <w:rsid w:val="004967C5"/>
    <w:rsid w:val="004967F5"/>
    <w:rsid w:val="00496845"/>
    <w:rsid w:val="0049684A"/>
    <w:rsid w:val="004968BE"/>
    <w:rsid w:val="00496903"/>
    <w:rsid w:val="00496962"/>
    <w:rsid w:val="004969B1"/>
    <w:rsid w:val="004969E3"/>
    <w:rsid w:val="00496A6A"/>
    <w:rsid w:val="00496A86"/>
    <w:rsid w:val="00496BE7"/>
    <w:rsid w:val="00496C73"/>
    <w:rsid w:val="00496C92"/>
    <w:rsid w:val="00496CE5"/>
    <w:rsid w:val="00496D1C"/>
    <w:rsid w:val="00496DC7"/>
    <w:rsid w:val="00496E84"/>
    <w:rsid w:val="00496F22"/>
    <w:rsid w:val="00496F7C"/>
    <w:rsid w:val="004970B6"/>
    <w:rsid w:val="0049712E"/>
    <w:rsid w:val="00497175"/>
    <w:rsid w:val="00497202"/>
    <w:rsid w:val="00497207"/>
    <w:rsid w:val="00497232"/>
    <w:rsid w:val="004972BF"/>
    <w:rsid w:val="00497340"/>
    <w:rsid w:val="004973E2"/>
    <w:rsid w:val="00497471"/>
    <w:rsid w:val="00497530"/>
    <w:rsid w:val="00497548"/>
    <w:rsid w:val="0049756F"/>
    <w:rsid w:val="00497623"/>
    <w:rsid w:val="004976EE"/>
    <w:rsid w:val="00497806"/>
    <w:rsid w:val="0049785C"/>
    <w:rsid w:val="00497875"/>
    <w:rsid w:val="004979CC"/>
    <w:rsid w:val="00497A41"/>
    <w:rsid w:val="00497A4C"/>
    <w:rsid w:val="00497A89"/>
    <w:rsid w:val="00497A97"/>
    <w:rsid w:val="00497B3E"/>
    <w:rsid w:val="00497B9F"/>
    <w:rsid w:val="00497BC8"/>
    <w:rsid w:val="00497C50"/>
    <w:rsid w:val="00497CB2"/>
    <w:rsid w:val="00497CBB"/>
    <w:rsid w:val="00497D99"/>
    <w:rsid w:val="00497EBE"/>
    <w:rsid w:val="00497ECA"/>
    <w:rsid w:val="00497F1D"/>
    <w:rsid w:val="00497F86"/>
    <w:rsid w:val="00497FBA"/>
    <w:rsid w:val="004A002D"/>
    <w:rsid w:val="004A00BC"/>
    <w:rsid w:val="004A01D4"/>
    <w:rsid w:val="004A02E2"/>
    <w:rsid w:val="004A032C"/>
    <w:rsid w:val="004A0334"/>
    <w:rsid w:val="004A0503"/>
    <w:rsid w:val="004A052E"/>
    <w:rsid w:val="004A053E"/>
    <w:rsid w:val="004A056E"/>
    <w:rsid w:val="004A05AE"/>
    <w:rsid w:val="004A0679"/>
    <w:rsid w:val="004A0688"/>
    <w:rsid w:val="004A06B0"/>
    <w:rsid w:val="004A06DB"/>
    <w:rsid w:val="004A0713"/>
    <w:rsid w:val="004A0725"/>
    <w:rsid w:val="004A07C3"/>
    <w:rsid w:val="004A084D"/>
    <w:rsid w:val="004A0871"/>
    <w:rsid w:val="004A087A"/>
    <w:rsid w:val="004A0888"/>
    <w:rsid w:val="004A08C9"/>
    <w:rsid w:val="004A0929"/>
    <w:rsid w:val="004A092C"/>
    <w:rsid w:val="004A09C0"/>
    <w:rsid w:val="004A09E1"/>
    <w:rsid w:val="004A0ADC"/>
    <w:rsid w:val="004A0B05"/>
    <w:rsid w:val="004A0B4F"/>
    <w:rsid w:val="004A0BB4"/>
    <w:rsid w:val="004A0BED"/>
    <w:rsid w:val="004A0C6C"/>
    <w:rsid w:val="004A0CB4"/>
    <w:rsid w:val="004A0CFA"/>
    <w:rsid w:val="004A0DAB"/>
    <w:rsid w:val="004A0E8A"/>
    <w:rsid w:val="004A0E8C"/>
    <w:rsid w:val="004A0F68"/>
    <w:rsid w:val="004A0FAA"/>
    <w:rsid w:val="004A1320"/>
    <w:rsid w:val="004A1413"/>
    <w:rsid w:val="004A1505"/>
    <w:rsid w:val="004A1506"/>
    <w:rsid w:val="004A154E"/>
    <w:rsid w:val="004A1577"/>
    <w:rsid w:val="004A1618"/>
    <w:rsid w:val="004A1655"/>
    <w:rsid w:val="004A1671"/>
    <w:rsid w:val="004A16F6"/>
    <w:rsid w:val="004A1730"/>
    <w:rsid w:val="004A1757"/>
    <w:rsid w:val="004A1778"/>
    <w:rsid w:val="004A1845"/>
    <w:rsid w:val="004A1895"/>
    <w:rsid w:val="004A190D"/>
    <w:rsid w:val="004A19A2"/>
    <w:rsid w:val="004A1B70"/>
    <w:rsid w:val="004A1B8D"/>
    <w:rsid w:val="004A1BE8"/>
    <w:rsid w:val="004A1D0B"/>
    <w:rsid w:val="004A1D30"/>
    <w:rsid w:val="004A1D39"/>
    <w:rsid w:val="004A1DE6"/>
    <w:rsid w:val="004A1E35"/>
    <w:rsid w:val="004A1F54"/>
    <w:rsid w:val="004A1F64"/>
    <w:rsid w:val="004A1F6E"/>
    <w:rsid w:val="004A1F9D"/>
    <w:rsid w:val="004A2084"/>
    <w:rsid w:val="004A2085"/>
    <w:rsid w:val="004A20A4"/>
    <w:rsid w:val="004A20EF"/>
    <w:rsid w:val="004A21BB"/>
    <w:rsid w:val="004A2211"/>
    <w:rsid w:val="004A2216"/>
    <w:rsid w:val="004A2364"/>
    <w:rsid w:val="004A2448"/>
    <w:rsid w:val="004A246B"/>
    <w:rsid w:val="004A254C"/>
    <w:rsid w:val="004A25AC"/>
    <w:rsid w:val="004A25D0"/>
    <w:rsid w:val="004A2600"/>
    <w:rsid w:val="004A2694"/>
    <w:rsid w:val="004A2756"/>
    <w:rsid w:val="004A2794"/>
    <w:rsid w:val="004A27FD"/>
    <w:rsid w:val="004A282E"/>
    <w:rsid w:val="004A289D"/>
    <w:rsid w:val="004A28C6"/>
    <w:rsid w:val="004A28FB"/>
    <w:rsid w:val="004A2912"/>
    <w:rsid w:val="004A291E"/>
    <w:rsid w:val="004A29DD"/>
    <w:rsid w:val="004A29F9"/>
    <w:rsid w:val="004A2A5F"/>
    <w:rsid w:val="004A2A93"/>
    <w:rsid w:val="004A2AF5"/>
    <w:rsid w:val="004A2B31"/>
    <w:rsid w:val="004A2CC6"/>
    <w:rsid w:val="004A2D7C"/>
    <w:rsid w:val="004A2D99"/>
    <w:rsid w:val="004A2DE6"/>
    <w:rsid w:val="004A2E26"/>
    <w:rsid w:val="004A2F75"/>
    <w:rsid w:val="004A2FAB"/>
    <w:rsid w:val="004A3002"/>
    <w:rsid w:val="004A3008"/>
    <w:rsid w:val="004A307B"/>
    <w:rsid w:val="004A30BC"/>
    <w:rsid w:val="004A3106"/>
    <w:rsid w:val="004A3122"/>
    <w:rsid w:val="004A329A"/>
    <w:rsid w:val="004A3384"/>
    <w:rsid w:val="004A3414"/>
    <w:rsid w:val="004A3422"/>
    <w:rsid w:val="004A3423"/>
    <w:rsid w:val="004A3492"/>
    <w:rsid w:val="004A34F3"/>
    <w:rsid w:val="004A3696"/>
    <w:rsid w:val="004A36F2"/>
    <w:rsid w:val="004A371A"/>
    <w:rsid w:val="004A3750"/>
    <w:rsid w:val="004A3832"/>
    <w:rsid w:val="004A3886"/>
    <w:rsid w:val="004A38CA"/>
    <w:rsid w:val="004A3982"/>
    <w:rsid w:val="004A3A2A"/>
    <w:rsid w:val="004A3A70"/>
    <w:rsid w:val="004A3AAD"/>
    <w:rsid w:val="004A3C77"/>
    <w:rsid w:val="004A3C7B"/>
    <w:rsid w:val="004A3DD9"/>
    <w:rsid w:val="004A3DE8"/>
    <w:rsid w:val="004A3E2A"/>
    <w:rsid w:val="004A3E37"/>
    <w:rsid w:val="004A3F5B"/>
    <w:rsid w:val="004A3FB1"/>
    <w:rsid w:val="004A400C"/>
    <w:rsid w:val="004A4027"/>
    <w:rsid w:val="004A4087"/>
    <w:rsid w:val="004A41AF"/>
    <w:rsid w:val="004A41D6"/>
    <w:rsid w:val="004A425F"/>
    <w:rsid w:val="004A426C"/>
    <w:rsid w:val="004A429E"/>
    <w:rsid w:val="004A4375"/>
    <w:rsid w:val="004A4379"/>
    <w:rsid w:val="004A43A0"/>
    <w:rsid w:val="004A43C6"/>
    <w:rsid w:val="004A43EB"/>
    <w:rsid w:val="004A442A"/>
    <w:rsid w:val="004A4430"/>
    <w:rsid w:val="004A4461"/>
    <w:rsid w:val="004A4465"/>
    <w:rsid w:val="004A4543"/>
    <w:rsid w:val="004A45A4"/>
    <w:rsid w:val="004A45B5"/>
    <w:rsid w:val="004A45D9"/>
    <w:rsid w:val="004A4685"/>
    <w:rsid w:val="004A4696"/>
    <w:rsid w:val="004A46A0"/>
    <w:rsid w:val="004A46AC"/>
    <w:rsid w:val="004A4795"/>
    <w:rsid w:val="004A47C1"/>
    <w:rsid w:val="004A47F1"/>
    <w:rsid w:val="004A4830"/>
    <w:rsid w:val="004A4A85"/>
    <w:rsid w:val="004A4B5C"/>
    <w:rsid w:val="004A4BD4"/>
    <w:rsid w:val="004A4BE1"/>
    <w:rsid w:val="004A4BFC"/>
    <w:rsid w:val="004A4DCC"/>
    <w:rsid w:val="004A4DD0"/>
    <w:rsid w:val="004A4DD2"/>
    <w:rsid w:val="004A4E48"/>
    <w:rsid w:val="004A4E84"/>
    <w:rsid w:val="004A4EB6"/>
    <w:rsid w:val="004A4FDF"/>
    <w:rsid w:val="004A500D"/>
    <w:rsid w:val="004A5131"/>
    <w:rsid w:val="004A52C2"/>
    <w:rsid w:val="004A52EA"/>
    <w:rsid w:val="004A52F0"/>
    <w:rsid w:val="004A52F7"/>
    <w:rsid w:val="004A5327"/>
    <w:rsid w:val="004A545B"/>
    <w:rsid w:val="004A5489"/>
    <w:rsid w:val="004A54DF"/>
    <w:rsid w:val="004A5586"/>
    <w:rsid w:val="004A5591"/>
    <w:rsid w:val="004A55BB"/>
    <w:rsid w:val="004A55E4"/>
    <w:rsid w:val="004A55ED"/>
    <w:rsid w:val="004A5795"/>
    <w:rsid w:val="004A57B3"/>
    <w:rsid w:val="004A57DB"/>
    <w:rsid w:val="004A5844"/>
    <w:rsid w:val="004A587E"/>
    <w:rsid w:val="004A58D7"/>
    <w:rsid w:val="004A59C1"/>
    <w:rsid w:val="004A5AB4"/>
    <w:rsid w:val="004A5AC3"/>
    <w:rsid w:val="004A5B88"/>
    <w:rsid w:val="004A5BCB"/>
    <w:rsid w:val="004A5BF5"/>
    <w:rsid w:val="004A5C02"/>
    <w:rsid w:val="004A5D6B"/>
    <w:rsid w:val="004A5DC9"/>
    <w:rsid w:val="004A5E73"/>
    <w:rsid w:val="004A5F0B"/>
    <w:rsid w:val="004A6023"/>
    <w:rsid w:val="004A6032"/>
    <w:rsid w:val="004A6046"/>
    <w:rsid w:val="004A6086"/>
    <w:rsid w:val="004A60E2"/>
    <w:rsid w:val="004A6107"/>
    <w:rsid w:val="004A6250"/>
    <w:rsid w:val="004A625E"/>
    <w:rsid w:val="004A6260"/>
    <w:rsid w:val="004A62B4"/>
    <w:rsid w:val="004A62CB"/>
    <w:rsid w:val="004A636C"/>
    <w:rsid w:val="004A6448"/>
    <w:rsid w:val="004A656C"/>
    <w:rsid w:val="004A65D0"/>
    <w:rsid w:val="004A65E0"/>
    <w:rsid w:val="004A65F9"/>
    <w:rsid w:val="004A6698"/>
    <w:rsid w:val="004A66D9"/>
    <w:rsid w:val="004A67C3"/>
    <w:rsid w:val="004A6819"/>
    <w:rsid w:val="004A687F"/>
    <w:rsid w:val="004A68AB"/>
    <w:rsid w:val="004A68E8"/>
    <w:rsid w:val="004A6935"/>
    <w:rsid w:val="004A699D"/>
    <w:rsid w:val="004A6A38"/>
    <w:rsid w:val="004A6A3C"/>
    <w:rsid w:val="004A6A73"/>
    <w:rsid w:val="004A6AA2"/>
    <w:rsid w:val="004A6B2E"/>
    <w:rsid w:val="004A6C30"/>
    <w:rsid w:val="004A6CA7"/>
    <w:rsid w:val="004A6CD5"/>
    <w:rsid w:val="004A6DF8"/>
    <w:rsid w:val="004A6E24"/>
    <w:rsid w:val="004A6E2B"/>
    <w:rsid w:val="004A6FC4"/>
    <w:rsid w:val="004A7002"/>
    <w:rsid w:val="004A7028"/>
    <w:rsid w:val="004A7038"/>
    <w:rsid w:val="004A7039"/>
    <w:rsid w:val="004A706A"/>
    <w:rsid w:val="004A70A6"/>
    <w:rsid w:val="004A70FF"/>
    <w:rsid w:val="004A7153"/>
    <w:rsid w:val="004A7174"/>
    <w:rsid w:val="004A723A"/>
    <w:rsid w:val="004A723F"/>
    <w:rsid w:val="004A7281"/>
    <w:rsid w:val="004A729D"/>
    <w:rsid w:val="004A72B0"/>
    <w:rsid w:val="004A72BF"/>
    <w:rsid w:val="004A7310"/>
    <w:rsid w:val="004A7315"/>
    <w:rsid w:val="004A744F"/>
    <w:rsid w:val="004A75CE"/>
    <w:rsid w:val="004A760B"/>
    <w:rsid w:val="004A766A"/>
    <w:rsid w:val="004A77BF"/>
    <w:rsid w:val="004A791D"/>
    <w:rsid w:val="004A795F"/>
    <w:rsid w:val="004A79A9"/>
    <w:rsid w:val="004A7A52"/>
    <w:rsid w:val="004A7B56"/>
    <w:rsid w:val="004A7B78"/>
    <w:rsid w:val="004A7B80"/>
    <w:rsid w:val="004A7B9C"/>
    <w:rsid w:val="004A7BA6"/>
    <w:rsid w:val="004A7BE9"/>
    <w:rsid w:val="004A7BFB"/>
    <w:rsid w:val="004A7C4E"/>
    <w:rsid w:val="004A7DD2"/>
    <w:rsid w:val="004A7E9C"/>
    <w:rsid w:val="004A7EAF"/>
    <w:rsid w:val="004A7FBF"/>
    <w:rsid w:val="004A7FD1"/>
    <w:rsid w:val="004B000B"/>
    <w:rsid w:val="004B002D"/>
    <w:rsid w:val="004B005E"/>
    <w:rsid w:val="004B008C"/>
    <w:rsid w:val="004B010F"/>
    <w:rsid w:val="004B0157"/>
    <w:rsid w:val="004B01AA"/>
    <w:rsid w:val="004B0249"/>
    <w:rsid w:val="004B0254"/>
    <w:rsid w:val="004B025C"/>
    <w:rsid w:val="004B025D"/>
    <w:rsid w:val="004B026B"/>
    <w:rsid w:val="004B0272"/>
    <w:rsid w:val="004B02A8"/>
    <w:rsid w:val="004B02B0"/>
    <w:rsid w:val="004B02BB"/>
    <w:rsid w:val="004B02F2"/>
    <w:rsid w:val="004B0304"/>
    <w:rsid w:val="004B032E"/>
    <w:rsid w:val="004B03F9"/>
    <w:rsid w:val="004B040C"/>
    <w:rsid w:val="004B0428"/>
    <w:rsid w:val="004B04C3"/>
    <w:rsid w:val="004B04D8"/>
    <w:rsid w:val="004B0516"/>
    <w:rsid w:val="004B056A"/>
    <w:rsid w:val="004B057D"/>
    <w:rsid w:val="004B0580"/>
    <w:rsid w:val="004B05B3"/>
    <w:rsid w:val="004B05CD"/>
    <w:rsid w:val="004B070B"/>
    <w:rsid w:val="004B0747"/>
    <w:rsid w:val="004B074C"/>
    <w:rsid w:val="004B07CE"/>
    <w:rsid w:val="004B07F3"/>
    <w:rsid w:val="004B07F6"/>
    <w:rsid w:val="004B0849"/>
    <w:rsid w:val="004B08CE"/>
    <w:rsid w:val="004B0989"/>
    <w:rsid w:val="004B0A57"/>
    <w:rsid w:val="004B0A5B"/>
    <w:rsid w:val="004B0A85"/>
    <w:rsid w:val="004B0B22"/>
    <w:rsid w:val="004B0B8E"/>
    <w:rsid w:val="004B0C17"/>
    <w:rsid w:val="004B0CB2"/>
    <w:rsid w:val="004B0CCA"/>
    <w:rsid w:val="004B0CF5"/>
    <w:rsid w:val="004B0E67"/>
    <w:rsid w:val="004B0EB0"/>
    <w:rsid w:val="004B1016"/>
    <w:rsid w:val="004B10A5"/>
    <w:rsid w:val="004B116E"/>
    <w:rsid w:val="004B1203"/>
    <w:rsid w:val="004B125E"/>
    <w:rsid w:val="004B1289"/>
    <w:rsid w:val="004B1292"/>
    <w:rsid w:val="004B1367"/>
    <w:rsid w:val="004B1381"/>
    <w:rsid w:val="004B13B5"/>
    <w:rsid w:val="004B13CE"/>
    <w:rsid w:val="004B1441"/>
    <w:rsid w:val="004B14A2"/>
    <w:rsid w:val="004B14F3"/>
    <w:rsid w:val="004B15AB"/>
    <w:rsid w:val="004B15B6"/>
    <w:rsid w:val="004B15FB"/>
    <w:rsid w:val="004B1620"/>
    <w:rsid w:val="004B1752"/>
    <w:rsid w:val="004B1766"/>
    <w:rsid w:val="004B177B"/>
    <w:rsid w:val="004B18D3"/>
    <w:rsid w:val="004B198B"/>
    <w:rsid w:val="004B19B9"/>
    <w:rsid w:val="004B19FE"/>
    <w:rsid w:val="004B1A3F"/>
    <w:rsid w:val="004B1A66"/>
    <w:rsid w:val="004B1ACE"/>
    <w:rsid w:val="004B1BF5"/>
    <w:rsid w:val="004B1CEA"/>
    <w:rsid w:val="004B1CF8"/>
    <w:rsid w:val="004B1D37"/>
    <w:rsid w:val="004B1F1E"/>
    <w:rsid w:val="004B1FDF"/>
    <w:rsid w:val="004B20E0"/>
    <w:rsid w:val="004B20FB"/>
    <w:rsid w:val="004B20FD"/>
    <w:rsid w:val="004B215A"/>
    <w:rsid w:val="004B217A"/>
    <w:rsid w:val="004B2322"/>
    <w:rsid w:val="004B232B"/>
    <w:rsid w:val="004B23B6"/>
    <w:rsid w:val="004B244F"/>
    <w:rsid w:val="004B248B"/>
    <w:rsid w:val="004B24BE"/>
    <w:rsid w:val="004B2519"/>
    <w:rsid w:val="004B258D"/>
    <w:rsid w:val="004B2621"/>
    <w:rsid w:val="004B264C"/>
    <w:rsid w:val="004B26B7"/>
    <w:rsid w:val="004B271E"/>
    <w:rsid w:val="004B2771"/>
    <w:rsid w:val="004B2822"/>
    <w:rsid w:val="004B29BC"/>
    <w:rsid w:val="004B29C4"/>
    <w:rsid w:val="004B2A17"/>
    <w:rsid w:val="004B2A23"/>
    <w:rsid w:val="004B2A4D"/>
    <w:rsid w:val="004B2A79"/>
    <w:rsid w:val="004B2AB4"/>
    <w:rsid w:val="004B2BB2"/>
    <w:rsid w:val="004B2BE7"/>
    <w:rsid w:val="004B2C6B"/>
    <w:rsid w:val="004B2CC5"/>
    <w:rsid w:val="004B2CFE"/>
    <w:rsid w:val="004B2D20"/>
    <w:rsid w:val="004B2D2C"/>
    <w:rsid w:val="004B2DCF"/>
    <w:rsid w:val="004B2E3E"/>
    <w:rsid w:val="004B2E80"/>
    <w:rsid w:val="004B2E88"/>
    <w:rsid w:val="004B2F45"/>
    <w:rsid w:val="004B2F5E"/>
    <w:rsid w:val="004B3025"/>
    <w:rsid w:val="004B305E"/>
    <w:rsid w:val="004B3096"/>
    <w:rsid w:val="004B30A2"/>
    <w:rsid w:val="004B31B0"/>
    <w:rsid w:val="004B3227"/>
    <w:rsid w:val="004B324D"/>
    <w:rsid w:val="004B32BB"/>
    <w:rsid w:val="004B32E7"/>
    <w:rsid w:val="004B3338"/>
    <w:rsid w:val="004B3339"/>
    <w:rsid w:val="004B3379"/>
    <w:rsid w:val="004B33BE"/>
    <w:rsid w:val="004B33C2"/>
    <w:rsid w:val="004B33DE"/>
    <w:rsid w:val="004B3426"/>
    <w:rsid w:val="004B3495"/>
    <w:rsid w:val="004B361F"/>
    <w:rsid w:val="004B3699"/>
    <w:rsid w:val="004B373E"/>
    <w:rsid w:val="004B3777"/>
    <w:rsid w:val="004B37C2"/>
    <w:rsid w:val="004B3862"/>
    <w:rsid w:val="004B388B"/>
    <w:rsid w:val="004B3925"/>
    <w:rsid w:val="004B39B5"/>
    <w:rsid w:val="004B39DD"/>
    <w:rsid w:val="004B39F3"/>
    <w:rsid w:val="004B3A00"/>
    <w:rsid w:val="004B3ABD"/>
    <w:rsid w:val="004B3AC6"/>
    <w:rsid w:val="004B3B10"/>
    <w:rsid w:val="004B3B13"/>
    <w:rsid w:val="004B3C5E"/>
    <w:rsid w:val="004B3CD6"/>
    <w:rsid w:val="004B3D32"/>
    <w:rsid w:val="004B3EA5"/>
    <w:rsid w:val="004B3FB4"/>
    <w:rsid w:val="004B40BD"/>
    <w:rsid w:val="004B40D4"/>
    <w:rsid w:val="004B4165"/>
    <w:rsid w:val="004B417E"/>
    <w:rsid w:val="004B41AA"/>
    <w:rsid w:val="004B41D4"/>
    <w:rsid w:val="004B4212"/>
    <w:rsid w:val="004B4214"/>
    <w:rsid w:val="004B421B"/>
    <w:rsid w:val="004B421C"/>
    <w:rsid w:val="004B4235"/>
    <w:rsid w:val="004B42EB"/>
    <w:rsid w:val="004B4322"/>
    <w:rsid w:val="004B432A"/>
    <w:rsid w:val="004B438F"/>
    <w:rsid w:val="004B43B4"/>
    <w:rsid w:val="004B43F1"/>
    <w:rsid w:val="004B447E"/>
    <w:rsid w:val="004B44F3"/>
    <w:rsid w:val="004B451E"/>
    <w:rsid w:val="004B4586"/>
    <w:rsid w:val="004B4688"/>
    <w:rsid w:val="004B4765"/>
    <w:rsid w:val="004B48B0"/>
    <w:rsid w:val="004B48D8"/>
    <w:rsid w:val="004B4974"/>
    <w:rsid w:val="004B49E6"/>
    <w:rsid w:val="004B49EF"/>
    <w:rsid w:val="004B4A03"/>
    <w:rsid w:val="004B4A36"/>
    <w:rsid w:val="004B4AD3"/>
    <w:rsid w:val="004B4B12"/>
    <w:rsid w:val="004B4B52"/>
    <w:rsid w:val="004B4B66"/>
    <w:rsid w:val="004B4BB8"/>
    <w:rsid w:val="004B4BFD"/>
    <w:rsid w:val="004B4C7B"/>
    <w:rsid w:val="004B4C94"/>
    <w:rsid w:val="004B4C95"/>
    <w:rsid w:val="004B4CBE"/>
    <w:rsid w:val="004B4D97"/>
    <w:rsid w:val="004B4DC7"/>
    <w:rsid w:val="004B4DE6"/>
    <w:rsid w:val="004B4EA8"/>
    <w:rsid w:val="004B4EAB"/>
    <w:rsid w:val="004B4FC8"/>
    <w:rsid w:val="004B501C"/>
    <w:rsid w:val="004B5055"/>
    <w:rsid w:val="004B507B"/>
    <w:rsid w:val="004B50BB"/>
    <w:rsid w:val="004B5148"/>
    <w:rsid w:val="004B520F"/>
    <w:rsid w:val="004B52D1"/>
    <w:rsid w:val="004B52F0"/>
    <w:rsid w:val="004B5319"/>
    <w:rsid w:val="004B53B8"/>
    <w:rsid w:val="004B53E3"/>
    <w:rsid w:val="004B541E"/>
    <w:rsid w:val="004B5513"/>
    <w:rsid w:val="004B554B"/>
    <w:rsid w:val="004B55C1"/>
    <w:rsid w:val="004B5609"/>
    <w:rsid w:val="004B5810"/>
    <w:rsid w:val="004B58D0"/>
    <w:rsid w:val="004B5947"/>
    <w:rsid w:val="004B5952"/>
    <w:rsid w:val="004B59CA"/>
    <w:rsid w:val="004B5A1B"/>
    <w:rsid w:val="004B5A51"/>
    <w:rsid w:val="004B5A6B"/>
    <w:rsid w:val="004B5A8F"/>
    <w:rsid w:val="004B5AC1"/>
    <w:rsid w:val="004B5B87"/>
    <w:rsid w:val="004B5BC2"/>
    <w:rsid w:val="004B5CA8"/>
    <w:rsid w:val="004B5CD5"/>
    <w:rsid w:val="004B5D72"/>
    <w:rsid w:val="004B5E26"/>
    <w:rsid w:val="004B5EA8"/>
    <w:rsid w:val="004B5F1F"/>
    <w:rsid w:val="004B5F3E"/>
    <w:rsid w:val="004B6022"/>
    <w:rsid w:val="004B6074"/>
    <w:rsid w:val="004B60EB"/>
    <w:rsid w:val="004B6187"/>
    <w:rsid w:val="004B620A"/>
    <w:rsid w:val="004B6282"/>
    <w:rsid w:val="004B62D8"/>
    <w:rsid w:val="004B62F0"/>
    <w:rsid w:val="004B6329"/>
    <w:rsid w:val="004B6350"/>
    <w:rsid w:val="004B63A2"/>
    <w:rsid w:val="004B6436"/>
    <w:rsid w:val="004B6499"/>
    <w:rsid w:val="004B64FB"/>
    <w:rsid w:val="004B6519"/>
    <w:rsid w:val="004B6571"/>
    <w:rsid w:val="004B665D"/>
    <w:rsid w:val="004B66BB"/>
    <w:rsid w:val="004B66BE"/>
    <w:rsid w:val="004B66D7"/>
    <w:rsid w:val="004B682F"/>
    <w:rsid w:val="004B6839"/>
    <w:rsid w:val="004B689D"/>
    <w:rsid w:val="004B68A6"/>
    <w:rsid w:val="004B68F3"/>
    <w:rsid w:val="004B68F7"/>
    <w:rsid w:val="004B6950"/>
    <w:rsid w:val="004B6960"/>
    <w:rsid w:val="004B698F"/>
    <w:rsid w:val="004B6A44"/>
    <w:rsid w:val="004B6A5C"/>
    <w:rsid w:val="004B6AC1"/>
    <w:rsid w:val="004B6B1D"/>
    <w:rsid w:val="004B6B8A"/>
    <w:rsid w:val="004B6BA2"/>
    <w:rsid w:val="004B6BF3"/>
    <w:rsid w:val="004B6C0C"/>
    <w:rsid w:val="004B6C12"/>
    <w:rsid w:val="004B6CCD"/>
    <w:rsid w:val="004B6D1C"/>
    <w:rsid w:val="004B6D28"/>
    <w:rsid w:val="004B6E0C"/>
    <w:rsid w:val="004B6E8F"/>
    <w:rsid w:val="004B6EA5"/>
    <w:rsid w:val="004B6EE7"/>
    <w:rsid w:val="004B6F65"/>
    <w:rsid w:val="004B6F88"/>
    <w:rsid w:val="004B6FD1"/>
    <w:rsid w:val="004B7041"/>
    <w:rsid w:val="004B7080"/>
    <w:rsid w:val="004B7085"/>
    <w:rsid w:val="004B7143"/>
    <w:rsid w:val="004B7253"/>
    <w:rsid w:val="004B72C5"/>
    <w:rsid w:val="004B72ED"/>
    <w:rsid w:val="004B730E"/>
    <w:rsid w:val="004B7608"/>
    <w:rsid w:val="004B7666"/>
    <w:rsid w:val="004B773B"/>
    <w:rsid w:val="004B7787"/>
    <w:rsid w:val="004B7790"/>
    <w:rsid w:val="004B7809"/>
    <w:rsid w:val="004B788C"/>
    <w:rsid w:val="004B78CD"/>
    <w:rsid w:val="004B7948"/>
    <w:rsid w:val="004B7958"/>
    <w:rsid w:val="004B79FF"/>
    <w:rsid w:val="004B7B5C"/>
    <w:rsid w:val="004B7B97"/>
    <w:rsid w:val="004B7BDB"/>
    <w:rsid w:val="004B7C44"/>
    <w:rsid w:val="004B7C6E"/>
    <w:rsid w:val="004B7C6F"/>
    <w:rsid w:val="004B7CED"/>
    <w:rsid w:val="004B7E8A"/>
    <w:rsid w:val="004B7EAB"/>
    <w:rsid w:val="004C0010"/>
    <w:rsid w:val="004C0094"/>
    <w:rsid w:val="004C017B"/>
    <w:rsid w:val="004C0263"/>
    <w:rsid w:val="004C02AC"/>
    <w:rsid w:val="004C035C"/>
    <w:rsid w:val="004C03E2"/>
    <w:rsid w:val="004C043E"/>
    <w:rsid w:val="004C0535"/>
    <w:rsid w:val="004C0537"/>
    <w:rsid w:val="004C06E4"/>
    <w:rsid w:val="004C0727"/>
    <w:rsid w:val="004C0794"/>
    <w:rsid w:val="004C0795"/>
    <w:rsid w:val="004C08D1"/>
    <w:rsid w:val="004C0949"/>
    <w:rsid w:val="004C0A34"/>
    <w:rsid w:val="004C0A49"/>
    <w:rsid w:val="004C0A4A"/>
    <w:rsid w:val="004C0A62"/>
    <w:rsid w:val="004C0ACA"/>
    <w:rsid w:val="004C0BD4"/>
    <w:rsid w:val="004C0C78"/>
    <w:rsid w:val="004C0C81"/>
    <w:rsid w:val="004C0C9F"/>
    <w:rsid w:val="004C0D4E"/>
    <w:rsid w:val="004C0D9A"/>
    <w:rsid w:val="004C0DD8"/>
    <w:rsid w:val="004C0E97"/>
    <w:rsid w:val="004C0F17"/>
    <w:rsid w:val="004C0F43"/>
    <w:rsid w:val="004C0F66"/>
    <w:rsid w:val="004C0F84"/>
    <w:rsid w:val="004C1010"/>
    <w:rsid w:val="004C1017"/>
    <w:rsid w:val="004C101E"/>
    <w:rsid w:val="004C1050"/>
    <w:rsid w:val="004C110D"/>
    <w:rsid w:val="004C1121"/>
    <w:rsid w:val="004C1160"/>
    <w:rsid w:val="004C11E9"/>
    <w:rsid w:val="004C11F7"/>
    <w:rsid w:val="004C11F9"/>
    <w:rsid w:val="004C120D"/>
    <w:rsid w:val="004C12CB"/>
    <w:rsid w:val="004C1301"/>
    <w:rsid w:val="004C132F"/>
    <w:rsid w:val="004C1375"/>
    <w:rsid w:val="004C13F3"/>
    <w:rsid w:val="004C13FD"/>
    <w:rsid w:val="004C156D"/>
    <w:rsid w:val="004C15D2"/>
    <w:rsid w:val="004C1628"/>
    <w:rsid w:val="004C163E"/>
    <w:rsid w:val="004C1649"/>
    <w:rsid w:val="004C16ED"/>
    <w:rsid w:val="004C16F1"/>
    <w:rsid w:val="004C17A8"/>
    <w:rsid w:val="004C17E0"/>
    <w:rsid w:val="004C188C"/>
    <w:rsid w:val="004C1895"/>
    <w:rsid w:val="004C1924"/>
    <w:rsid w:val="004C1999"/>
    <w:rsid w:val="004C1AB5"/>
    <w:rsid w:val="004C1AD4"/>
    <w:rsid w:val="004C1B08"/>
    <w:rsid w:val="004C1BF7"/>
    <w:rsid w:val="004C1E37"/>
    <w:rsid w:val="004C1F24"/>
    <w:rsid w:val="004C1F3F"/>
    <w:rsid w:val="004C1F60"/>
    <w:rsid w:val="004C1F9E"/>
    <w:rsid w:val="004C1FDD"/>
    <w:rsid w:val="004C208F"/>
    <w:rsid w:val="004C214D"/>
    <w:rsid w:val="004C21A4"/>
    <w:rsid w:val="004C21DB"/>
    <w:rsid w:val="004C22AC"/>
    <w:rsid w:val="004C2319"/>
    <w:rsid w:val="004C231B"/>
    <w:rsid w:val="004C2322"/>
    <w:rsid w:val="004C232F"/>
    <w:rsid w:val="004C2360"/>
    <w:rsid w:val="004C2364"/>
    <w:rsid w:val="004C23BA"/>
    <w:rsid w:val="004C2411"/>
    <w:rsid w:val="004C2471"/>
    <w:rsid w:val="004C2589"/>
    <w:rsid w:val="004C25AE"/>
    <w:rsid w:val="004C2744"/>
    <w:rsid w:val="004C2792"/>
    <w:rsid w:val="004C27FF"/>
    <w:rsid w:val="004C281E"/>
    <w:rsid w:val="004C28CC"/>
    <w:rsid w:val="004C2975"/>
    <w:rsid w:val="004C2A7F"/>
    <w:rsid w:val="004C2A82"/>
    <w:rsid w:val="004C2B3A"/>
    <w:rsid w:val="004C2B49"/>
    <w:rsid w:val="004C2B4E"/>
    <w:rsid w:val="004C2B5B"/>
    <w:rsid w:val="004C2BEB"/>
    <w:rsid w:val="004C2C48"/>
    <w:rsid w:val="004C2CBD"/>
    <w:rsid w:val="004C2D77"/>
    <w:rsid w:val="004C2D82"/>
    <w:rsid w:val="004C2D89"/>
    <w:rsid w:val="004C2DF1"/>
    <w:rsid w:val="004C2E19"/>
    <w:rsid w:val="004C2EAB"/>
    <w:rsid w:val="004C2F4B"/>
    <w:rsid w:val="004C2F91"/>
    <w:rsid w:val="004C320E"/>
    <w:rsid w:val="004C329F"/>
    <w:rsid w:val="004C33B6"/>
    <w:rsid w:val="004C3448"/>
    <w:rsid w:val="004C345F"/>
    <w:rsid w:val="004C3461"/>
    <w:rsid w:val="004C3498"/>
    <w:rsid w:val="004C35D0"/>
    <w:rsid w:val="004C3609"/>
    <w:rsid w:val="004C366B"/>
    <w:rsid w:val="004C36B8"/>
    <w:rsid w:val="004C3708"/>
    <w:rsid w:val="004C380C"/>
    <w:rsid w:val="004C3847"/>
    <w:rsid w:val="004C388A"/>
    <w:rsid w:val="004C38A8"/>
    <w:rsid w:val="004C38AE"/>
    <w:rsid w:val="004C38C8"/>
    <w:rsid w:val="004C391E"/>
    <w:rsid w:val="004C3997"/>
    <w:rsid w:val="004C39E1"/>
    <w:rsid w:val="004C39E7"/>
    <w:rsid w:val="004C3A65"/>
    <w:rsid w:val="004C3A80"/>
    <w:rsid w:val="004C3ACD"/>
    <w:rsid w:val="004C3B18"/>
    <w:rsid w:val="004C3B73"/>
    <w:rsid w:val="004C3B7E"/>
    <w:rsid w:val="004C3BE2"/>
    <w:rsid w:val="004C3C21"/>
    <w:rsid w:val="004C3C84"/>
    <w:rsid w:val="004C3C8B"/>
    <w:rsid w:val="004C3DA5"/>
    <w:rsid w:val="004C3DC4"/>
    <w:rsid w:val="004C3DE3"/>
    <w:rsid w:val="004C3E9F"/>
    <w:rsid w:val="004C3EB3"/>
    <w:rsid w:val="004C3F73"/>
    <w:rsid w:val="004C4062"/>
    <w:rsid w:val="004C4077"/>
    <w:rsid w:val="004C4093"/>
    <w:rsid w:val="004C40BB"/>
    <w:rsid w:val="004C416E"/>
    <w:rsid w:val="004C41C5"/>
    <w:rsid w:val="004C4241"/>
    <w:rsid w:val="004C4292"/>
    <w:rsid w:val="004C4307"/>
    <w:rsid w:val="004C4397"/>
    <w:rsid w:val="004C439C"/>
    <w:rsid w:val="004C43ED"/>
    <w:rsid w:val="004C43F0"/>
    <w:rsid w:val="004C4444"/>
    <w:rsid w:val="004C44C2"/>
    <w:rsid w:val="004C44F9"/>
    <w:rsid w:val="004C44FD"/>
    <w:rsid w:val="004C4553"/>
    <w:rsid w:val="004C462B"/>
    <w:rsid w:val="004C465C"/>
    <w:rsid w:val="004C46D8"/>
    <w:rsid w:val="004C46E6"/>
    <w:rsid w:val="004C478A"/>
    <w:rsid w:val="004C48C8"/>
    <w:rsid w:val="004C48ED"/>
    <w:rsid w:val="004C493A"/>
    <w:rsid w:val="004C4A19"/>
    <w:rsid w:val="004C4BA2"/>
    <w:rsid w:val="004C4C79"/>
    <w:rsid w:val="004C4C9F"/>
    <w:rsid w:val="004C4CCA"/>
    <w:rsid w:val="004C4D08"/>
    <w:rsid w:val="004C4D6B"/>
    <w:rsid w:val="004C4D98"/>
    <w:rsid w:val="004C4DA1"/>
    <w:rsid w:val="004C4E3A"/>
    <w:rsid w:val="004C4E8C"/>
    <w:rsid w:val="004C4F79"/>
    <w:rsid w:val="004C4F88"/>
    <w:rsid w:val="004C4FAC"/>
    <w:rsid w:val="004C4FB1"/>
    <w:rsid w:val="004C4FE7"/>
    <w:rsid w:val="004C5000"/>
    <w:rsid w:val="004C5064"/>
    <w:rsid w:val="004C50A1"/>
    <w:rsid w:val="004C50A8"/>
    <w:rsid w:val="004C50C3"/>
    <w:rsid w:val="004C50E3"/>
    <w:rsid w:val="004C50ED"/>
    <w:rsid w:val="004C510A"/>
    <w:rsid w:val="004C5135"/>
    <w:rsid w:val="004C51AE"/>
    <w:rsid w:val="004C51F4"/>
    <w:rsid w:val="004C5242"/>
    <w:rsid w:val="004C5250"/>
    <w:rsid w:val="004C526B"/>
    <w:rsid w:val="004C52E6"/>
    <w:rsid w:val="004C5348"/>
    <w:rsid w:val="004C5398"/>
    <w:rsid w:val="004C539E"/>
    <w:rsid w:val="004C5444"/>
    <w:rsid w:val="004C547B"/>
    <w:rsid w:val="004C5632"/>
    <w:rsid w:val="004C5636"/>
    <w:rsid w:val="004C565D"/>
    <w:rsid w:val="004C5679"/>
    <w:rsid w:val="004C5758"/>
    <w:rsid w:val="004C5795"/>
    <w:rsid w:val="004C57F6"/>
    <w:rsid w:val="004C58E9"/>
    <w:rsid w:val="004C5909"/>
    <w:rsid w:val="004C598D"/>
    <w:rsid w:val="004C5A0A"/>
    <w:rsid w:val="004C5A22"/>
    <w:rsid w:val="004C5A49"/>
    <w:rsid w:val="004C5A4C"/>
    <w:rsid w:val="004C5A77"/>
    <w:rsid w:val="004C5A7F"/>
    <w:rsid w:val="004C5AAC"/>
    <w:rsid w:val="004C5B08"/>
    <w:rsid w:val="004C5B41"/>
    <w:rsid w:val="004C5B76"/>
    <w:rsid w:val="004C5C11"/>
    <w:rsid w:val="004C5C50"/>
    <w:rsid w:val="004C5D6E"/>
    <w:rsid w:val="004C5DBF"/>
    <w:rsid w:val="004C5DD1"/>
    <w:rsid w:val="004C5E4C"/>
    <w:rsid w:val="004C5E56"/>
    <w:rsid w:val="004C5E83"/>
    <w:rsid w:val="004C5F4F"/>
    <w:rsid w:val="004C5F9E"/>
    <w:rsid w:val="004C5FA6"/>
    <w:rsid w:val="004C6000"/>
    <w:rsid w:val="004C6020"/>
    <w:rsid w:val="004C6143"/>
    <w:rsid w:val="004C61AB"/>
    <w:rsid w:val="004C61BB"/>
    <w:rsid w:val="004C61CE"/>
    <w:rsid w:val="004C6236"/>
    <w:rsid w:val="004C630C"/>
    <w:rsid w:val="004C6355"/>
    <w:rsid w:val="004C6423"/>
    <w:rsid w:val="004C6457"/>
    <w:rsid w:val="004C64AA"/>
    <w:rsid w:val="004C64E1"/>
    <w:rsid w:val="004C6587"/>
    <w:rsid w:val="004C65F9"/>
    <w:rsid w:val="004C6617"/>
    <w:rsid w:val="004C662E"/>
    <w:rsid w:val="004C6636"/>
    <w:rsid w:val="004C6653"/>
    <w:rsid w:val="004C6938"/>
    <w:rsid w:val="004C6A4F"/>
    <w:rsid w:val="004C6AB5"/>
    <w:rsid w:val="004C6B00"/>
    <w:rsid w:val="004C6B53"/>
    <w:rsid w:val="004C6BF1"/>
    <w:rsid w:val="004C6C3F"/>
    <w:rsid w:val="004C6D1D"/>
    <w:rsid w:val="004C6D65"/>
    <w:rsid w:val="004C6D6E"/>
    <w:rsid w:val="004C6D8E"/>
    <w:rsid w:val="004C6D93"/>
    <w:rsid w:val="004C6E1E"/>
    <w:rsid w:val="004C6E9A"/>
    <w:rsid w:val="004C6F01"/>
    <w:rsid w:val="004C7006"/>
    <w:rsid w:val="004C700D"/>
    <w:rsid w:val="004C705C"/>
    <w:rsid w:val="004C707F"/>
    <w:rsid w:val="004C7093"/>
    <w:rsid w:val="004C7094"/>
    <w:rsid w:val="004C70B7"/>
    <w:rsid w:val="004C70D8"/>
    <w:rsid w:val="004C70DD"/>
    <w:rsid w:val="004C7235"/>
    <w:rsid w:val="004C7268"/>
    <w:rsid w:val="004C7275"/>
    <w:rsid w:val="004C7307"/>
    <w:rsid w:val="004C73A1"/>
    <w:rsid w:val="004C7443"/>
    <w:rsid w:val="004C7473"/>
    <w:rsid w:val="004C7498"/>
    <w:rsid w:val="004C74A6"/>
    <w:rsid w:val="004C74BE"/>
    <w:rsid w:val="004C74D2"/>
    <w:rsid w:val="004C75D4"/>
    <w:rsid w:val="004C75DD"/>
    <w:rsid w:val="004C75F8"/>
    <w:rsid w:val="004C75FB"/>
    <w:rsid w:val="004C7655"/>
    <w:rsid w:val="004C7748"/>
    <w:rsid w:val="004C77BD"/>
    <w:rsid w:val="004C7806"/>
    <w:rsid w:val="004C78EF"/>
    <w:rsid w:val="004C78F8"/>
    <w:rsid w:val="004C7926"/>
    <w:rsid w:val="004C7997"/>
    <w:rsid w:val="004C7A92"/>
    <w:rsid w:val="004C7B0F"/>
    <w:rsid w:val="004C7BA2"/>
    <w:rsid w:val="004C7BAB"/>
    <w:rsid w:val="004C7CB6"/>
    <w:rsid w:val="004C7D76"/>
    <w:rsid w:val="004C7DB6"/>
    <w:rsid w:val="004C7DE4"/>
    <w:rsid w:val="004C7E54"/>
    <w:rsid w:val="004C7E98"/>
    <w:rsid w:val="004C7FEF"/>
    <w:rsid w:val="004D0105"/>
    <w:rsid w:val="004D01B0"/>
    <w:rsid w:val="004D01C1"/>
    <w:rsid w:val="004D033A"/>
    <w:rsid w:val="004D035E"/>
    <w:rsid w:val="004D0363"/>
    <w:rsid w:val="004D0372"/>
    <w:rsid w:val="004D0385"/>
    <w:rsid w:val="004D03C3"/>
    <w:rsid w:val="004D04E2"/>
    <w:rsid w:val="004D04F2"/>
    <w:rsid w:val="004D0526"/>
    <w:rsid w:val="004D06DC"/>
    <w:rsid w:val="004D0731"/>
    <w:rsid w:val="004D0754"/>
    <w:rsid w:val="004D0848"/>
    <w:rsid w:val="004D0901"/>
    <w:rsid w:val="004D094B"/>
    <w:rsid w:val="004D09BE"/>
    <w:rsid w:val="004D0A53"/>
    <w:rsid w:val="004D0A68"/>
    <w:rsid w:val="004D0A6C"/>
    <w:rsid w:val="004D0B00"/>
    <w:rsid w:val="004D0B02"/>
    <w:rsid w:val="004D0B05"/>
    <w:rsid w:val="004D0B3A"/>
    <w:rsid w:val="004D0C5F"/>
    <w:rsid w:val="004D0D31"/>
    <w:rsid w:val="004D0DF3"/>
    <w:rsid w:val="004D0E89"/>
    <w:rsid w:val="004D0F1C"/>
    <w:rsid w:val="004D0FF8"/>
    <w:rsid w:val="004D109C"/>
    <w:rsid w:val="004D10F6"/>
    <w:rsid w:val="004D1131"/>
    <w:rsid w:val="004D1174"/>
    <w:rsid w:val="004D11B9"/>
    <w:rsid w:val="004D11D2"/>
    <w:rsid w:val="004D11D7"/>
    <w:rsid w:val="004D123C"/>
    <w:rsid w:val="004D12BB"/>
    <w:rsid w:val="004D12CC"/>
    <w:rsid w:val="004D1301"/>
    <w:rsid w:val="004D138A"/>
    <w:rsid w:val="004D1423"/>
    <w:rsid w:val="004D1459"/>
    <w:rsid w:val="004D14AC"/>
    <w:rsid w:val="004D14E0"/>
    <w:rsid w:val="004D1554"/>
    <w:rsid w:val="004D158F"/>
    <w:rsid w:val="004D15B2"/>
    <w:rsid w:val="004D16F5"/>
    <w:rsid w:val="004D171C"/>
    <w:rsid w:val="004D1781"/>
    <w:rsid w:val="004D1827"/>
    <w:rsid w:val="004D1840"/>
    <w:rsid w:val="004D1852"/>
    <w:rsid w:val="004D1903"/>
    <w:rsid w:val="004D198F"/>
    <w:rsid w:val="004D19A1"/>
    <w:rsid w:val="004D19A9"/>
    <w:rsid w:val="004D1ABF"/>
    <w:rsid w:val="004D1AFD"/>
    <w:rsid w:val="004D1B91"/>
    <w:rsid w:val="004D1C11"/>
    <w:rsid w:val="004D1DA7"/>
    <w:rsid w:val="004D1DEB"/>
    <w:rsid w:val="004D1E5E"/>
    <w:rsid w:val="004D1EA7"/>
    <w:rsid w:val="004D1EF5"/>
    <w:rsid w:val="004D1F12"/>
    <w:rsid w:val="004D1F39"/>
    <w:rsid w:val="004D1F85"/>
    <w:rsid w:val="004D1F92"/>
    <w:rsid w:val="004D1FE8"/>
    <w:rsid w:val="004D1FFF"/>
    <w:rsid w:val="004D200D"/>
    <w:rsid w:val="004D20BC"/>
    <w:rsid w:val="004D20C8"/>
    <w:rsid w:val="004D20F3"/>
    <w:rsid w:val="004D21B6"/>
    <w:rsid w:val="004D21DC"/>
    <w:rsid w:val="004D2323"/>
    <w:rsid w:val="004D24B8"/>
    <w:rsid w:val="004D24EA"/>
    <w:rsid w:val="004D2518"/>
    <w:rsid w:val="004D252F"/>
    <w:rsid w:val="004D255C"/>
    <w:rsid w:val="004D258A"/>
    <w:rsid w:val="004D274A"/>
    <w:rsid w:val="004D27B2"/>
    <w:rsid w:val="004D27F3"/>
    <w:rsid w:val="004D2823"/>
    <w:rsid w:val="004D28EC"/>
    <w:rsid w:val="004D28EF"/>
    <w:rsid w:val="004D28FE"/>
    <w:rsid w:val="004D29BE"/>
    <w:rsid w:val="004D29F1"/>
    <w:rsid w:val="004D2A27"/>
    <w:rsid w:val="004D2AC6"/>
    <w:rsid w:val="004D2ACF"/>
    <w:rsid w:val="004D2B27"/>
    <w:rsid w:val="004D2C52"/>
    <w:rsid w:val="004D2D96"/>
    <w:rsid w:val="004D2DA5"/>
    <w:rsid w:val="004D2DB7"/>
    <w:rsid w:val="004D2F0E"/>
    <w:rsid w:val="004D2F12"/>
    <w:rsid w:val="004D2F1D"/>
    <w:rsid w:val="004D2F50"/>
    <w:rsid w:val="004D2F88"/>
    <w:rsid w:val="004D2FB7"/>
    <w:rsid w:val="004D30B6"/>
    <w:rsid w:val="004D31AA"/>
    <w:rsid w:val="004D331C"/>
    <w:rsid w:val="004D3412"/>
    <w:rsid w:val="004D3485"/>
    <w:rsid w:val="004D34CB"/>
    <w:rsid w:val="004D34DC"/>
    <w:rsid w:val="004D34E4"/>
    <w:rsid w:val="004D36BD"/>
    <w:rsid w:val="004D371A"/>
    <w:rsid w:val="004D3731"/>
    <w:rsid w:val="004D3733"/>
    <w:rsid w:val="004D37A1"/>
    <w:rsid w:val="004D37AF"/>
    <w:rsid w:val="004D37B7"/>
    <w:rsid w:val="004D3855"/>
    <w:rsid w:val="004D3897"/>
    <w:rsid w:val="004D38FF"/>
    <w:rsid w:val="004D390C"/>
    <w:rsid w:val="004D3941"/>
    <w:rsid w:val="004D3AE5"/>
    <w:rsid w:val="004D3B19"/>
    <w:rsid w:val="004D3C61"/>
    <w:rsid w:val="004D3C62"/>
    <w:rsid w:val="004D3CAB"/>
    <w:rsid w:val="004D3DD6"/>
    <w:rsid w:val="004D3E30"/>
    <w:rsid w:val="004D3E9A"/>
    <w:rsid w:val="004D3EB3"/>
    <w:rsid w:val="004D3F21"/>
    <w:rsid w:val="004D3F67"/>
    <w:rsid w:val="004D3F87"/>
    <w:rsid w:val="004D40FD"/>
    <w:rsid w:val="004D414C"/>
    <w:rsid w:val="004D417E"/>
    <w:rsid w:val="004D41DF"/>
    <w:rsid w:val="004D4296"/>
    <w:rsid w:val="004D42DD"/>
    <w:rsid w:val="004D4319"/>
    <w:rsid w:val="004D4425"/>
    <w:rsid w:val="004D4453"/>
    <w:rsid w:val="004D4524"/>
    <w:rsid w:val="004D4584"/>
    <w:rsid w:val="004D4622"/>
    <w:rsid w:val="004D46A6"/>
    <w:rsid w:val="004D472B"/>
    <w:rsid w:val="004D472E"/>
    <w:rsid w:val="004D4771"/>
    <w:rsid w:val="004D47E0"/>
    <w:rsid w:val="004D4863"/>
    <w:rsid w:val="004D4934"/>
    <w:rsid w:val="004D4A1B"/>
    <w:rsid w:val="004D4B81"/>
    <w:rsid w:val="004D4BDC"/>
    <w:rsid w:val="004D4BE5"/>
    <w:rsid w:val="004D4C1D"/>
    <w:rsid w:val="004D4C23"/>
    <w:rsid w:val="004D4C4E"/>
    <w:rsid w:val="004D4CBD"/>
    <w:rsid w:val="004D4D17"/>
    <w:rsid w:val="004D4E00"/>
    <w:rsid w:val="004D4E12"/>
    <w:rsid w:val="004D4E40"/>
    <w:rsid w:val="004D4F1B"/>
    <w:rsid w:val="004D4F2C"/>
    <w:rsid w:val="004D4FA0"/>
    <w:rsid w:val="004D5114"/>
    <w:rsid w:val="004D5170"/>
    <w:rsid w:val="004D51F8"/>
    <w:rsid w:val="004D5229"/>
    <w:rsid w:val="004D525F"/>
    <w:rsid w:val="004D52A0"/>
    <w:rsid w:val="004D53E3"/>
    <w:rsid w:val="004D5408"/>
    <w:rsid w:val="004D5409"/>
    <w:rsid w:val="004D540E"/>
    <w:rsid w:val="004D542F"/>
    <w:rsid w:val="004D54A8"/>
    <w:rsid w:val="004D54B1"/>
    <w:rsid w:val="004D54C4"/>
    <w:rsid w:val="004D568C"/>
    <w:rsid w:val="004D56FB"/>
    <w:rsid w:val="004D571C"/>
    <w:rsid w:val="004D5776"/>
    <w:rsid w:val="004D5780"/>
    <w:rsid w:val="004D578A"/>
    <w:rsid w:val="004D585F"/>
    <w:rsid w:val="004D58A6"/>
    <w:rsid w:val="004D593F"/>
    <w:rsid w:val="004D5974"/>
    <w:rsid w:val="004D5999"/>
    <w:rsid w:val="004D59BE"/>
    <w:rsid w:val="004D59DE"/>
    <w:rsid w:val="004D59FC"/>
    <w:rsid w:val="004D5A41"/>
    <w:rsid w:val="004D5A56"/>
    <w:rsid w:val="004D5AB6"/>
    <w:rsid w:val="004D5B8C"/>
    <w:rsid w:val="004D5BBA"/>
    <w:rsid w:val="004D5C79"/>
    <w:rsid w:val="004D5C89"/>
    <w:rsid w:val="004D5D1B"/>
    <w:rsid w:val="004D5D9F"/>
    <w:rsid w:val="004D5DA4"/>
    <w:rsid w:val="004D5EE6"/>
    <w:rsid w:val="004D5F3A"/>
    <w:rsid w:val="004D5F4C"/>
    <w:rsid w:val="004D5FCA"/>
    <w:rsid w:val="004D5FE5"/>
    <w:rsid w:val="004D5FFA"/>
    <w:rsid w:val="004D60CB"/>
    <w:rsid w:val="004D60F6"/>
    <w:rsid w:val="004D6111"/>
    <w:rsid w:val="004D6170"/>
    <w:rsid w:val="004D6178"/>
    <w:rsid w:val="004D61FA"/>
    <w:rsid w:val="004D6285"/>
    <w:rsid w:val="004D6312"/>
    <w:rsid w:val="004D6403"/>
    <w:rsid w:val="004D6555"/>
    <w:rsid w:val="004D6583"/>
    <w:rsid w:val="004D65A5"/>
    <w:rsid w:val="004D666D"/>
    <w:rsid w:val="004D66F7"/>
    <w:rsid w:val="004D67DF"/>
    <w:rsid w:val="004D67FA"/>
    <w:rsid w:val="004D6846"/>
    <w:rsid w:val="004D6857"/>
    <w:rsid w:val="004D6905"/>
    <w:rsid w:val="004D69B4"/>
    <w:rsid w:val="004D6A59"/>
    <w:rsid w:val="004D6A78"/>
    <w:rsid w:val="004D6ABB"/>
    <w:rsid w:val="004D6AF2"/>
    <w:rsid w:val="004D6B11"/>
    <w:rsid w:val="004D6B4A"/>
    <w:rsid w:val="004D6C5B"/>
    <w:rsid w:val="004D6CE5"/>
    <w:rsid w:val="004D6CF1"/>
    <w:rsid w:val="004D6CFC"/>
    <w:rsid w:val="004D6D5A"/>
    <w:rsid w:val="004D6DBE"/>
    <w:rsid w:val="004D6E2C"/>
    <w:rsid w:val="004D6F95"/>
    <w:rsid w:val="004D6FB7"/>
    <w:rsid w:val="004D6FE4"/>
    <w:rsid w:val="004D707C"/>
    <w:rsid w:val="004D7136"/>
    <w:rsid w:val="004D71AC"/>
    <w:rsid w:val="004D72AF"/>
    <w:rsid w:val="004D7324"/>
    <w:rsid w:val="004D73F6"/>
    <w:rsid w:val="004D7448"/>
    <w:rsid w:val="004D74FF"/>
    <w:rsid w:val="004D758E"/>
    <w:rsid w:val="004D75CE"/>
    <w:rsid w:val="004D761A"/>
    <w:rsid w:val="004D763C"/>
    <w:rsid w:val="004D7656"/>
    <w:rsid w:val="004D76CF"/>
    <w:rsid w:val="004D771C"/>
    <w:rsid w:val="004D7764"/>
    <w:rsid w:val="004D778C"/>
    <w:rsid w:val="004D77F6"/>
    <w:rsid w:val="004D77F9"/>
    <w:rsid w:val="004D7850"/>
    <w:rsid w:val="004D7860"/>
    <w:rsid w:val="004D7940"/>
    <w:rsid w:val="004D7947"/>
    <w:rsid w:val="004D7954"/>
    <w:rsid w:val="004D7963"/>
    <w:rsid w:val="004D7A33"/>
    <w:rsid w:val="004D7A65"/>
    <w:rsid w:val="004D7A8D"/>
    <w:rsid w:val="004D7A9A"/>
    <w:rsid w:val="004D7AC3"/>
    <w:rsid w:val="004D7B07"/>
    <w:rsid w:val="004D7B21"/>
    <w:rsid w:val="004D7B32"/>
    <w:rsid w:val="004D7B96"/>
    <w:rsid w:val="004D7BA4"/>
    <w:rsid w:val="004D7CF7"/>
    <w:rsid w:val="004D7E05"/>
    <w:rsid w:val="004D7EAC"/>
    <w:rsid w:val="004D7F4E"/>
    <w:rsid w:val="004D7FB0"/>
    <w:rsid w:val="004E01C8"/>
    <w:rsid w:val="004E0243"/>
    <w:rsid w:val="004E0272"/>
    <w:rsid w:val="004E0276"/>
    <w:rsid w:val="004E02A2"/>
    <w:rsid w:val="004E02DC"/>
    <w:rsid w:val="004E0381"/>
    <w:rsid w:val="004E045C"/>
    <w:rsid w:val="004E04E4"/>
    <w:rsid w:val="004E0531"/>
    <w:rsid w:val="004E059E"/>
    <w:rsid w:val="004E06AA"/>
    <w:rsid w:val="004E0724"/>
    <w:rsid w:val="004E0730"/>
    <w:rsid w:val="004E0798"/>
    <w:rsid w:val="004E07EF"/>
    <w:rsid w:val="004E08DE"/>
    <w:rsid w:val="004E09D7"/>
    <w:rsid w:val="004E0A00"/>
    <w:rsid w:val="004E0A08"/>
    <w:rsid w:val="004E0A55"/>
    <w:rsid w:val="004E0AD4"/>
    <w:rsid w:val="004E0AEE"/>
    <w:rsid w:val="004E0B3F"/>
    <w:rsid w:val="004E0B5E"/>
    <w:rsid w:val="004E0B65"/>
    <w:rsid w:val="004E0B6B"/>
    <w:rsid w:val="004E0C62"/>
    <w:rsid w:val="004E0D1D"/>
    <w:rsid w:val="004E0D36"/>
    <w:rsid w:val="004E0D64"/>
    <w:rsid w:val="004E0DD8"/>
    <w:rsid w:val="004E0E84"/>
    <w:rsid w:val="004E1025"/>
    <w:rsid w:val="004E10C9"/>
    <w:rsid w:val="004E1143"/>
    <w:rsid w:val="004E1222"/>
    <w:rsid w:val="004E1267"/>
    <w:rsid w:val="004E1296"/>
    <w:rsid w:val="004E1310"/>
    <w:rsid w:val="004E13A2"/>
    <w:rsid w:val="004E14A4"/>
    <w:rsid w:val="004E1553"/>
    <w:rsid w:val="004E1578"/>
    <w:rsid w:val="004E15F2"/>
    <w:rsid w:val="004E1605"/>
    <w:rsid w:val="004E1685"/>
    <w:rsid w:val="004E1727"/>
    <w:rsid w:val="004E179F"/>
    <w:rsid w:val="004E17A7"/>
    <w:rsid w:val="004E17BD"/>
    <w:rsid w:val="004E180A"/>
    <w:rsid w:val="004E184C"/>
    <w:rsid w:val="004E18BB"/>
    <w:rsid w:val="004E1987"/>
    <w:rsid w:val="004E199B"/>
    <w:rsid w:val="004E19A8"/>
    <w:rsid w:val="004E1A29"/>
    <w:rsid w:val="004E1AB2"/>
    <w:rsid w:val="004E1AC3"/>
    <w:rsid w:val="004E1AE4"/>
    <w:rsid w:val="004E1B26"/>
    <w:rsid w:val="004E1B28"/>
    <w:rsid w:val="004E1B3A"/>
    <w:rsid w:val="004E1C54"/>
    <w:rsid w:val="004E1C59"/>
    <w:rsid w:val="004E1CDB"/>
    <w:rsid w:val="004E1D1F"/>
    <w:rsid w:val="004E1D58"/>
    <w:rsid w:val="004E1DA2"/>
    <w:rsid w:val="004E1F64"/>
    <w:rsid w:val="004E1FA2"/>
    <w:rsid w:val="004E1FF9"/>
    <w:rsid w:val="004E201A"/>
    <w:rsid w:val="004E2066"/>
    <w:rsid w:val="004E2093"/>
    <w:rsid w:val="004E20BD"/>
    <w:rsid w:val="004E20E8"/>
    <w:rsid w:val="004E21E8"/>
    <w:rsid w:val="004E21F8"/>
    <w:rsid w:val="004E226D"/>
    <w:rsid w:val="004E228F"/>
    <w:rsid w:val="004E22D5"/>
    <w:rsid w:val="004E2344"/>
    <w:rsid w:val="004E23AC"/>
    <w:rsid w:val="004E241C"/>
    <w:rsid w:val="004E24A8"/>
    <w:rsid w:val="004E24C9"/>
    <w:rsid w:val="004E2505"/>
    <w:rsid w:val="004E25E6"/>
    <w:rsid w:val="004E2702"/>
    <w:rsid w:val="004E274E"/>
    <w:rsid w:val="004E2818"/>
    <w:rsid w:val="004E28C7"/>
    <w:rsid w:val="004E28EA"/>
    <w:rsid w:val="004E2928"/>
    <w:rsid w:val="004E299C"/>
    <w:rsid w:val="004E299F"/>
    <w:rsid w:val="004E29EF"/>
    <w:rsid w:val="004E2ACF"/>
    <w:rsid w:val="004E2B70"/>
    <w:rsid w:val="004E2BD6"/>
    <w:rsid w:val="004E2CFE"/>
    <w:rsid w:val="004E2E8F"/>
    <w:rsid w:val="004E2F35"/>
    <w:rsid w:val="004E2F4E"/>
    <w:rsid w:val="004E2F74"/>
    <w:rsid w:val="004E2FD5"/>
    <w:rsid w:val="004E2FD9"/>
    <w:rsid w:val="004E30CA"/>
    <w:rsid w:val="004E316F"/>
    <w:rsid w:val="004E326D"/>
    <w:rsid w:val="004E32C9"/>
    <w:rsid w:val="004E331C"/>
    <w:rsid w:val="004E3355"/>
    <w:rsid w:val="004E3370"/>
    <w:rsid w:val="004E33A9"/>
    <w:rsid w:val="004E33D8"/>
    <w:rsid w:val="004E34E1"/>
    <w:rsid w:val="004E357E"/>
    <w:rsid w:val="004E359E"/>
    <w:rsid w:val="004E3603"/>
    <w:rsid w:val="004E36D0"/>
    <w:rsid w:val="004E3739"/>
    <w:rsid w:val="004E3768"/>
    <w:rsid w:val="004E37DF"/>
    <w:rsid w:val="004E3816"/>
    <w:rsid w:val="004E38BD"/>
    <w:rsid w:val="004E3901"/>
    <w:rsid w:val="004E3973"/>
    <w:rsid w:val="004E39D2"/>
    <w:rsid w:val="004E3AC1"/>
    <w:rsid w:val="004E3AF7"/>
    <w:rsid w:val="004E3B1D"/>
    <w:rsid w:val="004E3B59"/>
    <w:rsid w:val="004E3C23"/>
    <w:rsid w:val="004E3C50"/>
    <w:rsid w:val="004E3C81"/>
    <w:rsid w:val="004E3CB4"/>
    <w:rsid w:val="004E3CB9"/>
    <w:rsid w:val="004E3D8E"/>
    <w:rsid w:val="004E3DB0"/>
    <w:rsid w:val="004E3ED3"/>
    <w:rsid w:val="004E3F1C"/>
    <w:rsid w:val="004E3FAA"/>
    <w:rsid w:val="004E3FDB"/>
    <w:rsid w:val="004E3FF7"/>
    <w:rsid w:val="004E4118"/>
    <w:rsid w:val="004E4177"/>
    <w:rsid w:val="004E41FD"/>
    <w:rsid w:val="004E4274"/>
    <w:rsid w:val="004E4284"/>
    <w:rsid w:val="004E42CB"/>
    <w:rsid w:val="004E42D6"/>
    <w:rsid w:val="004E4309"/>
    <w:rsid w:val="004E4387"/>
    <w:rsid w:val="004E43A6"/>
    <w:rsid w:val="004E43E1"/>
    <w:rsid w:val="004E43E3"/>
    <w:rsid w:val="004E4551"/>
    <w:rsid w:val="004E464B"/>
    <w:rsid w:val="004E4655"/>
    <w:rsid w:val="004E466D"/>
    <w:rsid w:val="004E47D7"/>
    <w:rsid w:val="004E47F6"/>
    <w:rsid w:val="004E4816"/>
    <w:rsid w:val="004E482C"/>
    <w:rsid w:val="004E48D5"/>
    <w:rsid w:val="004E48EB"/>
    <w:rsid w:val="004E4931"/>
    <w:rsid w:val="004E498A"/>
    <w:rsid w:val="004E49E4"/>
    <w:rsid w:val="004E49E7"/>
    <w:rsid w:val="004E4A30"/>
    <w:rsid w:val="004E4A5A"/>
    <w:rsid w:val="004E4A5D"/>
    <w:rsid w:val="004E4AA0"/>
    <w:rsid w:val="004E4AD9"/>
    <w:rsid w:val="004E4B6F"/>
    <w:rsid w:val="004E4B7B"/>
    <w:rsid w:val="004E4C5D"/>
    <w:rsid w:val="004E4C96"/>
    <w:rsid w:val="004E4D6F"/>
    <w:rsid w:val="004E4E48"/>
    <w:rsid w:val="004E4E6E"/>
    <w:rsid w:val="004E4F29"/>
    <w:rsid w:val="004E4F36"/>
    <w:rsid w:val="004E4F41"/>
    <w:rsid w:val="004E4F5B"/>
    <w:rsid w:val="004E5014"/>
    <w:rsid w:val="004E50C5"/>
    <w:rsid w:val="004E50F9"/>
    <w:rsid w:val="004E525B"/>
    <w:rsid w:val="004E527E"/>
    <w:rsid w:val="004E5281"/>
    <w:rsid w:val="004E52AD"/>
    <w:rsid w:val="004E52EB"/>
    <w:rsid w:val="004E53CC"/>
    <w:rsid w:val="004E5425"/>
    <w:rsid w:val="004E54C6"/>
    <w:rsid w:val="004E551A"/>
    <w:rsid w:val="004E5523"/>
    <w:rsid w:val="004E553B"/>
    <w:rsid w:val="004E5544"/>
    <w:rsid w:val="004E557D"/>
    <w:rsid w:val="004E5581"/>
    <w:rsid w:val="004E55EA"/>
    <w:rsid w:val="004E5673"/>
    <w:rsid w:val="004E579E"/>
    <w:rsid w:val="004E57D0"/>
    <w:rsid w:val="004E5858"/>
    <w:rsid w:val="004E58C8"/>
    <w:rsid w:val="004E5A08"/>
    <w:rsid w:val="004E5A12"/>
    <w:rsid w:val="004E5A29"/>
    <w:rsid w:val="004E5AF6"/>
    <w:rsid w:val="004E5B57"/>
    <w:rsid w:val="004E5C18"/>
    <w:rsid w:val="004E5D4C"/>
    <w:rsid w:val="004E5D5A"/>
    <w:rsid w:val="004E5D97"/>
    <w:rsid w:val="004E5E45"/>
    <w:rsid w:val="004E5E82"/>
    <w:rsid w:val="004E5E85"/>
    <w:rsid w:val="004E5ED5"/>
    <w:rsid w:val="004E5F26"/>
    <w:rsid w:val="004E5F47"/>
    <w:rsid w:val="004E5FDE"/>
    <w:rsid w:val="004E6038"/>
    <w:rsid w:val="004E6172"/>
    <w:rsid w:val="004E6189"/>
    <w:rsid w:val="004E61FE"/>
    <w:rsid w:val="004E627F"/>
    <w:rsid w:val="004E6386"/>
    <w:rsid w:val="004E6399"/>
    <w:rsid w:val="004E64AB"/>
    <w:rsid w:val="004E6517"/>
    <w:rsid w:val="004E6533"/>
    <w:rsid w:val="004E6595"/>
    <w:rsid w:val="004E65B6"/>
    <w:rsid w:val="004E65C2"/>
    <w:rsid w:val="004E6615"/>
    <w:rsid w:val="004E66AE"/>
    <w:rsid w:val="004E66C6"/>
    <w:rsid w:val="004E66F3"/>
    <w:rsid w:val="004E686B"/>
    <w:rsid w:val="004E6906"/>
    <w:rsid w:val="004E6977"/>
    <w:rsid w:val="004E6983"/>
    <w:rsid w:val="004E69A5"/>
    <w:rsid w:val="004E6A7B"/>
    <w:rsid w:val="004E6A83"/>
    <w:rsid w:val="004E6AA1"/>
    <w:rsid w:val="004E6AF0"/>
    <w:rsid w:val="004E6B11"/>
    <w:rsid w:val="004E6B44"/>
    <w:rsid w:val="004E6B61"/>
    <w:rsid w:val="004E6BB7"/>
    <w:rsid w:val="004E6C6F"/>
    <w:rsid w:val="004E6C83"/>
    <w:rsid w:val="004E6CA4"/>
    <w:rsid w:val="004E6CAF"/>
    <w:rsid w:val="004E6D99"/>
    <w:rsid w:val="004E6E3F"/>
    <w:rsid w:val="004E6F80"/>
    <w:rsid w:val="004E6F8D"/>
    <w:rsid w:val="004E6F9F"/>
    <w:rsid w:val="004E70AE"/>
    <w:rsid w:val="004E70F9"/>
    <w:rsid w:val="004E710D"/>
    <w:rsid w:val="004E713C"/>
    <w:rsid w:val="004E71B6"/>
    <w:rsid w:val="004E7225"/>
    <w:rsid w:val="004E72EF"/>
    <w:rsid w:val="004E73C8"/>
    <w:rsid w:val="004E73CF"/>
    <w:rsid w:val="004E7415"/>
    <w:rsid w:val="004E75B0"/>
    <w:rsid w:val="004E76B6"/>
    <w:rsid w:val="004E76BD"/>
    <w:rsid w:val="004E76FC"/>
    <w:rsid w:val="004E7731"/>
    <w:rsid w:val="004E77BF"/>
    <w:rsid w:val="004E7862"/>
    <w:rsid w:val="004E7882"/>
    <w:rsid w:val="004E78AA"/>
    <w:rsid w:val="004E78CF"/>
    <w:rsid w:val="004E795D"/>
    <w:rsid w:val="004E79CA"/>
    <w:rsid w:val="004E79E3"/>
    <w:rsid w:val="004E7A25"/>
    <w:rsid w:val="004E7A7E"/>
    <w:rsid w:val="004E7B0C"/>
    <w:rsid w:val="004E7BA5"/>
    <w:rsid w:val="004E7C05"/>
    <w:rsid w:val="004E7C29"/>
    <w:rsid w:val="004E7C30"/>
    <w:rsid w:val="004E7C43"/>
    <w:rsid w:val="004E7C72"/>
    <w:rsid w:val="004E7C76"/>
    <w:rsid w:val="004E7D23"/>
    <w:rsid w:val="004E7DA9"/>
    <w:rsid w:val="004E7DEA"/>
    <w:rsid w:val="004E7E2F"/>
    <w:rsid w:val="004F0006"/>
    <w:rsid w:val="004F0019"/>
    <w:rsid w:val="004F0165"/>
    <w:rsid w:val="004F0186"/>
    <w:rsid w:val="004F018D"/>
    <w:rsid w:val="004F01A4"/>
    <w:rsid w:val="004F023E"/>
    <w:rsid w:val="004F02B9"/>
    <w:rsid w:val="004F0346"/>
    <w:rsid w:val="004F0372"/>
    <w:rsid w:val="004F0374"/>
    <w:rsid w:val="004F03C8"/>
    <w:rsid w:val="004F04C2"/>
    <w:rsid w:val="004F0522"/>
    <w:rsid w:val="004F0541"/>
    <w:rsid w:val="004F0564"/>
    <w:rsid w:val="004F058A"/>
    <w:rsid w:val="004F05B6"/>
    <w:rsid w:val="004F05BC"/>
    <w:rsid w:val="004F05F6"/>
    <w:rsid w:val="004F0632"/>
    <w:rsid w:val="004F0684"/>
    <w:rsid w:val="004F06AC"/>
    <w:rsid w:val="004F0737"/>
    <w:rsid w:val="004F07D9"/>
    <w:rsid w:val="004F07F2"/>
    <w:rsid w:val="004F0805"/>
    <w:rsid w:val="004F085B"/>
    <w:rsid w:val="004F08A6"/>
    <w:rsid w:val="004F08CB"/>
    <w:rsid w:val="004F0900"/>
    <w:rsid w:val="004F0912"/>
    <w:rsid w:val="004F0924"/>
    <w:rsid w:val="004F0B6B"/>
    <w:rsid w:val="004F0B76"/>
    <w:rsid w:val="004F0C3C"/>
    <w:rsid w:val="004F0C67"/>
    <w:rsid w:val="004F0DF0"/>
    <w:rsid w:val="004F0E33"/>
    <w:rsid w:val="004F0EB0"/>
    <w:rsid w:val="004F0EBF"/>
    <w:rsid w:val="004F0EF8"/>
    <w:rsid w:val="004F0F39"/>
    <w:rsid w:val="004F108A"/>
    <w:rsid w:val="004F1090"/>
    <w:rsid w:val="004F10A9"/>
    <w:rsid w:val="004F11A9"/>
    <w:rsid w:val="004F11B0"/>
    <w:rsid w:val="004F11B2"/>
    <w:rsid w:val="004F11B9"/>
    <w:rsid w:val="004F11C9"/>
    <w:rsid w:val="004F1252"/>
    <w:rsid w:val="004F1280"/>
    <w:rsid w:val="004F1434"/>
    <w:rsid w:val="004F144A"/>
    <w:rsid w:val="004F149D"/>
    <w:rsid w:val="004F15AA"/>
    <w:rsid w:val="004F15F7"/>
    <w:rsid w:val="004F1631"/>
    <w:rsid w:val="004F16FE"/>
    <w:rsid w:val="004F1725"/>
    <w:rsid w:val="004F1766"/>
    <w:rsid w:val="004F176A"/>
    <w:rsid w:val="004F1795"/>
    <w:rsid w:val="004F17A0"/>
    <w:rsid w:val="004F1837"/>
    <w:rsid w:val="004F187B"/>
    <w:rsid w:val="004F1896"/>
    <w:rsid w:val="004F1A86"/>
    <w:rsid w:val="004F1AAB"/>
    <w:rsid w:val="004F1BB6"/>
    <w:rsid w:val="004F1BE7"/>
    <w:rsid w:val="004F1BF2"/>
    <w:rsid w:val="004F1CBC"/>
    <w:rsid w:val="004F1CC9"/>
    <w:rsid w:val="004F1D9A"/>
    <w:rsid w:val="004F1E44"/>
    <w:rsid w:val="004F1E8F"/>
    <w:rsid w:val="004F1EA5"/>
    <w:rsid w:val="004F1EDB"/>
    <w:rsid w:val="004F201B"/>
    <w:rsid w:val="004F2046"/>
    <w:rsid w:val="004F20D8"/>
    <w:rsid w:val="004F2104"/>
    <w:rsid w:val="004F2169"/>
    <w:rsid w:val="004F2199"/>
    <w:rsid w:val="004F21EB"/>
    <w:rsid w:val="004F2254"/>
    <w:rsid w:val="004F2283"/>
    <w:rsid w:val="004F2316"/>
    <w:rsid w:val="004F231D"/>
    <w:rsid w:val="004F2342"/>
    <w:rsid w:val="004F235E"/>
    <w:rsid w:val="004F241B"/>
    <w:rsid w:val="004F24CB"/>
    <w:rsid w:val="004F26A6"/>
    <w:rsid w:val="004F26B5"/>
    <w:rsid w:val="004F27ED"/>
    <w:rsid w:val="004F287B"/>
    <w:rsid w:val="004F2887"/>
    <w:rsid w:val="004F293E"/>
    <w:rsid w:val="004F2955"/>
    <w:rsid w:val="004F29DB"/>
    <w:rsid w:val="004F2A05"/>
    <w:rsid w:val="004F2A20"/>
    <w:rsid w:val="004F2A5E"/>
    <w:rsid w:val="004F2ABE"/>
    <w:rsid w:val="004F2AC1"/>
    <w:rsid w:val="004F2B3B"/>
    <w:rsid w:val="004F2B6D"/>
    <w:rsid w:val="004F2B98"/>
    <w:rsid w:val="004F2BAF"/>
    <w:rsid w:val="004F2C2E"/>
    <w:rsid w:val="004F2C51"/>
    <w:rsid w:val="004F2CE5"/>
    <w:rsid w:val="004F2D0B"/>
    <w:rsid w:val="004F2D32"/>
    <w:rsid w:val="004F2DBF"/>
    <w:rsid w:val="004F2DC3"/>
    <w:rsid w:val="004F2E52"/>
    <w:rsid w:val="004F2EC6"/>
    <w:rsid w:val="004F2EF5"/>
    <w:rsid w:val="004F2F81"/>
    <w:rsid w:val="004F3008"/>
    <w:rsid w:val="004F309F"/>
    <w:rsid w:val="004F3124"/>
    <w:rsid w:val="004F315E"/>
    <w:rsid w:val="004F3182"/>
    <w:rsid w:val="004F31DE"/>
    <w:rsid w:val="004F31EA"/>
    <w:rsid w:val="004F3264"/>
    <w:rsid w:val="004F34A1"/>
    <w:rsid w:val="004F34F1"/>
    <w:rsid w:val="004F3576"/>
    <w:rsid w:val="004F35BB"/>
    <w:rsid w:val="004F3754"/>
    <w:rsid w:val="004F381C"/>
    <w:rsid w:val="004F38E6"/>
    <w:rsid w:val="004F38F6"/>
    <w:rsid w:val="004F3988"/>
    <w:rsid w:val="004F39F1"/>
    <w:rsid w:val="004F3A17"/>
    <w:rsid w:val="004F3A7B"/>
    <w:rsid w:val="004F3CF6"/>
    <w:rsid w:val="004F3DD4"/>
    <w:rsid w:val="004F3E4D"/>
    <w:rsid w:val="004F3F0E"/>
    <w:rsid w:val="004F3F2B"/>
    <w:rsid w:val="004F3F60"/>
    <w:rsid w:val="004F408B"/>
    <w:rsid w:val="004F40BB"/>
    <w:rsid w:val="004F4177"/>
    <w:rsid w:val="004F41FE"/>
    <w:rsid w:val="004F420D"/>
    <w:rsid w:val="004F4237"/>
    <w:rsid w:val="004F426F"/>
    <w:rsid w:val="004F42E8"/>
    <w:rsid w:val="004F439C"/>
    <w:rsid w:val="004F43A3"/>
    <w:rsid w:val="004F43F9"/>
    <w:rsid w:val="004F4427"/>
    <w:rsid w:val="004F447D"/>
    <w:rsid w:val="004F450E"/>
    <w:rsid w:val="004F4643"/>
    <w:rsid w:val="004F46A1"/>
    <w:rsid w:val="004F46D5"/>
    <w:rsid w:val="004F46F4"/>
    <w:rsid w:val="004F470C"/>
    <w:rsid w:val="004F47CA"/>
    <w:rsid w:val="004F47E3"/>
    <w:rsid w:val="004F4849"/>
    <w:rsid w:val="004F489B"/>
    <w:rsid w:val="004F48AF"/>
    <w:rsid w:val="004F493C"/>
    <w:rsid w:val="004F498F"/>
    <w:rsid w:val="004F49A8"/>
    <w:rsid w:val="004F4A05"/>
    <w:rsid w:val="004F4B74"/>
    <w:rsid w:val="004F4B95"/>
    <w:rsid w:val="004F4C21"/>
    <w:rsid w:val="004F4C46"/>
    <w:rsid w:val="004F4C8F"/>
    <w:rsid w:val="004F4CDE"/>
    <w:rsid w:val="004F4D4D"/>
    <w:rsid w:val="004F4E25"/>
    <w:rsid w:val="004F4E36"/>
    <w:rsid w:val="004F4E64"/>
    <w:rsid w:val="004F4E89"/>
    <w:rsid w:val="004F4FC5"/>
    <w:rsid w:val="004F4FE3"/>
    <w:rsid w:val="004F4FE5"/>
    <w:rsid w:val="004F5088"/>
    <w:rsid w:val="004F517C"/>
    <w:rsid w:val="004F517D"/>
    <w:rsid w:val="004F51B5"/>
    <w:rsid w:val="004F51E8"/>
    <w:rsid w:val="004F5232"/>
    <w:rsid w:val="004F5235"/>
    <w:rsid w:val="004F52D1"/>
    <w:rsid w:val="004F5377"/>
    <w:rsid w:val="004F53B2"/>
    <w:rsid w:val="004F53DD"/>
    <w:rsid w:val="004F542A"/>
    <w:rsid w:val="004F54C4"/>
    <w:rsid w:val="004F5564"/>
    <w:rsid w:val="004F557E"/>
    <w:rsid w:val="004F560C"/>
    <w:rsid w:val="004F562D"/>
    <w:rsid w:val="004F564F"/>
    <w:rsid w:val="004F565A"/>
    <w:rsid w:val="004F566A"/>
    <w:rsid w:val="004F5721"/>
    <w:rsid w:val="004F5727"/>
    <w:rsid w:val="004F5746"/>
    <w:rsid w:val="004F57F8"/>
    <w:rsid w:val="004F58BE"/>
    <w:rsid w:val="004F5915"/>
    <w:rsid w:val="004F5916"/>
    <w:rsid w:val="004F599B"/>
    <w:rsid w:val="004F5A16"/>
    <w:rsid w:val="004F5A1C"/>
    <w:rsid w:val="004F5A3F"/>
    <w:rsid w:val="004F5AB8"/>
    <w:rsid w:val="004F5BB0"/>
    <w:rsid w:val="004F5C17"/>
    <w:rsid w:val="004F5C18"/>
    <w:rsid w:val="004F5C81"/>
    <w:rsid w:val="004F5C9E"/>
    <w:rsid w:val="004F5CA7"/>
    <w:rsid w:val="004F5D59"/>
    <w:rsid w:val="004F5DBF"/>
    <w:rsid w:val="004F5E1C"/>
    <w:rsid w:val="004F5F12"/>
    <w:rsid w:val="004F5F35"/>
    <w:rsid w:val="004F6010"/>
    <w:rsid w:val="004F6045"/>
    <w:rsid w:val="004F60FB"/>
    <w:rsid w:val="004F6175"/>
    <w:rsid w:val="004F6255"/>
    <w:rsid w:val="004F62D6"/>
    <w:rsid w:val="004F62E1"/>
    <w:rsid w:val="004F635E"/>
    <w:rsid w:val="004F63B3"/>
    <w:rsid w:val="004F643A"/>
    <w:rsid w:val="004F64CE"/>
    <w:rsid w:val="004F64F0"/>
    <w:rsid w:val="004F650F"/>
    <w:rsid w:val="004F65B6"/>
    <w:rsid w:val="004F6632"/>
    <w:rsid w:val="004F6732"/>
    <w:rsid w:val="004F6756"/>
    <w:rsid w:val="004F67D0"/>
    <w:rsid w:val="004F6957"/>
    <w:rsid w:val="004F69B5"/>
    <w:rsid w:val="004F69E1"/>
    <w:rsid w:val="004F6AC2"/>
    <w:rsid w:val="004F6AD3"/>
    <w:rsid w:val="004F6B5E"/>
    <w:rsid w:val="004F6B9D"/>
    <w:rsid w:val="004F6BD6"/>
    <w:rsid w:val="004F6C35"/>
    <w:rsid w:val="004F6C37"/>
    <w:rsid w:val="004F6C40"/>
    <w:rsid w:val="004F6C8B"/>
    <w:rsid w:val="004F6C9F"/>
    <w:rsid w:val="004F6CED"/>
    <w:rsid w:val="004F6D16"/>
    <w:rsid w:val="004F6D6A"/>
    <w:rsid w:val="004F6D89"/>
    <w:rsid w:val="004F6DF4"/>
    <w:rsid w:val="004F6E3C"/>
    <w:rsid w:val="004F6E44"/>
    <w:rsid w:val="004F6E72"/>
    <w:rsid w:val="004F6EC0"/>
    <w:rsid w:val="004F6ECA"/>
    <w:rsid w:val="004F6F34"/>
    <w:rsid w:val="004F6F5D"/>
    <w:rsid w:val="004F70FB"/>
    <w:rsid w:val="004F7131"/>
    <w:rsid w:val="004F719A"/>
    <w:rsid w:val="004F72B5"/>
    <w:rsid w:val="004F72E4"/>
    <w:rsid w:val="004F7560"/>
    <w:rsid w:val="004F7587"/>
    <w:rsid w:val="004F7736"/>
    <w:rsid w:val="004F77E8"/>
    <w:rsid w:val="004F7810"/>
    <w:rsid w:val="004F7820"/>
    <w:rsid w:val="004F7822"/>
    <w:rsid w:val="004F7850"/>
    <w:rsid w:val="004F791F"/>
    <w:rsid w:val="004F7949"/>
    <w:rsid w:val="004F79CD"/>
    <w:rsid w:val="004F79E0"/>
    <w:rsid w:val="004F79FC"/>
    <w:rsid w:val="004F7A1E"/>
    <w:rsid w:val="004F7A2A"/>
    <w:rsid w:val="004F7A57"/>
    <w:rsid w:val="004F7A7B"/>
    <w:rsid w:val="004F7AD1"/>
    <w:rsid w:val="004F7B37"/>
    <w:rsid w:val="004F7C80"/>
    <w:rsid w:val="004F7D38"/>
    <w:rsid w:val="004F7DE6"/>
    <w:rsid w:val="004F7F9B"/>
    <w:rsid w:val="004F7FBA"/>
    <w:rsid w:val="004F7FE8"/>
    <w:rsid w:val="004F7FEF"/>
    <w:rsid w:val="00500037"/>
    <w:rsid w:val="00500053"/>
    <w:rsid w:val="0050006A"/>
    <w:rsid w:val="00500086"/>
    <w:rsid w:val="0050009B"/>
    <w:rsid w:val="005000EE"/>
    <w:rsid w:val="005000F2"/>
    <w:rsid w:val="0050014F"/>
    <w:rsid w:val="005001B3"/>
    <w:rsid w:val="005001FE"/>
    <w:rsid w:val="00500297"/>
    <w:rsid w:val="005002DF"/>
    <w:rsid w:val="00500361"/>
    <w:rsid w:val="005003A8"/>
    <w:rsid w:val="00500454"/>
    <w:rsid w:val="0050050B"/>
    <w:rsid w:val="005005A2"/>
    <w:rsid w:val="00500605"/>
    <w:rsid w:val="0050067B"/>
    <w:rsid w:val="005006A2"/>
    <w:rsid w:val="005006BB"/>
    <w:rsid w:val="005007EA"/>
    <w:rsid w:val="00500804"/>
    <w:rsid w:val="0050081F"/>
    <w:rsid w:val="005008A1"/>
    <w:rsid w:val="00500973"/>
    <w:rsid w:val="00500A7C"/>
    <w:rsid w:val="00500AA5"/>
    <w:rsid w:val="00500B4A"/>
    <w:rsid w:val="00500BA4"/>
    <w:rsid w:val="00500BFC"/>
    <w:rsid w:val="00500D1A"/>
    <w:rsid w:val="00500D5B"/>
    <w:rsid w:val="00500DC7"/>
    <w:rsid w:val="00500DED"/>
    <w:rsid w:val="00500DF2"/>
    <w:rsid w:val="00500E76"/>
    <w:rsid w:val="00500FAB"/>
    <w:rsid w:val="00500FCD"/>
    <w:rsid w:val="00501002"/>
    <w:rsid w:val="005010C5"/>
    <w:rsid w:val="00501117"/>
    <w:rsid w:val="005011C0"/>
    <w:rsid w:val="00501269"/>
    <w:rsid w:val="005012E2"/>
    <w:rsid w:val="00501310"/>
    <w:rsid w:val="00501386"/>
    <w:rsid w:val="00501399"/>
    <w:rsid w:val="00501404"/>
    <w:rsid w:val="0050141E"/>
    <w:rsid w:val="005015F4"/>
    <w:rsid w:val="00501611"/>
    <w:rsid w:val="00501722"/>
    <w:rsid w:val="00501729"/>
    <w:rsid w:val="00501793"/>
    <w:rsid w:val="00501832"/>
    <w:rsid w:val="0050188D"/>
    <w:rsid w:val="005018E5"/>
    <w:rsid w:val="0050192A"/>
    <w:rsid w:val="00501983"/>
    <w:rsid w:val="00501988"/>
    <w:rsid w:val="005019F6"/>
    <w:rsid w:val="00501A44"/>
    <w:rsid w:val="00501A7C"/>
    <w:rsid w:val="00501A8C"/>
    <w:rsid w:val="00501A91"/>
    <w:rsid w:val="00501BD9"/>
    <w:rsid w:val="00501C1D"/>
    <w:rsid w:val="00501C1E"/>
    <w:rsid w:val="00501C25"/>
    <w:rsid w:val="00501C94"/>
    <w:rsid w:val="00501C9F"/>
    <w:rsid w:val="00501D86"/>
    <w:rsid w:val="00501E4A"/>
    <w:rsid w:val="00501F00"/>
    <w:rsid w:val="00501F35"/>
    <w:rsid w:val="0050208D"/>
    <w:rsid w:val="00502231"/>
    <w:rsid w:val="00502326"/>
    <w:rsid w:val="005024B8"/>
    <w:rsid w:val="0050258E"/>
    <w:rsid w:val="005025AA"/>
    <w:rsid w:val="00502671"/>
    <w:rsid w:val="005027A6"/>
    <w:rsid w:val="005027B5"/>
    <w:rsid w:val="00502820"/>
    <w:rsid w:val="00502865"/>
    <w:rsid w:val="00502867"/>
    <w:rsid w:val="0050288A"/>
    <w:rsid w:val="0050288B"/>
    <w:rsid w:val="005028AF"/>
    <w:rsid w:val="00502971"/>
    <w:rsid w:val="00502A69"/>
    <w:rsid w:val="00502AD8"/>
    <w:rsid w:val="00502B38"/>
    <w:rsid w:val="00502C5B"/>
    <w:rsid w:val="00502C78"/>
    <w:rsid w:val="00502C8C"/>
    <w:rsid w:val="00502CB7"/>
    <w:rsid w:val="00502D2D"/>
    <w:rsid w:val="00502D6D"/>
    <w:rsid w:val="00502D8E"/>
    <w:rsid w:val="00502DAE"/>
    <w:rsid w:val="00502E05"/>
    <w:rsid w:val="00502E1B"/>
    <w:rsid w:val="00502E51"/>
    <w:rsid w:val="00502F50"/>
    <w:rsid w:val="00502F60"/>
    <w:rsid w:val="00502F6A"/>
    <w:rsid w:val="00502F93"/>
    <w:rsid w:val="00502FB6"/>
    <w:rsid w:val="00502FDC"/>
    <w:rsid w:val="00502FFB"/>
    <w:rsid w:val="00503038"/>
    <w:rsid w:val="0050305E"/>
    <w:rsid w:val="005030AA"/>
    <w:rsid w:val="005030DF"/>
    <w:rsid w:val="005030E0"/>
    <w:rsid w:val="005030F0"/>
    <w:rsid w:val="005031C5"/>
    <w:rsid w:val="005031C8"/>
    <w:rsid w:val="00503241"/>
    <w:rsid w:val="00503268"/>
    <w:rsid w:val="00503274"/>
    <w:rsid w:val="0050329C"/>
    <w:rsid w:val="005032C9"/>
    <w:rsid w:val="00503331"/>
    <w:rsid w:val="00503345"/>
    <w:rsid w:val="0050339F"/>
    <w:rsid w:val="00503484"/>
    <w:rsid w:val="005034E1"/>
    <w:rsid w:val="005034EF"/>
    <w:rsid w:val="00503507"/>
    <w:rsid w:val="005035B2"/>
    <w:rsid w:val="005035F9"/>
    <w:rsid w:val="0050364D"/>
    <w:rsid w:val="0050371F"/>
    <w:rsid w:val="00503755"/>
    <w:rsid w:val="005037C1"/>
    <w:rsid w:val="005038A0"/>
    <w:rsid w:val="005038ED"/>
    <w:rsid w:val="00503930"/>
    <w:rsid w:val="00503984"/>
    <w:rsid w:val="00503A42"/>
    <w:rsid w:val="00503B99"/>
    <w:rsid w:val="00503BE3"/>
    <w:rsid w:val="00503C25"/>
    <w:rsid w:val="00503C93"/>
    <w:rsid w:val="00503CEE"/>
    <w:rsid w:val="00503D04"/>
    <w:rsid w:val="00503D1C"/>
    <w:rsid w:val="00503D8B"/>
    <w:rsid w:val="00503DAE"/>
    <w:rsid w:val="00503DDE"/>
    <w:rsid w:val="00503EAF"/>
    <w:rsid w:val="00503FCC"/>
    <w:rsid w:val="00504009"/>
    <w:rsid w:val="0050404D"/>
    <w:rsid w:val="005040B0"/>
    <w:rsid w:val="005040E9"/>
    <w:rsid w:val="005040EA"/>
    <w:rsid w:val="005040EF"/>
    <w:rsid w:val="005041FA"/>
    <w:rsid w:val="005041FC"/>
    <w:rsid w:val="005042B1"/>
    <w:rsid w:val="005042F5"/>
    <w:rsid w:val="005042FA"/>
    <w:rsid w:val="0050432B"/>
    <w:rsid w:val="00504375"/>
    <w:rsid w:val="0050446C"/>
    <w:rsid w:val="005045D7"/>
    <w:rsid w:val="00504604"/>
    <w:rsid w:val="00504638"/>
    <w:rsid w:val="00504647"/>
    <w:rsid w:val="00504652"/>
    <w:rsid w:val="00504670"/>
    <w:rsid w:val="005046BD"/>
    <w:rsid w:val="005046CC"/>
    <w:rsid w:val="005046F2"/>
    <w:rsid w:val="005047BA"/>
    <w:rsid w:val="005047FB"/>
    <w:rsid w:val="00504800"/>
    <w:rsid w:val="0050483D"/>
    <w:rsid w:val="005049FD"/>
    <w:rsid w:val="00504A24"/>
    <w:rsid w:val="00504A75"/>
    <w:rsid w:val="00504A82"/>
    <w:rsid w:val="00504A9D"/>
    <w:rsid w:val="00504AF4"/>
    <w:rsid w:val="00504BC4"/>
    <w:rsid w:val="00504C31"/>
    <w:rsid w:val="00504CA9"/>
    <w:rsid w:val="00504D3B"/>
    <w:rsid w:val="00504D8C"/>
    <w:rsid w:val="00504E5C"/>
    <w:rsid w:val="00504E90"/>
    <w:rsid w:val="00504F50"/>
    <w:rsid w:val="00505065"/>
    <w:rsid w:val="0050507B"/>
    <w:rsid w:val="005050A9"/>
    <w:rsid w:val="005050C8"/>
    <w:rsid w:val="00505129"/>
    <w:rsid w:val="0050512C"/>
    <w:rsid w:val="00505242"/>
    <w:rsid w:val="005053DE"/>
    <w:rsid w:val="00505440"/>
    <w:rsid w:val="00505470"/>
    <w:rsid w:val="005054AA"/>
    <w:rsid w:val="00505509"/>
    <w:rsid w:val="00505674"/>
    <w:rsid w:val="0050581D"/>
    <w:rsid w:val="0050584B"/>
    <w:rsid w:val="005058D4"/>
    <w:rsid w:val="00505919"/>
    <w:rsid w:val="00505A1C"/>
    <w:rsid w:val="00505A6D"/>
    <w:rsid w:val="00505ACE"/>
    <w:rsid w:val="00505B01"/>
    <w:rsid w:val="00505B08"/>
    <w:rsid w:val="00505B73"/>
    <w:rsid w:val="00505B8F"/>
    <w:rsid w:val="00505BB8"/>
    <w:rsid w:val="00505C3E"/>
    <w:rsid w:val="00505C86"/>
    <w:rsid w:val="00505CBF"/>
    <w:rsid w:val="00505CEA"/>
    <w:rsid w:val="00505D1A"/>
    <w:rsid w:val="00505D32"/>
    <w:rsid w:val="00505E19"/>
    <w:rsid w:val="00505E34"/>
    <w:rsid w:val="00506053"/>
    <w:rsid w:val="005060A6"/>
    <w:rsid w:val="00506272"/>
    <w:rsid w:val="005062AD"/>
    <w:rsid w:val="005062BC"/>
    <w:rsid w:val="005063E1"/>
    <w:rsid w:val="005063F4"/>
    <w:rsid w:val="005064DA"/>
    <w:rsid w:val="00506535"/>
    <w:rsid w:val="005065EB"/>
    <w:rsid w:val="005066A7"/>
    <w:rsid w:val="005066F2"/>
    <w:rsid w:val="00506730"/>
    <w:rsid w:val="0050676F"/>
    <w:rsid w:val="00506910"/>
    <w:rsid w:val="00506A52"/>
    <w:rsid w:val="00506AF1"/>
    <w:rsid w:val="00506AF4"/>
    <w:rsid w:val="00506BB7"/>
    <w:rsid w:val="00506C3E"/>
    <w:rsid w:val="00506C5F"/>
    <w:rsid w:val="00506CA9"/>
    <w:rsid w:val="00506CB4"/>
    <w:rsid w:val="00506D29"/>
    <w:rsid w:val="00506D8C"/>
    <w:rsid w:val="00506DBF"/>
    <w:rsid w:val="00506DC3"/>
    <w:rsid w:val="00506E34"/>
    <w:rsid w:val="00506ECD"/>
    <w:rsid w:val="00506F03"/>
    <w:rsid w:val="00506F24"/>
    <w:rsid w:val="00506F2F"/>
    <w:rsid w:val="00506FB5"/>
    <w:rsid w:val="00506FD0"/>
    <w:rsid w:val="00506FD5"/>
    <w:rsid w:val="0050709C"/>
    <w:rsid w:val="005071C8"/>
    <w:rsid w:val="005071D8"/>
    <w:rsid w:val="0050729D"/>
    <w:rsid w:val="005072AA"/>
    <w:rsid w:val="005072C7"/>
    <w:rsid w:val="00507334"/>
    <w:rsid w:val="0050738F"/>
    <w:rsid w:val="0050740E"/>
    <w:rsid w:val="00507508"/>
    <w:rsid w:val="00507632"/>
    <w:rsid w:val="005076BF"/>
    <w:rsid w:val="00507716"/>
    <w:rsid w:val="00507748"/>
    <w:rsid w:val="0050775A"/>
    <w:rsid w:val="005077A0"/>
    <w:rsid w:val="005077D9"/>
    <w:rsid w:val="00507806"/>
    <w:rsid w:val="0050784A"/>
    <w:rsid w:val="00507867"/>
    <w:rsid w:val="00507946"/>
    <w:rsid w:val="00507A5A"/>
    <w:rsid w:val="00507A8C"/>
    <w:rsid w:val="00507AA2"/>
    <w:rsid w:val="00507B06"/>
    <w:rsid w:val="00507B45"/>
    <w:rsid w:val="00507C1C"/>
    <w:rsid w:val="00507CA6"/>
    <w:rsid w:val="00507CAB"/>
    <w:rsid w:val="00507E6D"/>
    <w:rsid w:val="00507EDA"/>
    <w:rsid w:val="00507F5B"/>
    <w:rsid w:val="00507F77"/>
    <w:rsid w:val="00507FA9"/>
    <w:rsid w:val="00507FC6"/>
    <w:rsid w:val="00507FCC"/>
    <w:rsid w:val="00507FD4"/>
    <w:rsid w:val="0050AC59"/>
    <w:rsid w:val="00510021"/>
    <w:rsid w:val="0051012E"/>
    <w:rsid w:val="005101C1"/>
    <w:rsid w:val="0051023B"/>
    <w:rsid w:val="005103AC"/>
    <w:rsid w:val="005103C5"/>
    <w:rsid w:val="0051051E"/>
    <w:rsid w:val="005105EC"/>
    <w:rsid w:val="0051069D"/>
    <w:rsid w:val="005106A4"/>
    <w:rsid w:val="005106D4"/>
    <w:rsid w:val="0051078C"/>
    <w:rsid w:val="005107B9"/>
    <w:rsid w:val="005107FC"/>
    <w:rsid w:val="005108CC"/>
    <w:rsid w:val="005108E6"/>
    <w:rsid w:val="0051092B"/>
    <w:rsid w:val="00510932"/>
    <w:rsid w:val="0051099E"/>
    <w:rsid w:val="005109C2"/>
    <w:rsid w:val="00510A0D"/>
    <w:rsid w:val="00510B2C"/>
    <w:rsid w:val="00510B93"/>
    <w:rsid w:val="00510BF5"/>
    <w:rsid w:val="00510BFA"/>
    <w:rsid w:val="00510C13"/>
    <w:rsid w:val="00510DBA"/>
    <w:rsid w:val="00510E2D"/>
    <w:rsid w:val="00510F6F"/>
    <w:rsid w:val="00510FEC"/>
    <w:rsid w:val="00511024"/>
    <w:rsid w:val="005110B0"/>
    <w:rsid w:val="005110BD"/>
    <w:rsid w:val="00511121"/>
    <w:rsid w:val="005111F2"/>
    <w:rsid w:val="005113A4"/>
    <w:rsid w:val="005113EE"/>
    <w:rsid w:val="0051150A"/>
    <w:rsid w:val="005115A4"/>
    <w:rsid w:val="005115DF"/>
    <w:rsid w:val="005115F8"/>
    <w:rsid w:val="0051168E"/>
    <w:rsid w:val="005116CD"/>
    <w:rsid w:val="0051170D"/>
    <w:rsid w:val="00511782"/>
    <w:rsid w:val="005117A5"/>
    <w:rsid w:val="005118D5"/>
    <w:rsid w:val="005118F4"/>
    <w:rsid w:val="00511929"/>
    <w:rsid w:val="0051198B"/>
    <w:rsid w:val="005119D4"/>
    <w:rsid w:val="005119EA"/>
    <w:rsid w:val="00511A16"/>
    <w:rsid w:val="00511AB5"/>
    <w:rsid w:val="00511AD7"/>
    <w:rsid w:val="00511B23"/>
    <w:rsid w:val="00511B7C"/>
    <w:rsid w:val="00511B8A"/>
    <w:rsid w:val="00511C44"/>
    <w:rsid w:val="00511CA2"/>
    <w:rsid w:val="00511CBB"/>
    <w:rsid w:val="00511D46"/>
    <w:rsid w:val="00511D92"/>
    <w:rsid w:val="00511E13"/>
    <w:rsid w:val="00511F1C"/>
    <w:rsid w:val="00511F92"/>
    <w:rsid w:val="00511FE7"/>
    <w:rsid w:val="0051202B"/>
    <w:rsid w:val="005120CC"/>
    <w:rsid w:val="005120FD"/>
    <w:rsid w:val="00512118"/>
    <w:rsid w:val="00512258"/>
    <w:rsid w:val="005122DB"/>
    <w:rsid w:val="0051243F"/>
    <w:rsid w:val="0051256E"/>
    <w:rsid w:val="0051260C"/>
    <w:rsid w:val="0051266F"/>
    <w:rsid w:val="00512685"/>
    <w:rsid w:val="00512769"/>
    <w:rsid w:val="0051278B"/>
    <w:rsid w:val="005127D8"/>
    <w:rsid w:val="005127EC"/>
    <w:rsid w:val="00512807"/>
    <w:rsid w:val="0051288D"/>
    <w:rsid w:val="0051289A"/>
    <w:rsid w:val="00512A82"/>
    <w:rsid w:val="00512A8C"/>
    <w:rsid w:val="00512BB2"/>
    <w:rsid w:val="00512BD5"/>
    <w:rsid w:val="00512BD6"/>
    <w:rsid w:val="00512BDD"/>
    <w:rsid w:val="00512D1E"/>
    <w:rsid w:val="00512E1D"/>
    <w:rsid w:val="00512E71"/>
    <w:rsid w:val="00512F38"/>
    <w:rsid w:val="00512F4C"/>
    <w:rsid w:val="00512FCF"/>
    <w:rsid w:val="00513089"/>
    <w:rsid w:val="005130CC"/>
    <w:rsid w:val="0051314F"/>
    <w:rsid w:val="0051316C"/>
    <w:rsid w:val="005131CE"/>
    <w:rsid w:val="005131D3"/>
    <w:rsid w:val="0051328B"/>
    <w:rsid w:val="00513299"/>
    <w:rsid w:val="00513337"/>
    <w:rsid w:val="0051333F"/>
    <w:rsid w:val="0051348F"/>
    <w:rsid w:val="00513506"/>
    <w:rsid w:val="00513508"/>
    <w:rsid w:val="0051352C"/>
    <w:rsid w:val="00513530"/>
    <w:rsid w:val="005135B2"/>
    <w:rsid w:val="005135CD"/>
    <w:rsid w:val="0051361F"/>
    <w:rsid w:val="0051362D"/>
    <w:rsid w:val="005136A1"/>
    <w:rsid w:val="005137C7"/>
    <w:rsid w:val="005137F9"/>
    <w:rsid w:val="00513819"/>
    <w:rsid w:val="00513827"/>
    <w:rsid w:val="005138A6"/>
    <w:rsid w:val="005138B7"/>
    <w:rsid w:val="005138E0"/>
    <w:rsid w:val="005138F4"/>
    <w:rsid w:val="005138F5"/>
    <w:rsid w:val="005139C4"/>
    <w:rsid w:val="005139ED"/>
    <w:rsid w:val="00513A2D"/>
    <w:rsid w:val="00513AF9"/>
    <w:rsid w:val="00513AFE"/>
    <w:rsid w:val="00513B3B"/>
    <w:rsid w:val="00513B69"/>
    <w:rsid w:val="00513B6B"/>
    <w:rsid w:val="00513B7D"/>
    <w:rsid w:val="00513B90"/>
    <w:rsid w:val="00513C62"/>
    <w:rsid w:val="00513C81"/>
    <w:rsid w:val="00513CF4"/>
    <w:rsid w:val="00513D3B"/>
    <w:rsid w:val="00513D7E"/>
    <w:rsid w:val="00513DAA"/>
    <w:rsid w:val="00513DBB"/>
    <w:rsid w:val="00513DF4"/>
    <w:rsid w:val="00513E3B"/>
    <w:rsid w:val="00513EEC"/>
    <w:rsid w:val="00513F09"/>
    <w:rsid w:val="00513FB1"/>
    <w:rsid w:val="00514059"/>
    <w:rsid w:val="00514077"/>
    <w:rsid w:val="005140C4"/>
    <w:rsid w:val="005140F0"/>
    <w:rsid w:val="005141FE"/>
    <w:rsid w:val="00514274"/>
    <w:rsid w:val="0051429D"/>
    <w:rsid w:val="005142C4"/>
    <w:rsid w:val="005142C9"/>
    <w:rsid w:val="005142E8"/>
    <w:rsid w:val="00514341"/>
    <w:rsid w:val="00514355"/>
    <w:rsid w:val="005143F9"/>
    <w:rsid w:val="005144B9"/>
    <w:rsid w:val="005144C8"/>
    <w:rsid w:val="005144E3"/>
    <w:rsid w:val="00514516"/>
    <w:rsid w:val="005145C0"/>
    <w:rsid w:val="00514626"/>
    <w:rsid w:val="00514676"/>
    <w:rsid w:val="005146BB"/>
    <w:rsid w:val="005146BE"/>
    <w:rsid w:val="005147E0"/>
    <w:rsid w:val="0051488D"/>
    <w:rsid w:val="005148F1"/>
    <w:rsid w:val="005149F2"/>
    <w:rsid w:val="00514AB1"/>
    <w:rsid w:val="00514B1B"/>
    <w:rsid w:val="00514B1C"/>
    <w:rsid w:val="00514B50"/>
    <w:rsid w:val="00514B64"/>
    <w:rsid w:val="00514B94"/>
    <w:rsid w:val="00514BA6"/>
    <w:rsid w:val="00514BD6"/>
    <w:rsid w:val="00514C1F"/>
    <w:rsid w:val="00514C28"/>
    <w:rsid w:val="00514DC9"/>
    <w:rsid w:val="00514DED"/>
    <w:rsid w:val="00514E88"/>
    <w:rsid w:val="00514ECF"/>
    <w:rsid w:val="00514F20"/>
    <w:rsid w:val="00514F63"/>
    <w:rsid w:val="00514F70"/>
    <w:rsid w:val="00514FC2"/>
    <w:rsid w:val="00515065"/>
    <w:rsid w:val="00515066"/>
    <w:rsid w:val="005150B5"/>
    <w:rsid w:val="00515149"/>
    <w:rsid w:val="005151BF"/>
    <w:rsid w:val="00515285"/>
    <w:rsid w:val="0051529D"/>
    <w:rsid w:val="00515320"/>
    <w:rsid w:val="00515370"/>
    <w:rsid w:val="005153B3"/>
    <w:rsid w:val="005153B4"/>
    <w:rsid w:val="005153DA"/>
    <w:rsid w:val="005153ED"/>
    <w:rsid w:val="00515433"/>
    <w:rsid w:val="0051552C"/>
    <w:rsid w:val="00515557"/>
    <w:rsid w:val="0051557C"/>
    <w:rsid w:val="005155C9"/>
    <w:rsid w:val="00515639"/>
    <w:rsid w:val="00515656"/>
    <w:rsid w:val="00515680"/>
    <w:rsid w:val="0051573B"/>
    <w:rsid w:val="005157AF"/>
    <w:rsid w:val="005157DD"/>
    <w:rsid w:val="005157F3"/>
    <w:rsid w:val="00515A85"/>
    <w:rsid w:val="00515ACE"/>
    <w:rsid w:val="00515AD0"/>
    <w:rsid w:val="00515AE3"/>
    <w:rsid w:val="00515B45"/>
    <w:rsid w:val="00515BFA"/>
    <w:rsid w:val="00515C48"/>
    <w:rsid w:val="00515DD3"/>
    <w:rsid w:val="00515E4A"/>
    <w:rsid w:val="00515E75"/>
    <w:rsid w:val="00515E9A"/>
    <w:rsid w:val="00515EA9"/>
    <w:rsid w:val="00515F85"/>
    <w:rsid w:val="00515FC4"/>
    <w:rsid w:val="005160E2"/>
    <w:rsid w:val="005160F9"/>
    <w:rsid w:val="0051612B"/>
    <w:rsid w:val="00516144"/>
    <w:rsid w:val="005161A4"/>
    <w:rsid w:val="0051623B"/>
    <w:rsid w:val="00516300"/>
    <w:rsid w:val="005163A1"/>
    <w:rsid w:val="00516401"/>
    <w:rsid w:val="00516473"/>
    <w:rsid w:val="00516476"/>
    <w:rsid w:val="00516489"/>
    <w:rsid w:val="005164D2"/>
    <w:rsid w:val="005164EA"/>
    <w:rsid w:val="0051652D"/>
    <w:rsid w:val="00516567"/>
    <w:rsid w:val="005165E1"/>
    <w:rsid w:val="00516600"/>
    <w:rsid w:val="00516644"/>
    <w:rsid w:val="0051666D"/>
    <w:rsid w:val="0051667F"/>
    <w:rsid w:val="00516766"/>
    <w:rsid w:val="0051678B"/>
    <w:rsid w:val="00516792"/>
    <w:rsid w:val="005167AF"/>
    <w:rsid w:val="005167CE"/>
    <w:rsid w:val="00516814"/>
    <w:rsid w:val="00516843"/>
    <w:rsid w:val="00516910"/>
    <w:rsid w:val="005169F3"/>
    <w:rsid w:val="00516B4A"/>
    <w:rsid w:val="00516B57"/>
    <w:rsid w:val="00516C10"/>
    <w:rsid w:val="00516D0C"/>
    <w:rsid w:val="00516D32"/>
    <w:rsid w:val="00516DE1"/>
    <w:rsid w:val="00516E3D"/>
    <w:rsid w:val="00516E4B"/>
    <w:rsid w:val="00516E70"/>
    <w:rsid w:val="00516EC7"/>
    <w:rsid w:val="00516ED4"/>
    <w:rsid w:val="00516F75"/>
    <w:rsid w:val="00516FE9"/>
    <w:rsid w:val="005170B7"/>
    <w:rsid w:val="005170DD"/>
    <w:rsid w:val="00517112"/>
    <w:rsid w:val="00517149"/>
    <w:rsid w:val="005171B2"/>
    <w:rsid w:val="005171CD"/>
    <w:rsid w:val="00517246"/>
    <w:rsid w:val="0051735D"/>
    <w:rsid w:val="005173C4"/>
    <w:rsid w:val="0051746C"/>
    <w:rsid w:val="00517482"/>
    <w:rsid w:val="005174A0"/>
    <w:rsid w:val="0051755D"/>
    <w:rsid w:val="005175A9"/>
    <w:rsid w:val="005175B9"/>
    <w:rsid w:val="005176C2"/>
    <w:rsid w:val="005177E2"/>
    <w:rsid w:val="00517819"/>
    <w:rsid w:val="00517835"/>
    <w:rsid w:val="005178E9"/>
    <w:rsid w:val="005178F1"/>
    <w:rsid w:val="00517902"/>
    <w:rsid w:val="00517913"/>
    <w:rsid w:val="005179EA"/>
    <w:rsid w:val="00517A5E"/>
    <w:rsid w:val="00517A86"/>
    <w:rsid w:val="00517ADB"/>
    <w:rsid w:val="00517C0E"/>
    <w:rsid w:val="00517C71"/>
    <w:rsid w:val="00517CD9"/>
    <w:rsid w:val="00517D8C"/>
    <w:rsid w:val="00517DC5"/>
    <w:rsid w:val="00517E44"/>
    <w:rsid w:val="00517F0F"/>
    <w:rsid w:val="00517F18"/>
    <w:rsid w:val="00517FA2"/>
    <w:rsid w:val="00520121"/>
    <w:rsid w:val="005201D8"/>
    <w:rsid w:val="005201FA"/>
    <w:rsid w:val="005201FE"/>
    <w:rsid w:val="0052024A"/>
    <w:rsid w:val="00520271"/>
    <w:rsid w:val="005202B3"/>
    <w:rsid w:val="005202C4"/>
    <w:rsid w:val="00520370"/>
    <w:rsid w:val="00520379"/>
    <w:rsid w:val="00520398"/>
    <w:rsid w:val="00520659"/>
    <w:rsid w:val="0052065F"/>
    <w:rsid w:val="0052069E"/>
    <w:rsid w:val="00520703"/>
    <w:rsid w:val="00520775"/>
    <w:rsid w:val="00520811"/>
    <w:rsid w:val="0052083A"/>
    <w:rsid w:val="0052087A"/>
    <w:rsid w:val="0052093D"/>
    <w:rsid w:val="005209C2"/>
    <w:rsid w:val="00520A21"/>
    <w:rsid w:val="00520A81"/>
    <w:rsid w:val="00520A9C"/>
    <w:rsid w:val="00520AAE"/>
    <w:rsid w:val="00520B7E"/>
    <w:rsid w:val="00520BB6"/>
    <w:rsid w:val="00520CAB"/>
    <w:rsid w:val="00520CB3"/>
    <w:rsid w:val="00520CD0"/>
    <w:rsid w:val="00520D7C"/>
    <w:rsid w:val="00520DFF"/>
    <w:rsid w:val="00520F39"/>
    <w:rsid w:val="00520F63"/>
    <w:rsid w:val="00520F65"/>
    <w:rsid w:val="00520F6A"/>
    <w:rsid w:val="00520F6D"/>
    <w:rsid w:val="00520F7D"/>
    <w:rsid w:val="00520FB0"/>
    <w:rsid w:val="00520FC5"/>
    <w:rsid w:val="00520FC6"/>
    <w:rsid w:val="00521052"/>
    <w:rsid w:val="0052105D"/>
    <w:rsid w:val="0052107F"/>
    <w:rsid w:val="00521174"/>
    <w:rsid w:val="0052117F"/>
    <w:rsid w:val="005211B9"/>
    <w:rsid w:val="005211C8"/>
    <w:rsid w:val="00521231"/>
    <w:rsid w:val="00521273"/>
    <w:rsid w:val="0052128B"/>
    <w:rsid w:val="005213A4"/>
    <w:rsid w:val="00521471"/>
    <w:rsid w:val="00521529"/>
    <w:rsid w:val="00521532"/>
    <w:rsid w:val="005215D8"/>
    <w:rsid w:val="005216CD"/>
    <w:rsid w:val="00521700"/>
    <w:rsid w:val="00521708"/>
    <w:rsid w:val="0052174C"/>
    <w:rsid w:val="00521814"/>
    <w:rsid w:val="00521845"/>
    <w:rsid w:val="00521863"/>
    <w:rsid w:val="00521895"/>
    <w:rsid w:val="00521933"/>
    <w:rsid w:val="005219D4"/>
    <w:rsid w:val="005219E2"/>
    <w:rsid w:val="00521A0B"/>
    <w:rsid w:val="00521A0D"/>
    <w:rsid w:val="00521A5F"/>
    <w:rsid w:val="00521B41"/>
    <w:rsid w:val="00521B72"/>
    <w:rsid w:val="00521BEC"/>
    <w:rsid w:val="00521C03"/>
    <w:rsid w:val="00521C5A"/>
    <w:rsid w:val="00521C6D"/>
    <w:rsid w:val="00521D1B"/>
    <w:rsid w:val="00521D93"/>
    <w:rsid w:val="00521DC3"/>
    <w:rsid w:val="00521E79"/>
    <w:rsid w:val="00521EDD"/>
    <w:rsid w:val="00521EF0"/>
    <w:rsid w:val="00521F4D"/>
    <w:rsid w:val="00521F90"/>
    <w:rsid w:val="00521FEF"/>
    <w:rsid w:val="00522032"/>
    <w:rsid w:val="005220DC"/>
    <w:rsid w:val="0052222D"/>
    <w:rsid w:val="00522230"/>
    <w:rsid w:val="0052227F"/>
    <w:rsid w:val="0052231C"/>
    <w:rsid w:val="00522335"/>
    <w:rsid w:val="00522399"/>
    <w:rsid w:val="005223CE"/>
    <w:rsid w:val="005223EF"/>
    <w:rsid w:val="00522441"/>
    <w:rsid w:val="005224CA"/>
    <w:rsid w:val="005224D4"/>
    <w:rsid w:val="0052252F"/>
    <w:rsid w:val="0052254C"/>
    <w:rsid w:val="00522570"/>
    <w:rsid w:val="005225B0"/>
    <w:rsid w:val="005225BB"/>
    <w:rsid w:val="005226B5"/>
    <w:rsid w:val="005226DD"/>
    <w:rsid w:val="005226FC"/>
    <w:rsid w:val="00522741"/>
    <w:rsid w:val="005227FA"/>
    <w:rsid w:val="0052287C"/>
    <w:rsid w:val="005229A0"/>
    <w:rsid w:val="00522B3C"/>
    <w:rsid w:val="00522B59"/>
    <w:rsid w:val="00522B79"/>
    <w:rsid w:val="00522C27"/>
    <w:rsid w:val="00522C82"/>
    <w:rsid w:val="00522CAD"/>
    <w:rsid w:val="00522CCC"/>
    <w:rsid w:val="00522D5A"/>
    <w:rsid w:val="00522D65"/>
    <w:rsid w:val="00522DD0"/>
    <w:rsid w:val="00522DFD"/>
    <w:rsid w:val="00522E98"/>
    <w:rsid w:val="00522EEF"/>
    <w:rsid w:val="00522F46"/>
    <w:rsid w:val="00522FB2"/>
    <w:rsid w:val="00522FCF"/>
    <w:rsid w:val="005230FA"/>
    <w:rsid w:val="00523162"/>
    <w:rsid w:val="00523177"/>
    <w:rsid w:val="0052319D"/>
    <w:rsid w:val="005231DB"/>
    <w:rsid w:val="005231E1"/>
    <w:rsid w:val="0052321A"/>
    <w:rsid w:val="00523242"/>
    <w:rsid w:val="0052324E"/>
    <w:rsid w:val="00523294"/>
    <w:rsid w:val="005232CF"/>
    <w:rsid w:val="00523378"/>
    <w:rsid w:val="00523384"/>
    <w:rsid w:val="005233AD"/>
    <w:rsid w:val="005233C0"/>
    <w:rsid w:val="0052349D"/>
    <w:rsid w:val="005234AC"/>
    <w:rsid w:val="00523515"/>
    <w:rsid w:val="0052359A"/>
    <w:rsid w:val="005235C5"/>
    <w:rsid w:val="00523631"/>
    <w:rsid w:val="00523684"/>
    <w:rsid w:val="0052368B"/>
    <w:rsid w:val="005236E1"/>
    <w:rsid w:val="00523890"/>
    <w:rsid w:val="00523913"/>
    <w:rsid w:val="00523938"/>
    <w:rsid w:val="0052394C"/>
    <w:rsid w:val="0052395D"/>
    <w:rsid w:val="00523A25"/>
    <w:rsid w:val="00523A64"/>
    <w:rsid w:val="00523ACA"/>
    <w:rsid w:val="00523B13"/>
    <w:rsid w:val="00523BC2"/>
    <w:rsid w:val="00523C44"/>
    <w:rsid w:val="00523C94"/>
    <w:rsid w:val="00523CBE"/>
    <w:rsid w:val="00523CCC"/>
    <w:rsid w:val="00523CCD"/>
    <w:rsid w:val="00523D8C"/>
    <w:rsid w:val="00523DE7"/>
    <w:rsid w:val="00523E0E"/>
    <w:rsid w:val="00523EA8"/>
    <w:rsid w:val="00523F08"/>
    <w:rsid w:val="00523F17"/>
    <w:rsid w:val="00523FF3"/>
    <w:rsid w:val="0052401B"/>
    <w:rsid w:val="0052405D"/>
    <w:rsid w:val="005240B5"/>
    <w:rsid w:val="005240BB"/>
    <w:rsid w:val="005240C9"/>
    <w:rsid w:val="0052417D"/>
    <w:rsid w:val="005241C3"/>
    <w:rsid w:val="0052424D"/>
    <w:rsid w:val="00524261"/>
    <w:rsid w:val="0052427F"/>
    <w:rsid w:val="00524455"/>
    <w:rsid w:val="00524486"/>
    <w:rsid w:val="0052448C"/>
    <w:rsid w:val="005244CA"/>
    <w:rsid w:val="0052452D"/>
    <w:rsid w:val="0052452F"/>
    <w:rsid w:val="00524561"/>
    <w:rsid w:val="00524570"/>
    <w:rsid w:val="005245CC"/>
    <w:rsid w:val="00524612"/>
    <w:rsid w:val="0052464F"/>
    <w:rsid w:val="005246D4"/>
    <w:rsid w:val="00524708"/>
    <w:rsid w:val="0052473E"/>
    <w:rsid w:val="0052477D"/>
    <w:rsid w:val="00524812"/>
    <w:rsid w:val="00524826"/>
    <w:rsid w:val="005248BB"/>
    <w:rsid w:val="005248C7"/>
    <w:rsid w:val="00524972"/>
    <w:rsid w:val="005249F1"/>
    <w:rsid w:val="00524B7D"/>
    <w:rsid w:val="00524BE8"/>
    <w:rsid w:val="00524BFE"/>
    <w:rsid w:val="00524C06"/>
    <w:rsid w:val="00524C29"/>
    <w:rsid w:val="00524D03"/>
    <w:rsid w:val="00524D68"/>
    <w:rsid w:val="00524DC0"/>
    <w:rsid w:val="00524E67"/>
    <w:rsid w:val="00524E71"/>
    <w:rsid w:val="00524EF9"/>
    <w:rsid w:val="00524F60"/>
    <w:rsid w:val="00524F7A"/>
    <w:rsid w:val="00524F7D"/>
    <w:rsid w:val="00524FA7"/>
    <w:rsid w:val="00525037"/>
    <w:rsid w:val="00525070"/>
    <w:rsid w:val="005251B1"/>
    <w:rsid w:val="005251C7"/>
    <w:rsid w:val="005251EC"/>
    <w:rsid w:val="005252FF"/>
    <w:rsid w:val="00525327"/>
    <w:rsid w:val="00525346"/>
    <w:rsid w:val="00525489"/>
    <w:rsid w:val="005254B5"/>
    <w:rsid w:val="005254D8"/>
    <w:rsid w:val="0052551B"/>
    <w:rsid w:val="00525556"/>
    <w:rsid w:val="005255BB"/>
    <w:rsid w:val="005255DD"/>
    <w:rsid w:val="0052575C"/>
    <w:rsid w:val="0052575D"/>
    <w:rsid w:val="00525765"/>
    <w:rsid w:val="005257D0"/>
    <w:rsid w:val="00525833"/>
    <w:rsid w:val="00525837"/>
    <w:rsid w:val="00525891"/>
    <w:rsid w:val="005258D7"/>
    <w:rsid w:val="00525963"/>
    <w:rsid w:val="005259D6"/>
    <w:rsid w:val="005259E2"/>
    <w:rsid w:val="00525A58"/>
    <w:rsid w:val="00525AD7"/>
    <w:rsid w:val="00525AE9"/>
    <w:rsid w:val="00525B2C"/>
    <w:rsid w:val="00525B62"/>
    <w:rsid w:val="00525B74"/>
    <w:rsid w:val="00525B75"/>
    <w:rsid w:val="00525D0F"/>
    <w:rsid w:val="00525DC4"/>
    <w:rsid w:val="00525DE5"/>
    <w:rsid w:val="00525E3A"/>
    <w:rsid w:val="00525E46"/>
    <w:rsid w:val="00525E4D"/>
    <w:rsid w:val="00525E5E"/>
    <w:rsid w:val="00525E99"/>
    <w:rsid w:val="00525EB2"/>
    <w:rsid w:val="00525EC8"/>
    <w:rsid w:val="00525FC0"/>
    <w:rsid w:val="00526040"/>
    <w:rsid w:val="00526063"/>
    <w:rsid w:val="005260AB"/>
    <w:rsid w:val="005260D6"/>
    <w:rsid w:val="005261E2"/>
    <w:rsid w:val="00526287"/>
    <w:rsid w:val="0052631C"/>
    <w:rsid w:val="0052634A"/>
    <w:rsid w:val="005263A3"/>
    <w:rsid w:val="00526431"/>
    <w:rsid w:val="0052649F"/>
    <w:rsid w:val="005264AB"/>
    <w:rsid w:val="005264AE"/>
    <w:rsid w:val="005264C0"/>
    <w:rsid w:val="00526558"/>
    <w:rsid w:val="005265DC"/>
    <w:rsid w:val="0052663C"/>
    <w:rsid w:val="0052664C"/>
    <w:rsid w:val="005266D0"/>
    <w:rsid w:val="0052677C"/>
    <w:rsid w:val="00526786"/>
    <w:rsid w:val="005267D7"/>
    <w:rsid w:val="0052683E"/>
    <w:rsid w:val="00526876"/>
    <w:rsid w:val="0052688A"/>
    <w:rsid w:val="00526948"/>
    <w:rsid w:val="00526A16"/>
    <w:rsid w:val="00526C11"/>
    <w:rsid w:val="00526C49"/>
    <w:rsid w:val="00526C92"/>
    <w:rsid w:val="00526D0C"/>
    <w:rsid w:val="00526E48"/>
    <w:rsid w:val="00526F48"/>
    <w:rsid w:val="00527000"/>
    <w:rsid w:val="00527071"/>
    <w:rsid w:val="005270FD"/>
    <w:rsid w:val="00527118"/>
    <w:rsid w:val="00527148"/>
    <w:rsid w:val="005271ED"/>
    <w:rsid w:val="00527210"/>
    <w:rsid w:val="0052721E"/>
    <w:rsid w:val="00527232"/>
    <w:rsid w:val="00527404"/>
    <w:rsid w:val="0052743D"/>
    <w:rsid w:val="00527448"/>
    <w:rsid w:val="0052746B"/>
    <w:rsid w:val="0052747A"/>
    <w:rsid w:val="005275B1"/>
    <w:rsid w:val="005275FC"/>
    <w:rsid w:val="00527670"/>
    <w:rsid w:val="0052768C"/>
    <w:rsid w:val="005276E6"/>
    <w:rsid w:val="0052773D"/>
    <w:rsid w:val="00527745"/>
    <w:rsid w:val="00527792"/>
    <w:rsid w:val="00527939"/>
    <w:rsid w:val="0052794E"/>
    <w:rsid w:val="00527950"/>
    <w:rsid w:val="005279F8"/>
    <w:rsid w:val="00527A0E"/>
    <w:rsid w:val="00527A32"/>
    <w:rsid w:val="00527A9A"/>
    <w:rsid w:val="00527AA3"/>
    <w:rsid w:val="00527ACE"/>
    <w:rsid w:val="00527ADB"/>
    <w:rsid w:val="00527BAE"/>
    <w:rsid w:val="00527BCC"/>
    <w:rsid w:val="00527BF5"/>
    <w:rsid w:val="00527DA9"/>
    <w:rsid w:val="00527E26"/>
    <w:rsid w:val="00527E4F"/>
    <w:rsid w:val="00527E61"/>
    <w:rsid w:val="00527ECF"/>
    <w:rsid w:val="00527F6E"/>
    <w:rsid w:val="00530035"/>
    <w:rsid w:val="00530059"/>
    <w:rsid w:val="00530094"/>
    <w:rsid w:val="00530095"/>
    <w:rsid w:val="005300E6"/>
    <w:rsid w:val="00530110"/>
    <w:rsid w:val="005301A3"/>
    <w:rsid w:val="005302D6"/>
    <w:rsid w:val="00530404"/>
    <w:rsid w:val="0053040B"/>
    <w:rsid w:val="0053046B"/>
    <w:rsid w:val="005304A1"/>
    <w:rsid w:val="00530501"/>
    <w:rsid w:val="005305E3"/>
    <w:rsid w:val="00530631"/>
    <w:rsid w:val="00530663"/>
    <w:rsid w:val="00530729"/>
    <w:rsid w:val="00530772"/>
    <w:rsid w:val="005307C6"/>
    <w:rsid w:val="0053087F"/>
    <w:rsid w:val="00530896"/>
    <w:rsid w:val="00530991"/>
    <w:rsid w:val="00530A12"/>
    <w:rsid w:val="00530A53"/>
    <w:rsid w:val="00530A58"/>
    <w:rsid w:val="00530A63"/>
    <w:rsid w:val="00530AFC"/>
    <w:rsid w:val="00530B24"/>
    <w:rsid w:val="00530B5C"/>
    <w:rsid w:val="00530BD0"/>
    <w:rsid w:val="00530CD3"/>
    <w:rsid w:val="00530CF5"/>
    <w:rsid w:val="00530D0F"/>
    <w:rsid w:val="00530D33"/>
    <w:rsid w:val="00530E1D"/>
    <w:rsid w:val="00530E8A"/>
    <w:rsid w:val="00530EF8"/>
    <w:rsid w:val="00530F03"/>
    <w:rsid w:val="00530F19"/>
    <w:rsid w:val="00531021"/>
    <w:rsid w:val="00531052"/>
    <w:rsid w:val="00531057"/>
    <w:rsid w:val="005310AF"/>
    <w:rsid w:val="005310B9"/>
    <w:rsid w:val="005310E7"/>
    <w:rsid w:val="00531174"/>
    <w:rsid w:val="005311C5"/>
    <w:rsid w:val="005311E4"/>
    <w:rsid w:val="005311FC"/>
    <w:rsid w:val="00531283"/>
    <w:rsid w:val="005312C7"/>
    <w:rsid w:val="0053132E"/>
    <w:rsid w:val="0053134E"/>
    <w:rsid w:val="005313AE"/>
    <w:rsid w:val="005313B1"/>
    <w:rsid w:val="005313C3"/>
    <w:rsid w:val="00531474"/>
    <w:rsid w:val="005314A4"/>
    <w:rsid w:val="00531588"/>
    <w:rsid w:val="005315B2"/>
    <w:rsid w:val="005315D8"/>
    <w:rsid w:val="0053164E"/>
    <w:rsid w:val="0053166B"/>
    <w:rsid w:val="005316CF"/>
    <w:rsid w:val="00531742"/>
    <w:rsid w:val="0053179D"/>
    <w:rsid w:val="005317AB"/>
    <w:rsid w:val="00531865"/>
    <w:rsid w:val="00531874"/>
    <w:rsid w:val="00531902"/>
    <w:rsid w:val="005319D5"/>
    <w:rsid w:val="005319EC"/>
    <w:rsid w:val="00531A6C"/>
    <w:rsid w:val="00531B2F"/>
    <w:rsid w:val="00531BE8"/>
    <w:rsid w:val="00531C23"/>
    <w:rsid w:val="00531C60"/>
    <w:rsid w:val="00531CC1"/>
    <w:rsid w:val="00531CEC"/>
    <w:rsid w:val="00531D14"/>
    <w:rsid w:val="00531D18"/>
    <w:rsid w:val="00531D48"/>
    <w:rsid w:val="00531D4E"/>
    <w:rsid w:val="00531DE2"/>
    <w:rsid w:val="00531E59"/>
    <w:rsid w:val="00531E7C"/>
    <w:rsid w:val="00531E8A"/>
    <w:rsid w:val="00531E95"/>
    <w:rsid w:val="00531F48"/>
    <w:rsid w:val="00532023"/>
    <w:rsid w:val="0053205E"/>
    <w:rsid w:val="00532090"/>
    <w:rsid w:val="005320AF"/>
    <w:rsid w:val="005320E6"/>
    <w:rsid w:val="005320F9"/>
    <w:rsid w:val="0053217F"/>
    <w:rsid w:val="005321E6"/>
    <w:rsid w:val="005321F8"/>
    <w:rsid w:val="005321FD"/>
    <w:rsid w:val="005322C1"/>
    <w:rsid w:val="005323BC"/>
    <w:rsid w:val="005324AB"/>
    <w:rsid w:val="005324DA"/>
    <w:rsid w:val="005324FB"/>
    <w:rsid w:val="0053253B"/>
    <w:rsid w:val="00532558"/>
    <w:rsid w:val="005325EE"/>
    <w:rsid w:val="00532682"/>
    <w:rsid w:val="005327A2"/>
    <w:rsid w:val="005327A5"/>
    <w:rsid w:val="0053284E"/>
    <w:rsid w:val="00532887"/>
    <w:rsid w:val="005328F5"/>
    <w:rsid w:val="0053291B"/>
    <w:rsid w:val="005329A9"/>
    <w:rsid w:val="005329B2"/>
    <w:rsid w:val="00532A9E"/>
    <w:rsid w:val="00532B4A"/>
    <w:rsid w:val="00532BBD"/>
    <w:rsid w:val="00532C77"/>
    <w:rsid w:val="00532C85"/>
    <w:rsid w:val="00532C8E"/>
    <w:rsid w:val="00532DAF"/>
    <w:rsid w:val="00532E04"/>
    <w:rsid w:val="00532E8A"/>
    <w:rsid w:val="00532F86"/>
    <w:rsid w:val="00532F94"/>
    <w:rsid w:val="00532FC1"/>
    <w:rsid w:val="005330F9"/>
    <w:rsid w:val="00533197"/>
    <w:rsid w:val="005331A0"/>
    <w:rsid w:val="005333CA"/>
    <w:rsid w:val="00533410"/>
    <w:rsid w:val="0053347F"/>
    <w:rsid w:val="005334A1"/>
    <w:rsid w:val="005334F2"/>
    <w:rsid w:val="00533543"/>
    <w:rsid w:val="00533671"/>
    <w:rsid w:val="00533687"/>
    <w:rsid w:val="005336FB"/>
    <w:rsid w:val="00533709"/>
    <w:rsid w:val="00533789"/>
    <w:rsid w:val="0053385A"/>
    <w:rsid w:val="00533861"/>
    <w:rsid w:val="0053386E"/>
    <w:rsid w:val="005338C3"/>
    <w:rsid w:val="005338D4"/>
    <w:rsid w:val="005338FE"/>
    <w:rsid w:val="0053392F"/>
    <w:rsid w:val="00533974"/>
    <w:rsid w:val="00533A61"/>
    <w:rsid w:val="00533AE6"/>
    <w:rsid w:val="00533B19"/>
    <w:rsid w:val="00533B22"/>
    <w:rsid w:val="00533B26"/>
    <w:rsid w:val="00533CA8"/>
    <w:rsid w:val="00533CCE"/>
    <w:rsid w:val="00533D3B"/>
    <w:rsid w:val="00533D51"/>
    <w:rsid w:val="00533DA9"/>
    <w:rsid w:val="00533E1B"/>
    <w:rsid w:val="00533E4A"/>
    <w:rsid w:val="00533E51"/>
    <w:rsid w:val="00533E60"/>
    <w:rsid w:val="00533E92"/>
    <w:rsid w:val="00533ED6"/>
    <w:rsid w:val="00533EF7"/>
    <w:rsid w:val="00533F1F"/>
    <w:rsid w:val="00533F33"/>
    <w:rsid w:val="00533F3D"/>
    <w:rsid w:val="00533F57"/>
    <w:rsid w:val="00533FA7"/>
    <w:rsid w:val="0053404F"/>
    <w:rsid w:val="0053415B"/>
    <w:rsid w:val="0053419A"/>
    <w:rsid w:val="005341C7"/>
    <w:rsid w:val="0053420D"/>
    <w:rsid w:val="00534299"/>
    <w:rsid w:val="005342BB"/>
    <w:rsid w:val="005342C3"/>
    <w:rsid w:val="00534335"/>
    <w:rsid w:val="0053440F"/>
    <w:rsid w:val="0053454D"/>
    <w:rsid w:val="0053459E"/>
    <w:rsid w:val="005345C1"/>
    <w:rsid w:val="00534690"/>
    <w:rsid w:val="005346AD"/>
    <w:rsid w:val="005346E1"/>
    <w:rsid w:val="0053472A"/>
    <w:rsid w:val="005347A0"/>
    <w:rsid w:val="0053482D"/>
    <w:rsid w:val="00534A1D"/>
    <w:rsid w:val="00534ABD"/>
    <w:rsid w:val="00534B4C"/>
    <w:rsid w:val="00534CD5"/>
    <w:rsid w:val="00534CDA"/>
    <w:rsid w:val="00534D21"/>
    <w:rsid w:val="00534D2B"/>
    <w:rsid w:val="00534D31"/>
    <w:rsid w:val="00534D74"/>
    <w:rsid w:val="00534E22"/>
    <w:rsid w:val="00534E96"/>
    <w:rsid w:val="00534EA1"/>
    <w:rsid w:val="00534F0E"/>
    <w:rsid w:val="00534F22"/>
    <w:rsid w:val="00534F38"/>
    <w:rsid w:val="005350B0"/>
    <w:rsid w:val="005350B8"/>
    <w:rsid w:val="005350F7"/>
    <w:rsid w:val="005351CA"/>
    <w:rsid w:val="00535240"/>
    <w:rsid w:val="005352C1"/>
    <w:rsid w:val="00535336"/>
    <w:rsid w:val="005353FE"/>
    <w:rsid w:val="00535401"/>
    <w:rsid w:val="005354FE"/>
    <w:rsid w:val="00535520"/>
    <w:rsid w:val="00535547"/>
    <w:rsid w:val="0053555F"/>
    <w:rsid w:val="00535564"/>
    <w:rsid w:val="005355D6"/>
    <w:rsid w:val="00535641"/>
    <w:rsid w:val="005356B7"/>
    <w:rsid w:val="005356CF"/>
    <w:rsid w:val="0053581E"/>
    <w:rsid w:val="0053583A"/>
    <w:rsid w:val="00535850"/>
    <w:rsid w:val="005359BC"/>
    <w:rsid w:val="00535A9A"/>
    <w:rsid w:val="00535B73"/>
    <w:rsid w:val="00535B9B"/>
    <w:rsid w:val="00535C7D"/>
    <w:rsid w:val="00535CD5"/>
    <w:rsid w:val="00535D2D"/>
    <w:rsid w:val="00535D76"/>
    <w:rsid w:val="00535DB4"/>
    <w:rsid w:val="00535DF2"/>
    <w:rsid w:val="00535EA4"/>
    <w:rsid w:val="00535ED2"/>
    <w:rsid w:val="00535EEC"/>
    <w:rsid w:val="00535F01"/>
    <w:rsid w:val="00535F60"/>
    <w:rsid w:val="00535F83"/>
    <w:rsid w:val="00535FC9"/>
    <w:rsid w:val="005360B9"/>
    <w:rsid w:val="00536193"/>
    <w:rsid w:val="005361F9"/>
    <w:rsid w:val="005361FB"/>
    <w:rsid w:val="00536294"/>
    <w:rsid w:val="005362A5"/>
    <w:rsid w:val="005362F5"/>
    <w:rsid w:val="00536321"/>
    <w:rsid w:val="0053633C"/>
    <w:rsid w:val="0053637E"/>
    <w:rsid w:val="005363B7"/>
    <w:rsid w:val="005363C5"/>
    <w:rsid w:val="00536499"/>
    <w:rsid w:val="005364EA"/>
    <w:rsid w:val="005364F8"/>
    <w:rsid w:val="00536719"/>
    <w:rsid w:val="0053673B"/>
    <w:rsid w:val="00536791"/>
    <w:rsid w:val="005367FE"/>
    <w:rsid w:val="005368AD"/>
    <w:rsid w:val="005368CB"/>
    <w:rsid w:val="005368DC"/>
    <w:rsid w:val="00536950"/>
    <w:rsid w:val="00536972"/>
    <w:rsid w:val="00536A29"/>
    <w:rsid w:val="00536A69"/>
    <w:rsid w:val="00536A8C"/>
    <w:rsid w:val="00536BB4"/>
    <w:rsid w:val="00536C5C"/>
    <w:rsid w:val="00536D02"/>
    <w:rsid w:val="00536D3D"/>
    <w:rsid w:val="00536E02"/>
    <w:rsid w:val="00536E0F"/>
    <w:rsid w:val="00536E3D"/>
    <w:rsid w:val="00536E8E"/>
    <w:rsid w:val="00536FA4"/>
    <w:rsid w:val="00537101"/>
    <w:rsid w:val="00537178"/>
    <w:rsid w:val="0053721C"/>
    <w:rsid w:val="0053725B"/>
    <w:rsid w:val="005372E2"/>
    <w:rsid w:val="00537317"/>
    <w:rsid w:val="00537319"/>
    <w:rsid w:val="0053738E"/>
    <w:rsid w:val="0053747C"/>
    <w:rsid w:val="005374F2"/>
    <w:rsid w:val="00537578"/>
    <w:rsid w:val="005375AA"/>
    <w:rsid w:val="005375D4"/>
    <w:rsid w:val="00537617"/>
    <w:rsid w:val="0053763F"/>
    <w:rsid w:val="0053766E"/>
    <w:rsid w:val="00537694"/>
    <w:rsid w:val="00537745"/>
    <w:rsid w:val="00537792"/>
    <w:rsid w:val="00537891"/>
    <w:rsid w:val="00537924"/>
    <w:rsid w:val="00537960"/>
    <w:rsid w:val="0053796F"/>
    <w:rsid w:val="00537AC5"/>
    <w:rsid w:val="00537AE4"/>
    <w:rsid w:val="00537C04"/>
    <w:rsid w:val="00537D02"/>
    <w:rsid w:val="00537D72"/>
    <w:rsid w:val="00537E0D"/>
    <w:rsid w:val="00537E8F"/>
    <w:rsid w:val="00537EB0"/>
    <w:rsid w:val="00537FD0"/>
    <w:rsid w:val="0054004D"/>
    <w:rsid w:val="005400D8"/>
    <w:rsid w:val="00540115"/>
    <w:rsid w:val="00540180"/>
    <w:rsid w:val="0054018A"/>
    <w:rsid w:val="005401A8"/>
    <w:rsid w:val="0054043F"/>
    <w:rsid w:val="005404AD"/>
    <w:rsid w:val="005404CA"/>
    <w:rsid w:val="00540532"/>
    <w:rsid w:val="0054054E"/>
    <w:rsid w:val="0054057D"/>
    <w:rsid w:val="005405CE"/>
    <w:rsid w:val="005405EF"/>
    <w:rsid w:val="005406A6"/>
    <w:rsid w:val="0054070C"/>
    <w:rsid w:val="00540737"/>
    <w:rsid w:val="005408AF"/>
    <w:rsid w:val="005408FB"/>
    <w:rsid w:val="0054090B"/>
    <w:rsid w:val="00540999"/>
    <w:rsid w:val="005409A9"/>
    <w:rsid w:val="005409FB"/>
    <w:rsid w:val="00540A46"/>
    <w:rsid w:val="00540ADC"/>
    <w:rsid w:val="00540BA8"/>
    <w:rsid w:val="00540BDB"/>
    <w:rsid w:val="00540C57"/>
    <w:rsid w:val="00540C96"/>
    <w:rsid w:val="00540CF9"/>
    <w:rsid w:val="00540D5C"/>
    <w:rsid w:val="00540DF0"/>
    <w:rsid w:val="00540E1F"/>
    <w:rsid w:val="00540E3D"/>
    <w:rsid w:val="00540EF8"/>
    <w:rsid w:val="00540F53"/>
    <w:rsid w:val="00540FE2"/>
    <w:rsid w:val="00541019"/>
    <w:rsid w:val="0054101A"/>
    <w:rsid w:val="00541068"/>
    <w:rsid w:val="00541079"/>
    <w:rsid w:val="005410B9"/>
    <w:rsid w:val="005411B5"/>
    <w:rsid w:val="005411FB"/>
    <w:rsid w:val="00541224"/>
    <w:rsid w:val="0054123B"/>
    <w:rsid w:val="00541347"/>
    <w:rsid w:val="0054139E"/>
    <w:rsid w:val="00541484"/>
    <w:rsid w:val="005414B3"/>
    <w:rsid w:val="005415A3"/>
    <w:rsid w:val="005415AA"/>
    <w:rsid w:val="005415B8"/>
    <w:rsid w:val="00541695"/>
    <w:rsid w:val="00541769"/>
    <w:rsid w:val="005418CD"/>
    <w:rsid w:val="00541909"/>
    <w:rsid w:val="00541998"/>
    <w:rsid w:val="005419C7"/>
    <w:rsid w:val="00541A56"/>
    <w:rsid w:val="00541A59"/>
    <w:rsid w:val="00541A7F"/>
    <w:rsid w:val="00541B7C"/>
    <w:rsid w:val="00541C45"/>
    <w:rsid w:val="00541C5A"/>
    <w:rsid w:val="00541D92"/>
    <w:rsid w:val="00541FDD"/>
    <w:rsid w:val="00541FED"/>
    <w:rsid w:val="00542083"/>
    <w:rsid w:val="005420B2"/>
    <w:rsid w:val="005420EE"/>
    <w:rsid w:val="0054213A"/>
    <w:rsid w:val="00542153"/>
    <w:rsid w:val="00542383"/>
    <w:rsid w:val="00542393"/>
    <w:rsid w:val="005423E4"/>
    <w:rsid w:val="00542414"/>
    <w:rsid w:val="0054243B"/>
    <w:rsid w:val="0054246F"/>
    <w:rsid w:val="00542487"/>
    <w:rsid w:val="00542517"/>
    <w:rsid w:val="0054259E"/>
    <w:rsid w:val="005425A1"/>
    <w:rsid w:val="005425AB"/>
    <w:rsid w:val="00542603"/>
    <w:rsid w:val="005426EA"/>
    <w:rsid w:val="005426FC"/>
    <w:rsid w:val="00542766"/>
    <w:rsid w:val="005427E8"/>
    <w:rsid w:val="0054284C"/>
    <w:rsid w:val="005428A0"/>
    <w:rsid w:val="005428FC"/>
    <w:rsid w:val="0054291B"/>
    <w:rsid w:val="00542926"/>
    <w:rsid w:val="005429B0"/>
    <w:rsid w:val="00542AEC"/>
    <w:rsid w:val="00542B43"/>
    <w:rsid w:val="00542B4F"/>
    <w:rsid w:val="00542CEE"/>
    <w:rsid w:val="00542E23"/>
    <w:rsid w:val="00542E99"/>
    <w:rsid w:val="00542E9A"/>
    <w:rsid w:val="00542FA1"/>
    <w:rsid w:val="0054300B"/>
    <w:rsid w:val="0054311C"/>
    <w:rsid w:val="00543161"/>
    <w:rsid w:val="0054317B"/>
    <w:rsid w:val="00543369"/>
    <w:rsid w:val="00543413"/>
    <w:rsid w:val="00543424"/>
    <w:rsid w:val="00543485"/>
    <w:rsid w:val="005434B9"/>
    <w:rsid w:val="0054350B"/>
    <w:rsid w:val="0054357A"/>
    <w:rsid w:val="0054357D"/>
    <w:rsid w:val="00543595"/>
    <w:rsid w:val="005435E5"/>
    <w:rsid w:val="005435EB"/>
    <w:rsid w:val="00543631"/>
    <w:rsid w:val="0054366B"/>
    <w:rsid w:val="00543771"/>
    <w:rsid w:val="005437CA"/>
    <w:rsid w:val="00543823"/>
    <w:rsid w:val="00543824"/>
    <w:rsid w:val="00543891"/>
    <w:rsid w:val="005438DE"/>
    <w:rsid w:val="00543965"/>
    <w:rsid w:val="005439E0"/>
    <w:rsid w:val="00543AD3"/>
    <w:rsid w:val="00543B91"/>
    <w:rsid w:val="00543BDC"/>
    <w:rsid w:val="00543C8C"/>
    <w:rsid w:val="00543CB6"/>
    <w:rsid w:val="00543CE7"/>
    <w:rsid w:val="00543D9B"/>
    <w:rsid w:val="00543DF8"/>
    <w:rsid w:val="00543E51"/>
    <w:rsid w:val="00543ED7"/>
    <w:rsid w:val="00543F1C"/>
    <w:rsid w:val="00543F60"/>
    <w:rsid w:val="00544056"/>
    <w:rsid w:val="005440E0"/>
    <w:rsid w:val="00544104"/>
    <w:rsid w:val="00544185"/>
    <w:rsid w:val="005441D9"/>
    <w:rsid w:val="00544235"/>
    <w:rsid w:val="00544243"/>
    <w:rsid w:val="0054426B"/>
    <w:rsid w:val="0054426E"/>
    <w:rsid w:val="00544363"/>
    <w:rsid w:val="00544391"/>
    <w:rsid w:val="00544450"/>
    <w:rsid w:val="00544491"/>
    <w:rsid w:val="005444CF"/>
    <w:rsid w:val="0054450C"/>
    <w:rsid w:val="00544588"/>
    <w:rsid w:val="00544593"/>
    <w:rsid w:val="005445B6"/>
    <w:rsid w:val="005445CF"/>
    <w:rsid w:val="005445F6"/>
    <w:rsid w:val="00544622"/>
    <w:rsid w:val="00544681"/>
    <w:rsid w:val="00544795"/>
    <w:rsid w:val="0054481F"/>
    <w:rsid w:val="0054486D"/>
    <w:rsid w:val="0054491B"/>
    <w:rsid w:val="0054491D"/>
    <w:rsid w:val="00544996"/>
    <w:rsid w:val="00544A0F"/>
    <w:rsid w:val="00544A2C"/>
    <w:rsid w:val="00544AB0"/>
    <w:rsid w:val="00544AF1"/>
    <w:rsid w:val="00544BCC"/>
    <w:rsid w:val="00544C19"/>
    <w:rsid w:val="00544C26"/>
    <w:rsid w:val="00544C41"/>
    <w:rsid w:val="00544D03"/>
    <w:rsid w:val="00544D57"/>
    <w:rsid w:val="00544DE7"/>
    <w:rsid w:val="00544E27"/>
    <w:rsid w:val="00544F20"/>
    <w:rsid w:val="00544F44"/>
    <w:rsid w:val="00544F65"/>
    <w:rsid w:val="00544FA3"/>
    <w:rsid w:val="0054501B"/>
    <w:rsid w:val="00545082"/>
    <w:rsid w:val="00545183"/>
    <w:rsid w:val="005451A7"/>
    <w:rsid w:val="005451B7"/>
    <w:rsid w:val="005451F2"/>
    <w:rsid w:val="0054521B"/>
    <w:rsid w:val="0054522E"/>
    <w:rsid w:val="005452C5"/>
    <w:rsid w:val="005452E1"/>
    <w:rsid w:val="0054532D"/>
    <w:rsid w:val="00545400"/>
    <w:rsid w:val="005454EC"/>
    <w:rsid w:val="00545588"/>
    <w:rsid w:val="005455B1"/>
    <w:rsid w:val="005456F8"/>
    <w:rsid w:val="005456FD"/>
    <w:rsid w:val="00545781"/>
    <w:rsid w:val="005457C0"/>
    <w:rsid w:val="00545827"/>
    <w:rsid w:val="00545860"/>
    <w:rsid w:val="0054590C"/>
    <w:rsid w:val="00545960"/>
    <w:rsid w:val="00545A3A"/>
    <w:rsid w:val="00545A5E"/>
    <w:rsid w:val="00545A84"/>
    <w:rsid w:val="00545AFE"/>
    <w:rsid w:val="00545B49"/>
    <w:rsid w:val="00545B51"/>
    <w:rsid w:val="00545B95"/>
    <w:rsid w:val="00545BF0"/>
    <w:rsid w:val="00545C10"/>
    <w:rsid w:val="00545C38"/>
    <w:rsid w:val="00545C5C"/>
    <w:rsid w:val="00545CBA"/>
    <w:rsid w:val="00545CDC"/>
    <w:rsid w:val="00545E0C"/>
    <w:rsid w:val="00545E83"/>
    <w:rsid w:val="00545EFE"/>
    <w:rsid w:val="00546047"/>
    <w:rsid w:val="00546099"/>
    <w:rsid w:val="005460EA"/>
    <w:rsid w:val="005460FB"/>
    <w:rsid w:val="00546274"/>
    <w:rsid w:val="005462D6"/>
    <w:rsid w:val="00546307"/>
    <w:rsid w:val="005463B0"/>
    <w:rsid w:val="00546410"/>
    <w:rsid w:val="00546423"/>
    <w:rsid w:val="0054645E"/>
    <w:rsid w:val="005464BB"/>
    <w:rsid w:val="00546530"/>
    <w:rsid w:val="00546549"/>
    <w:rsid w:val="005465A6"/>
    <w:rsid w:val="005465FD"/>
    <w:rsid w:val="005466E6"/>
    <w:rsid w:val="00546796"/>
    <w:rsid w:val="00546895"/>
    <w:rsid w:val="00546898"/>
    <w:rsid w:val="005468C2"/>
    <w:rsid w:val="00546902"/>
    <w:rsid w:val="0054691D"/>
    <w:rsid w:val="00546926"/>
    <w:rsid w:val="0054693E"/>
    <w:rsid w:val="00546967"/>
    <w:rsid w:val="005469D1"/>
    <w:rsid w:val="005469D3"/>
    <w:rsid w:val="005469DA"/>
    <w:rsid w:val="00546A7A"/>
    <w:rsid w:val="00546BB3"/>
    <w:rsid w:val="00546C0B"/>
    <w:rsid w:val="00546C52"/>
    <w:rsid w:val="00546C7E"/>
    <w:rsid w:val="00546DAD"/>
    <w:rsid w:val="00546F2F"/>
    <w:rsid w:val="00546F62"/>
    <w:rsid w:val="00546F8B"/>
    <w:rsid w:val="005470CE"/>
    <w:rsid w:val="0054718F"/>
    <w:rsid w:val="00547190"/>
    <w:rsid w:val="0054719F"/>
    <w:rsid w:val="00547405"/>
    <w:rsid w:val="005475A5"/>
    <w:rsid w:val="00547729"/>
    <w:rsid w:val="005477C4"/>
    <w:rsid w:val="005478BB"/>
    <w:rsid w:val="005478DA"/>
    <w:rsid w:val="00547910"/>
    <w:rsid w:val="0054792C"/>
    <w:rsid w:val="00547930"/>
    <w:rsid w:val="00547997"/>
    <w:rsid w:val="00547A05"/>
    <w:rsid w:val="00547A3D"/>
    <w:rsid w:val="00547A5B"/>
    <w:rsid w:val="00547AC3"/>
    <w:rsid w:val="00547AF6"/>
    <w:rsid w:val="00547B01"/>
    <w:rsid w:val="00547B65"/>
    <w:rsid w:val="00547BA2"/>
    <w:rsid w:val="00547BE9"/>
    <w:rsid w:val="00547BF3"/>
    <w:rsid w:val="00547C85"/>
    <w:rsid w:val="00547CE7"/>
    <w:rsid w:val="00547CEA"/>
    <w:rsid w:val="00547D55"/>
    <w:rsid w:val="00547D7A"/>
    <w:rsid w:val="00547D92"/>
    <w:rsid w:val="00547EDD"/>
    <w:rsid w:val="00547F0E"/>
    <w:rsid w:val="00547F8C"/>
    <w:rsid w:val="0055004B"/>
    <w:rsid w:val="0055009A"/>
    <w:rsid w:val="005501C4"/>
    <w:rsid w:val="0055022D"/>
    <w:rsid w:val="00550316"/>
    <w:rsid w:val="00550379"/>
    <w:rsid w:val="00550449"/>
    <w:rsid w:val="005504C6"/>
    <w:rsid w:val="005504E6"/>
    <w:rsid w:val="00550625"/>
    <w:rsid w:val="00550672"/>
    <w:rsid w:val="00550684"/>
    <w:rsid w:val="005506FD"/>
    <w:rsid w:val="00550703"/>
    <w:rsid w:val="00550781"/>
    <w:rsid w:val="00550797"/>
    <w:rsid w:val="0055079D"/>
    <w:rsid w:val="005507AF"/>
    <w:rsid w:val="00550892"/>
    <w:rsid w:val="005508CB"/>
    <w:rsid w:val="005508E8"/>
    <w:rsid w:val="00550908"/>
    <w:rsid w:val="00550972"/>
    <w:rsid w:val="00550AB6"/>
    <w:rsid w:val="00550AD6"/>
    <w:rsid w:val="00550BF3"/>
    <w:rsid w:val="00550C08"/>
    <w:rsid w:val="00550C3B"/>
    <w:rsid w:val="00550CCB"/>
    <w:rsid w:val="00550CFA"/>
    <w:rsid w:val="00550D4E"/>
    <w:rsid w:val="00550DB4"/>
    <w:rsid w:val="00550E87"/>
    <w:rsid w:val="00551007"/>
    <w:rsid w:val="00551014"/>
    <w:rsid w:val="00551017"/>
    <w:rsid w:val="005510A3"/>
    <w:rsid w:val="005510AE"/>
    <w:rsid w:val="00551115"/>
    <w:rsid w:val="0055111D"/>
    <w:rsid w:val="005511A2"/>
    <w:rsid w:val="005511DD"/>
    <w:rsid w:val="00551214"/>
    <w:rsid w:val="00551282"/>
    <w:rsid w:val="00551351"/>
    <w:rsid w:val="00551392"/>
    <w:rsid w:val="005513AD"/>
    <w:rsid w:val="0055141E"/>
    <w:rsid w:val="005514DF"/>
    <w:rsid w:val="0055150D"/>
    <w:rsid w:val="0055158E"/>
    <w:rsid w:val="005515BE"/>
    <w:rsid w:val="005515DA"/>
    <w:rsid w:val="00551654"/>
    <w:rsid w:val="005516B7"/>
    <w:rsid w:val="0055186D"/>
    <w:rsid w:val="00551878"/>
    <w:rsid w:val="00551886"/>
    <w:rsid w:val="005518AC"/>
    <w:rsid w:val="005518F8"/>
    <w:rsid w:val="0055199C"/>
    <w:rsid w:val="005519A7"/>
    <w:rsid w:val="005519DF"/>
    <w:rsid w:val="00551A08"/>
    <w:rsid w:val="00551AFA"/>
    <w:rsid w:val="00551B38"/>
    <w:rsid w:val="00551B43"/>
    <w:rsid w:val="00551C3F"/>
    <w:rsid w:val="00551CC7"/>
    <w:rsid w:val="00551D27"/>
    <w:rsid w:val="00551D2A"/>
    <w:rsid w:val="00551D35"/>
    <w:rsid w:val="00551D39"/>
    <w:rsid w:val="00551DF0"/>
    <w:rsid w:val="00551E4C"/>
    <w:rsid w:val="00551EE5"/>
    <w:rsid w:val="00551F03"/>
    <w:rsid w:val="00551F21"/>
    <w:rsid w:val="00551F3E"/>
    <w:rsid w:val="00552074"/>
    <w:rsid w:val="0055209C"/>
    <w:rsid w:val="00552112"/>
    <w:rsid w:val="005521F6"/>
    <w:rsid w:val="0055227F"/>
    <w:rsid w:val="005522AB"/>
    <w:rsid w:val="005522CD"/>
    <w:rsid w:val="005522ED"/>
    <w:rsid w:val="005522F8"/>
    <w:rsid w:val="0055232D"/>
    <w:rsid w:val="0055237C"/>
    <w:rsid w:val="00552429"/>
    <w:rsid w:val="005524A1"/>
    <w:rsid w:val="005524A7"/>
    <w:rsid w:val="005524CA"/>
    <w:rsid w:val="00552501"/>
    <w:rsid w:val="00552580"/>
    <w:rsid w:val="005525A3"/>
    <w:rsid w:val="005525EF"/>
    <w:rsid w:val="00552606"/>
    <w:rsid w:val="00552631"/>
    <w:rsid w:val="00552647"/>
    <w:rsid w:val="005526DB"/>
    <w:rsid w:val="00552707"/>
    <w:rsid w:val="0055272A"/>
    <w:rsid w:val="00552756"/>
    <w:rsid w:val="005527E4"/>
    <w:rsid w:val="00552909"/>
    <w:rsid w:val="00552977"/>
    <w:rsid w:val="005529E3"/>
    <w:rsid w:val="00552A43"/>
    <w:rsid w:val="00552A44"/>
    <w:rsid w:val="00552AB0"/>
    <w:rsid w:val="00552AB9"/>
    <w:rsid w:val="00552ABE"/>
    <w:rsid w:val="00552AC8"/>
    <w:rsid w:val="00552B0F"/>
    <w:rsid w:val="00552BDB"/>
    <w:rsid w:val="00552C0E"/>
    <w:rsid w:val="00552C60"/>
    <w:rsid w:val="00552CDD"/>
    <w:rsid w:val="00552CEC"/>
    <w:rsid w:val="00552CF9"/>
    <w:rsid w:val="00552D74"/>
    <w:rsid w:val="00552E25"/>
    <w:rsid w:val="00552E2B"/>
    <w:rsid w:val="00552E53"/>
    <w:rsid w:val="00552EB2"/>
    <w:rsid w:val="00552F95"/>
    <w:rsid w:val="00552FB4"/>
    <w:rsid w:val="00552FFA"/>
    <w:rsid w:val="0055305A"/>
    <w:rsid w:val="00553125"/>
    <w:rsid w:val="00553127"/>
    <w:rsid w:val="00553170"/>
    <w:rsid w:val="0055318E"/>
    <w:rsid w:val="005531BD"/>
    <w:rsid w:val="005532D6"/>
    <w:rsid w:val="00553314"/>
    <w:rsid w:val="00553319"/>
    <w:rsid w:val="00553361"/>
    <w:rsid w:val="00553605"/>
    <w:rsid w:val="00553616"/>
    <w:rsid w:val="005536A2"/>
    <w:rsid w:val="005536AE"/>
    <w:rsid w:val="0055388A"/>
    <w:rsid w:val="005538BD"/>
    <w:rsid w:val="005538F1"/>
    <w:rsid w:val="005538F2"/>
    <w:rsid w:val="00553904"/>
    <w:rsid w:val="0055390E"/>
    <w:rsid w:val="005539CD"/>
    <w:rsid w:val="00553A8C"/>
    <w:rsid w:val="00553B14"/>
    <w:rsid w:val="00553B58"/>
    <w:rsid w:val="00553BD7"/>
    <w:rsid w:val="00553C23"/>
    <w:rsid w:val="00553C31"/>
    <w:rsid w:val="00553E15"/>
    <w:rsid w:val="00553F92"/>
    <w:rsid w:val="0055409F"/>
    <w:rsid w:val="005540E6"/>
    <w:rsid w:val="0055418C"/>
    <w:rsid w:val="0055419C"/>
    <w:rsid w:val="005541A1"/>
    <w:rsid w:val="00554363"/>
    <w:rsid w:val="00554382"/>
    <w:rsid w:val="00554394"/>
    <w:rsid w:val="005543EA"/>
    <w:rsid w:val="005543FD"/>
    <w:rsid w:val="0055449A"/>
    <w:rsid w:val="0055452F"/>
    <w:rsid w:val="005545F7"/>
    <w:rsid w:val="00554628"/>
    <w:rsid w:val="0055463A"/>
    <w:rsid w:val="00554699"/>
    <w:rsid w:val="0055475E"/>
    <w:rsid w:val="0055479D"/>
    <w:rsid w:val="005547B5"/>
    <w:rsid w:val="005549AE"/>
    <w:rsid w:val="00554A0F"/>
    <w:rsid w:val="00554A46"/>
    <w:rsid w:val="00554A73"/>
    <w:rsid w:val="00554A80"/>
    <w:rsid w:val="00554AC3"/>
    <w:rsid w:val="00554AF2"/>
    <w:rsid w:val="00554B1B"/>
    <w:rsid w:val="00554B2E"/>
    <w:rsid w:val="00554B9A"/>
    <w:rsid w:val="00554C38"/>
    <w:rsid w:val="00554C3C"/>
    <w:rsid w:val="00554C7A"/>
    <w:rsid w:val="00554CB3"/>
    <w:rsid w:val="00554CD1"/>
    <w:rsid w:val="00554CF5"/>
    <w:rsid w:val="00554D38"/>
    <w:rsid w:val="00554DB8"/>
    <w:rsid w:val="00554DBB"/>
    <w:rsid w:val="00554E0B"/>
    <w:rsid w:val="00554ED8"/>
    <w:rsid w:val="00554EFC"/>
    <w:rsid w:val="00554F03"/>
    <w:rsid w:val="00554F18"/>
    <w:rsid w:val="00554F25"/>
    <w:rsid w:val="00554FAC"/>
    <w:rsid w:val="00554FBB"/>
    <w:rsid w:val="00554FC3"/>
    <w:rsid w:val="00555099"/>
    <w:rsid w:val="005550E4"/>
    <w:rsid w:val="00555125"/>
    <w:rsid w:val="00555141"/>
    <w:rsid w:val="0055516A"/>
    <w:rsid w:val="0055522B"/>
    <w:rsid w:val="00555287"/>
    <w:rsid w:val="00555294"/>
    <w:rsid w:val="00555315"/>
    <w:rsid w:val="00555340"/>
    <w:rsid w:val="0055534E"/>
    <w:rsid w:val="005553AF"/>
    <w:rsid w:val="005553F6"/>
    <w:rsid w:val="005553FB"/>
    <w:rsid w:val="0055543E"/>
    <w:rsid w:val="0055556C"/>
    <w:rsid w:val="005555BB"/>
    <w:rsid w:val="005555C1"/>
    <w:rsid w:val="005555C6"/>
    <w:rsid w:val="00555635"/>
    <w:rsid w:val="00555640"/>
    <w:rsid w:val="005556D6"/>
    <w:rsid w:val="00555775"/>
    <w:rsid w:val="00555780"/>
    <w:rsid w:val="005557FB"/>
    <w:rsid w:val="00555814"/>
    <w:rsid w:val="005558E0"/>
    <w:rsid w:val="005558EE"/>
    <w:rsid w:val="00555930"/>
    <w:rsid w:val="00555983"/>
    <w:rsid w:val="00555A70"/>
    <w:rsid w:val="00555A7D"/>
    <w:rsid w:val="00555AC2"/>
    <w:rsid w:val="00555B7B"/>
    <w:rsid w:val="00555BBD"/>
    <w:rsid w:val="00555BE0"/>
    <w:rsid w:val="00555CB8"/>
    <w:rsid w:val="00555CC5"/>
    <w:rsid w:val="00555D52"/>
    <w:rsid w:val="00555DAD"/>
    <w:rsid w:val="00555ED7"/>
    <w:rsid w:val="00555F01"/>
    <w:rsid w:val="00555FAD"/>
    <w:rsid w:val="00556007"/>
    <w:rsid w:val="005561C6"/>
    <w:rsid w:val="00556229"/>
    <w:rsid w:val="00556265"/>
    <w:rsid w:val="0055628D"/>
    <w:rsid w:val="00556341"/>
    <w:rsid w:val="0055635F"/>
    <w:rsid w:val="0055647D"/>
    <w:rsid w:val="005564DA"/>
    <w:rsid w:val="005564F4"/>
    <w:rsid w:val="00556603"/>
    <w:rsid w:val="00556620"/>
    <w:rsid w:val="00556625"/>
    <w:rsid w:val="0055669E"/>
    <w:rsid w:val="005566CB"/>
    <w:rsid w:val="005566CD"/>
    <w:rsid w:val="005566D5"/>
    <w:rsid w:val="00556716"/>
    <w:rsid w:val="0055671B"/>
    <w:rsid w:val="00556791"/>
    <w:rsid w:val="005567B2"/>
    <w:rsid w:val="005567C4"/>
    <w:rsid w:val="005567C9"/>
    <w:rsid w:val="0055680C"/>
    <w:rsid w:val="00556892"/>
    <w:rsid w:val="00556897"/>
    <w:rsid w:val="005568DA"/>
    <w:rsid w:val="00556933"/>
    <w:rsid w:val="005569AC"/>
    <w:rsid w:val="00556A31"/>
    <w:rsid w:val="00556AAC"/>
    <w:rsid w:val="00556B29"/>
    <w:rsid w:val="00556B46"/>
    <w:rsid w:val="00556B7B"/>
    <w:rsid w:val="00556B93"/>
    <w:rsid w:val="00556C08"/>
    <w:rsid w:val="00556D53"/>
    <w:rsid w:val="00556E92"/>
    <w:rsid w:val="00556EDD"/>
    <w:rsid w:val="00556EF7"/>
    <w:rsid w:val="00556F17"/>
    <w:rsid w:val="00556F29"/>
    <w:rsid w:val="00556F42"/>
    <w:rsid w:val="00556FE9"/>
    <w:rsid w:val="0055700C"/>
    <w:rsid w:val="00557026"/>
    <w:rsid w:val="0055707A"/>
    <w:rsid w:val="00557097"/>
    <w:rsid w:val="005570EA"/>
    <w:rsid w:val="005570EB"/>
    <w:rsid w:val="0055716E"/>
    <w:rsid w:val="005571AC"/>
    <w:rsid w:val="005571AE"/>
    <w:rsid w:val="005571FB"/>
    <w:rsid w:val="0055723C"/>
    <w:rsid w:val="005572A9"/>
    <w:rsid w:val="005572EC"/>
    <w:rsid w:val="005573A4"/>
    <w:rsid w:val="005573CD"/>
    <w:rsid w:val="00557447"/>
    <w:rsid w:val="00557477"/>
    <w:rsid w:val="00557494"/>
    <w:rsid w:val="005574DF"/>
    <w:rsid w:val="00557654"/>
    <w:rsid w:val="00557690"/>
    <w:rsid w:val="005576C7"/>
    <w:rsid w:val="005576EB"/>
    <w:rsid w:val="0055775C"/>
    <w:rsid w:val="005577DB"/>
    <w:rsid w:val="005577E0"/>
    <w:rsid w:val="00557870"/>
    <w:rsid w:val="0055787E"/>
    <w:rsid w:val="00557894"/>
    <w:rsid w:val="005578C1"/>
    <w:rsid w:val="005578CE"/>
    <w:rsid w:val="00557A8D"/>
    <w:rsid w:val="00557AB4"/>
    <w:rsid w:val="00557B24"/>
    <w:rsid w:val="00557BF1"/>
    <w:rsid w:val="00557C2D"/>
    <w:rsid w:val="00557C5C"/>
    <w:rsid w:val="00557D88"/>
    <w:rsid w:val="00557EB9"/>
    <w:rsid w:val="00557ED8"/>
    <w:rsid w:val="00557F0E"/>
    <w:rsid w:val="00557F1F"/>
    <w:rsid w:val="00557F28"/>
    <w:rsid w:val="00557F4B"/>
    <w:rsid w:val="00557F51"/>
    <w:rsid w:val="00557F7B"/>
    <w:rsid w:val="00557F7C"/>
    <w:rsid w:val="00557FE0"/>
    <w:rsid w:val="005600F5"/>
    <w:rsid w:val="0056014B"/>
    <w:rsid w:val="005601F2"/>
    <w:rsid w:val="00560277"/>
    <w:rsid w:val="005602EB"/>
    <w:rsid w:val="00560350"/>
    <w:rsid w:val="005603D8"/>
    <w:rsid w:val="0056044A"/>
    <w:rsid w:val="0056044B"/>
    <w:rsid w:val="005604B9"/>
    <w:rsid w:val="005604CC"/>
    <w:rsid w:val="005604E3"/>
    <w:rsid w:val="00560547"/>
    <w:rsid w:val="00560596"/>
    <w:rsid w:val="005606A6"/>
    <w:rsid w:val="005606B1"/>
    <w:rsid w:val="00560747"/>
    <w:rsid w:val="00560754"/>
    <w:rsid w:val="00560890"/>
    <w:rsid w:val="005608D9"/>
    <w:rsid w:val="00560938"/>
    <w:rsid w:val="00560944"/>
    <w:rsid w:val="00560974"/>
    <w:rsid w:val="005609F5"/>
    <w:rsid w:val="00560A0C"/>
    <w:rsid w:val="00560AF1"/>
    <w:rsid w:val="00560AFD"/>
    <w:rsid w:val="00560B4A"/>
    <w:rsid w:val="00560B8B"/>
    <w:rsid w:val="00560BBD"/>
    <w:rsid w:val="00560D82"/>
    <w:rsid w:val="00560D93"/>
    <w:rsid w:val="00560E02"/>
    <w:rsid w:val="00560E1F"/>
    <w:rsid w:val="00560E65"/>
    <w:rsid w:val="00560EBD"/>
    <w:rsid w:val="00560ECD"/>
    <w:rsid w:val="00560F4F"/>
    <w:rsid w:val="00560F93"/>
    <w:rsid w:val="00560FEC"/>
    <w:rsid w:val="00561131"/>
    <w:rsid w:val="0056114C"/>
    <w:rsid w:val="00561151"/>
    <w:rsid w:val="005611A0"/>
    <w:rsid w:val="005611DD"/>
    <w:rsid w:val="005612C0"/>
    <w:rsid w:val="0056132D"/>
    <w:rsid w:val="0056133F"/>
    <w:rsid w:val="00561356"/>
    <w:rsid w:val="00561401"/>
    <w:rsid w:val="0056144F"/>
    <w:rsid w:val="0056146F"/>
    <w:rsid w:val="0056148A"/>
    <w:rsid w:val="005614DF"/>
    <w:rsid w:val="00561542"/>
    <w:rsid w:val="00561545"/>
    <w:rsid w:val="00561562"/>
    <w:rsid w:val="0056159A"/>
    <w:rsid w:val="0056159F"/>
    <w:rsid w:val="00561612"/>
    <w:rsid w:val="00561679"/>
    <w:rsid w:val="0056167F"/>
    <w:rsid w:val="005616C7"/>
    <w:rsid w:val="00561748"/>
    <w:rsid w:val="0056177C"/>
    <w:rsid w:val="005617FF"/>
    <w:rsid w:val="0056183B"/>
    <w:rsid w:val="005618F1"/>
    <w:rsid w:val="00561936"/>
    <w:rsid w:val="00561949"/>
    <w:rsid w:val="005619BA"/>
    <w:rsid w:val="005619C4"/>
    <w:rsid w:val="00561A16"/>
    <w:rsid w:val="00561A22"/>
    <w:rsid w:val="00561A2C"/>
    <w:rsid w:val="00561A42"/>
    <w:rsid w:val="00561B06"/>
    <w:rsid w:val="00561B21"/>
    <w:rsid w:val="00561B82"/>
    <w:rsid w:val="00561C02"/>
    <w:rsid w:val="00561C09"/>
    <w:rsid w:val="00561C2E"/>
    <w:rsid w:val="00561C5A"/>
    <w:rsid w:val="00561C67"/>
    <w:rsid w:val="00561D49"/>
    <w:rsid w:val="00561D60"/>
    <w:rsid w:val="00561DFC"/>
    <w:rsid w:val="00561F9E"/>
    <w:rsid w:val="00561FB9"/>
    <w:rsid w:val="0056206E"/>
    <w:rsid w:val="00562145"/>
    <w:rsid w:val="0056221C"/>
    <w:rsid w:val="00562240"/>
    <w:rsid w:val="00562280"/>
    <w:rsid w:val="005622B5"/>
    <w:rsid w:val="005622D2"/>
    <w:rsid w:val="00562317"/>
    <w:rsid w:val="0056234D"/>
    <w:rsid w:val="00562378"/>
    <w:rsid w:val="005623D7"/>
    <w:rsid w:val="00562405"/>
    <w:rsid w:val="00562476"/>
    <w:rsid w:val="005624B7"/>
    <w:rsid w:val="005624C4"/>
    <w:rsid w:val="0056254A"/>
    <w:rsid w:val="0056259E"/>
    <w:rsid w:val="00562624"/>
    <w:rsid w:val="00562805"/>
    <w:rsid w:val="00562811"/>
    <w:rsid w:val="0056284F"/>
    <w:rsid w:val="00562880"/>
    <w:rsid w:val="0056289B"/>
    <w:rsid w:val="005628A0"/>
    <w:rsid w:val="005628DB"/>
    <w:rsid w:val="00562988"/>
    <w:rsid w:val="00562A7D"/>
    <w:rsid w:val="00562AC0"/>
    <w:rsid w:val="00562B09"/>
    <w:rsid w:val="00562B34"/>
    <w:rsid w:val="00562B73"/>
    <w:rsid w:val="00562BEF"/>
    <w:rsid w:val="00562C22"/>
    <w:rsid w:val="00562C4F"/>
    <w:rsid w:val="00562E73"/>
    <w:rsid w:val="00562F04"/>
    <w:rsid w:val="00562F0D"/>
    <w:rsid w:val="00562F55"/>
    <w:rsid w:val="00562F8C"/>
    <w:rsid w:val="00562F99"/>
    <w:rsid w:val="0056300D"/>
    <w:rsid w:val="0056305D"/>
    <w:rsid w:val="00563086"/>
    <w:rsid w:val="005630AA"/>
    <w:rsid w:val="005630FE"/>
    <w:rsid w:val="00563106"/>
    <w:rsid w:val="0056319A"/>
    <w:rsid w:val="005631E3"/>
    <w:rsid w:val="005631EA"/>
    <w:rsid w:val="005632B1"/>
    <w:rsid w:val="0056339A"/>
    <w:rsid w:val="0056340C"/>
    <w:rsid w:val="00563450"/>
    <w:rsid w:val="0056345C"/>
    <w:rsid w:val="00563554"/>
    <w:rsid w:val="00563639"/>
    <w:rsid w:val="005636E4"/>
    <w:rsid w:val="005636E6"/>
    <w:rsid w:val="0056375E"/>
    <w:rsid w:val="00563771"/>
    <w:rsid w:val="005638C3"/>
    <w:rsid w:val="00563939"/>
    <w:rsid w:val="00563A19"/>
    <w:rsid w:val="00563A8D"/>
    <w:rsid w:val="00563A98"/>
    <w:rsid w:val="00563AFB"/>
    <w:rsid w:val="00563B0A"/>
    <w:rsid w:val="00563B0D"/>
    <w:rsid w:val="00563B29"/>
    <w:rsid w:val="00563B54"/>
    <w:rsid w:val="00563BD1"/>
    <w:rsid w:val="00563BE3"/>
    <w:rsid w:val="00563C4B"/>
    <w:rsid w:val="00563CF9"/>
    <w:rsid w:val="00563D08"/>
    <w:rsid w:val="00563D10"/>
    <w:rsid w:val="00563DB0"/>
    <w:rsid w:val="00563DC4"/>
    <w:rsid w:val="00563DE6"/>
    <w:rsid w:val="00563E0E"/>
    <w:rsid w:val="00563E2D"/>
    <w:rsid w:val="00563E80"/>
    <w:rsid w:val="00563F76"/>
    <w:rsid w:val="00563FBD"/>
    <w:rsid w:val="0056402C"/>
    <w:rsid w:val="005640A4"/>
    <w:rsid w:val="005640E1"/>
    <w:rsid w:val="00564117"/>
    <w:rsid w:val="0056416B"/>
    <w:rsid w:val="00564175"/>
    <w:rsid w:val="005642E2"/>
    <w:rsid w:val="005643FF"/>
    <w:rsid w:val="005644A3"/>
    <w:rsid w:val="005644BA"/>
    <w:rsid w:val="00564547"/>
    <w:rsid w:val="005645F0"/>
    <w:rsid w:val="005646B7"/>
    <w:rsid w:val="0056475C"/>
    <w:rsid w:val="00564844"/>
    <w:rsid w:val="005648FF"/>
    <w:rsid w:val="00564A2C"/>
    <w:rsid w:val="00564A53"/>
    <w:rsid w:val="00564A6F"/>
    <w:rsid w:val="00564A92"/>
    <w:rsid w:val="00564B67"/>
    <w:rsid w:val="00564BA3"/>
    <w:rsid w:val="00564C3D"/>
    <w:rsid w:val="00564CAA"/>
    <w:rsid w:val="00564CBA"/>
    <w:rsid w:val="00564D30"/>
    <w:rsid w:val="00564DC4"/>
    <w:rsid w:val="00564E4E"/>
    <w:rsid w:val="00564E9C"/>
    <w:rsid w:val="00564F26"/>
    <w:rsid w:val="00564F6D"/>
    <w:rsid w:val="00564F8A"/>
    <w:rsid w:val="00565057"/>
    <w:rsid w:val="00565065"/>
    <w:rsid w:val="00565071"/>
    <w:rsid w:val="0056507F"/>
    <w:rsid w:val="00565088"/>
    <w:rsid w:val="005651D1"/>
    <w:rsid w:val="0056523F"/>
    <w:rsid w:val="0056528D"/>
    <w:rsid w:val="005652B3"/>
    <w:rsid w:val="00565314"/>
    <w:rsid w:val="00565337"/>
    <w:rsid w:val="005653D5"/>
    <w:rsid w:val="005653FE"/>
    <w:rsid w:val="0056547F"/>
    <w:rsid w:val="005654B5"/>
    <w:rsid w:val="005655F5"/>
    <w:rsid w:val="0056561A"/>
    <w:rsid w:val="00565656"/>
    <w:rsid w:val="0056565D"/>
    <w:rsid w:val="005656B1"/>
    <w:rsid w:val="005656F9"/>
    <w:rsid w:val="00565794"/>
    <w:rsid w:val="00565795"/>
    <w:rsid w:val="005659BC"/>
    <w:rsid w:val="00565A06"/>
    <w:rsid w:val="00565AD8"/>
    <w:rsid w:val="00565BDC"/>
    <w:rsid w:val="00565CC2"/>
    <w:rsid w:val="00565D2C"/>
    <w:rsid w:val="00565DA3"/>
    <w:rsid w:val="00565DBE"/>
    <w:rsid w:val="00565E36"/>
    <w:rsid w:val="00565E56"/>
    <w:rsid w:val="00565E71"/>
    <w:rsid w:val="00565ED2"/>
    <w:rsid w:val="00565F55"/>
    <w:rsid w:val="00565F95"/>
    <w:rsid w:val="00565FA9"/>
    <w:rsid w:val="00566005"/>
    <w:rsid w:val="0056600A"/>
    <w:rsid w:val="00566022"/>
    <w:rsid w:val="005660B5"/>
    <w:rsid w:val="005660DD"/>
    <w:rsid w:val="00566151"/>
    <w:rsid w:val="00566245"/>
    <w:rsid w:val="0056628B"/>
    <w:rsid w:val="00566298"/>
    <w:rsid w:val="0056630B"/>
    <w:rsid w:val="00566367"/>
    <w:rsid w:val="0056640D"/>
    <w:rsid w:val="00566450"/>
    <w:rsid w:val="0056645F"/>
    <w:rsid w:val="005664CC"/>
    <w:rsid w:val="0056651C"/>
    <w:rsid w:val="00566618"/>
    <w:rsid w:val="00566642"/>
    <w:rsid w:val="00566647"/>
    <w:rsid w:val="00566693"/>
    <w:rsid w:val="005666A6"/>
    <w:rsid w:val="005666E3"/>
    <w:rsid w:val="00566738"/>
    <w:rsid w:val="0056677E"/>
    <w:rsid w:val="00566790"/>
    <w:rsid w:val="005667E5"/>
    <w:rsid w:val="0056684A"/>
    <w:rsid w:val="00566881"/>
    <w:rsid w:val="005668A2"/>
    <w:rsid w:val="005668D1"/>
    <w:rsid w:val="005668DD"/>
    <w:rsid w:val="0056690E"/>
    <w:rsid w:val="00566928"/>
    <w:rsid w:val="0056692A"/>
    <w:rsid w:val="005669AD"/>
    <w:rsid w:val="00566A2F"/>
    <w:rsid w:val="00566ACD"/>
    <w:rsid w:val="00566C0B"/>
    <w:rsid w:val="00566C3A"/>
    <w:rsid w:val="00566C8A"/>
    <w:rsid w:val="00566D61"/>
    <w:rsid w:val="00566DE9"/>
    <w:rsid w:val="00566E53"/>
    <w:rsid w:val="00566E59"/>
    <w:rsid w:val="00566F3A"/>
    <w:rsid w:val="00566F5C"/>
    <w:rsid w:val="00566F63"/>
    <w:rsid w:val="00566FBC"/>
    <w:rsid w:val="00566FEE"/>
    <w:rsid w:val="00567053"/>
    <w:rsid w:val="0056707A"/>
    <w:rsid w:val="0056707C"/>
    <w:rsid w:val="0056707E"/>
    <w:rsid w:val="00567098"/>
    <w:rsid w:val="0056719D"/>
    <w:rsid w:val="005671A1"/>
    <w:rsid w:val="005671E4"/>
    <w:rsid w:val="00567233"/>
    <w:rsid w:val="00567237"/>
    <w:rsid w:val="005672DB"/>
    <w:rsid w:val="005672E1"/>
    <w:rsid w:val="00567313"/>
    <w:rsid w:val="00567363"/>
    <w:rsid w:val="00567513"/>
    <w:rsid w:val="00567569"/>
    <w:rsid w:val="00567613"/>
    <w:rsid w:val="00567620"/>
    <w:rsid w:val="00567648"/>
    <w:rsid w:val="0056764A"/>
    <w:rsid w:val="005677E7"/>
    <w:rsid w:val="0056787C"/>
    <w:rsid w:val="0056789E"/>
    <w:rsid w:val="00567959"/>
    <w:rsid w:val="00567986"/>
    <w:rsid w:val="00567990"/>
    <w:rsid w:val="005679F5"/>
    <w:rsid w:val="00567AF6"/>
    <w:rsid w:val="00567B36"/>
    <w:rsid w:val="00567B6F"/>
    <w:rsid w:val="00567B80"/>
    <w:rsid w:val="00567C23"/>
    <w:rsid w:val="00567CBA"/>
    <w:rsid w:val="00567DD8"/>
    <w:rsid w:val="00567E2A"/>
    <w:rsid w:val="00567E2C"/>
    <w:rsid w:val="00567E36"/>
    <w:rsid w:val="00567E90"/>
    <w:rsid w:val="00567F48"/>
    <w:rsid w:val="00567F6D"/>
    <w:rsid w:val="00567F84"/>
    <w:rsid w:val="00567F8B"/>
    <w:rsid w:val="00567FB0"/>
    <w:rsid w:val="00567FBD"/>
    <w:rsid w:val="00570006"/>
    <w:rsid w:val="005700EA"/>
    <w:rsid w:val="00570123"/>
    <w:rsid w:val="005701B5"/>
    <w:rsid w:val="00570218"/>
    <w:rsid w:val="005702C9"/>
    <w:rsid w:val="00570385"/>
    <w:rsid w:val="00570457"/>
    <w:rsid w:val="0057049E"/>
    <w:rsid w:val="00570545"/>
    <w:rsid w:val="00570564"/>
    <w:rsid w:val="005705D6"/>
    <w:rsid w:val="005705E9"/>
    <w:rsid w:val="0057060C"/>
    <w:rsid w:val="0057063C"/>
    <w:rsid w:val="0057064D"/>
    <w:rsid w:val="00570688"/>
    <w:rsid w:val="00570695"/>
    <w:rsid w:val="005706B2"/>
    <w:rsid w:val="005706FA"/>
    <w:rsid w:val="00570764"/>
    <w:rsid w:val="005707E6"/>
    <w:rsid w:val="0057082C"/>
    <w:rsid w:val="005708C2"/>
    <w:rsid w:val="0057091E"/>
    <w:rsid w:val="00570998"/>
    <w:rsid w:val="00570A3F"/>
    <w:rsid w:val="00570A58"/>
    <w:rsid w:val="00570A73"/>
    <w:rsid w:val="00570BDD"/>
    <w:rsid w:val="00570C23"/>
    <w:rsid w:val="00570C29"/>
    <w:rsid w:val="00570CD4"/>
    <w:rsid w:val="00570E73"/>
    <w:rsid w:val="00570E95"/>
    <w:rsid w:val="00570EAA"/>
    <w:rsid w:val="00570F0B"/>
    <w:rsid w:val="00570F10"/>
    <w:rsid w:val="00570F4D"/>
    <w:rsid w:val="00570F55"/>
    <w:rsid w:val="00570F92"/>
    <w:rsid w:val="00570FD2"/>
    <w:rsid w:val="00570FF6"/>
    <w:rsid w:val="00571000"/>
    <w:rsid w:val="00571004"/>
    <w:rsid w:val="00571109"/>
    <w:rsid w:val="0057110C"/>
    <w:rsid w:val="00571151"/>
    <w:rsid w:val="005711B6"/>
    <w:rsid w:val="005711DC"/>
    <w:rsid w:val="0057130B"/>
    <w:rsid w:val="0057132A"/>
    <w:rsid w:val="00571361"/>
    <w:rsid w:val="005714F2"/>
    <w:rsid w:val="00571559"/>
    <w:rsid w:val="0057155E"/>
    <w:rsid w:val="00571598"/>
    <w:rsid w:val="005715B3"/>
    <w:rsid w:val="005715D9"/>
    <w:rsid w:val="0057161D"/>
    <w:rsid w:val="005717D1"/>
    <w:rsid w:val="005717D4"/>
    <w:rsid w:val="00571879"/>
    <w:rsid w:val="0057187B"/>
    <w:rsid w:val="005718CC"/>
    <w:rsid w:val="00571951"/>
    <w:rsid w:val="0057197D"/>
    <w:rsid w:val="00571998"/>
    <w:rsid w:val="00571AFF"/>
    <w:rsid w:val="00571B91"/>
    <w:rsid w:val="00571BB1"/>
    <w:rsid w:val="00571BBF"/>
    <w:rsid w:val="00571C09"/>
    <w:rsid w:val="00571C2C"/>
    <w:rsid w:val="00571CB2"/>
    <w:rsid w:val="00571DA1"/>
    <w:rsid w:val="00571E74"/>
    <w:rsid w:val="00571EE5"/>
    <w:rsid w:val="00571EEE"/>
    <w:rsid w:val="00571F4C"/>
    <w:rsid w:val="00571F96"/>
    <w:rsid w:val="00571FCF"/>
    <w:rsid w:val="0057205A"/>
    <w:rsid w:val="00572065"/>
    <w:rsid w:val="00572076"/>
    <w:rsid w:val="005720D8"/>
    <w:rsid w:val="005720E7"/>
    <w:rsid w:val="00572119"/>
    <w:rsid w:val="0057212E"/>
    <w:rsid w:val="00572190"/>
    <w:rsid w:val="00572224"/>
    <w:rsid w:val="00572245"/>
    <w:rsid w:val="005722F1"/>
    <w:rsid w:val="00572398"/>
    <w:rsid w:val="005723BD"/>
    <w:rsid w:val="005723D6"/>
    <w:rsid w:val="005723F0"/>
    <w:rsid w:val="00572512"/>
    <w:rsid w:val="0057252B"/>
    <w:rsid w:val="00572599"/>
    <w:rsid w:val="005725A5"/>
    <w:rsid w:val="005725BD"/>
    <w:rsid w:val="00572605"/>
    <w:rsid w:val="0057268B"/>
    <w:rsid w:val="00572719"/>
    <w:rsid w:val="0057280D"/>
    <w:rsid w:val="00572861"/>
    <w:rsid w:val="005728E9"/>
    <w:rsid w:val="00572909"/>
    <w:rsid w:val="005729A8"/>
    <w:rsid w:val="005729AD"/>
    <w:rsid w:val="00572A36"/>
    <w:rsid w:val="00572AFF"/>
    <w:rsid w:val="00572B1F"/>
    <w:rsid w:val="00572B4C"/>
    <w:rsid w:val="00572BC3"/>
    <w:rsid w:val="00572BF8"/>
    <w:rsid w:val="00572C2E"/>
    <w:rsid w:val="00572CE3"/>
    <w:rsid w:val="00572D3A"/>
    <w:rsid w:val="00572DA8"/>
    <w:rsid w:val="00572EC2"/>
    <w:rsid w:val="00572F9B"/>
    <w:rsid w:val="00572FBE"/>
    <w:rsid w:val="00573015"/>
    <w:rsid w:val="00573027"/>
    <w:rsid w:val="00573047"/>
    <w:rsid w:val="005730D9"/>
    <w:rsid w:val="00573290"/>
    <w:rsid w:val="005732B5"/>
    <w:rsid w:val="005732C9"/>
    <w:rsid w:val="0057336E"/>
    <w:rsid w:val="00573394"/>
    <w:rsid w:val="005733DC"/>
    <w:rsid w:val="00573479"/>
    <w:rsid w:val="005734AF"/>
    <w:rsid w:val="00573522"/>
    <w:rsid w:val="0057354B"/>
    <w:rsid w:val="00573575"/>
    <w:rsid w:val="005735A5"/>
    <w:rsid w:val="005735AD"/>
    <w:rsid w:val="00573664"/>
    <w:rsid w:val="00573705"/>
    <w:rsid w:val="00573782"/>
    <w:rsid w:val="005737FC"/>
    <w:rsid w:val="005737FD"/>
    <w:rsid w:val="00573829"/>
    <w:rsid w:val="0057397C"/>
    <w:rsid w:val="005739A7"/>
    <w:rsid w:val="005739BA"/>
    <w:rsid w:val="005739CF"/>
    <w:rsid w:val="00573B3A"/>
    <w:rsid w:val="00573C01"/>
    <w:rsid w:val="00573CFA"/>
    <w:rsid w:val="00573D30"/>
    <w:rsid w:val="00573D95"/>
    <w:rsid w:val="00573E07"/>
    <w:rsid w:val="00573E0F"/>
    <w:rsid w:val="00573E71"/>
    <w:rsid w:val="00573F5F"/>
    <w:rsid w:val="00573FA5"/>
    <w:rsid w:val="00573FBB"/>
    <w:rsid w:val="00574069"/>
    <w:rsid w:val="005740FC"/>
    <w:rsid w:val="0057414E"/>
    <w:rsid w:val="00574155"/>
    <w:rsid w:val="0057415D"/>
    <w:rsid w:val="0057423E"/>
    <w:rsid w:val="005742B4"/>
    <w:rsid w:val="005742DC"/>
    <w:rsid w:val="0057430D"/>
    <w:rsid w:val="00574319"/>
    <w:rsid w:val="005743A3"/>
    <w:rsid w:val="00574499"/>
    <w:rsid w:val="005744A3"/>
    <w:rsid w:val="005744BC"/>
    <w:rsid w:val="00574659"/>
    <w:rsid w:val="005746E2"/>
    <w:rsid w:val="005747A3"/>
    <w:rsid w:val="005747AE"/>
    <w:rsid w:val="005747E1"/>
    <w:rsid w:val="005748BE"/>
    <w:rsid w:val="00574941"/>
    <w:rsid w:val="005749CC"/>
    <w:rsid w:val="00574A6E"/>
    <w:rsid w:val="00574ACD"/>
    <w:rsid w:val="00574AD8"/>
    <w:rsid w:val="00574B07"/>
    <w:rsid w:val="00574B63"/>
    <w:rsid w:val="00574C45"/>
    <w:rsid w:val="00574CA4"/>
    <w:rsid w:val="00574CB5"/>
    <w:rsid w:val="00574CE4"/>
    <w:rsid w:val="00574DE3"/>
    <w:rsid w:val="00574E24"/>
    <w:rsid w:val="00575043"/>
    <w:rsid w:val="0057508D"/>
    <w:rsid w:val="005750D2"/>
    <w:rsid w:val="005750F7"/>
    <w:rsid w:val="00575219"/>
    <w:rsid w:val="0057530D"/>
    <w:rsid w:val="0057538D"/>
    <w:rsid w:val="00575404"/>
    <w:rsid w:val="00575409"/>
    <w:rsid w:val="0057548D"/>
    <w:rsid w:val="0057549C"/>
    <w:rsid w:val="0057555C"/>
    <w:rsid w:val="005755CE"/>
    <w:rsid w:val="0057579A"/>
    <w:rsid w:val="0057580C"/>
    <w:rsid w:val="00575867"/>
    <w:rsid w:val="005758FF"/>
    <w:rsid w:val="0057592F"/>
    <w:rsid w:val="00575970"/>
    <w:rsid w:val="0057598B"/>
    <w:rsid w:val="005759F7"/>
    <w:rsid w:val="00575A5F"/>
    <w:rsid w:val="00575AA1"/>
    <w:rsid w:val="00575AD1"/>
    <w:rsid w:val="00575B0D"/>
    <w:rsid w:val="00575B74"/>
    <w:rsid w:val="00575B91"/>
    <w:rsid w:val="00575B9A"/>
    <w:rsid w:val="00575D42"/>
    <w:rsid w:val="00575D97"/>
    <w:rsid w:val="00575D9E"/>
    <w:rsid w:val="00575E00"/>
    <w:rsid w:val="00575E64"/>
    <w:rsid w:val="00575E70"/>
    <w:rsid w:val="00576027"/>
    <w:rsid w:val="00576079"/>
    <w:rsid w:val="005760B4"/>
    <w:rsid w:val="005760B5"/>
    <w:rsid w:val="005760B7"/>
    <w:rsid w:val="0057612F"/>
    <w:rsid w:val="0057613A"/>
    <w:rsid w:val="00576143"/>
    <w:rsid w:val="005761D6"/>
    <w:rsid w:val="0057623F"/>
    <w:rsid w:val="0057624F"/>
    <w:rsid w:val="00576262"/>
    <w:rsid w:val="005763A0"/>
    <w:rsid w:val="005763AF"/>
    <w:rsid w:val="005763C1"/>
    <w:rsid w:val="00576498"/>
    <w:rsid w:val="005764D4"/>
    <w:rsid w:val="005765C0"/>
    <w:rsid w:val="00576629"/>
    <w:rsid w:val="0057666A"/>
    <w:rsid w:val="005766F0"/>
    <w:rsid w:val="00576782"/>
    <w:rsid w:val="005767BA"/>
    <w:rsid w:val="005767C4"/>
    <w:rsid w:val="00576880"/>
    <w:rsid w:val="005768AC"/>
    <w:rsid w:val="005768AD"/>
    <w:rsid w:val="00576972"/>
    <w:rsid w:val="0057697B"/>
    <w:rsid w:val="005769D4"/>
    <w:rsid w:val="00576AA1"/>
    <w:rsid w:val="00576AB0"/>
    <w:rsid w:val="00576ADD"/>
    <w:rsid w:val="00576B85"/>
    <w:rsid w:val="00576B93"/>
    <w:rsid w:val="00576BCB"/>
    <w:rsid w:val="00576BE7"/>
    <w:rsid w:val="00576D4D"/>
    <w:rsid w:val="00576D4E"/>
    <w:rsid w:val="00576E12"/>
    <w:rsid w:val="00576EAF"/>
    <w:rsid w:val="00576EB5"/>
    <w:rsid w:val="00576F0E"/>
    <w:rsid w:val="00576F31"/>
    <w:rsid w:val="00576F36"/>
    <w:rsid w:val="00576FAF"/>
    <w:rsid w:val="00576FD2"/>
    <w:rsid w:val="005770DC"/>
    <w:rsid w:val="00577103"/>
    <w:rsid w:val="0057710D"/>
    <w:rsid w:val="00577145"/>
    <w:rsid w:val="0057714F"/>
    <w:rsid w:val="00577172"/>
    <w:rsid w:val="005771C9"/>
    <w:rsid w:val="00577201"/>
    <w:rsid w:val="00577371"/>
    <w:rsid w:val="005773BE"/>
    <w:rsid w:val="0057747E"/>
    <w:rsid w:val="0057749B"/>
    <w:rsid w:val="0057757F"/>
    <w:rsid w:val="00577612"/>
    <w:rsid w:val="005776C9"/>
    <w:rsid w:val="005776D5"/>
    <w:rsid w:val="00577709"/>
    <w:rsid w:val="005777C2"/>
    <w:rsid w:val="0057784A"/>
    <w:rsid w:val="0057789E"/>
    <w:rsid w:val="00577A1F"/>
    <w:rsid w:val="00577A20"/>
    <w:rsid w:val="00577A98"/>
    <w:rsid w:val="00577AD9"/>
    <w:rsid w:val="00577AE3"/>
    <w:rsid w:val="00577C04"/>
    <w:rsid w:val="00577CDB"/>
    <w:rsid w:val="00577D1E"/>
    <w:rsid w:val="00577D37"/>
    <w:rsid w:val="00577D7C"/>
    <w:rsid w:val="00577DD7"/>
    <w:rsid w:val="00577DDD"/>
    <w:rsid w:val="00580009"/>
    <w:rsid w:val="00580058"/>
    <w:rsid w:val="00580118"/>
    <w:rsid w:val="0058014B"/>
    <w:rsid w:val="00580167"/>
    <w:rsid w:val="0058017F"/>
    <w:rsid w:val="005801ED"/>
    <w:rsid w:val="00580289"/>
    <w:rsid w:val="00580466"/>
    <w:rsid w:val="005804BB"/>
    <w:rsid w:val="005804FC"/>
    <w:rsid w:val="005805E5"/>
    <w:rsid w:val="00580649"/>
    <w:rsid w:val="005806E6"/>
    <w:rsid w:val="005806F9"/>
    <w:rsid w:val="0058076D"/>
    <w:rsid w:val="00580794"/>
    <w:rsid w:val="00580893"/>
    <w:rsid w:val="00580936"/>
    <w:rsid w:val="00580943"/>
    <w:rsid w:val="00580A29"/>
    <w:rsid w:val="00580A57"/>
    <w:rsid w:val="00580B67"/>
    <w:rsid w:val="00580B80"/>
    <w:rsid w:val="00580B8F"/>
    <w:rsid w:val="00580C8E"/>
    <w:rsid w:val="00580CEC"/>
    <w:rsid w:val="00580D05"/>
    <w:rsid w:val="00580DDB"/>
    <w:rsid w:val="00580E6B"/>
    <w:rsid w:val="00580E7B"/>
    <w:rsid w:val="00580EC5"/>
    <w:rsid w:val="00580F0C"/>
    <w:rsid w:val="00580F79"/>
    <w:rsid w:val="00580FAD"/>
    <w:rsid w:val="00581008"/>
    <w:rsid w:val="00581078"/>
    <w:rsid w:val="005810A3"/>
    <w:rsid w:val="00581119"/>
    <w:rsid w:val="00581186"/>
    <w:rsid w:val="00581240"/>
    <w:rsid w:val="00581271"/>
    <w:rsid w:val="005812B8"/>
    <w:rsid w:val="00581318"/>
    <w:rsid w:val="0058133C"/>
    <w:rsid w:val="00581342"/>
    <w:rsid w:val="00581345"/>
    <w:rsid w:val="005813A0"/>
    <w:rsid w:val="0058140F"/>
    <w:rsid w:val="00581481"/>
    <w:rsid w:val="00581569"/>
    <w:rsid w:val="00581584"/>
    <w:rsid w:val="00581657"/>
    <w:rsid w:val="00581689"/>
    <w:rsid w:val="005816AC"/>
    <w:rsid w:val="005816B9"/>
    <w:rsid w:val="00581705"/>
    <w:rsid w:val="0058174F"/>
    <w:rsid w:val="00581752"/>
    <w:rsid w:val="005817CE"/>
    <w:rsid w:val="00581831"/>
    <w:rsid w:val="00581852"/>
    <w:rsid w:val="00581864"/>
    <w:rsid w:val="0058196D"/>
    <w:rsid w:val="005819C4"/>
    <w:rsid w:val="005819DA"/>
    <w:rsid w:val="00581A23"/>
    <w:rsid w:val="00581A98"/>
    <w:rsid w:val="00581AA4"/>
    <w:rsid w:val="00581B28"/>
    <w:rsid w:val="00581B56"/>
    <w:rsid w:val="00581B8A"/>
    <w:rsid w:val="00581C44"/>
    <w:rsid w:val="00581C5A"/>
    <w:rsid w:val="00581C7E"/>
    <w:rsid w:val="00581CC6"/>
    <w:rsid w:val="00581CD8"/>
    <w:rsid w:val="00581D12"/>
    <w:rsid w:val="00581D8A"/>
    <w:rsid w:val="00581D9B"/>
    <w:rsid w:val="00581DA3"/>
    <w:rsid w:val="00581E76"/>
    <w:rsid w:val="00581EA2"/>
    <w:rsid w:val="005820FB"/>
    <w:rsid w:val="0058217B"/>
    <w:rsid w:val="00582193"/>
    <w:rsid w:val="0058227B"/>
    <w:rsid w:val="005822B4"/>
    <w:rsid w:val="00582365"/>
    <w:rsid w:val="00582371"/>
    <w:rsid w:val="0058238A"/>
    <w:rsid w:val="005823D4"/>
    <w:rsid w:val="0058241D"/>
    <w:rsid w:val="00582427"/>
    <w:rsid w:val="0058243F"/>
    <w:rsid w:val="0058246A"/>
    <w:rsid w:val="005824ED"/>
    <w:rsid w:val="0058255D"/>
    <w:rsid w:val="00582571"/>
    <w:rsid w:val="005826F9"/>
    <w:rsid w:val="00582880"/>
    <w:rsid w:val="005828CA"/>
    <w:rsid w:val="00582906"/>
    <w:rsid w:val="00582909"/>
    <w:rsid w:val="00582A1F"/>
    <w:rsid w:val="00582A29"/>
    <w:rsid w:val="00582A2E"/>
    <w:rsid w:val="00582ACC"/>
    <w:rsid w:val="00582AD5"/>
    <w:rsid w:val="00582AE3"/>
    <w:rsid w:val="00582B57"/>
    <w:rsid w:val="00582BA6"/>
    <w:rsid w:val="00582C33"/>
    <w:rsid w:val="00582CA7"/>
    <w:rsid w:val="00582DF5"/>
    <w:rsid w:val="00582E2B"/>
    <w:rsid w:val="00582E67"/>
    <w:rsid w:val="00582EE8"/>
    <w:rsid w:val="00582F0A"/>
    <w:rsid w:val="00582FE5"/>
    <w:rsid w:val="00583014"/>
    <w:rsid w:val="00583098"/>
    <w:rsid w:val="005830E8"/>
    <w:rsid w:val="005830EB"/>
    <w:rsid w:val="0058315C"/>
    <w:rsid w:val="00583172"/>
    <w:rsid w:val="005832C0"/>
    <w:rsid w:val="00583317"/>
    <w:rsid w:val="00583370"/>
    <w:rsid w:val="005833A7"/>
    <w:rsid w:val="00583448"/>
    <w:rsid w:val="00583522"/>
    <w:rsid w:val="0058357A"/>
    <w:rsid w:val="00583621"/>
    <w:rsid w:val="005836B8"/>
    <w:rsid w:val="005836DB"/>
    <w:rsid w:val="005837B5"/>
    <w:rsid w:val="00583833"/>
    <w:rsid w:val="0058386B"/>
    <w:rsid w:val="005839F7"/>
    <w:rsid w:val="00583A40"/>
    <w:rsid w:val="00583A9D"/>
    <w:rsid w:val="00583AD2"/>
    <w:rsid w:val="00583B1E"/>
    <w:rsid w:val="00583BC5"/>
    <w:rsid w:val="00583CB4"/>
    <w:rsid w:val="00583CF5"/>
    <w:rsid w:val="00583CFF"/>
    <w:rsid w:val="00583D6B"/>
    <w:rsid w:val="00583DF5"/>
    <w:rsid w:val="00583E3B"/>
    <w:rsid w:val="00583E71"/>
    <w:rsid w:val="00583ED9"/>
    <w:rsid w:val="00583FFB"/>
    <w:rsid w:val="0058409C"/>
    <w:rsid w:val="005840A2"/>
    <w:rsid w:val="005840A6"/>
    <w:rsid w:val="005840C2"/>
    <w:rsid w:val="0058418E"/>
    <w:rsid w:val="005842B5"/>
    <w:rsid w:val="005842C1"/>
    <w:rsid w:val="005842F0"/>
    <w:rsid w:val="0058439B"/>
    <w:rsid w:val="005843AB"/>
    <w:rsid w:val="00584535"/>
    <w:rsid w:val="005845AC"/>
    <w:rsid w:val="0058479D"/>
    <w:rsid w:val="005847E1"/>
    <w:rsid w:val="005847FF"/>
    <w:rsid w:val="0058486B"/>
    <w:rsid w:val="0058487B"/>
    <w:rsid w:val="005848B4"/>
    <w:rsid w:val="005848F9"/>
    <w:rsid w:val="00584977"/>
    <w:rsid w:val="0058498C"/>
    <w:rsid w:val="005849C9"/>
    <w:rsid w:val="00584AE6"/>
    <w:rsid w:val="00584B73"/>
    <w:rsid w:val="00584BA5"/>
    <w:rsid w:val="00584C06"/>
    <w:rsid w:val="00584CB7"/>
    <w:rsid w:val="00584CFF"/>
    <w:rsid w:val="00584D27"/>
    <w:rsid w:val="00584D28"/>
    <w:rsid w:val="00584DE7"/>
    <w:rsid w:val="00584EAA"/>
    <w:rsid w:val="00584EE4"/>
    <w:rsid w:val="00584F3E"/>
    <w:rsid w:val="005850CC"/>
    <w:rsid w:val="00585144"/>
    <w:rsid w:val="0058515D"/>
    <w:rsid w:val="00585165"/>
    <w:rsid w:val="00585201"/>
    <w:rsid w:val="005852CF"/>
    <w:rsid w:val="00585337"/>
    <w:rsid w:val="005853C9"/>
    <w:rsid w:val="005853D8"/>
    <w:rsid w:val="005854A5"/>
    <w:rsid w:val="005854C4"/>
    <w:rsid w:val="005855CC"/>
    <w:rsid w:val="005855E1"/>
    <w:rsid w:val="0058561A"/>
    <w:rsid w:val="005856F0"/>
    <w:rsid w:val="00585705"/>
    <w:rsid w:val="00585756"/>
    <w:rsid w:val="005858A6"/>
    <w:rsid w:val="0058591A"/>
    <w:rsid w:val="00585927"/>
    <w:rsid w:val="0058592A"/>
    <w:rsid w:val="005859BC"/>
    <w:rsid w:val="00585A37"/>
    <w:rsid w:val="00585A5A"/>
    <w:rsid w:val="00585B2D"/>
    <w:rsid w:val="00585B48"/>
    <w:rsid w:val="00585BAA"/>
    <w:rsid w:val="00585BE2"/>
    <w:rsid w:val="00585C1B"/>
    <w:rsid w:val="00585C36"/>
    <w:rsid w:val="00585C4D"/>
    <w:rsid w:val="00585C8F"/>
    <w:rsid w:val="00585D8D"/>
    <w:rsid w:val="00585DBD"/>
    <w:rsid w:val="00585DD3"/>
    <w:rsid w:val="00585E64"/>
    <w:rsid w:val="00585E8C"/>
    <w:rsid w:val="00585F67"/>
    <w:rsid w:val="00585F6C"/>
    <w:rsid w:val="00585FD0"/>
    <w:rsid w:val="00586006"/>
    <w:rsid w:val="00586034"/>
    <w:rsid w:val="005860ED"/>
    <w:rsid w:val="00586115"/>
    <w:rsid w:val="0058614E"/>
    <w:rsid w:val="005861B5"/>
    <w:rsid w:val="00586221"/>
    <w:rsid w:val="00586235"/>
    <w:rsid w:val="005862A9"/>
    <w:rsid w:val="0058636B"/>
    <w:rsid w:val="00586518"/>
    <w:rsid w:val="00586588"/>
    <w:rsid w:val="0058658A"/>
    <w:rsid w:val="00586652"/>
    <w:rsid w:val="005866DC"/>
    <w:rsid w:val="0058672A"/>
    <w:rsid w:val="0058681E"/>
    <w:rsid w:val="00586824"/>
    <w:rsid w:val="00586897"/>
    <w:rsid w:val="005868A1"/>
    <w:rsid w:val="005868A7"/>
    <w:rsid w:val="005869D8"/>
    <w:rsid w:val="005869E8"/>
    <w:rsid w:val="00586A54"/>
    <w:rsid w:val="00586A60"/>
    <w:rsid w:val="00586BF0"/>
    <w:rsid w:val="00586BFB"/>
    <w:rsid w:val="00586CBB"/>
    <w:rsid w:val="00586D1A"/>
    <w:rsid w:val="00586D34"/>
    <w:rsid w:val="00586DC0"/>
    <w:rsid w:val="00586E49"/>
    <w:rsid w:val="00586E79"/>
    <w:rsid w:val="00586F63"/>
    <w:rsid w:val="00586F98"/>
    <w:rsid w:val="00587062"/>
    <w:rsid w:val="00587085"/>
    <w:rsid w:val="005870CD"/>
    <w:rsid w:val="005870F2"/>
    <w:rsid w:val="005870FE"/>
    <w:rsid w:val="00587173"/>
    <w:rsid w:val="00587235"/>
    <w:rsid w:val="0058728B"/>
    <w:rsid w:val="005873F0"/>
    <w:rsid w:val="005874BB"/>
    <w:rsid w:val="0058750B"/>
    <w:rsid w:val="00587594"/>
    <w:rsid w:val="005875B1"/>
    <w:rsid w:val="0058760F"/>
    <w:rsid w:val="00587615"/>
    <w:rsid w:val="00587622"/>
    <w:rsid w:val="00587639"/>
    <w:rsid w:val="005877CB"/>
    <w:rsid w:val="005878A9"/>
    <w:rsid w:val="005878DC"/>
    <w:rsid w:val="005879E3"/>
    <w:rsid w:val="00587A3B"/>
    <w:rsid w:val="00587ACD"/>
    <w:rsid w:val="00587B19"/>
    <w:rsid w:val="00587B57"/>
    <w:rsid w:val="00587B9C"/>
    <w:rsid w:val="00587BD9"/>
    <w:rsid w:val="00587C2B"/>
    <w:rsid w:val="00587C52"/>
    <w:rsid w:val="00587C74"/>
    <w:rsid w:val="00587D17"/>
    <w:rsid w:val="00587E77"/>
    <w:rsid w:val="00587E78"/>
    <w:rsid w:val="00587F40"/>
    <w:rsid w:val="00587F63"/>
    <w:rsid w:val="00590022"/>
    <w:rsid w:val="005901DD"/>
    <w:rsid w:val="0059020B"/>
    <w:rsid w:val="00590287"/>
    <w:rsid w:val="005903ED"/>
    <w:rsid w:val="00590404"/>
    <w:rsid w:val="005904CF"/>
    <w:rsid w:val="005904D1"/>
    <w:rsid w:val="00590578"/>
    <w:rsid w:val="00590587"/>
    <w:rsid w:val="005905AF"/>
    <w:rsid w:val="005905E5"/>
    <w:rsid w:val="00590637"/>
    <w:rsid w:val="0059067F"/>
    <w:rsid w:val="005906C5"/>
    <w:rsid w:val="005906D6"/>
    <w:rsid w:val="0059071A"/>
    <w:rsid w:val="005907A0"/>
    <w:rsid w:val="005907B1"/>
    <w:rsid w:val="005907EE"/>
    <w:rsid w:val="0059082D"/>
    <w:rsid w:val="00590858"/>
    <w:rsid w:val="005908FB"/>
    <w:rsid w:val="00590939"/>
    <w:rsid w:val="00590954"/>
    <w:rsid w:val="00590A51"/>
    <w:rsid w:val="00590AE5"/>
    <w:rsid w:val="00590BF5"/>
    <w:rsid w:val="00590C56"/>
    <w:rsid w:val="00590D10"/>
    <w:rsid w:val="00590E19"/>
    <w:rsid w:val="00590E7C"/>
    <w:rsid w:val="00590EE4"/>
    <w:rsid w:val="00590F24"/>
    <w:rsid w:val="00591033"/>
    <w:rsid w:val="0059108F"/>
    <w:rsid w:val="00591098"/>
    <w:rsid w:val="005910C4"/>
    <w:rsid w:val="0059119D"/>
    <w:rsid w:val="00591254"/>
    <w:rsid w:val="00591279"/>
    <w:rsid w:val="00591282"/>
    <w:rsid w:val="00591289"/>
    <w:rsid w:val="00591336"/>
    <w:rsid w:val="005913AE"/>
    <w:rsid w:val="005913BC"/>
    <w:rsid w:val="00591445"/>
    <w:rsid w:val="0059145F"/>
    <w:rsid w:val="0059146F"/>
    <w:rsid w:val="005914AF"/>
    <w:rsid w:val="005914FD"/>
    <w:rsid w:val="0059159A"/>
    <w:rsid w:val="0059161C"/>
    <w:rsid w:val="00591654"/>
    <w:rsid w:val="005916B5"/>
    <w:rsid w:val="005916FF"/>
    <w:rsid w:val="00591714"/>
    <w:rsid w:val="00591865"/>
    <w:rsid w:val="005918EC"/>
    <w:rsid w:val="00591A72"/>
    <w:rsid w:val="00591A92"/>
    <w:rsid w:val="00591AEB"/>
    <w:rsid w:val="00591B9F"/>
    <w:rsid w:val="00591BD8"/>
    <w:rsid w:val="00591C0A"/>
    <w:rsid w:val="00591C0D"/>
    <w:rsid w:val="00591C1E"/>
    <w:rsid w:val="00591C2B"/>
    <w:rsid w:val="00591C46"/>
    <w:rsid w:val="00591C5E"/>
    <w:rsid w:val="00591C6C"/>
    <w:rsid w:val="00591D1F"/>
    <w:rsid w:val="00591D20"/>
    <w:rsid w:val="00591D4C"/>
    <w:rsid w:val="00591D5B"/>
    <w:rsid w:val="00591D6F"/>
    <w:rsid w:val="00591E0C"/>
    <w:rsid w:val="00591E79"/>
    <w:rsid w:val="00591E89"/>
    <w:rsid w:val="00591E94"/>
    <w:rsid w:val="00591EB2"/>
    <w:rsid w:val="00591FF4"/>
    <w:rsid w:val="0059207A"/>
    <w:rsid w:val="005920DE"/>
    <w:rsid w:val="005921F7"/>
    <w:rsid w:val="00592344"/>
    <w:rsid w:val="005923EE"/>
    <w:rsid w:val="00592437"/>
    <w:rsid w:val="00592586"/>
    <w:rsid w:val="0059259F"/>
    <w:rsid w:val="005925C8"/>
    <w:rsid w:val="005925D5"/>
    <w:rsid w:val="0059260C"/>
    <w:rsid w:val="00592620"/>
    <w:rsid w:val="00592638"/>
    <w:rsid w:val="005926E4"/>
    <w:rsid w:val="005926EF"/>
    <w:rsid w:val="00592796"/>
    <w:rsid w:val="005927CF"/>
    <w:rsid w:val="00592977"/>
    <w:rsid w:val="00592AC0"/>
    <w:rsid w:val="00592B10"/>
    <w:rsid w:val="00592B23"/>
    <w:rsid w:val="00592BAF"/>
    <w:rsid w:val="00592C76"/>
    <w:rsid w:val="00592C9F"/>
    <w:rsid w:val="00592CB4"/>
    <w:rsid w:val="00592D54"/>
    <w:rsid w:val="00592E2A"/>
    <w:rsid w:val="00592E31"/>
    <w:rsid w:val="00592E7A"/>
    <w:rsid w:val="00592E7B"/>
    <w:rsid w:val="00592EB3"/>
    <w:rsid w:val="00592EDB"/>
    <w:rsid w:val="00592EF4"/>
    <w:rsid w:val="00592FD5"/>
    <w:rsid w:val="005930BD"/>
    <w:rsid w:val="005930C6"/>
    <w:rsid w:val="005930D4"/>
    <w:rsid w:val="00593108"/>
    <w:rsid w:val="0059310A"/>
    <w:rsid w:val="00593136"/>
    <w:rsid w:val="00593138"/>
    <w:rsid w:val="005931B6"/>
    <w:rsid w:val="0059320E"/>
    <w:rsid w:val="005932E4"/>
    <w:rsid w:val="005932F6"/>
    <w:rsid w:val="005932FD"/>
    <w:rsid w:val="00593377"/>
    <w:rsid w:val="0059338C"/>
    <w:rsid w:val="0059343C"/>
    <w:rsid w:val="005934DC"/>
    <w:rsid w:val="005935D4"/>
    <w:rsid w:val="00593646"/>
    <w:rsid w:val="00593695"/>
    <w:rsid w:val="005936BE"/>
    <w:rsid w:val="0059374E"/>
    <w:rsid w:val="00593880"/>
    <w:rsid w:val="005938AD"/>
    <w:rsid w:val="005938B7"/>
    <w:rsid w:val="00593A03"/>
    <w:rsid w:val="00593A33"/>
    <w:rsid w:val="00593AB8"/>
    <w:rsid w:val="00593B21"/>
    <w:rsid w:val="00593B3D"/>
    <w:rsid w:val="00593C5E"/>
    <w:rsid w:val="00593D44"/>
    <w:rsid w:val="00593DE5"/>
    <w:rsid w:val="00593E31"/>
    <w:rsid w:val="00593E9F"/>
    <w:rsid w:val="00594061"/>
    <w:rsid w:val="00594090"/>
    <w:rsid w:val="005940FC"/>
    <w:rsid w:val="00594194"/>
    <w:rsid w:val="005941B5"/>
    <w:rsid w:val="005941CB"/>
    <w:rsid w:val="005943DC"/>
    <w:rsid w:val="005944CB"/>
    <w:rsid w:val="005944F7"/>
    <w:rsid w:val="00594523"/>
    <w:rsid w:val="0059455A"/>
    <w:rsid w:val="0059461A"/>
    <w:rsid w:val="005946DC"/>
    <w:rsid w:val="005947B5"/>
    <w:rsid w:val="005947C4"/>
    <w:rsid w:val="0059487F"/>
    <w:rsid w:val="00594891"/>
    <w:rsid w:val="005948AF"/>
    <w:rsid w:val="0059493A"/>
    <w:rsid w:val="00594949"/>
    <w:rsid w:val="005949D2"/>
    <w:rsid w:val="005949EE"/>
    <w:rsid w:val="00594B4B"/>
    <w:rsid w:val="00594B94"/>
    <w:rsid w:val="00594BF0"/>
    <w:rsid w:val="00594BF1"/>
    <w:rsid w:val="00594CF7"/>
    <w:rsid w:val="00594D37"/>
    <w:rsid w:val="00594D5E"/>
    <w:rsid w:val="00594E41"/>
    <w:rsid w:val="00594EE2"/>
    <w:rsid w:val="00594F34"/>
    <w:rsid w:val="00594F6A"/>
    <w:rsid w:val="00594FA9"/>
    <w:rsid w:val="00594FAD"/>
    <w:rsid w:val="00594FBD"/>
    <w:rsid w:val="00594FE9"/>
    <w:rsid w:val="00595024"/>
    <w:rsid w:val="0059503B"/>
    <w:rsid w:val="0059503C"/>
    <w:rsid w:val="0059514F"/>
    <w:rsid w:val="00595160"/>
    <w:rsid w:val="00595161"/>
    <w:rsid w:val="00595163"/>
    <w:rsid w:val="005951B6"/>
    <w:rsid w:val="0059520E"/>
    <w:rsid w:val="00595228"/>
    <w:rsid w:val="00595320"/>
    <w:rsid w:val="00595358"/>
    <w:rsid w:val="005954B9"/>
    <w:rsid w:val="0059552D"/>
    <w:rsid w:val="00595561"/>
    <w:rsid w:val="00595613"/>
    <w:rsid w:val="00595617"/>
    <w:rsid w:val="00595772"/>
    <w:rsid w:val="00595779"/>
    <w:rsid w:val="005957E6"/>
    <w:rsid w:val="00595831"/>
    <w:rsid w:val="005958E7"/>
    <w:rsid w:val="005958EA"/>
    <w:rsid w:val="00595946"/>
    <w:rsid w:val="00595988"/>
    <w:rsid w:val="005959D3"/>
    <w:rsid w:val="005959FA"/>
    <w:rsid w:val="005959FB"/>
    <w:rsid w:val="00595A01"/>
    <w:rsid w:val="00595AC1"/>
    <w:rsid w:val="00595C26"/>
    <w:rsid w:val="00595C35"/>
    <w:rsid w:val="00595C47"/>
    <w:rsid w:val="00595CF9"/>
    <w:rsid w:val="00595D95"/>
    <w:rsid w:val="00595DE5"/>
    <w:rsid w:val="00595FCC"/>
    <w:rsid w:val="005960BB"/>
    <w:rsid w:val="005961FD"/>
    <w:rsid w:val="0059620F"/>
    <w:rsid w:val="00596215"/>
    <w:rsid w:val="00596230"/>
    <w:rsid w:val="005962B7"/>
    <w:rsid w:val="005962D7"/>
    <w:rsid w:val="005962F7"/>
    <w:rsid w:val="00596305"/>
    <w:rsid w:val="0059630D"/>
    <w:rsid w:val="005963A9"/>
    <w:rsid w:val="0059641E"/>
    <w:rsid w:val="0059642C"/>
    <w:rsid w:val="005964A7"/>
    <w:rsid w:val="00596505"/>
    <w:rsid w:val="0059653E"/>
    <w:rsid w:val="0059654D"/>
    <w:rsid w:val="00596590"/>
    <w:rsid w:val="005965D8"/>
    <w:rsid w:val="00596624"/>
    <w:rsid w:val="005966B8"/>
    <w:rsid w:val="005966D5"/>
    <w:rsid w:val="005967E2"/>
    <w:rsid w:val="00596855"/>
    <w:rsid w:val="00596890"/>
    <w:rsid w:val="0059692D"/>
    <w:rsid w:val="0059693C"/>
    <w:rsid w:val="005969A2"/>
    <w:rsid w:val="00596A57"/>
    <w:rsid w:val="00596A62"/>
    <w:rsid w:val="00596AC3"/>
    <w:rsid w:val="00596B08"/>
    <w:rsid w:val="00596C32"/>
    <w:rsid w:val="00596C51"/>
    <w:rsid w:val="00596C57"/>
    <w:rsid w:val="00596C9A"/>
    <w:rsid w:val="00596CB7"/>
    <w:rsid w:val="00596D30"/>
    <w:rsid w:val="00596D6F"/>
    <w:rsid w:val="00596DCD"/>
    <w:rsid w:val="00596F3D"/>
    <w:rsid w:val="00596F6E"/>
    <w:rsid w:val="00597066"/>
    <w:rsid w:val="005970C2"/>
    <w:rsid w:val="00597132"/>
    <w:rsid w:val="005972B5"/>
    <w:rsid w:val="005972B7"/>
    <w:rsid w:val="005972DF"/>
    <w:rsid w:val="00597407"/>
    <w:rsid w:val="00597447"/>
    <w:rsid w:val="0059744E"/>
    <w:rsid w:val="00597455"/>
    <w:rsid w:val="005974C2"/>
    <w:rsid w:val="005974C3"/>
    <w:rsid w:val="005974E4"/>
    <w:rsid w:val="005974FF"/>
    <w:rsid w:val="00597518"/>
    <w:rsid w:val="0059752A"/>
    <w:rsid w:val="0059752B"/>
    <w:rsid w:val="00597540"/>
    <w:rsid w:val="0059754E"/>
    <w:rsid w:val="00597608"/>
    <w:rsid w:val="0059761B"/>
    <w:rsid w:val="005976A3"/>
    <w:rsid w:val="00597739"/>
    <w:rsid w:val="00597744"/>
    <w:rsid w:val="00597A5B"/>
    <w:rsid w:val="00597A9D"/>
    <w:rsid w:val="00597AAC"/>
    <w:rsid w:val="00597B1F"/>
    <w:rsid w:val="00597BAC"/>
    <w:rsid w:val="00597BFE"/>
    <w:rsid w:val="00597C33"/>
    <w:rsid w:val="00597CA7"/>
    <w:rsid w:val="00597CC3"/>
    <w:rsid w:val="00597CED"/>
    <w:rsid w:val="00597D3C"/>
    <w:rsid w:val="00597D7A"/>
    <w:rsid w:val="00597D8A"/>
    <w:rsid w:val="00597DC5"/>
    <w:rsid w:val="00597DFD"/>
    <w:rsid w:val="00597EE7"/>
    <w:rsid w:val="00597F31"/>
    <w:rsid w:val="00597F5F"/>
    <w:rsid w:val="00597FC3"/>
    <w:rsid w:val="005A0172"/>
    <w:rsid w:val="005A02E9"/>
    <w:rsid w:val="005A041F"/>
    <w:rsid w:val="005A0496"/>
    <w:rsid w:val="005A0568"/>
    <w:rsid w:val="005A05B7"/>
    <w:rsid w:val="005A060B"/>
    <w:rsid w:val="005A0636"/>
    <w:rsid w:val="005A0652"/>
    <w:rsid w:val="005A066F"/>
    <w:rsid w:val="005A06F9"/>
    <w:rsid w:val="005A070F"/>
    <w:rsid w:val="005A09B3"/>
    <w:rsid w:val="005A09F9"/>
    <w:rsid w:val="005A0A15"/>
    <w:rsid w:val="005A0B02"/>
    <w:rsid w:val="005A0B39"/>
    <w:rsid w:val="005A0B3A"/>
    <w:rsid w:val="005A0B56"/>
    <w:rsid w:val="005A0D57"/>
    <w:rsid w:val="005A0DE1"/>
    <w:rsid w:val="005A0E31"/>
    <w:rsid w:val="005A0F60"/>
    <w:rsid w:val="005A0FA7"/>
    <w:rsid w:val="005A0FD2"/>
    <w:rsid w:val="005A101C"/>
    <w:rsid w:val="005A10DF"/>
    <w:rsid w:val="005A116C"/>
    <w:rsid w:val="005A1182"/>
    <w:rsid w:val="005A1214"/>
    <w:rsid w:val="005A139D"/>
    <w:rsid w:val="005A13B4"/>
    <w:rsid w:val="005A1416"/>
    <w:rsid w:val="005A14D8"/>
    <w:rsid w:val="005A155A"/>
    <w:rsid w:val="005A15AB"/>
    <w:rsid w:val="005A15E1"/>
    <w:rsid w:val="005A1733"/>
    <w:rsid w:val="005A1736"/>
    <w:rsid w:val="005A1766"/>
    <w:rsid w:val="005A17F7"/>
    <w:rsid w:val="005A18DF"/>
    <w:rsid w:val="005A19B0"/>
    <w:rsid w:val="005A19DC"/>
    <w:rsid w:val="005A1A6D"/>
    <w:rsid w:val="005A1AAA"/>
    <w:rsid w:val="005A1B1A"/>
    <w:rsid w:val="005A1B56"/>
    <w:rsid w:val="005A1B5D"/>
    <w:rsid w:val="005A1CAA"/>
    <w:rsid w:val="005A1CCC"/>
    <w:rsid w:val="005A1DBF"/>
    <w:rsid w:val="005A1F52"/>
    <w:rsid w:val="005A1FCA"/>
    <w:rsid w:val="005A1FFF"/>
    <w:rsid w:val="005A2047"/>
    <w:rsid w:val="005A2082"/>
    <w:rsid w:val="005A2191"/>
    <w:rsid w:val="005A21F3"/>
    <w:rsid w:val="005A22E9"/>
    <w:rsid w:val="005A2301"/>
    <w:rsid w:val="005A2375"/>
    <w:rsid w:val="005A23BD"/>
    <w:rsid w:val="005A2408"/>
    <w:rsid w:val="005A241E"/>
    <w:rsid w:val="005A2490"/>
    <w:rsid w:val="005A257F"/>
    <w:rsid w:val="005A2593"/>
    <w:rsid w:val="005A25A0"/>
    <w:rsid w:val="005A25D8"/>
    <w:rsid w:val="005A26E1"/>
    <w:rsid w:val="005A2718"/>
    <w:rsid w:val="005A2813"/>
    <w:rsid w:val="005A2821"/>
    <w:rsid w:val="005A282A"/>
    <w:rsid w:val="005A28D7"/>
    <w:rsid w:val="005A2A9E"/>
    <w:rsid w:val="005A2AC9"/>
    <w:rsid w:val="005A2ACF"/>
    <w:rsid w:val="005A2B64"/>
    <w:rsid w:val="005A2BCB"/>
    <w:rsid w:val="005A2BFA"/>
    <w:rsid w:val="005A2C52"/>
    <w:rsid w:val="005A2C7D"/>
    <w:rsid w:val="005A2C86"/>
    <w:rsid w:val="005A2E1B"/>
    <w:rsid w:val="005A2E60"/>
    <w:rsid w:val="005A2E65"/>
    <w:rsid w:val="005A2ED8"/>
    <w:rsid w:val="005A3029"/>
    <w:rsid w:val="005A3068"/>
    <w:rsid w:val="005A3088"/>
    <w:rsid w:val="005A3091"/>
    <w:rsid w:val="005A3189"/>
    <w:rsid w:val="005A31D1"/>
    <w:rsid w:val="005A323B"/>
    <w:rsid w:val="005A3255"/>
    <w:rsid w:val="005A32C2"/>
    <w:rsid w:val="005A32CC"/>
    <w:rsid w:val="005A3343"/>
    <w:rsid w:val="005A335D"/>
    <w:rsid w:val="005A341D"/>
    <w:rsid w:val="005A3565"/>
    <w:rsid w:val="005A357F"/>
    <w:rsid w:val="005A35A9"/>
    <w:rsid w:val="005A36A0"/>
    <w:rsid w:val="005A36E9"/>
    <w:rsid w:val="005A373A"/>
    <w:rsid w:val="005A37A3"/>
    <w:rsid w:val="005A37C1"/>
    <w:rsid w:val="005A3800"/>
    <w:rsid w:val="005A3806"/>
    <w:rsid w:val="005A38AB"/>
    <w:rsid w:val="005A3929"/>
    <w:rsid w:val="005A3A03"/>
    <w:rsid w:val="005A3A7E"/>
    <w:rsid w:val="005A3B45"/>
    <w:rsid w:val="005A3B87"/>
    <w:rsid w:val="005A3B9A"/>
    <w:rsid w:val="005A3CAA"/>
    <w:rsid w:val="005A3CEE"/>
    <w:rsid w:val="005A3D03"/>
    <w:rsid w:val="005A3D93"/>
    <w:rsid w:val="005A3E07"/>
    <w:rsid w:val="005A3E61"/>
    <w:rsid w:val="005A3E7B"/>
    <w:rsid w:val="005A3EFF"/>
    <w:rsid w:val="005A3F48"/>
    <w:rsid w:val="005A400D"/>
    <w:rsid w:val="005A403F"/>
    <w:rsid w:val="005A4047"/>
    <w:rsid w:val="005A40EA"/>
    <w:rsid w:val="005A4203"/>
    <w:rsid w:val="005A4288"/>
    <w:rsid w:val="005A4300"/>
    <w:rsid w:val="005A4310"/>
    <w:rsid w:val="005A4384"/>
    <w:rsid w:val="005A44A6"/>
    <w:rsid w:val="005A44AE"/>
    <w:rsid w:val="005A4502"/>
    <w:rsid w:val="005A450A"/>
    <w:rsid w:val="005A4520"/>
    <w:rsid w:val="005A4537"/>
    <w:rsid w:val="005A454E"/>
    <w:rsid w:val="005A469B"/>
    <w:rsid w:val="005A4738"/>
    <w:rsid w:val="005A481C"/>
    <w:rsid w:val="005A48C6"/>
    <w:rsid w:val="005A495C"/>
    <w:rsid w:val="005A496D"/>
    <w:rsid w:val="005A49B9"/>
    <w:rsid w:val="005A4A21"/>
    <w:rsid w:val="005A4B08"/>
    <w:rsid w:val="005A4B82"/>
    <w:rsid w:val="005A4CAD"/>
    <w:rsid w:val="005A4CC3"/>
    <w:rsid w:val="005A4CF3"/>
    <w:rsid w:val="005A4D03"/>
    <w:rsid w:val="005A4D2F"/>
    <w:rsid w:val="005A4D7F"/>
    <w:rsid w:val="005A4D8D"/>
    <w:rsid w:val="005A4E3F"/>
    <w:rsid w:val="005A4EC7"/>
    <w:rsid w:val="005A4FED"/>
    <w:rsid w:val="005A5006"/>
    <w:rsid w:val="005A500C"/>
    <w:rsid w:val="005A509F"/>
    <w:rsid w:val="005A50CB"/>
    <w:rsid w:val="005A50DB"/>
    <w:rsid w:val="005A510E"/>
    <w:rsid w:val="005A5188"/>
    <w:rsid w:val="005A5210"/>
    <w:rsid w:val="005A5256"/>
    <w:rsid w:val="005A5325"/>
    <w:rsid w:val="005A542F"/>
    <w:rsid w:val="005A5458"/>
    <w:rsid w:val="005A54B9"/>
    <w:rsid w:val="005A54CB"/>
    <w:rsid w:val="005A54CE"/>
    <w:rsid w:val="005A5504"/>
    <w:rsid w:val="005A5517"/>
    <w:rsid w:val="005A5529"/>
    <w:rsid w:val="005A55D0"/>
    <w:rsid w:val="005A55FA"/>
    <w:rsid w:val="005A560C"/>
    <w:rsid w:val="005A5613"/>
    <w:rsid w:val="005A564D"/>
    <w:rsid w:val="005A5694"/>
    <w:rsid w:val="005A5708"/>
    <w:rsid w:val="005A588D"/>
    <w:rsid w:val="005A5909"/>
    <w:rsid w:val="005A5955"/>
    <w:rsid w:val="005A5961"/>
    <w:rsid w:val="005A596D"/>
    <w:rsid w:val="005A5AE1"/>
    <w:rsid w:val="005A5B1B"/>
    <w:rsid w:val="005A5B80"/>
    <w:rsid w:val="005A5C92"/>
    <w:rsid w:val="005A5D07"/>
    <w:rsid w:val="005A5D18"/>
    <w:rsid w:val="005A5D5E"/>
    <w:rsid w:val="005A5E15"/>
    <w:rsid w:val="005A5E2C"/>
    <w:rsid w:val="005A5E74"/>
    <w:rsid w:val="005A5E85"/>
    <w:rsid w:val="005A5E9C"/>
    <w:rsid w:val="005A5F2D"/>
    <w:rsid w:val="005A5F4C"/>
    <w:rsid w:val="005A5F60"/>
    <w:rsid w:val="005A5FCF"/>
    <w:rsid w:val="005A6028"/>
    <w:rsid w:val="005A60A6"/>
    <w:rsid w:val="005A6115"/>
    <w:rsid w:val="005A61DF"/>
    <w:rsid w:val="005A6242"/>
    <w:rsid w:val="005A62D5"/>
    <w:rsid w:val="005A6306"/>
    <w:rsid w:val="005A6329"/>
    <w:rsid w:val="005A63E7"/>
    <w:rsid w:val="005A6459"/>
    <w:rsid w:val="005A6477"/>
    <w:rsid w:val="005A64AF"/>
    <w:rsid w:val="005A6503"/>
    <w:rsid w:val="005A6594"/>
    <w:rsid w:val="005A65C2"/>
    <w:rsid w:val="005A65D9"/>
    <w:rsid w:val="005A6674"/>
    <w:rsid w:val="005A670E"/>
    <w:rsid w:val="005A6725"/>
    <w:rsid w:val="005A672D"/>
    <w:rsid w:val="005A6733"/>
    <w:rsid w:val="005A6752"/>
    <w:rsid w:val="005A67EA"/>
    <w:rsid w:val="005A68E9"/>
    <w:rsid w:val="005A6954"/>
    <w:rsid w:val="005A6B94"/>
    <w:rsid w:val="005A6C68"/>
    <w:rsid w:val="005A6D4D"/>
    <w:rsid w:val="005A6DE7"/>
    <w:rsid w:val="005A6E17"/>
    <w:rsid w:val="005A6E37"/>
    <w:rsid w:val="005A6E46"/>
    <w:rsid w:val="005A6E47"/>
    <w:rsid w:val="005A6E51"/>
    <w:rsid w:val="005A6E55"/>
    <w:rsid w:val="005A6F60"/>
    <w:rsid w:val="005A6F75"/>
    <w:rsid w:val="005A6FCB"/>
    <w:rsid w:val="005A7012"/>
    <w:rsid w:val="005A7017"/>
    <w:rsid w:val="005A703F"/>
    <w:rsid w:val="005A7074"/>
    <w:rsid w:val="005A709D"/>
    <w:rsid w:val="005A709E"/>
    <w:rsid w:val="005A70C1"/>
    <w:rsid w:val="005A7188"/>
    <w:rsid w:val="005A71B9"/>
    <w:rsid w:val="005A7225"/>
    <w:rsid w:val="005A7267"/>
    <w:rsid w:val="005A74E1"/>
    <w:rsid w:val="005A7500"/>
    <w:rsid w:val="005A765A"/>
    <w:rsid w:val="005A765F"/>
    <w:rsid w:val="005A7697"/>
    <w:rsid w:val="005A7855"/>
    <w:rsid w:val="005A78C9"/>
    <w:rsid w:val="005A78EF"/>
    <w:rsid w:val="005A7940"/>
    <w:rsid w:val="005A7941"/>
    <w:rsid w:val="005A79B5"/>
    <w:rsid w:val="005A79B7"/>
    <w:rsid w:val="005A79C8"/>
    <w:rsid w:val="005A79D1"/>
    <w:rsid w:val="005A7A26"/>
    <w:rsid w:val="005A7A5E"/>
    <w:rsid w:val="005A7BF8"/>
    <w:rsid w:val="005A7C1A"/>
    <w:rsid w:val="005A7C34"/>
    <w:rsid w:val="005A7CA1"/>
    <w:rsid w:val="005A7CA7"/>
    <w:rsid w:val="005A7CB3"/>
    <w:rsid w:val="005A7D1F"/>
    <w:rsid w:val="005A7DE4"/>
    <w:rsid w:val="005A7E17"/>
    <w:rsid w:val="005A7E48"/>
    <w:rsid w:val="005A7EBA"/>
    <w:rsid w:val="005A7F61"/>
    <w:rsid w:val="005A7F8B"/>
    <w:rsid w:val="005A7FA0"/>
    <w:rsid w:val="005B0006"/>
    <w:rsid w:val="005B0112"/>
    <w:rsid w:val="005B011A"/>
    <w:rsid w:val="005B015D"/>
    <w:rsid w:val="005B01A7"/>
    <w:rsid w:val="005B0225"/>
    <w:rsid w:val="005B0313"/>
    <w:rsid w:val="005B0416"/>
    <w:rsid w:val="005B04AD"/>
    <w:rsid w:val="005B0526"/>
    <w:rsid w:val="005B05C4"/>
    <w:rsid w:val="005B0615"/>
    <w:rsid w:val="005B0648"/>
    <w:rsid w:val="005B065E"/>
    <w:rsid w:val="005B06FA"/>
    <w:rsid w:val="005B070E"/>
    <w:rsid w:val="005B077F"/>
    <w:rsid w:val="005B07BB"/>
    <w:rsid w:val="005B0874"/>
    <w:rsid w:val="005B0947"/>
    <w:rsid w:val="005B0948"/>
    <w:rsid w:val="005B094F"/>
    <w:rsid w:val="005B096D"/>
    <w:rsid w:val="005B097A"/>
    <w:rsid w:val="005B098E"/>
    <w:rsid w:val="005B0A7E"/>
    <w:rsid w:val="005B0A80"/>
    <w:rsid w:val="005B0AB9"/>
    <w:rsid w:val="005B0B4F"/>
    <w:rsid w:val="005B0B7D"/>
    <w:rsid w:val="005B0B7E"/>
    <w:rsid w:val="005B0BA6"/>
    <w:rsid w:val="005B0BA8"/>
    <w:rsid w:val="005B0C85"/>
    <w:rsid w:val="005B0D32"/>
    <w:rsid w:val="005B0D74"/>
    <w:rsid w:val="005B0DBC"/>
    <w:rsid w:val="005B0DC7"/>
    <w:rsid w:val="005B0DE9"/>
    <w:rsid w:val="005B0E21"/>
    <w:rsid w:val="005B0E92"/>
    <w:rsid w:val="005B0E9A"/>
    <w:rsid w:val="005B0ED1"/>
    <w:rsid w:val="005B102F"/>
    <w:rsid w:val="005B105B"/>
    <w:rsid w:val="005B108D"/>
    <w:rsid w:val="005B10E6"/>
    <w:rsid w:val="005B110E"/>
    <w:rsid w:val="005B11A9"/>
    <w:rsid w:val="005B127F"/>
    <w:rsid w:val="005B12B1"/>
    <w:rsid w:val="005B134F"/>
    <w:rsid w:val="005B1371"/>
    <w:rsid w:val="005B13B4"/>
    <w:rsid w:val="005B13F4"/>
    <w:rsid w:val="005B1407"/>
    <w:rsid w:val="005B1459"/>
    <w:rsid w:val="005B1471"/>
    <w:rsid w:val="005B150B"/>
    <w:rsid w:val="005B15CB"/>
    <w:rsid w:val="005B165B"/>
    <w:rsid w:val="005B16C4"/>
    <w:rsid w:val="005B16D3"/>
    <w:rsid w:val="005B1778"/>
    <w:rsid w:val="005B1797"/>
    <w:rsid w:val="005B17BC"/>
    <w:rsid w:val="005B17F3"/>
    <w:rsid w:val="005B18D7"/>
    <w:rsid w:val="005B18FF"/>
    <w:rsid w:val="005B198B"/>
    <w:rsid w:val="005B1998"/>
    <w:rsid w:val="005B1A0D"/>
    <w:rsid w:val="005B1B61"/>
    <w:rsid w:val="005B1B84"/>
    <w:rsid w:val="005B1BF2"/>
    <w:rsid w:val="005B1BF9"/>
    <w:rsid w:val="005B1C07"/>
    <w:rsid w:val="005B1C0F"/>
    <w:rsid w:val="005B1CE9"/>
    <w:rsid w:val="005B1D39"/>
    <w:rsid w:val="005B1D51"/>
    <w:rsid w:val="005B1D82"/>
    <w:rsid w:val="005B1DCC"/>
    <w:rsid w:val="005B1ECE"/>
    <w:rsid w:val="005B1FD7"/>
    <w:rsid w:val="005B201C"/>
    <w:rsid w:val="005B2118"/>
    <w:rsid w:val="005B223F"/>
    <w:rsid w:val="005B228D"/>
    <w:rsid w:val="005B2351"/>
    <w:rsid w:val="005B2390"/>
    <w:rsid w:val="005B23B4"/>
    <w:rsid w:val="005B23C9"/>
    <w:rsid w:val="005B23EA"/>
    <w:rsid w:val="005B23FA"/>
    <w:rsid w:val="005B2472"/>
    <w:rsid w:val="005B250B"/>
    <w:rsid w:val="005B2558"/>
    <w:rsid w:val="005B2604"/>
    <w:rsid w:val="005B2611"/>
    <w:rsid w:val="005B26FF"/>
    <w:rsid w:val="005B2783"/>
    <w:rsid w:val="005B2828"/>
    <w:rsid w:val="005B2832"/>
    <w:rsid w:val="005B287F"/>
    <w:rsid w:val="005B28A1"/>
    <w:rsid w:val="005B292E"/>
    <w:rsid w:val="005B2984"/>
    <w:rsid w:val="005B29D6"/>
    <w:rsid w:val="005B2A38"/>
    <w:rsid w:val="005B2A7F"/>
    <w:rsid w:val="005B2A8A"/>
    <w:rsid w:val="005B2AAE"/>
    <w:rsid w:val="005B2ABA"/>
    <w:rsid w:val="005B2AC3"/>
    <w:rsid w:val="005B2B3F"/>
    <w:rsid w:val="005B2B52"/>
    <w:rsid w:val="005B2B8A"/>
    <w:rsid w:val="005B2BC1"/>
    <w:rsid w:val="005B2BDE"/>
    <w:rsid w:val="005B2D21"/>
    <w:rsid w:val="005B2DA8"/>
    <w:rsid w:val="005B2E38"/>
    <w:rsid w:val="005B2E7E"/>
    <w:rsid w:val="005B2EBF"/>
    <w:rsid w:val="005B2F6A"/>
    <w:rsid w:val="005B2FDE"/>
    <w:rsid w:val="005B3020"/>
    <w:rsid w:val="005B30EC"/>
    <w:rsid w:val="005B30ED"/>
    <w:rsid w:val="005B337A"/>
    <w:rsid w:val="005B33CA"/>
    <w:rsid w:val="005B33F5"/>
    <w:rsid w:val="005B3432"/>
    <w:rsid w:val="005B346F"/>
    <w:rsid w:val="005B34E1"/>
    <w:rsid w:val="005B34ED"/>
    <w:rsid w:val="005B3519"/>
    <w:rsid w:val="005B3521"/>
    <w:rsid w:val="005B366A"/>
    <w:rsid w:val="005B3670"/>
    <w:rsid w:val="005B369B"/>
    <w:rsid w:val="005B369D"/>
    <w:rsid w:val="005B371D"/>
    <w:rsid w:val="005B37F2"/>
    <w:rsid w:val="005B3835"/>
    <w:rsid w:val="005B38A6"/>
    <w:rsid w:val="005B39B2"/>
    <w:rsid w:val="005B39FE"/>
    <w:rsid w:val="005B3A28"/>
    <w:rsid w:val="005B3A8B"/>
    <w:rsid w:val="005B3BD6"/>
    <w:rsid w:val="005B3BF1"/>
    <w:rsid w:val="005B3C72"/>
    <w:rsid w:val="005B3CB3"/>
    <w:rsid w:val="005B3D03"/>
    <w:rsid w:val="005B3D72"/>
    <w:rsid w:val="005B3E2F"/>
    <w:rsid w:val="005B3E46"/>
    <w:rsid w:val="005B3E52"/>
    <w:rsid w:val="005B3EC9"/>
    <w:rsid w:val="005B3FEB"/>
    <w:rsid w:val="005B401A"/>
    <w:rsid w:val="005B411B"/>
    <w:rsid w:val="005B4144"/>
    <w:rsid w:val="005B426C"/>
    <w:rsid w:val="005B429D"/>
    <w:rsid w:val="005B42A0"/>
    <w:rsid w:val="005B431E"/>
    <w:rsid w:val="005B4392"/>
    <w:rsid w:val="005B448E"/>
    <w:rsid w:val="005B450D"/>
    <w:rsid w:val="005B4524"/>
    <w:rsid w:val="005B45D9"/>
    <w:rsid w:val="005B46B5"/>
    <w:rsid w:val="005B4751"/>
    <w:rsid w:val="005B4791"/>
    <w:rsid w:val="005B47AD"/>
    <w:rsid w:val="005B48DD"/>
    <w:rsid w:val="005B4914"/>
    <w:rsid w:val="005B496B"/>
    <w:rsid w:val="005B49A5"/>
    <w:rsid w:val="005B4A4A"/>
    <w:rsid w:val="005B4A7D"/>
    <w:rsid w:val="005B4B1F"/>
    <w:rsid w:val="005B4C03"/>
    <w:rsid w:val="005B4C6D"/>
    <w:rsid w:val="005B4C8D"/>
    <w:rsid w:val="005B4CDF"/>
    <w:rsid w:val="005B4CED"/>
    <w:rsid w:val="005B4D54"/>
    <w:rsid w:val="005B4D5B"/>
    <w:rsid w:val="005B4D6F"/>
    <w:rsid w:val="005B4DDC"/>
    <w:rsid w:val="005B4DEE"/>
    <w:rsid w:val="005B4E7E"/>
    <w:rsid w:val="005B4EAE"/>
    <w:rsid w:val="005B4EF7"/>
    <w:rsid w:val="005B4F10"/>
    <w:rsid w:val="005B4F43"/>
    <w:rsid w:val="005B4FEC"/>
    <w:rsid w:val="005B4FFB"/>
    <w:rsid w:val="005B506A"/>
    <w:rsid w:val="005B50BE"/>
    <w:rsid w:val="005B5109"/>
    <w:rsid w:val="005B5157"/>
    <w:rsid w:val="005B51A3"/>
    <w:rsid w:val="005B51F3"/>
    <w:rsid w:val="005B522B"/>
    <w:rsid w:val="005B5258"/>
    <w:rsid w:val="005B528A"/>
    <w:rsid w:val="005B52F3"/>
    <w:rsid w:val="005B5300"/>
    <w:rsid w:val="005B5332"/>
    <w:rsid w:val="005B54C3"/>
    <w:rsid w:val="005B54CE"/>
    <w:rsid w:val="005B54F8"/>
    <w:rsid w:val="005B558A"/>
    <w:rsid w:val="005B55E4"/>
    <w:rsid w:val="005B5659"/>
    <w:rsid w:val="005B5689"/>
    <w:rsid w:val="005B576C"/>
    <w:rsid w:val="005B5805"/>
    <w:rsid w:val="005B5881"/>
    <w:rsid w:val="005B59A6"/>
    <w:rsid w:val="005B5A3F"/>
    <w:rsid w:val="005B5A49"/>
    <w:rsid w:val="005B5B05"/>
    <w:rsid w:val="005B5B0F"/>
    <w:rsid w:val="005B5B23"/>
    <w:rsid w:val="005B5B40"/>
    <w:rsid w:val="005B5B5B"/>
    <w:rsid w:val="005B5B64"/>
    <w:rsid w:val="005B5BD1"/>
    <w:rsid w:val="005B5BD8"/>
    <w:rsid w:val="005B5C50"/>
    <w:rsid w:val="005B5C77"/>
    <w:rsid w:val="005B5CA8"/>
    <w:rsid w:val="005B5D8B"/>
    <w:rsid w:val="005B5DBF"/>
    <w:rsid w:val="005B5DC1"/>
    <w:rsid w:val="005B5E50"/>
    <w:rsid w:val="005B5E8E"/>
    <w:rsid w:val="005B5EBD"/>
    <w:rsid w:val="005B5EFE"/>
    <w:rsid w:val="005B5F43"/>
    <w:rsid w:val="005B5FC1"/>
    <w:rsid w:val="005B6001"/>
    <w:rsid w:val="005B6040"/>
    <w:rsid w:val="005B6047"/>
    <w:rsid w:val="005B60CC"/>
    <w:rsid w:val="005B60D6"/>
    <w:rsid w:val="005B60ED"/>
    <w:rsid w:val="005B617E"/>
    <w:rsid w:val="005B61BB"/>
    <w:rsid w:val="005B62B8"/>
    <w:rsid w:val="005B62E3"/>
    <w:rsid w:val="005B62FC"/>
    <w:rsid w:val="005B6379"/>
    <w:rsid w:val="005B6491"/>
    <w:rsid w:val="005B651D"/>
    <w:rsid w:val="005B6542"/>
    <w:rsid w:val="005B65ED"/>
    <w:rsid w:val="005B6645"/>
    <w:rsid w:val="005B6678"/>
    <w:rsid w:val="005B676A"/>
    <w:rsid w:val="005B67C2"/>
    <w:rsid w:val="005B6847"/>
    <w:rsid w:val="005B6856"/>
    <w:rsid w:val="005B68BC"/>
    <w:rsid w:val="005B68CB"/>
    <w:rsid w:val="005B6904"/>
    <w:rsid w:val="005B6930"/>
    <w:rsid w:val="005B6971"/>
    <w:rsid w:val="005B6A03"/>
    <w:rsid w:val="005B6AB2"/>
    <w:rsid w:val="005B6B11"/>
    <w:rsid w:val="005B6C28"/>
    <w:rsid w:val="005B6CF4"/>
    <w:rsid w:val="005B6DAF"/>
    <w:rsid w:val="005B6DEA"/>
    <w:rsid w:val="005B6E3F"/>
    <w:rsid w:val="005B6E60"/>
    <w:rsid w:val="005B6E61"/>
    <w:rsid w:val="005B6EFF"/>
    <w:rsid w:val="005B7055"/>
    <w:rsid w:val="005B7083"/>
    <w:rsid w:val="005B70E2"/>
    <w:rsid w:val="005B70EC"/>
    <w:rsid w:val="005B71E5"/>
    <w:rsid w:val="005B71F8"/>
    <w:rsid w:val="005B7253"/>
    <w:rsid w:val="005B7277"/>
    <w:rsid w:val="005B728A"/>
    <w:rsid w:val="005B72B8"/>
    <w:rsid w:val="005B7365"/>
    <w:rsid w:val="005B736F"/>
    <w:rsid w:val="005B73B6"/>
    <w:rsid w:val="005B74D7"/>
    <w:rsid w:val="005B7522"/>
    <w:rsid w:val="005B752A"/>
    <w:rsid w:val="005B7551"/>
    <w:rsid w:val="005B7635"/>
    <w:rsid w:val="005B7690"/>
    <w:rsid w:val="005B76BF"/>
    <w:rsid w:val="005B7705"/>
    <w:rsid w:val="005B7708"/>
    <w:rsid w:val="005B78E9"/>
    <w:rsid w:val="005B791A"/>
    <w:rsid w:val="005B7975"/>
    <w:rsid w:val="005B797A"/>
    <w:rsid w:val="005B797C"/>
    <w:rsid w:val="005B7980"/>
    <w:rsid w:val="005B79BA"/>
    <w:rsid w:val="005B79C2"/>
    <w:rsid w:val="005B7A06"/>
    <w:rsid w:val="005B7A3A"/>
    <w:rsid w:val="005B7AE3"/>
    <w:rsid w:val="005B7B0E"/>
    <w:rsid w:val="005B7B12"/>
    <w:rsid w:val="005B7BBD"/>
    <w:rsid w:val="005B7BF8"/>
    <w:rsid w:val="005B7CC9"/>
    <w:rsid w:val="005B7CFA"/>
    <w:rsid w:val="005B7CFB"/>
    <w:rsid w:val="005B7D6C"/>
    <w:rsid w:val="005B7D6F"/>
    <w:rsid w:val="005B7D81"/>
    <w:rsid w:val="005B7DEE"/>
    <w:rsid w:val="005B7E75"/>
    <w:rsid w:val="005C0003"/>
    <w:rsid w:val="005C0028"/>
    <w:rsid w:val="005C007C"/>
    <w:rsid w:val="005C00D8"/>
    <w:rsid w:val="005C00E9"/>
    <w:rsid w:val="005C00ED"/>
    <w:rsid w:val="005C013A"/>
    <w:rsid w:val="005C0208"/>
    <w:rsid w:val="005C0255"/>
    <w:rsid w:val="005C0277"/>
    <w:rsid w:val="005C0350"/>
    <w:rsid w:val="005C03A7"/>
    <w:rsid w:val="005C03B6"/>
    <w:rsid w:val="005C045B"/>
    <w:rsid w:val="005C049A"/>
    <w:rsid w:val="005C04B5"/>
    <w:rsid w:val="005C0521"/>
    <w:rsid w:val="005C0535"/>
    <w:rsid w:val="005C0547"/>
    <w:rsid w:val="005C0574"/>
    <w:rsid w:val="005C0593"/>
    <w:rsid w:val="005C05BC"/>
    <w:rsid w:val="005C05CC"/>
    <w:rsid w:val="005C0683"/>
    <w:rsid w:val="005C0712"/>
    <w:rsid w:val="005C0738"/>
    <w:rsid w:val="005C0833"/>
    <w:rsid w:val="005C087B"/>
    <w:rsid w:val="005C08B6"/>
    <w:rsid w:val="005C098F"/>
    <w:rsid w:val="005C0A83"/>
    <w:rsid w:val="005C0ADE"/>
    <w:rsid w:val="005C0AF2"/>
    <w:rsid w:val="005C0B8C"/>
    <w:rsid w:val="005C0C02"/>
    <w:rsid w:val="005C0C5F"/>
    <w:rsid w:val="005C0CC5"/>
    <w:rsid w:val="005C0DBF"/>
    <w:rsid w:val="005C0EA1"/>
    <w:rsid w:val="005C0EBF"/>
    <w:rsid w:val="005C0F34"/>
    <w:rsid w:val="005C0F56"/>
    <w:rsid w:val="005C0F7C"/>
    <w:rsid w:val="005C0F82"/>
    <w:rsid w:val="005C0F85"/>
    <w:rsid w:val="005C1059"/>
    <w:rsid w:val="005C10DD"/>
    <w:rsid w:val="005C1155"/>
    <w:rsid w:val="005C116A"/>
    <w:rsid w:val="005C1184"/>
    <w:rsid w:val="005C11D4"/>
    <w:rsid w:val="005C1295"/>
    <w:rsid w:val="005C1341"/>
    <w:rsid w:val="005C13AF"/>
    <w:rsid w:val="005C13F1"/>
    <w:rsid w:val="005C1436"/>
    <w:rsid w:val="005C1470"/>
    <w:rsid w:val="005C14C9"/>
    <w:rsid w:val="005C1569"/>
    <w:rsid w:val="005C15C7"/>
    <w:rsid w:val="005C1722"/>
    <w:rsid w:val="005C176C"/>
    <w:rsid w:val="005C1864"/>
    <w:rsid w:val="005C1895"/>
    <w:rsid w:val="005C18FB"/>
    <w:rsid w:val="005C19A2"/>
    <w:rsid w:val="005C19DA"/>
    <w:rsid w:val="005C1ACD"/>
    <w:rsid w:val="005C1AD1"/>
    <w:rsid w:val="005C1BB4"/>
    <w:rsid w:val="005C1C00"/>
    <w:rsid w:val="005C1DD4"/>
    <w:rsid w:val="005C1E09"/>
    <w:rsid w:val="005C1E10"/>
    <w:rsid w:val="005C1E26"/>
    <w:rsid w:val="005C1E4B"/>
    <w:rsid w:val="005C1E63"/>
    <w:rsid w:val="005C1E75"/>
    <w:rsid w:val="005C1EC1"/>
    <w:rsid w:val="005C1F94"/>
    <w:rsid w:val="005C1F9A"/>
    <w:rsid w:val="005C1FF9"/>
    <w:rsid w:val="005C20D2"/>
    <w:rsid w:val="005C2133"/>
    <w:rsid w:val="005C21CD"/>
    <w:rsid w:val="005C2201"/>
    <w:rsid w:val="005C221E"/>
    <w:rsid w:val="005C227F"/>
    <w:rsid w:val="005C229D"/>
    <w:rsid w:val="005C2330"/>
    <w:rsid w:val="005C23E5"/>
    <w:rsid w:val="005C2432"/>
    <w:rsid w:val="005C24CF"/>
    <w:rsid w:val="005C24F2"/>
    <w:rsid w:val="005C24F3"/>
    <w:rsid w:val="005C2548"/>
    <w:rsid w:val="005C25A2"/>
    <w:rsid w:val="005C25B1"/>
    <w:rsid w:val="005C26DF"/>
    <w:rsid w:val="005C26F1"/>
    <w:rsid w:val="005C2724"/>
    <w:rsid w:val="005C2755"/>
    <w:rsid w:val="005C27B3"/>
    <w:rsid w:val="005C27D4"/>
    <w:rsid w:val="005C281F"/>
    <w:rsid w:val="005C289B"/>
    <w:rsid w:val="005C2963"/>
    <w:rsid w:val="005C2980"/>
    <w:rsid w:val="005C2ABB"/>
    <w:rsid w:val="005C2AE9"/>
    <w:rsid w:val="005C2B0A"/>
    <w:rsid w:val="005C2B28"/>
    <w:rsid w:val="005C2B70"/>
    <w:rsid w:val="005C2B75"/>
    <w:rsid w:val="005C2BC1"/>
    <w:rsid w:val="005C2BDD"/>
    <w:rsid w:val="005C2C79"/>
    <w:rsid w:val="005C2C88"/>
    <w:rsid w:val="005C2C8F"/>
    <w:rsid w:val="005C2D67"/>
    <w:rsid w:val="005C2E10"/>
    <w:rsid w:val="005C2E39"/>
    <w:rsid w:val="005C2EC3"/>
    <w:rsid w:val="005C2F08"/>
    <w:rsid w:val="005C3053"/>
    <w:rsid w:val="005C307D"/>
    <w:rsid w:val="005C30BC"/>
    <w:rsid w:val="005C30EB"/>
    <w:rsid w:val="005C3114"/>
    <w:rsid w:val="005C315E"/>
    <w:rsid w:val="005C3243"/>
    <w:rsid w:val="005C3262"/>
    <w:rsid w:val="005C3349"/>
    <w:rsid w:val="005C334E"/>
    <w:rsid w:val="005C33F3"/>
    <w:rsid w:val="005C3465"/>
    <w:rsid w:val="005C3479"/>
    <w:rsid w:val="005C3488"/>
    <w:rsid w:val="005C34AF"/>
    <w:rsid w:val="005C3576"/>
    <w:rsid w:val="005C3597"/>
    <w:rsid w:val="005C3604"/>
    <w:rsid w:val="005C361A"/>
    <w:rsid w:val="005C3643"/>
    <w:rsid w:val="005C36CF"/>
    <w:rsid w:val="005C3828"/>
    <w:rsid w:val="005C3957"/>
    <w:rsid w:val="005C397A"/>
    <w:rsid w:val="005C39BD"/>
    <w:rsid w:val="005C3A75"/>
    <w:rsid w:val="005C3A87"/>
    <w:rsid w:val="005C3A8A"/>
    <w:rsid w:val="005C3AB3"/>
    <w:rsid w:val="005C3AB4"/>
    <w:rsid w:val="005C3B5B"/>
    <w:rsid w:val="005C3B90"/>
    <w:rsid w:val="005C3BEE"/>
    <w:rsid w:val="005C3CC6"/>
    <w:rsid w:val="005C3D58"/>
    <w:rsid w:val="005C3D74"/>
    <w:rsid w:val="005C3DCB"/>
    <w:rsid w:val="005C3DD3"/>
    <w:rsid w:val="005C3DE3"/>
    <w:rsid w:val="005C3DE6"/>
    <w:rsid w:val="005C3FB8"/>
    <w:rsid w:val="005C40AE"/>
    <w:rsid w:val="005C40C2"/>
    <w:rsid w:val="005C4145"/>
    <w:rsid w:val="005C415B"/>
    <w:rsid w:val="005C415C"/>
    <w:rsid w:val="005C41A3"/>
    <w:rsid w:val="005C41DB"/>
    <w:rsid w:val="005C422F"/>
    <w:rsid w:val="005C424B"/>
    <w:rsid w:val="005C4250"/>
    <w:rsid w:val="005C4256"/>
    <w:rsid w:val="005C42E5"/>
    <w:rsid w:val="005C4360"/>
    <w:rsid w:val="005C4370"/>
    <w:rsid w:val="005C43E1"/>
    <w:rsid w:val="005C4526"/>
    <w:rsid w:val="005C4557"/>
    <w:rsid w:val="005C4586"/>
    <w:rsid w:val="005C4617"/>
    <w:rsid w:val="005C4694"/>
    <w:rsid w:val="005C46A7"/>
    <w:rsid w:val="005C4738"/>
    <w:rsid w:val="005C473E"/>
    <w:rsid w:val="005C47AC"/>
    <w:rsid w:val="005C48BF"/>
    <w:rsid w:val="005C48EE"/>
    <w:rsid w:val="005C4942"/>
    <w:rsid w:val="005C4968"/>
    <w:rsid w:val="005C49D3"/>
    <w:rsid w:val="005C4A10"/>
    <w:rsid w:val="005C4AD5"/>
    <w:rsid w:val="005C4ADB"/>
    <w:rsid w:val="005C4C35"/>
    <w:rsid w:val="005C4DA4"/>
    <w:rsid w:val="005C4DED"/>
    <w:rsid w:val="005C4E32"/>
    <w:rsid w:val="005C4EAE"/>
    <w:rsid w:val="005C4EB7"/>
    <w:rsid w:val="005C4EDE"/>
    <w:rsid w:val="005C503C"/>
    <w:rsid w:val="005C50CA"/>
    <w:rsid w:val="005C50D2"/>
    <w:rsid w:val="005C51C7"/>
    <w:rsid w:val="005C51E7"/>
    <w:rsid w:val="005C520B"/>
    <w:rsid w:val="005C520E"/>
    <w:rsid w:val="005C5278"/>
    <w:rsid w:val="005C52BC"/>
    <w:rsid w:val="005C537E"/>
    <w:rsid w:val="005C53E6"/>
    <w:rsid w:val="005C540E"/>
    <w:rsid w:val="005C546D"/>
    <w:rsid w:val="005C549E"/>
    <w:rsid w:val="005C54F4"/>
    <w:rsid w:val="005C552C"/>
    <w:rsid w:val="005C557F"/>
    <w:rsid w:val="005C5611"/>
    <w:rsid w:val="005C56CC"/>
    <w:rsid w:val="005C575B"/>
    <w:rsid w:val="005C57B3"/>
    <w:rsid w:val="005C57CB"/>
    <w:rsid w:val="005C58D1"/>
    <w:rsid w:val="005C592F"/>
    <w:rsid w:val="005C595F"/>
    <w:rsid w:val="005C597D"/>
    <w:rsid w:val="005C5A2C"/>
    <w:rsid w:val="005C5A8E"/>
    <w:rsid w:val="005C5B25"/>
    <w:rsid w:val="005C5B3F"/>
    <w:rsid w:val="005C5BD1"/>
    <w:rsid w:val="005C5BE9"/>
    <w:rsid w:val="005C5BF7"/>
    <w:rsid w:val="005C5CBB"/>
    <w:rsid w:val="005C5CFB"/>
    <w:rsid w:val="005C5DCE"/>
    <w:rsid w:val="005C5E12"/>
    <w:rsid w:val="005C5E1C"/>
    <w:rsid w:val="005C5E50"/>
    <w:rsid w:val="005C5EB2"/>
    <w:rsid w:val="005C5F0D"/>
    <w:rsid w:val="005C5FEA"/>
    <w:rsid w:val="005C6005"/>
    <w:rsid w:val="005C6047"/>
    <w:rsid w:val="005C616D"/>
    <w:rsid w:val="005C619E"/>
    <w:rsid w:val="005C61E9"/>
    <w:rsid w:val="005C6316"/>
    <w:rsid w:val="005C63C8"/>
    <w:rsid w:val="005C6438"/>
    <w:rsid w:val="005C646A"/>
    <w:rsid w:val="005C64B4"/>
    <w:rsid w:val="005C66FD"/>
    <w:rsid w:val="005C67F9"/>
    <w:rsid w:val="005C682B"/>
    <w:rsid w:val="005C6943"/>
    <w:rsid w:val="005C69DC"/>
    <w:rsid w:val="005C6A70"/>
    <w:rsid w:val="005C6A91"/>
    <w:rsid w:val="005C6B18"/>
    <w:rsid w:val="005C6B93"/>
    <w:rsid w:val="005C6C4E"/>
    <w:rsid w:val="005C6CC2"/>
    <w:rsid w:val="005C6CDA"/>
    <w:rsid w:val="005C6D1E"/>
    <w:rsid w:val="005C6D22"/>
    <w:rsid w:val="005C6D55"/>
    <w:rsid w:val="005C6DB2"/>
    <w:rsid w:val="005C6E53"/>
    <w:rsid w:val="005C6EE4"/>
    <w:rsid w:val="005C6F21"/>
    <w:rsid w:val="005C6F30"/>
    <w:rsid w:val="005C6F41"/>
    <w:rsid w:val="005C6F90"/>
    <w:rsid w:val="005C6FA1"/>
    <w:rsid w:val="005C6FF7"/>
    <w:rsid w:val="005C7070"/>
    <w:rsid w:val="005C7085"/>
    <w:rsid w:val="005C70C5"/>
    <w:rsid w:val="005C70F7"/>
    <w:rsid w:val="005C7174"/>
    <w:rsid w:val="005C71BC"/>
    <w:rsid w:val="005C7215"/>
    <w:rsid w:val="005C7238"/>
    <w:rsid w:val="005C723F"/>
    <w:rsid w:val="005C7351"/>
    <w:rsid w:val="005C7368"/>
    <w:rsid w:val="005C7382"/>
    <w:rsid w:val="005C738C"/>
    <w:rsid w:val="005C73C4"/>
    <w:rsid w:val="005C73E9"/>
    <w:rsid w:val="005C741C"/>
    <w:rsid w:val="005C7448"/>
    <w:rsid w:val="005C746A"/>
    <w:rsid w:val="005C74B4"/>
    <w:rsid w:val="005C74CA"/>
    <w:rsid w:val="005C74FF"/>
    <w:rsid w:val="005C75CD"/>
    <w:rsid w:val="005C76AD"/>
    <w:rsid w:val="005C7735"/>
    <w:rsid w:val="005C7842"/>
    <w:rsid w:val="005C7845"/>
    <w:rsid w:val="005C78D8"/>
    <w:rsid w:val="005C7917"/>
    <w:rsid w:val="005C791E"/>
    <w:rsid w:val="005C7940"/>
    <w:rsid w:val="005C795E"/>
    <w:rsid w:val="005C79B6"/>
    <w:rsid w:val="005C7BB5"/>
    <w:rsid w:val="005C7BCF"/>
    <w:rsid w:val="005C7C1A"/>
    <w:rsid w:val="005C7C87"/>
    <w:rsid w:val="005C7D21"/>
    <w:rsid w:val="005C7DCC"/>
    <w:rsid w:val="005C7E12"/>
    <w:rsid w:val="005C7EA1"/>
    <w:rsid w:val="005C7ED7"/>
    <w:rsid w:val="005C7ED9"/>
    <w:rsid w:val="005C7EE7"/>
    <w:rsid w:val="005C7F23"/>
    <w:rsid w:val="005C7F88"/>
    <w:rsid w:val="005C7FC3"/>
    <w:rsid w:val="005C7FF5"/>
    <w:rsid w:val="005D003B"/>
    <w:rsid w:val="005D007A"/>
    <w:rsid w:val="005D00C4"/>
    <w:rsid w:val="005D00EA"/>
    <w:rsid w:val="005D023B"/>
    <w:rsid w:val="005D0276"/>
    <w:rsid w:val="005D02F9"/>
    <w:rsid w:val="005D03F6"/>
    <w:rsid w:val="005D0420"/>
    <w:rsid w:val="005D05E6"/>
    <w:rsid w:val="005D0620"/>
    <w:rsid w:val="005D06E0"/>
    <w:rsid w:val="005D071E"/>
    <w:rsid w:val="005D0727"/>
    <w:rsid w:val="005D0735"/>
    <w:rsid w:val="005D07E3"/>
    <w:rsid w:val="005D07EB"/>
    <w:rsid w:val="005D0801"/>
    <w:rsid w:val="005D0832"/>
    <w:rsid w:val="005D0836"/>
    <w:rsid w:val="005D0849"/>
    <w:rsid w:val="005D08A2"/>
    <w:rsid w:val="005D08BC"/>
    <w:rsid w:val="005D0911"/>
    <w:rsid w:val="005D09CD"/>
    <w:rsid w:val="005D0B12"/>
    <w:rsid w:val="005D0BB4"/>
    <w:rsid w:val="005D0BD9"/>
    <w:rsid w:val="005D0DAA"/>
    <w:rsid w:val="005D0F1F"/>
    <w:rsid w:val="005D0FA6"/>
    <w:rsid w:val="005D0FAF"/>
    <w:rsid w:val="005D1222"/>
    <w:rsid w:val="005D123F"/>
    <w:rsid w:val="005D1258"/>
    <w:rsid w:val="005D12C8"/>
    <w:rsid w:val="005D1354"/>
    <w:rsid w:val="005D1385"/>
    <w:rsid w:val="005D13D8"/>
    <w:rsid w:val="005D13DF"/>
    <w:rsid w:val="005D1412"/>
    <w:rsid w:val="005D153C"/>
    <w:rsid w:val="005D155E"/>
    <w:rsid w:val="005D1659"/>
    <w:rsid w:val="005D16C0"/>
    <w:rsid w:val="005D172B"/>
    <w:rsid w:val="005D177C"/>
    <w:rsid w:val="005D1789"/>
    <w:rsid w:val="005D1826"/>
    <w:rsid w:val="005D18DD"/>
    <w:rsid w:val="005D18F6"/>
    <w:rsid w:val="005D192E"/>
    <w:rsid w:val="005D198D"/>
    <w:rsid w:val="005D198E"/>
    <w:rsid w:val="005D1991"/>
    <w:rsid w:val="005D19A5"/>
    <w:rsid w:val="005D19C0"/>
    <w:rsid w:val="005D1A6C"/>
    <w:rsid w:val="005D1A7C"/>
    <w:rsid w:val="005D1A97"/>
    <w:rsid w:val="005D1B66"/>
    <w:rsid w:val="005D1C3C"/>
    <w:rsid w:val="005D1CC2"/>
    <w:rsid w:val="005D1D43"/>
    <w:rsid w:val="005D1DEC"/>
    <w:rsid w:val="005D1DFF"/>
    <w:rsid w:val="005D1E1B"/>
    <w:rsid w:val="005D1F58"/>
    <w:rsid w:val="005D1FB0"/>
    <w:rsid w:val="005D1FC1"/>
    <w:rsid w:val="005D20C3"/>
    <w:rsid w:val="005D218D"/>
    <w:rsid w:val="005D220E"/>
    <w:rsid w:val="005D2219"/>
    <w:rsid w:val="005D226F"/>
    <w:rsid w:val="005D227A"/>
    <w:rsid w:val="005D2294"/>
    <w:rsid w:val="005D22C1"/>
    <w:rsid w:val="005D22DA"/>
    <w:rsid w:val="005D2304"/>
    <w:rsid w:val="005D232A"/>
    <w:rsid w:val="005D242D"/>
    <w:rsid w:val="005D2451"/>
    <w:rsid w:val="005D245E"/>
    <w:rsid w:val="005D24D4"/>
    <w:rsid w:val="005D25C1"/>
    <w:rsid w:val="005D2652"/>
    <w:rsid w:val="005D26D7"/>
    <w:rsid w:val="005D26EA"/>
    <w:rsid w:val="005D2729"/>
    <w:rsid w:val="005D2781"/>
    <w:rsid w:val="005D28BB"/>
    <w:rsid w:val="005D28E2"/>
    <w:rsid w:val="005D2985"/>
    <w:rsid w:val="005D2AC1"/>
    <w:rsid w:val="005D2AF9"/>
    <w:rsid w:val="005D2C87"/>
    <w:rsid w:val="005D2D3B"/>
    <w:rsid w:val="005D2EDD"/>
    <w:rsid w:val="005D2F17"/>
    <w:rsid w:val="005D2F69"/>
    <w:rsid w:val="005D2FBC"/>
    <w:rsid w:val="005D2FE7"/>
    <w:rsid w:val="005D30C6"/>
    <w:rsid w:val="005D315A"/>
    <w:rsid w:val="005D3171"/>
    <w:rsid w:val="005D31BA"/>
    <w:rsid w:val="005D32B2"/>
    <w:rsid w:val="005D3344"/>
    <w:rsid w:val="005D3371"/>
    <w:rsid w:val="005D3423"/>
    <w:rsid w:val="005D3453"/>
    <w:rsid w:val="005D34F8"/>
    <w:rsid w:val="005D3533"/>
    <w:rsid w:val="005D353F"/>
    <w:rsid w:val="005D356E"/>
    <w:rsid w:val="005D3630"/>
    <w:rsid w:val="005D3637"/>
    <w:rsid w:val="005D36A1"/>
    <w:rsid w:val="005D3722"/>
    <w:rsid w:val="005D37EE"/>
    <w:rsid w:val="005D38C1"/>
    <w:rsid w:val="005D38DB"/>
    <w:rsid w:val="005D3A04"/>
    <w:rsid w:val="005D3A33"/>
    <w:rsid w:val="005D3A6B"/>
    <w:rsid w:val="005D3A8D"/>
    <w:rsid w:val="005D3AB0"/>
    <w:rsid w:val="005D3AB7"/>
    <w:rsid w:val="005D3AC9"/>
    <w:rsid w:val="005D3B06"/>
    <w:rsid w:val="005D3BBB"/>
    <w:rsid w:val="005D3BF6"/>
    <w:rsid w:val="005D3CA8"/>
    <w:rsid w:val="005D3CC3"/>
    <w:rsid w:val="005D3CE7"/>
    <w:rsid w:val="005D3CFA"/>
    <w:rsid w:val="005D3D04"/>
    <w:rsid w:val="005D3DB1"/>
    <w:rsid w:val="005D3EE1"/>
    <w:rsid w:val="005D3EEA"/>
    <w:rsid w:val="005D3F1E"/>
    <w:rsid w:val="005D3F4A"/>
    <w:rsid w:val="005D400E"/>
    <w:rsid w:val="005D4071"/>
    <w:rsid w:val="005D40E5"/>
    <w:rsid w:val="005D41AB"/>
    <w:rsid w:val="005D4223"/>
    <w:rsid w:val="005D4254"/>
    <w:rsid w:val="005D432F"/>
    <w:rsid w:val="005D433C"/>
    <w:rsid w:val="005D4341"/>
    <w:rsid w:val="005D43F2"/>
    <w:rsid w:val="005D440F"/>
    <w:rsid w:val="005D4491"/>
    <w:rsid w:val="005D44D4"/>
    <w:rsid w:val="005D456B"/>
    <w:rsid w:val="005D4689"/>
    <w:rsid w:val="005D46B1"/>
    <w:rsid w:val="005D479B"/>
    <w:rsid w:val="005D47AD"/>
    <w:rsid w:val="005D489C"/>
    <w:rsid w:val="005D48AF"/>
    <w:rsid w:val="005D48FE"/>
    <w:rsid w:val="005D4922"/>
    <w:rsid w:val="005D49DF"/>
    <w:rsid w:val="005D4A44"/>
    <w:rsid w:val="005D4AC4"/>
    <w:rsid w:val="005D4ACA"/>
    <w:rsid w:val="005D4C1E"/>
    <w:rsid w:val="005D4C38"/>
    <w:rsid w:val="005D4C96"/>
    <w:rsid w:val="005D4CAB"/>
    <w:rsid w:val="005D4D1E"/>
    <w:rsid w:val="005D4D59"/>
    <w:rsid w:val="005D4DE1"/>
    <w:rsid w:val="005D4E63"/>
    <w:rsid w:val="005D4E74"/>
    <w:rsid w:val="005D4F20"/>
    <w:rsid w:val="005D4F4C"/>
    <w:rsid w:val="005D501B"/>
    <w:rsid w:val="005D5090"/>
    <w:rsid w:val="005D50AD"/>
    <w:rsid w:val="005D511B"/>
    <w:rsid w:val="005D5166"/>
    <w:rsid w:val="005D51C9"/>
    <w:rsid w:val="005D51E2"/>
    <w:rsid w:val="005D51ED"/>
    <w:rsid w:val="005D5243"/>
    <w:rsid w:val="005D528A"/>
    <w:rsid w:val="005D52AE"/>
    <w:rsid w:val="005D5386"/>
    <w:rsid w:val="005D53E3"/>
    <w:rsid w:val="005D5598"/>
    <w:rsid w:val="005D559E"/>
    <w:rsid w:val="005D561C"/>
    <w:rsid w:val="005D572F"/>
    <w:rsid w:val="005D58CA"/>
    <w:rsid w:val="005D59BE"/>
    <w:rsid w:val="005D5A1F"/>
    <w:rsid w:val="005D5A54"/>
    <w:rsid w:val="005D5A67"/>
    <w:rsid w:val="005D5AA5"/>
    <w:rsid w:val="005D5AB6"/>
    <w:rsid w:val="005D5ADF"/>
    <w:rsid w:val="005D5AFE"/>
    <w:rsid w:val="005D5B3E"/>
    <w:rsid w:val="005D5B55"/>
    <w:rsid w:val="005D5B57"/>
    <w:rsid w:val="005D5C26"/>
    <w:rsid w:val="005D5CBC"/>
    <w:rsid w:val="005D5D39"/>
    <w:rsid w:val="005D5D92"/>
    <w:rsid w:val="005D5D96"/>
    <w:rsid w:val="005D5DB5"/>
    <w:rsid w:val="005D5DCF"/>
    <w:rsid w:val="005D5E92"/>
    <w:rsid w:val="005D5E9E"/>
    <w:rsid w:val="005D5EAB"/>
    <w:rsid w:val="005D5EF9"/>
    <w:rsid w:val="005D5EFE"/>
    <w:rsid w:val="005D5F08"/>
    <w:rsid w:val="005D6012"/>
    <w:rsid w:val="005D6129"/>
    <w:rsid w:val="005D6137"/>
    <w:rsid w:val="005D620A"/>
    <w:rsid w:val="005D624E"/>
    <w:rsid w:val="005D641B"/>
    <w:rsid w:val="005D64D0"/>
    <w:rsid w:val="005D6577"/>
    <w:rsid w:val="005D65CE"/>
    <w:rsid w:val="005D662C"/>
    <w:rsid w:val="005D6635"/>
    <w:rsid w:val="005D666D"/>
    <w:rsid w:val="005D668F"/>
    <w:rsid w:val="005D6703"/>
    <w:rsid w:val="005D6748"/>
    <w:rsid w:val="005D67BF"/>
    <w:rsid w:val="005D67C8"/>
    <w:rsid w:val="005D684B"/>
    <w:rsid w:val="005D689C"/>
    <w:rsid w:val="005D6963"/>
    <w:rsid w:val="005D6989"/>
    <w:rsid w:val="005D6997"/>
    <w:rsid w:val="005D69A2"/>
    <w:rsid w:val="005D69BA"/>
    <w:rsid w:val="005D69F6"/>
    <w:rsid w:val="005D6A7A"/>
    <w:rsid w:val="005D6AB3"/>
    <w:rsid w:val="005D6B25"/>
    <w:rsid w:val="005D6BE9"/>
    <w:rsid w:val="005D6C65"/>
    <w:rsid w:val="005D6CAE"/>
    <w:rsid w:val="005D6CD3"/>
    <w:rsid w:val="005D6D72"/>
    <w:rsid w:val="005D6D94"/>
    <w:rsid w:val="005D6DAF"/>
    <w:rsid w:val="005D6E09"/>
    <w:rsid w:val="005D6E4C"/>
    <w:rsid w:val="005D6E64"/>
    <w:rsid w:val="005D6E72"/>
    <w:rsid w:val="005D6E7C"/>
    <w:rsid w:val="005D6EAC"/>
    <w:rsid w:val="005D6EBD"/>
    <w:rsid w:val="005D6F77"/>
    <w:rsid w:val="005D6F8F"/>
    <w:rsid w:val="005D6FBC"/>
    <w:rsid w:val="005D6FD2"/>
    <w:rsid w:val="005D7076"/>
    <w:rsid w:val="005D707C"/>
    <w:rsid w:val="005D70C2"/>
    <w:rsid w:val="005D70E9"/>
    <w:rsid w:val="005D712C"/>
    <w:rsid w:val="005D717D"/>
    <w:rsid w:val="005D71E6"/>
    <w:rsid w:val="005D7243"/>
    <w:rsid w:val="005D725A"/>
    <w:rsid w:val="005D7260"/>
    <w:rsid w:val="005D728A"/>
    <w:rsid w:val="005D72D6"/>
    <w:rsid w:val="005D72E5"/>
    <w:rsid w:val="005D7368"/>
    <w:rsid w:val="005D7470"/>
    <w:rsid w:val="005D7471"/>
    <w:rsid w:val="005D749D"/>
    <w:rsid w:val="005D74C6"/>
    <w:rsid w:val="005D760B"/>
    <w:rsid w:val="005D7634"/>
    <w:rsid w:val="005D7675"/>
    <w:rsid w:val="005D782C"/>
    <w:rsid w:val="005D788C"/>
    <w:rsid w:val="005D793D"/>
    <w:rsid w:val="005D797B"/>
    <w:rsid w:val="005D79AE"/>
    <w:rsid w:val="005D79B4"/>
    <w:rsid w:val="005D7A66"/>
    <w:rsid w:val="005D7BAD"/>
    <w:rsid w:val="005D7BE6"/>
    <w:rsid w:val="005D7D17"/>
    <w:rsid w:val="005D7D24"/>
    <w:rsid w:val="005D7D79"/>
    <w:rsid w:val="005D7D7B"/>
    <w:rsid w:val="005D7D90"/>
    <w:rsid w:val="005D7E1F"/>
    <w:rsid w:val="005D7E22"/>
    <w:rsid w:val="005D7EFF"/>
    <w:rsid w:val="005D7F70"/>
    <w:rsid w:val="005D7F76"/>
    <w:rsid w:val="005D7F8B"/>
    <w:rsid w:val="005D7F8E"/>
    <w:rsid w:val="005E0006"/>
    <w:rsid w:val="005E0019"/>
    <w:rsid w:val="005E001E"/>
    <w:rsid w:val="005E0078"/>
    <w:rsid w:val="005E0079"/>
    <w:rsid w:val="005E01D3"/>
    <w:rsid w:val="005E0212"/>
    <w:rsid w:val="005E0292"/>
    <w:rsid w:val="005E0316"/>
    <w:rsid w:val="005E039B"/>
    <w:rsid w:val="005E0450"/>
    <w:rsid w:val="005E0459"/>
    <w:rsid w:val="005E0465"/>
    <w:rsid w:val="005E04AA"/>
    <w:rsid w:val="005E04C9"/>
    <w:rsid w:val="005E0543"/>
    <w:rsid w:val="005E0565"/>
    <w:rsid w:val="005E0587"/>
    <w:rsid w:val="005E05AC"/>
    <w:rsid w:val="005E05C4"/>
    <w:rsid w:val="005E0602"/>
    <w:rsid w:val="005E063A"/>
    <w:rsid w:val="005E0667"/>
    <w:rsid w:val="005E06A6"/>
    <w:rsid w:val="005E06D9"/>
    <w:rsid w:val="005E083C"/>
    <w:rsid w:val="005E08A1"/>
    <w:rsid w:val="005E08E6"/>
    <w:rsid w:val="005E0AA3"/>
    <w:rsid w:val="005E0AE1"/>
    <w:rsid w:val="005E0C41"/>
    <w:rsid w:val="005E0CBD"/>
    <w:rsid w:val="005E0DD8"/>
    <w:rsid w:val="005E0F04"/>
    <w:rsid w:val="005E1047"/>
    <w:rsid w:val="005E11EB"/>
    <w:rsid w:val="005E128B"/>
    <w:rsid w:val="005E1298"/>
    <w:rsid w:val="005E134E"/>
    <w:rsid w:val="005E136D"/>
    <w:rsid w:val="005E1392"/>
    <w:rsid w:val="005E1430"/>
    <w:rsid w:val="005E1487"/>
    <w:rsid w:val="005E14DF"/>
    <w:rsid w:val="005E1500"/>
    <w:rsid w:val="005E157A"/>
    <w:rsid w:val="005E1629"/>
    <w:rsid w:val="005E16C7"/>
    <w:rsid w:val="005E16E7"/>
    <w:rsid w:val="005E16F2"/>
    <w:rsid w:val="005E170B"/>
    <w:rsid w:val="005E175C"/>
    <w:rsid w:val="005E175F"/>
    <w:rsid w:val="005E177D"/>
    <w:rsid w:val="005E17D9"/>
    <w:rsid w:val="005E188A"/>
    <w:rsid w:val="005E18EF"/>
    <w:rsid w:val="005E19E2"/>
    <w:rsid w:val="005E1AB2"/>
    <w:rsid w:val="005E1C28"/>
    <w:rsid w:val="005E1C93"/>
    <w:rsid w:val="005E1CF8"/>
    <w:rsid w:val="005E1E4B"/>
    <w:rsid w:val="005E1F2F"/>
    <w:rsid w:val="005E1F64"/>
    <w:rsid w:val="005E1FE6"/>
    <w:rsid w:val="005E1FED"/>
    <w:rsid w:val="005E201F"/>
    <w:rsid w:val="005E2065"/>
    <w:rsid w:val="005E2083"/>
    <w:rsid w:val="005E218D"/>
    <w:rsid w:val="005E21F0"/>
    <w:rsid w:val="005E21F3"/>
    <w:rsid w:val="005E22AE"/>
    <w:rsid w:val="005E22FD"/>
    <w:rsid w:val="005E24AC"/>
    <w:rsid w:val="005E25C5"/>
    <w:rsid w:val="005E2646"/>
    <w:rsid w:val="005E2678"/>
    <w:rsid w:val="005E2702"/>
    <w:rsid w:val="005E2763"/>
    <w:rsid w:val="005E27B0"/>
    <w:rsid w:val="005E294A"/>
    <w:rsid w:val="005E2961"/>
    <w:rsid w:val="005E2965"/>
    <w:rsid w:val="005E2A15"/>
    <w:rsid w:val="005E2A63"/>
    <w:rsid w:val="005E2B02"/>
    <w:rsid w:val="005E2BD7"/>
    <w:rsid w:val="005E2C6B"/>
    <w:rsid w:val="005E2C72"/>
    <w:rsid w:val="005E2CCA"/>
    <w:rsid w:val="005E2D40"/>
    <w:rsid w:val="005E2DDB"/>
    <w:rsid w:val="005E2DF4"/>
    <w:rsid w:val="005E2E72"/>
    <w:rsid w:val="005E2E9B"/>
    <w:rsid w:val="005E2EBE"/>
    <w:rsid w:val="005E2EF6"/>
    <w:rsid w:val="005E2F93"/>
    <w:rsid w:val="005E2FA6"/>
    <w:rsid w:val="005E3088"/>
    <w:rsid w:val="005E309C"/>
    <w:rsid w:val="005E309F"/>
    <w:rsid w:val="005E318C"/>
    <w:rsid w:val="005E31DF"/>
    <w:rsid w:val="005E31EA"/>
    <w:rsid w:val="005E32B4"/>
    <w:rsid w:val="005E3318"/>
    <w:rsid w:val="005E34ED"/>
    <w:rsid w:val="005E3545"/>
    <w:rsid w:val="005E354A"/>
    <w:rsid w:val="005E359C"/>
    <w:rsid w:val="005E35FC"/>
    <w:rsid w:val="005E365B"/>
    <w:rsid w:val="005E36B8"/>
    <w:rsid w:val="005E3729"/>
    <w:rsid w:val="005E3735"/>
    <w:rsid w:val="005E37B4"/>
    <w:rsid w:val="005E37BF"/>
    <w:rsid w:val="005E38A3"/>
    <w:rsid w:val="005E3A0C"/>
    <w:rsid w:val="005E3A19"/>
    <w:rsid w:val="005E3A20"/>
    <w:rsid w:val="005E3A21"/>
    <w:rsid w:val="005E3A9E"/>
    <w:rsid w:val="005E3B2C"/>
    <w:rsid w:val="005E3C86"/>
    <w:rsid w:val="005E3D43"/>
    <w:rsid w:val="005E3DC6"/>
    <w:rsid w:val="005E3E4C"/>
    <w:rsid w:val="005E3F71"/>
    <w:rsid w:val="005E3F91"/>
    <w:rsid w:val="005E3FB4"/>
    <w:rsid w:val="005E400C"/>
    <w:rsid w:val="005E40DA"/>
    <w:rsid w:val="005E410E"/>
    <w:rsid w:val="005E41B3"/>
    <w:rsid w:val="005E41D4"/>
    <w:rsid w:val="005E41F7"/>
    <w:rsid w:val="005E4247"/>
    <w:rsid w:val="005E4363"/>
    <w:rsid w:val="005E43A4"/>
    <w:rsid w:val="005E43BB"/>
    <w:rsid w:val="005E43BF"/>
    <w:rsid w:val="005E43C8"/>
    <w:rsid w:val="005E444C"/>
    <w:rsid w:val="005E44D0"/>
    <w:rsid w:val="005E44EA"/>
    <w:rsid w:val="005E450C"/>
    <w:rsid w:val="005E4599"/>
    <w:rsid w:val="005E45ED"/>
    <w:rsid w:val="005E45F1"/>
    <w:rsid w:val="005E4635"/>
    <w:rsid w:val="005E46C7"/>
    <w:rsid w:val="005E47EA"/>
    <w:rsid w:val="005E4843"/>
    <w:rsid w:val="005E4874"/>
    <w:rsid w:val="005E487F"/>
    <w:rsid w:val="005E48CE"/>
    <w:rsid w:val="005E497E"/>
    <w:rsid w:val="005E49D0"/>
    <w:rsid w:val="005E49D5"/>
    <w:rsid w:val="005E4A5D"/>
    <w:rsid w:val="005E4AA4"/>
    <w:rsid w:val="005E4C2B"/>
    <w:rsid w:val="005E4D3B"/>
    <w:rsid w:val="005E4D4D"/>
    <w:rsid w:val="005E4EA6"/>
    <w:rsid w:val="005E4ECC"/>
    <w:rsid w:val="005E4EF2"/>
    <w:rsid w:val="005E4F33"/>
    <w:rsid w:val="005E4F60"/>
    <w:rsid w:val="005E4F6C"/>
    <w:rsid w:val="005E4F9A"/>
    <w:rsid w:val="005E4FAD"/>
    <w:rsid w:val="005E5080"/>
    <w:rsid w:val="005E5162"/>
    <w:rsid w:val="005E51AC"/>
    <w:rsid w:val="005E51F0"/>
    <w:rsid w:val="005E5269"/>
    <w:rsid w:val="005E5278"/>
    <w:rsid w:val="005E5430"/>
    <w:rsid w:val="005E54FA"/>
    <w:rsid w:val="005E5538"/>
    <w:rsid w:val="005E554D"/>
    <w:rsid w:val="005E55C5"/>
    <w:rsid w:val="005E567E"/>
    <w:rsid w:val="005E5690"/>
    <w:rsid w:val="005E57EA"/>
    <w:rsid w:val="005E5847"/>
    <w:rsid w:val="005E5874"/>
    <w:rsid w:val="005E58E9"/>
    <w:rsid w:val="005E5943"/>
    <w:rsid w:val="005E599B"/>
    <w:rsid w:val="005E59BA"/>
    <w:rsid w:val="005E59D8"/>
    <w:rsid w:val="005E5A93"/>
    <w:rsid w:val="005E5AB0"/>
    <w:rsid w:val="005E5AB9"/>
    <w:rsid w:val="005E5B88"/>
    <w:rsid w:val="005E5C2E"/>
    <w:rsid w:val="005E5CB7"/>
    <w:rsid w:val="005E5D5A"/>
    <w:rsid w:val="005E5D60"/>
    <w:rsid w:val="005E5DA0"/>
    <w:rsid w:val="005E5DAA"/>
    <w:rsid w:val="005E5DCB"/>
    <w:rsid w:val="005E5EF4"/>
    <w:rsid w:val="005E5F27"/>
    <w:rsid w:val="005E5F85"/>
    <w:rsid w:val="005E5FC2"/>
    <w:rsid w:val="005E5FFF"/>
    <w:rsid w:val="005E600F"/>
    <w:rsid w:val="005E604A"/>
    <w:rsid w:val="005E6080"/>
    <w:rsid w:val="005E6099"/>
    <w:rsid w:val="005E60AD"/>
    <w:rsid w:val="005E60CC"/>
    <w:rsid w:val="005E6133"/>
    <w:rsid w:val="005E6165"/>
    <w:rsid w:val="005E621F"/>
    <w:rsid w:val="005E6221"/>
    <w:rsid w:val="005E6238"/>
    <w:rsid w:val="005E6288"/>
    <w:rsid w:val="005E62EE"/>
    <w:rsid w:val="005E62FA"/>
    <w:rsid w:val="005E637F"/>
    <w:rsid w:val="005E63D6"/>
    <w:rsid w:val="005E63E1"/>
    <w:rsid w:val="005E6524"/>
    <w:rsid w:val="005E656D"/>
    <w:rsid w:val="005E66DB"/>
    <w:rsid w:val="005E66DD"/>
    <w:rsid w:val="005E6767"/>
    <w:rsid w:val="005E680C"/>
    <w:rsid w:val="005E681D"/>
    <w:rsid w:val="005E68B7"/>
    <w:rsid w:val="005E69B9"/>
    <w:rsid w:val="005E69F0"/>
    <w:rsid w:val="005E6B3D"/>
    <w:rsid w:val="005E6BDC"/>
    <w:rsid w:val="005E6BEE"/>
    <w:rsid w:val="005E6C41"/>
    <w:rsid w:val="005E6C57"/>
    <w:rsid w:val="005E6D02"/>
    <w:rsid w:val="005E6D36"/>
    <w:rsid w:val="005E6D3D"/>
    <w:rsid w:val="005E6D4F"/>
    <w:rsid w:val="005E6E0E"/>
    <w:rsid w:val="005E6E40"/>
    <w:rsid w:val="005E6ECD"/>
    <w:rsid w:val="005E6F09"/>
    <w:rsid w:val="005E6F2C"/>
    <w:rsid w:val="005E6FA4"/>
    <w:rsid w:val="005E7014"/>
    <w:rsid w:val="005E7034"/>
    <w:rsid w:val="005E705D"/>
    <w:rsid w:val="005E706F"/>
    <w:rsid w:val="005E71B9"/>
    <w:rsid w:val="005E7255"/>
    <w:rsid w:val="005E72CE"/>
    <w:rsid w:val="005E7303"/>
    <w:rsid w:val="005E7349"/>
    <w:rsid w:val="005E7471"/>
    <w:rsid w:val="005E74C9"/>
    <w:rsid w:val="005E7501"/>
    <w:rsid w:val="005E75D5"/>
    <w:rsid w:val="005E7612"/>
    <w:rsid w:val="005E7762"/>
    <w:rsid w:val="005E77A2"/>
    <w:rsid w:val="005E77CD"/>
    <w:rsid w:val="005E77D3"/>
    <w:rsid w:val="005E78D8"/>
    <w:rsid w:val="005E78DC"/>
    <w:rsid w:val="005E78EC"/>
    <w:rsid w:val="005E7905"/>
    <w:rsid w:val="005E7912"/>
    <w:rsid w:val="005E7941"/>
    <w:rsid w:val="005E7945"/>
    <w:rsid w:val="005E795A"/>
    <w:rsid w:val="005E7980"/>
    <w:rsid w:val="005E7989"/>
    <w:rsid w:val="005E798B"/>
    <w:rsid w:val="005E7997"/>
    <w:rsid w:val="005E7ACD"/>
    <w:rsid w:val="005E7B0B"/>
    <w:rsid w:val="005E7B58"/>
    <w:rsid w:val="005E7B6D"/>
    <w:rsid w:val="005E7C61"/>
    <w:rsid w:val="005E7C94"/>
    <w:rsid w:val="005E7CA1"/>
    <w:rsid w:val="005E7D4B"/>
    <w:rsid w:val="005E7DAC"/>
    <w:rsid w:val="005E7DDD"/>
    <w:rsid w:val="005E7E28"/>
    <w:rsid w:val="005E7EF6"/>
    <w:rsid w:val="005F0055"/>
    <w:rsid w:val="005F00D6"/>
    <w:rsid w:val="005F014F"/>
    <w:rsid w:val="005F01BD"/>
    <w:rsid w:val="005F0214"/>
    <w:rsid w:val="005F023D"/>
    <w:rsid w:val="005F0273"/>
    <w:rsid w:val="005F0285"/>
    <w:rsid w:val="005F0294"/>
    <w:rsid w:val="005F02A3"/>
    <w:rsid w:val="005F0357"/>
    <w:rsid w:val="005F040D"/>
    <w:rsid w:val="005F047C"/>
    <w:rsid w:val="005F0481"/>
    <w:rsid w:val="005F0500"/>
    <w:rsid w:val="005F0501"/>
    <w:rsid w:val="005F0569"/>
    <w:rsid w:val="005F06F7"/>
    <w:rsid w:val="005F0786"/>
    <w:rsid w:val="005F07A6"/>
    <w:rsid w:val="005F07A9"/>
    <w:rsid w:val="005F07E0"/>
    <w:rsid w:val="005F08CF"/>
    <w:rsid w:val="005F08D0"/>
    <w:rsid w:val="005F08E0"/>
    <w:rsid w:val="005F09EB"/>
    <w:rsid w:val="005F09F2"/>
    <w:rsid w:val="005F0A04"/>
    <w:rsid w:val="005F0A42"/>
    <w:rsid w:val="005F0A56"/>
    <w:rsid w:val="005F0BEF"/>
    <w:rsid w:val="005F0C28"/>
    <w:rsid w:val="005F0C6D"/>
    <w:rsid w:val="005F0C82"/>
    <w:rsid w:val="005F0CE6"/>
    <w:rsid w:val="005F0D94"/>
    <w:rsid w:val="005F0DDA"/>
    <w:rsid w:val="005F0DDE"/>
    <w:rsid w:val="005F0E5E"/>
    <w:rsid w:val="005F0E7A"/>
    <w:rsid w:val="005F0EEE"/>
    <w:rsid w:val="005F0F48"/>
    <w:rsid w:val="005F0F5F"/>
    <w:rsid w:val="005F0F7A"/>
    <w:rsid w:val="005F10A3"/>
    <w:rsid w:val="005F10EC"/>
    <w:rsid w:val="005F113D"/>
    <w:rsid w:val="005F12AA"/>
    <w:rsid w:val="005F12BA"/>
    <w:rsid w:val="005F12D0"/>
    <w:rsid w:val="005F130B"/>
    <w:rsid w:val="005F13AE"/>
    <w:rsid w:val="005F13E1"/>
    <w:rsid w:val="005F1555"/>
    <w:rsid w:val="005F1560"/>
    <w:rsid w:val="005F15A9"/>
    <w:rsid w:val="005F15BB"/>
    <w:rsid w:val="005F15D9"/>
    <w:rsid w:val="005F15DE"/>
    <w:rsid w:val="005F15E8"/>
    <w:rsid w:val="005F15EE"/>
    <w:rsid w:val="005F15FE"/>
    <w:rsid w:val="005F1639"/>
    <w:rsid w:val="005F16C0"/>
    <w:rsid w:val="005F16F1"/>
    <w:rsid w:val="005F170D"/>
    <w:rsid w:val="005F18C4"/>
    <w:rsid w:val="005F1983"/>
    <w:rsid w:val="005F19D3"/>
    <w:rsid w:val="005F19D7"/>
    <w:rsid w:val="005F1A53"/>
    <w:rsid w:val="005F1AFA"/>
    <w:rsid w:val="005F1BD1"/>
    <w:rsid w:val="005F1C27"/>
    <w:rsid w:val="005F1C3F"/>
    <w:rsid w:val="005F1CC3"/>
    <w:rsid w:val="005F1CC9"/>
    <w:rsid w:val="005F1D0C"/>
    <w:rsid w:val="005F1DAB"/>
    <w:rsid w:val="005F1E0D"/>
    <w:rsid w:val="005F1E30"/>
    <w:rsid w:val="005F1EF3"/>
    <w:rsid w:val="005F2005"/>
    <w:rsid w:val="005F20A8"/>
    <w:rsid w:val="005F20CD"/>
    <w:rsid w:val="005F20F3"/>
    <w:rsid w:val="005F213F"/>
    <w:rsid w:val="005F222B"/>
    <w:rsid w:val="005F2276"/>
    <w:rsid w:val="005F2342"/>
    <w:rsid w:val="005F2349"/>
    <w:rsid w:val="005F234D"/>
    <w:rsid w:val="005F237C"/>
    <w:rsid w:val="005F2448"/>
    <w:rsid w:val="005F24D4"/>
    <w:rsid w:val="005F2584"/>
    <w:rsid w:val="005F25AB"/>
    <w:rsid w:val="005F25DA"/>
    <w:rsid w:val="005F2617"/>
    <w:rsid w:val="005F2635"/>
    <w:rsid w:val="005F2747"/>
    <w:rsid w:val="005F2774"/>
    <w:rsid w:val="005F2787"/>
    <w:rsid w:val="005F2788"/>
    <w:rsid w:val="005F2954"/>
    <w:rsid w:val="005F2978"/>
    <w:rsid w:val="005F2A30"/>
    <w:rsid w:val="005F2A76"/>
    <w:rsid w:val="005F2A84"/>
    <w:rsid w:val="005F2AEC"/>
    <w:rsid w:val="005F2B19"/>
    <w:rsid w:val="005F2B26"/>
    <w:rsid w:val="005F2B56"/>
    <w:rsid w:val="005F2B60"/>
    <w:rsid w:val="005F2B8E"/>
    <w:rsid w:val="005F2BAA"/>
    <w:rsid w:val="005F2BD1"/>
    <w:rsid w:val="005F2C54"/>
    <w:rsid w:val="005F2C6A"/>
    <w:rsid w:val="005F2C95"/>
    <w:rsid w:val="005F2C99"/>
    <w:rsid w:val="005F2CE1"/>
    <w:rsid w:val="005F2D2B"/>
    <w:rsid w:val="005F2D4D"/>
    <w:rsid w:val="005F2D6B"/>
    <w:rsid w:val="005F2DB9"/>
    <w:rsid w:val="005F2DD2"/>
    <w:rsid w:val="005F2E00"/>
    <w:rsid w:val="005F2E0E"/>
    <w:rsid w:val="005F2E10"/>
    <w:rsid w:val="005F2E11"/>
    <w:rsid w:val="005F2F64"/>
    <w:rsid w:val="005F2FF7"/>
    <w:rsid w:val="005F303F"/>
    <w:rsid w:val="005F3042"/>
    <w:rsid w:val="005F304A"/>
    <w:rsid w:val="005F307F"/>
    <w:rsid w:val="005F30BB"/>
    <w:rsid w:val="005F3214"/>
    <w:rsid w:val="005F334C"/>
    <w:rsid w:val="005F33C3"/>
    <w:rsid w:val="005F33D9"/>
    <w:rsid w:val="005F353D"/>
    <w:rsid w:val="005F35BA"/>
    <w:rsid w:val="005F35D1"/>
    <w:rsid w:val="005F35FA"/>
    <w:rsid w:val="005F3615"/>
    <w:rsid w:val="005F3690"/>
    <w:rsid w:val="005F36D2"/>
    <w:rsid w:val="005F36D7"/>
    <w:rsid w:val="005F3712"/>
    <w:rsid w:val="005F38DD"/>
    <w:rsid w:val="005F38E5"/>
    <w:rsid w:val="005F395A"/>
    <w:rsid w:val="005F39DF"/>
    <w:rsid w:val="005F3A1B"/>
    <w:rsid w:val="005F3A47"/>
    <w:rsid w:val="005F3A4F"/>
    <w:rsid w:val="005F3A5C"/>
    <w:rsid w:val="005F3A7C"/>
    <w:rsid w:val="005F3A89"/>
    <w:rsid w:val="005F3A99"/>
    <w:rsid w:val="005F3B8A"/>
    <w:rsid w:val="005F3C55"/>
    <w:rsid w:val="005F3C5C"/>
    <w:rsid w:val="005F3CBE"/>
    <w:rsid w:val="005F3D3C"/>
    <w:rsid w:val="005F3D50"/>
    <w:rsid w:val="005F3D96"/>
    <w:rsid w:val="005F3D98"/>
    <w:rsid w:val="005F3DBE"/>
    <w:rsid w:val="005F3DC9"/>
    <w:rsid w:val="005F3DCA"/>
    <w:rsid w:val="005F3DF3"/>
    <w:rsid w:val="005F3ED1"/>
    <w:rsid w:val="005F3F14"/>
    <w:rsid w:val="005F407A"/>
    <w:rsid w:val="005F40BC"/>
    <w:rsid w:val="005F4172"/>
    <w:rsid w:val="005F4184"/>
    <w:rsid w:val="005F41F7"/>
    <w:rsid w:val="005F4228"/>
    <w:rsid w:val="005F4338"/>
    <w:rsid w:val="005F43B5"/>
    <w:rsid w:val="005F43CC"/>
    <w:rsid w:val="005F43CF"/>
    <w:rsid w:val="005F44C1"/>
    <w:rsid w:val="005F44E2"/>
    <w:rsid w:val="005F45D7"/>
    <w:rsid w:val="005F45E1"/>
    <w:rsid w:val="005F4641"/>
    <w:rsid w:val="005F46A6"/>
    <w:rsid w:val="005F46BC"/>
    <w:rsid w:val="005F4721"/>
    <w:rsid w:val="005F478F"/>
    <w:rsid w:val="005F4845"/>
    <w:rsid w:val="005F4902"/>
    <w:rsid w:val="005F4945"/>
    <w:rsid w:val="005F4A58"/>
    <w:rsid w:val="005F4A65"/>
    <w:rsid w:val="005F4BFE"/>
    <w:rsid w:val="005F4D23"/>
    <w:rsid w:val="005F4D48"/>
    <w:rsid w:val="005F4E15"/>
    <w:rsid w:val="005F4E7E"/>
    <w:rsid w:val="005F4E98"/>
    <w:rsid w:val="005F4F3E"/>
    <w:rsid w:val="005F4F4C"/>
    <w:rsid w:val="005F5054"/>
    <w:rsid w:val="005F5079"/>
    <w:rsid w:val="005F5085"/>
    <w:rsid w:val="005F5094"/>
    <w:rsid w:val="005F50BF"/>
    <w:rsid w:val="005F5103"/>
    <w:rsid w:val="005F510D"/>
    <w:rsid w:val="005F510E"/>
    <w:rsid w:val="005F515C"/>
    <w:rsid w:val="005F5240"/>
    <w:rsid w:val="005F526F"/>
    <w:rsid w:val="005F532F"/>
    <w:rsid w:val="005F5489"/>
    <w:rsid w:val="005F551E"/>
    <w:rsid w:val="005F5522"/>
    <w:rsid w:val="005F5562"/>
    <w:rsid w:val="005F5575"/>
    <w:rsid w:val="005F55B6"/>
    <w:rsid w:val="005F564E"/>
    <w:rsid w:val="005F5672"/>
    <w:rsid w:val="005F568E"/>
    <w:rsid w:val="005F57DD"/>
    <w:rsid w:val="005F580D"/>
    <w:rsid w:val="005F5916"/>
    <w:rsid w:val="005F59BB"/>
    <w:rsid w:val="005F5A38"/>
    <w:rsid w:val="005F5AD3"/>
    <w:rsid w:val="005F5B41"/>
    <w:rsid w:val="005F5D2C"/>
    <w:rsid w:val="005F5D5F"/>
    <w:rsid w:val="005F5D78"/>
    <w:rsid w:val="005F5DDB"/>
    <w:rsid w:val="005F5E01"/>
    <w:rsid w:val="005F5E26"/>
    <w:rsid w:val="005F5E97"/>
    <w:rsid w:val="005F5ECC"/>
    <w:rsid w:val="005F5F18"/>
    <w:rsid w:val="005F5F40"/>
    <w:rsid w:val="005F5FD3"/>
    <w:rsid w:val="005F5FF8"/>
    <w:rsid w:val="005F60B7"/>
    <w:rsid w:val="005F610B"/>
    <w:rsid w:val="005F6160"/>
    <w:rsid w:val="005F62A8"/>
    <w:rsid w:val="005F6435"/>
    <w:rsid w:val="005F643E"/>
    <w:rsid w:val="005F64AE"/>
    <w:rsid w:val="005F64B4"/>
    <w:rsid w:val="005F64E9"/>
    <w:rsid w:val="005F64F3"/>
    <w:rsid w:val="005F6539"/>
    <w:rsid w:val="005F653B"/>
    <w:rsid w:val="005F655D"/>
    <w:rsid w:val="005F6560"/>
    <w:rsid w:val="005F6587"/>
    <w:rsid w:val="005F659F"/>
    <w:rsid w:val="005F6781"/>
    <w:rsid w:val="005F679E"/>
    <w:rsid w:val="005F68B7"/>
    <w:rsid w:val="005F68BD"/>
    <w:rsid w:val="005F68DB"/>
    <w:rsid w:val="005F690E"/>
    <w:rsid w:val="005F698C"/>
    <w:rsid w:val="005F6A96"/>
    <w:rsid w:val="005F6AAE"/>
    <w:rsid w:val="005F6ACD"/>
    <w:rsid w:val="005F6AE6"/>
    <w:rsid w:val="005F6B04"/>
    <w:rsid w:val="005F6BDE"/>
    <w:rsid w:val="005F6BE0"/>
    <w:rsid w:val="005F6BFA"/>
    <w:rsid w:val="005F6C03"/>
    <w:rsid w:val="005F6D23"/>
    <w:rsid w:val="005F6E03"/>
    <w:rsid w:val="005F6E3D"/>
    <w:rsid w:val="005F6E66"/>
    <w:rsid w:val="005F6F7D"/>
    <w:rsid w:val="005F700B"/>
    <w:rsid w:val="005F7068"/>
    <w:rsid w:val="005F7081"/>
    <w:rsid w:val="005F70B7"/>
    <w:rsid w:val="005F7102"/>
    <w:rsid w:val="005F7127"/>
    <w:rsid w:val="005F7143"/>
    <w:rsid w:val="005F7178"/>
    <w:rsid w:val="005F71B0"/>
    <w:rsid w:val="005F720A"/>
    <w:rsid w:val="005F7328"/>
    <w:rsid w:val="005F735C"/>
    <w:rsid w:val="005F739E"/>
    <w:rsid w:val="005F73EB"/>
    <w:rsid w:val="005F749D"/>
    <w:rsid w:val="005F7526"/>
    <w:rsid w:val="005F759E"/>
    <w:rsid w:val="005F75EF"/>
    <w:rsid w:val="005F775F"/>
    <w:rsid w:val="005F7780"/>
    <w:rsid w:val="005F7792"/>
    <w:rsid w:val="005F785C"/>
    <w:rsid w:val="005F7967"/>
    <w:rsid w:val="005F7998"/>
    <w:rsid w:val="005F7999"/>
    <w:rsid w:val="005F7A61"/>
    <w:rsid w:val="005F7AA6"/>
    <w:rsid w:val="005F7B6F"/>
    <w:rsid w:val="005F7C94"/>
    <w:rsid w:val="005F7C9F"/>
    <w:rsid w:val="005F7CA8"/>
    <w:rsid w:val="005F7D76"/>
    <w:rsid w:val="005F7D9D"/>
    <w:rsid w:val="005F7DC2"/>
    <w:rsid w:val="005F7DD5"/>
    <w:rsid w:val="005F7EAA"/>
    <w:rsid w:val="005F7EFA"/>
    <w:rsid w:val="005F7F5C"/>
    <w:rsid w:val="005F7F74"/>
    <w:rsid w:val="005FF9E7"/>
    <w:rsid w:val="00600156"/>
    <w:rsid w:val="006001DD"/>
    <w:rsid w:val="0060020E"/>
    <w:rsid w:val="00600251"/>
    <w:rsid w:val="0060028F"/>
    <w:rsid w:val="006002AC"/>
    <w:rsid w:val="006002B2"/>
    <w:rsid w:val="006002CA"/>
    <w:rsid w:val="0060033E"/>
    <w:rsid w:val="006003D3"/>
    <w:rsid w:val="006003F0"/>
    <w:rsid w:val="00600419"/>
    <w:rsid w:val="006004B8"/>
    <w:rsid w:val="00600502"/>
    <w:rsid w:val="0060051B"/>
    <w:rsid w:val="006005B7"/>
    <w:rsid w:val="006005FA"/>
    <w:rsid w:val="00600652"/>
    <w:rsid w:val="00600661"/>
    <w:rsid w:val="00600733"/>
    <w:rsid w:val="0060075B"/>
    <w:rsid w:val="006007AD"/>
    <w:rsid w:val="0060083A"/>
    <w:rsid w:val="006008A9"/>
    <w:rsid w:val="006008C8"/>
    <w:rsid w:val="0060090F"/>
    <w:rsid w:val="00600938"/>
    <w:rsid w:val="006009E6"/>
    <w:rsid w:val="00600A22"/>
    <w:rsid w:val="00600A6A"/>
    <w:rsid w:val="00600A98"/>
    <w:rsid w:val="00600ACC"/>
    <w:rsid w:val="00600B21"/>
    <w:rsid w:val="00600B35"/>
    <w:rsid w:val="00600B51"/>
    <w:rsid w:val="00600C7D"/>
    <w:rsid w:val="00600D1E"/>
    <w:rsid w:val="00600D52"/>
    <w:rsid w:val="00600DC6"/>
    <w:rsid w:val="00600E48"/>
    <w:rsid w:val="00600F04"/>
    <w:rsid w:val="00600FCC"/>
    <w:rsid w:val="00601025"/>
    <w:rsid w:val="00601031"/>
    <w:rsid w:val="006010E1"/>
    <w:rsid w:val="00601199"/>
    <w:rsid w:val="0060128C"/>
    <w:rsid w:val="0060131E"/>
    <w:rsid w:val="00601354"/>
    <w:rsid w:val="0060138B"/>
    <w:rsid w:val="006013D6"/>
    <w:rsid w:val="0060144B"/>
    <w:rsid w:val="006014B7"/>
    <w:rsid w:val="00601537"/>
    <w:rsid w:val="0060155C"/>
    <w:rsid w:val="0060156C"/>
    <w:rsid w:val="00601581"/>
    <w:rsid w:val="0060158D"/>
    <w:rsid w:val="006016A4"/>
    <w:rsid w:val="006016BA"/>
    <w:rsid w:val="006016CC"/>
    <w:rsid w:val="006016E0"/>
    <w:rsid w:val="00601721"/>
    <w:rsid w:val="00601730"/>
    <w:rsid w:val="00601926"/>
    <w:rsid w:val="00601A04"/>
    <w:rsid w:val="00601A44"/>
    <w:rsid w:val="00601A6D"/>
    <w:rsid w:val="00601AAD"/>
    <w:rsid w:val="00601ADB"/>
    <w:rsid w:val="00601BEC"/>
    <w:rsid w:val="00601C67"/>
    <w:rsid w:val="00601C9E"/>
    <w:rsid w:val="00601CE5"/>
    <w:rsid w:val="00601CF4"/>
    <w:rsid w:val="00601DE0"/>
    <w:rsid w:val="00601E9F"/>
    <w:rsid w:val="00601F9A"/>
    <w:rsid w:val="00602101"/>
    <w:rsid w:val="0060211D"/>
    <w:rsid w:val="0060227E"/>
    <w:rsid w:val="006022C5"/>
    <w:rsid w:val="006022D5"/>
    <w:rsid w:val="00602305"/>
    <w:rsid w:val="00602331"/>
    <w:rsid w:val="0060238E"/>
    <w:rsid w:val="006023A9"/>
    <w:rsid w:val="00602439"/>
    <w:rsid w:val="006025A5"/>
    <w:rsid w:val="006025D1"/>
    <w:rsid w:val="0060260D"/>
    <w:rsid w:val="00602625"/>
    <w:rsid w:val="00602654"/>
    <w:rsid w:val="00602674"/>
    <w:rsid w:val="006026CC"/>
    <w:rsid w:val="006027E9"/>
    <w:rsid w:val="00602815"/>
    <w:rsid w:val="00602902"/>
    <w:rsid w:val="0060298B"/>
    <w:rsid w:val="00602A04"/>
    <w:rsid w:val="00602A5A"/>
    <w:rsid w:val="00602AD5"/>
    <w:rsid w:val="00602B77"/>
    <w:rsid w:val="00602B82"/>
    <w:rsid w:val="00602B9A"/>
    <w:rsid w:val="00602BA2"/>
    <w:rsid w:val="00602BA8"/>
    <w:rsid w:val="00602BC4"/>
    <w:rsid w:val="00602BE3"/>
    <w:rsid w:val="00602CA6"/>
    <w:rsid w:val="00602EA6"/>
    <w:rsid w:val="00602EB4"/>
    <w:rsid w:val="00602F17"/>
    <w:rsid w:val="00602F2C"/>
    <w:rsid w:val="00602F43"/>
    <w:rsid w:val="00602F70"/>
    <w:rsid w:val="00602F7C"/>
    <w:rsid w:val="00602FE3"/>
    <w:rsid w:val="0060309F"/>
    <w:rsid w:val="006030AF"/>
    <w:rsid w:val="0060312D"/>
    <w:rsid w:val="006031B9"/>
    <w:rsid w:val="00603290"/>
    <w:rsid w:val="00603331"/>
    <w:rsid w:val="00603345"/>
    <w:rsid w:val="00603435"/>
    <w:rsid w:val="0060343A"/>
    <w:rsid w:val="0060359D"/>
    <w:rsid w:val="0060369C"/>
    <w:rsid w:val="006036AA"/>
    <w:rsid w:val="0060378C"/>
    <w:rsid w:val="006037F7"/>
    <w:rsid w:val="006038DD"/>
    <w:rsid w:val="0060390F"/>
    <w:rsid w:val="006039E6"/>
    <w:rsid w:val="00603A42"/>
    <w:rsid w:val="00603A58"/>
    <w:rsid w:val="00603AA7"/>
    <w:rsid w:val="00603AC4"/>
    <w:rsid w:val="00603B08"/>
    <w:rsid w:val="00603BA6"/>
    <w:rsid w:val="00603BEE"/>
    <w:rsid w:val="00603C3E"/>
    <w:rsid w:val="00603CAD"/>
    <w:rsid w:val="00603D42"/>
    <w:rsid w:val="00603DE3"/>
    <w:rsid w:val="00603E3B"/>
    <w:rsid w:val="00603E69"/>
    <w:rsid w:val="00603F94"/>
    <w:rsid w:val="00604070"/>
    <w:rsid w:val="00604092"/>
    <w:rsid w:val="0060419D"/>
    <w:rsid w:val="006041F3"/>
    <w:rsid w:val="0060428A"/>
    <w:rsid w:val="006042F1"/>
    <w:rsid w:val="0060430F"/>
    <w:rsid w:val="006043BC"/>
    <w:rsid w:val="006043C5"/>
    <w:rsid w:val="006043C7"/>
    <w:rsid w:val="00604454"/>
    <w:rsid w:val="00604555"/>
    <w:rsid w:val="006045BE"/>
    <w:rsid w:val="00604609"/>
    <w:rsid w:val="006046B0"/>
    <w:rsid w:val="0060474D"/>
    <w:rsid w:val="00604772"/>
    <w:rsid w:val="006047B9"/>
    <w:rsid w:val="006047C2"/>
    <w:rsid w:val="00604821"/>
    <w:rsid w:val="006048B5"/>
    <w:rsid w:val="006048DB"/>
    <w:rsid w:val="0060490E"/>
    <w:rsid w:val="0060493E"/>
    <w:rsid w:val="0060493F"/>
    <w:rsid w:val="00604A7D"/>
    <w:rsid w:val="00604AA0"/>
    <w:rsid w:val="00604AFD"/>
    <w:rsid w:val="00604B6E"/>
    <w:rsid w:val="00604C17"/>
    <w:rsid w:val="00604C56"/>
    <w:rsid w:val="00604C6C"/>
    <w:rsid w:val="00604DB1"/>
    <w:rsid w:val="00604DFC"/>
    <w:rsid w:val="00604EAF"/>
    <w:rsid w:val="00604F48"/>
    <w:rsid w:val="00604F74"/>
    <w:rsid w:val="00604FF9"/>
    <w:rsid w:val="0060513D"/>
    <w:rsid w:val="0060515B"/>
    <w:rsid w:val="00605165"/>
    <w:rsid w:val="006051E8"/>
    <w:rsid w:val="00605200"/>
    <w:rsid w:val="00605226"/>
    <w:rsid w:val="00605245"/>
    <w:rsid w:val="0060526C"/>
    <w:rsid w:val="006053F0"/>
    <w:rsid w:val="00605413"/>
    <w:rsid w:val="006054C7"/>
    <w:rsid w:val="0060552E"/>
    <w:rsid w:val="006055A2"/>
    <w:rsid w:val="006055F1"/>
    <w:rsid w:val="00605633"/>
    <w:rsid w:val="00605646"/>
    <w:rsid w:val="0060567D"/>
    <w:rsid w:val="0060570D"/>
    <w:rsid w:val="00605721"/>
    <w:rsid w:val="00605776"/>
    <w:rsid w:val="006057DB"/>
    <w:rsid w:val="006059EE"/>
    <w:rsid w:val="00605A17"/>
    <w:rsid w:val="00605A9C"/>
    <w:rsid w:val="00605AEC"/>
    <w:rsid w:val="00605AFB"/>
    <w:rsid w:val="00605C8B"/>
    <w:rsid w:val="00605D38"/>
    <w:rsid w:val="00605D3E"/>
    <w:rsid w:val="00605E1F"/>
    <w:rsid w:val="00605E2C"/>
    <w:rsid w:val="00605E85"/>
    <w:rsid w:val="00605EE5"/>
    <w:rsid w:val="00605EF7"/>
    <w:rsid w:val="00605F51"/>
    <w:rsid w:val="006060B2"/>
    <w:rsid w:val="006060BB"/>
    <w:rsid w:val="00606141"/>
    <w:rsid w:val="0060622A"/>
    <w:rsid w:val="006062D5"/>
    <w:rsid w:val="006062E2"/>
    <w:rsid w:val="00606649"/>
    <w:rsid w:val="0060666A"/>
    <w:rsid w:val="006066F8"/>
    <w:rsid w:val="00606739"/>
    <w:rsid w:val="00606881"/>
    <w:rsid w:val="00606889"/>
    <w:rsid w:val="006068D3"/>
    <w:rsid w:val="00606945"/>
    <w:rsid w:val="00606A3B"/>
    <w:rsid w:val="00606A8E"/>
    <w:rsid w:val="00606D1D"/>
    <w:rsid w:val="00606D3A"/>
    <w:rsid w:val="00606D63"/>
    <w:rsid w:val="00606D98"/>
    <w:rsid w:val="00606DF0"/>
    <w:rsid w:val="00606E70"/>
    <w:rsid w:val="00606ED2"/>
    <w:rsid w:val="00606EDD"/>
    <w:rsid w:val="00606FBB"/>
    <w:rsid w:val="00607055"/>
    <w:rsid w:val="00607059"/>
    <w:rsid w:val="006070C0"/>
    <w:rsid w:val="0060713F"/>
    <w:rsid w:val="006071EA"/>
    <w:rsid w:val="00607295"/>
    <w:rsid w:val="006072C6"/>
    <w:rsid w:val="006072F2"/>
    <w:rsid w:val="0060734F"/>
    <w:rsid w:val="00607381"/>
    <w:rsid w:val="00607407"/>
    <w:rsid w:val="00607437"/>
    <w:rsid w:val="0060749C"/>
    <w:rsid w:val="006074DB"/>
    <w:rsid w:val="006075BC"/>
    <w:rsid w:val="006075E6"/>
    <w:rsid w:val="00607675"/>
    <w:rsid w:val="00607695"/>
    <w:rsid w:val="006076AA"/>
    <w:rsid w:val="00607719"/>
    <w:rsid w:val="0060777A"/>
    <w:rsid w:val="0060779E"/>
    <w:rsid w:val="006077BD"/>
    <w:rsid w:val="006077CD"/>
    <w:rsid w:val="0060787C"/>
    <w:rsid w:val="006078D4"/>
    <w:rsid w:val="006078EA"/>
    <w:rsid w:val="00607981"/>
    <w:rsid w:val="006079A2"/>
    <w:rsid w:val="006079B2"/>
    <w:rsid w:val="00607A1A"/>
    <w:rsid w:val="00607A25"/>
    <w:rsid w:val="00607A67"/>
    <w:rsid w:val="00607AE3"/>
    <w:rsid w:val="00607B0C"/>
    <w:rsid w:val="00607BE8"/>
    <w:rsid w:val="00607C13"/>
    <w:rsid w:val="00607C2A"/>
    <w:rsid w:val="00607C94"/>
    <w:rsid w:val="00607D12"/>
    <w:rsid w:val="00607D17"/>
    <w:rsid w:val="00607DC4"/>
    <w:rsid w:val="00607E3A"/>
    <w:rsid w:val="00607E43"/>
    <w:rsid w:val="00607EC1"/>
    <w:rsid w:val="00607EC8"/>
    <w:rsid w:val="00607EEF"/>
    <w:rsid w:val="00607EFE"/>
    <w:rsid w:val="00607F8C"/>
    <w:rsid w:val="00607FE9"/>
    <w:rsid w:val="00610008"/>
    <w:rsid w:val="006100B0"/>
    <w:rsid w:val="00610162"/>
    <w:rsid w:val="00610173"/>
    <w:rsid w:val="006101D2"/>
    <w:rsid w:val="0061029E"/>
    <w:rsid w:val="006102E0"/>
    <w:rsid w:val="006102E7"/>
    <w:rsid w:val="006102F8"/>
    <w:rsid w:val="0061031A"/>
    <w:rsid w:val="006103AA"/>
    <w:rsid w:val="006103DB"/>
    <w:rsid w:val="006103E0"/>
    <w:rsid w:val="00610416"/>
    <w:rsid w:val="00610442"/>
    <w:rsid w:val="0061049C"/>
    <w:rsid w:val="006104E9"/>
    <w:rsid w:val="0061056B"/>
    <w:rsid w:val="0061056E"/>
    <w:rsid w:val="00610585"/>
    <w:rsid w:val="0061062A"/>
    <w:rsid w:val="006106DE"/>
    <w:rsid w:val="00610774"/>
    <w:rsid w:val="00610778"/>
    <w:rsid w:val="006107FB"/>
    <w:rsid w:val="00610817"/>
    <w:rsid w:val="0061096D"/>
    <w:rsid w:val="006109EE"/>
    <w:rsid w:val="00610A9A"/>
    <w:rsid w:val="00610AB3"/>
    <w:rsid w:val="00610ABA"/>
    <w:rsid w:val="00610B80"/>
    <w:rsid w:val="00610C19"/>
    <w:rsid w:val="00610CB3"/>
    <w:rsid w:val="00610CB4"/>
    <w:rsid w:val="00610CB5"/>
    <w:rsid w:val="00610CE5"/>
    <w:rsid w:val="00610D1B"/>
    <w:rsid w:val="00610D76"/>
    <w:rsid w:val="00610E49"/>
    <w:rsid w:val="00610EA7"/>
    <w:rsid w:val="00610F07"/>
    <w:rsid w:val="00610F27"/>
    <w:rsid w:val="00610F3D"/>
    <w:rsid w:val="00611036"/>
    <w:rsid w:val="00611054"/>
    <w:rsid w:val="006110AB"/>
    <w:rsid w:val="00611194"/>
    <w:rsid w:val="00611252"/>
    <w:rsid w:val="00611296"/>
    <w:rsid w:val="006112A3"/>
    <w:rsid w:val="00611343"/>
    <w:rsid w:val="0061136E"/>
    <w:rsid w:val="00611379"/>
    <w:rsid w:val="00611382"/>
    <w:rsid w:val="0061138A"/>
    <w:rsid w:val="006113B4"/>
    <w:rsid w:val="006113D4"/>
    <w:rsid w:val="006113D6"/>
    <w:rsid w:val="00611543"/>
    <w:rsid w:val="00611580"/>
    <w:rsid w:val="006115AC"/>
    <w:rsid w:val="0061165A"/>
    <w:rsid w:val="0061168F"/>
    <w:rsid w:val="006116DF"/>
    <w:rsid w:val="00611742"/>
    <w:rsid w:val="00611746"/>
    <w:rsid w:val="00611753"/>
    <w:rsid w:val="0061177A"/>
    <w:rsid w:val="006118C9"/>
    <w:rsid w:val="006118D2"/>
    <w:rsid w:val="00611953"/>
    <w:rsid w:val="00611964"/>
    <w:rsid w:val="00611995"/>
    <w:rsid w:val="006119B3"/>
    <w:rsid w:val="00611A63"/>
    <w:rsid w:val="00611A91"/>
    <w:rsid w:val="00611A96"/>
    <w:rsid w:val="00611AE1"/>
    <w:rsid w:val="00611B0B"/>
    <w:rsid w:val="00611B5D"/>
    <w:rsid w:val="00611BAE"/>
    <w:rsid w:val="00611D52"/>
    <w:rsid w:val="00611D5B"/>
    <w:rsid w:val="00611E06"/>
    <w:rsid w:val="00611E6C"/>
    <w:rsid w:val="00611EB5"/>
    <w:rsid w:val="00611F41"/>
    <w:rsid w:val="00611F9A"/>
    <w:rsid w:val="00612001"/>
    <w:rsid w:val="006121B0"/>
    <w:rsid w:val="0061226B"/>
    <w:rsid w:val="00612284"/>
    <w:rsid w:val="00612360"/>
    <w:rsid w:val="0061236E"/>
    <w:rsid w:val="006123E3"/>
    <w:rsid w:val="0061244C"/>
    <w:rsid w:val="0061244D"/>
    <w:rsid w:val="00612483"/>
    <w:rsid w:val="006124F7"/>
    <w:rsid w:val="00612555"/>
    <w:rsid w:val="006125D7"/>
    <w:rsid w:val="006126D8"/>
    <w:rsid w:val="00612780"/>
    <w:rsid w:val="006127E4"/>
    <w:rsid w:val="00612868"/>
    <w:rsid w:val="006128DB"/>
    <w:rsid w:val="00612929"/>
    <w:rsid w:val="00612943"/>
    <w:rsid w:val="00612A3B"/>
    <w:rsid w:val="00612AA7"/>
    <w:rsid w:val="00612B24"/>
    <w:rsid w:val="00612B2B"/>
    <w:rsid w:val="00612B69"/>
    <w:rsid w:val="00612B80"/>
    <w:rsid w:val="00612B91"/>
    <w:rsid w:val="00612C15"/>
    <w:rsid w:val="00612C62"/>
    <w:rsid w:val="00612C9F"/>
    <w:rsid w:val="00612CDA"/>
    <w:rsid w:val="00612DFF"/>
    <w:rsid w:val="00612E59"/>
    <w:rsid w:val="00612ECF"/>
    <w:rsid w:val="00612EF9"/>
    <w:rsid w:val="00612F0B"/>
    <w:rsid w:val="00612F51"/>
    <w:rsid w:val="00612F89"/>
    <w:rsid w:val="00613037"/>
    <w:rsid w:val="00613041"/>
    <w:rsid w:val="00613111"/>
    <w:rsid w:val="00613180"/>
    <w:rsid w:val="00613295"/>
    <w:rsid w:val="006132A2"/>
    <w:rsid w:val="006132F3"/>
    <w:rsid w:val="006132FF"/>
    <w:rsid w:val="00613319"/>
    <w:rsid w:val="00613325"/>
    <w:rsid w:val="006133A9"/>
    <w:rsid w:val="006133D9"/>
    <w:rsid w:val="0061342A"/>
    <w:rsid w:val="00613485"/>
    <w:rsid w:val="00613522"/>
    <w:rsid w:val="006135AB"/>
    <w:rsid w:val="006135E8"/>
    <w:rsid w:val="0061366E"/>
    <w:rsid w:val="0061376D"/>
    <w:rsid w:val="0061378F"/>
    <w:rsid w:val="0061381C"/>
    <w:rsid w:val="0061383D"/>
    <w:rsid w:val="00613840"/>
    <w:rsid w:val="00613847"/>
    <w:rsid w:val="006138E4"/>
    <w:rsid w:val="0061392F"/>
    <w:rsid w:val="00613AB6"/>
    <w:rsid w:val="00613B41"/>
    <w:rsid w:val="00613BB0"/>
    <w:rsid w:val="00613BBB"/>
    <w:rsid w:val="00613C4D"/>
    <w:rsid w:val="00613C7D"/>
    <w:rsid w:val="00613D1F"/>
    <w:rsid w:val="00613DDE"/>
    <w:rsid w:val="00613ED2"/>
    <w:rsid w:val="00613F1D"/>
    <w:rsid w:val="00613F3B"/>
    <w:rsid w:val="00613F97"/>
    <w:rsid w:val="00613FA2"/>
    <w:rsid w:val="00613FB4"/>
    <w:rsid w:val="00614017"/>
    <w:rsid w:val="006140D2"/>
    <w:rsid w:val="00614139"/>
    <w:rsid w:val="00614233"/>
    <w:rsid w:val="0061423B"/>
    <w:rsid w:val="00614263"/>
    <w:rsid w:val="006143FA"/>
    <w:rsid w:val="00614437"/>
    <w:rsid w:val="006144C8"/>
    <w:rsid w:val="006144F6"/>
    <w:rsid w:val="0061458D"/>
    <w:rsid w:val="006145C0"/>
    <w:rsid w:val="0061461D"/>
    <w:rsid w:val="00614669"/>
    <w:rsid w:val="006147F2"/>
    <w:rsid w:val="006148E2"/>
    <w:rsid w:val="00614981"/>
    <w:rsid w:val="006149CC"/>
    <w:rsid w:val="00614A0C"/>
    <w:rsid w:val="00614A2A"/>
    <w:rsid w:val="00614A98"/>
    <w:rsid w:val="00614B0E"/>
    <w:rsid w:val="00614B6D"/>
    <w:rsid w:val="00614C39"/>
    <w:rsid w:val="00614C49"/>
    <w:rsid w:val="00614C58"/>
    <w:rsid w:val="00614CA8"/>
    <w:rsid w:val="00614CFA"/>
    <w:rsid w:val="00614D8E"/>
    <w:rsid w:val="00614E49"/>
    <w:rsid w:val="00614E75"/>
    <w:rsid w:val="00614E8F"/>
    <w:rsid w:val="00614E9D"/>
    <w:rsid w:val="00614F47"/>
    <w:rsid w:val="00614F78"/>
    <w:rsid w:val="00614FD1"/>
    <w:rsid w:val="0061506B"/>
    <w:rsid w:val="00615103"/>
    <w:rsid w:val="00615193"/>
    <w:rsid w:val="006151C4"/>
    <w:rsid w:val="00615206"/>
    <w:rsid w:val="00615212"/>
    <w:rsid w:val="0061531A"/>
    <w:rsid w:val="00615358"/>
    <w:rsid w:val="006153B2"/>
    <w:rsid w:val="006153DB"/>
    <w:rsid w:val="00615406"/>
    <w:rsid w:val="00615416"/>
    <w:rsid w:val="00615485"/>
    <w:rsid w:val="006154B3"/>
    <w:rsid w:val="006154F7"/>
    <w:rsid w:val="00615578"/>
    <w:rsid w:val="00615579"/>
    <w:rsid w:val="00615612"/>
    <w:rsid w:val="006156EC"/>
    <w:rsid w:val="0061572C"/>
    <w:rsid w:val="0061573D"/>
    <w:rsid w:val="0061575E"/>
    <w:rsid w:val="0061585F"/>
    <w:rsid w:val="006158B8"/>
    <w:rsid w:val="006159CD"/>
    <w:rsid w:val="006159F6"/>
    <w:rsid w:val="00615A03"/>
    <w:rsid w:val="00615B07"/>
    <w:rsid w:val="00615B4B"/>
    <w:rsid w:val="00615BD7"/>
    <w:rsid w:val="00615BF2"/>
    <w:rsid w:val="00615C2A"/>
    <w:rsid w:val="00615CC9"/>
    <w:rsid w:val="00615E58"/>
    <w:rsid w:val="00615E62"/>
    <w:rsid w:val="00615E83"/>
    <w:rsid w:val="00615E84"/>
    <w:rsid w:val="00615F0D"/>
    <w:rsid w:val="00615F55"/>
    <w:rsid w:val="00615FEF"/>
    <w:rsid w:val="00616073"/>
    <w:rsid w:val="006160AC"/>
    <w:rsid w:val="006160BE"/>
    <w:rsid w:val="00616195"/>
    <w:rsid w:val="006161A9"/>
    <w:rsid w:val="00616213"/>
    <w:rsid w:val="00616242"/>
    <w:rsid w:val="00616258"/>
    <w:rsid w:val="00616272"/>
    <w:rsid w:val="0061628E"/>
    <w:rsid w:val="0061629A"/>
    <w:rsid w:val="00616324"/>
    <w:rsid w:val="00616345"/>
    <w:rsid w:val="00616347"/>
    <w:rsid w:val="00616407"/>
    <w:rsid w:val="00616546"/>
    <w:rsid w:val="00616586"/>
    <w:rsid w:val="00616588"/>
    <w:rsid w:val="006165F7"/>
    <w:rsid w:val="00616608"/>
    <w:rsid w:val="00616630"/>
    <w:rsid w:val="0061663A"/>
    <w:rsid w:val="00616689"/>
    <w:rsid w:val="006166BB"/>
    <w:rsid w:val="00616710"/>
    <w:rsid w:val="00616716"/>
    <w:rsid w:val="006167A2"/>
    <w:rsid w:val="0061682C"/>
    <w:rsid w:val="00616854"/>
    <w:rsid w:val="006168E8"/>
    <w:rsid w:val="00616913"/>
    <w:rsid w:val="006169CC"/>
    <w:rsid w:val="006169D6"/>
    <w:rsid w:val="00616A55"/>
    <w:rsid w:val="00616AA3"/>
    <w:rsid w:val="00616BEC"/>
    <w:rsid w:val="00616C14"/>
    <w:rsid w:val="00616CCE"/>
    <w:rsid w:val="00616CEE"/>
    <w:rsid w:val="00616D0C"/>
    <w:rsid w:val="00616D13"/>
    <w:rsid w:val="00616D54"/>
    <w:rsid w:val="00616E54"/>
    <w:rsid w:val="00616F3C"/>
    <w:rsid w:val="00616F4D"/>
    <w:rsid w:val="00616F8E"/>
    <w:rsid w:val="00616F91"/>
    <w:rsid w:val="00616FAD"/>
    <w:rsid w:val="00616FE2"/>
    <w:rsid w:val="00617050"/>
    <w:rsid w:val="00617081"/>
    <w:rsid w:val="0061708E"/>
    <w:rsid w:val="00617097"/>
    <w:rsid w:val="00617106"/>
    <w:rsid w:val="0061727C"/>
    <w:rsid w:val="00617287"/>
    <w:rsid w:val="006172DE"/>
    <w:rsid w:val="00617364"/>
    <w:rsid w:val="00617375"/>
    <w:rsid w:val="006173F2"/>
    <w:rsid w:val="0061743C"/>
    <w:rsid w:val="006174A6"/>
    <w:rsid w:val="006174CC"/>
    <w:rsid w:val="00617527"/>
    <w:rsid w:val="006175DC"/>
    <w:rsid w:val="0061765C"/>
    <w:rsid w:val="006176A6"/>
    <w:rsid w:val="0061774F"/>
    <w:rsid w:val="006177A5"/>
    <w:rsid w:val="00617852"/>
    <w:rsid w:val="0061788F"/>
    <w:rsid w:val="006178EE"/>
    <w:rsid w:val="006178FD"/>
    <w:rsid w:val="00617945"/>
    <w:rsid w:val="00617A55"/>
    <w:rsid w:val="00617A75"/>
    <w:rsid w:val="00617A7E"/>
    <w:rsid w:val="00617A82"/>
    <w:rsid w:val="00617ADF"/>
    <w:rsid w:val="00617AF6"/>
    <w:rsid w:val="00617B7B"/>
    <w:rsid w:val="00617BB4"/>
    <w:rsid w:val="00617C4B"/>
    <w:rsid w:val="00617CC5"/>
    <w:rsid w:val="00617E2C"/>
    <w:rsid w:val="00617E87"/>
    <w:rsid w:val="00617E8C"/>
    <w:rsid w:val="00617EBB"/>
    <w:rsid w:val="006200EB"/>
    <w:rsid w:val="006202ED"/>
    <w:rsid w:val="006202F4"/>
    <w:rsid w:val="00620327"/>
    <w:rsid w:val="006203D3"/>
    <w:rsid w:val="006204A2"/>
    <w:rsid w:val="006204BE"/>
    <w:rsid w:val="00620536"/>
    <w:rsid w:val="00620543"/>
    <w:rsid w:val="00620583"/>
    <w:rsid w:val="00620589"/>
    <w:rsid w:val="006206C5"/>
    <w:rsid w:val="006206EC"/>
    <w:rsid w:val="006206F8"/>
    <w:rsid w:val="006207DA"/>
    <w:rsid w:val="00620861"/>
    <w:rsid w:val="00620881"/>
    <w:rsid w:val="006208FA"/>
    <w:rsid w:val="00620930"/>
    <w:rsid w:val="006209D3"/>
    <w:rsid w:val="00620A0E"/>
    <w:rsid w:val="00620B81"/>
    <w:rsid w:val="00620C7A"/>
    <w:rsid w:val="00620C9B"/>
    <w:rsid w:val="00620D20"/>
    <w:rsid w:val="00620E46"/>
    <w:rsid w:val="00620E53"/>
    <w:rsid w:val="00620E5A"/>
    <w:rsid w:val="00620ED2"/>
    <w:rsid w:val="00621071"/>
    <w:rsid w:val="006210DA"/>
    <w:rsid w:val="00621140"/>
    <w:rsid w:val="00621160"/>
    <w:rsid w:val="00621188"/>
    <w:rsid w:val="00621410"/>
    <w:rsid w:val="00621414"/>
    <w:rsid w:val="00621458"/>
    <w:rsid w:val="00621476"/>
    <w:rsid w:val="00621482"/>
    <w:rsid w:val="0062148B"/>
    <w:rsid w:val="00621649"/>
    <w:rsid w:val="0062165C"/>
    <w:rsid w:val="0062166E"/>
    <w:rsid w:val="006216AA"/>
    <w:rsid w:val="006216B3"/>
    <w:rsid w:val="006216CD"/>
    <w:rsid w:val="00621753"/>
    <w:rsid w:val="006217AF"/>
    <w:rsid w:val="006217B5"/>
    <w:rsid w:val="006217E7"/>
    <w:rsid w:val="00621879"/>
    <w:rsid w:val="006218CF"/>
    <w:rsid w:val="0062193A"/>
    <w:rsid w:val="006219E7"/>
    <w:rsid w:val="00621A76"/>
    <w:rsid w:val="00621AC4"/>
    <w:rsid w:val="00621ADC"/>
    <w:rsid w:val="00621AF8"/>
    <w:rsid w:val="00621BDD"/>
    <w:rsid w:val="00621C0F"/>
    <w:rsid w:val="00621C65"/>
    <w:rsid w:val="00621CC5"/>
    <w:rsid w:val="00621EDB"/>
    <w:rsid w:val="00622074"/>
    <w:rsid w:val="00622108"/>
    <w:rsid w:val="0062222C"/>
    <w:rsid w:val="006222CE"/>
    <w:rsid w:val="006222D3"/>
    <w:rsid w:val="00622304"/>
    <w:rsid w:val="0062234D"/>
    <w:rsid w:val="0062234E"/>
    <w:rsid w:val="0062257A"/>
    <w:rsid w:val="006225BB"/>
    <w:rsid w:val="006225D6"/>
    <w:rsid w:val="0062266A"/>
    <w:rsid w:val="006226AC"/>
    <w:rsid w:val="006226E0"/>
    <w:rsid w:val="00622712"/>
    <w:rsid w:val="0062283A"/>
    <w:rsid w:val="00622921"/>
    <w:rsid w:val="00622A11"/>
    <w:rsid w:val="00622A6A"/>
    <w:rsid w:val="00622B22"/>
    <w:rsid w:val="00622C90"/>
    <w:rsid w:val="00622CD5"/>
    <w:rsid w:val="00622D2A"/>
    <w:rsid w:val="00622DE3"/>
    <w:rsid w:val="00622DF8"/>
    <w:rsid w:val="00622EB9"/>
    <w:rsid w:val="00622EBC"/>
    <w:rsid w:val="00622FCF"/>
    <w:rsid w:val="006230C5"/>
    <w:rsid w:val="00623132"/>
    <w:rsid w:val="0062316B"/>
    <w:rsid w:val="006231DF"/>
    <w:rsid w:val="00623248"/>
    <w:rsid w:val="0062328B"/>
    <w:rsid w:val="00623426"/>
    <w:rsid w:val="00623519"/>
    <w:rsid w:val="00623649"/>
    <w:rsid w:val="006236F3"/>
    <w:rsid w:val="006236FD"/>
    <w:rsid w:val="00623708"/>
    <w:rsid w:val="006238C0"/>
    <w:rsid w:val="006239CB"/>
    <w:rsid w:val="006239F2"/>
    <w:rsid w:val="00623A1D"/>
    <w:rsid w:val="00623A61"/>
    <w:rsid w:val="00623AA9"/>
    <w:rsid w:val="00623AE0"/>
    <w:rsid w:val="00623AF5"/>
    <w:rsid w:val="00623AFD"/>
    <w:rsid w:val="00623BE1"/>
    <w:rsid w:val="00623BF7"/>
    <w:rsid w:val="00623CD6"/>
    <w:rsid w:val="00623CDD"/>
    <w:rsid w:val="00623D62"/>
    <w:rsid w:val="00623DA6"/>
    <w:rsid w:val="00623DB2"/>
    <w:rsid w:val="00623DCC"/>
    <w:rsid w:val="00623E27"/>
    <w:rsid w:val="00623EC6"/>
    <w:rsid w:val="00623EC8"/>
    <w:rsid w:val="00623F3F"/>
    <w:rsid w:val="00623F7E"/>
    <w:rsid w:val="006240F5"/>
    <w:rsid w:val="006240FC"/>
    <w:rsid w:val="006240FF"/>
    <w:rsid w:val="00624147"/>
    <w:rsid w:val="00624149"/>
    <w:rsid w:val="00624167"/>
    <w:rsid w:val="006241AA"/>
    <w:rsid w:val="00624211"/>
    <w:rsid w:val="00624273"/>
    <w:rsid w:val="006242BF"/>
    <w:rsid w:val="006242C1"/>
    <w:rsid w:val="00624305"/>
    <w:rsid w:val="00624309"/>
    <w:rsid w:val="00624452"/>
    <w:rsid w:val="00624465"/>
    <w:rsid w:val="0062452A"/>
    <w:rsid w:val="0062454D"/>
    <w:rsid w:val="006245AA"/>
    <w:rsid w:val="006245DD"/>
    <w:rsid w:val="006245E3"/>
    <w:rsid w:val="0062468E"/>
    <w:rsid w:val="006246DD"/>
    <w:rsid w:val="00624715"/>
    <w:rsid w:val="00624771"/>
    <w:rsid w:val="00624811"/>
    <w:rsid w:val="0062484A"/>
    <w:rsid w:val="006248E1"/>
    <w:rsid w:val="006248FF"/>
    <w:rsid w:val="00624921"/>
    <w:rsid w:val="006249FB"/>
    <w:rsid w:val="00624B51"/>
    <w:rsid w:val="00624B78"/>
    <w:rsid w:val="00624D16"/>
    <w:rsid w:val="00624DF7"/>
    <w:rsid w:val="00624E15"/>
    <w:rsid w:val="00624E32"/>
    <w:rsid w:val="00624F78"/>
    <w:rsid w:val="00624FFF"/>
    <w:rsid w:val="0062504B"/>
    <w:rsid w:val="0062504D"/>
    <w:rsid w:val="00625093"/>
    <w:rsid w:val="006250BE"/>
    <w:rsid w:val="006250E9"/>
    <w:rsid w:val="00625132"/>
    <w:rsid w:val="0062516A"/>
    <w:rsid w:val="0062523D"/>
    <w:rsid w:val="00625260"/>
    <w:rsid w:val="0062534C"/>
    <w:rsid w:val="006253D1"/>
    <w:rsid w:val="00625402"/>
    <w:rsid w:val="0062541C"/>
    <w:rsid w:val="00625429"/>
    <w:rsid w:val="0062555C"/>
    <w:rsid w:val="0062562B"/>
    <w:rsid w:val="0062577E"/>
    <w:rsid w:val="0062579F"/>
    <w:rsid w:val="006259B5"/>
    <w:rsid w:val="00625B0A"/>
    <w:rsid w:val="00625B20"/>
    <w:rsid w:val="00625C3C"/>
    <w:rsid w:val="00625CAB"/>
    <w:rsid w:val="00625CD7"/>
    <w:rsid w:val="00625D0B"/>
    <w:rsid w:val="00625E02"/>
    <w:rsid w:val="00625E57"/>
    <w:rsid w:val="00625E83"/>
    <w:rsid w:val="00625E8F"/>
    <w:rsid w:val="00625EF0"/>
    <w:rsid w:val="00625F7D"/>
    <w:rsid w:val="00625FAA"/>
    <w:rsid w:val="00625FDF"/>
    <w:rsid w:val="0062600B"/>
    <w:rsid w:val="00626019"/>
    <w:rsid w:val="00626023"/>
    <w:rsid w:val="0062609D"/>
    <w:rsid w:val="006260D6"/>
    <w:rsid w:val="0062611E"/>
    <w:rsid w:val="00626121"/>
    <w:rsid w:val="006262EA"/>
    <w:rsid w:val="0062632C"/>
    <w:rsid w:val="0062632F"/>
    <w:rsid w:val="00626376"/>
    <w:rsid w:val="0062639D"/>
    <w:rsid w:val="00626421"/>
    <w:rsid w:val="00626427"/>
    <w:rsid w:val="0062651C"/>
    <w:rsid w:val="006265E2"/>
    <w:rsid w:val="00626611"/>
    <w:rsid w:val="0062668F"/>
    <w:rsid w:val="00626705"/>
    <w:rsid w:val="00626766"/>
    <w:rsid w:val="00626776"/>
    <w:rsid w:val="006267A8"/>
    <w:rsid w:val="006267E6"/>
    <w:rsid w:val="00626840"/>
    <w:rsid w:val="006268B3"/>
    <w:rsid w:val="00626933"/>
    <w:rsid w:val="00626A95"/>
    <w:rsid w:val="00626B44"/>
    <w:rsid w:val="00626D55"/>
    <w:rsid w:val="00626D92"/>
    <w:rsid w:val="00626DE3"/>
    <w:rsid w:val="00626DE8"/>
    <w:rsid w:val="00626E29"/>
    <w:rsid w:val="00626F27"/>
    <w:rsid w:val="00626F7C"/>
    <w:rsid w:val="00627068"/>
    <w:rsid w:val="006271B1"/>
    <w:rsid w:val="0062724C"/>
    <w:rsid w:val="00627310"/>
    <w:rsid w:val="00627330"/>
    <w:rsid w:val="0062736B"/>
    <w:rsid w:val="0062745A"/>
    <w:rsid w:val="006275AB"/>
    <w:rsid w:val="00627632"/>
    <w:rsid w:val="0062767F"/>
    <w:rsid w:val="00627766"/>
    <w:rsid w:val="00627784"/>
    <w:rsid w:val="006277A0"/>
    <w:rsid w:val="006277C4"/>
    <w:rsid w:val="00627804"/>
    <w:rsid w:val="0062784A"/>
    <w:rsid w:val="006278CC"/>
    <w:rsid w:val="006278DF"/>
    <w:rsid w:val="0062796B"/>
    <w:rsid w:val="0062797A"/>
    <w:rsid w:val="006279C7"/>
    <w:rsid w:val="006279E4"/>
    <w:rsid w:val="00627A01"/>
    <w:rsid w:val="00627A0D"/>
    <w:rsid w:val="00627AFB"/>
    <w:rsid w:val="00627B40"/>
    <w:rsid w:val="00627C10"/>
    <w:rsid w:val="00627D01"/>
    <w:rsid w:val="00627D50"/>
    <w:rsid w:val="00627DC5"/>
    <w:rsid w:val="00627E03"/>
    <w:rsid w:val="00627E26"/>
    <w:rsid w:val="00627E76"/>
    <w:rsid w:val="00627E84"/>
    <w:rsid w:val="00627EB8"/>
    <w:rsid w:val="00627EF8"/>
    <w:rsid w:val="00627F34"/>
    <w:rsid w:val="00627FC5"/>
    <w:rsid w:val="0063004E"/>
    <w:rsid w:val="00630066"/>
    <w:rsid w:val="0063012C"/>
    <w:rsid w:val="00630142"/>
    <w:rsid w:val="00630196"/>
    <w:rsid w:val="00630261"/>
    <w:rsid w:val="0063029C"/>
    <w:rsid w:val="006302E4"/>
    <w:rsid w:val="00630311"/>
    <w:rsid w:val="006303EC"/>
    <w:rsid w:val="0063043C"/>
    <w:rsid w:val="006304C2"/>
    <w:rsid w:val="006304D5"/>
    <w:rsid w:val="006304D6"/>
    <w:rsid w:val="00630650"/>
    <w:rsid w:val="0063067F"/>
    <w:rsid w:val="006307A9"/>
    <w:rsid w:val="0063086D"/>
    <w:rsid w:val="00630911"/>
    <w:rsid w:val="00630942"/>
    <w:rsid w:val="00630A66"/>
    <w:rsid w:val="00630A7B"/>
    <w:rsid w:val="00630C41"/>
    <w:rsid w:val="00630C51"/>
    <w:rsid w:val="00630C92"/>
    <w:rsid w:val="00630CDC"/>
    <w:rsid w:val="00630CFA"/>
    <w:rsid w:val="00630DC2"/>
    <w:rsid w:val="00630DE8"/>
    <w:rsid w:val="00630DFE"/>
    <w:rsid w:val="00630E1C"/>
    <w:rsid w:val="00630E44"/>
    <w:rsid w:val="00630E4E"/>
    <w:rsid w:val="00630F01"/>
    <w:rsid w:val="00630F42"/>
    <w:rsid w:val="00630F71"/>
    <w:rsid w:val="00630F7E"/>
    <w:rsid w:val="00631113"/>
    <w:rsid w:val="006311AB"/>
    <w:rsid w:val="006311CB"/>
    <w:rsid w:val="0063121A"/>
    <w:rsid w:val="00631233"/>
    <w:rsid w:val="00631235"/>
    <w:rsid w:val="00631253"/>
    <w:rsid w:val="0063126D"/>
    <w:rsid w:val="006312BA"/>
    <w:rsid w:val="0063132F"/>
    <w:rsid w:val="0063148D"/>
    <w:rsid w:val="0063159D"/>
    <w:rsid w:val="0063159E"/>
    <w:rsid w:val="0063166A"/>
    <w:rsid w:val="00631713"/>
    <w:rsid w:val="0063174B"/>
    <w:rsid w:val="0063182C"/>
    <w:rsid w:val="00631870"/>
    <w:rsid w:val="006318B6"/>
    <w:rsid w:val="0063191E"/>
    <w:rsid w:val="0063195C"/>
    <w:rsid w:val="00631A08"/>
    <w:rsid w:val="00631A2B"/>
    <w:rsid w:val="00631B67"/>
    <w:rsid w:val="00631C00"/>
    <w:rsid w:val="00631C73"/>
    <w:rsid w:val="00631CA5"/>
    <w:rsid w:val="00631CA7"/>
    <w:rsid w:val="00631CBB"/>
    <w:rsid w:val="00631D14"/>
    <w:rsid w:val="00631D46"/>
    <w:rsid w:val="00631E16"/>
    <w:rsid w:val="00631E53"/>
    <w:rsid w:val="00631E7B"/>
    <w:rsid w:val="00631EC5"/>
    <w:rsid w:val="00631F03"/>
    <w:rsid w:val="00631F33"/>
    <w:rsid w:val="00632015"/>
    <w:rsid w:val="00632078"/>
    <w:rsid w:val="00632184"/>
    <w:rsid w:val="00632255"/>
    <w:rsid w:val="006322B9"/>
    <w:rsid w:val="006322C0"/>
    <w:rsid w:val="00632327"/>
    <w:rsid w:val="0063236A"/>
    <w:rsid w:val="0063239D"/>
    <w:rsid w:val="006323A0"/>
    <w:rsid w:val="006323FE"/>
    <w:rsid w:val="00632442"/>
    <w:rsid w:val="006324A0"/>
    <w:rsid w:val="006324F6"/>
    <w:rsid w:val="0063263F"/>
    <w:rsid w:val="0063266F"/>
    <w:rsid w:val="00632747"/>
    <w:rsid w:val="00632752"/>
    <w:rsid w:val="00632779"/>
    <w:rsid w:val="00632874"/>
    <w:rsid w:val="0063290B"/>
    <w:rsid w:val="006329E0"/>
    <w:rsid w:val="00632A69"/>
    <w:rsid w:val="00632A6B"/>
    <w:rsid w:val="00632ABB"/>
    <w:rsid w:val="00632B3D"/>
    <w:rsid w:val="00632BD2"/>
    <w:rsid w:val="00632C39"/>
    <w:rsid w:val="00632C93"/>
    <w:rsid w:val="00632CA3"/>
    <w:rsid w:val="00632D61"/>
    <w:rsid w:val="00632DE7"/>
    <w:rsid w:val="00632E09"/>
    <w:rsid w:val="00632F6D"/>
    <w:rsid w:val="00632FE9"/>
    <w:rsid w:val="00632FF4"/>
    <w:rsid w:val="00633004"/>
    <w:rsid w:val="0063304A"/>
    <w:rsid w:val="00633093"/>
    <w:rsid w:val="006330AA"/>
    <w:rsid w:val="006330B3"/>
    <w:rsid w:val="006330D3"/>
    <w:rsid w:val="006330E6"/>
    <w:rsid w:val="0063316F"/>
    <w:rsid w:val="0063318A"/>
    <w:rsid w:val="006331B6"/>
    <w:rsid w:val="006331DD"/>
    <w:rsid w:val="006332DD"/>
    <w:rsid w:val="00633369"/>
    <w:rsid w:val="00633482"/>
    <w:rsid w:val="006334C3"/>
    <w:rsid w:val="0063353F"/>
    <w:rsid w:val="00633546"/>
    <w:rsid w:val="00633548"/>
    <w:rsid w:val="00633564"/>
    <w:rsid w:val="006335E0"/>
    <w:rsid w:val="00633620"/>
    <w:rsid w:val="00633676"/>
    <w:rsid w:val="006336C4"/>
    <w:rsid w:val="006336F7"/>
    <w:rsid w:val="00633712"/>
    <w:rsid w:val="0063374F"/>
    <w:rsid w:val="00633872"/>
    <w:rsid w:val="0063389F"/>
    <w:rsid w:val="006338C8"/>
    <w:rsid w:val="006338E0"/>
    <w:rsid w:val="006338E2"/>
    <w:rsid w:val="0063393A"/>
    <w:rsid w:val="00633981"/>
    <w:rsid w:val="00633ABD"/>
    <w:rsid w:val="00633B2F"/>
    <w:rsid w:val="00633B4C"/>
    <w:rsid w:val="00633B57"/>
    <w:rsid w:val="00633B75"/>
    <w:rsid w:val="00633B97"/>
    <w:rsid w:val="00633BC6"/>
    <w:rsid w:val="00633D66"/>
    <w:rsid w:val="00633D6C"/>
    <w:rsid w:val="00633D82"/>
    <w:rsid w:val="00633E18"/>
    <w:rsid w:val="00633E5D"/>
    <w:rsid w:val="00633EC5"/>
    <w:rsid w:val="00633EDB"/>
    <w:rsid w:val="00633F31"/>
    <w:rsid w:val="00633FA5"/>
    <w:rsid w:val="00633FD4"/>
    <w:rsid w:val="00633FED"/>
    <w:rsid w:val="0063400E"/>
    <w:rsid w:val="006340C5"/>
    <w:rsid w:val="0063428A"/>
    <w:rsid w:val="006342B7"/>
    <w:rsid w:val="006342D8"/>
    <w:rsid w:val="006342F8"/>
    <w:rsid w:val="0063434B"/>
    <w:rsid w:val="00634435"/>
    <w:rsid w:val="00634461"/>
    <w:rsid w:val="006344C8"/>
    <w:rsid w:val="00634533"/>
    <w:rsid w:val="006345B8"/>
    <w:rsid w:val="006346C3"/>
    <w:rsid w:val="00634706"/>
    <w:rsid w:val="00634720"/>
    <w:rsid w:val="00634794"/>
    <w:rsid w:val="00634839"/>
    <w:rsid w:val="00634986"/>
    <w:rsid w:val="006349A9"/>
    <w:rsid w:val="00634A3F"/>
    <w:rsid w:val="00634A6D"/>
    <w:rsid w:val="00634A98"/>
    <w:rsid w:val="00634B69"/>
    <w:rsid w:val="00634C98"/>
    <w:rsid w:val="00634D49"/>
    <w:rsid w:val="00634DF3"/>
    <w:rsid w:val="00634E1A"/>
    <w:rsid w:val="00634E3D"/>
    <w:rsid w:val="00634F56"/>
    <w:rsid w:val="00634FCB"/>
    <w:rsid w:val="00635021"/>
    <w:rsid w:val="0063504E"/>
    <w:rsid w:val="00635095"/>
    <w:rsid w:val="006350EC"/>
    <w:rsid w:val="0063516A"/>
    <w:rsid w:val="00635224"/>
    <w:rsid w:val="00635269"/>
    <w:rsid w:val="00635309"/>
    <w:rsid w:val="0063535E"/>
    <w:rsid w:val="0063541B"/>
    <w:rsid w:val="0063542F"/>
    <w:rsid w:val="00635578"/>
    <w:rsid w:val="00635592"/>
    <w:rsid w:val="006355F7"/>
    <w:rsid w:val="00635654"/>
    <w:rsid w:val="006356B3"/>
    <w:rsid w:val="00635702"/>
    <w:rsid w:val="0063574F"/>
    <w:rsid w:val="00635782"/>
    <w:rsid w:val="006357E5"/>
    <w:rsid w:val="00635800"/>
    <w:rsid w:val="00635826"/>
    <w:rsid w:val="00635836"/>
    <w:rsid w:val="006358E4"/>
    <w:rsid w:val="00635954"/>
    <w:rsid w:val="00635969"/>
    <w:rsid w:val="00635978"/>
    <w:rsid w:val="00635980"/>
    <w:rsid w:val="006359F3"/>
    <w:rsid w:val="00635A20"/>
    <w:rsid w:val="00635A2E"/>
    <w:rsid w:val="00635B2A"/>
    <w:rsid w:val="00635B6F"/>
    <w:rsid w:val="00635BC3"/>
    <w:rsid w:val="00635C1E"/>
    <w:rsid w:val="00635C66"/>
    <w:rsid w:val="00635C67"/>
    <w:rsid w:val="00635C99"/>
    <w:rsid w:val="00635CFE"/>
    <w:rsid w:val="00635E06"/>
    <w:rsid w:val="00635E1A"/>
    <w:rsid w:val="00635ECB"/>
    <w:rsid w:val="00635EF3"/>
    <w:rsid w:val="00635F89"/>
    <w:rsid w:val="00636040"/>
    <w:rsid w:val="00636042"/>
    <w:rsid w:val="006360E0"/>
    <w:rsid w:val="00636138"/>
    <w:rsid w:val="0063614A"/>
    <w:rsid w:val="006361EE"/>
    <w:rsid w:val="00636293"/>
    <w:rsid w:val="00636343"/>
    <w:rsid w:val="0063637A"/>
    <w:rsid w:val="006363BC"/>
    <w:rsid w:val="00636455"/>
    <w:rsid w:val="0063649A"/>
    <w:rsid w:val="0063666E"/>
    <w:rsid w:val="00636694"/>
    <w:rsid w:val="006366BD"/>
    <w:rsid w:val="006366D0"/>
    <w:rsid w:val="00636789"/>
    <w:rsid w:val="0063691B"/>
    <w:rsid w:val="0063694B"/>
    <w:rsid w:val="00636951"/>
    <w:rsid w:val="00636997"/>
    <w:rsid w:val="006369A2"/>
    <w:rsid w:val="00636B9C"/>
    <w:rsid w:val="00636C40"/>
    <w:rsid w:val="00636C79"/>
    <w:rsid w:val="00636D6B"/>
    <w:rsid w:val="00636D7A"/>
    <w:rsid w:val="00636E17"/>
    <w:rsid w:val="00636E53"/>
    <w:rsid w:val="00636E79"/>
    <w:rsid w:val="00636EA0"/>
    <w:rsid w:val="00636F4B"/>
    <w:rsid w:val="00636F73"/>
    <w:rsid w:val="00637005"/>
    <w:rsid w:val="00637096"/>
    <w:rsid w:val="00637159"/>
    <w:rsid w:val="00637193"/>
    <w:rsid w:val="00637283"/>
    <w:rsid w:val="00637408"/>
    <w:rsid w:val="0063745B"/>
    <w:rsid w:val="006375D1"/>
    <w:rsid w:val="006375FC"/>
    <w:rsid w:val="00637603"/>
    <w:rsid w:val="0063767E"/>
    <w:rsid w:val="00637753"/>
    <w:rsid w:val="0063776A"/>
    <w:rsid w:val="006377B1"/>
    <w:rsid w:val="006377BF"/>
    <w:rsid w:val="00637861"/>
    <w:rsid w:val="0063789F"/>
    <w:rsid w:val="006378BB"/>
    <w:rsid w:val="006378E7"/>
    <w:rsid w:val="00637922"/>
    <w:rsid w:val="00637A40"/>
    <w:rsid w:val="00637AF5"/>
    <w:rsid w:val="00637B1C"/>
    <w:rsid w:val="00637B88"/>
    <w:rsid w:val="00637BA8"/>
    <w:rsid w:val="00637C5D"/>
    <w:rsid w:val="00637C93"/>
    <w:rsid w:val="00637CF3"/>
    <w:rsid w:val="00637DBD"/>
    <w:rsid w:val="00637E04"/>
    <w:rsid w:val="00637E14"/>
    <w:rsid w:val="00637EFA"/>
    <w:rsid w:val="00637FCF"/>
    <w:rsid w:val="0064004D"/>
    <w:rsid w:val="00640070"/>
    <w:rsid w:val="006400D5"/>
    <w:rsid w:val="0064013F"/>
    <w:rsid w:val="006401C7"/>
    <w:rsid w:val="006401DF"/>
    <w:rsid w:val="00640220"/>
    <w:rsid w:val="006402C6"/>
    <w:rsid w:val="00640462"/>
    <w:rsid w:val="00640471"/>
    <w:rsid w:val="006404C0"/>
    <w:rsid w:val="00640529"/>
    <w:rsid w:val="00640554"/>
    <w:rsid w:val="0064062A"/>
    <w:rsid w:val="00640661"/>
    <w:rsid w:val="00640777"/>
    <w:rsid w:val="006407AA"/>
    <w:rsid w:val="006407EC"/>
    <w:rsid w:val="00640849"/>
    <w:rsid w:val="0064094B"/>
    <w:rsid w:val="00640A9B"/>
    <w:rsid w:val="00640ACA"/>
    <w:rsid w:val="00640AE8"/>
    <w:rsid w:val="00640B50"/>
    <w:rsid w:val="00640B7D"/>
    <w:rsid w:val="00640B87"/>
    <w:rsid w:val="00640C07"/>
    <w:rsid w:val="00640C1C"/>
    <w:rsid w:val="00640C31"/>
    <w:rsid w:val="00640CC6"/>
    <w:rsid w:val="00640CF4"/>
    <w:rsid w:val="00640CFC"/>
    <w:rsid w:val="00640D83"/>
    <w:rsid w:val="00640D8C"/>
    <w:rsid w:val="00640E25"/>
    <w:rsid w:val="00640E9A"/>
    <w:rsid w:val="00641037"/>
    <w:rsid w:val="0064105A"/>
    <w:rsid w:val="0064111A"/>
    <w:rsid w:val="006411D8"/>
    <w:rsid w:val="00641261"/>
    <w:rsid w:val="00641350"/>
    <w:rsid w:val="00641384"/>
    <w:rsid w:val="006413DF"/>
    <w:rsid w:val="00641419"/>
    <w:rsid w:val="006414A9"/>
    <w:rsid w:val="006416D6"/>
    <w:rsid w:val="00641749"/>
    <w:rsid w:val="006417B7"/>
    <w:rsid w:val="006417D9"/>
    <w:rsid w:val="00641986"/>
    <w:rsid w:val="00641994"/>
    <w:rsid w:val="006419EF"/>
    <w:rsid w:val="00641A91"/>
    <w:rsid w:val="00641A92"/>
    <w:rsid w:val="00641AAC"/>
    <w:rsid w:val="00641AD8"/>
    <w:rsid w:val="00641B52"/>
    <w:rsid w:val="00641B5F"/>
    <w:rsid w:val="00641BF7"/>
    <w:rsid w:val="00641C07"/>
    <w:rsid w:val="00641C21"/>
    <w:rsid w:val="00641C54"/>
    <w:rsid w:val="00641C9F"/>
    <w:rsid w:val="00641CB5"/>
    <w:rsid w:val="00641CC2"/>
    <w:rsid w:val="00641CD9"/>
    <w:rsid w:val="00641D15"/>
    <w:rsid w:val="00641D47"/>
    <w:rsid w:val="00641D57"/>
    <w:rsid w:val="00641DAD"/>
    <w:rsid w:val="00641DC2"/>
    <w:rsid w:val="00641DCD"/>
    <w:rsid w:val="00641EA1"/>
    <w:rsid w:val="00641EAB"/>
    <w:rsid w:val="00641EC5"/>
    <w:rsid w:val="00641F4E"/>
    <w:rsid w:val="0064201E"/>
    <w:rsid w:val="00642043"/>
    <w:rsid w:val="0064204C"/>
    <w:rsid w:val="00642089"/>
    <w:rsid w:val="006420A6"/>
    <w:rsid w:val="006420BF"/>
    <w:rsid w:val="0064212C"/>
    <w:rsid w:val="00642179"/>
    <w:rsid w:val="00642252"/>
    <w:rsid w:val="0064225C"/>
    <w:rsid w:val="00642277"/>
    <w:rsid w:val="006422F0"/>
    <w:rsid w:val="006423A8"/>
    <w:rsid w:val="00642473"/>
    <w:rsid w:val="006424D2"/>
    <w:rsid w:val="00642559"/>
    <w:rsid w:val="00642871"/>
    <w:rsid w:val="00642936"/>
    <w:rsid w:val="00642A62"/>
    <w:rsid w:val="00642A90"/>
    <w:rsid w:val="00642B04"/>
    <w:rsid w:val="00642B85"/>
    <w:rsid w:val="00642C2C"/>
    <w:rsid w:val="00642CAA"/>
    <w:rsid w:val="00642DFD"/>
    <w:rsid w:val="00642DFF"/>
    <w:rsid w:val="00642E73"/>
    <w:rsid w:val="00642EA1"/>
    <w:rsid w:val="00642EDB"/>
    <w:rsid w:val="00642EDE"/>
    <w:rsid w:val="00642EE8"/>
    <w:rsid w:val="00642F6C"/>
    <w:rsid w:val="00642FD3"/>
    <w:rsid w:val="0064300C"/>
    <w:rsid w:val="0064310C"/>
    <w:rsid w:val="00643133"/>
    <w:rsid w:val="00643165"/>
    <w:rsid w:val="006431E7"/>
    <w:rsid w:val="00643226"/>
    <w:rsid w:val="006432DB"/>
    <w:rsid w:val="0064334A"/>
    <w:rsid w:val="00643364"/>
    <w:rsid w:val="006434B9"/>
    <w:rsid w:val="006434E0"/>
    <w:rsid w:val="00643501"/>
    <w:rsid w:val="0064354C"/>
    <w:rsid w:val="006435E6"/>
    <w:rsid w:val="0064369F"/>
    <w:rsid w:val="006436E5"/>
    <w:rsid w:val="0064376B"/>
    <w:rsid w:val="0064376C"/>
    <w:rsid w:val="00643816"/>
    <w:rsid w:val="0064383D"/>
    <w:rsid w:val="00643894"/>
    <w:rsid w:val="006438D5"/>
    <w:rsid w:val="006438DF"/>
    <w:rsid w:val="0064395B"/>
    <w:rsid w:val="00643973"/>
    <w:rsid w:val="00643977"/>
    <w:rsid w:val="006439D2"/>
    <w:rsid w:val="00643A2C"/>
    <w:rsid w:val="00643A3A"/>
    <w:rsid w:val="00643AC9"/>
    <w:rsid w:val="00643C93"/>
    <w:rsid w:val="00643CAC"/>
    <w:rsid w:val="00643D89"/>
    <w:rsid w:val="00643D96"/>
    <w:rsid w:val="00643DBC"/>
    <w:rsid w:val="00643E1C"/>
    <w:rsid w:val="00643E50"/>
    <w:rsid w:val="00643FAB"/>
    <w:rsid w:val="00643FBA"/>
    <w:rsid w:val="0064402F"/>
    <w:rsid w:val="00644038"/>
    <w:rsid w:val="006440B4"/>
    <w:rsid w:val="00644115"/>
    <w:rsid w:val="006441B9"/>
    <w:rsid w:val="0064422A"/>
    <w:rsid w:val="00644301"/>
    <w:rsid w:val="00644352"/>
    <w:rsid w:val="006443CB"/>
    <w:rsid w:val="006443DC"/>
    <w:rsid w:val="006443E2"/>
    <w:rsid w:val="006445B5"/>
    <w:rsid w:val="006445D2"/>
    <w:rsid w:val="00644709"/>
    <w:rsid w:val="00644779"/>
    <w:rsid w:val="0064479D"/>
    <w:rsid w:val="0064486C"/>
    <w:rsid w:val="0064495B"/>
    <w:rsid w:val="00644982"/>
    <w:rsid w:val="006449DA"/>
    <w:rsid w:val="00644ABD"/>
    <w:rsid w:val="00644AE8"/>
    <w:rsid w:val="00644CBD"/>
    <w:rsid w:val="00644D66"/>
    <w:rsid w:val="00644D93"/>
    <w:rsid w:val="00644D9C"/>
    <w:rsid w:val="00644DD4"/>
    <w:rsid w:val="00644DF8"/>
    <w:rsid w:val="00644DFB"/>
    <w:rsid w:val="00644E69"/>
    <w:rsid w:val="00644F9D"/>
    <w:rsid w:val="00644FBA"/>
    <w:rsid w:val="00644FF7"/>
    <w:rsid w:val="0064514D"/>
    <w:rsid w:val="0064526C"/>
    <w:rsid w:val="0064528E"/>
    <w:rsid w:val="00645389"/>
    <w:rsid w:val="00645407"/>
    <w:rsid w:val="00645426"/>
    <w:rsid w:val="006454D4"/>
    <w:rsid w:val="00645599"/>
    <w:rsid w:val="006455AE"/>
    <w:rsid w:val="006455B2"/>
    <w:rsid w:val="006455B3"/>
    <w:rsid w:val="00645648"/>
    <w:rsid w:val="00645652"/>
    <w:rsid w:val="0064567A"/>
    <w:rsid w:val="00645698"/>
    <w:rsid w:val="006456E4"/>
    <w:rsid w:val="0064576F"/>
    <w:rsid w:val="00645794"/>
    <w:rsid w:val="006457FB"/>
    <w:rsid w:val="00645875"/>
    <w:rsid w:val="006458E8"/>
    <w:rsid w:val="00645938"/>
    <w:rsid w:val="006459BF"/>
    <w:rsid w:val="006459EF"/>
    <w:rsid w:val="00645B36"/>
    <w:rsid w:val="00645BC0"/>
    <w:rsid w:val="00645C66"/>
    <w:rsid w:val="00645C75"/>
    <w:rsid w:val="00645CC9"/>
    <w:rsid w:val="00645CE7"/>
    <w:rsid w:val="00645CEE"/>
    <w:rsid w:val="00645D1D"/>
    <w:rsid w:val="00645E18"/>
    <w:rsid w:val="00645E32"/>
    <w:rsid w:val="00645E33"/>
    <w:rsid w:val="00645FE5"/>
    <w:rsid w:val="00646009"/>
    <w:rsid w:val="0064602E"/>
    <w:rsid w:val="00646039"/>
    <w:rsid w:val="006460E4"/>
    <w:rsid w:val="0064611B"/>
    <w:rsid w:val="00646130"/>
    <w:rsid w:val="00646188"/>
    <w:rsid w:val="006461AD"/>
    <w:rsid w:val="006461FB"/>
    <w:rsid w:val="00646202"/>
    <w:rsid w:val="0064634D"/>
    <w:rsid w:val="00646363"/>
    <w:rsid w:val="00646373"/>
    <w:rsid w:val="00646552"/>
    <w:rsid w:val="00646573"/>
    <w:rsid w:val="006465F3"/>
    <w:rsid w:val="00646608"/>
    <w:rsid w:val="00646638"/>
    <w:rsid w:val="0064670A"/>
    <w:rsid w:val="006468A4"/>
    <w:rsid w:val="006468C6"/>
    <w:rsid w:val="006468E5"/>
    <w:rsid w:val="006468FC"/>
    <w:rsid w:val="006468FD"/>
    <w:rsid w:val="00646907"/>
    <w:rsid w:val="00646927"/>
    <w:rsid w:val="00646A69"/>
    <w:rsid w:val="00646A92"/>
    <w:rsid w:val="00646C7A"/>
    <w:rsid w:val="00646D41"/>
    <w:rsid w:val="00646D45"/>
    <w:rsid w:val="00646D84"/>
    <w:rsid w:val="00646E5F"/>
    <w:rsid w:val="00646E66"/>
    <w:rsid w:val="00646EB9"/>
    <w:rsid w:val="0064700F"/>
    <w:rsid w:val="00647038"/>
    <w:rsid w:val="006470E0"/>
    <w:rsid w:val="00647195"/>
    <w:rsid w:val="0064719F"/>
    <w:rsid w:val="006471C9"/>
    <w:rsid w:val="006471F7"/>
    <w:rsid w:val="0064722F"/>
    <w:rsid w:val="00647276"/>
    <w:rsid w:val="00647294"/>
    <w:rsid w:val="00647369"/>
    <w:rsid w:val="00647373"/>
    <w:rsid w:val="00647472"/>
    <w:rsid w:val="006474A1"/>
    <w:rsid w:val="00647521"/>
    <w:rsid w:val="0064757B"/>
    <w:rsid w:val="006475CD"/>
    <w:rsid w:val="00647610"/>
    <w:rsid w:val="00647654"/>
    <w:rsid w:val="0064768C"/>
    <w:rsid w:val="0064769F"/>
    <w:rsid w:val="006476BB"/>
    <w:rsid w:val="006476C1"/>
    <w:rsid w:val="00647724"/>
    <w:rsid w:val="00647773"/>
    <w:rsid w:val="006477F8"/>
    <w:rsid w:val="00647800"/>
    <w:rsid w:val="0064785A"/>
    <w:rsid w:val="0064788E"/>
    <w:rsid w:val="00647893"/>
    <w:rsid w:val="00647934"/>
    <w:rsid w:val="0064795E"/>
    <w:rsid w:val="0064798A"/>
    <w:rsid w:val="00647B99"/>
    <w:rsid w:val="00647BB8"/>
    <w:rsid w:val="00647BD6"/>
    <w:rsid w:val="00647BF1"/>
    <w:rsid w:val="00647BFF"/>
    <w:rsid w:val="00647CCB"/>
    <w:rsid w:val="00647D00"/>
    <w:rsid w:val="00647DA9"/>
    <w:rsid w:val="00647E1D"/>
    <w:rsid w:val="00647E2C"/>
    <w:rsid w:val="00647E8F"/>
    <w:rsid w:val="00647F06"/>
    <w:rsid w:val="00647F48"/>
    <w:rsid w:val="00647F9A"/>
    <w:rsid w:val="00650031"/>
    <w:rsid w:val="0065003D"/>
    <w:rsid w:val="00650041"/>
    <w:rsid w:val="0065011D"/>
    <w:rsid w:val="0065015A"/>
    <w:rsid w:val="00650182"/>
    <w:rsid w:val="006501AE"/>
    <w:rsid w:val="006501B2"/>
    <w:rsid w:val="0065020F"/>
    <w:rsid w:val="00650227"/>
    <w:rsid w:val="006502E8"/>
    <w:rsid w:val="006502ED"/>
    <w:rsid w:val="0065035B"/>
    <w:rsid w:val="00650381"/>
    <w:rsid w:val="006503B7"/>
    <w:rsid w:val="00650471"/>
    <w:rsid w:val="006504D5"/>
    <w:rsid w:val="00650528"/>
    <w:rsid w:val="00650585"/>
    <w:rsid w:val="006505DA"/>
    <w:rsid w:val="006506E4"/>
    <w:rsid w:val="00650713"/>
    <w:rsid w:val="00650831"/>
    <w:rsid w:val="00650884"/>
    <w:rsid w:val="006508A7"/>
    <w:rsid w:val="0065093E"/>
    <w:rsid w:val="00650959"/>
    <w:rsid w:val="0065096F"/>
    <w:rsid w:val="00650A04"/>
    <w:rsid w:val="00650ABF"/>
    <w:rsid w:val="00650AD0"/>
    <w:rsid w:val="00650ADB"/>
    <w:rsid w:val="00650AF4"/>
    <w:rsid w:val="00650B2C"/>
    <w:rsid w:val="00650B54"/>
    <w:rsid w:val="00650C07"/>
    <w:rsid w:val="00650C10"/>
    <w:rsid w:val="00650C64"/>
    <w:rsid w:val="00650CA6"/>
    <w:rsid w:val="00650CC2"/>
    <w:rsid w:val="00650CD9"/>
    <w:rsid w:val="00650D0E"/>
    <w:rsid w:val="00650D50"/>
    <w:rsid w:val="00650D69"/>
    <w:rsid w:val="00650DEE"/>
    <w:rsid w:val="00650E47"/>
    <w:rsid w:val="00650EB1"/>
    <w:rsid w:val="00650ED3"/>
    <w:rsid w:val="00650F93"/>
    <w:rsid w:val="00650FF3"/>
    <w:rsid w:val="00650FF9"/>
    <w:rsid w:val="00651012"/>
    <w:rsid w:val="00651037"/>
    <w:rsid w:val="006510E0"/>
    <w:rsid w:val="0065119C"/>
    <w:rsid w:val="006511A9"/>
    <w:rsid w:val="00651234"/>
    <w:rsid w:val="00651288"/>
    <w:rsid w:val="006512D9"/>
    <w:rsid w:val="006512DA"/>
    <w:rsid w:val="00651347"/>
    <w:rsid w:val="00651368"/>
    <w:rsid w:val="00651388"/>
    <w:rsid w:val="006513F5"/>
    <w:rsid w:val="006513F6"/>
    <w:rsid w:val="006514E4"/>
    <w:rsid w:val="00651500"/>
    <w:rsid w:val="006515F1"/>
    <w:rsid w:val="006516B1"/>
    <w:rsid w:val="006516C2"/>
    <w:rsid w:val="0065172D"/>
    <w:rsid w:val="00651785"/>
    <w:rsid w:val="006517B9"/>
    <w:rsid w:val="006518C2"/>
    <w:rsid w:val="00651A1E"/>
    <w:rsid w:val="00651A96"/>
    <w:rsid w:val="00651B08"/>
    <w:rsid w:val="00651B0E"/>
    <w:rsid w:val="00651B34"/>
    <w:rsid w:val="00651BF0"/>
    <w:rsid w:val="00651C04"/>
    <w:rsid w:val="00651C11"/>
    <w:rsid w:val="00651CC8"/>
    <w:rsid w:val="00651D35"/>
    <w:rsid w:val="00651D54"/>
    <w:rsid w:val="00651DA6"/>
    <w:rsid w:val="00651DB1"/>
    <w:rsid w:val="00651E69"/>
    <w:rsid w:val="00651E74"/>
    <w:rsid w:val="00651F1A"/>
    <w:rsid w:val="00651FDE"/>
    <w:rsid w:val="00651FFF"/>
    <w:rsid w:val="0065206D"/>
    <w:rsid w:val="0065207E"/>
    <w:rsid w:val="006520C4"/>
    <w:rsid w:val="0065213A"/>
    <w:rsid w:val="00652155"/>
    <w:rsid w:val="006521EE"/>
    <w:rsid w:val="00652220"/>
    <w:rsid w:val="00652297"/>
    <w:rsid w:val="006522A3"/>
    <w:rsid w:val="00652327"/>
    <w:rsid w:val="0065233D"/>
    <w:rsid w:val="0065240A"/>
    <w:rsid w:val="00652418"/>
    <w:rsid w:val="00652508"/>
    <w:rsid w:val="0065255A"/>
    <w:rsid w:val="006525DE"/>
    <w:rsid w:val="00652601"/>
    <w:rsid w:val="00652664"/>
    <w:rsid w:val="00652670"/>
    <w:rsid w:val="0065269A"/>
    <w:rsid w:val="0065269B"/>
    <w:rsid w:val="0065274D"/>
    <w:rsid w:val="006527A3"/>
    <w:rsid w:val="00652851"/>
    <w:rsid w:val="006528F0"/>
    <w:rsid w:val="006529C1"/>
    <w:rsid w:val="006529DF"/>
    <w:rsid w:val="00652A7C"/>
    <w:rsid w:val="00652AA2"/>
    <w:rsid w:val="00652AC4"/>
    <w:rsid w:val="00652B17"/>
    <w:rsid w:val="00652B6D"/>
    <w:rsid w:val="00652B73"/>
    <w:rsid w:val="00652B89"/>
    <w:rsid w:val="00652CB5"/>
    <w:rsid w:val="00652CC7"/>
    <w:rsid w:val="00652CDB"/>
    <w:rsid w:val="00652DAF"/>
    <w:rsid w:val="00652DE0"/>
    <w:rsid w:val="00652E61"/>
    <w:rsid w:val="00652E85"/>
    <w:rsid w:val="00652FCB"/>
    <w:rsid w:val="00652FED"/>
    <w:rsid w:val="0065304A"/>
    <w:rsid w:val="0065318F"/>
    <w:rsid w:val="0065325B"/>
    <w:rsid w:val="0065328F"/>
    <w:rsid w:val="006533AD"/>
    <w:rsid w:val="006533B4"/>
    <w:rsid w:val="006533C8"/>
    <w:rsid w:val="00653457"/>
    <w:rsid w:val="006534A8"/>
    <w:rsid w:val="006534BF"/>
    <w:rsid w:val="0065351A"/>
    <w:rsid w:val="00653560"/>
    <w:rsid w:val="006535AB"/>
    <w:rsid w:val="00653695"/>
    <w:rsid w:val="006536BD"/>
    <w:rsid w:val="006536FE"/>
    <w:rsid w:val="00653714"/>
    <w:rsid w:val="00653785"/>
    <w:rsid w:val="006537BB"/>
    <w:rsid w:val="006537D7"/>
    <w:rsid w:val="006537F4"/>
    <w:rsid w:val="0065385A"/>
    <w:rsid w:val="006538C8"/>
    <w:rsid w:val="00653908"/>
    <w:rsid w:val="0065394B"/>
    <w:rsid w:val="0065395F"/>
    <w:rsid w:val="00653960"/>
    <w:rsid w:val="00653AD2"/>
    <w:rsid w:val="00653C75"/>
    <w:rsid w:val="00653CED"/>
    <w:rsid w:val="00653DA3"/>
    <w:rsid w:val="00653DCF"/>
    <w:rsid w:val="00653E3C"/>
    <w:rsid w:val="00653F36"/>
    <w:rsid w:val="00653F73"/>
    <w:rsid w:val="00653FE9"/>
    <w:rsid w:val="00654124"/>
    <w:rsid w:val="0065415A"/>
    <w:rsid w:val="00654165"/>
    <w:rsid w:val="006541E3"/>
    <w:rsid w:val="00654283"/>
    <w:rsid w:val="00654334"/>
    <w:rsid w:val="0065444A"/>
    <w:rsid w:val="00654462"/>
    <w:rsid w:val="00654468"/>
    <w:rsid w:val="00654493"/>
    <w:rsid w:val="006544E7"/>
    <w:rsid w:val="0065455B"/>
    <w:rsid w:val="0065458C"/>
    <w:rsid w:val="0065458D"/>
    <w:rsid w:val="006545CD"/>
    <w:rsid w:val="006545E2"/>
    <w:rsid w:val="0065460F"/>
    <w:rsid w:val="00654644"/>
    <w:rsid w:val="00654653"/>
    <w:rsid w:val="00654715"/>
    <w:rsid w:val="006547DF"/>
    <w:rsid w:val="0065488D"/>
    <w:rsid w:val="006548BF"/>
    <w:rsid w:val="00654971"/>
    <w:rsid w:val="006549AC"/>
    <w:rsid w:val="00654B1E"/>
    <w:rsid w:val="00654B7A"/>
    <w:rsid w:val="00654D1D"/>
    <w:rsid w:val="00654D38"/>
    <w:rsid w:val="00654E0D"/>
    <w:rsid w:val="00654E6C"/>
    <w:rsid w:val="00654E77"/>
    <w:rsid w:val="00654EB9"/>
    <w:rsid w:val="00654EDB"/>
    <w:rsid w:val="00654F3D"/>
    <w:rsid w:val="00654F60"/>
    <w:rsid w:val="00654F68"/>
    <w:rsid w:val="00654F85"/>
    <w:rsid w:val="00654FA5"/>
    <w:rsid w:val="00654FFD"/>
    <w:rsid w:val="0065503C"/>
    <w:rsid w:val="00655085"/>
    <w:rsid w:val="00655217"/>
    <w:rsid w:val="006552D1"/>
    <w:rsid w:val="006552EC"/>
    <w:rsid w:val="006552F7"/>
    <w:rsid w:val="006553BF"/>
    <w:rsid w:val="0065541F"/>
    <w:rsid w:val="00655461"/>
    <w:rsid w:val="006554CA"/>
    <w:rsid w:val="006554D2"/>
    <w:rsid w:val="00655529"/>
    <w:rsid w:val="00655558"/>
    <w:rsid w:val="00655607"/>
    <w:rsid w:val="00655623"/>
    <w:rsid w:val="00655637"/>
    <w:rsid w:val="00655656"/>
    <w:rsid w:val="00655668"/>
    <w:rsid w:val="006556CD"/>
    <w:rsid w:val="006556DA"/>
    <w:rsid w:val="00655782"/>
    <w:rsid w:val="00655950"/>
    <w:rsid w:val="00655979"/>
    <w:rsid w:val="006559C5"/>
    <w:rsid w:val="00655A0E"/>
    <w:rsid w:val="00655B8D"/>
    <w:rsid w:val="00655B90"/>
    <w:rsid w:val="00655CF9"/>
    <w:rsid w:val="00655D45"/>
    <w:rsid w:val="00655D7F"/>
    <w:rsid w:val="00655DB3"/>
    <w:rsid w:val="00655DE2"/>
    <w:rsid w:val="00655E5E"/>
    <w:rsid w:val="00655E85"/>
    <w:rsid w:val="00655EA9"/>
    <w:rsid w:val="00655EB5"/>
    <w:rsid w:val="00655F23"/>
    <w:rsid w:val="00655F39"/>
    <w:rsid w:val="00655FE4"/>
    <w:rsid w:val="0065609B"/>
    <w:rsid w:val="006560B3"/>
    <w:rsid w:val="006560BC"/>
    <w:rsid w:val="0065616E"/>
    <w:rsid w:val="006561CA"/>
    <w:rsid w:val="00656232"/>
    <w:rsid w:val="00656314"/>
    <w:rsid w:val="00656363"/>
    <w:rsid w:val="006563C4"/>
    <w:rsid w:val="006563DF"/>
    <w:rsid w:val="0065646D"/>
    <w:rsid w:val="00656484"/>
    <w:rsid w:val="0065648D"/>
    <w:rsid w:val="00656512"/>
    <w:rsid w:val="006565C3"/>
    <w:rsid w:val="00656660"/>
    <w:rsid w:val="0065668C"/>
    <w:rsid w:val="006566AC"/>
    <w:rsid w:val="00656727"/>
    <w:rsid w:val="00656734"/>
    <w:rsid w:val="006567A6"/>
    <w:rsid w:val="00656828"/>
    <w:rsid w:val="0065684E"/>
    <w:rsid w:val="0065689C"/>
    <w:rsid w:val="0065689D"/>
    <w:rsid w:val="006568E3"/>
    <w:rsid w:val="00656956"/>
    <w:rsid w:val="00656B46"/>
    <w:rsid w:val="00656B9C"/>
    <w:rsid w:val="00656CCB"/>
    <w:rsid w:val="00656CCF"/>
    <w:rsid w:val="00656DC4"/>
    <w:rsid w:val="00656E2D"/>
    <w:rsid w:val="00656E5C"/>
    <w:rsid w:val="00656E6B"/>
    <w:rsid w:val="00656E9B"/>
    <w:rsid w:val="00656EEB"/>
    <w:rsid w:val="00656F8B"/>
    <w:rsid w:val="00657018"/>
    <w:rsid w:val="0065702F"/>
    <w:rsid w:val="00657057"/>
    <w:rsid w:val="00657143"/>
    <w:rsid w:val="00657149"/>
    <w:rsid w:val="0065714C"/>
    <w:rsid w:val="00657210"/>
    <w:rsid w:val="006572E0"/>
    <w:rsid w:val="00657301"/>
    <w:rsid w:val="00657312"/>
    <w:rsid w:val="0065736C"/>
    <w:rsid w:val="00657461"/>
    <w:rsid w:val="006574B2"/>
    <w:rsid w:val="006574BF"/>
    <w:rsid w:val="00657531"/>
    <w:rsid w:val="00657553"/>
    <w:rsid w:val="00657560"/>
    <w:rsid w:val="0065758D"/>
    <w:rsid w:val="006575B4"/>
    <w:rsid w:val="006575F0"/>
    <w:rsid w:val="00657611"/>
    <w:rsid w:val="0065769D"/>
    <w:rsid w:val="00657734"/>
    <w:rsid w:val="0065780F"/>
    <w:rsid w:val="0065781B"/>
    <w:rsid w:val="00657831"/>
    <w:rsid w:val="00657862"/>
    <w:rsid w:val="006578CD"/>
    <w:rsid w:val="006578DD"/>
    <w:rsid w:val="006578DF"/>
    <w:rsid w:val="00657B16"/>
    <w:rsid w:val="00657B78"/>
    <w:rsid w:val="00657BAA"/>
    <w:rsid w:val="00657BD5"/>
    <w:rsid w:val="00657BDD"/>
    <w:rsid w:val="00657CE4"/>
    <w:rsid w:val="00657D5C"/>
    <w:rsid w:val="00657F7F"/>
    <w:rsid w:val="0066005A"/>
    <w:rsid w:val="0066005B"/>
    <w:rsid w:val="0066005F"/>
    <w:rsid w:val="00660167"/>
    <w:rsid w:val="0066017A"/>
    <w:rsid w:val="006601D0"/>
    <w:rsid w:val="006602A3"/>
    <w:rsid w:val="006602BA"/>
    <w:rsid w:val="006602BD"/>
    <w:rsid w:val="0066036A"/>
    <w:rsid w:val="006605C6"/>
    <w:rsid w:val="00660625"/>
    <w:rsid w:val="006606B1"/>
    <w:rsid w:val="0066071B"/>
    <w:rsid w:val="0066088B"/>
    <w:rsid w:val="006608CC"/>
    <w:rsid w:val="00660983"/>
    <w:rsid w:val="006609F2"/>
    <w:rsid w:val="00660A4A"/>
    <w:rsid w:val="00660A74"/>
    <w:rsid w:val="00660AF8"/>
    <w:rsid w:val="00660B46"/>
    <w:rsid w:val="00660B6B"/>
    <w:rsid w:val="00660B83"/>
    <w:rsid w:val="00660B99"/>
    <w:rsid w:val="00660C1E"/>
    <w:rsid w:val="00660C2F"/>
    <w:rsid w:val="00660C61"/>
    <w:rsid w:val="00660C65"/>
    <w:rsid w:val="00660CA4"/>
    <w:rsid w:val="00660D19"/>
    <w:rsid w:val="00660DEE"/>
    <w:rsid w:val="00660E23"/>
    <w:rsid w:val="00660E7B"/>
    <w:rsid w:val="0066107F"/>
    <w:rsid w:val="006610D7"/>
    <w:rsid w:val="0066119A"/>
    <w:rsid w:val="0066119B"/>
    <w:rsid w:val="00661208"/>
    <w:rsid w:val="00661250"/>
    <w:rsid w:val="00661308"/>
    <w:rsid w:val="006613CF"/>
    <w:rsid w:val="006613DD"/>
    <w:rsid w:val="006613DE"/>
    <w:rsid w:val="006613F4"/>
    <w:rsid w:val="0066149F"/>
    <w:rsid w:val="006614B1"/>
    <w:rsid w:val="006614BD"/>
    <w:rsid w:val="006614DF"/>
    <w:rsid w:val="006614E8"/>
    <w:rsid w:val="00661576"/>
    <w:rsid w:val="0066165C"/>
    <w:rsid w:val="00661692"/>
    <w:rsid w:val="006616AA"/>
    <w:rsid w:val="006616E3"/>
    <w:rsid w:val="00661751"/>
    <w:rsid w:val="0066190E"/>
    <w:rsid w:val="006619DC"/>
    <w:rsid w:val="006619FB"/>
    <w:rsid w:val="00661A49"/>
    <w:rsid w:val="00661C26"/>
    <w:rsid w:val="00661C5E"/>
    <w:rsid w:val="00661CA9"/>
    <w:rsid w:val="00661CC5"/>
    <w:rsid w:val="00661CCE"/>
    <w:rsid w:val="00661DA1"/>
    <w:rsid w:val="00661DAF"/>
    <w:rsid w:val="00661F19"/>
    <w:rsid w:val="00662038"/>
    <w:rsid w:val="006620E0"/>
    <w:rsid w:val="0066219E"/>
    <w:rsid w:val="0066220E"/>
    <w:rsid w:val="006623F0"/>
    <w:rsid w:val="00662482"/>
    <w:rsid w:val="006624FA"/>
    <w:rsid w:val="00662540"/>
    <w:rsid w:val="0066259C"/>
    <w:rsid w:val="006625DD"/>
    <w:rsid w:val="00662649"/>
    <w:rsid w:val="006626FF"/>
    <w:rsid w:val="00662753"/>
    <w:rsid w:val="00662795"/>
    <w:rsid w:val="00662809"/>
    <w:rsid w:val="00662820"/>
    <w:rsid w:val="0066283C"/>
    <w:rsid w:val="0066288C"/>
    <w:rsid w:val="0066290A"/>
    <w:rsid w:val="0066290C"/>
    <w:rsid w:val="00662969"/>
    <w:rsid w:val="0066296E"/>
    <w:rsid w:val="00662984"/>
    <w:rsid w:val="006629C1"/>
    <w:rsid w:val="00662AFE"/>
    <w:rsid w:val="00662C62"/>
    <w:rsid w:val="00662D74"/>
    <w:rsid w:val="00662DCD"/>
    <w:rsid w:val="00662DEE"/>
    <w:rsid w:val="00662E5F"/>
    <w:rsid w:val="00662E63"/>
    <w:rsid w:val="00662E67"/>
    <w:rsid w:val="00662EEA"/>
    <w:rsid w:val="00662F69"/>
    <w:rsid w:val="00662FB3"/>
    <w:rsid w:val="0066300D"/>
    <w:rsid w:val="00663024"/>
    <w:rsid w:val="006630B1"/>
    <w:rsid w:val="00663146"/>
    <w:rsid w:val="006631A2"/>
    <w:rsid w:val="0066332B"/>
    <w:rsid w:val="00663362"/>
    <w:rsid w:val="006633BC"/>
    <w:rsid w:val="006633DD"/>
    <w:rsid w:val="00663449"/>
    <w:rsid w:val="00663454"/>
    <w:rsid w:val="006634AC"/>
    <w:rsid w:val="006634CD"/>
    <w:rsid w:val="0066354C"/>
    <w:rsid w:val="00663563"/>
    <w:rsid w:val="0066360D"/>
    <w:rsid w:val="00663684"/>
    <w:rsid w:val="00663768"/>
    <w:rsid w:val="0066377B"/>
    <w:rsid w:val="0066380C"/>
    <w:rsid w:val="00663907"/>
    <w:rsid w:val="00663977"/>
    <w:rsid w:val="00663A31"/>
    <w:rsid w:val="00663AD3"/>
    <w:rsid w:val="00663AF1"/>
    <w:rsid w:val="00663B71"/>
    <w:rsid w:val="00663BF5"/>
    <w:rsid w:val="00663C28"/>
    <w:rsid w:val="00663C54"/>
    <w:rsid w:val="00663CF5"/>
    <w:rsid w:val="00663D2C"/>
    <w:rsid w:val="00663D62"/>
    <w:rsid w:val="00663D6C"/>
    <w:rsid w:val="00663DC6"/>
    <w:rsid w:val="00663ED2"/>
    <w:rsid w:val="00663F0A"/>
    <w:rsid w:val="00663FDA"/>
    <w:rsid w:val="00663FDB"/>
    <w:rsid w:val="00663FE0"/>
    <w:rsid w:val="00663FEB"/>
    <w:rsid w:val="006640CB"/>
    <w:rsid w:val="006640F7"/>
    <w:rsid w:val="00664116"/>
    <w:rsid w:val="00664133"/>
    <w:rsid w:val="00664146"/>
    <w:rsid w:val="00664211"/>
    <w:rsid w:val="0066421E"/>
    <w:rsid w:val="00664261"/>
    <w:rsid w:val="006642F4"/>
    <w:rsid w:val="00664320"/>
    <w:rsid w:val="0066437A"/>
    <w:rsid w:val="006643B2"/>
    <w:rsid w:val="006643D9"/>
    <w:rsid w:val="006643F2"/>
    <w:rsid w:val="00664434"/>
    <w:rsid w:val="00664455"/>
    <w:rsid w:val="006644E3"/>
    <w:rsid w:val="00664521"/>
    <w:rsid w:val="0066456F"/>
    <w:rsid w:val="006645AE"/>
    <w:rsid w:val="006645F9"/>
    <w:rsid w:val="006646C6"/>
    <w:rsid w:val="006646EA"/>
    <w:rsid w:val="006646EE"/>
    <w:rsid w:val="00664757"/>
    <w:rsid w:val="0066479E"/>
    <w:rsid w:val="0066493F"/>
    <w:rsid w:val="00664964"/>
    <w:rsid w:val="00664974"/>
    <w:rsid w:val="00664999"/>
    <w:rsid w:val="00664A40"/>
    <w:rsid w:val="00664B44"/>
    <w:rsid w:val="00664B5A"/>
    <w:rsid w:val="00664B6D"/>
    <w:rsid w:val="00664B7D"/>
    <w:rsid w:val="00664BD6"/>
    <w:rsid w:val="00664C4C"/>
    <w:rsid w:val="00664D59"/>
    <w:rsid w:val="00664D5A"/>
    <w:rsid w:val="00664D5F"/>
    <w:rsid w:val="00664EDE"/>
    <w:rsid w:val="00664F4B"/>
    <w:rsid w:val="00664F5F"/>
    <w:rsid w:val="00664FF1"/>
    <w:rsid w:val="00665165"/>
    <w:rsid w:val="006651E5"/>
    <w:rsid w:val="00665310"/>
    <w:rsid w:val="00665426"/>
    <w:rsid w:val="0066544B"/>
    <w:rsid w:val="00665455"/>
    <w:rsid w:val="00665485"/>
    <w:rsid w:val="006654B7"/>
    <w:rsid w:val="006654E2"/>
    <w:rsid w:val="00665619"/>
    <w:rsid w:val="0066561F"/>
    <w:rsid w:val="00665654"/>
    <w:rsid w:val="00665711"/>
    <w:rsid w:val="0066575B"/>
    <w:rsid w:val="0066577B"/>
    <w:rsid w:val="0066582B"/>
    <w:rsid w:val="006658BA"/>
    <w:rsid w:val="00665968"/>
    <w:rsid w:val="00665971"/>
    <w:rsid w:val="00665978"/>
    <w:rsid w:val="00665A7E"/>
    <w:rsid w:val="00665AE4"/>
    <w:rsid w:val="00665BBD"/>
    <w:rsid w:val="00665CB8"/>
    <w:rsid w:val="00665CDD"/>
    <w:rsid w:val="00665D1C"/>
    <w:rsid w:val="00665D7D"/>
    <w:rsid w:val="00665E8F"/>
    <w:rsid w:val="00665EA3"/>
    <w:rsid w:val="00665F30"/>
    <w:rsid w:val="00665FC1"/>
    <w:rsid w:val="00666021"/>
    <w:rsid w:val="00666027"/>
    <w:rsid w:val="00666032"/>
    <w:rsid w:val="00666097"/>
    <w:rsid w:val="006660B5"/>
    <w:rsid w:val="00666164"/>
    <w:rsid w:val="006661EE"/>
    <w:rsid w:val="00666244"/>
    <w:rsid w:val="00666285"/>
    <w:rsid w:val="006662E9"/>
    <w:rsid w:val="00666312"/>
    <w:rsid w:val="00666374"/>
    <w:rsid w:val="00666393"/>
    <w:rsid w:val="00666396"/>
    <w:rsid w:val="00666431"/>
    <w:rsid w:val="00666463"/>
    <w:rsid w:val="0066646E"/>
    <w:rsid w:val="0066649F"/>
    <w:rsid w:val="006664FD"/>
    <w:rsid w:val="0066653E"/>
    <w:rsid w:val="00666578"/>
    <w:rsid w:val="006665BF"/>
    <w:rsid w:val="00666605"/>
    <w:rsid w:val="00666723"/>
    <w:rsid w:val="0066673E"/>
    <w:rsid w:val="00666763"/>
    <w:rsid w:val="00666870"/>
    <w:rsid w:val="006668C8"/>
    <w:rsid w:val="006668D9"/>
    <w:rsid w:val="006669A0"/>
    <w:rsid w:val="00666A20"/>
    <w:rsid w:val="00666A58"/>
    <w:rsid w:val="00666A60"/>
    <w:rsid w:val="00666AA3"/>
    <w:rsid w:val="00666AA4"/>
    <w:rsid w:val="00666B49"/>
    <w:rsid w:val="00666B5B"/>
    <w:rsid w:val="00666BA6"/>
    <w:rsid w:val="00666BBA"/>
    <w:rsid w:val="00666BCB"/>
    <w:rsid w:val="00666C39"/>
    <w:rsid w:val="00666CD8"/>
    <w:rsid w:val="00666D02"/>
    <w:rsid w:val="00666D5A"/>
    <w:rsid w:val="00666DCE"/>
    <w:rsid w:val="00666ED3"/>
    <w:rsid w:val="00666F12"/>
    <w:rsid w:val="00666F31"/>
    <w:rsid w:val="00666F5C"/>
    <w:rsid w:val="00666F89"/>
    <w:rsid w:val="0066702C"/>
    <w:rsid w:val="00667036"/>
    <w:rsid w:val="0066704B"/>
    <w:rsid w:val="00667069"/>
    <w:rsid w:val="00667079"/>
    <w:rsid w:val="006670ED"/>
    <w:rsid w:val="00667125"/>
    <w:rsid w:val="0066728A"/>
    <w:rsid w:val="006672A0"/>
    <w:rsid w:val="006672E6"/>
    <w:rsid w:val="00667308"/>
    <w:rsid w:val="006673BF"/>
    <w:rsid w:val="00667400"/>
    <w:rsid w:val="00667625"/>
    <w:rsid w:val="0066776B"/>
    <w:rsid w:val="0066784D"/>
    <w:rsid w:val="00667868"/>
    <w:rsid w:val="006678BD"/>
    <w:rsid w:val="00667949"/>
    <w:rsid w:val="00667979"/>
    <w:rsid w:val="00667986"/>
    <w:rsid w:val="00667B1C"/>
    <w:rsid w:val="00667B40"/>
    <w:rsid w:val="00667B4A"/>
    <w:rsid w:val="00667B4F"/>
    <w:rsid w:val="00667B64"/>
    <w:rsid w:val="00667D1D"/>
    <w:rsid w:val="00667E0B"/>
    <w:rsid w:val="00670000"/>
    <w:rsid w:val="00670054"/>
    <w:rsid w:val="00670073"/>
    <w:rsid w:val="00670085"/>
    <w:rsid w:val="006700AA"/>
    <w:rsid w:val="006700E8"/>
    <w:rsid w:val="0067013B"/>
    <w:rsid w:val="006701F3"/>
    <w:rsid w:val="0067022B"/>
    <w:rsid w:val="0067023E"/>
    <w:rsid w:val="00670268"/>
    <w:rsid w:val="00670280"/>
    <w:rsid w:val="006702A5"/>
    <w:rsid w:val="00670309"/>
    <w:rsid w:val="0067031F"/>
    <w:rsid w:val="0067032F"/>
    <w:rsid w:val="0067043D"/>
    <w:rsid w:val="006704A7"/>
    <w:rsid w:val="00670615"/>
    <w:rsid w:val="00670650"/>
    <w:rsid w:val="006706A2"/>
    <w:rsid w:val="006706F7"/>
    <w:rsid w:val="00670768"/>
    <w:rsid w:val="006707E4"/>
    <w:rsid w:val="00670855"/>
    <w:rsid w:val="00670875"/>
    <w:rsid w:val="00670A0B"/>
    <w:rsid w:val="00670A75"/>
    <w:rsid w:val="00670A99"/>
    <w:rsid w:val="00670AAA"/>
    <w:rsid w:val="00670B43"/>
    <w:rsid w:val="00670B71"/>
    <w:rsid w:val="00670C02"/>
    <w:rsid w:val="00670C24"/>
    <w:rsid w:val="00670CDD"/>
    <w:rsid w:val="00670D18"/>
    <w:rsid w:val="00670D95"/>
    <w:rsid w:val="00670DFE"/>
    <w:rsid w:val="00670DFF"/>
    <w:rsid w:val="00670EA4"/>
    <w:rsid w:val="00670EAF"/>
    <w:rsid w:val="00670FB2"/>
    <w:rsid w:val="0067111D"/>
    <w:rsid w:val="00671196"/>
    <w:rsid w:val="0067120E"/>
    <w:rsid w:val="006712C0"/>
    <w:rsid w:val="006712C4"/>
    <w:rsid w:val="0067132E"/>
    <w:rsid w:val="006713B4"/>
    <w:rsid w:val="00671414"/>
    <w:rsid w:val="0067143D"/>
    <w:rsid w:val="00671556"/>
    <w:rsid w:val="006716B6"/>
    <w:rsid w:val="00671714"/>
    <w:rsid w:val="006718CA"/>
    <w:rsid w:val="00671962"/>
    <w:rsid w:val="0067197C"/>
    <w:rsid w:val="006719CF"/>
    <w:rsid w:val="006719D0"/>
    <w:rsid w:val="00671B5C"/>
    <w:rsid w:val="00671C11"/>
    <w:rsid w:val="00671C6A"/>
    <w:rsid w:val="00671C82"/>
    <w:rsid w:val="00671CAB"/>
    <w:rsid w:val="00671D00"/>
    <w:rsid w:val="00671D1D"/>
    <w:rsid w:val="00671E05"/>
    <w:rsid w:val="00671E3A"/>
    <w:rsid w:val="00671E52"/>
    <w:rsid w:val="00671E90"/>
    <w:rsid w:val="00671EB6"/>
    <w:rsid w:val="00671EDE"/>
    <w:rsid w:val="00671F67"/>
    <w:rsid w:val="00671F8C"/>
    <w:rsid w:val="00671FAE"/>
    <w:rsid w:val="00672023"/>
    <w:rsid w:val="006721B4"/>
    <w:rsid w:val="006721FD"/>
    <w:rsid w:val="00672249"/>
    <w:rsid w:val="0067226C"/>
    <w:rsid w:val="006723BD"/>
    <w:rsid w:val="00672430"/>
    <w:rsid w:val="00672434"/>
    <w:rsid w:val="00672467"/>
    <w:rsid w:val="006725D1"/>
    <w:rsid w:val="006725F8"/>
    <w:rsid w:val="0067265A"/>
    <w:rsid w:val="006726CE"/>
    <w:rsid w:val="00672721"/>
    <w:rsid w:val="0067279C"/>
    <w:rsid w:val="0067289E"/>
    <w:rsid w:val="006728C1"/>
    <w:rsid w:val="006728D4"/>
    <w:rsid w:val="006729BA"/>
    <w:rsid w:val="00672A1D"/>
    <w:rsid w:val="00672A39"/>
    <w:rsid w:val="00672A48"/>
    <w:rsid w:val="00672AAC"/>
    <w:rsid w:val="00672B15"/>
    <w:rsid w:val="00672C53"/>
    <w:rsid w:val="00672EAC"/>
    <w:rsid w:val="00672ED4"/>
    <w:rsid w:val="00672F31"/>
    <w:rsid w:val="00672FA1"/>
    <w:rsid w:val="006730DA"/>
    <w:rsid w:val="00673201"/>
    <w:rsid w:val="00673239"/>
    <w:rsid w:val="0067330B"/>
    <w:rsid w:val="00673311"/>
    <w:rsid w:val="0067331A"/>
    <w:rsid w:val="00673413"/>
    <w:rsid w:val="00673426"/>
    <w:rsid w:val="006734B2"/>
    <w:rsid w:val="00673630"/>
    <w:rsid w:val="00673644"/>
    <w:rsid w:val="00673692"/>
    <w:rsid w:val="006736BF"/>
    <w:rsid w:val="006736C9"/>
    <w:rsid w:val="00673784"/>
    <w:rsid w:val="00673822"/>
    <w:rsid w:val="00673850"/>
    <w:rsid w:val="006738AE"/>
    <w:rsid w:val="006738D8"/>
    <w:rsid w:val="00673A69"/>
    <w:rsid w:val="00673AAF"/>
    <w:rsid w:val="00673B0E"/>
    <w:rsid w:val="00673B70"/>
    <w:rsid w:val="00673BBD"/>
    <w:rsid w:val="00673BEC"/>
    <w:rsid w:val="00673BF6"/>
    <w:rsid w:val="00673D14"/>
    <w:rsid w:val="00673D2C"/>
    <w:rsid w:val="00673DD6"/>
    <w:rsid w:val="00673EB2"/>
    <w:rsid w:val="00673F87"/>
    <w:rsid w:val="00673F90"/>
    <w:rsid w:val="0067407B"/>
    <w:rsid w:val="00674108"/>
    <w:rsid w:val="00674291"/>
    <w:rsid w:val="00674369"/>
    <w:rsid w:val="006743AB"/>
    <w:rsid w:val="006743C4"/>
    <w:rsid w:val="006743CE"/>
    <w:rsid w:val="00674432"/>
    <w:rsid w:val="0067448E"/>
    <w:rsid w:val="006744AC"/>
    <w:rsid w:val="006744C8"/>
    <w:rsid w:val="0067450A"/>
    <w:rsid w:val="0067455E"/>
    <w:rsid w:val="006745BF"/>
    <w:rsid w:val="0067462D"/>
    <w:rsid w:val="00674678"/>
    <w:rsid w:val="006746DA"/>
    <w:rsid w:val="00674718"/>
    <w:rsid w:val="00674728"/>
    <w:rsid w:val="0067472E"/>
    <w:rsid w:val="0067474E"/>
    <w:rsid w:val="00674760"/>
    <w:rsid w:val="00674794"/>
    <w:rsid w:val="0067479B"/>
    <w:rsid w:val="006747AE"/>
    <w:rsid w:val="006747B4"/>
    <w:rsid w:val="00674802"/>
    <w:rsid w:val="00674872"/>
    <w:rsid w:val="006748FF"/>
    <w:rsid w:val="00674979"/>
    <w:rsid w:val="006749A8"/>
    <w:rsid w:val="006749C6"/>
    <w:rsid w:val="00674A09"/>
    <w:rsid w:val="00674A22"/>
    <w:rsid w:val="00674B72"/>
    <w:rsid w:val="00674C7D"/>
    <w:rsid w:val="00674C7E"/>
    <w:rsid w:val="00674CDC"/>
    <w:rsid w:val="00674DCE"/>
    <w:rsid w:val="00674DE4"/>
    <w:rsid w:val="00674DEF"/>
    <w:rsid w:val="00674E9A"/>
    <w:rsid w:val="00674ED4"/>
    <w:rsid w:val="00674F32"/>
    <w:rsid w:val="00674F4A"/>
    <w:rsid w:val="00675008"/>
    <w:rsid w:val="00675080"/>
    <w:rsid w:val="006750F0"/>
    <w:rsid w:val="00675153"/>
    <w:rsid w:val="0067515D"/>
    <w:rsid w:val="006751D6"/>
    <w:rsid w:val="00675218"/>
    <w:rsid w:val="00675239"/>
    <w:rsid w:val="00675257"/>
    <w:rsid w:val="00675285"/>
    <w:rsid w:val="006753F1"/>
    <w:rsid w:val="006753F9"/>
    <w:rsid w:val="00675407"/>
    <w:rsid w:val="0067542A"/>
    <w:rsid w:val="00675466"/>
    <w:rsid w:val="00675490"/>
    <w:rsid w:val="006754ED"/>
    <w:rsid w:val="006754F5"/>
    <w:rsid w:val="00675533"/>
    <w:rsid w:val="0067559F"/>
    <w:rsid w:val="006755A0"/>
    <w:rsid w:val="006755CC"/>
    <w:rsid w:val="006755EE"/>
    <w:rsid w:val="006756F2"/>
    <w:rsid w:val="00675730"/>
    <w:rsid w:val="00675797"/>
    <w:rsid w:val="006758AF"/>
    <w:rsid w:val="0067591B"/>
    <w:rsid w:val="0067596C"/>
    <w:rsid w:val="00675988"/>
    <w:rsid w:val="00675999"/>
    <w:rsid w:val="006759B9"/>
    <w:rsid w:val="006759D9"/>
    <w:rsid w:val="006759E0"/>
    <w:rsid w:val="00675A5E"/>
    <w:rsid w:val="00675B09"/>
    <w:rsid w:val="00675C69"/>
    <w:rsid w:val="00675C76"/>
    <w:rsid w:val="00675C77"/>
    <w:rsid w:val="00675CC4"/>
    <w:rsid w:val="00675D20"/>
    <w:rsid w:val="00675DC5"/>
    <w:rsid w:val="00675E9B"/>
    <w:rsid w:val="00675F2D"/>
    <w:rsid w:val="00675F44"/>
    <w:rsid w:val="00676034"/>
    <w:rsid w:val="00676046"/>
    <w:rsid w:val="00676058"/>
    <w:rsid w:val="00676086"/>
    <w:rsid w:val="006760FF"/>
    <w:rsid w:val="00676165"/>
    <w:rsid w:val="0067617F"/>
    <w:rsid w:val="00676192"/>
    <w:rsid w:val="006762DF"/>
    <w:rsid w:val="006762ED"/>
    <w:rsid w:val="006762F7"/>
    <w:rsid w:val="006763F7"/>
    <w:rsid w:val="006764CB"/>
    <w:rsid w:val="006764CF"/>
    <w:rsid w:val="00676560"/>
    <w:rsid w:val="00676642"/>
    <w:rsid w:val="00676687"/>
    <w:rsid w:val="006766B9"/>
    <w:rsid w:val="006766E9"/>
    <w:rsid w:val="0067676A"/>
    <w:rsid w:val="006767AB"/>
    <w:rsid w:val="0067680C"/>
    <w:rsid w:val="006768C9"/>
    <w:rsid w:val="0067695B"/>
    <w:rsid w:val="006769FE"/>
    <w:rsid w:val="00676A12"/>
    <w:rsid w:val="00676A37"/>
    <w:rsid w:val="00676A4D"/>
    <w:rsid w:val="00676B24"/>
    <w:rsid w:val="00676C14"/>
    <w:rsid w:val="00676C59"/>
    <w:rsid w:val="00676C8C"/>
    <w:rsid w:val="00676D2F"/>
    <w:rsid w:val="00676D3A"/>
    <w:rsid w:val="00676D4A"/>
    <w:rsid w:val="00676DB7"/>
    <w:rsid w:val="00676DD2"/>
    <w:rsid w:val="00676E09"/>
    <w:rsid w:val="00676F1E"/>
    <w:rsid w:val="00676F6C"/>
    <w:rsid w:val="00676F7B"/>
    <w:rsid w:val="006770B9"/>
    <w:rsid w:val="00677111"/>
    <w:rsid w:val="0067713A"/>
    <w:rsid w:val="006772CF"/>
    <w:rsid w:val="006772DF"/>
    <w:rsid w:val="00677344"/>
    <w:rsid w:val="0067735E"/>
    <w:rsid w:val="00677420"/>
    <w:rsid w:val="00677450"/>
    <w:rsid w:val="00677494"/>
    <w:rsid w:val="0067749F"/>
    <w:rsid w:val="006774C0"/>
    <w:rsid w:val="00677526"/>
    <w:rsid w:val="00677569"/>
    <w:rsid w:val="0067759A"/>
    <w:rsid w:val="006775EC"/>
    <w:rsid w:val="0067760E"/>
    <w:rsid w:val="0067767B"/>
    <w:rsid w:val="006776C5"/>
    <w:rsid w:val="0067782A"/>
    <w:rsid w:val="0067786D"/>
    <w:rsid w:val="00677877"/>
    <w:rsid w:val="00677879"/>
    <w:rsid w:val="006778F7"/>
    <w:rsid w:val="00677932"/>
    <w:rsid w:val="0067798B"/>
    <w:rsid w:val="00677A6B"/>
    <w:rsid w:val="00677A9D"/>
    <w:rsid w:val="00677ABF"/>
    <w:rsid w:val="00677B67"/>
    <w:rsid w:val="00677BDA"/>
    <w:rsid w:val="00677C04"/>
    <w:rsid w:val="00677C24"/>
    <w:rsid w:val="00677C57"/>
    <w:rsid w:val="00677C78"/>
    <w:rsid w:val="00677D03"/>
    <w:rsid w:val="00677D0F"/>
    <w:rsid w:val="00677DBB"/>
    <w:rsid w:val="00677DF5"/>
    <w:rsid w:val="00677ECB"/>
    <w:rsid w:val="00677ECD"/>
    <w:rsid w:val="00677ECF"/>
    <w:rsid w:val="00677EE8"/>
    <w:rsid w:val="00677FA6"/>
    <w:rsid w:val="0068003E"/>
    <w:rsid w:val="0068004D"/>
    <w:rsid w:val="006800A3"/>
    <w:rsid w:val="0068019B"/>
    <w:rsid w:val="00680281"/>
    <w:rsid w:val="0068030D"/>
    <w:rsid w:val="006803D0"/>
    <w:rsid w:val="006804AA"/>
    <w:rsid w:val="006805FF"/>
    <w:rsid w:val="0068061F"/>
    <w:rsid w:val="00680628"/>
    <w:rsid w:val="006807AD"/>
    <w:rsid w:val="0068088B"/>
    <w:rsid w:val="00680897"/>
    <w:rsid w:val="00680940"/>
    <w:rsid w:val="00680966"/>
    <w:rsid w:val="00680976"/>
    <w:rsid w:val="00680A0A"/>
    <w:rsid w:val="00680ACD"/>
    <w:rsid w:val="00680B40"/>
    <w:rsid w:val="00680B8B"/>
    <w:rsid w:val="00680BC9"/>
    <w:rsid w:val="00680C07"/>
    <w:rsid w:val="00680CB2"/>
    <w:rsid w:val="00680CE6"/>
    <w:rsid w:val="00680D6D"/>
    <w:rsid w:val="00680D88"/>
    <w:rsid w:val="00680E1C"/>
    <w:rsid w:val="00680EF0"/>
    <w:rsid w:val="00680F02"/>
    <w:rsid w:val="00680FAD"/>
    <w:rsid w:val="00680FDF"/>
    <w:rsid w:val="00681008"/>
    <w:rsid w:val="00681088"/>
    <w:rsid w:val="006810BB"/>
    <w:rsid w:val="00681135"/>
    <w:rsid w:val="00681198"/>
    <w:rsid w:val="0068120E"/>
    <w:rsid w:val="0068124D"/>
    <w:rsid w:val="00681265"/>
    <w:rsid w:val="006812B8"/>
    <w:rsid w:val="00681426"/>
    <w:rsid w:val="00681456"/>
    <w:rsid w:val="0068147E"/>
    <w:rsid w:val="0068157B"/>
    <w:rsid w:val="0068161D"/>
    <w:rsid w:val="00681642"/>
    <w:rsid w:val="0068167E"/>
    <w:rsid w:val="00681690"/>
    <w:rsid w:val="006816F7"/>
    <w:rsid w:val="006818F3"/>
    <w:rsid w:val="00681907"/>
    <w:rsid w:val="00681989"/>
    <w:rsid w:val="006819EA"/>
    <w:rsid w:val="00681A08"/>
    <w:rsid w:val="00681AD4"/>
    <w:rsid w:val="00681AEB"/>
    <w:rsid w:val="00681B26"/>
    <w:rsid w:val="00681BCC"/>
    <w:rsid w:val="00681C65"/>
    <w:rsid w:val="00681D27"/>
    <w:rsid w:val="00681DB7"/>
    <w:rsid w:val="00681E08"/>
    <w:rsid w:val="00681E38"/>
    <w:rsid w:val="00681E57"/>
    <w:rsid w:val="00681EA6"/>
    <w:rsid w:val="00681EC9"/>
    <w:rsid w:val="00681EEF"/>
    <w:rsid w:val="00681F40"/>
    <w:rsid w:val="00681FEC"/>
    <w:rsid w:val="00682022"/>
    <w:rsid w:val="006820BE"/>
    <w:rsid w:val="006820D9"/>
    <w:rsid w:val="006820FD"/>
    <w:rsid w:val="00682129"/>
    <w:rsid w:val="0068219D"/>
    <w:rsid w:val="006821D6"/>
    <w:rsid w:val="0068220B"/>
    <w:rsid w:val="00682233"/>
    <w:rsid w:val="0068226D"/>
    <w:rsid w:val="006822FA"/>
    <w:rsid w:val="006823BA"/>
    <w:rsid w:val="006823CF"/>
    <w:rsid w:val="0068241A"/>
    <w:rsid w:val="0068243B"/>
    <w:rsid w:val="0068248D"/>
    <w:rsid w:val="006824D4"/>
    <w:rsid w:val="006824E8"/>
    <w:rsid w:val="0068256D"/>
    <w:rsid w:val="00682614"/>
    <w:rsid w:val="00682621"/>
    <w:rsid w:val="0068268E"/>
    <w:rsid w:val="0068279D"/>
    <w:rsid w:val="006827C0"/>
    <w:rsid w:val="0068288C"/>
    <w:rsid w:val="00682969"/>
    <w:rsid w:val="006829A1"/>
    <w:rsid w:val="006829BA"/>
    <w:rsid w:val="006829BC"/>
    <w:rsid w:val="006829FE"/>
    <w:rsid w:val="00682A1B"/>
    <w:rsid w:val="00682AE0"/>
    <w:rsid w:val="00682C4F"/>
    <w:rsid w:val="00682C76"/>
    <w:rsid w:val="00682C7F"/>
    <w:rsid w:val="00682D0F"/>
    <w:rsid w:val="00682D1A"/>
    <w:rsid w:val="00682D7B"/>
    <w:rsid w:val="00682D87"/>
    <w:rsid w:val="00682EA8"/>
    <w:rsid w:val="00682FF8"/>
    <w:rsid w:val="00683028"/>
    <w:rsid w:val="006830C3"/>
    <w:rsid w:val="006830D8"/>
    <w:rsid w:val="00683119"/>
    <w:rsid w:val="006831F1"/>
    <w:rsid w:val="00683256"/>
    <w:rsid w:val="00683287"/>
    <w:rsid w:val="006832EF"/>
    <w:rsid w:val="006833AA"/>
    <w:rsid w:val="006833B3"/>
    <w:rsid w:val="00683420"/>
    <w:rsid w:val="0068364C"/>
    <w:rsid w:val="006836AF"/>
    <w:rsid w:val="006836F7"/>
    <w:rsid w:val="00683744"/>
    <w:rsid w:val="006837AB"/>
    <w:rsid w:val="00683846"/>
    <w:rsid w:val="0068388C"/>
    <w:rsid w:val="0068398A"/>
    <w:rsid w:val="00683A3D"/>
    <w:rsid w:val="00683AAB"/>
    <w:rsid w:val="00683AAF"/>
    <w:rsid w:val="00683AC2"/>
    <w:rsid w:val="00683AE1"/>
    <w:rsid w:val="00683B22"/>
    <w:rsid w:val="00683B3C"/>
    <w:rsid w:val="00683B65"/>
    <w:rsid w:val="00683BF2"/>
    <w:rsid w:val="00683C27"/>
    <w:rsid w:val="00683CAC"/>
    <w:rsid w:val="00683CB9"/>
    <w:rsid w:val="00683DA6"/>
    <w:rsid w:val="00683DB1"/>
    <w:rsid w:val="00683E0C"/>
    <w:rsid w:val="00683EB0"/>
    <w:rsid w:val="00683EC4"/>
    <w:rsid w:val="00683EC6"/>
    <w:rsid w:val="00683F05"/>
    <w:rsid w:val="00683F36"/>
    <w:rsid w:val="00683FD5"/>
    <w:rsid w:val="00684004"/>
    <w:rsid w:val="00684024"/>
    <w:rsid w:val="006840DA"/>
    <w:rsid w:val="00684124"/>
    <w:rsid w:val="0068412B"/>
    <w:rsid w:val="006841D8"/>
    <w:rsid w:val="00684201"/>
    <w:rsid w:val="0068428B"/>
    <w:rsid w:val="00684298"/>
    <w:rsid w:val="0068434F"/>
    <w:rsid w:val="00684373"/>
    <w:rsid w:val="0068445D"/>
    <w:rsid w:val="006844A4"/>
    <w:rsid w:val="006844B5"/>
    <w:rsid w:val="006844DD"/>
    <w:rsid w:val="006844F7"/>
    <w:rsid w:val="00684588"/>
    <w:rsid w:val="00684609"/>
    <w:rsid w:val="00684620"/>
    <w:rsid w:val="00684678"/>
    <w:rsid w:val="00684764"/>
    <w:rsid w:val="006847CA"/>
    <w:rsid w:val="00684850"/>
    <w:rsid w:val="0068491F"/>
    <w:rsid w:val="006849D7"/>
    <w:rsid w:val="006849E3"/>
    <w:rsid w:val="00684A16"/>
    <w:rsid w:val="00684B26"/>
    <w:rsid w:val="00684B4D"/>
    <w:rsid w:val="00684B98"/>
    <w:rsid w:val="00684D0F"/>
    <w:rsid w:val="00684D2C"/>
    <w:rsid w:val="00684DFC"/>
    <w:rsid w:val="00684E87"/>
    <w:rsid w:val="00684EE5"/>
    <w:rsid w:val="00684F88"/>
    <w:rsid w:val="0068505A"/>
    <w:rsid w:val="006850A6"/>
    <w:rsid w:val="006851A3"/>
    <w:rsid w:val="006851BD"/>
    <w:rsid w:val="00685212"/>
    <w:rsid w:val="0068521D"/>
    <w:rsid w:val="00685283"/>
    <w:rsid w:val="006853AF"/>
    <w:rsid w:val="00685410"/>
    <w:rsid w:val="006854DA"/>
    <w:rsid w:val="00685589"/>
    <w:rsid w:val="006855E2"/>
    <w:rsid w:val="00685635"/>
    <w:rsid w:val="006856C7"/>
    <w:rsid w:val="0068570B"/>
    <w:rsid w:val="006857D2"/>
    <w:rsid w:val="00685857"/>
    <w:rsid w:val="00685862"/>
    <w:rsid w:val="00685869"/>
    <w:rsid w:val="00685995"/>
    <w:rsid w:val="00685A0E"/>
    <w:rsid w:val="00685B53"/>
    <w:rsid w:val="00685D80"/>
    <w:rsid w:val="00685DFA"/>
    <w:rsid w:val="00685DFB"/>
    <w:rsid w:val="00685EAD"/>
    <w:rsid w:val="00685F27"/>
    <w:rsid w:val="00685F35"/>
    <w:rsid w:val="00685F4C"/>
    <w:rsid w:val="00685F8E"/>
    <w:rsid w:val="006860FE"/>
    <w:rsid w:val="00686109"/>
    <w:rsid w:val="0068613F"/>
    <w:rsid w:val="0068615C"/>
    <w:rsid w:val="0068616C"/>
    <w:rsid w:val="0068619A"/>
    <w:rsid w:val="006861A8"/>
    <w:rsid w:val="006861B0"/>
    <w:rsid w:val="006862A2"/>
    <w:rsid w:val="006862C4"/>
    <w:rsid w:val="006862F5"/>
    <w:rsid w:val="00686344"/>
    <w:rsid w:val="00686346"/>
    <w:rsid w:val="006863BE"/>
    <w:rsid w:val="0068649A"/>
    <w:rsid w:val="006864F2"/>
    <w:rsid w:val="006864FF"/>
    <w:rsid w:val="0068655E"/>
    <w:rsid w:val="0068659D"/>
    <w:rsid w:val="006865A5"/>
    <w:rsid w:val="0068664E"/>
    <w:rsid w:val="006866F2"/>
    <w:rsid w:val="00686772"/>
    <w:rsid w:val="00686776"/>
    <w:rsid w:val="006867F8"/>
    <w:rsid w:val="0068682C"/>
    <w:rsid w:val="0068693D"/>
    <w:rsid w:val="0068694E"/>
    <w:rsid w:val="00686982"/>
    <w:rsid w:val="006869D6"/>
    <w:rsid w:val="006869FB"/>
    <w:rsid w:val="00686A33"/>
    <w:rsid w:val="00686A61"/>
    <w:rsid w:val="00686B55"/>
    <w:rsid w:val="00686BB1"/>
    <w:rsid w:val="00686CCE"/>
    <w:rsid w:val="00686D9D"/>
    <w:rsid w:val="00686F37"/>
    <w:rsid w:val="00686F96"/>
    <w:rsid w:val="00687078"/>
    <w:rsid w:val="00687079"/>
    <w:rsid w:val="00687096"/>
    <w:rsid w:val="0068712B"/>
    <w:rsid w:val="0068715A"/>
    <w:rsid w:val="00687161"/>
    <w:rsid w:val="00687171"/>
    <w:rsid w:val="00687311"/>
    <w:rsid w:val="0068734B"/>
    <w:rsid w:val="0068734E"/>
    <w:rsid w:val="00687351"/>
    <w:rsid w:val="0068737F"/>
    <w:rsid w:val="00687386"/>
    <w:rsid w:val="006874AF"/>
    <w:rsid w:val="006874F8"/>
    <w:rsid w:val="00687504"/>
    <w:rsid w:val="0068752F"/>
    <w:rsid w:val="00687592"/>
    <w:rsid w:val="006875A1"/>
    <w:rsid w:val="00687610"/>
    <w:rsid w:val="006876A4"/>
    <w:rsid w:val="006876D8"/>
    <w:rsid w:val="00687796"/>
    <w:rsid w:val="006877C8"/>
    <w:rsid w:val="006877E1"/>
    <w:rsid w:val="006877EF"/>
    <w:rsid w:val="00687839"/>
    <w:rsid w:val="0068786E"/>
    <w:rsid w:val="006878CC"/>
    <w:rsid w:val="006878F8"/>
    <w:rsid w:val="006879D1"/>
    <w:rsid w:val="00687ADF"/>
    <w:rsid w:val="00687B7E"/>
    <w:rsid w:val="00687BC4"/>
    <w:rsid w:val="00687C01"/>
    <w:rsid w:val="00687DE5"/>
    <w:rsid w:val="00687E03"/>
    <w:rsid w:val="00687E35"/>
    <w:rsid w:val="00687EC2"/>
    <w:rsid w:val="00687F4C"/>
    <w:rsid w:val="00687FD1"/>
    <w:rsid w:val="00687FD7"/>
    <w:rsid w:val="00690048"/>
    <w:rsid w:val="006900BE"/>
    <w:rsid w:val="00690115"/>
    <w:rsid w:val="00690139"/>
    <w:rsid w:val="006901A7"/>
    <w:rsid w:val="006901B4"/>
    <w:rsid w:val="0069022B"/>
    <w:rsid w:val="006902AA"/>
    <w:rsid w:val="00690312"/>
    <w:rsid w:val="00690341"/>
    <w:rsid w:val="0069045E"/>
    <w:rsid w:val="006904A6"/>
    <w:rsid w:val="00690515"/>
    <w:rsid w:val="00690528"/>
    <w:rsid w:val="006906F3"/>
    <w:rsid w:val="006907AD"/>
    <w:rsid w:val="006907D5"/>
    <w:rsid w:val="006908FF"/>
    <w:rsid w:val="00690947"/>
    <w:rsid w:val="006909A3"/>
    <w:rsid w:val="006909A6"/>
    <w:rsid w:val="00690AB6"/>
    <w:rsid w:val="00690B55"/>
    <w:rsid w:val="00690BA8"/>
    <w:rsid w:val="00690BB9"/>
    <w:rsid w:val="00690C11"/>
    <w:rsid w:val="00690C86"/>
    <w:rsid w:val="00690CE6"/>
    <w:rsid w:val="00690CFF"/>
    <w:rsid w:val="00690D13"/>
    <w:rsid w:val="00690D5E"/>
    <w:rsid w:val="00690D8E"/>
    <w:rsid w:val="00690D9A"/>
    <w:rsid w:val="00690DA7"/>
    <w:rsid w:val="00690E12"/>
    <w:rsid w:val="00690EAE"/>
    <w:rsid w:val="00690FB1"/>
    <w:rsid w:val="00691049"/>
    <w:rsid w:val="006910DD"/>
    <w:rsid w:val="00691166"/>
    <w:rsid w:val="00691196"/>
    <w:rsid w:val="006911E4"/>
    <w:rsid w:val="0069120D"/>
    <w:rsid w:val="00691228"/>
    <w:rsid w:val="00691248"/>
    <w:rsid w:val="00691317"/>
    <w:rsid w:val="0069133C"/>
    <w:rsid w:val="006913CD"/>
    <w:rsid w:val="00691428"/>
    <w:rsid w:val="006914C9"/>
    <w:rsid w:val="006914FA"/>
    <w:rsid w:val="0069150A"/>
    <w:rsid w:val="00691568"/>
    <w:rsid w:val="00691577"/>
    <w:rsid w:val="0069165B"/>
    <w:rsid w:val="00691891"/>
    <w:rsid w:val="006918F2"/>
    <w:rsid w:val="006918FC"/>
    <w:rsid w:val="00691AB3"/>
    <w:rsid w:val="00691AC8"/>
    <w:rsid w:val="00691AE8"/>
    <w:rsid w:val="00691B42"/>
    <w:rsid w:val="00691C89"/>
    <w:rsid w:val="00691CA3"/>
    <w:rsid w:val="00691CDA"/>
    <w:rsid w:val="00691DE0"/>
    <w:rsid w:val="00691DF3"/>
    <w:rsid w:val="00691E4B"/>
    <w:rsid w:val="00691F26"/>
    <w:rsid w:val="00691F63"/>
    <w:rsid w:val="00691FAC"/>
    <w:rsid w:val="00691FF7"/>
    <w:rsid w:val="0069200F"/>
    <w:rsid w:val="00692076"/>
    <w:rsid w:val="00692140"/>
    <w:rsid w:val="006921AA"/>
    <w:rsid w:val="006921F3"/>
    <w:rsid w:val="0069222C"/>
    <w:rsid w:val="0069226B"/>
    <w:rsid w:val="00692278"/>
    <w:rsid w:val="006922E4"/>
    <w:rsid w:val="00692303"/>
    <w:rsid w:val="0069231B"/>
    <w:rsid w:val="00692393"/>
    <w:rsid w:val="00692457"/>
    <w:rsid w:val="00692470"/>
    <w:rsid w:val="0069248C"/>
    <w:rsid w:val="006926AF"/>
    <w:rsid w:val="006926BD"/>
    <w:rsid w:val="0069275F"/>
    <w:rsid w:val="00692785"/>
    <w:rsid w:val="006927A6"/>
    <w:rsid w:val="006927B0"/>
    <w:rsid w:val="006927C1"/>
    <w:rsid w:val="00692824"/>
    <w:rsid w:val="00692838"/>
    <w:rsid w:val="00692848"/>
    <w:rsid w:val="00692987"/>
    <w:rsid w:val="006929E8"/>
    <w:rsid w:val="00692A19"/>
    <w:rsid w:val="00692A98"/>
    <w:rsid w:val="00692AE1"/>
    <w:rsid w:val="00692AEC"/>
    <w:rsid w:val="00692B19"/>
    <w:rsid w:val="00692B2C"/>
    <w:rsid w:val="00692B48"/>
    <w:rsid w:val="00692B59"/>
    <w:rsid w:val="00692BA1"/>
    <w:rsid w:val="00692BCE"/>
    <w:rsid w:val="00692CE2"/>
    <w:rsid w:val="00692D12"/>
    <w:rsid w:val="00692E05"/>
    <w:rsid w:val="00692F3A"/>
    <w:rsid w:val="00692F84"/>
    <w:rsid w:val="00692FC5"/>
    <w:rsid w:val="00693044"/>
    <w:rsid w:val="0069307F"/>
    <w:rsid w:val="006930F8"/>
    <w:rsid w:val="006931A4"/>
    <w:rsid w:val="006931BD"/>
    <w:rsid w:val="00693229"/>
    <w:rsid w:val="00693286"/>
    <w:rsid w:val="006932D2"/>
    <w:rsid w:val="00693358"/>
    <w:rsid w:val="006933DB"/>
    <w:rsid w:val="00693422"/>
    <w:rsid w:val="00693529"/>
    <w:rsid w:val="0069352F"/>
    <w:rsid w:val="006935FC"/>
    <w:rsid w:val="00693624"/>
    <w:rsid w:val="0069366F"/>
    <w:rsid w:val="00693687"/>
    <w:rsid w:val="006936EC"/>
    <w:rsid w:val="00693752"/>
    <w:rsid w:val="00693851"/>
    <w:rsid w:val="006938AA"/>
    <w:rsid w:val="00693961"/>
    <w:rsid w:val="006939FB"/>
    <w:rsid w:val="00693A68"/>
    <w:rsid w:val="00693AC5"/>
    <w:rsid w:val="00693AE3"/>
    <w:rsid w:val="00693B37"/>
    <w:rsid w:val="00693B8E"/>
    <w:rsid w:val="00693BDF"/>
    <w:rsid w:val="00693C9C"/>
    <w:rsid w:val="00693D08"/>
    <w:rsid w:val="00693DA7"/>
    <w:rsid w:val="00693DD3"/>
    <w:rsid w:val="00693F46"/>
    <w:rsid w:val="00693F67"/>
    <w:rsid w:val="00693FB7"/>
    <w:rsid w:val="00694033"/>
    <w:rsid w:val="00694070"/>
    <w:rsid w:val="00694091"/>
    <w:rsid w:val="0069409D"/>
    <w:rsid w:val="006940C6"/>
    <w:rsid w:val="006942D5"/>
    <w:rsid w:val="006943D4"/>
    <w:rsid w:val="006943DA"/>
    <w:rsid w:val="00694402"/>
    <w:rsid w:val="006944BB"/>
    <w:rsid w:val="0069463A"/>
    <w:rsid w:val="006946A0"/>
    <w:rsid w:val="006946AA"/>
    <w:rsid w:val="006946BB"/>
    <w:rsid w:val="006946E1"/>
    <w:rsid w:val="00694717"/>
    <w:rsid w:val="0069474B"/>
    <w:rsid w:val="0069475D"/>
    <w:rsid w:val="0069475F"/>
    <w:rsid w:val="00694761"/>
    <w:rsid w:val="0069476F"/>
    <w:rsid w:val="006947A9"/>
    <w:rsid w:val="00694824"/>
    <w:rsid w:val="006948E4"/>
    <w:rsid w:val="006949AE"/>
    <w:rsid w:val="00694A03"/>
    <w:rsid w:val="00694A23"/>
    <w:rsid w:val="00694BF7"/>
    <w:rsid w:val="00694C3E"/>
    <w:rsid w:val="00694C3F"/>
    <w:rsid w:val="00694C42"/>
    <w:rsid w:val="00694CB9"/>
    <w:rsid w:val="00694CD8"/>
    <w:rsid w:val="00694CFE"/>
    <w:rsid w:val="00694D58"/>
    <w:rsid w:val="00694E1E"/>
    <w:rsid w:val="00694E3C"/>
    <w:rsid w:val="00694E91"/>
    <w:rsid w:val="00694F69"/>
    <w:rsid w:val="00694F74"/>
    <w:rsid w:val="00694FF5"/>
    <w:rsid w:val="00694FFE"/>
    <w:rsid w:val="006950BB"/>
    <w:rsid w:val="00695212"/>
    <w:rsid w:val="006952A4"/>
    <w:rsid w:val="0069530C"/>
    <w:rsid w:val="00695320"/>
    <w:rsid w:val="0069532F"/>
    <w:rsid w:val="006953EF"/>
    <w:rsid w:val="0069555F"/>
    <w:rsid w:val="006955D8"/>
    <w:rsid w:val="006955EB"/>
    <w:rsid w:val="00695605"/>
    <w:rsid w:val="0069567E"/>
    <w:rsid w:val="006956BB"/>
    <w:rsid w:val="0069575F"/>
    <w:rsid w:val="00695770"/>
    <w:rsid w:val="0069588F"/>
    <w:rsid w:val="006958BF"/>
    <w:rsid w:val="006958C4"/>
    <w:rsid w:val="006959EC"/>
    <w:rsid w:val="006959FA"/>
    <w:rsid w:val="00695A6B"/>
    <w:rsid w:val="00695C1A"/>
    <w:rsid w:val="00695C35"/>
    <w:rsid w:val="00695C88"/>
    <w:rsid w:val="00695CD2"/>
    <w:rsid w:val="00695D32"/>
    <w:rsid w:val="00695D41"/>
    <w:rsid w:val="00695D89"/>
    <w:rsid w:val="00695E67"/>
    <w:rsid w:val="00695E71"/>
    <w:rsid w:val="00695E94"/>
    <w:rsid w:val="00695EA0"/>
    <w:rsid w:val="00695EC0"/>
    <w:rsid w:val="00696024"/>
    <w:rsid w:val="006960BE"/>
    <w:rsid w:val="00696163"/>
    <w:rsid w:val="00696343"/>
    <w:rsid w:val="0069635D"/>
    <w:rsid w:val="006963BA"/>
    <w:rsid w:val="006963D7"/>
    <w:rsid w:val="00696443"/>
    <w:rsid w:val="006964F3"/>
    <w:rsid w:val="0069656E"/>
    <w:rsid w:val="006965B7"/>
    <w:rsid w:val="0069664F"/>
    <w:rsid w:val="00696675"/>
    <w:rsid w:val="00696727"/>
    <w:rsid w:val="00696851"/>
    <w:rsid w:val="00696949"/>
    <w:rsid w:val="006969AF"/>
    <w:rsid w:val="006969EB"/>
    <w:rsid w:val="00696A86"/>
    <w:rsid w:val="00696BE6"/>
    <w:rsid w:val="00696C16"/>
    <w:rsid w:val="00696C3D"/>
    <w:rsid w:val="00696C63"/>
    <w:rsid w:val="00696D4A"/>
    <w:rsid w:val="00696EED"/>
    <w:rsid w:val="00696EF2"/>
    <w:rsid w:val="00696FAC"/>
    <w:rsid w:val="006970F9"/>
    <w:rsid w:val="00697100"/>
    <w:rsid w:val="006971D5"/>
    <w:rsid w:val="00697203"/>
    <w:rsid w:val="0069724D"/>
    <w:rsid w:val="00697297"/>
    <w:rsid w:val="006972E2"/>
    <w:rsid w:val="0069733D"/>
    <w:rsid w:val="0069734C"/>
    <w:rsid w:val="00697436"/>
    <w:rsid w:val="0069749E"/>
    <w:rsid w:val="0069759B"/>
    <w:rsid w:val="006975F2"/>
    <w:rsid w:val="00697624"/>
    <w:rsid w:val="00697658"/>
    <w:rsid w:val="006976A1"/>
    <w:rsid w:val="006976AD"/>
    <w:rsid w:val="006976ED"/>
    <w:rsid w:val="0069770E"/>
    <w:rsid w:val="00697748"/>
    <w:rsid w:val="00697793"/>
    <w:rsid w:val="006977DB"/>
    <w:rsid w:val="00697945"/>
    <w:rsid w:val="00697960"/>
    <w:rsid w:val="00697966"/>
    <w:rsid w:val="00697A27"/>
    <w:rsid w:val="00697B62"/>
    <w:rsid w:val="00697CE1"/>
    <w:rsid w:val="00697D5A"/>
    <w:rsid w:val="00697D6C"/>
    <w:rsid w:val="00697DB6"/>
    <w:rsid w:val="00697ED7"/>
    <w:rsid w:val="00697F05"/>
    <w:rsid w:val="00697F2A"/>
    <w:rsid w:val="00697F6B"/>
    <w:rsid w:val="006A0018"/>
    <w:rsid w:val="006A0053"/>
    <w:rsid w:val="006A009A"/>
    <w:rsid w:val="006A00C3"/>
    <w:rsid w:val="006A011B"/>
    <w:rsid w:val="006A012D"/>
    <w:rsid w:val="006A0174"/>
    <w:rsid w:val="006A01D5"/>
    <w:rsid w:val="006A021A"/>
    <w:rsid w:val="006A026A"/>
    <w:rsid w:val="006A0280"/>
    <w:rsid w:val="006A0282"/>
    <w:rsid w:val="006A0344"/>
    <w:rsid w:val="006A0348"/>
    <w:rsid w:val="006A0355"/>
    <w:rsid w:val="006A037E"/>
    <w:rsid w:val="006A03CD"/>
    <w:rsid w:val="006A0411"/>
    <w:rsid w:val="006A04C7"/>
    <w:rsid w:val="006A04F6"/>
    <w:rsid w:val="006A053D"/>
    <w:rsid w:val="006A0579"/>
    <w:rsid w:val="006A05B0"/>
    <w:rsid w:val="006A067D"/>
    <w:rsid w:val="006A073A"/>
    <w:rsid w:val="006A07A3"/>
    <w:rsid w:val="006A07D0"/>
    <w:rsid w:val="006A0821"/>
    <w:rsid w:val="006A08EE"/>
    <w:rsid w:val="006A0A06"/>
    <w:rsid w:val="006A0A8A"/>
    <w:rsid w:val="006A0AF6"/>
    <w:rsid w:val="006A0B22"/>
    <w:rsid w:val="006A0B32"/>
    <w:rsid w:val="006A0B51"/>
    <w:rsid w:val="006A0BC4"/>
    <w:rsid w:val="006A0BE0"/>
    <w:rsid w:val="006A0C2F"/>
    <w:rsid w:val="006A0C36"/>
    <w:rsid w:val="006A0C79"/>
    <w:rsid w:val="006A0C8E"/>
    <w:rsid w:val="006A0CB4"/>
    <w:rsid w:val="006A0CC4"/>
    <w:rsid w:val="006A0CE3"/>
    <w:rsid w:val="006A0E6E"/>
    <w:rsid w:val="006A0E7A"/>
    <w:rsid w:val="006A0E82"/>
    <w:rsid w:val="006A0E84"/>
    <w:rsid w:val="006A0F24"/>
    <w:rsid w:val="006A1104"/>
    <w:rsid w:val="006A119C"/>
    <w:rsid w:val="006A11D3"/>
    <w:rsid w:val="006A1237"/>
    <w:rsid w:val="006A130A"/>
    <w:rsid w:val="006A1388"/>
    <w:rsid w:val="006A13A3"/>
    <w:rsid w:val="006A13D6"/>
    <w:rsid w:val="006A1429"/>
    <w:rsid w:val="006A1436"/>
    <w:rsid w:val="006A1438"/>
    <w:rsid w:val="006A144B"/>
    <w:rsid w:val="006A146D"/>
    <w:rsid w:val="006A1492"/>
    <w:rsid w:val="006A14A5"/>
    <w:rsid w:val="006A14AE"/>
    <w:rsid w:val="006A1545"/>
    <w:rsid w:val="006A15A1"/>
    <w:rsid w:val="006A1610"/>
    <w:rsid w:val="006A165A"/>
    <w:rsid w:val="006A165C"/>
    <w:rsid w:val="006A1680"/>
    <w:rsid w:val="006A1687"/>
    <w:rsid w:val="006A169F"/>
    <w:rsid w:val="006A16E3"/>
    <w:rsid w:val="006A176D"/>
    <w:rsid w:val="006A1851"/>
    <w:rsid w:val="006A189D"/>
    <w:rsid w:val="006A18E5"/>
    <w:rsid w:val="006A1951"/>
    <w:rsid w:val="006A1986"/>
    <w:rsid w:val="006A19DF"/>
    <w:rsid w:val="006A1AE8"/>
    <w:rsid w:val="006A1B0C"/>
    <w:rsid w:val="006A1BC5"/>
    <w:rsid w:val="006A1BD7"/>
    <w:rsid w:val="006A1BF3"/>
    <w:rsid w:val="006A1C7B"/>
    <w:rsid w:val="006A1DBD"/>
    <w:rsid w:val="006A1E2C"/>
    <w:rsid w:val="006A1ED8"/>
    <w:rsid w:val="006A1F22"/>
    <w:rsid w:val="006A1FA3"/>
    <w:rsid w:val="006A1FF6"/>
    <w:rsid w:val="006A2016"/>
    <w:rsid w:val="006A20DD"/>
    <w:rsid w:val="006A20EF"/>
    <w:rsid w:val="006A2112"/>
    <w:rsid w:val="006A215E"/>
    <w:rsid w:val="006A21ED"/>
    <w:rsid w:val="006A236D"/>
    <w:rsid w:val="006A2388"/>
    <w:rsid w:val="006A23B6"/>
    <w:rsid w:val="006A23C0"/>
    <w:rsid w:val="006A23EE"/>
    <w:rsid w:val="006A2431"/>
    <w:rsid w:val="006A2432"/>
    <w:rsid w:val="006A24AF"/>
    <w:rsid w:val="006A2502"/>
    <w:rsid w:val="006A256B"/>
    <w:rsid w:val="006A2597"/>
    <w:rsid w:val="006A25F0"/>
    <w:rsid w:val="006A2609"/>
    <w:rsid w:val="006A2620"/>
    <w:rsid w:val="006A271D"/>
    <w:rsid w:val="006A273D"/>
    <w:rsid w:val="006A2747"/>
    <w:rsid w:val="006A2807"/>
    <w:rsid w:val="006A280D"/>
    <w:rsid w:val="006A295B"/>
    <w:rsid w:val="006A2974"/>
    <w:rsid w:val="006A2A74"/>
    <w:rsid w:val="006A2AD0"/>
    <w:rsid w:val="006A2B06"/>
    <w:rsid w:val="006A2B65"/>
    <w:rsid w:val="006A2B9D"/>
    <w:rsid w:val="006A2BE5"/>
    <w:rsid w:val="006A2BFA"/>
    <w:rsid w:val="006A2C00"/>
    <w:rsid w:val="006A2CF0"/>
    <w:rsid w:val="006A2D31"/>
    <w:rsid w:val="006A2E60"/>
    <w:rsid w:val="006A2EA3"/>
    <w:rsid w:val="006A2EFC"/>
    <w:rsid w:val="006A2F0A"/>
    <w:rsid w:val="006A2F3C"/>
    <w:rsid w:val="006A2F88"/>
    <w:rsid w:val="006A2FD4"/>
    <w:rsid w:val="006A300A"/>
    <w:rsid w:val="006A3070"/>
    <w:rsid w:val="006A3113"/>
    <w:rsid w:val="006A31A6"/>
    <w:rsid w:val="006A31C9"/>
    <w:rsid w:val="006A322C"/>
    <w:rsid w:val="006A32B9"/>
    <w:rsid w:val="006A32E1"/>
    <w:rsid w:val="006A339C"/>
    <w:rsid w:val="006A33FD"/>
    <w:rsid w:val="006A342B"/>
    <w:rsid w:val="006A348B"/>
    <w:rsid w:val="006A34F7"/>
    <w:rsid w:val="006A35C4"/>
    <w:rsid w:val="006A3796"/>
    <w:rsid w:val="006A3837"/>
    <w:rsid w:val="006A391E"/>
    <w:rsid w:val="006A3948"/>
    <w:rsid w:val="006A3992"/>
    <w:rsid w:val="006A3A2B"/>
    <w:rsid w:val="006A3A38"/>
    <w:rsid w:val="006A3A4C"/>
    <w:rsid w:val="006A3AAE"/>
    <w:rsid w:val="006A3AB1"/>
    <w:rsid w:val="006A3AFB"/>
    <w:rsid w:val="006A3B07"/>
    <w:rsid w:val="006A3B34"/>
    <w:rsid w:val="006A3B40"/>
    <w:rsid w:val="006A3B74"/>
    <w:rsid w:val="006A3B80"/>
    <w:rsid w:val="006A3BD3"/>
    <w:rsid w:val="006A3C1C"/>
    <w:rsid w:val="006A3CFE"/>
    <w:rsid w:val="006A3DAF"/>
    <w:rsid w:val="006A3F0D"/>
    <w:rsid w:val="006A3F25"/>
    <w:rsid w:val="006A401D"/>
    <w:rsid w:val="006A404E"/>
    <w:rsid w:val="006A405B"/>
    <w:rsid w:val="006A4096"/>
    <w:rsid w:val="006A40A6"/>
    <w:rsid w:val="006A4117"/>
    <w:rsid w:val="006A4143"/>
    <w:rsid w:val="006A4154"/>
    <w:rsid w:val="006A418F"/>
    <w:rsid w:val="006A421A"/>
    <w:rsid w:val="006A42BE"/>
    <w:rsid w:val="006A42F2"/>
    <w:rsid w:val="006A4340"/>
    <w:rsid w:val="006A4358"/>
    <w:rsid w:val="006A4372"/>
    <w:rsid w:val="006A43B6"/>
    <w:rsid w:val="006A43BA"/>
    <w:rsid w:val="006A43E1"/>
    <w:rsid w:val="006A44B1"/>
    <w:rsid w:val="006A44C5"/>
    <w:rsid w:val="006A4518"/>
    <w:rsid w:val="006A4542"/>
    <w:rsid w:val="006A45A5"/>
    <w:rsid w:val="006A46B1"/>
    <w:rsid w:val="006A4838"/>
    <w:rsid w:val="006A486E"/>
    <w:rsid w:val="006A48ED"/>
    <w:rsid w:val="006A4916"/>
    <w:rsid w:val="006A49C7"/>
    <w:rsid w:val="006A4A4E"/>
    <w:rsid w:val="006A4B61"/>
    <w:rsid w:val="006A4B7B"/>
    <w:rsid w:val="006A4BAE"/>
    <w:rsid w:val="006A4CE3"/>
    <w:rsid w:val="006A4D84"/>
    <w:rsid w:val="006A4E08"/>
    <w:rsid w:val="006A4E18"/>
    <w:rsid w:val="006A4EB8"/>
    <w:rsid w:val="006A4F8F"/>
    <w:rsid w:val="006A4FCD"/>
    <w:rsid w:val="006A5084"/>
    <w:rsid w:val="006A5097"/>
    <w:rsid w:val="006A509B"/>
    <w:rsid w:val="006A50B2"/>
    <w:rsid w:val="006A5189"/>
    <w:rsid w:val="006A51B9"/>
    <w:rsid w:val="006A5226"/>
    <w:rsid w:val="006A5277"/>
    <w:rsid w:val="006A5335"/>
    <w:rsid w:val="006A5360"/>
    <w:rsid w:val="006A53DE"/>
    <w:rsid w:val="006A53EE"/>
    <w:rsid w:val="006A548B"/>
    <w:rsid w:val="006A549F"/>
    <w:rsid w:val="006A5515"/>
    <w:rsid w:val="006A55E2"/>
    <w:rsid w:val="006A57D9"/>
    <w:rsid w:val="006A57F0"/>
    <w:rsid w:val="006A5844"/>
    <w:rsid w:val="006A58DF"/>
    <w:rsid w:val="006A58F3"/>
    <w:rsid w:val="006A5996"/>
    <w:rsid w:val="006A5B28"/>
    <w:rsid w:val="006A5B44"/>
    <w:rsid w:val="006A5B98"/>
    <w:rsid w:val="006A5BE5"/>
    <w:rsid w:val="006A5C0E"/>
    <w:rsid w:val="006A5CC6"/>
    <w:rsid w:val="006A5D89"/>
    <w:rsid w:val="006A5DFE"/>
    <w:rsid w:val="006A5E41"/>
    <w:rsid w:val="006A5E68"/>
    <w:rsid w:val="006A5EFC"/>
    <w:rsid w:val="006A5F4C"/>
    <w:rsid w:val="006A5FEA"/>
    <w:rsid w:val="006A602B"/>
    <w:rsid w:val="006A6166"/>
    <w:rsid w:val="006A6182"/>
    <w:rsid w:val="006A61EC"/>
    <w:rsid w:val="006A620C"/>
    <w:rsid w:val="006A625C"/>
    <w:rsid w:val="006A6481"/>
    <w:rsid w:val="006A64E5"/>
    <w:rsid w:val="006A653F"/>
    <w:rsid w:val="006A66AB"/>
    <w:rsid w:val="006A66AE"/>
    <w:rsid w:val="006A6729"/>
    <w:rsid w:val="006A6758"/>
    <w:rsid w:val="006A6768"/>
    <w:rsid w:val="006A67B9"/>
    <w:rsid w:val="006A688E"/>
    <w:rsid w:val="006A68E6"/>
    <w:rsid w:val="006A6987"/>
    <w:rsid w:val="006A6A11"/>
    <w:rsid w:val="006A6A20"/>
    <w:rsid w:val="006A6A99"/>
    <w:rsid w:val="006A6B0D"/>
    <w:rsid w:val="006A6B4E"/>
    <w:rsid w:val="006A6BE4"/>
    <w:rsid w:val="006A6BF1"/>
    <w:rsid w:val="006A6C0C"/>
    <w:rsid w:val="006A6CDC"/>
    <w:rsid w:val="006A6D73"/>
    <w:rsid w:val="006A6DF2"/>
    <w:rsid w:val="006A6EA6"/>
    <w:rsid w:val="006A6EFA"/>
    <w:rsid w:val="006A6F25"/>
    <w:rsid w:val="006A6FA0"/>
    <w:rsid w:val="006A6FB7"/>
    <w:rsid w:val="006A7049"/>
    <w:rsid w:val="006A707F"/>
    <w:rsid w:val="006A709A"/>
    <w:rsid w:val="006A71FD"/>
    <w:rsid w:val="006A724E"/>
    <w:rsid w:val="006A725C"/>
    <w:rsid w:val="006A72C5"/>
    <w:rsid w:val="006A747D"/>
    <w:rsid w:val="006A7480"/>
    <w:rsid w:val="006A74D3"/>
    <w:rsid w:val="006A74E0"/>
    <w:rsid w:val="006A7520"/>
    <w:rsid w:val="006A7608"/>
    <w:rsid w:val="006A761B"/>
    <w:rsid w:val="006A7641"/>
    <w:rsid w:val="006A765F"/>
    <w:rsid w:val="006A773E"/>
    <w:rsid w:val="006A77AE"/>
    <w:rsid w:val="006A77E2"/>
    <w:rsid w:val="006A7819"/>
    <w:rsid w:val="006A7825"/>
    <w:rsid w:val="006A785D"/>
    <w:rsid w:val="006A7889"/>
    <w:rsid w:val="006A7896"/>
    <w:rsid w:val="006A78FD"/>
    <w:rsid w:val="006A791F"/>
    <w:rsid w:val="006A7948"/>
    <w:rsid w:val="006A795D"/>
    <w:rsid w:val="006A796D"/>
    <w:rsid w:val="006A797E"/>
    <w:rsid w:val="006A7A2D"/>
    <w:rsid w:val="006A7A88"/>
    <w:rsid w:val="006A7ABB"/>
    <w:rsid w:val="006A7AF5"/>
    <w:rsid w:val="006A7B4A"/>
    <w:rsid w:val="006A7B5A"/>
    <w:rsid w:val="006A7B80"/>
    <w:rsid w:val="006A7C53"/>
    <w:rsid w:val="006A7C61"/>
    <w:rsid w:val="006A7CBC"/>
    <w:rsid w:val="006A7CDC"/>
    <w:rsid w:val="006A7D20"/>
    <w:rsid w:val="006A7D34"/>
    <w:rsid w:val="006A7E0A"/>
    <w:rsid w:val="006A7E82"/>
    <w:rsid w:val="006A7FF2"/>
    <w:rsid w:val="006B009A"/>
    <w:rsid w:val="006B0163"/>
    <w:rsid w:val="006B019B"/>
    <w:rsid w:val="006B021E"/>
    <w:rsid w:val="006B029C"/>
    <w:rsid w:val="006B03CC"/>
    <w:rsid w:val="006B03E6"/>
    <w:rsid w:val="006B044D"/>
    <w:rsid w:val="006B0515"/>
    <w:rsid w:val="006B051A"/>
    <w:rsid w:val="006B05D8"/>
    <w:rsid w:val="006B0669"/>
    <w:rsid w:val="006B06D2"/>
    <w:rsid w:val="006B06E4"/>
    <w:rsid w:val="006B0718"/>
    <w:rsid w:val="006B0730"/>
    <w:rsid w:val="006B07FD"/>
    <w:rsid w:val="006B0826"/>
    <w:rsid w:val="006B093B"/>
    <w:rsid w:val="006B09DF"/>
    <w:rsid w:val="006B0A9C"/>
    <w:rsid w:val="006B0AA0"/>
    <w:rsid w:val="006B0B55"/>
    <w:rsid w:val="006B0B56"/>
    <w:rsid w:val="006B0BDE"/>
    <w:rsid w:val="006B0C77"/>
    <w:rsid w:val="006B0CD1"/>
    <w:rsid w:val="006B0E92"/>
    <w:rsid w:val="006B0EE9"/>
    <w:rsid w:val="006B0F3B"/>
    <w:rsid w:val="006B0F4B"/>
    <w:rsid w:val="006B0F53"/>
    <w:rsid w:val="006B0FE0"/>
    <w:rsid w:val="006B1008"/>
    <w:rsid w:val="006B1044"/>
    <w:rsid w:val="006B1064"/>
    <w:rsid w:val="006B10AA"/>
    <w:rsid w:val="006B10D9"/>
    <w:rsid w:val="006B1267"/>
    <w:rsid w:val="006B136B"/>
    <w:rsid w:val="006B1390"/>
    <w:rsid w:val="006B13B1"/>
    <w:rsid w:val="006B1421"/>
    <w:rsid w:val="006B14CE"/>
    <w:rsid w:val="006B16D1"/>
    <w:rsid w:val="006B1872"/>
    <w:rsid w:val="006B193B"/>
    <w:rsid w:val="006B1950"/>
    <w:rsid w:val="006B1A29"/>
    <w:rsid w:val="006B1A85"/>
    <w:rsid w:val="006B1AC7"/>
    <w:rsid w:val="006B1B0A"/>
    <w:rsid w:val="006B1B27"/>
    <w:rsid w:val="006B1BD0"/>
    <w:rsid w:val="006B1C06"/>
    <w:rsid w:val="006B1C28"/>
    <w:rsid w:val="006B1CA9"/>
    <w:rsid w:val="006B1CAA"/>
    <w:rsid w:val="006B1CBE"/>
    <w:rsid w:val="006B1DA0"/>
    <w:rsid w:val="006B1DCF"/>
    <w:rsid w:val="006B1E0B"/>
    <w:rsid w:val="006B1E37"/>
    <w:rsid w:val="006B1E3D"/>
    <w:rsid w:val="006B1EE1"/>
    <w:rsid w:val="006B2003"/>
    <w:rsid w:val="006B2029"/>
    <w:rsid w:val="006B2083"/>
    <w:rsid w:val="006B208E"/>
    <w:rsid w:val="006B20AD"/>
    <w:rsid w:val="006B20BB"/>
    <w:rsid w:val="006B226D"/>
    <w:rsid w:val="006B2283"/>
    <w:rsid w:val="006B22C0"/>
    <w:rsid w:val="006B22C3"/>
    <w:rsid w:val="006B22C8"/>
    <w:rsid w:val="006B231B"/>
    <w:rsid w:val="006B23E6"/>
    <w:rsid w:val="006B2458"/>
    <w:rsid w:val="006B249F"/>
    <w:rsid w:val="006B25C2"/>
    <w:rsid w:val="006B262D"/>
    <w:rsid w:val="006B2645"/>
    <w:rsid w:val="006B264B"/>
    <w:rsid w:val="006B266D"/>
    <w:rsid w:val="006B27CF"/>
    <w:rsid w:val="006B27E9"/>
    <w:rsid w:val="006B27FD"/>
    <w:rsid w:val="006B2893"/>
    <w:rsid w:val="006B2932"/>
    <w:rsid w:val="006B294C"/>
    <w:rsid w:val="006B2955"/>
    <w:rsid w:val="006B2965"/>
    <w:rsid w:val="006B2ACD"/>
    <w:rsid w:val="006B2AD2"/>
    <w:rsid w:val="006B2B8E"/>
    <w:rsid w:val="006B2B8F"/>
    <w:rsid w:val="006B2C2B"/>
    <w:rsid w:val="006B2C30"/>
    <w:rsid w:val="006B2C82"/>
    <w:rsid w:val="006B2CD7"/>
    <w:rsid w:val="006B2D02"/>
    <w:rsid w:val="006B2D39"/>
    <w:rsid w:val="006B2D7B"/>
    <w:rsid w:val="006B2DBD"/>
    <w:rsid w:val="006B2E19"/>
    <w:rsid w:val="006B2E27"/>
    <w:rsid w:val="006B2FEA"/>
    <w:rsid w:val="006B3032"/>
    <w:rsid w:val="006B3091"/>
    <w:rsid w:val="006B3094"/>
    <w:rsid w:val="006B30CA"/>
    <w:rsid w:val="006B30E6"/>
    <w:rsid w:val="006B30EB"/>
    <w:rsid w:val="006B30F1"/>
    <w:rsid w:val="006B314F"/>
    <w:rsid w:val="006B3170"/>
    <w:rsid w:val="006B3196"/>
    <w:rsid w:val="006B3271"/>
    <w:rsid w:val="006B3289"/>
    <w:rsid w:val="006B32D2"/>
    <w:rsid w:val="006B3321"/>
    <w:rsid w:val="006B3338"/>
    <w:rsid w:val="006B3344"/>
    <w:rsid w:val="006B3459"/>
    <w:rsid w:val="006B3591"/>
    <w:rsid w:val="006B36AC"/>
    <w:rsid w:val="006B3701"/>
    <w:rsid w:val="006B376B"/>
    <w:rsid w:val="006B37B4"/>
    <w:rsid w:val="006B3814"/>
    <w:rsid w:val="006B3833"/>
    <w:rsid w:val="006B385B"/>
    <w:rsid w:val="006B3896"/>
    <w:rsid w:val="006B38B5"/>
    <w:rsid w:val="006B38CE"/>
    <w:rsid w:val="006B38DF"/>
    <w:rsid w:val="006B3928"/>
    <w:rsid w:val="006B395E"/>
    <w:rsid w:val="006B3A02"/>
    <w:rsid w:val="006B3A29"/>
    <w:rsid w:val="006B3A3E"/>
    <w:rsid w:val="006B3A85"/>
    <w:rsid w:val="006B3AAE"/>
    <w:rsid w:val="006B3B0E"/>
    <w:rsid w:val="006B3B11"/>
    <w:rsid w:val="006B3B4E"/>
    <w:rsid w:val="006B3B7E"/>
    <w:rsid w:val="006B3BF8"/>
    <w:rsid w:val="006B3BF9"/>
    <w:rsid w:val="006B3C47"/>
    <w:rsid w:val="006B3C5D"/>
    <w:rsid w:val="006B3CDE"/>
    <w:rsid w:val="006B3CE9"/>
    <w:rsid w:val="006B3D00"/>
    <w:rsid w:val="006B3D0E"/>
    <w:rsid w:val="006B3D24"/>
    <w:rsid w:val="006B3DC2"/>
    <w:rsid w:val="006B3E6E"/>
    <w:rsid w:val="006B3F1F"/>
    <w:rsid w:val="006B3F8F"/>
    <w:rsid w:val="006B3FD5"/>
    <w:rsid w:val="006B4019"/>
    <w:rsid w:val="006B4032"/>
    <w:rsid w:val="006B4079"/>
    <w:rsid w:val="006B4195"/>
    <w:rsid w:val="006B4270"/>
    <w:rsid w:val="006B42F2"/>
    <w:rsid w:val="006B43E7"/>
    <w:rsid w:val="006B445A"/>
    <w:rsid w:val="006B44A5"/>
    <w:rsid w:val="006B44F4"/>
    <w:rsid w:val="006B4572"/>
    <w:rsid w:val="006B4650"/>
    <w:rsid w:val="006B466E"/>
    <w:rsid w:val="006B4694"/>
    <w:rsid w:val="006B47C4"/>
    <w:rsid w:val="006B4801"/>
    <w:rsid w:val="006B4899"/>
    <w:rsid w:val="006B4972"/>
    <w:rsid w:val="006B4A12"/>
    <w:rsid w:val="006B4A2C"/>
    <w:rsid w:val="006B4A8B"/>
    <w:rsid w:val="006B4A8F"/>
    <w:rsid w:val="006B4AD8"/>
    <w:rsid w:val="006B4B0B"/>
    <w:rsid w:val="006B4B1C"/>
    <w:rsid w:val="006B4B20"/>
    <w:rsid w:val="006B4B2C"/>
    <w:rsid w:val="006B4B40"/>
    <w:rsid w:val="006B4B4A"/>
    <w:rsid w:val="006B4BF4"/>
    <w:rsid w:val="006B4C11"/>
    <w:rsid w:val="006B4CA0"/>
    <w:rsid w:val="006B4CC8"/>
    <w:rsid w:val="006B4D44"/>
    <w:rsid w:val="006B4DFF"/>
    <w:rsid w:val="006B4E2A"/>
    <w:rsid w:val="006B4E4A"/>
    <w:rsid w:val="006B4E6E"/>
    <w:rsid w:val="006B4F57"/>
    <w:rsid w:val="006B4FCF"/>
    <w:rsid w:val="006B4FD1"/>
    <w:rsid w:val="006B5016"/>
    <w:rsid w:val="006B502F"/>
    <w:rsid w:val="006B5030"/>
    <w:rsid w:val="006B507A"/>
    <w:rsid w:val="006B511D"/>
    <w:rsid w:val="006B51FF"/>
    <w:rsid w:val="006B5254"/>
    <w:rsid w:val="006B527A"/>
    <w:rsid w:val="006B529E"/>
    <w:rsid w:val="006B52A9"/>
    <w:rsid w:val="006B52D3"/>
    <w:rsid w:val="006B52FC"/>
    <w:rsid w:val="006B537A"/>
    <w:rsid w:val="006B54A7"/>
    <w:rsid w:val="006B5579"/>
    <w:rsid w:val="006B55AC"/>
    <w:rsid w:val="006B55B4"/>
    <w:rsid w:val="006B569B"/>
    <w:rsid w:val="006B56C8"/>
    <w:rsid w:val="006B5754"/>
    <w:rsid w:val="006B578A"/>
    <w:rsid w:val="006B5883"/>
    <w:rsid w:val="006B58C5"/>
    <w:rsid w:val="006B58FE"/>
    <w:rsid w:val="006B59A4"/>
    <w:rsid w:val="006B5A57"/>
    <w:rsid w:val="006B5A58"/>
    <w:rsid w:val="006B5A5F"/>
    <w:rsid w:val="006B5A73"/>
    <w:rsid w:val="006B5AC6"/>
    <w:rsid w:val="006B5AEA"/>
    <w:rsid w:val="006B5AFC"/>
    <w:rsid w:val="006B5B44"/>
    <w:rsid w:val="006B5B78"/>
    <w:rsid w:val="006B5C32"/>
    <w:rsid w:val="006B5CCE"/>
    <w:rsid w:val="006B5CFB"/>
    <w:rsid w:val="006B5D4F"/>
    <w:rsid w:val="006B5D9D"/>
    <w:rsid w:val="006B5DB8"/>
    <w:rsid w:val="006B5DBA"/>
    <w:rsid w:val="006B5DFC"/>
    <w:rsid w:val="006B5E94"/>
    <w:rsid w:val="006B5EE2"/>
    <w:rsid w:val="006B5F13"/>
    <w:rsid w:val="006B5F8B"/>
    <w:rsid w:val="006B5FBA"/>
    <w:rsid w:val="006B6026"/>
    <w:rsid w:val="006B6034"/>
    <w:rsid w:val="006B60DF"/>
    <w:rsid w:val="006B6116"/>
    <w:rsid w:val="006B6122"/>
    <w:rsid w:val="006B6222"/>
    <w:rsid w:val="006B63BB"/>
    <w:rsid w:val="006B6404"/>
    <w:rsid w:val="006B6425"/>
    <w:rsid w:val="006B6443"/>
    <w:rsid w:val="006B6450"/>
    <w:rsid w:val="006B645D"/>
    <w:rsid w:val="006B6535"/>
    <w:rsid w:val="006B6587"/>
    <w:rsid w:val="006B659D"/>
    <w:rsid w:val="006B662A"/>
    <w:rsid w:val="006B6763"/>
    <w:rsid w:val="006B67E7"/>
    <w:rsid w:val="006B69EF"/>
    <w:rsid w:val="006B6A1B"/>
    <w:rsid w:val="006B6A79"/>
    <w:rsid w:val="006B6AA6"/>
    <w:rsid w:val="006B6B1A"/>
    <w:rsid w:val="006B6BD3"/>
    <w:rsid w:val="006B6BF7"/>
    <w:rsid w:val="006B6C08"/>
    <w:rsid w:val="006B6C6E"/>
    <w:rsid w:val="006B6CFF"/>
    <w:rsid w:val="006B6D0C"/>
    <w:rsid w:val="006B6D51"/>
    <w:rsid w:val="006B6DA9"/>
    <w:rsid w:val="006B6EA3"/>
    <w:rsid w:val="006B6EB5"/>
    <w:rsid w:val="006B6F01"/>
    <w:rsid w:val="006B6F03"/>
    <w:rsid w:val="006B6F36"/>
    <w:rsid w:val="006B6F44"/>
    <w:rsid w:val="006B6F90"/>
    <w:rsid w:val="006B6FE3"/>
    <w:rsid w:val="006B6FEE"/>
    <w:rsid w:val="006B7020"/>
    <w:rsid w:val="006B7075"/>
    <w:rsid w:val="006B7119"/>
    <w:rsid w:val="006B712E"/>
    <w:rsid w:val="006B71A1"/>
    <w:rsid w:val="006B72A6"/>
    <w:rsid w:val="006B7302"/>
    <w:rsid w:val="006B7390"/>
    <w:rsid w:val="006B73B2"/>
    <w:rsid w:val="006B73BD"/>
    <w:rsid w:val="006B73E4"/>
    <w:rsid w:val="006B745C"/>
    <w:rsid w:val="006B752D"/>
    <w:rsid w:val="006B75A4"/>
    <w:rsid w:val="006B75C6"/>
    <w:rsid w:val="006B7606"/>
    <w:rsid w:val="006B7657"/>
    <w:rsid w:val="006B7704"/>
    <w:rsid w:val="006B77A1"/>
    <w:rsid w:val="006B783C"/>
    <w:rsid w:val="006B7909"/>
    <w:rsid w:val="006B7921"/>
    <w:rsid w:val="006B7942"/>
    <w:rsid w:val="006B79F9"/>
    <w:rsid w:val="006B7A1F"/>
    <w:rsid w:val="006B7ADF"/>
    <w:rsid w:val="006B7B8E"/>
    <w:rsid w:val="006B7BDB"/>
    <w:rsid w:val="006B7C1A"/>
    <w:rsid w:val="006B7C75"/>
    <w:rsid w:val="006B7D45"/>
    <w:rsid w:val="006B7E33"/>
    <w:rsid w:val="006B7E59"/>
    <w:rsid w:val="006B7E74"/>
    <w:rsid w:val="006B7EC7"/>
    <w:rsid w:val="006B7EC8"/>
    <w:rsid w:val="006B7EDE"/>
    <w:rsid w:val="006B7F5B"/>
    <w:rsid w:val="006B7F60"/>
    <w:rsid w:val="006B7F7B"/>
    <w:rsid w:val="006B7F96"/>
    <w:rsid w:val="006B7F9F"/>
    <w:rsid w:val="006C009D"/>
    <w:rsid w:val="006C00BB"/>
    <w:rsid w:val="006C0102"/>
    <w:rsid w:val="006C0401"/>
    <w:rsid w:val="006C0516"/>
    <w:rsid w:val="006C05A2"/>
    <w:rsid w:val="006C061A"/>
    <w:rsid w:val="006C076A"/>
    <w:rsid w:val="006C0774"/>
    <w:rsid w:val="006C07E5"/>
    <w:rsid w:val="006C0840"/>
    <w:rsid w:val="006C086F"/>
    <w:rsid w:val="006C08CD"/>
    <w:rsid w:val="006C08DE"/>
    <w:rsid w:val="006C0994"/>
    <w:rsid w:val="006C09A1"/>
    <w:rsid w:val="006C0AD1"/>
    <w:rsid w:val="006C0B00"/>
    <w:rsid w:val="006C0B0E"/>
    <w:rsid w:val="006C0B2D"/>
    <w:rsid w:val="006C0B59"/>
    <w:rsid w:val="006C0BB0"/>
    <w:rsid w:val="006C0BB7"/>
    <w:rsid w:val="006C0C05"/>
    <w:rsid w:val="006C0C06"/>
    <w:rsid w:val="006C0CB9"/>
    <w:rsid w:val="006C0E0B"/>
    <w:rsid w:val="006C0E75"/>
    <w:rsid w:val="006C0F1A"/>
    <w:rsid w:val="006C0F43"/>
    <w:rsid w:val="006C0F52"/>
    <w:rsid w:val="006C0F93"/>
    <w:rsid w:val="006C1203"/>
    <w:rsid w:val="006C1237"/>
    <w:rsid w:val="006C12D5"/>
    <w:rsid w:val="006C12EC"/>
    <w:rsid w:val="006C1311"/>
    <w:rsid w:val="006C13B9"/>
    <w:rsid w:val="006C13DB"/>
    <w:rsid w:val="006C1486"/>
    <w:rsid w:val="006C148B"/>
    <w:rsid w:val="006C14FA"/>
    <w:rsid w:val="006C1562"/>
    <w:rsid w:val="006C1591"/>
    <w:rsid w:val="006C15A3"/>
    <w:rsid w:val="006C168D"/>
    <w:rsid w:val="006C17A0"/>
    <w:rsid w:val="006C17BB"/>
    <w:rsid w:val="006C17D3"/>
    <w:rsid w:val="006C17FB"/>
    <w:rsid w:val="006C18DE"/>
    <w:rsid w:val="006C18FF"/>
    <w:rsid w:val="006C196E"/>
    <w:rsid w:val="006C1A43"/>
    <w:rsid w:val="006C1B2F"/>
    <w:rsid w:val="006C1B7B"/>
    <w:rsid w:val="006C1BE5"/>
    <w:rsid w:val="006C1C05"/>
    <w:rsid w:val="006C1C28"/>
    <w:rsid w:val="006C1C72"/>
    <w:rsid w:val="006C1D3A"/>
    <w:rsid w:val="006C1D4B"/>
    <w:rsid w:val="006C1DFD"/>
    <w:rsid w:val="006C1E4F"/>
    <w:rsid w:val="006C1E82"/>
    <w:rsid w:val="006C1F3F"/>
    <w:rsid w:val="006C2012"/>
    <w:rsid w:val="006C2014"/>
    <w:rsid w:val="006C21C8"/>
    <w:rsid w:val="006C21EC"/>
    <w:rsid w:val="006C2232"/>
    <w:rsid w:val="006C223F"/>
    <w:rsid w:val="006C2296"/>
    <w:rsid w:val="006C22D7"/>
    <w:rsid w:val="006C2323"/>
    <w:rsid w:val="006C23A8"/>
    <w:rsid w:val="006C2413"/>
    <w:rsid w:val="006C244C"/>
    <w:rsid w:val="006C2501"/>
    <w:rsid w:val="006C2521"/>
    <w:rsid w:val="006C2568"/>
    <w:rsid w:val="006C256D"/>
    <w:rsid w:val="006C259D"/>
    <w:rsid w:val="006C25CB"/>
    <w:rsid w:val="006C2621"/>
    <w:rsid w:val="006C2659"/>
    <w:rsid w:val="006C2703"/>
    <w:rsid w:val="006C2762"/>
    <w:rsid w:val="006C2958"/>
    <w:rsid w:val="006C29AF"/>
    <w:rsid w:val="006C29EC"/>
    <w:rsid w:val="006C2A22"/>
    <w:rsid w:val="006C2AD9"/>
    <w:rsid w:val="006C2B10"/>
    <w:rsid w:val="006C2B26"/>
    <w:rsid w:val="006C2B60"/>
    <w:rsid w:val="006C2BC2"/>
    <w:rsid w:val="006C2CAF"/>
    <w:rsid w:val="006C2D22"/>
    <w:rsid w:val="006C2D58"/>
    <w:rsid w:val="006C2D95"/>
    <w:rsid w:val="006C2DA7"/>
    <w:rsid w:val="006C2E4E"/>
    <w:rsid w:val="006C2E81"/>
    <w:rsid w:val="006C2EC3"/>
    <w:rsid w:val="006C2FE0"/>
    <w:rsid w:val="006C2FF6"/>
    <w:rsid w:val="006C312F"/>
    <w:rsid w:val="006C3145"/>
    <w:rsid w:val="006C3158"/>
    <w:rsid w:val="006C320A"/>
    <w:rsid w:val="006C3262"/>
    <w:rsid w:val="006C332E"/>
    <w:rsid w:val="006C3334"/>
    <w:rsid w:val="006C33A7"/>
    <w:rsid w:val="006C33E0"/>
    <w:rsid w:val="006C3428"/>
    <w:rsid w:val="006C3435"/>
    <w:rsid w:val="006C3495"/>
    <w:rsid w:val="006C34A2"/>
    <w:rsid w:val="006C34A7"/>
    <w:rsid w:val="006C34E1"/>
    <w:rsid w:val="006C34EF"/>
    <w:rsid w:val="006C3502"/>
    <w:rsid w:val="006C354C"/>
    <w:rsid w:val="006C35EF"/>
    <w:rsid w:val="006C3625"/>
    <w:rsid w:val="006C362F"/>
    <w:rsid w:val="006C36C5"/>
    <w:rsid w:val="006C3730"/>
    <w:rsid w:val="006C3749"/>
    <w:rsid w:val="006C37B2"/>
    <w:rsid w:val="006C382A"/>
    <w:rsid w:val="006C384E"/>
    <w:rsid w:val="006C3866"/>
    <w:rsid w:val="006C3915"/>
    <w:rsid w:val="006C3940"/>
    <w:rsid w:val="006C3A8E"/>
    <w:rsid w:val="006C3A9A"/>
    <w:rsid w:val="006C3AEF"/>
    <w:rsid w:val="006C3B19"/>
    <w:rsid w:val="006C3B76"/>
    <w:rsid w:val="006C3B98"/>
    <w:rsid w:val="006C3C48"/>
    <w:rsid w:val="006C3DA0"/>
    <w:rsid w:val="006C3DA2"/>
    <w:rsid w:val="006C3E24"/>
    <w:rsid w:val="006C3EDC"/>
    <w:rsid w:val="006C3EF4"/>
    <w:rsid w:val="006C3F34"/>
    <w:rsid w:val="006C403B"/>
    <w:rsid w:val="006C4058"/>
    <w:rsid w:val="006C4071"/>
    <w:rsid w:val="006C40D9"/>
    <w:rsid w:val="006C411D"/>
    <w:rsid w:val="006C419B"/>
    <w:rsid w:val="006C41AC"/>
    <w:rsid w:val="006C41BF"/>
    <w:rsid w:val="006C420B"/>
    <w:rsid w:val="006C426F"/>
    <w:rsid w:val="006C42E2"/>
    <w:rsid w:val="006C4369"/>
    <w:rsid w:val="006C43C5"/>
    <w:rsid w:val="006C43E3"/>
    <w:rsid w:val="006C445D"/>
    <w:rsid w:val="006C4494"/>
    <w:rsid w:val="006C4498"/>
    <w:rsid w:val="006C4512"/>
    <w:rsid w:val="006C4572"/>
    <w:rsid w:val="006C4644"/>
    <w:rsid w:val="006C467A"/>
    <w:rsid w:val="006C4704"/>
    <w:rsid w:val="006C4718"/>
    <w:rsid w:val="006C4782"/>
    <w:rsid w:val="006C480A"/>
    <w:rsid w:val="006C480F"/>
    <w:rsid w:val="006C4844"/>
    <w:rsid w:val="006C48A1"/>
    <w:rsid w:val="006C48D3"/>
    <w:rsid w:val="006C4929"/>
    <w:rsid w:val="006C496D"/>
    <w:rsid w:val="006C497E"/>
    <w:rsid w:val="006C4986"/>
    <w:rsid w:val="006C49BB"/>
    <w:rsid w:val="006C49C3"/>
    <w:rsid w:val="006C4A00"/>
    <w:rsid w:val="006C4A49"/>
    <w:rsid w:val="006C4A55"/>
    <w:rsid w:val="006C4AE8"/>
    <w:rsid w:val="006C4B34"/>
    <w:rsid w:val="006C4C29"/>
    <w:rsid w:val="006C4C8E"/>
    <w:rsid w:val="006C4CEE"/>
    <w:rsid w:val="006C4CEF"/>
    <w:rsid w:val="006C4D41"/>
    <w:rsid w:val="006C4D4B"/>
    <w:rsid w:val="006C4E86"/>
    <w:rsid w:val="006C4EDE"/>
    <w:rsid w:val="006C4EEF"/>
    <w:rsid w:val="006C5133"/>
    <w:rsid w:val="006C51E3"/>
    <w:rsid w:val="006C5396"/>
    <w:rsid w:val="006C5407"/>
    <w:rsid w:val="006C5434"/>
    <w:rsid w:val="006C544B"/>
    <w:rsid w:val="006C5489"/>
    <w:rsid w:val="006C54F6"/>
    <w:rsid w:val="006C55C4"/>
    <w:rsid w:val="006C55EF"/>
    <w:rsid w:val="006C5602"/>
    <w:rsid w:val="006C56AD"/>
    <w:rsid w:val="006C5787"/>
    <w:rsid w:val="006C57E7"/>
    <w:rsid w:val="006C583E"/>
    <w:rsid w:val="006C58A0"/>
    <w:rsid w:val="006C58AD"/>
    <w:rsid w:val="006C58C3"/>
    <w:rsid w:val="006C58D5"/>
    <w:rsid w:val="006C58EB"/>
    <w:rsid w:val="006C595C"/>
    <w:rsid w:val="006C595F"/>
    <w:rsid w:val="006C59FA"/>
    <w:rsid w:val="006C5A0A"/>
    <w:rsid w:val="006C5A3B"/>
    <w:rsid w:val="006C5A92"/>
    <w:rsid w:val="006C5AD7"/>
    <w:rsid w:val="006C5B2B"/>
    <w:rsid w:val="006C5B40"/>
    <w:rsid w:val="006C5B99"/>
    <w:rsid w:val="006C5C04"/>
    <w:rsid w:val="006C5C1A"/>
    <w:rsid w:val="006C5CBF"/>
    <w:rsid w:val="006C5D5A"/>
    <w:rsid w:val="006C5D90"/>
    <w:rsid w:val="006C5E04"/>
    <w:rsid w:val="006C5E62"/>
    <w:rsid w:val="006C5F10"/>
    <w:rsid w:val="006C5FD3"/>
    <w:rsid w:val="006C5FEA"/>
    <w:rsid w:val="006C5FFD"/>
    <w:rsid w:val="006C6080"/>
    <w:rsid w:val="006C60D6"/>
    <w:rsid w:val="006C60E7"/>
    <w:rsid w:val="006C60FA"/>
    <w:rsid w:val="006C6183"/>
    <w:rsid w:val="006C61C1"/>
    <w:rsid w:val="006C6216"/>
    <w:rsid w:val="006C6276"/>
    <w:rsid w:val="006C631B"/>
    <w:rsid w:val="006C633C"/>
    <w:rsid w:val="006C6430"/>
    <w:rsid w:val="006C6463"/>
    <w:rsid w:val="006C64A9"/>
    <w:rsid w:val="006C664B"/>
    <w:rsid w:val="006C6660"/>
    <w:rsid w:val="006C666D"/>
    <w:rsid w:val="006C6680"/>
    <w:rsid w:val="006C675A"/>
    <w:rsid w:val="006C6795"/>
    <w:rsid w:val="006C67FC"/>
    <w:rsid w:val="006C6859"/>
    <w:rsid w:val="006C68DA"/>
    <w:rsid w:val="006C6972"/>
    <w:rsid w:val="006C69EB"/>
    <w:rsid w:val="006C6B23"/>
    <w:rsid w:val="006C6BC6"/>
    <w:rsid w:val="006C6C06"/>
    <w:rsid w:val="006C6C57"/>
    <w:rsid w:val="006C6C77"/>
    <w:rsid w:val="006C6D70"/>
    <w:rsid w:val="006C6DF8"/>
    <w:rsid w:val="006C6E45"/>
    <w:rsid w:val="006C6E46"/>
    <w:rsid w:val="006C6F48"/>
    <w:rsid w:val="006C6F94"/>
    <w:rsid w:val="006C7032"/>
    <w:rsid w:val="006C705F"/>
    <w:rsid w:val="006C706E"/>
    <w:rsid w:val="006C713E"/>
    <w:rsid w:val="006C718F"/>
    <w:rsid w:val="006C7202"/>
    <w:rsid w:val="006C7266"/>
    <w:rsid w:val="006C726D"/>
    <w:rsid w:val="006C727F"/>
    <w:rsid w:val="006C7303"/>
    <w:rsid w:val="006C7310"/>
    <w:rsid w:val="006C7384"/>
    <w:rsid w:val="006C7467"/>
    <w:rsid w:val="006C746D"/>
    <w:rsid w:val="006C74D4"/>
    <w:rsid w:val="006C753A"/>
    <w:rsid w:val="006C7586"/>
    <w:rsid w:val="006C75E5"/>
    <w:rsid w:val="006C7606"/>
    <w:rsid w:val="006C7627"/>
    <w:rsid w:val="006C768D"/>
    <w:rsid w:val="006C779B"/>
    <w:rsid w:val="006C77C6"/>
    <w:rsid w:val="006C7824"/>
    <w:rsid w:val="006C7855"/>
    <w:rsid w:val="006C78F4"/>
    <w:rsid w:val="006C78F6"/>
    <w:rsid w:val="006C796E"/>
    <w:rsid w:val="006C7984"/>
    <w:rsid w:val="006C79E9"/>
    <w:rsid w:val="006C7A0A"/>
    <w:rsid w:val="006C7A47"/>
    <w:rsid w:val="006C7A71"/>
    <w:rsid w:val="006C7B03"/>
    <w:rsid w:val="006C7C21"/>
    <w:rsid w:val="006C7C69"/>
    <w:rsid w:val="006C7DC7"/>
    <w:rsid w:val="006C7E94"/>
    <w:rsid w:val="006C7EA7"/>
    <w:rsid w:val="006C7F2F"/>
    <w:rsid w:val="006C7F4A"/>
    <w:rsid w:val="006C7F8D"/>
    <w:rsid w:val="006D005B"/>
    <w:rsid w:val="006D0073"/>
    <w:rsid w:val="006D00AC"/>
    <w:rsid w:val="006D01B6"/>
    <w:rsid w:val="006D01EC"/>
    <w:rsid w:val="006D0240"/>
    <w:rsid w:val="006D0257"/>
    <w:rsid w:val="006D0282"/>
    <w:rsid w:val="006D03E8"/>
    <w:rsid w:val="006D0414"/>
    <w:rsid w:val="006D043E"/>
    <w:rsid w:val="006D044D"/>
    <w:rsid w:val="006D050E"/>
    <w:rsid w:val="006D052A"/>
    <w:rsid w:val="006D056C"/>
    <w:rsid w:val="006D0573"/>
    <w:rsid w:val="006D057D"/>
    <w:rsid w:val="006D0601"/>
    <w:rsid w:val="006D07D0"/>
    <w:rsid w:val="006D08A9"/>
    <w:rsid w:val="006D091A"/>
    <w:rsid w:val="006D0959"/>
    <w:rsid w:val="006D098A"/>
    <w:rsid w:val="006D0A4C"/>
    <w:rsid w:val="006D0A78"/>
    <w:rsid w:val="006D0AE1"/>
    <w:rsid w:val="006D0B75"/>
    <w:rsid w:val="006D0BAC"/>
    <w:rsid w:val="006D0BD5"/>
    <w:rsid w:val="006D0BF4"/>
    <w:rsid w:val="006D0CCF"/>
    <w:rsid w:val="006D0CF3"/>
    <w:rsid w:val="006D0D1F"/>
    <w:rsid w:val="006D0D2C"/>
    <w:rsid w:val="006D0D49"/>
    <w:rsid w:val="006D0D71"/>
    <w:rsid w:val="006D0E22"/>
    <w:rsid w:val="006D0E3F"/>
    <w:rsid w:val="006D0EC2"/>
    <w:rsid w:val="006D0F1B"/>
    <w:rsid w:val="006D0F74"/>
    <w:rsid w:val="006D1022"/>
    <w:rsid w:val="006D1033"/>
    <w:rsid w:val="006D111D"/>
    <w:rsid w:val="006D115E"/>
    <w:rsid w:val="006D11D7"/>
    <w:rsid w:val="006D1212"/>
    <w:rsid w:val="006D1272"/>
    <w:rsid w:val="006D1286"/>
    <w:rsid w:val="006D1306"/>
    <w:rsid w:val="006D130D"/>
    <w:rsid w:val="006D1330"/>
    <w:rsid w:val="006D1422"/>
    <w:rsid w:val="006D1428"/>
    <w:rsid w:val="006D145A"/>
    <w:rsid w:val="006D14D9"/>
    <w:rsid w:val="006D1672"/>
    <w:rsid w:val="006D16B3"/>
    <w:rsid w:val="006D16ED"/>
    <w:rsid w:val="006D17F8"/>
    <w:rsid w:val="006D186F"/>
    <w:rsid w:val="006D1878"/>
    <w:rsid w:val="006D188E"/>
    <w:rsid w:val="006D18BA"/>
    <w:rsid w:val="006D1956"/>
    <w:rsid w:val="006D1996"/>
    <w:rsid w:val="006D1A63"/>
    <w:rsid w:val="006D1AA1"/>
    <w:rsid w:val="006D1AE6"/>
    <w:rsid w:val="006D1B73"/>
    <w:rsid w:val="006D1B7E"/>
    <w:rsid w:val="006D1C28"/>
    <w:rsid w:val="006D1C4C"/>
    <w:rsid w:val="006D1C72"/>
    <w:rsid w:val="006D1D12"/>
    <w:rsid w:val="006D1D35"/>
    <w:rsid w:val="006D1D61"/>
    <w:rsid w:val="006D1DA2"/>
    <w:rsid w:val="006D1DA3"/>
    <w:rsid w:val="006D1E04"/>
    <w:rsid w:val="006D1E81"/>
    <w:rsid w:val="006D1F39"/>
    <w:rsid w:val="006D1F99"/>
    <w:rsid w:val="006D202D"/>
    <w:rsid w:val="006D2122"/>
    <w:rsid w:val="006D219E"/>
    <w:rsid w:val="006D249A"/>
    <w:rsid w:val="006D24CD"/>
    <w:rsid w:val="006D24F6"/>
    <w:rsid w:val="006D2508"/>
    <w:rsid w:val="006D2580"/>
    <w:rsid w:val="006D2582"/>
    <w:rsid w:val="006D2623"/>
    <w:rsid w:val="006D2653"/>
    <w:rsid w:val="006D265C"/>
    <w:rsid w:val="006D26CC"/>
    <w:rsid w:val="006D26F9"/>
    <w:rsid w:val="006D273E"/>
    <w:rsid w:val="006D2760"/>
    <w:rsid w:val="006D284D"/>
    <w:rsid w:val="006D2912"/>
    <w:rsid w:val="006D2967"/>
    <w:rsid w:val="006D2B9F"/>
    <w:rsid w:val="006D2BB6"/>
    <w:rsid w:val="006D2BC7"/>
    <w:rsid w:val="006D2BEB"/>
    <w:rsid w:val="006D2C7D"/>
    <w:rsid w:val="006D2D0B"/>
    <w:rsid w:val="006D2D7D"/>
    <w:rsid w:val="006D2DB1"/>
    <w:rsid w:val="006D2E4A"/>
    <w:rsid w:val="006D2EAC"/>
    <w:rsid w:val="006D2EDC"/>
    <w:rsid w:val="006D2EF2"/>
    <w:rsid w:val="006D2EF6"/>
    <w:rsid w:val="006D2F66"/>
    <w:rsid w:val="006D2FE7"/>
    <w:rsid w:val="006D303F"/>
    <w:rsid w:val="006D314C"/>
    <w:rsid w:val="006D3172"/>
    <w:rsid w:val="006D3266"/>
    <w:rsid w:val="006D3331"/>
    <w:rsid w:val="006D3423"/>
    <w:rsid w:val="006D345D"/>
    <w:rsid w:val="006D3523"/>
    <w:rsid w:val="006D35D1"/>
    <w:rsid w:val="006D36AF"/>
    <w:rsid w:val="006D3874"/>
    <w:rsid w:val="006D3958"/>
    <w:rsid w:val="006D3A04"/>
    <w:rsid w:val="006D3AB2"/>
    <w:rsid w:val="006D3AB6"/>
    <w:rsid w:val="006D3B5C"/>
    <w:rsid w:val="006D3B5E"/>
    <w:rsid w:val="006D3B72"/>
    <w:rsid w:val="006D3B80"/>
    <w:rsid w:val="006D3CC0"/>
    <w:rsid w:val="006D3CF1"/>
    <w:rsid w:val="006D3D62"/>
    <w:rsid w:val="006D3D83"/>
    <w:rsid w:val="006D3E18"/>
    <w:rsid w:val="006D3F02"/>
    <w:rsid w:val="006D3F19"/>
    <w:rsid w:val="006D3FDA"/>
    <w:rsid w:val="006D3FDC"/>
    <w:rsid w:val="006D3FDD"/>
    <w:rsid w:val="006D401E"/>
    <w:rsid w:val="006D4086"/>
    <w:rsid w:val="006D41D4"/>
    <w:rsid w:val="006D423E"/>
    <w:rsid w:val="006D425B"/>
    <w:rsid w:val="006D42E7"/>
    <w:rsid w:val="006D4375"/>
    <w:rsid w:val="006D4393"/>
    <w:rsid w:val="006D43E8"/>
    <w:rsid w:val="006D4508"/>
    <w:rsid w:val="006D4536"/>
    <w:rsid w:val="006D457D"/>
    <w:rsid w:val="006D45F2"/>
    <w:rsid w:val="006D4742"/>
    <w:rsid w:val="006D4751"/>
    <w:rsid w:val="006D480D"/>
    <w:rsid w:val="006D48A1"/>
    <w:rsid w:val="006D48C2"/>
    <w:rsid w:val="006D49A6"/>
    <w:rsid w:val="006D49D8"/>
    <w:rsid w:val="006D4A7C"/>
    <w:rsid w:val="006D4B8F"/>
    <w:rsid w:val="006D4C72"/>
    <w:rsid w:val="006D4C86"/>
    <w:rsid w:val="006D4D1A"/>
    <w:rsid w:val="006D4D3A"/>
    <w:rsid w:val="006D4E4C"/>
    <w:rsid w:val="006D4E9A"/>
    <w:rsid w:val="006D4F06"/>
    <w:rsid w:val="006D4F3C"/>
    <w:rsid w:val="006D50B4"/>
    <w:rsid w:val="006D50B5"/>
    <w:rsid w:val="006D50C9"/>
    <w:rsid w:val="006D50E7"/>
    <w:rsid w:val="006D50ED"/>
    <w:rsid w:val="006D5171"/>
    <w:rsid w:val="006D51EF"/>
    <w:rsid w:val="006D5212"/>
    <w:rsid w:val="006D523B"/>
    <w:rsid w:val="006D5254"/>
    <w:rsid w:val="006D5322"/>
    <w:rsid w:val="006D5440"/>
    <w:rsid w:val="006D5463"/>
    <w:rsid w:val="006D54CC"/>
    <w:rsid w:val="006D5585"/>
    <w:rsid w:val="006D55FC"/>
    <w:rsid w:val="006D562D"/>
    <w:rsid w:val="006D5725"/>
    <w:rsid w:val="006D5796"/>
    <w:rsid w:val="006D57C5"/>
    <w:rsid w:val="006D57E2"/>
    <w:rsid w:val="006D584F"/>
    <w:rsid w:val="006D588F"/>
    <w:rsid w:val="006D5903"/>
    <w:rsid w:val="006D59D4"/>
    <w:rsid w:val="006D5A4A"/>
    <w:rsid w:val="006D5B71"/>
    <w:rsid w:val="006D5C1D"/>
    <w:rsid w:val="006D5C96"/>
    <w:rsid w:val="006D5CCC"/>
    <w:rsid w:val="006D5D09"/>
    <w:rsid w:val="006D5D4D"/>
    <w:rsid w:val="006D5DED"/>
    <w:rsid w:val="006D5E0B"/>
    <w:rsid w:val="006D5F76"/>
    <w:rsid w:val="006D5FAB"/>
    <w:rsid w:val="006D6022"/>
    <w:rsid w:val="006D605E"/>
    <w:rsid w:val="006D61E8"/>
    <w:rsid w:val="006D61F1"/>
    <w:rsid w:val="006D625A"/>
    <w:rsid w:val="006D6271"/>
    <w:rsid w:val="006D629C"/>
    <w:rsid w:val="006D62BC"/>
    <w:rsid w:val="006D6302"/>
    <w:rsid w:val="006D632B"/>
    <w:rsid w:val="006D633E"/>
    <w:rsid w:val="006D639C"/>
    <w:rsid w:val="006D63CA"/>
    <w:rsid w:val="006D63F6"/>
    <w:rsid w:val="006D63FD"/>
    <w:rsid w:val="006D641B"/>
    <w:rsid w:val="006D647A"/>
    <w:rsid w:val="006D647F"/>
    <w:rsid w:val="006D6483"/>
    <w:rsid w:val="006D657C"/>
    <w:rsid w:val="006D65F7"/>
    <w:rsid w:val="006D6609"/>
    <w:rsid w:val="006D6694"/>
    <w:rsid w:val="006D66AE"/>
    <w:rsid w:val="006D673D"/>
    <w:rsid w:val="006D674F"/>
    <w:rsid w:val="006D67ED"/>
    <w:rsid w:val="006D6820"/>
    <w:rsid w:val="006D6839"/>
    <w:rsid w:val="006D6889"/>
    <w:rsid w:val="006D68A2"/>
    <w:rsid w:val="006D69B6"/>
    <w:rsid w:val="006D69CA"/>
    <w:rsid w:val="006D6A20"/>
    <w:rsid w:val="006D6B11"/>
    <w:rsid w:val="006D6B56"/>
    <w:rsid w:val="006D6B96"/>
    <w:rsid w:val="006D6BC4"/>
    <w:rsid w:val="006D6CF6"/>
    <w:rsid w:val="006D6D01"/>
    <w:rsid w:val="006D6D70"/>
    <w:rsid w:val="006D6D96"/>
    <w:rsid w:val="006D6E0D"/>
    <w:rsid w:val="006D6E87"/>
    <w:rsid w:val="006D6E8A"/>
    <w:rsid w:val="006D6EBD"/>
    <w:rsid w:val="006D6EFB"/>
    <w:rsid w:val="006D6FEA"/>
    <w:rsid w:val="006D7004"/>
    <w:rsid w:val="006D7017"/>
    <w:rsid w:val="006D7020"/>
    <w:rsid w:val="006D7043"/>
    <w:rsid w:val="006D7053"/>
    <w:rsid w:val="006D70EA"/>
    <w:rsid w:val="006D71A3"/>
    <w:rsid w:val="006D7211"/>
    <w:rsid w:val="006D7232"/>
    <w:rsid w:val="006D728A"/>
    <w:rsid w:val="006D72DC"/>
    <w:rsid w:val="006D72F2"/>
    <w:rsid w:val="006D7304"/>
    <w:rsid w:val="006D73A1"/>
    <w:rsid w:val="006D7499"/>
    <w:rsid w:val="006D75B7"/>
    <w:rsid w:val="006D75C8"/>
    <w:rsid w:val="006D7665"/>
    <w:rsid w:val="006D7706"/>
    <w:rsid w:val="006D770D"/>
    <w:rsid w:val="006D7778"/>
    <w:rsid w:val="006D779F"/>
    <w:rsid w:val="006D77D3"/>
    <w:rsid w:val="006D7893"/>
    <w:rsid w:val="006D78D4"/>
    <w:rsid w:val="006D7934"/>
    <w:rsid w:val="006D794E"/>
    <w:rsid w:val="006D7A21"/>
    <w:rsid w:val="006D7A2A"/>
    <w:rsid w:val="006D7AF4"/>
    <w:rsid w:val="006D7B29"/>
    <w:rsid w:val="006D7B96"/>
    <w:rsid w:val="006D7B98"/>
    <w:rsid w:val="006D7CB3"/>
    <w:rsid w:val="006D7D3C"/>
    <w:rsid w:val="006D7D63"/>
    <w:rsid w:val="006D7D92"/>
    <w:rsid w:val="006D7EA3"/>
    <w:rsid w:val="006D7EA8"/>
    <w:rsid w:val="006D7ED6"/>
    <w:rsid w:val="006D7EED"/>
    <w:rsid w:val="006D7FCB"/>
    <w:rsid w:val="006E00E6"/>
    <w:rsid w:val="006E0264"/>
    <w:rsid w:val="006E02F8"/>
    <w:rsid w:val="006E02F9"/>
    <w:rsid w:val="006E0397"/>
    <w:rsid w:val="006E0476"/>
    <w:rsid w:val="006E04D5"/>
    <w:rsid w:val="006E0502"/>
    <w:rsid w:val="006E050D"/>
    <w:rsid w:val="006E0575"/>
    <w:rsid w:val="006E064D"/>
    <w:rsid w:val="006E0657"/>
    <w:rsid w:val="006E0732"/>
    <w:rsid w:val="006E0783"/>
    <w:rsid w:val="006E07BB"/>
    <w:rsid w:val="006E07E1"/>
    <w:rsid w:val="006E0805"/>
    <w:rsid w:val="006E081E"/>
    <w:rsid w:val="006E0829"/>
    <w:rsid w:val="006E0836"/>
    <w:rsid w:val="006E08A1"/>
    <w:rsid w:val="006E08CD"/>
    <w:rsid w:val="006E091E"/>
    <w:rsid w:val="006E094E"/>
    <w:rsid w:val="006E0A00"/>
    <w:rsid w:val="006E0A61"/>
    <w:rsid w:val="006E0ADC"/>
    <w:rsid w:val="006E0CAE"/>
    <w:rsid w:val="006E0CFF"/>
    <w:rsid w:val="006E0D5E"/>
    <w:rsid w:val="006E0D76"/>
    <w:rsid w:val="006E0E31"/>
    <w:rsid w:val="006E0E38"/>
    <w:rsid w:val="006E0EA5"/>
    <w:rsid w:val="006E0ECE"/>
    <w:rsid w:val="006E0F30"/>
    <w:rsid w:val="006E1001"/>
    <w:rsid w:val="006E102D"/>
    <w:rsid w:val="006E1088"/>
    <w:rsid w:val="006E1118"/>
    <w:rsid w:val="006E1123"/>
    <w:rsid w:val="006E1128"/>
    <w:rsid w:val="006E1130"/>
    <w:rsid w:val="006E113A"/>
    <w:rsid w:val="006E121B"/>
    <w:rsid w:val="006E123D"/>
    <w:rsid w:val="006E1247"/>
    <w:rsid w:val="006E131A"/>
    <w:rsid w:val="006E1393"/>
    <w:rsid w:val="006E13AA"/>
    <w:rsid w:val="006E1405"/>
    <w:rsid w:val="006E1417"/>
    <w:rsid w:val="006E1424"/>
    <w:rsid w:val="006E1446"/>
    <w:rsid w:val="006E14B4"/>
    <w:rsid w:val="006E151B"/>
    <w:rsid w:val="006E1594"/>
    <w:rsid w:val="006E166E"/>
    <w:rsid w:val="006E1684"/>
    <w:rsid w:val="006E1728"/>
    <w:rsid w:val="006E1778"/>
    <w:rsid w:val="006E17E3"/>
    <w:rsid w:val="006E1A0D"/>
    <w:rsid w:val="006E1A3A"/>
    <w:rsid w:val="006E1A7B"/>
    <w:rsid w:val="006E1B30"/>
    <w:rsid w:val="006E1B8B"/>
    <w:rsid w:val="006E1C0E"/>
    <w:rsid w:val="006E1C23"/>
    <w:rsid w:val="006E1CB2"/>
    <w:rsid w:val="006E1CDA"/>
    <w:rsid w:val="006E1CF7"/>
    <w:rsid w:val="006E1D12"/>
    <w:rsid w:val="006E1D8B"/>
    <w:rsid w:val="006E1E1B"/>
    <w:rsid w:val="006E1E6D"/>
    <w:rsid w:val="006E1E96"/>
    <w:rsid w:val="006E1FAA"/>
    <w:rsid w:val="006E1FFD"/>
    <w:rsid w:val="006E2004"/>
    <w:rsid w:val="006E20BE"/>
    <w:rsid w:val="006E2137"/>
    <w:rsid w:val="006E21D7"/>
    <w:rsid w:val="006E21DE"/>
    <w:rsid w:val="006E2256"/>
    <w:rsid w:val="006E22DC"/>
    <w:rsid w:val="006E2361"/>
    <w:rsid w:val="006E2378"/>
    <w:rsid w:val="006E239A"/>
    <w:rsid w:val="006E23FB"/>
    <w:rsid w:val="006E2402"/>
    <w:rsid w:val="006E2429"/>
    <w:rsid w:val="006E2451"/>
    <w:rsid w:val="006E2485"/>
    <w:rsid w:val="006E24F3"/>
    <w:rsid w:val="006E2643"/>
    <w:rsid w:val="006E2719"/>
    <w:rsid w:val="006E27C2"/>
    <w:rsid w:val="006E28C9"/>
    <w:rsid w:val="006E28E7"/>
    <w:rsid w:val="006E28EE"/>
    <w:rsid w:val="006E28FB"/>
    <w:rsid w:val="006E2973"/>
    <w:rsid w:val="006E29B1"/>
    <w:rsid w:val="006E2A54"/>
    <w:rsid w:val="006E2A78"/>
    <w:rsid w:val="006E2AED"/>
    <w:rsid w:val="006E2C7F"/>
    <w:rsid w:val="006E2CBC"/>
    <w:rsid w:val="006E2CD6"/>
    <w:rsid w:val="006E2E37"/>
    <w:rsid w:val="006E2EAC"/>
    <w:rsid w:val="006E2EF4"/>
    <w:rsid w:val="006E2FA7"/>
    <w:rsid w:val="006E2FCB"/>
    <w:rsid w:val="006E2FE0"/>
    <w:rsid w:val="006E319A"/>
    <w:rsid w:val="006E3263"/>
    <w:rsid w:val="006E336D"/>
    <w:rsid w:val="006E33DA"/>
    <w:rsid w:val="006E3494"/>
    <w:rsid w:val="006E34B0"/>
    <w:rsid w:val="006E3656"/>
    <w:rsid w:val="006E3679"/>
    <w:rsid w:val="006E36B9"/>
    <w:rsid w:val="006E36DC"/>
    <w:rsid w:val="006E3704"/>
    <w:rsid w:val="006E373E"/>
    <w:rsid w:val="006E3790"/>
    <w:rsid w:val="006E3812"/>
    <w:rsid w:val="006E3819"/>
    <w:rsid w:val="006E38B1"/>
    <w:rsid w:val="006E38DA"/>
    <w:rsid w:val="006E3A44"/>
    <w:rsid w:val="006E3A4B"/>
    <w:rsid w:val="006E3BBD"/>
    <w:rsid w:val="006E3C4D"/>
    <w:rsid w:val="006E3D1F"/>
    <w:rsid w:val="006E3D49"/>
    <w:rsid w:val="006E3D4B"/>
    <w:rsid w:val="006E3DB5"/>
    <w:rsid w:val="006E3DD5"/>
    <w:rsid w:val="006E3E7B"/>
    <w:rsid w:val="006E3F47"/>
    <w:rsid w:val="006E3F97"/>
    <w:rsid w:val="006E3FD7"/>
    <w:rsid w:val="006E3FDE"/>
    <w:rsid w:val="006E4055"/>
    <w:rsid w:val="006E40A4"/>
    <w:rsid w:val="006E41FF"/>
    <w:rsid w:val="006E42DB"/>
    <w:rsid w:val="006E438D"/>
    <w:rsid w:val="006E43CB"/>
    <w:rsid w:val="006E4403"/>
    <w:rsid w:val="006E4404"/>
    <w:rsid w:val="006E4453"/>
    <w:rsid w:val="006E4577"/>
    <w:rsid w:val="006E4633"/>
    <w:rsid w:val="006E465F"/>
    <w:rsid w:val="006E46F8"/>
    <w:rsid w:val="006E4731"/>
    <w:rsid w:val="006E47C7"/>
    <w:rsid w:val="006E487C"/>
    <w:rsid w:val="006E48BE"/>
    <w:rsid w:val="006E48E0"/>
    <w:rsid w:val="006E4942"/>
    <w:rsid w:val="006E4AA5"/>
    <w:rsid w:val="006E4AAF"/>
    <w:rsid w:val="006E4B70"/>
    <w:rsid w:val="006E4BB4"/>
    <w:rsid w:val="006E4BD7"/>
    <w:rsid w:val="006E4BE1"/>
    <w:rsid w:val="006E4C12"/>
    <w:rsid w:val="006E4C67"/>
    <w:rsid w:val="006E4C8B"/>
    <w:rsid w:val="006E4CE8"/>
    <w:rsid w:val="006E4CEF"/>
    <w:rsid w:val="006E4DAD"/>
    <w:rsid w:val="006E4DFE"/>
    <w:rsid w:val="006E4E0E"/>
    <w:rsid w:val="006E4E20"/>
    <w:rsid w:val="006E4EE2"/>
    <w:rsid w:val="006E4F0E"/>
    <w:rsid w:val="006E4F5B"/>
    <w:rsid w:val="006E4FB5"/>
    <w:rsid w:val="006E4FD9"/>
    <w:rsid w:val="006E4FF8"/>
    <w:rsid w:val="006E5030"/>
    <w:rsid w:val="006E50A7"/>
    <w:rsid w:val="006E514C"/>
    <w:rsid w:val="006E5259"/>
    <w:rsid w:val="006E5262"/>
    <w:rsid w:val="006E52A1"/>
    <w:rsid w:val="006E5353"/>
    <w:rsid w:val="006E539C"/>
    <w:rsid w:val="006E542A"/>
    <w:rsid w:val="006E5440"/>
    <w:rsid w:val="006E5459"/>
    <w:rsid w:val="006E546C"/>
    <w:rsid w:val="006E548C"/>
    <w:rsid w:val="006E5560"/>
    <w:rsid w:val="006E557B"/>
    <w:rsid w:val="006E55F2"/>
    <w:rsid w:val="006E566E"/>
    <w:rsid w:val="006E567E"/>
    <w:rsid w:val="006E5696"/>
    <w:rsid w:val="006E56E6"/>
    <w:rsid w:val="006E575B"/>
    <w:rsid w:val="006E58FC"/>
    <w:rsid w:val="006E5A10"/>
    <w:rsid w:val="006E5A64"/>
    <w:rsid w:val="006E5A87"/>
    <w:rsid w:val="006E5AC5"/>
    <w:rsid w:val="006E5B65"/>
    <w:rsid w:val="006E5D32"/>
    <w:rsid w:val="006E5D37"/>
    <w:rsid w:val="006E5D4A"/>
    <w:rsid w:val="006E5D88"/>
    <w:rsid w:val="006E5DA0"/>
    <w:rsid w:val="006E5DAE"/>
    <w:rsid w:val="006E5DF0"/>
    <w:rsid w:val="006E5E00"/>
    <w:rsid w:val="006E5F93"/>
    <w:rsid w:val="006E5FFF"/>
    <w:rsid w:val="006E6001"/>
    <w:rsid w:val="006E6088"/>
    <w:rsid w:val="006E6115"/>
    <w:rsid w:val="006E6147"/>
    <w:rsid w:val="006E61BA"/>
    <w:rsid w:val="006E6212"/>
    <w:rsid w:val="006E62BB"/>
    <w:rsid w:val="006E6309"/>
    <w:rsid w:val="006E637D"/>
    <w:rsid w:val="006E6428"/>
    <w:rsid w:val="006E6463"/>
    <w:rsid w:val="006E65D7"/>
    <w:rsid w:val="006E660F"/>
    <w:rsid w:val="006E6664"/>
    <w:rsid w:val="006E666F"/>
    <w:rsid w:val="006E66D0"/>
    <w:rsid w:val="006E673B"/>
    <w:rsid w:val="006E67B2"/>
    <w:rsid w:val="006E67C4"/>
    <w:rsid w:val="006E6832"/>
    <w:rsid w:val="006E6876"/>
    <w:rsid w:val="006E68AE"/>
    <w:rsid w:val="006E6916"/>
    <w:rsid w:val="006E6936"/>
    <w:rsid w:val="006E69A3"/>
    <w:rsid w:val="006E6A74"/>
    <w:rsid w:val="006E6A9F"/>
    <w:rsid w:val="006E6AEB"/>
    <w:rsid w:val="006E6BCA"/>
    <w:rsid w:val="006E6BDC"/>
    <w:rsid w:val="006E6CD6"/>
    <w:rsid w:val="006E6D0E"/>
    <w:rsid w:val="006E6D6B"/>
    <w:rsid w:val="006E6E33"/>
    <w:rsid w:val="006E6E40"/>
    <w:rsid w:val="006E6E9B"/>
    <w:rsid w:val="006E6EDA"/>
    <w:rsid w:val="006E6F79"/>
    <w:rsid w:val="006E7054"/>
    <w:rsid w:val="006E706A"/>
    <w:rsid w:val="006E70B5"/>
    <w:rsid w:val="006E70EA"/>
    <w:rsid w:val="006E713B"/>
    <w:rsid w:val="006E7157"/>
    <w:rsid w:val="006E7191"/>
    <w:rsid w:val="006E71FF"/>
    <w:rsid w:val="006E721D"/>
    <w:rsid w:val="006E7273"/>
    <w:rsid w:val="006E72D5"/>
    <w:rsid w:val="006E7376"/>
    <w:rsid w:val="006E741B"/>
    <w:rsid w:val="006E742A"/>
    <w:rsid w:val="006E74CF"/>
    <w:rsid w:val="006E75BD"/>
    <w:rsid w:val="006E764E"/>
    <w:rsid w:val="006E7666"/>
    <w:rsid w:val="006E766C"/>
    <w:rsid w:val="006E7673"/>
    <w:rsid w:val="006E7692"/>
    <w:rsid w:val="006E77DD"/>
    <w:rsid w:val="006E77EA"/>
    <w:rsid w:val="006E78CB"/>
    <w:rsid w:val="006E7A35"/>
    <w:rsid w:val="006E7B78"/>
    <w:rsid w:val="006E7B95"/>
    <w:rsid w:val="006E7BE0"/>
    <w:rsid w:val="006E7BFF"/>
    <w:rsid w:val="006E7C4A"/>
    <w:rsid w:val="006E7C65"/>
    <w:rsid w:val="006E7C94"/>
    <w:rsid w:val="006E7CCC"/>
    <w:rsid w:val="006E7DF6"/>
    <w:rsid w:val="006E7DFA"/>
    <w:rsid w:val="006E7E65"/>
    <w:rsid w:val="006E7EC5"/>
    <w:rsid w:val="006E7FA3"/>
    <w:rsid w:val="006E7FE5"/>
    <w:rsid w:val="006F0001"/>
    <w:rsid w:val="006F00BF"/>
    <w:rsid w:val="006F00D0"/>
    <w:rsid w:val="006F00EE"/>
    <w:rsid w:val="006F00FA"/>
    <w:rsid w:val="006F01A3"/>
    <w:rsid w:val="006F01DD"/>
    <w:rsid w:val="006F0227"/>
    <w:rsid w:val="006F0242"/>
    <w:rsid w:val="006F025A"/>
    <w:rsid w:val="006F028F"/>
    <w:rsid w:val="006F035E"/>
    <w:rsid w:val="006F0377"/>
    <w:rsid w:val="006F03AC"/>
    <w:rsid w:val="006F03BD"/>
    <w:rsid w:val="006F0484"/>
    <w:rsid w:val="006F049B"/>
    <w:rsid w:val="006F05C1"/>
    <w:rsid w:val="006F05D9"/>
    <w:rsid w:val="006F0626"/>
    <w:rsid w:val="006F077E"/>
    <w:rsid w:val="006F07CB"/>
    <w:rsid w:val="006F080B"/>
    <w:rsid w:val="006F08D4"/>
    <w:rsid w:val="006F0976"/>
    <w:rsid w:val="006F0ADA"/>
    <w:rsid w:val="006F0B05"/>
    <w:rsid w:val="006F0C2A"/>
    <w:rsid w:val="006F0C6A"/>
    <w:rsid w:val="006F0C83"/>
    <w:rsid w:val="006F0CD7"/>
    <w:rsid w:val="006F0D46"/>
    <w:rsid w:val="006F0DD6"/>
    <w:rsid w:val="006F0DD9"/>
    <w:rsid w:val="006F0EC4"/>
    <w:rsid w:val="006F0EDD"/>
    <w:rsid w:val="006F0F05"/>
    <w:rsid w:val="006F0F11"/>
    <w:rsid w:val="006F1072"/>
    <w:rsid w:val="006F10A2"/>
    <w:rsid w:val="006F10E3"/>
    <w:rsid w:val="006F1145"/>
    <w:rsid w:val="006F115F"/>
    <w:rsid w:val="006F1177"/>
    <w:rsid w:val="006F1196"/>
    <w:rsid w:val="006F1214"/>
    <w:rsid w:val="006F12AC"/>
    <w:rsid w:val="006F12C5"/>
    <w:rsid w:val="006F131C"/>
    <w:rsid w:val="006F1331"/>
    <w:rsid w:val="006F1347"/>
    <w:rsid w:val="006F1382"/>
    <w:rsid w:val="006F13FF"/>
    <w:rsid w:val="006F15AC"/>
    <w:rsid w:val="006F15D1"/>
    <w:rsid w:val="006F165F"/>
    <w:rsid w:val="006F1762"/>
    <w:rsid w:val="006F1817"/>
    <w:rsid w:val="006F1836"/>
    <w:rsid w:val="006F18AE"/>
    <w:rsid w:val="006F1949"/>
    <w:rsid w:val="006F199E"/>
    <w:rsid w:val="006F1AC0"/>
    <w:rsid w:val="006F1AF2"/>
    <w:rsid w:val="006F1C55"/>
    <w:rsid w:val="006F1C58"/>
    <w:rsid w:val="006F1D36"/>
    <w:rsid w:val="006F1D75"/>
    <w:rsid w:val="006F1DA9"/>
    <w:rsid w:val="006F1E49"/>
    <w:rsid w:val="006F1ED5"/>
    <w:rsid w:val="006F1EE1"/>
    <w:rsid w:val="006F1F0C"/>
    <w:rsid w:val="006F1F49"/>
    <w:rsid w:val="006F20FB"/>
    <w:rsid w:val="006F2109"/>
    <w:rsid w:val="006F2175"/>
    <w:rsid w:val="006F2196"/>
    <w:rsid w:val="006F225C"/>
    <w:rsid w:val="006F22BF"/>
    <w:rsid w:val="006F22D6"/>
    <w:rsid w:val="006F22ED"/>
    <w:rsid w:val="006F2314"/>
    <w:rsid w:val="006F236E"/>
    <w:rsid w:val="006F23DD"/>
    <w:rsid w:val="006F2422"/>
    <w:rsid w:val="006F24FB"/>
    <w:rsid w:val="006F259C"/>
    <w:rsid w:val="006F260B"/>
    <w:rsid w:val="006F2688"/>
    <w:rsid w:val="006F268B"/>
    <w:rsid w:val="006F26AB"/>
    <w:rsid w:val="006F27B4"/>
    <w:rsid w:val="006F27CC"/>
    <w:rsid w:val="006F282B"/>
    <w:rsid w:val="006F2840"/>
    <w:rsid w:val="006F284B"/>
    <w:rsid w:val="006F294C"/>
    <w:rsid w:val="006F29F4"/>
    <w:rsid w:val="006F29F8"/>
    <w:rsid w:val="006F2A3B"/>
    <w:rsid w:val="006F2AF6"/>
    <w:rsid w:val="006F2BB2"/>
    <w:rsid w:val="006F2C79"/>
    <w:rsid w:val="006F2CA4"/>
    <w:rsid w:val="006F2CDF"/>
    <w:rsid w:val="006F2D30"/>
    <w:rsid w:val="006F2D56"/>
    <w:rsid w:val="006F2E03"/>
    <w:rsid w:val="006F2E0E"/>
    <w:rsid w:val="006F2E15"/>
    <w:rsid w:val="006F2E95"/>
    <w:rsid w:val="006F2EA6"/>
    <w:rsid w:val="006F2EA7"/>
    <w:rsid w:val="006F2EAC"/>
    <w:rsid w:val="006F2F1E"/>
    <w:rsid w:val="006F3002"/>
    <w:rsid w:val="006F3165"/>
    <w:rsid w:val="006F31AF"/>
    <w:rsid w:val="006F31D6"/>
    <w:rsid w:val="006F3288"/>
    <w:rsid w:val="006F3325"/>
    <w:rsid w:val="006F3332"/>
    <w:rsid w:val="006F333C"/>
    <w:rsid w:val="006F33DB"/>
    <w:rsid w:val="006F3404"/>
    <w:rsid w:val="006F3528"/>
    <w:rsid w:val="006F356D"/>
    <w:rsid w:val="006F3676"/>
    <w:rsid w:val="006F3807"/>
    <w:rsid w:val="006F3811"/>
    <w:rsid w:val="006F388F"/>
    <w:rsid w:val="006F3940"/>
    <w:rsid w:val="006F3955"/>
    <w:rsid w:val="006F39B4"/>
    <w:rsid w:val="006F3AA6"/>
    <w:rsid w:val="006F3B28"/>
    <w:rsid w:val="006F3B49"/>
    <w:rsid w:val="006F3B60"/>
    <w:rsid w:val="006F3C30"/>
    <w:rsid w:val="006F3C88"/>
    <w:rsid w:val="006F3D06"/>
    <w:rsid w:val="006F3D0E"/>
    <w:rsid w:val="006F3D49"/>
    <w:rsid w:val="006F3E7D"/>
    <w:rsid w:val="006F3E8F"/>
    <w:rsid w:val="006F3E9A"/>
    <w:rsid w:val="006F3EFF"/>
    <w:rsid w:val="006F3F42"/>
    <w:rsid w:val="006F3FAA"/>
    <w:rsid w:val="006F3FE2"/>
    <w:rsid w:val="006F4026"/>
    <w:rsid w:val="006F4050"/>
    <w:rsid w:val="006F40C7"/>
    <w:rsid w:val="006F40FD"/>
    <w:rsid w:val="006F4149"/>
    <w:rsid w:val="006F41C3"/>
    <w:rsid w:val="006F41F0"/>
    <w:rsid w:val="006F4270"/>
    <w:rsid w:val="006F4379"/>
    <w:rsid w:val="006F4387"/>
    <w:rsid w:val="006F4477"/>
    <w:rsid w:val="006F45C7"/>
    <w:rsid w:val="006F45FD"/>
    <w:rsid w:val="006F4628"/>
    <w:rsid w:val="006F4629"/>
    <w:rsid w:val="006F4743"/>
    <w:rsid w:val="006F4787"/>
    <w:rsid w:val="006F4821"/>
    <w:rsid w:val="006F4829"/>
    <w:rsid w:val="006F485D"/>
    <w:rsid w:val="006F48A8"/>
    <w:rsid w:val="006F48D3"/>
    <w:rsid w:val="006F49AD"/>
    <w:rsid w:val="006F4A3D"/>
    <w:rsid w:val="006F4AB7"/>
    <w:rsid w:val="006F4B48"/>
    <w:rsid w:val="006F4B56"/>
    <w:rsid w:val="006F4B5C"/>
    <w:rsid w:val="006F4B65"/>
    <w:rsid w:val="006F4B8A"/>
    <w:rsid w:val="006F4D03"/>
    <w:rsid w:val="006F4D6C"/>
    <w:rsid w:val="006F4D91"/>
    <w:rsid w:val="006F4D98"/>
    <w:rsid w:val="006F4DEB"/>
    <w:rsid w:val="006F4E0F"/>
    <w:rsid w:val="006F4E7A"/>
    <w:rsid w:val="006F4E7F"/>
    <w:rsid w:val="006F4E8A"/>
    <w:rsid w:val="006F4E99"/>
    <w:rsid w:val="006F4F53"/>
    <w:rsid w:val="006F4F5A"/>
    <w:rsid w:val="006F5031"/>
    <w:rsid w:val="006F5127"/>
    <w:rsid w:val="006F5144"/>
    <w:rsid w:val="006F5158"/>
    <w:rsid w:val="006F5183"/>
    <w:rsid w:val="006F51ED"/>
    <w:rsid w:val="006F521D"/>
    <w:rsid w:val="006F5255"/>
    <w:rsid w:val="006F527C"/>
    <w:rsid w:val="006F5315"/>
    <w:rsid w:val="006F5408"/>
    <w:rsid w:val="006F5477"/>
    <w:rsid w:val="006F54C7"/>
    <w:rsid w:val="006F54F8"/>
    <w:rsid w:val="006F5534"/>
    <w:rsid w:val="006F56A5"/>
    <w:rsid w:val="006F56F8"/>
    <w:rsid w:val="006F575A"/>
    <w:rsid w:val="006F5776"/>
    <w:rsid w:val="006F577F"/>
    <w:rsid w:val="006F57BE"/>
    <w:rsid w:val="006F5809"/>
    <w:rsid w:val="006F5834"/>
    <w:rsid w:val="006F5863"/>
    <w:rsid w:val="006F5893"/>
    <w:rsid w:val="006F596A"/>
    <w:rsid w:val="006F59C0"/>
    <w:rsid w:val="006F59E2"/>
    <w:rsid w:val="006F5A94"/>
    <w:rsid w:val="006F5AD3"/>
    <w:rsid w:val="006F5B56"/>
    <w:rsid w:val="006F5B64"/>
    <w:rsid w:val="006F5BA6"/>
    <w:rsid w:val="006F5BC1"/>
    <w:rsid w:val="006F5C33"/>
    <w:rsid w:val="006F5D70"/>
    <w:rsid w:val="006F5DC8"/>
    <w:rsid w:val="006F5DD0"/>
    <w:rsid w:val="006F5EA9"/>
    <w:rsid w:val="006F5F33"/>
    <w:rsid w:val="006F5F78"/>
    <w:rsid w:val="006F5FC7"/>
    <w:rsid w:val="006F5FD9"/>
    <w:rsid w:val="006F600F"/>
    <w:rsid w:val="006F602F"/>
    <w:rsid w:val="006F608E"/>
    <w:rsid w:val="006F610B"/>
    <w:rsid w:val="006F6161"/>
    <w:rsid w:val="006F61E2"/>
    <w:rsid w:val="006F6211"/>
    <w:rsid w:val="006F631A"/>
    <w:rsid w:val="006F633A"/>
    <w:rsid w:val="006F633C"/>
    <w:rsid w:val="006F6381"/>
    <w:rsid w:val="006F63E9"/>
    <w:rsid w:val="006F64B9"/>
    <w:rsid w:val="006F64DF"/>
    <w:rsid w:val="006F64E3"/>
    <w:rsid w:val="006F6579"/>
    <w:rsid w:val="006F65A0"/>
    <w:rsid w:val="006F65A3"/>
    <w:rsid w:val="006F66D3"/>
    <w:rsid w:val="006F66D4"/>
    <w:rsid w:val="006F6734"/>
    <w:rsid w:val="006F67B6"/>
    <w:rsid w:val="006F6832"/>
    <w:rsid w:val="006F68DD"/>
    <w:rsid w:val="006F6932"/>
    <w:rsid w:val="006F6951"/>
    <w:rsid w:val="006F69A0"/>
    <w:rsid w:val="006F6AD1"/>
    <w:rsid w:val="006F6AE9"/>
    <w:rsid w:val="006F6B07"/>
    <w:rsid w:val="006F6B48"/>
    <w:rsid w:val="006F6B4A"/>
    <w:rsid w:val="006F6B50"/>
    <w:rsid w:val="006F6C16"/>
    <w:rsid w:val="006F6C18"/>
    <w:rsid w:val="006F6C27"/>
    <w:rsid w:val="006F6CA4"/>
    <w:rsid w:val="006F6D0F"/>
    <w:rsid w:val="006F6D1E"/>
    <w:rsid w:val="006F6DE4"/>
    <w:rsid w:val="006F6E58"/>
    <w:rsid w:val="006F6F64"/>
    <w:rsid w:val="006F6FE7"/>
    <w:rsid w:val="006F7012"/>
    <w:rsid w:val="006F7085"/>
    <w:rsid w:val="006F70F1"/>
    <w:rsid w:val="006F72B4"/>
    <w:rsid w:val="006F72B7"/>
    <w:rsid w:val="006F72BF"/>
    <w:rsid w:val="006F72DF"/>
    <w:rsid w:val="006F7325"/>
    <w:rsid w:val="006F7381"/>
    <w:rsid w:val="006F7426"/>
    <w:rsid w:val="006F74CF"/>
    <w:rsid w:val="006F7584"/>
    <w:rsid w:val="006F759F"/>
    <w:rsid w:val="006F75FC"/>
    <w:rsid w:val="006F7629"/>
    <w:rsid w:val="006F7718"/>
    <w:rsid w:val="006F7754"/>
    <w:rsid w:val="006F7767"/>
    <w:rsid w:val="006F77B3"/>
    <w:rsid w:val="006F7859"/>
    <w:rsid w:val="006F78B0"/>
    <w:rsid w:val="006F7927"/>
    <w:rsid w:val="006F797A"/>
    <w:rsid w:val="006F79B7"/>
    <w:rsid w:val="006F79FC"/>
    <w:rsid w:val="006F7A06"/>
    <w:rsid w:val="006F7A81"/>
    <w:rsid w:val="006F7AF7"/>
    <w:rsid w:val="006F7B2D"/>
    <w:rsid w:val="006F7BBA"/>
    <w:rsid w:val="006F7CFC"/>
    <w:rsid w:val="006F7D08"/>
    <w:rsid w:val="006F7DDD"/>
    <w:rsid w:val="006F7E39"/>
    <w:rsid w:val="006F7EDA"/>
    <w:rsid w:val="006F7EEF"/>
    <w:rsid w:val="006F7F34"/>
    <w:rsid w:val="006F7F36"/>
    <w:rsid w:val="006F7F42"/>
    <w:rsid w:val="006F7FAB"/>
    <w:rsid w:val="006F7FD6"/>
    <w:rsid w:val="00700064"/>
    <w:rsid w:val="007000AA"/>
    <w:rsid w:val="007000CF"/>
    <w:rsid w:val="0070013A"/>
    <w:rsid w:val="0070013E"/>
    <w:rsid w:val="00700191"/>
    <w:rsid w:val="00700349"/>
    <w:rsid w:val="0070037B"/>
    <w:rsid w:val="00700439"/>
    <w:rsid w:val="007004C3"/>
    <w:rsid w:val="0070054F"/>
    <w:rsid w:val="0070057B"/>
    <w:rsid w:val="007005C4"/>
    <w:rsid w:val="00700647"/>
    <w:rsid w:val="007006AC"/>
    <w:rsid w:val="007006DB"/>
    <w:rsid w:val="007006E1"/>
    <w:rsid w:val="00700710"/>
    <w:rsid w:val="00700735"/>
    <w:rsid w:val="00700798"/>
    <w:rsid w:val="007008DE"/>
    <w:rsid w:val="007008FA"/>
    <w:rsid w:val="00700923"/>
    <w:rsid w:val="00700931"/>
    <w:rsid w:val="00700950"/>
    <w:rsid w:val="00700974"/>
    <w:rsid w:val="00700A33"/>
    <w:rsid w:val="00700A3D"/>
    <w:rsid w:val="00700AB8"/>
    <w:rsid w:val="00700AC4"/>
    <w:rsid w:val="00700B02"/>
    <w:rsid w:val="00700B73"/>
    <w:rsid w:val="00700B8D"/>
    <w:rsid w:val="00700BF6"/>
    <w:rsid w:val="00700C4B"/>
    <w:rsid w:val="00700C57"/>
    <w:rsid w:val="00700C7E"/>
    <w:rsid w:val="00700C9E"/>
    <w:rsid w:val="00700CEF"/>
    <w:rsid w:val="00700D1E"/>
    <w:rsid w:val="00700DE6"/>
    <w:rsid w:val="00700DF6"/>
    <w:rsid w:val="00700DFD"/>
    <w:rsid w:val="00700EC6"/>
    <w:rsid w:val="00700F01"/>
    <w:rsid w:val="00700F1F"/>
    <w:rsid w:val="00700F9B"/>
    <w:rsid w:val="00700FD3"/>
    <w:rsid w:val="00701105"/>
    <w:rsid w:val="00701136"/>
    <w:rsid w:val="00701154"/>
    <w:rsid w:val="0070116A"/>
    <w:rsid w:val="00701179"/>
    <w:rsid w:val="007011CF"/>
    <w:rsid w:val="007011ED"/>
    <w:rsid w:val="00701207"/>
    <w:rsid w:val="00701226"/>
    <w:rsid w:val="00701239"/>
    <w:rsid w:val="007013CD"/>
    <w:rsid w:val="007014B1"/>
    <w:rsid w:val="00701546"/>
    <w:rsid w:val="007015B0"/>
    <w:rsid w:val="007015DE"/>
    <w:rsid w:val="007016BF"/>
    <w:rsid w:val="007016D9"/>
    <w:rsid w:val="007016E0"/>
    <w:rsid w:val="007016EB"/>
    <w:rsid w:val="00701819"/>
    <w:rsid w:val="0070181A"/>
    <w:rsid w:val="0070181B"/>
    <w:rsid w:val="0070189B"/>
    <w:rsid w:val="007018BF"/>
    <w:rsid w:val="007019C4"/>
    <w:rsid w:val="00701B5A"/>
    <w:rsid w:val="00701BAA"/>
    <w:rsid w:val="00701BB4"/>
    <w:rsid w:val="00701BBC"/>
    <w:rsid w:val="00701BC8"/>
    <w:rsid w:val="00701BE2"/>
    <w:rsid w:val="00701C03"/>
    <w:rsid w:val="00701C13"/>
    <w:rsid w:val="00701CF7"/>
    <w:rsid w:val="00701E67"/>
    <w:rsid w:val="00701EC3"/>
    <w:rsid w:val="00701EC8"/>
    <w:rsid w:val="00701F59"/>
    <w:rsid w:val="00701F77"/>
    <w:rsid w:val="00701FBE"/>
    <w:rsid w:val="007020C7"/>
    <w:rsid w:val="007020D8"/>
    <w:rsid w:val="0070219F"/>
    <w:rsid w:val="00702276"/>
    <w:rsid w:val="0070231C"/>
    <w:rsid w:val="00702365"/>
    <w:rsid w:val="0070238B"/>
    <w:rsid w:val="007023CE"/>
    <w:rsid w:val="00702479"/>
    <w:rsid w:val="007024EA"/>
    <w:rsid w:val="007024FB"/>
    <w:rsid w:val="007024FF"/>
    <w:rsid w:val="0070255E"/>
    <w:rsid w:val="00702598"/>
    <w:rsid w:val="007025C3"/>
    <w:rsid w:val="00702602"/>
    <w:rsid w:val="00702643"/>
    <w:rsid w:val="007026B1"/>
    <w:rsid w:val="0070278E"/>
    <w:rsid w:val="007027D9"/>
    <w:rsid w:val="007027E0"/>
    <w:rsid w:val="007027FA"/>
    <w:rsid w:val="0070297A"/>
    <w:rsid w:val="0070298A"/>
    <w:rsid w:val="00702A5A"/>
    <w:rsid w:val="00702A6A"/>
    <w:rsid w:val="00702A74"/>
    <w:rsid w:val="00702AB8"/>
    <w:rsid w:val="00702B2E"/>
    <w:rsid w:val="00702B5A"/>
    <w:rsid w:val="00702B88"/>
    <w:rsid w:val="00702BE1"/>
    <w:rsid w:val="00702C96"/>
    <w:rsid w:val="00702DA1"/>
    <w:rsid w:val="00702DA6"/>
    <w:rsid w:val="00702DAE"/>
    <w:rsid w:val="00702DCD"/>
    <w:rsid w:val="00702DE2"/>
    <w:rsid w:val="00702E10"/>
    <w:rsid w:val="00702E66"/>
    <w:rsid w:val="00702EC4"/>
    <w:rsid w:val="00702ECA"/>
    <w:rsid w:val="00702F34"/>
    <w:rsid w:val="00702F96"/>
    <w:rsid w:val="0070319A"/>
    <w:rsid w:val="007031D4"/>
    <w:rsid w:val="007031E2"/>
    <w:rsid w:val="007032B3"/>
    <w:rsid w:val="00703336"/>
    <w:rsid w:val="0070343E"/>
    <w:rsid w:val="00703503"/>
    <w:rsid w:val="00703550"/>
    <w:rsid w:val="007035DA"/>
    <w:rsid w:val="0070362B"/>
    <w:rsid w:val="007037DD"/>
    <w:rsid w:val="0070389D"/>
    <w:rsid w:val="00703912"/>
    <w:rsid w:val="00703913"/>
    <w:rsid w:val="0070398F"/>
    <w:rsid w:val="007039F3"/>
    <w:rsid w:val="00703A7B"/>
    <w:rsid w:val="00703A88"/>
    <w:rsid w:val="00703AC3"/>
    <w:rsid w:val="00703B1B"/>
    <w:rsid w:val="00703B8F"/>
    <w:rsid w:val="00703BF7"/>
    <w:rsid w:val="00703C20"/>
    <w:rsid w:val="00703CB4"/>
    <w:rsid w:val="00703D2D"/>
    <w:rsid w:val="00703D6D"/>
    <w:rsid w:val="00703D73"/>
    <w:rsid w:val="00703ECD"/>
    <w:rsid w:val="00703EF2"/>
    <w:rsid w:val="00703F77"/>
    <w:rsid w:val="00703FF0"/>
    <w:rsid w:val="00704047"/>
    <w:rsid w:val="0070405C"/>
    <w:rsid w:val="00704066"/>
    <w:rsid w:val="0070426C"/>
    <w:rsid w:val="007042D4"/>
    <w:rsid w:val="007042F3"/>
    <w:rsid w:val="007043D5"/>
    <w:rsid w:val="007044BA"/>
    <w:rsid w:val="007044EA"/>
    <w:rsid w:val="0070451B"/>
    <w:rsid w:val="00704556"/>
    <w:rsid w:val="00704574"/>
    <w:rsid w:val="007045DE"/>
    <w:rsid w:val="007045E3"/>
    <w:rsid w:val="0070462E"/>
    <w:rsid w:val="00704682"/>
    <w:rsid w:val="00704694"/>
    <w:rsid w:val="0070469B"/>
    <w:rsid w:val="007046C1"/>
    <w:rsid w:val="007046CE"/>
    <w:rsid w:val="00704706"/>
    <w:rsid w:val="0070471F"/>
    <w:rsid w:val="00704728"/>
    <w:rsid w:val="007047AD"/>
    <w:rsid w:val="00704803"/>
    <w:rsid w:val="00704809"/>
    <w:rsid w:val="00704877"/>
    <w:rsid w:val="00704886"/>
    <w:rsid w:val="0070488A"/>
    <w:rsid w:val="00704894"/>
    <w:rsid w:val="00704922"/>
    <w:rsid w:val="007049EE"/>
    <w:rsid w:val="00704A3C"/>
    <w:rsid w:val="00704AC3"/>
    <w:rsid w:val="00704C12"/>
    <w:rsid w:val="00704CB3"/>
    <w:rsid w:val="00704CFE"/>
    <w:rsid w:val="00704D57"/>
    <w:rsid w:val="00704E28"/>
    <w:rsid w:val="00704ED7"/>
    <w:rsid w:val="00704F78"/>
    <w:rsid w:val="00704FA9"/>
    <w:rsid w:val="00704FAF"/>
    <w:rsid w:val="00704FBB"/>
    <w:rsid w:val="0070500E"/>
    <w:rsid w:val="00705010"/>
    <w:rsid w:val="0070504F"/>
    <w:rsid w:val="00705183"/>
    <w:rsid w:val="00705259"/>
    <w:rsid w:val="00705359"/>
    <w:rsid w:val="00705535"/>
    <w:rsid w:val="00705564"/>
    <w:rsid w:val="00705572"/>
    <w:rsid w:val="0070559F"/>
    <w:rsid w:val="007055DB"/>
    <w:rsid w:val="007056DD"/>
    <w:rsid w:val="007056EA"/>
    <w:rsid w:val="007057F1"/>
    <w:rsid w:val="00705814"/>
    <w:rsid w:val="00705889"/>
    <w:rsid w:val="0070596F"/>
    <w:rsid w:val="007059BA"/>
    <w:rsid w:val="007059BB"/>
    <w:rsid w:val="007059DB"/>
    <w:rsid w:val="00705A40"/>
    <w:rsid w:val="00705B5C"/>
    <w:rsid w:val="00705C80"/>
    <w:rsid w:val="00705D0A"/>
    <w:rsid w:val="00705D77"/>
    <w:rsid w:val="00705EFF"/>
    <w:rsid w:val="00705F1F"/>
    <w:rsid w:val="0070603D"/>
    <w:rsid w:val="00706064"/>
    <w:rsid w:val="007061F9"/>
    <w:rsid w:val="00706247"/>
    <w:rsid w:val="007062FC"/>
    <w:rsid w:val="00706337"/>
    <w:rsid w:val="007063B8"/>
    <w:rsid w:val="0070640A"/>
    <w:rsid w:val="0070643F"/>
    <w:rsid w:val="007064A3"/>
    <w:rsid w:val="007064C3"/>
    <w:rsid w:val="007064E6"/>
    <w:rsid w:val="00706527"/>
    <w:rsid w:val="007065C5"/>
    <w:rsid w:val="007065D9"/>
    <w:rsid w:val="0070660D"/>
    <w:rsid w:val="0070661E"/>
    <w:rsid w:val="007066A8"/>
    <w:rsid w:val="007066E3"/>
    <w:rsid w:val="00706721"/>
    <w:rsid w:val="00706770"/>
    <w:rsid w:val="007067B8"/>
    <w:rsid w:val="007067E8"/>
    <w:rsid w:val="00706877"/>
    <w:rsid w:val="007069F6"/>
    <w:rsid w:val="00706A88"/>
    <w:rsid w:val="00706AE1"/>
    <w:rsid w:val="00706B8E"/>
    <w:rsid w:val="00706B97"/>
    <w:rsid w:val="00706BA4"/>
    <w:rsid w:val="00706C55"/>
    <w:rsid w:val="00706C75"/>
    <w:rsid w:val="00706D02"/>
    <w:rsid w:val="00706D34"/>
    <w:rsid w:val="00706EAA"/>
    <w:rsid w:val="00706F7F"/>
    <w:rsid w:val="0070705F"/>
    <w:rsid w:val="007070F2"/>
    <w:rsid w:val="00707123"/>
    <w:rsid w:val="0070717E"/>
    <w:rsid w:val="00707187"/>
    <w:rsid w:val="0070721F"/>
    <w:rsid w:val="0070724A"/>
    <w:rsid w:val="0070726B"/>
    <w:rsid w:val="00707297"/>
    <w:rsid w:val="007072CB"/>
    <w:rsid w:val="00707345"/>
    <w:rsid w:val="0070734C"/>
    <w:rsid w:val="00707411"/>
    <w:rsid w:val="00707414"/>
    <w:rsid w:val="007074CB"/>
    <w:rsid w:val="007074F1"/>
    <w:rsid w:val="00707508"/>
    <w:rsid w:val="007075AC"/>
    <w:rsid w:val="007075D2"/>
    <w:rsid w:val="0070764E"/>
    <w:rsid w:val="00707736"/>
    <w:rsid w:val="00707796"/>
    <w:rsid w:val="00707838"/>
    <w:rsid w:val="007078C2"/>
    <w:rsid w:val="0070796A"/>
    <w:rsid w:val="007079A1"/>
    <w:rsid w:val="00707A84"/>
    <w:rsid w:val="00707AE9"/>
    <w:rsid w:val="00707AEE"/>
    <w:rsid w:val="00707B60"/>
    <w:rsid w:val="00707B66"/>
    <w:rsid w:val="00707BA1"/>
    <w:rsid w:val="00707BF1"/>
    <w:rsid w:val="00707C18"/>
    <w:rsid w:val="00707C72"/>
    <w:rsid w:val="00707D01"/>
    <w:rsid w:val="00707D18"/>
    <w:rsid w:val="00707DC8"/>
    <w:rsid w:val="00707FEE"/>
    <w:rsid w:val="00710062"/>
    <w:rsid w:val="007100DF"/>
    <w:rsid w:val="007101AC"/>
    <w:rsid w:val="007101C9"/>
    <w:rsid w:val="007101CE"/>
    <w:rsid w:val="00710232"/>
    <w:rsid w:val="00710330"/>
    <w:rsid w:val="007103A9"/>
    <w:rsid w:val="007103AE"/>
    <w:rsid w:val="007104CE"/>
    <w:rsid w:val="007104F4"/>
    <w:rsid w:val="0071052B"/>
    <w:rsid w:val="00710544"/>
    <w:rsid w:val="0071056F"/>
    <w:rsid w:val="00710620"/>
    <w:rsid w:val="00710725"/>
    <w:rsid w:val="00710735"/>
    <w:rsid w:val="00710792"/>
    <w:rsid w:val="0071082E"/>
    <w:rsid w:val="00710A30"/>
    <w:rsid w:val="00710B27"/>
    <w:rsid w:val="00710B6B"/>
    <w:rsid w:val="00710B7B"/>
    <w:rsid w:val="00710B8D"/>
    <w:rsid w:val="00710BBF"/>
    <w:rsid w:val="00710C34"/>
    <w:rsid w:val="00710C43"/>
    <w:rsid w:val="00710C5A"/>
    <w:rsid w:val="00710CBB"/>
    <w:rsid w:val="00710CF1"/>
    <w:rsid w:val="00710D46"/>
    <w:rsid w:val="00710D70"/>
    <w:rsid w:val="00710E07"/>
    <w:rsid w:val="00710E17"/>
    <w:rsid w:val="00710E5B"/>
    <w:rsid w:val="00710E62"/>
    <w:rsid w:val="0071102B"/>
    <w:rsid w:val="0071104E"/>
    <w:rsid w:val="00711064"/>
    <w:rsid w:val="007110C3"/>
    <w:rsid w:val="007110FE"/>
    <w:rsid w:val="007111A5"/>
    <w:rsid w:val="007111EE"/>
    <w:rsid w:val="007112A6"/>
    <w:rsid w:val="007112AC"/>
    <w:rsid w:val="007112C0"/>
    <w:rsid w:val="00711335"/>
    <w:rsid w:val="00711379"/>
    <w:rsid w:val="00711401"/>
    <w:rsid w:val="00711430"/>
    <w:rsid w:val="00711464"/>
    <w:rsid w:val="007114EE"/>
    <w:rsid w:val="00711546"/>
    <w:rsid w:val="00711579"/>
    <w:rsid w:val="007115BF"/>
    <w:rsid w:val="00711618"/>
    <w:rsid w:val="0071166B"/>
    <w:rsid w:val="00711680"/>
    <w:rsid w:val="007116B0"/>
    <w:rsid w:val="007116E2"/>
    <w:rsid w:val="00711770"/>
    <w:rsid w:val="0071189F"/>
    <w:rsid w:val="00711928"/>
    <w:rsid w:val="0071193A"/>
    <w:rsid w:val="007119E5"/>
    <w:rsid w:val="00711A03"/>
    <w:rsid w:val="00711A74"/>
    <w:rsid w:val="00711ADE"/>
    <w:rsid w:val="00711B2F"/>
    <w:rsid w:val="00711B54"/>
    <w:rsid w:val="00711B69"/>
    <w:rsid w:val="00711BC5"/>
    <w:rsid w:val="00711C41"/>
    <w:rsid w:val="00711CED"/>
    <w:rsid w:val="00711D08"/>
    <w:rsid w:val="00711D41"/>
    <w:rsid w:val="00711D84"/>
    <w:rsid w:val="00711DA8"/>
    <w:rsid w:val="00711E44"/>
    <w:rsid w:val="00711E5A"/>
    <w:rsid w:val="00711EA1"/>
    <w:rsid w:val="00711EE5"/>
    <w:rsid w:val="00711F5A"/>
    <w:rsid w:val="00711F8E"/>
    <w:rsid w:val="00711F99"/>
    <w:rsid w:val="007120B7"/>
    <w:rsid w:val="00712115"/>
    <w:rsid w:val="00712125"/>
    <w:rsid w:val="0071217E"/>
    <w:rsid w:val="007121A3"/>
    <w:rsid w:val="007121FC"/>
    <w:rsid w:val="00712260"/>
    <w:rsid w:val="00712274"/>
    <w:rsid w:val="007122A4"/>
    <w:rsid w:val="007123C8"/>
    <w:rsid w:val="00712456"/>
    <w:rsid w:val="0071246D"/>
    <w:rsid w:val="00712549"/>
    <w:rsid w:val="0071256B"/>
    <w:rsid w:val="007126A6"/>
    <w:rsid w:val="007126D0"/>
    <w:rsid w:val="00712725"/>
    <w:rsid w:val="0071278E"/>
    <w:rsid w:val="007127FE"/>
    <w:rsid w:val="00712829"/>
    <w:rsid w:val="007128BF"/>
    <w:rsid w:val="007128DA"/>
    <w:rsid w:val="007128F4"/>
    <w:rsid w:val="00712A3D"/>
    <w:rsid w:val="00712AFD"/>
    <w:rsid w:val="00712B10"/>
    <w:rsid w:val="00712B2F"/>
    <w:rsid w:val="00712B5F"/>
    <w:rsid w:val="00712B67"/>
    <w:rsid w:val="00712B76"/>
    <w:rsid w:val="00712C4C"/>
    <w:rsid w:val="00712CA4"/>
    <w:rsid w:val="00712CC7"/>
    <w:rsid w:val="00712CE1"/>
    <w:rsid w:val="00712EC9"/>
    <w:rsid w:val="00712F36"/>
    <w:rsid w:val="00712FA1"/>
    <w:rsid w:val="00712FCB"/>
    <w:rsid w:val="00712FF5"/>
    <w:rsid w:val="007130AD"/>
    <w:rsid w:val="00713156"/>
    <w:rsid w:val="00713174"/>
    <w:rsid w:val="00713188"/>
    <w:rsid w:val="007132EC"/>
    <w:rsid w:val="007132F2"/>
    <w:rsid w:val="00713346"/>
    <w:rsid w:val="0071343A"/>
    <w:rsid w:val="00713449"/>
    <w:rsid w:val="00713492"/>
    <w:rsid w:val="0071353A"/>
    <w:rsid w:val="0071357D"/>
    <w:rsid w:val="00713631"/>
    <w:rsid w:val="0071365B"/>
    <w:rsid w:val="00713689"/>
    <w:rsid w:val="007136DD"/>
    <w:rsid w:val="00713769"/>
    <w:rsid w:val="00713807"/>
    <w:rsid w:val="007138D5"/>
    <w:rsid w:val="007138E8"/>
    <w:rsid w:val="00713955"/>
    <w:rsid w:val="00713AB0"/>
    <w:rsid w:val="00713B6B"/>
    <w:rsid w:val="00713B75"/>
    <w:rsid w:val="00713B8D"/>
    <w:rsid w:val="00713BE9"/>
    <w:rsid w:val="00713CAC"/>
    <w:rsid w:val="00713CF1"/>
    <w:rsid w:val="00713D6A"/>
    <w:rsid w:val="00713DC5"/>
    <w:rsid w:val="00713E6D"/>
    <w:rsid w:val="00713EB2"/>
    <w:rsid w:val="00713EC2"/>
    <w:rsid w:val="00713F55"/>
    <w:rsid w:val="00713F79"/>
    <w:rsid w:val="00714067"/>
    <w:rsid w:val="007140AF"/>
    <w:rsid w:val="007141AC"/>
    <w:rsid w:val="007142AC"/>
    <w:rsid w:val="007142F6"/>
    <w:rsid w:val="00714337"/>
    <w:rsid w:val="007143B4"/>
    <w:rsid w:val="00714483"/>
    <w:rsid w:val="007144EC"/>
    <w:rsid w:val="00714519"/>
    <w:rsid w:val="0071452C"/>
    <w:rsid w:val="00714579"/>
    <w:rsid w:val="0071461A"/>
    <w:rsid w:val="00714659"/>
    <w:rsid w:val="007146CB"/>
    <w:rsid w:val="0071474D"/>
    <w:rsid w:val="007147A9"/>
    <w:rsid w:val="0071485A"/>
    <w:rsid w:val="00714892"/>
    <w:rsid w:val="00714927"/>
    <w:rsid w:val="00714963"/>
    <w:rsid w:val="00714971"/>
    <w:rsid w:val="007149DE"/>
    <w:rsid w:val="007149FB"/>
    <w:rsid w:val="00714A4D"/>
    <w:rsid w:val="00714A91"/>
    <w:rsid w:val="00714B0E"/>
    <w:rsid w:val="00714B26"/>
    <w:rsid w:val="00714C01"/>
    <w:rsid w:val="00714D25"/>
    <w:rsid w:val="00714D3C"/>
    <w:rsid w:val="00714D74"/>
    <w:rsid w:val="00714DC9"/>
    <w:rsid w:val="00714E14"/>
    <w:rsid w:val="00714E62"/>
    <w:rsid w:val="00714F33"/>
    <w:rsid w:val="00714FAA"/>
    <w:rsid w:val="00715038"/>
    <w:rsid w:val="007150A9"/>
    <w:rsid w:val="007150AD"/>
    <w:rsid w:val="007150BD"/>
    <w:rsid w:val="00715124"/>
    <w:rsid w:val="0071519A"/>
    <w:rsid w:val="007151EC"/>
    <w:rsid w:val="00715235"/>
    <w:rsid w:val="0071525A"/>
    <w:rsid w:val="0071526E"/>
    <w:rsid w:val="00715281"/>
    <w:rsid w:val="007152F1"/>
    <w:rsid w:val="00715302"/>
    <w:rsid w:val="0071537E"/>
    <w:rsid w:val="00715487"/>
    <w:rsid w:val="00715522"/>
    <w:rsid w:val="0071554C"/>
    <w:rsid w:val="00715596"/>
    <w:rsid w:val="007155D1"/>
    <w:rsid w:val="0071560D"/>
    <w:rsid w:val="0071563E"/>
    <w:rsid w:val="0071579F"/>
    <w:rsid w:val="00715849"/>
    <w:rsid w:val="007158A0"/>
    <w:rsid w:val="007158F8"/>
    <w:rsid w:val="007159EC"/>
    <w:rsid w:val="007159EF"/>
    <w:rsid w:val="00715AB4"/>
    <w:rsid w:val="00715BA2"/>
    <w:rsid w:val="00715BB3"/>
    <w:rsid w:val="00715C30"/>
    <w:rsid w:val="00715C65"/>
    <w:rsid w:val="00715D72"/>
    <w:rsid w:val="00715D8D"/>
    <w:rsid w:val="00715E45"/>
    <w:rsid w:val="00715F9B"/>
    <w:rsid w:val="00716007"/>
    <w:rsid w:val="00716091"/>
    <w:rsid w:val="007160D2"/>
    <w:rsid w:val="007160E6"/>
    <w:rsid w:val="007160F7"/>
    <w:rsid w:val="007160F9"/>
    <w:rsid w:val="00716100"/>
    <w:rsid w:val="0071615E"/>
    <w:rsid w:val="00716220"/>
    <w:rsid w:val="007164B6"/>
    <w:rsid w:val="00716512"/>
    <w:rsid w:val="0071658F"/>
    <w:rsid w:val="007165D5"/>
    <w:rsid w:val="0071668B"/>
    <w:rsid w:val="0071668F"/>
    <w:rsid w:val="007166B4"/>
    <w:rsid w:val="00716724"/>
    <w:rsid w:val="00716838"/>
    <w:rsid w:val="0071688F"/>
    <w:rsid w:val="00716898"/>
    <w:rsid w:val="007168F0"/>
    <w:rsid w:val="00716914"/>
    <w:rsid w:val="007169BD"/>
    <w:rsid w:val="007169C2"/>
    <w:rsid w:val="00716A1F"/>
    <w:rsid w:val="00716A55"/>
    <w:rsid w:val="00716A9D"/>
    <w:rsid w:val="00716AD2"/>
    <w:rsid w:val="00716B5A"/>
    <w:rsid w:val="00716C01"/>
    <w:rsid w:val="00716CAF"/>
    <w:rsid w:val="00716CD7"/>
    <w:rsid w:val="00716D7C"/>
    <w:rsid w:val="00716D7F"/>
    <w:rsid w:val="00716ECE"/>
    <w:rsid w:val="00716EEF"/>
    <w:rsid w:val="00716F1D"/>
    <w:rsid w:val="00716FB9"/>
    <w:rsid w:val="00716FF8"/>
    <w:rsid w:val="00716FFD"/>
    <w:rsid w:val="0071707E"/>
    <w:rsid w:val="00717108"/>
    <w:rsid w:val="00717188"/>
    <w:rsid w:val="00717226"/>
    <w:rsid w:val="0071733D"/>
    <w:rsid w:val="0071735D"/>
    <w:rsid w:val="007173AD"/>
    <w:rsid w:val="00717517"/>
    <w:rsid w:val="00717534"/>
    <w:rsid w:val="0071753A"/>
    <w:rsid w:val="00717567"/>
    <w:rsid w:val="00717598"/>
    <w:rsid w:val="0071759F"/>
    <w:rsid w:val="00717664"/>
    <w:rsid w:val="007176A8"/>
    <w:rsid w:val="007176D4"/>
    <w:rsid w:val="0071771F"/>
    <w:rsid w:val="00717733"/>
    <w:rsid w:val="0071775A"/>
    <w:rsid w:val="00717778"/>
    <w:rsid w:val="007179D2"/>
    <w:rsid w:val="007179D7"/>
    <w:rsid w:val="00717A02"/>
    <w:rsid w:val="00717A08"/>
    <w:rsid w:val="00717A24"/>
    <w:rsid w:val="00717A2D"/>
    <w:rsid w:val="00717A73"/>
    <w:rsid w:val="00717A9B"/>
    <w:rsid w:val="00717A9F"/>
    <w:rsid w:val="00717AB0"/>
    <w:rsid w:val="00717AC0"/>
    <w:rsid w:val="00717B88"/>
    <w:rsid w:val="00717BFB"/>
    <w:rsid w:val="00717C12"/>
    <w:rsid w:val="00717C2C"/>
    <w:rsid w:val="00717C79"/>
    <w:rsid w:val="00717CA5"/>
    <w:rsid w:val="00717D30"/>
    <w:rsid w:val="00717D84"/>
    <w:rsid w:val="00717EF5"/>
    <w:rsid w:val="00717F29"/>
    <w:rsid w:val="00717F44"/>
    <w:rsid w:val="00717F52"/>
    <w:rsid w:val="00717FDB"/>
    <w:rsid w:val="00717FED"/>
    <w:rsid w:val="00720080"/>
    <w:rsid w:val="00720098"/>
    <w:rsid w:val="0072031F"/>
    <w:rsid w:val="0072032E"/>
    <w:rsid w:val="00720361"/>
    <w:rsid w:val="007203CA"/>
    <w:rsid w:val="007203EE"/>
    <w:rsid w:val="0072044E"/>
    <w:rsid w:val="007205DD"/>
    <w:rsid w:val="00720661"/>
    <w:rsid w:val="007206D9"/>
    <w:rsid w:val="00720809"/>
    <w:rsid w:val="00720858"/>
    <w:rsid w:val="00720959"/>
    <w:rsid w:val="00720975"/>
    <w:rsid w:val="0072099C"/>
    <w:rsid w:val="00720A41"/>
    <w:rsid w:val="00720AFA"/>
    <w:rsid w:val="00720BC8"/>
    <w:rsid w:val="00720BEB"/>
    <w:rsid w:val="00720BF8"/>
    <w:rsid w:val="00720C09"/>
    <w:rsid w:val="00720C22"/>
    <w:rsid w:val="00720CF0"/>
    <w:rsid w:val="00720D2A"/>
    <w:rsid w:val="00720D31"/>
    <w:rsid w:val="00720E6D"/>
    <w:rsid w:val="00720FA7"/>
    <w:rsid w:val="00720FDF"/>
    <w:rsid w:val="00720FF6"/>
    <w:rsid w:val="00721014"/>
    <w:rsid w:val="007211C9"/>
    <w:rsid w:val="0072120A"/>
    <w:rsid w:val="0072121F"/>
    <w:rsid w:val="00721283"/>
    <w:rsid w:val="00721294"/>
    <w:rsid w:val="007212C0"/>
    <w:rsid w:val="007212C9"/>
    <w:rsid w:val="007212FD"/>
    <w:rsid w:val="00721393"/>
    <w:rsid w:val="00721449"/>
    <w:rsid w:val="00721484"/>
    <w:rsid w:val="00721497"/>
    <w:rsid w:val="007214BD"/>
    <w:rsid w:val="007215AD"/>
    <w:rsid w:val="00721620"/>
    <w:rsid w:val="0072171A"/>
    <w:rsid w:val="0072175D"/>
    <w:rsid w:val="00721764"/>
    <w:rsid w:val="00721A4F"/>
    <w:rsid w:val="00721A6C"/>
    <w:rsid w:val="00721A79"/>
    <w:rsid w:val="00721A84"/>
    <w:rsid w:val="00721A88"/>
    <w:rsid w:val="00721A8E"/>
    <w:rsid w:val="00721ADF"/>
    <w:rsid w:val="00721B75"/>
    <w:rsid w:val="00721BE1"/>
    <w:rsid w:val="00721CCE"/>
    <w:rsid w:val="00721CFF"/>
    <w:rsid w:val="00721D91"/>
    <w:rsid w:val="00721EC5"/>
    <w:rsid w:val="00721EE6"/>
    <w:rsid w:val="00721EF2"/>
    <w:rsid w:val="00721F11"/>
    <w:rsid w:val="00721F8B"/>
    <w:rsid w:val="007220C7"/>
    <w:rsid w:val="00722105"/>
    <w:rsid w:val="00722117"/>
    <w:rsid w:val="00722134"/>
    <w:rsid w:val="00722172"/>
    <w:rsid w:val="00722182"/>
    <w:rsid w:val="00722196"/>
    <w:rsid w:val="007221BC"/>
    <w:rsid w:val="007221F0"/>
    <w:rsid w:val="0072230C"/>
    <w:rsid w:val="00722349"/>
    <w:rsid w:val="0072241B"/>
    <w:rsid w:val="0072243C"/>
    <w:rsid w:val="0072245F"/>
    <w:rsid w:val="007224F7"/>
    <w:rsid w:val="00722502"/>
    <w:rsid w:val="007225D7"/>
    <w:rsid w:val="007225DF"/>
    <w:rsid w:val="007226CB"/>
    <w:rsid w:val="007226E9"/>
    <w:rsid w:val="007226F2"/>
    <w:rsid w:val="007226F3"/>
    <w:rsid w:val="007226F5"/>
    <w:rsid w:val="0072270C"/>
    <w:rsid w:val="00722717"/>
    <w:rsid w:val="00722723"/>
    <w:rsid w:val="00722760"/>
    <w:rsid w:val="0072277C"/>
    <w:rsid w:val="007227BB"/>
    <w:rsid w:val="007228CD"/>
    <w:rsid w:val="00722912"/>
    <w:rsid w:val="00722A08"/>
    <w:rsid w:val="00722A20"/>
    <w:rsid w:val="00722AA9"/>
    <w:rsid w:val="00722B1E"/>
    <w:rsid w:val="00722BC9"/>
    <w:rsid w:val="00722C24"/>
    <w:rsid w:val="00722C26"/>
    <w:rsid w:val="00722CB0"/>
    <w:rsid w:val="00722CC3"/>
    <w:rsid w:val="00722DDF"/>
    <w:rsid w:val="00722E49"/>
    <w:rsid w:val="00722ED8"/>
    <w:rsid w:val="00722F3D"/>
    <w:rsid w:val="00722F71"/>
    <w:rsid w:val="00722F7B"/>
    <w:rsid w:val="00722F8D"/>
    <w:rsid w:val="00723073"/>
    <w:rsid w:val="007230AD"/>
    <w:rsid w:val="00723115"/>
    <w:rsid w:val="007231A4"/>
    <w:rsid w:val="007231F8"/>
    <w:rsid w:val="0072321A"/>
    <w:rsid w:val="00723287"/>
    <w:rsid w:val="0072328F"/>
    <w:rsid w:val="0072329D"/>
    <w:rsid w:val="00723339"/>
    <w:rsid w:val="00723384"/>
    <w:rsid w:val="00723385"/>
    <w:rsid w:val="007233AB"/>
    <w:rsid w:val="007234FA"/>
    <w:rsid w:val="00723617"/>
    <w:rsid w:val="0072369F"/>
    <w:rsid w:val="00723770"/>
    <w:rsid w:val="007237B4"/>
    <w:rsid w:val="007237F1"/>
    <w:rsid w:val="00723801"/>
    <w:rsid w:val="007238A3"/>
    <w:rsid w:val="00723961"/>
    <w:rsid w:val="00723962"/>
    <w:rsid w:val="007239A8"/>
    <w:rsid w:val="00723B2C"/>
    <w:rsid w:val="00723B7C"/>
    <w:rsid w:val="00723B80"/>
    <w:rsid w:val="00723B95"/>
    <w:rsid w:val="00723C26"/>
    <w:rsid w:val="00723CE7"/>
    <w:rsid w:val="00723D76"/>
    <w:rsid w:val="00723DC6"/>
    <w:rsid w:val="00723DDC"/>
    <w:rsid w:val="00723F15"/>
    <w:rsid w:val="00723F6D"/>
    <w:rsid w:val="00723FBE"/>
    <w:rsid w:val="00723FF4"/>
    <w:rsid w:val="00724017"/>
    <w:rsid w:val="0072406B"/>
    <w:rsid w:val="007240AB"/>
    <w:rsid w:val="007240F2"/>
    <w:rsid w:val="0072410B"/>
    <w:rsid w:val="0072417A"/>
    <w:rsid w:val="0072417B"/>
    <w:rsid w:val="007241AD"/>
    <w:rsid w:val="007241EF"/>
    <w:rsid w:val="0072444A"/>
    <w:rsid w:val="007244F1"/>
    <w:rsid w:val="0072457E"/>
    <w:rsid w:val="007245CE"/>
    <w:rsid w:val="007245DF"/>
    <w:rsid w:val="007246B1"/>
    <w:rsid w:val="0072479D"/>
    <w:rsid w:val="00724868"/>
    <w:rsid w:val="00724885"/>
    <w:rsid w:val="007248B2"/>
    <w:rsid w:val="0072493E"/>
    <w:rsid w:val="00724A15"/>
    <w:rsid w:val="00724B95"/>
    <w:rsid w:val="00724C53"/>
    <w:rsid w:val="00724C8B"/>
    <w:rsid w:val="00724CA5"/>
    <w:rsid w:val="00724CBE"/>
    <w:rsid w:val="00724CDF"/>
    <w:rsid w:val="00724D21"/>
    <w:rsid w:val="00724D41"/>
    <w:rsid w:val="00724D6F"/>
    <w:rsid w:val="00724E56"/>
    <w:rsid w:val="00724E87"/>
    <w:rsid w:val="00724E8F"/>
    <w:rsid w:val="00724E98"/>
    <w:rsid w:val="00724ED0"/>
    <w:rsid w:val="00724EFF"/>
    <w:rsid w:val="00724F17"/>
    <w:rsid w:val="00724F1E"/>
    <w:rsid w:val="00724F71"/>
    <w:rsid w:val="00724F92"/>
    <w:rsid w:val="00724FFA"/>
    <w:rsid w:val="0072504A"/>
    <w:rsid w:val="00725063"/>
    <w:rsid w:val="007250BB"/>
    <w:rsid w:val="007250C2"/>
    <w:rsid w:val="007250E1"/>
    <w:rsid w:val="007251BD"/>
    <w:rsid w:val="007251C2"/>
    <w:rsid w:val="00725250"/>
    <w:rsid w:val="00725256"/>
    <w:rsid w:val="007252B8"/>
    <w:rsid w:val="0072530D"/>
    <w:rsid w:val="007253D6"/>
    <w:rsid w:val="007253F6"/>
    <w:rsid w:val="007253F8"/>
    <w:rsid w:val="007253FC"/>
    <w:rsid w:val="00725439"/>
    <w:rsid w:val="007254FA"/>
    <w:rsid w:val="00725577"/>
    <w:rsid w:val="007255DF"/>
    <w:rsid w:val="00725654"/>
    <w:rsid w:val="0072565F"/>
    <w:rsid w:val="007256A9"/>
    <w:rsid w:val="0072577C"/>
    <w:rsid w:val="0072578A"/>
    <w:rsid w:val="007257A4"/>
    <w:rsid w:val="007257B0"/>
    <w:rsid w:val="0072584E"/>
    <w:rsid w:val="00725910"/>
    <w:rsid w:val="00725943"/>
    <w:rsid w:val="0072596D"/>
    <w:rsid w:val="0072597A"/>
    <w:rsid w:val="00725993"/>
    <w:rsid w:val="007259E9"/>
    <w:rsid w:val="00725A80"/>
    <w:rsid w:val="00725AA3"/>
    <w:rsid w:val="00725B67"/>
    <w:rsid w:val="00725B75"/>
    <w:rsid w:val="00725C45"/>
    <w:rsid w:val="00725CB3"/>
    <w:rsid w:val="00725CEF"/>
    <w:rsid w:val="00725D6E"/>
    <w:rsid w:val="00725D70"/>
    <w:rsid w:val="00725E5D"/>
    <w:rsid w:val="00725E67"/>
    <w:rsid w:val="00725EEC"/>
    <w:rsid w:val="00725EFD"/>
    <w:rsid w:val="00725F6C"/>
    <w:rsid w:val="00725FE9"/>
    <w:rsid w:val="00726001"/>
    <w:rsid w:val="00726042"/>
    <w:rsid w:val="007260A0"/>
    <w:rsid w:val="00726123"/>
    <w:rsid w:val="00726125"/>
    <w:rsid w:val="00726153"/>
    <w:rsid w:val="00726154"/>
    <w:rsid w:val="007261FA"/>
    <w:rsid w:val="007262DE"/>
    <w:rsid w:val="0072637D"/>
    <w:rsid w:val="007263C1"/>
    <w:rsid w:val="00726441"/>
    <w:rsid w:val="00726566"/>
    <w:rsid w:val="0072657A"/>
    <w:rsid w:val="007265AB"/>
    <w:rsid w:val="00726637"/>
    <w:rsid w:val="00726772"/>
    <w:rsid w:val="0072678D"/>
    <w:rsid w:val="007267AF"/>
    <w:rsid w:val="007267BE"/>
    <w:rsid w:val="007267C9"/>
    <w:rsid w:val="007267F6"/>
    <w:rsid w:val="0072682A"/>
    <w:rsid w:val="0072687D"/>
    <w:rsid w:val="007268C9"/>
    <w:rsid w:val="00726A8C"/>
    <w:rsid w:val="00726A9D"/>
    <w:rsid w:val="00726B95"/>
    <w:rsid w:val="00726BD9"/>
    <w:rsid w:val="00726C0E"/>
    <w:rsid w:val="00726C51"/>
    <w:rsid w:val="00726C97"/>
    <w:rsid w:val="00726C9D"/>
    <w:rsid w:val="00726CA8"/>
    <w:rsid w:val="00726D56"/>
    <w:rsid w:val="00726DBF"/>
    <w:rsid w:val="00726E75"/>
    <w:rsid w:val="00726F1A"/>
    <w:rsid w:val="00726FC5"/>
    <w:rsid w:val="00727027"/>
    <w:rsid w:val="00727050"/>
    <w:rsid w:val="00727068"/>
    <w:rsid w:val="00727069"/>
    <w:rsid w:val="007271C8"/>
    <w:rsid w:val="00727298"/>
    <w:rsid w:val="0072729D"/>
    <w:rsid w:val="0072740B"/>
    <w:rsid w:val="00727443"/>
    <w:rsid w:val="007274B9"/>
    <w:rsid w:val="00727509"/>
    <w:rsid w:val="007275C0"/>
    <w:rsid w:val="00727625"/>
    <w:rsid w:val="00727650"/>
    <w:rsid w:val="007276CE"/>
    <w:rsid w:val="0072771D"/>
    <w:rsid w:val="00727741"/>
    <w:rsid w:val="0072775B"/>
    <w:rsid w:val="0072776E"/>
    <w:rsid w:val="0072783F"/>
    <w:rsid w:val="00727A22"/>
    <w:rsid w:val="00727A95"/>
    <w:rsid w:val="00727AB2"/>
    <w:rsid w:val="00727B04"/>
    <w:rsid w:val="00727B10"/>
    <w:rsid w:val="00727B98"/>
    <w:rsid w:val="00727C0B"/>
    <w:rsid w:val="00727C0C"/>
    <w:rsid w:val="00727C8E"/>
    <w:rsid w:val="00727CDA"/>
    <w:rsid w:val="00727D9E"/>
    <w:rsid w:val="00727DE7"/>
    <w:rsid w:val="00727E05"/>
    <w:rsid w:val="00727E29"/>
    <w:rsid w:val="00727E43"/>
    <w:rsid w:val="00727F78"/>
    <w:rsid w:val="007300DA"/>
    <w:rsid w:val="00730180"/>
    <w:rsid w:val="007301BD"/>
    <w:rsid w:val="00730233"/>
    <w:rsid w:val="00730253"/>
    <w:rsid w:val="007303D1"/>
    <w:rsid w:val="00730411"/>
    <w:rsid w:val="0073047C"/>
    <w:rsid w:val="007304AA"/>
    <w:rsid w:val="0073050D"/>
    <w:rsid w:val="007305BF"/>
    <w:rsid w:val="007305D5"/>
    <w:rsid w:val="0073062D"/>
    <w:rsid w:val="00730645"/>
    <w:rsid w:val="007306CE"/>
    <w:rsid w:val="00730743"/>
    <w:rsid w:val="0073078E"/>
    <w:rsid w:val="00730806"/>
    <w:rsid w:val="007308E1"/>
    <w:rsid w:val="0073092F"/>
    <w:rsid w:val="007309B9"/>
    <w:rsid w:val="007309DE"/>
    <w:rsid w:val="00730A37"/>
    <w:rsid w:val="00730A53"/>
    <w:rsid w:val="00730A8E"/>
    <w:rsid w:val="00730B0C"/>
    <w:rsid w:val="00730B20"/>
    <w:rsid w:val="00730B43"/>
    <w:rsid w:val="00730B98"/>
    <w:rsid w:val="00730BB4"/>
    <w:rsid w:val="00730BF3"/>
    <w:rsid w:val="00730BFF"/>
    <w:rsid w:val="00730CC3"/>
    <w:rsid w:val="00730CDD"/>
    <w:rsid w:val="00730D17"/>
    <w:rsid w:val="00730D44"/>
    <w:rsid w:val="00730DD6"/>
    <w:rsid w:val="00730F5E"/>
    <w:rsid w:val="00730F70"/>
    <w:rsid w:val="00730F7D"/>
    <w:rsid w:val="00730F80"/>
    <w:rsid w:val="00731034"/>
    <w:rsid w:val="00731036"/>
    <w:rsid w:val="00731059"/>
    <w:rsid w:val="007311D5"/>
    <w:rsid w:val="00731239"/>
    <w:rsid w:val="0073123B"/>
    <w:rsid w:val="007312A2"/>
    <w:rsid w:val="00731344"/>
    <w:rsid w:val="007313CD"/>
    <w:rsid w:val="0073140E"/>
    <w:rsid w:val="0073142A"/>
    <w:rsid w:val="0073149C"/>
    <w:rsid w:val="00731522"/>
    <w:rsid w:val="00731668"/>
    <w:rsid w:val="00731684"/>
    <w:rsid w:val="007317EE"/>
    <w:rsid w:val="00731802"/>
    <w:rsid w:val="00731840"/>
    <w:rsid w:val="0073186C"/>
    <w:rsid w:val="007318E5"/>
    <w:rsid w:val="00731918"/>
    <w:rsid w:val="0073194A"/>
    <w:rsid w:val="0073196F"/>
    <w:rsid w:val="007319B6"/>
    <w:rsid w:val="007319E8"/>
    <w:rsid w:val="007319F3"/>
    <w:rsid w:val="00731ADA"/>
    <w:rsid w:val="00731B61"/>
    <w:rsid w:val="00731B98"/>
    <w:rsid w:val="00731BFA"/>
    <w:rsid w:val="00731D66"/>
    <w:rsid w:val="00731E8D"/>
    <w:rsid w:val="00731EDB"/>
    <w:rsid w:val="00731F12"/>
    <w:rsid w:val="00731F56"/>
    <w:rsid w:val="00731FD6"/>
    <w:rsid w:val="00732076"/>
    <w:rsid w:val="00732085"/>
    <w:rsid w:val="007320AF"/>
    <w:rsid w:val="0073215C"/>
    <w:rsid w:val="00732162"/>
    <w:rsid w:val="00732201"/>
    <w:rsid w:val="007323CB"/>
    <w:rsid w:val="0073244D"/>
    <w:rsid w:val="007324C7"/>
    <w:rsid w:val="00732544"/>
    <w:rsid w:val="0073258F"/>
    <w:rsid w:val="007326E1"/>
    <w:rsid w:val="0073274C"/>
    <w:rsid w:val="00732881"/>
    <w:rsid w:val="0073289F"/>
    <w:rsid w:val="00732909"/>
    <w:rsid w:val="0073290A"/>
    <w:rsid w:val="00732910"/>
    <w:rsid w:val="00732913"/>
    <w:rsid w:val="00732B12"/>
    <w:rsid w:val="00732B56"/>
    <w:rsid w:val="00732CAD"/>
    <w:rsid w:val="00732CB2"/>
    <w:rsid w:val="00732D5E"/>
    <w:rsid w:val="00732E13"/>
    <w:rsid w:val="00732E92"/>
    <w:rsid w:val="00732EC6"/>
    <w:rsid w:val="00732F12"/>
    <w:rsid w:val="00732F61"/>
    <w:rsid w:val="00732F7D"/>
    <w:rsid w:val="00732F9E"/>
    <w:rsid w:val="00733052"/>
    <w:rsid w:val="007330B5"/>
    <w:rsid w:val="007330FD"/>
    <w:rsid w:val="0073310C"/>
    <w:rsid w:val="0073313A"/>
    <w:rsid w:val="0073318E"/>
    <w:rsid w:val="007331C9"/>
    <w:rsid w:val="007331FE"/>
    <w:rsid w:val="0073325D"/>
    <w:rsid w:val="0073328D"/>
    <w:rsid w:val="007333C3"/>
    <w:rsid w:val="007333E9"/>
    <w:rsid w:val="0073344E"/>
    <w:rsid w:val="0073347D"/>
    <w:rsid w:val="007334D8"/>
    <w:rsid w:val="00733590"/>
    <w:rsid w:val="0073359F"/>
    <w:rsid w:val="00733642"/>
    <w:rsid w:val="0073365D"/>
    <w:rsid w:val="00733679"/>
    <w:rsid w:val="007336D7"/>
    <w:rsid w:val="007336FD"/>
    <w:rsid w:val="007337A5"/>
    <w:rsid w:val="0073383D"/>
    <w:rsid w:val="0073386F"/>
    <w:rsid w:val="00733875"/>
    <w:rsid w:val="0073388E"/>
    <w:rsid w:val="0073395F"/>
    <w:rsid w:val="00733A02"/>
    <w:rsid w:val="00733B0E"/>
    <w:rsid w:val="00733B6A"/>
    <w:rsid w:val="00733B90"/>
    <w:rsid w:val="00733B98"/>
    <w:rsid w:val="00733C5E"/>
    <w:rsid w:val="00733C65"/>
    <w:rsid w:val="00733C67"/>
    <w:rsid w:val="00733CC5"/>
    <w:rsid w:val="00733D90"/>
    <w:rsid w:val="00733DFD"/>
    <w:rsid w:val="00733E00"/>
    <w:rsid w:val="00733E0F"/>
    <w:rsid w:val="00733E33"/>
    <w:rsid w:val="00733E8D"/>
    <w:rsid w:val="00733EA1"/>
    <w:rsid w:val="00733EAF"/>
    <w:rsid w:val="00733F55"/>
    <w:rsid w:val="00733F61"/>
    <w:rsid w:val="00734001"/>
    <w:rsid w:val="00734021"/>
    <w:rsid w:val="007340D7"/>
    <w:rsid w:val="007341DD"/>
    <w:rsid w:val="0073420E"/>
    <w:rsid w:val="00734237"/>
    <w:rsid w:val="0073424D"/>
    <w:rsid w:val="007342B4"/>
    <w:rsid w:val="00734332"/>
    <w:rsid w:val="00734371"/>
    <w:rsid w:val="007343C0"/>
    <w:rsid w:val="0073445F"/>
    <w:rsid w:val="007344C6"/>
    <w:rsid w:val="0073452A"/>
    <w:rsid w:val="007345FA"/>
    <w:rsid w:val="00734638"/>
    <w:rsid w:val="007347C6"/>
    <w:rsid w:val="0073488D"/>
    <w:rsid w:val="00734935"/>
    <w:rsid w:val="00734945"/>
    <w:rsid w:val="007349E5"/>
    <w:rsid w:val="00734A12"/>
    <w:rsid w:val="00734A63"/>
    <w:rsid w:val="00734A96"/>
    <w:rsid w:val="00734AB8"/>
    <w:rsid w:val="00734B82"/>
    <w:rsid w:val="00734BC2"/>
    <w:rsid w:val="00734BFF"/>
    <w:rsid w:val="00734C3E"/>
    <w:rsid w:val="00734C75"/>
    <w:rsid w:val="00734C8C"/>
    <w:rsid w:val="00734CA0"/>
    <w:rsid w:val="00734CAC"/>
    <w:rsid w:val="00734D17"/>
    <w:rsid w:val="00734D27"/>
    <w:rsid w:val="00734D48"/>
    <w:rsid w:val="00734D7D"/>
    <w:rsid w:val="00734DB4"/>
    <w:rsid w:val="00734E41"/>
    <w:rsid w:val="00734F03"/>
    <w:rsid w:val="00734F1D"/>
    <w:rsid w:val="00735031"/>
    <w:rsid w:val="007350B9"/>
    <w:rsid w:val="00735135"/>
    <w:rsid w:val="00735249"/>
    <w:rsid w:val="00735267"/>
    <w:rsid w:val="0073526F"/>
    <w:rsid w:val="0073527E"/>
    <w:rsid w:val="007352E0"/>
    <w:rsid w:val="0073536C"/>
    <w:rsid w:val="007353A4"/>
    <w:rsid w:val="007353BC"/>
    <w:rsid w:val="0073547D"/>
    <w:rsid w:val="0073552C"/>
    <w:rsid w:val="0073556E"/>
    <w:rsid w:val="007355C4"/>
    <w:rsid w:val="007356DB"/>
    <w:rsid w:val="00735743"/>
    <w:rsid w:val="0073576C"/>
    <w:rsid w:val="007357A6"/>
    <w:rsid w:val="007357B8"/>
    <w:rsid w:val="0073584C"/>
    <w:rsid w:val="00735851"/>
    <w:rsid w:val="007358F2"/>
    <w:rsid w:val="00735966"/>
    <w:rsid w:val="00735A63"/>
    <w:rsid w:val="00735AB2"/>
    <w:rsid w:val="00735AD6"/>
    <w:rsid w:val="00735AD9"/>
    <w:rsid w:val="00735ADC"/>
    <w:rsid w:val="00735B13"/>
    <w:rsid w:val="00735B23"/>
    <w:rsid w:val="00735B61"/>
    <w:rsid w:val="00735B75"/>
    <w:rsid w:val="00735C37"/>
    <w:rsid w:val="00735C47"/>
    <w:rsid w:val="00735C59"/>
    <w:rsid w:val="00735CB4"/>
    <w:rsid w:val="00735D30"/>
    <w:rsid w:val="00735D3C"/>
    <w:rsid w:val="00735DE5"/>
    <w:rsid w:val="00735DE6"/>
    <w:rsid w:val="00735E20"/>
    <w:rsid w:val="00735F23"/>
    <w:rsid w:val="00735F26"/>
    <w:rsid w:val="00735F31"/>
    <w:rsid w:val="00735FA1"/>
    <w:rsid w:val="00736062"/>
    <w:rsid w:val="00736072"/>
    <w:rsid w:val="00736258"/>
    <w:rsid w:val="0073632F"/>
    <w:rsid w:val="007363EC"/>
    <w:rsid w:val="0073640A"/>
    <w:rsid w:val="00736474"/>
    <w:rsid w:val="007364A6"/>
    <w:rsid w:val="007364D1"/>
    <w:rsid w:val="007364F3"/>
    <w:rsid w:val="0073651E"/>
    <w:rsid w:val="0073659D"/>
    <w:rsid w:val="007365D3"/>
    <w:rsid w:val="007365EA"/>
    <w:rsid w:val="007365EB"/>
    <w:rsid w:val="00736697"/>
    <w:rsid w:val="007366C1"/>
    <w:rsid w:val="007366F5"/>
    <w:rsid w:val="00736733"/>
    <w:rsid w:val="00736752"/>
    <w:rsid w:val="00736821"/>
    <w:rsid w:val="00736840"/>
    <w:rsid w:val="007368BA"/>
    <w:rsid w:val="0073693A"/>
    <w:rsid w:val="00736994"/>
    <w:rsid w:val="00736A85"/>
    <w:rsid w:val="00736A8E"/>
    <w:rsid w:val="00736A90"/>
    <w:rsid w:val="00736B88"/>
    <w:rsid w:val="00736B99"/>
    <w:rsid w:val="00736BAD"/>
    <w:rsid w:val="00736C42"/>
    <w:rsid w:val="00736C80"/>
    <w:rsid w:val="00736CAB"/>
    <w:rsid w:val="00736D05"/>
    <w:rsid w:val="00736DA1"/>
    <w:rsid w:val="00736DCB"/>
    <w:rsid w:val="00736E3D"/>
    <w:rsid w:val="00736EEA"/>
    <w:rsid w:val="00736EF3"/>
    <w:rsid w:val="00736F59"/>
    <w:rsid w:val="00736F7F"/>
    <w:rsid w:val="00736F9C"/>
    <w:rsid w:val="0073703A"/>
    <w:rsid w:val="00737062"/>
    <w:rsid w:val="00737084"/>
    <w:rsid w:val="007370B6"/>
    <w:rsid w:val="007370E8"/>
    <w:rsid w:val="0073710C"/>
    <w:rsid w:val="00737187"/>
    <w:rsid w:val="007371DC"/>
    <w:rsid w:val="0073724C"/>
    <w:rsid w:val="00737289"/>
    <w:rsid w:val="007372A2"/>
    <w:rsid w:val="007372FE"/>
    <w:rsid w:val="0073732C"/>
    <w:rsid w:val="0073733D"/>
    <w:rsid w:val="0073739B"/>
    <w:rsid w:val="007373EC"/>
    <w:rsid w:val="00737442"/>
    <w:rsid w:val="0073747A"/>
    <w:rsid w:val="007374B1"/>
    <w:rsid w:val="007374E2"/>
    <w:rsid w:val="00737534"/>
    <w:rsid w:val="00737587"/>
    <w:rsid w:val="0073759A"/>
    <w:rsid w:val="007375BB"/>
    <w:rsid w:val="0073764A"/>
    <w:rsid w:val="00737698"/>
    <w:rsid w:val="0073769B"/>
    <w:rsid w:val="007376DF"/>
    <w:rsid w:val="007376E4"/>
    <w:rsid w:val="00737730"/>
    <w:rsid w:val="007377A4"/>
    <w:rsid w:val="00737810"/>
    <w:rsid w:val="00737867"/>
    <w:rsid w:val="007378B8"/>
    <w:rsid w:val="007378D1"/>
    <w:rsid w:val="0073792C"/>
    <w:rsid w:val="00737934"/>
    <w:rsid w:val="00737BA8"/>
    <w:rsid w:val="00737BB4"/>
    <w:rsid w:val="00737C27"/>
    <w:rsid w:val="00737CF8"/>
    <w:rsid w:val="00737DE5"/>
    <w:rsid w:val="00737FBD"/>
    <w:rsid w:val="00740023"/>
    <w:rsid w:val="00740053"/>
    <w:rsid w:val="007400D4"/>
    <w:rsid w:val="007400E8"/>
    <w:rsid w:val="007400E9"/>
    <w:rsid w:val="007400EE"/>
    <w:rsid w:val="007402B6"/>
    <w:rsid w:val="00740383"/>
    <w:rsid w:val="007403DC"/>
    <w:rsid w:val="007403E5"/>
    <w:rsid w:val="0074047D"/>
    <w:rsid w:val="00740498"/>
    <w:rsid w:val="007404B0"/>
    <w:rsid w:val="007404D1"/>
    <w:rsid w:val="007404FE"/>
    <w:rsid w:val="00740534"/>
    <w:rsid w:val="00740586"/>
    <w:rsid w:val="007405B8"/>
    <w:rsid w:val="007405F9"/>
    <w:rsid w:val="0074087C"/>
    <w:rsid w:val="0074092B"/>
    <w:rsid w:val="0074095C"/>
    <w:rsid w:val="007409DF"/>
    <w:rsid w:val="00740A0C"/>
    <w:rsid w:val="00740A50"/>
    <w:rsid w:val="00740A83"/>
    <w:rsid w:val="00740AD2"/>
    <w:rsid w:val="00740AD7"/>
    <w:rsid w:val="00740B2D"/>
    <w:rsid w:val="00740BC2"/>
    <w:rsid w:val="00740C45"/>
    <w:rsid w:val="00740D14"/>
    <w:rsid w:val="00740E90"/>
    <w:rsid w:val="00740EB3"/>
    <w:rsid w:val="00740FDF"/>
    <w:rsid w:val="00741086"/>
    <w:rsid w:val="007410B6"/>
    <w:rsid w:val="007410CB"/>
    <w:rsid w:val="007410EC"/>
    <w:rsid w:val="0074112F"/>
    <w:rsid w:val="00741166"/>
    <w:rsid w:val="00741179"/>
    <w:rsid w:val="007411EA"/>
    <w:rsid w:val="0074121F"/>
    <w:rsid w:val="00741222"/>
    <w:rsid w:val="007412EB"/>
    <w:rsid w:val="0074131B"/>
    <w:rsid w:val="007413F9"/>
    <w:rsid w:val="00741440"/>
    <w:rsid w:val="00741462"/>
    <w:rsid w:val="00741473"/>
    <w:rsid w:val="00741506"/>
    <w:rsid w:val="007415AB"/>
    <w:rsid w:val="007415CB"/>
    <w:rsid w:val="00741676"/>
    <w:rsid w:val="007416B0"/>
    <w:rsid w:val="007416B7"/>
    <w:rsid w:val="007416CF"/>
    <w:rsid w:val="007416EB"/>
    <w:rsid w:val="0074172A"/>
    <w:rsid w:val="00741747"/>
    <w:rsid w:val="0074174F"/>
    <w:rsid w:val="007418FF"/>
    <w:rsid w:val="00741945"/>
    <w:rsid w:val="007419F1"/>
    <w:rsid w:val="00741A3B"/>
    <w:rsid w:val="00741A42"/>
    <w:rsid w:val="00741A6C"/>
    <w:rsid w:val="00741AA2"/>
    <w:rsid w:val="00741AEA"/>
    <w:rsid w:val="00741B23"/>
    <w:rsid w:val="00741B38"/>
    <w:rsid w:val="00741B60"/>
    <w:rsid w:val="00741C29"/>
    <w:rsid w:val="00741C83"/>
    <w:rsid w:val="00741CC3"/>
    <w:rsid w:val="00741CD4"/>
    <w:rsid w:val="00741CFC"/>
    <w:rsid w:val="00741D01"/>
    <w:rsid w:val="00741D08"/>
    <w:rsid w:val="00741D5B"/>
    <w:rsid w:val="00741DD9"/>
    <w:rsid w:val="00741DF8"/>
    <w:rsid w:val="00741E4C"/>
    <w:rsid w:val="00741E5B"/>
    <w:rsid w:val="00741E67"/>
    <w:rsid w:val="00741E82"/>
    <w:rsid w:val="00741EC7"/>
    <w:rsid w:val="00741ED8"/>
    <w:rsid w:val="00741F66"/>
    <w:rsid w:val="00741FAD"/>
    <w:rsid w:val="00741FBD"/>
    <w:rsid w:val="0074225D"/>
    <w:rsid w:val="007422D3"/>
    <w:rsid w:val="0074236C"/>
    <w:rsid w:val="00742390"/>
    <w:rsid w:val="00742398"/>
    <w:rsid w:val="0074239C"/>
    <w:rsid w:val="0074253E"/>
    <w:rsid w:val="00742550"/>
    <w:rsid w:val="00742562"/>
    <w:rsid w:val="0074257A"/>
    <w:rsid w:val="00742647"/>
    <w:rsid w:val="0074264A"/>
    <w:rsid w:val="00742694"/>
    <w:rsid w:val="007426CD"/>
    <w:rsid w:val="007426E3"/>
    <w:rsid w:val="0074270F"/>
    <w:rsid w:val="00742743"/>
    <w:rsid w:val="00742744"/>
    <w:rsid w:val="00742821"/>
    <w:rsid w:val="0074282C"/>
    <w:rsid w:val="00742830"/>
    <w:rsid w:val="007428AF"/>
    <w:rsid w:val="007428B6"/>
    <w:rsid w:val="007428F8"/>
    <w:rsid w:val="00742909"/>
    <w:rsid w:val="007429B2"/>
    <w:rsid w:val="007429D2"/>
    <w:rsid w:val="00742A6C"/>
    <w:rsid w:val="00742AD9"/>
    <w:rsid w:val="00742B29"/>
    <w:rsid w:val="00742B2C"/>
    <w:rsid w:val="00742BC8"/>
    <w:rsid w:val="00742C0C"/>
    <w:rsid w:val="00742CBB"/>
    <w:rsid w:val="00742D82"/>
    <w:rsid w:val="00742DBF"/>
    <w:rsid w:val="00742E9A"/>
    <w:rsid w:val="00742EFE"/>
    <w:rsid w:val="00742F2C"/>
    <w:rsid w:val="00742F79"/>
    <w:rsid w:val="00742FA5"/>
    <w:rsid w:val="00742FF5"/>
    <w:rsid w:val="00743043"/>
    <w:rsid w:val="007430AD"/>
    <w:rsid w:val="0074310B"/>
    <w:rsid w:val="00743305"/>
    <w:rsid w:val="00743327"/>
    <w:rsid w:val="00743346"/>
    <w:rsid w:val="007433A1"/>
    <w:rsid w:val="007433F7"/>
    <w:rsid w:val="00743406"/>
    <w:rsid w:val="00743409"/>
    <w:rsid w:val="007434FA"/>
    <w:rsid w:val="00743662"/>
    <w:rsid w:val="0074369D"/>
    <w:rsid w:val="007436BB"/>
    <w:rsid w:val="007437E1"/>
    <w:rsid w:val="00743804"/>
    <w:rsid w:val="00743879"/>
    <w:rsid w:val="00743A18"/>
    <w:rsid w:val="00743A65"/>
    <w:rsid w:val="00743AE1"/>
    <w:rsid w:val="00743AEB"/>
    <w:rsid w:val="00743B1D"/>
    <w:rsid w:val="00743B91"/>
    <w:rsid w:val="00743BF0"/>
    <w:rsid w:val="00743C0B"/>
    <w:rsid w:val="00743C25"/>
    <w:rsid w:val="00743C3F"/>
    <w:rsid w:val="00743C95"/>
    <w:rsid w:val="00743CF7"/>
    <w:rsid w:val="00743DC8"/>
    <w:rsid w:val="00743DE3"/>
    <w:rsid w:val="00743DE4"/>
    <w:rsid w:val="00743E56"/>
    <w:rsid w:val="00743E61"/>
    <w:rsid w:val="00743F4E"/>
    <w:rsid w:val="00743F73"/>
    <w:rsid w:val="00744045"/>
    <w:rsid w:val="00744054"/>
    <w:rsid w:val="00744090"/>
    <w:rsid w:val="00744097"/>
    <w:rsid w:val="007440BD"/>
    <w:rsid w:val="007440C2"/>
    <w:rsid w:val="00744117"/>
    <w:rsid w:val="00744145"/>
    <w:rsid w:val="0074419B"/>
    <w:rsid w:val="00744202"/>
    <w:rsid w:val="00744236"/>
    <w:rsid w:val="00744261"/>
    <w:rsid w:val="00744405"/>
    <w:rsid w:val="0074446F"/>
    <w:rsid w:val="00744492"/>
    <w:rsid w:val="007444D4"/>
    <w:rsid w:val="00744501"/>
    <w:rsid w:val="0074456D"/>
    <w:rsid w:val="00744664"/>
    <w:rsid w:val="00744676"/>
    <w:rsid w:val="007446E0"/>
    <w:rsid w:val="0074471F"/>
    <w:rsid w:val="00744720"/>
    <w:rsid w:val="0074472C"/>
    <w:rsid w:val="007447D6"/>
    <w:rsid w:val="007447E0"/>
    <w:rsid w:val="00744824"/>
    <w:rsid w:val="0074497E"/>
    <w:rsid w:val="00744991"/>
    <w:rsid w:val="00744A1C"/>
    <w:rsid w:val="00744A2B"/>
    <w:rsid w:val="00744A87"/>
    <w:rsid w:val="00744B32"/>
    <w:rsid w:val="00744BC0"/>
    <w:rsid w:val="00744BF1"/>
    <w:rsid w:val="00744C06"/>
    <w:rsid w:val="00744C13"/>
    <w:rsid w:val="00744C55"/>
    <w:rsid w:val="00744CE1"/>
    <w:rsid w:val="00744E62"/>
    <w:rsid w:val="00744E7D"/>
    <w:rsid w:val="00745014"/>
    <w:rsid w:val="00745039"/>
    <w:rsid w:val="00745040"/>
    <w:rsid w:val="00745045"/>
    <w:rsid w:val="00745050"/>
    <w:rsid w:val="00745063"/>
    <w:rsid w:val="0074507E"/>
    <w:rsid w:val="007450CD"/>
    <w:rsid w:val="00745141"/>
    <w:rsid w:val="00745252"/>
    <w:rsid w:val="007452A0"/>
    <w:rsid w:val="007452AB"/>
    <w:rsid w:val="00745381"/>
    <w:rsid w:val="007453BA"/>
    <w:rsid w:val="007453D7"/>
    <w:rsid w:val="0074542E"/>
    <w:rsid w:val="0074546F"/>
    <w:rsid w:val="007454E4"/>
    <w:rsid w:val="0074555B"/>
    <w:rsid w:val="00745625"/>
    <w:rsid w:val="007456BD"/>
    <w:rsid w:val="00745724"/>
    <w:rsid w:val="0074574C"/>
    <w:rsid w:val="0074579B"/>
    <w:rsid w:val="0074583F"/>
    <w:rsid w:val="007458C6"/>
    <w:rsid w:val="00745A1F"/>
    <w:rsid w:val="00745A3B"/>
    <w:rsid w:val="00745A49"/>
    <w:rsid w:val="00745A7A"/>
    <w:rsid w:val="00745A8F"/>
    <w:rsid w:val="00745AD7"/>
    <w:rsid w:val="00745B53"/>
    <w:rsid w:val="00745B87"/>
    <w:rsid w:val="00745BDD"/>
    <w:rsid w:val="00745C6B"/>
    <w:rsid w:val="00745CA2"/>
    <w:rsid w:val="00745CE9"/>
    <w:rsid w:val="00745D64"/>
    <w:rsid w:val="00745E59"/>
    <w:rsid w:val="00745EA4"/>
    <w:rsid w:val="00745F3C"/>
    <w:rsid w:val="00745F82"/>
    <w:rsid w:val="0074600D"/>
    <w:rsid w:val="00746019"/>
    <w:rsid w:val="00746080"/>
    <w:rsid w:val="00746185"/>
    <w:rsid w:val="007461F2"/>
    <w:rsid w:val="00746251"/>
    <w:rsid w:val="007462A1"/>
    <w:rsid w:val="007462A5"/>
    <w:rsid w:val="007462EC"/>
    <w:rsid w:val="007462F2"/>
    <w:rsid w:val="007463BC"/>
    <w:rsid w:val="0074641B"/>
    <w:rsid w:val="00746472"/>
    <w:rsid w:val="007464FF"/>
    <w:rsid w:val="00746525"/>
    <w:rsid w:val="00746534"/>
    <w:rsid w:val="007465F1"/>
    <w:rsid w:val="00746644"/>
    <w:rsid w:val="00746657"/>
    <w:rsid w:val="0074669A"/>
    <w:rsid w:val="00746724"/>
    <w:rsid w:val="00746747"/>
    <w:rsid w:val="007467AC"/>
    <w:rsid w:val="00746A22"/>
    <w:rsid w:val="00746A7D"/>
    <w:rsid w:val="00746ACD"/>
    <w:rsid w:val="00746AE6"/>
    <w:rsid w:val="00746C0E"/>
    <w:rsid w:val="00746C31"/>
    <w:rsid w:val="00746DE0"/>
    <w:rsid w:val="00746E3E"/>
    <w:rsid w:val="00746E9B"/>
    <w:rsid w:val="00746EB2"/>
    <w:rsid w:val="00746EF5"/>
    <w:rsid w:val="00746FF2"/>
    <w:rsid w:val="00747025"/>
    <w:rsid w:val="0074703B"/>
    <w:rsid w:val="00747110"/>
    <w:rsid w:val="00747217"/>
    <w:rsid w:val="0074722F"/>
    <w:rsid w:val="00747243"/>
    <w:rsid w:val="0074726B"/>
    <w:rsid w:val="007472F4"/>
    <w:rsid w:val="007473B5"/>
    <w:rsid w:val="007473F0"/>
    <w:rsid w:val="00747418"/>
    <w:rsid w:val="00747434"/>
    <w:rsid w:val="0074744C"/>
    <w:rsid w:val="00747482"/>
    <w:rsid w:val="007474EB"/>
    <w:rsid w:val="00747523"/>
    <w:rsid w:val="00747536"/>
    <w:rsid w:val="00747552"/>
    <w:rsid w:val="00747582"/>
    <w:rsid w:val="007475B0"/>
    <w:rsid w:val="007475F4"/>
    <w:rsid w:val="00747605"/>
    <w:rsid w:val="0074763B"/>
    <w:rsid w:val="007476D5"/>
    <w:rsid w:val="007476DD"/>
    <w:rsid w:val="00747758"/>
    <w:rsid w:val="007477EA"/>
    <w:rsid w:val="00747801"/>
    <w:rsid w:val="0074788B"/>
    <w:rsid w:val="007478EC"/>
    <w:rsid w:val="00747911"/>
    <w:rsid w:val="0074793E"/>
    <w:rsid w:val="007479D5"/>
    <w:rsid w:val="007479F6"/>
    <w:rsid w:val="00747A1F"/>
    <w:rsid w:val="00747A38"/>
    <w:rsid w:val="00747A62"/>
    <w:rsid w:val="00747A7B"/>
    <w:rsid w:val="00747AFE"/>
    <w:rsid w:val="00747B07"/>
    <w:rsid w:val="00747B55"/>
    <w:rsid w:val="00747B93"/>
    <w:rsid w:val="00747B97"/>
    <w:rsid w:val="00747BAF"/>
    <w:rsid w:val="00747C93"/>
    <w:rsid w:val="00747DBA"/>
    <w:rsid w:val="00747EA3"/>
    <w:rsid w:val="00747FBB"/>
    <w:rsid w:val="00750084"/>
    <w:rsid w:val="0075024A"/>
    <w:rsid w:val="00750267"/>
    <w:rsid w:val="0075042B"/>
    <w:rsid w:val="0075043C"/>
    <w:rsid w:val="00750467"/>
    <w:rsid w:val="00750496"/>
    <w:rsid w:val="007504B7"/>
    <w:rsid w:val="007504B9"/>
    <w:rsid w:val="007504DD"/>
    <w:rsid w:val="00750591"/>
    <w:rsid w:val="007505B5"/>
    <w:rsid w:val="0075060B"/>
    <w:rsid w:val="00750621"/>
    <w:rsid w:val="0075062C"/>
    <w:rsid w:val="00750653"/>
    <w:rsid w:val="00750689"/>
    <w:rsid w:val="0075069E"/>
    <w:rsid w:val="00750706"/>
    <w:rsid w:val="00750710"/>
    <w:rsid w:val="0075075E"/>
    <w:rsid w:val="007507F5"/>
    <w:rsid w:val="00750824"/>
    <w:rsid w:val="00750851"/>
    <w:rsid w:val="00750861"/>
    <w:rsid w:val="00750899"/>
    <w:rsid w:val="00750A2D"/>
    <w:rsid w:val="00750AEC"/>
    <w:rsid w:val="00750B2B"/>
    <w:rsid w:val="00750B50"/>
    <w:rsid w:val="00750B57"/>
    <w:rsid w:val="00750C0A"/>
    <w:rsid w:val="00750C1D"/>
    <w:rsid w:val="00750C77"/>
    <w:rsid w:val="00750CB3"/>
    <w:rsid w:val="00750D4F"/>
    <w:rsid w:val="00750DA6"/>
    <w:rsid w:val="00750E18"/>
    <w:rsid w:val="00750F53"/>
    <w:rsid w:val="00750FDA"/>
    <w:rsid w:val="00751026"/>
    <w:rsid w:val="00751084"/>
    <w:rsid w:val="00751089"/>
    <w:rsid w:val="007510E0"/>
    <w:rsid w:val="0075111B"/>
    <w:rsid w:val="00751146"/>
    <w:rsid w:val="0075117C"/>
    <w:rsid w:val="00751181"/>
    <w:rsid w:val="0075119C"/>
    <w:rsid w:val="00751201"/>
    <w:rsid w:val="0075125A"/>
    <w:rsid w:val="0075128C"/>
    <w:rsid w:val="007512D7"/>
    <w:rsid w:val="00751309"/>
    <w:rsid w:val="0075137C"/>
    <w:rsid w:val="0075139D"/>
    <w:rsid w:val="007513FB"/>
    <w:rsid w:val="00751483"/>
    <w:rsid w:val="007514AC"/>
    <w:rsid w:val="007514D5"/>
    <w:rsid w:val="007514ED"/>
    <w:rsid w:val="00751577"/>
    <w:rsid w:val="0075159F"/>
    <w:rsid w:val="007515A8"/>
    <w:rsid w:val="007515C9"/>
    <w:rsid w:val="0075160C"/>
    <w:rsid w:val="00751618"/>
    <w:rsid w:val="00751682"/>
    <w:rsid w:val="007516BC"/>
    <w:rsid w:val="00751700"/>
    <w:rsid w:val="00751728"/>
    <w:rsid w:val="00751813"/>
    <w:rsid w:val="00751824"/>
    <w:rsid w:val="0075182A"/>
    <w:rsid w:val="007518C0"/>
    <w:rsid w:val="007518F4"/>
    <w:rsid w:val="00751983"/>
    <w:rsid w:val="007519B7"/>
    <w:rsid w:val="00751A00"/>
    <w:rsid w:val="00751B38"/>
    <w:rsid w:val="00751B53"/>
    <w:rsid w:val="00751B9F"/>
    <w:rsid w:val="00751BAE"/>
    <w:rsid w:val="00751BDB"/>
    <w:rsid w:val="00751C59"/>
    <w:rsid w:val="00751D2D"/>
    <w:rsid w:val="00751D7A"/>
    <w:rsid w:val="00751D85"/>
    <w:rsid w:val="00751D90"/>
    <w:rsid w:val="00751DE7"/>
    <w:rsid w:val="00751E38"/>
    <w:rsid w:val="00751EC6"/>
    <w:rsid w:val="00751F87"/>
    <w:rsid w:val="0075204C"/>
    <w:rsid w:val="00752106"/>
    <w:rsid w:val="00752328"/>
    <w:rsid w:val="00752365"/>
    <w:rsid w:val="007523EE"/>
    <w:rsid w:val="00752460"/>
    <w:rsid w:val="007524BC"/>
    <w:rsid w:val="0075250E"/>
    <w:rsid w:val="00752529"/>
    <w:rsid w:val="00752544"/>
    <w:rsid w:val="00752563"/>
    <w:rsid w:val="00752697"/>
    <w:rsid w:val="0075273A"/>
    <w:rsid w:val="00752768"/>
    <w:rsid w:val="0075283D"/>
    <w:rsid w:val="0075285A"/>
    <w:rsid w:val="0075285F"/>
    <w:rsid w:val="00752885"/>
    <w:rsid w:val="00752ABE"/>
    <w:rsid w:val="00752C1B"/>
    <w:rsid w:val="00752CEA"/>
    <w:rsid w:val="00752D98"/>
    <w:rsid w:val="00752E62"/>
    <w:rsid w:val="00752E83"/>
    <w:rsid w:val="00752FA0"/>
    <w:rsid w:val="00753021"/>
    <w:rsid w:val="00753023"/>
    <w:rsid w:val="007530A6"/>
    <w:rsid w:val="007530B8"/>
    <w:rsid w:val="007530E0"/>
    <w:rsid w:val="00753117"/>
    <w:rsid w:val="007531DA"/>
    <w:rsid w:val="007531EE"/>
    <w:rsid w:val="00753244"/>
    <w:rsid w:val="007532D5"/>
    <w:rsid w:val="0075330E"/>
    <w:rsid w:val="00753367"/>
    <w:rsid w:val="007533B3"/>
    <w:rsid w:val="007533BC"/>
    <w:rsid w:val="0075341D"/>
    <w:rsid w:val="007534E1"/>
    <w:rsid w:val="00753661"/>
    <w:rsid w:val="00753668"/>
    <w:rsid w:val="00753693"/>
    <w:rsid w:val="007536E9"/>
    <w:rsid w:val="00753747"/>
    <w:rsid w:val="007537DD"/>
    <w:rsid w:val="0075385B"/>
    <w:rsid w:val="00753863"/>
    <w:rsid w:val="00753885"/>
    <w:rsid w:val="0075388F"/>
    <w:rsid w:val="00753893"/>
    <w:rsid w:val="00753897"/>
    <w:rsid w:val="007538FF"/>
    <w:rsid w:val="00753918"/>
    <w:rsid w:val="0075393C"/>
    <w:rsid w:val="00753977"/>
    <w:rsid w:val="007539D1"/>
    <w:rsid w:val="00753AEF"/>
    <w:rsid w:val="00753B5F"/>
    <w:rsid w:val="00753C62"/>
    <w:rsid w:val="00753C74"/>
    <w:rsid w:val="00753CE8"/>
    <w:rsid w:val="00753D2B"/>
    <w:rsid w:val="00753D7A"/>
    <w:rsid w:val="00753E57"/>
    <w:rsid w:val="00753F43"/>
    <w:rsid w:val="00754070"/>
    <w:rsid w:val="007540BA"/>
    <w:rsid w:val="007540DF"/>
    <w:rsid w:val="007540F5"/>
    <w:rsid w:val="00754141"/>
    <w:rsid w:val="0075418A"/>
    <w:rsid w:val="00754316"/>
    <w:rsid w:val="0075433B"/>
    <w:rsid w:val="00754371"/>
    <w:rsid w:val="00754391"/>
    <w:rsid w:val="007543F8"/>
    <w:rsid w:val="00754420"/>
    <w:rsid w:val="007544DD"/>
    <w:rsid w:val="007544ED"/>
    <w:rsid w:val="00754506"/>
    <w:rsid w:val="007545D1"/>
    <w:rsid w:val="007545FB"/>
    <w:rsid w:val="0075460E"/>
    <w:rsid w:val="00754621"/>
    <w:rsid w:val="0075468C"/>
    <w:rsid w:val="0075468F"/>
    <w:rsid w:val="0075469B"/>
    <w:rsid w:val="007546F1"/>
    <w:rsid w:val="0075471B"/>
    <w:rsid w:val="0075472E"/>
    <w:rsid w:val="007547DA"/>
    <w:rsid w:val="007547FB"/>
    <w:rsid w:val="00754823"/>
    <w:rsid w:val="00754834"/>
    <w:rsid w:val="00754861"/>
    <w:rsid w:val="007548AF"/>
    <w:rsid w:val="007548E2"/>
    <w:rsid w:val="00754A23"/>
    <w:rsid w:val="00754A40"/>
    <w:rsid w:val="00754A7E"/>
    <w:rsid w:val="00754A9C"/>
    <w:rsid w:val="00754AB5"/>
    <w:rsid w:val="00754AE4"/>
    <w:rsid w:val="00754B4A"/>
    <w:rsid w:val="00754C02"/>
    <w:rsid w:val="00754C05"/>
    <w:rsid w:val="00754D46"/>
    <w:rsid w:val="00754D9E"/>
    <w:rsid w:val="00754DA7"/>
    <w:rsid w:val="00754DB9"/>
    <w:rsid w:val="00754E26"/>
    <w:rsid w:val="00754E3F"/>
    <w:rsid w:val="00754F54"/>
    <w:rsid w:val="00754FE7"/>
    <w:rsid w:val="00755011"/>
    <w:rsid w:val="00755067"/>
    <w:rsid w:val="007550FE"/>
    <w:rsid w:val="0075519D"/>
    <w:rsid w:val="007551B8"/>
    <w:rsid w:val="007551C8"/>
    <w:rsid w:val="00755233"/>
    <w:rsid w:val="00755279"/>
    <w:rsid w:val="0075528D"/>
    <w:rsid w:val="007552FB"/>
    <w:rsid w:val="00755303"/>
    <w:rsid w:val="00755389"/>
    <w:rsid w:val="0075546F"/>
    <w:rsid w:val="0075551E"/>
    <w:rsid w:val="007555C3"/>
    <w:rsid w:val="00755628"/>
    <w:rsid w:val="007556F6"/>
    <w:rsid w:val="007557EE"/>
    <w:rsid w:val="00755861"/>
    <w:rsid w:val="007559B2"/>
    <w:rsid w:val="00755A78"/>
    <w:rsid w:val="00755A9A"/>
    <w:rsid w:val="00755AB6"/>
    <w:rsid w:val="00755B4B"/>
    <w:rsid w:val="00755B68"/>
    <w:rsid w:val="00755BAB"/>
    <w:rsid w:val="00755BF5"/>
    <w:rsid w:val="00755C13"/>
    <w:rsid w:val="00755C48"/>
    <w:rsid w:val="00755C7B"/>
    <w:rsid w:val="00755CD4"/>
    <w:rsid w:val="00755D1D"/>
    <w:rsid w:val="00755D24"/>
    <w:rsid w:val="00755D51"/>
    <w:rsid w:val="00755D64"/>
    <w:rsid w:val="00755DA9"/>
    <w:rsid w:val="00755E6C"/>
    <w:rsid w:val="00755F3B"/>
    <w:rsid w:val="00755F6E"/>
    <w:rsid w:val="00755FBA"/>
    <w:rsid w:val="00755FC1"/>
    <w:rsid w:val="0075608D"/>
    <w:rsid w:val="007561DF"/>
    <w:rsid w:val="00756272"/>
    <w:rsid w:val="00756392"/>
    <w:rsid w:val="007563E9"/>
    <w:rsid w:val="0075641E"/>
    <w:rsid w:val="00756460"/>
    <w:rsid w:val="007564CD"/>
    <w:rsid w:val="0075666A"/>
    <w:rsid w:val="00756695"/>
    <w:rsid w:val="007566A9"/>
    <w:rsid w:val="007566AA"/>
    <w:rsid w:val="00756766"/>
    <w:rsid w:val="0075680A"/>
    <w:rsid w:val="00756828"/>
    <w:rsid w:val="0075684B"/>
    <w:rsid w:val="00756894"/>
    <w:rsid w:val="00756A41"/>
    <w:rsid w:val="00756ABF"/>
    <w:rsid w:val="00756B61"/>
    <w:rsid w:val="00756C0F"/>
    <w:rsid w:val="00756CDD"/>
    <w:rsid w:val="00756D1E"/>
    <w:rsid w:val="00756D49"/>
    <w:rsid w:val="00756DC6"/>
    <w:rsid w:val="00756E01"/>
    <w:rsid w:val="00756E10"/>
    <w:rsid w:val="00756E4B"/>
    <w:rsid w:val="00756E6C"/>
    <w:rsid w:val="00756EDB"/>
    <w:rsid w:val="00756F0C"/>
    <w:rsid w:val="00756F29"/>
    <w:rsid w:val="00756F5B"/>
    <w:rsid w:val="00756F70"/>
    <w:rsid w:val="00756F86"/>
    <w:rsid w:val="00756FF0"/>
    <w:rsid w:val="00756FF4"/>
    <w:rsid w:val="0075700B"/>
    <w:rsid w:val="007570B7"/>
    <w:rsid w:val="007570F0"/>
    <w:rsid w:val="00757147"/>
    <w:rsid w:val="007572A9"/>
    <w:rsid w:val="00757311"/>
    <w:rsid w:val="007573FE"/>
    <w:rsid w:val="00757495"/>
    <w:rsid w:val="0075753E"/>
    <w:rsid w:val="0075753F"/>
    <w:rsid w:val="007575D1"/>
    <w:rsid w:val="007575F1"/>
    <w:rsid w:val="00757661"/>
    <w:rsid w:val="0075768E"/>
    <w:rsid w:val="007576E3"/>
    <w:rsid w:val="0075782C"/>
    <w:rsid w:val="0075783E"/>
    <w:rsid w:val="00757880"/>
    <w:rsid w:val="007578B4"/>
    <w:rsid w:val="007578F5"/>
    <w:rsid w:val="0075796D"/>
    <w:rsid w:val="00757991"/>
    <w:rsid w:val="00757B5F"/>
    <w:rsid w:val="00757BC1"/>
    <w:rsid w:val="00757BE3"/>
    <w:rsid w:val="00757C0E"/>
    <w:rsid w:val="00757CFB"/>
    <w:rsid w:val="00757DB8"/>
    <w:rsid w:val="00757E18"/>
    <w:rsid w:val="00757E96"/>
    <w:rsid w:val="00757E9B"/>
    <w:rsid w:val="00757EB6"/>
    <w:rsid w:val="00757EC4"/>
    <w:rsid w:val="00757F20"/>
    <w:rsid w:val="00757FFB"/>
    <w:rsid w:val="00760000"/>
    <w:rsid w:val="00760126"/>
    <w:rsid w:val="007601D9"/>
    <w:rsid w:val="00760244"/>
    <w:rsid w:val="00760290"/>
    <w:rsid w:val="007602D8"/>
    <w:rsid w:val="007602EA"/>
    <w:rsid w:val="00760361"/>
    <w:rsid w:val="007603C7"/>
    <w:rsid w:val="00760443"/>
    <w:rsid w:val="007604E8"/>
    <w:rsid w:val="00760608"/>
    <w:rsid w:val="0076064F"/>
    <w:rsid w:val="00760655"/>
    <w:rsid w:val="007606DF"/>
    <w:rsid w:val="007607D2"/>
    <w:rsid w:val="00760825"/>
    <w:rsid w:val="0076082F"/>
    <w:rsid w:val="007608B2"/>
    <w:rsid w:val="007608E6"/>
    <w:rsid w:val="0076099E"/>
    <w:rsid w:val="00760A15"/>
    <w:rsid w:val="00760A67"/>
    <w:rsid w:val="00760AFF"/>
    <w:rsid w:val="00760B8F"/>
    <w:rsid w:val="00760C11"/>
    <w:rsid w:val="00760C1F"/>
    <w:rsid w:val="00760D98"/>
    <w:rsid w:val="00760DA1"/>
    <w:rsid w:val="00760DC1"/>
    <w:rsid w:val="00760EA1"/>
    <w:rsid w:val="00760EFC"/>
    <w:rsid w:val="00760F15"/>
    <w:rsid w:val="00760F4B"/>
    <w:rsid w:val="00761011"/>
    <w:rsid w:val="00761140"/>
    <w:rsid w:val="007611FE"/>
    <w:rsid w:val="00761247"/>
    <w:rsid w:val="007612F3"/>
    <w:rsid w:val="00761304"/>
    <w:rsid w:val="007613C8"/>
    <w:rsid w:val="007613E7"/>
    <w:rsid w:val="0076154C"/>
    <w:rsid w:val="0076171C"/>
    <w:rsid w:val="0076183C"/>
    <w:rsid w:val="00761854"/>
    <w:rsid w:val="007618D7"/>
    <w:rsid w:val="007619F1"/>
    <w:rsid w:val="00761A52"/>
    <w:rsid w:val="00761A83"/>
    <w:rsid w:val="00761A91"/>
    <w:rsid w:val="00761AC3"/>
    <w:rsid w:val="00761AE9"/>
    <w:rsid w:val="00761AF6"/>
    <w:rsid w:val="00761C26"/>
    <w:rsid w:val="00761D17"/>
    <w:rsid w:val="00761D48"/>
    <w:rsid w:val="00761DCD"/>
    <w:rsid w:val="00761E76"/>
    <w:rsid w:val="00761F50"/>
    <w:rsid w:val="00761F82"/>
    <w:rsid w:val="00761F8D"/>
    <w:rsid w:val="00761FA0"/>
    <w:rsid w:val="00761FAA"/>
    <w:rsid w:val="00761FDB"/>
    <w:rsid w:val="0076201A"/>
    <w:rsid w:val="007620B8"/>
    <w:rsid w:val="007620E1"/>
    <w:rsid w:val="007620F6"/>
    <w:rsid w:val="00762106"/>
    <w:rsid w:val="00762127"/>
    <w:rsid w:val="00762149"/>
    <w:rsid w:val="00762214"/>
    <w:rsid w:val="0076226F"/>
    <w:rsid w:val="0076229B"/>
    <w:rsid w:val="007622B0"/>
    <w:rsid w:val="00762381"/>
    <w:rsid w:val="007623AE"/>
    <w:rsid w:val="00762476"/>
    <w:rsid w:val="00762515"/>
    <w:rsid w:val="007625A9"/>
    <w:rsid w:val="007625D9"/>
    <w:rsid w:val="0076260D"/>
    <w:rsid w:val="00762614"/>
    <w:rsid w:val="00762673"/>
    <w:rsid w:val="007626A3"/>
    <w:rsid w:val="007626B0"/>
    <w:rsid w:val="00762767"/>
    <w:rsid w:val="0076280B"/>
    <w:rsid w:val="00762823"/>
    <w:rsid w:val="00762877"/>
    <w:rsid w:val="00762896"/>
    <w:rsid w:val="007628F1"/>
    <w:rsid w:val="007628FF"/>
    <w:rsid w:val="00762917"/>
    <w:rsid w:val="00762935"/>
    <w:rsid w:val="0076298E"/>
    <w:rsid w:val="007629DE"/>
    <w:rsid w:val="00762A0B"/>
    <w:rsid w:val="00762BE1"/>
    <w:rsid w:val="00762BE6"/>
    <w:rsid w:val="00762BF3"/>
    <w:rsid w:val="00762C36"/>
    <w:rsid w:val="00762C5E"/>
    <w:rsid w:val="00762D6D"/>
    <w:rsid w:val="00762EDA"/>
    <w:rsid w:val="00762FA4"/>
    <w:rsid w:val="00763064"/>
    <w:rsid w:val="00763072"/>
    <w:rsid w:val="00763078"/>
    <w:rsid w:val="007630A6"/>
    <w:rsid w:val="00763199"/>
    <w:rsid w:val="0076321F"/>
    <w:rsid w:val="0076329B"/>
    <w:rsid w:val="00763301"/>
    <w:rsid w:val="0076338D"/>
    <w:rsid w:val="00763468"/>
    <w:rsid w:val="00763500"/>
    <w:rsid w:val="0076351E"/>
    <w:rsid w:val="00763597"/>
    <w:rsid w:val="0076363E"/>
    <w:rsid w:val="00763659"/>
    <w:rsid w:val="0076373A"/>
    <w:rsid w:val="00763829"/>
    <w:rsid w:val="00763A06"/>
    <w:rsid w:val="00763A2A"/>
    <w:rsid w:val="00763B12"/>
    <w:rsid w:val="00763B34"/>
    <w:rsid w:val="00763B77"/>
    <w:rsid w:val="00763B94"/>
    <w:rsid w:val="00763BD3"/>
    <w:rsid w:val="00763C12"/>
    <w:rsid w:val="00763C87"/>
    <w:rsid w:val="00763CF4"/>
    <w:rsid w:val="00763D0A"/>
    <w:rsid w:val="00763D0E"/>
    <w:rsid w:val="00763E1C"/>
    <w:rsid w:val="00763EB8"/>
    <w:rsid w:val="00763EBD"/>
    <w:rsid w:val="00763F79"/>
    <w:rsid w:val="00764001"/>
    <w:rsid w:val="007640CC"/>
    <w:rsid w:val="007640E7"/>
    <w:rsid w:val="007640EE"/>
    <w:rsid w:val="0076415F"/>
    <w:rsid w:val="00764181"/>
    <w:rsid w:val="007641B5"/>
    <w:rsid w:val="007642ED"/>
    <w:rsid w:val="00764357"/>
    <w:rsid w:val="00764426"/>
    <w:rsid w:val="00764460"/>
    <w:rsid w:val="00764538"/>
    <w:rsid w:val="0076455D"/>
    <w:rsid w:val="0076467E"/>
    <w:rsid w:val="00764689"/>
    <w:rsid w:val="007646E8"/>
    <w:rsid w:val="007648FF"/>
    <w:rsid w:val="007649DF"/>
    <w:rsid w:val="00764A50"/>
    <w:rsid w:val="00764B10"/>
    <w:rsid w:val="00764B1C"/>
    <w:rsid w:val="00764B29"/>
    <w:rsid w:val="00764BB2"/>
    <w:rsid w:val="00764C04"/>
    <w:rsid w:val="00764C7E"/>
    <w:rsid w:val="00764CD1"/>
    <w:rsid w:val="00764D20"/>
    <w:rsid w:val="00764E09"/>
    <w:rsid w:val="00764E21"/>
    <w:rsid w:val="00765040"/>
    <w:rsid w:val="00765091"/>
    <w:rsid w:val="00765096"/>
    <w:rsid w:val="007650A7"/>
    <w:rsid w:val="007650B5"/>
    <w:rsid w:val="007651A1"/>
    <w:rsid w:val="00765265"/>
    <w:rsid w:val="00765283"/>
    <w:rsid w:val="00765285"/>
    <w:rsid w:val="007652E5"/>
    <w:rsid w:val="00765370"/>
    <w:rsid w:val="00765387"/>
    <w:rsid w:val="00765428"/>
    <w:rsid w:val="00765494"/>
    <w:rsid w:val="007654A6"/>
    <w:rsid w:val="007654E6"/>
    <w:rsid w:val="00765572"/>
    <w:rsid w:val="00765594"/>
    <w:rsid w:val="007655E7"/>
    <w:rsid w:val="007656DF"/>
    <w:rsid w:val="007656F7"/>
    <w:rsid w:val="00765711"/>
    <w:rsid w:val="0076572B"/>
    <w:rsid w:val="0076572F"/>
    <w:rsid w:val="0076574E"/>
    <w:rsid w:val="007657F8"/>
    <w:rsid w:val="007658B1"/>
    <w:rsid w:val="00765A9F"/>
    <w:rsid w:val="00765AC3"/>
    <w:rsid w:val="00765B5C"/>
    <w:rsid w:val="00765B61"/>
    <w:rsid w:val="00765B75"/>
    <w:rsid w:val="00765BF9"/>
    <w:rsid w:val="00765C5F"/>
    <w:rsid w:val="00765CA9"/>
    <w:rsid w:val="00765DAC"/>
    <w:rsid w:val="00765E94"/>
    <w:rsid w:val="00765EC4"/>
    <w:rsid w:val="00765F10"/>
    <w:rsid w:val="0076604C"/>
    <w:rsid w:val="00766051"/>
    <w:rsid w:val="0076606F"/>
    <w:rsid w:val="00766075"/>
    <w:rsid w:val="00766078"/>
    <w:rsid w:val="00766100"/>
    <w:rsid w:val="0076616F"/>
    <w:rsid w:val="007661B2"/>
    <w:rsid w:val="00766242"/>
    <w:rsid w:val="0076624B"/>
    <w:rsid w:val="0076624F"/>
    <w:rsid w:val="00766286"/>
    <w:rsid w:val="00766389"/>
    <w:rsid w:val="0076641C"/>
    <w:rsid w:val="0076646F"/>
    <w:rsid w:val="00766489"/>
    <w:rsid w:val="007664C6"/>
    <w:rsid w:val="00766569"/>
    <w:rsid w:val="007665BA"/>
    <w:rsid w:val="007665D5"/>
    <w:rsid w:val="0076669A"/>
    <w:rsid w:val="007666BC"/>
    <w:rsid w:val="007666E1"/>
    <w:rsid w:val="00766837"/>
    <w:rsid w:val="0076684A"/>
    <w:rsid w:val="00766864"/>
    <w:rsid w:val="007668C7"/>
    <w:rsid w:val="007668DA"/>
    <w:rsid w:val="007668F5"/>
    <w:rsid w:val="00766900"/>
    <w:rsid w:val="0076690D"/>
    <w:rsid w:val="007669CA"/>
    <w:rsid w:val="00766A26"/>
    <w:rsid w:val="00766BFC"/>
    <w:rsid w:val="00766BFE"/>
    <w:rsid w:val="00766C65"/>
    <w:rsid w:val="00766D1B"/>
    <w:rsid w:val="00766E84"/>
    <w:rsid w:val="00766F06"/>
    <w:rsid w:val="00766F19"/>
    <w:rsid w:val="00766F7A"/>
    <w:rsid w:val="00766F8C"/>
    <w:rsid w:val="0076702C"/>
    <w:rsid w:val="0076705C"/>
    <w:rsid w:val="007670FB"/>
    <w:rsid w:val="0076711A"/>
    <w:rsid w:val="00767149"/>
    <w:rsid w:val="00767197"/>
    <w:rsid w:val="007671DF"/>
    <w:rsid w:val="007671F8"/>
    <w:rsid w:val="00767281"/>
    <w:rsid w:val="0076729D"/>
    <w:rsid w:val="007672B2"/>
    <w:rsid w:val="0076732D"/>
    <w:rsid w:val="007673E6"/>
    <w:rsid w:val="0076741D"/>
    <w:rsid w:val="007674B5"/>
    <w:rsid w:val="007674F5"/>
    <w:rsid w:val="00767589"/>
    <w:rsid w:val="0076762F"/>
    <w:rsid w:val="00767633"/>
    <w:rsid w:val="007677A0"/>
    <w:rsid w:val="00767894"/>
    <w:rsid w:val="00767967"/>
    <w:rsid w:val="00767AB9"/>
    <w:rsid w:val="00767B5F"/>
    <w:rsid w:val="00767C0C"/>
    <w:rsid w:val="00767C46"/>
    <w:rsid w:val="00767C6E"/>
    <w:rsid w:val="00767E30"/>
    <w:rsid w:val="00767E68"/>
    <w:rsid w:val="00767E6B"/>
    <w:rsid w:val="00767F6C"/>
    <w:rsid w:val="00767F9C"/>
    <w:rsid w:val="00767FDB"/>
    <w:rsid w:val="00767FE3"/>
    <w:rsid w:val="00767FEF"/>
    <w:rsid w:val="00767FFB"/>
    <w:rsid w:val="0077005C"/>
    <w:rsid w:val="007700F2"/>
    <w:rsid w:val="00770113"/>
    <w:rsid w:val="00770150"/>
    <w:rsid w:val="00770227"/>
    <w:rsid w:val="00770234"/>
    <w:rsid w:val="007703D8"/>
    <w:rsid w:val="007703D9"/>
    <w:rsid w:val="0077042E"/>
    <w:rsid w:val="00770485"/>
    <w:rsid w:val="0077052D"/>
    <w:rsid w:val="00770551"/>
    <w:rsid w:val="007705E8"/>
    <w:rsid w:val="0077064D"/>
    <w:rsid w:val="00770737"/>
    <w:rsid w:val="0077079B"/>
    <w:rsid w:val="00770862"/>
    <w:rsid w:val="007709A9"/>
    <w:rsid w:val="00770A40"/>
    <w:rsid w:val="00770AB8"/>
    <w:rsid w:val="00770AC7"/>
    <w:rsid w:val="00770D31"/>
    <w:rsid w:val="00770D57"/>
    <w:rsid w:val="00770DE7"/>
    <w:rsid w:val="00770E1F"/>
    <w:rsid w:val="00770E22"/>
    <w:rsid w:val="00770E8E"/>
    <w:rsid w:val="00770EC6"/>
    <w:rsid w:val="00770ED9"/>
    <w:rsid w:val="00770F33"/>
    <w:rsid w:val="00770F68"/>
    <w:rsid w:val="00770FAD"/>
    <w:rsid w:val="00770FBF"/>
    <w:rsid w:val="00770FC6"/>
    <w:rsid w:val="00771005"/>
    <w:rsid w:val="00771098"/>
    <w:rsid w:val="0077110D"/>
    <w:rsid w:val="00771142"/>
    <w:rsid w:val="0077118B"/>
    <w:rsid w:val="007711DA"/>
    <w:rsid w:val="0077120C"/>
    <w:rsid w:val="0077125A"/>
    <w:rsid w:val="0077133F"/>
    <w:rsid w:val="00771393"/>
    <w:rsid w:val="00771431"/>
    <w:rsid w:val="00771474"/>
    <w:rsid w:val="007714CF"/>
    <w:rsid w:val="00771568"/>
    <w:rsid w:val="00771693"/>
    <w:rsid w:val="007716EA"/>
    <w:rsid w:val="007717DF"/>
    <w:rsid w:val="00771831"/>
    <w:rsid w:val="00771931"/>
    <w:rsid w:val="0077199B"/>
    <w:rsid w:val="007719AD"/>
    <w:rsid w:val="00771B6F"/>
    <w:rsid w:val="00771BC3"/>
    <w:rsid w:val="00771BC9"/>
    <w:rsid w:val="00771C59"/>
    <w:rsid w:val="00771D5A"/>
    <w:rsid w:val="00771E37"/>
    <w:rsid w:val="00771E4A"/>
    <w:rsid w:val="00771F29"/>
    <w:rsid w:val="00771FA9"/>
    <w:rsid w:val="00771FAC"/>
    <w:rsid w:val="00771FB0"/>
    <w:rsid w:val="00771FDB"/>
    <w:rsid w:val="00772037"/>
    <w:rsid w:val="00772052"/>
    <w:rsid w:val="0077207C"/>
    <w:rsid w:val="0077207D"/>
    <w:rsid w:val="00772112"/>
    <w:rsid w:val="00772163"/>
    <w:rsid w:val="007721FD"/>
    <w:rsid w:val="0077226F"/>
    <w:rsid w:val="0077229E"/>
    <w:rsid w:val="007722F7"/>
    <w:rsid w:val="0077233C"/>
    <w:rsid w:val="0077237B"/>
    <w:rsid w:val="007724AF"/>
    <w:rsid w:val="007724F4"/>
    <w:rsid w:val="0077254B"/>
    <w:rsid w:val="007725D8"/>
    <w:rsid w:val="007727DA"/>
    <w:rsid w:val="007727F5"/>
    <w:rsid w:val="00772829"/>
    <w:rsid w:val="00772862"/>
    <w:rsid w:val="007728CC"/>
    <w:rsid w:val="00772931"/>
    <w:rsid w:val="007729E0"/>
    <w:rsid w:val="00772A00"/>
    <w:rsid w:val="00772A69"/>
    <w:rsid w:val="00772A9A"/>
    <w:rsid w:val="00772A9D"/>
    <w:rsid w:val="00772B27"/>
    <w:rsid w:val="00772B31"/>
    <w:rsid w:val="00772BAE"/>
    <w:rsid w:val="00772C10"/>
    <w:rsid w:val="00772C2C"/>
    <w:rsid w:val="00772C74"/>
    <w:rsid w:val="00772C89"/>
    <w:rsid w:val="00772CCE"/>
    <w:rsid w:val="00772CDC"/>
    <w:rsid w:val="00772D89"/>
    <w:rsid w:val="00772D95"/>
    <w:rsid w:val="00772D9D"/>
    <w:rsid w:val="00772FF9"/>
    <w:rsid w:val="0077303C"/>
    <w:rsid w:val="0077304F"/>
    <w:rsid w:val="0077305A"/>
    <w:rsid w:val="0077306F"/>
    <w:rsid w:val="007730FD"/>
    <w:rsid w:val="00773159"/>
    <w:rsid w:val="0077316B"/>
    <w:rsid w:val="00773200"/>
    <w:rsid w:val="0077324D"/>
    <w:rsid w:val="00773285"/>
    <w:rsid w:val="00773295"/>
    <w:rsid w:val="007732B7"/>
    <w:rsid w:val="007732E4"/>
    <w:rsid w:val="00773423"/>
    <w:rsid w:val="0077344F"/>
    <w:rsid w:val="007734B8"/>
    <w:rsid w:val="0077359E"/>
    <w:rsid w:val="00773671"/>
    <w:rsid w:val="00773681"/>
    <w:rsid w:val="00773722"/>
    <w:rsid w:val="00773733"/>
    <w:rsid w:val="00773793"/>
    <w:rsid w:val="007737A0"/>
    <w:rsid w:val="007737B5"/>
    <w:rsid w:val="007737F8"/>
    <w:rsid w:val="00773808"/>
    <w:rsid w:val="0077388D"/>
    <w:rsid w:val="007738B5"/>
    <w:rsid w:val="007739D4"/>
    <w:rsid w:val="00773A02"/>
    <w:rsid w:val="00773A1B"/>
    <w:rsid w:val="00773A6A"/>
    <w:rsid w:val="00773C8D"/>
    <w:rsid w:val="00773D66"/>
    <w:rsid w:val="00773D8F"/>
    <w:rsid w:val="00773E25"/>
    <w:rsid w:val="00773E4F"/>
    <w:rsid w:val="00773E9F"/>
    <w:rsid w:val="00773F02"/>
    <w:rsid w:val="00773F51"/>
    <w:rsid w:val="00773F69"/>
    <w:rsid w:val="00774061"/>
    <w:rsid w:val="00774078"/>
    <w:rsid w:val="0077407D"/>
    <w:rsid w:val="00774093"/>
    <w:rsid w:val="007740D5"/>
    <w:rsid w:val="007740E0"/>
    <w:rsid w:val="0077414D"/>
    <w:rsid w:val="007741A8"/>
    <w:rsid w:val="0077423F"/>
    <w:rsid w:val="0077431B"/>
    <w:rsid w:val="00774339"/>
    <w:rsid w:val="00774348"/>
    <w:rsid w:val="007743A3"/>
    <w:rsid w:val="007743C2"/>
    <w:rsid w:val="00774426"/>
    <w:rsid w:val="00774459"/>
    <w:rsid w:val="00774540"/>
    <w:rsid w:val="0077461F"/>
    <w:rsid w:val="0077467F"/>
    <w:rsid w:val="00774782"/>
    <w:rsid w:val="00774805"/>
    <w:rsid w:val="00774876"/>
    <w:rsid w:val="007749F3"/>
    <w:rsid w:val="00774A8C"/>
    <w:rsid w:val="00774A9A"/>
    <w:rsid w:val="00774AC5"/>
    <w:rsid w:val="00774B05"/>
    <w:rsid w:val="00774B87"/>
    <w:rsid w:val="00774BD7"/>
    <w:rsid w:val="00774BDC"/>
    <w:rsid w:val="00774DA5"/>
    <w:rsid w:val="00774DB3"/>
    <w:rsid w:val="00774DC2"/>
    <w:rsid w:val="00774E72"/>
    <w:rsid w:val="00774E93"/>
    <w:rsid w:val="00774F18"/>
    <w:rsid w:val="00774F5C"/>
    <w:rsid w:val="0077506B"/>
    <w:rsid w:val="00775079"/>
    <w:rsid w:val="007750B0"/>
    <w:rsid w:val="00775141"/>
    <w:rsid w:val="0077519E"/>
    <w:rsid w:val="0077528B"/>
    <w:rsid w:val="007753AE"/>
    <w:rsid w:val="007753D1"/>
    <w:rsid w:val="00775456"/>
    <w:rsid w:val="007754BC"/>
    <w:rsid w:val="00775513"/>
    <w:rsid w:val="0077556E"/>
    <w:rsid w:val="007756C2"/>
    <w:rsid w:val="007756CB"/>
    <w:rsid w:val="007757C4"/>
    <w:rsid w:val="007757C8"/>
    <w:rsid w:val="007757E1"/>
    <w:rsid w:val="0077580F"/>
    <w:rsid w:val="00775919"/>
    <w:rsid w:val="0077591A"/>
    <w:rsid w:val="00775924"/>
    <w:rsid w:val="00775930"/>
    <w:rsid w:val="0077593F"/>
    <w:rsid w:val="00775996"/>
    <w:rsid w:val="0077599F"/>
    <w:rsid w:val="00775AAC"/>
    <w:rsid w:val="00775AED"/>
    <w:rsid w:val="00775B76"/>
    <w:rsid w:val="00775C41"/>
    <w:rsid w:val="00775CDF"/>
    <w:rsid w:val="00775D39"/>
    <w:rsid w:val="00775D91"/>
    <w:rsid w:val="00775D94"/>
    <w:rsid w:val="00775DBB"/>
    <w:rsid w:val="00775E72"/>
    <w:rsid w:val="00775E97"/>
    <w:rsid w:val="00775EB1"/>
    <w:rsid w:val="00775F32"/>
    <w:rsid w:val="00775F55"/>
    <w:rsid w:val="0077600F"/>
    <w:rsid w:val="00776031"/>
    <w:rsid w:val="007760E9"/>
    <w:rsid w:val="007760FD"/>
    <w:rsid w:val="007761D0"/>
    <w:rsid w:val="007761D2"/>
    <w:rsid w:val="007761F2"/>
    <w:rsid w:val="007761FA"/>
    <w:rsid w:val="00776236"/>
    <w:rsid w:val="00776298"/>
    <w:rsid w:val="007762CF"/>
    <w:rsid w:val="00776324"/>
    <w:rsid w:val="007763EC"/>
    <w:rsid w:val="007763F8"/>
    <w:rsid w:val="00776415"/>
    <w:rsid w:val="0077641F"/>
    <w:rsid w:val="007764EC"/>
    <w:rsid w:val="0077654C"/>
    <w:rsid w:val="00776554"/>
    <w:rsid w:val="00776587"/>
    <w:rsid w:val="007765B6"/>
    <w:rsid w:val="007765E5"/>
    <w:rsid w:val="007765F8"/>
    <w:rsid w:val="00776676"/>
    <w:rsid w:val="0077676E"/>
    <w:rsid w:val="00776863"/>
    <w:rsid w:val="0077686F"/>
    <w:rsid w:val="00776887"/>
    <w:rsid w:val="007768A4"/>
    <w:rsid w:val="00776925"/>
    <w:rsid w:val="00776950"/>
    <w:rsid w:val="007769C2"/>
    <w:rsid w:val="00776A1D"/>
    <w:rsid w:val="00776A64"/>
    <w:rsid w:val="00776AD2"/>
    <w:rsid w:val="00776AFD"/>
    <w:rsid w:val="00776BD7"/>
    <w:rsid w:val="00776CB4"/>
    <w:rsid w:val="00776CED"/>
    <w:rsid w:val="00776D31"/>
    <w:rsid w:val="00776DC0"/>
    <w:rsid w:val="00776E74"/>
    <w:rsid w:val="00776E7A"/>
    <w:rsid w:val="00776E9D"/>
    <w:rsid w:val="00776F42"/>
    <w:rsid w:val="00776F73"/>
    <w:rsid w:val="00776FD4"/>
    <w:rsid w:val="00777013"/>
    <w:rsid w:val="0077702A"/>
    <w:rsid w:val="0077714C"/>
    <w:rsid w:val="0077719A"/>
    <w:rsid w:val="007771C8"/>
    <w:rsid w:val="007771ED"/>
    <w:rsid w:val="007772C3"/>
    <w:rsid w:val="007772D2"/>
    <w:rsid w:val="007772EF"/>
    <w:rsid w:val="007772F5"/>
    <w:rsid w:val="007773B4"/>
    <w:rsid w:val="007773ED"/>
    <w:rsid w:val="007777AB"/>
    <w:rsid w:val="007777F9"/>
    <w:rsid w:val="00777848"/>
    <w:rsid w:val="0077788D"/>
    <w:rsid w:val="00777893"/>
    <w:rsid w:val="00777918"/>
    <w:rsid w:val="007779A5"/>
    <w:rsid w:val="007779B9"/>
    <w:rsid w:val="00777A2D"/>
    <w:rsid w:val="00777A3D"/>
    <w:rsid w:val="00777AF6"/>
    <w:rsid w:val="00777AFC"/>
    <w:rsid w:val="00777B70"/>
    <w:rsid w:val="00777B8B"/>
    <w:rsid w:val="00777BDE"/>
    <w:rsid w:val="00777C4E"/>
    <w:rsid w:val="00777C5C"/>
    <w:rsid w:val="00777D40"/>
    <w:rsid w:val="00777D61"/>
    <w:rsid w:val="00777D68"/>
    <w:rsid w:val="00777E7C"/>
    <w:rsid w:val="00777EFB"/>
    <w:rsid w:val="00777F80"/>
    <w:rsid w:val="00777FF4"/>
    <w:rsid w:val="007800B2"/>
    <w:rsid w:val="007800BE"/>
    <w:rsid w:val="007800C7"/>
    <w:rsid w:val="0078013C"/>
    <w:rsid w:val="0078022B"/>
    <w:rsid w:val="007802A9"/>
    <w:rsid w:val="007802FE"/>
    <w:rsid w:val="00780307"/>
    <w:rsid w:val="00780418"/>
    <w:rsid w:val="007804A3"/>
    <w:rsid w:val="007804B3"/>
    <w:rsid w:val="007804B6"/>
    <w:rsid w:val="007804FC"/>
    <w:rsid w:val="007804FE"/>
    <w:rsid w:val="00780540"/>
    <w:rsid w:val="00780541"/>
    <w:rsid w:val="0078057B"/>
    <w:rsid w:val="007805B7"/>
    <w:rsid w:val="007806A0"/>
    <w:rsid w:val="007806DD"/>
    <w:rsid w:val="00780708"/>
    <w:rsid w:val="0078094F"/>
    <w:rsid w:val="00780953"/>
    <w:rsid w:val="00780A37"/>
    <w:rsid w:val="00780AAE"/>
    <w:rsid w:val="00780ACD"/>
    <w:rsid w:val="00780BC8"/>
    <w:rsid w:val="00780C55"/>
    <w:rsid w:val="00780C66"/>
    <w:rsid w:val="00780D14"/>
    <w:rsid w:val="00780D24"/>
    <w:rsid w:val="00780D58"/>
    <w:rsid w:val="00780D64"/>
    <w:rsid w:val="00780DA0"/>
    <w:rsid w:val="00780F1B"/>
    <w:rsid w:val="00780F3E"/>
    <w:rsid w:val="00780F71"/>
    <w:rsid w:val="00780FA6"/>
    <w:rsid w:val="00780FBD"/>
    <w:rsid w:val="00781049"/>
    <w:rsid w:val="00781078"/>
    <w:rsid w:val="007810E3"/>
    <w:rsid w:val="0078111F"/>
    <w:rsid w:val="0078117D"/>
    <w:rsid w:val="007811F3"/>
    <w:rsid w:val="00781356"/>
    <w:rsid w:val="007813F8"/>
    <w:rsid w:val="00781426"/>
    <w:rsid w:val="00781491"/>
    <w:rsid w:val="007814C0"/>
    <w:rsid w:val="00781676"/>
    <w:rsid w:val="0078167D"/>
    <w:rsid w:val="00781695"/>
    <w:rsid w:val="0078178C"/>
    <w:rsid w:val="007817FA"/>
    <w:rsid w:val="007818E0"/>
    <w:rsid w:val="007819A1"/>
    <w:rsid w:val="007819F3"/>
    <w:rsid w:val="00781B98"/>
    <w:rsid w:val="00781BF5"/>
    <w:rsid w:val="00781C2B"/>
    <w:rsid w:val="00781CBE"/>
    <w:rsid w:val="00781CD8"/>
    <w:rsid w:val="00781CE2"/>
    <w:rsid w:val="00781D6D"/>
    <w:rsid w:val="00781DDC"/>
    <w:rsid w:val="00781DEF"/>
    <w:rsid w:val="00781EDF"/>
    <w:rsid w:val="00781EF6"/>
    <w:rsid w:val="00781F91"/>
    <w:rsid w:val="00781FE6"/>
    <w:rsid w:val="00782068"/>
    <w:rsid w:val="00782069"/>
    <w:rsid w:val="007820D1"/>
    <w:rsid w:val="007820F4"/>
    <w:rsid w:val="00782153"/>
    <w:rsid w:val="007821F5"/>
    <w:rsid w:val="007821F7"/>
    <w:rsid w:val="00782255"/>
    <w:rsid w:val="007822C9"/>
    <w:rsid w:val="0078234F"/>
    <w:rsid w:val="00782418"/>
    <w:rsid w:val="0078245D"/>
    <w:rsid w:val="0078259A"/>
    <w:rsid w:val="007825A4"/>
    <w:rsid w:val="007825B4"/>
    <w:rsid w:val="00782611"/>
    <w:rsid w:val="0078266E"/>
    <w:rsid w:val="007826EC"/>
    <w:rsid w:val="007827A9"/>
    <w:rsid w:val="0078286D"/>
    <w:rsid w:val="00782A6B"/>
    <w:rsid w:val="00782ABD"/>
    <w:rsid w:val="00782AFC"/>
    <w:rsid w:val="00782B28"/>
    <w:rsid w:val="00782B49"/>
    <w:rsid w:val="00782B77"/>
    <w:rsid w:val="00782BBC"/>
    <w:rsid w:val="00782C00"/>
    <w:rsid w:val="00782CAE"/>
    <w:rsid w:val="00782D71"/>
    <w:rsid w:val="00782E3C"/>
    <w:rsid w:val="00782EB9"/>
    <w:rsid w:val="00782F5F"/>
    <w:rsid w:val="00782F79"/>
    <w:rsid w:val="0078303E"/>
    <w:rsid w:val="00783050"/>
    <w:rsid w:val="0078305C"/>
    <w:rsid w:val="007830E7"/>
    <w:rsid w:val="0078312B"/>
    <w:rsid w:val="0078312C"/>
    <w:rsid w:val="0078318A"/>
    <w:rsid w:val="00783193"/>
    <w:rsid w:val="0078321B"/>
    <w:rsid w:val="0078321E"/>
    <w:rsid w:val="00783268"/>
    <w:rsid w:val="00783282"/>
    <w:rsid w:val="007832FD"/>
    <w:rsid w:val="00783323"/>
    <w:rsid w:val="007833F8"/>
    <w:rsid w:val="00783416"/>
    <w:rsid w:val="007834C7"/>
    <w:rsid w:val="007835F4"/>
    <w:rsid w:val="007836A5"/>
    <w:rsid w:val="00783775"/>
    <w:rsid w:val="007837AD"/>
    <w:rsid w:val="007837F9"/>
    <w:rsid w:val="0078386B"/>
    <w:rsid w:val="007838A9"/>
    <w:rsid w:val="007838D8"/>
    <w:rsid w:val="007838E8"/>
    <w:rsid w:val="00783991"/>
    <w:rsid w:val="00783A39"/>
    <w:rsid w:val="00783A54"/>
    <w:rsid w:val="00783A7A"/>
    <w:rsid w:val="00783B15"/>
    <w:rsid w:val="00783B36"/>
    <w:rsid w:val="00783C8C"/>
    <w:rsid w:val="00783D32"/>
    <w:rsid w:val="00783DD6"/>
    <w:rsid w:val="00783EBD"/>
    <w:rsid w:val="00783EFB"/>
    <w:rsid w:val="00783F57"/>
    <w:rsid w:val="00783F7A"/>
    <w:rsid w:val="00783F99"/>
    <w:rsid w:val="00783FFE"/>
    <w:rsid w:val="00784090"/>
    <w:rsid w:val="00784129"/>
    <w:rsid w:val="007841B4"/>
    <w:rsid w:val="00784316"/>
    <w:rsid w:val="007843AD"/>
    <w:rsid w:val="007843B5"/>
    <w:rsid w:val="0078440C"/>
    <w:rsid w:val="0078441B"/>
    <w:rsid w:val="00784620"/>
    <w:rsid w:val="00784635"/>
    <w:rsid w:val="00784666"/>
    <w:rsid w:val="00784676"/>
    <w:rsid w:val="007846BB"/>
    <w:rsid w:val="00784739"/>
    <w:rsid w:val="00784749"/>
    <w:rsid w:val="0078474C"/>
    <w:rsid w:val="00784771"/>
    <w:rsid w:val="007848D6"/>
    <w:rsid w:val="007848E1"/>
    <w:rsid w:val="007848FA"/>
    <w:rsid w:val="0078495E"/>
    <w:rsid w:val="00784979"/>
    <w:rsid w:val="0078497F"/>
    <w:rsid w:val="007849C4"/>
    <w:rsid w:val="00784A29"/>
    <w:rsid w:val="00784ADB"/>
    <w:rsid w:val="00784B36"/>
    <w:rsid w:val="00784B62"/>
    <w:rsid w:val="00784B87"/>
    <w:rsid w:val="00784BDD"/>
    <w:rsid w:val="00784C95"/>
    <w:rsid w:val="00784D28"/>
    <w:rsid w:val="00784D2C"/>
    <w:rsid w:val="00784D80"/>
    <w:rsid w:val="00784DCE"/>
    <w:rsid w:val="00784E6D"/>
    <w:rsid w:val="00784EA5"/>
    <w:rsid w:val="00784ECD"/>
    <w:rsid w:val="00784EDE"/>
    <w:rsid w:val="00784EFC"/>
    <w:rsid w:val="00784EFF"/>
    <w:rsid w:val="00784F0E"/>
    <w:rsid w:val="00784F85"/>
    <w:rsid w:val="0078500A"/>
    <w:rsid w:val="00785015"/>
    <w:rsid w:val="00785061"/>
    <w:rsid w:val="00785134"/>
    <w:rsid w:val="007852B8"/>
    <w:rsid w:val="007852E9"/>
    <w:rsid w:val="007852F2"/>
    <w:rsid w:val="007853E3"/>
    <w:rsid w:val="007853EA"/>
    <w:rsid w:val="0078543B"/>
    <w:rsid w:val="00785445"/>
    <w:rsid w:val="00785446"/>
    <w:rsid w:val="00785474"/>
    <w:rsid w:val="007854B9"/>
    <w:rsid w:val="00785510"/>
    <w:rsid w:val="00785566"/>
    <w:rsid w:val="00785567"/>
    <w:rsid w:val="00785590"/>
    <w:rsid w:val="00785608"/>
    <w:rsid w:val="00785674"/>
    <w:rsid w:val="00785719"/>
    <w:rsid w:val="0078572E"/>
    <w:rsid w:val="00785747"/>
    <w:rsid w:val="007857AD"/>
    <w:rsid w:val="007857AF"/>
    <w:rsid w:val="00785828"/>
    <w:rsid w:val="007858F8"/>
    <w:rsid w:val="00785917"/>
    <w:rsid w:val="00785953"/>
    <w:rsid w:val="0078595D"/>
    <w:rsid w:val="007859DC"/>
    <w:rsid w:val="00785A44"/>
    <w:rsid w:val="00785A7B"/>
    <w:rsid w:val="00785ADF"/>
    <w:rsid w:val="00785AE6"/>
    <w:rsid w:val="00785B35"/>
    <w:rsid w:val="00785BF9"/>
    <w:rsid w:val="00785C0B"/>
    <w:rsid w:val="00785CB3"/>
    <w:rsid w:val="00785CBE"/>
    <w:rsid w:val="00785CCF"/>
    <w:rsid w:val="00785D8E"/>
    <w:rsid w:val="00785DC7"/>
    <w:rsid w:val="00785EB6"/>
    <w:rsid w:val="00785EF0"/>
    <w:rsid w:val="0078613A"/>
    <w:rsid w:val="007861FA"/>
    <w:rsid w:val="00786216"/>
    <w:rsid w:val="00786217"/>
    <w:rsid w:val="00786280"/>
    <w:rsid w:val="00786287"/>
    <w:rsid w:val="0078633D"/>
    <w:rsid w:val="007863CB"/>
    <w:rsid w:val="00786436"/>
    <w:rsid w:val="007864BD"/>
    <w:rsid w:val="0078652B"/>
    <w:rsid w:val="007865A4"/>
    <w:rsid w:val="00786609"/>
    <w:rsid w:val="007866E0"/>
    <w:rsid w:val="007866F3"/>
    <w:rsid w:val="00786899"/>
    <w:rsid w:val="007869C2"/>
    <w:rsid w:val="007869E4"/>
    <w:rsid w:val="007869FD"/>
    <w:rsid w:val="00786B11"/>
    <w:rsid w:val="00786B19"/>
    <w:rsid w:val="00786B50"/>
    <w:rsid w:val="00786B82"/>
    <w:rsid w:val="00786B91"/>
    <w:rsid w:val="00786C15"/>
    <w:rsid w:val="00786CA9"/>
    <w:rsid w:val="00786CB0"/>
    <w:rsid w:val="00786CD2"/>
    <w:rsid w:val="00786CF5"/>
    <w:rsid w:val="00786D0D"/>
    <w:rsid w:val="00786D31"/>
    <w:rsid w:val="00786D4E"/>
    <w:rsid w:val="00786E7E"/>
    <w:rsid w:val="00786EDD"/>
    <w:rsid w:val="00786EE2"/>
    <w:rsid w:val="00786EEC"/>
    <w:rsid w:val="00786EED"/>
    <w:rsid w:val="00786F0A"/>
    <w:rsid w:val="00786F11"/>
    <w:rsid w:val="00786F54"/>
    <w:rsid w:val="00786FB1"/>
    <w:rsid w:val="00786FC6"/>
    <w:rsid w:val="00787040"/>
    <w:rsid w:val="00787059"/>
    <w:rsid w:val="0078705F"/>
    <w:rsid w:val="00787097"/>
    <w:rsid w:val="007870AF"/>
    <w:rsid w:val="007870FF"/>
    <w:rsid w:val="007872FE"/>
    <w:rsid w:val="00787302"/>
    <w:rsid w:val="00787382"/>
    <w:rsid w:val="0078746A"/>
    <w:rsid w:val="007874FB"/>
    <w:rsid w:val="007876D2"/>
    <w:rsid w:val="007877AB"/>
    <w:rsid w:val="007878B1"/>
    <w:rsid w:val="007878D2"/>
    <w:rsid w:val="007879F5"/>
    <w:rsid w:val="00787A75"/>
    <w:rsid w:val="00787A98"/>
    <w:rsid w:val="00787B1C"/>
    <w:rsid w:val="00787B6E"/>
    <w:rsid w:val="00787B71"/>
    <w:rsid w:val="00787B7B"/>
    <w:rsid w:val="00787BF1"/>
    <w:rsid w:val="00787C20"/>
    <w:rsid w:val="00787C44"/>
    <w:rsid w:val="00787C5D"/>
    <w:rsid w:val="00787CAB"/>
    <w:rsid w:val="00787D52"/>
    <w:rsid w:val="00787D8B"/>
    <w:rsid w:val="00787E1A"/>
    <w:rsid w:val="00787EB9"/>
    <w:rsid w:val="00787EBF"/>
    <w:rsid w:val="00787FBC"/>
    <w:rsid w:val="00790100"/>
    <w:rsid w:val="00790182"/>
    <w:rsid w:val="007901BF"/>
    <w:rsid w:val="00790210"/>
    <w:rsid w:val="00790282"/>
    <w:rsid w:val="007902A5"/>
    <w:rsid w:val="007902B5"/>
    <w:rsid w:val="007902F9"/>
    <w:rsid w:val="00790356"/>
    <w:rsid w:val="00790363"/>
    <w:rsid w:val="0079036C"/>
    <w:rsid w:val="007903D1"/>
    <w:rsid w:val="007904C8"/>
    <w:rsid w:val="007904EC"/>
    <w:rsid w:val="007905AB"/>
    <w:rsid w:val="007905C1"/>
    <w:rsid w:val="007905D8"/>
    <w:rsid w:val="007905E9"/>
    <w:rsid w:val="007906A9"/>
    <w:rsid w:val="00790765"/>
    <w:rsid w:val="0079077B"/>
    <w:rsid w:val="00790839"/>
    <w:rsid w:val="00790865"/>
    <w:rsid w:val="00790876"/>
    <w:rsid w:val="0079095C"/>
    <w:rsid w:val="007909D8"/>
    <w:rsid w:val="00790B15"/>
    <w:rsid w:val="00790B37"/>
    <w:rsid w:val="00790B53"/>
    <w:rsid w:val="00790B93"/>
    <w:rsid w:val="00790C30"/>
    <w:rsid w:val="00790D03"/>
    <w:rsid w:val="00790D4F"/>
    <w:rsid w:val="00790DF5"/>
    <w:rsid w:val="00790E48"/>
    <w:rsid w:val="00790E52"/>
    <w:rsid w:val="00790E8F"/>
    <w:rsid w:val="00790EE7"/>
    <w:rsid w:val="00790F49"/>
    <w:rsid w:val="00790F4A"/>
    <w:rsid w:val="007910A0"/>
    <w:rsid w:val="00791121"/>
    <w:rsid w:val="00791146"/>
    <w:rsid w:val="007912CD"/>
    <w:rsid w:val="007912EB"/>
    <w:rsid w:val="007912F0"/>
    <w:rsid w:val="0079133E"/>
    <w:rsid w:val="007913EA"/>
    <w:rsid w:val="00791427"/>
    <w:rsid w:val="00791450"/>
    <w:rsid w:val="0079146B"/>
    <w:rsid w:val="007914A3"/>
    <w:rsid w:val="00791576"/>
    <w:rsid w:val="007915A0"/>
    <w:rsid w:val="007915C4"/>
    <w:rsid w:val="00791628"/>
    <w:rsid w:val="00791884"/>
    <w:rsid w:val="00791900"/>
    <w:rsid w:val="00791A0A"/>
    <w:rsid w:val="00791A4F"/>
    <w:rsid w:val="00791A52"/>
    <w:rsid w:val="00791A78"/>
    <w:rsid w:val="00791AA7"/>
    <w:rsid w:val="00791B35"/>
    <w:rsid w:val="00791B4A"/>
    <w:rsid w:val="00791CAD"/>
    <w:rsid w:val="00791EF5"/>
    <w:rsid w:val="00791F19"/>
    <w:rsid w:val="00791F46"/>
    <w:rsid w:val="00791F95"/>
    <w:rsid w:val="00791FAA"/>
    <w:rsid w:val="00791FC4"/>
    <w:rsid w:val="00792004"/>
    <w:rsid w:val="0079204C"/>
    <w:rsid w:val="00792061"/>
    <w:rsid w:val="00792064"/>
    <w:rsid w:val="007920C2"/>
    <w:rsid w:val="0079214D"/>
    <w:rsid w:val="00792192"/>
    <w:rsid w:val="007921FB"/>
    <w:rsid w:val="00792287"/>
    <w:rsid w:val="007922A1"/>
    <w:rsid w:val="007922AA"/>
    <w:rsid w:val="007922DB"/>
    <w:rsid w:val="007922FB"/>
    <w:rsid w:val="00792308"/>
    <w:rsid w:val="007923B4"/>
    <w:rsid w:val="007923FE"/>
    <w:rsid w:val="00792410"/>
    <w:rsid w:val="0079244B"/>
    <w:rsid w:val="00792456"/>
    <w:rsid w:val="0079246D"/>
    <w:rsid w:val="00792597"/>
    <w:rsid w:val="007925F6"/>
    <w:rsid w:val="007925FE"/>
    <w:rsid w:val="00792616"/>
    <w:rsid w:val="0079268D"/>
    <w:rsid w:val="007926BC"/>
    <w:rsid w:val="00792795"/>
    <w:rsid w:val="007927FA"/>
    <w:rsid w:val="0079281C"/>
    <w:rsid w:val="0079283C"/>
    <w:rsid w:val="00792878"/>
    <w:rsid w:val="0079288C"/>
    <w:rsid w:val="00792910"/>
    <w:rsid w:val="00792A21"/>
    <w:rsid w:val="00792A8E"/>
    <w:rsid w:val="00792BAA"/>
    <w:rsid w:val="00792BD8"/>
    <w:rsid w:val="00792C9E"/>
    <w:rsid w:val="00792CC5"/>
    <w:rsid w:val="00792DBB"/>
    <w:rsid w:val="00792EC1"/>
    <w:rsid w:val="00792F08"/>
    <w:rsid w:val="00792F44"/>
    <w:rsid w:val="00792F7D"/>
    <w:rsid w:val="00792F96"/>
    <w:rsid w:val="00793074"/>
    <w:rsid w:val="007930A8"/>
    <w:rsid w:val="007930CD"/>
    <w:rsid w:val="007931CB"/>
    <w:rsid w:val="007931FF"/>
    <w:rsid w:val="00793310"/>
    <w:rsid w:val="0079334F"/>
    <w:rsid w:val="007933D6"/>
    <w:rsid w:val="007933DF"/>
    <w:rsid w:val="00793416"/>
    <w:rsid w:val="0079348C"/>
    <w:rsid w:val="007934B8"/>
    <w:rsid w:val="007934F4"/>
    <w:rsid w:val="00793569"/>
    <w:rsid w:val="0079357E"/>
    <w:rsid w:val="00793595"/>
    <w:rsid w:val="0079359D"/>
    <w:rsid w:val="007935B1"/>
    <w:rsid w:val="007935FF"/>
    <w:rsid w:val="00793661"/>
    <w:rsid w:val="007936B7"/>
    <w:rsid w:val="007936C3"/>
    <w:rsid w:val="00793702"/>
    <w:rsid w:val="00793718"/>
    <w:rsid w:val="0079372E"/>
    <w:rsid w:val="0079375B"/>
    <w:rsid w:val="00793825"/>
    <w:rsid w:val="0079383D"/>
    <w:rsid w:val="00793879"/>
    <w:rsid w:val="0079388D"/>
    <w:rsid w:val="0079389F"/>
    <w:rsid w:val="007938CD"/>
    <w:rsid w:val="007938E5"/>
    <w:rsid w:val="00793944"/>
    <w:rsid w:val="007939D8"/>
    <w:rsid w:val="007939F9"/>
    <w:rsid w:val="00793A24"/>
    <w:rsid w:val="00793BBC"/>
    <w:rsid w:val="00793BCE"/>
    <w:rsid w:val="00793C40"/>
    <w:rsid w:val="00793D50"/>
    <w:rsid w:val="00793E0A"/>
    <w:rsid w:val="00793FE6"/>
    <w:rsid w:val="00793FE7"/>
    <w:rsid w:val="00794103"/>
    <w:rsid w:val="0079425B"/>
    <w:rsid w:val="00794318"/>
    <w:rsid w:val="00794347"/>
    <w:rsid w:val="0079438F"/>
    <w:rsid w:val="007943B7"/>
    <w:rsid w:val="007943E7"/>
    <w:rsid w:val="007943ED"/>
    <w:rsid w:val="0079442B"/>
    <w:rsid w:val="00794473"/>
    <w:rsid w:val="0079450A"/>
    <w:rsid w:val="00794580"/>
    <w:rsid w:val="007945FD"/>
    <w:rsid w:val="007946EE"/>
    <w:rsid w:val="00794718"/>
    <w:rsid w:val="00794724"/>
    <w:rsid w:val="00794749"/>
    <w:rsid w:val="00794769"/>
    <w:rsid w:val="007947AD"/>
    <w:rsid w:val="007947CB"/>
    <w:rsid w:val="007947E7"/>
    <w:rsid w:val="00794802"/>
    <w:rsid w:val="007948C9"/>
    <w:rsid w:val="0079498F"/>
    <w:rsid w:val="00794A70"/>
    <w:rsid w:val="00794B2A"/>
    <w:rsid w:val="00794B76"/>
    <w:rsid w:val="00794B8F"/>
    <w:rsid w:val="00794BC2"/>
    <w:rsid w:val="00794C90"/>
    <w:rsid w:val="00794DCF"/>
    <w:rsid w:val="00794E41"/>
    <w:rsid w:val="00794E43"/>
    <w:rsid w:val="00794E55"/>
    <w:rsid w:val="00794EAE"/>
    <w:rsid w:val="00794FCF"/>
    <w:rsid w:val="00794FE7"/>
    <w:rsid w:val="00794FFD"/>
    <w:rsid w:val="007950D0"/>
    <w:rsid w:val="00795181"/>
    <w:rsid w:val="007951D4"/>
    <w:rsid w:val="00795241"/>
    <w:rsid w:val="00795245"/>
    <w:rsid w:val="0079534B"/>
    <w:rsid w:val="00795411"/>
    <w:rsid w:val="00795423"/>
    <w:rsid w:val="00795457"/>
    <w:rsid w:val="00795668"/>
    <w:rsid w:val="007956C6"/>
    <w:rsid w:val="007956F0"/>
    <w:rsid w:val="0079590E"/>
    <w:rsid w:val="00795966"/>
    <w:rsid w:val="00795A86"/>
    <w:rsid w:val="00795B2D"/>
    <w:rsid w:val="00795BA7"/>
    <w:rsid w:val="00795BF2"/>
    <w:rsid w:val="00795C25"/>
    <w:rsid w:val="00795C31"/>
    <w:rsid w:val="00795C52"/>
    <w:rsid w:val="00795CB9"/>
    <w:rsid w:val="00795DB1"/>
    <w:rsid w:val="00795E57"/>
    <w:rsid w:val="00795E68"/>
    <w:rsid w:val="00795E70"/>
    <w:rsid w:val="00795EF0"/>
    <w:rsid w:val="00795F32"/>
    <w:rsid w:val="00795F3B"/>
    <w:rsid w:val="00795FAA"/>
    <w:rsid w:val="00796029"/>
    <w:rsid w:val="00796036"/>
    <w:rsid w:val="00796103"/>
    <w:rsid w:val="00796160"/>
    <w:rsid w:val="00796240"/>
    <w:rsid w:val="007962CF"/>
    <w:rsid w:val="007962E4"/>
    <w:rsid w:val="0079630B"/>
    <w:rsid w:val="0079642F"/>
    <w:rsid w:val="0079643F"/>
    <w:rsid w:val="00796481"/>
    <w:rsid w:val="00796526"/>
    <w:rsid w:val="00796643"/>
    <w:rsid w:val="00796758"/>
    <w:rsid w:val="0079676A"/>
    <w:rsid w:val="0079677C"/>
    <w:rsid w:val="007967A6"/>
    <w:rsid w:val="007967F4"/>
    <w:rsid w:val="007968A4"/>
    <w:rsid w:val="0079697D"/>
    <w:rsid w:val="00796A7B"/>
    <w:rsid w:val="00796AE7"/>
    <w:rsid w:val="00796AF0"/>
    <w:rsid w:val="00796B5D"/>
    <w:rsid w:val="00796C09"/>
    <w:rsid w:val="00796CF9"/>
    <w:rsid w:val="00796DF6"/>
    <w:rsid w:val="00796E31"/>
    <w:rsid w:val="00796E85"/>
    <w:rsid w:val="00796EBF"/>
    <w:rsid w:val="00796EEA"/>
    <w:rsid w:val="00796F2B"/>
    <w:rsid w:val="00796FB2"/>
    <w:rsid w:val="007970A0"/>
    <w:rsid w:val="00797119"/>
    <w:rsid w:val="00797184"/>
    <w:rsid w:val="00797236"/>
    <w:rsid w:val="00797277"/>
    <w:rsid w:val="00797353"/>
    <w:rsid w:val="00797355"/>
    <w:rsid w:val="0079735C"/>
    <w:rsid w:val="007973EB"/>
    <w:rsid w:val="0079745C"/>
    <w:rsid w:val="007974D1"/>
    <w:rsid w:val="00797562"/>
    <w:rsid w:val="007975B8"/>
    <w:rsid w:val="007975CD"/>
    <w:rsid w:val="007975FA"/>
    <w:rsid w:val="0079762D"/>
    <w:rsid w:val="007976A4"/>
    <w:rsid w:val="00797795"/>
    <w:rsid w:val="007977EC"/>
    <w:rsid w:val="007977F7"/>
    <w:rsid w:val="00797879"/>
    <w:rsid w:val="00797899"/>
    <w:rsid w:val="00797A50"/>
    <w:rsid w:val="00797A5B"/>
    <w:rsid w:val="00797AE3"/>
    <w:rsid w:val="00797B68"/>
    <w:rsid w:val="00797C46"/>
    <w:rsid w:val="00797CF9"/>
    <w:rsid w:val="00797D1D"/>
    <w:rsid w:val="00797D66"/>
    <w:rsid w:val="00797DCD"/>
    <w:rsid w:val="00797DD6"/>
    <w:rsid w:val="00797E20"/>
    <w:rsid w:val="00797EB4"/>
    <w:rsid w:val="00797EF7"/>
    <w:rsid w:val="00797F51"/>
    <w:rsid w:val="00797F6D"/>
    <w:rsid w:val="00797F7D"/>
    <w:rsid w:val="00797FA6"/>
    <w:rsid w:val="00797FEC"/>
    <w:rsid w:val="007A0050"/>
    <w:rsid w:val="007A013B"/>
    <w:rsid w:val="007A0279"/>
    <w:rsid w:val="007A028C"/>
    <w:rsid w:val="007A030B"/>
    <w:rsid w:val="007A031D"/>
    <w:rsid w:val="007A035A"/>
    <w:rsid w:val="007A03A4"/>
    <w:rsid w:val="007A03A7"/>
    <w:rsid w:val="007A03C3"/>
    <w:rsid w:val="007A03E3"/>
    <w:rsid w:val="007A041F"/>
    <w:rsid w:val="007A0529"/>
    <w:rsid w:val="007A0627"/>
    <w:rsid w:val="007A0669"/>
    <w:rsid w:val="007A06C9"/>
    <w:rsid w:val="007A07D7"/>
    <w:rsid w:val="007A0842"/>
    <w:rsid w:val="007A088E"/>
    <w:rsid w:val="007A089C"/>
    <w:rsid w:val="007A08D8"/>
    <w:rsid w:val="007A096E"/>
    <w:rsid w:val="007A09D5"/>
    <w:rsid w:val="007A0A69"/>
    <w:rsid w:val="007A0BA8"/>
    <w:rsid w:val="007A0C49"/>
    <w:rsid w:val="007A0CEF"/>
    <w:rsid w:val="007A0D35"/>
    <w:rsid w:val="007A0D4F"/>
    <w:rsid w:val="007A0D89"/>
    <w:rsid w:val="007A0DDA"/>
    <w:rsid w:val="007A0ED4"/>
    <w:rsid w:val="007A0EE5"/>
    <w:rsid w:val="007A0EED"/>
    <w:rsid w:val="007A0F06"/>
    <w:rsid w:val="007A0F3E"/>
    <w:rsid w:val="007A0FAA"/>
    <w:rsid w:val="007A0FAF"/>
    <w:rsid w:val="007A0FC6"/>
    <w:rsid w:val="007A10F0"/>
    <w:rsid w:val="007A11A7"/>
    <w:rsid w:val="007A11BB"/>
    <w:rsid w:val="007A11E9"/>
    <w:rsid w:val="007A1242"/>
    <w:rsid w:val="007A124C"/>
    <w:rsid w:val="007A12A5"/>
    <w:rsid w:val="007A12AC"/>
    <w:rsid w:val="007A12B1"/>
    <w:rsid w:val="007A1355"/>
    <w:rsid w:val="007A136B"/>
    <w:rsid w:val="007A136F"/>
    <w:rsid w:val="007A14A2"/>
    <w:rsid w:val="007A1540"/>
    <w:rsid w:val="007A154C"/>
    <w:rsid w:val="007A16E8"/>
    <w:rsid w:val="007A179E"/>
    <w:rsid w:val="007A17CB"/>
    <w:rsid w:val="007A1807"/>
    <w:rsid w:val="007A1868"/>
    <w:rsid w:val="007A18BB"/>
    <w:rsid w:val="007A18C5"/>
    <w:rsid w:val="007A18D5"/>
    <w:rsid w:val="007A191F"/>
    <w:rsid w:val="007A1951"/>
    <w:rsid w:val="007A19AF"/>
    <w:rsid w:val="007A19F6"/>
    <w:rsid w:val="007A1A08"/>
    <w:rsid w:val="007A1A96"/>
    <w:rsid w:val="007A1B35"/>
    <w:rsid w:val="007A1B73"/>
    <w:rsid w:val="007A1BB1"/>
    <w:rsid w:val="007A1BC6"/>
    <w:rsid w:val="007A1C7F"/>
    <w:rsid w:val="007A1CCB"/>
    <w:rsid w:val="007A1D28"/>
    <w:rsid w:val="007A1E6F"/>
    <w:rsid w:val="007A1E7B"/>
    <w:rsid w:val="007A1EAC"/>
    <w:rsid w:val="007A1F4D"/>
    <w:rsid w:val="007A210A"/>
    <w:rsid w:val="007A2115"/>
    <w:rsid w:val="007A2152"/>
    <w:rsid w:val="007A218B"/>
    <w:rsid w:val="007A2198"/>
    <w:rsid w:val="007A21A8"/>
    <w:rsid w:val="007A21B2"/>
    <w:rsid w:val="007A21E1"/>
    <w:rsid w:val="007A2238"/>
    <w:rsid w:val="007A2270"/>
    <w:rsid w:val="007A23C4"/>
    <w:rsid w:val="007A23D4"/>
    <w:rsid w:val="007A2420"/>
    <w:rsid w:val="007A2499"/>
    <w:rsid w:val="007A24C2"/>
    <w:rsid w:val="007A24DE"/>
    <w:rsid w:val="007A24F8"/>
    <w:rsid w:val="007A24FD"/>
    <w:rsid w:val="007A250B"/>
    <w:rsid w:val="007A2530"/>
    <w:rsid w:val="007A2593"/>
    <w:rsid w:val="007A259D"/>
    <w:rsid w:val="007A25F3"/>
    <w:rsid w:val="007A2675"/>
    <w:rsid w:val="007A26A4"/>
    <w:rsid w:val="007A26A6"/>
    <w:rsid w:val="007A26DE"/>
    <w:rsid w:val="007A274B"/>
    <w:rsid w:val="007A275C"/>
    <w:rsid w:val="007A2888"/>
    <w:rsid w:val="007A28DF"/>
    <w:rsid w:val="007A293D"/>
    <w:rsid w:val="007A29ED"/>
    <w:rsid w:val="007A2A3F"/>
    <w:rsid w:val="007A2A4B"/>
    <w:rsid w:val="007A2A5B"/>
    <w:rsid w:val="007A2AB8"/>
    <w:rsid w:val="007A2B20"/>
    <w:rsid w:val="007A2B46"/>
    <w:rsid w:val="007A2B65"/>
    <w:rsid w:val="007A2BD3"/>
    <w:rsid w:val="007A2DF8"/>
    <w:rsid w:val="007A2EB1"/>
    <w:rsid w:val="007A2F6E"/>
    <w:rsid w:val="007A2FA8"/>
    <w:rsid w:val="007A2FF2"/>
    <w:rsid w:val="007A3151"/>
    <w:rsid w:val="007A3175"/>
    <w:rsid w:val="007A3194"/>
    <w:rsid w:val="007A31A3"/>
    <w:rsid w:val="007A32A6"/>
    <w:rsid w:val="007A32CE"/>
    <w:rsid w:val="007A33A2"/>
    <w:rsid w:val="007A33A7"/>
    <w:rsid w:val="007A33DB"/>
    <w:rsid w:val="007A33E0"/>
    <w:rsid w:val="007A3449"/>
    <w:rsid w:val="007A34F4"/>
    <w:rsid w:val="007A3505"/>
    <w:rsid w:val="007A353F"/>
    <w:rsid w:val="007A3615"/>
    <w:rsid w:val="007A3687"/>
    <w:rsid w:val="007A36C6"/>
    <w:rsid w:val="007A36F4"/>
    <w:rsid w:val="007A3740"/>
    <w:rsid w:val="007A37DF"/>
    <w:rsid w:val="007A385A"/>
    <w:rsid w:val="007A3879"/>
    <w:rsid w:val="007A3896"/>
    <w:rsid w:val="007A38D9"/>
    <w:rsid w:val="007A3949"/>
    <w:rsid w:val="007A3A36"/>
    <w:rsid w:val="007A3A43"/>
    <w:rsid w:val="007A3A9A"/>
    <w:rsid w:val="007A3ACF"/>
    <w:rsid w:val="007A3B6E"/>
    <w:rsid w:val="007A3BAD"/>
    <w:rsid w:val="007A3BB8"/>
    <w:rsid w:val="007A3BC9"/>
    <w:rsid w:val="007A3C1B"/>
    <w:rsid w:val="007A3C4A"/>
    <w:rsid w:val="007A3E73"/>
    <w:rsid w:val="007A3EBB"/>
    <w:rsid w:val="007A4036"/>
    <w:rsid w:val="007A407C"/>
    <w:rsid w:val="007A41C5"/>
    <w:rsid w:val="007A4202"/>
    <w:rsid w:val="007A4375"/>
    <w:rsid w:val="007A43F1"/>
    <w:rsid w:val="007A43F8"/>
    <w:rsid w:val="007A45C7"/>
    <w:rsid w:val="007A4614"/>
    <w:rsid w:val="007A4665"/>
    <w:rsid w:val="007A46A9"/>
    <w:rsid w:val="007A46B9"/>
    <w:rsid w:val="007A4758"/>
    <w:rsid w:val="007A47A3"/>
    <w:rsid w:val="007A47B8"/>
    <w:rsid w:val="007A4883"/>
    <w:rsid w:val="007A48CF"/>
    <w:rsid w:val="007A494D"/>
    <w:rsid w:val="007A4985"/>
    <w:rsid w:val="007A4A2B"/>
    <w:rsid w:val="007A4A70"/>
    <w:rsid w:val="007A4AB4"/>
    <w:rsid w:val="007A4AE3"/>
    <w:rsid w:val="007A4B5D"/>
    <w:rsid w:val="007A4B6D"/>
    <w:rsid w:val="007A4BF4"/>
    <w:rsid w:val="007A4CD3"/>
    <w:rsid w:val="007A4D1F"/>
    <w:rsid w:val="007A4D4D"/>
    <w:rsid w:val="007A4D5E"/>
    <w:rsid w:val="007A4DF3"/>
    <w:rsid w:val="007A4E4F"/>
    <w:rsid w:val="007A4E5E"/>
    <w:rsid w:val="007A4EB4"/>
    <w:rsid w:val="007A4F21"/>
    <w:rsid w:val="007A4F2F"/>
    <w:rsid w:val="007A4FAD"/>
    <w:rsid w:val="007A50B5"/>
    <w:rsid w:val="007A51F0"/>
    <w:rsid w:val="007A5228"/>
    <w:rsid w:val="007A5297"/>
    <w:rsid w:val="007A52B9"/>
    <w:rsid w:val="007A547F"/>
    <w:rsid w:val="007A548A"/>
    <w:rsid w:val="007A5507"/>
    <w:rsid w:val="007A5512"/>
    <w:rsid w:val="007A5518"/>
    <w:rsid w:val="007A5554"/>
    <w:rsid w:val="007A558B"/>
    <w:rsid w:val="007A5617"/>
    <w:rsid w:val="007A5618"/>
    <w:rsid w:val="007A5823"/>
    <w:rsid w:val="007A5884"/>
    <w:rsid w:val="007A5885"/>
    <w:rsid w:val="007A5894"/>
    <w:rsid w:val="007A58A6"/>
    <w:rsid w:val="007A58F3"/>
    <w:rsid w:val="007A5959"/>
    <w:rsid w:val="007A595F"/>
    <w:rsid w:val="007A59E5"/>
    <w:rsid w:val="007A5ADE"/>
    <w:rsid w:val="007A5AEC"/>
    <w:rsid w:val="007A5AEE"/>
    <w:rsid w:val="007A5B05"/>
    <w:rsid w:val="007A5B62"/>
    <w:rsid w:val="007A5CFA"/>
    <w:rsid w:val="007A5E54"/>
    <w:rsid w:val="007A5E73"/>
    <w:rsid w:val="007A5ED9"/>
    <w:rsid w:val="007A5FDC"/>
    <w:rsid w:val="007A6084"/>
    <w:rsid w:val="007A6204"/>
    <w:rsid w:val="007A627D"/>
    <w:rsid w:val="007A62C0"/>
    <w:rsid w:val="007A62F7"/>
    <w:rsid w:val="007A6334"/>
    <w:rsid w:val="007A639A"/>
    <w:rsid w:val="007A63A5"/>
    <w:rsid w:val="007A63C9"/>
    <w:rsid w:val="007A6484"/>
    <w:rsid w:val="007A6564"/>
    <w:rsid w:val="007A65CF"/>
    <w:rsid w:val="007A65DB"/>
    <w:rsid w:val="007A66D7"/>
    <w:rsid w:val="007A673D"/>
    <w:rsid w:val="007A675E"/>
    <w:rsid w:val="007A6774"/>
    <w:rsid w:val="007A67D8"/>
    <w:rsid w:val="007A67E3"/>
    <w:rsid w:val="007A6818"/>
    <w:rsid w:val="007A682A"/>
    <w:rsid w:val="007A6868"/>
    <w:rsid w:val="007A6899"/>
    <w:rsid w:val="007A68C8"/>
    <w:rsid w:val="007A68E1"/>
    <w:rsid w:val="007A6906"/>
    <w:rsid w:val="007A6946"/>
    <w:rsid w:val="007A6954"/>
    <w:rsid w:val="007A698B"/>
    <w:rsid w:val="007A69CF"/>
    <w:rsid w:val="007A6A14"/>
    <w:rsid w:val="007A6AED"/>
    <w:rsid w:val="007A6B65"/>
    <w:rsid w:val="007A6BD3"/>
    <w:rsid w:val="007A6C2F"/>
    <w:rsid w:val="007A6C90"/>
    <w:rsid w:val="007A6D17"/>
    <w:rsid w:val="007A6E6F"/>
    <w:rsid w:val="007A6F9A"/>
    <w:rsid w:val="007A6FCE"/>
    <w:rsid w:val="007A7056"/>
    <w:rsid w:val="007A70B3"/>
    <w:rsid w:val="007A7133"/>
    <w:rsid w:val="007A7143"/>
    <w:rsid w:val="007A7179"/>
    <w:rsid w:val="007A7191"/>
    <w:rsid w:val="007A723C"/>
    <w:rsid w:val="007A72B7"/>
    <w:rsid w:val="007A7304"/>
    <w:rsid w:val="007A738C"/>
    <w:rsid w:val="007A73B1"/>
    <w:rsid w:val="007A747C"/>
    <w:rsid w:val="007A74B2"/>
    <w:rsid w:val="007A7509"/>
    <w:rsid w:val="007A751B"/>
    <w:rsid w:val="007A753E"/>
    <w:rsid w:val="007A76BF"/>
    <w:rsid w:val="007A76C0"/>
    <w:rsid w:val="007A77B6"/>
    <w:rsid w:val="007A77C4"/>
    <w:rsid w:val="007A789C"/>
    <w:rsid w:val="007A78A6"/>
    <w:rsid w:val="007A796E"/>
    <w:rsid w:val="007A797E"/>
    <w:rsid w:val="007A79DA"/>
    <w:rsid w:val="007A7A3E"/>
    <w:rsid w:val="007A7A4C"/>
    <w:rsid w:val="007A7ADF"/>
    <w:rsid w:val="007A7B9D"/>
    <w:rsid w:val="007A7C5C"/>
    <w:rsid w:val="007A7CDB"/>
    <w:rsid w:val="007A7D81"/>
    <w:rsid w:val="007A7F10"/>
    <w:rsid w:val="007A7F7B"/>
    <w:rsid w:val="007B007E"/>
    <w:rsid w:val="007B00DE"/>
    <w:rsid w:val="007B00EF"/>
    <w:rsid w:val="007B0102"/>
    <w:rsid w:val="007B0106"/>
    <w:rsid w:val="007B0138"/>
    <w:rsid w:val="007B0167"/>
    <w:rsid w:val="007B01EC"/>
    <w:rsid w:val="007B0245"/>
    <w:rsid w:val="007B0382"/>
    <w:rsid w:val="007B03B9"/>
    <w:rsid w:val="007B03D3"/>
    <w:rsid w:val="007B03D9"/>
    <w:rsid w:val="007B03DE"/>
    <w:rsid w:val="007B055C"/>
    <w:rsid w:val="007B0589"/>
    <w:rsid w:val="007B05B8"/>
    <w:rsid w:val="007B05ED"/>
    <w:rsid w:val="007B05FE"/>
    <w:rsid w:val="007B06AA"/>
    <w:rsid w:val="007B0757"/>
    <w:rsid w:val="007B077E"/>
    <w:rsid w:val="007B083F"/>
    <w:rsid w:val="007B0862"/>
    <w:rsid w:val="007B0880"/>
    <w:rsid w:val="007B08D2"/>
    <w:rsid w:val="007B08EB"/>
    <w:rsid w:val="007B0936"/>
    <w:rsid w:val="007B0981"/>
    <w:rsid w:val="007B09E1"/>
    <w:rsid w:val="007B0BED"/>
    <w:rsid w:val="007B0C66"/>
    <w:rsid w:val="007B0C8C"/>
    <w:rsid w:val="007B0D01"/>
    <w:rsid w:val="007B0DA8"/>
    <w:rsid w:val="007B0E05"/>
    <w:rsid w:val="007B0E26"/>
    <w:rsid w:val="007B0ECC"/>
    <w:rsid w:val="007B1106"/>
    <w:rsid w:val="007B112D"/>
    <w:rsid w:val="007B115D"/>
    <w:rsid w:val="007B1172"/>
    <w:rsid w:val="007B119D"/>
    <w:rsid w:val="007B11B3"/>
    <w:rsid w:val="007B11C6"/>
    <w:rsid w:val="007B11FF"/>
    <w:rsid w:val="007B1205"/>
    <w:rsid w:val="007B1245"/>
    <w:rsid w:val="007B12A7"/>
    <w:rsid w:val="007B12BF"/>
    <w:rsid w:val="007B12F7"/>
    <w:rsid w:val="007B1376"/>
    <w:rsid w:val="007B1382"/>
    <w:rsid w:val="007B13B0"/>
    <w:rsid w:val="007B13F1"/>
    <w:rsid w:val="007B140B"/>
    <w:rsid w:val="007B140E"/>
    <w:rsid w:val="007B145F"/>
    <w:rsid w:val="007B1471"/>
    <w:rsid w:val="007B1487"/>
    <w:rsid w:val="007B14A8"/>
    <w:rsid w:val="007B14CA"/>
    <w:rsid w:val="007B1634"/>
    <w:rsid w:val="007B177D"/>
    <w:rsid w:val="007B17F3"/>
    <w:rsid w:val="007B17FC"/>
    <w:rsid w:val="007B1892"/>
    <w:rsid w:val="007B1916"/>
    <w:rsid w:val="007B1A48"/>
    <w:rsid w:val="007B1AC2"/>
    <w:rsid w:val="007B1ACF"/>
    <w:rsid w:val="007B1AE3"/>
    <w:rsid w:val="007B1B08"/>
    <w:rsid w:val="007B1B47"/>
    <w:rsid w:val="007B1C2A"/>
    <w:rsid w:val="007B1D11"/>
    <w:rsid w:val="007B1D78"/>
    <w:rsid w:val="007B1EC2"/>
    <w:rsid w:val="007B1F7F"/>
    <w:rsid w:val="007B1FF9"/>
    <w:rsid w:val="007B2085"/>
    <w:rsid w:val="007B2095"/>
    <w:rsid w:val="007B20A7"/>
    <w:rsid w:val="007B20E0"/>
    <w:rsid w:val="007B21A1"/>
    <w:rsid w:val="007B21B8"/>
    <w:rsid w:val="007B21F1"/>
    <w:rsid w:val="007B2250"/>
    <w:rsid w:val="007B228A"/>
    <w:rsid w:val="007B22E4"/>
    <w:rsid w:val="007B2355"/>
    <w:rsid w:val="007B237A"/>
    <w:rsid w:val="007B23F0"/>
    <w:rsid w:val="007B250E"/>
    <w:rsid w:val="007B25B9"/>
    <w:rsid w:val="007B25E3"/>
    <w:rsid w:val="007B274E"/>
    <w:rsid w:val="007B2802"/>
    <w:rsid w:val="007B28DB"/>
    <w:rsid w:val="007B2908"/>
    <w:rsid w:val="007B29C5"/>
    <w:rsid w:val="007B29DB"/>
    <w:rsid w:val="007B2A31"/>
    <w:rsid w:val="007B2ABC"/>
    <w:rsid w:val="007B2BB7"/>
    <w:rsid w:val="007B2D76"/>
    <w:rsid w:val="007B2E45"/>
    <w:rsid w:val="007B2EAA"/>
    <w:rsid w:val="007B2EFE"/>
    <w:rsid w:val="007B2F0E"/>
    <w:rsid w:val="007B2FDC"/>
    <w:rsid w:val="007B301A"/>
    <w:rsid w:val="007B302C"/>
    <w:rsid w:val="007B30CA"/>
    <w:rsid w:val="007B30D8"/>
    <w:rsid w:val="007B30F2"/>
    <w:rsid w:val="007B317C"/>
    <w:rsid w:val="007B31A3"/>
    <w:rsid w:val="007B31D3"/>
    <w:rsid w:val="007B3218"/>
    <w:rsid w:val="007B32F7"/>
    <w:rsid w:val="007B3303"/>
    <w:rsid w:val="007B3340"/>
    <w:rsid w:val="007B338F"/>
    <w:rsid w:val="007B3406"/>
    <w:rsid w:val="007B3418"/>
    <w:rsid w:val="007B3456"/>
    <w:rsid w:val="007B34EA"/>
    <w:rsid w:val="007B3578"/>
    <w:rsid w:val="007B35FF"/>
    <w:rsid w:val="007B3717"/>
    <w:rsid w:val="007B3726"/>
    <w:rsid w:val="007B373F"/>
    <w:rsid w:val="007B37BC"/>
    <w:rsid w:val="007B37C0"/>
    <w:rsid w:val="007B3809"/>
    <w:rsid w:val="007B38A0"/>
    <w:rsid w:val="007B38B7"/>
    <w:rsid w:val="007B38CF"/>
    <w:rsid w:val="007B390C"/>
    <w:rsid w:val="007B3951"/>
    <w:rsid w:val="007B399A"/>
    <w:rsid w:val="007B3AE7"/>
    <w:rsid w:val="007B3B6E"/>
    <w:rsid w:val="007B3C5D"/>
    <w:rsid w:val="007B3C5F"/>
    <w:rsid w:val="007B3D59"/>
    <w:rsid w:val="007B3EC5"/>
    <w:rsid w:val="007B3F73"/>
    <w:rsid w:val="007B404B"/>
    <w:rsid w:val="007B4062"/>
    <w:rsid w:val="007B4117"/>
    <w:rsid w:val="007B418E"/>
    <w:rsid w:val="007B418F"/>
    <w:rsid w:val="007B4190"/>
    <w:rsid w:val="007B41BA"/>
    <w:rsid w:val="007B422F"/>
    <w:rsid w:val="007B42C5"/>
    <w:rsid w:val="007B42E9"/>
    <w:rsid w:val="007B4329"/>
    <w:rsid w:val="007B444F"/>
    <w:rsid w:val="007B44D5"/>
    <w:rsid w:val="007B454F"/>
    <w:rsid w:val="007B47A6"/>
    <w:rsid w:val="007B47C8"/>
    <w:rsid w:val="007B4945"/>
    <w:rsid w:val="007B4977"/>
    <w:rsid w:val="007B4998"/>
    <w:rsid w:val="007B49D9"/>
    <w:rsid w:val="007B49FA"/>
    <w:rsid w:val="007B4B5C"/>
    <w:rsid w:val="007B4B7F"/>
    <w:rsid w:val="007B4BC3"/>
    <w:rsid w:val="007B4BE9"/>
    <w:rsid w:val="007B4BF3"/>
    <w:rsid w:val="007B4D24"/>
    <w:rsid w:val="007B4DC1"/>
    <w:rsid w:val="007B4DC3"/>
    <w:rsid w:val="007B4E4B"/>
    <w:rsid w:val="007B4F1E"/>
    <w:rsid w:val="007B4F7B"/>
    <w:rsid w:val="007B500D"/>
    <w:rsid w:val="007B5011"/>
    <w:rsid w:val="007B50E3"/>
    <w:rsid w:val="007B5138"/>
    <w:rsid w:val="007B5298"/>
    <w:rsid w:val="007B5344"/>
    <w:rsid w:val="007B5385"/>
    <w:rsid w:val="007B5386"/>
    <w:rsid w:val="007B53CA"/>
    <w:rsid w:val="007B540D"/>
    <w:rsid w:val="007B5413"/>
    <w:rsid w:val="007B5438"/>
    <w:rsid w:val="007B54DD"/>
    <w:rsid w:val="007B5520"/>
    <w:rsid w:val="007B55AD"/>
    <w:rsid w:val="007B5646"/>
    <w:rsid w:val="007B5692"/>
    <w:rsid w:val="007B56BF"/>
    <w:rsid w:val="007B583D"/>
    <w:rsid w:val="007B5861"/>
    <w:rsid w:val="007B58EC"/>
    <w:rsid w:val="007B5925"/>
    <w:rsid w:val="007B59A7"/>
    <w:rsid w:val="007B5A64"/>
    <w:rsid w:val="007B5AF6"/>
    <w:rsid w:val="007B5B1B"/>
    <w:rsid w:val="007B5B32"/>
    <w:rsid w:val="007B5B70"/>
    <w:rsid w:val="007B5B82"/>
    <w:rsid w:val="007B5B98"/>
    <w:rsid w:val="007B5BC6"/>
    <w:rsid w:val="007B5BDE"/>
    <w:rsid w:val="007B5BEC"/>
    <w:rsid w:val="007B5BF3"/>
    <w:rsid w:val="007B5C45"/>
    <w:rsid w:val="007B5C51"/>
    <w:rsid w:val="007B5C92"/>
    <w:rsid w:val="007B5D83"/>
    <w:rsid w:val="007B5DB0"/>
    <w:rsid w:val="007B5DBE"/>
    <w:rsid w:val="007B5DCE"/>
    <w:rsid w:val="007B5E21"/>
    <w:rsid w:val="007B5ECA"/>
    <w:rsid w:val="007B5F53"/>
    <w:rsid w:val="007B5F79"/>
    <w:rsid w:val="007B5FDE"/>
    <w:rsid w:val="007B605F"/>
    <w:rsid w:val="007B608B"/>
    <w:rsid w:val="007B60E9"/>
    <w:rsid w:val="007B6146"/>
    <w:rsid w:val="007B6159"/>
    <w:rsid w:val="007B618D"/>
    <w:rsid w:val="007B619C"/>
    <w:rsid w:val="007B61D5"/>
    <w:rsid w:val="007B62E2"/>
    <w:rsid w:val="007B63E2"/>
    <w:rsid w:val="007B63F3"/>
    <w:rsid w:val="007B6470"/>
    <w:rsid w:val="007B647E"/>
    <w:rsid w:val="007B654B"/>
    <w:rsid w:val="007B6597"/>
    <w:rsid w:val="007B65B7"/>
    <w:rsid w:val="007B665B"/>
    <w:rsid w:val="007B6684"/>
    <w:rsid w:val="007B668C"/>
    <w:rsid w:val="007B6751"/>
    <w:rsid w:val="007B675B"/>
    <w:rsid w:val="007B6869"/>
    <w:rsid w:val="007B690A"/>
    <w:rsid w:val="007B6917"/>
    <w:rsid w:val="007B6940"/>
    <w:rsid w:val="007B6955"/>
    <w:rsid w:val="007B69DE"/>
    <w:rsid w:val="007B6A1D"/>
    <w:rsid w:val="007B6A39"/>
    <w:rsid w:val="007B6AB6"/>
    <w:rsid w:val="007B6B1F"/>
    <w:rsid w:val="007B6B21"/>
    <w:rsid w:val="007B6BFB"/>
    <w:rsid w:val="007B6C2A"/>
    <w:rsid w:val="007B6C4C"/>
    <w:rsid w:val="007B6CD6"/>
    <w:rsid w:val="007B6D1D"/>
    <w:rsid w:val="007B6DAC"/>
    <w:rsid w:val="007B6E0A"/>
    <w:rsid w:val="007B6E5B"/>
    <w:rsid w:val="007B6E92"/>
    <w:rsid w:val="007B6FC7"/>
    <w:rsid w:val="007B7024"/>
    <w:rsid w:val="007B7030"/>
    <w:rsid w:val="007B7074"/>
    <w:rsid w:val="007B7121"/>
    <w:rsid w:val="007B7156"/>
    <w:rsid w:val="007B716C"/>
    <w:rsid w:val="007B718D"/>
    <w:rsid w:val="007B719D"/>
    <w:rsid w:val="007B71E7"/>
    <w:rsid w:val="007B7240"/>
    <w:rsid w:val="007B7263"/>
    <w:rsid w:val="007B7291"/>
    <w:rsid w:val="007B74E0"/>
    <w:rsid w:val="007B751B"/>
    <w:rsid w:val="007B751C"/>
    <w:rsid w:val="007B751D"/>
    <w:rsid w:val="007B7579"/>
    <w:rsid w:val="007B75F3"/>
    <w:rsid w:val="007B7622"/>
    <w:rsid w:val="007B7736"/>
    <w:rsid w:val="007B7804"/>
    <w:rsid w:val="007B7840"/>
    <w:rsid w:val="007B7856"/>
    <w:rsid w:val="007B78F2"/>
    <w:rsid w:val="007B792B"/>
    <w:rsid w:val="007B7A31"/>
    <w:rsid w:val="007B7A46"/>
    <w:rsid w:val="007B7AE2"/>
    <w:rsid w:val="007B7AF2"/>
    <w:rsid w:val="007B7B1B"/>
    <w:rsid w:val="007B7BD2"/>
    <w:rsid w:val="007B7BFF"/>
    <w:rsid w:val="007B7CA5"/>
    <w:rsid w:val="007B7DC9"/>
    <w:rsid w:val="007B7E35"/>
    <w:rsid w:val="007B7ED7"/>
    <w:rsid w:val="007B7F23"/>
    <w:rsid w:val="007B7F84"/>
    <w:rsid w:val="007B7F9C"/>
    <w:rsid w:val="007C0011"/>
    <w:rsid w:val="007C0031"/>
    <w:rsid w:val="007C018B"/>
    <w:rsid w:val="007C023D"/>
    <w:rsid w:val="007C0246"/>
    <w:rsid w:val="007C02B2"/>
    <w:rsid w:val="007C0305"/>
    <w:rsid w:val="007C0336"/>
    <w:rsid w:val="007C0390"/>
    <w:rsid w:val="007C03B1"/>
    <w:rsid w:val="007C04DC"/>
    <w:rsid w:val="007C04F8"/>
    <w:rsid w:val="007C0592"/>
    <w:rsid w:val="007C059F"/>
    <w:rsid w:val="007C066E"/>
    <w:rsid w:val="007C0671"/>
    <w:rsid w:val="007C06C5"/>
    <w:rsid w:val="007C06D5"/>
    <w:rsid w:val="007C06E2"/>
    <w:rsid w:val="007C0752"/>
    <w:rsid w:val="007C075B"/>
    <w:rsid w:val="007C07B1"/>
    <w:rsid w:val="007C0813"/>
    <w:rsid w:val="007C0827"/>
    <w:rsid w:val="007C0863"/>
    <w:rsid w:val="007C0902"/>
    <w:rsid w:val="007C09C3"/>
    <w:rsid w:val="007C0CAD"/>
    <w:rsid w:val="007C0D65"/>
    <w:rsid w:val="007C0D76"/>
    <w:rsid w:val="007C0F75"/>
    <w:rsid w:val="007C0FFA"/>
    <w:rsid w:val="007C0FFB"/>
    <w:rsid w:val="007C1015"/>
    <w:rsid w:val="007C1031"/>
    <w:rsid w:val="007C105B"/>
    <w:rsid w:val="007C1128"/>
    <w:rsid w:val="007C11AB"/>
    <w:rsid w:val="007C11E1"/>
    <w:rsid w:val="007C1233"/>
    <w:rsid w:val="007C1251"/>
    <w:rsid w:val="007C12E6"/>
    <w:rsid w:val="007C1352"/>
    <w:rsid w:val="007C13C0"/>
    <w:rsid w:val="007C13C6"/>
    <w:rsid w:val="007C1402"/>
    <w:rsid w:val="007C1462"/>
    <w:rsid w:val="007C1488"/>
    <w:rsid w:val="007C14A2"/>
    <w:rsid w:val="007C1553"/>
    <w:rsid w:val="007C1570"/>
    <w:rsid w:val="007C159D"/>
    <w:rsid w:val="007C1670"/>
    <w:rsid w:val="007C1675"/>
    <w:rsid w:val="007C16A4"/>
    <w:rsid w:val="007C17CA"/>
    <w:rsid w:val="007C1982"/>
    <w:rsid w:val="007C1A44"/>
    <w:rsid w:val="007C1A6F"/>
    <w:rsid w:val="007C1AFA"/>
    <w:rsid w:val="007C1B4C"/>
    <w:rsid w:val="007C1C36"/>
    <w:rsid w:val="007C1C69"/>
    <w:rsid w:val="007C1D03"/>
    <w:rsid w:val="007C1D85"/>
    <w:rsid w:val="007C1DBC"/>
    <w:rsid w:val="007C1DCC"/>
    <w:rsid w:val="007C1E52"/>
    <w:rsid w:val="007C1EAA"/>
    <w:rsid w:val="007C1F01"/>
    <w:rsid w:val="007C1FDB"/>
    <w:rsid w:val="007C1FDD"/>
    <w:rsid w:val="007C2015"/>
    <w:rsid w:val="007C209A"/>
    <w:rsid w:val="007C2127"/>
    <w:rsid w:val="007C237D"/>
    <w:rsid w:val="007C23E5"/>
    <w:rsid w:val="007C245C"/>
    <w:rsid w:val="007C2543"/>
    <w:rsid w:val="007C26CA"/>
    <w:rsid w:val="007C26CB"/>
    <w:rsid w:val="007C2816"/>
    <w:rsid w:val="007C288B"/>
    <w:rsid w:val="007C289D"/>
    <w:rsid w:val="007C28D8"/>
    <w:rsid w:val="007C28F7"/>
    <w:rsid w:val="007C29C7"/>
    <w:rsid w:val="007C2A20"/>
    <w:rsid w:val="007C2AC0"/>
    <w:rsid w:val="007C2AC7"/>
    <w:rsid w:val="007C2AEF"/>
    <w:rsid w:val="007C2AF2"/>
    <w:rsid w:val="007C2B12"/>
    <w:rsid w:val="007C2B4B"/>
    <w:rsid w:val="007C2B7D"/>
    <w:rsid w:val="007C2BDE"/>
    <w:rsid w:val="007C2BE7"/>
    <w:rsid w:val="007C2C37"/>
    <w:rsid w:val="007C2C94"/>
    <w:rsid w:val="007C2D23"/>
    <w:rsid w:val="007C2D48"/>
    <w:rsid w:val="007C2D86"/>
    <w:rsid w:val="007C2DB3"/>
    <w:rsid w:val="007C2E1F"/>
    <w:rsid w:val="007C2E2D"/>
    <w:rsid w:val="007C2E2E"/>
    <w:rsid w:val="007C2E75"/>
    <w:rsid w:val="007C2E7C"/>
    <w:rsid w:val="007C2EB5"/>
    <w:rsid w:val="007C2F55"/>
    <w:rsid w:val="007C2FB8"/>
    <w:rsid w:val="007C300E"/>
    <w:rsid w:val="007C3134"/>
    <w:rsid w:val="007C3259"/>
    <w:rsid w:val="007C328D"/>
    <w:rsid w:val="007C3319"/>
    <w:rsid w:val="007C3339"/>
    <w:rsid w:val="007C3358"/>
    <w:rsid w:val="007C336F"/>
    <w:rsid w:val="007C3446"/>
    <w:rsid w:val="007C3467"/>
    <w:rsid w:val="007C347C"/>
    <w:rsid w:val="007C3480"/>
    <w:rsid w:val="007C34BD"/>
    <w:rsid w:val="007C34C1"/>
    <w:rsid w:val="007C34C8"/>
    <w:rsid w:val="007C34EE"/>
    <w:rsid w:val="007C35EB"/>
    <w:rsid w:val="007C35F3"/>
    <w:rsid w:val="007C3743"/>
    <w:rsid w:val="007C37E3"/>
    <w:rsid w:val="007C3892"/>
    <w:rsid w:val="007C38E6"/>
    <w:rsid w:val="007C38F4"/>
    <w:rsid w:val="007C394F"/>
    <w:rsid w:val="007C3997"/>
    <w:rsid w:val="007C3AD1"/>
    <w:rsid w:val="007C3AF3"/>
    <w:rsid w:val="007C3B9B"/>
    <w:rsid w:val="007C3C17"/>
    <w:rsid w:val="007C3CC9"/>
    <w:rsid w:val="007C3DAF"/>
    <w:rsid w:val="007C3E51"/>
    <w:rsid w:val="007C3E6B"/>
    <w:rsid w:val="007C3EF3"/>
    <w:rsid w:val="007C3F48"/>
    <w:rsid w:val="007C4089"/>
    <w:rsid w:val="007C40E7"/>
    <w:rsid w:val="007C4119"/>
    <w:rsid w:val="007C41B1"/>
    <w:rsid w:val="007C41BB"/>
    <w:rsid w:val="007C4232"/>
    <w:rsid w:val="007C426C"/>
    <w:rsid w:val="007C4275"/>
    <w:rsid w:val="007C4313"/>
    <w:rsid w:val="007C436A"/>
    <w:rsid w:val="007C4427"/>
    <w:rsid w:val="007C442D"/>
    <w:rsid w:val="007C44B7"/>
    <w:rsid w:val="007C4506"/>
    <w:rsid w:val="007C4515"/>
    <w:rsid w:val="007C454A"/>
    <w:rsid w:val="007C45C8"/>
    <w:rsid w:val="007C45E7"/>
    <w:rsid w:val="007C45FF"/>
    <w:rsid w:val="007C4639"/>
    <w:rsid w:val="007C4651"/>
    <w:rsid w:val="007C4654"/>
    <w:rsid w:val="007C46DB"/>
    <w:rsid w:val="007C470D"/>
    <w:rsid w:val="007C473F"/>
    <w:rsid w:val="007C4740"/>
    <w:rsid w:val="007C482A"/>
    <w:rsid w:val="007C4837"/>
    <w:rsid w:val="007C4880"/>
    <w:rsid w:val="007C4977"/>
    <w:rsid w:val="007C4987"/>
    <w:rsid w:val="007C4AFD"/>
    <w:rsid w:val="007C4B03"/>
    <w:rsid w:val="007C4B40"/>
    <w:rsid w:val="007C4C78"/>
    <w:rsid w:val="007C4D0F"/>
    <w:rsid w:val="007C4DCB"/>
    <w:rsid w:val="007C4EA1"/>
    <w:rsid w:val="007C4EA8"/>
    <w:rsid w:val="007C4EB0"/>
    <w:rsid w:val="007C4F07"/>
    <w:rsid w:val="007C4F36"/>
    <w:rsid w:val="007C5046"/>
    <w:rsid w:val="007C5066"/>
    <w:rsid w:val="007C5106"/>
    <w:rsid w:val="007C51BC"/>
    <w:rsid w:val="007C51C1"/>
    <w:rsid w:val="007C520D"/>
    <w:rsid w:val="007C524E"/>
    <w:rsid w:val="007C53E7"/>
    <w:rsid w:val="007C5564"/>
    <w:rsid w:val="007C5598"/>
    <w:rsid w:val="007C55CC"/>
    <w:rsid w:val="007C55E3"/>
    <w:rsid w:val="007C562D"/>
    <w:rsid w:val="007C56D6"/>
    <w:rsid w:val="007C56ED"/>
    <w:rsid w:val="007C57D1"/>
    <w:rsid w:val="007C57EB"/>
    <w:rsid w:val="007C5813"/>
    <w:rsid w:val="007C5926"/>
    <w:rsid w:val="007C5979"/>
    <w:rsid w:val="007C5987"/>
    <w:rsid w:val="007C59B3"/>
    <w:rsid w:val="007C5A43"/>
    <w:rsid w:val="007C5AC8"/>
    <w:rsid w:val="007C5ACD"/>
    <w:rsid w:val="007C5B1C"/>
    <w:rsid w:val="007C5B2C"/>
    <w:rsid w:val="007C5C4D"/>
    <w:rsid w:val="007C5C5C"/>
    <w:rsid w:val="007C5C82"/>
    <w:rsid w:val="007C5D0F"/>
    <w:rsid w:val="007C5D27"/>
    <w:rsid w:val="007C5D89"/>
    <w:rsid w:val="007C5DAD"/>
    <w:rsid w:val="007C5E36"/>
    <w:rsid w:val="007C5E4F"/>
    <w:rsid w:val="007C5F02"/>
    <w:rsid w:val="007C5F33"/>
    <w:rsid w:val="007C605F"/>
    <w:rsid w:val="007C60A0"/>
    <w:rsid w:val="007C60A6"/>
    <w:rsid w:val="007C60E6"/>
    <w:rsid w:val="007C6189"/>
    <w:rsid w:val="007C61F0"/>
    <w:rsid w:val="007C6241"/>
    <w:rsid w:val="007C6259"/>
    <w:rsid w:val="007C62BB"/>
    <w:rsid w:val="007C62C8"/>
    <w:rsid w:val="007C630B"/>
    <w:rsid w:val="007C635E"/>
    <w:rsid w:val="007C6361"/>
    <w:rsid w:val="007C63AA"/>
    <w:rsid w:val="007C63C7"/>
    <w:rsid w:val="007C6404"/>
    <w:rsid w:val="007C6406"/>
    <w:rsid w:val="007C643E"/>
    <w:rsid w:val="007C6474"/>
    <w:rsid w:val="007C649B"/>
    <w:rsid w:val="007C64B9"/>
    <w:rsid w:val="007C6596"/>
    <w:rsid w:val="007C6650"/>
    <w:rsid w:val="007C6670"/>
    <w:rsid w:val="007C6671"/>
    <w:rsid w:val="007C66FA"/>
    <w:rsid w:val="007C676F"/>
    <w:rsid w:val="007C67C0"/>
    <w:rsid w:val="007C67C5"/>
    <w:rsid w:val="007C6876"/>
    <w:rsid w:val="007C68BB"/>
    <w:rsid w:val="007C6920"/>
    <w:rsid w:val="007C6935"/>
    <w:rsid w:val="007C6942"/>
    <w:rsid w:val="007C6956"/>
    <w:rsid w:val="007C6974"/>
    <w:rsid w:val="007C69BC"/>
    <w:rsid w:val="007C6A53"/>
    <w:rsid w:val="007C6A60"/>
    <w:rsid w:val="007C6A67"/>
    <w:rsid w:val="007C6B05"/>
    <w:rsid w:val="007C6B40"/>
    <w:rsid w:val="007C6B98"/>
    <w:rsid w:val="007C6BA4"/>
    <w:rsid w:val="007C6BB0"/>
    <w:rsid w:val="007C6BFB"/>
    <w:rsid w:val="007C6C03"/>
    <w:rsid w:val="007C6D22"/>
    <w:rsid w:val="007C6D4C"/>
    <w:rsid w:val="007C6DAD"/>
    <w:rsid w:val="007C6DC0"/>
    <w:rsid w:val="007C6E56"/>
    <w:rsid w:val="007C6E72"/>
    <w:rsid w:val="007C6E80"/>
    <w:rsid w:val="007C6F6E"/>
    <w:rsid w:val="007C6F85"/>
    <w:rsid w:val="007C712B"/>
    <w:rsid w:val="007C714A"/>
    <w:rsid w:val="007C7317"/>
    <w:rsid w:val="007C7395"/>
    <w:rsid w:val="007C739A"/>
    <w:rsid w:val="007C73B2"/>
    <w:rsid w:val="007C73BB"/>
    <w:rsid w:val="007C73FF"/>
    <w:rsid w:val="007C742C"/>
    <w:rsid w:val="007C745B"/>
    <w:rsid w:val="007C7513"/>
    <w:rsid w:val="007C7527"/>
    <w:rsid w:val="007C7557"/>
    <w:rsid w:val="007C7634"/>
    <w:rsid w:val="007C765C"/>
    <w:rsid w:val="007C7660"/>
    <w:rsid w:val="007C766B"/>
    <w:rsid w:val="007C76E1"/>
    <w:rsid w:val="007C76F1"/>
    <w:rsid w:val="007C7702"/>
    <w:rsid w:val="007C77D1"/>
    <w:rsid w:val="007C7823"/>
    <w:rsid w:val="007C78A0"/>
    <w:rsid w:val="007C78D7"/>
    <w:rsid w:val="007C79C1"/>
    <w:rsid w:val="007C7A15"/>
    <w:rsid w:val="007C7A7C"/>
    <w:rsid w:val="007C7AF9"/>
    <w:rsid w:val="007C7B00"/>
    <w:rsid w:val="007C7B16"/>
    <w:rsid w:val="007C7B48"/>
    <w:rsid w:val="007C7CD4"/>
    <w:rsid w:val="007C7DD4"/>
    <w:rsid w:val="007C7E0E"/>
    <w:rsid w:val="007C7E20"/>
    <w:rsid w:val="007C7E65"/>
    <w:rsid w:val="007C7E98"/>
    <w:rsid w:val="007C7EA8"/>
    <w:rsid w:val="007C7F1A"/>
    <w:rsid w:val="007C7F61"/>
    <w:rsid w:val="007C7FC7"/>
    <w:rsid w:val="007C7FD5"/>
    <w:rsid w:val="007C7FFA"/>
    <w:rsid w:val="007D0001"/>
    <w:rsid w:val="007D0024"/>
    <w:rsid w:val="007D0039"/>
    <w:rsid w:val="007D005F"/>
    <w:rsid w:val="007D0073"/>
    <w:rsid w:val="007D009A"/>
    <w:rsid w:val="007D00DA"/>
    <w:rsid w:val="007D01A3"/>
    <w:rsid w:val="007D01B3"/>
    <w:rsid w:val="007D021F"/>
    <w:rsid w:val="007D0262"/>
    <w:rsid w:val="007D02CC"/>
    <w:rsid w:val="007D02FA"/>
    <w:rsid w:val="007D040D"/>
    <w:rsid w:val="007D042D"/>
    <w:rsid w:val="007D04C4"/>
    <w:rsid w:val="007D059F"/>
    <w:rsid w:val="007D05B4"/>
    <w:rsid w:val="007D05E5"/>
    <w:rsid w:val="007D069C"/>
    <w:rsid w:val="007D069D"/>
    <w:rsid w:val="007D0715"/>
    <w:rsid w:val="007D073D"/>
    <w:rsid w:val="007D0848"/>
    <w:rsid w:val="007D0B4F"/>
    <w:rsid w:val="007D0BBC"/>
    <w:rsid w:val="007D0C21"/>
    <w:rsid w:val="007D0C30"/>
    <w:rsid w:val="007D0CF1"/>
    <w:rsid w:val="007D0CF8"/>
    <w:rsid w:val="007D0D33"/>
    <w:rsid w:val="007D0D4C"/>
    <w:rsid w:val="007D0D6A"/>
    <w:rsid w:val="007D0E18"/>
    <w:rsid w:val="007D0E29"/>
    <w:rsid w:val="007D0F51"/>
    <w:rsid w:val="007D0F78"/>
    <w:rsid w:val="007D0FA4"/>
    <w:rsid w:val="007D0FBE"/>
    <w:rsid w:val="007D1006"/>
    <w:rsid w:val="007D126F"/>
    <w:rsid w:val="007D1340"/>
    <w:rsid w:val="007D137D"/>
    <w:rsid w:val="007D1392"/>
    <w:rsid w:val="007D13DD"/>
    <w:rsid w:val="007D1533"/>
    <w:rsid w:val="007D154E"/>
    <w:rsid w:val="007D156B"/>
    <w:rsid w:val="007D157E"/>
    <w:rsid w:val="007D15FC"/>
    <w:rsid w:val="007D165F"/>
    <w:rsid w:val="007D16CF"/>
    <w:rsid w:val="007D1729"/>
    <w:rsid w:val="007D178D"/>
    <w:rsid w:val="007D17FE"/>
    <w:rsid w:val="007D18E9"/>
    <w:rsid w:val="007D18F5"/>
    <w:rsid w:val="007D18F7"/>
    <w:rsid w:val="007D1913"/>
    <w:rsid w:val="007D1968"/>
    <w:rsid w:val="007D1991"/>
    <w:rsid w:val="007D19C5"/>
    <w:rsid w:val="007D19FC"/>
    <w:rsid w:val="007D1A19"/>
    <w:rsid w:val="007D1AE5"/>
    <w:rsid w:val="007D1B28"/>
    <w:rsid w:val="007D1B96"/>
    <w:rsid w:val="007D1B98"/>
    <w:rsid w:val="007D1C4D"/>
    <w:rsid w:val="007D1C78"/>
    <w:rsid w:val="007D1CD5"/>
    <w:rsid w:val="007D1CD8"/>
    <w:rsid w:val="007D1CDD"/>
    <w:rsid w:val="007D1D17"/>
    <w:rsid w:val="007D1D46"/>
    <w:rsid w:val="007D1DB6"/>
    <w:rsid w:val="007D1E8D"/>
    <w:rsid w:val="007D1EF6"/>
    <w:rsid w:val="007D1F93"/>
    <w:rsid w:val="007D1FF3"/>
    <w:rsid w:val="007D2036"/>
    <w:rsid w:val="007D2103"/>
    <w:rsid w:val="007D213B"/>
    <w:rsid w:val="007D2149"/>
    <w:rsid w:val="007D21F8"/>
    <w:rsid w:val="007D2269"/>
    <w:rsid w:val="007D22CC"/>
    <w:rsid w:val="007D22EB"/>
    <w:rsid w:val="007D22FE"/>
    <w:rsid w:val="007D232E"/>
    <w:rsid w:val="007D2401"/>
    <w:rsid w:val="007D251C"/>
    <w:rsid w:val="007D2561"/>
    <w:rsid w:val="007D25EF"/>
    <w:rsid w:val="007D273C"/>
    <w:rsid w:val="007D27E1"/>
    <w:rsid w:val="007D27EC"/>
    <w:rsid w:val="007D2800"/>
    <w:rsid w:val="007D2815"/>
    <w:rsid w:val="007D2848"/>
    <w:rsid w:val="007D285D"/>
    <w:rsid w:val="007D2885"/>
    <w:rsid w:val="007D2894"/>
    <w:rsid w:val="007D28D3"/>
    <w:rsid w:val="007D2991"/>
    <w:rsid w:val="007D2A7A"/>
    <w:rsid w:val="007D2B0B"/>
    <w:rsid w:val="007D2B2C"/>
    <w:rsid w:val="007D2B73"/>
    <w:rsid w:val="007D2B8B"/>
    <w:rsid w:val="007D2BDB"/>
    <w:rsid w:val="007D2C6E"/>
    <w:rsid w:val="007D2DAB"/>
    <w:rsid w:val="007D2E00"/>
    <w:rsid w:val="007D2EF7"/>
    <w:rsid w:val="007D2F3A"/>
    <w:rsid w:val="007D2F65"/>
    <w:rsid w:val="007D2FD2"/>
    <w:rsid w:val="007D3047"/>
    <w:rsid w:val="007D30B7"/>
    <w:rsid w:val="007D30BD"/>
    <w:rsid w:val="007D3108"/>
    <w:rsid w:val="007D316B"/>
    <w:rsid w:val="007D322B"/>
    <w:rsid w:val="007D32B4"/>
    <w:rsid w:val="007D3333"/>
    <w:rsid w:val="007D3344"/>
    <w:rsid w:val="007D3373"/>
    <w:rsid w:val="007D33AD"/>
    <w:rsid w:val="007D3422"/>
    <w:rsid w:val="007D3539"/>
    <w:rsid w:val="007D358C"/>
    <w:rsid w:val="007D35AF"/>
    <w:rsid w:val="007D35B4"/>
    <w:rsid w:val="007D36ED"/>
    <w:rsid w:val="007D375E"/>
    <w:rsid w:val="007D3835"/>
    <w:rsid w:val="007D3839"/>
    <w:rsid w:val="007D38EF"/>
    <w:rsid w:val="007D39AE"/>
    <w:rsid w:val="007D3AAA"/>
    <w:rsid w:val="007D3AEC"/>
    <w:rsid w:val="007D3B4E"/>
    <w:rsid w:val="007D3B64"/>
    <w:rsid w:val="007D3B85"/>
    <w:rsid w:val="007D3CA4"/>
    <w:rsid w:val="007D3D0B"/>
    <w:rsid w:val="007D3DAB"/>
    <w:rsid w:val="007D3DB5"/>
    <w:rsid w:val="007D3E0E"/>
    <w:rsid w:val="007D3E58"/>
    <w:rsid w:val="007D3E66"/>
    <w:rsid w:val="007D3F16"/>
    <w:rsid w:val="007D3F70"/>
    <w:rsid w:val="007D3F80"/>
    <w:rsid w:val="007D3F87"/>
    <w:rsid w:val="007D4017"/>
    <w:rsid w:val="007D4054"/>
    <w:rsid w:val="007D4212"/>
    <w:rsid w:val="007D4235"/>
    <w:rsid w:val="007D4267"/>
    <w:rsid w:val="007D4272"/>
    <w:rsid w:val="007D42CA"/>
    <w:rsid w:val="007D43B2"/>
    <w:rsid w:val="007D43B6"/>
    <w:rsid w:val="007D44C5"/>
    <w:rsid w:val="007D44F6"/>
    <w:rsid w:val="007D45D5"/>
    <w:rsid w:val="007D45FF"/>
    <w:rsid w:val="007D46C3"/>
    <w:rsid w:val="007D4886"/>
    <w:rsid w:val="007D48A6"/>
    <w:rsid w:val="007D48C6"/>
    <w:rsid w:val="007D48E1"/>
    <w:rsid w:val="007D490D"/>
    <w:rsid w:val="007D4999"/>
    <w:rsid w:val="007D4A3C"/>
    <w:rsid w:val="007D4A3E"/>
    <w:rsid w:val="007D4A4D"/>
    <w:rsid w:val="007D4A7B"/>
    <w:rsid w:val="007D4AAE"/>
    <w:rsid w:val="007D4AD8"/>
    <w:rsid w:val="007D4B1C"/>
    <w:rsid w:val="007D4BE4"/>
    <w:rsid w:val="007D4C42"/>
    <w:rsid w:val="007D4C96"/>
    <w:rsid w:val="007D4CC7"/>
    <w:rsid w:val="007D4D07"/>
    <w:rsid w:val="007D4D44"/>
    <w:rsid w:val="007D4EFA"/>
    <w:rsid w:val="007D4FFC"/>
    <w:rsid w:val="007D5168"/>
    <w:rsid w:val="007D523B"/>
    <w:rsid w:val="007D5280"/>
    <w:rsid w:val="007D52A5"/>
    <w:rsid w:val="007D52B9"/>
    <w:rsid w:val="007D52E0"/>
    <w:rsid w:val="007D5307"/>
    <w:rsid w:val="007D530A"/>
    <w:rsid w:val="007D531B"/>
    <w:rsid w:val="007D541D"/>
    <w:rsid w:val="007D547E"/>
    <w:rsid w:val="007D548B"/>
    <w:rsid w:val="007D5499"/>
    <w:rsid w:val="007D54E2"/>
    <w:rsid w:val="007D54FE"/>
    <w:rsid w:val="007D5587"/>
    <w:rsid w:val="007D55BB"/>
    <w:rsid w:val="007D55C8"/>
    <w:rsid w:val="007D561F"/>
    <w:rsid w:val="007D5623"/>
    <w:rsid w:val="007D5693"/>
    <w:rsid w:val="007D56ED"/>
    <w:rsid w:val="007D5709"/>
    <w:rsid w:val="007D570D"/>
    <w:rsid w:val="007D5762"/>
    <w:rsid w:val="007D580E"/>
    <w:rsid w:val="007D5893"/>
    <w:rsid w:val="007D58B1"/>
    <w:rsid w:val="007D599D"/>
    <w:rsid w:val="007D59E2"/>
    <w:rsid w:val="007D5A7D"/>
    <w:rsid w:val="007D5AEC"/>
    <w:rsid w:val="007D5AFF"/>
    <w:rsid w:val="007D5D16"/>
    <w:rsid w:val="007D5E6D"/>
    <w:rsid w:val="007D5E90"/>
    <w:rsid w:val="007D5F73"/>
    <w:rsid w:val="007D6081"/>
    <w:rsid w:val="007D609A"/>
    <w:rsid w:val="007D61C4"/>
    <w:rsid w:val="007D6208"/>
    <w:rsid w:val="007D6218"/>
    <w:rsid w:val="007D622D"/>
    <w:rsid w:val="007D62FA"/>
    <w:rsid w:val="007D6308"/>
    <w:rsid w:val="007D633D"/>
    <w:rsid w:val="007D636A"/>
    <w:rsid w:val="007D638C"/>
    <w:rsid w:val="007D64D7"/>
    <w:rsid w:val="007D64FF"/>
    <w:rsid w:val="007D65A1"/>
    <w:rsid w:val="007D65C7"/>
    <w:rsid w:val="007D673A"/>
    <w:rsid w:val="007D6746"/>
    <w:rsid w:val="007D67AE"/>
    <w:rsid w:val="007D67BC"/>
    <w:rsid w:val="007D68A1"/>
    <w:rsid w:val="007D68F3"/>
    <w:rsid w:val="007D699B"/>
    <w:rsid w:val="007D6A7F"/>
    <w:rsid w:val="007D6ADC"/>
    <w:rsid w:val="007D6BC5"/>
    <w:rsid w:val="007D6CED"/>
    <w:rsid w:val="007D6D22"/>
    <w:rsid w:val="007D6D2B"/>
    <w:rsid w:val="007D6DC8"/>
    <w:rsid w:val="007D6DD3"/>
    <w:rsid w:val="007D6E24"/>
    <w:rsid w:val="007D6E65"/>
    <w:rsid w:val="007D6E71"/>
    <w:rsid w:val="007D6E8D"/>
    <w:rsid w:val="007D6E91"/>
    <w:rsid w:val="007D6EBE"/>
    <w:rsid w:val="007D6EFD"/>
    <w:rsid w:val="007D6F1D"/>
    <w:rsid w:val="007D6F71"/>
    <w:rsid w:val="007D6F72"/>
    <w:rsid w:val="007D6F88"/>
    <w:rsid w:val="007D6F8D"/>
    <w:rsid w:val="007D7035"/>
    <w:rsid w:val="007D70A8"/>
    <w:rsid w:val="007D715A"/>
    <w:rsid w:val="007D7175"/>
    <w:rsid w:val="007D71E0"/>
    <w:rsid w:val="007D71E1"/>
    <w:rsid w:val="007D725A"/>
    <w:rsid w:val="007D7312"/>
    <w:rsid w:val="007D7377"/>
    <w:rsid w:val="007D73BC"/>
    <w:rsid w:val="007D740D"/>
    <w:rsid w:val="007D7494"/>
    <w:rsid w:val="007D74CC"/>
    <w:rsid w:val="007D7527"/>
    <w:rsid w:val="007D7544"/>
    <w:rsid w:val="007D759D"/>
    <w:rsid w:val="007D75BA"/>
    <w:rsid w:val="007D7661"/>
    <w:rsid w:val="007D76B1"/>
    <w:rsid w:val="007D775E"/>
    <w:rsid w:val="007D77EF"/>
    <w:rsid w:val="007D77FD"/>
    <w:rsid w:val="007D787F"/>
    <w:rsid w:val="007D78F1"/>
    <w:rsid w:val="007D7908"/>
    <w:rsid w:val="007D7955"/>
    <w:rsid w:val="007D7B8B"/>
    <w:rsid w:val="007D7BA1"/>
    <w:rsid w:val="007D7C67"/>
    <w:rsid w:val="007D7D57"/>
    <w:rsid w:val="007D7D5D"/>
    <w:rsid w:val="007D7D60"/>
    <w:rsid w:val="007D7E10"/>
    <w:rsid w:val="007D7EC8"/>
    <w:rsid w:val="007D7EDC"/>
    <w:rsid w:val="007D7EFB"/>
    <w:rsid w:val="007D7F0D"/>
    <w:rsid w:val="007D7F66"/>
    <w:rsid w:val="007E005E"/>
    <w:rsid w:val="007E0087"/>
    <w:rsid w:val="007E00A8"/>
    <w:rsid w:val="007E00B3"/>
    <w:rsid w:val="007E00F2"/>
    <w:rsid w:val="007E00F6"/>
    <w:rsid w:val="007E010A"/>
    <w:rsid w:val="007E0160"/>
    <w:rsid w:val="007E01A2"/>
    <w:rsid w:val="007E020E"/>
    <w:rsid w:val="007E0344"/>
    <w:rsid w:val="007E04A6"/>
    <w:rsid w:val="007E0568"/>
    <w:rsid w:val="007E05C6"/>
    <w:rsid w:val="007E05D0"/>
    <w:rsid w:val="007E061D"/>
    <w:rsid w:val="007E0666"/>
    <w:rsid w:val="007E06F6"/>
    <w:rsid w:val="007E071B"/>
    <w:rsid w:val="007E078A"/>
    <w:rsid w:val="007E084E"/>
    <w:rsid w:val="007E091C"/>
    <w:rsid w:val="007E0958"/>
    <w:rsid w:val="007E095E"/>
    <w:rsid w:val="007E0A53"/>
    <w:rsid w:val="007E0AC2"/>
    <w:rsid w:val="007E0B0F"/>
    <w:rsid w:val="007E0B4F"/>
    <w:rsid w:val="007E0BFE"/>
    <w:rsid w:val="007E0D61"/>
    <w:rsid w:val="007E0DB6"/>
    <w:rsid w:val="007E0DC6"/>
    <w:rsid w:val="007E0ED5"/>
    <w:rsid w:val="007E0F1C"/>
    <w:rsid w:val="007E0F56"/>
    <w:rsid w:val="007E0F63"/>
    <w:rsid w:val="007E0FB5"/>
    <w:rsid w:val="007E10A8"/>
    <w:rsid w:val="007E1120"/>
    <w:rsid w:val="007E11E2"/>
    <w:rsid w:val="007E1282"/>
    <w:rsid w:val="007E12B9"/>
    <w:rsid w:val="007E12F9"/>
    <w:rsid w:val="007E134C"/>
    <w:rsid w:val="007E1446"/>
    <w:rsid w:val="007E1482"/>
    <w:rsid w:val="007E1547"/>
    <w:rsid w:val="007E156F"/>
    <w:rsid w:val="007E15AD"/>
    <w:rsid w:val="007E1694"/>
    <w:rsid w:val="007E175D"/>
    <w:rsid w:val="007E1775"/>
    <w:rsid w:val="007E1885"/>
    <w:rsid w:val="007E18EB"/>
    <w:rsid w:val="007E18FA"/>
    <w:rsid w:val="007E19D2"/>
    <w:rsid w:val="007E19D8"/>
    <w:rsid w:val="007E19EC"/>
    <w:rsid w:val="007E19FE"/>
    <w:rsid w:val="007E1A98"/>
    <w:rsid w:val="007E1ACC"/>
    <w:rsid w:val="007E1B9D"/>
    <w:rsid w:val="007E1BFC"/>
    <w:rsid w:val="007E1C8B"/>
    <w:rsid w:val="007E1CEB"/>
    <w:rsid w:val="007E1D6E"/>
    <w:rsid w:val="007E1EE9"/>
    <w:rsid w:val="007E1F39"/>
    <w:rsid w:val="007E1F7F"/>
    <w:rsid w:val="007E2127"/>
    <w:rsid w:val="007E2144"/>
    <w:rsid w:val="007E2190"/>
    <w:rsid w:val="007E21D6"/>
    <w:rsid w:val="007E233D"/>
    <w:rsid w:val="007E2372"/>
    <w:rsid w:val="007E237C"/>
    <w:rsid w:val="007E23E3"/>
    <w:rsid w:val="007E2405"/>
    <w:rsid w:val="007E244E"/>
    <w:rsid w:val="007E245C"/>
    <w:rsid w:val="007E2490"/>
    <w:rsid w:val="007E24AB"/>
    <w:rsid w:val="007E24EA"/>
    <w:rsid w:val="007E24F4"/>
    <w:rsid w:val="007E2514"/>
    <w:rsid w:val="007E2562"/>
    <w:rsid w:val="007E2564"/>
    <w:rsid w:val="007E25A1"/>
    <w:rsid w:val="007E25E0"/>
    <w:rsid w:val="007E25ED"/>
    <w:rsid w:val="007E25F5"/>
    <w:rsid w:val="007E2619"/>
    <w:rsid w:val="007E275A"/>
    <w:rsid w:val="007E276E"/>
    <w:rsid w:val="007E285E"/>
    <w:rsid w:val="007E28C4"/>
    <w:rsid w:val="007E29A0"/>
    <w:rsid w:val="007E2B78"/>
    <w:rsid w:val="007E2BC0"/>
    <w:rsid w:val="007E2BDF"/>
    <w:rsid w:val="007E2C18"/>
    <w:rsid w:val="007E2D5F"/>
    <w:rsid w:val="007E2D8F"/>
    <w:rsid w:val="007E2E07"/>
    <w:rsid w:val="007E2E50"/>
    <w:rsid w:val="007E2F35"/>
    <w:rsid w:val="007E2F7E"/>
    <w:rsid w:val="007E30CC"/>
    <w:rsid w:val="007E3118"/>
    <w:rsid w:val="007E3168"/>
    <w:rsid w:val="007E318C"/>
    <w:rsid w:val="007E31F3"/>
    <w:rsid w:val="007E3236"/>
    <w:rsid w:val="007E3244"/>
    <w:rsid w:val="007E32F3"/>
    <w:rsid w:val="007E3318"/>
    <w:rsid w:val="007E33D6"/>
    <w:rsid w:val="007E342D"/>
    <w:rsid w:val="007E350B"/>
    <w:rsid w:val="007E360E"/>
    <w:rsid w:val="007E3681"/>
    <w:rsid w:val="007E3685"/>
    <w:rsid w:val="007E36AA"/>
    <w:rsid w:val="007E36CF"/>
    <w:rsid w:val="007E37C6"/>
    <w:rsid w:val="007E3827"/>
    <w:rsid w:val="007E3893"/>
    <w:rsid w:val="007E38B2"/>
    <w:rsid w:val="007E38D6"/>
    <w:rsid w:val="007E3914"/>
    <w:rsid w:val="007E391B"/>
    <w:rsid w:val="007E3922"/>
    <w:rsid w:val="007E399A"/>
    <w:rsid w:val="007E3A1D"/>
    <w:rsid w:val="007E3AD6"/>
    <w:rsid w:val="007E3B2D"/>
    <w:rsid w:val="007E3B5C"/>
    <w:rsid w:val="007E3C03"/>
    <w:rsid w:val="007E3C30"/>
    <w:rsid w:val="007E3C77"/>
    <w:rsid w:val="007E3D14"/>
    <w:rsid w:val="007E3DB1"/>
    <w:rsid w:val="007E3DB5"/>
    <w:rsid w:val="007E3F88"/>
    <w:rsid w:val="007E3FB2"/>
    <w:rsid w:val="007E408D"/>
    <w:rsid w:val="007E40E8"/>
    <w:rsid w:val="007E41D3"/>
    <w:rsid w:val="007E422F"/>
    <w:rsid w:val="007E4238"/>
    <w:rsid w:val="007E4268"/>
    <w:rsid w:val="007E42A9"/>
    <w:rsid w:val="007E42C7"/>
    <w:rsid w:val="007E42E8"/>
    <w:rsid w:val="007E4360"/>
    <w:rsid w:val="007E43BC"/>
    <w:rsid w:val="007E443E"/>
    <w:rsid w:val="007E4469"/>
    <w:rsid w:val="007E4588"/>
    <w:rsid w:val="007E462A"/>
    <w:rsid w:val="007E464B"/>
    <w:rsid w:val="007E46B2"/>
    <w:rsid w:val="007E471E"/>
    <w:rsid w:val="007E4743"/>
    <w:rsid w:val="007E4761"/>
    <w:rsid w:val="007E4772"/>
    <w:rsid w:val="007E478C"/>
    <w:rsid w:val="007E4854"/>
    <w:rsid w:val="007E48A9"/>
    <w:rsid w:val="007E4A8A"/>
    <w:rsid w:val="007E4AEA"/>
    <w:rsid w:val="007E4B1A"/>
    <w:rsid w:val="007E4B33"/>
    <w:rsid w:val="007E4B72"/>
    <w:rsid w:val="007E4C1D"/>
    <w:rsid w:val="007E4C23"/>
    <w:rsid w:val="007E4C84"/>
    <w:rsid w:val="007E4CAB"/>
    <w:rsid w:val="007E4CF3"/>
    <w:rsid w:val="007E4D84"/>
    <w:rsid w:val="007E4D91"/>
    <w:rsid w:val="007E4E0A"/>
    <w:rsid w:val="007E4E26"/>
    <w:rsid w:val="007E4F36"/>
    <w:rsid w:val="007E4F65"/>
    <w:rsid w:val="007E4FE8"/>
    <w:rsid w:val="007E50C2"/>
    <w:rsid w:val="007E5102"/>
    <w:rsid w:val="007E51B2"/>
    <w:rsid w:val="007E5225"/>
    <w:rsid w:val="007E525D"/>
    <w:rsid w:val="007E52E6"/>
    <w:rsid w:val="007E5333"/>
    <w:rsid w:val="007E53D3"/>
    <w:rsid w:val="007E5428"/>
    <w:rsid w:val="007E5465"/>
    <w:rsid w:val="007E5512"/>
    <w:rsid w:val="007E558D"/>
    <w:rsid w:val="007E5629"/>
    <w:rsid w:val="007E5691"/>
    <w:rsid w:val="007E56DB"/>
    <w:rsid w:val="007E57B4"/>
    <w:rsid w:val="007E57ED"/>
    <w:rsid w:val="007E5846"/>
    <w:rsid w:val="007E5858"/>
    <w:rsid w:val="007E586F"/>
    <w:rsid w:val="007E58CE"/>
    <w:rsid w:val="007E58D0"/>
    <w:rsid w:val="007E58E7"/>
    <w:rsid w:val="007E5994"/>
    <w:rsid w:val="007E59B2"/>
    <w:rsid w:val="007E5A2B"/>
    <w:rsid w:val="007E5AC0"/>
    <w:rsid w:val="007E5AC5"/>
    <w:rsid w:val="007E5B1D"/>
    <w:rsid w:val="007E5C02"/>
    <w:rsid w:val="007E5C4C"/>
    <w:rsid w:val="007E5C89"/>
    <w:rsid w:val="007E5C8B"/>
    <w:rsid w:val="007E5CA4"/>
    <w:rsid w:val="007E5CB4"/>
    <w:rsid w:val="007E5CE0"/>
    <w:rsid w:val="007E5D1F"/>
    <w:rsid w:val="007E5D24"/>
    <w:rsid w:val="007E5E15"/>
    <w:rsid w:val="007E5E25"/>
    <w:rsid w:val="007E5E86"/>
    <w:rsid w:val="007E5F14"/>
    <w:rsid w:val="007E6011"/>
    <w:rsid w:val="007E609D"/>
    <w:rsid w:val="007E60E4"/>
    <w:rsid w:val="007E612B"/>
    <w:rsid w:val="007E61BE"/>
    <w:rsid w:val="007E61C6"/>
    <w:rsid w:val="007E6205"/>
    <w:rsid w:val="007E62BE"/>
    <w:rsid w:val="007E62C2"/>
    <w:rsid w:val="007E62DF"/>
    <w:rsid w:val="007E6349"/>
    <w:rsid w:val="007E636F"/>
    <w:rsid w:val="007E63AA"/>
    <w:rsid w:val="007E641D"/>
    <w:rsid w:val="007E6456"/>
    <w:rsid w:val="007E653B"/>
    <w:rsid w:val="007E65B2"/>
    <w:rsid w:val="007E6625"/>
    <w:rsid w:val="007E6626"/>
    <w:rsid w:val="007E662D"/>
    <w:rsid w:val="007E6640"/>
    <w:rsid w:val="007E6661"/>
    <w:rsid w:val="007E66E5"/>
    <w:rsid w:val="007E6746"/>
    <w:rsid w:val="007E685B"/>
    <w:rsid w:val="007E6921"/>
    <w:rsid w:val="007E69BF"/>
    <w:rsid w:val="007E69E4"/>
    <w:rsid w:val="007E6A04"/>
    <w:rsid w:val="007E6A12"/>
    <w:rsid w:val="007E6AC5"/>
    <w:rsid w:val="007E6B62"/>
    <w:rsid w:val="007E6BCD"/>
    <w:rsid w:val="007E6CE4"/>
    <w:rsid w:val="007E6D4A"/>
    <w:rsid w:val="007E6D93"/>
    <w:rsid w:val="007E6ED9"/>
    <w:rsid w:val="007E6F0B"/>
    <w:rsid w:val="007E6F38"/>
    <w:rsid w:val="007E6FDA"/>
    <w:rsid w:val="007E6FE7"/>
    <w:rsid w:val="007E71A3"/>
    <w:rsid w:val="007E7257"/>
    <w:rsid w:val="007E725F"/>
    <w:rsid w:val="007E7287"/>
    <w:rsid w:val="007E72A4"/>
    <w:rsid w:val="007E72C4"/>
    <w:rsid w:val="007E72DA"/>
    <w:rsid w:val="007E72DE"/>
    <w:rsid w:val="007E73F3"/>
    <w:rsid w:val="007E7458"/>
    <w:rsid w:val="007E75A5"/>
    <w:rsid w:val="007E7614"/>
    <w:rsid w:val="007E76AD"/>
    <w:rsid w:val="007E777D"/>
    <w:rsid w:val="007E7801"/>
    <w:rsid w:val="007E7850"/>
    <w:rsid w:val="007E7853"/>
    <w:rsid w:val="007E788B"/>
    <w:rsid w:val="007E78AD"/>
    <w:rsid w:val="007E78C7"/>
    <w:rsid w:val="007E7959"/>
    <w:rsid w:val="007E79B1"/>
    <w:rsid w:val="007E79D6"/>
    <w:rsid w:val="007E7A35"/>
    <w:rsid w:val="007E7AA8"/>
    <w:rsid w:val="007E7AF6"/>
    <w:rsid w:val="007E7B41"/>
    <w:rsid w:val="007E7C32"/>
    <w:rsid w:val="007E7CC1"/>
    <w:rsid w:val="007E7D5A"/>
    <w:rsid w:val="007E7DB0"/>
    <w:rsid w:val="007E7DDC"/>
    <w:rsid w:val="007E7E4E"/>
    <w:rsid w:val="007E7E79"/>
    <w:rsid w:val="007E7EAC"/>
    <w:rsid w:val="007E7FA5"/>
    <w:rsid w:val="007F00C9"/>
    <w:rsid w:val="007F01AF"/>
    <w:rsid w:val="007F024A"/>
    <w:rsid w:val="007F0256"/>
    <w:rsid w:val="007F02AD"/>
    <w:rsid w:val="007F02C8"/>
    <w:rsid w:val="007F0335"/>
    <w:rsid w:val="007F0350"/>
    <w:rsid w:val="007F0372"/>
    <w:rsid w:val="007F0383"/>
    <w:rsid w:val="007F03C7"/>
    <w:rsid w:val="007F0459"/>
    <w:rsid w:val="007F0485"/>
    <w:rsid w:val="007F0625"/>
    <w:rsid w:val="007F0627"/>
    <w:rsid w:val="007F06CC"/>
    <w:rsid w:val="007F06D7"/>
    <w:rsid w:val="007F0747"/>
    <w:rsid w:val="007F0749"/>
    <w:rsid w:val="007F07BD"/>
    <w:rsid w:val="007F07D3"/>
    <w:rsid w:val="007F0831"/>
    <w:rsid w:val="007F084D"/>
    <w:rsid w:val="007F08FA"/>
    <w:rsid w:val="007F092F"/>
    <w:rsid w:val="007F0984"/>
    <w:rsid w:val="007F09E8"/>
    <w:rsid w:val="007F09F3"/>
    <w:rsid w:val="007F0A13"/>
    <w:rsid w:val="007F0A7D"/>
    <w:rsid w:val="007F0AA9"/>
    <w:rsid w:val="007F0AC5"/>
    <w:rsid w:val="007F0AF0"/>
    <w:rsid w:val="007F0C10"/>
    <w:rsid w:val="007F0C46"/>
    <w:rsid w:val="007F0CCE"/>
    <w:rsid w:val="007F0D85"/>
    <w:rsid w:val="007F0DCB"/>
    <w:rsid w:val="007F0DFA"/>
    <w:rsid w:val="007F0E1B"/>
    <w:rsid w:val="007F0EC1"/>
    <w:rsid w:val="007F0EEF"/>
    <w:rsid w:val="007F0F8A"/>
    <w:rsid w:val="007F0FA8"/>
    <w:rsid w:val="007F0FDC"/>
    <w:rsid w:val="007F0FE7"/>
    <w:rsid w:val="007F107A"/>
    <w:rsid w:val="007F107C"/>
    <w:rsid w:val="007F1133"/>
    <w:rsid w:val="007F11B2"/>
    <w:rsid w:val="007F11E9"/>
    <w:rsid w:val="007F1236"/>
    <w:rsid w:val="007F1264"/>
    <w:rsid w:val="007F1272"/>
    <w:rsid w:val="007F127E"/>
    <w:rsid w:val="007F1362"/>
    <w:rsid w:val="007F14E4"/>
    <w:rsid w:val="007F14E6"/>
    <w:rsid w:val="007F14FE"/>
    <w:rsid w:val="007F152F"/>
    <w:rsid w:val="007F1565"/>
    <w:rsid w:val="007F1581"/>
    <w:rsid w:val="007F15AC"/>
    <w:rsid w:val="007F15C4"/>
    <w:rsid w:val="007F1769"/>
    <w:rsid w:val="007F1868"/>
    <w:rsid w:val="007F19A3"/>
    <w:rsid w:val="007F19F6"/>
    <w:rsid w:val="007F1B95"/>
    <w:rsid w:val="007F1BDC"/>
    <w:rsid w:val="007F1C07"/>
    <w:rsid w:val="007F1C3C"/>
    <w:rsid w:val="007F1C7D"/>
    <w:rsid w:val="007F1C9B"/>
    <w:rsid w:val="007F1CA5"/>
    <w:rsid w:val="007F1DBF"/>
    <w:rsid w:val="007F1E1D"/>
    <w:rsid w:val="007F1E26"/>
    <w:rsid w:val="007F1F20"/>
    <w:rsid w:val="007F1F51"/>
    <w:rsid w:val="007F1F77"/>
    <w:rsid w:val="007F1FF4"/>
    <w:rsid w:val="007F200F"/>
    <w:rsid w:val="007F206E"/>
    <w:rsid w:val="007F2076"/>
    <w:rsid w:val="007F207C"/>
    <w:rsid w:val="007F207D"/>
    <w:rsid w:val="007F2167"/>
    <w:rsid w:val="007F2207"/>
    <w:rsid w:val="007F229D"/>
    <w:rsid w:val="007F22AE"/>
    <w:rsid w:val="007F230B"/>
    <w:rsid w:val="007F233F"/>
    <w:rsid w:val="007F24D6"/>
    <w:rsid w:val="007F24DF"/>
    <w:rsid w:val="007F24FF"/>
    <w:rsid w:val="007F252D"/>
    <w:rsid w:val="007F2575"/>
    <w:rsid w:val="007F2589"/>
    <w:rsid w:val="007F2591"/>
    <w:rsid w:val="007F267C"/>
    <w:rsid w:val="007F269A"/>
    <w:rsid w:val="007F26A1"/>
    <w:rsid w:val="007F26C7"/>
    <w:rsid w:val="007F2818"/>
    <w:rsid w:val="007F28C1"/>
    <w:rsid w:val="007F28EE"/>
    <w:rsid w:val="007F29AE"/>
    <w:rsid w:val="007F2A1B"/>
    <w:rsid w:val="007F2ABF"/>
    <w:rsid w:val="007F2AC4"/>
    <w:rsid w:val="007F2BFA"/>
    <w:rsid w:val="007F2C0F"/>
    <w:rsid w:val="007F2C32"/>
    <w:rsid w:val="007F2C38"/>
    <w:rsid w:val="007F2C61"/>
    <w:rsid w:val="007F2D52"/>
    <w:rsid w:val="007F2D69"/>
    <w:rsid w:val="007F2DBC"/>
    <w:rsid w:val="007F2DE1"/>
    <w:rsid w:val="007F2EB3"/>
    <w:rsid w:val="007F2F49"/>
    <w:rsid w:val="007F305B"/>
    <w:rsid w:val="007F306A"/>
    <w:rsid w:val="007F30CB"/>
    <w:rsid w:val="007F30DA"/>
    <w:rsid w:val="007F3111"/>
    <w:rsid w:val="007F3175"/>
    <w:rsid w:val="007F319B"/>
    <w:rsid w:val="007F31B3"/>
    <w:rsid w:val="007F320C"/>
    <w:rsid w:val="007F3286"/>
    <w:rsid w:val="007F335B"/>
    <w:rsid w:val="007F3464"/>
    <w:rsid w:val="007F3475"/>
    <w:rsid w:val="007F3478"/>
    <w:rsid w:val="007F34EF"/>
    <w:rsid w:val="007F350D"/>
    <w:rsid w:val="007F3571"/>
    <w:rsid w:val="007F35E6"/>
    <w:rsid w:val="007F3610"/>
    <w:rsid w:val="007F3623"/>
    <w:rsid w:val="007F3681"/>
    <w:rsid w:val="007F36F4"/>
    <w:rsid w:val="007F3714"/>
    <w:rsid w:val="007F3796"/>
    <w:rsid w:val="007F3803"/>
    <w:rsid w:val="007F382F"/>
    <w:rsid w:val="007F3835"/>
    <w:rsid w:val="007F384F"/>
    <w:rsid w:val="007F3856"/>
    <w:rsid w:val="007F387E"/>
    <w:rsid w:val="007F390D"/>
    <w:rsid w:val="007F3A08"/>
    <w:rsid w:val="007F3C94"/>
    <w:rsid w:val="007F3CF6"/>
    <w:rsid w:val="007F3CFD"/>
    <w:rsid w:val="007F3D2E"/>
    <w:rsid w:val="007F3D57"/>
    <w:rsid w:val="007F3DE9"/>
    <w:rsid w:val="007F3DF2"/>
    <w:rsid w:val="007F3E1F"/>
    <w:rsid w:val="007F3E76"/>
    <w:rsid w:val="007F3E97"/>
    <w:rsid w:val="007F3ED8"/>
    <w:rsid w:val="007F3F0D"/>
    <w:rsid w:val="007F3F1B"/>
    <w:rsid w:val="007F3F2F"/>
    <w:rsid w:val="007F3F72"/>
    <w:rsid w:val="007F4031"/>
    <w:rsid w:val="007F40F0"/>
    <w:rsid w:val="007F40F8"/>
    <w:rsid w:val="007F410D"/>
    <w:rsid w:val="007F4138"/>
    <w:rsid w:val="007F414D"/>
    <w:rsid w:val="007F41B8"/>
    <w:rsid w:val="007F4236"/>
    <w:rsid w:val="007F4327"/>
    <w:rsid w:val="007F43D2"/>
    <w:rsid w:val="007F4493"/>
    <w:rsid w:val="007F44DA"/>
    <w:rsid w:val="007F44EF"/>
    <w:rsid w:val="007F4564"/>
    <w:rsid w:val="007F4579"/>
    <w:rsid w:val="007F45CA"/>
    <w:rsid w:val="007F45F6"/>
    <w:rsid w:val="007F461F"/>
    <w:rsid w:val="007F46A7"/>
    <w:rsid w:val="007F470E"/>
    <w:rsid w:val="007F4798"/>
    <w:rsid w:val="007F47C3"/>
    <w:rsid w:val="007F48DA"/>
    <w:rsid w:val="007F48ED"/>
    <w:rsid w:val="007F49AF"/>
    <w:rsid w:val="007F4A70"/>
    <w:rsid w:val="007F4AA4"/>
    <w:rsid w:val="007F4B6C"/>
    <w:rsid w:val="007F4B95"/>
    <w:rsid w:val="007F4BA2"/>
    <w:rsid w:val="007F4BAC"/>
    <w:rsid w:val="007F4BC2"/>
    <w:rsid w:val="007F4BCE"/>
    <w:rsid w:val="007F4BF7"/>
    <w:rsid w:val="007F4C7A"/>
    <w:rsid w:val="007F4CAC"/>
    <w:rsid w:val="007F4CC3"/>
    <w:rsid w:val="007F4D8F"/>
    <w:rsid w:val="007F4DDE"/>
    <w:rsid w:val="007F4E72"/>
    <w:rsid w:val="007F4EC4"/>
    <w:rsid w:val="007F4F12"/>
    <w:rsid w:val="007F4F30"/>
    <w:rsid w:val="007F5052"/>
    <w:rsid w:val="007F50A0"/>
    <w:rsid w:val="007F50B5"/>
    <w:rsid w:val="007F50C5"/>
    <w:rsid w:val="007F5103"/>
    <w:rsid w:val="007F5136"/>
    <w:rsid w:val="007F51B3"/>
    <w:rsid w:val="007F5210"/>
    <w:rsid w:val="007F5340"/>
    <w:rsid w:val="007F5370"/>
    <w:rsid w:val="007F54BB"/>
    <w:rsid w:val="007F5518"/>
    <w:rsid w:val="007F5597"/>
    <w:rsid w:val="007F563C"/>
    <w:rsid w:val="007F56FC"/>
    <w:rsid w:val="007F5762"/>
    <w:rsid w:val="007F57D5"/>
    <w:rsid w:val="007F582D"/>
    <w:rsid w:val="007F59E5"/>
    <w:rsid w:val="007F5A0D"/>
    <w:rsid w:val="007F5A5E"/>
    <w:rsid w:val="007F5A92"/>
    <w:rsid w:val="007F5AA9"/>
    <w:rsid w:val="007F5AFD"/>
    <w:rsid w:val="007F5BBE"/>
    <w:rsid w:val="007F5C40"/>
    <w:rsid w:val="007F5C45"/>
    <w:rsid w:val="007F5C9A"/>
    <w:rsid w:val="007F5CD9"/>
    <w:rsid w:val="007F5CE9"/>
    <w:rsid w:val="007F5D4F"/>
    <w:rsid w:val="007F5D8C"/>
    <w:rsid w:val="007F5DA6"/>
    <w:rsid w:val="007F5DED"/>
    <w:rsid w:val="007F5E0E"/>
    <w:rsid w:val="007F5F31"/>
    <w:rsid w:val="007F5FB6"/>
    <w:rsid w:val="007F6004"/>
    <w:rsid w:val="007F6037"/>
    <w:rsid w:val="007F6052"/>
    <w:rsid w:val="007F616E"/>
    <w:rsid w:val="007F620E"/>
    <w:rsid w:val="007F62B3"/>
    <w:rsid w:val="007F62E6"/>
    <w:rsid w:val="007F6366"/>
    <w:rsid w:val="007F6368"/>
    <w:rsid w:val="007F639B"/>
    <w:rsid w:val="007F641E"/>
    <w:rsid w:val="007F6449"/>
    <w:rsid w:val="007F647E"/>
    <w:rsid w:val="007F649A"/>
    <w:rsid w:val="007F649D"/>
    <w:rsid w:val="007F65EA"/>
    <w:rsid w:val="007F6738"/>
    <w:rsid w:val="007F67E9"/>
    <w:rsid w:val="007F6874"/>
    <w:rsid w:val="007F688F"/>
    <w:rsid w:val="007F6A15"/>
    <w:rsid w:val="007F6A7F"/>
    <w:rsid w:val="007F6AA8"/>
    <w:rsid w:val="007F6BA5"/>
    <w:rsid w:val="007F6BD6"/>
    <w:rsid w:val="007F6C1A"/>
    <w:rsid w:val="007F6D22"/>
    <w:rsid w:val="007F6DA7"/>
    <w:rsid w:val="007F6E64"/>
    <w:rsid w:val="007F6E95"/>
    <w:rsid w:val="007F6F02"/>
    <w:rsid w:val="007F6F42"/>
    <w:rsid w:val="007F6FE3"/>
    <w:rsid w:val="007F7037"/>
    <w:rsid w:val="007F70BB"/>
    <w:rsid w:val="007F7146"/>
    <w:rsid w:val="007F7174"/>
    <w:rsid w:val="007F71A6"/>
    <w:rsid w:val="007F71B7"/>
    <w:rsid w:val="007F71C3"/>
    <w:rsid w:val="007F723E"/>
    <w:rsid w:val="007F72B8"/>
    <w:rsid w:val="007F72B9"/>
    <w:rsid w:val="007F7330"/>
    <w:rsid w:val="007F7372"/>
    <w:rsid w:val="007F7379"/>
    <w:rsid w:val="007F7391"/>
    <w:rsid w:val="007F7421"/>
    <w:rsid w:val="007F744F"/>
    <w:rsid w:val="007F745D"/>
    <w:rsid w:val="007F7478"/>
    <w:rsid w:val="007F74C1"/>
    <w:rsid w:val="007F74D0"/>
    <w:rsid w:val="007F74EB"/>
    <w:rsid w:val="007F7539"/>
    <w:rsid w:val="007F7621"/>
    <w:rsid w:val="007F76AF"/>
    <w:rsid w:val="007F76EB"/>
    <w:rsid w:val="007F7717"/>
    <w:rsid w:val="007F773D"/>
    <w:rsid w:val="007F7753"/>
    <w:rsid w:val="007F7763"/>
    <w:rsid w:val="007F7889"/>
    <w:rsid w:val="007F7926"/>
    <w:rsid w:val="007F7997"/>
    <w:rsid w:val="007F7A06"/>
    <w:rsid w:val="007F7A12"/>
    <w:rsid w:val="007F7AC2"/>
    <w:rsid w:val="007F7AEC"/>
    <w:rsid w:val="007F7B4B"/>
    <w:rsid w:val="007F7B92"/>
    <w:rsid w:val="007F7C6B"/>
    <w:rsid w:val="007F7C7B"/>
    <w:rsid w:val="007F7D45"/>
    <w:rsid w:val="007F7D9A"/>
    <w:rsid w:val="007F7DCA"/>
    <w:rsid w:val="007F7DCD"/>
    <w:rsid w:val="007F7E7E"/>
    <w:rsid w:val="007F7EC2"/>
    <w:rsid w:val="007F7F53"/>
    <w:rsid w:val="007F7F5E"/>
    <w:rsid w:val="0080000D"/>
    <w:rsid w:val="008000A3"/>
    <w:rsid w:val="0080011F"/>
    <w:rsid w:val="00800172"/>
    <w:rsid w:val="0080025C"/>
    <w:rsid w:val="0080028A"/>
    <w:rsid w:val="008002B1"/>
    <w:rsid w:val="008002FC"/>
    <w:rsid w:val="00800313"/>
    <w:rsid w:val="0080032C"/>
    <w:rsid w:val="00800397"/>
    <w:rsid w:val="008003A2"/>
    <w:rsid w:val="008003FB"/>
    <w:rsid w:val="00800416"/>
    <w:rsid w:val="0080045D"/>
    <w:rsid w:val="00800487"/>
    <w:rsid w:val="008004C6"/>
    <w:rsid w:val="00800505"/>
    <w:rsid w:val="00800610"/>
    <w:rsid w:val="0080064E"/>
    <w:rsid w:val="00800784"/>
    <w:rsid w:val="00800812"/>
    <w:rsid w:val="0080083D"/>
    <w:rsid w:val="0080083F"/>
    <w:rsid w:val="008008DF"/>
    <w:rsid w:val="008008E5"/>
    <w:rsid w:val="00800969"/>
    <w:rsid w:val="00800990"/>
    <w:rsid w:val="008009BD"/>
    <w:rsid w:val="008009D4"/>
    <w:rsid w:val="00800A3D"/>
    <w:rsid w:val="00800A52"/>
    <w:rsid w:val="00800A8E"/>
    <w:rsid w:val="00800BB8"/>
    <w:rsid w:val="00800C1C"/>
    <w:rsid w:val="00800C97"/>
    <w:rsid w:val="00800C98"/>
    <w:rsid w:val="00800CB9"/>
    <w:rsid w:val="00800CE7"/>
    <w:rsid w:val="00800D25"/>
    <w:rsid w:val="00800E14"/>
    <w:rsid w:val="00800E5A"/>
    <w:rsid w:val="00800E96"/>
    <w:rsid w:val="00800EB9"/>
    <w:rsid w:val="00800EF6"/>
    <w:rsid w:val="00800F52"/>
    <w:rsid w:val="00800F55"/>
    <w:rsid w:val="00801097"/>
    <w:rsid w:val="0080110B"/>
    <w:rsid w:val="00801194"/>
    <w:rsid w:val="00801251"/>
    <w:rsid w:val="0080129F"/>
    <w:rsid w:val="0080130D"/>
    <w:rsid w:val="00801362"/>
    <w:rsid w:val="00801372"/>
    <w:rsid w:val="008013A9"/>
    <w:rsid w:val="008013AC"/>
    <w:rsid w:val="00801441"/>
    <w:rsid w:val="00801454"/>
    <w:rsid w:val="00801476"/>
    <w:rsid w:val="00801512"/>
    <w:rsid w:val="008015B4"/>
    <w:rsid w:val="0080160D"/>
    <w:rsid w:val="0080162F"/>
    <w:rsid w:val="00801711"/>
    <w:rsid w:val="00801740"/>
    <w:rsid w:val="00801754"/>
    <w:rsid w:val="0080178B"/>
    <w:rsid w:val="0080179E"/>
    <w:rsid w:val="008017A4"/>
    <w:rsid w:val="008017DA"/>
    <w:rsid w:val="00801878"/>
    <w:rsid w:val="008018FF"/>
    <w:rsid w:val="00801913"/>
    <w:rsid w:val="00801A0D"/>
    <w:rsid w:val="00801AD2"/>
    <w:rsid w:val="00801B07"/>
    <w:rsid w:val="00801C6C"/>
    <w:rsid w:val="00801D90"/>
    <w:rsid w:val="00801DA0"/>
    <w:rsid w:val="00801E0D"/>
    <w:rsid w:val="00801E66"/>
    <w:rsid w:val="00801F7D"/>
    <w:rsid w:val="00801FF9"/>
    <w:rsid w:val="0080203C"/>
    <w:rsid w:val="008020C5"/>
    <w:rsid w:val="0080219D"/>
    <w:rsid w:val="008021D4"/>
    <w:rsid w:val="00802216"/>
    <w:rsid w:val="0080221D"/>
    <w:rsid w:val="008022D9"/>
    <w:rsid w:val="00802370"/>
    <w:rsid w:val="0080239D"/>
    <w:rsid w:val="008023F7"/>
    <w:rsid w:val="00802443"/>
    <w:rsid w:val="00802447"/>
    <w:rsid w:val="00802451"/>
    <w:rsid w:val="00802488"/>
    <w:rsid w:val="0080248D"/>
    <w:rsid w:val="00802512"/>
    <w:rsid w:val="00802642"/>
    <w:rsid w:val="00802667"/>
    <w:rsid w:val="00802680"/>
    <w:rsid w:val="00802700"/>
    <w:rsid w:val="00802738"/>
    <w:rsid w:val="008027F8"/>
    <w:rsid w:val="00802864"/>
    <w:rsid w:val="0080290E"/>
    <w:rsid w:val="008029A2"/>
    <w:rsid w:val="008029DC"/>
    <w:rsid w:val="00802A77"/>
    <w:rsid w:val="00802B83"/>
    <w:rsid w:val="00802BA9"/>
    <w:rsid w:val="00802C25"/>
    <w:rsid w:val="00802C5D"/>
    <w:rsid w:val="00802CDB"/>
    <w:rsid w:val="00802D0B"/>
    <w:rsid w:val="00802D4C"/>
    <w:rsid w:val="00802D9D"/>
    <w:rsid w:val="00802EF3"/>
    <w:rsid w:val="00802FDF"/>
    <w:rsid w:val="008030AB"/>
    <w:rsid w:val="008030D5"/>
    <w:rsid w:val="00803116"/>
    <w:rsid w:val="0080311A"/>
    <w:rsid w:val="00803206"/>
    <w:rsid w:val="00803229"/>
    <w:rsid w:val="00803288"/>
    <w:rsid w:val="008032AD"/>
    <w:rsid w:val="008032D3"/>
    <w:rsid w:val="008032E2"/>
    <w:rsid w:val="0080338A"/>
    <w:rsid w:val="008033B4"/>
    <w:rsid w:val="00803447"/>
    <w:rsid w:val="00803490"/>
    <w:rsid w:val="008034CC"/>
    <w:rsid w:val="008035A5"/>
    <w:rsid w:val="0080364A"/>
    <w:rsid w:val="00803677"/>
    <w:rsid w:val="008036DB"/>
    <w:rsid w:val="008038D0"/>
    <w:rsid w:val="00803947"/>
    <w:rsid w:val="008039AC"/>
    <w:rsid w:val="008039BB"/>
    <w:rsid w:val="00803A85"/>
    <w:rsid w:val="00803AC5"/>
    <w:rsid w:val="00803AF8"/>
    <w:rsid w:val="00803B68"/>
    <w:rsid w:val="00803D12"/>
    <w:rsid w:val="00803DF6"/>
    <w:rsid w:val="00803E87"/>
    <w:rsid w:val="00803F17"/>
    <w:rsid w:val="00803F21"/>
    <w:rsid w:val="00803F41"/>
    <w:rsid w:val="00803FCC"/>
    <w:rsid w:val="00804002"/>
    <w:rsid w:val="00804032"/>
    <w:rsid w:val="00804039"/>
    <w:rsid w:val="008040A2"/>
    <w:rsid w:val="008040DA"/>
    <w:rsid w:val="00804164"/>
    <w:rsid w:val="00804315"/>
    <w:rsid w:val="0080431A"/>
    <w:rsid w:val="00804443"/>
    <w:rsid w:val="00804574"/>
    <w:rsid w:val="00804632"/>
    <w:rsid w:val="0080466B"/>
    <w:rsid w:val="00804698"/>
    <w:rsid w:val="008046F7"/>
    <w:rsid w:val="00804757"/>
    <w:rsid w:val="00804829"/>
    <w:rsid w:val="00804837"/>
    <w:rsid w:val="008048CC"/>
    <w:rsid w:val="0080491A"/>
    <w:rsid w:val="008049B4"/>
    <w:rsid w:val="00804A34"/>
    <w:rsid w:val="00804A8A"/>
    <w:rsid w:val="00804A91"/>
    <w:rsid w:val="00804ACD"/>
    <w:rsid w:val="00804B9F"/>
    <w:rsid w:val="00804C4D"/>
    <w:rsid w:val="00804D09"/>
    <w:rsid w:val="00804D2B"/>
    <w:rsid w:val="00804D70"/>
    <w:rsid w:val="00804D89"/>
    <w:rsid w:val="00804DBA"/>
    <w:rsid w:val="00804E3C"/>
    <w:rsid w:val="00804E4E"/>
    <w:rsid w:val="00804F15"/>
    <w:rsid w:val="00804F53"/>
    <w:rsid w:val="00804F73"/>
    <w:rsid w:val="00804F7D"/>
    <w:rsid w:val="00804F83"/>
    <w:rsid w:val="008050DE"/>
    <w:rsid w:val="0080515D"/>
    <w:rsid w:val="00805215"/>
    <w:rsid w:val="0080522A"/>
    <w:rsid w:val="0080531A"/>
    <w:rsid w:val="00805374"/>
    <w:rsid w:val="008053A6"/>
    <w:rsid w:val="008053C7"/>
    <w:rsid w:val="008053F6"/>
    <w:rsid w:val="00805419"/>
    <w:rsid w:val="00805456"/>
    <w:rsid w:val="0080546D"/>
    <w:rsid w:val="008054D9"/>
    <w:rsid w:val="00805529"/>
    <w:rsid w:val="00805578"/>
    <w:rsid w:val="0080560D"/>
    <w:rsid w:val="0080563A"/>
    <w:rsid w:val="00805790"/>
    <w:rsid w:val="00805866"/>
    <w:rsid w:val="008058F9"/>
    <w:rsid w:val="0080590F"/>
    <w:rsid w:val="0080598D"/>
    <w:rsid w:val="00805A05"/>
    <w:rsid w:val="00805A2B"/>
    <w:rsid w:val="00805B39"/>
    <w:rsid w:val="00805BED"/>
    <w:rsid w:val="00805C23"/>
    <w:rsid w:val="00805C49"/>
    <w:rsid w:val="00805CB3"/>
    <w:rsid w:val="00805CBD"/>
    <w:rsid w:val="00805CD7"/>
    <w:rsid w:val="00805D51"/>
    <w:rsid w:val="00805D67"/>
    <w:rsid w:val="00805DA9"/>
    <w:rsid w:val="00805E2C"/>
    <w:rsid w:val="00805E8D"/>
    <w:rsid w:val="00805F30"/>
    <w:rsid w:val="00805F5E"/>
    <w:rsid w:val="00805FD6"/>
    <w:rsid w:val="0080601F"/>
    <w:rsid w:val="0080603A"/>
    <w:rsid w:val="0080615B"/>
    <w:rsid w:val="0080618E"/>
    <w:rsid w:val="00806197"/>
    <w:rsid w:val="008061AC"/>
    <w:rsid w:val="008061D1"/>
    <w:rsid w:val="008061E2"/>
    <w:rsid w:val="00806253"/>
    <w:rsid w:val="00806294"/>
    <w:rsid w:val="00806394"/>
    <w:rsid w:val="008064C1"/>
    <w:rsid w:val="008064C7"/>
    <w:rsid w:val="008064EB"/>
    <w:rsid w:val="0080657F"/>
    <w:rsid w:val="008065B8"/>
    <w:rsid w:val="0080665E"/>
    <w:rsid w:val="00806688"/>
    <w:rsid w:val="008066BC"/>
    <w:rsid w:val="0080670D"/>
    <w:rsid w:val="0080679A"/>
    <w:rsid w:val="00806801"/>
    <w:rsid w:val="0080680C"/>
    <w:rsid w:val="0080686F"/>
    <w:rsid w:val="008068B2"/>
    <w:rsid w:val="008068D0"/>
    <w:rsid w:val="00806921"/>
    <w:rsid w:val="0080696B"/>
    <w:rsid w:val="00806972"/>
    <w:rsid w:val="008069B0"/>
    <w:rsid w:val="00806A04"/>
    <w:rsid w:val="00806A26"/>
    <w:rsid w:val="00806A5B"/>
    <w:rsid w:val="00806A61"/>
    <w:rsid w:val="00806ADF"/>
    <w:rsid w:val="00806B64"/>
    <w:rsid w:val="00806C37"/>
    <w:rsid w:val="00806CB1"/>
    <w:rsid w:val="00806DB0"/>
    <w:rsid w:val="00806DB2"/>
    <w:rsid w:val="00806E62"/>
    <w:rsid w:val="00806E80"/>
    <w:rsid w:val="00806F2F"/>
    <w:rsid w:val="00806F63"/>
    <w:rsid w:val="00806FB2"/>
    <w:rsid w:val="00806FD1"/>
    <w:rsid w:val="0080702E"/>
    <w:rsid w:val="0080708C"/>
    <w:rsid w:val="0080716D"/>
    <w:rsid w:val="008071FA"/>
    <w:rsid w:val="00807212"/>
    <w:rsid w:val="0080721A"/>
    <w:rsid w:val="0080728C"/>
    <w:rsid w:val="00807307"/>
    <w:rsid w:val="00807340"/>
    <w:rsid w:val="00807402"/>
    <w:rsid w:val="00807409"/>
    <w:rsid w:val="00807477"/>
    <w:rsid w:val="008074AF"/>
    <w:rsid w:val="00807505"/>
    <w:rsid w:val="008075A1"/>
    <w:rsid w:val="008075FE"/>
    <w:rsid w:val="008076D3"/>
    <w:rsid w:val="00807743"/>
    <w:rsid w:val="00807757"/>
    <w:rsid w:val="008077A0"/>
    <w:rsid w:val="008077DB"/>
    <w:rsid w:val="0080780B"/>
    <w:rsid w:val="0080786D"/>
    <w:rsid w:val="00807891"/>
    <w:rsid w:val="008078EF"/>
    <w:rsid w:val="008078FF"/>
    <w:rsid w:val="0080791E"/>
    <w:rsid w:val="00807925"/>
    <w:rsid w:val="008079FE"/>
    <w:rsid w:val="00807A3E"/>
    <w:rsid w:val="00807A6A"/>
    <w:rsid w:val="00807A8C"/>
    <w:rsid w:val="00807A9E"/>
    <w:rsid w:val="00807B19"/>
    <w:rsid w:val="00807BF8"/>
    <w:rsid w:val="00807CB0"/>
    <w:rsid w:val="00807D29"/>
    <w:rsid w:val="00807D9B"/>
    <w:rsid w:val="00807DA4"/>
    <w:rsid w:val="00807DE8"/>
    <w:rsid w:val="00807E36"/>
    <w:rsid w:val="00807E6C"/>
    <w:rsid w:val="00807EC2"/>
    <w:rsid w:val="00807F78"/>
    <w:rsid w:val="0081000B"/>
    <w:rsid w:val="0081002C"/>
    <w:rsid w:val="0081007D"/>
    <w:rsid w:val="008100B2"/>
    <w:rsid w:val="0081014B"/>
    <w:rsid w:val="0081023F"/>
    <w:rsid w:val="00810274"/>
    <w:rsid w:val="00810298"/>
    <w:rsid w:val="008102AC"/>
    <w:rsid w:val="008102FC"/>
    <w:rsid w:val="00810338"/>
    <w:rsid w:val="0081036E"/>
    <w:rsid w:val="00810371"/>
    <w:rsid w:val="0081038E"/>
    <w:rsid w:val="008103B8"/>
    <w:rsid w:val="008103DA"/>
    <w:rsid w:val="00810411"/>
    <w:rsid w:val="00810464"/>
    <w:rsid w:val="008104B2"/>
    <w:rsid w:val="008104E4"/>
    <w:rsid w:val="00810548"/>
    <w:rsid w:val="0081054D"/>
    <w:rsid w:val="00810561"/>
    <w:rsid w:val="008105B0"/>
    <w:rsid w:val="00810694"/>
    <w:rsid w:val="008106AE"/>
    <w:rsid w:val="00810741"/>
    <w:rsid w:val="0081074D"/>
    <w:rsid w:val="0081075B"/>
    <w:rsid w:val="00810763"/>
    <w:rsid w:val="00810814"/>
    <w:rsid w:val="00810848"/>
    <w:rsid w:val="00810861"/>
    <w:rsid w:val="00810891"/>
    <w:rsid w:val="00810948"/>
    <w:rsid w:val="00810990"/>
    <w:rsid w:val="008109DA"/>
    <w:rsid w:val="008109F8"/>
    <w:rsid w:val="00810A15"/>
    <w:rsid w:val="00810A89"/>
    <w:rsid w:val="00810A8F"/>
    <w:rsid w:val="00810AC0"/>
    <w:rsid w:val="00810B2A"/>
    <w:rsid w:val="00810B53"/>
    <w:rsid w:val="00810C8D"/>
    <w:rsid w:val="00810CCB"/>
    <w:rsid w:val="00810D02"/>
    <w:rsid w:val="00810D4D"/>
    <w:rsid w:val="00810D8E"/>
    <w:rsid w:val="00810D91"/>
    <w:rsid w:val="00810ED3"/>
    <w:rsid w:val="00810F9B"/>
    <w:rsid w:val="0081105A"/>
    <w:rsid w:val="008110C5"/>
    <w:rsid w:val="00811145"/>
    <w:rsid w:val="008111A2"/>
    <w:rsid w:val="008111E3"/>
    <w:rsid w:val="0081121B"/>
    <w:rsid w:val="00811221"/>
    <w:rsid w:val="0081124F"/>
    <w:rsid w:val="00811262"/>
    <w:rsid w:val="00811272"/>
    <w:rsid w:val="0081137D"/>
    <w:rsid w:val="008113D3"/>
    <w:rsid w:val="008113DB"/>
    <w:rsid w:val="008113E3"/>
    <w:rsid w:val="0081143B"/>
    <w:rsid w:val="0081149F"/>
    <w:rsid w:val="008114D3"/>
    <w:rsid w:val="00811527"/>
    <w:rsid w:val="008115D9"/>
    <w:rsid w:val="0081164C"/>
    <w:rsid w:val="00811694"/>
    <w:rsid w:val="008117CE"/>
    <w:rsid w:val="00811882"/>
    <w:rsid w:val="008118C0"/>
    <w:rsid w:val="008118D4"/>
    <w:rsid w:val="008118DD"/>
    <w:rsid w:val="00811920"/>
    <w:rsid w:val="00811A1D"/>
    <w:rsid w:val="00811C14"/>
    <w:rsid w:val="00811C1F"/>
    <w:rsid w:val="00811CB7"/>
    <w:rsid w:val="00811CBD"/>
    <w:rsid w:val="00811CC9"/>
    <w:rsid w:val="00811D32"/>
    <w:rsid w:val="00811DB3"/>
    <w:rsid w:val="00811DD3"/>
    <w:rsid w:val="00811E4C"/>
    <w:rsid w:val="00811EE5"/>
    <w:rsid w:val="00811F44"/>
    <w:rsid w:val="00811F7D"/>
    <w:rsid w:val="00811F9B"/>
    <w:rsid w:val="0081201F"/>
    <w:rsid w:val="00812044"/>
    <w:rsid w:val="008120E7"/>
    <w:rsid w:val="00812189"/>
    <w:rsid w:val="008121A8"/>
    <w:rsid w:val="00812282"/>
    <w:rsid w:val="00812336"/>
    <w:rsid w:val="00812366"/>
    <w:rsid w:val="0081236B"/>
    <w:rsid w:val="00812487"/>
    <w:rsid w:val="008124B5"/>
    <w:rsid w:val="00812526"/>
    <w:rsid w:val="00812555"/>
    <w:rsid w:val="0081258B"/>
    <w:rsid w:val="008125DE"/>
    <w:rsid w:val="008125FF"/>
    <w:rsid w:val="0081265D"/>
    <w:rsid w:val="008126B9"/>
    <w:rsid w:val="008126BD"/>
    <w:rsid w:val="008127BD"/>
    <w:rsid w:val="008127E4"/>
    <w:rsid w:val="00812803"/>
    <w:rsid w:val="00812832"/>
    <w:rsid w:val="008128BF"/>
    <w:rsid w:val="00812912"/>
    <w:rsid w:val="00812946"/>
    <w:rsid w:val="00812992"/>
    <w:rsid w:val="008129BE"/>
    <w:rsid w:val="008129CB"/>
    <w:rsid w:val="00812C9B"/>
    <w:rsid w:val="00812EBA"/>
    <w:rsid w:val="00812F56"/>
    <w:rsid w:val="00812F71"/>
    <w:rsid w:val="008130C5"/>
    <w:rsid w:val="0081313A"/>
    <w:rsid w:val="008131C0"/>
    <w:rsid w:val="008132FA"/>
    <w:rsid w:val="00813376"/>
    <w:rsid w:val="008133A8"/>
    <w:rsid w:val="00813442"/>
    <w:rsid w:val="008134EA"/>
    <w:rsid w:val="00813505"/>
    <w:rsid w:val="00813587"/>
    <w:rsid w:val="008135D4"/>
    <w:rsid w:val="00813766"/>
    <w:rsid w:val="008139D3"/>
    <w:rsid w:val="008139E5"/>
    <w:rsid w:val="00813A26"/>
    <w:rsid w:val="00813A64"/>
    <w:rsid w:val="00813B11"/>
    <w:rsid w:val="00813B52"/>
    <w:rsid w:val="00813B9F"/>
    <w:rsid w:val="00813BA2"/>
    <w:rsid w:val="00813BD9"/>
    <w:rsid w:val="00813BFA"/>
    <w:rsid w:val="00813C3E"/>
    <w:rsid w:val="00813CDE"/>
    <w:rsid w:val="00813D34"/>
    <w:rsid w:val="00813D3B"/>
    <w:rsid w:val="00813DC7"/>
    <w:rsid w:val="00813E28"/>
    <w:rsid w:val="00813E2C"/>
    <w:rsid w:val="00813E80"/>
    <w:rsid w:val="00813F1F"/>
    <w:rsid w:val="00813F24"/>
    <w:rsid w:val="00813F58"/>
    <w:rsid w:val="00813F6B"/>
    <w:rsid w:val="00813F7A"/>
    <w:rsid w:val="00813F9B"/>
    <w:rsid w:val="008140E2"/>
    <w:rsid w:val="00814140"/>
    <w:rsid w:val="008141D7"/>
    <w:rsid w:val="00814239"/>
    <w:rsid w:val="0081424B"/>
    <w:rsid w:val="008142B7"/>
    <w:rsid w:val="00814323"/>
    <w:rsid w:val="00814351"/>
    <w:rsid w:val="00814424"/>
    <w:rsid w:val="0081442A"/>
    <w:rsid w:val="008144BC"/>
    <w:rsid w:val="00814545"/>
    <w:rsid w:val="008145E7"/>
    <w:rsid w:val="008145FE"/>
    <w:rsid w:val="00814613"/>
    <w:rsid w:val="00814640"/>
    <w:rsid w:val="008146EC"/>
    <w:rsid w:val="0081476E"/>
    <w:rsid w:val="008147A1"/>
    <w:rsid w:val="008147A3"/>
    <w:rsid w:val="008147E5"/>
    <w:rsid w:val="00814887"/>
    <w:rsid w:val="00814899"/>
    <w:rsid w:val="008148E4"/>
    <w:rsid w:val="008149B4"/>
    <w:rsid w:val="008149EF"/>
    <w:rsid w:val="00814AB4"/>
    <w:rsid w:val="00814B67"/>
    <w:rsid w:val="00814B71"/>
    <w:rsid w:val="00814BCE"/>
    <w:rsid w:val="00814C41"/>
    <w:rsid w:val="00814C64"/>
    <w:rsid w:val="00814C76"/>
    <w:rsid w:val="00814D04"/>
    <w:rsid w:val="00814D0D"/>
    <w:rsid w:val="00814D1A"/>
    <w:rsid w:val="00814D65"/>
    <w:rsid w:val="00814E53"/>
    <w:rsid w:val="00814E9A"/>
    <w:rsid w:val="00814EB1"/>
    <w:rsid w:val="00814F06"/>
    <w:rsid w:val="00814F79"/>
    <w:rsid w:val="00814FDF"/>
    <w:rsid w:val="0081505B"/>
    <w:rsid w:val="00815073"/>
    <w:rsid w:val="008150BA"/>
    <w:rsid w:val="008151ED"/>
    <w:rsid w:val="008152A3"/>
    <w:rsid w:val="008152B5"/>
    <w:rsid w:val="008152D4"/>
    <w:rsid w:val="0081531C"/>
    <w:rsid w:val="008153B0"/>
    <w:rsid w:val="008153E7"/>
    <w:rsid w:val="00815450"/>
    <w:rsid w:val="0081553A"/>
    <w:rsid w:val="008155D0"/>
    <w:rsid w:val="00815640"/>
    <w:rsid w:val="00815705"/>
    <w:rsid w:val="008157F1"/>
    <w:rsid w:val="008157FA"/>
    <w:rsid w:val="00815817"/>
    <w:rsid w:val="0081585A"/>
    <w:rsid w:val="00815877"/>
    <w:rsid w:val="008158C8"/>
    <w:rsid w:val="008159AB"/>
    <w:rsid w:val="008159DD"/>
    <w:rsid w:val="00815A70"/>
    <w:rsid w:val="00815CF9"/>
    <w:rsid w:val="00815D5A"/>
    <w:rsid w:val="00815D8E"/>
    <w:rsid w:val="00815D98"/>
    <w:rsid w:val="00815E00"/>
    <w:rsid w:val="00815E0C"/>
    <w:rsid w:val="00815E46"/>
    <w:rsid w:val="00815E6B"/>
    <w:rsid w:val="00815E7F"/>
    <w:rsid w:val="00815EB5"/>
    <w:rsid w:val="008161E4"/>
    <w:rsid w:val="00816266"/>
    <w:rsid w:val="008163BE"/>
    <w:rsid w:val="008163EF"/>
    <w:rsid w:val="0081641E"/>
    <w:rsid w:val="00816467"/>
    <w:rsid w:val="00816470"/>
    <w:rsid w:val="008164E2"/>
    <w:rsid w:val="00816561"/>
    <w:rsid w:val="008165E8"/>
    <w:rsid w:val="00816609"/>
    <w:rsid w:val="00816661"/>
    <w:rsid w:val="008166E3"/>
    <w:rsid w:val="008166F2"/>
    <w:rsid w:val="00816789"/>
    <w:rsid w:val="008167DD"/>
    <w:rsid w:val="00816805"/>
    <w:rsid w:val="00816838"/>
    <w:rsid w:val="008168CA"/>
    <w:rsid w:val="008168E9"/>
    <w:rsid w:val="0081695A"/>
    <w:rsid w:val="00816AF6"/>
    <w:rsid w:val="00816AFC"/>
    <w:rsid w:val="00816B9E"/>
    <w:rsid w:val="00816BD7"/>
    <w:rsid w:val="00816BFE"/>
    <w:rsid w:val="00816C4D"/>
    <w:rsid w:val="00816CA3"/>
    <w:rsid w:val="00816D2B"/>
    <w:rsid w:val="00816D4E"/>
    <w:rsid w:val="00816DAC"/>
    <w:rsid w:val="00816DB3"/>
    <w:rsid w:val="00816EC2"/>
    <w:rsid w:val="00816EFD"/>
    <w:rsid w:val="00816F11"/>
    <w:rsid w:val="00816FD1"/>
    <w:rsid w:val="00817019"/>
    <w:rsid w:val="0081701B"/>
    <w:rsid w:val="008170CF"/>
    <w:rsid w:val="00817116"/>
    <w:rsid w:val="00817117"/>
    <w:rsid w:val="00817159"/>
    <w:rsid w:val="0081717A"/>
    <w:rsid w:val="008171B3"/>
    <w:rsid w:val="008171E2"/>
    <w:rsid w:val="0081720A"/>
    <w:rsid w:val="008172A5"/>
    <w:rsid w:val="008172B2"/>
    <w:rsid w:val="0081734D"/>
    <w:rsid w:val="0081735C"/>
    <w:rsid w:val="0081738F"/>
    <w:rsid w:val="008173EF"/>
    <w:rsid w:val="00817509"/>
    <w:rsid w:val="00817569"/>
    <w:rsid w:val="0081757F"/>
    <w:rsid w:val="008175A4"/>
    <w:rsid w:val="0081760C"/>
    <w:rsid w:val="00817628"/>
    <w:rsid w:val="008176A9"/>
    <w:rsid w:val="00817705"/>
    <w:rsid w:val="00817744"/>
    <w:rsid w:val="0081774D"/>
    <w:rsid w:val="008178A6"/>
    <w:rsid w:val="008179D4"/>
    <w:rsid w:val="008179F6"/>
    <w:rsid w:val="00817A32"/>
    <w:rsid w:val="00817A75"/>
    <w:rsid w:val="00817A9D"/>
    <w:rsid w:val="00817B92"/>
    <w:rsid w:val="00817B99"/>
    <w:rsid w:val="00817C0E"/>
    <w:rsid w:val="00817C6E"/>
    <w:rsid w:val="00817C7E"/>
    <w:rsid w:val="00817C83"/>
    <w:rsid w:val="00817C9E"/>
    <w:rsid w:val="00817D05"/>
    <w:rsid w:val="00817D27"/>
    <w:rsid w:val="00817D68"/>
    <w:rsid w:val="00817EAA"/>
    <w:rsid w:val="00817EE8"/>
    <w:rsid w:val="00817F31"/>
    <w:rsid w:val="00817F3A"/>
    <w:rsid w:val="00817FF2"/>
    <w:rsid w:val="00820029"/>
    <w:rsid w:val="00820031"/>
    <w:rsid w:val="0082004C"/>
    <w:rsid w:val="008200A5"/>
    <w:rsid w:val="00820124"/>
    <w:rsid w:val="008201AA"/>
    <w:rsid w:val="008201AC"/>
    <w:rsid w:val="008201B3"/>
    <w:rsid w:val="008201CE"/>
    <w:rsid w:val="008201F2"/>
    <w:rsid w:val="0082020C"/>
    <w:rsid w:val="0082020F"/>
    <w:rsid w:val="00820239"/>
    <w:rsid w:val="00820292"/>
    <w:rsid w:val="0082035F"/>
    <w:rsid w:val="0082036C"/>
    <w:rsid w:val="00820387"/>
    <w:rsid w:val="0082045E"/>
    <w:rsid w:val="00820473"/>
    <w:rsid w:val="008204DA"/>
    <w:rsid w:val="00820524"/>
    <w:rsid w:val="00820659"/>
    <w:rsid w:val="008206FF"/>
    <w:rsid w:val="00820726"/>
    <w:rsid w:val="00820808"/>
    <w:rsid w:val="00820930"/>
    <w:rsid w:val="00820AA0"/>
    <w:rsid w:val="00820AA2"/>
    <w:rsid w:val="00820AD4"/>
    <w:rsid w:val="00820AF4"/>
    <w:rsid w:val="00820BA3"/>
    <w:rsid w:val="00820BA9"/>
    <w:rsid w:val="00820BDF"/>
    <w:rsid w:val="00820C29"/>
    <w:rsid w:val="00820C3C"/>
    <w:rsid w:val="00820C58"/>
    <w:rsid w:val="00820CA4"/>
    <w:rsid w:val="00820E90"/>
    <w:rsid w:val="00820FF2"/>
    <w:rsid w:val="00821003"/>
    <w:rsid w:val="00821062"/>
    <w:rsid w:val="008210BF"/>
    <w:rsid w:val="008210E5"/>
    <w:rsid w:val="00821138"/>
    <w:rsid w:val="008211AF"/>
    <w:rsid w:val="00821202"/>
    <w:rsid w:val="0082126A"/>
    <w:rsid w:val="00821284"/>
    <w:rsid w:val="008212B1"/>
    <w:rsid w:val="008212CE"/>
    <w:rsid w:val="008212D8"/>
    <w:rsid w:val="008213B1"/>
    <w:rsid w:val="008213C0"/>
    <w:rsid w:val="008214AE"/>
    <w:rsid w:val="008214B3"/>
    <w:rsid w:val="008214C7"/>
    <w:rsid w:val="008215BF"/>
    <w:rsid w:val="00821619"/>
    <w:rsid w:val="00821643"/>
    <w:rsid w:val="00821653"/>
    <w:rsid w:val="00821705"/>
    <w:rsid w:val="0082170D"/>
    <w:rsid w:val="0082178B"/>
    <w:rsid w:val="0082181C"/>
    <w:rsid w:val="00821891"/>
    <w:rsid w:val="00821964"/>
    <w:rsid w:val="0082199C"/>
    <w:rsid w:val="008219E6"/>
    <w:rsid w:val="00821A12"/>
    <w:rsid w:val="00821A7C"/>
    <w:rsid w:val="00821A7E"/>
    <w:rsid w:val="00821AB2"/>
    <w:rsid w:val="00821BAA"/>
    <w:rsid w:val="00821BDD"/>
    <w:rsid w:val="00821C76"/>
    <w:rsid w:val="00821C8F"/>
    <w:rsid w:val="00821CA6"/>
    <w:rsid w:val="00821D8A"/>
    <w:rsid w:val="00821E88"/>
    <w:rsid w:val="00821F4E"/>
    <w:rsid w:val="008220AD"/>
    <w:rsid w:val="0082211E"/>
    <w:rsid w:val="00822360"/>
    <w:rsid w:val="00822384"/>
    <w:rsid w:val="008224FA"/>
    <w:rsid w:val="0082250E"/>
    <w:rsid w:val="0082256C"/>
    <w:rsid w:val="00822610"/>
    <w:rsid w:val="008226B8"/>
    <w:rsid w:val="008226E3"/>
    <w:rsid w:val="0082278E"/>
    <w:rsid w:val="008227BF"/>
    <w:rsid w:val="00822830"/>
    <w:rsid w:val="00822831"/>
    <w:rsid w:val="008228B9"/>
    <w:rsid w:val="008228BC"/>
    <w:rsid w:val="00822A57"/>
    <w:rsid w:val="00822A5B"/>
    <w:rsid w:val="00822A9C"/>
    <w:rsid w:val="00822AE3"/>
    <w:rsid w:val="00822BA9"/>
    <w:rsid w:val="00822C00"/>
    <w:rsid w:val="00822D2B"/>
    <w:rsid w:val="00822DD0"/>
    <w:rsid w:val="00822E36"/>
    <w:rsid w:val="00822E4C"/>
    <w:rsid w:val="00822EF4"/>
    <w:rsid w:val="00822F63"/>
    <w:rsid w:val="0082300D"/>
    <w:rsid w:val="0082304A"/>
    <w:rsid w:val="0082304E"/>
    <w:rsid w:val="0082305D"/>
    <w:rsid w:val="00823085"/>
    <w:rsid w:val="00823257"/>
    <w:rsid w:val="0082329F"/>
    <w:rsid w:val="008232B5"/>
    <w:rsid w:val="008232C2"/>
    <w:rsid w:val="008232F5"/>
    <w:rsid w:val="0082337D"/>
    <w:rsid w:val="0082339B"/>
    <w:rsid w:val="0082339C"/>
    <w:rsid w:val="008233CC"/>
    <w:rsid w:val="008233DF"/>
    <w:rsid w:val="008233EE"/>
    <w:rsid w:val="0082347B"/>
    <w:rsid w:val="008234F6"/>
    <w:rsid w:val="0082358B"/>
    <w:rsid w:val="008236A1"/>
    <w:rsid w:val="008236E1"/>
    <w:rsid w:val="00823760"/>
    <w:rsid w:val="00823804"/>
    <w:rsid w:val="00823849"/>
    <w:rsid w:val="0082389D"/>
    <w:rsid w:val="00823952"/>
    <w:rsid w:val="00823A4F"/>
    <w:rsid w:val="00823A79"/>
    <w:rsid w:val="00823B91"/>
    <w:rsid w:val="00823BDB"/>
    <w:rsid w:val="00823BDC"/>
    <w:rsid w:val="00823BF4"/>
    <w:rsid w:val="00823C1E"/>
    <w:rsid w:val="00823D58"/>
    <w:rsid w:val="00823E3E"/>
    <w:rsid w:val="00823E67"/>
    <w:rsid w:val="00823E6B"/>
    <w:rsid w:val="00823EEA"/>
    <w:rsid w:val="00823F63"/>
    <w:rsid w:val="00823FAB"/>
    <w:rsid w:val="00824012"/>
    <w:rsid w:val="00824029"/>
    <w:rsid w:val="00824234"/>
    <w:rsid w:val="0082424F"/>
    <w:rsid w:val="00824297"/>
    <w:rsid w:val="0082430A"/>
    <w:rsid w:val="00824333"/>
    <w:rsid w:val="008243CE"/>
    <w:rsid w:val="008243D4"/>
    <w:rsid w:val="008243FB"/>
    <w:rsid w:val="00824458"/>
    <w:rsid w:val="008244CE"/>
    <w:rsid w:val="008244E8"/>
    <w:rsid w:val="00824649"/>
    <w:rsid w:val="008247EC"/>
    <w:rsid w:val="00824904"/>
    <w:rsid w:val="00824950"/>
    <w:rsid w:val="0082496E"/>
    <w:rsid w:val="008249F7"/>
    <w:rsid w:val="00824A2E"/>
    <w:rsid w:val="00824A69"/>
    <w:rsid w:val="00824ABD"/>
    <w:rsid w:val="00824ABE"/>
    <w:rsid w:val="00824B74"/>
    <w:rsid w:val="00824D3F"/>
    <w:rsid w:val="00824D49"/>
    <w:rsid w:val="00824E0D"/>
    <w:rsid w:val="00824E6B"/>
    <w:rsid w:val="00824F19"/>
    <w:rsid w:val="00824FB9"/>
    <w:rsid w:val="0082509C"/>
    <w:rsid w:val="008251CD"/>
    <w:rsid w:val="008251CE"/>
    <w:rsid w:val="00825278"/>
    <w:rsid w:val="0082527C"/>
    <w:rsid w:val="00825281"/>
    <w:rsid w:val="0082528B"/>
    <w:rsid w:val="008252C7"/>
    <w:rsid w:val="00825358"/>
    <w:rsid w:val="00825436"/>
    <w:rsid w:val="00825538"/>
    <w:rsid w:val="008255A9"/>
    <w:rsid w:val="008255B8"/>
    <w:rsid w:val="00825778"/>
    <w:rsid w:val="008257D5"/>
    <w:rsid w:val="00825810"/>
    <w:rsid w:val="00825843"/>
    <w:rsid w:val="008258E6"/>
    <w:rsid w:val="008258F3"/>
    <w:rsid w:val="00825900"/>
    <w:rsid w:val="00825922"/>
    <w:rsid w:val="00825926"/>
    <w:rsid w:val="00825943"/>
    <w:rsid w:val="00825950"/>
    <w:rsid w:val="008259C4"/>
    <w:rsid w:val="00825A19"/>
    <w:rsid w:val="00825A61"/>
    <w:rsid w:val="00825AD9"/>
    <w:rsid w:val="00825DB0"/>
    <w:rsid w:val="00825E14"/>
    <w:rsid w:val="00825EE9"/>
    <w:rsid w:val="0082603D"/>
    <w:rsid w:val="008260F9"/>
    <w:rsid w:val="0082612A"/>
    <w:rsid w:val="00826131"/>
    <w:rsid w:val="008261E5"/>
    <w:rsid w:val="0082622B"/>
    <w:rsid w:val="0082631B"/>
    <w:rsid w:val="00826343"/>
    <w:rsid w:val="00826387"/>
    <w:rsid w:val="0082640E"/>
    <w:rsid w:val="00826412"/>
    <w:rsid w:val="00826487"/>
    <w:rsid w:val="00826564"/>
    <w:rsid w:val="0082658D"/>
    <w:rsid w:val="00826637"/>
    <w:rsid w:val="0082667B"/>
    <w:rsid w:val="008266AB"/>
    <w:rsid w:val="008266DD"/>
    <w:rsid w:val="0082673E"/>
    <w:rsid w:val="00826750"/>
    <w:rsid w:val="0082675F"/>
    <w:rsid w:val="008267E7"/>
    <w:rsid w:val="0082681A"/>
    <w:rsid w:val="00826825"/>
    <w:rsid w:val="00826838"/>
    <w:rsid w:val="00826842"/>
    <w:rsid w:val="008268EE"/>
    <w:rsid w:val="0082691E"/>
    <w:rsid w:val="00826950"/>
    <w:rsid w:val="00826999"/>
    <w:rsid w:val="00826A00"/>
    <w:rsid w:val="00826A1E"/>
    <w:rsid w:val="00826A29"/>
    <w:rsid w:val="00826A2C"/>
    <w:rsid w:val="00826A68"/>
    <w:rsid w:val="00826AF0"/>
    <w:rsid w:val="00826B39"/>
    <w:rsid w:val="00826B62"/>
    <w:rsid w:val="00826B6F"/>
    <w:rsid w:val="00826C04"/>
    <w:rsid w:val="00826D01"/>
    <w:rsid w:val="00826F1E"/>
    <w:rsid w:val="00826F2B"/>
    <w:rsid w:val="00826F6A"/>
    <w:rsid w:val="00826F84"/>
    <w:rsid w:val="00826F8E"/>
    <w:rsid w:val="00827018"/>
    <w:rsid w:val="00827027"/>
    <w:rsid w:val="00827067"/>
    <w:rsid w:val="008270A8"/>
    <w:rsid w:val="008270D2"/>
    <w:rsid w:val="008271B4"/>
    <w:rsid w:val="008271B6"/>
    <w:rsid w:val="008272B7"/>
    <w:rsid w:val="00827375"/>
    <w:rsid w:val="0082739C"/>
    <w:rsid w:val="008273B0"/>
    <w:rsid w:val="0082740A"/>
    <w:rsid w:val="0082746A"/>
    <w:rsid w:val="00827472"/>
    <w:rsid w:val="008274BA"/>
    <w:rsid w:val="008274D7"/>
    <w:rsid w:val="0082755F"/>
    <w:rsid w:val="00827586"/>
    <w:rsid w:val="0082762E"/>
    <w:rsid w:val="00827639"/>
    <w:rsid w:val="00827664"/>
    <w:rsid w:val="008276DE"/>
    <w:rsid w:val="008276F3"/>
    <w:rsid w:val="008278A8"/>
    <w:rsid w:val="00827931"/>
    <w:rsid w:val="00827969"/>
    <w:rsid w:val="00827989"/>
    <w:rsid w:val="008279DC"/>
    <w:rsid w:val="00827A70"/>
    <w:rsid w:val="00827B4F"/>
    <w:rsid w:val="00827B67"/>
    <w:rsid w:val="00827BA7"/>
    <w:rsid w:val="00827C81"/>
    <w:rsid w:val="00827C9D"/>
    <w:rsid w:val="00827D0A"/>
    <w:rsid w:val="00827E1E"/>
    <w:rsid w:val="00827E34"/>
    <w:rsid w:val="00827E3F"/>
    <w:rsid w:val="00827EB4"/>
    <w:rsid w:val="00827F30"/>
    <w:rsid w:val="00827F37"/>
    <w:rsid w:val="00827FB4"/>
    <w:rsid w:val="00827FDE"/>
    <w:rsid w:val="0083002A"/>
    <w:rsid w:val="008300F1"/>
    <w:rsid w:val="008301AC"/>
    <w:rsid w:val="00830231"/>
    <w:rsid w:val="0083025A"/>
    <w:rsid w:val="00830343"/>
    <w:rsid w:val="00830393"/>
    <w:rsid w:val="00830485"/>
    <w:rsid w:val="008304D5"/>
    <w:rsid w:val="008305C7"/>
    <w:rsid w:val="008305F0"/>
    <w:rsid w:val="00830646"/>
    <w:rsid w:val="00830684"/>
    <w:rsid w:val="008306AE"/>
    <w:rsid w:val="008308BE"/>
    <w:rsid w:val="008308E5"/>
    <w:rsid w:val="00830984"/>
    <w:rsid w:val="008309DD"/>
    <w:rsid w:val="00830C69"/>
    <w:rsid w:val="00830C73"/>
    <w:rsid w:val="00830CBC"/>
    <w:rsid w:val="00830DA8"/>
    <w:rsid w:val="00830DB5"/>
    <w:rsid w:val="00830DFE"/>
    <w:rsid w:val="00830E0E"/>
    <w:rsid w:val="00830E24"/>
    <w:rsid w:val="00830E85"/>
    <w:rsid w:val="00830F82"/>
    <w:rsid w:val="00830F93"/>
    <w:rsid w:val="00830FAB"/>
    <w:rsid w:val="0083102D"/>
    <w:rsid w:val="00831057"/>
    <w:rsid w:val="0083117B"/>
    <w:rsid w:val="00831279"/>
    <w:rsid w:val="008312EF"/>
    <w:rsid w:val="00831359"/>
    <w:rsid w:val="00831388"/>
    <w:rsid w:val="008313A4"/>
    <w:rsid w:val="00831407"/>
    <w:rsid w:val="008314A9"/>
    <w:rsid w:val="00831550"/>
    <w:rsid w:val="00831558"/>
    <w:rsid w:val="008315FD"/>
    <w:rsid w:val="00831651"/>
    <w:rsid w:val="00831707"/>
    <w:rsid w:val="00831744"/>
    <w:rsid w:val="00831777"/>
    <w:rsid w:val="0083189E"/>
    <w:rsid w:val="00831907"/>
    <w:rsid w:val="00831926"/>
    <w:rsid w:val="008319E6"/>
    <w:rsid w:val="00831AA9"/>
    <w:rsid w:val="00831B60"/>
    <w:rsid w:val="00831BC5"/>
    <w:rsid w:val="00831C74"/>
    <w:rsid w:val="00831C7F"/>
    <w:rsid w:val="00831C9C"/>
    <w:rsid w:val="00831CAB"/>
    <w:rsid w:val="00831CD3"/>
    <w:rsid w:val="00831D75"/>
    <w:rsid w:val="00831DAB"/>
    <w:rsid w:val="00831DD5"/>
    <w:rsid w:val="00831E6A"/>
    <w:rsid w:val="00831E7C"/>
    <w:rsid w:val="00831ED2"/>
    <w:rsid w:val="00831F20"/>
    <w:rsid w:val="00831F33"/>
    <w:rsid w:val="00831F6A"/>
    <w:rsid w:val="00831F99"/>
    <w:rsid w:val="00831FB4"/>
    <w:rsid w:val="00831FEC"/>
    <w:rsid w:val="008320B8"/>
    <w:rsid w:val="00832106"/>
    <w:rsid w:val="0083212B"/>
    <w:rsid w:val="00832177"/>
    <w:rsid w:val="00832178"/>
    <w:rsid w:val="0083225D"/>
    <w:rsid w:val="0083227D"/>
    <w:rsid w:val="00832293"/>
    <w:rsid w:val="008323B7"/>
    <w:rsid w:val="0083258F"/>
    <w:rsid w:val="00832678"/>
    <w:rsid w:val="008326FC"/>
    <w:rsid w:val="0083270A"/>
    <w:rsid w:val="00832729"/>
    <w:rsid w:val="00832739"/>
    <w:rsid w:val="008327E1"/>
    <w:rsid w:val="008327EA"/>
    <w:rsid w:val="00832803"/>
    <w:rsid w:val="00832828"/>
    <w:rsid w:val="00832861"/>
    <w:rsid w:val="008328EB"/>
    <w:rsid w:val="00832903"/>
    <w:rsid w:val="0083290D"/>
    <w:rsid w:val="0083297D"/>
    <w:rsid w:val="008329C1"/>
    <w:rsid w:val="00832A9E"/>
    <w:rsid w:val="00832B29"/>
    <w:rsid w:val="00832B3C"/>
    <w:rsid w:val="00832B78"/>
    <w:rsid w:val="00832BD6"/>
    <w:rsid w:val="00832BF0"/>
    <w:rsid w:val="00832C47"/>
    <w:rsid w:val="00832CFB"/>
    <w:rsid w:val="00832E0B"/>
    <w:rsid w:val="00832E1D"/>
    <w:rsid w:val="00832E3B"/>
    <w:rsid w:val="00832E89"/>
    <w:rsid w:val="00832F4B"/>
    <w:rsid w:val="00832F81"/>
    <w:rsid w:val="00832FAB"/>
    <w:rsid w:val="00832FB2"/>
    <w:rsid w:val="00832FC0"/>
    <w:rsid w:val="00833007"/>
    <w:rsid w:val="0083306C"/>
    <w:rsid w:val="008330A9"/>
    <w:rsid w:val="008330CA"/>
    <w:rsid w:val="0083319B"/>
    <w:rsid w:val="0083323C"/>
    <w:rsid w:val="0083331F"/>
    <w:rsid w:val="00833345"/>
    <w:rsid w:val="008333D6"/>
    <w:rsid w:val="00833428"/>
    <w:rsid w:val="00833462"/>
    <w:rsid w:val="00833483"/>
    <w:rsid w:val="0083348B"/>
    <w:rsid w:val="008334B2"/>
    <w:rsid w:val="0083351C"/>
    <w:rsid w:val="008335B5"/>
    <w:rsid w:val="0083367E"/>
    <w:rsid w:val="00833690"/>
    <w:rsid w:val="008337C5"/>
    <w:rsid w:val="008337E5"/>
    <w:rsid w:val="00833842"/>
    <w:rsid w:val="0083385A"/>
    <w:rsid w:val="0083386F"/>
    <w:rsid w:val="00833875"/>
    <w:rsid w:val="0083396D"/>
    <w:rsid w:val="00833A20"/>
    <w:rsid w:val="00833A39"/>
    <w:rsid w:val="00833A68"/>
    <w:rsid w:val="00833AE1"/>
    <w:rsid w:val="00833B1C"/>
    <w:rsid w:val="00833B90"/>
    <w:rsid w:val="00833C1C"/>
    <w:rsid w:val="00833C92"/>
    <w:rsid w:val="00833DD3"/>
    <w:rsid w:val="00833DF1"/>
    <w:rsid w:val="00833E8E"/>
    <w:rsid w:val="00833E99"/>
    <w:rsid w:val="00833EBC"/>
    <w:rsid w:val="00833ED9"/>
    <w:rsid w:val="0083406E"/>
    <w:rsid w:val="008340F2"/>
    <w:rsid w:val="00834100"/>
    <w:rsid w:val="0083413F"/>
    <w:rsid w:val="008341FE"/>
    <w:rsid w:val="00834275"/>
    <w:rsid w:val="008342BB"/>
    <w:rsid w:val="008342CC"/>
    <w:rsid w:val="00834329"/>
    <w:rsid w:val="0083436C"/>
    <w:rsid w:val="0083439D"/>
    <w:rsid w:val="008343A5"/>
    <w:rsid w:val="008343CC"/>
    <w:rsid w:val="0083442B"/>
    <w:rsid w:val="008344EE"/>
    <w:rsid w:val="00834729"/>
    <w:rsid w:val="00834734"/>
    <w:rsid w:val="0083479B"/>
    <w:rsid w:val="008347A7"/>
    <w:rsid w:val="00834824"/>
    <w:rsid w:val="0083492C"/>
    <w:rsid w:val="0083497B"/>
    <w:rsid w:val="0083498F"/>
    <w:rsid w:val="00834A03"/>
    <w:rsid w:val="00834A2B"/>
    <w:rsid w:val="00834A5A"/>
    <w:rsid w:val="00834AA6"/>
    <w:rsid w:val="00834AD1"/>
    <w:rsid w:val="00834C1A"/>
    <w:rsid w:val="00834C40"/>
    <w:rsid w:val="00834CE3"/>
    <w:rsid w:val="00834CF1"/>
    <w:rsid w:val="00834D28"/>
    <w:rsid w:val="00834D85"/>
    <w:rsid w:val="00834D91"/>
    <w:rsid w:val="00834DFD"/>
    <w:rsid w:val="00834EC8"/>
    <w:rsid w:val="00834F3C"/>
    <w:rsid w:val="00834F5E"/>
    <w:rsid w:val="00834FDC"/>
    <w:rsid w:val="00834FDE"/>
    <w:rsid w:val="00834FF1"/>
    <w:rsid w:val="0083516D"/>
    <w:rsid w:val="00835194"/>
    <w:rsid w:val="008351CB"/>
    <w:rsid w:val="008351DB"/>
    <w:rsid w:val="008351E4"/>
    <w:rsid w:val="00835233"/>
    <w:rsid w:val="00835271"/>
    <w:rsid w:val="00835321"/>
    <w:rsid w:val="008353AC"/>
    <w:rsid w:val="008353FA"/>
    <w:rsid w:val="00835440"/>
    <w:rsid w:val="00835489"/>
    <w:rsid w:val="00835493"/>
    <w:rsid w:val="0083555F"/>
    <w:rsid w:val="0083557B"/>
    <w:rsid w:val="008355F2"/>
    <w:rsid w:val="00835718"/>
    <w:rsid w:val="008357EF"/>
    <w:rsid w:val="00835844"/>
    <w:rsid w:val="0083589D"/>
    <w:rsid w:val="0083594A"/>
    <w:rsid w:val="008359A9"/>
    <w:rsid w:val="00835AE4"/>
    <w:rsid w:val="00835B01"/>
    <w:rsid w:val="00835B35"/>
    <w:rsid w:val="00835D0B"/>
    <w:rsid w:val="00835D0C"/>
    <w:rsid w:val="00835E52"/>
    <w:rsid w:val="00835EAF"/>
    <w:rsid w:val="00835EC9"/>
    <w:rsid w:val="00835F16"/>
    <w:rsid w:val="00835F35"/>
    <w:rsid w:val="00835F3C"/>
    <w:rsid w:val="00835F7C"/>
    <w:rsid w:val="00836038"/>
    <w:rsid w:val="00836099"/>
    <w:rsid w:val="008360DF"/>
    <w:rsid w:val="00836114"/>
    <w:rsid w:val="00836199"/>
    <w:rsid w:val="00836340"/>
    <w:rsid w:val="008363DE"/>
    <w:rsid w:val="008364B3"/>
    <w:rsid w:val="00836517"/>
    <w:rsid w:val="0083651F"/>
    <w:rsid w:val="00836593"/>
    <w:rsid w:val="008365D4"/>
    <w:rsid w:val="008366AC"/>
    <w:rsid w:val="00836715"/>
    <w:rsid w:val="00836716"/>
    <w:rsid w:val="0083673A"/>
    <w:rsid w:val="0083674C"/>
    <w:rsid w:val="008368BA"/>
    <w:rsid w:val="008369D7"/>
    <w:rsid w:val="00836A69"/>
    <w:rsid w:val="00836B1A"/>
    <w:rsid w:val="00836B81"/>
    <w:rsid w:val="00836BF1"/>
    <w:rsid w:val="00836BF7"/>
    <w:rsid w:val="00836C17"/>
    <w:rsid w:val="00836C35"/>
    <w:rsid w:val="00836C3B"/>
    <w:rsid w:val="00836CA1"/>
    <w:rsid w:val="00836D3B"/>
    <w:rsid w:val="00836E8D"/>
    <w:rsid w:val="00836EAF"/>
    <w:rsid w:val="00836F1E"/>
    <w:rsid w:val="00836F3D"/>
    <w:rsid w:val="00836F69"/>
    <w:rsid w:val="00836F6D"/>
    <w:rsid w:val="00836F80"/>
    <w:rsid w:val="00836FAB"/>
    <w:rsid w:val="00836FCB"/>
    <w:rsid w:val="0083705E"/>
    <w:rsid w:val="008370F2"/>
    <w:rsid w:val="00837115"/>
    <w:rsid w:val="00837125"/>
    <w:rsid w:val="008371AA"/>
    <w:rsid w:val="00837242"/>
    <w:rsid w:val="00837277"/>
    <w:rsid w:val="008372D6"/>
    <w:rsid w:val="0083738C"/>
    <w:rsid w:val="00837421"/>
    <w:rsid w:val="00837463"/>
    <w:rsid w:val="008374F0"/>
    <w:rsid w:val="00837664"/>
    <w:rsid w:val="008376AD"/>
    <w:rsid w:val="008376C9"/>
    <w:rsid w:val="008376DC"/>
    <w:rsid w:val="008376F9"/>
    <w:rsid w:val="0083778A"/>
    <w:rsid w:val="0083779D"/>
    <w:rsid w:val="008377B4"/>
    <w:rsid w:val="008377B8"/>
    <w:rsid w:val="008377F9"/>
    <w:rsid w:val="00837849"/>
    <w:rsid w:val="008378EB"/>
    <w:rsid w:val="008378F6"/>
    <w:rsid w:val="00837A02"/>
    <w:rsid w:val="00837ACE"/>
    <w:rsid w:val="00837B45"/>
    <w:rsid w:val="00837C25"/>
    <w:rsid w:val="00837C89"/>
    <w:rsid w:val="00837D2C"/>
    <w:rsid w:val="00837D75"/>
    <w:rsid w:val="00837DA2"/>
    <w:rsid w:val="00837DB1"/>
    <w:rsid w:val="00837DD6"/>
    <w:rsid w:val="00837E85"/>
    <w:rsid w:val="00837EB8"/>
    <w:rsid w:val="00837EDB"/>
    <w:rsid w:val="00837F8B"/>
    <w:rsid w:val="0084005F"/>
    <w:rsid w:val="00840100"/>
    <w:rsid w:val="0084015C"/>
    <w:rsid w:val="0084029E"/>
    <w:rsid w:val="008402A6"/>
    <w:rsid w:val="008402F0"/>
    <w:rsid w:val="008403DA"/>
    <w:rsid w:val="008404FA"/>
    <w:rsid w:val="008405FC"/>
    <w:rsid w:val="00840632"/>
    <w:rsid w:val="00840741"/>
    <w:rsid w:val="008407D9"/>
    <w:rsid w:val="0084087C"/>
    <w:rsid w:val="00840896"/>
    <w:rsid w:val="008408A1"/>
    <w:rsid w:val="0084091C"/>
    <w:rsid w:val="00840950"/>
    <w:rsid w:val="0084096E"/>
    <w:rsid w:val="0084099E"/>
    <w:rsid w:val="008409D0"/>
    <w:rsid w:val="008409E8"/>
    <w:rsid w:val="00840A66"/>
    <w:rsid w:val="00840A79"/>
    <w:rsid w:val="00840B69"/>
    <w:rsid w:val="00840B9F"/>
    <w:rsid w:val="00840BB8"/>
    <w:rsid w:val="00840C0E"/>
    <w:rsid w:val="00840C1E"/>
    <w:rsid w:val="00840C4C"/>
    <w:rsid w:val="00840D19"/>
    <w:rsid w:val="00840DD0"/>
    <w:rsid w:val="00840F09"/>
    <w:rsid w:val="00840F0C"/>
    <w:rsid w:val="00840F22"/>
    <w:rsid w:val="00840F2F"/>
    <w:rsid w:val="00840F75"/>
    <w:rsid w:val="00840FBF"/>
    <w:rsid w:val="00841073"/>
    <w:rsid w:val="0084113A"/>
    <w:rsid w:val="008412E3"/>
    <w:rsid w:val="00841310"/>
    <w:rsid w:val="00841338"/>
    <w:rsid w:val="00841388"/>
    <w:rsid w:val="00841391"/>
    <w:rsid w:val="008413AC"/>
    <w:rsid w:val="008413E9"/>
    <w:rsid w:val="008413F0"/>
    <w:rsid w:val="0084140D"/>
    <w:rsid w:val="00841478"/>
    <w:rsid w:val="008414D3"/>
    <w:rsid w:val="00841525"/>
    <w:rsid w:val="008416A6"/>
    <w:rsid w:val="0084175E"/>
    <w:rsid w:val="008417E9"/>
    <w:rsid w:val="00841874"/>
    <w:rsid w:val="00841876"/>
    <w:rsid w:val="00841880"/>
    <w:rsid w:val="008418AE"/>
    <w:rsid w:val="008418EB"/>
    <w:rsid w:val="00841908"/>
    <w:rsid w:val="00841950"/>
    <w:rsid w:val="008419A1"/>
    <w:rsid w:val="008419C3"/>
    <w:rsid w:val="00841A31"/>
    <w:rsid w:val="00841B06"/>
    <w:rsid w:val="00841B22"/>
    <w:rsid w:val="00841B59"/>
    <w:rsid w:val="00841BBD"/>
    <w:rsid w:val="00841BD2"/>
    <w:rsid w:val="00841BE5"/>
    <w:rsid w:val="00841BE9"/>
    <w:rsid w:val="00841C5D"/>
    <w:rsid w:val="00841CDF"/>
    <w:rsid w:val="00841D8E"/>
    <w:rsid w:val="00841DF5"/>
    <w:rsid w:val="00841E39"/>
    <w:rsid w:val="00841EC5"/>
    <w:rsid w:val="00841EFB"/>
    <w:rsid w:val="00841F44"/>
    <w:rsid w:val="00841F99"/>
    <w:rsid w:val="00841FD8"/>
    <w:rsid w:val="00842002"/>
    <w:rsid w:val="00842005"/>
    <w:rsid w:val="008420E4"/>
    <w:rsid w:val="008420F7"/>
    <w:rsid w:val="00842165"/>
    <w:rsid w:val="00842302"/>
    <w:rsid w:val="00842354"/>
    <w:rsid w:val="008423EF"/>
    <w:rsid w:val="008423F8"/>
    <w:rsid w:val="0084244B"/>
    <w:rsid w:val="00842596"/>
    <w:rsid w:val="008426B8"/>
    <w:rsid w:val="00842701"/>
    <w:rsid w:val="0084271B"/>
    <w:rsid w:val="00842725"/>
    <w:rsid w:val="00842893"/>
    <w:rsid w:val="008429F4"/>
    <w:rsid w:val="00842B3B"/>
    <w:rsid w:val="00842B7A"/>
    <w:rsid w:val="00842B94"/>
    <w:rsid w:val="00842BB4"/>
    <w:rsid w:val="00842C68"/>
    <w:rsid w:val="00842C6A"/>
    <w:rsid w:val="00842C7F"/>
    <w:rsid w:val="00842C82"/>
    <w:rsid w:val="00842C9A"/>
    <w:rsid w:val="00842DC3"/>
    <w:rsid w:val="00842DD7"/>
    <w:rsid w:val="00842E55"/>
    <w:rsid w:val="00842E99"/>
    <w:rsid w:val="00842EC8"/>
    <w:rsid w:val="00842F1B"/>
    <w:rsid w:val="00842FC4"/>
    <w:rsid w:val="00842FFF"/>
    <w:rsid w:val="00843137"/>
    <w:rsid w:val="00843165"/>
    <w:rsid w:val="0084316F"/>
    <w:rsid w:val="008431BD"/>
    <w:rsid w:val="008431E2"/>
    <w:rsid w:val="00843259"/>
    <w:rsid w:val="00843295"/>
    <w:rsid w:val="00843304"/>
    <w:rsid w:val="0084338E"/>
    <w:rsid w:val="00843430"/>
    <w:rsid w:val="00843448"/>
    <w:rsid w:val="00843597"/>
    <w:rsid w:val="008435D9"/>
    <w:rsid w:val="008435E1"/>
    <w:rsid w:val="0084361D"/>
    <w:rsid w:val="008436AB"/>
    <w:rsid w:val="008436D7"/>
    <w:rsid w:val="008436DE"/>
    <w:rsid w:val="0084370C"/>
    <w:rsid w:val="008437B3"/>
    <w:rsid w:val="008437C1"/>
    <w:rsid w:val="008437F3"/>
    <w:rsid w:val="0084380F"/>
    <w:rsid w:val="0084384B"/>
    <w:rsid w:val="0084385B"/>
    <w:rsid w:val="00843914"/>
    <w:rsid w:val="00843943"/>
    <w:rsid w:val="00843AA3"/>
    <w:rsid w:val="00843B2C"/>
    <w:rsid w:val="00843B66"/>
    <w:rsid w:val="00843D32"/>
    <w:rsid w:val="00843D3D"/>
    <w:rsid w:val="00843D66"/>
    <w:rsid w:val="00843D90"/>
    <w:rsid w:val="00843E0E"/>
    <w:rsid w:val="00843EBF"/>
    <w:rsid w:val="00843F5D"/>
    <w:rsid w:val="00844062"/>
    <w:rsid w:val="00844079"/>
    <w:rsid w:val="008440FE"/>
    <w:rsid w:val="00844180"/>
    <w:rsid w:val="0084418A"/>
    <w:rsid w:val="008441EE"/>
    <w:rsid w:val="00844270"/>
    <w:rsid w:val="008442B5"/>
    <w:rsid w:val="008442F7"/>
    <w:rsid w:val="00844311"/>
    <w:rsid w:val="00844320"/>
    <w:rsid w:val="0084432A"/>
    <w:rsid w:val="00844345"/>
    <w:rsid w:val="0084438A"/>
    <w:rsid w:val="0084438E"/>
    <w:rsid w:val="008443C8"/>
    <w:rsid w:val="008443D7"/>
    <w:rsid w:val="008444D2"/>
    <w:rsid w:val="0084459F"/>
    <w:rsid w:val="008445C1"/>
    <w:rsid w:val="008445CC"/>
    <w:rsid w:val="00844678"/>
    <w:rsid w:val="008446F9"/>
    <w:rsid w:val="0084477B"/>
    <w:rsid w:val="00844790"/>
    <w:rsid w:val="008447BD"/>
    <w:rsid w:val="008447C8"/>
    <w:rsid w:val="008447E7"/>
    <w:rsid w:val="00844806"/>
    <w:rsid w:val="00844866"/>
    <w:rsid w:val="00844887"/>
    <w:rsid w:val="00844945"/>
    <w:rsid w:val="00844955"/>
    <w:rsid w:val="00844989"/>
    <w:rsid w:val="00844995"/>
    <w:rsid w:val="00844997"/>
    <w:rsid w:val="00844A65"/>
    <w:rsid w:val="00844B08"/>
    <w:rsid w:val="00844C31"/>
    <w:rsid w:val="00844C96"/>
    <w:rsid w:val="00844CE9"/>
    <w:rsid w:val="00844CF7"/>
    <w:rsid w:val="00844D32"/>
    <w:rsid w:val="00844D5A"/>
    <w:rsid w:val="00844D89"/>
    <w:rsid w:val="00844DA3"/>
    <w:rsid w:val="00844DAC"/>
    <w:rsid w:val="00844DB6"/>
    <w:rsid w:val="00844DD2"/>
    <w:rsid w:val="00844E30"/>
    <w:rsid w:val="00844E95"/>
    <w:rsid w:val="00844EE9"/>
    <w:rsid w:val="00844F0E"/>
    <w:rsid w:val="00844FB6"/>
    <w:rsid w:val="008450D4"/>
    <w:rsid w:val="008450F2"/>
    <w:rsid w:val="00845155"/>
    <w:rsid w:val="008451A6"/>
    <w:rsid w:val="008451A8"/>
    <w:rsid w:val="00845271"/>
    <w:rsid w:val="0084529C"/>
    <w:rsid w:val="0084537B"/>
    <w:rsid w:val="008453A4"/>
    <w:rsid w:val="00845419"/>
    <w:rsid w:val="00845434"/>
    <w:rsid w:val="0084544E"/>
    <w:rsid w:val="00845561"/>
    <w:rsid w:val="0084557D"/>
    <w:rsid w:val="008457E0"/>
    <w:rsid w:val="008458FE"/>
    <w:rsid w:val="00845921"/>
    <w:rsid w:val="00845945"/>
    <w:rsid w:val="00845A4F"/>
    <w:rsid w:val="00845AD1"/>
    <w:rsid w:val="00845B35"/>
    <w:rsid w:val="00845B54"/>
    <w:rsid w:val="00845CAC"/>
    <w:rsid w:val="00845CC0"/>
    <w:rsid w:val="00845D3A"/>
    <w:rsid w:val="00845D78"/>
    <w:rsid w:val="00845DCF"/>
    <w:rsid w:val="00845E27"/>
    <w:rsid w:val="00845EDA"/>
    <w:rsid w:val="00845F34"/>
    <w:rsid w:val="00845FB4"/>
    <w:rsid w:val="00846016"/>
    <w:rsid w:val="00846088"/>
    <w:rsid w:val="008460CC"/>
    <w:rsid w:val="00846119"/>
    <w:rsid w:val="00846175"/>
    <w:rsid w:val="008461E3"/>
    <w:rsid w:val="00846206"/>
    <w:rsid w:val="00846232"/>
    <w:rsid w:val="00846270"/>
    <w:rsid w:val="0084629C"/>
    <w:rsid w:val="0084645F"/>
    <w:rsid w:val="008464CB"/>
    <w:rsid w:val="0084652C"/>
    <w:rsid w:val="00846573"/>
    <w:rsid w:val="0084658A"/>
    <w:rsid w:val="0084664B"/>
    <w:rsid w:val="008466BF"/>
    <w:rsid w:val="008466EE"/>
    <w:rsid w:val="0084673B"/>
    <w:rsid w:val="00846765"/>
    <w:rsid w:val="008467A7"/>
    <w:rsid w:val="0084683E"/>
    <w:rsid w:val="00846988"/>
    <w:rsid w:val="0084699F"/>
    <w:rsid w:val="008469B7"/>
    <w:rsid w:val="008469BF"/>
    <w:rsid w:val="008469C7"/>
    <w:rsid w:val="00846AC0"/>
    <w:rsid w:val="00846AED"/>
    <w:rsid w:val="00846B64"/>
    <w:rsid w:val="00846C73"/>
    <w:rsid w:val="00846D02"/>
    <w:rsid w:val="00846D50"/>
    <w:rsid w:val="00846D75"/>
    <w:rsid w:val="00846DB7"/>
    <w:rsid w:val="00846F28"/>
    <w:rsid w:val="00846FEA"/>
    <w:rsid w:val="0084700B"/>
    <w:rsid w:val="0084709B"/>
    <w:rsid w:val="008470CE"/>
    <w:rsid w:val="00847105"/>
    <w:rsid w:val="0084710C"/>
    <w:rsid w:val="00847159"/>
    <w:rsid w:val="008471FC"/>
    <w:rsid w:val="00847299"/>
    <w:rsid w:val="008474CD"/>
    <w:rsid w:val="008474E3"/>
    <w:rsid w:val="0084756D"/>
    <w:rsid w:val="00847650"/>
    <w:rsid w:val="0084765F"/>
    <w:rsid w:val="00847673"/>
    <w:rsid w:val="0084771C"/>
    <w:rsid w:val="00847734"/>
    <w:rsid w:val="00847752"/>
    <w:rsid w:val="0084775E"/>
    <w:rsid w:val="00847778"/>
    <w:rsid w:val="0084789F"/>
    <w:rsid w:val="00847981"/>
    <w:rsid w:val="008479E2"/>
    <w:rsid w:val="00847AC2"/>
    <w:rsid w:val="00847ACB"/>
    <w:rsid w:val="00847B13"/>
    <w:rsid w:val="00847B1C"/>
    <w:rsid w:val="00847B95"/>
    <w:rsid w:val="00847BF0"/>
    <w:rsid w:val="00847CCB"/>
    <w:rsid w:val="00847D07"/>
    <w:rsid w:val="00847D4E"/>
    <w:rsid w:val="00847D89"/>
    <w:rsid w:val="00847D8D"/>
    <w:rsid w:val="00847E00"/>
    <w:rsid w:val="00847EAF"/>
    <w:rsid w:val="00847EC1"/>
    <w:rsid w:val="00847EDF"/>
    <w:rsid w:val="00847F43"/>
    <w:rsid w:val="00847F4E"/>
    <w:rsid w:val="00847FE2"/>
    <w:rsid w:val="008500D2"/>
    <w:rsid w:val="008500EF"/>
    <w:rsid w:val="0085015A"/>
    <w:rsid w:val="008501A9"/>
    <w:rsid w:val="00850289"/>
    <w:rsid w:val="00850471"/>
    <w:rsid w:val="0085049A"/>
    <w:rsid w:val="008504EB"/>
    <w:rsid w:val="0085051A"/>
    <w:rsid w:val="00850596"/>
    <w:rsid w:val="008505FF"/>
    <w:rsid w:val="0085066D"/>
    <w:rsid w:val="008506A0"/>
    <w:rsid w:val="008506A3"/>
    <w:rsid w:val="008506BB"/>
    <w:rsid w:val="008506BE"/>
    <w:rsid w:val="008507AA"/>
    <w:rsid w:val="008507C6"/>
    <w:rsid w:val="00850840"/>
    <w:rsid w:val="0085089C"/>
    <w:rsid w:val="008508BF"/>
    <w:rsid w:val="00850906"/>
    <w:rsid w:val="00850940"/>
    <w:rsid w:val="008509A9"/>
    <w:rsid w:val="008509BF"/>
    <w:rsid w:val="008509CC"/>
    <w:rsid w:val="00850A22"/>
    <w:rsid w:val="00850A95"/>
    <w:rsid w:val="00850AB1"/>
    <w:rsid w:val="00850AC3"/>
    <w:rsid w:val="00850B39"/>
    <w:rsid w:val="00850B3B"/>
    <w:rsid w:val="00850BB8"/>
    <w:rsid w:val="00850BFD"/>
    <w:rsid w:val="00850C00"/>
    <w:rsid w:val="00850C23"/>
    <w:rsid w:val="00850C30"/>
    <w:rsid w:val="00850C47"/>
    <w:rsid w:val="00850C85"/>
    <w:rsid w:val="00850CEE"/>
    <w:rsid w:val="00850D3B"/>
    <w:rsid w:val="00850D57"/>
    <w:rsid w:val="00850D62"/>
    <w:rsid w:val="00850D76"/>
    <w:rsid w:val="00850E33"/>
    <w:rsid w:val="00850E3F"/>
    <w:rsid w:val="00850EF3"/>
    <w:rsid w:val="00850F28"/>
    <w:rsid w:val="00850F45"/>
    <w:rsid w:val="00850FB0"/>
    <w:rsid w:val="00850FD0"/>
    <w:rsid w:val="00850FDA"/>
    <w:rsid w:val="0085101A"/>
    <w:rsid w:val="00851040"/>
    <w:rsid w:val="00851086"/>
    <w:rsid w:val="00851097"/>
    <w:rsid w:val="008510B2"/>
    <w:rsid w:val="008510EA"/>
    <w:rsid w:val="008511BD"/>
    <w:rsid w:val="0085120A"/>
    <w:rsid w:val="0085125A"/>
    <w:rsid w:val="00851283"/>
    <w:rsid w:val="008512BB"/>
    <w:rsid w:val="0085137A"/>
    <w:rsid w:val="008513C6"/>
    <w:rsid w:val="00851429"/>
    <w:rsid w:val="008514DC"/>
    <w:rsid w:val="008514FC"/>
    <w:rsid w:val="008515AC"/>
    <w:rsid w:val="008515CE"/>
    <w:rsid w:val="00851605"/>
    <w:rsid w:val="00851621"/>
    <w:rsid w:val="0085167E"/>
    <w:rsid w:val="008516CA"/>
    <w:rsid w:val="008516F7"/>
    <w:rsid w:val="0085170F"/>
    <w:rsid w:val="00851761"/>
    <w:rsid w:val="008517A2"/>
    <w:rsid w:val="008517A5"/>
    <w:rsid w:val="008517C2"/>
    <w:rsid w:val="008517CA"/>
    <w:rsid w:val="008517E5"/>
    <w:rsid w:val="00851848"/>
    <w:rsid w:val="00851937"/>
    <w:rsid w:val="00851968"/>
    <w:rsid w:val="0085198F"/>
    <w:rsid w:val="00851991"/>
    <w:rsid w:val="00851A4E"/>
    <w:rsid w:val="00851A86"/>
    <w:rsid w:val="00851ACE"/>
    <w:rsid w:val="00851AD6"/>
    <w:rsid w:val="00851AD8"/>
    <w:rsid w:val="00851BF3"/>
    <w:rsid w:val="00851C01"/>
    <w:rsid w:val="00851C07"/>
    <w:rsid w:val="00851C3C"/>
    <w:rsid w:val="00851C6D"/>
    <w:rsid w:val="00851C76"/>
    <w:rsid w:val="00851C88"/>
    <w:rsid w:val="00851CA5"/>
    <w:rsid w:val="00851CF1"/>
    <w:rsid w:val="00851DD9"/>
    <w:rsid w:val="00851E2D"/>
    <w:rsid w:val="00851E37"/>
    <w:rsid w:val="00851E3A"/>
    <w:rsid w:val="00851E65"/>
    <w:rsid w:val="00851E8E"/>
    <w:rsid w:val="00851E95"/>
    <w:rsid w:val="00851ECD"/>
    <w:rsid w:val="00851FBB"/>
    <w:rsid w:val="00851FD5"/>
    <w:rsid w:val="0085208D"/>
    <w:rsid w:val="008520C1"/>
    <w:rsid w:val="008520E1"/>
    <w:rsid w:val="00852180"/>
    <w:rsid w:val="008521EE"/>
    <w:rsid w:val="0085223B"/>
    <w:rsid w:val="0085224B"/>
    <w:rsid w:val="0085226B"/>
    <w:rsid w:val="00852395"/>
    <w:rsid w:val="008523EC"/>
    <w:rsid w:val="0085247B"/>
    <w:rsid w:val="00852594"/>
    <w:rsid w:val="00852650"/>
    <w:rsid w:val="008526C0"/>
    <w:rsid w:val="0085270B"/>
    <w:rsid w:val="008527ED"/>
    <w:rsid w:val="00852839"/>
    <w:rsid w:val="008528CD"/>
    <w:rsid w:val="00852975"/>
    <w:rsid w:val="00852A29"/>
    <w:rsid w:val="00852A51"/>
    <w:rsid w:val="00852A86"/>
    <w:rsid w:val="00852A9D"/>
    <w:rsid w:val="00852AD1"/>
    <w:rsid w:val="00852B38"/>
    <w:rsid w:val="00852B3C"/>
    <w:rsid w:val="00852B57"/>
    <w:rsid w:val="00852C0C"/>
    <w:rsid w:val="00852C32"/>
    <w:rsid w:val="00852C3D"/>
    <w:rsid w:val="00852C57"/>
    <w:rsid w:val="00852CDB"/>
    <w:rsid w:val="00852D12"/>
    <w:rsid w:val="00852D5A"/>
    <w:rsid w:val="00852DA3"/>
    <w:rsid w:val="00852DF5"/>
    <w:rsid w:val="00852EF2"/>
    <w:rsid w:val="0085312C"/>
    <w:rsid w:val="008531BB"/>
    <w:rsid w:val="008531C1"/>
    <w:rsid w:val="008531D7"/>
    <w:rsid w:val="0085334B"/>
    <w:rsid w:val="00853378"/>
    <w:rsid w:val="0085339F"/>
    <w:rsid w:val="008533A0"/>
    <w:rsid w:val="008533C6"/>
    <w:rsid w:val="0085341C"/>
    <w:rsid w:val="0085343B"/>
    <w:rsid w:val="0085348F"/>
    <w:rsid w:val="008534BD"/>
    <w:rsid w:val="008534D5"/>
    <w:rsid w:val="008534DF"/>
    <w:rsid w:val="008534E9"/>
    <w:rsid w:val="00853538"/>
    <w:rsid w:val="0085354C"/>
    <w:rsid w:val="008535CA"/>
    <w:rsid w:val="008535EA"/>
    <w:rsid w:val="008536F8"/>
    <w:rsid w:val="00853746"/>
    <w:rsid w:val="008537F7"/>
    <w:rsid w:val="00853811"/>
    <w:rsid w:val="00853889"/>
    <w:rsid w:val="00853895"/>
    <w:rsid w:val="00853952"/>
    <w:rsid w:val="0085395F"/>
    <w:rsid w:val="00853985"/>
    <w:rsid w:val="008539AF"/>
    <w:rsid w:val="008539DE"/>
    <w:rsid w:val="008539F8"/>
    <w:rsid w:val="00853A18"/>
    <w:rsid w:val="00853A4F"/>
    <w:rsid w:val="00853AA9"/>
    <w:rsid w:val="00853AAA"/>
    <w:rsid w:val="00853AC4"/>
    <w:rsid w:val="00853B0C"/>
    <w:rsid w:val="00853B15"/>
    <w:rsid w:val="00853B71"/>
    <w:rsid w:val="00853BB5"/>
    <w:rsid w:val="00853C2E"/>
    <w:rsid w:val="00853C76"/>
    <w:rsid w:val="00853C82"/>
    <w:rsid w:val="00853C93"/>
    <w:rsid w:val="00853CCE"/>
    <w:rsid w:val="00853CE0"/>
    <w:rsid w:val="00853DFC"/>
    <w:rsid w:val="00853E1D"/>
    <w:rsid w:val="00853E2C"/>
    <w:rsid w:val="00853E8E"/>
    <w:rsid w:val="00853EF7"/>
    <w:rsid w:val="00853F38"/>
    <w:rsid w:val="00853FA3"/>
    <w:rsid w:val="00854003"/>
    <w:rsid w:val="0085405D"/>
    <w:rsid w:val="00854088"/>
    <w:rsid w:val="0085409F"/>
    <w:rsid w:val="00854129"/>
    <w:rsid w:val="00854139"/>
    <w:rsid w:val="0085438F"/>
    <w:rsid w:val="008543F1"/>
    <w:rsid w:val="00854453"/>
    <w:rsid w:val="008546BE"/>
    <w:rsid w:val="00854704"/>
    <w:rsid w:val="008547ED"/>
    <w:rsid w:val="0085485D"/>
    <w:rsid w:val="00854885"/>
    <w:rsid w:val="0085497F"/>
    <w:rsid w:val="008549BD"/>
    <w:rsid w:val="00854AF5"/>
    <w:rsid w:val="00854B1D"/>
    <w:rsid w:val="00854B32"/>
    <w:rsid w:val="00854BBD"/>
    <w:rsid w:val="00854BDB"/>
    <w:rsid w:val="00854C56"/>
    <w:rsid w:val="00854CBD"/>
    <w:rsid w:val="00854CC8"/>
    <w:rsid w:val="00854D85"/>
    <w:rsid w:val="00854E00"/>
    <w:rsid w:val="00854E5C"/>
    <w:rsid w:val="00854E5F"/>
    <w:rsid w:val="00854E90"/>
    <w:rsid w:val="00854EB3"/>
    <w:rsid w:val="00854F1A"/>
    <w:rsid w:val="00854F2C"/>
    <w:rsid w:val="00855007"/>
    <w:rsid w:val="00855009"/>
    <w:rsid w:val="00855046"/>
    <w:rsid w:val="00855058"/>
    <w:rsid w:val="00855070"/>
    <w:rsid w:val="00855099"/>
    <w:rsid w:val="00855114"/>
    <w:rsid w:val="00855139"/>
    <w:rsid w:val="00855187"/>
    <w:rsid w:val="0085519E"/>
    <w:rsid w:val="008551CF"/>
    <w:rsid w:val="008552C2"/>
    <w:rsid w:val="008552D3"/>
    <w:rsid w:val="008552DA"/>
    <w:rsid w:val="008552EA"/>
    <w:rsid w:val="0085530B"/>
    <w:rsid w:val="0085537C"/>
    <w:rsid w:val="008553A1"/>
    <w:rsid w:val="00855445"/>
    <w:rsid w:val="00855481"/>
    <w:rsid w:val="008554E1"/>
    <w:rsid w:val="00855519"/>
    <w:rsid w:val="00855601"/>
    <w:rsid w:val="008556B4"/>
    <w:rsid w:val="008556CB"/>
    <w:rsid w:val="008556DE"/>
    <w:rsid w:val="0085571E"/>
    <w:rsid w:val="0085571F"/>
    <w:rsid w:val="008557EF"/>
    <w:rsid w:val="00855869"/>
    <w:rsid w:val="008558AC"/>
    <w:rsid w:val="00855916"/>
    <w:rsid w:val="00855958"/>
    <w:rsid w:val="00855995"/>
    <w:rsid w:val="00855A33"/>
    <w:rsid w:val="00855A6F"/>
    <w:rsid w:val="00855B49"/>
    <w:rsid w:val="00855B6B"/>
    <w:rsid w:val="00855C67"/>
    <w:rsid w:val="00855C94"/>
    <w:rsid w:val="00855CA9"/>
    <w:rsid w:val="00855CE6"/>
    <w:rsid w:val="00855DA6"/>
    <w:rsid w:val="00855DF5"/>
    <w:rsid w:val="00855E3C"/>
    <w:rsid w:val="00855F1D"/>
    <w:rsid w:val="00855FCE"/>
    <w:rsid w:val="00856074"/>
    <w:rsid w:val="0085607E"/>
    <w:rsid w:val="008560EB"/>
    <w:rsid w:val="0085617C"/>
    <w:rsid w:val="0085619B"/>
    <w:rsid w:val="0085620F"/>
    <w:rsid w:val="00856232"/>
    <w:rsid w:val="00856273"/>
    <w:rsid w:val="0085627B"/>
    <w:rsid w:val="008562A7"/>
    <w:rsid w:val="0085647B"/>
    <w:rsid w:val="008564E8"/>
    <w:rsid w:val="008565DA"/>
    <w:rsid w:val="008565E2"/>
    <w:rsid w:val="00856761"/>
    <w:rsid w:val="008567D2"/>
    <w:rsid w:val="008567F4"/>
    <w:rsid w:val="00856813"/>
    <w:rsid w:val="00856861"/>
    <w:rsid w:val="008568DB"/>
    <w:rsid w:val="00856944"/>
    <w:rsid w:val="00856964"/>
    <w:rsid w:val="008569AE"/>
    <w:rsid w:val="008569C5"/>
    <w:rsid w:val="008569D0"/>
    <w:rsid w:val="00856AA7"/>
    <w:rsid w:val="00856AAC"/>
    <w:rsid w:val="00856AC8"/>
    <w:rsid w:val="00856B32"/>
    <w:rsid w:val="00856B57"/>
    <w:rsid w:val="00856B6E"/>
    <w:rsid w:val="00856CA2"/>
    <w:rsid w:val="00856CD9"/>
    <w:rsid w:val="00856D77"/>
    <w:rsid w:val="00856DDA"/>
    <w:rsid w:val="00856E03"/>
    <w:rsid w:val="00856EC4"/>
    <w:rsid w:val="00856F27"/>
    <w:rsid w:val="00856F40"/>
    <w:rsid w:val="00856F88"/>
    <w:rsid w:val="00856FE8"/>
    <w:rsid w:val="00856FF4"/>
    <w:rsid w:val="00857071"/>
    <w:rsid w:val="008570CB"/>
    <w:rsid w:val="0085718D"/>
    <w:rsid w:val="0085719F"/>
    <w:rsid w:val="00857201"/>
    <w:rsid w:val="00857209"/>
    <w:rsid w:val="00857276"/>
    <w:rsid w:val="0085749F"/>
    <w:rsid w:val="008574CD"/>
    <w:rsid w:val="008574FB"/>
    <w:rsid w:val="008575C9"/>
    <w:rsid w:val="008575D7"/>
    <w:rsid w:val="008575D8"/>
    <w:rsid w:val="00857686"/>
    <w:rsid w:val="0085779F"/>
    <w:rsid w:val="00857811"/>
    <w:rsid w:val="008578A0"/>
    <w:rsid w:val="008578B2"/>
    <w:rsid w:val="008578BB"/>
    <w:rsid w:val="008578D0"/>
    <w:rsid w:val="00857928"/>
    <w:rsid w:val="00857949"/>
    <w:rsid w:val="0085795B"/>
    <w:rsid w:val="008579CA"/>
    <w:rsid w:val="008579EA"/>
    <w:rsid w:val="00857AB7"/>
    <w:rsid w:val="00857B7D"/>
    <w:rsid w:val="00857C01"/>
    <w:rsid w:val="00857D07"/>
    <w:rsid w:val="00857D19"/>
    <w:rsid w:val="00857DEC"/>
    <w:rsid w:val="00857E9D"/>
    <w:rsid w:val="00857EA9"/>
    <w:rsid w:val="00857F4F"/>
    <w:rsid w:val="00857F59"/>
    <w:rsid w:val="00857F74"/>
    <w:rsid w:val="00857FD6"/>
    <w:rsid w:val="008600C9"/>
    <w:rsid w:val="00860105"/>
    <w:rsid w:val="00860169"/>
    <w:rsid w:val="00860185"/>
    <w:rsid w:val="008601D5"/>
    <w:rsid w:val="008601F9"/>
    <w:rsid w:val="0086030E"/>
    <w:rsid w:val="00860396"/>
    <w:rsid w:val="008603D5"/>
    <w:rsid w:val="0086049B"/>
    <w:rsid w:val="0086053B"/>
    <w:rsid w:val="00860598"/>
    <w:rsid w:val="008605FA"/>
    <w:rsid w:val="0086066E"/>
    <w:rsid w:val="008606B6"/>
    <w:rsid w:val="008606DC"/>
    <w:rsid w:val="008606E8"/>
    <w:rsid w:val="00860738"/>
    <w:rsid w:val="00860740"/>
    <w:rsid w:val="0086074A"/>
    <w:rsid w:val="008607B8"/>
    <w:rsid w:val="008607FC"/>
    <w:rsid w:val="0086085A"/>
    <w:rsid w:val="00860902"/>
    <w:rsid w:val="00860923"/>
    <w:rsid w:val="008609ED"/>
    <w:rsid w:val="00860A09"/>
    <w:rsid w:val="00860A1E"/>
    <w:rsid w:val="00860A34"/>
    <w:rsid w:val="00860A5F"/>
    <w:rsid w:val="00860B23"/>
    <w:rsid w:val="00860B80"/>
    <w:rsid w:val="00860B9D"/>
    <w:rsid w:val="00860BF8"/>
    <w:rsid w:val="00860C6C"/>
    <w:rsid w:val="00860CBE"/>
    <w:rsid w:val="00860DD8"/>
    <w:rsid w:val="00860E01"/>
    <w:rsid w:val="00860E62"/>
    <w:rsid w:val="00860EB9"/>
    <w:rsid w:val="00860ED0"/>
    <w:rsid w:val="00860F50"/>
    <w:rsid w:val="00860F52"/>
    <w:rsid w:val="00860F6C"/>
    <w:rsid w:val="00860F7E"/>
    <w:rsid w:val="00860FD0"/>
    <w:rsid w:val="00860FF1"/>
    <w:rsid w:val="0086109C"/>
    <w:rsid w:val="00861119"/>
    <w:rsid w:val="008611B9"/>
    <w:rsid w:val="0086124B"/>
    <w:rsid w:val="008612ED"/>
    <w:rsid w:val="00861361"/>
    <w:rsid w:val="008614A0"/>
    <w:rsid w:val="008614C0"/>
    <w:rsid w:val="008614C5"/>
    <w:rsid w:val="008614E1"/>
    <w:rsid w:val="00861558"/>
    <w:rsid w:val="008615C7"/>
    <w:rsid w:val="00861695"/>
    <w:rsid w:val="00861741"/>
    <w:rsid w:val="008617C1"/>
    <w:rsid w:val="0086191B"/>
    <w:rsid w:val="00861A1C"/>
    <w:rsid w:val="00861A25"/>
    <w:rsid w:val="00861A36"/>
    <w:rsid w:val="00861A56"/>
    <w:rsid w:val="00861A73"/>
    <w:rsid w:val="00861A7B"/>
    <w:rsid w:val="00861AB8"/>
    <w:rsid w:val="00861AF6"/>
    <w:rsid w:val="00861AF7"/>
    <w:rsid w:val="00861B62"/>
    <w:rsid w:val="00861C3C"/>
    <w:rsid w:val="00861C92"/>
    <w:rsid w:val="00861C9F"/>
    <w:rsid w:val="00861CA7"/>
    <w:rsid w:val="00861D00"/>
    <w:rsid w:val="00861DC2"/>
    <w:rsid w:val="00861DD5"/>
    <w:rsid w:val="00861DEE"/>
    <w:rsid w:val="00861DFC"/>
    <w:rsid w:val="00861E33"/>
    <w:rsid w:val="00861F61"/>
    <w:rsid w:val="00861FB2"/>
    <w:rsid w:val="00862029"/>
    <w:rsid w:val="00862040"/>
    <w:rsid w:val="008620EB"/>
    <w:rsid w:val="00862194"/>
    <w:rsid w:val="00862223"/>
    <w:rsid w:val="008622BD"/>
    <w:rsid w:val="008622E3"/>
    <w:rsid w:val="008622F6"/>
    <w:rsid w:val="0086238D"/>
    <w:rsid w:val="00862395"/>
    <w:rsid w:val="008623FB"/>
    <w:rsid w:val="0086243C"/>
    <w:rsid w:val="008624E1"/>
    <w:rsid w:val="00862544"/>
    <w:rsid w:val="0086255A"/>
    <w:rsid w:val="00862670"/>
    <w:rsid w:val="008626C5"/>
    <w:rsid w:val="00862702"/>
    <w:rsid w:val="008627A9"/>
    <w:rsid w:val="008627BE"/>
    <w:rsid w:val="00862807"/>
    <w:rsid w:val="0086283C"/>
    <w:rsid w:val="00862876"/>
    <w:rsid w:val="008628D0"/>
    <w:rsid w:val="0086292D"/>
    <w:rsid w:val="00862956"/>
    <w:rsid w:val="00862AB9"/>
    <w:rsid w:val="00862ADC"/>
    <w:rsid w:val="00862AE8"/>
    <w:rsid w:val="00862B62"/>
    <w:rsid w:val="00862B83"/>
    <w:rsid w:val="00862B97"/>
    <w:rsid w:val="00862BD4"/>
    <w:rsid w:val="00862BDD"/>
    <w:rsid w:val="00862C2C"/>
    <w:rsid w:val="00862C37"/>
    <w:rsid w:val="00862C59"/>
    <w:rsid w:val="00862C92"/>
    <w:rsid w:val="00862CC6"/>
    <w:rsid w:val="00862D38"/>
    <w:rsid w:val="00862D7D"/>
    <w:rsid w:val="00862DCC"/>
    <w:rsid w:val="00862E38"/>
    <w:rsid w:val="00862EC1"/>
    <w:rsid w:val="00862EC7"/>
    <w:rsid w:val="00862F6C"/>
    <w:rsid w:val="00862F74"/>
    <w:rsid w:val="00862F9A"/>
    <w:rsid w:val="00862FD2"/>
    <w:rsid w:val="00862FEF"/>
    <w:rsid w:val="0086315C"/>
    <w:rsid w:val="008632C3"/>
    <w:rsid w:val="008632FB"/>
    <w:rsid w:val="008633A4"/>
    <w:rsid w:val="008633B1"/>
    <w:rsid w:val="008633F0"/>
    <w:rsid w:val="00863439"/>
    <w:rsid w:val="00863482"/>
    <w:rsid w:val="00863483"/>
    <w:rsid w:val="008634CD"/>
    <w:rsid w:val="0086361E"/>
    <w:rsid w:val="0086367E"/>
    <w:rsid w:val="0086375A"/>
    <w:rsid w:val="0086376F"/>
    <w:rsid w:val="008637EA"/>
    <w:rsid w:val="00863846"/>
    <w:rsid w:val="00863940"/>
    <w:rsid w:val="0086397C"/>
    <w:rsid w:val="008639FE"/>
    <w:rsid w:val="00863A37"/>
    <w:rsid w:val="00863A39"/>
    <w:rsid w:val="00863A6E"/>
    <w:rsid w:val="00863B1C"/>
    <w:rsid w:val="00863B60"/>
    <w:rsid w:val="00863BBD"/>
    <w:rsid w:val="00863BCE"/>
    <w:rsid w:val="00863C02"/>
    <w:rsid w:val="00863C42"/>
    <w:rsid w:val="00863C4D"/>
    <w:rsid w:val="00863C67"/>
    <w:rsid w:val="00863C85"/>
    <w:rsid w:val="00863C86"/>
    <w:rsid w:val="00863C8A"/>
    <w:rsid w:val="00863D2F"/>
    <w:rsid w:val="00863D50"/>
    <w:rsid w:val="00863E29"/>
    <w:rsid w:val="00863EAE"/>
    <w:rsid w:val="00863ECB"/>
    <w:rsid w:val="00863EDC"/>
    <w:rsid w:val="00863F26"/>
    <w:rsid w:val="00863FF9"/>
    <w:rsid w:val="00864035"/>
    <w:rsid w:val="0086412F"/>
    <w:rsid w:val="00864137"/>
    <w:rsid w:val="008641E6"/>
    <w:rsid w:val="00864227"/>
    <w:rsid w:val="00864242"/>
    <w:rsid w:val="00864299"/>
    <w:rsid w:val="008642C7"/>
    <w:rsid w:val="008643A9"/>
    <w:rsid w:val="008644D7"/>
    <w:rsid w:val="008645FF"/>
    <w:rsid w:val="008646BC"/>
    <w:rsid w:val="00864747"/>
    <w:rsid w:val="00864758"/>
    <w:rsid w:val="00864797"/>
    <w:rsid w:val="008647BB"/>
    <w:rsid w:val="00864853"/>
    <w:rsid w:val="0086485A"/>
    <w:rsid w:val="008648DD"/>
    <w:rsid w:val="00864944"/>
    <w:rsid w:val="00864945"/>
    <w:rsid w:val="008649D7"/>
    <w:rsid w:val="00864B6B"/>
    <w:rsid w:val="00864B99"/>
    <w:rsid w:val="00864C0A"/>
    <w:rsid w:val="00864C21"/>
    <w:rsid w:val="00864C7B"/>
    <w:rsid w:val="00864CE9"/>
    <w:rsid w:val="00864D04"/>
    <w:rsid w:val="00864D42"/>
    <w:rsid w:val="00864E24"/>
    <w:rsid w:val="00864E33"/>
    <w:rsid w:val="00864EE5"/>
    <w:rsid w:val="00864F42"/>
    <w:rsid w:val="00864F50"/>
    <w:rsid w:val="00864FD6"/>
    <w:rsid w:val="008650AD"/>
    <w:rsid w:val="008650F8"/>
    <w:rsid w:val="008650FE"/>
    <w:rsid w:val="0086515B"/>
    <w:rsid w:val="00865194"/>
    <w:rsid w:val="008651AB"/>
    <w:rsid w:val="008651E0"/>
    <w:rsid w:val="00865222"/>
    <w:rsid w:val="008652E3"/>
    <w:rsid w:val="00865305"/>
    <w:rsid w:val="00865362"/>
    <w:rsid w:val="00865390"/>
    <w:rsid w:val="008653B2"/>
    <w:rsid w:val="00865402"/>
    <w:rsid w:val="008654B2"/>
    <w:rsid w:val="008654BF"/>
    <w:rsid w:val="008655E6"/>
    <w:rsid w:val="0086561E"/>
    <w:rsid w:val="00865640"/>
    <w:rsid w:val="008656B1"/>
    <w:rsid w:val="008657DB"/>
    <w:rsid w:val="008657EF"/>
    <w:rsid w:val="00865837"/>
    <w:rsid w:val="008658DB"/>
    <w:rsid w:val="00865947"/>
    <w:rsid w:val="00865A16"/>
    <w:rsid w:val="00865A41"/>
    <w:rsid w:val="00865A49"/>
    <w:rsid w:val="00865A67"/>
    <w:rsid w:val="00865A77"/>
    <w:rsid w:val="00865A7E"/>
    <w:rsid w:val="00865A95"/>
    <w:rsid w:val="00865AF7"/>
    <w:rsid w:val="00865B1B"/>
    <w:rsid w:val="00865C43"/>
    <w:rsid w:val="00865C59"/>
    <w:rsid w:val="00865CD2"/>
    <w:rsid w:val="00865CD4"/>
    <w:rsid w:val="00865D66"/>
    <w:rsid w:val="00865D84"/>
    <w:rsid w:val="00865D8C"/>
    <w:rsid w:val="00865D90"/>
    <w:rsid w:val="00865DB4"/>
    <w:rsid w:val="00865E72"/>
    <w:rsid w:val="00865FEA"/>
    <w:rsid w:val="00866031"/>
    <w:rsid w:val="0086604B"/>
    <w:rsid w:val="008660F0"/>
    <w:rsid w:val="0086613D"/>
    <w:rsid w:val="008661CD"/>
    <w:rsid w:val="0086620A"/>
    <w:rsid w:val="00866211"/>
    <w:rsid w:val="00866236"/>
    <w:rsid w:val="0086625D"/>
    <w:rsid w:val="0086634C"/>
    <w:rsid w:val="00866363"/>
    <w:rsid w:val="0086639C"/>
    <w:rsid w:val="008663C7"/>
    <w:rsid w:val="008663C8"/>
    <w:rsid w:val="008664A7"/>
    <w:rsid w:val="008664E4"/>
    <w:rsid w:val="00866551"/>
    <w:rsid w:val="0086658F"/>
    <w:rsid w:val="00866639"/>
    <w:rsid w:val="00866641"/>
    <w:rsid w:val="00866796"/>
    <w:rsid w:val="00866797"/>
    <w:rsid w:val="0086679E"/>
    <w:rsid w:val="008667F1"/>
    <w:rsid w:val="00866856"/>
    <w:rsid w:val="008668A7"/>
    <w:rsid w:val="0086690D"/>
    <w:rsid w:val="00866A28"/>
    <w:rsid w:val="00866A5C"/>
    <w:rsid w:val="00866A8E"/>
    <w:rsid w:val="00866B00"/>
    <w:rsid w:val="00866B17"/>
    <w:rsid w:val="00866B51"/>
    <w:rsid w:val="00866BFB"/>
    <w:rsid w:val="00866C13"/>
    <w:rsid w:val="00866CB9"/>
    <w:rsid w:val="00866CD8"/>
    <w:rsid w:val="00866D89"/>
    <w:rsid w:val="00866E1C"/>
    <w:rsid w:val="00866EC3"/>
    <w:rsid w:val="00866F09"/>
    <w:rsid w:val="00866F64"/>
    <w:rsid w:val="008670B0"/>
    <w:rsid w:val="00867137"/>
    <w:rsid w:val="00867260"/>
    <w:rsid w:val="00867354"/>
    <w:rsid w:val="0086735D"/>
    <w:rsid w:val="008673AB"/>
    <w:rsid w:val="008673D2"/>
    <w:rsid w:val="00867438"/>
    <w:rsid w:val="00867471"/>
    <w:rsid w:val="00867491"/>
    <w:rsid w:val="0086749D"/>
    <w:rsid w:val="0086756D"/>
    <w:rsid w:val="0086757F"/>
    <w:rsid w:val="008675BF"/>
    <w:rsid w:val="00867623"/>
    <w:rsid w:val="0086763D"/>
    <w:rsid w:val="008676BF"/>
    <w:rsid w:val="008676CA"/>
    <w:rsid w:val="008677EF"/>
    <w:rsid w:val="00867980"/>
    <w:rsid w:val="008679AD"/>
    <w:rsid w:val="008679E4"/>
    <w:rsid w:val="00867AED"/>
    <w:rsid w:val="00867B43"/>
    <w:rsid w:val="00867B52"/>
    <w:rsid w:val="00867B8C"/>
    <w:rsid w:val="00867BFA"/>
    <w:rsid w:val="00867CEC"/>
    <w:rsid w:val="00867D47"/>
    <w:rsid w:val="00867DF3"/>
    <w:rsid w:val="00867F2F"/>
    <w:rsid w:val="00867FED"/>
    <w:rsid w:val="0087003D"/>
    <w:rsid w:val="00870094"/>
    <w:rsid w:val="008700E3"/>
    <w:rsid w:val="008700FE"/>
    <w:rsid w:val="00870111"/>
    <w:rsid w:val="0087013A"/>
    <w:rsid w:val="0087013F"/>
    <w:rsid w:val="008702AD"/>
    <w:rsid w:val="00870311"/>
    <w:rsid w:val="0087032B"/>
    <w:rsid w:val="008703EB"/>
    <w:rsid w:val="0087061D"/>
    <w:rsid w:val="00870681"/>
    <w:rsid w:val="008706E7"/>
    <w:rsid w:val="00870747"/>
    <w:rsid w:val="008707D2"/>
    <w:rsid w:val="008707F0"/>
    <w:rsid w:val="00870811"/>
    <w:rsid w:val="008708BC"/>
    <w:rsid w:val="008708D9"/>
    <w:rsid w:val="008708E7"/>
    <w:rsid w:val="00870927"/>
    <w:rsid w:val="0087092D"/>
    <w:rsid w:val="008709D2"/>
    <w:rsid w:val="00870A81"/>
    <w:rsid w:val="00870B6F"/>
    <w:rsid w:val="00870BF3"/>
    <w:rsid w:val="00870C13"/>
    <w:rsid w:val="00870CF6"/>
    <w:rsid w:val="00870DA1"/>
    <w:rsid w:val="00870DC3"/>
    <w:rsid w:val="00870E00"/>
    <w:rsid w:val="00870E13"/>
    <w:rsid w:val="00870E71"/>
    <w:rsid w:val="00870F2B"/>
    <w:rsid w:val="00871114"/>
    <w:rsid w:val="008712E9"/>
    <w:rsid w:val="00871321"/>
    <w:rsid w:val="008713B9"/>
    <w:rsid w:val="008713BE"/>
    <w:rsid w:val="008713C4"/>
    <w:rsid w:val="008714CE"/>
    <w:rsid w:val="008714E7"/>
    <w:rsid w:val="00871556"/>
    <w:rsid w:val="00871576"/>
    <w:rsid w:val="008717CE"/>
    <w:rsid w:val="00871819"/>
    <w:rsid w:val="00871838"/>
    <w:rsid w:val="00871874"/>
    <w:rsid w:val="008718AC"/>
    <w:rsid w:val="00871993"/>
    <w:rsid w:val="008719AC"/>
    <w:rsid w:val="00871A73"/>
    <w:rsid w:val="00871B27"/>
    <w:rsid w:val="00871C61"/>
    <w:rsid w:val="00871C63"/>
    <w:rsid w:val="00871CFD"/>
    <w:rsid w:val="00871D17"/>
    <w:rsid w:val="00871E13"/>
    <w:rsid w:val="00871F2D"/>
    <w:rsid w:val="00871F9F"/>
    <w:rsid w:val="00871FB1"/>
    <w:rsid w:val="00871FE1"/>
    <w:rsid w:val="0087201F"/>
    <w:rsid w:val="0087215E"/>
    <w:rsid w:val="008721DD"/>
    <w:rsid w:val="0087220A"/>
    <w:rsid w:val="00872212"/>
    <w:rsid w:val="008722C5"/>
    <w:rsid w:val="008722EB"/>
    <w:rsid w:val="00872372"/>
    <w:rsid w:val="008724BE"/>
    <w:rsid w:val="008724E8"/>
    <w:rsid w:val="0087251F"/>
    <w:rsid w:val="00872578"/>
    <w:rsid w:val="008725C7"/>
    <w:rsid w:val="00872630"/>
    <w:rsid w:val="0087266D"/>
    <w:rsid w:val="008726B5"/>
    <w:rsid w:val="008726DD"/>
    <w:rsid w:val="008726DE"/>
    <w:rsid w:val="0087270D"/>
    <w:rsid w:val="0087277A"/>
    <w:rsid w:val="008727C9"/>
    <w:rsid w:val="00872845"/>
    <w:rsid w:val="0087284A"/>
    <w:rsid w:val="008728EF"/>
    <w:rsid w:val="008728FE"/>
    <w:rsid w:val="00872903"/>
    <w:rsid w:val="0087290B"/>
    <w:rsid w:val="00872982"/>
    <w:rsid w:val="00872A09"/>
    <w:rsid w:val="00872A47"/>
    <w:rsid w:val="00872A72"/>
    <w:rsid w:val="00872A74"/>
    <w:rsid w:val="00872AC6"/>
    <w:rsid w:val="00872B30"/>
    <w:rsid w:val="00872B47"/>
    <w:rsid w:val="00872BAF"/>
    <w:rsid w:val="00872BD1"/>
    <w:rsid w:val="00872E67"/>
    <w:rsid w:val="00872E94"/>
    <w:rsid w:val="00872EE8"/>
    <w:rsid w:val="00872F05"/>
    <w:rsid w:val="00872F12"/>
    <w:rsid w:val="00872FD4"/>
    <w:rsid w:val="00872FFE"/>
    <w:rsid w:val="0087300B"/>
    <w:rsid w:val="0087301D"/>
    <w:rsid w:val="00873099"/>
    <w:rsid w:val="008730D4"/>
    <w:rsid w:val="008730D9"/>
    <w:rsid w:val="00873144"/>
    <w:rsid w:val="0087314F"/>
    <w:rsid w:val="00873225"/>
    <w:rsid w:val="0087327A"/>
    <w:rsid w:val="00873293"/>
    <w:rsid w:val="00873318"/>
    <w:rsid w:val="0087336F"/>
    <w:rsid w:val="00873392"/>
    <w:rsid w:val="008733CA"/>
    <w:rsid w:val="00873452"/>
    <w:rsid w:val="008734A3"/>
    <w:rsid w:val="0087352B"/>
    <w:rsid w:val="008735C5"/>
    <w:rsid w:val="00873643"/>
    <w:rsid w:val="00873674"/>
    <w:rsid w:val="008736AA"/>
    <w:rsid w:val="008736AD"/>
    <w:rsid w:val="008736E2"/>
    <w:rsid w:val="00873721"/>
    <w:rsid w:val="00873824"/>
    <w:rsid w:val="00873932"/>
    <w:rsid w:val="00873997"/>
    <w:rsid w:val="008739C0"/>
    <w:rsid w:val="00873A9E"/>
    <w:rsid w:val="00873AA8"/>
    <w:rsid w:val="00873ABD"/>
    <w:rsid w:val="00873AD1"/>
    <w:rsid w:val="00873B6B"/>
    <w:rsid w:val="00873B91"/>
    <w:rsid w:val="00873C19"/>
    <w:rsid w:val="00873D11"/>
    <w:rsid w:val="00873E13"/>
    <w:rsid w:val="00873E6F"/>
    <w:rsid w:val="00873EEF"/>
    <w:rsid w:val="00873F62"/>
    <w:rsid w:val="00873FC4"/>
    <w:rsid w:val="00873FFD"/>
    <w:rsid w:val="008740B1"/>
    <w:rsid w:val="008741AA"/>
    <w:rsid w:val="008741F4"/>
    <w:rsid w:val="00874206"/>
    <w:rsid w:val="0087424B"/>
    <w:rsid w:val="0087429F"/>
    <w:rsid w:val="00874323"/>
    <w:rsid w:val="0087432D"/>
    <w:rsid w:val="00874377"/>
    <w:rsid w:val="008743A3"/>
    <w:rsid w:val="008743CC"/>
    <w:rsid w:val="008743D8"/>
    <w:rsid w:val="00874449"/>
    <w:rsid w:val="0087453A"/>
    <w:rsid w:val="00874565"/>
    <w:rsid w:val="008745BD"/>
    <w:rsid w:val="008745EF"/>
    <w:rsid w:val="0087462C"/>
    <w:rsid w:val="0087462E"/>
    <w:rsid w:val="008746B9"/>
    <w:rsid w:val="0087470D"/>
    <w:rsid w:val="00874755"/>
    <w:rsid w:val="0087481B"/>
    <w:rsid w:val="00874854"/>
    <w:rsid w:val="008748E5"/>
    <w:rsid w:val="008748FD"/>
    <w:rsid w:val="00874953"/>
    <w:rsid w:val="008749EE"/>
    <w:rsid w:val="008749F4"/>
    <w:rsid w:val="00874A18"/>
    <w:rsid w:val="00874A35"/>
    <w:rsid w:val="00874AE2"/>
    <w:rsid w:val="00874C83"/>
    <w:rsid w:val="00874C86"/>
    <w:rsid w:val="00874D8A"/>
    <w:rsid w:val="00874EC4"/>
    <w:rsid w:val="00874FC9"/>
    <w:rsid w:val="00875073"/>
    <w:rsid w:val="00875086"/>
    <w:rsid w:val="008750C7"/>
    <w:rsid w:val="008750E7"/>
    <w:rsid w:val="00875142"/>
    <w:rsid w:val="008751BD"/>
    <w:rsid w:val="00875210"/>
    <w:rsid w:val="00875272"/>
    <w:rsid w:val="00875278"/>
    <w:rsid w:val="008752AC"/>
    <w:rsid w:val="008752CB"/>
    <w:rsid w:val="008752F5"/>
    <w:rsid w:val="008753BE"/>
    <w:rsid w:val="00875443"/>
    <w:rsid w:val="00875444"/>
    <w:rsid w:val="008754A9"/>
    <w:rsid w:val="008754E3"/>
    <w:rsid w:val="008754F5"/>
    <w:rsid w:val="00875512"/>
    <w:rsid w:val="0087554F"/>
    <w:rsid w:val="008755FF"/>
    <w:rsid w:val="00875648"/>
    <w:rsid w:val="00875701"/>
    <w:rsid w:val="00875798"/>
    <w:rsid w:val="008757B7"/>
    <w:rsid w:val="008757C6"/>
    <w:rsid w:val="008757F6"/>
    <w:rsid w:val="0087581F"/>
    <w:rsid w:val="008758B0"/>
    <w:rsid w:val="00875A08"/>
    <w:rsid w:val="00875A90"/>
    <w:rsid w:val="00875B75"/>
    <w:rsid w:val="00875C72"/>
    <w:rsid w:val="00875CD7"/>
    <w:rsid w:val="00875CE2"/>
    <w:rsid w:val="00875E7F"/>
    <w:rsid w:val="00875EC8"/>
    <w:rsid w:val="00875ED9"/>
    <w:rsid w:val="00875F6A"/>
    <w:rsid w:val="00875F6C"/>
    <w:rsid w:val="00875F6F"/>
    <w:rsid w:val="00875FAF"/>
    <w:rsid w:val="00875FD1"/>
    <w:rsid w:val="00875FD3"/>
    <w:rsid w:val="00876027"/>
    <w:rsid w:val="00876033"/>
    <w:rsid w:val="00876068"/>
    <w:rsid w:val="008760F0"/>
    <w:rsid w:val="00876177"/>
    <w:rsid w:val="008762BD"/>
    <w:rsid w:val="008762EA"/>
    <w:rsid w:val="008762FC"/>
    <w:rsid w:val="0087638E"/>
    <w:rsid w:val="008764F5"/>
    <w:rsid w:val="0087661D"/>
    <w:rsid w:val="00876650"/>
    <w:rsid w:val="00876655"/>
    <w:rsid w:val="0087666E"/>
    <w:rsid w:val="008766A2"/>
    <w:rsid w:val="00876741"/>
    <w:rsid w:val="00876744"/>
    <w:rsid w:val="00876791"/>
    <w:rsid w:val="008767AD"/>
    <w:rsid w:val="008767B5"/>
    <w:rsid w:val="00876840"/>
    <w:rsid w:val="00876882"/>
    <w:rsid w:val="008768C3"/>
    <w:rsid w:val="0087696F"/>
    <w:rsid w:val="008769DE"/>
    <w:rsid w:val="008769F3"/>
    <w:rsid w:val="00876A29"/>
    <w:rsid w:val="00876B7D"/>
    <w:rsid w:val="00876BF1"/>
    <w:rsid w:val="00876C23"/>
    <w:rsid w:val="00876C92"/>
    <w:rsid w:val="00876E02"/>
    <w:rsid w:val="00876E2F"/>
    <w:rsid w:val="00876E91"/>
    <w:rsid w:val="00876F27"/>
    <w:rsid w:val="00876F75"/>
    <w:rsid w:val="00876F7F"/>
    <w:rsid w:val="00876FD5"/>
    <w:rsid w:val="0087700F"/>
    <w:rsid w:val="00877055"/>
    <w:rsid w:val="00877087"/>
    <w:rsid w:val="00877132"/>
    <w:rsid w:val="008771A8"/>
    <w:rsid w:val="00877200"/>
    <w:rsid w:val="0087720D"/>
    <w:rsid w:val="00877211"/>
    <w:rsid w:val="00877223"/>
    <w:rsid w:val="00877247"/>
    <w:rsid w:val="008772A8"/>
    <w:rsid w:val="00877324"/>
    <w:rsid w:val="00877391"/>
    <w:rsid w:val="00877416"/>
    <w:rsid w:val="00877451"/>
    <w:rsid w:val="00877484"/>
    <w:rsid w:val="008774A5"/>
    <w:rsid w:val="008774B2"/>
    <w:rsid w:val="008774C5"/>
    <w:rsid w:val="008775A4"/>
    <w:rsid w:val="00877602"/>
    <w:rsid w:val="00877683"/>
    <w:rsid w:val="008776B8"/>
    <w:rsid w:val="008776D9"/>
    <w:rsid w:val="008776E4"/>
    <w:rsid w:val="00877753"/>
    <w:rsid w:val="0087778B"/>
    <w:rsid w:val="00877883"/>
    <w:rsid w:val="008778A1"/>
    <w:rsid w:val="00877925"/>
    <w:rsid w:val="00877942"/>
    <w:rsid w:val="0087795A"/>
    <w:rsid w:val="00877A38"/>
    <w:rsid w:val="00877AED"/>
    <w:rsid w:val="00877B2E"/>
    <w:rsid w:val="00877B5E"/>
    <w:rsid w:val="00877BE6"/>
    <w:rsid w:val="00877BEA"/>
    <w:rsid w:val="00877C14"/>
    <w:rsid w:val="00877CCA"/>
    <w:rsid w:val="00877CDC"/>
    <w:rsid w:val="00877D58"/>
    <w:rsid w:val="00877D83"/>
    <w:rsid w:val="00877DA2"/>
    <w:rsid w:val="00877E43"/>
    <w:rsid w:val="00877E51"/>
    <w:rsid w:val="00877E61"/>
    <w:rsid w:val="00877EA2"/>
    <w:rsid w:val="00877EBD"/>
    <w:rsid w:val="00877F53"/>
    <w:rsid w:val="00877FA0"/>
    <w:rsid w:val="00880042"/>
    <w:rsid w:val="008801AE"/>
    <w:rsid w:val="008801B5"/>
    <w:rsid w:val="00880244"/>
    <w:rsid w:val="00880349"/>
    <w:rsid w:val="0088034A"/>
    <w:rsid w:val="00880403"/>
    <w:rsid w:val="00880410"/>
    <w:rsid w:val="0088042F"/>
    <w:rsid w:val="00880498"/>
    <w:rsid w:val="00880551"/>
    <w:rsid w:val="0088069F"/>
    <w:rsid w:val="00880846"/>
    <w:rsid w:val="0088085D"/>
    <w:rsid w:val="00880867"/>
    <w:rsid w:val="008808DC"/>
    <w:rsid w:val="00880930"/>
    <w:rsid w:val="00880970"/>
    <w:rsid w:val="00880979"/>
    <w:rsid w:val="0088097C"/>
    <w:rsid w:val="008809FE"/>
    <w:rsid w:val="00880AA3"/>
    <w:rsid w:val="00880ABF"/>
    <w:rsid w:val="00880B5D"/>
    <w:rsid w:val="00880B7E"/>
    <w:rsid w:val="00880C63"/>
    <w:rsid w:val="00880C6D"/>
    <w:rsid w:val="00880CCC"/>
    <w:rsid w:val="00880D0C"/>
    <w:rsid w:val="00880D52"/>
    <w:rsid w:val="00880DF4"/>
    <w:rsid w:val="00880FBD"/>
    <w:rsid w:val="0088104F"/>
    <w:rsid w:val="00881095"/>
    <w:rsid w:val="00881186"/>
    <w:rsid w:val="008811FC"/>
    <w:rsid w:val="00881233"/>
    <w:rsid w:val="00881256"/>
    <w:rsid w:val="008812D6"/>
    <w:rsid w:val="00881429"/>
    <w:rsid w:val="00881472"/>
    <w:rsid w:val="008814E1"/>
    <w:rsid w:val="0088169F"/>
    <w:rsid w:val="008816C8"/>
    <w:rsid w:val="00881754"/>
    <w:rsid w:val="0088175B"/>
    <w:rsid w:val="00881777"/>
    <w:rsid w:val="0088185A"/>
    <w:rsid w:val="008818AB"/>
    <w:rsid w:val="008818FF"/>
    <w:rsid w:val="00881938"/>
    <w:rsid w:val="00881946"/>
    <w:rsid w:val="00881969"/>
    <w:rsid w:val="00881A57"/>
    <w:rsid w:val="00881B29"/>
    <w:rsid w:val="00881B93"/>
    <w:rsid w:val="00881BF2"/>
    <w:rsid w:val="00881C55"/>
    <w:rsid w:val="00881D15"/>
    <w:rsid w:val="00881D2A"/>
    <w:rsid w:val="00881D3D"/>
    <w:rsid w:val="00881D43"/>
    <w:rsid w:val="00881D71"/>
    <w:rsid w:val="00881DB7"/>
    <w:rsid w:val="00881E33"/>
    <w:rsid w:val="00881F96"/>
    <w:rsid w:val="008821FB"/>
    <w:rsid w:val="00882200"/>
    <w:rsid w:val="00882209"/>
    <w:rsid w:val="0088224F"/>
    <w:rsid w:val="0088227F"/>
    <w:rsid w:val="0088229F"/>
    <w:rsid w:val="008823D0"/>
    <w:rsid w:val="008823EA"/>
    <w:rsid w:val="00882421"/>
    <w:rsid w:val="0088244F"/>
    <w:rsid w:val="008824C2"/>
    <w:rsid w:val="0088256A"/>
    <w:rsid w:val="008825D6"/>
    <w:rsid w:val="00882621"/>
    <w:rsid w:val="0088263E"/>
    <w:rsid w:val="00882687"/>
    <w:rsid w:val="008826D4"/>
    <w:rsid w:val="00882769"/>
    <w:rsid w:val="0088277E"/>
    <w:rsid w:val="00882783"/>
    <w:rsid w:val="008827A4"/>
    <w:rsid w:val="00882856"/>
    <w:rsid w:val="00882881"/>
    <w:rsid w:val="008828D9"/>
    <w:rsid w:val="00882936"/>
    <w:rsid w:val="0088295C"/>
    <w:rsid w:val="008829A5"/>
    <w:rsid w:val="008829C4"/>
    <w:rsid w:val="00882AC4"/>
    <w:rsid w:val="00882B64"/>
    <w:rsid w:val="00882BAB"/>
    <w:rsid w:val="00882BBE"/>
    <w:rsid w:val="00882BE5"/>
    <w:rsid w:val="00882C0A"/>
    <w:rsid w:val="00882C27"/>
    <w:rsid w:val="00882C34"/>
    <w:rsid w:val="00882CCB"/>
    <w:rsid w:val="00882CD4"/>
    <w:rsid w:val="00882D03"/>
    <w:rsid w:val="00882D10"/>
    <w:rsid w:val="00882D37"/>
    <w:rsid w:val="00882D57"/>
    <w:rsid w:val="00882DB8"/>
    <w:rsid w:val="00882DDD"/>
    <w:rsid w:val="00882E27"/>
    <w:rsid w:val="00882E35"/>
    <w:rsid w:val="00882E53"/>
    <w:rsid w:val="00882EB6"/>
    <w:rsid w:val="00882F8C"/>
    <w:rsid w:val="00882FB3"/>
    <w:rsid w:val="00882FC9"/>
    <w:rsid w:val="00882FDA"/>
    <w:rsid w:val="0088304A"/>
    <w:rsid w:val="00883050"/>
    <w:rsid w:val="0088307C"/>
    <w:rsid w:val="008830AC"/>
    <w:rsid w:val="0088314C"/>
    <w:rsid w:val="008831B0"/>
    <w:rsid w:val="008831E2"/>
    <w:rsid w:val="00883272"/>
    <w:rsid w:val="008832B6"/>
    <w:rsid w:val="0088332B"/>
    <w:rsid w:val="00883379"/>
    <w:rsid w:val="008833D0"/>
    <w:rsid w:val="008833EC"/>
    <w:rsid w:val="008833F1"/>
    <w:rsid w:val="008833F3"/>
    <w:rsid w:val="00883449"/>
    <w:rsid w:val="00883476"/>
    <w:rsid w:val="0088347E"/>
    <w:rsid w:val="0088348A"/>
    <w:rsid w:val="008834E2"/>
    <w:rsid w:val="008835C5"/>
    <w:rsid w:val="008835F2"/>
    <w:rsid w:val="0088362B"/>
    <w:rsid w:val="00883681"/>
    <w:rsid w:val="008836BE"/>
    <w:rsid w:val="00883756"/>
    <w:rsid w:val="008838D6"/>
    <w:rsid w:val="00883935"/>
    <w:rsid w:val="00883943"/>
    <w:rsid w:val="00883969"/>
    <w:rsid w:val="00883A26"/>
    <w:rsid w:val="00883A42"/>
    <w:rsid w:val="00883A55"/>
    <w:rsid w:val="00883A60"/>
    <w:rsid w:val="00883A6F"/>
    <w:rsid w:val="00883A95"/>
    <w:rsid w:val="00883AA4"/>
    <w:rsid w:val="00883AAF"/>
    <w:rsid w:val="00883ADC"/>
    <w:rsid w:val="00883B7C"/>
    <w:rsid w:val="00883C1C"/>
    <w:rsid w:val="00883C81"/>
    <w:rsid w:val="00883C87"/>
    <w:rsid w:val="00883CD8"/>
    <w:rsid w:val="00883D53"/>
    <w:rsid w:val="00883D5C"/>
    <w:rsid w:val="00883DFD"/>
    <w:rsid w:val="00883E20"/>
    <w:rsid w:val="00883E5C"/>
    <w:rsid w:val="00883EED"/>
    <w:rsid w:val="00883F78"/>
    <w:rsid w:val="0088406C"/>
    <w:rsid w:val="0088406F"/>
    <w:rsid w:val="00884178"/>
    <w:rsid w:val="008841C5"/>
    <w:rsid w:val="00884208"/>
    <w:rsid w:val="0088421C"/>
    <w:rsid w:val="00884256"/>
    <w:rsid w:val="0088425F"/>
    <w:rsid w:val="00884305"/>
    <w:rsid w:val="00884311"/>
    <w:rsid w:val="0088432B"/>
    <w:rsid w:val="0088445B"/>
    <w:rsid w:val="0088450A"/>
    <w:rsid w:val="00884510"/>
    <w:rsid w:val="0088453B"/>
    <w:rsid w:val="008845CE"/>
    <w:rsid w:val="00884638"/>
    <w:rsid w:val="008846CA"/>
    <w:rsid w:val="0088477E"/>
    <w:rsid w:val="008847F1"/>
    <w:rsid w:val="0088484B"/>
    <w:rsid w:val="008848AF"/>
    <w:rsid w:val="00884925"/>
    <w:rsid w:val="0088492A"/>
    <w:rsid w:val="0088492F"/>
    <w:rsid w:val="0088493F"/>
    <w:rsid w:val="0088497C"/>
    <w:rsid w:val="00884B0A"/>
    <w:rsid w:val="00884B15"/>
    <w:rsid w:val="00884B92"/>
    <w:rsid w:val="00884BE2"/>
    <w:rsid w:val="00884BE8"/>
    <w:rsid w:val="00884BF1"/>
    <w:rsid w:val="00884C05"/>
    <w:rsid w:val="00884C18"/>
    <w:rsid w:val="00884D42"/>
    <w:rsid w:val="00884DD7"/>
    <w:rsid w:val="00884E45"/>
    <w:rsid w:val="00884EEA"/>
    <w:rsid w:val="00884F41"/>
    <w:rsid w:val="00884F8F"/>
    <w:rsid w:val="00884FC6"/>
    <w:rsid w:val="00884FEE"/>
    <w:rsid w:val="00885096"/>
    <w:rsid w:val="008850E2"/>
    <w:rsid w:val="008850F7"/>
    <w:rsid w:val="00885257"/>
    <w:rsid w:val="008852B0"/>
    <w:rsid w:val="00885329"/>
    <w:rsid w:val="0088532B"/>
    <w:rsid w:val="00885417"/>
    <w:rsid w:val="00885469"/>
    <w:rsid w:val="00885530"/>
    <w:rsid w:val="00885578"/>
    <w:rsid w:val="00885583"/>
    <w:rsid w:val="008856B9"/>
    <w:rsid w:val="00885717"/>
    <w:rsid w:val="00885722"/>
    <w:rsid w:val="00885747"/>
    <w:rsid w:val="00885769"/>
    <w:rsid w:val="008857D2"/>
    <w:rsid w:val="008858B1"/>
    <w:rsid w:val="008858D7"/>
    <w:rsid w:val="00885A08"/>
    <w:rsid w:val="00885A2F"/>
    <w:rsid w:val="00885A44"/>
    <w:rsid w:val="00885BA3"/>
    <w:rsid w:val="00885C38"/>
    <w:rsid w:val="00885CF1"/>
    <w:rsid w:val="00885CFA"/>
    <w:rsid w:val="00885D1A"/>
    <w:rsid w:val="00885D59"/>
    <w:rsid w:val="00885E88"/>
    <w:rsid w:val="00885EAC"/>
    <w:rsid w:val="00885F40"/>
    <w:rsid w:val="00885F4B"/>
    <w:rsid w:val="00886069"/>
    <w:rsid w:val="008860B6"/>
    <w:rsid w:val="00886125"/>
    <w:rsid w:val="00886191"/>
    <w:rsid w:val="0088622F"/>
    <w:rsid w:val="0088623B"/>
    <w:rsid w:val="00886249"/>
    <w:rsid w:val="0088626E"/>
    <w:rsid w:val="00886389"/>
    <w:rsid w:val="008863A9"/>
    <w:rsid w:val="008863B1"/>
    <w:rsid w:val="0088647F"/>
    <w:rsid w:val="008864CB"/>
    <w:rsid w:val="00886503"/>
    <w:rsid w:val="00886533"/>
    <w:rsid w:val="00886630"/>
    <w:rsid w:val="00886699"/>
    <w:rsid w:val="0088669F"/>
    <w:rsid w:val="00886714"/>
    <w:rsid w:val="00886718"/>
    <w:rsid w:val="00886749"/>
    <w:rsid w:val="008868A5"/>
    <w:rsid w:val="008868FD"/>
    <w:rsid w:val="00886908"/>
    <w:rsid w:val="0088695F"/>
    <w:rsid w:val="008869F9"/>
    <w:rsid w:val="00886AA9"/>
    <w:rsid w:val="00886AE9"/>
    <w:rsid w:val="00886BB3"/>
    <w:rsid w:val="00886BCC"/>
    <w:rsid w:val="00886C97"/>
    <w:rsid w:val="00886CB7"/>
    <w:rsid w:val="00886DA7"/>
    <w:rsid w:val="00886E21"/>
    <w:rsid w:val="00886E34"/>
    <w:rsid w:val="00886F01"/>
    <w:rsid w:val="00886F09"/>
    <w:rsid w:val="00886FB8"/>
    <w:rsid w:val="00886FCC"/>
    <w:rsid w:val="008870A7"/>
    <w:rsid w:val="008870AB"/>
    <w:rsid w:val="00887175"/>
    <w:rsid w:val="00887198"/>
    <w:rsid w:val="008871A0"/>
    <w:rsid w:val="00887226"/>
    <w:rsid w:val="008872BF"/>
    <w:rsid w:val="00887353"/>
    <w:rsid w:val="008873A2"/>
    <w:rsid w:val="00887596"/>
    <w:rsid w:val="00887691"/>
    <w:rsid w:val="008876BD"/>
    <w:rsid w:val="008876DB"/>
    <w:rsid w:val="008876DC"/>
    <w:rsid w:val="00887769"/>
    <w:rsid w:val="008877BF"/>
    <w:rsid w:val="00887833"/>
    <w:rsid w:val="008878AA"/>
    <w:rsid w:val="00887946"/>
    <w:rsid w:val="00887A07"/>
    <w:rsid w:val="00887A26"/>
    <w:rsid w:val="00887A71"/>
    <w:rsid w:val="00887A75"/>
    <w:rsid w:val="00887A8D"/>
    <w:rsid w:val="00887B23"/>
    <w:rsid w:val="00887B52"/>
    <w:rsid w:val="00887BB7"/>
    <w:rsid w:val="00887C57"/>
    <w:rsid w:val="00887CB3"/>
    <w:rsid w:val="00887CF7"/>
    <w:rsid w:val="00887DD2"/>
    <w:rsid w:val="00887DDF"/>
    <w:rsid w:val="00887E23"/>
    <w:rsid w:val="00887E81"/>
    <w:rsid w:val="00887F9E"/>
    <w:rsid w:val="00887FA8"/>
    <w:rsid w:val="00890019"/>
    <w:rsid w:val="00890051"/>
    <w:rsid w:val="0089005C"/>
    <w:rsid w:val="00890066"/>
    <w:rsid w:val="00890092"/>
    <w:rsid w:val="008900D9"/>
    <w:rsid w:val="00890145"/>
    <w:rsid w:val="00890183"/>
    <w:rsid w:val="008901D9"/>
    <w:rsid w:val="00890226"/>
    <w:rsid w:val="008902E2"/>
    <w:rsid w:val="00890472"/>
    <w:rsid w:val="00890539"/>
    <w:rsid w:val="0089056C"/>
    <w:rsid w:val="00890709"/>
    <w:rsid w:val="0089073E"/>
    <w:rsid w:val="0089074A"/>
    <w:rsid w:val="0089077A"/>
    <w:rsid w:val="008907AE"/>
    <w:rsid w:val="008908AA"/>
    <w:rsid w:val="0089092F"/>
    <w:rsid w:val="0089097D"/>
    <w:rsid w:val="00890994"/>
    <w:rsid w:val="00890A6A"/>
    <w:rsid w:val="00890A74"/>
    <w:rsid w:val="00890B0D"/>
    <w:rsid w:val="00890B1A"/>
    <w:rsid w:val="00890B8A"/>
    <w:rsid w:val="00890BA5"/>
    <w:rsid w:val="00890C25"/>
    <w:rsid w:val="00890C36"/>
    <w:rsid w:val="00890C39"/>
    <w:rsid w:val="00890C6C"/>
    <w:rsid w:val="00890CB2"/>
    <w:rsid w:val="00890D39"/>
    <w:rsid w:val="00890D96"/>
    <w:rsid w:val="00890E23"/>
    <w:rsid w:val="00890E4B"/>
    <w:rsid w:val="00890E50"/>
    <w:rsid w:val="00890ECC"/>
    <w:rsid w:val="00890FE5"/>
    <w:rsid w:val="00890FFF"/>
    <w:rsid w:val="0089106B"/>
    <w:rsid w:val="008910C7"/>
    <w:rsid w:val="0089112B"/>
    <w:rsid w:val="00891244"/>
    <w:rsid w:val="00891280"/>
    <w:rsid w:val="008912B6"/>
    <w:rsid w:val="0089139B"/>
    <w:rsid w:val="0089139C"/>
    <w:rsid w:val="008913E1"/>
    <w:rsid w:val="008913ED"/>
    <w:rsid w:val="0089143A"/>
    <w:rsid w:val="0089144D"/>
    <w:rsid w:val="00891459"/>
    <w:rsid w:val="008914B7"/>
    <w:rsid w:val="0089150C"/>
    <w:rsid w:val="008916FA"/>
    <w:rsid w:val="0089176B"/>
    <w:rsid w:val="00891884"/>
    <w:rsid w:val="00891904"/>
    <w:rsid w:val="00891915"/>
    <w:rsid w:val="008919CE"/>
    <w:rsid w:val="00891A5D"/>
    <w:rsid w:val="00891AF6"/>
    <w:rsid w:val="00891B0E"/>
    <w:rsid w:val="00891B1C"/>
    <w:rsid w:val="00891BC3"/>
    <w:rsid w:val="00891C12"/>
    <w:rsid w:val="00891C46"/>
    <w:rsid w:val="00891C68"/>
    <w:rsid w:val="00891C88"/>
    <w:rsid w:val="00891D12"/>
    <w:rsid w:val="00891DB6"/>
    <w:rsid w:val="00891DCB"/>
    <w:rsid w:val="00891E02"/>
    <w:rsid w:val="00891E0C"/>
    <w:rsid w:val="00891E57"/>
    <w:rsid w:val="00891F2D"/>
    <w:rsid w:val="00891FB3"/>
    <w:rsid w:val="0089202D"/>
    <w:rsid w:val="0089209E"/>
    <w:rsid w:val="008920BF"/>
    <w:rsid w:val="008920CD"/>
    <w:rsid w:val="00892156"/>
    <w:rsid w:val="0089220F"/>
    <w:rsid w:val="0089227E"/>
    <w:rsid w:val="008922CD"/>
    <w:rsid w:val="008923AA"/>
    <w:rsid w:val="008923DC"/>
    <w:rsid w:val="00892440"/>
    <w:rsid w:val="00892461"/>
    <w:rsid w:val="00892552"/>
    <w:rsid w:val="00892636"/>
    <w:rsid w:val="00892652"/>
    <w:rsid w:val="00892667"/>
    <w:rsid w:val="00892692"/>
    <w:rsid w:val="008926A1"/>
    <w:rsid w:val="008926D8"/>
    <w:rsid w:val="0089276B"/>
    <w:rsid w:val="008927A3"/>
    <w:rsid w:val="008927BE"/>
    <w:rsid w:val="00892867"/>
    <w:rsid w:val="008928A6"/>
    <w:rsid w:val="008928C7"/>
    <w:rsid w:val="0089298F"/>
    <w:rsid w:val="00892A26"/>
    <w:rsid w:val="00892B43"/>
    <w:rsid w:val="00892B88"/>
    <w:rsid w:val="00892B8C"/>
    <w:rsid w:val="00892BDC"/>
    <w:rsid w:val="00892BEF"/>
    <w:rsid w:val="00892D0C"/>
    <w:rsid w:val="00892DC5"/>
    <w:rsid w:val="00892DDC"/>
    <w:rsid w:val="00892E01"/>
    <w:rsid w:val="00892EA8"/>
    <w:rsid w:val="00892EDF"/>
    <w:rsid w:val="00892F4C"/>
    <w:rsid w:val="00892FB3"/>
    <w:rsid w:val="00892FBB"/>
    <w:rsid w:val="00892FCF"/>
    <w:rsid w:val="00892FD2"/>
    <w:rsid w:val="00892FDE"/>
    <w:rsid w:val="00892FF6"/>
    <w:rsid w:val="00893001"/>
    <w:rsid w:val="00893009"/>
    <w:rsid w:val="0089302E"/>
    <w:rsid w:val="0089304C"/>
    <w:rsid w:val="00893098"/>
    <w:rsid w:val="008930E6"/>
    <w:rsid w:val="00893134"/>
    <w:rsid w:val="00893142"/>
    <w:rsid w:val="00893253"/>
    <w:rsid w:val="008932A7"/>
    <w:rsid w:val="008932B6"/>
    <w:rsid w:val="008932C4"/>
    <w:rsid w:val="00893356"/>
    <w:rsid w:val="0089335E"/>
    <w:rsid w:val="0089339C"/>
    <w:rsid w:val="008933EC"/>
    <w:rsid w:val="00893435"/>
    <w:rsid w:val="00893444"/>
    <w:rsid w:val="00893557"/>
    <w:rsid w:val="0089367D"/>
    <w:rsid w:val="0089368A"/>
    <w:rsid w:val="008936AA"/>
    <w:rsid w:val="008937C8"/>
    <w:rsid w:val="008937CE"/>
    <w:rsid w:val="008937D6"/>
    <w:rsid w:val="008938BB"/>
    <w:rsid w:val="00893900"/>
    <w:rsid w:val="00893991"/>
    <w:rsid w:val="008939CB"/>
    <w:rsid w:val="008939D3"/>
    <w:rsid w:val="00893A31"/>
    <w:rsid w:val="00893AE0"/>
    <w:rsid w:val="00893B2B"/>
    <w:rsid w:val="00893C2D"/>
    <w:rsid w:val="00893C8D"/>
    <w:rsid w:val="00893D15"/>
    <w:rsid w:val="00893DE8"/>
    <w:rsid w:val="00893E51"/>
    <w:rsid w:val="00893EAD"/>
    <w:rsid w:val="00893EE2"/>
    <w:rsid w:val="00893F53"/>
    <w:rsid w:val="00894020"/>
    <w:rsid w:val="0089411D"/>
    <w:rsid w:val="00894130"/>
    <w:rsid w:val="00894162"/>
    <w:rsid w:val="008941E7"/>
    <w:rsid w:val="00894216"/>
    <w:rsid w:val="0089435F"/>
    <w:rsid w:val="00894390"/>
    <w:rsid w:val="0089446A"/>
    <w:rsid w:val="00894482"/>
    <w:rsid w:val="008944DB"/>
    <w:rsid w:val="0089450A"/>
    <w:rsid w:val="00894545"/>
    <w:rsid w:val="008945BB"/>
    <w:rsid w:val="0089469C"/>
    <w:rsid w:val="008946A7"/>
    <w:rsid w:val="00894713"/>
    <w:rsid w:val="00894776"/>
    <w:rsid w:val="00894802"/>
    <w:rsid w:val="0089481A"/>
    <w:rsid w:val="00894879"/>
    <w:rsid w:val="00894935"/>
    <w:rsid w:val="00894951"/>
    <w:rsid w:val="008949B7"/>
    <w:rsid w:val="008949DF"/>
    <w:rsid w:val="00894A03"/>
    <w:rsid w:val="00894A49"/>
    <w:rsid w:val="00894B18"/>
    <w:rsid w:val="00894BDC"/>
    <w:rsid w:val="00894C1A"/>
    <w:rsid w:val="00894D06"/>
    <w:rsid w:val="00894E2F"/>
    <w:rsid w:val="00894EB4"/>
    <w:rsid w:val="00894F35"/>
    <w:rsid w:val="00895011"/>
    <w:rsid w:val="0089502A"/>
    <w:rsid w:val="008950EB"/>
    <w:rsid w:val="00895127"/>
    <w:rsid w:val="008951C0"/>
    <w:rsid w:val="008952BC"/>
    <w:rsid w:val="00895340"/>
    <w:rsid w:val="00895361"/>
    <w:rsid w:val="008953B9"/>
    <w:rsid w:val="00895425"/>
    <w:rsid w:val="008954A0"/>
    <w:rsid w:val="0089551E"/>
    <w:rsid w:val="0089563D"/>
    <w:rsid w:val="008956AB"/>
    <w:rsid w:val="0089578E"/>
    <w:rsid w:val="008957B0"/>
    <w:rsid w:val="00895827"/>
    <w:rsid w:val="0089584F"/>
    <w:rsid w:val="00895984"/>
    <w:rsid w:val="00895AD6"/>
    <w:rsid w:val="00895B17"/>
    <w:rsid w:val="00895BAD"/>
    <w:rsid w:val="00895BEF"/>
    <w:rsid w:val="00895C22"/>
    <w:rsid w:val="00895CEC"/>
    <w:rsid w:val="00895D15"/>
    <w:rsid w:val="00895D3E"/>
    <w:rsid w:val="00895D86"/>
    <w:rsid w:val="00895EC9"/>
    <w:rsid w:val="00895ED5"/>
    <w:rsid w:val="00895EEA"/>
    <w:rsid w:val="00895F0B"/>
    <w:rsid w:val="00895F0F"/>
    <w:rsid w:val="00895F74"/>
    <w:rsid w:val="00896005"/>
    <w:rsid w:val="00896011"/>
    <w:rsid w:val="00896086"/>
    <w:rsid w:val="0089608E"/>
    <w:rsid w:val="008960EB"/>
    <w:rsid w:val="008960F1"/>
    <w:rsid w:val="0089611B"/>
    <w:rsid w:val="008961A8"/>
    <w:rsid w:val="008961EA"/>
    <w:rsid w:val="008961FF"/>
    <w:rsid w:val="00896279"/>
    <w:rsid w:val="0089627D"/>
    <w:rsid w:val="008962A8"/>
    <w:rsid w:val="00896319"/>
    <w:rsid w:val="00896352"/>
    <w:rsid w:val="00896370"/>
    <w:rsid w:val="0089638E"/>
    <w:rsid w:val="008963AF"/>
    <w:rsid w:val="00896428"/>
    <w:rsid w:val="008964C3"/>
    <w:rsid w:val="0089655F"/>
    <w:rsid w:val="0089668D"/>
    <w:rsid w:val="008967A4"/>
    <w:rsid w:val="008967C4"/>
    <w:rsid w:val="008967FE"/>
    <w:rsid w:val="00896869"/>
    <w:rsid w:val="00896930"/>
    <w:rsid w:val="008969A8"/>
    <w:rsid w:val="008969C1"/>
    <w:rsid w:val="00896A61"/>
    <w:rsid w:val="00896AEE"/>
    <w:rsid w:val="00896B06"/>
    <w:rsid w:val="00896B95"/>
    <w:rsid w:val="00896C1A"/>
    <w:rsid w:val="00896C3B"/>
    <w:rsid w:val="00896C99"/>
    <w:rsid w:val="00896CBF"/>
    <w:rsid w:val="00896D51"/>
    <w:rsid w:val="00896DF6"/>
    <w:rsid w:val="00896E1B"/>
    <w:rsid w:val="00896E5E"/>
    <w:rsid w:val="00896E81"/>
    <w:rsid w:val="00896EF4"/>
    <w:rsid w:val="00896F11"/>
    <w:rsid w:val="00896F3E"/>
    <w:rsid w:val="00896F82"/>
    <w:rsid w:val="00896FF8"/>
    <w:rsid w:val="00897044"/>
    <w:rsid w:val="00897097"/>
    <w:rsid w:val="008970A9"/>
    <w:rsid w:val="0089715B"/>
    <w:rsid w:val="008971A0"/>
    <w:rsid w:val="008971D4"/>
    <w:rsid w:val="008971DA"/>
    <w:rsid w:val="008971FC"/>
    <w:rsid w:val="00897231"/>
    <w:rsid w:val="00897320"/>
    <w:rsid w:val="008973DF"/>
    <w:rsid w:val="00897423"/>
    <w:rsid w:val="00897484"/>
    <w:rsid w:val="0089752F"/>
    <w:rsid w:val="00897558"/>
    <w:rsid w:val="00897740"/>
    <w:rsid w:val="008977D4"/>
    <w:rsid w:val="00897802"/>
    <w:rsid w:val="00897826"/>
    <w:rsid w:val="00897841"/>
    <w:rsid w:val="0089784E"/>
    <w:rsid w:val="008978C1"/>
    <w:rsid w:val="008979AA"/>
    <w:rsid w:val="00897A67"/>
    <w:rsid w:val="00897B69"/>
    <w:rsid w:val="00897B89"/>
    <w:rsid w:val="00897C7D"/>
    <w:rsid w:val="00897C94"/>
    <w:rsid w:val="00897CAB"/>
    <w:rsid w:val="00897CDC"/>
    <w:rsid w:val="00897D43"/>
    <w:rsid w:val="00897D56"/>
    <w:rsid w:val="00897D58"/>
    <w:rsid w:val="00897E2B"/>
    <w:rsid w:val="00897E34"/>
    <w:rsid w:val="00897E5D"/>
    <w:rsid w:val="00897E70"/>
    <w:rsid w:val="00897E7B"/>
    <w:rsid w:val="00897EF2"/>
    <w:rsid w:val="00897F3B"/>
    <w:rsid w:val="00897F53"/>
    <w:rsid w:val="00897FA5"/>
    <w:rsid w:val="008A00C5"/>
    <w:rsid w:val="008A00D6"/>
    <w:rsid w:val="008A0182"/>
    <w:rsid w:val="008A01C0"/>
    <w:rsid w:val="008A0221"/>
    <w:rsid w:val="008A0271"/>
    <w:rsid w:val="008A0312"/>
    <w:rsid w:val="008A0313"/>
    <w:rsid w:val="008A0437"/>
    <w:rsid w:val="008A0501"/>
    <w:rsid w:val="008A0516"/>
    <w:rsid w:val="008A056E"/>
    <w:rsid w:val="008A059C"/>
    <w:rsid w:val="008A0664"/>
    <w:rsid w:val="008A06D1"/>
    <w:rsid w:val="008A09EB"/>
    <w:rsid w:val="008A0AB3"/>
    <w:rsid w:val="008A0B0E"/>
    <w:rsid w:val="008A0B29"/>
    <w:rsid w:val="008A0BBD"/>
    <w:rsid w:val="008A0C90"/>
    <w:rsid w:val="008A0CA0"/>
    <w:rsid w:val="008A0D01"/>
    <w:rsid w:val="008A0D2A"/>
    <w:rsid w:val="008A0D5D"/>
    <w:rsid w:val="008A0DE0"/>
    <w:rsid w:val="008A0DF6"/>
    <w:rsid w:val="008A0E05"/>
    <w:rsid w:val="008A0E90"/>
    <w:rsid w:val="008A0F71"/>
    <w:rsid w:val="008A0F9B"/>
    <w:rsid w:val="008A1085"/>
    <w:rsid w:val="008A1117"/>
    <w:rsid w:val="008A1135"/>
    <w:rsid w:val="008A118D"/>
    <w:rsid w:val="008A11E9"/>
    <w:rsid w:val="008A11FF"/>
    <w:rsid w:val="008A1251"/>
    <w:rsid w:val="008A12AC"/>
    <w:rsid w:val="008A12D6"/>
    <w:rsid w:val="008A130B"/>
    <w:rsid w:val="008A13C4"/>
    <w:rsid w:val="008A144E"/>
    <w:rsid w:val="008A1482"/>
    <w:rsid w:val="008A14BB"/>
    <w:rsid w:val="008A153B"/>
    <w:rsid w:val="008A158F"/>
    <w:rsid w:val="008A1605"/>
    <w:rsid w:val="008A166D"/>
    <w:rsid w:val="008A1693"/>
    <w:rsid w:val="008A178A"/>
    <w:rsid w:val="008A1791"/>
    <w:rsid w:val="008A1807"/>
    <w:rsid w:val="008A185D"/>
    <w:rsid w:val="008A1878"/>
    <w:rsid w:val="008A1924"/>
    <w:rsid w:val="008A19AD"/>
    <w:rsid w:val="008A1AF2"/>
    <w:rsid w:val="008A1B3F"/>
    <w:rsid w:val="008A1C4A"/>
    <w:rsid w:val="008A1C54"/>
    <w:rsid w:val="008A1C6B"/>
    <w:rsid w:val="008A1D50"/>
    <w:rsid w:val="008A1DCC"/>
    <w:rsid w:val="008A1DE3"/>
    <w:rsid w:val="008A1E8A"/>
    <w:rsid w:val="008A1EAD"/>
    <w:rsid w:val="008A1EB0"/>
    <w:rsid w:val="008A1F10"/>
    <w:rsid w:val="008A1F15"/>
    <w:rsid w:val="008A2000"/>
    <w:rsid w:val="008A20AA"/>
    <w:rsid w:val="008A20E0"/>
    <w:rsid w:val="008A211C"/>
    <w:rsid w:val="008A2148"/>
    <w:rsid w:val="008A21AD"/>
    <w:rsid w:val="008A21BD"/>
    <w:rsid w:val="008A238A"/>
    <w:rsid w:val="008A2475"/>
    <w:rsid w:val="008A2526"/>
    <w:rsid w:val="008A253F"/>
    <w:rsid w:val="008A254F"/>
    <w:rsid w:val="008A2630"/>
    <w:rsid w:val="008A2638"/>
    <w:rsid w:val="008A2657"/>
    <w:rsid w:val="008A26AF"/>
    <w:rsid w:val="008A26D8"/>
    <w:rsid w:val="008A276A"/>
    <w:rsid w:val="008A27AF"/>
    <w:rsid w:val="008A27C3"/>
    <w:rsid w:val="008A2815"/>
    <w:rsid w:val="008A2839"/>
    <w:rsid w:val="008A2908"/>
    <w:rsid w:val="008A2968"/>
    <w:rsid w:val="008A29F2"/>
    <w:rsid w:val="008A2A27"/>
    <w:rsid w:val="008A2A89"/>
    <w:rsid w:val="008A2AEF"/>
    <w:rsid w:val="008A2AFB"/>
    <w:rsid w:val="008A2B54"/>
    <w:rsid w:val="008A2B5A"/>
    <w:rsid w:val="008A2B80"/>
    <w:rsid w:val="008A2BA7"/>
    <w:rsid w:val="008A2D44"/>
    <w:rsid w:val="008A2D4D"/>
    <w:rsid w:val="008A2D73"/>
    <w:rsid w:val="008A2E03"/>
    <w:rsid w:val="008A2E40"/>
    <w:rsid w:val="008A2E5E"/>
    <w:rsid w:val="008A2F47"/>
    <w:rsid w:val="008A2F71"/>
    <w:rsid w:val="008A2F93"/>
    <w:rsid w:val="008A2FCE"/>
    <w:rsid w:val="008A2FD5"/>
    <w:rsid w:val="008A300E"/>
    <w:rsid w:val="008A3011"/>
    <w:rsid w:val="008A3129"/>
    <w:rsid w:val="008A31A7"/>
    <w:rsid w:val="008A325D"/>
    <w:rsid w:val="008A32C6"/>
    <w:rsid w:val="008A32D1"/>
    <w:rsid w:val="008A3335"/>
    <w:rsid w:val="008A3345"/>
    <w:rsid w:val="008A3431"/>
    <w:rsid w:val="008A345A"/>
    <w:rsid w:val="008A347F"/>
    <w:rsid w:val="008A34A3"/>
    <w:rsid w:val="008A3555"/>
    <w:rsid w:val="008A3650"/>
    <w:rsid w:val="008A3654"/>
    <w:rsid w:val="008A3675"/>
    <w:rsid w:val="008A36C5"/>
    <w:rsid w:val="008A3750"/>
    <w:rsid w:val="008A3753"/>
    <w:rsid w:val="008A37AB"/>
    <w:rsid w:val="008A37DF"/>
    <w:rsid w:val="008A380E"/>
    <w:rsid w:val="008A3821"/>
    <w:rsid w:val="008A3886"/>
    <w:rsid w:val="008A38AB"/>
    <w:rsid w:val="008A38AE"/>
    <w:rsid w:val="008A3909"/>
    <w:rsid w:val="008A392B"/>
    <w:rsid w:val="008A3980"/>
    <w:rsid w:val="008A3988"/>
    <w:rsid w:val="008A39C9"/>
    <w:rsid w:val="008A3A1E"/>
    <w:rsid w:val="008A3A44"/>
    <w:rsid w:val="008A3A7D"/>
    <w:rsid w:val="008A3AD9"/>
    <w:rsid w:val="008A3BB5"/>
    <w:rsid w:val="008A3CD3"/>
    <w:rsid w:val="008A3CFE"/>
    <w:rsid w:val="008A3DB2"/>
    <w:rsid w:val="008A3DBC"/>
    <w:rsid w:val="008A3EAF"/>
    <w:rsid w:val="008A3F6E"/>
    <w:rsid w:val="008A3F8D"/>
    <w:rsid w:val="008A3FF5"/>
    <w:rsid w:val="008A402E"/>
    <w:rsid w:val="008A40AE"/>
    <w:rsid w:val="008A411A"/>
    <w:rsid w:val="008A4166"/>
    <w:rsid w:val="008A418E"/>
    <w:rsid w:val="008A41AA"/>
    <w:rsid w:val="008A41C2"/>
    <w:rsid w:val="008A4208"/>
    <w:rsid w:val="008A4231"/>
    <w:rsid w:val="008A42A0"/>
    <w:rsid w:val="008A42D2"/>
    <w:rsid w:val="008A42F3"/>
    <w:rsid w:val="008A437F"/>
    <w:rsid w:val="008A4385"/>
    <w:rsid w:val="008A4525"/>
    <w:rsid w:val="008A455C"/>
    <w:rsid w:val="008A4593"/>
    <w:rsid w:val="008A46A6"/>
    <w:rsid w:val="008A46BC"/>
    <w:rsid w:val="008A46DE"/>
    <w:rsid w:val="008A4768"/>
    <w:rsid w:val="008A4824"/>
    <w:rsid w:val="008A48F8"/>
    <w:rsid w:val="008A4A7F"/>
    <w:rsid w:val="008A4B34"/>
    <w:rsid w:val="008A4B57"/>
    <w:rsid w:val="008A4B71"/>
    <w:rsid w:val="008A4BB6"/>
    <w:rsid w:val="008A4DF2"/>
    <w:rsid w:val="008A4E90"/>
    <w:rsid w:val="008A4E98"/>
    <w:rsid w:val="008A4EB6"/>
    <w:rsid w:val="008A4F23"/>
    <w:rsid w:val="008A5038"/>
    <w:rsid w:val="008A504C"/>
    <w:rsid w:val="008A5078"/>
    <w:rsid w:val="008A50F9"/>
    <w:rsid w:val="008A5110"/>
    <w:rsid w:val="008A52EA"/>
    <w:rsid w:val="008A5332"/>
    <w:rsid w:val="008A5374"/>
    <w:rsid w:val="008A53A3"/>
    <w:rsid w:val="008A542B"/>
    <w:rsid w:val="008A54D5"/>
    <w:rsid w:val="008A54E8"/>
    <w:rsid w:val="008A555C"/>
    <w:rsid w:val="008A55BD"/>
    <w:rsid w:val="008A55FF"/>
    <w:rsid w:val="008A5613"/>
    <w:rsid w:val="008A5644"/>
    <w:rsid w:val="008A5685"/>
    <w:rsid w:val="008A569F"/>
    <w:rsid w:val="008A56CF"/>
    <w:rsid w:val="008A5772"/>
    <w:rsid w:val="008A57AB"/>
    <w:rsid w:val="008A5833"/>
    <w:rsid w:val="008A58B8"/>
    <w:rsid w:val="008A58F6"/>
    <w:rsid w:val="008A590D"/>
    <w:rsid w:val="008A590E"/>
    <w:rsid w:val="008A5927"/>
    <w:rsid w:val="008A592C"/>
    <w:rsid w:val="008A5A6D"/>
    <w:rsid w:val="008A5A91"/>
    <w:rsid w:val="008A5A99"/>
    <w:rsid w:val="008A5B34"/>
    <w:rsid w:val="008A5B62"/>
    <w:rsid w:val="008A5BE2"/>
    <w:rsid w:val="008A5C0E"/>
    <w:rsid w:val="008A5C25"/>
    <w:rsid w:val="008A5C68"/>
    <w:rsid w:val="008A5CB6"/>
    <w:rsid w:val="008A5CD6"/>
    <w:rsid w:val="008A5D1A"/>
    <w:rsid w:val="008A5D49"/>
    <w:rsid w:val="008A5D51"/>
    <w:rsid w:val="008A5E3B"/>
    <w:rsid w:val="008A5F10"/>
    <w:rsid w:val="008A5F29"/>
    <w:rsid w:val="008A5F89"/>
    <w:rsid w:val="008A5FAE"/>
    <w:rsid w:val="008A5FC6"/>
    <w:rsid w:val="008A5FF5"/>
    <w:rsid w:val="008A6022"/>
    <w:rsid w:val="008A6067"/>
    <w:rsid w:val="008A6081"/>
    <w:rsid w:val="008A60D0"/>
    <w:rsid w:val="008A60D1"/>
    <w:rsid w:val="008A61F5"/>
    <w:rsid w:val="008A62F7"/>
    <w:rsid w:val="008A630F"/>
    <w:rsid w:val="008A6310"/>
    <w:rsid w:val="008A631E"/>
    <w:rsid w:val="008A63EF"/>
    <w:rsid w:val="008A6476"/>
    <w:rsid w:val="008A64C4"/>
    <w:rsid w:val="008A64C9"/>
    <w:rsid w:val="008A64E6"/>
    <w:rsid w:val="008A64F3"/>
    <w:rsid w:val="008A65C5"/>
    <w:rsid w:val="008A66AB"/>
    <w:rsid w:val="008A6706"/>
    <w:rsid w:val="008A6757"/>
    <w:rsid w:val="008A6780"/>
    <w:rsid w:val="008A67E8"/>
    <w:rsid w:val="008A681E"/>
    <w:rsid w:val="008A6843"/>
    <w:rsid w:val="008A6855"/>
    <w:rsid w:val="008A6899"/>
    <w:rsid w:val="008A68AC"/>
    <w:rsid w:val="008A68D0"/>
    <w:rsid w:val="008A68ED"/>
    <w:rsid w:val="008A6985"/>
    <w:rsid w:val="008A69C0"/>
    <w:rsid w:val="008A69C8"/>
    <w:rsid w:val="008A69D5"/>
    <w:rsid w:val="008A6AAA"/>
    <w:rsid w:val="008A6B66"/>
    <w:rsid w:val="008A6BA3"/>
    <w:rsid w:val="008A6CDB"/>
    <w:rsid w:val="008A6D18"/>
    <w:rsid w:val="008A6D53"/>
    <w:rsid w:val="008A6D88"/>
    <w:rsid w:val="008A6E03"/>
    <w:rsid w:val="008A6E6A"/>
    <w:rsid w:val="008A6EAC"/>
    <w:rsid w:val="008A6F72"/>
    <w:rsid w:val="008A6F91"/>
    <w:rsid w:val="008A70CA"/>
    <w:rsid w:val="008A70E6"/>
    <w:rsid w:val="008A716A"/>
    <w:rsid w:val="008A7182"/>
    <w:rsid w:val="008A719C"/>
    <w:rsid w:val="008A71BC"/>
    <w:rsid w:val="008A71C9"/>
    <w:rsid w:val="008A71EB"/>
    <w:rsid w:val="008A7219"/>
    <w:rsid w:val="008A7323"/>
    <w:rsid w:val="008A7394"/>
    <w:rsid w:val="008A7428"/>
    <w:rsid w:val="008A744B"/>
    <w:rsid w:val="008A74E3"/>
    <w:rsid w:val="008A755F"/>
    <w:rsid w:val="008A75BC"/>
    <w:rsid w:val="008A75CE"/>
    <w:rsid w:val="008A7673"/>
    <w:rsid w:val="008A7687"/>
    <w:rsid w:val="008A7793"/>
    <w:rsid w:val="008A78A8"/>
    <w:rsid w:val="008A79F5"/>
    <w:rsid w:val="008A7A5E"/>
    <w:rsid w:val="008A7A9B"/>
    <w:rsid w:val="008A7B11"/>
    <w:rsid w:val="008A7B89"/>
    <w:rsid w:val="008A7B9C"/>
    <w:rsid w:val="008A7CB8"/>
    <w:rsid w:val="008A7CE4"/>
    <w:rsid w:val="008A7CF8"/>
    <w:rsid w:val="008A7D34"/>
    <w:rsid w:val="008A7E03"/>
    <w:rsid w:val="008A7E12"/>
    <w:rsid w:val="008A7E3E"/>
    <w:rsid w:val="008A7E73"/>
    <w:rsid w:val="008A7EB2"/>
    <w:rsid w:val="008A7F16"/>
    <w:rsid w:val="008A7F2A"/>
    <w:rsid w:val="008A7F43"/>
    <w:rsid w:val="008A7F61"/>
    <w:rsid w:val="008A7FBB"/>
    <w:rsid w:val="008B001C"/>
    <w:rsid w:val="008B007C"/>
    <w:rsid w:val="008B00AB"/>
    <w:rsid w:val="008B00D1"/>
    <w:rsid w:val="008B0123"/>
    <w:rsid w:val="008B0142"/>
    <w:rsid w:val="008B0258"/>
    <w:rsid w:val="008B029A"/>
    <w:rsid w:val="008B02FD"/>
    <w:rsid w:val="008B030D"/>
    <w:rsid w:val="008B033C"/>
    <w:rsid w:val="008B0387"/>
    <w:rsid w:val="008B0399"/>
    <w:rsid w:val="008B03EF"/>
    <w:rsid w:val="008B03F2"/>
    <w:rsid w:val="008B040F"/>
    <w:rsid w:val="008B042B"/>
    <w:rsid w:val="008B0558"/>
    <w:rsid w:val="008B05C9"/>
    <w:rsid w:val="008B06B3"/>
    <w:rsid w:val="008B071D"/>
    <w:rsid w:val="008B073A"/>
    <w:rsid w:val="008B077F"/>
    <w:rsid w:val="008B07D2"/>
    <w:rsid w:val="008B07D4"/>
    <w:rsid w:val="008B0831"/>
    <w:rsid w:val="008B0863"/>
    <w:rsid w:val="008B08CD"/>
    <w:rsid w:val="008B08DC"/>
    <w:rsid w:val="008B08FF"/>
    <w:rsid w:val="008B0943"/>
    <w:rsid w:val="008B0A91"/>
    <w:rsid w:val="008B0B3E"/>
    <w:rsid w:val="008B0BF4"/>
    <w:rsid w:val="008B0CD9"/>
    <w:rsid w:val="008B0D0D"/>
    <w:rsid w:val="008B1102"/>
    <w:rsid w:val="008B1105"/>
    <w:rsid w:val="008B117A"/>
    <w:rsid w:val="008B12D8"/>
    <w:rsid w:val="008B13C6"/>
    <w:rsid w:val="008B14E7"/>
    <w:rsid w:val="008B1550"/>
    <w:rsid w:val="008B156A"/>
    <w:rsid w:val="008B1608"/>
    <w:rsid w:val="008B1739"/>
    <w:rsid w:val="008B1791"/>
    <w:rsid w:val="008B17BE"/>
    <w:rsid w:val="008B182F"/>
    <w:rsid w:val="008B1843"/>
    <w:rsid w:val="008B1906"/>
    <w:rsid w:val="008B19D2"/>
    <w:rsid w:val="008B1A2E"/>
    <w:rsid w:val="008B1A67"/>
    <w:rsid w:val="008B1A7D"/>
    <w:rsid w:val="008B1B42"/>
    <w:rsid w:val="008B1BBC"/>
    <w:rsid w:val="008B1BC7"/>
    <w:rsid w:val="008B1C39"/>
    <w:rsid w:val="008B1C48"/>
    <w:rsid w:val="008B1CE9"/>
    <w:rsid w:val="008B1D76"/>
    <w:rsid w:val="008B1E15"/>
    <w:rsid w:val="008B1FC9"/>
    <w:rsid w:val="008B1FF2"/>
    <w:rsid w:val="008B2076"/>
    <w:rsid w:val="008B207D"/>
    <w:rsid w:val="008B20DE"/>
    <w:rsid w:val="008B2108"/>
    <w:rsid w:val="008B215F"/>
    <w:rsid w:val="008B219B"/>
    <w:rsid w:val="008B21E1"/>
    <w:rsid w:val="008B2249"/>
    <w:rsid w:val="008B22B5"/>
    <w:rsid w:val="008B230B"/>
    <w:rsid w:val="008B234C"/>
    <w:rsid w:val="008B2357"/>
    <w:rsid w:val="008B2375"/>
    <w:rsid w:val="008B237C"/>
    <w:rsid w:val="008B2392"/>
    <w:rsid w:val="008B23BE"/>
    <w:rsid w:val="008B2436"/>
    <w:rsid w:val="008B24B7"/>
    <w:rsid w:val="008B24BB"/>
    <w:rsid w:val="008B24D6"/>
    <w:rsid w:val="008B2579"/>
    <w:rsid w:val="008B260C"/>
    <w:rsid w:val="008B26A2"/>
    <w:rsid w:val="008B26E9"/>
    <w:rsid w:val="008B2711"/>
    <w:rsid w:val="008B2773"/>
    <w:rsid w:val="008B2788"/>
    <w:rsid w:val="008B27F5"/>
    <w:rsid w:val="008B281E"/>
    <w:rsid w:val="008B288E"/>
    <w:rsid w:val="008B2956"/>
    <w:rsid w:val="008B2A93"/>
    <w:rsid w:val="008B2B39"/>
    <w:rsid w:val="008B2B75"/>
    <w:rsid w:val="008B2B9B"/>
    <w:rsid w:val="008B2BAB"/>
    <w:rsid w:val="008B2CEB"/>
    <w:rsid w:val="008B2D36"/>
    <w:rsid w:val="008B2E4E"/>
    <w:rsid w:val="008B2E52"/>
    <w:rsid w:val="008B2E9E"/>
    <w:rsid w:val="008B2EE5"/>
    <w:rsid w:val="008B2F87"/>
    <w:rsid w:val="008B2FEF"/>
    <w:rsid w:val="008B3043"/>
    <w:rsid w:val="008B30DF"/>
    <w:rsid w:val="008B3258"/>
    <w:rsid w:val="008B326C"/>
    <w:rsid w:val="008B3299"/>
    <w:rsid w:val="008B32C8"/>
    <w:rsid w:val="008B32CB"/>
    <w:rsid w:val="008B32D7"/>
    <w:rsid w:val="008B32DC"/>
    <w:rsid w:val="008B3333"/>
    <w:rsid w:val="008B3353"/>
    <w:rsid w:val="008B338F"/>
    <w:rsid w:val="008B33DA"/>
    <w:rsid w:val="008B3405"/>
    <w:rsid w:val="008B34F6"/>
    <w:rsid w:val="008B34F7"/>
    <w:rsid w:val="008B35BE"/>
    <w:rsid w:val="008B364B"/>
    <w:rsid w:val="008B3674"/>
    <w:rsid w:val="008B3696"/>
    <w:rsid w:val="008B36B0"/>
    <w:rsid w:val="008B36C8"/>
    <w:rsid w:val="008B36F8"/>
    <w:rsid w:val="008B378A"/>
    <w:rsid w:val="008B3838"/>
    <w:rsid w:val="008B3854"/>
    <w:rsid w:val="008B3862"/>
    <w:rsid w:val="008B387C"/>
    <w:rsid w:val="008B390C"/>
    <w:rsid w:val="008B3954"/>
    <w:rsid w:val="008B3A88"/>
    <w:rsid w:val="008B3A92"/>
    <w:rsid w:val="008B3B47"/>
    <w:rsid w:val="008B3B82"/>
    <w:rsid w:val="008B3BEB"/>
    <w:rsid w:val="008B3C0D"/>
    <w:rsid w:val="008B3C12"/>
    <w:rsid w:val="008B3C87"/>
    <w:rsid w:val="008B3D6F"/>
    <w:rsid w:val="008B3DC0"/>
    <w:rsid w:val="008B3E3E"/>
    <w:rsid w:val="008B3F83"/>
    <w:rsid w:val="008B3FD2"/>
    <w:rsid w:val="008B4015"/>
    <w:rsid w:val="008B401B"/>
    <w:rsid w:val="008B401E"/>
    <w:rsid w:val="008B405A"/>
    <w:rsid w:val="008B405B"/>
    <w:rsid w:val="008B40A0"/>
    <w:rsid w:val="008B410B"/>
    <w:rsid w:val="008B41B1"/>
    <w:rsid w:val="008B41BD"/>
    <w:rsid w:val="008B423C"/>
    <w:rsid w:val="008B428D"/>
    <w:rsid w:val="008B429A"/>
    <w:rsid w:val="008B42B8"/>
    <w:rsid w:val="008B42C0"/>
    <w:rsid w:val="008B4313"/>
    <w:rsid w:val="008B4381"/>
    <w:rsid w:val="008B4385"/>
    <w:rsid w:val="008B440C"/>
    <w:rsid w:val="008B44E6"/>
    <w:rsid w:val="008B4547"/>
    <w:rsid w:val="008B4791"/>
    <w:rsid w:val="008B47F8"/>
    <w:rsid w:val="008B4844"/>
    <w:rsid w:val="008B492A"/>
    <w:rsid w:val="008B4933"/>
    <w:rsid w:val="008B4946"/>
    <w:rsid w:val="008B4989"/>
    <w:rsid w:val="008B49EA"/>
    <w:rsid w:val="008B4A8F"/>
    <w:rsid w:val="008B4AAB"/>
    <w:rsid w:val="008B4B8C"/>
    <w:rsid w:val="008B4BDB"/>
    <w:rsid w:val="008B4BDE"/>
    <w:rsid w:val="008B4BFC"/>
    <w:rsid w:val="008B4C31"/>
    <w:rsid w:val="008B4C54"/>
    <w:rsid w:val="008B4CC9"/>
    <w:rsid w:val="008B4D3B"/>
    <w:rsid w:val="008B4D64"/>
    <w:rsid w:val="008B4E40"/>
    <w:rsid w:val="008B4E6F"/>
    <w:rsid w:val="008B50D5"/>
    <w:rsid w:val="008B5100"/>
    <w:rsid w:val="008B5136"/>
    <w:rsid w:val="008B513A"/>
    <w:rsid w:val="008B51B4"/>
    <w:rsid w:val="008B51EA"/>
    <w:rsid w:val="008B53AA"/>
    <w:rsid w:val="008B53F5"/>
    <w:rsid w:val="008B5457"/>
    <w:rsid w:val="008B54D6"/>
    <w:rsid w:val="008B5505"/>
    <w:rsid w:val="008B5529"/>
    <w:rsid w:val="008B55A4"/>
    <w:rsid w:val="008B56AE"/>
    <w:rsid w:val="008B5725"/>
    <w:rsid w:val="008B574A"/>
    <w:rsid w:val="008B57C8"/>
    <w:rsid w:val="008B586C"/>
    <w:rsid w:val="008B58A8"/>
    <w:rsid w:val="008B58A9"/>
    <w:rsid w:val="008B58EA"/>
    <w:rsid w:val="008B5970"/>
    <w:rsid w:val="008B5978"/>
    <w:rsid w:val="008B5998"/>
    <w:rsid w:val="008B59DF"/>
    <w:rsid w:val="008B5AFC"/>
    <w:rsid w:val="008B5B5E"/>
    <w:rsid w:val="008B5B67"/>
    <w:rsid w:val="008B5B84"/>
    <w:rsid w:val="008B5BDA"/>
    <w:rsid w:val="008B5BE0"/>
    <w:rsid w:val="008B5C00"/>
    <w:rsid w:val="008B5CD9"/>
    <w:rsid w:val="008B5CEA"/>
    <w:rsid w:val="008B5D5A"/>
    <w:rsid w:val="008B5D7A"/>
    <w:rsid w:val="008B5D92"/>
    <w:rsid w:val="008B5DC9"/>
    <w:rsid w:val="008B5E2C"/>
    <w:rsid w:val="008B5E33"/>
    <w:rsid w:val="008B5E6E"/>
    <w:rsid w:val="008B5E7C"/>
    <w:rsid w:val="008B5E87"/>
    <w:rsid w:val="008B5ECD"/>
    <w:rsid w:val="008B5EE2"/>
    <w:rsid w:val="008B5F0D"/>
    <w:rsid w:val="008B6011"/>
    <w:rsid w:val="008B6025"/>
    <w:rsid w:val="008B604F"/>
    <w:rsid w:val="008B605A"/>
    <w:rsid w:val="008B60A4"/>
    <w:rsid w:val="008B60B4"/>
    <w:rsid w:val="008B6290"/>
    <w:rsid w:val="008B6319"/>
    <w:rsid w:val="008B633A"/>
    <w:rsid w:val="008B63D6"/>
    <w:rsid w:val="008B643F"/>
    <w:rsid w:val="008B64DF"/>
    <w:rsid w:val="008B6565"/>
    <w:rsid w:val="008B659C"/>
    <w:rsid w:val="008B6677"/>
    <w:rsid w:val="008B66E3"/>
    <w:rsid w:val="008B6759"/>
    <w:rsid w:val="008B67D1"/>
    <w:rsid w:val="008B67F7"/>
    <w:rsid w:val="008B680D"/>
    <w:rsid w:val="008B68A4"/>
    <w:rsid w:val="008B6916"/>
    <w:rsid w:val="008B695F"/>
    <w:rsid w:val="008B6AD3"/>
    <w:rsid w:val="008B6B20"/>
    <w:rsid w:val="008B6BFA"/>
    <w:rsid w:val="008B6C9C"/>
    <w:rsid w:val="008B6CFC"/>
    <w:rsid w:val="008B6D2C"/>
    <w:rsid w:val="008B6D40"/>
    <w:rsid w:val="008B6D9D"/>
    <w:rsid w:val="008B6E3B"/>
    <w:rsid w:val="008B6E4D"/>
    <w:rsid w:val="008B6E7F"/>
    <w:rsid w:val="008B6E89"/>
    <w:rsid w:val="008B6EE5"/>
    <w:rsid w:val="008B6EE7"/>
    <w:rsid w:val="008B6F23"/>
    <w:rsid w:val="008B6FF8"/>
    <w:rsid w:val="008B7009"/>
    <w:rsid w:val="008B7061"/>
    <w:rsid w:val="008B7082"/>
    <w:rsid w:val="008B7090"/>
    <w:rsid w:val="008B715D"/>
    <w:rsid w:val="008B7160"/>
    <w:rsid w:val="008B71B6"/>
    <w:rsid w:val="008B7271"/>
    <w:rsid w:val="008B7272"/>
    <w:rsid w:val="008B728E"/>
    <w:rsid w:val="008B72FF"/>
    <w:rsid w:val="008B73B3"/>
    <w:rsid w:val="008B74D5"/>
    <w:rsid w:val="008B74DC"/>
    <w:rsid w:val="008B75CD"/>
    <w:rsid w:val="008B76EB"/>
    <w:rsid w:val="008B7712"/>
    <w:rsid w:val="008B7713"/>
    <w:rsid w:val="008B77F5"/>
    <w:rsid w:val="008B7848"/>
    <w:rsid w:val="008B7908"/>
    <w:rsid w:val="008B7A53"/>
    <w:rsid w:val="008B7A92"/>
    <w:rsid w:val="008B7B10"/>
    <w:rsid w:val="008B7C0E"/>
    <w:rsid w:val="008B7D70"/>
    <w:rsid w:val="008B7D84"/>
    <w:rsid w:val="008B7DB5"/>
    <w:rsid w:val="008B7E16"/>
    <w:rsid w:val="008B7E55"/>
    <w:rsid w:val="008B7E62"/>
    <w:rsid w:val="008B7E78"/>
    <w:rsid w:val="008B7EBA"/>
    <w:rsid w:val="008B7EC0"/>
    <w:rsid w:val="008B7EE6"/>
    <w:rsid w:val="008B7F93"/>
    <w:rsid w:val="008C002C"/>
    <w:rsid w:val="008C0036"/>
    <w:rsid w:val="008C00EB"/>
    <w:rsid w:val="008C021B"/>
    <w:rsid w:val="008C022B"/>
    <w:rsid w:val="008C0255"/>
    <w:rsid w:val="008C0276"/>
    <w:rsid w:val="008C02D6"/>
    <w:rsid w:val="008C02F0"/>
    <w:rsid w:val="008C0307"/>
    <w:rsid w:val="008C03A4"/>
    <w:rsid w:val="008C03C5"/>
    <w:rsid w:val="008C0456"/>
    <w:rsid w:val="008C049B"/>
    <w:rsid w:val="008C04A5"/>
    <w:rsid w:val="008C04AC"/>
    <w:rsid w:val="008C0520"/>
    <w:rsid w:val="008C05D3"/>
    <w:rsid w:val="008C05E2"/>
    <w:rsid w:val="008C06C5"/>
    <w:rsid w:val="008C0704"/>
    <w:rsid w:val="008C0788"/>
    <w:rsid w:val="008C0821"/>
    <w:rsid w:val="008C089C"/>
    <w:rsid w:val="008C09AC"/>
    <w:rsid w:val="008C0AB6"/>
    <w:rsid w:val="008C0B82"/>
    <w:rsid w:val="008C0C08"/>
    <w:rsid w:val="008C0C4F"/>
    <w:rsid w:val="008C0CA8"/>
    <w:rsid w:val="008C0CDB"/>
    <w:rsid w:val="008C0D48"/>
    <w:rsid w:val="008C0D5D"/>
    <w:rsid w:val="008C0DCD"/>
    <w:rsid w:val="008C0E1A"/>
    <w:rsid w:val="008C0E46"/>
    <w:rsid w:val="008C0E58"/>
    <w:rsid w:val="008C0EB9"/>
    <w:rsid w:val="008C0EDC"/>
    <w:rsid w:val="008C0EF6"/>
    <w:rsid w:val="008C0FD0"/>
    <w:rsid w:val="008C0FF6"/>
    <w:rsid w:val="008C1004"/>
    <w:rsid w:val="008C103E"/>
    <w:rsid w:val="008C10BA"/>
    <w:rsid w:val="008C118D"/>
    <w:rsid w:val="008C11E1"/>
    <w:rsid w:val="008C11E4"/>
    <w:rsid w:val="008C124C"/>
    <w:rsid w:val="008C1254"/>
    <w:rsid w:val="008C1284"/>
    <w:rsid w:val="008C1308"/>
    <w:rsid w:val="008C132A"/>
    <w:rsid w:val="008C1372"/>
    <w:rsid w:val="008C137F"/>
    <w:rsid w:val="008C13C7"/>
    <w:rsid w:val="008C13DA"/>
    <w:rsid w:val="008C1489"/>
    <w:rsid w:val="008C15DF"/>
    <w:rsid w:val="008C162C"/>
    <w:rsid w:val="008C1658"/>
    <w:rsid w:val="008C16C1"/>
    <w:rsid w:val="008C1725"/>
    <w:rsid w:val="008C1760"/>
    <w:rsid w:val="008C1811"/>
    <w:rsid w:val="008C1882"/>
    <w:rsid w:val="008C18F7"/>
    <w:rsid w:val="008C19CE"/>
    <w:rsid w:val="008C19D4"/>
    <w:rsid w:val="008C1A83"/>
    <w:rsid w:val="008C1B3C"/>
    <w:rsid w:val="008C1BC9"/>
    <w:rsid w:val="008C1C86"/>
    <w:rsid w:val="008C1D1A"/>
    <w:rsid w:val="008C1D8A"/>
    <w:rsid w:val="008C1D99"/>
    <w:rsid w:val="008C1E05"/>
    <w:rsid w:val="008C1E1C"/>
    <w:rsid w:val="008C1EB6"/>
    <w:rsid w:val="008C1F13"/>
    <w:rsid w:val="008C2058"/>
    <w:rsid w:val="008C20B3"/>
    <w:rsid w:val="008C20CF"/>
    <w:rsid w:val="008C20DF"/>
    <w:rsid w:val="008C20F7"/>
    <w:rsid w:val="008C2107"/>
    <w:rsid w:val="008C212D"/>
    <w:rsid w:val="008C2130"/>
    <w:rsid w:val="008C21C4"/>
    <w:rsid w:val="008C2201"/>
    <w:rsid w:val="008C223E"/>
    <w:rsid w:val="008C2245"/>
    <w:rsid w:val="008C2248"/>
    <w:rsid w:val="008C2253"/>
    <w:rsid w:val="008C2259"/>
    <w:rsid w:val="008C2294"/>
    <w:rsid w:val="008C229F"/>
    <w:rsid w:val="008C22D0"/>
    <w:rsid w:val="008C2330"/>
    <w:rsid w:val="008C2392"/>
    <w:rsid w:val="008C241B"/>
    <w:rsid w:val="008C2432"/>
    <w:rsid w:val="008C255E"/>
    <w:rsid w:val="008C2682"/>
    <w:rsid w:val="008C2855"/>
    <w:rsid w:val="008C2859"/>
    <w:rsid w:val="008C292E"/>
    <w:rsid w:val="008C2986"/>
    <w:rsid w:val="008C29E1"/>
    <w:rsid w:val="008C2B1A"/>
    <w:rsid w:val="008C2C04"/>
    <w:rsid w:val="008C2C51"/>
    <w:rsid w:val="008C2C52"/>
    <w:rsid w:val="008C2D00"/>
    <w:rsid w:val="008C2D35"/>
    <w:rsid w:val="008C2E03"/>
    <w:rsid w:val="008C2ED6"/>
    <w:rsid w:val="008C2EE1"/>
    <w:rsid w:val="008C2EFE"/>
    <w:rsid w:val="008C2F3F"/>
    <w:rsid w:val="008C2F82"/>
    <w:rsid w:val="008C2FCE"/>
    <w:rsid w:val="008C301D"/>
    <w:rsid w:val="008C3030"/>
    <w:rsid w:val="008C303A"/>
    <w:rsid w:val="008C304E"/>
    <w:rsid w:val="008C30F6"/>
    <w:rsid w:val="008C31E8"/>
    <w:rsid w:val="008C31FA"/>
    <w:rsid w:val="008C329C"/>
    <w:rsid w:val="008C32B7"/>
    <w:rsid w:val="008C32C2"/>
    <w:rsid w:val="008C32FC"/>
    <w:rsid w:val="008C33A2"/>
    <w:rsid w:val="008C33E5"/>
    <w:rsid w:val="008C3416"/>
    <w:rsid w:val="008C3433"/>
    <w:rsid w:val="008C346A"/>
    <w:rsid w:val="008C3480"/>
    <w:rsid w:val="008C348E"/>
    <w:rsid w:val="008C34BB"/>
    <w:rsid w:val="008C3524"/>
    <w:rsid w:val="008C35AA"/>
    <w:rsid w:val="008C35FD"/>
    <w:rsid w:val="008C3666"/>
    <w:rsid w:val="008C36D3"/>
    <w:rsid w:val="008C386B"/>
    <w:rsid w:val="008C38EE"/>
    <w:rsid w:val="008C38F6"/>
    <w:rsid w:val="008C393C"/>
    <w:rsid w:val="008C3954"/>
    <w:rsid w:val="008C3985"/>
    <w:rsid w:val="008C39AD"/>
    <w:rsid w:val="008C3A2C"/>
    <w:rsid w:val="008C3B23"/>
    <w:rsid w:val="008C3BD5"/>
    <w:rsid w:val="008C3BF6"/>
    <w:rsid w:val="008C3C77"/>
    <w:rsid w:val="008C3CC8"/>
    <w:rsid w:val="008C3CF8"/>
    <w:rsid w:val="008C3D12"/>
    <w:rsid w:val="008C3DF3"/>
    <w:rsid w:val="008C3E77"/>
    <w:rsid w:val="008C3F39"/>
    <w:rsid w:val="008C3F4D"/>
    <w:rsid w:val="008C3F7E"/>
    <w:rsid w:val="008C3FD4"/>
    <w:rsid w:val="008C4003"/>
    <w:rsid w:val="008C4024"/>
    <w:rsid w:val="008C4220"/>
    <w:rsid w:val="008C4232"/>
    <w:rsid w:val="008C4245"/>
    <w:rsid w:val="008C42A7"/>
    <w:rsid w:val="008C42DB"/>
    <w:rsid w:val="008C444C"/>
    <w:rsid w:val="008C44B7"/>
    <w:rsid w:val="008C457D"/>
    <w:rsid w:val="008C45E2"/>
    <w:rsid w:val="008C4606"/>
    <w:rsid w:val="008C4654"/>
    <w:rsid w:val="008C4770"/>
    <w:rsid w:val="008C4774"/>
    <w:rsid w:val="008C47AB"/>
    <w:rsid w:val="008C48A4"/>
    <w:rsid w:val="008C4909"/>
    <w:rsid w:val="008C49F4"/>
    <w:rsid w:val="008C4A15"/>
    <w:rsid w:val="008C4A7F"/>
    <w:rsid w:val="008C4AAF"/>
    <w:rsid w:val="008C4AE1"/>
    <w:rsid w:val="008C4B04"/>
    <w:rsid w:val="008C4C11"/>
    <w:rsid w:val="008C4CF0"/>
    <w:rsid w:val="008C4D67"/>
    <w:rsid w:val="008C4D89"/>
    <w:rsid w:val="008C4DDA"/>
    <w:rsid w:val="008C4E2C"/>
    <w:rsid w:val="008C4E86"/>
    <w:rsid w:val="008C4FCB"/>
    <w:rsid w:val="008C4FE0"/>
    <w:rsid w:val="008C500F"/>
    <w:rsid w:val="008C51A0"/>
    <w:rsid w:val="008C51AC"/>
    <w:rsid w:val="008C51E9"/>
    <w:rsid w:val="008C52B5"/>
    <w:rsid w:val="008C5359"/>
    <w:rsid w:val="008C5362"/>
    <w:rsid w:val="008C53AF"/>
    <w:rsid w:val="008C53CF"/>
    <w:rsid w:val="008C53ED"/>
    <w:rsid w:val="008C5424"/>
    <w:rsid w:val="008C54C1"/>
    <w:rsid w:val="008C54D7"/>
    <w:rsid w:val="008C557E"/>
    <w:rsid w:val="008C5589"/>
    <w:rsid w:val="008C5714"/>
    <w:rsid w:val="008C5729"/>
    <w:rsid w:val="008C579B"/>
    <w:rsid w:val="008C57C9"/>
    <w:rsid w:val="008C57F0"/>
    <w:rsid w:val="008C5884"/>
    <w:rsid w:val="008C593E"/>
    <w:rsid w:val="008C595A"/>
    <w:rsid w:val="008C59F7"/>
    <w:rsid w:val="008C5A0D"/>
    <w:rsid w:val="008C5AC6"/>
    <w:rsid w:val="008C5B8B"/>
    <w:rsid w:val="008C5BFD"/>
    <w:rsid w:val="008C5C0C"/>
    <w:rsid w:val="008C5C64"/>
    <w:rsid w:val="008C5E3B"/>
    <w:rsid w:val="008C5FAF"/>
    <w:rsid w:val="008C5FC2"/>
    <w:rsid w:val="008C607C"/>
    <w:rsid w:val="008C6132"/>
    <w:rsid w:val="008C614C"/>
    <w:rsid w:val="008C6191"/>
    <w:rsid w:val="008C61F7"/>
    <w:rsid w:val="008C6241"/>
    <w:rsid w:val="008C6259"/>
    <w:rsid w:val="008C6266"/>
    <w:rsid w:val="008C6280"/>
    <w:rsid w:val="008C6311"/>
    <w:rsid w:val="008C6364"/>
    <w:rsid w:val="008C636E"/>
    <w:rsid w:val="008C636F"/>
    <w:rsid w:val="008C641E"/>
    <w:rsid w:val="008C644A"/>
    <w:rsid w:val="008C65B0"/>
    <w:rsid w:val="008C65D7"/>
    <w:rsid w:val="008C666E"/>
    <w:rsid w:val="008C66E0"/>
    <w:rsid w:val="008C67A5"/>
    <w:rsid w:val="008C67E4"/>
    <w:rsid w:val="008C685E"/>
    <w:rsid w:val="008C6931"/>
    <w:rsid w:val="008C69B3"/>
    <w:rsid w:val="008C69B7"/>
    <w:rsid w:val="008C69D2"/>
    <w:rsid w:val="008C69D4"/>
    <w:rsid w:val="008C69D5"/>
    <w:rsid w:val="008C6A1F"/>
    <w:rsid w:val="008C6A35"/>
    <w:rsid w:val="008C6A4E"/>
    <w:rsid w:val="008C6A5D"/>
    <w:rsid w:val="008C6ACA"/>
    <w:rsid w:val="008C6AEC"/>
    <w:rsid w:val="008C6C0C"/>
    <w:rsid w:val="008C6C3B"/>
    <w:rsid w:val="008C6D07"/>
    <w:rsid w:val="008C6D1B"/>
    <w:rsid w:val="008C6D74"/>
    <w:rsid w:val="008C6D90"/>
    <w:rsid w:val="008C6E1A"/>
    <w:rsid w:val="008C6F83"/>
    <w:rsid w:val="008C6F92"/>
    <w:rsid w:val="008C6FA7"/>
    <w:rsid w:val="008C6FC8"/>
    <w:rsid w:val="008C708F"/>
    <w:rsid w:val="008C723A"/>
    <w:rsid w:val="008C733A"/>
    <w:rsid w:val="008C73B6"/>
    <w:rsid w:val="008C73D1"/>
    <w:rsid w:val="008C742B"/>
    <w:rsid w:val="008C7485"/>
    <w:rsid w:val="008C74E8"/>
    <w:rsid w:val="008C752D"/>
    <w:rsid w:val="008C760B"/>
    <w:rsid w:val="008C764A"/>
    <w:rsid w:val="008C765D"/>
    <w:rsid w:val="008C76B1"/>
    <w:rsid w:val="008C7748"/>
    <w:rsid w:val="008C77CE"/>
    <w:rsid w:val="008C7827"/>
    <w:rsid w:val="008C798F"/>
    <w:rsid w:val="008C7A04"/>
    <w:rsid w:val="008C7A07"/>
    <w:rsid w:val="008C7A36"/>
    <w:rsid w:val="008C7B06"/>
    <w:rsid w:val="008C7B3C"/>
    <w:rsid w:val="008C7B85"/>
    <w:rsid w:val="008C7B99"/>
    <w:rsid w:val="008C7C97"/>
    <w:rsid w:val="008C7CD6"/>
    <w:rsid w:val="008C7D5B"/>
    <w:rsid w:val="008C7D92"/>
    <w:rsid w:val="008C7DE9"/>
    <w:rsid w:val="008C7E0D"/>
    <w:rsid w:val="008C7E56"/>
    <w:rsid w:val="008C7FB1"/>
    <w:rsid w:val="008C7FEB"/>
    <w:rsid w:val="008D0030"/>
    <w:rsid w:val="008D003F"/>
    <w:rsid w:val="008D0137"/>
    <w:rsid w:val="008D01A9"/>
    <w:rsid w:val="008D01C3"/>
    <w:rsid w:val="008D01E0"/>
    <w:rsid w:val="008D028F"/>
    <w:rsid w:val="008D02AE"/>
    <w:rsid w:val="008D0437"/>
    <w:rsid w:val="008D0499"/>
    <w:rsid w:val="008D049B"/>
    <w:rsid w:val="008D04DB"/>
    <w:rsid w:val="008D052E"/>
    <w:rsid w:val="008D0599"/>
    <w:rsid w:val="008D05A5"/>
    <w:rsid w:val="008D0605"/>
    <w:rsid w:val="008D062D"/>
    <w:rsid w:val="008D06FB"/>
    <w:rsid w:val="008D0721"/>
    <w:rsid w:val="008D076A"/>
    <w:rsid w:val="008D079C"/>
    <w:rsid w:val="008D07A7"/>
    <w:rsid w:val="008D08E4"/>
    <w:rsid w:val="008D0934"/>
    <w:rsid w:val="008D094F"/>
    <w:rsid w:val="008D09A3"/>
    <w:rsid w:val="008D09BD"/>
    <w:rsid w:val="008D0A14"/>
    <w:rsid w:val="008D0AB5"/>
    <w:rsid w:val="008D0AB7"/>
    <w:rsid w:val="008D0AB9"/>
    <w:rsid w:val="008D0C2F"/>
    <w:rsid w:val="008D0C3B"/>
    <w:rsid w:val="008D0CC5"/>
    <w:rsid w:val="008D0CE6"/>
    <w:rsid w:val="008D0DA9"/>
    <w:rsid w:val="008D0DEB"/>
    <w:rsid w:val="008D0E55"/>
    <w:rsid w:val="008D0E6F"/>
    <w:rsid w:val="008D0E75"/>
    <w:rsid w:val="008D0EBA"/>
    <w:rsid w:val="008D0ED7"/>
    <w:rsid w:val="008D0EDC"/>
    <w:rsid w:val="008D0EF6"/>
    <w:rsid w:val="008D0F41"/>
    <w:rsid w:val="008D0F65"/>
    <w:rsid w:val="008D0FBC"/>
    <w:rsid w:val="008D0FC1"/>
    <w:rsid w:val="008D0FD9"/>
    <w:rsid w:val="008D10DD"/>
    <w:rsid w:val="008D116B"/>
    <w:rsid w:val="008D116D"/>
    <w:rsid w:val="008D1172"/>
    <w:rsid w:val="008D12C5"/>
    <w:rsid w:val="008D1345"/>
    <w:rsid w:val="008D1385"/>
    <w:rsid w:val="008D13D7"/>
    <w:rsid w:val="008D14BA"/>
    <w:rsid w:val="008D1539"/>
    <w:rsid w:val="008D1553"/>
    <w:rsid w:val="008D156E"/>
    <w:rsid w:val="008D15FC"/>
    <w:rsid w:val="008D166E"/>
    <w:rsid w:val="008D173B"/>
    <w:rsid w:val="008D1748"/>
    <w:rsid w:val="008D17D9"/>
    <w:rsid w:val="008D181C"/>
    <w:rsid w:val="008D188D"/>
    <w:rsid w:val="008D18E2"/>
    <w:rsid w:val="008D18F3"/>
    <w:rsid w:val="008D195B"/>
    <w:rsid w:val="008D195D"/>
    <w:rsid w:val="008D1980"/>
    <w:rsid w:val="008D1ABF"/>
    <w:rsid w:val="008D1AF4"/>
    <w:rsid w:val="008D1AF5"/>
    <w:rsid w:val="008D1B11"/>
    <w:rsid w:val="008D1B1F"/>
    <w:rsid w:val="008D1B36"/>
    <w:rsid w:val="008D1B3A"/>
    <w:rsid w:val="008D1B6A"/>
    <w:rsid w:val="008D1BDA"/>
    <w:rsid w:val="008D1BFA"/>
    <w:rsid w:val="008D1C51"/>
    <w:rsid w:val="008D1C52"/>
    <w:rsid w:val="008D1CBE"/>
    <w:rsid w:val="008D1CE2"/>
    <w:rsid w:val="008D1D04"/>
    <w:rsid w:val="008D1D32"/>
    <w:rsid w:val="008D1DA3"/>
    <w:rsid w:val="008D1E4D"/>
    <w:rsid w:val="008D1EB2"/>
    <w:rsid w:val="008D1EE7"/>
    <w:rsid w:val="008D1F59"/>
    <w:rsid w:val="008D1F8A"/>
    <w:rsid w:val="008D1FDF"/>
    <w:rsid w:val="008D1FF6"/>
    <w:rsid w:val="008D20A2"/>
    <w:rsid w:val="008D20E6"/>
    <w:rsid w:val="008D21D8"/>
    <w:rsid w:val="008D21FE"/>
    <w:rsid w:val="008D2237"/>
    <w:rsid w:val="008D2297"/>
    <w:rsid w:val="008D22D5"/>
    <w:rsid w:val="008D2395"/>
    <w:rsid w:val="008D2410"/>
    <w:rsid w:val="008D2483"/>
    <w:rsid w:val="008D255F"/>
    <w:rsid w:val="008D25FD"/>
    <w:rsid w:val="008D26A0"/>
    <w:rsid w:val="008D26DC"/>
    <w:rsid w:val="008D27FE"/>
    <w:rsid w:val="008D2830"/>
    <w:rsid w:val="008D2831"/>
    <w:rsid w:val="008D287E"/>
    <w:rsid w:val="008D2994"/>
    <w:rsid w:val="008D29C6"/>
    <w:rsid w:val="008D2A0B"/>
    <w:rsid w:val="008D2A33"/>
    <w:rsid w:val="008D2A76"/>
    <w:rsid w:val="008D2A87"/>
    <w:rsid w:val="008D2AB0"/>
    <w:rsid w:val="008D2B55"/>
    <w:rsid w:val="008D2C93"/>
    <w:rsid w:val="008D2D97"/>
    <w:rsid w:val="008D2DF6"/>
    <w:rsid w:val="008D2E95"/>
    <w:rsid w:val="008D2FE4"/>
    <w:rsid w:val="008D3024"/>
    <w:rsid w:val="008D30C7"/>
    <w:rsid w:val="008D30D4"/>
    <w:rsid w:val="008D3120"/>
    <w:rsid w:val="008D319C"/>
    <w:rsid w:val="008D3332"/>
    <w:rsid w:val="008D3362"/>
    <w:rsid w:val="008D33D0"/>
    <w:rsid w:val="008D33D3"/>
    <w:rsid w:val="008D33D6"/>
    <w:rsid w:val="008D3405"/>
    <w:rsid w:val="008D345E"/>
    <w:rsid w:val="008D34BA"/>
    <w:rsid w:val="008D3543"/>
    <w:rsid w:val="008D3601"/>
    <w:rsid w:val="008D3637"/>
    <w:rsid w:val="008D3712"/>
    <w:rsid w:val="008D3726"/>
    <w:rsid w:val="008D3747"/>
    <w:rsid w:val="008D375F"/>
    <w:rsid w:val="008D3768"/>
    <w:rsid w:val="008D37CF"/>
    <w:rsid w:val="008D37D5"/>
    <w:rsid w:val="008D384E"/>
    <w:rsid w:val="008D3864"/>
    <w:rsid w:val="008D3881"/>
    <w:rsid w:val="008D3909"/>
    <w:rsid w:val="008D390B"/>
    <w:rsid w:val="008D39C4"/>
    <w:rsid w:val="008D39F5"/>
    <w:rsid w:val="008D3A1B"/>
    <w:rsid w:val="008D3A72"/>
    <w:rsid w:val="008D3A76"/>
    <w:rsid w:val="008D3A90"/>
    <w:rsid w:val="008D3A9D"/>
    <w:rsid w:val="008D3AE9"/>
    <w:rsid w:val="008D3B87"/>
    <w:rsid w:val="008D3BB9"/>
    <w:rsid w:val="008D3BF1"/>
    <w:rsid w:val="008D3C3F"/>
    <w:rsid w:val="008D3C4B"/>
    <w:rsid w:val="008D3C65"/>
    <w:rsid w:val="008D3CD2"/>
    <w:rsid w:val="008D3D30"/>
    <w:rsid w:val="008D3D4A"/>
    <w:rsid w:val="008D3D68"/>
    <w:rsid w:val="008D3DA2"/>
    <w:rsid w:val="008D3DD8"/>
    <w:rsid w:val="008D3E0A"/>
    <w:rsid w:val="008D3E69"/>
    <w:rsid w:val="008D3ECF"/>
    <w:rsid w:val="008D3F87"/>
    <w:rsid w:val="008D4032"/>
    <w:rsid w:val="008D4036"/>
    <w:rsid w:val="008D406D"/>
    <w:rsid w:val="008D407F"/>
    <w:rsid w:val="008D4085"/>
    <w:rsid w:val="008D40AF"/>
    <w:rsid w:val="008D4273"/>
    <w:rsid w:val="008D42D6"/>
    <w:rsid w:val="008D42E1"/>
    <w:rsid w:val="008D43F7"/>
    <w:rsid w:val="008D44E0"/>
    <w:rsid w:val="008D456E"/>
    <w:rsid w:val="008D4588"/>
    <w:rsid w:val="008D46C1"/>
    <w:rsid w:val="008D46CC"/>
    <w:rsid w:val="008D4721"/>
    <w:rsid w:val="008D4786"/>
    <w:rsid w:val="008D47A4"/>
    <w:rsid w:val="008D485C"/>
    <w:rsid w:val="008D48C1"/>
    <w:rsid w:val="008D49E2"/>
    <w:rsid w:val="008D4A0F"/>
    <w:rsid w:val="008D4A32"/>
    <w:rsid w:val="008D4AA0"/>
    <w:rsid w:val="008D4AE0"/>
    <w:rsid w:val="008D4B02"/>
    <w:rsid w:val="008D4B34"/>
    <w:rsid w:val="008D4B8F"/>
    <w:rsid w:val="008D4C17"/>
    <w:rsid w:val="008D4CAF"/>
    <w:rsid w:val="008D4CB0"/>
    <w:rsid w:val="008D4CBD"/>
    <w:rsid w:val="008D4CC0"/>
    <w:rsid w:val="008D4CD1"/>
    <w:rsid w:val="008D4CE4"/>
    <w:rsid w:val="008D4D5B"/>
    <w:rsid w:val="008D4D94"/>
    <w:rsid w:val="008D4DC2"/>
    <w:rsid w:val="008D4E9F"/>
    <w:rsid w:val="008D4F1F"/>
    <w:rsid w:val="008D4F74"/>
    <w:rsid w:val="008D4FC7"/>
    <w:rsid w:val="008D50A2"/>
    <w:rsid w:val="008D50F1"/>
    <w:rsid w:val="008D5155"/>
    <w:rsid w:val="008D5169"/>
    <w:rsid w:val="008D51A0"/>
    <w:rsid w:val="008D51D9"/>
    <w:rsid w:val="008D521C"/>
    <w:rsid w:val="008D5240"/>
    <w:rsid w:val="008D5277"/>
    <w:rsid w:val="008D52BD"/>
    <w:rsid w:val="008D5400"/>
    <w:rsid w:val="008D548C"/>
    <w:rsid w:val="008D54D4"/>
    <w:rsid w:val="008D551E"/>
    <w:rsid w:val="008D5590"/>
    <w:rsid w:val="008D5641"/>
    <w:rsid w:val="008D5665"/>
    <w:rsid w:val="008D56F2"/>
    <w:rsid w:val="008D571D"/>
    <w:rsid w:val="008D57D3"/>
    <w:rsid w:val="008D58C6"/>
    <w:rsid w:val="008D58F2"/>
    <w:rsid w:val="008D59FA"/>
    <w:rsid w:val="008D5A55"/>
    <w:rsid w:val="008D5AB1"/>
    <w:rsid w:val="008D5B48"/>
    <w:rsid w:val="008D5B93"/>
    <w:rsid w:val="008D5BA6"/>
    <w:rsid w:val="008D5BB2"/>
    <w:rsid w:val="008D5D35"/>
    <w:rsid w:val="008D5D9C"/>
    <w:rsid w:val="008D5DB1"/>
    <w:rsid w:val="008D5EE0"/>
    <w:rsid w:val="008D5FCE"/>
    <w:rsid w:val="008D607B"/>
    <w:rsid w:val="008D6132"/>
    <w:rsid w:val="008D6154"/>
    <w:rsid w:val="008D6175"/>
    <w:rsid w:val="008D61C1"/>
    <w:rsid w:val="008D6331"/>
    <w:rsid w:val="008D6397"/>
    <w:rsid w:val="008D6408"/>
    <w:rsid w:val="008D6480"/>
    <w:rsid w:val="008D64FA"/>
    <w:rsid w:val="008D653A"/>
    <w:rsid w:val="008D655B"/>
    <w:rsid w:val="008D6565"/>
    <w:rsid w:val="008D6690"/>
    <w:rsid w:val="008D66A8"/>
    <w:rsid w:val="008D66C9"/>
    <w:rsid w:val="008D6702"/>
    <w:rsid w:val="008D676A"/>
    <w:rsid w:val="008D67AD"/>
    <w:rsid w:val="008D686C"/>
    <w:rsid w:val="008D688C"/>
    <w:rsid w:val="008D699A"/>
    <w:rsid w:val="008D69A5"/>
    <w:rsid w:val="008D69E1"/>
    <w:rsid w:val="008D6A52"/>
    <w:rsid w:val="008D6AD9"/>
    <w:rsid w:val="008D6B72"/>
    <w:rsid w:val="008D6BB6"/>
    <w:rsid w:val="008D6C77"/>
    <w:rsid w:val="008D6CDD"/>
    <w:rsid w:val="008D6D3D"/>
    <w:rsid w:val="008D6DBF"/>
    <w:rsid w:val="008D6E1D"/>
    <w:rsid w:val="008D6E6F"/>
    <w:rsid w:val="008D6E92"/>
    <w:rsid w:val="008D6EDE"/>
    <w:rsid w:val="008D6F19"/>
    <w:rsid w:val="008D6F26"/>
    <w:rsid w:val="008D6FA2"/>
    <w:rsid w:val="008D7019"/>
    <w:rsid w:val="008D7025"/>
    <w:rsid w:val="008D7080"/>
    <w:rsid w:val="008D70D6"/>
    <w:rsid w:val="008D7251"/>
    <w:rsid w:val="008D72D4"/>
    <w:rsid w:val="008D733B"/>
    <w:rsid w:val="008D7388"/>
    <w:rsid w:val="008D73B9"/>
    <w:rsid w:val="008D73C9"/>
    <w:rsid w:val="008D7472"/>
    <w:rsid w:val="008D7474"/>
    <w:rsid w:val="008D74CA"/>
    <w:rsid w:val="008D7500"/>
    <w:rsid w:val="008D7559"/>
    <w:rsid w:val="008D7572"/>
    <w:rsid w:val="008D764C"/>
    <w:rsid w:val="008D7662"/>
    <w:rsid w:val="008D768B"/>
    <w:rsid w:val="008D76A8"/>
    <w:rsid w:val="008D7711"/>
    <w:rsid w:val="008D78C0"/>
    <w:rsid w:val="008D7956"/>
    <w:rsid w:val="008D79C5"/>
    <w:rsid w:val="008D7B09"/>
    <w:rsid w:val="008D7C92"/>
    <w:rsid w:val="008D7D2D"/>
    <w:rsid w:val="008D7D5C"/>
    <w:rsid w:val="008D7D6E"/>
    <w:rsid w:val="008D7D88"/>
    <w:rsid w:val="008D7E37"/>
    <w:rsid w:val="008D7EDE"/>
    <w:rsid w:val="008D7F98"/>
    <w:rsid w:val="008E001E"/>
    <w:rsid w:val="008E004B"/>
    <w:rsid w:val="008E0068"/>
    <w:rsid w:val="008E006C"/>
    <w:rsid w:val="008E009F"/>
    <w:rsid w:val="008E00A0"/>
    <w:rsid w:val="008E011B"/>
    <w:rsid w:val="008E01A5"/>
    <w:rsid w:val="008E01C0"/>
    <w:rsid w:val="008E020B"/>
    <w:rsid w:val="008E021D"/>
    <w:rsid w:val="008E024F"/>
    <w:rsid w:val="008E027F"/>
    <w:rsid w:val="008E02A1"/>
    <w:rsid w:val="008E02DB"/>
    <w:rsid w:val="008E02DC"/>
    <w:rsid w:val="008E02E2"/>
    <w:rsid w:val="008E0473"/>
    <w:rsid w:val="008E04C9"/>
    <w:rsid w:val="008E0539"/>
    <w:rsid w:val="008E06B0"/>
    <w:rsid w:val="008E06E2"/>
    <w:rsid w:val="008E06FF"/>
    <w:rsid w:val="008E0710"/>
    <w:rsid w:val="008E0748"/>
    <w:rsid w:val="008E09A8"/>
    <w:rsid w:val="008E09B5"/>
    <w:rsid w:val="008E0A26"/>
    <w:rsid w:val="008E0A9E"/>
    <w:rsid w:val="008E0B15"/>
    <w:rsid w:val="008E0B25"/>
    <w:rsid w:val="008E0BC1"/>
    <w:rsid w:val="008E0BEF"/>
    <w:rsid w:val="008E0C5E"/>
    <w:rsid w:val="008E0CB1"/>
    <w:rsid w:val="008E0D0C"/>
    <w:rsid w:val="008E0E13"/>
    <w:rsid w:val="008E0E4F"/>
    <w:rsid w:val="008E0E6F"/>
    <w:rsid w:val="008E0E76"/>
    <w:rsid w:val="008E0F66"/>
    <w:rsid w:val="008E0FC9"/>
    <w:rsid w:val="008E0FF1"/>
    <w:rsid w:val="008E108F"/>
    <w:rsid w:val="008E10B3"/>
    <w:rsid w:val="008E1119"/>
    <w:rsid w:val="008E1222"/>
    <w:rsid w:val="008E1274"/>
    <w:rsid w:val="008E1380"/>
    <w:rsid w:val="008E1391"/>
    <w:rsid w:val="008E140A"/>
    <w:rsid w:val="008E14FA"/>
    <w:rsid w:val="008E15B8"/>
    <w:rsid w:val="008E1628"/>
    <w:rsid w:val="008E1633"/>
    <w:rsid w:val="008E16BF"/>
    <w:rsid w:val="008E16D7"/>
    <w:rsid w:val="008E17E7"/>
    <w:rsid w:val="008E1861"/>
    <w:rsid w:val="008E1941"/>
    <w:rsid w:val="008E1955"/>
    <w:rsid w:val="008E1962"/>
    <w:rsid w:val="008E1966"/>
    <w:rsid w:val="008E196E"/>
    <w:rsid w:val="008E19F3"/>
    <w:rsid w:val="008E1A4D"/>
    <w:rsid w:val="008E1A83"/>
    <w:rsid w:val="008E1ACC"/>
    <w:rsid w:val="008E1B6A"/>
    <w:rsid w:val="008E1BFA"/>
    <w:rsid w:val="008E1CF8"/>
    <w:rsid w:val="008E1D87"/>
    <w:rsid w:val="008E1DE3"/>
    <w:rsid w:val="008E1E2E"/>
    <w:rsid w:val="008E1E94"/>
    <w:rsid w:val="008E1EA6"/>
    <w:rsid w:val="008E1EE3"/>
    <w:rsid w:val="008E1F0C"/>
    <w:rsid w:val="008E1F21"/>
    <w:rsid w:val="008E1F61"/>
    <w:rsid w:val="008E200F"/>
    <w:rsid w:val="008E204B"/>
    <w:rsid w:val="008E2118"/>
    <w:rsid w:val="008E21AD"/>
    <w:rsid w:val="008E2269"/>
    <w:rsid w:val="008E229F"/>
    <w:rsid w:val="008E232A"/>
    <w:rsid w:val="008E2368"/>
    <w:rsid w:val="008E2436"/>
    <w:rsid w:val="008E2464"/>
    <w:rsid w:val="008E2479"/>
    <w:rsid w:val="008E24A6"/>
    <w:rsid w:val="008E24AF"/>
    <w:rsid w:val="008E24DC"/>
    <w:rsid w:val="008E2595"/>
    <w:rsid w:val="008E2611"/>
    <w:rsid w:val="008E261E"/>
    <w:rsid w:val="008E26DE"/>
    <w:rsid w:val="008E2745"/>
    <w:rsid w:val="008E275C"/>
    <w:rsid w:val="008E27CE"/>
    <w:rsid w:val="008E28CF"/>
    <w:rsid w:val="008E29F9"/>
    <w:rsid w:val="008E29FE"/>
    <w:rsid w:val="008E2A4D"/>
    <w:rsid w:val="008E2AB5"/>
    <w:rsid w:val="008E2B91"/>
    <w:rsid w:val="008E2BAC"/>
    <w:rsid w:val="008E2C21"/>
    <w:rsid w:val="008E2D0A"/>
    <w:rsid w:val="008E2D20"/>
    <w:rsid w:val="008E2D42"/>
    <w:rsid w:val="008E2DAA"/>
    <w:rsid w:val="008E2E3D"/>
    <w:rsid w:val="008E2EEC"/>
    <w:rsid w:val="008E2EF3"/>
    <w:rsid w:val="008E2F4A"/>
    <w:rsid w:val="008E2F52"/>
    <w:rsid w:val="008E2F55"/>
    <w:rsid w:val="008E2F88"/>
    <w:rsid w:val="008E3021"/>
    <w:rsid w:val="008E3049"/>
    <w:rsid w:val="008E3054"/>
    <w:rsid w:val="008E30CC"/>
    <w:rsid w:val="008E3289"/>
    <w:rsid w:val="008E329B"/>
    <w:rsid w:val="008E344A"/>
    <w:rsid w:val="008E346F"/>
    <w:rsid w:val="008E34AD"/>
    <w:rsid w:val="008E359E"/>
    <w:rsid w:val="008E35A3"/>
    <w:rsid w:val="008E35AB"/>
    <w:rsid w:val="008E360D"/>
    <w:rsid w:val="008E365E"/>
    <w:rsid w:val="008E36CF"/>
    <w:rsid w:val="008E3716"/>
    <w:rsid w:val="008E3745"/>
    <w:rsid w:val="008E3758"/>
    <w:rsid w:val="008E37A1"/>
    <w:rsid w:val="008E37F7"/>
    <w:rsid w:val="008E3859"/>
    <w:rsid w:val="008E385B"/>
    <w:rsid w:val="008E3874"/>
    <w:rsid w:val="008E3929"/>
    <w:rsid w:val="008E393A"/>
    <w:rsid w:val="008E3A22"/>
    <w:rsid w:val="008E3A31"/>
    <w:rsid w:val="008E3A48"/>
    <w:rsid w:val="008E3A7A"/>
    <w:rsid w:val="008E3AC2"/>
    <w:rsid w:val="008E3ADD"/>
    <w:rsid w:val="008E3B9A"/>
    <w:rsid w:val="008E3C8B"/>
    <w:rsid w:val="008E3CD2"/>
    <w:rsid w:val="008E3D01"/>
    <w:rsid w:val="008E3D8F"/>
    <w:rsid w:val="008E3D9B"/>
    <w:rsid w:val="008E3E16"/>
    <w:rsid w:val="008E3E33"/>
    <w:rsid w:val="008E3EA4"/>
    <w:rsid w:val="008E3F34"/>
    <w:rsid w:val="008E3F50"/>
    <w:rsid w:val="008E3F90"/>
    <w:rsid w:val="008E3FCD"/>
    <w:rsid w:val="008E4091"/>
    <w:rsid w:val="008E4125"/>
    <w:rsid w:val="008E4136"/>
    <w:rsid w:val="008E4192"/>
    <w:rsid w:val="008E4206"/>
    <w:rsid w:val="008E429A"/>
    <w:rsid w:val="008E4318"/>
    <w:rsid w:val="008E434A"/>
    <w:rsid w:val="008E43ED"/>
    <w:rsid w:val="008E43FC"/>
    <w:rsid w:val="008E4412"/>
    <w:rsid w:val="008E441E"/>
    <w:rsid w:val="008E442F"/>
    <w:rsid w:val="008E4458"/>
    <w:rsid w:val="008E4633"/>
    <w:rsid w:val="008E46A1"/>
    <w:rsid w:val="008E46A8"/>
    <w:rsid w:val="008E47D0"/>
    <w:rsid w:val="008E47D2"/>
    <w:rsid w:val="008E483C"/>
    <w:rsid w:val="008E48A4"/>
    <w:rsid w:val="008E48AD"/>
    <w:rsid w:val="008E48F0"/>
    <w:rsid w:val="008E4916"/>
    <w:rsid w:val="008E49D1"/>
    <w:rsid w:val="008E49EF"/>
    <w:rsid w:val="008E4A08"/>
    <w:rsid w:val="008E4AEC"/>
    <w:rsid w:val="008E4B15"/>
    <w:rsid w:val="008E4B4F"/>
    <w:rsid w:val="008E4C0F"/>
    <w:rsid w:val="008E4D3D"/>
    <w:rsid w:val="008E4D42"/>
    <w:rsid w:val="008E4D96"/>
    <w:rsid w:val="008E4DA5"/>
    <w:rsid w:val="008E4E1A"/>
    <w:rsid w:val="008E50A3"/>
    <w:rsid w:val="008E50A4"/>
    <w:rsid w:val="008E5114"/>
    <w:rsid w:val="008E5129"/>
    <w:rsid w:val="008E5241"/>
    <w:rsid w:val="008E527F"/>
    <w:rsid w:val="008E52DA"/>
    <w:rsid w:val="008E5348"/>
    <w:rsid w:val="008E5350"/>
    <w:rsid w:val="008E5395"/>
    <w:rsid w:val="008E539A"/>
    <w:rsid w:val="008E54B1"/>
    <w:rsid w:val="008E5529"/>
    <w:rsid w:val="008E55D4"/>
    <w:rsid w:val="008E5600"/>
    <w:rsid w:val="008E5613"/>
    <w:rsid w:val="008E5656"/>
    <w:rsid w:val="008E5689"/>
    <w:rsid w:val="008E57F4"/>
    <w:rsid w:val="008E57FB"/>
    <w:rsid w:val="008E5917"/>
    <w:rsid w:val="008E59BD"/>
    <w:rsid w:val="008E59E3"/>
    <w:rsid w:val="008E5AE6"/>
    <w:rsid w:val="008E5B0B"/>
    <w:rsid w:val="008E5B61"/>
    <w:rsid w:val="008E5B75"/>
    <w:rsid w:val="008E5C3E"/>
    <w:rsid w:val="008E5CCF"/>
    <w:rsid w:val="008E5CD1"/>
    <w:rsid w:val="008E5D04"/>
    <w:rsid w:val="008E5D43"/>
    <w:rsid w:val="008E5D64"/>
    <w:rsid w:val="008E5D94"/>
    <w:rsid w:val="008E5DA3"/>
    <w:rsid w:val="008E5E06"/>
    <w:rsid w:val="008E5E79"/>
    <w:rsid w:val="008E5E98"/>
    <w:rsid w:val="008E5EC4"/>
    <w:rsid w:val="008E5F19"/>
    <w:rsid w:val="008E5F32"/>
    <w:rsid w:val="008E5F71"/>
    <w:rsid w:val="008E5F75"/>
    <w:rsid w:val="008E5F7D"/>
    <w:rsid w:val="008E5FAA"/>
    <w:rsid w:val="008E6107"/>
    <w:rsid w:val="008E6120"/>
    <w:rsid w:val="008E624F"/>
    <w:rsid w:val="008E6363"/>
    <w:rsid w:val="008E6382"/>
    <w:rsid w:val="008E639A"/>
    <w:rsid w:val="008E63D5"/>
    <w:rsid w:val="008E6406"/>
    <w:rsid w:val="008E646B"/>
    <w:rsid w:val="008E64D6"/>
    <w:rsid w:val="008E6546"/>
    <w:rsid w:val="008E6559"/>
    <w:rsid w:val="008E6571"/>
    <w:rsid w:val="008E65A3"/>
    <w:rsid w:val="008E6646"/>
    <w:rsid w:val="008E6656"/>
    <w:rsid w:val="008E665D"/>
    <w:rsid w:val="008E6681"/>
    <w:rsid w:val="008E66AE"/>
    <w:rsid w:val="008E66BC"/>
    <w:rsid w:val="008E681D"/>
    <w:rsid w:val="008E683A"/>
    <w:rsid w:val="008E688F"/>
    <w:rsid w:val="008E68E6"/>
    <w:rsid w:val="008E6911"/>
    <w:rsid w:val="008E6963"/>
    <w:rsid w:val="008E69CF"/>
    <w:rsid w:val="008E69D4"/>
    <w:rsid w:val="008E69ED"/>
    <w:rsid w:val="008E6A32"/>
    <w:rsid w:val="008E6A4F"/>
    <w:rsid w:val="008E6AC3"/>
    <w:rsid w:val="008E6B04"/>
    <w:rsid w:val="008E6B4C"/>
    <w:rsid w:val="008E6B53"/>
    <w:rsid w:val="008E6B55"/>
    <w:rsid w:val="008E6B82"/>
    <w:rsid w:val="008E6C22"/>
    <w:rsid w:val="008E6C40"/>
    <w:rsid w:val="008E6D53"/>
    <w:rsid w:val="008E6D7D"/>
    <w:rsid w:val="008E6F2B"/>
    <w:rsid w:val="008E702D"/>
    <w:rsid w:val="008E7038"/>
    <w:rsid w:val="008E709B"/>
    <w:rsid w:val="008E7154"/>
    <w:rsid w:val="008E71B5"/>
    <w:rsid w:val="008E71D7"/>
    <w:rsid w:val="008E71F4"/>
    <w:rsid w:val="008E7274"/>
    <w:rsid w:val="008E7308"/>
    <w:rsid w:val="008E7429"/>
    <w:rsid w:val="008E7494"/>
    <w:rsid w:val="008E74B9"/>
    <w:rsid w:val="008E75B9"/>
    <w:rsid w:val="008E75FD"/>
    <w:rsid w:val="008E7766"/>
    <w:rsid w:val="008E77BE"/>
    <w:rsid w:val="008E7885"/>
    <w:rsid w:val="008E7912"/>
    <w:rsid w:val="008E7936"/>
    <w:rsid w:val="008E79A4"/>
    <w:rsid w:val="008E7A09"/>
    <w:rsid w:val="008E7A4D"/>
    <w:rsid w:val="008E7A80"/>
    <w:rsid w:val="008E7AB5"/>
    <w:rsid w:val="008E7AD6"/>
    <w:rsid w:val="008E7AFF"/>
    <w:rsid w:val="008E7B8B"/>
    <w:rsid w:val="008E7BBD"/>
    <w:rsid w:val="008E7C76"/>
    <w:rsid w:val="008E7C91"/>
    <w:rsid w:val="008E7CE4"/>
    <w:rsid w:val="008E7D3F"/>
    <w:rsid w:val="008E7D44"/>
    <w:rsid w:val="008E7E99"/>
    <w:rsid w:val="008E7EF3"/>
    <w:rsid w:val="008E7F35"/>
    <w:rsid w:val="008E7F44"/>
    <w:rsid w:val="008E7F4C"/>
    <w:rsid w:val="008ECCD9"/>
    <w:rsid w:val="008F0028"/>
    <w:rsid w:val="008F0070"/>
    <w:rsid w:val="008F008C"/>
    <w:rsid w:val="008F014C"/>
    <w:rsid w:val="008F0175"/>
    <w:rsid w:val="008F01F4"/>
    <w:rsid w:val="008F0268"/>
    <w:rsid w:val="008F0289"/>
    <w:rsid w:val="008F02B3"/>
    <w:rsid w:val="008F0326"/>
    <w:rsid w:val="008F032A"/>
    <w:rsid w:val="008F0434"/>
    <w:rsid w:val="008F046E"/>
    <w:rsid w:val="008F0490"/>
    <w:rsid w:val="008F0562"/>
    <w:rsid w:val="008F05F6"/>
    <w:rsid w:val="008F0668"/>
    <w:rsid w:val="008F0698"/>
    <w:rsid w:val="008F0742"/>
    <w:rsid w:val="008F0747"/>
    <w:rsid w:val="008F0773"/>
    <w:rsid w:val="008F0793"/>
    <w:rsid w:val="008F084B"/>
    <w:rsid w:val="008F08DD"/>
    <w:rsid w:val="008F094A"/>
    <w:rsid w:val="008F0958"/>
    <w:rsid w:val="008F09B7"/>
    <w:rsid w:val="008F09DD"/>
    <w:rsid w:val="008F0A18"/>
    <w:rsid w:val="008F0A87"/>
    <w:rsid w:val="008F0A9E"/>
    <w:rsid w:val="008F0AB1"/>
    <w:rsid w:val="008F0AC7"/>
    <w:rsid w:val="008F0B04"/>
    <w:rsid w:val="008F0B3D"/>
    <w:rsid w:val="008F0B55"/>
    <w:rsid w:val="008F0BF7"/>
    <w:rsid w:val="008F0D8D"/>
    <w:rsid w:val="008F0E7F"/>
    <w:rsid w:val="008F0F75"/>
    <w:rsid w:val="008F0F8F"/>
    <w:rsid w:val="008F1059"/>
    <w:rsid w:val="008F1064"/>
    <w:rsid w:val="008F113F"/>
    <w:rsid w:val="008F11AE"/>
    <w:rsid w:val="008F11EC"/>
    <w:rsid w:val="008F1292"/>
    <w:rsid w:val="008F12C7"/>
    <w:rsid w:val="008F12CF"/>
    <w:rsid w:val="008F12E5"/>
    <w:rsid w:val="008F1309"/>
    <w:rsid w:val="008F130A"/>
    <w:rsid w:val="008F13FD"/>
    <w:rsid w:val="008F143E"/>
    <w:rsid w:val="008F14CB"/>
    <w:rsid w:val="008F154A"/>
    <w:rsid w:val="008F15E1"/>
    <w:rsid w:val="008F167B"/>
    <w:rsid w:val="008F16B6"/>
    <w:rsid w:val="008F16CB"/>
    <w:rsid w:val="008F170F"/>
    <w:rsid w:val="008F1748"/>
    <w:rsid w:val="008F1758"/>
    <w:rsid w:val="008F1776"/>
    <w:rsid w:val="008F1796"/>
    <w:rsid w:val="008F180E"/>
    <w:rsid w:val="008F183D"/>
    <w:rsid w:val="008F1863"/>
    <w:rsid w:val="008F1905"/>
    <w:rsid w:val="008F192C"/>
    <w:rsid w:val="008F1937"/>
    <w:rsid w:val="008F193A"/>
    <w:rsid w:val="008F195F"/>
    <w:rsid w:val="008F1A2C"/>
    <w:rsid w:val="008F1A41"/>
    <w:rsid w:val="008F1A5A"/>
    <w:rsid w:val="008F1A67"/>
    <w:rsid w:val="008F1AF9"/>
    <w:rsid w:val="008F1B2A"/>
    <w:rsid w:val="008F1B73"/>
    <w:rsid w:val="008F1BD7"/>
    <w:rsid w:val="008F1BDF"/>
    <w:rsid w:val="008F1C80"/>
    <w:rsid w:val="008F1D0D"/>
    <w:rsid w:val="008F1DB9"/>
    <w:rsid w:val="008F1DDB"/>
    <w:rsid w:val="008F1E39"/>
    <w:rsid w:val="008F1F03"/>
    <w:rsid w:val="008F1FF8"/>
    <w:rsid w:val="008F202C"/>
    <w:rsid w:val="008F2059"/>
    <w:rsid w:val="008F20BA"/>
    <w:rsid w:val="008F2174"/>
    <w:rsid w:val="008F2189"/>
    <w:rsid w:val="008F21BA"/>
    <w:rsid w:val="008F21FE"/>
    <w:rsid w:val="008F226D"/>
    <w:rsid w:val="008F2304"/>
    <w:rsid w:val="008F239E"/>
    <w:rsid w:val="008F2435"/>
    <w:rsid w:val="008F24D8"/>
    <w:rsid w:val="008F25AF"/>
    <w:rsid w:val="008F260B"/>
    <w:rsid w:val="008F26D1"/>
    <w:rsid w:val="008F2735"/>
    <w:rsid w:val="008F27F0"/>
    <w:rsid w:val="008F2916"/>
    <w:rsid w:val="008F291A"/>
    <w:rsid w:val="008F2964"/>
    <w:rsid w:val="008F2A3D"/>
    <w:rsid w:val="008F2A80"/>
    <w:rsid w:val="008F2A8C"/>
    <w:rsid w:val="008F2B05"/>
    <w:rsid w:val="008F2B40"/>
    <w:rsid w:val="008F2B61"/>
    <w:rsid w:val="008F2BB5"/>
    <w:rsid w:val="008F2BD6"/>
    <w:rsid w:val="008F2C9A"/>
    <w:rsid w:val="008F2CBF"/>
    <w:rsid w:val="008F2CFC"/>
    <w:rsid w:val="008F2D95"/>
    <w:rsid w:val="008F2DBB"/>
    <w:rsid w:val="008F2EE8"/>
    <w:rsid w:val="008F2EF3"/>
    <w:rsid w:val="008F2F5E"/>
    <w:rsid w:val="008F2FCC"/>
    <w:rsid w:val="008F2FDB"/>
    <w:rsid w:val="008F308D"/>
    <w:rsid w:val="008F30A1"/>
    <w:rsid w:val="008F3175"/>
    <w:rsid w:val="008F31A8"/>
    <w:rsid w:val="008F31EE"/>
    <w:rsid w:val="008F3241"/>
    <w:rsid w:val="008F3267"/>
    <w:rsid w:val="008F32B7"/>
    <w:rsid w:val="008F32B9"/>
    <w:rsid w:val="008F3307"/>
    <w:rsid w:val="008F33C4"/>
    <w:rsid w:val="008F34B9"/>
    <w:rsid w:val="008F34C0"/>
    <w:rsid w:val="008F34CD"/>
    <w:rsid w:val="008F34ED"/>
    <w:rsid w:val="008F34F4"/>
    <w:rsid w:val="008F351E"/>
    <w:rsid w:val="008F3558"/>
    <w:rsid w:val="008F3631"/>
    <w:rsid w:val="008F3660"/>
    <w:rsid w:val="008F36CB"/>
    <w:rsid w:val="008F36E2"/>
    <w:rsid w:val="008F373C"/>
    <w:rsid w:val="008F373E"/>
    <w:rsid w:val="008F374A"/>
    <w:rsid w:val="008F3781"/>
    <w:rsid w:val="008F3787"/>
    <w:rsid w:val="008F38D7"/>
    <w:rsid w:val="008F3915"/>
    <w:rsid w:val="008F39AD"/>
    <w:rsid w:val="008F39E1"/>
    <w:rsid w:val="008F3A06"/>
    <w:rsid w:val="008F3A3B"/>
    <w:rsid w:val="008F3A44"/>
    <w:rsid w:val="008F3AE5"/>
    <w:rsid w:val="008F3AF2"/>
    <w:rsid w:val="008F3B14"/>
    <w:rsid w:val="008F3BC6"/>
    <w:rsid w:val="008F3D1D"/>
    <w:rsid w:val="008F3E0F"/>
    <w:rsid w:val="008F3E2F"/>
    <w:rsid w:val="008F3E46"/>
    <w:rsid w:val="008F3E8B"/>
    <w:rsid w:val="008F3EBA"/>
    <w:rsid w:val="008F3EC5"/>
    <w:rsid w:val="008F3F14"/>
    <w:rsid w:val="008F3F50"/>
    <w:rsid w:val="008F3F63"/>
    <w:rsid w:val="008F400A"/>
    <w:rsid w:val="008F4053"/>
    <w:rsid w:val="008F4083"/>
    <w:rsid w:val="008F4101"/>
    <w:rsid w:val="008F410C"/>
    <w:rsid w:val="008F410D"/>
    <w:rsid w:val="008F421A"/>
    <w:rsid w:val="008F4296"/>
    <w:rsid w:val="008F432A"/>
    <w:rsid w:val="008F4470"/>
    <w:rsid w:val="008F4479"/>
    <w:rsid w:val="008F4508"/>
    <w:rsid w:val="008F46C1"/>
    <w:rsid w:val="008F47C9"/>
    <w:rsid w:val="008F4802"/>
    <w:rsid w:val="008F489F"/>
    <w:rsid w:val="008F49B3"/>
    <w:rsid w:val="008F4A4B"/>
    <w:rsid w:val="008F4A4C"/>
    <w:rsid w:val="008F4A98"/>
    <w:rsid w:val="008F4B1E"/>
    <w:rsid w:val="008F4B87"/>
    <w:rsid w:val="008F4F48"/>
    <w:rsid w:val="008F5008"/>
    <w:rsid w:val="008F5013"/>
    <w:rsid w:val="008F506B"/>
    <w:rsid w:val="008F507B"/>
    <w:rsid w:val="008F516E"/>
    <w:rsid w:val="008F529B"/>
    <w:rsid w:val="008F52A0"/>
    <w:rsid w:val="008F52E4"/>
    <w:rsid w:val="008F5411"/>
    <w:rsid w:val="008F54DC"/>
    <w:rsid w:val="008F5665"/>
    <w:rsid w:val="008F571A"/>
    <w:rsid w:val="008F5763"/>
    <w:rsid w:val="008F581F"/>
    <w:rsid w:val="008F58AE"/>
    <w:rsid w:val="008F59B5"/>
    <w:rsid w:val="008F59D7"/>
    <w:rsid w:val="008F5A7E"/>
    <w:rsid w:val="008F5BD3"/>
    <w:rsid w:val="008F5C01"/>
    <w:rsid w:val="008F5C86"/>
    <w:rsid w:val="008F5C94"/>
    <w:rsid w:val="008F5CB2"/>
    <w:rsid w:val="008F5CEA"/>
    <w:rsid w:val="008F5D3E"/>
    <w:rsid w:val="008F5D8C"/>
    <w:rsid w:val="008F5D8F"/>
    <w:rsid w:val="008F5D97"/>
    <w:rsid w:val="008F5DA4"/>
    <w:rsid w:val="008F5DF8"/>
    <w:rsid w:val="008F5E86"/>
    <w:rsid w:val="008F5F21"/>
    <w:rsid w:val="008F61BD"/>
    <w:rsid w:val="008F61CA"/>
    <w:rsid w:val="008F623D"/>
    <w:rsid w:val="008F624E"/>
    <w:rsid w:val="008F6275"/>
    <w:rsid w:val="008F62A7"/>
    <w:rsid w:val="008F62B3"/>
    <w:rsid w:val="008F637E"/>
    <w:rsid w:val="008F639C"/>
    <w:rsid w:val="008F63DC"/>
    <w:rsid w:val="008F6679"/>
    <w:rsid w:val="008F6686"/>
    <w:rsid w:val="008F6754"/>
    <w:rsid w:val="008F675D"/>
    <w:rsid w:val="008F6764"/>
    <w:rsid w:val="008F67B0"/>
    <w:rsid w:val="008F6814"/>
    <w:rsid w:val="008F68CA"/>
    <w:rsid w:val="008F691B"/>
    <w:rsid w:val="008F6929"/>
    <w:rsid w:val="008F698B"/>
    <w:rsid w:val="008F69A3"/>
    <w:rsid w:val="008F6A15"/>
    <w:rsid w:val="008F6AD4"/>
    <w:rsid w:val="008F6ADE"/>
    <w:rsid w:val="008F6B37"/>
    <w:rsid w:val="008F6C09"/>
    <w:rsid w:val="008F6C8B"/>
    <w:rsid w:val="008F6D0F"/>
    <w:rsid w:val="008F6D76"/>
    <w:rsid w:val="008F6E1C"/>
    <w:rsid w:val="008F6E20"/>
    <w:rsid w:val="008F6E40"/>
    <w:rsid w:val="008F6F57"/>
    <w:rsid w:val="008F6FC9"/>
    <w:rsid w:val="008F6FE0"/>
    <w:rsid w:val="008F7008"/>
    <w:rsid w:val="008F7110"/>
    <w:rsid w:val="008F71C4"/>
    <w:rsid w:val="008F71E0"/>
    <w:rsid w:val="008F72A7"/>
    <w:rsid w:val="008F730E"/>
    <w:rsid w:val="008F7446"/>
    <w:rsid w:val="008F746A"/>
    <w:rsid w:val="008F747B"/>
    <w:rsid w:val="008F75A7"/>
    <w:rsid w:val="008F75FA"/>
    <w:rsid w:val="008F75FD"/>
    <w:rsid w:val="008F762B"/>
    <w:rsid w:val="008F765C"/>
    <w:rsid w:val="008F76AD"/>
    <w:rsid w:val="008F77E6"/>
    <w:rsid w:val="008F78B8"/>
    <w:rsid w:val="008F792C"/>
    <w:rsid w:val="008F7ADE"/>
    <w:rsid w:val="008F7AE3"/>
    <w:rsid w:val="008F7B2B"/>
    <w:rsid w:val="008F7BE6"/>
    <w:rsid w:val="008F7C1B"/>
    <w:rsid w:val="008F7C4F"/>
    <w:rsid w:val="008F7C95"/>
    <w:rsid w:val="008F7CB3"/>
    <w:rsid w:val="008F7D20"/>
    <w:rsid w:val="008F7D35"/>
    <w:rsid w:val="008F7D48"/>
    <w:rsid w:val="008F7DBB"/>
    <w:rsid w:val="008F7E20"/>
    <w:rsid w:val="008F7F57"/>
    <w:rsid w:val="00900157"/>
    <w:rsid w:val="00900168"/>
    <w:rsid w:val="00900199"/>
    <w:rsid w:val="00900249"/>
    <w:rsid w:val="009002B9"/>
    <w:rsid w:val="0090031D"/>
    <w:rsid w:val="0090032A"/>
    <w:rsid w:val="00900370"/>
    <w:rsid w:val="009003AC"/>
    <w:rsid w:val="009003E9"/>
    <w:rsid w:val="009004D5"/>
    <w:rsid w:val="00900506"/>
    <w:rsid w:val="00900615"/>
    <w:rsid w:val="00900643"/>
    <w:rsid w:val="00900748"/>
    <w:rsid w:val="009007AA"/>
    <w:rsid w:val="009007E2"/>
    <w:rsid w:val="00900821"/>
    <w:rsid w:val="0090084A"/>
    <w:rsid w:val="0090088A"/>
    <w:rsid w:val="00900892"/>
    <w:rsid w:val="009008F7"/>
    <w:rsid w:val="00900959"/>
    <w:rsid w:val="0090097E"/>
    <w:rsid w:val="009009CD"/>
    <w:rsid w:val="009009D6"/>
    <w:rsid w:val="00900A38"/>
    <w:rsid w:val="00900A4F"/>
    <w:rsid w:val="00900AE0"/>
    <w:rsid w:val="00900BAA"/>
    <w:rsid w:val="00900C2C"/>
    <w:rsid w:val="00900C38"/>
    <w:rsid w:val="00900C52"/>
    <w:rsid w:val="00900C5E"/>
    <w:rsid w:val="00900C92"/>
    <w:rsid w:val="00900D5B"/>
    <w:rsid w:val="00900D6B"/>
    <w:rsid w:val="00900E45"/>
    <w:rsid w:val="00900E69"/>
    <w:rsid w:val="00900E99"/>
    <w:rsid w:val="00900EC9"/>
    <w:rsid w:val="00900F13"/>
    <w:rsid w:val="00900F43"/>
    <w:rsid w:val="00900F60"/>
    <w:rsid w:val="00900FA3"/>
    <w:rsid w:val="00900FA9"/>
    <w:rsid w:val="009010AB"/>
    <w:rsid w:val="00901138"/>
    <w:rsid w:val="0090123A"/>
    <w:rsid w:val="00901264"/>
    <w:rsid w:val="009012B3"/>
    <w:rsid w:val="0090139A"/>
    <w:rsid w:val="009013DF"/>
    <w:rsid w:val="009013F3"/>
    <w:rsid w:val="00901417"/>
    <w:rsid w:val="009014A7"/>
    <w:rsid w:val="009014EA"/>
    <w:rsid w:val="009015BE"/>
    <w:rsid w:val="0090167C"/>
    <w:rsid w:val="009016C6"/>
    <w:rsid w:val="0090171B"/>
    <w:rsid w:val="0090176B"/>
    <w:rsid w:val="009017DF"/>
    <w:rsid w:val="00901817"/>
    <w:rsid w:val="00901844"/>
    <w:rsid w:val="009018B3"/>
    <w:rsid w:val="009019E2"/>
    <w:rsid w:val="00901A14"/>
    <w:rsid w:val="00901A38"/>
    <w:rsid w:val="00901ABB"/>
    <w:rsid w:val="00901AC1"/>
    <w:rsid w:val="00901B12"/>
    <w:rsid w:val="00901B3B"/>
    <w:rsid w:val="00901B91"/>
    <w:rsid w:val="00901BCE"/>
    <w:rsid w:val="00901C2B"/>
    <w:rsid w:val="00901CA4"/>
    <w:rsid w:val="00901D00"/>
    <w:rsid w:val="00901DAA"/>
    <w:rsid w:val="00901E23"/>
    <w:rsid w:val="00901E60"/>
    <w:rsid w:val="00902060"/>
    <w:rsid w:val="0090208E"/>
    <w:rsid w:val="00902143"/>
    <w:rsid w:val="009021C2"/>
    <w:rsid w:val="009021C8"/>
    <w:rsid w:val="009021EE"/>
    <w:rsid w:val="0090229A"/>
    <w:rsid w:val="0090229E"/>
    <w:rsid w:val="00902320"/>
    <w:rsid w:val="0090236C"/>
    <w:rsid w:val="009024F5"/>
    <w:rsid w:val="00902514"/>
    <w:rsid w:val="0090251E"/>
    <w:rsid w:val="00902521"/>
    <w:rsid w:val="0090259F"/>
    <w:rsid w:val="009025C4"/>
    <w:rsid w:val="009025CA"/>
    <w:rsid w:val="009025E6"/>
    <w:rsid w:val="009025E8"/>
    <w:rsid w:val="00902635"/>
    <w:rsid w:val="0090265E"/>
    <w:rsid w:val="00902672"/>
    <w:rsid w:val="009026F7"/>
    <w:rsid w:val="009027E3"/>
    <w:rsid w:val="00902816"/>
    <w:rsid w:val="0090288D"/>
    <w:rsid w:val="0090292A"/>
    <w:rsid w:val="009029C6"/>
    <w:rsid w:val="00902A55"/>
    <w:rsid w:val="00902B18"/>
    <w:rsid w:val="00902BF4"/>
    <w:rsid w:val="00902C4A"/>
    <w:rsid w:val="00902C8B"/>
    <w:rsid w:val="00902D1D"/>
    <w:rsid w:val="00902D49"/>
    <w:rsid w:val="00902D54"/>
    <w:rsid w:val="00902DCA"/>
    <w:rsid w:val="00902DDF"/>
    <w:rsid w:val="00902E17"/>
    <w:rsid w:val="00902ED6"/>
    <w:rsid w:val="00902F33"/>
    <w:rsid w:val="00902F69"/>
    <w:rsid w:val="00902FC5"/>
    <w:rsid w:val="00903040"/>
    <w:rsid w:val="0090305D"/>
    <w:rsid w:val="0090306B"/>
    <w:rsid w:val="0090317E"/>
    <w:rsid w:val="009031A6"/>
    <w:rsid w:val="00903203"/>
    <w:rsid w:val="0090339A"/>
    <w:rsid w:val="0090350A"/>
    <w:rsid w:val="0090351E"/>
    <w:rsid w:val="00903587"/>
    <w:rsid w:val="0090361D"/>
    <w:rsid w:val="0090364F"/>
    <w:rsid w:val="00903684"/>
    <w:rsid w:val="00903702"/>
    <w:rsid w:val="0090370D"/>
    <w:rsid w:val="0090376D"/>
    <w:rsid w:val="009037B0"/>
    <w:rsid w:val="00903898"/>
    <w:rsid w:val="00903901"/>
    <w:rsid w:val="00903939"/>
    <w:rsid w:val="00903A39"/>
    <w:rsid w:val="00903AB4"/>
    <w:rsid w:val="00903B16"/>
    <w:rsid w:val="00903B81"/>
    <w:rsid w:val="00903B85"/>
    <w:rsid w:val="00903C06"/>
    <w:rsid w:val="00903C1F"/>
    <w:rsid w:val="00903CE1"/>
    <w:rsid w:val="00903DFB"/>
    <w:rsid w:val="00903E17"/>
    <w:rsid w:val="00903F6E"/>
    <w:rsid w:val="00904011"/>
    <w:rsid w:val="009040BA"/>
    <w:rsid w:val="0090418A"/>
    <w:rsid w:val="009041A5"/>
    <w:rsid w:val="009041F7"/>
    <w:rsid w:val="0090420F"/>
    <w:rsid w:val="00904231"/>
    <w:rsid w:val="00904443"/>
    <w:rsid w:val="009044E6"/>
    <w:rsid w:val="009045C1"/>
    <w:rsid w:val="00904621"/>
    <w:rsid w:val="00904742"/>
    <w:rsid w:val="00904770"/>
    <w:rsid w:val="0090480A"/>
    <w:rsid w:val="00904841"/>
    <w:rsid w:val="00904843"/>
    <w:rsid w:val="009048CA"/>
    <w:rsid w:val="009048EE"/>
    <w:rsid w:val="009048FD"/>
    <w:rsid w:val="0090494D"/>
    <w:rsid w:val="00904966"/>
    <w:rsid w:val="00904B1F"/>
    <w:rsid w:val="00904B55"/>
    <w:rsid w:val="00904B98"/>
    <w:rsid w:val="00904BA6"/>
    <w:rsid w:val="00904C25"/>
    <w:rsid w:val="00904CB1"/>
    <w:rsid w:val="00904D76"/>
    <w:rsid w:val="00904E12"/>
    <w:rsid w:val="00904E25"/>
    <w:rsid w:val="00904E8A"/>
    <w:rsid w:val="00904F0D"/>
    <w:rsid w:val="00904F3A"/>
    <w:rsid w:val="00904FBD"/>
    <w:rsid w:val="00905016"/>
    <w:rsid w:val="00905038"/>
    <w:rsid w:val="0090512E"/>
    <w:rsid w:val="00905148"/>
    <w:rsid w:val="009051AA"/>
    <w:rsid w:val="00905244"/>
    <w:rsid w:val="009052E7"/>
    <w:rsid w:val="00905322"/>
    <w:rsid w:val="00905349"/>
    <w:rsid w:val="0090535A"/>
    <w:rsid w:val="0090536E"/>
    <w:rsid w:val="009053A9"/>
    <w:rsid w:val="00905408"/>
    <w:rsid w:val="00905435"/>
    <w:rsid w:val="0090548F"/>
    <w:rsid w:val="009054B7"/>
    <w:rsid w:val="009054DC"/>
    <w:rsid w:val="0090556B"/>
    <w:rsid w:val="009055DB"/>
    <w:rsid w:val="00905654"/>
    <w:rsid w:val="00905704"/>
    <w:rsid w:val="00905731"/>
    <w:rsid w:val="0090575F"/>
    <w:rsid w:val="00905786"/>
    <w:rsid w:val="00905889"/>
    <w:rsid w:val="009058A1"/>
    <w:rsid w:val="00905AB9"/>
    <w:rsid w:val="00905AD9"/>
    <w:rsid w:val="00905B70"/>
    <w:rsid w:val="00905C10"/>
    <w:rsid w:val="00905C21"/>
    <w:rsid w:val="00905C88"/>
    <w:rsid w:val="00905CA6"/>
    <w:rsid w:val="00905CCE"/>
    <w:rsid w:val="00905CDB"/>
    <w:rsid w:val="00905D58"/>
    <w:rsid w:val="00905DC7"/>
    <w:rsid w:val="00905E33"/>
    <w:rsid w:val="00905E6E"/>
    <w:rsid w:val="00905EBE"/>
    <w:rsid w:val="00905F90"/>
    <w:rsid w:val="00905FF0"/>
    <w:rsid w:val="00906027"/>
    <w:rsid w:val="0090606B"/>
    <w:rsid w:val="00906144"/>
    <w:rsid w:val="0090615B"/>
    <w:rsid w:val="009061A6"/>
    <w:rsid w:val="009061C0"/>
    <w:rsid w:val="00906251"/>
    <w:rsid w:val="0090627A"/>
    <w:rsid w:val="009062AC"/>
    <w:rsid w:val="009062EB"/>
    <w:rsid w:val="00906306"/>
    <w:rsid w:val="00906347"/>
    <w:rsid w:val="009063FD"/>
    <w:rsid w:val="0090642C"/>
    <w:rsid w:val="00906439"/>
    <w:rsid w:val="0090643B"/>
    <w:rsid w:val="009064AF"/>
    <w:rsid w:val="009064B4"/>
    <w:rsid w:val="00906506"/>
    <w:rsid w:val="0090654D"/>
    <w:rsid w:val="0090660A"/>
    <w:rsid w:val="00906616"/>
    <w:rsid w:val="0090667D"/>
    <w:rsid w:val="00906752"/>
    <w:rsid w:val="00906811"/>
    <w:rsid w:val="0090687E"/>
    <w:rsid w:val="0090690E"/>
    <w:rsid w:val="009069BE"/>
    <w:rsid w:val="009069CD"/>
    <w:rsid w:val="009069E5"/>
    <w:rsid w:val="009069F6"/>
    <w:rsid w:val="00906A5E"/>
    <w:rsid w:val="00906B24"/>
    <w:rsid w:val="00906D67"/>
    <w:rsid w:val="00906DB5"/>
    <w:rsid w:val="00906E65"/>
    <w:rsid w:val="00906E81"/>
    <w:rsid w:val="00906F41"/>
    <w:rsid w:val="00906F7C"/>
    <w:rsid w:val="00906FD8"/>
    <w:rsid w:val="00906FEE"/>
    <w:rsid w:val="00907183"/>
    <w:rsid w:val="009071F0"/>
    <w:rsid w:val="0090721E"/>
    <w:rsid w:val="00907257"/>
    <w:rsid w:val="0090729B"/>
    <w:rsid w:val="009072C2"/>
    <w:rsid w:val="009072EA"/>
    <w:rsid w:val="009072F0"/>
    <w:rsid w:val="0090742C"/>
    <w:rsid w:val="00907452"/>
    <w:rsid w:val="00907493"/>
    <w:rsid w:val="0090755D"/>
    <w:rsid w:val="00907574"/>
    <w:rsid w:val="0090759D"/>
    <w:rsid w:val="009076E6"/>
    <w:rsid w:val="00907716"/>
    <w:rsid w:val="0090774E"/>
    <w:rsid w:val="0090779D"/>
    <w:rsid w:val="00907841"/>
    <w:rsid w:val="00907846"/>
    <w:rsid w:val="00907895"/>
    <w:rsid w:val="0090790D"/>
    <w:rsid w:val="009079C3"/>
    <w:rsid w:val="009079C6"/>
    <w:rsid w:val="009079C9"/>
    <w:rsid w:val="009079F4"/>
    <w:rsid w:val="00907A21"/>
    <w:rsid w:val="00907A4F"/>
    <w:rsid w:val="00907A8E"/>
    <w:rsid w:val="00907B53"/>
    <w:rsid w:val="00907B5D"/>
    <w:rsid w:val="00907B90"/>
    <w:rsid w:val="00907C1C"/>
    <w:rsid w:val="00907D43"/>
    <w:rsid w:val="00907D90"/>
    <w:rsid w:val="00907E52"/>
    <w:rsid w:val="00907FAF"/>
    <w:rsid w:val="00907FD7"/>
    <w:rsid w:val="00910143"/>
    <w:rsid w:val="00910154"/>
    <w:rsid w:val="009101C2"/>
    <w:rsid w:val="009101E7"/>
    <w:rsid w:val="009101F0"/>
    <w:rsid w:val="009102CA"/>
    <w:rsid w:val="009102DE"/>
    <w:rsid w:val="009102F9"/>
    <w:rsid w:val="00910372"/>
    <w:rsid w:val="009103BB"/>
    <w:rsid w:val="00910400"/>
    <w:rsid w:val="00910449"/>
    <w:rsid w:val="00910450"/>
    <w:rsid w:val="0091050C"/>
    <w:rsid w:val="009106B7"/>
    <w:rsid w:val="0091073F"/>
    <w:rsid w:val="009107F2"/>
    <w:rsid w:val="009107F5"/>
    <w:rsid w:val="00910825"/>
    <w:rsid w:val="009109A8"/>
    <w:rsid w:val="009109EF"/>
    <w:rsid w:val="00910A43"/>
    <w:rsid w:val="00910A60"/>
    <w:rsid w:val="00910A62"/>
    <w:rsid w:val="00910B10"/>
    <w:rsid w:val="00910B2A"/>
    <w:rsid w:val="00910BAD"/>
    <w:rsid w:val="00910BED"/>
    <w:rsid w:val="00910C13"/>
    <w:rsid w:val="00910C1D"/>
    <w:rsid w:val="00910C32"/>
    <w:rsid w:val="00910C79"/>
    <w:rsid w:val="00910E21"/>
    <w:rsid w:val="00910F42"/>
    <w:rsid w:val="00910F7B"/>
    <w:rsid w:val="00910F95"/>
    <w:rsid w:val="00910F9A"/>
    <w:rsid w:val="00910FA0"/>
    <w:rsid w:val="00911022"/>
    <w:rsid w:val="00911045"/>
    <w:rsid w:val="009110DF"/>
    <w:rsid w:val="00911168"/>
    <w:rsid w:val="009111AF"/>
    <w:rsid w:val="00911226"/>
    <w:rsid w:val="009112B0"/>
    <w:rsid w:val="0091130D"/>
    <w:rsid w:val="009113BF"/>
    <w:rsid w:val="009113EE"/>
    <w:rsid w:val="009113FA"/>
    <w:rsid w:val="00911413"/>
    <w:rsid w:val="00911450"/>
    <w:rsid w:val="009114D4"/>
    <w:rsid w:val="00911556"/>
    <w:rsid w:val="009115A4"/>
    <w:rsid w:val="00911645"/>
    <w:rsid w:val="00911666"/>
    <w:rsid w:val="00911675"/>
    <w:rsid w:val="0091168D"/>
    <w:rsid w:val="009116DE"/>
    <w:rsid w:val="009116E0"/>
    <w:rsid w:val="00911783"/>
    <w:rsid w:val="0091178A"/>
    <w:rsid w:val="009117FA"/>
    <w:rsid w:val="00911880"/>
    <w:rsid w:val="00911938"/>
    <w:rsid w:val="00911950"/>
    <w:rsid w:val="00911961"/>
    <w:rsid w:val="00911998"/>
    <w:rsid w:val="009119CB"/>
    <w:rsid w:val="009119D7"/>
    <w:rsid w:val="009119FF"/>
    <w:rsid w:val="00911A5F"/>
    <w:rsid w:val="00911B3A"/>
    <w:rsid w:val="00911C9E"/>
    <w:rsid w:val="00911CF6"/>
    <w:rsid w:val="00911D50"/>
    <w:rsid w:val="00911D7B"/>
    <w:rsid w:val="00911DAC"/>
    <w:rsid w:val="00911E28"/>
    <w:rsid w:val="00911EEE"/>
    <w:rsid w:val="00911F21"/>
    <w:rsid w:val="00911FE2"/>
    <w:rsid w:val="00911FF2"/>
    <w:rsid w:val="00912069"/>
    <w:rsid w:val="009120E7"/>
    <w:rsid w:val="0091212D"/>
    <w:rsid w:val="0091214C"/>
    <w:rsid w:val="0091216F"/>
    <w:rsid w:val="009121B4"/>
    <w:rsid w:val="00912288"/>
    <w:rsid w:val="00912492"/>
    <w:rsid w:val="009124E8"/>
    <w:rsid w:val="0091250B"/>
    <w:rsid w:val="00912613"/>
    <w:rsid w:val="00912728"/>
    <w:rsid w:val="0091289B"/>
    <w:rsid w:val="0091289F"/>
    <w:rsid w:val="009128C8"/>
    <w:rsid w:val="0091296F"/>
    <w:rsid w:val="009129E1"/>
    <w:rsid w:val="00912A6E"/>
    <w:rsid w:val="00912A73"/>
    <w:rsid w:val="00912B09"/>
    <w:rsid w:val="00912B0C"/>
    <w:rsid w:val="00912B2E"/>
    <w:rsid w:val="00912C0C"/>
    <w:rsid w:val="00912C92"/>
    <w:rsid w:val="00912C95"/>
    <w:rsid w:val="00912C97"/>
    <w:rsid w:val="00912D57"/>
    <w:rsid w:val="00912E15"/>
    <w:rsid w:val="00912E21"/>
    <w:rsid w:val="00912E79"/>
    <w:rsid w:val="00912EEF"/>
    <w:rsid w:val="00912F8D"/>
    <w:rsid w:val="00913022"/>
    <w:rsid w:val="00913034"/>
    <w:rsid w:val="00913039"/>
    <w:rsid w:val="0091307F"/>
    <w:rsid w:val="009130F9"/>
    <w:rsid w:val="00913160"/>
    <w:rsid w:val="0091328C"/>
    <w:rsid w:val="00913329"/>
    <w:rsid w:val="0091332C"/>
    <w:rsid w:val="00913374"/>
    <w:rsid w:val="00913456"/>
    <w:rsid w:val="00913461"/>
    <w:rsid w:val="0091349D"/>
    <w:rsid w:val="00913582"/>
    <w:rsid w:val="009135D5"/>
    <w:rsid w:val="00913637"/>
    <w:rsid w:val="009136BC"/>
    <w:rsid w:val="00913730"/>
    <w:rsid w:val="0091373A"/>
    <w:rsid w:val="009137CB"/>
    <w:rsid w:val="009137EA"/>
    <w:rsid w:val="009137ED"/>
    <w:rsid w:val="00913813"/>
    <w:rsid w:val="009138B2"/>
    <w:rsid w:val="009138D7"/>
    <w:rsid w:val="009138DC"/>
    <w:rsid w:val="00913938"/>
    <w:rsid w:val="009139AE"/>
    <w:rsid w:val="00913A0C"/>
    <w:rsid w:val="00913AA9"/>
    <w:rsid w:val="00913B0B"/>
    <w:rsid w:val="00913B1A"/>
    <w:rsid w:val="00913B33"/>
    <w:rsid w:val="00913BAF"/>
    <w:rsid w:val="00913BCA"/>
    <w:rsid w:val="00913BE6"/>
    <w:rsid w:val="00913C17"/>
    <w:rsid w:val="00913C63"/>
    <w:rsid w:val="00913C71"/>
    <w:rsid w:val="00913CCB"/>
    <w:rsid w:val="00913CDE"/>
    <w:rsid w:val="00913CF7"/>
    <w:rsid w:val="00913D0E"/>
    <w:rsid w:val="00913D49"/>
    <w:rsid w:val="00913DA1"/>
    <w:rsid w:val="00913DC9"/>
    <w:rsid w:val="00913DD8"/>
    <w:rsid w:val="00913E94"/>
    <w:rsid w:val="00913EA0"/>
    <w:rsid w:val="0091406F"/>
    <w:rsid w:val="009140C8"/>
    <w:rsid w:val="00914134"/>
    <w:rsid w:val="009141AE"/>
    <w:rsid w:val="009141F9"/>
    <w:rsid w:val="00914229"/>
    <w:rsid w:val="009142AC"/>
    <w:rsid w:val="00914465"/>
    <w:rsid w:val="0091448E"/>
    <w:rsid w:val="009144AF"/>
    <w:rsid w:val="009144D5"/>
    <w:rsid w:val="00914529"/>
    <w:rsid w:val="009145BF"/>
    <w:rsid w:val="009145CA"/>
    <w:rsid w:val="0091461D"/>
    <w:rsid w:val="00914643"/>
    <w:rsid w:val="009146B7"/>
    <w:rsid w:val="00914746"/>
    <w:rsid w:val="00914799"/>
    <w:rsid w:val="009147D2"/>
    <w:rsid w:val="009147F2"/>
    <w:rsid w:val="00914850"/>
    <w:rsid w:val="00914911"/>
    <w:rsid w:val="00914946"/>
    <w:rsid w:val="00914A60"/>
    <w:rsid w:val="00914AA5"/>
    <w:rsid w:val="00914B33"/>
    <w:rsid w:val="00914B6E"/>
    <w:rsid w:val="00914B81"/>
    <w:rsid w:val="00914BA4"/>
    <w:rsid w:val="00914CE1"/>
    <w:rsid w:val="00914D16"/>
    <w:rsid w:val="00914D4D"/>
    <w:rsid w:val="00914EEB"/>
    <w:rsid w:val="00915087"/>
    <w:rsid w:val="009150CE"/>
    <w:rsid w:val="009151E9"/>
    <w:rsid w:val="009151EF"/>
    <w:rsid w:val="009151FD"/>
    <w:rsid w:val="00915307"/>
    <w:rsid w:val="009153AB"/>
    <w:rsid w:val="009153B7"/>
    <w:rsid w:val="0091545A"/>
    <w:rsid w:val="0091555C"/>
    <w:rsid w:val="009155E0"/>
    <w:rsid w:val="00915621"/>
    <w:rsid w:val="00915639"/>
    <w:rsid w:val="0091566C"/>
    <w:rsid w:val="00915694"/>
    <w:rsid w:val="009156C9"/>
    <w:rsid w:val="0091575F"/>
    <w:rsid w:val="0091580E"/>
    <w:rsid w:val="0091583D"/>
    <w:rsid w:val="00915858"/>
    <w:rsid w:val="00915902"/>
    <w:rsid w:val="00915918"/>
    <w:rsid w:val="0091592A"/>
    <w:rsid w:val="00915947"/>
    <w:rsid w:val="00915980"/>
    <w:rsid w:val="009159AA"/>
    <w:rsid w:val="00915A2D"/>
    <w:rsid w:val="00915A79"/>
    <w:rsid w:val="00915A82"/>
    <w:rsid w:val="00915B1A"/>
    <w:rsid w:val="00915BDE"/>
    <w:rsid w:val="00915C74"/>
    <w:rsid w:val="00915DDE"/>
    <w:rsid w:val="00915DEA"/>
    <w:rsid w:val="00915EFE"/>
    <w:rsid w:val="00915F2E"/>
    <w:rsid w:val="00915F98"/>
    <w:rsid w:val="00915FA3"/>
    <w:rsid w:val="00915FDD"/>
    <w:rsid w:val="00916001"/>
    <w:rsid w:val="0091608B"/>
    <w:rsid w:val="0091609D"/>
    <w:rsid w:val="0091611B"/>
    <w:rsid w:val="009161A5"/>
    <w:rsid w:val="009161B9"/>
    <w:rsid w:val="009161CF"/>
    <w:rsid w:val="009161F8"/>
    <w:rsid w:val="00916224"/>
    <w:rsid w:val="009162E6"/>
    <w:rsid w:val="009162E7"/>
    <w:rsid w:val="009162F6"/>
    <w:rsid w:val="0091637C"/>
    <w:rsid w:val="009163F3"/>
    <w:rsid w:val="00916458"/>
    <w:rsid w:val="00916494"/>
    <w:rsid w:val="009164A0"/>
    <w:rsid w:val="00916598"/>
    <w:rsid w:val="009165B0"/>
    <w:rsid w:val="0091668C"/>
    <w:rsid w:val="009166F4"/>
    <w:rsid w:val="009167FB"/>
    <w:rsid w:val="00916803"/>
    <w:rsid w:val="0091684C"/>
    <w:rsid w:val="009168C3"/>
    <w:rsid w:val="00916922"/>
    <w:rsid w:val="00916AD4"/>
    <w:rsid w:val="00916CB9"/>
    <w:rsid w:val="00916CFB"/>
    <w:rsid w:val="00916D1D"/>
    <w:rsid w:val="00916DDC"/>
    <w:rsid w:val="00916E60"/>
    <w:rsid w:val="0091702E"/>
    <w:rsid w:val="00917073"/>
    <w:rsid w:val="00917083"/>
    <w:rsid w:val="009170C5"/>
    <w:rsid w:val="00917165"/>
    <w:rsid w:val="0091719F"/>
    <w:rsid w:val="009171EF"/>
    <w:rsid w:val="0091729A"/>
    <w:rsid w:val="009172C0"/>
    <w:rsid w:val="009172DD"/>
    <w:rsid w:val="00917314"/>
    <w:rsid w:val="00917421"/>
    <w:rsid w:val="009174CA"/>
    <w:rsid w:val="009174E0"/>
    <w:rsid w:val="00917524"/>
    <w:rsid w:val="009175BA"/>
    <w:rsid w:val="0091762E"/>
    <w:rsid w:val="0091767B"/>
    <w:rsid w:val="0091768D"/>
    <w:rsid w:val="009176D5"/>
    <w:rsid w:val="0091779B"/>
    <w:rsid w:val="00917877"/>
    <w:rsid w:val="009178A3"/>
    <w:rsid w:val="009179E3"/>
    <w:rsid w:val="00917A36"/>
    <w:rsid w:val="00917A67"/>
    <w:rsid w:val="00917A9D"/>
    <w:rsid w:val="00917B06"/>
    <w:rsid w:val="00917B19"/>
    <w:rsid w:val="00917B45"/>
    <w:rsid w:val="00917B4A"/>
    <w:rsid w:val="00917BE9"/>
    <w:rsid w:val="00917C32"/>
    <w:rsid w:val="00917C4A"/>
    <w:rsid w:val="00917C4D"/>
    <w:rsid w:val="00917C6E"/>
    <w:rsid w:val="00917CAE"/>
    <w:rsid w:val="00917CF1"/>
    <w:rsid w:val="00917D19"/>
    <w:rsid w:val="00917E29"/>
    <w:rsid w:val="00917E7B"/>
    <w:rsid w:val="00917F26"/>
    <w:rsid w:val="00917F82"/>
    <w:rsid w:val="00920050"/>
    <w:rsid w:val="009200A3"/>
    <w:rsid w:val="0092011D"/>
    <w:rsid w:val="00920135"/>
    <w:rsid w:val="009201CA"/>
    <w:rsid w:val="00920221"/>
    <w:rsid w:val="009202B2"/>
    <w:rsid w:val="009202C3"/>
    <w:rsid w:val="00920338"/>
    <w:rsid w:val="0092046C"/>
    <w:rsid w:val="009204F8"/>
    <w:rsid w:val="0092055D"/>
    <w:rsid w:val="0092058A"/>
    <w:rsid w:val="009205BF"/>
    <w:rsid w:val="0092067A"/>
    <w:rsid w:val="009206EC"/>
    <w:rsid w:val="0092073E"/>
    <w:rsid w:val="00920777"/>
    <w:rsid w:val="00920792"/>
    <w:rsid w:val="00920836"/>
    <w:rsid w:val="00920906"/>
    <w:rsid w:val="0092092C"/>
    <w:rsid w:val="00920948"/>
    <w:rsid w:val="009209CE"/>
    <w:rsid w:val="009209E6"/>
    <w:rsid w:val="00920A3C"/>
    <w:rsid w:val="00920AF6"/>
    <w:rsid w:val="00920AFC"/>
    <w:rsid w:val="00920B08"/>
    <w:rsid w:val="00920B6F"/>
    <w:rsid w:val="00920B8E"/>
    <w:rsid w:val="00920B98"/>
    <w:rsid w:val="00920BC2"/>
    <w:rsid w:val="00920BF8"/>
    <w:rsid w:val="00920C00"/>
    <w:rsid w:val="00920C38"/>
    <w:rsid w:val="00920C4F"/>
    <w:rsid w:val="00920DB6"/>
    <w:rsid w:val="00920DF3"/>
    <w:rsid w:val="00920E15"/>
    <w:rsid w:val="00920EA0"/>
    <w:rsid w:val="00920EB0"/>
    <w:rsid w:val="00920EB9"/>
    <w:rsid w:val="00920F7E"/>
    <w:rsid w:val="00920FA6"/>
    <w:rsid w:val="00920FF7"/>
    <w:rsid w:val="0092111F"/>
    <w:rsid w:val="009211AB"/>
    <w:rsid w:val="009211BA"/>
    <w:rsid w:val="009212F3"/>
    <w:rsid w:val="0092135F"/>
    <w:rsid w:val="0092136C"/>
    <w:rsid w:val="0092141E"/>
    <w:rsid w:val="009214D9"/>
    <w:rsid w:val="009214E4"/>
    <w:rsid w:val="009214FE"/>
    <w:rsid w:val="0092150E"/>
    <w:rsid w:val="0092151A"/>
    <w:rsid w:val="0092157D"/>
    <w:rsid w:val="009215A4"/>
    <w:rsid w:val="00921608"/>
    <w:rsid w:val="009216EA"/>
    <w:rsid w:val="0092170A"/>
    <w:rsid w:val="00921740"/>
    <w:rsid w:val="00921742"/>
    <w:rsid w:val="00921767"/>
    <w:rsid w:val="00921789"/>
    <w:rsid w:val="009217F8"/>
    <w:rsid w:val="00921824"/>
    <w:rsid w:val="0092186D"/>
    <w:rsid w:val="009218ED"/>
    <w:rsid w:val="00921917"/>
    <w:rsid w:val="0092196A"/>
    <w:rsid w:val="009219AD"/>
    <w:rsid w:val="00921A11"/>
    <w:rsid w:val="00921AD2"/>
    <w:rsid w:val="00921B8F"/>
    <w:rsid w:val="00921BB7"/>
    <w:rsid w:val="00921BC7"/>
    <w:rsid w:val="00921C66"/>
    <w:rsid w:val="00921CE3"/>
    <w:rsid w:val="00921CEB"/>
    <w:rsid w:val="00921D1C"/>
    <w:rsid w:val="00921DA9"/>
    <w:rsid w:val="00921DBC"/>
    <w:rsid w:val="00921DC6"/>
    <w:rsid w:val="00921E21"/>
    <w:rsid w:val="00921E3F"/>
    <w:rsid w:val="00921ECB"/>
    <w:rsid w:val="00921EE7"/>
    <w:rsid w:val="00921F45"/>
    <w:rsid w:val="00922034"/>
    <w:rsid w:val="0092223E"/>
    <w:rsid w:val="0092228C"/>
    <w:rsid w:val="0092231B"/>
    <w:rsid w:val="00922337"/>
    <w:rsid w:val="00922345"/>
    <w:rsid w:val="00922385"/>
    <w:rsid w:val="00922400"/>
    <w:rsid w:val="00922498"/>
    <w:rsid w:val="009224BC"/>
    <w:rsid w:val="009224C1"/>
    <w:rsid w:val="009224C8"/>
    <w:rsid w:val="00922559"/>
    <w:rsid w:val="0092258B"/>
    <w:rsid w:val="009225DC"/>
    <w:rsid w:val="009225FA"/>
    <w:rsid w:val="00922705"/>
    <w:rsid w:val="00922874"/>
    <w:rsid w:val="00922962"/>
    <w:rsid w:val="00922A50"/>
    <w:rsid w:val="00922AC8"/>
    <w:rsid w:val="00922B1A"/>
    <w:rsid w:val="00922BD7"/>
    <w:rsid w:val="00922BF9"/>
    <w:rsid w:val="00922C65"/>
    <w:rsid w:val="00922CCA"/>
    <w:rsid w:val="00922DBF"/>
    <w:rsid w:val="00922DC2"/>
    <w:rsid w:val="00922DF7"/>
    <w:rsid w:val="00922DFC"/>
    <w:rsid w:val="00922E52"/>
    <w:rsid w:val="00922E62"/>
    <w:rsid w:val="00922EC2"/>
    <w:rsid w:val="00922ED6"/>
    <w:rsid w:val="00922F56"/>
    <w:rsid w:val="00922F5E"/>
    <w:rsid w:val="00922FD0"/>
    <w:rsid w:val="0092300B"/>
    <w:rsid w:val="0092302F"/>
    <w:rsid w:val="00923097"/>
    <w:rsid w:val="00923170"/>
    <w:rsid w:val="00923187"/>
    <w:rsid w:val="009231E2"/>
    <w:rsid w:val="0092325B"/>
    <w:rsid w:val="0092342F"/>
    <w:rsid w:val="0092345A"/>
    <w:rsid w:val="00923487"/>
    <w:rsid w:val="009234DC"/>
    <w:rsid w:val="009234EB"/>
    <w:rsid w:val="00923577"/>
    <w:rsid w:val="009235A3"/>
    <w:rsid w:val="00923606"/>
    <w:rsid w:val="0092360A"/>
    <w:rsid w:val="00923623"/>
    <w:rsid w:val="00923696"/>
    <w:rsid w:val="009236C6"/>
    <w:rsid w:val="009236F1"/>
    <w:rsid w:val="0092375B"/>
    <w:rsid w:val="009237BF"/>
    <w:rsid w:val="009237C5"/>
    <w:rsid w:val="0092384C"/>
    <w:rsid w:val="00923876"/>
    <w:rsid w:val="009238A7"/>
    <w:rsid w:val="009238DF"/>
    <w:rsid w:val="0092390B"/>
    <w:rsid w:val="009239A5"/>
    <w:rsid w:val="00923A4C"/>
    <w:rsid w:val="00923AA4"/>
    <w:rsid w:val="00923B3B"/>
    <w:rsid w:val="00923CAD"/>
    <w:rsid w:val="00923CEB"/>
    <w:rsid w:val="00923D06"/>
    <w:rsid w:val="00923D07"/>
    <w:rsid w:val="00923D18"/>
    <w:rsid w:val="00923D7F"/>
    <w:rsid w:val="00923DE3"/>
    <w:rsid w:val="00923DF3"/>
    <w:rsid w:val="00923E3B"/>
    <w:rsid w:val="00923E53"/>
    <w:rsid w:val="00923EBA"/>
    <w:rsid w:val="00923F01"/>
    <w:rsid w:val="00923F4B"/>
    <w:rsid w:val="00923FAA"/>
    <w:rsid w:val="00923FC3"/>
    <w:rsid w:val="00923FE6"/>
    <w:rsid w:val="00924006"/>
    <w:rsid w:val="009240A3"/>
    <w:rsid w:val="009241BD"/>
    <w:rsid w:val="009241C2"/>
    <w:rsid w:val="00924267"/>
    <w:rsid w:val="00924279"/>
    <w:rsid w:val="0092428E"/>
    <w:rsid w:val="0092431D"/>
    <w:rsid w:val="00924390"/>
    <w:rsid w:val="009243D7"/>
    <w:rsid w:val="00924408"/>
    <w:rsid w:val="0092440A"/>
    <w:rsid w:val="0092441F"/>
    <w:rsid w:val="00924494"/>
    <w:rsid w:val="009244C6"/>
    <w:rsid w:val="009244D0"/>
    <w:rsid w:val="0092450B"/>
    <w:rsid w:val="0092458D"/>
    <w:rsid w:val="0092460E"/>
    <w:rsid w:val="009246CD"/>
    <w:rsid w:val="009246E2"/>
    <w:rsid w:val="00924701"/>
    <w:rsid w:val="0092470E"/>
    <w:rsid w:val="00924752"/>
    <w:rsid w:val="00924776"/>
    <w:rsid w:val="009247D0"/>
    <w:rsid w:val="009248B0"/>
    <w:rsid w:val="009248D9"/>
    <w:rsid w:val="00924952"/>
    <w:rsid w:val="009249BD"/>
    <w:rsid w:val="009249FA"/>
    <w:rsid w:val="00924A9C"/>
    <w:rsid w:val="00924AD3"/>
    <w:rsid w:val="00924AEC"/>
    <w:rsid w:val="00924B75"/>
    <w:rsid w:val="00924BB5"/>
    <w:rsid w:val="00924BCA"/>
    <w:rsid w:val="00924D37"/>
    <w:rsid w:val="00924D72"/>
    <w:rsid w:val="00924E12"/>
    <w:rsid w:val="00924E15"/>
    <w:rsid w:val="00924E5C"/>
    <w:rsid w:val="00924E78"/>
    <w:rsid w:val="00924EBF"/>
    <w:rsid w:val="00924F05"/>
    <w:rsid w:val="00924F28"/>
    <w:rsid w:val="00924FC0"/>
    <w:rsid w:val="00924FCE"/>
    <w:rsid w:val="00924FF0"/>
    <w:rsid w:val="009250BB"/>
    <w:rsid w:val="009250CF"/>
    <w:rsid w:val="009250D4"/>
    <w:rsid w:val="0092514A"/>
    <w:rsid w:val="00925187"/>
    <w:rsid w:val="009252D2"/>
    <w:rsid w:val="00925340"/>
    <w:rsid w:val="009253B1"/>
    <w:rsid w:val="009253D5"/>
    <w:rsid w:val="0092540A"/>
    <w:rsid w:val="00925492"/>
    <w:rsid w:val="009254A4"/>
    <w:rsid w:val="009254BD"/>
    <w:rsid w:val="009254EA"/>
    <w:rsid w:val="0092558E"/>
    <w:rsid w:val="009255AD"/>
    <w:rsid w:val="00925612"/>
    <w:rsid w:val="0092561D"/>
    <w:rsid w:val="0092567B"/>
    <w:rsid w:val="00925683"/>
    <w:rsid w:val="009256A1"/>
    <w:rsid w:val="009256D2"/>
    <w:rsid w:val="00925745"/>
    <w:rsid w:val="009257E4"/>
    <w:rsid w:val="009257FB"/>
    <w:rsid w:val="00925805"/>
    <w:rsid w:val="00925833"/>
    <w:rsid w:val="00925840"/>
    <w:rsid w:val="009258E4"/>
    <w:rsid w:val="009258F6"/>
    <w:rsid w:val="0092590E"/>
    <w:rsid w:val="0092597E"/>
    <w:rsid w:val="009259E7"/>
    <w:rsid w:val="00925A76"/>
    <w:rsid w:val="00925AF3"/>
    <w:rsid w:val="00925B09"/>
    <w:rsid w:val="00925B75"/>
    <w:rsid w:val="00925B8F"/>
    <w:rsid w:val="00925BCB"/>
    <w:rsid w:val="00925CD3"/>
    <w:rsid w:val="00925CEA"/>
    <w:rsid w:val="00925E26"/>
    <w:rsid w:val="00925E64"/>
    <w:rsid w:val="00925ECA"/>
    <w:rsid w:val="00925EEC"/>
    <w:rsid w:val="00925F67"/>
    <w:rsid w:val="00925F75"/>
    <w:rsid w:val="00925F7C"/>
    <w:rsid w:val="00925FAF"/>
    <w:rsid w:val="00925FB1"/>
    <w:rsid w:val="00925FB3"/>
    <w:rsid w:val="00925FC8"/>
    <w:rsid w:val="00925FCD"/>
    <w:rsid w:val="00926027"/>
    <w:rsid w:val="00926072"/>
    <w:rsid w:val="00926076"/>
    <w:rsid w:val="00926089"/>
    <w:rsid w:val="009260A4"/>
    <w:rsid w:val="009260AC"/>
    <w:rsid w:val="009260CC"/>
    <w:rsid w:val="009260DA"/>
    <w:rsid w:val="00926118"/>
    <w:rsid w:val="00926137"/>
    <w:rsid w:val="0092618A"/>
    <w:rsid w:val="009261C8"/>
    <w:rsid w:val="0092622D"/>
    <w:rsid w:val="00926327"/>
    <w:rsid w:val="0092632A"/>
    <w:rsid w:val="0092632B"/>
    <w:rsid w:val="00926351"/>
    <w:rsid w:val="0092637F"/>
    <w:rsid w:val="009263B4"/>
    <w:rsid w:val="00926402"/>
    <w:rsid w:val="009265E8"/>
    <w:rsid w:val="00926655"/>
    <w:rsid w:val="0092666D"/>
    <w:rsid w:val="0092667F"/>
    <w:rsid w:val="0092669A"/>
    <w:rsid w:val="009266DE"/>
    <w:rsid w:val="00926765"/>
    <w:rsid w:val="009267AA"/>
    <w:rsid w:val="009267CA"/>
    <w:rsid w:val="0092685D"/>
    <w:rsid w:val="009268E4"/>
    <w:rsid w:val="009268E5"/>
    <w:rsid w:val="009268E7"/>
    <w:rsid w:val="00926992"/>
    <w:rsid w:val="0092699B"/>
    <w:rsid w:val="0092699F"/>
    <w:rsid w:val="00926A0F"/>
    <w:rsid w:val="00926A11"/>
    <w:rsid w:val="00926A21"/>
    <w:rsid w:val="00926ADE"/>
    <w:rsid w:val="00926B18"/>
    <w:rsid w:val="00926B35"/>
    <w:rsid w:val="00926B49"/>
    <w:rsid w:val="00926B6E"/>
    <w:rsid w:val="00926B96"/>
    <w:rsid w:val="00926BAA"/>
    <w:rsid w:val="00926BC9"/>
    <w:rsid w:val="00926C4A"/>
    <w:rsid w:val="00926C54"/>
    <w:rsid w:val="00926CA3"/>
    <w:rsid w:val="00926CC7"/>
    <w:rsid w:val="00926D81"/>
    <w:rsid w:val="00926E86"/>
    <w:rsid w:val="00926E95"/>
    <w:rsid w:val="00926EA1"/>
    <w:rsid w:val="00926EBE"/>
    <w:rsid w:val="00926F01"/>
    <w:rsid w:val="00926F7E"/>
    <w:rsid w:val="00926FBD"/>
    <w:rsid w:val="00927041"/>
    <w:rsid w:val="00927058"/>
    <w:rsid w:val="00927079"/>
    <w:rsid w:val="0092707A"/>
    <w:rsid w:val="0092709C"/>
    <w:rsid w:val="00927118"/>
    <w:rsid w:val="0092715F"/>
    <w:rsid w:val="0092717F"/>
    <w:rsid w:val="00927188"/>
    <w:rsid w:val="00927195"/>
    <w:rsid w:val="009271A5"/>
    <w:rsid w:val="009271B6"/>
    <w:rsid w:val="009271B8"/>
    <w:rsid w:val="0092720B"/>
    <w:rsid w:val="009272D6"/>
    <w:rsid w:val="009272EC"/>
    <w:rsid w:val="00927320"/>
    <w:rsid w:val="00927345"/>
    <w:rsid w:val="009273DE"/>
    <w:rsid w:val="0092746B"/>
    <w:rsid w:val="009274AB"/>
    <w:rsid w:val="009274B2"/>
    <w:rsid w:val="00927588"/>
    <w:rsid w:val="009275EF"/>
    <w:rsid w:val="009276F6"/>
    <w:rsid w:val="00927744"/>
    <w:rsid w:val="009277F1"/>
    <w:rsid w:val="009277FB"/>
    <w:rsid w:val="00927870"/>
    <w:rsid w:val="00927969"/>
    <w:rsid w:val="009279EE"/>
    <w:rsid w:val="00927A83"/>
    <w:rsid w:val="00927A92"/>
    <w:rsid w:val="00927AA6"/>
    <w:rsid w:val="00927ABE"/>
    <w:rsid w:val="00927AD9"/>
    <w:rsid w:val="00927AEB"/>
    <w:rsid w:val="00927B05"/>
    <w:rsid w:val="00927B13"/>
    <w:rsid w:val="00927B1E"/>
    <w:rsid w:val="00927C58"/>
    <w:rsid w:val="00927C70"/>
    <w:rsid w:val="00927C82"/>
    <w:rsid w:val="00927CB7"/>
    <w:rsid w:val="00927E7D"/>
    <w:rsid w:val="00927F63"/>
    <w:rsid w:val="00927FCE"/>
    <w:rsid w:val="009300F3"/>
    <w:rsid w:val="00930174"/>
    <w:rsid w:val="0093018F"/>
    <w:rsid w:val="009301A1"/>
    <w:rsid w:val="0093021C"/>
    <w:rsid w:val="0093030B"/>
    <w:rsid w:val="00930319"/>
    <w:rsid w:val="00930373"/>
    <w:rsid w:val="0093047C"/>
    <w:rsid w:val="009304B3"/>
    <w:rsid w:val="009304CA"/>
    <w:rsid w:val="0093053C"/>
    <w:rsid w:val="0093056C"/>
    <w:rsid w:val="009305DE"/>
    <w:rsid w:val="009305E7"/>
    <w:rsid w:val="009305F2"/>
    <w:rsid w:val="00930656"/>
    <w:rsid w:val="00930663"/>
    <w:rsid w:val="00930780"/>
    <w:rsid w:val="009307A1"/>
    <w:rsid w:val="009307E9"/>
    <w:rsid w:val="00930809"/>
    <w:rsid w:val="009308EB"/>
    <w:rsid w:val="009309A5"/>
    <w:rsid w:val="00930A25"/>
    <w:rsid w:val="00930A43"/>
    <w:rsid w:val="00930AA5"/>
    <w:rsid w:val="00930AB1"/>
    <w:rsid w:val="00930ACE"/>
    <w:rsid w:val="00930B9C"/>
    <w:rsid w:val="00930BC3"/>
    <w:rsid w:val="00930C2B"/>
    <w:rsid w:val="00930CCE"/>
    <w:rsid w:val="00930D25"/>
    <w:rsid w:val="00930D4D"/>
    <w:rsid w:val="00930E4D"/>
    <w:rsid w:val="00930F4E"/>
    <w:rsid w:val="00930F77"/>
    <w:rsid w:val="00930FD9"/>
    <w:rsid w:val="0093105F"/>
    <w:rsid w:val="00931091"/>
    <w:rsid w:val="009310A0"/>
    <w:rsid w:val="00931116"/>
    <w:rsid w:val="00931150"/>
    <w:rsid w:val="0093122E"/>
    <w:rsid w:val="0093125E"/>
    <w:rsid w:val="00931313"/>
    <w:rsid w:val="00931343"/>
    <w:rsid w:val="00931356"/>
    <w:rsid w:val="0093138F"/>
    <w:rsid w:val="00931458"/>
    <w:rsid w:val="009314F1"/>
    <w:rsid w:val="009314FE"/>
    <w:rsid w:val="0093163D"/>
    <w:rsid w:val="00931672"/>
    <w:rsid w:val="00931681"/>
    <w:rsid w:val="009316A9"/>
    <w:rsid w:val="009316EC"/>
    <w:rsid w:val="0093176E"/>
    <w:rsid w:val="009317FB"/>
    <w:rsid w:val="009318B8"/>
    <w:rsid w:val="0093196D"/>
    <w:rsid w:val="009319A6"/>
    <w:rsid w:val="009319A7"/>
    <w:rsid w:val="00931A05"/>
    <w:rsid w:val="00931AA5"/>
    <w:rsid w:val="00931AF1"/>
    <w:rsid w:val="00931B4D"/>
    <w:rsid w:val="00931BCA"/>
    <w:rsid w:val="00931BF2"/>
    <w:rsid w:val="00931C26"/>
    <w:rsid w:val="00931D65"/>
    <w:rsid w:val="00931D69"/>
    <w:rsid w:val="00931D73"/>
    <w:rsid w:val="00931DA6"/>
    <w:rsid w:val="00931DEC"/>
    <w:rsid w:val="00931E3E"/>
    <w:rsid w:val="00931E57"/>
    <w:rsid w:val="00931EDA"/>
    <w:rsid w:val="00931EE2"/>
    <w:rsid w:val="00931F58"/>
    <w:rsid w:val="00931F8A"/>
    <w:rsid w:val="00932039"/>
    <w:rsid w:val="009320DC"/>
    <w:rsid w:val="00932166"/>
    <w:rsid w:val="009322A1"/>
    <w:rsid w:val="0093239D"/>
    <w:rsid w:val="009323B0"/>
    <w:rsid w:val="009323D3"/>
    <w:rsid w:val="00932448"/>
    <w:rsid w:val="0093246B"/>
    <w:rsid w:val="0093247B"/>
    <w:rsid w:val="009324E3"/>
    <w:rsid w:val="0093255A"/>
    <w:rsid w:val="0093257B"/>
    <w:rsid w:val="0093258D"/>
    <w:rsid w:val="00932674"/>
    <w:rsid w:val="00932742"/>
    <w:rsid w:val="009327D7"/>
    <w:rsid w:val="00932866"/>
    <w:rsid w:val="009328F3"/>
    <w:rsid w:val="00932953"/>
    <w:rsid w:val="00932A22"/>
    <w:rsid w:val="00932B00"/>
    <w:rsid w:val="00932B2A"/>
    <w:rsid w:val="00932B2D"/>
    <w:rsid w:val="00932B89"/>
    <w:rsid w:val="00932BF4"/>
    <w:rsid w:val="00932C4A"/>
    <w:rsid w:val="00932C4C"/>
    <w:rsid w:val="00932C99"/>
    <w:rsid w:val="00932CA9"/>
    <w:rsid w:val="00932CF6"/>
    <w:rsid w:val="00932D98"/>
    <w:rsid w:val="00932E2E"/>
    <w:rsid w:val="00932F06"/>
    <w:rsid w:val="00932F87"/>
    <w:rsid w:val="00932F92"/>
    <w:rsid w:val="00932FC5"/>
    <w:rsid w:val="00932FC6"/>
    <w:rsid w:val="00933067"/>
    <w:rsid w:val="009330B0"/>
    <w:rsid w:val="009330E1"/>
    <w:rsid w:val="0093316C"/>
    <w:rsid w:val="009331E7"/>
    <w:rsid w:val="00933238"/>
    <w:rsid w:val="00933290"/>
    <w:rsid w:val="009332BE"/>
    <w:rsid w:val="00933341"/>
    <w:rsid w:val="00933440"/>
    <w:rsid w:val="0093345C"/>
    <w:rsid w:val="00933547"/>
    <w:rsid w:val="0093356D"/>
    <w:rsid w:val="00933594"/>
    <w:rsid w:val="009335B6"/>
    <w:rsid w:val="009335F9"/>
    <w:rsid w:val="0093363B"/>
    <w:rsid w:val="009336BC"/>
    <w:rsid w:val="009336F1"/>
    <w:rsid w:val="0093371F"/>
    <w:rsid w:val="00933793"/>
    <w:rsid w:val="009337AA"/>
    <w:rsid w:val="009337BD"/>
    <w:rsid w:val="00933849"/>
    <w:rsid w:val="00933B37"/>
    <w:rsid w:val="00933B6D"/>
    <w:rsid w:val="00933BCA"/>
    <w:rsid w:val="00933BFA"/>
    <w:rsid w:val="00933C44"/>
    <w:rsid w:val="00933CAE"/>
    <w:rsid w:val="00933D0C"/>
    <w:rsid w:val="00933D14"/>
    <w:rsid w:val="00933D88"/>
    <w:rsid w:val="00933D8F"/>
    <w:rsid w:val="00933E79"/>
    <w:rsid w:val="00933ED9"/>
    <w:rsid w:val="00933F1E"/>
    <w:rsid w:val="00933FF5"/>
    <w:rsid w:val="0093404A"/>
    <w:rsid w:val="0093408C"/>
    <w:rsid w:val="009341B8"/>
    <w:rsid w:val="009341D1"/>
    <w:rsid w:val="009342B0"/>
    <w:rsid w:val="0093435F"/>
    <w:rsid w:val="00934376"/>
    <w:rsid w:val="009343C1"/>
    <w:rsid w:val="00934402"/>
    <w:rsid w:val="0093442B"/>
    <w:rsid w:val="0093445B"/>
    <w:rsid w:val="009344B9"/>
    <w:rsid w:val="009344CD"/>
    <w:rsid w:val="009345E4"/>
    <w:rsid w:val="009345F6"/>
    <w:rsid w:val="00934651"/>
    <w:rsid w:val="00934661"/>
    <w:rsid w:val="00934695"/>
    <w:rsid w:val="0093469F"/>
    <w:rsid w:val="009346FC"/>
    <w:rsid w:val="00934706"/>
    <w:rsid w:val="00934720"/>
    <w:rsid w:val="009347A2"/>
    <w:rsid w:val="00934911"/>
    <w:rsid w:val="0093495A"/>
    <w:rsid w:val="0093497A"/>
    <w:rsid w:val="00934A0D"/>
    <w:rsid w:val="00934AA0"/>
    <w:rsid w:val="00934AD7"/>
    <w:rsid w:val="00934BFF"/>
    <w:rsid w:val="00934C15"/>
    <w:rsid w:val="00934C50"/>
    <w:rsid w:val="00934D12"/>
    <w:rsid w:val="00934D8E"/>
    <w:rsid w:val="00934E5D"/>
    <w:rsid w:val="00934E9B"/>
    <w:rsid w:val="00934F11"/>
    <w:rsid w:val="00934F24"/>
    <w:rsid w:val="00934F76"/>
    <w:rsid w:val="00934FF7"/>
    <w:rsid w:val="00935035"/>
    <w:rsid w:val="00935206"/>
    <w:rsid w:val="0093523A"/>
    <w:rsid w:val="009352AF"/>
    <w:rsid w:val="009352B8"/>
    <w:rsid w:val="0093533F"/>
    <w:rsid w:val="0093545B"/>
    <w:rsid w:val="009354E7"/>
    <w:rsid w:val="0093558E"/>
    <w:rsid w:val="009355F3"/>
    <w:rsid w:val="009356CD"/>
    <w:rsid w:val="009358D6"/>
    <w:rsid w:val="00935913"/>
    <w:rsid w:val="00935A09"/>
    <w:rsid w:val="00935A23"/>
    <w:rsid w:val="00935AAE"/>
    <w:rsid w:val="00935B93"/>
    <w:rsid w:val="00935BA1"/>
    <w:rsid w:val="00935C0D"/>
    <w:rsid w:val="00935C13"/>
    <w:rsid w:val="00935C14"/>
    <w:rsid w:val="00935C69"/>
    <w:rsid w:val="00935CC2"/>
    <w:rsid w:val="00935CED"/>
    <w:rsid w:val="00935CFB"/>
    <w:rsid w:val="00935D33"/>
    <w:rsid w:val="00935D96"/>
    <w:rsid w:val="00935D9F"/>
    <w:rsid w:val="00935DAD"/>
    <w:rsid w:val="00935DBA"/>
    <w:rsid w:val="00935DDC"/>
    <w:rsid w:val="00935DEE"/>
    <w:rsid w:val="00935E36"/>
    <w:rsid w:val="00935E74"/>
    <w:rsid w:val="00935EF8"/>
    <w:rsid w:val="00935F45"/>
    <w:rsid w:val="00935FE0"/>
    <w:rsid w:val="00936062"/>
    <w:rsid w:val="00936077"/>
    <w:rsid w:val="0093607F"/>
    <w:rsid w:val="009360C0"/>
    <w:rsid w:val="0093629E"/>
    <w:rsid w:val="0093632E"/>
    <w:rsid w:val="00936358"/>
    <w:rsid w:val="0093635B"/>
    <w:rsid w:val="00936430"/>
    <w:rsid w:val="009365E4"/>
    <w:rsid w:val="0093661F"/>
    <w:rsid w:val="00936839"/>
    <w:rsid w:val="00936864"/>
    <w:rsid w:val="0093692D"/>
    <w:rsid w:val="009369C7"/>
    <w:rsid w:val="009369D0"/>
    <w:rsid w:val="00936A3B"/>
    <w:rsid w:val="00936A62"/>
    <w:rsid w:val="00936AAB"/>
    <w:rsid w:val="00936AF6"/>
    <w:rsid w:val="00936B40"/>
    <w:rsid w:val="00936BF2"/>
    <w:rsid w:val="00936D49"/>
    <w:rsid w:val="00936DC6"/>
    <w:rsid w:val="00936DCD"/>
    <w:rsid w:val="00936E3D"/>
    <w:rsid w:val="00936EA4"/>
    <w:rsid w:val="00936ED3"/>
    <w:rsid w:val="00936F58"/>
    <w:rsid w:val="00936FB2"/>
    <w:rsid w:val="00936FBC"/>
    <w:rsid w:val="009370AE"/>
    <w:rsid w:val="009370BF"/>
    <w:rsid w:val="009370C1"/>
    <w:rsid w:val="00937135"/>
    <w:rsid w:val="0093717D"/>
    <w:rsid w:val="009371BD"/>
    <w:rsid w:val="009371C3"/>
    <w:rsid w:val="0093723D"/>
    <w:rsid w:val="00937261"/>
    <w:rsid w:val="009372B7"/>
    <w:rsid w:val="00937325"/>
    <w:rsid w:val="00937346"/>
    <w:rsid w:val="00937365"/>
    <w:rsid w:val="009373B8"/>
    <w:rsid w:val="00937411"/>
    <w:rsid w:val="009376A2"/>
    <w:rsid w:val="00937752"/>
    <w:rsid w:val="009377BE"/>
    <w:rsid w:val="00937826"/>
    <w:rsid w:val="0093783E"/>
    <w:rsid w:val="009378F0"/>
    <w:rsid w:val="009379D7"/>
    <w:rsid w:val="00937A64"/>
    <w:rsid w:val="00937A96"/>
    <w:rsid w:val="00937B2D"/>
    <w:rsid w:val="00937BB0"/>
    <w:rsid w:val="00937BFD"/>
    <w:rsid w:val="00937CBE"/>
    <w:rsid w:val="00937CCC"/>
    <w:rsid w:val="00937D16"/>
    <w:rsid w:val="00937DAE"/>
    <w:rsid w:val="00937DB1"/>
    <w:rsid w:val="00937E0D"/>
    <w:rsid w:val="00937ECF"/>
    <w:rsid w:val="00937EDF"/>
    <w:rsid w:val="00937F47"/>
    <w:rsid w:val="00937F9D"/>
    <w:rsid w:val="00937FB7"/>
    <w:rsid w:val="00937FC1"/>
    <w:rsid w:val="00937FC4"/>
    <w:rsid w:val="00940087"/>
    <w:rsid w:val="0094009A"/>
    <w:rsid w:val="0094011A"/>
    <w:rsid w:val="00940174"/>
    <w:rsid w:val="00940202"/>
    <w:rsid w:val="00940326"/>
    <w:rsid w:val="00940386"/>
    <w:rsid w:val="009403CF"/>
    <w:rsid w:val="00940405"/>
    <w:rsid w:val="00940432"/>
    <w:rsid w:val="0094047E"/>
    <w:rsid w:val="00940537"/>
    <w:rsid w:val="00940563"/>
    <w:rsid w:val="009405AA"/>
    <w:rsid w:val="009405BD"/>
    <w:rsid w:val="0094061F"/>
    <w:rsid w:val="009406F8"/>
    <w:rsid w:val="0094083E"/>
    <w:rsid w:val="00940853"/>
    <w:rsid w:val="009408BF"/>
    <w:rsid w:val="00940913"/>
    <w:rsid w:val="0094095D"/>
    <w:rsid w:val="00940A2F"/>
    <w:rsid w:val="00940A60"/>
    <w:rsid w:val="00940A7C"/>
    <w:rsid w:val="00940C3F"/>
    <w:rsid w:val="00940C57"/>
    <w:rsid w:val="00940C93"/>
    <w:rsid w:val="00940D68"/>
    <w:rsid w:val="00940E0A"/>
    <w:rsid w:val="00940EF9"/>
    <w:rsid w:val="009410D2"/>
    <w:rsid w:val="00941165"/>
    <w:rsid w:val="0094118F"/>
    <w:rsid w:val="00941254"/>
    <w:rsid w:val="00941267"/>
    <w:rsid w:val="009413E6"/>
    <w:rsid w:val="00941439"/>
    <w:rsid w:val="009414CA"/>
    <w:rsid w:val="0094151E"/>
    <w:rsid w:val="00941580"/>
    <w:rsid w:val="0094162A"/>
    <w:rsid w:val="00941700"/>
    <w:rsid w:val="009417C6"/>
    <w:rsid w:val="00941875"/>
    <w:rsid w:val="009418D2"/>
    <w:rsid w:val="009418F3"/>
    <w:rsid w:val="009418FE"/>
    <w:rsid w:val="0094193B"/>
    <w:rsid w:val="00941964"/>
    <w:rsid w:val="0094196F"/>
    <w:rsid w:val="00941A61"/>
    <w:rsid w:val="00941AC5"/>
    <w:rsid w:val="00941AD2"/>
    <w:rsid w:val="00941BB5"/>
    <w:rsid w:val="00941BCD"/>
    <w:rsid w:val="00941D0F"/>
    <w:rsid w:val="00941D2D"/>
    <w:rsid w:val="00941D32"/>
    <w:rsid w:val="00941DC3"/>
    <w:rsid w:val="00941DF7"/>
    <w:rsid w:val="00941E33"/>
    <w:rsid w:val="00941E49"/>
    <w:rsid w:val="00941EA9"/>
    <w:rsid w:val="00941EF9"/>
    <w:rsid w:val="00941F98"/>
    <w:rsid w:val="00941FA9"/>
    <w:rsid w:val="0094209C"/>
    <w:rsid w:val="009420F3"/>
    <w:rsid w:val="00942104"/>
    <w:rsid w:val="0094211A"/>
    <w:rsid w:val="00942168"/>
    <w:rsid w:val="009421A3"/>
    <w:rsid w:val="009421CE"/>
    <w:rsid w:val="009421ED"/>
    <w:rsid w:val="00942217"/>
    <w:rsid w:val="00942261"/>
    <w:rsid w:val="009422A5"/>
    <w:rsid w:val="009422D6"/>
    <w:rsid w:val="00942318"/>
    <w:rsid w:val="0094231A"/>
    <w:rsid w:val="00942355"/>
    <w:rsid w:val="009423B2"/>
    <w:rsid w:val="009423E8"/>
    <w:rsid w:val="009423F9"/>
    <w:rsid w:val="0094240D"/>
    <w:rsid w:val="009424ED"/>
    <w:rsid w:val="009425DE"/>
    <w:rsid w:val="0094262C"/>
    <w:rsid w:val="009426E6"/>
    <w:rsid w:val="009426ED"/>
    <w:rsid w:val="0094273C"/>
    <w:rsid w:val="00942759"/>
    <w:rsid w:val="009427C1"/>
    <w:rsid w:val="00942835"/>
    <w:rsid w:val="00942836"/>
    <w:rsid w:val="00942885"/>
    <w:rsid w:val="009428CA"/>
    <w:rsid w:val="0094292C"/>
    <w:rsid w:val="0094292F"/>
    <w:rsid w:val="00942B43"/>
    <w:rsid w:val="00942B96"/>
    <w:rsid w:val="00942CDC"/>
    <w:rsid w:val="00942D39"/>
    <w:rsid w:val="00942DB0"/>
    <w:rsid w:val="00942E11"/>
    <w:rsid w:val="00942F86"/>
    <w:rsid w:val="00942FC1"/>
    <w:rsid w:val="00943057"/>
    <w:rsid w:val="00943169"/>
    <w:rsid w:val="0094316E"/>
    <w:rsid w:val="009431B6"/>
    <w:rsid w:val="00943220"/>
    <w:rsid w:val="00943297"/>
    <w:rsid w:val="009432C6"/>
    <w:rsid w:val="00943319"/>
    <w:rsid w:val="00943357"/>
    <w:rsid w:val="009434A5"/>
    <w:rsid w:val="009434E5"/>
    <w:rsid w:val="009435CD"/>
    <w:rsid w:val="00943881"/>
    <w:rsid w:val="009438D1"/>
    <w:rsid w:val="009438F0"/>
    <w:rsid w:val="009439BE"/>
    <w:rsid w:val="00943A90"/>
    <w:rsid w:val="00943AD1"/>
    <w:rsid w:val="00943AE0"/>
    <w:rsid w:val="00943B3B"/>
    <w:rsid w:val="00943B4F"/>
    <w:rsid w:val="00943B6D"/>
    <w:rsid w:val="00943B74"/>
    <w:rsid w:val="00943BA1"/>
    <w:rsid w:val="00943BA2"/>
    <w:rsid w:val="00943BA3"/>
    <w:rsid w:val="00943BB1"/>
    <w:rsid w:val="00943BD8"/>
    <w:rsid w:val="00943C5B"/>
    <w:rsid w:val="00943CA4"/>
    <w:rsid w:val="00943ED4"/>
    <w:rsid w:val="00943F7F"/>
    <w:rsid w:val="0094402F"/>
    <w:rsid w:val="00944087"/>
    <w:rsid w:val="009440B8"/>
    <w:rsid w:val="009440D1"/>
    <w:rsid w:val="0094410F"/>
    <w:rsid w:val="00944192"/>
    <w:rsid w:val="009441A5"/>
    <w:rsid w:val="0094421F"/>
    <w:rsid w:val="009442D8"/>
    <w:rsid w:val="009444A8"/>
    <w:rsid w:val="009444CC"/>
    <w:rsid w:val="009444ED"/>
    <w:rsid w:val="009444F5"/>
    <w:rsid w:val="009445A0"/>
    <w:rsid w:val="009445B5"/>
    <w:rsid w:val="009445FF"/>
    <w:rsid w:val="009446C9"/>
    <w:rsid w:val="009446DD"/>
    <w:rsid w:val="009446E7"/>
    <w:rsid w:val="00944772"/>
    <w:rsid w:val="0094480F"/>
    <w:rsid w:val="00944831"/>
    <w:rsid w:val="00944841"/>
    <w:rsid w:val="009448C7"/>
    <w:rsid w:val="00944981"/>
    <w:rsid w:val="0094499B"/>
    <w:rsid w:val="00944A6B"/>
    <w:rsid w:val="00944A6F"/>
    <w:rsid w:val="00944A87"/>
    <w:rsid w:val="00944AA5"/>
    <w:rsid w:val="00944ABD"/>
    <w:rsid w:val="00944AE9"/>
    <w:rsid w:val="00944B4C"/>
    <w:rsid w:val="00944B59"/>
    <w:rsid w:val="00944B5C"/>
    <w:rsid w:val="00944BFD"/>
    <w:rsid w:val="00944C89"/>
    <w:rsid w:val="00944D02"/>
    <w:rsid w:val="00944D94"/>
    <w:rsid w:val="00944DA5"/>
    <w:rsid w:val="00944DC9"/>
    <w:rsid w:val="00944DE1"/>
    <w:rsid w:val="00944E34"/>
    <w:rsid w:val="00944E74"/>
    <w:rsid w:val="00944E80"/>
    <w:rsid w:val="00944EA8"/>
    <w:rsid w:val="00944EB5"/>
    <w:rsid w:val="00944F7D"/>
    <w:rsid w:val="00945019"/>
    <w:rsid w:val="00945107"/>
    <w:rsid w:val="00945144"/>
    <w:rsid w:val="0094519C"/>
    <w:rsid w:val="00945312"/>
    <w:rsid w:val="009453D3"/>
    <w:rsid w:val="00945452"/>
    <w:rsid w:val="00945498"/>
    <w:rsid w:val="00945575"/>
    <w:rsid w:val="00945687"/>
    <w:rsid w:val="0094569E"/>
    <w:rsid w:val="009456AB"/>
    <w:rsid w:val="00945740"/>
    <w:rsid w:val="00945795"/>
    <w:rsid w:val="009457CD"/>
    <w:rsid w:val="0094594C"/>
    <w:rsid w:val="009459A9"/>
    <w:rsid w:val="00945A34"/>
    <w:rsid w:val="00945A3D"/>
    <w:rsid w:val="00945A42"/>
    <w:rsid w:val="00945B03"/>
    <w:rsid w:val="00945BA8"/>
    <w:rsid w:val="00945BC3"/>
    <w:rsid w:val="00945C73"/>
    <w:rsid w:val="00945C8E"/>
    <w:rsid w:val="00945C9B"/>
    <w:rsid w:val="00945D33"/>
    <w:rsid w:val="00945D72"/>
    <w:rsid w:val="00945D7D"/>
    <w:rsid w:val="00945D7E"/>
    <w:rsid w:val="00945E0B"/>
    <w:rsid w:val="00945E18"/>
    <w:rsid w:val="00945EFC"/>
    <w:rsid w:val="00945F38"/>
    <w:rsid w:val="00945F96"/>
    <w:rsid w:val="00945FDA"/>
    <w:rsid w:val="00946005"/>
    <w:rsid w:val="0094603E"/>
    <w:rsid w:val="00946068"/>
    <w:rsid w:val="009460C4"/>
    <w:rsid w:val="009461AD"/>
    <w:rsid w:val="009461E4"/>
    <w:rsid w:val="009462DE"/>
    <w:rsid w:val="009462F9"/>
    <w:rsid w:val="009463E0"/>
    <w:rsid w:val="009463FD"/>
    <w:rsid w:val="00946452"/>
    <w:rsid w:val="00946498"/>
    <w:rsid w:val="00946690"/>
    <w:rsid w:val="009466C0"/>
    <w:rsid w:val="009466CA"/>
    <w:rsid w:val="009467DA"/>
    <w:rsid w:val="0094697A"/>
    <w:rsid w:val="009469E5"/>
    <w:rsid w:val="00946AE9"/>
    <w:rsid w:val="00946B2D"/>
    <w:rsid w:val="00946C07"/>
    <w:rsid w:val="00946C85"/>
    <w:rsid w:val="00946C8C"/>
    <w:rsid w:val="00946E37"/>
    <w:rsid w:val="00946E58"/>
    <w:rsid w:val="00946E9D"/>
    <w:rsid w:val="00946EB9"/>
    <w:rsid w:val="00946EBB"/>
    <w:rsid w:val="00946EFC"/>
    <w:rsid w:val="00946F0A"/>
    <w:rsid w:val="00946F63"/>
    <w:rsid w:val="00946F99"/>
    <w:rsid w:val="00946FDF"/>
    <w:rsid w:val="00947044"/>
    <w:rsid w:val="0094723B"/>
    <w:rsid w:val="009473B3"/>
    <w:rsid w:val="009474E9"/>
    <w:rsid w:val="0094757E"/>
    <w:rsid w:val="009475F3"/>
    <w:rsid w:val="00947669"/>
    <w:rsid w:val="009477F4"/>
    <w:rsid w:val="00947825"/>
    <w:rsid w:val="0094783B"/>
    <w:rsid w:val="00947849"/>
    <w:rsid w:val="00947902"/>
    <w:rsid w:val="00947967"/>
    <w:rsid w:val="009479D6"/>
    <w:rsid w:val="00947A0E"/>
    <w:rsid w:val="00947ACD"/>
    <w:rsid w:val="00947BDC"/>
    <w:rsid w:val="00947BE0"/>
    <w:rsid w:val="00947C0D"/>
    <w:rsid w:val="00947C59"/>
    <w:rsid w:val="00947D07"/>
    <w:rsid w:val="00947D56"/>
    <w:rsid w:val="00947DCE"/>
    <w:rsid w:val="00947ED6"/>
    <w:rsid w:val="00947F53"/>
    <w:rsid w:val="00947F5E"/>
    <w:rsid w:val="0095002E"/>
    <w:rsid w:val="0095012E"/>
    <w:rsid w:val="00950253"/>
    <w:rsid w:val="00950295"/>
    <w:rsid w:val="009502F6"/>
    <w:rsid w:val="00950326"/>
    <w:rsid w:val="00950330"/>
    <w:rsid w:val="00950383"/>
    <w:rsid w:val="009503A1"/>
    <w:rsid w:val="0095043E"/>
    <w:rsid w:val="00950479"/>
    <w:rsid w:val="00950650"/>
    <w:rsid w:val="00950695"/>
    <w:rsid w:val="009506E2"/>
    <w:rsid w:val="009507AB"/>
    <w:rsid w:val="009507BD"/>
    <w:rsid w:val="009507DA"/>
    <w:rsid w:val="0095092E"/>
    <w:rsid w:val="00950952"/>
    <w:rsid w:val="00950976"/>
    <w:rsid w:val="00950987"/>
    <w:rsid w:val="00950A60"/>
    <w:rsid w:val="00950A99"/>
    <w:rsid w:val="00950A9C"/>
    <w:rsid w:val="00950ACB"/>
    <w:rsid w:val="00950ACD"/>
    <w:rsid w:val="00950CA9"/>
    <w:rsid w:val="00950CF5"/>
    <w:rsid w:val="00950D2D"/>
    <w:rsid w:val="00950DD8"/>
    <w:rsid w:val="00950EAE"/>
    <w:rsid w:val="00950F1D"/>
    <w:rsid w:val="00950F6B"/>
    <w:rsid w:val="00950F7F"/>
    <w:rsid w:val="00950FE4"/>
    <w:rsid w:val="00951042"/>
    <w:rsid w:val="00951110"/>
    <w:rsid w:val="00951173"/>
    <w:rsid w:val="00951238"/>
    <w:rsid w:val="00951241"/>
    <w:rsid w:val="00951270"/>
    <w:rsid w:val="00951284"/>
    <w:rsid w:val="009512EA"/>
    <w:rsid w:val="00951339"/>
    <w:rsid w:val="009513A6"/>
    <w:rsid w:val="00951405"/>
    <w:rsid w:val="0095149E"/>
    <w:rsid w:val="0095154D"/>
    <w:rsid w:val="009515B6"/>
    <w:rsid w:val="009516DD"/>
    <w:rsid w:val="00951734"/>
    <w:rsid w:val="00951757"/>
    <w:rsid w:val="00951777"/>
    <w:rsid w:val="00951838"/>
    <w:rsid w:val="00951843"/>
    <w:rsid w:val="00951876"/>
    <w:rsid w:val="0095191E"/>
    <w:rsid w:val="00951923"/>
    <w:rsid w:val="00951934"/>
    <w:rsid w:val="00951970"/>
    <w:rsid w:val="00951992"/>
    <w:rsid w:val="009519EC"/>
    <w:rsid w:val="00951A1B"/>
    <w:rsid w:val="00951A5B"/>
    <w:rsid w:val="00951A5E"/>
    <w:rsid w:val="00951AD8"/>
    <w:rsid w:val="00951BB3"/>
    <w:rsid w:val="00951C2C"/>
    <w:rsid w:val="00951C69"/>
    <w:rsid w:val="00951CA7"/>
    <w:rsid w:val="00951CE4"/>
    <w:rsid w:val="00951CF0"/>
    <w:rsid w:val="00951D41"/>
    <w:rsid w:val="00951DB4"/>
    <w:rsid w:val="00951DCA"/>
    <w:rsid w:val="00951DE6"/>
    <w:rsid w:val="00951E0D"/>
    <w:rsid w:val="00951E40"/>
    <w:rsid w:val="00951E9C"/>
    <w:rsid w:val="00951F27"/>
    <w:rsid w:val="0095207B"/>
    <w:rsid w:val="009520A9"/>
    <w:rsid w:val="00952140"/>
    <w:rsid w:val="009521A3"/>
    <w:rsid w:val="009521BB"/>
    <w:rsid w:val="009521EA"/>
    <w:rsid w:val="00952202"/>
    <w:rsid w:val="009522B0"/>
    <w:rsid w:val="0095232E"/>
    <w:rsid w:val="0095234A"/>
    <w:rsid w:val="009523C3"/>
    <w:rsid w:val="009524A0"/>
    <w:rsid w:val="009524CF"/>
    <w:rsid w:val="0095253D"/>
    <w:rsid w:val="0095254A"/>
    <w:rsid w:val="00952588"/>
    <w:rsid w:val="00952592"/>
    <w:rsid w:val="009525A6"/>
    <w:rsid w:val="009525BC"/>
    <w:rsid w:val="009525C0"/>
    <w:rsid w:val="009525DA"/>
    <w:rsid w:val="009526B2"/>
    <w:rsid w:val="0095271F"/>
    <w:rsid w:val="00952839"/>
    <w:rsid w:val="0095283A"/>
    <w:rsid w:val="00952861"/>
    <w:rsid w:val="0095292E"/>
    <w:rsid w:val="00952961"/>
    <w:rsid w:val="00952AA6"/>
    <w:rsid w:val="00952B27"/>
    <w:rsid w:val="00952C0A"/>
    <w:rsid w:val="00952CF7"/>
    <w:rsid w:val="00952D89"/>
    <w:rsid w:val="00952D92"/>
    <w:rsid w:val="00952E20"/>
    <w:rsid w:val="00952EE1"/>
    <w:rsid w:val="00952F2E"/>
    <w:rsid w:val="00952F48"/>
    <w:rsid w:val="00952F55"/>
    <w:rsid w:val="00952F62"/>
    <w:rsid w:val="009530A4"/>
    <w:rsid w:val="009531F3"/>
    <w:rsid w:val="00953314"/>
    <w:rsid w:val="0095342A"/>
    <w:rsid w:val="00953440"/>
    <w:rsid w:val="0095344B"/>
    <w:rsid w:val="009534CB"/>
    <w:rsid w:val="009534DE"/>
    <w:rsid w:val="009534E9"/>
    <w:rsid w:val="009534FB"/>
    <w:rsid w:val="009534FD"/>
    <w:rsid w:val="00953516"/>
    <w:rsid w:val="0095352E"/>
    <w:rsid w:val="009535A3"/>
    <w:rsid w:val="009535A7"/>
    <w:rsid w:val="009535D9"/>
    <w:rsid w:val="009535E0"/>
    <w:rsid w:val="00953621"/>
    <w:rsid w:val="00953717"/>
    <w:rsid w:val="0095375E"/>
    <w:rsid w:val="009537B5"/>
    <w:rsid w:val="009537D0"/>
    <w:rsid w:val="00953849"/>
    <w:rsid w:val="00953852"/>
    <w:rsid w:val="009538D9"/>
    <w:rsid w:val="009538EF"/>
    <w:rsid w:val="009538F1"/>
    <w:rsid w:val="00953975"/>
    <w:rsid w:val="00953980"/>
    <w:rsid w:val="009539C1"/>
    <w:rsid w:val="009539F2"/>
    <w:rsid w:val="00953B37"/>
    <w:rsid w:val="00953C08"/>
    <w:rsid w:val="00953C54"/>
    <w:rsid w:val="00953D00"/>
    <w:rsid w:val="00953D02"/>
    <w:rsid w:val="00953D76"/>
    <w:rsid w:val="00953D87"/>
    <w:rsid w:val="00953DA7"/>
    <w:rsid w:val="00953DF0"/>
    <w:rsid w:val="00953E0F"/>
    <w:rsid w:val="00953F34"/>
    <w:rsid w:val="00953F40"/>
    <w:rsid w:val="00953F68"/>
    <w:rsid w:val="00953F95"/>
    <w:rsid w:val="00953FEA"/>
    <w:rsid w:val="0095403D"/>
    <w:rsid w:val="0095409C"/>
    <w:rsid w:val="009540A0"/>
    <w:rsid w:val="0095414D"/>
    <w:rsid w:val="00954205"/>
    <w:rsid w:val="00954218"/>
    <w:rsid w:val="009542B7"/>
    <w:rsid w:val="009542D9"/>
    <w:rsid w:val="009542EA"/>
    <w:rsid w:val="00954315"/>
    <w:rsid w:val="00954391"/>
    <w:rsid w:val="00954398"/>
    <w:rsid w:val="0095446C"/>
    <w:rsid w:val="00954496"/>
    <w:rsid w:val="009544B2"/>
    <w:rsid w:val="009544C1"/>
    <w:rsid w:val="009544DF"/>
    <w:rsid w:val="0095455A"/>
    <w:rsid w:val="0095455E"/>
    <w:rsid w:val="00954577"/>
    <w:rsid w:val="009545C2"/>
    <w:rsid w:val="00954701"/>
    <w:rsid w:val="009547C7"/>
    <w:rsid w:val="009547C8"/>
    <w:rsid w:val="00954868"/>
    <w:rsid w:val="00954917"/>
    <w:rsid w:val="00954A02"/>
    <w:rsid w:val="00954A1E"/>
    <w:rsid w:val="00954AD0"/>
    <w:rsid w:val="00954ADE"/>
    <w:rsid w:val="00954B58"/>
    <w:rsid w:val="00954BF5"/>
    <w:rsid w:val="00954C8C"/>
    <w:rsid w:val="00954C94"/>
    <w:rsid w:val="00954CB7"/>
    <w:rsid w:val="00954D9E"/>
    <w:rsid w:val="00954F35"/>
    <w:rsid w:val="00954F6F"/>
    <w:rsid w:val="00954F87"/>
    <w:rsid w:val="00955015"/>
    <w:rsid w:val="0095509E"/>
    <w:rsid w:val="0095511D"/>
    <w:rsid w:val="00955141"/>
    <w:rsid w:val="0095514D"/>
    <w:rsid w:val="0095519A"/>
    <w:rsid w:val="009551D6"/>
    <w:rsid w:val="009552F2"/>
    <w:rsid w:val="009552F9"/>
    <w:rsid w:val="0095532D"/>
    <w:rsid w:val="00955330"/>
    <w:rsid w:val="0095538A"/>
    <w:rsid w:val="009553B6"/>
    <w:rsid w:val="0095542C"/>
    <w:rsid w:val="00955452"/>
    <w:rsid w:val="00955483"/>
    <w:rsid w:val="009554A3"/>
    <w:rsid w:val="009554A6"/>
    <w:rsid w:val="009554A7"/>
    <w:rsid w:val="009555CA"/>
    <w:rsid w:val="009555D9"/>
    <w:rsid w:val="00955616"/>
    <w:rsid w:val="00955676"/>
    <w:rsid w:val="009557B7"/>
    <w:rsid w:val="009557D1"/>
    <w:rsid w:val="009557D6"/>
    <w:rsid w:val="00955876"/>
    <w:rsid w:val="009558AC"/>
    <w:rsid w:val="009558E5"/>
    <w:rsid w:val="0095591C"/>
    <w:rsid w:val="009559D2"/>
    <w:rsid w:val="00955A13"/>
    <w:rsid w:val="00955A77"/>
    <w:rsid w:val="00955AAD"/>
    <w:rsid w:val="00955AE7"/>
    <w:rsid w:val="00955B02"/>
    <w:rsid w:val="00955B31"/>
    <w:rsid w:val="00955B70"/>
    <w:rsid w:val="00955C4E"/>
    <w:rsid w:val="00955C57"/>
    <w:rsid w:val="00955C8F"/>
    <w:rsid w:val="00955CDA"/>
    <w:rsid w:val="00955D17"/>
    <w:rsid w:val="00955D29"/>
    <w:rsid w:val="00955DDE"/>
    <w:rsid w:val="00955E36"/>
    <w:rsid w:val="00955E56"/>
    <w:rsid w:val="00955F05"/>
    <w:rsid w:val="00955F06"/>
    <w:rsid w:val="00956079"/>
    <w:rsid w:val="009560A0"/>
    <w:rsid w:val="009561B1"/>
    <w:rsid w:val="009561DD"/>
    <w:rsid w:val="009561E0"/>
    <w:rsid w:val="009561E3"/>
    <w:rsid w:val="009563CE"/>
    <w:rsid w:val="009564A4"/>
    <w:rsid w:val="00956510"/>
    <w:rsid w:val="00956538"/>
    <w:rsid w:val="009565DE"/>
    <w:rsid w:val="0095665C"/>
    <w:rsid w:val="00956676"/>
    <w:rsid w:val="009567A3"/>
    <w:rsid w:val="009567BB"/>
    <w:rsid w:val="00956811"/>
    <w:rsid w:val="00956887"/>
    <w:rsid w:val="00956971"/>
    <w:rsid w:val="009569A3"/>
    <w:rsid w:val="009569A7"/>
    <w:rsid w:val="009569DB"/>
    <w:rsid w:val="00956A75"/>
    <w:rsid w:val="00956ABB"/>
    <w:rsid w:val="00956ABD"/>
    <w:rsid w:val="00956ACE"/>
    <w:rsid w:val="00956BCF"/>
    <w:rsid w:val="00956C8A"/>
    <w:rsid w:val="00956CA1"/>
    <w:rsid w:val="00956DEA"/>
    <w:rsid w:val="00956EC0"/>
    <w:rsid w:val="00956EDF"/>
    <w:rsid w:val="00956EF5"/>
    <w:rsid w:val="009570B9"/>
    <w:rsid w:val="00957117"/>
    <w:rsid w:val="0095713B"/>
    <w:rsid w:val="00957180"/>
    <w:rsid w:val="009571D5"/>
    <w:rsid w:val="00957291"/>
    <w:rsid w:val="0095729F"/>
    <w:rsid w:val="009572A0"/>
    <w:rsid w:val="009572A8"/>
    <w:rsid w:val="00957302"/>
    <w:rsid w:val="009573C6"/>
    <w:rsid w:val="009573EF"/>
    <w:rsid w:val="009573FC"/>
    <w:rsid w:val="00957505"/>
    <w:rsid w:val="0095750B"/>
    <w:rsid w:val="009575AB"/>
    <w:rsid w:val="00957611"/>
    <w:rsid w:val="009576D0"/>
    <w:rsid w:val="00957772"/>
    <w:rsid w:val="00957829"/>
    <w:rsid w:val="009578F5"/>
    <w:rsid w:val="00957920"/>
    <w:rsid w:val="00957976"/>
    <w:rsid w:val="00957993"/>
    <w:rsid w:val="00957C17"/>
    <w:rsid w:val="00957C21"/>
    <w:rsid w:val="00957D22"/>
    <w:rsid w:val="00957D24"/>
    <w:rsid w:val="00957D45"/>
    <w:rsid w:val="00957D52"/>
    <w:rsid w:val="00957D84"/>
    <w:rsid w:val="00957DEF"/>
    <w:rsid w:val="00957EA9"/>
    <w:rsid w:val="00957EAB"/>
    <w:rsid w:val="00957EDF"/>
    <w:rsid w:val="00957F2A"/>
    <w:rsid w:val="0096004A"/>
    <w:rsid w:val="009601E4"/>
    <w:rsid w:val="00960225"/>
    <w:rsid w:val="00960285"/>
    <w:rsid w:val="009602BD"/>
    <w:rsid w:val="00960389"/>
    <w:rsid w:val="009603AE"/>
    <w:rsid w:val="00960466"/>
    <w:rsid w:val="009604EB"/>
    <w:rsid w:val="009605DA"/>
    <w:rsid w:val="0096060A"/>
    <w:rsid w:val="00960643"/>
    <w:rsid w:val="00960646"/>
    <w:rsid w:val="00960664"/>
    <w:rsid w:val="00960677"/>
    <w:rsid w:val="0096067E"/>
    <w:rsid w:val="0096069D"/>
    <w:rsid w:val="009607E5"/>
    <w:rsid w:val="0096081A"/>
    <w:rsid w:val="009608A5"/>
    <w:rsid w:val="009608E6"/>
    <w:rsid w:val="0096091C"/>
    <w:rsid w:val="009609B7"/>
    <w:rsid w:val="00960A27"/>
    <w:rsid w:val="00960A32"/>
    <w:rsid w:val="00960A4A"/>
    <w:rsid w:val="00960AE3"/>
    <w:rsid w:val="00960B10"/>
    <w:rsid w:val="00960B56"/>
    <w:rsid w:val="00960B89"/>
    <w:rsid w:val="00960D3C"/>
    <w:rsid w:val="00960DCF"/>
    <w:rsid w:val="00960EAE"/>
    <w:rsid w:val="00960EBE"/>
    <w:rsid w:val="00960F2C"/>
    <w:rsid w:val="00961021"/>
    <w:rsid w:val="00961026"/>
    <w:rsid w:val="009610B3"/>
    <w:rsid w:val="0096111F"/>
    <w:rsid w:val="00961142"/>
    <w:rsid w:val="00961152"/>
    <w:rsid w:val="0096116B"/>
    <w:rsid w:val="009611AC"/>
    <w:rsid w:val="00961203"/>
    <w:rsid w:val="00961205"/>
    <w:rsid w:val="00961269"/>
    <w:rsid w:val="00961300"/>
    <w:rsid w:val="00961333"/>
    <w:rsid w:val="0096136E"/>
    <w:rsid w:val="0096141C"/>
    <w:rsid w:val="00961451"/>
    <w:rsid w:val="00961502"/>
    <w:rsid w:val="009615AA"/>
    <w:rsid w:val="009615B8"/>
    <w:rsid w:val="009615CB"/>
    <w:rsid w:val="00961677"/>
    <w:rsid w:val="009616CC"/>
    <w:rsid w:val="009616E9"/>
    <w:rsid w:val="009616F4"/>
    <w:rsid w:val="009617CC"/>
    <w:rsid w:val="0096181A"/>
    <w:rsid w:val="009618DB"/>
    <w:rsid w:val="00961903"/>
    <w:rsid w:val="009619F3"/>
    <w:rsid w:val="00961A1D"/>
    <w:rsid w:val="00961A45"/>
    <w:rsid w:val="00961A4C"/>
    <w:rsid w:val="00961A59"/>
    <w:rsid w:val="00961AA5"/>
    <w:rsid w:val="00961AA6"/>
    <w:rsid w:val="00961AA8"/>
    <w:rsid w:val="00961B53"/>
    <w:rsid w:val="00961B65"/>
    <w:rsid w:val="00961B94"/>
    <w:rsid w:val="00961BCC"/>
    <w:rsid w:val="00961CB9"/>
    <w:rsid w:val="00961D65"/>
    <w:rsid w:val="00961E0B"/>
    <w:rsid w:val="00961E84"/>
    <w:rsid w:val="00961E86"/>
    <w:rsid w:val="00961E92"/>
    <w:rsid w:val="00961E94"/>
    <w:rsid w:val="00961EAF"/>
    <w:rsid w:val="00961ED1"/>
    <w:rsid w:val="00961EF0"/>
    <w:rsid w:val="00961F03"/>
    <w:rsid w:val="00961FA0"/>
    <w:rsid w:val="009620CE"/>
    <w:rsid w:val="00962190"/>
    <w:rsid w:val="009621A0"/>
    <w:rsid w:val="009621BA"/>
    <w:rsid w:val="009621F1"/>
    <w:rsid w:val="00962265"/>
    <w:rsid w:val="009622A3"/>
    <w:rsid w:val="009622E7"/>
    <w:rsid w:val="0096241C"/>
    <w:rsid w:val="00962469"/>
    <w:rsid w:val="00962496"/>
    <w:rsid w:val="0096249C"/>
    <w:rsid w:val="00962582"/>
    <w:rsid w:val="0096259E"/>
    <w:rsid w:val="009625E7"/>
    <w:rsid w:val="00962624"/>
    <w:rsid w:val="0096263A"/>
    <w:rsid w:val="009626BD"/>
    <w:rsid w:val="009626EC"/>
    <w:rsid w:val="00962725"/>
    <w:rsid w:val="00962836"/>
    <w:rsid w:val="0096283B"/>
    <w:rsid w:val="00962847"/>
    <w:rsid w:val="0096289C"/>
    <w:rsid w:val="009628C5"/>
    <w:rsid w:val="009628D4"/>
    <w:rsid w:val="0096292B"/>
    <w:rsid w:val="00962942"/>
    <w:rsid w:val="009629A5"/>
    <w:rsid w:val="009629B7"/>
    <w:rsid w:val="009629D3"/>
    <w:rsid w:val="00962A4D"/>
    <w:rsid w:val="00962ADD"/>
    <w:rsid w:val="00962B40"/>
    <w:rsid w:val="00962B42"/>
    <w:rsid w:val="00962BDD"/>
    <w:rsid w:val="00962C83"/>
    <w:rsid w:val="00962CA3"/>
    <w:rsid w:val="00962CF7"/>
    <w:rsid w:val="00962D22"/>
    <w:rsid w:val="00962DF3"/>
    <w:rsid w:val="00962E31"/>
    <w:rsid w:val="00962E49"/>
    <w:rsid w:val="00962EF0"/>
    <w:rsid w:val="00962F7E"/>
    <w:rsid w:val="00962FB1"/>
    <w:rsid w:val="00962FFB"/>
    <w:rsid w:val="0096300B"/>
    <w:rsid w:val="0096304D"/>
    <w:rsid w:val="00963092"/>
    <w:rsid w:val="009630BD"/>
    <w:rsid w:val="009630C5"/>
    <w:rsid w:val="009630EC"/>
    <w:rsid w:val="0096312A"/>
    <w:rsid w:val="0096313B"/>
    <w:rsid w:val="00963264"/>
    <w:rsid w:val="0096335D"/>
    <w:rsid w:val="0096338C"/>
    <w:rsid w:val="009633C9"/>
    <w:rsid w:val="009634E9"/>
    <w:rsid w:val="009634F2"/>
    <w:rsid w:val="0096351D"/>
    <w:rsid w:val="00963527"/>
    <w:rsid w:val="009635C6"/>
    <w:rsid w:val="009635F4"/>
    <w:rsid w:val="00963736"/>
    <w:rsid w:val="00963843"/>
    <w:rsid w:val="00963849"/>
    <w:rsid w:val="0096389D"/>
    <w:rsid w:val="0096393B"/>
    <w:rsid w:val="00963965"/>
    <w:rsid w:val="00963978"/>
    <w:rsid w:val="00963AA6"/>
    <w:rsid w:val="00963B82"/>
    <w:rsid w:val="00963C63"/>
    <w:rsid w:val="00963C75"/>
    <w:rsid w:val="00963CA7"/>
    <w:rsid w:val="00963D0F"/>
    <w:rsid w:val="00963D4C"/>
    <w:rsid w:val="00963DCB"/>
    <w:rsid w:val="00963E36"/>
    <w:rsid w:val="00963E73"/>
    <w:rsid w:val="00963E74"/>
    <w:rsid w:val="00963EDB"/>
    <w:rsid w:val="00963F4D"/>
    <w:rsid w:val="00963F6E"/>
    <w:rsid w:val="00963FD8"/>
    <w:rsid w:val="00964055"/>
    <w:rsid w:val="00964094"/>
    <w:rsid w:val="009641C6"/>
    <w:rsid w:val="00964231"/>
    <w:rsid w:val="00964245"/>
    <w:rsid w:val="009642B5"/>
    <w:rsid w:val="00964352"/>
    <w:rsid w:val="0096443A"/>
    <w:rsid w:val="00964496"/>
    <w:rsid w:val="0096456E"/>
    <w:rsid w:val="009645CA"/>
    <w:rsid w:val="0096461D"/>
    <w:rsid w:val="0096466F"/>
    <w:rsid w:val="009646BE"/>
    <w:rsid w:val="009646D2"/>
    <w:rsid w:val="009646D7"/>
    <w:rsid w:val="009646F0"/>
    <w:rsid w:val="009646F5"/>
    <w:rsid w:val="00964725"/>
    <w:rsid w:val="00964772"/>
    <w:rsid w:val="00964776"/>
    <w:rsid w:val="0096477B"/>
    <w:rsid w:val="009647B6"/>
    <w:rsid w:val="00964868"/>
    <w:rsid w:val="009648DA"/>
    <w:rsid w:val="009648E2"/>
    <w:rsid w:val="00964901"/>
    <w:rsid w:val="0096491C"/>
    <w:rsid w:val="009649A4"/>
    <w:rsid w:val="009649B9"/>
    <w:rsid w:val="009649C7"/>
    <w:rsid w:val="00964A56"/>
    <w:rsid w:val="00964AA9"/>
    <w:rsid w:val="00964AF9"/>
    <w:rsid w:val="00964B89"/>
    <w:rsid w:val="00964BC4"/>
    <w:rsid w:val="00964C2D"/>
    <w:rsid w:val="00964D1D"/>
    <w:rsid w:val="00964D1E"/>
    <w:rsid w:val="00964D4C"/>
    <w:rsid w:val="00964D66"/>
    <w:rsid w:val="00964DB0"/>
    <w:rsid w:val="00964DF7"/>
    <w:rsid w:val="00964E5C"/>
    <w:rsid w:val="00964F6F"/>
    <w:rsid w:val="00964FD1"/>
    <w:rsid w:val="00965001"/>
    <w:rsid w:val="00965005"/>
    <w:rsid w:val="00965125"/>
    <w:rsid w:val="00965204"/>
    <w:rsid w:val="00965249"/>
    <w:rsid w:val="00965316"/>
    <w:rsid w:val="009654BD"/>
    <w:rsid w:val="009654DD"/>
    <w:rsid w:val="0096553D"/>
    <w:rsid w:val="00965563"/>
    <w:rsid w:val="009655AB"/>
    <w:rsid w:val="00965601"/>
    <w:rsid w:val="0096560C"/>
    <w:rsid w:val="00965706"/>
    <w:rsid w:val="00965720"/>
    <w:rsid w:val="00965847"/>
    <w:rsid w:val="0096592F"/>
    <w:rsid w:val="00965991"/>
    <w:rsid w:val="0096599C"/>
    <w:rsid w:val="009659AE"/>
    <w:rsid w:val="009659D2"/>
    <w:rsid w:val="00965A50"/>
    <w:rsid w:val="00965ABA"/>
    <w:rsid w:val="00965AD0"/>
    <w:rsid w:val="00965AFE"/>
    <w:rsid w:val="00965B12"/>
    <w:rsid w:val="00965B1E"/>
    <w:rsid w:val="00965C93"/>
    <w:rsid w:val="00965CAC"/>
    <w:rsid w:val="00965D11"/>
    <w:rsid w:val="00965E60"/>
    <w:rsid w:val="00965EEB"/>
    <w:rsid w:val="00965F05"/>
    <w:rsid w:val="00965F47"/>
    <w:rsid w:val="00965F63"/>
    <w:rsid w:val="00965F8A"/>
    <w:rsid w:val="00965FD5"/>
    <w:rsid w:val="0096606D"/>
    <w:rsid w:val="009660B6"/>
    <w:rsid w:val="009660D9"/>
    <w:rsid w:val="009662F0"/>
    <w:rsid w:val="009663C9"/>
    <w:rsid w:val="009663CE"/>
    <w:rsid w:val="009663E6"/>
    <w:rsid w:val="00966402"/>
    <w:rsid w:val="0096642F"/>
    <w:rsid w:val="0096644A"/>
    <w:rsid w:val="0096655C"/>
    <w:rsid w:val="009666F6"/>
    <w:rsid w:val="00966715"/>
    <w:rsid w:val="0096677B"/>
    <w:rsid w:val="009667C6"/>
    <w:rsid w:val="0096688B"/>
    <w:rsid w:val="009668D7"/>
    <w:rsid w:val="00966902"/>
    <w:rsid w:val="0096692E"/>
    <w:rsid w:val="0096694B"/>
    <w:rsid w:val="00966960"/>
    <w:rsid w:val="00966A19"/>
    <w:rsid w:val="00966A55"/>
    <w:rsid w:val="00966AD2"/>
    <w:rsid w:val="00966B0B"/>
    <w:rsid w:val="00966BBE"/>
    <w:rsid w:val="00966BF7"/>
    <w:rsid w:val="00966BFF"/>
    <w:rsid w:val="00966C87"/>
    <w:rsid w:val="00966C9F"/>
    <w:rsid w:val="00966CB2"/>
    <w:rsid w:val="00966CD1"/>
    <w:rsid w:val="00966D13"/>
    <w:rsid w:val="00966E0F"/>
    <w:rsid w:val="00966E4C"/>
    <w:rsid w:val="00966F63"/>
    <w:rsid w:val="00966F6B"/>
    <w:rsid w:val="00966F94"/>
    <w:rsid w:val="00966FBE"/>
    <w:rsid w:val="00967058"/>
    <w:rsid w:val="0096707A"/>
    <w:rsid w:val="00967136"/>
    <w:rsid w:val="0096714D"/>
    <w:rsid w:val="0096714F"/>
    <w:rsid w:val="00967237"/>
    <w:rsid w:val="0096723B"/>
    <w:rsid w:val="00967503"/>
    <w:rsid w:val="00967549"/>
    <w:rsid w:val="009676C0"/>
    <w:rsid w:val="009676FA"/>
    <w:rsid w:val="0096775A"/>
    <w:rsid w:val="00967768"/>
    <w:rsid w:val="0096776D"/>
    <w:rsid w:val="0096781B"/>
    <w:rsid w:val="00967852"/>
    <w:rsid w:val="009678A9"/>
    <w:rsid w:val="009678DC"/>
    <w:rsid w:val="009679AE"/>
    <w:rsid w:val="00967A1D"/>
    <w:rsid w:val="00967A4D"/>
    <w:rsid w:val="00967AFB"/>
    <w:rsid w:val="00967B63"/>
    <w:rsid w:val="00967B89"/>
    <w:rsid w:val="00967B8D"/>
    <w:rsid w:val="00967C4B"/>
    <w:rsid w:val="00967C55"/>
    <w:rsid w:val="00967D0B"/>
    <w:rsid w:val="00967D31"/>
    <w:rsid w:val="00967D8E"/>
    <w:rsid w:val="00967E13"/>
    <w:rsid w:val="00967E30"/>
    <w:rsid w:val="00967E5D"/>
    <w:rsid w:val="0096E0D5"/>
    <w:rsid w:val="00970040"/>
    <w:rsid w:val="009700FC"/>
    <w:rsid w:val="0097019D"/>
    <w:rsid w:val="009701FA"/>
    <w:rsid w:val="00970233"/>
    <w:rsid w:val="009702C4"/>
    <w:rsid w:val="0097037B"/>
    <w:rsid w:val="00970398"/>
    <w:rsid w:val="009703F4"/>
    <w:rsid w:val="00970418"/>
    <w:rsid w:val="00970467"/>
    <w:rsid w:val="009705AE"/>
    <w:rsid w:val="009706BF"/>
    <w:rsid w:val="0097070E"/>
    <w:rsid w:val="00970780"/>
    <w:rsid w:val="009707C5"/>
    <w:rsid w:val="00970859"/>
    <w:rsid w:val="0097088A"/>
    <w:rsid w:val="009708C0"/>
    <w:rsid w:val="00970A06"/>
    <w:rsid w:val="00970A09"/>
    <w:rsid w:val="00970A73"/>
    <w:rsid w:val="00970AB2"/>
    <w:rsid w:val="00970B1C"/>
    <w:rsid w:val="00970B60"/>
    <w:rsid w:val="00970B83"/>
    <w:rsid w:val="00970BB6"/>
    <w:rsid w:val="00970C67"/>
    <w:rsid w:val="00970C90"/>
    <w:rsid w:val="00970CA3"/>
    <w:rsid w:val="00970CB9"/>
    <w:rsid w:val="00970D13"/>
    <w:rsid w:val="00970D30"/>
    <w:rsid w:val="00970D61"/>
    <w:rsid w:val="00970E31"/>
    <w:rsid w:val="00970E40"/>
    <w:rsid w:val="00970E47"/>
    <w:rsid w:val="00970F15"/>
    <w:rsid w:val="00970F20"/>
    <w:rsid w:val="0097101B"/>
    <w:rsid w:val="00971031"/>
    <w:rsid w:val="00971053"/>
    <w:rsid w:val="009711DD"/>
    <w:rsid w:val="009711E7"/>
    <w:rsid w:val="00971231"/>
    <w:rsid w:val="00971240"/>
    <w:rsid w:val="00971243"/>
    <w:rsid w:val="00971253"/>
    <w:rsid w:val="009713F8"/>
    <w:rsid w:val="0097143B"/>
    <w:rsid w:val="0097154D"/>
    <w:rsid w:val="00971554"/>
    <w:rsid w:val="0097155B"/>
    <w:rsid w:val="009715A6"/>
    <w:rsid w:val="009715C5"/>
    <w:rsid w:val="009715D0"/>
    <w:rsid w:val="0097176A"/>
    <w:rsid w:val="009717D8"/>
    <w:rsid w:val="009718BE"/>
    <w:rsid w:val="00971918"/>
    <w:rsid w:val="00971938"/>
    <w:rsid w:val="00971958"/>
    <w:rsid w:val="00971965"/>
    <w:rsid w:val="00971995"/>
    <w:rsid w:val="00971A10"/>
    <w:rsid w:val="00971A26"/>
    <w:rsid w:val="00971A60"/>
    <w:rsid w:val="00971A79"/>
    <w:rsid w:val="00971A96"/>
    <w:rsid w:val="00971AA3"/>
    <w:rsid w:val="00971AB2"/>
    <w:rsid w:val="00971B30"/>
    <w:rsid w:val="00971B36"/>
    <w:rsid w:val="00971B4C"/>
    <w:rsid w:val="00971C07"/>
    <w:rsid w:val="00971C89"/>
    <w:rsid w:val="00971CA4"/>
    <w:rsid w:val="00971DDE"/>
    <w:rsid w:val="00971EEC"/>
    <w:rsid w:val="00971F39"/>
    <w:rsid w:val="00971FBF"/>
    <w:rsid w:val="0097201A"/>
    <w:rsid w:val="00972065"/>
    <w:rsid w:val="009720D9"/>
    <w:rsid w:val="00972161"/>
    <w:rsid w:val="0097223D"/>
    <w:rsid w:val="00972265"/>
    <w:rsid w:val="009722A8"/>
    <w:rsid w:val="009722C1"/>
    <w:rsid w:val="00972320"/>
    <w:rsid w:val="00972440"/>
    <w:rsid w:val="009724A3"/>
    <w:rsid w:val="009724B0"/>
    <w:rsid w:val="009724CC"/>
    <w:rsid w:val="0097252A"/>
    <w:rsid w:val="0097264F"/>
    <w:rsid w:val="00972670"/>
    <w:rsid w:val="009726BA"/>
    <w:rsid w:val="009726DA"/>
    <w:rsid w:val="009726E6"/>
    <w:rsid w:val="009726FC"/>
    <w:rsid w:val="00972764"/>
    <w:rsid w:val="00972768"/>
    <w:rsid w:val="0097277D"/>
    <w:rsid w:val="0097287F"/>
    <w:rsid w:val="0097293C"/>
    <w:rsid w:val="009729CB"/>
    <w:rsid w:val="00972A41"/>
    <w:rsid w:val="00972A96"/>
    <w:rsid w:val="00972BB4"/>
    <w:rsid w:val="00972BCC"/>
    <w:rsid w:val="00972BD4"/>
    <w:rsid w:val="00972BD8"/>
    <w:rsid w:val="00972C34"/>
    <w:rsid w:val="00972C91"/>
    <w:rsid w:val="00972C97"/>
    <w:rsid w:val="00972CBA"/>
    <w:rsid w:val="00972CC3"/>
    <w:rsid w:val="00972CE0"/>
    <w:rsid w:val="00972D5F"/>
    <w:rsid w:val="00972D8F"/>
    <w:rsid w:val="00972EA6"/>
    <w:rsid w:val="00972FC7"/>
    <w:rsid w:val="0097305C"/>
    <w:rsid w:val="0097307E"/>
    <w:rsid w:val="009730C6"/>
    <w:rsid w:val="0097319C"/>
    <w:rsid w:val="009731A8"/>
    <w:rsid w:val="0097328E"/>
    <w:rsid w:val="0097330F"/>
    <w:rsid w:val="00973351"/>
    <w:rsid w:val="00973353"/>
    <w:rsid w:val="00973461"/>
    <w:rsid w:val="00973479"/>
    <w:rsid w:val="0097348A"/>
    <w:rsid w:val="0097355B"/>
    <w:rsid w:val="00973567"/>
    <w:rsid w:val="0097356A"/>
    <w:rsid w:val="00973578"/>
    <w:rsid w:val="009735D4"/>
    <w:rsid w:val="0097363F"/>
    <w:rsid w:val="0097365D"/>
    <w:rsid w:val="00973705"/>
    <w:rsid w:val="00973759"/>
    <w:rsid w:val="009737B3"/>
    <w:rsid w:val="00973847"/>
    <w:rsid w:val="00973851"/>
    <w:rsid w:val="00973855"/>
    <w:rsid w:val="0097387D"/>
    <w:rsid w:val="009738F1"/>
    <w:rsid w:val="00973914"/>
    <w:rsid w:val="0097397B"/>
    <w:rsid w:val="00973A0E"/>
    <w:rsid w:val="00973A48"/>
    <w:rsid w:val="00973A96"/>
    <w:rsid w:val="00973B2A"/>
    <w:rsid w:val="00973BEF"/>
    <w:rsid w:val="00973C40"/>
    <w:rsid w:val="00973D70"/>
    <w:rsid w:val="00973DA7"/>
    <w:rsid w:val="00973DE2"/>
    <w:rsid w:val="00973FD1"/>
    <w:rsid w:val="00974138"/>
    <w:rsid w:val="0097417D"/>
    <w:rsid w:val="0097434D"/>
    <w:rsid w:val="0097438F"/>
    <w:rsid w:val="009743BD"/>
    <w:rsid w:val="00974405"/>
    <w:rsid w:val="0097449E"/>
    <w:rsid w:val="009744AA"/>
    <w:rsid w:val="009745CB"/>
    <w:rsid w:val="009745D8"/>
    <w:rsid w:val="009746C8"/>
    <w:rsid w:val="0097473D"/>
    <w:rsid w:val="00974830"/>
    <w:rsid w:val="00974863"/>
    <w:rsid w:val="00974966"/>
    <w:rsid w:val="0097496E"/>
    <w:rsid w:val="0097497B"/>
    <w:rsid w:val="00974A20"/>
    <w:rsid w:val="00974A2E"/>
    <w:rsid w:val="00974A4A"/>
    <w:rsid w:val="00974A4F"/>
    <w:rsid w:val="00974BA6"/>
    <w:rsid w:val="00974CA1"/>
    <w:rsid w:val="00974D02"/>
    <w:rsid w:val="00974DB9"/>
    <w:rsid w:val="00974EA1"/>
    <w:rsid w:val="00974EF1"/>
    <w:rsid w:val="00974FD9"/>
    <w:rsid w:val="0097507C"/>
    <w:rsid w:val="0097507E"/>
    <w:rsid w:val="00975135"/>
    <w:rsid w:val="00975151"/>
    <w:rsid w:val="0097527F"/>
    <w:rsid w:val="009752A1"/>
    <w:rsid w:val="0097530A"/>
    <w:rsid w:val="00975338"/>
    <w:rsid w:val="0097539F"/>
    <w:rsid w:val="009753CB"/>
    <w:rsid w:val="009754BA"/>
    <w:rsid w:val="009754D1"/>
    <w:rsid w:val="009754D9"/>
    <w:rsid w:val="00975550"/>
    <w:rsid w:val="0097557A"/>
    <w:rsid w:val="00975732"/>
    <w:rsid w:val="009758DB"/>
    <w:rsid w:val="0097597C"/>
    <w:rsid w:val="0097598D"/>
    <w:rsid w:val="00975A60"/>
    <w:rsid w:val="00975CA8"/>
    <w:rsid w:val="00975D17"/>
    <w:rsid w:val="00975D73"/>
    <w:rsid w:val="00975D77"/>
    <w:rsid w:val="00975DF5"/>
    <w:rsid w:val="00975F8B"/>
    <w:rsid w:val="00975FA0"/>
    <w:rsid w:val="00975FAA"/>
    <w:rsid w:val="0097603E"/>
    <w:rsid w:val="0097606D"/>
    <w:rsid w:val="00976070"/>
    <w:rsid w:val="009760C4"/>
    <w:rsid w:val="0097611D"/>
    <w:rsid w:val="00976121"/>
    <w:rsid w:val="00976141"/>
    <w:rsid w:val="00976166"/>
    <w:rsid w:val="009761C9"/>
    <w:rsid w:val="009761DA"/>
    <w:rsid w:val="0097621B"/>
    <w:rsid w:val="0097630E"/>
    <w:rsid w:val="00976338"/>
    <w:rsid w:val="00976354"/>
    <w:rsid w:val="009764F2"/>
    <w:rsid w:val="0097654F"/>
    <w:rsid w:val="00976553"/>
    <w:rsid w:val="0097663E"/>
    <w:rsid w:val="0097667C"/>
    <w:rsid w:val="00976693"/>
    <w:rsid w:val="009766CA"/>
    <w:rsid w:val="0097677C"/>
    <w:rsid w:val="0097678A"/>
    <w:rsid w:val="009767C2"/>
    <w:rsid w:val="009767E1"/>
    <w:rsid w:val="00976800"/>
    <w:rsid w:val="0097686E"/>
    <w:rsid w:val="009768CF"/>
    <w:rsid w:val="009768F9"/>
    <w:rsid w:val="00976954"/>
    <w:rsid w:val="0097698F"/>
    <w:rsid w:val="009769BA"/>
    <w:rsid w:val="009769E2"/>
    <w:rsid w:val="009769FD"/>
    <w:rsid w:val="00976A73"/>
    <w:rsid w:val="00976A86"/>
    <w:rsid w:val="00976B38"/>
    <w:rsid w:val="00976B73"/>
    <w:rsid w:val="00976CBE"/>
    <w:rsid w:val="00976D61"/>
    <w:rsid w:val="00976E00"/>
    <w:rsid w:val="00976F3B"/>
    <w:rsid w:val="00976F3F"/>
    <w:rsid w:val="00976F4F"/>
    <w:rsid w:val="00976F6A"/>
    <w:rsid w:val="00976FD8"/>
    <w:rsid w:val="0097703C"/>
    <w:rsid w:val="0097704B"/>
    <w:rsid w:val="009770D3"/>
    <w:rsid w:val="009771CA"/>
    <w:rsid w:val="00977212"/>
    <w:rsid w:val="00977334"/>
    <w:rsid w:val="0097735A"/>
    <w:rsid w:val="00977367"/>
    <w:rsid w:val="0097736E"/>
    <w:rsid w:val="00977445"/>
    <w:rsid w:val="00977486"/>
    <w:rsid w:val="009774D9"/>
    <w:rsid w:val="009774F0"/>
    <w:rsid w:val="00977502"/>
    <w:rsid w:val="0097750A"/>
    <w:rsid w:val="009775CB"/>
    <w:rsid w:val="00977607"/>
    <w:rsid w:val="00977620"/>
    <w:rsid w:val="00977724"/>
    <w:rsid w:val="00977839"/>
    <w:rsid w:val="00977873"/>
    <w:rsid w:val="009778B0"/>
    <w:rsid w:val="0097791F"/>
    <w:rsid w:val="0097793C"/>
    <w:rsid w:val="00977944"/>
    <w:rsid w:val="00977950"/>
    <w:rsid w:val="00977A44"/>
    <w:rsid w:val="00977A8A"/>
    <w:rsid w:val="00977B17"/>
    <w:rsid w:val="00977B26"/>
    <w:rsid w:val="00977B27"/>
    <w:rsid w:val="00977B43"/>
    <w:rsid w:val="00977BBD"/>
    <w:rsid w:val="00977C35"/>
    <w:rsid w:val="00977C36"/>
    <w:rsid w:val="00977C4E"/>
    <w:rsid w:val="00977C67"/>
    <w:rsid w:val="00977CA3"/>
    <w:rsid w:val="00977CB1"/>
    <w:rsid w:val="00977D0D"/>
    <w:rsid w:val="00977D12"/>
    <w:rsid w:val="00977D15"/>
    <w:rsid w:val="00977D84"/>
    <w:rsid w:val="00977DB7"/>
    <w:rsid w:val="00977DCA"/>
    <w:rsid w:val="00977E2A"/>
    <w:rsid w:val="00977E52"/>
    <w:rsid w:val="00977EC2"/>
    <w:rsid w:val="00977EC5"/>
    <w:rsid w:val="00977EF9"/>
    <w:rsid w:val="00977F21"/>
    <w:rsid w:val="00977FE0"/>
    <w:rsid w:val="00980003"/>
    <w:rsid w:val="0098002A"/>
    <w:rsid w:val="00980069"/>
    <w:rsid w:val="0098006B"/>
    <w:rsid w:val="00980093"/>
    <w:rsid w:val="0098010F"/>
    <w:rsid w:val="009802FC"/>
    <w:rsid w:val="00980300"/>
    <w:rsid w:val="00980357"/>
    <w:rsid w:val="009803A9"/>
    <w:rsid w:val="009803CB"/>
    <w:rsid w:val="009803D4"/>
    <w:rsid w:val="009803DB"/>
    <w:rsid w:val="0098044C"/>
    <w:rsid w:val="009804DB"/>
    <w:rsid w:val="00980546"/>
    <w:rsid w:val="0098055B"/>
    <w:rsid w:val="00980610"/>
    <w:rsid w:val="00980671"/>
    <w:rsid w:val="0098069E"/>
    <w:rsid w:val="009806CC"/>
    <w:rsid w:val="009807A2"/>
    <w:rsid w:val="009807A7"/>
    <w:rsid w:val="009807CC"/>
    <w:rsid w:val="0098082C"/>
    <w:rsid w:val="009808D2"/>
    <w:rsid w:val="00980908"/>
    <w:rsid w:val="00980995"/>
    <w:rsid w:val="009809C5"/>
    <w:rsid w:val="009809C8"/>
    <w:rsid w:val="00980AE9"/>
    <w:rsid w:val="00980B26"/>
    <w:rsid w:val="00980BEB"/>
    <w:rsid w:val="00980C50"/>
    <w:rsid w:val="00980C98"/>
    <w:rsid w:val="00980CA6"/>
    <w:rsid w:val="00980DED"/>
    <w:rsid w:val="00980E6C"/>
    <w:rsid w:val="00980EC4"/>
    <w:rsid w:val="00980F1D"/>
    <w:rsid w:val="0098103A"/>
    <w:rsid w:val="00981099"/>
    <w:rsid w:val="00981113"/>
    <w:rsid w:val="0098120A"/>
    <w:rsid w:val="00981225"/>
    <w:rsid w:val="0098124D"/>
    <w:rsid w:val="0098135F"/>
    <w:rsid w:val="009813C3"/>
    <w:rsid w:val="009814A2"/>
    <w:rsid w:val="009814A7"/>
    <w:rsid w:val="00981545"/>
    <w:rsid w:val="0098163A"/>
    <w:rsid w:val="00981651"/>
    <w:rsid w:val="009816F6"/>
    <w:rsid w:val="009816FA"/>
    <w:rsid w:val="0098174B"/>
    <w:rsid w:val="00981842"/>
    <w:rsid w:val="00981940"/>
    <w:rsid w:val="00981977"/>
    <w:rsid w:val="0098199C"/>
    <w:rsid w:val="0098199D"/>
    <w:rsid w:val="009819CF"/>
    <w:rsid w:val="009819F7"/>
    <w:rsid w:val="00981A1B"/>
    <w:rsid w:val="00981A64"/>
    <w:rsid w:val="00981B40"/>
    <w:rsid w:val="00981B81"/>
    <w:rsid w:val="00981BA0"/>
    <w:rsid w:val="00981C44"/>
    <w:rsid w:val="00981C4F"/>
    <w:rsid w:val="00981CEF"/>
    <w:rsid w:val="00981D77"/>
    <w:rsid w:val="00981EFD"/>
    <w:rsid w:val="00981F0B"/>
    <w:rsid w:val="00981F3D"/>
    <w:rsid w:val="00981F89"/>
    <w:rsid w:val="00981F94"/>
    <w:rsid w:val="0098202D"/>
    <w:rsid w:val="009820D2"/>
    <w:rsid w:val="00982125"/>
    <w:rsid w:val="0098219B"/>
    <w:rsid w:val="0098222C"/>
    <w:rsid w:val="00982244"/>
    <w:rsid w:val="0098224C"/>
    <w:rsid w:val="009822FE"/>
    <w:rsid w:val="009823FB"/>
    <w:rsid w:val="009824B6"/>
    <w:rsid w:val="009824FD"/>
    <w:rsid w:val="0098257E"/>
    <w:rsid w:val="009825C0"/>
    <w:rsid w:val="009825E9"/>
    <w:rsid w:val="00982638"/>
    <w:rsid w:val="0098267D"/>
    <w:rsid w:val="0098268D"/>
    <w:rsid w:val="009826CC"/>
    <w:rsid w:val="00982731"/>
    <w:rsid w:val="00982791"/>
    <w:rsid w:val="009827E5"/>
    <w:rsid w:val="009827ED"/>
    <w:rsid w:val="009828F3"/>
    <w:rsid w:val="0098290D"/>
    <w:rsid w:val="0098294A"/>
    <w:rsid w:val="009829FB"/>
    <w:rsid w:val="00982ABA"/>
    <w:rsid w:val="00982BC4"/>
    <w:rsid w:val="00982BCC"/>
    <w:rsid w:val="00982C14"/>
    <w:rsid w:val="00982CC5"/>
    <w:rsid w:val="00982D50"/>
    <w:rsid w:val="00982E59"/>
    <w:rsid w:val="00982ED7"/>
    <w:rsid w:val="00982EE4"/>
    <w:rsid w:val="00982F9F"/>
    <w:rsid w:val="00983178"/>
    <w:rsid w:val="009831AF"/>
    <w:rsid w:val="009831C5"/>
    <w:rsid w:val="00983287"/>
    <w:rsid w:val="009832CE"/>
    <w:rsid w:val="00983303"/>
    <w:rsid w:val="009834A0"/>
    <w:rsid w:val="00983525"/>
    <w:rsid w:val="0098356A"/>
    <w:rsid w:val="0098358A"/>
    <w:rsid w:val="009835FA"/>
    <w:rsid w:val="00983633"/>
    <w:rsid w:val="00983642"/>
    <w:rsid w:val="00983658"/>
    <w:rsid w:val="009836DC"/>
    <w:rsid w:val="009836F0"/>
    <w:rsid w:val="00983781"/>
    <w:rsid w:val="009838BE"/>
    <w:rsid w:val="0098391A"/>
    <w:rsid w:val="0098392F"/>
    <w:rsid w:val="00983951"/>
    <w:rsid w:val="0098395E"/>
    <w:rsid w:val="00983983"/>
    <w:rsid w:val="00983986"/>
    <w:rsid w:val="009839D0"/>
    <w:rsid w:val="00983AAC"/>
    <w:rsid w:val="00983B8B"/>
    <w:rsid w:val="00983C1D"/>
    <w:rsid w:val="00983C9A"/>
    <w:rsid w:val="00983D27"/>
    <w:rsid w:val="00983E3C"/>
    <w:rsid w:val="00983E5A"/>
    <w:rsid w:val="00983F91"/>
    <w:rsid w:val="00983FC3"/>
    <w:rsid w:val="00983FEA"/>
    <w:rsid w:val="00983FEF"/>
    <w:rsid w:val="0098403D"/>
    <w:rsid w:val="00984085"/>
    <w:rsid w:val="009840A2"/>
    <w:rsid w:val="009840C5"/>
    <w:rsid w:val="0098413A"/>
    <w:rsid w:val="00984144"/>
    <w:rsid w:val="00984172"/>
    <w:rsid w:val="00984210"/>
    <w:rsid w:val="009842AD"/>
    <w:rsid w:val="009842BB"/>
    <w:rsid w:val="00984351"/>
    <w:rsid w:val="0098445B"/>
    <w:rsid w:val="00984482"/>
    <w:rsid w:val="0098457B"/>
    <w:rsid w:val="009845B9"/>
    <w:rsid w:val="009845BC"/>
    <w:rsid w:val="009845CE"/>
    <w:rsid w:val="00984600"/>
    <w:rsid w:val="00984643"/>
    <w:rsid w:val="0098466C"/>
    <w:rsid w:val="00984677"/>
    <w:rsid w:val="0098476A"/>
    <w:rsid w:val="009847F0"/>
    <w:rsid w:val="00984821"/>
    <w:rsid w:val="009848FB"/>
    <w:rsid w:val="00984983"/>
    <w:rsid w:val="009849D8"/>
    <w:rsid w:val="00984A05"/>
    <w:rsid w:val="00984AAB"/>
    <w:rsid w:val="00984AC5"/>
    <w:rsid w:val="00984AD8"/>
    <w:rsid w:val="00984AFD"/>
    <w:rsid w:val="00984AFE"/>
    <w:rsid w:val="00984B3C"/>
    <w:rsid w:val="00984C52"/>
    <w:rsid w:val="00984C99"/>
    <w:rsid w:val="00984CC6"/>
    <w:rsid w:val="00984D09"/>
    <w:rsid w:val="00984D3A"/>
    <w:rsid w:val="00984DA8"/>
    <w:rsid w:val="00984DDC"/>
    <w:rsid w:val="00984E7F"/>
    <w:rsid w:val="00984E87"/>
    <w:rsid w:val="00984E8D"/>
    <w:rsid w:val="00984E8F"/>
    <w:rsid w:val="00984F45"/>
    <w:rsid w:val="00984F99"/>
    <w:rsid w:val="00985067"/>
    <w:rsid w:val="00985083"/>
    <w:rsid w:val="0098513E"/>
    <w:rsid w:val="00985208"/>
    <w:rsid w:val="00985213"/>
    <w:rsid w:val="0098528A"/>
    <w:rsid w:val="009852F0"/>
    <w:rsid w:val="00985319"/>
    <w:rsid w:val="0098537A"/>
    <w:rsid w:val="0098537F"/>
    <w:rsid w:val="009853AC"/>
    <w:rsid w:val="009853F4"/>
    <w:rsid w:val="009854A6"/>
    <w:rsid w:val="00985673"/>
    <w:rsid w:val="00985696"/>
    <w:rsid w:val="009856E7"/>
    <w:rsid w:val="00985704"/>
    <w:rsid w:val="009857CE"/>
    <w:rsid w:val="0098585C"/>
    <w:rsid w:val="00985895"/>
    <w:rsid w:val="009858B1"/>
    <w:rsid w:val="009858DC"/>
    <w:rsid w:val="009858F3"/>
    <w:rsid w:val="009858F8"/>
    <w:rsid w:val="00985906"/>
    <w:rsid w:val="00985934"/>
    <w:rsid w:val="00985A1F"/>
    <w:rsid w:val="00985A7C"/>
    <w:rsid w:val="00985AA5"/>
    <w:rsid w:val="00985B39"/>
    <w:rsid w:val="00985B71"/>
    <w:rsid w:val="00985B97"/>
    <w:rsid w:val="00985BB5"/>
    <w:rsid w:val="00985BDB"/>
    <w:rsid w:val="00985C55"/>
    <w:rsid w:val="00985CEC"/>
    <w:rsid w:val="00985D2E"/>
    <w:rsid w:val="00985D7A"/>
    <w:rsid w:val="00985D91"/>
    <w:rsid w:val="00985E17"/>
    <w:rsid w:val="00985F29"/>
    <w:rsid w:val="00985F4C"/>
    <w:rsid w:val="009860BD"/>
    <w:rsid w:val="0098620C"/>
    <w:rsid w:val="00986212"/>
    <w:rsid w:val="0098625C"/>
    <w:rsid w:val="009862F5"/>
    <w:rsid w:val="00986473"/>
    <w:rsid w:val="0098647D"/>
    <w:rsid w:val="0098655E"/>
    <w:rsid w:val="00986578"/>
    <w:rsid w:val="009865C3"/>
    <w:rsid w:val="009865CA"/>
    <w:rsid w:val="0098669F"/>
    <w:rsid w:val="009866CD"/>
    <w:rsid w:val="009866EC"/>
    <w:rsid w:val="00986862"/>
    <w:rsid w:val="00986900"/>
    <w:rsid w:val="0098696E"/>
    <w:rsid w:val="00986994"/>
    <w:rsid w:val="009869A8"/>
    <w:rsid w:val="00986B92"/>
    <w:rsid w:val="00986B9F"/>
    <w:rsid w:val="00986BD5"/>
    <w:rsid w:val="00986BE7"/>
    <w:rsid w:val="00986BFB"/>
    <w:rsid w:val="00986C62"/>
    <w:rsid w:val="00986D24"/>
    <w:rsid w:val="00986D29"/>
    <w:rsid w:val="00986D7D"/>
    <w:rsid w:val="00986E17"/>
    <w:rsid w:val="00986EB5"/>
    <w:rsid w:val="00986EDF"/>
    <w:rsid w:val="00986F89"/>
    <w:rsid w:val="00987048"/>
    <w:rsid w:val="00987072"/>
    <w:rsid w:val="009870CF"/>
    <w:rsid w:val="00987178"/>
    <w:rsid w:val="009871C0"/>
    <w:rsid w:val="00987222"/>
    <w:rsid w:val="0098730B"/>
    <w:rsid w:val="00987322"/>
    <w:rsid w:val="0098738C"/>
    <w:rsid w:val="009873F3"/>
    <w:rsid w:val="00987461"/>
    <w:rsid w:val="00987463"/>
    <w:rsid w:val="009874C5"/>
    <w:rsid w:val="00987539"/>
    <w:rsid w:val="0098753F"/>
    <w:rsid w:val="00987837"/>
    <w:rsid w:val="0098784A"/>
    <w:rsid w:val="00987895"/>
    <w:rsid w:val="00987916"/>
    <w:rsid w:val="0098797D"/>
    <w:rsid w:val="00987A36"/>
    <w:rsid w:val="00987A3B"/>
    <w:rsid w:val="00987A7E"/>
    <w:rsid w:val="00987AF7"/>
    <w:rsid w:val="00987B25"/>
    <w:rsid w:val="00987B4C"/>
    <w:rsid w:val="00987BB3"/>
    <w:rsid w:val="00987BC4"/>
    <w:rsid w:val="00987C3F"/>
    <w:rsid w:val="00987C5B"/>
    <w:rsid w:val="00987CA2"/>
    <w:rsid w:val="00987D57"/>
    <w:rsid w:val="00987DB2"/>
    <w:rsid w:val="00987EF6"/>
    <w:rsid w:val="00987F5E"/>
    <w:rsid w:val="00987F96"/>
    <w:rsid w:val="00987FFC"/>
    <w:rsid w:val="00990026"/>
    <w:rsid w:val="00990098"/>
    <w:rsid w:val="009900BA"/>
    <w:rsid w:val="009900CD"/>
    <w:rsid w:val="009902C7"/>
    <w:rsid w:val="0099030E"/>
    <w:rsid w:val="00990337"/>
    <w:rsid w:val="009903C8"/>
    <w:rsid w:val="00990577"/>
    <w:rsid w:val="009905D0"/>
    <w:rsid w:val="0099062D"/>
    <w:rsid w:val="00990638"/>
    <w:rsid w:val="00990740"/>
    <w:rsid w:val="00990787"/>
    <w:rsid w:val="0099078E"/>
    <w:rsid w:val="00990824"/>
    <w:rsid w:val="00990839"/>
    <w:rsid w:val="009908F7"/>
    <w:rsid w:val="00990939"/>
    <w:rsid w:val="0099093C"/>
    <w:rsid w:val="00990965"/>
    <w:rsid w:val="0099098D"/>
    <w:rsid w:val="009909E6"/>
    <w:rsid w:val="00990A12"/>
    <w:rsid w:val="00990B03"/>
    <w:rsid w:val="00990B09"/>
    <w:rsid w:val="00990BB2"/>
    <w:rsid w:val="00990BB4"/>
    <w:rsid w:val="00990BFF"/>
    <w:rsid w:val="00990DC1"/>
    <w:rsid w:val="00990DF3"/>
    <w:rsid w:val="00990DF9"/>
    <w:rsid w:val="00990E2C"/>
    <w:rsid w:val="00990F83"/>
    <w:rsid w:val="00990FE6"/>
    <w:rsid w:val="00990FF9"/>
    <w:rsid w:val="00991010"/>
    <w:rsid w:val="0099108A"/>
    <w:rsid w:val="009910A9"/>
    <w:rsid w:val="009910D6"/>
    <w:rsid w:val="0099111C"/>
    <w:rsid w:val="00991142"/>
    <w:rsid w:val="00991161"/>
    <w:rsid w:val="00991197"/>
    <w:rsid w:val="009911BF"/>
    <w:rsid w:val="00991302"/>
    <w:rsid w:val="00991343"/>
    <w:rsid w:val="00991368"/>
    <w:rsid w:val="00991436"/>
    <w:rsid w:val="0099146C"/>
    <w:rsid w:val="0099159E"/>
    <w:rsid w:val="0099172F"/>
    <w:rsid w:val="00991736"/>
    <w:rsid w:val="00991750"/>
    <w:rsid w:val="009918B6"/>
    <w:rsid w:val="009918CE"/>
    <w:rsid w:val="00991964"/>
    <w:rsid w:val="00991986"/>
    <w:rsid w:val="00991A31"/>
    <w:rsid w:val="00991AEB"/>
    <w:rsid w:val="00991B16"/>
    <w:rsid w:val="00991CAF"/>
    <w:rsid w:val="00991CB7"/>
    <w:rsid w:val="00991CBE"/>
    <w:rsid w:val="00991CE5"/>
    <w:rsid w:val="00991CF6"/>
    <w:rsid w:val="00991CFF"/>
    <w:rsid w:val="00991D3E"/>
    <w:rsid w:val="00991D71"/>
    <w:rsid w:val="00991DE0"/>
    <w:rsid w:val="00991E33"/>
    <w:rsid w:val="00991EAB"/>
    <w:rsid w:val="00991F64"/>
    <w:rsid w:val="00992036"/>
    <w:rsid w:val="009920C4"/>
    <w:rsid w:val="009920C5"/>
    <w:rsid w:val="0099213E"/>
    <w:rsid w:val="009921EA"/>
    <w:rsid w:val="0099227C"/>
    <w:rsid w:val="009922CE"/>
    <w:rsid w:val="00992315"/>
    <w:rsid w:val="00992364"/>
    <w:rsid w:val="0099236F"/>
    <w:rsid w:val="0099238E"/>
    <w:rsid w:val="009923B5"/>
    <w:rsid w:val="00992419"/>
    <w:rsid w:val="00992425"/>
    <w:rsid w:val="0099242C"/>
    <w:rsid w:val="00992464"/>
    <w:rsid w:val="0099249E"/>
    <w:rsid w:val="009925E6"/>
    <w:rsid w:val="00992782"/>
    <w:rsid w:val="00992919"/>
    <w:rsid w:val="00992945"/>
    <w:rsid w:val="0099299B"/>
    <w:rsid w:val="009929DB"/>
    <w:rsid w:val="009929E2"/>
    <w:rsid w:val="00992A52"/>
    <w:rsid w:val="00992A68"/>
    <w:rsid w:val="00992B1B"/>
    <w:rsid w:val="00992B53"/>
    <w:rsid w:val="00992B5C"/>
    <w:rsid w:val="00992BC7"/>
    <w:rsid w:val="00992C0F"/>
    <w:rsid w:val="00992CAF"/>
    <w:rsid w:val="00992D1D"/>
    <w:rsid w:val="00992D25"/>
    <w:rsid w:val="00992D30"/>
    <w:rsid w:val="00992D5D"/>
    <w:rsid w:val="00992D94"/>
    <w:rsid w:val="00992DE5"/>
    <w:rsid w:val="00992E1C"/>
    <w:rsid w:val="00992E89"/>
    <w:rsid w:val="00992E8D"/>
    <w:rsid w:val="00992E9C"/>
    <w:rsid w:val="00992EB4"/>
    <w:rsid w:val="00992EEF"/>
    <w:rsid w:val="00992F1D"/>
    <w:rsid w:val="00992F49"/>
    <w:rsid w:val="00992F56"/>
    <w:rsid w:val="00992FC1"/>
    <w:rsid w:val="00993003"/>
    <w:rsid w:val="00993053"/>
    <w:rsid w:val="00993097"/>
    <w:rsid w:val="0099311D"/>
    <w:rsid w:val="0099316C"/>
    <w:rsid w:val="0099317A"/>
    <w:rsid w:val="009931FC"/>
    <w:rsid w:val="009931FD"/>
    <w:rsid w:val="00993246"/>
    <w:rsid w:val="0099326D"/>
    <w:rsid w:val="00993291"/>
    <w:rsid w:val="00993315"/>
    <w:rsid w:val="0099331D"/>
    <w:rsid w:val="0099332B"/>
    <w:rsid w:val="00993414"/>
    <w:rsid w:val="0099349C"/>
    <w:rsid w:val="00993554"/>
    <w:rsid w:val="0099355A"/>
    <w:rsid w:val="009935E9"/>
    <w:rsid w:val="0099366E"/>
    <w:rsid w:val="0099369A"/>
    <w:rsid w:val="009936C2"/>
    <w:rsid w:val="009936E9"/>
    <w:rsid w:val="009937E6"/>
    <w:rsid w:val="0099380C"/>
    <w:rsid w:val="00993861"/>
    <w:rsid w:val="009938F8"/>
    <w:rsid w:val="009939B3"/>
    <w:rsid w:val="009939B8"/>
    <w:rsid w:val="009939CF"/>
    <w:rsid w:val="009939D8"/>
    <w:rsid w:val="00993A3F"/>
    <w:rsid w:val="00993AFC"/>
    <w:rsid w:val="00993B9A"/>
    <w:rsid w:val="00993B9B"/>
    <w:rsid w:val="00993BD3"/>
    <w:rsid w:val="00993BDE"/>
    <w:rsid w:val="00993CDA"/>
    <w:rsid w:val="00993DAE"/>
    <w:rsid w:val="00993E67"/>
    <w:rsid w:val="00993FBF"/>
    <w:rsid w:val="009940AF"/>
    <w:rsid w:val="009940F1"/>
    <w:rsid w:val="009941AA"/>
    <w:rsid w:val="00994307"/>
    <w:rsid w:val="0099431B"/>
    <w:rsid w:val="00994325"/>
    <w:rsid w:val="0099438A"/>
    <w:rsid w:val="00994457"/>
    <w:rsid w:val="0099467B"/>
    <w:rsid w:val="0099471A"/>
    <w:rsid w:val="0099479F"/>
    <w:rsid w:val="009948E9"/>
    <w:rsid w:val="0099490D"/>
    <w:rsid w:val="00994925"/>
    <w:rsid w:val="009949D2"/>
    <w:rsid w:val="00994A8B"/>
    <w:rsid w:val="00994AA0"/>
    <w:rsid w:val="00994B92"/>
    <w:rsid w:val="00994B95"/>
    <w:rsid w:val="00994BE5"/>
    <w:rsid w:val="00994C04"/>
    <w:rsid w:val="00994CC1"/>
    <w:rsid w:val="00994D57"/>
    <w:rsid w:val="00994E1B"/>
    <w:rsid w:val="00995063"/>
    <w:rsid w:val="009950C3"/>
    <w:rsid w:val="00995105"/>
    <w:rsid w:val="0099511C"/>
    <w:rsid w:val="009951D2"/>
    <w:rsid w:val="0099522F"/>
    <w:rsid w:val="00995284"/>
    <w:rsid w:val="009953CA"/>
    <w:rsid w:val="00995457"/>
    <w:rsid w:val="009954B5"/>
    <w:rsid w:val="009954EF"/>
    <w:rsid w:val="00995506"/>
    <w:rsid w:val="009955F6"/>
    <w:rsid w:val="00995662"/>
    <w:rsid w:val="00995675"/>
    <w:rsid w:val="00995696"/>
    <w:rsid w:val="0099575F"/>
    <w:rsid w:val="00995764"/>
    <w:rsid w:val="009957B1"/>
    <w:rsid w:val="009957FE"/>
    <w:rsid w:val="00995814"/>
    <w:rsid w:val="0099588A"/>
    <w:rsid w:val="009958A5"/>
    <w:rsid w:val="009959A9"/>
    <w:rsid w:val="009959D9"/>
    <w:rsid w:val="00995A02"/>
    <w:rsid w:val="00995A7A"/>
    <w:rsid w:val="00995AEC"/>
    <w:rsid w:val="00995AFC"/>
    <w:rsid w:val="00995B35"/>
    <w:rsid w:val="00995BA6"/>
    <w:rsid w:val="00995C3B"/>
    <w:rsid w:val="00995CAA"/>
    <w:rsid w:val="00995CFF"/>
    <w:rsid w:val="00995D09"/>
    <w:rsid w:val="00995D6B"/>
    <w:rsid w:val="00995D77"/>
    <w:rsid w:val="00995E0E"/>
    <w:rsid w:val="00995E19"/>
    <w:rsid w:val="00995E98"/>
    <w:rsid w:val="00995F06"/>
    <w:rsid w:val="00995F67"/>
    <w:rsid w:val="009960A5"/>
    <w:rsid w:val="00996128"/>
    <w:rsid w:val="0099613D"/>
    <w:rsid w:val="009961D1"/>
    <w:rsid w:val="00996213"/>
    <w:rsid w:val="009962A5"/>
    <w:rsid w:val="009963F0"/>
    <w:rsid w:val="00996457"/>
    <w:rsid w:val="009964AE"/>
    <w:rsid w:val="009964D5"/>
    <w:rsid w:val="0099652E"/>
    <w:rsid w:val="00996733"/>
    <w:rsid w:val="0099675B"/>
    <w:rsid w:val="0099675E"/>
    <w:rsid w:val="009967CF"/>
    <w:rsid w:val="00996804"/>
    <w:rsid w:val="00996895"/>
    <w:rsid w:val="009968A4"/>
    <w:rsid w:val="009968C6"/>
    <w:rsid w:val="009968D3"/>
    <w:rsid w:val="009968DC"/>
    <w:rsid w:val="00996925"/>
    <w:rsid w:val="009969FB"/>
    <w:rsid w:val="00996A5B"/>
    <w:rsid w:val="00996AB9"/>
    <w:rsid w:val="00996AC3"/>
    <w:rsid w:val="00996AD9"/>
    <w:rsid w:val="00996AE7"/>
    <w:rsid w:val="00996B6E"/>
    <w:rsid w:val="00996E04"/>
    <w:rsid w:val="00996E0B"/>
    <w:rsid w:val="00996E20"/>
    <w:rsid w:val="00996E67"/>
    <w:rsid w:val="00996E7E"/>
    <w:rsid w:val="00996EC2"/>
    <w:rsid w:val="00996F15"/>
    <w:rsid w:val="00996F8C"/>
    <w:rsid w:val="00996FBB"/>
    <w:rsid w:val="00996FD3"/>
    <w:rsid w:val="00996FE0"/>
    <w:rsid w:val="00997073"/>
    <w:rsid w:val="00997085"/>
    <w:rsid w:val="0099709A"/>
    <w:rsid w:val="00997104"/>
    <w:rsid w:val="009971C5"/>
    <w:rsid w:val="009972EF"/>
    <w:rsid w:val="00997370"/>
    <w:rsid w:val="00997428"/>
    <w:rsid w:val="0099742D"/>
    <w:rsid w:val="00997497"/>
    <w:rsid w:val="00997511"/>
    <w:rsid w:val="00997557"/>
    <w:rsid w:val="00997587"/>
    <w:rsid w:val="00997588"/>
    <w:rsid w:val="009975B4"/>
    <w:rsid w:val="009975FB"/>
    <w:rsid w:val="0099762C"/>
    <w:rsid w:val="00997662"/>
    <w:rsid w:val="009976E2"/>
    <w:rsid w:val="00997726"/>
    <w:rsid w:val="00997980"/>
    <w:rsid w:val="009979AF"/>
    <w:rsid w:val="00997A4C"/>
    <w:rsid w:val="00997AA6"/>
    <w:rsid w:val="00997ABA"/>
    <w:rsid w:val="00997B87"/>
    <w:rsid w:val="00997BA8"/>
    <w:rsid w:val="00997BF3"/>
    <w:rsid w:val="00997BFD"/>
    <w:rsid w:val="00997CBA"/>
    <w:rsid w:val="00997CC2"/>
    <w:rsid w:val="00997CD7"/>
    <w:rsid w:val="00997EBE"/>
    <w:rsid w:val="00997EE4"/>
    <w:rsid w:val="009A00A4"/>
    <w:rsid w:val="009A00D9"/>
    <w:rsid w:val="009A01E8"/>
    <w:rsid w:val="009A021E"/>
    <w:rsid w:val="009A024B"/>
    <w:rsid w:val="009A0293"/>
    <w:rsid w:val="009A0304"/>
    <w:rsid w:val="009A0324"/>
    <w:rsid w:val="009A0339"/>
    <w:rsid w:val="009A036A"/>
    <w:rsid w:val="009A038F"/>
    <w:rsid w:val="009A0391"/>
    <w:rsid w:val="009A0408"/>
    <w:rsid w:val="009A0427"/>
    <w:rsid w:val="009A045C"/>
    <w:rsid w:val="009A0490"/>
    <w:rsid w:val="009A0674"/>
    <w:rsid w:val="009A06F4"/>
    <w:rsid w:val="009A0708"/>
    <w:rsid w:val="009A0797"/>
    <w:rsid w:val="009A0854"/>
    <w:rsid w:val="009A08E3"/>
    <w:rsid w:val="009A0912"/>
    <w:rsid w:val="009A092D"/>
    <w:rsid w:val="009A0A03"/>
    <w:rsid w:val="009A0A74"/>
    <w:rsid w:val="009A0A96"/>
    <w:rsid w:val="009A0C67"/>
    <w:rsid w:val="009A0C89"/>
    <w:rsid w:val="009A0CC6"/>
    <w:rsid w:val="009A0D20"/>
    <w:rsid w:val="009A0DA8"/>
    <w:rsid w:val="009A0DC2"/>
    <w:rsid w:val="009A0E0D"/>
    <w:rsid w:val="009A0E85"/>
    <w:rsid w:val="009A100D"/>
    <w:rsid w:val="009A1115"/>
    <w:rsid w:val="009A1177"/>
    <w:rsid w:val="009A1213"/>
    <w:rsid w:val="009A12B9"/>
    <w:rsid w:val="009A137A"/>
    <w:rsid w:val="009A138A"/>
    <w:rsid w:val="009A13A1"/>
    <w:rsid w:val="009A13A6"/>
    <w:rsid w:val="009A13D8"/>
    <w:rsid w:val="009A1422"/>
    <w:rsid w:val="009A14EC"/>
    <w:rsid w:val="009A158C"/>
    <w:rsid w:val="009A1627"/>
    <w:rsid w:val="009A1661"/>
    <w:rsid w:val="009A1792"/>
    <w:rsid w:val="009A17E1"/>
    <w:rsid w:val="009A183C"/>
    <w:rsid w:val="009A185D"/>
    <w:rsid w:val="009A1884"/>
    <w:rsid w:val="009A18EF"/>
    <w:rsid w:val="009A190D"/>
    <w:rsid w:val="009A1921"/>
    <w:rsid w:val="009A198E"/>
    <w:rsid w:val="009A199C"/>
    <w:rsid w:val="009A19A8"/>
    <w:rsid w:val="009A19AD"/>
    <w:rsid w:val="009A19CD"/>
    <w:rsid w:val="009A1AF6"/>
    <w:rsid w:val="009A1C5B"/>
    <w:rsid w:val="009A1C6F"/>
    <w:rsid w:val="009A1D76"/>
    <w:rsid w:val="009A1D8D"/>
    <w:rsid w:val="009A1DAA"/>
    <w:rsid w:val="009A1E14"/>
    <w:rsid w:val="009A1F42"/>
    <w:rsid w:val="009A1FA2"/>
    <w:rsid w:val="009A2080"/>
    <w:rsid w:val="009A2093"/>
    <w:rsid w:val="009A20EA"/>
    <w:rsid w:val="009A20EB"/>
    <w:rsid w:val="009A21CA"/>
    <w:rsid w:val="009A21D0"/>
    <w:rsid w:val="009A2227"/>
    <w:rsid w:val="009A2270"/>
    <w:rsid w:val="009A2284"/>
    <w:rsid w:val="009A2291"/>
    <w:rsid w:val="009A22F8"/>
    <w:rsid w:val="009A2336"/>
    <w:rsid w:val="009A2346"/>
    <w:rsid w:val="009A2358"/>
    <w:rsid w:val="009A23BD"/>
    <w:rsid w:val="009A2411"/>
    <w:rsid w:val="009A24FF"/>
    <w:rsid w:val="009A2563"/>
    <w:rsid w:val="009A2598"/>
    <w:rsid w:val="009A265F"/>
    <w:rsid w:val="009A26AD"/>
    <w:rsid w:val="009A27D1"/>
    <w:rsid w:val="009A27ED"/>
    <w:rsid w:val="009A28B7"/>
    <w:rsid w:val="009A2939"/>
    <w:rsid w:val="009A2970"/>
    <w:rsid w:val="009A29C7"/>
    <w:rsid w:val="009A2A0C"/>
    <w:rsid w:val="009A2A1F"/>
    <w:rsid w:val="009A2A36"/>
    <w:rsid w:val="009A2A43"/>
    <w:rsid w:val="009A2A6B"/>
    <w:rsid w:val="009A2B37"/>
    <w:rsid w:val="009A2B94"/>
    <w:rsid w:val="009A2BF7"/>
    <w:rsid w:val="009A2C42"/>
    <w:rsid w:val="009A2C4B"/>
    <w:rsid w:val="009A2C79"/>
    <w:rsid w:val="009A2C91"/>
    <w:rsid w:val="009A2CC3"/>
    <w:rsid w:val="009A2DEA"/>
    <w:rsid w:val="009A2DEE"/>
    <w:rsid w:val="009A2E41"/>
    <w:rsid w:val="009A2E91"/>
    <w:rsid w:val="009A3012"/>
    <w:rsid w:val="009A3059"/>
    <w:rsid w:val="009A3069"/>
    <w:rsid w:val="009A3089"/>
    <w:rsid w:val="009A31B5"/>
    <w:rsid w:val="009A3200"/>
    <w:rsid w:val="009A3232"/>
    <w:rsid w:val="009A3237"/>
    <w:rsid w:val="009A32AF"/>
    <w:rsid w:val="009A32BC"/>
    <w:rsid w:val="009A32CF"/>
    <w:rsid w:val="009A3488"/>
    <w:rsid w:val="009A3498"/>
    <w:rsid w:val="009A34F7"/>
    <w:rsid w:val="009A3527"/>
    <w:rsid w:val="009A3556"/>
    <w:rsid w:val="009A356D"/>
    <w:rsid w:val="009A35FE"/>
    <w:rsid w:val="009A3638"/>
    <w:rsid w:val="009A365A"/>
    <w:rsid w:val="009A3663"/>
    <w:rsid w:val="009A3778"/>
    <w:rsid w:val="009A380A"/>
    <w:rsid w:val="009A3831"/>
    <w:rsid w:val="009A3847"/>
    <w:rsid w:val="009A3891"/>
    <w:rsid w:val="009A38AF"/>
    <w:rsid w:val="009A38B0"/>
    <w:rsid w:val="009A38B9"/>
    <w:rsid w:val="009A38C5"/>
    <w:rsid w:val="009A38D7"/>
    <w:rsid w:val="009A38E6"/>
    <w:rsid w:val="009A38F2"/>
    <w:rsid w:val="009A3982"/>
    <w:rsid w:val="009A3994"/>
    <w:rsid w:val="009A39B4"/>
    <w:rsid w:val="009A39C8"/>
    <w:rsid w:val="009A39EE"/>
    <w:rsid w:val="009A3A33"/>
    <w:rsid w:val="009A3ABF"/>
    <w:rsid w:val="009A3AFB"/>
    <w:rsid w:val="009A3B15"/>
    <w:rsid w:val="009A3B93"/>
    <w:rsid w:val="009A3BB9"/>
    <w:rsid w:val="009A3BBA"/>
    <w:rsid w:val="009A3C2A"/>
    <w:rsid w:val="009A3CC8"/>
    <w:rsid w:val="009A3CF6"/>
    <w:rsid w:val="009A3D2B"/>
    <w:rsid w:val="009A3D9D"/>
    <w:rsid w:val="009A3DD9"/>
    <w:rsid w:val="009A3E2E"/>
    <w:rsid w:val="009A3E76"/>
    <w:rsid w:val="009A3EB1"/>
    <w:rsid w:val="009A3F0E"/>
    <w:rsid w:val="009A3F3B"/>
    <w:rsid w:val="009A3FA0"/>
    <w:rsid w:val="009A4007"/>
    <w:rsid w:val="009A4053"/>
    <w:rsid w:val="009A4072"/>
    <w:rsid w:val="009A40BE"/>
    <w:rsid w:val="009A411E"/>
    <w:rsid w:val="009A4174"/>
    <w:rsid w:val="009A420A"/>
    <w:rsid w:val="009A4216"/>
    <w:rsid w:val="009A42D4"/>
    <w:rsid w:val="009A4401"/>
    <w:rsid w:val="009A451C"/>
    <w:rsid w:val="009A4572"/>
    <w:rsid w:val="009A4600"/>
    <w:rsid w:val="009A464F"/>
    <w:rsid w:val="009A4667"/>
    <w:rsid w:val="009A468F"/>
    <w:rsid w:val="009A479C"/>
    <w:rsid w:val="009A482A"/>
    <w:rsid w:val="009A48A8"/>
    <w:rsid w:val="009A48AC"/>
    <w:rsid w:val="009A4957"/>
    <w:rsid w:val="009A495B"/>
    <w:rsid w:val="009A49D9"/>
    <w:rsid w:val="009A4A41"/>
    <w:rsid w:val="009A4A48"/>
    <w:rsid w:val="009A4AB6"/>
    <w:rsid w:val="009A4AF1"/>
    <w:rsid w:val="009A4B92"/>
    <w:rsid w:val="009A4BA2"/>
    <w:rsid w:val="009A4D72"/>
    <w:rsid w:val="009A4E62"/>
    <w:rsid w:val="009A4ECF"/>
    <w:rsid w:val="009A4F4E"/>
    <w:rsid w:val="009A4FA8"/>
    <w:rsid w:val="009A4FC6"/>
    <w:rsid w:val="009A50E6"/>
    <w:rsid w:val="009A517B"/>
    <w:rsid w:val="009A5216"/>
    <w:rsid w:val="009A5251"/>
    <w:rsid w:val="009A5291"/>
    <w:rsid w:val="009A52A7"/>
    <w:rsid w:val="009A52CB"/>
    <w:rsid w:val="009A5358"/>
    <w:rsid w:val="009A535C"/>
    <w:rsid w:val="009A5532"/>
    <w:rsid w:val="009A554C"/>
    <w:rsid w:val="009A55D6"/>
    <w:rsid w:val="009A55DC"/>
    <w:rsid w:val="009A5625"/>
    <w:rsid w:val="009A56C5"/>
    <w:rsid w:val="009A57A6"/>
    <w:rsid w:val="009A581D"/>
    <w:rsid w:val="009A5847"/>
    <w:rsid w:val="009A58A6"/>
    <w:rsid w:val="009A5A25"/>
    <w:rsid w:val="009A5A36"/>
    <w:rsid w:val="009A5ABB"/>
    <w:rsid w:val="009A5B51"/>
    <w:rsid w:val="009A5C52"/>
    <w:rsid w:val="009A5C62"/>
    <w:rsid w:val="009A5C94"/>
    <w:rsid w:val="009A5DB3"/>
    <w:rsid w:val="009A5DB4"/>
    <w:rsid w:val="009A5DC9"/>
    <w:rsid w:val="009A5E27"/>
    <w:rsid w:val="009A5F06"/>
    <w:rsid w:val="009A5FA7"/>
    <w:rsid w:val="009A6036"/>
    <w:rsid w:val="009A607C"/>
    <w:rsid w:val="009A6102"/>
    <w:rsid w:val="009A6186"/>
    <w:rsid w:val="009A6191"/>
    <w:rsid w:val="009A61A3"/>
    <w:rsid w:val="009A61C2"/>
    <w:rsid w:val="009A61EC"/>
    <w:rsid w:val="009A6278"/>
    <w:rsid w:val="009A627E"/>
    <w:rsid w:val="009A62FA"/>
    <w:rsid w:val="009A634E"/>
    <w:rsid w:val="009A63B2"/>
    <w:rsid w:val="009A63FE"/>
    <w:rsid w:val="009A6481"/>
    <w:rsid w:val="009A64AF"/>
    <w:rsid w:val="009A6515"/>
    <w:rsid w:val="009A6574"/>
    <w:rsid w:val="009A6599"/>
    <w:rsid w:val="009A6696"/>
    <w:rsid w:val="009A67B1"/>
    <w:rsid w:val="009A6883"/>
    <w:rsid w:val="009A68B7"/>
    <w:rsid w:val="009A68F6"/>
    <w:rsid w:val="009A690A"/>
    <w:rsid w:val="009A6926"/>
    <w:rsid w:val="009A6AB4"/>
    <w:rsid w:val="009A6B4A"/>
    <w:rsid w:val="009A6B7E"/>
    <w:rsid w:val="009A6BE5"/>
    <w:rsid w:val="009A6C38"/>
    <w:rsid w:val="009A6C53"/>
    <w:rsid w:val="009A6C9A"/>
    <w:rsid w:val="009A6CA9"/>
    <w:rsid w:val="009A6E19"/>
    <w:rsid w:val="009A6E45"/>
    <w:rsid w:val="009A6EC3"/>
    <w:rsid w:val="009A6FD0"/>
    <w:rsid w:val="009A711B"/>
    <w:rsid w:val="009A7144"/>
    <w:rsid w:val="009A7164"/>
    <w:rsid w:val="009A71B4"/>
    <w:rsid w:val="009A729F"/>
    <w:rsid w:val="009A7319"/>
    <w:rsid w:val="009A734D"/>
    <w:rsid w:val="009A73E6"/>
    <w:rsid w:val="009A754C"/>
    <w:rsid w:val="009A756F"/>
    <w:rsid w:val="009A75AF"/>
    <w:rsid w:val="009A7679"/>
    <w:rsid w:val="009A7726"/>
    <w:rsid w:val="009A7AC2"/>
    <w:rsid w:val="009A7AF6"/>
    <w:rsid w:val="009A7B61"/>
    <w:rsid w:val="009A7BA8"/>
    <w:rsid w:val="009A7BB8"/>
    <w:rsid w:val="009A7C9B"/>
    <w:rsid w:val="009A7E0A"/>
    <w:rsid w:val="009A7E65"/>
    <w:rsid w:val="009A7E6D"/>
    <w:rsid w:val="009A7E7A"/>
    <w:rsid w:val="009A7EE5"/>
    <w:rsid w:val="009A7F06"/>
    <w:rsid w:val="009A7F34"/>
    <w:rsid w:val="009B009B"/>
    <w:rsid w:val="009B00F2"/>
    <w:rsid w:val="009B011F"/>
    <w:rsid w:val="009B0128"/>
    <w:rsid w:val="009B0143"/>
    <w:rsid w:val="009B01A4"/>
    <w:rsid w:val="009B01B2"/>
    <w:rsid w:val="009B01D9"/>
    <w:rsid w:val="009B0237"/>
    <w:rsid w:val="009B027D"/>
    <w:rsid w:val="009B0290"/>
    <w:rsid w:val="009B02BB"/>
    <w:rsid w:val="009B0304"/>
    <w:rsid w:val="009B0325"/>
    <w:rsid w:val="009B03FD"/>
    <w:rsid w:val="009B0477"/>
    <w:rsid w:val="009B0513"/>
    <w:rsid w:val="009B055E"/>
    <w:rsid w:val="009B059A"/>
    <w:rsid w:val="009B0623"/>
    <w:rsid w:val="009B067D"/>
    <w:rsid w:val="009B06A2"/>
    <w:rsid w:val="009B080D"/>
    <w:rsid w:val="009B0860"/>
    <w:rsid w:val="009B08C0"/>
    <w:rsid w:val="009B08C8"/>
    <w:rsid w:val="009B0961"/>
    <w:rsid w:val="009B09C2"/>
    <w:rsid w:val="009B09D1"/>
    <w:rsid w:val="009B09D3"/>
    <w:rsid w:val="009B0A03"/>
    <w:rsid w:val="009B0A63"/>
    <w:rsid w:val="009B0B9D"/>
    <w:rsid w:val="009B0C1A"/>
    <w:rsid w:val="009B0C8C"/>
    <w:rsid w:val="009B0CB0"/>
    <w:rsid w:val="009B0CB7"/>
    <w:rsid w:val="009B0D70"/>
    <w:rsid w:val="009B0D88"/>
    <w:rsid w:val="009B0D98"/>
    <w:rsid w:val="009B0F15"/>
    <w:rsid w:val="009B0F27"/>
    <w:rsid w:val="009B0FC3"/>
    <w:rsid w:val="009B1047"/>
    <w:rsid w:val="009B10D0"/>
    <w:rsid w:val="009B113B"/>
    <w:rsid w:val="009B120D"/>
    <w:rsid w:val="009B1265"/>
    <w:rsid w:val="009B128C"/>
    <w:rsid w:val="009B12BC"/>
    <w:rsid w:val="009B12E3"/>
    <w:rsid w:val="009B1345"/>
    <w:rsid w:val="009B13D0"/>
    <w:rsid w:val="009B13E1"/>
    <w:rsid w:val="009B1480"/>
    <w:rsid w:val="009B14BD"/>
    <w:rsid w:val="009B14C4"/>
    <w:rsid w:val="009B155E"/>
    <w:rsid w:val="009B15C4"/>
    <w:rsid w:val="009B15CA"/>
    <w:rsid w:val="009B161B"/>
    <w:rsid w:val="009B16B6"/>
    <w:rsid w:val="009B174F"/>
    <w:rsid w:val="009B17AC"/>
    <w:rsid w:val="009B17E6"/>
    <w:rsid w:val="009B18CA"/>
    <w:rsid w:val="009B18D2"/>
    <w:rsid w:val="009B18E6"/>
    <w:rsid w:val="009B1914"/>
    <w:rsid w:val="009B1A2E"/>
    <w:rsid w:val="009B1A7D"/>
    <w:rsid w:val="009B1A9E"/>
    <w:rsid w:val="009B1AE7"/>
    <w:rsid w:val="009B1B1E"/>
    <w:rsid w:val="009B1B75"/>
    <w:rsid w:val="009B1B88"/>
    <w:rsid w:val="009B1BC3"/>
    <w:rsid w:val="009B1C4D"/>
    <w:rsid w:val="009B1CD9"/>
    <w:rsid w:val="009B1CE9"/>
    <w:rsid w:val="009B1D0A"/>
    <w:rsid w:val="009B1D1C"/>
    <w:rsid w:val="009B1D76"/>
    <w:rsid w:val="009B1DB7"/>
    <w:rsid w:val="009B1DE5"/>
    <w:rsid w:val="009B1E40"/>
    <w:rsid w:val="009B1E85"/>
    <w:rsid w:val="009B1F35"/>
    <w:rsid w:val="009B1F72"/>
    <w:rsid w:val="009B20F1"/>
    <w:rsid w:val="009B21CF"/>
    <w:rsid w:val="009B21DF"/>
    <w:rsid w:val="009B2245"/>
    <w:rsid w:val="009B22B9"/>
    <w:rsid w:val="009B23A9"/>
    <w:rsid w:val="009B23D0"/>
    <w:rsid w:val="009B244C"/>
    <w:rsid w:val="009B2456"/>
    <w:rsid w:val="009B245A"/>
    <w:rsid w:val="009B2463"/>
    <w:rsid w:val="009B24C5"/>
    <w:rsid w:val="009B258E"/>
    <w:rsid w:val="009B25BD"/>
    <w:rsid w:val="009B2627"/>
    <w:rsid w:val="009B287B"/>
    <w:rsid w:val="009B297F"/>
    <w:rsid w:val="009B29B8"/>
    <w:rsid w:val="009B29EE"/>
    <w:rsid w:val="009B2A20"/>
    <w:rsid w:val="009B2A4F"/>
    <w:rsid w:val="009B2A87"/>
    <w:rsid w:val="009B2BBB"/>
    <w:rsid w:val="009B2BED"/>
    <w:rsid w:val="009B2C2C"/>
    <w:rsid w:val="009B2C42"/>
    <w:rsid w:val="009B2C84"/>
    <w:rsid w:val="009B2CAD"/>
    <w:rsid w:val="009B2D85"/>
    <w:rsid w:val="009B2D8F"/>
    <w:rsid w:val="009B2E62"/>
    <w:rsid w:val="009B2EE8"/>
    <w:rsid w:val="009B2F01"/>
    <w:rsid w:val="009B2F75"/>
    <w:rsid w:val="009B306A"/>
    <w:rsid w:val="009B30A1"/>
    <w:rsid w:val="009B30D6"/>
    <w:rsid w:val="009B30DC"/>
    <w:rsid w:val="009B30DF"/>
    <w:rsid w:val="009B3110"/>
    <w:rsid w:val="009B3155"/>
    <w:rsid w:val="009B31B9"/>
    <w:rsid w:val="009B31D7"/>
    <w:rsid w:val="009B325D"/>
    <w:rsid w:val="009B3294"/>
    <w:rsid w:val="009B32E6"/>
    <w:rsid w:val="009B32EC"/>
    <w:rsid w:val="009B3301"/>
    <w:rsid w:val="009B3330"/>
    <w:rsid w:val="009B3432"/>
    <w:rsid w:val="009B348C"/>
    <w:rsid w:val="009B34E0"/>
    <w:rsid w:val="009B34E5"/>
    <w:rsid w:val="009B3548"/>
    <w:rsid w:val="009B3601"/>
    <w:rsid w:val="009B362C"/>
    <w:rsid w:val="009B3676"/>
    <w:rsid w:val="009B36B8"/>
    <w:rsid w:val="009B371A"/>
    <w:rsid w:val="009B372E"/>
    <w:rsid w:val="009B375F"/>
    <w:rsid w:val="009B37CC"/>
    <w:rsid w:val="009B3804"/>
    <w:rsid w:val="009B3806"/>
    <w:rsid w:val="009B384D"/>
    <w:rsid w:val="009B38C7"/>
    <w:rsid w:val="009B38EC"/>
    <w:rsid w:val="009B397A"/>
    <w:rsid w:val="009B3A60"/>
    <w:rsid w:val="009B3B62"/>
    <w:rsid w:val="009B3C14"/>
    <w:rsid w:val="009B3C79"/>
    <w:rsid w:val="009B3CE6"/>
    <w:rsid w:val="009B3D16"/>
    <w:rsid w:val="009B3D40"/>
    <w:rsid w:val="009B3D61"/>
    <w:rsid w:val="009B3D9B"/>
    <w:rsid w:val="009B3E79"/>
    <w:rsid w:val="009B3E88"/>
    <w:rsid w:val="009B3ED5"/>
    <w:rsid w:val="009B3F03"/>
    <w:rsid w:val="009B40DF"/>
    <w:rsid w:val="009B410F"/>
    <w:rsid w:val="009B411B"/>
    <w:rsid w:val="009B414E"/>
    <w:rsid w:val="009B4161"/>
    <w:rsid w:val="009B41BD"/>
    <w:rsid w:val="009B4204"/>
    <w:rsid w:val="009B42CE"/>
    <w:rsid w:val="009B42D7"/>
    <w:rsid w:val="009B4311"/>
    <w:rsid w:val="009B43D7"/>
    <w:rsid w:val="009B4416"/>
    <w:rsid w:val="009B441B"/>
    <w:rsid w:val="009B443A"/>
    <w:rsid w:val="009B44D5"/>
    <w:rsid w:val="009B4574"/>
    <w:rsid w:val="009B4595"/>
    <w:rsid w:val="009B4606"/>
    <w:rsid w:val="009B4681"/>
    <w:rsid w:val="009B4894"/>
    <w:rsid w:val="009B48EC"/>
    <w:rsid w:val="009B4940"/>
    <w:rsid w:val="009B4953"/>
    <w:rsid w:val="009B499C"/>
    <w:rsid w:val="009B49B8"/>
    <w:rsid w:val="009B4AC1"/>
    <w:rsid w:val="009B4AEC"/>
    <w:rsid w:val="009B4B6A"/>
    <w:rsid w:val="009B4B6E"/>
    <w:rsid w:val="009B4BBA"/>
    <w:rsid w:val="009B4BFD"/>
    <w:rsid w:val="009B4C0F"/>
    <w:rsid w:val="009B4C7D"/>
    <w:rsid w:val="009B4CE1"/>
    <w:rsid w:val="009B4D05"/>
    <w:rsid w:val="009B4D55"/>
    <w:rsid w:val="009B4D77"/>
    <w:rsid w:val="009B4DC2"/>
    <w:rsid w:val="009B4EB8"/>
    <w:rsid w:val="009B4F5B"/>
    <w:rsid w:val="009B4FA1"/>
    <w:rsid w:val="009B503B"/>
    <w:rsid w:val="009B507B"/>
    <w:rsid w:val="009B50E9"/>
    <w:rsid w:val="009B5102"/>
    <w:rsid w:val="009B51C8"/>
    <w:rsid w:val="009B51E2"/>
    <w:rsid w:val="009B5297"/>
    <w:rsid w:val="009B52EE"/>
    <w:rsid w:val="009B53E3"/>
    <w:rsid w:val="009B540E"/>
    <w:rsid w:val="009B5498"/>
    <w:rsid w:val="009B54EC"/>
    <w:rsid w:val="009B556F"/>
    <w:rsid w:val="009B5590"/>
    <w:rsid w:val="009B55A0"/>
    <w:rsid w:val="009B55D5"/>
    <w:rsid w:val="009B567B"/>
    <w:rsid w:val="009B56BD"/>
    <w:rsid w:val="009B58B8"/>
    <w:rsid w:val="009B58CF"/>
    <w:rsid w:val="009B5913"/>
    <w:rsid w:val="009B5953"/>
    <w:rsid w:val="009B5997"/>
    <w:rsid w:val="009B5A6E"/>
    <w:rsid w:val="009B5AF7"/>
    <w:rsid w:val="009B5BA5"/>
    <w:rsid w:val="009B5BBE"/>
    <w:rsid w:val="009B5C29"/>
    <w:rsid w:val="009B5C83"/>
    <w:rsid w:val="009B5D48"/>
    <w:rsid w:val="009B5D7F"/>
    <w:rsid w:val="009B5DD0"/>
    <w:rsid w:val="009B5E29"/>
    <w:rsid w:val="009B5F93"/>
    <w:rsid w:val="009B5FBB"/>
    <w:rsid w:val="009B5FD9"/>
    <w:rsid w:val="009B5FDC"/>
    <w:rsid w:val="009B6009"/>
    <w:rsid w:val="009B60B0"/>
    <w:rsid w:val="009B60B2"/>
    <w:rsid w:val="009B6163"/>
    <w:rsid w:val="009B6286"/>
    <w:rsid w:val="009B6337"/>
    <w:rsid w:val="009B6356"/>
    <w:rsid w:val="009B639F"/>
    <w:rsid w:val="009B63B9"/>
    <w:rsid w:val="009B640E"/>
    <w:rsid w:val="009B641C"/>
    <w:rsid w:val="009B6474"/>
    <w:rsid w:val="009B64F5"/>
    <w:rsid w:val="009B65C4"/>
    <w:rsid w:val="009B6659"/>
    <w:rsid w:val="009B6684"/>
    <w:rsid w:val="009B66E0"/>
    <w:rsid w:val="009B6760"/>
    <w:rsid w:val="009B67C1"/>
    <w:rsid w:val="009B6840"/>
    <w:rsid w:val="009B687D"/>
    <w:rsid w:val="009B6897"/>
    <w:rsid w:val="009B68AB"/>
    <w:rsid w:val="009B68C4"/>
    <w:rsid w:val="009B69B1"/>
    <w:rsid w:val="009B69FA"/>
    <w:rsid w:val="009B6A06"/>
    <w:rsid w:val="009B6A9C"/>
    <w:rsid w:val="009B6B23"/>
    <w:rsid w:val="009B6B41"/>
    <w:rsid w:val="009B6B8D"/>
    <w:rsid w:val="009B6BB3"/>
    <w:rsid w:val="009B6C12"/>
    <w:rsid w:val="009B6C85"/>
    <w:rsid w:val="009B6CA4"/>
    <w:rsid w:val="009B6CC3"/>
    <w:rsid w:val="009B6D4D"/>
    <w:rsid w:val="009B6D71"/>
    <w:rsid w:val="009B6D97"/>
    <w:rsid w:val="009B6E31"/>
    <w:rsid w:val="009B6EAB"/>
    <w:rsid w:val="009B6F94"/>
    <w:rsid w:val="009B7069"/>
    <w:rsid w:val="009B71DD"/>
    <w:rsid w:val="009B7223"/>
    <w:rsid w:val="009B727E"/>
    <w:rsid w:val="009B7402"/>
    <w:rsid w:val="009B7549"/>
    <w:rsid w:val="009B7576"/>
    <w:rsid w:val="009B760F"/>
    <w:rsid w:val="009B7624"/>
    <w:rsid w:val="009B7647"/>
    <w:rsid w:val="009B765E"/>
    <w:rsid w:val="009B7690"/>
    <w:rsid w:val="009B7771"/>
    <w:rsid w:val="009B7855"/>
    <w:rsid w:val="009B78C8"/>
    <w:rsid w:val="009B7900"/>
    <w:rsid w:val="009B792B"/>
    <w:rsid w:val="009B795F"/>
    <w:rsid w:val="009B7986"/>
    <w:rsid w:val="009B7A0B"/>
    <w:rsid w:val="009B7ABD"/>
    <w:rsid w:val="009B7B05"/>
    <w:rsid w:val="009B7B07"/>
    <w:rsid w:val="009B7C2E"/>
    <w:rsid w:val="009B7C31"/>
    <w:rsid w:val="009B7CD0"/>
    <w:rsid w:val="009B7CFB"/>
    <w:rsid w:val="009B7D58"/>
    <w:rsid w:val="009B7DBA"/>
    <w:rsid w:val="009B7DBF"/>
    <w:rsid w:val="009B7E47"/>
    <w:rsid w:val="009B7E7C"/>
    <w:rsid w:val="009B7F8B"/>
    <w:rsid w:val="009C0099"/>
    <w:rsid w:val="009C00B5"/>
    <w:rsid w:val="009C00B6"/>
    <w:rsid w:val="009C00B7"/>
    <w:rsid w:val="009C0212"/>
    <w:rsid w:val="009C0286"/>
    <w:rsid w:val="009C02F5"/>
    <w:rsid w:val="009C0368"/>
    <w:rsid w:val="009C03BD"/>
    <w:rsid w:val="009C03D2"/>
    <w:rsid w:val="009C04B7"/>
    <w:rsid w:val="009C04FB"/>
    <w:rsid w:val="009C0551"/>
    <w:rsid w:val="009C0572"/>
    <w:rsid w:val="009C0580"/>
    <w:rsid w:val="009C05C1"/>
    <w:rsid w:val="009C069B"/>
    <w:rsid w:val="009C06A7"/>
    <w:rsid w:val="009C0712"/>
    <w:rsid w:val="009C0729"/>
    <w:rsid w:val="009C080D"/>
    <w:rsid w:val="009C0854"/>
    <w:rsid w:val="009C08F1"/>
    <w:rsid w:val="009C0923"/>
    <w:rsid w:val="009C0939"/>
    <w:rsid w:val="009C09DC"/>
    <w:rsid w:val="009C0A4F"/>
    <w:rsid w:val="009C0AFA"/>
    <w:rsid w:val="009C0B10"/>
    <w:rsid w:val="009C0BA1"/>
    <w:rsid w:val="009C0BD0"/>
    <w:rsid w:val="009C0C6D"/>
    <w:rsid w:val="009C0CBA"/>
    <w:rsid w:val="009C0CF8"/>
    <w:rsid w:val="009C0CF9"/>
    <w:rsid w:val="009C0CFE"/>
    <w:rsid w:val="009C0EEC"/>
    <w:rsid w:val="009C0F26"/>
    <w:rsid w:val="009C0F44"/>
    <w:rsid w:val="009C0F9B"/>
    <w:rsid w:val="009C101B"/>
    <w:rsid w:val="009C101C"/>
    <w:rsid w:val="009C10C9"/>
    <w:rsid w:val="009C1118"/>
    <w:rsid w:val="009C1133"/>
    <w:rsid w:val="009C117A"/>
    <w:rsid w:val="009C1198"/>
    <w:rsid w:val="009C11F4"/>
    <w:rsid w:val="009C1220"/>
    <w:rsid w:val="009C124D"/>
    <w:rsid w:val="009C125D"/>
    <w:rsid w:val="009C128D"/>
    <w:rsid w:val="009C1335"/>
    <w:rsid w:val="009C1373"/>
    <w:rsid w:val="009C13E4"/>
    <w:rsid w:val="009C13F4"/>
    <w:rsid w:val="009C1440"/>
    <w:rsid w:val="009C1479"/>
    <w:rsid w:val="009C14BE"/>
    <w:rsid w:val="009C14CF"/>
    <w:rsid w:val="009C14D1"/>
    <w:rsid w:val="009C15AF"/>
    <w:rsid w:val="009C1626"/>
    <w:rsid w:val="009C165C"/>
    <w:rsid w:val="009C169F"/>
    <w:rsid w:val="009C171B"/>
    <w:rsid w:val="009C17A5"/>
    <w:rsid w:val="009C1819"/>
    <w:rsid w:val="009C187D"/>
    <w:rsid w:val="009C1891"/>
    <w:rsid w:val="009C18E7"/>
    <w:rsid w:val="009C191A"/>
    <w:rsid w:val="009C1954"/>
    <w:rsid w:val="009C19C8"/>
    <w:rsid w:val="009C1A20"/>
    <w:rsid w:val="009C1AAB"/>
    <w:rsid w:val="009C1BD1"/>
    <w:rsid w:val="009C1BE4"/>
    <w:rsid w:val="009C1D27"/>
    <w:rsid w:val="009C1D4A"/>
    <w:rsid w:val="009C1DB4"/>
    <w:rsid w:val="009C1ED9"/>
    <w:rsid w:val="009C1FB2"/>
    <w:rsid w:val="009C20C7"/>
    <w:rsid w:val="009C2119"/>
    <w:rsid w:val="009C2220"/>
    <w:rsid w:val="009C224B"/>
    <w:rsid w:val="009C228E"/>
    <w:rsid w:val="009C2299"/>
    <w:rsid w:val="009C22E0"/>
    <w:rsid w:val="009C2380"/>
    <w:rsid w:val="009C2395"/>
    <w:rsid w:val="009C23FA"/>
    <w:rsid w:val="009C2431"/>
    <w:rsid w:val="009C243C"/>
    <w:rsid w:val="009C2463"/>
    <w:rsid w:val="009C2473"/>
    <w:rsid w:val="009C2492"/>
    <w:rsid w:val="009C25B1"/>
    <w:rsid w:val="009C270D"/>
    <w:rsid w:val="009C2740"/>
    <w:rsid w:val="009C2786"/>
    <w:rsid w:val="009C2A2A"/>
    <w:rsid w:val="009C2B4A"/>
    <w:rsid w:val="009C2B9C"/>
    <w:rsid w:val="009C2C05"/>
    <w:rsid w:val="009C2CF1"/>
    <w:rsid w:val="009C2D0C"/>
    <w:rsid w:val="009C2D63"/>
    <w:rsid w:val="009C2DB1"/>
    <w:rsid w:val="009C2E35"/>
    <w:rsid w:val="009C3299"/>
    <w:rsid w:val="009C3354"/>
    <w:rsid w:val="009C3418"/>
    <w:rsid w:val="009C3424"/>
    <w:rsid w:val="009C344E"/>
    <w:rsid w:val="009C3484"/>
    <w:rsid w:val="009C34B3"/>
    <w:rsid w:val="009C34E9"/>
    <w:rsid w:val="009C3524"/>
    <w:rsid w:val="009C3664"/>
    <w:rsid w:val="009C36AD"/>
    <w:rsid w:val="009C36B0"/>
    <w:rsid w:val="009C36B4"/>
    <w:rsid w:val="009C36C6"/>
    <w:rsid w:val="009C3767"/>
    <w:rsid w:val="009C37B1"/>
    <w:rsid w:val="009C387D"/>
    <w:rsid w:val="009C3886"/>
    <w:rsid w:val="009C393A"/>
    <w:rsid w:val="009C393E"/>
    <w:rsid w:val="009C3951"/>
    <w:rsid w:val="009C39C1"/>
    <w:rsid w:val="009C3A28"/>
    <w:rsid w:val="009C3AC5"/>
    <w:rsid w:val="009C3AE4"/>
    <w:rsid w:val="009C3AED"/>
    <w:rsid w:val="009C3BD9"/>
    <w:rsid w:val="009C3BE5"/>
    <w:rsid w:val="009C3CC4"/>
    <w:rsid w:val="009C3D98"/>
    <w:rsid w:val="009C3DF5"/>
    <w:rsid w:val="009C3E05"/>
    <w:rsid w:val="009C3F5F"/>
    <w:rsid w:val="009C3F6C"/>
    <w:rsid w:val="009C4015"/>
    <w:rsid w:val="009C4146"/>
    <w:rsid w:val="009C41D3"/>
    <w:rsid w:val="009C41F8"/>
    <w:rsid w:val="009C427D"/>
    <w:rsid w:val="009C428C"/>
    <w:rsid w:val="009C4296"/>
    <w:rsid w:val="009C4320"/>
    <w:rsid w:val="009C4372"/>
    <w:rsid w:val="009C438F"/>
    <w:rsid w:val="009C445F"/>
    <w:rsid w:val="009C4474"/>
    <w:rsid w:val="009C447F"/>
    <w:rsid w:val="009C44A8"/>
    <w:rsid w:val="009C44EF"/>
    <w:rsid w:val="009C489C"/>
    <w:rsid w:val="009C48A7"/>
    <w:rsid w:val="009C490F"/>
    <w:rsid w:val="009C49AD"/>
    <w:rsid w:val="009C49AF"/>
    <w:rsid w:val="009C4A3A"/>
    <w:rsid w:val="009C4AB8"/>
    <w:rsid w:val="009C4AFB"/>
    <w:rsid w:val="009C4B23"/>
    <w:rsid w:val="009C4C06"/>
    <w:rsid w:val="009C4C31"/>
    <w:rsid w:val="009C4C6D"/>
    <w:rsid w:val="009C4E0E"/>
    <w:rsid w:val="009C4EB0"/>
    <w:rsid w:val="009C4ECC"/>
    <w:rsid w:val="009C4F11"/>
    <w:rsid w:val="009C4F38"/>
    <w:rsid w:val="009C4FCB"/>
    <w:rsid w:val="009C500B"/>
    <w:rsid w:val="009C50E8"/>
    <w:rsid w:val="009C5132"/>
    <w:rsid w:val="009C519D"/>
    <w:rsid w:val="009C5228"/>
    <w:rsid w:val="009C5237"/>
    <w:rsid w:val="009C5297"/>
    <w:rsid w:val="009C52CC"/>
    <w:rsid w:val="009C5305"/>
    <w:rsid w:val="009C5422"/>
    <w:rsid w:val="009C5433"/>
    <w:rsid w:val="009C5486"/>
    <w:rsid w:val="009C54BC"/>
    <w:rsid w:val="009C553B"/>
    <w:rsid w:val="009C580D"/>
    <w:rsid w:val="009C5828"/>
    <w:rsid w:val="009C582E"/>
    <w:rsid w:val="009C589A"/>
    <w:rsid w:val="009C58C5"/>
    <w:rsid w:val="009C58C8"/>
    <w:rsid w:val="009C58DC"/>
    <w:rsid w:val="009C58FD"/>
    <w:rsid w:val="009C5920"/>
    <w:rsid w:val="009C5981"/>
    <w:rsid w:val="009C5A54"/>
    <w:rsid w:val="009C5AE9"/>
    <w:rsid w:val="009C5B67"/>
    <w:rsid w:val="009C5B82"/>
    <w:rsid w:val="009C5BF4"/>
    <w:rsid w:val="009C5C2F"/>
    <w:rsid w:val="009C5CA5"/>
    <w:rsid w:val="009C5CB6"/>
    <w:rsid w:val="009C5CD3"/>
    <w:rsid w:val="009C5CD4"/>
    <w:rsid w:val="009C5D1E"/>
    <w:rsid w:val="009C5D5D"/>
    <w:rsid w:val="009C5E11"/>
    <w:rsid w:val="009C5FD4"/>
    <w:rsid w:val="009C5FE3"/>
    <w:rsid w:val="009C606E"/>
    <w:rsid w:val="009C60A5"/>
    <w:rsid w:val="009C60B9"/>
    <w:rsid w:val="009C60BD"/>
    <w:rsid w:val="009C610A"/>
    <w:rsid w:val="009C61CE"/>
    <w:rsid w:val="009C623A"/>
    <w:rsid w:val="009C62C2"/>
    <w:rsid w:val="009C6330"/>
    <w:rsid w:val="009C6390"/>
    <w:rsid w:val="009C64B1"/>
    <w:rsid w:val="009C6506"/>
    <w:rsid w:val="009C650A"/>
    <w:rsid w:val="009C650E"/>
    <w:rsid w:val="009C65B3"/>
    <w:rsid w:val="009C66A7"/>
    <w:rsid w:val="009C6779"/>
    <w:rsid w:val="009C67B3"/>
    <w:rsid w:val="009C6864"/>
    <w:rsid w:val="009C686C"/>
    <w:rsid w:val="009C6909"/>
    <w:rsid w:val="009C6959"/>
    <w:rsid w:val="009C69AB"/>
    <w:rsid w:val="009C69BA"/>
    <w:rsid w:val="009C6A0D"/>
    <w:rsid w:val="009C6A84"/>
    <w:rsid w:val="009C6A8D"/>
    <w:rsid w:val="009C6AD4"/>
    <w:rsid w:val="009C6C38"/>
    <w:rsid w:val="009C6C83"/>
    <w:rsid w:val="009C6D4F"/>
    <w:rsid w:val="009C6D81"/>
    <w:rsid w:val="009C6EA6"/>
    <w:rsid w:val="009C6F27"/>
    <w:rsid w:val="009C6F4D"/>
    <w:rsid w:val="009C6F53"/>
    <w:rsid w:val="009C6F74"/>
    <w:rsid w:val="009C6F80"/>
    <w:rsid w:val="009C70D2"/>
    <w:rsid w:val="009C70D5"/>
    <w:rsid w:val="009C711D"/>
    <w:rsid w:val="009C714C"/>
    <w:rsid w:val="009C71C6"/>
    <w:rsid w:val="009C728C"/>
    <w:rsid w:val="009C7330"/>
    <w:rsid w:val="009C7343"/>
    <w:rsid w:val="009C7377"/>
    <w:rsid w:val="009C73B8"/>
    <w:rsid w:val="009C73CA"/>
    <w:rsid w:val="009C73F8"/>
    <w:rsid w:val="009C740D"/>
    <w:rsid w:val="009C7420"/>
    <w:rsid w:val="009C7425"/>
    <w:rsid w:val="009C7477"/>
    <w:rsid w:val="009C7480"/>
    <w:rsid w:val="009C74BF"/>
    <w:rsid w:val="009C74C7"/>
    <w:rsid w:val="009C7531"/>
    <w:rsid w:val="009C756D"/>
    <w:rsid w:val="009C756E"/>
    <w:rsid w:val="009C75C0"/>
    <w:rsid w:val="009C7605"/>
    <w:rsid w:val="009C764C"/>
    <w:rsid w:val="009C776B"/>
    <w:rsid w:val="009C77DB"/>
    <w:rsid w:val="009C77E4"/>
    <w:rsid w:val="009C782D"/>
    <w:rsid w:val="009C7908"/>
    <w:rsid w:val="009C7916"/>
    <w:rsid w:val="009C79FA"/>
    <w:rsid w:val="009C7A5E"/>
    <w:rsid w:val="009C7BE0"/>
    <w:rsid w:val="009C7C07"/>
    <w:rsid w:val="009C7C46"/>
    <w:rsid w:val="009C7C69"/>
    <w:rsid w:val="009C7C83"/>
    <w:rsid w:val="009C7D22"/>
    <w:rsid w:val="009C7D6C"/>
    <w:rsid w:val="009C7DB9"/>
    <w:rsid w:val="009C7DE6"/>
    <w:rsid w:val="009C7DED"/>
    <w:rsid w:val="009C7E06"/>
    <w:rsid w:val="009C7E36"/>
    <w:rsid w:val="009C7E7F"/>
    <w:rsid w:val="009C7E83"/>
    <w:rsid w:val="009C7EE9"/>
    <w:rsid w:val="009C7EF6"/>
    <w:rsid w:val="009C7F45"/>
    <w:rsid w:val="009C7F8D"/>
    <w:rsid w:val="009C7FDE"/>
    <w:rsid w:val="009C7FF8"/>
    <w:rsid w:val="009D003B"/>
    <w:rsid w:val="009D003E"/>
    <w:rsid w:val="009D00B6"/>
    <w:rsid w:val="009D00F8"/>
    <w:rsid w:val="009D0163"/>
    <w:rsid w:val="009D0240"/>
    <w:rsid w:val="009D02C3"/>
    <w:rsid w:val="009D03AF"/>
    <w:rsid w:val="009D03B3"/>
    <w:rsid w:val="009D0402"/>
    <w:rsid w:val="009D0447"/>
    <w:rsid w:val="009D0453"/>
    <w:rsid w:val="009D04DA"/>
    <w:rsid w:val="009D04F4"/>
    <w:rsid w:val="009D0534"/>
    <w:rsid w:val="009D0540"/>
    <w:rsid w:val="009D0604"/>
    <w:rsid w:val="009D0625"/>
    <w:rsid w:val="009D0667"/>
    <w:rsid w:val="009D066E"/>
    <w:rsid w:val="009D0691"/>
    <w:rsid w:val="009D06E9"/>
    <w:rsid w:val="009D0700"/>
    <w:rsid w:val="009D0704"/>
    <w:rsid w:val="009D0705"/>
    <w:rsid w:val="009D0792"/>
    <w:rsid w:val="009D08E9"/>
    <w:rsid w:val="009D090D"/>
    <w:rsid w:val="009D099B"/>
    <w:rsid w:val="009D09D4"/>
    <w:rsid w:val="009D0A07"/>
    <w:rsid w:val="009D0B18"/>
    <w:rsid w:val="009D0B4B"/>
    <w:rsid w:val="009D0B92"/>
    <w:rsid w:val="009D0C06"/>
    <w:rsid w:val="009D0C29"/>
    <w:rsid w:val="009D0D34"/>
    <w:rsid w:val="009D0D53"/>
    <w:rsid w:val="009D0D89"/>
    <w:rsid w:val="009D0DCC"/>
    <w:rsid w:val="009D0E41"/>
    <w:rsid w:val="009D0EAD"/>
    <w:rsid w:val="009D0F02"/>
    <w:rsid w:val="009D0F37"/>
    <w:rsid w:val="009D0F70"/>
    <w:rsid w:val="009D0FFB"/>
    <w:rsid w:val="009D1013"/>
    <w:rsid w:val="009D107E"/>
    <w:rsid w:val="009D10CE"/>
    <w:rsid w:val="009D10D7"/>
    <w:rsid w:val="009D10F0"/>
    <w:rsid w:val="009D1117"/>
    <w:rsid w:val="009D111C"/>
    <w:rsid w:val="009D1120"/>
    <w:rsid w:val="009D1159"/>
    <w:rsid w:val="009D1222"/>
    <w:rsid w:val="009D125B"/>
    <w:rsid w:val="009D12B1"/>
    <w:rsid w:val="009D1343"/>
    <w:rsid w:val="009D1393"/>
    <w:rsid w:val="009D13BF"/>
    <w:rsid w:val="009D13DA"/>
    <w:rsid w:val="009D1400"/>
    <w:rsid w:val="009D1408"/>
    <w:rsid w:val="009D1432"/>
    <w:rsid w:val="009D1446"/>
    <w:rsid w:val="009D14CD"/>
    <w:rsid w:val="009D14F7"/>
    <w:rsid w:val="009D168F"/>
    <w:rsid w:val="009D16F6"/>
    <w:rsid w:val="009D183F"/>
    <w:rsid w:val="009D19D1"/>
    <w:rsid w:val="009D19D2"/>
    <w:rsid w:val="009D19F8"/>
    <w:rsid w:val="009D1ADB"/>
    <w:rsid w:val="009D1B00"/>
    <w:rsid w:val="009D1B0B"/>
    <w:rsid w:val="009D1B26"/>
    <w:rsid w:val="009D1B9A"/>
    <w:rsid w:val="009D1BDD"/>
    <w:rsid w:val="009D1BDE"/>
    <w:rsid w:val="009D1C10"/>
    <w:rsid w:val="009D1C11"/>
    <w:rsid w:val="009D1C30"/>
    <w:rsid w:val="009D1C42"/>
    <w:rsid w:val="009D1CEA"/>
    <w:rsid w:val="009D1FA4"/>
    <w:rsid w:val="009D2046"/>
    <w:rsid w:val="009D208D"/>
    <w:rsid w:val="009D20C2"/>
    <w:rsid w:val="009D21BE"/>
    <w:rsid w:val="009D2279"/>
    <w:rsid w:val="009D228D"/>
    <w:rsid w:val="009D23CC"/>
    <w:rsid w:val="009D2409"/>
    <w:rsid w:val="009D2435"/>
    <w:rsid w:val="009D25B2"/>
    <w:rsid w:val="009D25C7"/>
    <w:rsid w:val="009D2744"/>
    <w:rsid w:val="009D276B"/>
    <w:rsid w:val="009D27AB"/>
    <w:rsid w:val="009D27C7"/>
    <w:rsid w:val="009D27E5"/>
    <w:rsid w:val="009D2850"/>
    <w:rsid w:val="009D285B"/>
    <w:rsid w:val="009D2860"/>
    <w:rsid w:val="009D2886"/>
    <w:rsid w:val="009D28DD"/>
    <w:rsid w:val="009D2A12"/>
    <w:rsid w:val="009D2A60"/>
    <w:rsid w:val="009D2A77"/>
    <w:rsid w:val="009D2B6E"/>
    <w:rsid w:val="009D2BC8"/>
    <w:rsid w:val="009D2C40"/>
    <w:rsid w:val="009D2CAF"/>
    <w:rsid w:val="009D2CD4"/>
    <w:rsid w:val="009D2D64"/>
    <w:rsid w:val="009D2E9A"/>
    <w:rsid w:val="009D2F02"/>
    <w:rsid w:val="009D30EC"/>
    <w:rsid w:val="009D3121"/>
    <w:rsid w:val="009D3151"/>
    <w:rsid w:val="009D3198"/>
    <w:rsid w:val="009D31BF"/>
    <w:rsid w:val="009D31D1"/>
    <w:rsid w:val="009D31F6"/>
    <w:rsid w:val="009D325F"/>
    <w:rsid w:val="009D32A9"/>
    <w:rsid w:val="009D3379"/>
    <w:rsid w:val="009D33FB"/>
    <w:rsid w:val="009D347E"/>
    <w:rsid w:val="009D3484"/>
    <w:rsid w:val="009D349B"/>
    <w:rsid w:val="009D34B2"/>
    <w:rsid w:val="009D3522"/>
    <w:rsid w:val="009D3534"/>
    <w:rsid w:val="009D3579"/>
    <w:rsid w:val="009D35AF"/>
    <w:rsid w:val="009D3621"/>
    <w:rsid w:val="009D3626"/>
    <w:rsid w:val="009D3837"/>
    <w:rsid w:val="009D3857"/>
    <w:rsid w:val="009D389D"/>
    <w:rsid w:val="009D38D7"/>
    <w:rsid w:val="009D393E"/>
    <w:rsid w:val="009D39A8"/>
    <w:rsid w:val="009D39D6"/>
    <w:rsid w:val="009D39E0"/>
    <w:rsid w:val="009D3A2D"/>
    <w:rsid w:val="009D3A35"/>
    <w:rsid w:val="009D3A8E"/>
    <w:rsid w:val="009D3B53"/>
    <w:rsid w:val="009D3B80"/>
    <w:rsid w:val="009D3B92"/>
    <w:rsid w:val="009D3BC5"/>
    <w:rsid w:val="009D3C2D"/>
    <w:rsid w:val="009D3C3D"/>
    <w:rsid w:val="009D3CA1"/>
    <w:rsid w:val="009D3CC5"/>
    <w:rsid w:val="009D3CDB"/>
    <w:rsid w:val="009D3D7A"/>
    <w:rsid w:val="009D3D95"/>
    <w:rsid w:val="009D3E45"/>
    <w:rsid w:val="009D3F01"/>
    <w:rsid w:val="009D3F04"/>
    <w:rsid w:val="009D3F3C"/>
    <w:rsid w:val="009D3F90"/>
    <w:rsid w:val="009D3F9C"/>
    <w:rsid w:val="009D3FD3"/>
    <w:rsid w:val="009D4062"/>
    <w:rsid w:val="009D4063"/>
    <w:rsid w:val="009D40D2"/>
    <w:rsid w:val="009D4127"/>
    <w:rsid w:val="009D4137"/>
    <w:rsid w:val="009D424D"/>
    <w:rsid w:val="009D42E6"/>
    <w:rsid w:val="009D42EC"/>
    <w:rsid w:val="009D4300"/>
    <w:rsid w:val="009D4305"/>
    <w:rsid w:val="009D432C"/>
    <w:rsid w:val="009D4377"/>
    <w:rsid w:val="009D43A1"/>
    <w:rsid w:val="009D4414"/>
    <w:rsid w:val="009D442F"/>
    <w:rsid w:val="009D445B"/>
    <w:rsid w:val="009D445C"/>
    <w:rsid w:val="009D4472"/>
    <w:rsid w:val="009D4473"/>
    <w:rsid w:val="009D4475"/>
    <w:rsid w:val="009D4485"/>
    <w:rsid w:val="009D455F"/>
    <w:rsid w:val="009D459F"/>
    <w:rsid w:val="009D45DD"/>
    <w:rsid w:val="009D4610"/>
    <w:rsid w:val="009D4614"/>
    <w:rsid w:val="009D4662"/>
    <w:rsid w:val="009D470A"/>
    <w:rsid w:val="009D4780"/>
    <w:rsid w:val="009D47B3"/>
    <w:rsid w:val="009D47CA"/>
    <w:rsid w:val="009D4804"/>
    <w:rsid w:val="009D4843"/>
    <w:rsid w:val="009D4857"/>
    <w:rsid w:val="009D486D"/>
    <w:rsid w:val="009D4A17"/>
    <w:rsid w:val="009D4A6C"/>
    <w:rsid w:val="009D4AA8"/>
    <w:rsid w:val="009D4B73"/>
    <w:rsid w:val="009D4B78"/>
    <w:rsid w:val="009D4CCE"/>
    <w:rsid w:val="009D4D6E"/>
    <w:rsid w:val="009D4D88"/>
    <w:rsid w:val="009D4DB9"/>
    <w:rsid w:val="009D4FDD"/>
    <w:rsid w:val="009D4FF1"/>
    <w:rsid w:val="009D5001"/>
    <w:rsid w:val="009D5027"/>
    <w:rsid w:val="009D50A6"/>
    <w:rsid w:val="009D50C3"/>
    <w:rsid w:val="009D5122"/>
    <w:rsid w:val="009D515B"/>
    <w:rsid w:val="009D5288"/>
    <w:rsid w:val="009D53A7"/>
    <w:rsid w:val="009D53FE"/>
    <w:rsid w:val="009D544E"/>
    <w:rsid w:val="009D5454"/>
    <w:rsid w:val="009D54EE"/>
    <w:rsid w:val="009D5531"/>
    <w:rsid w:val="009D5564"/>
    <w:rsid w:val="009D5596"/>
    <w:rsid w:val="009D55AC"/>
    <w:rsid w:val="009D56FF"/>
    <w:rsid w:val="009D5749"/>
    <w:rsid w:val="009D576F"/>
    <w:rsid w:val="009D5781"/>
    <w:rsid w:val="009D5803"/>
    <w:rsid w:val="009D5811"/>
    <w:rsid w:val="009D590B"/>
    <w:rsid w:val="009D5996"/>
    <w:rsid w:val="009D5A09"/>
    <w:rsid w:val="009D5A0D"/>
    <w:rsid w:val="009D5A32"/>
    <w:rsid w:val="009D5BE2"/>
    <w:rsid w:val="009D5C81"/>
    <w:rsid w:val="009D5D0F"/>
    <w:rsid w:val="009D5D17"/>
    <w:rsid w:val="009D5F6E"/>
    <w:rsid w:val="009D5F93"/>
    <w:rsid w:val="009D6036"/>
    <w:rsid w:val="009D60AA"/>
    <w:rsid w:val="009D613E"/>
    <w:rsid w:val="009D61F3"/>
    <w:rsid w:val="009D61FF"/>
    <w:rsid w:val="009D626F"/>
    <w:rsid w:val="009D62A2"/>
    <w:rsid w:val="009D6327"/>
    <w:rsid w:val="009D632F"/>
    <w:rsid w:val="009D6350"/>
    <w:rsid w:val="009D63C6"/>
    <w:rsid w:val="009D63E8"/>
    <w:rsid w:val="009D6407"/>
    <w:rsid w:val="009D6410"/>
    <w:rsid w:val="009D6466"/>
    <w:rsid w:val="009D649F"/>
    <w:rsid w:val="009D64FF"/>
    <w:rsid w:val="009D6587"/>
    <w:rsid w:val="009D660D"/>
    <w:rsid w:val="009D662B"/>
    <w:rsid w:val="009D663F"/>
    <w:rsid w:val="009D666B"/>
    <w:rsid w:val="009D6687"/>
    <w:rsid w:val="009D6704"/>
    <w:rsid w:val="009D6765"/>
    <w:rsid w:val="009D6776"/>
    <w:rsid w:val="009D6814"/>
    <w:rsid w:val="009D6A67"/>
    <w:rsid w:val="009D6AB4"/>
    <w:rsid w:val="009D6AEC"/>
    <w:rsid w:val="009D6B3E"/>
    <w:rsid w:val="009D6BAF"/>
    <w:rsid w:val="009D6C11"/>
    <w:rsid w:val="009D6C1C"/>
    <w:rsid w:val="009D6C74"/>
    <w:rsid w:val="009D6DB3"/>
    <w:rsid w:val="009D6DC1"/>
    <w:rsid w:val="009D6E6B"/>
    <w:rsid w:val="009D700E"/>
    <w:rsid w:val="009D706E"/>
    <w:rsid w:val="009D7097"/>
    <w:rsid w:val="009D7190"/>
    <w:rsid w:val="009D719B"/>
    <w:rsid w:val="009D71D4"/>
    <w:rsid w:val="009D7249"/>
    <w:rsid w:val="009D7322"/>
    <w:rsid w:val="009D7361"/>
    <w:rsid w:val="009D7369"/>
    <w:rsid w:val="009D7481"/>
    <w:rsid w:val="009D75B3"/>
    <w:rsid w:val="009D75C1"/>
    <w:rsid w:val="009D75FE"/>
    <w:rsid w:val="009D7621"/>
    <w:rsid w:val="009D769B"/>
    <w:rsid w:val="009D76D9"/>
    <w:rsid w:val="009D7764"/>
    <w:rsid w:val="009D7766"/>
    <w:rsid w:val="009D777C"/>
    <w:rsid w:val="009D7795"/>
    <w:rsid w:val="009D77BF"/>
    <w:rsid w:val="009D7867"/>
    <w:rsid w:val="009D7892"/>
    <w:rsid w:val="009D7911"/>
    <w:rsid w:val="009D7917"/>
    <w:rsid w:val="009D7995"/>
    <w:rsid w:val="009D799E"/>
    <w:rsid w:val="009D7A4B"/>
    <w:rsid w:val="009D7AAF"/>
    <w:rsid w:val="009D7BA4"/>
    <w:rsid w:val="009D7BB0"/>
    <w:rsid w:val="009D7BE1"/>
    <w:rsid w:val="009D7C4A"/>
    <w:rsid w:val="009D7CB4"/>
    <w:rsid w:val="009D7D03"/>
    <w:rsid w:val="009D7D10"/>
    <w:rsid w:val="009D7E5D"/>
    <w:rsid w:val="009D7E65"/>
    <w:rsid w:val="009D7F30"/>
    <w:rsid w:val="009E00AF"/>
    <w:rsid w:val="009E00B3"/>
    <w:rsid w:val="009E0146"/>
    <w:rsid w:val="009E017C"/>
    <w:rsid w:val="009E01A0"/>
    <w:rsid w:val="009E02CB"/>
    <w:rsid w:val="009E02E2"/>
    <w:rsid w:val="009E0388"/>
    <w:rsid w:val="009E0405"/>
    <w:rsid w:val="009E0477"/>
    <w:rsid w:val="009E04E0"/>
    <w:rsid w:val="009E0527"/>
    <w:rsid w:val="009E053C"/>
    <w:rsid w:val="009E055F"/>
    <w:rsid w:val="009E05EF"/>
    <w:rsid w:val="009E063B"/>
    <w:rsid w:val="009E064E"/>
    <w:rsid w:val="009E06A6"/>
    <w:rsid w:val="009E06EF"/>
    <w:rsid w:val="009E0720"/>
    <w:rsid w:val="009E074F"/>
    <w:rsid w:val="009E0794"/>
    <w:rsid w:val="009E07CB"/>
    <w:rsid w:val="009E07D4"/>
    <w:rsid w:val="009E07EF"/>
    <w:rsid w:val="009E0845"/>
    <w:rsid w:val="009E0850"/>
    <w:rsid w:val="009E087D"/>
    <w:rsid w:val="009E0899"/>
    <w:rsid w:val="009E08DA"/>
    <w:rsid w:val="009E0952"/>
    <w:rsid w:val="009E0983"/>
    <w:rsid w:val="009E0992"/>
    <w:rsid w:val="009E09CE"/>
    <w:rsid w:val="009E0A33"/>
    <w:rsid w:val="009E0AFC"/>
    <w:rsid w:val="009E0B28"/>
    <w:rsid w:val="009E0B29"/>
    <w:rsid w:val="009E0B64"/>
    <w:rsid w:val="009E0C33"/>
    <w:rsid w:val="009E0C45"/>
    <w:rsid w:val="009E0C7D"/>
    <w:rsid w:val="009E0C85"/>
    <w:rsid w:val="009E0CD5"/>
    <w:rsid w:val="009E0CEE"/>
    <w:rsid w:val="009E0D00"/>
    <w:rsid w:val="009E0E5F"/>
    <w:rsid w:val="009E0FB3"/>
    <w:rsid w:val="009E0FF1"/>
    <w:rsid w:val="009E0FF6"/>
    <w:rsid w:val="009E103D"/>
    <w:rsid w:val="009E104E"/>
    <w:rsid w:val="009E10A1"/>
    <w:rsid w:val="009E10A6"/>
    <w:rsid w:val="009E10AE"/>
    <w:rsid w:val="009E10B9"/>
    <w:rsid w:val="009E10F7"/>
    <w:rsid w:val="009E10FB"/>
    <w:rsid w:val="009E114D"/>
    <w:rsid w:val="009E12C3"/>
    <w:rsid w:val="009E1352"/>
    <w:rsid w:val="009E1366"/>
    <w:rsid w:val="009E1375"/>
    <w:rsid w:val="009E1421"/>
    <w:rsid w:val="009E1596"/>
    <w:rsid w:val="009E1613"/>
    <w:rsid w:val="009E163A"/>
    <w:rsid w:val="009E1665"/>
    <w:rsid w:val="009E16A7"/>
    <w:rsid w:val="009E171F"/>
    <w:rsid w:val="009E17FA"/>
    <w:rsid w:val="009E1846"/>
    <w:rsid w:val="009E1853"/>
    <w:rsid w:val="009E186D"/>
    <w:rsid w:val="009E1935"/>
    <w:rsid w:val="009E1973"/>
    <w:rsid w:val="009E1A2C"/>
    <w:rsid w:val="009E1AD0"/>
    <w:rsid w:val="009E1B6A"/>
    <w:rsid w:val="009E1C43"/>
    <w:rsid w:val="009E1C5A"/>
    <w:rsid w:val="009E1D21"/>
    <w:rsid w:val="009E1D4E"/>
    <w:rsid w:val="009E1D54"/>
    <w:rsid w:val="009E1D79"/>
    <w:rsid w:val="009E1E03"/>
    <w:rsid w:val="009E1E85"/>
    <w:rsid w:val="009E1EBF"/>
    <w:rsid w:val="009E1ED8"/>
    <w:rsid w:val="009E1F1C"/>
    <w:rsid w:val="009E1F32"/>
    <w:rsid w:val="009E1F48"/>
    <w:rsid w:val="009E1F7C"/>
    <w:rsid w:val="009E1F9C"/>
    <w:rsid w:val="009E2028"/>
    <w:rsid w:val="009E20BD"/>
    <w:rsid w:val="009E225A"/>
    <w:rsid w:val="009E225F"/>
    <w:rsid w:val="009E2297"/>
    <w:rsid w:val="009E229E"/>
    <w:rsid w:val="009E22C1"/>
    <w:rsid w:val="009E22ED"/>
    <w:rsid w:val="009E231C"/>
    <w:rsid w:val="009E23F6"/>
    <w:rsid w:val="009E2461"/>
    <w:rsid w:val="009E24EB"/>
    <w:rsid w:val="009E251D"/>
    <w:rsid w:val="009E256A"/>
    <w:rsid w:val="009E259C"/>
    <w:rsid w:val="009E25E5"/>
    <w:rsid w:val="009E2605"/>
    <w:rsid w:val="009E262C"/>
    <w:rsid w:val="009E2646"/>
    <w:rsid w:val="009E2660"/>
    <w:rsid w:val="009E2689"/>
    <w:rsid w:val="009E26F6"/>
    <w:rsid w:val="009E2711"/>
    <w:rsid w:val="009E2717"/>
    <w:rsid w:val="009E273B"/>
    <w:rsid w:val="009E279A"/>
    <w:rsid w:val="009E27DD"/>
    <w:rsid w:val="009E28C3"/>
    <w:rsid w:val="009E291B"/>
    <w:rsid w:val="009E29A7"/>
    <w:rsid w:val="009E2A0E"/>
    <w:rsid w:val="009E2A10"/>
    <w:rsid w:val="009E2A2E"/>
    <w:rsid w:val="009E2AD3"/>
    <w:rsid w:val="009E2AF2"/>
    <w:rsid w:val="009E2B31"/>
    <w:rsid w:val="009E2C58"/>
    <w:rsid w:val="009E2C68"/>
    <w:rsid w:val="009E2C80"/>
    <w:rsid w:val="009E2C85"/>
    <w:rsid w:val="009E2D1D"/>
    <w:rsid w:val="009E2D35"/>
    <w:rsid w:val="009E2DF1"/>
    <w:rsid w:val="009E2E0B"/>
    <w:rsid w:val="009E2E58"/>
    <w:rsid w:val="009E2E8E"/>
    <w:rsid w:val="009E2F83"/>
    <w:rsid w:val="009E2F90"/>
    <w:rsid w:val="009E311A"/>
    <w:rsid w:val="009E335F"/>
    <w:rsid w:val="009E338E"/>
    <w:rsid w:val="009E339D"/>
    <w:rsid w:val="009E33A5"/>
    <w:rsid w:val="009E33D6"/>
    <w:rsid w:val="009E3417"/>
    <w:rsid w:val="009E3424"/>
    <w:rsid w:val="009E3560"/>
    <w:rsid w:val="009E3575"/>
    <w:rsid w:val="009E3577"/>
    <w:rsid w:val="009E359E"/>
    <w:rsid w:val="009E35C8"/>
    <w:rsid w:val="009E360B"/>
    <w:rsid w:val="009E375E"/>
    <w:rsid w:val="009E37F4"/>
    <w:rsid w:val="009E37FD"/>
    <w:rsid w:val="009E3844"/>
    <w:rsid w:val="009E3889"/>
    <w:rsid w:val="009E38CD"/>
    <w:rsid w:val="009E38D1"/>
    <w:rsid w:val="009E3B82"/>
    <w:rsid w:val="009E3C3E"/>
    <w:rsid w:val="009E3CFA"/>
    <w:rsid w:val="009E3D12"/>
    <w:rsid w:val="009E3D1A"/>
    <w:rsid w:val="009E3DFB"/>
    <w:rsid w:val="009E3E09"/>
    <w:rsid w:val="009E3EA3"/>
    <w:rsid w:val="009E3EF2"/>
    <w:rsid w:val="009E3F11"/>
    <w:rsid w:val="009E3FD9"/>
    <w:rsid w:val="009E4005"/>
    <w:rsid w:val="009E40B6"/>
    <w:rsid w:val="009E40FE"/>
    <w:rsid w:val="009E4104"/>
    <w:rsid w:val="009E417D"/>
    <w:rsid w:val="009E41A5"/>
    <w:rsid w:val="009E4228"/>
    <w:rsid w:val="009E42D8"/>
    <w:rsid w:val="009E42E6"/>
    <w:rsid w:val="009E4349"/>
    <w:rsid w:val="009E4395"/>
    <w:rsid w:val="009E43C1"/>
    <w:rsid w:val="009E43CA"/>
    <w:rsid w:val="009E4428"/>
    <w:rsid w:val="009E443E"/>
    <w:rsid w:val="009E444E"/>
    <w:rsid w:val="009E4459"/>
    <w:rsid w:val="009E44F3"/>
    <w:rsid w:val="009E4568"/>
    <w:rsid w:val="009E45B4"/>
    <w:rsid w:val="009E4639"/>
    <w:rsid w:val="009E464A"/>
    <w:rsid w:val="009E4672"/>
    <w:rsid w:val="009E4748"/>
    <w:rsid w:val="009E4767"/>
    <w:rsid w:val="009E4796"/>
    <w:rsid w:val="009E47E5"/>
    <w:rsid w:val="009E480B"/>
    <w:rsid w:val="009E4810"/>
    <w:rsid w:val="009E4816"/>
    <w:rsid w:val="009E48E8"/>
    <w:rsid w:val="009E490A"/>
    <w:rsid w:val="009E4980"/>
    <w:rsid w:val="009E4985"/>
    <w:rsid w:val="009E4998"/>
    <w:rsid w:val="009E4A94"/>
    <w:rsid w:val="009E4AC0"/>
    <w:rsid w:val="009E4ACB"/>
    <w:rsid w:val="009E4AE8"/>
    <w:rsid w:val="009E4B5C"/>
    <w:rsid w:val="009E4B8B"/>
    <w:rsid w:val="009E4C38"/>
    <w:rsid w:val="009E4CBD"/>
    <w:rsid w:val="009E4D78"/>
    <w:rsid w:val="009E4D7D"/>
    <w:rsid w:val="009E4D87"/>
    <w:rsid w:val="009E4D8E"/>
    <w:rsid w:val="009E4DAE"/>
    <w:rsid w:val="009E4DF6"/>
    <w:rsid w:val="009E4E53"/>
    <w:rsid w:val="009E4EC5"/>
    <w:rsid w:val="009E4EDD"/>
    <w:rsid w:val="009E4F5C"/>
    <w:rsid w:val="009E50ED"/>
    <w:rsid w:val="009E514E"/>
    <w:rsid w:val="009E5178"/>
    <w:rsid w:val="009E51AB"/>
    <w:rsid w:val="009E51EC"/>
    <w:rsid w:val="009E5292"/>
    <w:rsid w:val="009E53AF"/>
    <w:rsid w:val="009E53DA"/>
    <w:rsid w:val="009E5450"/>
    <w:rsid w:val="009E5567"/>
    <w:rsid w:val="009E558F"/>
    <w:rsid w:val="009E55E8"/>
    <w:rsid w:val="009E5606"/>
    <w:rsid w:val="009E56D4"/>
    <w:rsid w:val="009E57D5"/>
    <w:rsid w:val="009E57D6"/>
    <w:rsid w:val="009E57F3"/>
    <w:rsid w:val="009E58BE"/>
    <w:rsid w:val="009E59C7"/>
    <w:rsid w:val="009E5A92"/>
    <w:rsid w:val="009E5A99"/>
    <w:rsid w:val="009E5BA0"/>
    <w:rsid w:val="009E5C72"/>
    <w:rsid w:val="009E5C7D"/>
    <w:rsid w:val="009E5CDD"/>
    <w:rsid w:val="009E5CF7"/>
    <w:rsid w:val="009E5D29"/>
    <w:rsid w:val="009E5D86"/>
    <w:rsid w:val="009E5E52"/>
    <w:rsid w:val="009E5E76"/>
    <w:rsid w:val="009E5E8A"/>
    <w:rsid w:val="009E5E93"/>
    <w:rsid w:val="009E5EA1"/>
    <w:rsid w:val="009E5EBA"/>
    <w:rsid w:val="009E5F43"/>
    <w:rsid w:val="009E5F68"/>
    <w:rsid w:val="009E6039"/>
    <w:rsid w:val="009E607E"/>
    <w:rsid w:val="009E616E"/>
    <w:rsid w:val="009E6198"/>
    <w:rsid w:val="009E61C2"/>
    <w:rsid w:val="009E61CA"/>
    <w:rsid w:val="009E623B"/>
    <w:rsid w:val="009E629E"/>
    <w:rsid w:val="009E639D"/>
    <w:rsid w:val="009E63E8"/>
    <w:rsid w:val="009E643D"/>
    <w:rsid w:val="009E6443"/>
    <w:rsid w:val="009E6445"/>
    <w:rsid w:val="009E645E"/>
    <w:rsid w:val="009E646F"/>
    <w:rsid w:val="009E64B2"/>
    <w:rsid w:val="009E6501"/>
    <w:rsid w:val="009E650F"/>
    <w:rsid w:val="009E656A"/>
    <w:rsid w:val="009E6642"/>
    <w:rsid w:val="009E664B"/>
    <w:rsid w:val="009E6688"/>
    <w:rsid w:val="009E6752"/>
    <w:rsid w:val="009E6766"/>
    <w:rsid w:val="009E6899"/>
    <w:rsid w:val="009E68FE"/>
    <w:rsid w:val="009E69FC"/>
    <w:rsid w:val="009E6AA2"/>
    <w:rsid w:val="009E6AB4"/>
    <w:rsid w:val="009E6AC1"/>
    <w:rsid w:val="009E6AC3"/>
    <w:rsid w:val="009E6AEA"/>
    <w:rsid w:val="009E6B35"/>
    <w:rsid w:val="009E6C74"/>
    <w:rsid w:val="009E6C84"/>
    <w:rsid w:val="009E6CFA"/>
    <w:rsid w:val="009E6D1E"/>
    <w:rsid w:val="009E6D3E"/>
    <w:rsid w:val="009E6D7F"/>
    <w:rsid w:val="009E6E83"/>
    <w:rsid w:val="009E6EB0"/>
    <w:rsid w:val="009E6ED5"/>
    <w:rsid w:val="009E6F39"/>
    <w:rsid w:val="009E7064"/>
    <w:rsid w:val="009E7081"/>
    <w:rsid w:val="009E7142"/>
    <w:rsid w:val="009E714A"/>
    <w:rsid w:val="009E7207"/>
    <w:rsid w:val="009E72F4"/>
    <w:rsid w:val="009E7332"/>
    <w:rsid w:val="009E7493"/>
    <w:rsid w:val="009E74C4"/>
    <w:rsid w:val="009E7514"/>
    <w:rsid w:val="009E7577"/>
    <w:rsid w:val="009E7614"/>
    <w:rsid w:val="009E78B2"/>
    <w:rsid w:val="009E78D0"/>
    <w:rsid w:val="009E78E0"/>
    <w:rsid w:val="009E792E"/>
    <w:rsid w:val="009E799B"/>
    <w:rsid w:val="009E79B6"/>
    <w:rsid w:val="009E7A49"/>
    <w:rsid w:val="009E7A72"/>
    <w:rsid w:val="009E7A9D"/>
    <w:rsid w:val="009E7ABE"/>
    <w:rsid w:val="009E7AD9"/>
    <w:rsid w:val="009E7AE6"/>
    <w:rsid w:val="009E7B35"/>
    <w:rsid w:val="009E7D7E"/>
    <w:rsid w:val="009E7DA2"/>
    <w:rsid w:val="009E7DA3"/>
    <w:rsid w:val="009E7E1E"/>
    <w:rsid w:val="009E7E2D"/>
    <w:rsid w:val="009E7E5D"/>
    <w:rsid w:val="009E7E5F"/>
    <w:rsid w:val="009E7E71"/>
    <w:rsid w:val="009E7EAA"/>
    <w:rsid w:val="009E7F2D"/>
    <w:rsid w:val="009E7F55"/>
    <w:rsid w:val="009E7FD4"/>
    <w:rsid w:val="009F0164"/>
    <w:rsid w:val="009F01BC"/>
    <w:rsid w:val="009F0203"/>
    <w:rsid w:val="009F024E"/>
    <w:rsid w:val="009F030E"/>
    <w:rsid w:val="009F03C0"/>
    <w:rsid w:val="009F03FA"/>
    <w:rsid w:val="009F03FF"/>
    <w:rsid w:val="009F0405"/>
    <w:rsid w:val="009F0505"/>
    <w:rsid w:val="009F054A"/>
    <w:rsid w:val="009F05AE"/>
    <w:rsid w:val="009F05F8"/>
    <w:rsid w:val="009F062D"/>
    <w:rsid w:val="009F070E"/>
    <w:rsid w:val="009F0726"/>
    <w:rsid w:val="009F0801"/>
    <w:rsid w:val="009F086A"/>
    <w:rsid w:val="009F0964"/>
    <w:rsid w:val="009F0A13"/>
    <w:rsid w:val="009F0A31"/>
    <w:rsid w:val="009F0AC6"/>
    <w:rsid w:val="009F0BDF"/>
    <w:rsid w:val="009F0C0B"/>
    <w:rsid w:val="009F0C3C"/>
    <w:rsid w:val="009F0CBE"/>
    <w:rsid w:val="009F0CCE"/>
    <w:rsid w:val="009F0CE3"/>
    <w:rsid w:val="009F0D03"/>
    <w:rsid w:val="009F0DEE"/>
    <w:rsid w:val="009F0DF0"/>
    <w:rsid w:val="009F0DF3"/>
    <w:rsid w:val="009F0E12"/>
    <w:rsid w:val="009F0E1C"/>
    <w:rsid w:val="009F0E23"/>
    <w:rsid w:val="009F0E6C"/>
    <w:rsid w:val="009F0E7B"/>
    <w:rsid w:val="009F0FB1"/>
    <w:rsid w:val="009F0FC3"/>
    <w:rsid w:val="009F0FE0"/>
    <w:rsid w:val="009F1012"/>
    <w:rsid w:val="009F104E"/>
    <w:rsid w:val="009F1060"/>
    <w:rsid w:val="009F109D"/>
    <w:rsid w:val="009F10CE"/>
    <w:rsid w:val="009F11A3"/>
    <w:rsid w:val="009F11C9"/>
    <w:rsid w:val="009F11F8"/>
    <w:rsid w:val="009F134D"/>
    <w:rsid w:val="009F137F"/>
    <w:rsid w:val="009F13C1"/>
    <w:rsid w:val="009F146F"/>
    <w:rsid w:val="009F1483"/>
    <w:rsid w:val="009F14A3"/>
    <w:rsid w:val="009F14B3"/>
    <w:rsid w:val="009F14C9"/>
    <w:rsid w:val="009F14DA"/>
    <w:rsid w:val="009F1500"/>
    <w:rsid w:val="009F1587"/>
    <w:rsid w:val="009F1607"/>
    <w:rsid w:val="009F162D"/>
    <w:rsid w:val="009F16C1"/>
    <w:rsid w:val="009F17C3"/>
    <w:rsid w:val="009F1858"/>
    <w:rsid w:val="009F185D"/>
    <w:rsid w:val="009F18C4"/>
    <w:rsid w:val="009F18D1"/>
    <w:rsid w:val="009F1994"/>
    <w:rsid w:val="009F1A03"/>
    <w:rsid w:val="009F1A30"/>
    <w:rsid w:val="009F1AA7"/>
    <w:rsid w:val="009F1B05"/>
    <w:rsid w:val="009F1B11"/>
    <w:rsid w:val="009F1B2F"/>
    <w:rsid w:val="009F1C2D"/>
    <w:rsid w:val="009F1C57"/>
    <w:rsid w:val="009F1CA1"/>
    <w:rsid w:val="009F1CC4"/>
    <w:rsid w:val="009F1D9B"/>
    <w:rsid w:val="009F1DED"/>
    <w:rsid w:val="009F1ED2"/>
    <w:rsid w:val="009F1EF5"/>
    <w:rsid w:val="009F1F01"/>
    <w:rsid w:val="009F1F3B"/>
    <w:rsid w:val="009F1F7C"/>
    <w:rsid w:val="009F2035"/>
    <w:rsid w:val="009F206A"/>
    <w:rsid w:val="009F2082"/>
    <w:rsid w:val="009F2128"/>
    <w:rsid w:val="009F2131"/>
    <w:rsid w:val="009F2162"/>
    <w:rsid w:val="009F2179"/>
    <w:rsid w:val="009F21FB"/>
    <w:rsid w:val="009F221A"/>
    <w:rsid w:val="009F2229"/>
    <w:rsid w:val="009F2245"/>
    <w:rsid w:val="009F22A0"/>
    <w:rsid w:val="009F22AF"/>
    <w:rsid w:val="009F244C"/>
    <w:rsid w:val="009F2480"/>
    <w:rsid w:val="009F2518"/>
    <w:rsid w:val="009F25B9"/>
    <w:rsid w:val="009F25F3"/>
    <w:rsid w:val="009F2639"/>
    <w:rsid w:val="009F26A1"/>
    <w:rsid w:val="009F276D"/>
    <w:rsid w:val="009F2793"/>
    <w:rsid w:val="009F283B"/>
    <w:rsid w:val="009F295E"/>
    <w:rsid w:val="009F29FD"/>
    <w:rsid w:val="009F2A4C"/>
    <w:rsid w:val="009F2A64"/>
    <w:rsid w:val="009F2A68"/>
    <w:rsid w:val="009F2A9F"/>
    <w:rsid w:val="009F2B0A"/>
    <w:rsid w:val="009F2C0A"/>
    <w:rsid w:val="009F2C1C"/>
    <w:rsid w:val="009F2CF8"/>
    <w:rsid w:val="009F2D0E"/>
    <w:rsid w:val="009F2DA7"/>
    <w:rsid w:val="009F2E41"/>
    <w:rsid w:val="009F2E50"/>
    <w:rsid w:val="009F2E6D"/>
    <w:rsid w:val="009F2ED8"/>
    <w:rsid w:val="009F2EF9"/>
    <w:rsid w:val="009F2F9E"/>
    <w:rsid w:val="009F2FBD"/>
    <w:rsid w:val="009F2FE2"/>
    <w:rsid w:val="009F3063"/>
    <w:rsid w:val="009F30B6"/>
    <w:rsid w:val="009F30F8"/>
    <w:rsid w:val="009F30FA"/>
    <w:rsid w:val="009F3165"/>
    <w:rsid w:val="009F3378"/>
    <w:rsid w:val="009F3498"/>
    <w:rsid w:val="009F34F4"/>
    <w:rsid w:val="009F361D"/>
    <w:rsid w:val="009F362A"/>
    <w:rsid w:val="009F36FF"/>
    <w:rsid w:val="009F3802"/>
    <w:rsid w:val="009F386F"/>
    <w:rsid w:val="009F38FF"/>
    <w:rsid w:val="009F3967"/>
    <w:rsid w:val="009F39A8"/>
    <w:rsid w:val="009F3B08"/>
    <w:rsid w:val="009F3B6C"/>
    <w:rsid w:val="009F3C5D"/>
    <w:rsid w:val="009F3C65"/>
    <w:rsid w:val="009F3C75"/>
    <w:rsid w:val="009F3CA5"/>
    <w:rsid w:val="009F3CC1"/>
    <w:rsid w:val="009F3CCC"/>
    <w:rsid w:val="009F3CD9"/>
    <w:rsid w:val="009F3D23"/>
    <w:rsid w:val="009F3D9B"/>
    <w:rsid w:val="009F3DAD"/>
    <w:rsid w:val="009F3DB3"/>
    <w:rsid w:val="009F3E17"/>
    <w:rsid w:val="009F3F22"/>
    <w:rsid w:val="009F3F26"/>
    <w:rsid w:val="009F3F99"/>
    <w:rsid w:val="009F4062"/>
    <w:rsid w:val="009F4064"/>
    <w:rsid w:val="009F418F"/>
    <w:rsid w:val="009F43A6"/>
    <w:rsid w:val="009F4428"/>
    <w:rsid w:val="009F44B8"/>
    <w:rsid w:val="009F44FA"/>
    <w:rsid w:val="009F4594"/>
    <w:rsid w:val="009F46C6"/>
    <w:rsid w:val="009F46D1"/>
    <w:rsid w:val="009F474C"/>
    <w:rsid w:val="009F4753"/>
    <w:rsid w:val="009F4792"/>
    <w:rsid w:val="009F47D8"/>
    <w:rsid w:val="009F4849"/>
    <w:rsid w:val="009F486C"/>
    <w:rsid w:val="009F498D"/>
    <w:rsid w:val="009F4992"/>
    <w:rsid w:val="009F4A6B"/>
    <w:rsid w:val="009F4C16"/>
    <w:rsid w:val="009F4C31"/>
    <w:rsid w:val="009F4CD9"/>
    <w:rsid w:val="009F4DA2"/>
    <w:rsid w:val="009F4E44"/>
    <w:rsid w:val="009F4EC3"/>
    <w:rsid w:val="009F4EDE"/>
    <w:rsid w:val="009F4EE1"/>
    <w:rsid w:val="009F4F68"/>
    <w:rsid w:val="009F4F69"/>
    <w:rsid w:val="009F4FA7"/>
    <w:rsid w:val="009F4FEA"/>
    <w:rsid w:val="009F508A"/>
    <w:rsid w:val="009F5149"/>
    <w:rsid w:val="009F5262"/>
    <w:rsid w:val="009F52B6"/>
    <w:rsid w:val="009F533C"/>
    <w:rsid w:val="009F538A"/>
    <w:rsid w:val="009F53D7"/>
    <w:rsid w:val="009F540F"/>
    <w:rsid w:val="009F5436"/>
    <w:rsid w:val="009F54DD"/>
    <w:rsid w:val="009F54E1"/>
    <w:rsid w:val="009F5506"/>
    <w:rsid w:val="009F5517"/>
    <w:rsid w:val="009F55D7"/>
    <w:rsid w:val="009F55DD"/>
    <w:rsid w:val="009F562C"/>
    <w:rsid w:val="009F5677"/>
    <w:rsid w:val="009F573E"/>
    <w:rsid w:val="009F574C"/>
    <w:rsid w:val="009F57CD"/>
    <w:rsid w:val="009F57D2"/>
    <w:rsid w:val="009F5835"/>
    <w:rsid w:val="009F5921"/>
    <w:rsid w:val="009F5AEF"/>
    <w:rsid w:val="009F5B63"/>
    <w:rsid w:val="009F5CBE"/>
    <w:rsid w:val="009F5DF7"/>
    <w:rsid w:val="009F5E26"/>
    <w:rsid w:val="009F5FAE"/>
    <w:rsid w:val="009F600E"/>
    <w:rsid w:val="009F6049"/>
    <w:rsid w:val="009F60C4"/>
    <w:rsid w:val="009F60F1"/>
    <w:rsid w:val="009F6103"/>
    <w:rsid w:val="009F6137"/>
    <w:rsid w:val="009F617A"/>
    <w:rsid w:val="009F617C"/>
    <w:rsid w:val="009F61A2"/>
    <w:rsid w:val="009F61CE"/>
    <w:rsid w:val="009F6372"/>
    <w:rsid w:val="009F6391"/>
    <w:rsid w:val="009F63D2"/>
    <w:rsid w:val="009F6466"/>
    <w:rsid w:val="009F64C8"/>
    <w:rsid w:val="009F6538"/>
    <w:rsid w:val="009F65DE"/>
    <w:rsid w:val="009F65F1"/>
    <w:rsid w:val="009F6618"/>
    <w:rsid w:val="009F665A"/>
    <w:rsid w:val="009F669C"/>
    <w:rsid w:val="009F66C7"/>
    <w:rsid w:val="009F66C8"/>
    <w:rsid w:val="009F66EC"/>
    <w:rsid w:val="009F6787"/>
    <w:rsid w:val="009F67D9"/>
    <w:rsid w:val="009F6819"/>
    <w:rsid w:val="009F68B7"/>
    <w:rsid w:val="009F68F0"/>
    <w:rsid w:val="009F696E"/>
    <w:rsid w:val="009F6A0C"/>
    <w:rsid w:val="009F6A27"/>
    <w:rsid w:val="009F6A3F"/>
    <w:rsid w:val="009F6A6F"/>
    <w:rsid w:val="009F6B2F"/>
    <w:rsid w:val="009F6B41"/>
    <w:rsid w:val="009F6C35"/>
    <w:rsid w:val="009F6C55"/>
    <w:rsid w:val="009F6D91"/>
    <w:rsid w:val="009F6DD6"/>
    <w:rsid w:val="009F6DF2"/>
    <w:rsid w:val="009F6E61"/>
    <w:rsid w:val="009F6FAA"/>
    <w:rsid w:val="009F703F"/>
    <w:rsid w:val="009F7052"/>
    <w:rsid w:val="009F70E2"/>
    <w:rsid w:val="009F7193"/>
    <w:rsid w:val="009F71F0"/>
    <w:rsid w:val="009F723E"/>
    <w:rsid w:val="009F7282"/>
    <w:rsid w:val="009F7299"/>
    <w:rsid w:val="009F72B2"/>
    <w:rsid w:val="009F7445"/>
    <w:rsid w:val="009F7495"/>
    <w:rsid w:val="009F749C"/>
    <w:rsid w:val="009F74EC"/>
    <w:rsid w:val="009F75B0"/>
    <w:rsid w:val="009F763A"/>
    <w:rsid w:val="009F76E7"/>
    <w:rsid w:val="009F77E8"/>
    <w:rsid w:val="009F7842"/>
    <w:rsid w:val="009F7845"/>
    <w:rsid w:val="009F7849"/>
    <w:rsid w:val="009F786D"/>
    <w:rsid w:val="009F78CA"/>
    <w:rsid w:val="009F78D9"/>
    <w:rsid w:val="009F78FC"/>
    <w:rsid w:val="009F7950"/>
    <w:rsid w:val="009F796F"/>
    <w:rsid w:val="009F7A18"/>
    <w:rsid w:val="009F7A37"/>
    <w:rsid w:val="009F7A81"/>
    <w:rsid w:val="009F7AAF"/>
    <w:rsid w:val="009F7AF7"/>
    <w:rsid w:val="009F7B56"/>
    <w:rsid w:val="009F7BBC"/>
    <w:rsid w:val="009F7CA4"/>
    <w:rsid w:val="009F7D58"/>
    <w:rsid w:val="009F7DF0"/>
    <w:rsid w:val="009F7E5F"/>
    <w:rsid w:val="009F7E6C"/>
    <w:rsid w:val="009F7ED8"/>
    <w:rsid w:val="009F7F16"/>
    <w:rsid w:val="009F7F6B"/>
    <w:rsid w:val="009F7FAE"/>
    <w:rsid w:val="00A0010F"/>
    <w:rsid w:val="00A001C2"/>
    <w:rsid w:val="00A0028D"/>
    <w:rsid w:val="00A00362"/>
    <w:rsid w:val="00A0037E"/>
    <w:rsid w:val="00A00440"/>
    <w:rsid w:val="00A0047C"/>
    <w:rsid w:val="00A004C6"/>
    <w:rsid w:val="00A00506"/>
    <w:rsid w:val="00A00523"/>
    <w:rsid w:val="00A00607"/>
    <w:rsid w:val="00A00623"/>
    <w:rsid w:val="00A006AA"/>
    <w:rsid w:val="00A0070F"/>
    <w:rsid w:val="00A0071E"/>
    <w:rsid w:val="00A00775"/>
    <w:rsid w:val="00A0080D"/>
    <w:rsid w:val="00A00827"/>
    <w:rsid w:val="00A00895"/>
    <w:rsid w:val="00A00897"/>
    <w:rsid w:val="00A0099B"/>
    <w:rsid w:val="00A00AA1"/>
    <w:rsid w:val="00A00ADF"/>
    <w:rsid w:val="00A00AEF"/>
    <w:rsid w:val="00A00B97"/>
    <w:rsid w:val="00A00BB9"/>
    <w:rsid w:val="00A00C2E"/>
    <w:rsid w:val="00A00D32"/>
    <w:rsid w:val="00A00DB3"/>
    <w:rsid w:val="00A00E08"/>
    <w:rsid w:val="00A00E16"/>
    <w:rsid w:val="00A00EB9"/>
    <w:rsid w:val="00A00F37"/>
    <w:rsid w:val="00A00F5C"/>
    <w:rsid w:val="00A00F6E"/>
    <w:rsid w:val="00A010C4"/>
    <w:rsid w:val="00A01199"/>
    <w:rsid w:val="00A0123D"/>
    <w:rsid w:val="00A01303"/>
    <w:rsid w:val="00A01338"/>
    <w:rsid w:val="00A01382"/>
    <w:rsid w:val="00A013E3"/>
    <w:rsid w:val="00A01429"/>
    <w:rsid w:val="00A0144E"/>
    <w:rsid w:val="00A01459"/>
    <w:rsid w:val="00A01499"/>
    <w:rsid w:val="00A014BA"/>
    <w:rsid w:val="00A014C4"/>
    <w:rsid w:val="00A014CA"/>
    <w:rsid w:val="00A01531"/>
    <w:rsid w:val="00A01595"/>
    <w:rsid w:val="00A0169E"/>
    <w:rsid w:val="00A017E2"/>
    <w:rsid w:val="00A018A0"/>
    <w:rsid w:val="00A019A1"/>
    <w:rsid w:val="00A01AEB"/>
    <w:rsid w:val="00A01B1D"/>
    <w:rsid w:val="00A01CCC"/>
    <w:rsid w:val="00A01CE3"/>
    <w:rsid w:val="00A01D01"/>
    <w:rsid w:val="00A01D0C"/>
    <w:rsid w:val="00A01D4A"/>
    <w:rsid w:val="00A01D50"/>
    <w:rsid w:val="00A01D63"/>
    <w:rsid w:val="00A01FDD"/>
    <w:rsid w:val="00A01FE9"/>
    <w:rsid w:val="00A02029"/>
    <w:rsid w:val="00A0204D"/>
    <w:rsid w:val="00A02064"/>
    <w:rsid w:val="00A0207B"/>
    <w:rsid w:val="00A020F4"/>
    <w:rsid w:val="00A02101"/>
    <w:rsid w:val="00A0213A"/>
    <w:rsid w:val="00A02143"/>
    <w:rsid w:val="00A021EC"/>
    <w:rsid w:val="00A022AA"/>
    <w:rsid w:val="00A022C7"/>
    <w:rsid w:val="00A0231A"/>
    <w:rsid w:val="00A0236D"/>
    <w:rsid w:val="00A023CA"/>
    <w:rsid w:val="00A02441"/>
    <w:rsid w:val="00A024C2"/>
    <w:rsid w:val="00A02502"/>
    <w:rsid w:val="00A0258E"/>
    <w:rsid w:val="00A0264E"/>
    <w:rsid w:val="00A02686"/>
    <w:rsid w:val="00A026CD"/>
    <w:rsid w:val="00A02773"/>
    <w:rsid w:val="00A02820"/>
    <w:rsid w:val="00A02827"/>
    <w:rsid w:val="00A0284C"/>
    <w:rsid w:val="00A02879"/>
    <w:rsid w:val="00A028A1"/>
    <w:rsid w:val="00A029AD"/>
    <w:rsid w:val="00A02A04"/>
    <w:rsid w:val="00A02A3F"/>
    <w:rsid w:val="00A02AD7"/>
    <w:rsid w:val="00A02B9D"/>
    <w:rsid w:val="00A02B9F"/>
    <w:rsid w:val="00A02C4F"/>
    <w:rsid w:val="00A02C57"/>
    <w:rsid w:val="00A02E4E"/>
    <w:rsid w:val="00A02EE5"/>
    <w:rsid w:val="00A02F07"/>
    <w:rsid w:val="00A02F1D"/>
    <w:rsid w:val="00A02F27"/>
    <w:rsid w:val="00A02F34"/>
    <w:rsid w:val="00A03031"/>
    <w:rsid w:val="00A030B9"/>
    <w:rsid w:val="00A030DD"/>
    <w:rsid w:val="00A030E5"/>
    <w:rsid w:val="00A030E8"/>
    <w:rsid w:val="00A0316E"/>
    <w:rsid w:val="00A0316F"/>
    <w:rsid w:val="00A03174"/>
    <w:rsid w:val="00A031B2"/>
    <w:rsid w:val="00A0321D"/>
    <w:rsid w:val="00A03231"/>
    <w:rsid w:val="00A03232"/>
    <w:rsid w:val="00A03281"/>
    <w:rsid w:val="00A0335C"/>
    <w:rsid w:val="00A0336A"/>
    <w:rsid w:val="00A033EA"/>
    <w:rsid w:val="00A03465"/>
    <w:rsid w:val="00A034BB"/>
    <w:rsid w:val="00A034D6"/>
    <w:rsid w:val="00A0358C"/>
    <w:rsid w:val="00A035D8"/>
    <w:rsid w:val="00A0369B"/>
    <w:rsid w:val="00A036D9"/>
    <w:rsid w:val="00A036EA"/>
    <w:rsid w:val="00A0370C"/>
    <w:rsid w:val="00A03737"/>
    <w:rsid w:val="00A03790"/>
    <w:rsid w:val="00A03853"/>
    <w:rsid w:val="00A03857"/>
    <w:rsid w:val="00A038E0"/>
    <w:rsid w:val="00A03977"/>
    <w:rsid w:val="00A0397D"/>
    <w:rsid w:val="00A03A04"/>
    <w:rsid w:val="00A03A0D"/>
    <w:rsid w:val="00A03ACC"/>
    <w:rsid w:val="00A03B41"/>
    <w:rsid w:val="00A03BC7"/>
    <w:rsid w:val="00A03CD7"/>
    <w:rsid w:val="00A03D23"/>
    <w:rsid w:val="00A03D92"/>
    <w:rsid w:val="00A03D93"/>
    <w:rsid w:val="00A03F15"/>
    <w:rsid w:val="00A03F21"/>
    <w:rsid w:val="00A03FBA"/>
    <w:rsid w:val="00A03FD5"/>
    <w:rsid w:val="00A04059"/>
    <w:rsid w:val="00A04247"/>
    <w:rsid w:val="00A0424D"/>
    <w:rsid w:val="00A0428F"/>
    <w:rsid w:val="00A042D8"/>
    <w:rsid w:val="00A042F2"/>
    <w:rsid w:val="00A04342"/>
    <w:rsid w:val="00A04385"/>
    <w:rsid w:val="00A04402"/>
    <w:rsid w:val="00A0444E"/>
    <w:rsid w:val="00A0445A"/>
    <w:rsid w:val="00A044EF"/>
    <w:rsid w:val="00A0469D"/>
    <w:rsid w:val="00A046A9"/>
    <w:rsid w:val="00A04737"/>
    <w:rsid w:val="00A0478B"/>
    <w:rsid w:val="00A0485A"/>
    <w:rsid w:val="00A048B3"/>
    <w:rsid w:val="00A0495A"/>
    <w:rsid w:val="00A04A09"/>
    <w:rsid w:val="00A04A77"/>
    <w:rsid w:val="00A04BBF"/>
    <w:rsid w:val="00A04CBD"/>
    <w:rsid w:val="00A04D05"/>
    <w:rsid w:val="00A04D44"/>
    <w:rsid w:val="00A04E76"/>
    <w:rsid w:val="00A04EA5"/>
    <w:rsid w:val="00A04F0E"/>
    <w:rsid w:val="00A04FA2"/>
    <w:rsid w:val="00A04FCE"/>
    <w:rsid w:val="00A05002"/>
    <w:rsid w:val="00A05061"/>
    <w:rsid w:val="00A0506A"/>
    <w:rsid w:val="00A05081"/>
    <w:rsid w:val="00A05185"/>
    <w:rsid w:val="00A051AE"/>
    <w:rsid w:val="00A05276"/>
    <w:rsid w:val="00A052B6"/>
    <w:rsid w:val="00A052D0"/>
    <w:rsid w:val="00A05306"/>
    <w:rsid w:val="00A05380"/>
    <w:rsid w:val="00A0542A"/>
    <w:rsid w:val="00A05473"/>
    <w:rsid w:val="00A05541"/>
    <w:rsid w:val="00A055D9"/>
    <w:rsid w:val="00A05607"/>
    <w:rsid w:val="00A056F8"/>
    <w:rsid w:val="00A05706"/>
    <w:rsid w:val="00A0574E"/>
    <w:rsid w:val="00A05788"/>
    <w:rsid w:val="00A057EB"/>
    <w:rsid w:val="00A05821"/>
    <w:rsid w:val="00A0586F"/>
    <w:rsid w:val="00A058A5"/>
    <w:rsid w:val="00A058D0"/>
    <w:rsid w:val="00A05958"/>
    <w:rsid w:val="00A05979"/>
    <w:rsid w:val="00A0597D"/>
    <w:rsid w:val="00A059E6"/>
    <w:rsid w:val="00A05A72"/>
    <w:rsid w:val="00A05B83"/>
    <w:rsid w:val="00A05BC0"/>
    <w:rsid w:val="00A05BD9"/>
    <w:rsid w:val="00A05C50"/>
    <w:rsid w:val="00A05CDA"/>
    <w:rsid w:val="00A05CE6"/>
    <w:rsid w:val="00A05D14"/>
    <w:rsid w:val="00A05D1D"/>
    <w:rsid w:val="00A05D33"/>
    <w:rsid w:val="00A05D45"/>
    <w:rsid w:val="00A05DE0"/>
    <w:rsid w:val="00A05EA2"/>
    <w:rsid w:val="00A05EE8"/>
    <w:rsid w:val="00A05FDF"/>
    <w:rsid w:val="00A06062"/>
    <w:rsid w:val="00A06071"/>
    <w:rsid w:val="00A06172"/>
    <w:rsid w:val="00A061A6"/>
    <w:rsid w:val="00A0623C"/>
    <w:rsid w:val="00A062BE"/>
    <w:rsid w:val="00A0630C"/>
    <w:rsid w:val="00A06361"/>
    <w:rsid w:val="00A063A3"/>
    <w:rsid w:val="00A063BF"/>
    <w:rsid w:val="00A06447"/>
    <w:rsid w:val="00A064E4"/>
    <w:rsid w:val="00A06518"/>
    <w:rsid w:val="00A06579"/>
    <w:rsid w:val="00A0664C"/>
    <w:rsid w:val="00A06675"/>
    <w:rsid w:val="00A06734"/>
    <w:rsid w:val="00A0679E"/>
    <w:rsid w:val="00A06817"/>
    <w:rsid w:val="00A068CF"/>
    <w:rsid w:val="00A068D1"/>
    <w:rsid w:val="00A06901"/>
    <w:rsid w:val="00A06934"/>
    <w:rsid w:val="00A06947"/>
    <w:rsid w:val="00A069E0"/>
    <w:rsid w:val="00A06AC3"/>
    <w:rsid w:val="00A06C08"/>
    <w:rsid w:val="00A06C22"/>
    <w:rsid w:val="00A06CA0"/>
    <w:rsid w:val="00A06CB1"/>
    <w:rsid w:val="00A06CBC"/>
    <w:rsid w:val="00A06CF1"/>
    <w:rsid w:val="00A06D3D"/>
    <w:rsid w:val="00A06DC4"/>
    <w:rsid w:val="00A06DCD"/>
    <w:rsid w:val="00A06F2E"/>
    <w:rsid w:val="00A06F4A"/>
    <w:rsid w:val="00A06F72"/>
    <w:rsid w:val="00A06FC4"/>
    <w:rsid w:val="00A06FDC"/>
    <w:rsid w:val="00A07059"/>
    <w:rsid w:val="00A0709A"/>
    <w:rsid w:val="00A070BB"/>
    <w:rsid w:val="00A070E4"/>
    <w:rsid w:val="00A07136"/>
    <w:rsid w:val="00A071AF"/>
    <w:rsid w:val="00A071F0"/>
    <w:rsid w:val="00A07260"/>
    <w:rsid w:val="00A07291"/>
    <w:rsid w:val="00A072E9"/>
    <w:rsid w:val="00A07361"/>
    <w:rsid w:val="00A074B6"/>
    <w:rsid w:val="00A074FB"/>
    <w:rsid w:val="00A07595"/>
    <w:rsid w:val="00A076A3"/>
    <w:rsid w:val="00A076CC"/>
    <w:rsid w:val="00A076FD"/>
    <w:rsid w:val="00A07745"/>
    <w:rsid w:val="00A0774A"/>
    <w:rsid w:val="00A0776E"/>
    <w:rsid w:val="00A07784"/>
    <w:rsid w:val="00A07791"/>
    <w:rsid w:val="00A0783A"/>
    <w:rsid w:val="00A07870"/>
    <w:rsid w:val="00A07874"/>
    <w:rsid w:val="00A078B2"/>
    <w:rsid w:val="00A078C9"/>
    <w:rsid w:val="00A0799C"/>
    <w:rsid w:val="00A079A7"/>
    <w:rsid w:val="00A079C4"/>
    <w:rsid w:val="00A07AC7"/>
    <w:rsid w:val="00A07B24"/>
    <w:rsid w:val="00A07BAE"/>
    <w:rsid w:val="00A07BD8"/>
    <w:rsid w:val="00A07C25"/>
    <w:rsid w:val="00A07C4A"/>
    <w:rsid w:val="00A07C96"/>
    <w:rsid w:val="00A07CFC"/>
    <w:rsid w:val="00A07D6B"/>
    <w:rsid w:val="00A07D7B"/>
    <w:rsid w:val="00A07DC5"/>
    <w:rsid w:val="00A07ED6"/>
    <w:rsid w:val="00A07F07"/>
    <w:rsid w:val="00A07F1A"/>
    <w:rsid w:val="00A07F32"/>
    <w:rsid w:val="00A07F3B"/>
    <w:rsid w:val="00A0AEDB"/>
    <w:rsid w:val="00A10019"/>
    <w:rsid w:val="00A10090"/>
    <w:rsid w:val="00A100CE"/>
    <w:rsid w:val="00A100D9"/>
    <w:rsid w:val="00A101EB"/>
    <w:rsid w:val="00A10234"/>
    <w:rsid w:val="00A10240"/>
    <w:rsid w:val="00A10252"/>
    <w:rsid w:val="00A1026B"/>
    <w:rsid w:val="00A102A0"/>
    <w:rsid w:val="00A10366"/>
    <w:rsid w:val="00A1039B"/>
    <w:rsid w:val="00A10495"/>
    <w:rsid w:val="00A1051E"/>
    <w:rsid w:val="00A10557"/>
    <w:rsid w:val="00A1060C"/>
    <w:rsid w:val="00A1067C"/>
    <w:rsid w:val="00A106C1"/>
    <w:rsid w:val="00A1079F"/>
    <w:rsid w:val="00A107A5"/>
    <w:rsid w:val="00A107D6"/>
    <w:rsid w:val="00A10808"/>
    <w:rsid w:val="00A10820"/>
    <w:rsid w:val="00A10960"/>
    <w:rsid w:val="00A109B5"/>
    <w:rsid w:val="00A109CE"/>
    <w:rsid w:val="00A109E2"/>
    <w:rsid w:val="00A10A46"/>
    <w:rsid w:val="00A10A7C"/>
    <w:rsid w:val="00A10AC9"/>
    <w:rsid w:val="00A10B4C"/>
    <w:rsid w:val="00A10BE9"/>
    <w:rsid w:val="00A10C3F"/>
    <w:rsid w:val="00A10C80"/>
    <w:rsid w:val="00A10D5C"/>
    <w:rsid w:val="00A10EDE"/>
    <w:rsid w:val="00A10F0B"/>
    <w:rsid w:val="00A1100F"/>
    <w:rsid w:val="00A110C2"/>
    <w:rsid w:val="00A11141"/>
    <w:rsid w:val="00A11159"/>
    <w:rsid w:val="00A111F5"/>
    <w:rsid w:val="00A1121A"/>
    <w:rsid w:val="00A112E5"/>
    <w:rsid w:val="00A11327"/>
    <w:rsid w:val="00A113A8"/>
    <w:rsid w:val="00A113F4"/>
    <w:rsid w:val="00A113F6"/>
    <w:rsid w:val="00A115A8"/>
    <w:rsid w:val="00A115FE"/>
    <w:rsid w:val="00A11617"/>
    <w:rsid w:val="00A11622"/>
    <w:rsid w:val="00A1165C"/>
    <w:rsid w:val="00A116AC"/>
    <w:rsid w:val="00A116DA"/>
    <w:rsid w:val="00A117B6"/>
    <w:rsid w:val="00A11839"/>
    <w:rsid w:val="00A118FD"/>
    <w:rsid w:val="00A11A0D"/>
    <w:rsid w:val="00A11A30"/>
    <w:rsid w:val="00A11A6E"/>
    <w:rsid w:val="00A11AAD"/>
    <w:rsid w:val="00A11AB8"/>
    <w:rsid w:val="00A11ADD"/>
    <w:rsid w:val="00A11ADE"/>
    <w:rsid w:val="00A11C08"/>
    <w:rsid w:val="00A11C26"/>
    <w:rsid w:val="00A11C5A"/>
    <w:rsid w:val="00A11C64"/>
    <w:rsid w:val="00A11D17"/>
    <w:rsid w:val="00A11D60"/>
    <w:rsid w:val="00A11D61"/>
    <w:rsid w:val="00A11DFF"/>
    <w:rsid w:val="00A11E3A"/>
    <w:rsid w:val="00A11E94"/>
    <w:rsid w:val="00A11F3C"/>
    <w:rsid w:val="00A11F40"/>
    <w:rsid w:val="00A11F5E"/>
    <w:rsid w:val="00A11F82"/>
    <w:rsid w:val="00A11F8A"/>
    <w:rsid w:val="00A1207F"/>
    <w:rsid w:val="00A12088"/>
    <w:rsid w:val="00A12142"/>
    <w:rsid w:val="00A12165"/>
    <w:rsid w:val="00A12239"/>
    <w:rsid w:val="00A122B8"/>
    <w:rsid w:val="00A12344"/>
    <w:rsid w:val="00A124CC"/>
    <w:rsid w:val="00A12548"/>
    <w:rsid w:val="00A125D6"/>
    <w:rsid w:val="00A125F8"/>
    <w:rsid w:val="00A12748"/>
    <w:rsid w:val="00A1274C"/>
    <w:rsid w:val="00A127C5"/>
    <w:rsid w:val="00A128DF"/>
    <w:rsid w:val="00A128EB"/>
    <w:rsid w:val="00A1294B"/>
    <w:rsid w:val="00A12962"/>
    <w:rsid w:val="00A1297C"/>
    <w:rsid w:val="00A129E2"/>
    <w:rsid w:val="00A12A1B"/>
    <w:rsid w:val="00A12A2D"/>
    <w:rsid w:val="00A12A48"/>
    <w:rsid w:val="00A12AD7"/>
    <w:rsid w:val="00A12AE8"/>
    <w:rsid w:val="00A12B03"/>
    <w:rsid w:val="00A12BC7"/>
    <w:rsid w:val="00A12BE2"/>
    <w:rsid w:val="00A12C5A"/>
    <w:rsid w:val="00A12CAA"/>
    <w:rsid w:val="00A12D1E"/>
    <w:rsid w:val="00A12EC9"/>
    <w:rsid w:val="00A12F05"/>
    <w:rsid w:val="00A12F41"/>
    <w:rsid w:val="00A12F7C"/>
    <w:rsid w:val="00A13040"/>
    <w:rsid w:val="00A13073"/>
    <w:rsid w:val="00A1308F"/>
    <w:rsid w:val="00A13174"/>
    <w:rsid w:val="00A131A8"/>
    <w:rsid w:val="00A131B5"/>
    <w:rsid w:val="00A1324E"/>
    <w:rsid w:val="00A13275"/>
    <w:rsid w:val="00A1329C"/>
    <w:rsid w:val="00A13355"/>
    <w:rsid w:val="00A1343E"/>
    <w:rsid w:val="00A13465"/>
    <w:rsid w:val="00A134B5"/>
    <w:rsid w:val="00A134BE"/>
    <w:rsid w:val="00A13559"/>
    <w:rsid w:val="00A13573"/>
    <w:rsid w:val="00A13647"/>
    <w:rsid w:val="00A13649"/>
    <w:rsid w:val="00A13674"/>
    <w:rsid w:val="00A136A6"/>
    <w:rsid w:val="00A136CC"/>
    <w:rsid w:val="00A136DC"/>
    <w:rsid w:val="00A136F7"/>
    <w:rsid w:val="00A1370B"/>
    <w:rsid w:val="00A13771"/>
    <w:rsid w:val="00A1377F"/>
    <w:rsid w:val="00A13856"/>
    <w:rsid w:val="00A13861"/>
    <w:rsid w:val="00A13930"/>
    <w:rsid w:val="00A139EB"/>
    <w:rsid w:val="00A13A0B"/>
    <w:rsid w:val="00A13A10"/>
    <w:rsid w:val="00A13A1A"/>
    <w:rsid w:val="00A13A89"/>
    <w:rsid w:val="00A13AAD"/>
    <w:rsid w:val="00A13B04"/>
    <w:rsid w:val="00A13B46"/>
    <w:rsid w:val="00A13B75"/>
    <w:rsid w:val="00A13BE8"/>
    <w:rsid w:val="00A13BFE"/>
    <w:rsid w:val="00A13C6C"/>
    <w:rsid w:val="00A13CA8"/>
    <w:rsid w:val="00A13D4E"/>
    <w:rsid w:val="00A13D89"/>
    <w:rsid w:val="00A13EFB"/>
    <w:rsid w:val="00A13F3C"/>
    <w:rsid w:val="00A13F73"/>
    <w:rsid w:val="00A13F7A"/>
    <w:rsid w:val="00A14001"/>
    <w:rsid w:val="00A14031"/>
    <w:rsid w:val="00A14065"/>
    <w:rsid w:val="00A140BA"/>
    <w:rsid w:val="00A14156"/>
    <w:rsid w:val="00A14177"/>
    <w:rsid w:val="00A141D0"/>
    <w:rsid w:val="00A1422B"/>
    <w:rsid w:val="00A1422C"/>
    <w:rsid w:val="00A14440"/>
    <w:rsid w:val="00A14442"/>
    <w:rsid w:val="00A1448C"/>
    <w:rsid w:val="00A14502"/>
    <w:rsid w:val="00A14516"/>
    <w:rsid w:val="00A14574"/>
    <w:rsid w:val="00A145C0"/>
    <w:rsid w:val="00A1460E"/>
    <w:rsid w:val="00A14627"/>
    <w:rsid w:val="00A146A9"/>
    <w:rsid w:val="00A146D4"/>
    <w:rsid w:val="00A146EA"/>
    <w:rsid w:val="00A146FA"/>
    <w:rsid w:val="00A14722"/>
    <w:rsid w:val="00A147C8"/>
    <w:rsid w:val="00A147E7"/>
    <w:rsid w:val="00A14809"/>
    <w:rsid w:val="00A1483C"/>
    <w:rsid w:val="00A14841"/>
    <w:rsid w:val="00A1484B"/>
    <w:rsid w:val="00A148DC"/>
    <w:rsid w:val="00A14912"/>
    <w:rsid w:val="00A1499C"/>
    <w:rsid w:val="00A149F8"/>
    <w:rsid w:val="00A14A50"/>
    <w:rsid w:val="00A14A6E"/>
    <w:rsid w:val="00A14AC8"/>
    <w:rsid w:val="00A14B50"/>
    <w:rsid w:val="00A14C03"/>
    <w:rsid w:val="00A14C94"/>
    <w:rsid w:val="00A14CB0"/>
    <w:rsid w:val="00A14CE5"/>
    <w:rsid w:val="00A14D11"/>
    <w:rsid w:val="00A14E53"/>
    <w:rsid w:val="00A14F09"/>
    <w:rsid w:val="00A14F8E"/>
    <w:rsid w:val="00A15004"/>
    <w:rsid w:val="00A15014"/>
    <w:rsid w:val="00A15028"/>
    <w:rsid w:val="00A151A6"/>
    <w:rsid w:val="00A151D4"/>
    <w:rsid w:val="00A151DB"/>
    <w:rsid w:val="00A151F7"/>
    <w:rsid w:val="00A152A9"/>
    <w:rsid w:val="00A152AC"/>
    <w:rsid w:val="00A153C2"/>
    <w:rsid w:val="00A1542C"/>
    <w:rsid w:val="00A15436"/>
    <w:rsid w:val="00A15468"/>
    <w:rsid w:val="00A15580"/>
    <w:rsid w:val="00A155DF"/>
    <w:rsid w:val="00A15637"/>
    <w:rsid w:val="00A15735"/>
    <w:rsid w:val="00A157BE"/>
    <w:rsid w:val="00A158C3"/>
    <w:rsid w:val="00A158D6"/>
    <w:rsid w:val="00A158EE"/>
    <w:rsid w:val="00A15914"/>
    <w:rsid w:val="00A159A1"/>
    <w:rsid w:val="00A159D3"/>
    <w:rsid w:val="00A159EA"/>
    <w:rsid w:val="00A15AEF"/>
    <w:rsid w:val="00A15BBC"/>
    <w:rsid w:val="00A15C1B"/>
    <w:rsid w:val="00A15C28"/>
    <w:rsid w:val="00A15C55"/>
    <w:rsid w:val="00A15C9E"/>
    <w:rsid w:val="00A15E07"/>
    <w:rsid w:val="00A15E2D"/>
    <w:rsid w:val="00A15E70"/>
    <w:rsid w:val="00A15E95"/>
    <w:rsid w:val="00A15EE2"/>
    <w:rsid w:val="00A15F51"/>
    <w:rsid w:val="00A15FE5"/>
    <w:rsid w:val="00A1606C"/>
    <w:rsid w:val="00A160CB"/>
    <w:rsid w:val="00A16137"/>
    <w:rsid w:val="00A161BB"/>
    <w:rsid w:val="00A161CC"/>
    <w:rsid w:val="00A16223"/>
    <w:rsid w:val="00A16225"/>
    <w:rsid w:val="00A16229"/>
    <w:rsid w:val="00A162DD"/>
    <w:rsid w:val="00A1630E"/>
    <w:rsid w:val="00A16449"/>
    <w:rsid w:val="00A16460"/>
    <w:rsid w:val="00A16526"/>
    <w:rsid w:val="00A165A8"/>
    <w:rsid w:val="00A1660D"/>
    <w:rsid w:val="00A16619"/>
    <w:rsid w:val="00A1666B"/>
    <w:rsid w:val="00A1678E"/>
    <w:rsid w:val="00A167A1"/>
    <w:rsid w:val="00A16887"/>
    <w:rsid w:val="00A1688B"/>
    <w:rsid w:val="00A16924"/>
    <w:rsid w:val="00A16936"/>
    <w:rsid w:val="00A1693D"/>
    <w:rsid w:val="00A169ED"/>
    <w:rsid w:val="00A169F4"/>
    <w:rsid w:val="00A169FC"/>
    <w:rsid w:val="00A16A86"/>
    <w:rsid w:val="00A16ADB"/>
    <w:rsid w:val="00A16B1A"/>
    <w:rsid w:val="00A16B48"/>
    <w:rsid w:val="00A16BD0"/>
    <w:rsid w:val="00A16BDF"/>
    <w:rsid w:val="00A16BE1"/>
    <w:rsid w:val="00A16C48"/>
    <w:rsid w:val="00A16D4F"/>
    <w:rsid w:val="00A16D74"/>
    <w:rsid w:val="00A16D7F"/>
    <w:rsid w:val="00A16DF0"/>
    <w:rsid w:val="00A16DFE"/>
    <w:rsid w:val="00A16E06"/>
    <w:rsid w:val="00A16E36"/>
    <w:rsid w:val="00A16E48"/>
    <w:rsid w:val="00A16E83"/>
    <w:rsid w:val="00A16ED2"/>
    <w:rsid w:val="00A16EE1"/>
    <w:rsid w:val="00A16EF3"/>
    <w:rsid w:val="00A16EFA"/>
    <w:rsid w:val="00A16F3E"/>
    <w:rsid w:val="00A170A6"/>
    <w:rsid w:val="00A17282"/>
    <w:rsid w:val="00A1740D"/>
    <w:rsid w:val="00A17419"/>
    <w:rsid w:val="00A1742B"/>
    <w:rsid w:val="00A17447"/>
    <w:rsid w:val="00A17460"/>
    <w:rsid w:val="00A1748D"/>
    <w:rsid w:val="00A174A3"/>
    <w:rsid w:val="00A174BC"/>
    <w:rsid w:val="00A1751A"/>
    <w:rsid w:val="00A17529"/>
    <w:rsid w:val="00A17570"/>
    <w:rsid w:val="00A17578"/>
    <w:rsid w:val="00A1767F"/>
    <w:rsid w:val="00A176F8"/>
    <w:rsid w:val="00A1772E"/>
    <w:rsid w:val="00A1773B"/>
    <w:rsid w:val="00A177CC"/>
    <w:rsid w:val="00A17816"/>
    <w:rsid w:val="00A1792E"/>
    <w:rsid w:val="00A1793E"/>
    <w:rsid w:val="00A17944"/>
    <w:rsid w:val="00A1794D"/>
    <w:rsid w:val="00A1795D"/>
    <w:rsid w:val="00A17A1D"/>
    <w:rsid w:val="00A17A1E"/>
    <w:rsid w:val="00A17AE4"/>
    <w:rsid w:val="00A17BFD"/>
    <w:rsid w:val="00A17C42"/>
    <w:rsid w:val="00A17CDC"/>
    <w:rsid w:val="00A17D0C"/>
    <w:rsid w:val="00A17D5E"/>
    <w:rsid w:val="00A17D93"/>
    <w:rsid w:val="00A17EA1"/>
    <w:rsid w:val="00A17FB2"/>
    <w:rsid w:val="00A17FF0"/>
    <w:rsid w:val="00A17FF9"/>
    <w:rsid w:val="00A2002F"/>
    <w:rsid w:val="00A20092"/>
    <w:rsid w:val="00A2014E"/>
    <w:rsid w:val="00A20196"/>
    <w:rsid w:val="00A2024C"/>
    <w:rsid w:val="00A202FB"/>
    <w:rsid w:val="00A2037D"/>
    <w:rsid w:val="00A203FA"/>
    <w:rsid w:val="00A203FD"/>
    <w:rsid w:val="00A20446"/>
    <w:rsid w:val="00A20482"/>
    <w:rsid w:val="00A20524"/>
    <w:rsid w:val="00A2052F"/>
    <w:rsid w:val="00A20579"/>
    <w:rsid w:val="00A20583"/>
    <w:rsid w:val="00A205AB"/>
    <w:rsid w:val="00A20641"/>
    <w:rsid w:val="00A20662"/>
    <w:rsid w:val="00A20684"/>
    <w:rsid w:val="00A2068D"/>
    <w:rsid w:val="00A206AE"/>
    <w:rsid w:val="00A206C6"/>
    <w:rsid w:val="00A206FD"/>
    <w:rsid w:val="00A20726"/>
    <w:rsid w:val="00A2073D"/>
    <w:rsid w:val="00A20768"/>
    <w:rsid w:val="00A20805"/>
    <w:rsid w:val="00A2085B"/>
    <w:rsid w:val="00A208DC"/>
    <w:rsid w:val="00A208DE"/>
    <w:rsid w:val="00A20979"/>
    <w:rsid w:val="00A209E2"/>
    <w:rsid w:val="00A20A3D"/>
    <w:rsid w:val="00A20A60"/>
    <w:rsid w:val="00A20AF3"/>
    <w:rsid w:val="00A20B84"/>
    <w:rsid w:val="00A20BB2"/>
    <w:rsid w:val="00A20BF8"/>
    <w:rsid w:val="00A20C5E"/>
    <w:rsid w:val="00A20D07"/>
    <w:rsid w:val="00A20D91"/>
    <w:rsid w:val="00A20DBF"/>
    <w:rsid w:val="00A20E15"/>
    <w:rsid w:val="00A20F28"/>
    <w:rsid w:val="00A21084"/>
    <w:rsid w:val="00A21125"/>
    <w:rsid w:val="00A2115F"/>
    <w:rsid w:val="00A211CD"/>
    <w:rsid w:val="00A2122C"/>
    <w:rsid w:val="00A212C0"/>
    <w:rsid w:val="00A213CF"/>
    <w:rsid w:val="00A21486"/>
    <w:rsid w:val="00A21539"/>
    <w:rsid w:val="00A21540"/>
    <w:rsid w:val="00A216E4"/>
    <w:rsid w:val="00A21757"/>
    <w:rsid w:val="00A217AA"/>
    <w:rsid w:val="00A218B6"/>
    <w:rsid w:val="00A218EB"/>
    <w:rsid w:val="00A21BC6"/>
    <w:rsid w:val="00A21BC9"/>
    <w:rsid w:val="00A21C1A"/>
    <w:rsid w:val="00A21C2B"/>
    <w:rsid w:val="00A21C72"/>
    <w:rsid w:val="00A21E54"/>
    <w:rsid w:val="00A21E64"/>
    <w:rsid w:val="00A21E7B"/>
    <w:rsid w:val="00A21F30"/>
    <w:rsid w:val="00A21F34"/>
    <w:rsid w:val="00A21FF0"/>
    <w:rsid w:val="00A22005"/>
    <w:rsid w:val="00A2204C"/>
    <w:rsid w:val="00A220DB"/>
    <w:rsid w:val="00A22160"/>
    <w:rsid w:val="00A221DE"/>
    <w:rsid w:val="00A22287"/>
    <w:rsid w:val="00A22320"/>
    <w:rsid w:val="00A22347"/>
    <w:rsid w:val="00A22395"/>
    <w:rsid w:val="00A223D3"/>
    <w:rsid w:val="00A223D9"/>
    <w:rsid w:val="00A223EA"/>
    <w:rsid w:val="00A22437"/>
    <w:rsid w:val="00A22485"/>
    <w:rsid w:val="00A2249D"/>
    <w:rsid w:val="00A224F4"/>
    <w:rsid w:val="00A226DE"/>
    <w:rsid w:val="00A226F4"/>
    <w:rsid w:val="00A22736"/>
    <w:rsid w:val="00A2273B"/>
    <w:rsid w:val="00A2278C"/>
    <w:rsid w:val="00A227F7"/>
    <w:rsid w:val="00A2287C"/>
    <w:rsid w:val="00A228E0"/>
    <w:rsid w:val="00A228F6"/>
    <w:rsid w:val="00A22907"/>
    <w:rsid w:val="00A229A1"/>
    <w:rsid w:val="00A22A3B"/>
    <w:rsid w:val="00A22A6E"/>
    <w:rsid w:val="00A22A9E"/>
    <w:rsid w:val="00A22AB8"/>
    <w:rsid w:val="00A22B49"/>
    <w:rsid w:val="00A22BA1"/>
    <w:rsid w:val="00A22BE5"/>
    <w:rsid w:val="00A22C34"/>
    <w:rsid w:val="00A22C85"/>
    <w:rsid w:val="00A22D8C"/>
    <w:rsid w:val="00A22DB5"/>
    <w:rsid w:val="00A22E19"/>
    <w:rsid w:val="00A22E26"/>
    <w:rsid w:val="00A22E3B"/>
    <w:rsid w:val="00A22E56"/>
    <w:rsid w:val="00A22E6E"/>
    <w:rsid w:val="00A22EFC"/>
    <w:rsid w:val="00A22F08"/>
    <w:rsid w:val="00A22F13"/>
    <w:rsid w:val="00A23043"/>
    <w:rsid w:val="00A2306B"/>
    <w:rsid w:val="00A2308B"/>
    <w:rsid w:val="00A2315C"/>
    <w:rsid w:val="00A23222"/>
    <w:rsid w:val="00A23256"/>
    <w:rsid w:val="00A23349"/>
    <w:rsid w:val="00A23351"/>
    <w:rsid w:val="00A233A1"/>
    <w:rsid w:val="00A233BD"/>
    <w:rsid w:val="00A234DE"/>
    <w:rsid w:val="00A23544"/>
    <w:rsid w:val="00A23554"/>
    <w:rsid w:val="00A235C5"/>
    <w:rsid w:val="00A23686"/>
    <w:rsid w:val="00A2376A"/>
    <w:rsid w:val="00A23803"/>
    <w:rsid w:val="00A238C6"/>
    <w:rsid w:val="00A23954"/>
    <w:rsid w:val="00A23B43"/>
    <w:rsid w:val="00A23B4D"/>
    <w:rsid w:val="00A23B53"/>
    <w:rsid w:val="00A23C38"/>
    <w:rsid w:val="00A23C7E"/>
    <w:rsid w:val="00A23D8D"/>
    <w:rsid w:val="00A23D9E"/>
    <w:rsid w:val="00A23DC5"/>
    <w:rsid w:val="00A23E97"/>
    <w:rsid w:val="00A23F04"/>
    <w:rsid w:val="00A23F33"/>
    <w:rsid w:val="00A23F39"/>
    <w:rsid w:val="00A23F4F"/>
    <w:rsid w:val="00A24071"/>
    <w:rsid w:val="00A24120"/>
    <w:rsid w:val="00A241B8"/>
    <w:rsid w:val="00A2420B"/>
    <w:rsid w:val="00A24257"/>
    <w:rsid w:val="00A2427B"/>
    <w:rsid w:val="00A24286"/>
    <w:rsid w:val="00A242FA"/>
    <w:rsid w:val="00A24338"/>
    <w:rsid w:val="00A24471"/>
    <w:rsid w:val="00A2452C"/>
    <w:rsid w:val="00A2453E"/>
    <w:rsid w:val="00A24642"/>
    <w:rsid w:val="00A2471F"/>
    <w:rsid w:val="00A247DA"/>
    <w:rsid w:val="00A24883"/>
    <w:rsid w:val="00A24885"/>
    <w:rsid w:val="00A248DB"/>
    <w:rsid w:val="00A2491F"/>
    <w:rsid w:val="00A2492D"/>
    <w:rsid w:val="00A24946"/>
    <w:rsid w:val="00A249DC"/>
    <w:rsid w:val="00A249ED"/>
    <w:rsid w:val="00A24A90"/>
    <w:rsid w:val="00A24AEE"/>
    <w:rsid w:val="00A24B8F"/>
    <w:rsid w:val="00A24B9C"/>
    <w:rsid w:val="00A24C61"/>
    <w:rsid w:val="00A24CA4"/>
    <w:rsid w:val="00A24D01"/>
    <w:rsid w:val="00A24D05"/>
    <w:rsid w:val="00A24D17"/>
    <w:rsid w:val="00A24D6C"/>
    <w:rsid w:val="00A24DB9"/>
    <w:rsid w:val="00A24DBF"/>
    <w:rsid w:val="00A24DE9"/>
    <w:rsid w:val="00A24EED"/>
    <w:rsid w:val="00A24FA5"/>
    <w:rsid w:val="00A24FD0"/>
    <w:rsid w:val="00A25049"/>
    <w:rsid w:val="00A25097"/>
    <w:rsid w:val="00A25203"/>
    <w:rsid w:val="00A2520B"/>
    <w:rsid w:val="00A25279"/>
    <w:rsid w:val="00A2528E"/>
    <w:rsid w:val="00A252D8"/>
    <w:rsid w:val="00A252F3"/>
    <w:rsid w:val="00A253BC"/>
    <w:rsid w:val="00A2566C"/>
    <w:rsid w:val="00A25695"/>
    <w:rsid w:val="00A256FD"/>
    <w:rsid w:val="00A257A7"/>
    <w:rsid w:val="00A257AA"/>
    <w:rsid w:val="00A257FB"/>
    <w:rsid w:val="00A25871"/>
    <w:rsid w:val="00A258E5"/>
    <w:rsid w:val="00A25916"/>
    <w:rsid w:val="00A25928"/>
    <w:rsid w:val="00A25938"/>
    <w:rsid w:val="00A25941"/>
    <w:rsid w:val="00A25AC9"/>
    <w:rsid w:val="00A25AE8"/>
    <w:rsid w:val="00A25B45"/>
    <w:rsid w:val="00A25B8C"/>
    <w:rsid w:val="00A25BCA"/>
    <w:rsid w:val="00A25C8D"/>
    <w:rsid w:val="00A25CA7"/>
    <w:rsid w:val="00A25CA9"/>
    <w:rsid w:val="00A25D0D"/>
    <w:rsid w:val="00A25D12"/>
    <w:rsid w:val="00A25D57"/>
    <w:rsid w:val="00A25D95"/>
    <w:rsid w:val="00A25DAD"/>
    <w:rsid w:val="00A25EFD"/>
    <w:rsid w:val="00A25F05"/>
    <w:rsid w:val="00A25F09"/>
    <w:rsid w:val="00A25F9B"/>
    <w:rsid w:val="00A260A4"/>
    <w:rsid w:val="00A26103"/>
    <w:rsid w:val="00A2612C"/>
    <w:rsid w:val="00A261CC"/>
    <w:rsid w:val="00A261D0"/>
    <w:rsid w:val="00A261E7"/>
    <w:rsid w:val="00A262AF"/>
    <w:rsid w:val="00A262D1"/>
    <w:rsid w:val="00A26368"/>
    <w:rsid w:val="00A26389"/>
    <w:rsid w:val="00A263AB"/>
    <w:rsid w:val="00A263AC"/>
    <w:rsid w:val="00A263FB"/>
    <w:rsid w:val="00A264CA"/>
    <w:rsid w:val="00A26519"/>
    <w:rsid w:val="00A26602"/>
    <w:rsid w:val="00A26617"/>
    <w:rsid w:val="00A2664F"/>
    <w:rsid w:val="00A266BB"/>
    <w:rsid w:val="00A26788"/>
    <w:rsid w:val="00A267C0"/>
    <w:rsid w:val="00A267F5"/>
    <w:rsid w:val="00A2684A"/>
    <w:rsid w:val="00A26975"/>
    <w:rsid w:val="00A269B2"/>
    <w:rsid w:val="00A269C3"/>
    <w:rsid w:val="00A26AAF"/>
    <w:rsid w:val="00A26AC1"/>
    <w:rsid w:val="00A26B1A"/>
    <w:rsid w:val="00A26B8E"/>
    <w:rsid w:val="00A26BF6"/>
    <w:rsid w:val="00A26C0A"/>
    <w:rsid w:val="00A26D00"/>
    <w:rsid w:val="00A26D04"/>
    <w:rsid w:val="00A26D9A"/>
    <w:rsid w:val="00A26DF1"/>
    <w:rsid w:val="00A26E12"/>
    <w:rsid w:val="00A27058"/>
    <w:rsid w:val="00A27081"/>
    <w:rsid w:val="00A270C0"/>
    <w:rsid w:val="00A270D2"/>
    <w:rsid w:val="00A27258"/>
    <w:rsid w:val="00A27313"/>
    <w:rsid w:val="00A2731E"/>
    <w:rsid w:val="00A27330"/>
    <w:rsid w:val="00A27338"/>
    <w:rsid w:val="00A27402"/>
    <w:rsid w:val="00A27469"/>
    <w:rsid w:val="00A274EE"/>
    <w:rsid w:val="00A275B9"/>
    <w:rsid w:val="00A275FC"/>
    <w:rsid w:val="00A2763F"/>
    <w:rsid w:val="00A2776D"/>
    <w:rsid w:val="00A2776F"/>
    <w:rsid w:val="00A27777"/>
    <w:rsid w:val="00A277E5"/>
    <w:rsid w:val="00A27861"/>
    <w:rsid w:val="00A27862"/>
    <w:rsid w:val="00A278DB"/>
    <w:rsid w:val="00A278E0"/>
    <w:rsid w:val="00A2799E"/>
    <w:rsid w:val="00A279EE"/>
    <w:rsid w:val="00A27A05"/>
    <w:rsid w:val="00A27C2C"/>
    <w:rsid w:val="00A27C64"/>
    <w:rsid w:val="00A27CC8"/>
    <w:rsid w:val="00A27D62"/>
    <w:rsid w:val="00A27EBC"/>
    <w:rsid w:val="00A27F6E"/>
    <w:rsid w:val="00A27FAA"/>
    <w:rsid w:val="00A27FBB"/>
    <w:rsid w:val="00A30082"/>
    <w:rsid w:val="00A300D5"/>
    <w:rsid w:val="00A300E1"/>
    <w:rsid w:val="00A300FF"/>
    <w:rsid w:val="00A30178"/>
    <w:rsid w:val="00A30185"/>
    <w:rsid w:val="00A30193"/>
    <w:rsid w:val="00A30240"/>
    <w:rsid w:val="00A3028A"/>
    <w:rsid w:val="00A30350"/>
    <w:rsid w:val="00A30367"/>
    <w:rsid w:val="00A303B8"/>
    <w:rsid w:val="00A303D6"/>
    <w:rsid w:val="00A303ED"/>
    <w:rsid w:val="00A3041E"/>
    <w:rsid w:val="00A3045C"/>
    <w:rsid w:val="00A30500"/>
    <w:rsid w:val="00A3058D"/>
    <w:rsid w:val="00A305A1"/>
    <w:rsid w:val="00A305BE"/>
    <w:rsid w:val="00A305E1"/>
    <w:rsid w:val="00A3060E"/>
    <w:rsid w:val="00A3064A"/>
    <w:rsid w:val="00A30664"/>
    <w:rsid w:val="00A3070D"/>
    <w:rsid w:val="00A3074D"/>
    <w:rsid w:val="00A307C3"/>
    <w:rsid w:val="00A3080B"/>
    <w:rsid w:val="00A30876"/>
    <w:rsid w:val="00A3090F"/>
    <w:rsid w:val="00A30964"/>
    <w:rsid w:val="00A30976"/>
    <w:rsid w:val="00A30995"/>
    <w:rsid w:val="00A309B4"/>
    <w:rsid w:val="00A30A08"/>
    <w:rsid w:val="00A30A68"/>
    <w:rsid w:val="00A30B12"/>
    <w:rsid w:val="00A30B18"/>
    <w:rsid w:val="00A30B27"/>
    <w:rsid w:val="00A30B36"/>
    <w:rsid w:val="00A30BFE"/>
    <w:rsid w:val="00A30C3F"/>
    <w:rsid w:val="00A30CD2"/>
    <w:rsid w:val="00A30CDB"/>
    <w:rsid w:val="00A30D56"/>
    <w:rsid w:val="00A30D57"/>
    <w:rsid w:val="00A30DE9"/>
    <w:rsid w:val="00A30ED9"/>
    <w:rsid w:val="00A30F47"/>
    <w:rsid w:val="00A30FB7"/>
    <w:rsid w:val="00A31005"/>
    <w:rsid w:val="00A3105A"/>
    <w:rsid w:val="00A31116"/>
    <w:rsid w:val="00A31120"/>
    <w:rsid w:val="00A31179"/>
    <w:rsid w:val="00A31242"/>
    <w:rsid w:val="00A3127A"/>
    <w:rsid w:val="00A312CA"/>
    <w:rsid w:val="00A31332"/>
    <w:rsid w:val="00A31346"/>
    <w:rsid w:val="00A313C4"/>
    <w:rsid w:val="00A313E3"/>
    <w:rsid w:val="00A3159F"/>
    <w:rsid w:val="00A315B2"/>
    <w:rsid w:val="00A31632"/>
    <w:rsid w:val="00A31672"/>
    <w:rsid w:val="00A316F6"/>
    <w:rsid w:val="00A3173B"/>
    <w:rsid w:val="00A317B7"/>
    <w:rsid w:val="00A31890"/>
    <w:rsid w:val="00A318A5"/>
    <w:rsid w:val="00A31914"/>
    <w:rsid w:val="00A31B4B"/>
    <w:rsid w:val="00A31BA0"/>
    <w:rsid w:val="00A31BC0"/>
    <w:rsid w:val="00A31C1B"/>
    <w:rsid w:val="00A31CA8"/>
    <w:rsid w:val="00A31CDD"/>
    <w:rsid w:val="00A31DA0"/>
    <w:rsid w:val="00A31E51"/>
    <w:rsid w:val="00A31F03"/>
    <w:rsid w:val="00A31F19"/>
    <w:rsid w:val="00A31F23"/>
    <w:rsid w:val="00A31F7C"/>
    <w:rsid w:val="00A3200A"/>
    <w:rsid w:val="00A32042"/>
    <w:rsid w:val="00A32078"/>
    <w:rsid w:val="00A320F5"/>
    <w:rsid w:val="00A32109"/>
    <w:rsid w:val="00A32138"/>
    <w:rsid w:val="00A32146"/>
    <w:rsid w:val="00A3224F"/>
    <w:rsid w:val="00A32365"/>
    <w:rsid w:val="00A323EC"/>
    <w:rsid w:val="00A323F3"/>
    <w:rsid w:val="00A324F1"/>
    <w:rsid w:val="00A3257E"/>
    <w:rsid w:val="00A32580"/>
    <w:rsid w:val="00A3259B"/>
    <w:rsid w:val="00A325B2"/>
    <w:rsid w:val="00A325D4"/>
    <w:rsid w:val="00A32678"/>
    <w:rsid w:val="00A32690"/>
    <w:rsid w:val="00A32693"/>
    <w:rsid w:val="00A3269A"/>
    <w:rsid w:val="00A326B2"/>
    <w:rsid w:val="00A3273A"/>
    <w:rsid w:val="00A327CC"/>
    <w:rsid w:val="00A327EE"/>
    <w:rsid w:val="00A328EB"/>
    <w:rsid w:val="00A32907"/>
    <w:rsid w:val="00A3292F"/>
    <w:rsid w:val="00A329CC"/>
    <w:rsid w:val="00A329E5"/>
    <w:rsid w:val="00A32A17"/>
    <w:rsid w:val="00A32A45"/>
    <w:rsid w:val="00A32BA9"/>
    <w:rsid w:val="00A32BCE"/>
    <w:rsid w:val="00A32C41"/>
    <w:rsid w:val="00A32C67"/>
    <w:rsid w:val="00A32CC1"/>
    <w:rsid w:val="00A32D20"/>
    <w:rsid w:val="00A32D40"/>
    <w:rsid w:val="00A32DA3"/>
    <w:rsid w:val="00A32DEB"/>
    <w:rsid w:val="00A32E2F"/>
    <w:rsid w:val="00A32E33"/>
    <w:rsid w:val="00A32F95"/>
    <w:rsid w:val="00A3300B"/>
    <w:rsid w:val="00A330E5"/>
    <w:rsid w:val="00A3313F"/>
    <w:rsid w:val="00A33144"/>
    <w:rsid w:val="00A331FC"/>
    <w:rsid w:val="00A33215"/>
    <w:rsid w:val="00A3322A"/>
    <w:rsid w:val="00A332AF"/>
    <w:rsid w:val="00A33335"/>
    <w:rsid w:val="00A3338B"/>
    <w:rsid w:val="00A3338F"/>
    <w:rsid w:val="00A3347D"/>
    <w:rsid w:val="00A334AB"/>
    <w:rsid w:val="00A33501"/>
    <w:rsid w:val="00A3360E"/>
    <w:rsid w:val="00A33619"/>
    <w:rsid w:val="00A33635"/>
    <w:rsid w:val="00A33652"/>
    <w:rsid w:val="00A336A3"/>
    <w:rsid w:val="00A336EC"/>
    <w:rsid w:val="00A3375E"/>
    <w:rsid w:val="00A337AB"/>
    <w:rsid w:val="00A337C5"/>
    <w:rsid w:val="00A337CA"/>
    <w:rsid w:val="00A337CE"/>
    <w:rsid w:val="00A337E3"/>
    <w:rsid w:val="00A33819"/>
    <w:rsid w:val="00A3387E"/>
    <w:rsid w:val="00A3398A"/>
    <w:rsid w:val="00A3399E"/>
    <w:rsid w:val="00A339DC"/>
    <w:rsid w:val="00A33A0E"/>
    <w:rsid w:val="00A33A2D"/>
    <w:rsid w:val="00A33B90"/>
    <w:rsid w:val="00A33C25"/>
    <w:rsid w:val="00A33CE0"/>
    <w:rsid w:val="00A33D91"/>
    <w:rsid w:val="00A33D9F"/>
    <w:rsid w:val="00A33DA3"/>
    <w:rsid w:val="00A33DC1"/>
    <w:rsid w:val="00A33DE2"/>
    <w:rsid w:val="00A33E3C"/>
    <w:rsid w:val="00A33E9D"/>
    <w:rsid w:val="00A33EE3"/>
    <w:rsid w:val="00A33FC2"/>
    <w:rsid w:val="00A3400A"/>
    <w:rsid w:val="00A34046"/>
    <w:rsid w:val="00A340CA"/>
    <w:rsid w:val="00A3411B"/>
    <w:rsid w:val="00A3418F"/>
    <w:rsid w:val="00A341B8"/>
    <w:rsid w:val="00A341C9"/>
    <w:rsid w:val="00A341DF"/>
    <w:rsid w:val="00A34307"/>
    <w:rsid w:val="00A34354"/>
    <w:rsid w:val="00A3436E"/>
    <w:rsid w:val="00A34468"/>
    <w:rsid w:val="00A344DB"/>
    <w:rsid w:val="00A344DF"/>
    <w:rsid w:val="00A34548"/>
    <w:rsid w:val="00A34549"/>
    <w:rsid w:val="00A34554"/>
    <w:rsid w:val="00A345C7"/>
    <w:rsid w:val="00A345C8"/>
    <w:rsid w:val="00A345F6"/>
    <w:rsid w:val="00A34626"/>
    <w:rsid w:val="00A34633"/>
    <w:rsid w:val="00A346A3"/>
    <w:rsid w:val="00A34754"/>
    <w:rsid w:val="00A3476E"/>
    <w:rsid w:val="00A347E4"/>
    <w:rsid w:val="00A34979"/>
    <w:rsid w:val="00A34B5F"/>
    <w:rsid w:val="00A34C09"/>
    <w:rsid w:val="00A34C4B"/>
    <w:rsid w:val="00A34CCC"/>
    <w:rsid w:val="00A34D25"/>
    <w:rsid w:val="00A34D56"/>
    <w:rsid w:val="00A34D9E"/>
    <w:rsid w:val="00A34DAD"/>
    <w:rsid w:val="00A34DBF"/>
    <w:rsid w:val="00A34E1E"/>
    <w:rsid w:val="00A34EA3"/>
    <w:rsid w:val="00A34EC5"/>
    <w:rsid w:val="00A34EE4"/>
    <w:rsid w:val="00A34EFA"/>
    <w:rsid w:val="00A34F53"/>
    <w:rsid w:val="00A35056"/>
    <w:rsid w:val="00A350DC"/>
    <w:rsid w:val="00A3517F"/>
    <w:rsid w:val="00A351D9"/>
    <w:rsid w:val="00A351F4"/>
    <w:rsid w:val="00A351F7"/>
    <w:rsid w:val="00A352D3"/>
    <w:rsid w:val="00A35318"/>
    <w:rsid w:val="00A3534D"/>
    <w:rsid w:val="00A35467"/>
    <w:rsid w:val="00A3548F"/>
    <w:rsid w:val="00A35555"/>
    <w:rsid w:val="00A355BB"/>
    <w:rsid w:val="00A355CC"/>
    <w:rsid w:val="00A3562E"/>
    <w:rsid w:val="00A3567D"/>
    <w:rsid w:val="00A35754"/>
    <w:rsid w:val="00A35792"/>
    <w:rsid w:val="00A357F8"/>
    <w:rsid w:val="00A35859"/>
    <w:rsid w:val="00A3585F"/>
    <w:rsid w:val="00A35888"/>
    <w:rsid w:val="00A35954"/>
    <w:rsid w:val="00A35966"/>
    <w:rsid w:val="00A359B8"/>
    <w:rsid w:val="00A359FC"/>
    <w:rsid w:val="00A35AA9"/>
    <w:rsid w:val="00A35ACD"/>
    <w:rsid w:val="00A35AD0"/>
    <w:rsid w:val="00A35BBC"/>
    <w:rsid w:val="00A35C26"/>
    <w:rsid w:val="00A35C71"/>
    <w:rsid w:val="00A35D38"/>
    <w:rsid w:val="00A35D5E"/>
    <w:rsid w:val="00A35E37"/>
    <w:rsid w:val="00A35E44"/>
    <w:rsid w:val="00A35E46"/>
    <w:rsid w:val="00A35FCB"/>
    <w:rsid w:val="00A36012"/>
    <w:rsid w:val="00A360E1"/>
    <w:rsid w:val="00A361C3"/>
    <w:rsid w:val="00A362BA"/>
    <w:rsid w:val="00A3638F"/>
    <w:rsid w:val="00A36393"/>
    <w:rsid w:val="00A363A8"/>
    <w:rsid w:val="00A363CF"/>
    <w:rsid w:val="00A36485"/>
    <w:rsid w:val="00A364D9"/>
    <w:rsid w:val="00A36542"/>
    <w:rsid w:val="00A365DC"/>
    <w:rsid w:val="00A365E6"/>
    <w:rsid w:val="00A366F6"/>
    <w:rsid w:val="00A36709"/>
    <w:rsid w:val="00A36733"/>
    <w:rsid w:val="00A3675A"/>
    <w:rsid w:val="00A367C4"/>
    <w:rsid w:val="00A36876"/>
    <w:rsid w:val="00A369DB"/>
    <w:rsid w:val="00A36A51"/>
    <w:rsid w:val="00A36AB8"/>
    <w:rsid w:val="00A36AEA"/>
    <w:rsid w:val="00A36B23"/>
    <w:rsid w:val="00A36B44"/>
    <w:rsid w:val="00A36BDE"/>
    <w:rsid w:val="00A36C1A"/>
    <w:rsid w:val="00A36C7F"/>
    <w:rsid w:val="00A36CB1"/>
    <w:rsid w:val="00A36CD9"/>
    <w:rsid w:val="00A36DD7"/>
    <w:rsid w:val="00A36DFB"/>
    <w:rsid w:val="00A36EB2"/>
    <w:rsid w:val="00A36EF0"/>
    <w:rsid w:val="00A36FA1"/>
    <w:rsid w:val="00A37065"/>
    <w:rsid w:val="00A370DC"/>
    <w:rsid w:val="00A3710E"/>
    <w:rsid w:val="00A37121"/>
    <w:rsid w:val="00A3716C"/>
    <w:rsid w:val="00A371B6"/>
    <w:rsid w:val="00A372C4"/>
    <w:rsid w:val="00A372E5"/>
    <w:rsid w:val="00A37322"/>
    <w:rsid w:val="00A37409"/>
    <w:rsid w:val="00A37491"/>
    <w:rsid w:val="00A374F1"/>
    <w:rsid w:val="00A37587"/>
    <w:rsid w:val="00A3760E"/>
    <w:rsid w:val="00A37664"/>
    <w:rsid w:val="00A376A3"/>
    <w:rsid w:val="00A376C5"/>
    <w:rsid w:val="00A376DC"/>
    <w:rsid w:val="00A3775C"/>
    <w:rsid w:val="00A3778D"/>
    <w:rsid w:val="00A378A9"/>
    <w:rsid w:val="00A379D6"/>
    <w:rsid w:val="00A37A14"/>
    <w:rsid w:val="00A37A6F"/>
    <w:rsid w:val="00A37B58"/>
    <w:rsid w:val="00A37B83"/>
    <w:rsid w:val="00A37BC7"/>
    <w:rsid w:val="00A37BDA"/>
    <w:rsid w:val="00A37CB0"/>
    <w:rsid w:val="00A37CE2"/>
    <w:rsid w:val="00A37CF3"/>
    <w:rsid w:val="00A37D99"/>
    <w:rsid w:val="00A37E57"/>
    <w:rsid w:val="00A37E69"/>
    <w:rsid w:val="00A37E88"/>
    <w:rsid w:val="00A37ED4"/>
    <w:rsid w:val="00A37ED7"/>
    <w:rsid w:val="00A37F0C"/>
    <w:rsid w:val="00A37F52"/>
    <w:rsid w:val="00A37F59"/>
    <w:rsid w:val="00A37F8D"/>
    <w:rsid w:val="00A37FA8"/>
    <w:rsid w:val="00A37FD8"/>
    <w:rsid w:val="00A400DD"/>
    <w:rsid w:val="00A401E2"/>
    <w:rsid w:val="00A4033E"/>
    <w:rsid w:val="00A4045D"/>
    <w:rsid w:val="00A4062B"/>
    <w:rsid w:val="00A406E8"/>
    <w:rsid w:val="00A40759"/>
    <w:rsid w:val="00A4076D"/>
    <w:rsid w:val="00A407C6"/>
    <w:rsid w:val="00A407EB"/>
    <w:rsid w:val="00A40836"/>
    <w:rsid w:val="00A40893"/>
    <w:rsid w:val="00A4095B"/>
    <w:rsid w:val="00A4095E"/>
    <w:rsid w:val="00A40972"/>
    <w:rsid w:val="00A40A09"/>
    <w:rsid w:val="00A40A0A"/>
    <w:rsid w:val="00A40A3B"/>
    <w:rsid w:val="00A40A50"/>
    <w:rsid w:val="00A40A75"/>
    <w:rsid w:val="00A40AA8"/>
    <w:rsid w:val="00A40AEB"/>
    <w:rsid w:val="00A40B0B"/>
    <w:rsid w:val="00A40C66"/>
    <w:rsid w:val="00A40C99"/>
    <w:rsid w:val="00A40CB8"/>
    <w:rsid w:val="00A40D19"/>
    <w:rsid w:val="00A40D30"/>
    <w:rsid w:val="00A40E10"/>
    <w:rsid w:val="00A40E6F"/>
    <w:rsid w:val="00A40E77"/>
    <w:rsid w:val="00A40EC9"/>
    <w:rsid w:val="00A40F7F"/>
    <w:rsid w:val="00A40FFC"/>
    <w:rsid w:val="00A41004"/>
    <w:rsid w:val="00A4103F"/>
    <w:rsid w:val="00A41054"/>
    <w:rsid w:val="00A4107A"/>
    <w:rsid w:val="00A41099"/>
    <w:rsid w:val="00A410A7"/>
    <w:rsid w:val="00A41185"/>
    <w:rsid w:val="00A4118C"/>
    <w:rsid w:val="00A411BE"/>
    <w:rsid w:val="00A411E6"/>
    <w:rsid w:val="00A411FA"/>
    <w:rsid w:val="00A41202"/>
    <w:rsid w:val="00A41337"/>
    <w:rsid w:val="00A41396"/>
    <w:rsid w:val="00A413EC"/>
    <w:rsid w:val="00A4141B"/>
    <w:rsid w:val="00A4146B"/>
    <w:rsid w:val="00A414AF"/>
    <w:rsid w:val="00A414D6"/>
    <w:rsid w:val="00A414EE"/>
    <w:rsid w:val="00A41507"/>
    <w:rsid w:val="00A415AF"/>
    <w:rsid w:val="00A41665"/>
    <w:rsid w:val="00A418EA"/>
    <w:rsid w:val="00A4196A"/>
    <w:rsid w:val="00A41998"/>
    <w:rsid w:val="00A419CA"/>
    <w:rsid w:val="00A419EE"/>
    <w:rsid w:val="00A41A61"/>
    <w:rsid w:val="00A41ABE"/>
    <w:rsid w:val="00A41ADA"/>
    <w:rsid w:val="00A41ADC"/>
    <w:rsid w:val="00A41B7A"/>
    <w:rsid w:val="00A41BB1"/>
    <w:rsid w:val="00A41C3A"/>
    <w:rsid w:val="00A41C4B"/>
    <w:rsid w:val="00A41C91"/>
    <w:rsid w:val="00A41D95"/>
    <w:rsid w:val="00A41DBF"/>
    <w:rsid w:val="00A41E62"/>
    <w:rsid w:val="00A41E68"/>
    <w:rsid w:val="00A41E8C"/>
    <w:rsid w:val="00A41F1E"/>
    <w:rsid w:val="00A41F3C"/>
    <w:rsid w:val="00A41F4D"/>
    <w:rsid w:val="00A41FAD"/>
    <w:rsid w:val="00A41FFE"/>
    <w:rsid w:val="00A4203D"/>
    <w:rsid w:val="00A4204B"/>
    <w:rsid w:val="00A420AB"/>
    <w:rsid w:val="00A420B3"/>
    <w:rsid w:val="00A4210B"/>
    <w:rsid w:val="00A42315"/>
    <w:rsid w:val="00A4232F"/>
    <w:rsid w:val="00A42357"/>
    <w:rsid w:val="00A423B7"/>
    <w:rsid w:val="00A42429"/>
    <w:rsid w:val="00A4242A"/>
    <w:rsid w:val="00A424C6"/>
    <w:rsid w:val="00A4250E"/>
    <w:rsid w:val="00A42523"/>
    <w:rsid w:val="00A425D9"/>
    <w:rsid w:val="00A4265B"/>
    <w:rsid w:val="00A42771"/>
    <w:rsid w:val="00A4281F"/>
    <w:rsid w:val="00A4298A"/>
    <w:rsid w:val="00A42A10"/>
    <w:rsid w:val="00A42A19"/>
    <w:rsid w:val="00A42A37"/>
    <w:rsid w:val="00A42A46"/>
    <w:rsid w:val="00A42AA0"/>
    <w:rsid w:val="00A42B1D"/>
    <w:rsid w:val="00A42B37"/>
    <w:rsid w:val="00A42C72"/>
    <w:rsid w:val="00A42D22"/>
    <w:rsid w:val="00A42D53"/>
    <w:rsid w:val="00A42D96"/>
    <w:rsid w:val="00A42DF3"/>
    <w:rsid w:val="00A42ECD"/>
    <w:rsid w:val="00A42F08"/>
    <w:rsid w:val="00A4300F"/>
    <w:rsid w:val="00A430B4"/>
    <w:rsid w:val="00A430DA"/>
    <w:rsid w:val="00A430FB"/>
    <w:rsid w:val="00A43169"/>
    <w:rsid w:val="00A43263"/>
    <w:rsid w:val="00A43266"/>
    <w:rsid w:val="00A432B9"/>
    <w:rsid w:val="00A432C0"/>
    <w:rsid w:val="00A43314"/>
    <w:rsid w:val="00A43322"/>
    <w:rsid w:val="00A43346"/>
    <w:rsid w:val="00A43419"/>
    <w:rsid w:val="00A434A9"/>
    <w:rsid w:val="00A434AE"/>
    <w:rsid w:val="00A435E0"/>
    <w:rsid w:val="00A435EA"/>
    <w:rsid w:val="00A4363D"/>
    <w:rsid w:val="00A4366E"/>
    <w:rsid w:val="00A43732"/>
    <w:rsid w:val="00A43816"/>
    <w:rsid w:val="00A43864"/>
    <w:rsid w:val="00A43890"/>
    <w:rsid w:val="00A4392B"/>
    <w:rsid w:val="00A4392F"/>
    <w:rsid w:val="00A43944"/>
    <w:rsid w:val="00A43A37"/>
    <w:rsid w:val="00A43A72"/>
    <w:rsid w:val="00A43A8F"/>
    <w:rsid w:val="00A43ABB"/>
    <w:rsid w:val="00A43B37"/>
    <w:rsid w:val="00A43B8A"/>
    <w:rsid w:val="00A43BAC"/>
    <w:rsid w:val="00A43BB5"/>
    <w:rsid w:val="00A43BEC"/>
    <w:rsid w:val="00A43C72"/>
    <w:rsid w:val="00A43C90"/>
    <w:rsid w:val="00A43CC8"/>
    <w:rsid w:val="00A43D8B"/>
    <w:rsid w:val="00A43E0D"/>
    <w:rsid w:val="00A43E2D"/>
    <w:rsid w:val="00A43E47"/>
    <w:rsid w:val="00A43E73"/>
    <w:rsid w:val="00A43FA7"/>
    <w:rsid w:val="00A43FF9"/>
    <w:rsid w:val="00A44021"/>
    <w:rsid w:val="00A44059"/>
    <w:rsid w:val="00A44176"/>
    <w:rsid w:val="00A4446A"/>
    <w:rsid w:val="00A44540"/>
    <w:rsid w:val="00A4454B"/>
    <w:rsid w:val="00A4458D"/>
    <w:rsid w:val="00A445B8"/>
    <w:rsid w:val="00A445F4"/>
    <w:rsid w:val="00A4468D"/>
    <w:rsid w:val="00A446A2"/>
    <w:rsid w:val="00A446AF"/>
    <w:rsid w:val="00A446B3"/>
    <w:rsid w:val="00A446E4"/>
    <w:rsid w:val="00A446E7"/>
    <w:rsid w:val="00A446EF"/>
    <w:rsid w:val="00A446F7"/>
    <w:rsid w:val="00A44705"/>
    <w:rsid w:val="00A447A3"/>
    <w:rsid w:val="00A447E8"/>
    <w:rsid w:val="00A44929"/>
    <w:rsid w:val="00A44939"/>
    <w:rsid w:val="00A4494E"/>
    <w:rsid w:val="00A44996"/>
    <w:rsid w:val="00A449BC"/>
    <w:rsid w:val="00A44A09"/>
    <w:rsid w:val="00A44A1A"/>
    <w:rsid w:val="00A44A98"/>
    <w:rsid w:val="00A44AD6"/>
    <w:rsid w:val="00A44B85"/>
    <w:rsid w:val="00A44B8F"/>
    <w:rsid w:val="00A44B9B"/>
    <w:rsid w:val="00A44BBA"/>
    <w:rsid w:val="00A44CF7"/>
    <w:rsid w:val="00A44D37"/>
    <w:rsid w:val="00A44D3D"/>
    <w:rsid w:val="00A44D57"/>
    <w:rsid w:val="00A44D8E"/>
    <w:rsid w:val="00A44E05"/>
    <w:rsid w:val="00A44E2E"/>
    <w:rsid w:val="00A44EC1"/>
    <w:rsid w:val="00A44EC7"/>
    <w:rsid w:val="00A44F3E"/>
    <w:rsid w:val="00A44FE6"/>
    <w:rsid w:val="00A4502C"/>
    <w:rsid w:val="00A4506E"/>
    <w:rsid w:val="00A45081"/>
    <w:rsid w:val="00A450D1"/>
    <w:rsid w:val="00A450FA"/>
    <w:rsid w:val="00A4512F"/>
    <w:rsid w:val="00A4516B"/>
    <w:rsid w:val="00A451FE"/>
    <w:rsid w:val="00A45203"/>
    <w:rsid w:val="00A45247"/>
    <w:rsid w:val="00A45267"/>
    <w:rsid w:val="00A452AB"/>
    <w:rsid w:val="00A45319"/>
    <w:rsid w:val="00A45323"/>
    <w:rsid w:val="00A45369"/>
    <w:rsid w:val="00A45376"/>
    <w:rsid w:val="00A45419"/>
    <w:rsid w:val="00A45471"/>
    <w:rsid w:val="00A45499"/>
    <w:rsid w:val="00A454B3"/>
    <w:rsid w:val="00A454C1"/>
    <w:rsid w:val="00A4563B"/>
    <w:rsid w:val="00A4564C"/>
    <w:rsid w:val="00A45679"/>
    <w:rsid w:val="00A4569A"/>
    <w:rsid w:val="00A457B8"/>
    <w:rsid w:val="00A4588E"/>
    <w:rsid w:val="00A45890"/>
    <w:rsid w:val="00A458F1"/>
    <w:rsid w:val="00A458FC"/>
    <w:rsid w:val="00A45A5A"/>
    <w:rsid w:val="00A45A5E"/>
    <w:rsid w:val="00A45AB5"/>
    <w:rsid w:val="00A45AFE"/>
    <w:rsid w:val="00A45B14"/>
    <w:rsid w:val="00A45BFD"/>
    <w:rsid w:val="00A45C59"/>
    <w:rsid w:val="00A45C83"/>
    <w:rsid w:val="00A45CFB"/>
    <w:rsid w:val="00A45D2B"/>
    <w:rsid w:val="00A45D92"/>
    <w:rsid w:val="00A45E16"/>
    <w:rsid w:val="00A45E52"/>
    <w:rsid w:val="00A45E57"/>
    <w:rsid w:val="00A45ED7"/>
    <w:rsid w:val="00A45F72"/>
    <w:rsid w:val="00A45FAF"/>
    <w:rsid w:val="00A46070"/>
    <w:rsid w:val="00A4611B"/>
    <w:rsid w:val="00A46147"/>
    <w:rsid w:val="00A461BC"/>
    <w:rsid w:val="00A461E8"/>
    <w:rsid w:val="00A461E9"/>
    <w:rsid w:val="00A461EB"/>
    <w:rsid w:val="00A4624C"/>
    <w:rsid w:val="00A462B5"/>
    <w:rsid w:val="00A462F0"/>
    <w:rsid w:val="00A4632B"/>
    <w:rsid w:val="00A46481"/>
    <w:rsid w:val="00A464B8"/>
    <w:rsid w:val="00A464E3"/>
    <w:rsid w:val="00A46558"/>
    <w:rsid w:val="00A465AA"/>
    <w:rsid w:val="00A465FA"/>
    <w:rsid w:val="00A46620"/>
    <w:rsid w:val="00A46652"/>
    <w:rsid w:val="00A4665B"/>
    <w:rsid w:val="00A46785"/>
    <w:rsid w:val="00A467A0"/>
    <w:rsid w:val="00A46807"/>
    <w:rsid w:val="00A4682D"/>
    <w:rsid w:val="00A46964"/>
    <w:rsid w:val="00A4699E"/>
    <w:rsid w:val="00A469A4"/>
    <w:rsid w:val="00A469DC"/>
    <w:rsid w:val="00A469ED"/>
    <w:rsid w:val="00A469F4"/>
    <w:rsid w:val="00A46AC6"/>
    <w:rsid w:val="00A46B21"/>
    <w:rsid w:val="00A46BA7"/>
    <w:rsid w:val="00A46C68"/>
    <w:rsid w:val="00A46C7B"/>
    <w:rsid w:val="00A46D15"/>
    <w:rsid w:val="00A46D9D"/>
    <w:rsid w:val="00A46DC7"/>
    <w:rsid w:val="00A46DDB"/>
    <w:rsid w:val="00A46E40"/>
    <w:rsid w:val="00A46F4B"/>
    <w:rsid w:val="00A46F8B"/>
    <w:rsid w:val="00A46F90"/>
    <w:rsid w:val="00A46FA2"/>
    <w:rsid w:val="00A4700E"/>
    <w:rsid w:val="00A47018"/>
    <w:rsid w:val="00A47069"/>
    <w:rsid w:val="00A4713D"/>
    <w:rsid w:val="00A4715D"/>
    <w:rsid w:val="00A471E1"/>
    <w:rsid w:val="00A471FD"/>
    <w:rsid w:val="00A4724B"/>
    <w:rsid w:val="00A472CE"/>
    <w:rsid w:val="00A472E6"/>
    <w:rsid w:val="00A47302"/>
    <w:rsid w:val="00A47374"/>
    <w:rsid w:val="00A473D1"/>
    <w:rsid w:val="00A47416"/>
    <w:rsid w:val="00A475F1"/>
    <w:rsid w:val="00A4760C"/>
    <w:rsid w:val="00A4760D"/>
    <w:rsid w:val="00A47621"/>
    <w:rsid w:val="00A4764A"/>
    <w:rsid w:val="00A4765D"/>
    <w:rsid w:val="00A47660"/>
    <w:rsid w:val="00A476BD"/>
    <w:rsid w:val="00A476C8"/>
    <w:rsid w:val="00A476DD"/>
    <w:rsid w:val="00A4773C"/>
    <w:rsid w:val="00A4780E"/>
    <w:rsid w:val="00A47851"/>
    <w:rsid w:val="00A47861"/>
    <w:rsid w:val="00A478B3"/>
    <w:rsid w:val="00A478B5"/>
    <w:rsid w:val="00A4790A"/>
    <w:rsid w:val="00A47A4C"/>
    <w:rsid w:val="00A47AF8"/>
    <w:rsid w:val="00A47B70"/>
    <w:rsid w:val="00A47B8C"/>
    <w:rsid w:val="00A47C89"/>
    <w:rsid w:val="00A47C96"/>
    <w:rsid w:val="00A47CB6"/>
    <w:rsid w:val="00A47CD0"/>
    <w:rsid w:val="00A47E00"/>
    <w:rsid w:val="00A47E1C"/>
    <w:rsid w:val="00A47E26"/>
    <w:rsid w:val="00A47E29"/>
    <w:rsid w:val="00A47E53"/>
    <w:rsid w:val="00A47E8D"/>
    <w:rsid w:val="00A47ECB"/>
    <w:rsid w:val="00A47EDC"/>
    <w:rsid w:val="00A47F28"/>
    <w:rsid w:val="00A47F34"/>
    <w:rsid w:val="00A5002B"/>
    <w:rsid w:val="00A500EF"/>
    <w:rsid w:val="00A50127"/>
    <w:rsid w:val="00A5021B"/>
    <w:rsid w:val="00A5023B"/>
    <w:rsid w:val="00A5025D"/>
    <w:rsid w:val="00A5025E"/>
    <w:rsid w:val="00A502A8"/>
    <w:rsid w:val="00A502B4"/>
    <w:rsid w:val="00A503DB"/>
    <w:rsid w:val="00A503F4"/>
    <w:rsid w:val="00A5044E"/>
    <w:rsid w:val="00A504A4"/>
    <w:rsid w:val="00A504EE"/>
    <w:rsid w:val="00A50563"/>
    <w:rsid w:val="00A5061B"/>
    <w:rsid w:val="00A5069C"/>
    <w:rsid w:val="00A5071F"/>
    <w:rsid w:val="00A5079B"/>
    <w:rsid w:val="00A5081B"/>
    <w:rsid w:val="00A50845"/>
    <w:rsid w:val="00A5087E"/>
    <w:rsid w:val="00A50947"/>
    <w:rsid w:val="00A50978"/>
    <w:rsid w:val="00A50983"/>
    <w:rsid w:val="00A5098A"/>
    <w:rsid w:val="00A50A22"/>
    <w:rsid w:val="00A50A62"/>
    <w:rsid w:val="00A50A78"/>
    <w:rsid w:val="00A50AC6"/>
    <w:rsid w:val="00A50B64"/>
    <w:rsid w:val="00A50CA1"/>
    <w:rsid w:val="00A50CD4"/>
    <w:rsid w:val="00A50D22"/>
    <w:rsid w:val="00A50E0E"/>
    <w:rsid w:val="00A50E16"/>
    <w:rsid w:val="00A50E4F"/>
    <w:rsid w:val="00A50F83"/>
    <w:rsid w:val="00A50F8E"/>
    <w:rsid w:val="00A50F9F"/>
    <w:rsid w:val="00A50FB0"/>
    <w:rsid w:val="00A50FB6"/>
    <w:rsid w:val="00A51016"/>
    <w:rsid w:val="00A51076"/>
    <w:rsid w:val="00A510AA"/>
    <w:rsid w:val="00A51137"/>
    <w:rsid w:val="00A51158"/>
    <w:rsid w:val="00A51174"/>
    <w:rsid w:val="00A51195"/>
    <w:rsid w:val="00A511DE"/>
    <w:rsid w:val="00A511DF"/>
    <w:rsid w:val="00A5123D"/>
    <w:rsid w:val="00A51306"/>
    <w:rsid w:val="00A5131B"/>
    <w:rsid w:val="00A51356"/>
    <w:rsid w:val="00A51399"/>
    <w:rsid w:val="00A513DA"/>
    <w:rsid w:val="00A513F5"/>
    <w:rsid w:val="00A51453"/>
    <w:rsid w:val="00A514A3"/>
    <w:rsid w:val="00A514B1"/>
    <w:rsid w:val="00A514F5"/>
    <w:rsid w:val="00A5153B"/>
    <w:rsid w:val="00A515D9"/>
    <w:rsid w:val="00A515FB"/>
    <w:rsid w:val="00A5161B"/>
    <w:rsid w:val="00A51678"/>
    <w:rsid w:val="00A51708"/>
    <w:rsid w:val="00A51715"/>
    <w:rsid w:val="00A5172E"/>
    <w:rsid w:val="00A51741"/>
    <w:rsid w:val="00A517A2"/>
    <w:rsid w:val="00A517C0"/>
    <w:rsid w:val="00A517D0"/>
    <w:rsid w:val="00A517EA"/>
    <w:rsid w:val="00A517F6"/>
    <w:rsid w:val="00A517F9"/>
    <w:rsid w:val="00A51825"/>
    <w:rsid w:val="00A518A0"/>
    <w:rsid w:val="00A51993"/>
    <w:rsid w:val="00A519A9"/>
    <w:rsid w:val="00A51AB1"/>
    <w:rsid w:val="00A51ABE"/>
    <w:rsid w:val="00A51B55"/>
    <w:rsid w:val="00A51BA7"/>
    <w:rsid w:val="00A51BEC"/>
    <w:rsid w:val="00A51C6E"/>
    <w:rsid w:val="00A51C7B"/>
    <w:rsid w:val="00A51D45"/>
    <w:rsid w:val="00A51DCE"/>
    <w:rsid w:val="00A51E16"/>
    <w:rsid w:val="00A51E1B"/>
    <w:rsid w:val="00A51E28"/>
    <w:rsid w:val="00A51E4B"/>
    <w:rsid w:val="00A51EAF"/>
    <w:rsid w:val="00A52041"/>
    <w:rsid w:val="00A52053"/>
    <w:rsid w:val="00A520C9"/>
    <w:rsid w:val="00A52194"/>
    <w:rsid w:val="00A521D5"/>
    <w:rsid w:val="00A521EB"/>
    <w:rsid w:val="00A52330"/>
    <w:rsid w:val="00A52370"/>
    <w:rsid w:val="00A52410"/>
    <w:rsid w:val="00A5244A"/>
    <w:rsid w:val="00A524D3"/>
    <w:rsid w:val="00A524DD"/>
    <w:rsid w:val="00A524E4"/>
    <w:rsid w:val="00A524F4"/>
    <w:rsid w:val="00A52512"/>
    <w:rsid w:val="00A52533"/>
    <w:rsid w:val="00A5256A"/>
    <w:rsid w:val="00A525B8"/>
    <w:rsid w:val="00A525D5"/>
    <w:rsid w:val="00A525E7"/>
    <w:rsid w:val="00A525F0"/>
    <w:rsid w:val="00A52659"/>
    <w:rsid w:val="00A526BC"/>
    <w:rsid w:val="00A52714"/>
    <w:rsid w:val="00A527A2"/>
    <w:rsid w:val="00A52819"/>
    <w:rsid w:val="00A52828"/>
    <w:rsid w:val="00A5284D"/>
    <w:rsid w:val="00A5286A"/>
    <w:rsid w:val="00A528B0"/>
    <w:rsid w:val="00A528BF"/>
    <w:rsid w:val="00A528C8"/>
    <w:rsid w:val="00A52913"/>
    <w:rsid w:val="00A5291A"/>
    <w:rsid w:val="00A52945"/>
    <w:rsid w:val="00A5297F"/>
    <w:rsid w:val="00A529C1"/>
    <w:rsid w:val="00A529EB"/>
    <w:rsid w:val="00A52A5E"/>
    <w:rsid w:val="00A52AEA"/>
    <w:rsid w:val="00A52B6D"/>
    <w:rsid w:val="00A52B77"/>
    <w:rsid w:val="00A52BD5"/>
    <w:rsid w:val="00A52CA8"/>
    <w:rsid w:val="00A52D3A"/>
    <w:rsid w:val="00A52DFC"/>
    <w:rsid w:val="00A52E25"/>
    <w:rsid w:val="00A53036"/>
    <w:rsid w:val="00A53048"/>
    <w:rsid w:val="00A53055"/>
    <w:rsid w:val="00A53083"/>
    <w:rsid w:val="00A53100"/>
    <w:rsid w:val="00A5318F"/>
    <w:rsid w:val="00A531B0"/>
    <w:rsid w:val="00A531CA"/>
    <w:rsid w:val="00A53230"/>
    <w:rsid w:val="00A5323B"/>
    <w:rsid w:val="00A53244"/>
    <w:rsid w:val="00A5337C"/>
    <w:rsid w:val="00A53390"/>
    <w:rsid w:val="00A533C1"/>
    <w:rsid w:val="00A53449"/>
    <w:rsid w:val="00A534DC"/>
    <w:rsid w:val="00A5351E"/>
    <w:rsid w:val="00A5359B"/>
    <w:rsid w:val="00A53634"/>
    <w:rsid w:val="00A536EB"/>
    <w:rsid w:val="00A537EE"/>
    <w:rsid w:val="00A5388C"/>
    <w:rsid w:val="00A53895"/>
    <w:rsid w:val="00A538DE"/>
    <w:rsid w:val="00A5393C"/>
    <w:rsid w:val="00A5394B"/>
    <w:rsid w:val="00A53AD7"/>
    <w:rsid w:val="00A53AEA"/>
    <w:rsid w:val="00A53BBB"/>
    <w:rsid w:val="00A53BBF"/>
    <w:rsid w:val="00A53EEE"/>
    <w:rsid w:val="00A53F03"/>
    <w:rsid w:val="00A53F12"/>
    <w:rsid w:val="00A53F3D"/>
    <w:rsid w:val="00A53F55"/>
    <w:rsid w:val="00A53F60"/>
    <w:rsid w:val="00A53F78"/>
    <w:rsid w:val="00A53F7D"/>
    <w:rsid w:val="00A53FB2"/>
    <w:rsid w:val="00A540C8"/>
    <w:rsid w:val="00A5411F"/>
    <w:rsid w:val="00A54172"/>
    <w:rsid w:val="00A541C1"/>
    <w:rsid w:val="00A5421F"/>
    <w:rsid w:val="00A5423B"/>
    <w:rsid w:val="00A542D2"/>
    <w:rsid w:val="00A542FD"/>
    <w:rsid w:val="00A54362"/>
    <w:rsid w:val="00A54423"/>
    <w:rsid w:val="00A54462"/>
    <w:rsid w:val="00A5451B"/>
    <w:rsid w:val="00A5457D"/>
    <w:rsid w:val="00A5467A"/>
    <w:rsid w:val="00A546CB"/>
    <w:rsid w:val="00A546CC"/>
    <w:rsid w:val="00A54705"/>
    <w:rsid w:val="00A54722"/>
    <w:rsid w:val="00A54731"/>
    <w:rsid w:val="00A54758"/>
    <w:rsid w:val="00A54768"/>
    <w:rsid w:val="00A54817"/>
    <w:rsid w:val="00A54931"/>
    <w:rsid w:val="00A549FA"/>
    <w:rsid w:val="00A54A3D"/>
    <w:rsid w:val="00A54C40"/>
    <w:rsid w:val="00A54CBF"/>
    <w:rsid w:val="00A54CDF"/>
    <w:rsid w:val="00A54DED"/>
    <w:rsid w:val="00A54EA8"/>
    <w:rsid w:val="00A54F81"/>
    <w:rsid w:val="00A54FB4"/>
    <w:rsid w:val="00A54FBD"/>
    <w:rsid w:val="00A54FE8"/>
    <w:rsid w:val="00A5501E"/>
    <w:rsid w:val="00A5505D"/>
    <w:rsid w:val="00A55095"/>
    <w:rsid w:val="00A55254"/>
    <w:rsid w:val="00A55270"/>
    <w:rsid w:val="00A55279"/>
    <w:rsid w:val="00A55287"/>
    <w:rsid w:val="00A55394"/>
    <w:rsid w:val="00A55396"/>
    <w:rsid w:val="00A553D8"/>
    <w:rsid w:val="00A55429"/>
    <w:rsid w:val="00A55474"/>
    <w:rsid w:val="00A554A5"/>
    <w:rsid w:val="00A55502"/>
    <w:rsid w:val="00A5550D"/>
    <w:rsid w:val="00A555D9"/>
    <w:rsid w:val="00A555DC"/>
    <w:rsid w:val="00A55692"/>
    <w:rsid w:val="00A556F2"/>
    <w:rsid w:val="00A55785"/>
    <w:rsid w:val="00A55796"/>
    <w:rsid w:val="00A557B5"/>
    <w:rsid w:val="00A558B2"/>
    <w:rsid w:val="00A5596F"/>
    <w:rsid w:val="00A5597F"/>
    <w:rsid w:val="00A55AAB"/>
    <w:rsid w:val="00A55AEC"/>
    <w:rsid w:val="00A55B2D"/>
    <w:rsid w:val="00A55B38"/>
    <w:rsid w:val="00A55B4A"/>
    <w:rsid w:val="00A55BB5"/>
    <w:rsid w:val="00A55CA3"/>
    <w:rsid w:val="00A55CBF"/>
    <w:rsid w:val="00A55D19"/>
    <w:rsid w:val="00A55D5E"/>
    <w:rsid w:val="00A55E65"/>
    <w:rsid w:val="00A55E7C"/>
    <w:rsid w:val="00A55F00"/>
    <w:rsid w:val="00A56032"/>
    <w:rsid w:val="00A560A2"/>
    <w:rsid w:val="00A56124"/>
    <w:rsid w:val="00A56135"/>
    <w:rsid w:val="00A56168"/>
    <w:rsid w:val="00A561B8"/>
    <w:rsid w:val="00A5625B"/>
    <w:rsid w:val="00A562C5"/>
    <w:rsid w:val="00A5631E"/>
    <w:rsid w:val="00A56380"/>
    <w:rsid w:val="00A564E0"/>
    <w:rsid w:val="00A565CA"/>
    <w:rsid w:val="00A565EA"/>
    <w:rsid w:val="00A56642"/>
    <w:rsid w:val="00A56933"/>
    <w:rsid w:val="00A569BB"/>
    <w:rsid w:val="00A569BD"/>
    <w:rsid w:val="00A56A86"/>
    <w:rsid w:val="00A56A91"/>
    <w:rsid w:val="00A56AA3"/>
    <w:rsid w:val="00A56B62"/>
    <w:rsid w:val="00A56BDA"/>
    <w:rsid w:val="00A56BF2"/>
    <w:rsid w:val="00A56C83"/>
    <w:rsid w:val="00A56D2E"/>
    <w:rsid w:val="00A56D79"/>
    <w:rsid w:val="00A56D82"/>
    <w:rsid w:val="00A56DDC"/>
    <w:rsid w:val="00A56DE0"/>
    <w:rsid w:val="00A56E26"/>
    <w:rsid w:val="00A56EFB"/>
    <w:rsid w:val="00A56FA5"/>
    <w:rsid w:val="00A56FED"/>
    <w:rsid w:val="00A5701F"/>
    <w:rsid w:val="00A57036"/>
    <w:rsid w:val="00A5705C"/>
    <w:rsid w:val="00A5707C"/>
    <w:rsid w:val="00A5709A"/>
    <w:rsid w:val="00A5719D"/>
    <w:rsid w:val="00A571A0"/>
    <w:rsid w:val="00A571CC"/>
    <w:rsid w:val="00A57232"/>
    <w:rsid w:val="00A57260"/>
    <w:rsid w:val="00A5728D"/>
    <w:rsid w:val="00A5729D"/>
    <w:rsid w:val="00A573D6"/>
    <w:rsid w:val="00A573F8"/>
    <w:rsid w:val="00A573FF"/>
    <w:rsid w:val="00A574AD"/>
    <w:rsid w:val="00A57569"/>
    <w:rsid w:val="00A575DF"/>
    <w:rsid w:val="00A57676"/>
    <w:rsid w:val="00A57717"/>
    <w:rsid w:val="00A5772F"/>
    <w:rsid w:val="00A57748"/>
    <w:rsid w:val="00A5774F"/>
    <w:rsid w:val="00A57775"/>
    <w:rsid w:val="00A5777C"/>
    <w:rsid w:val="00A577FA"/>
    <w:rsid w:val="00A5783B"/>
    <w:rsid w:val="00A5784F"/>
    <w:rsid w:val="00A57853"/>
    <w:rsid w:val="00A57854"/>
    <w:rsid w:val="00A57883"/>
    <w:rsid w:val="00A57924"/>
    <w:rsid w:val="00A57943"/>
    <w:rsid w:val="00A57A06"/>
    <w:rsid w:val="00A57A0E"/>
    <w:rsid w:val="00A57AE5"/>
    <w:rsid w:val="00A57B28"/>
    <w:rsid w:val="00A57BAF"/>
    <w:rsid w:val="00A57CC9"/>
    <w:rsid w:val="00A57E33"/>
    <w:rsid w:val="00A57EAD"/>
    <w:rsid w:val="00A57F4B"/>
    <w:rsid w:val="00A57FE2"/>
    <w:rsid w:val="00A60009"/>
    <w:rsid w:val="00A60035"/>
    <w:rsid w:val="00A60283"/>
    <w:rsid w:val="00A602D1"/>
    <w:rsid w:val="00A602F8"/>
    <w:rsid w:val="00A6031F"/>
    <w:rsid w:val="00A603D0"/>
    <w:rsid w:val="00A60411"/>
    <w:rsid w:val="00A60516"/>
    <w:rsid w:val="00A6051D"/>
    <w:rsid w:val="00A6060D"/>
    <w:rsid w:val="00A60667"/>
    <w:rsid w:val="00A6071F"/>
    <w:rsid w:val="00A607B7"/>
    <w:rsid w:val="00A607BE"/>
    <w:rsid w:val="00A60810"/>
    <w:rsid w:val="00A6081F"/>
    <w:rsid w:val="00A60850"/>
    <w:rsid w:val="00A6088F"/>
    <w:rsid w:val="00A608DA"/>
    <w:rsid w:val="00A6092E"/>
    <w:rsid w:val="00A60959"/>
    <w:rsid w:val="00A60A31"/>
    <w:rsid w:val="00A60AAA"/>
    <w:rsid w:val="00A60AE3"/>
    <w:rsid w:val="00A60B43"/>
    <w:rsid w:val="00A60B55"/>
    <w:rsid w:val="00A60B78"/>
    <w:rsid w:val="00A60CD5"/>
    <w:rsid w:val="00A60D07"/>
    <w:rsid w:val="00A60DB5"/>
    <w:rsid w:val="00A60DFC"/>
    <w:rsid w:val="00A60E39"/>
    <w:rsid w:val="00A60E60"/>
    <w:rsid w:val="00A60F7B"/>
    <w:rsid w:val="00A60F8C"/>
    <w:rsid w:val="00A60FEE"/>
    <w:rsid w:val="00A610D2"/>
    <w:rsid w:val="00A61149"/>
    <w:rsid w:val="00A61156"/>
    <w:rsid w:val="00A611D0"/>
    <w:rsid w:val="00A61259"/>
    <w:rsid w:val="00A6126D"/>
    <w:rsid w:val="00A612AD"/>
    <w:rsid w:val="00A612EC"/>
    <w:rsid w:val="00A61334"/>
    <w:rsid w:val="00A6136F"/>
    <w:rsid w:val="00A613CC"/>
    <w:rsid w:val="00A6142D"/>
    <w:rsid w:val="00A61430"/>
    <w:rsid w:val="00A61470"/>
    <w:rsid w:val="00A614EB"/>
    <w:rsid w:val="00A61510"/>
    <w:rsid w:val="00A6157A"/>
    <w:rsid w:val="00A615E8"/>
    <w:rsid w:val="00A61606"/>
    <w:rsid w:val="00A61687"/>
    <w:rsid w:val="00A616AD"/>
    <w:rsid w:val="00A617DF"/>
    <w:rsid w:val="00A61811"/>
    <w:rsid w:val="00A61A02"/>
    <w:rsid w:val="00A61A0E"/>
    <w:rsid w:val="00A61A85"/>
    <w:rsid w:val="00A61AEA"/>
    <w:rsid w:val="00A61B92"/>
    <w:rsid w:val="00A61B9F"/>
    <w:rsid w:val="00A61BC7"/>
    <w:rsid w:val="00A61C8A"/>
    <w:rsid w:val="00A61D74"/>
    <w:rsid w:val="00A61DFA"/>
    <w:rsid w:val="00A61EB8"/>
    <w:rsid w:val="00A61F2B"/>
    <w:rsid w:val="00A62086"/>
    <w:rsid w:val="00A62098"/>
    <w:rsid w:val="00A62116"/>
    <w:rsid w:val="00A62157"/>
    <w:rsid w:val="00A622A8"/>
    <w:rsid w:val="00A622F6"/>
    <w:rsid w:val="00A62364"/>
    <w:rsid w:val="00A6238E"/>
    <w:rsid w:val="00A623BC"/>
    <w:rsid w:val="00A623E0"/>
    <w:rsid w:val="00A6240A"/>
    <w:rsid w:val="00A62420"/>
    <w:rsid w:val="00A62438"/>
    <w:rsid w:val="00A624F1"/>
    <w:rsid w:val="00A62592"/>
    <w:rsid w:val="00A6259A"/>
    <w:rsid w:val="00A625D1"/>
    <w:rsid w:val="00A62783"/>
    <w:rsid w:val="00A627B5"/>
    <w:rsid w:val="00A627BE"/>
    <w:rsid w:val="00A62845"/>
    <w:rsid w:val="00A628A9"/>
    <w:rsid w:val="00A628C4"/>
    <w:rsid w:val="00A628DB"/>
    <w:rsid w:val="00A62939"/>
    <w:rsid w:val="00A62990"/>
    <w:rsid w:val="00A62A16"/>
    <w:rsid w:val="00A62AD6"/>
    <w:rsid w:val="00A62B1C"/>
    <w:rsid w:val="00A62B5C"/>
    <w:rsid w:val="00A62C8E"/>
    <w:rsid w:val="00A62D7A"/>
    <w:rsid w:val="00A62DD3"/>
    <w:rsid w:val="00A62E0D"/>
    <w:rsid w:val="00A62E42"/>
    <w:rsid w:val="00A62E9F"/>
    <w:rsid w:val="00A62EA0"/>
    <w:rsid w:val="00A62F00"/>
    <w:rsid w:val="00A62F0B"/>
    <w:rsid w:val="00A62F62"/>
    <w:rsid w:val="00A62FC7"/>
    <w:rsid w:val="00A63023"/>
    <w:rsid w:val="00A63137"/>
    <w:rsid w:val="00A631B5"/>
    <w:rsid w:val="00A631E3"/>
    <w:rsid w:val="00A63234"/>
    <w:rsid w:val="00A6325E"/>
    <w:rsid w:val="00A6327E"/>
    <w:rsid w:val="00A6346B"/>
    <w:rsid w:val="00A634D4"/>
    <w:rsid w:val="00A63554"/>
    <w:rsid w:val="00A6355F"/>
    <w:rsid w:val="00A6357D"/>
    <w:rsid w:val="00A635B9"/>
    <w:rsid w:val="00A63603"/>
    <w:rsid w:val="00A63633"/>
    <w:rsid w:val="00A6369E"/>
    <w:rsid w:val="00A636B1"/>
    <w:rsid w:val="00A636F2"/>
    <w:rsid w:val="00A6373E"/>
    <w:rsid w:val="00A637A3"/>
    <w:rsid w:val="00A637A6"/>
    <w:rsid w:val="00A637AD"/>
    <w:rsid w:val="00A637C6"/>
    <w:rsid w:val="00A637F2"/>
    <w:rsid w:val="00A63893"/>
    <w:rsid w:val="00A6389B"/>
    <w:rsid w:val="00A638A4"/>
    <w:rsid w:val="00A638CF"/>
    <w:rsid w:val="00A63985"/>
    <w:rsid w:val="00A639F9"/>
    <w:rsid w:val="00A63A64"/>
    <w:rsid w:val="00A63AEB"/>
    <w:rsid w:val="00A63B14"/>
    <w:rsid w:val="00A63B7A"/>
    <w:rsid w:val="00A63BE3"/>
    <w:rsid w:val="00A63C18"/>
    <w:rsid w:val="00A63D97"/>
    <w:rsid w:val="00A63D9B"/>
    <w:rsid w:val="00A63F79"/>
    <w:rsid w:val="00A63FB0"/>
    <w:rsid w:val="00A63FF4"/>
    <w:rsid w:val="00A6409E"/>
    <w:rsid w:val="00A64103"/>
    <w:rsid w:val="00A64129"/>
    <w:rsid w:val="00A64143"/>
    <w:rsid w:val="00A6414A"/>
    <w:rsid w:val="00A6425F"/>
    <w:rsid w:val="00A6430B"/>
    <w:rsid w:val="00A64343"/>
    <w:rsid w:val="00A6434F"/>
    <w:rsid w:val="00A643AD"/>
    <w:rsid w:val="00A64506"/>
    <w:rsid w:val="00A64564"/>
    <w:rsid w:val="00A6458F"/>
    <w:rsid w:val="00A64677"/>
    <w:rsid w:val="00A64706"/>
    <w:rsid w:val="00A64724"/>
    <w:rsid w:val="00A647DA"/>
    <w:rsid w:val="00A64805"/>
    <w:rsid w:val="00A6488E"/>
    <w:rsid w:val="00A6490A"/>
    <w:rsid w:val="00A64934"/>
    <w:rsid w:val="00A64985"/>
    <w:rsid w:val="00A649AE"/>
    <w:rsid w:val="00A649F2"/>
    <w:rsid w:val="00A64A2A"/>
    <w:rsid w:val="00A64A6B"/>
    <w:rsid w:val="00A64B04"/>
    <w:rsid w:val="00A64B68"/>
    <w:rsid w:val="00A64BC1"/>
    <w:rsid w:val="00A64C33"/>
    <w:rsid w:val="00A64CA4"/>
    <w:rsid w:val="00A64D48"/>
    <w:rsid w:val="00A64D70"/>
    <w:rsid w:val="00A64E72"/>
    <w:rsid w:val="00A64F61"/>
    <w:rsid w:val="00A65053"/>
    <w:rsid w:val="00A6508D"/>
    <w:rsid w:val="00A650C7"/>
    <w:rsid w:val="00A65117"/>
    <w:rsid w:val="00A6520B"/>
    <w:rsid w:val="00A65238"/>
    <w:rsid w:val="00A65276"/>
    <w:rsid w:val="00A6529D"/>
    <w:rsid w:val="00A6531C"/>
    <w:rsid w:val="00A65364"/>
    <w:rsid w:val="00A653FB"/>
    <w:rsid w:val="00A65402"/>
    <w:rsid w:val="00A65412"/>
    <w:rsid w:val="00A65429"/>
    <w:rsid w:val="00A6542D"/>
    <w:rsid w:val="00A65484"/>
    <w:rsid w:val="00A65491"/>
    <w:rsid w:val="00A654A6"/>
    <w:rsid w:val="00A654A7"/>
    <w:rsid w:val="00A654C0"/>
    <w:rsid w:val="00A654E6"/>
    <w:rsid w:val="00A654F2"/>
    <w:rsid w:val="00A655A4"/>
    <w:rsid w:val="00A655CA"/>
    <w:rsid w:val="00A655E7"/>
    <w:rsid w:val="00A655F2"/>
    <w:rsid w:val="00A656D1"/>
    <w:rsid w:val="00A65727"/>
    <w:rsid w:val="00A6589A"/>
    <w:rsid w:val="00A65A02"/>
    <w:rsid w:val="00A65A1D"/>
    <w:rsid w:val="00A65A5C"/>
    <w:rsid w:val="00A65B14"/>
    <w:rsid w:val="00A65B51"/>
    <w:rsid w:val="00A65BE6"/>
    <w:rsid w:val="00A65C0D"/>
    <w:rsid w:val="00A65CD1"/>
    <w:rsid w:val="00A65D00"/>
    <w:rsid w:val="00A65D49"/>
    <w:rsid w:val="00A65D52"/>
    <w:rsid w:val="00A65DA0"/>
    <w:rsid w:val="00A65DB3"/>
    <w:rsid w:val="00A65DD0"/>
    <w:rsid w:val="00A65E05"/>
    <w:rsid w:val="00A65E6D"/>
    <w:rsid w:val="00A65E84"/>
    <w:rsid w:val="00A65FD5"/>
    <w:rsid w:val="00A6601F"/>
    <w:rsid w:val="00A6605E"/>
    <w:rsid w:val="00A66063"/>
    <w:rsid w:val="00A66087"/>
    <w:rsid w:val="00A660FB"/>
    <w:rsid w:val="00A660FD"/>
    <w:rsid w:val="00A6612C"/>
    <w:rsid w:val="00A662DC"/>
    <w:rsid w:val="00A66328"/>
    <w:rsid w:val="00A663AD"/>
    <w:rsid w:val="00A663ED"/>
    <w:rsid w:val="00A6650D"/>
    <w:rsid w:val="00A6669C"/>
    <w:rsid w:val="00A6676C"/>
    <w:rsid w:val="00A667D8"/>
    <w:rsid w:val="00A66859"/>
    <w:rsid w:val="00A668D4"/>
    <w:rsid w:val="00A6699E"/>
    <w:rsid w:val="00A669E6"/>
    <w:rsid w:val="00A66A6E"/>
    <w:rsid w:val="00A66AC2"/>
    <w:rsid w:val="00A66AE5"/>
    <w:rsid w:val="00A66B0F"/>
    <w:rsid w:val="00A66B41"/>
    <w:rsid w:val="00A66C5A"/>
    <w:rsid w:val="00A66C95"/>
    <w:rsid w:val="00A66D08"/>
    <w:rsid w:val="00A66D7D"/>
    <w:rsid w:val="00A66D9A"/>
    <w:rsid w:val="00A66D9D"/>
    <w:rsid w:val="00A66DCC"/>
    <w:rsid w:val="00A66E9A"/>
    <w:rsid w:val="00A66F57"/>
    <w:rsid w:val="00A66F96"/>
    <w:rsid w:val="00A66FB4"/>
    <w:rsid w:val="00A66FC8"/>
    <w:rsid w:val="00A6701C"/>
    <w:rsid w:val="00A670C7"/>
    <w:rsid w:val="00A670D6"/>
    <w:rsid w:val="00A6716F"/>
    <w:rsid w:val="00A67230"/>
    <w:rsid w:val="00A67244"/>
    <w:rsid w:val="00A67250"/>
    <w:rsid w:val="00A6728F"/>
    <w:rsid w:val="00A6741B"/>
    <w:rsid w:val="00A6749D"/>
    <w:rsid w:val="00A674F2"/>
    <w:rsid w:val="00A67685"/>
    <w:rsid w:val="00A67758"/>
    <w:rsid w:val="00A677CB"/>
    <w:rsid w:val="00A677E6"/>
    <w:rsid w:val="00A67810"/>
    <w:rsid w:val="00A6781B"/>
    <w:rsid w:val="00A67853"/>
    <w:rsid w:val="00A6785E"/>
    <w:rsid w:val="00A67900"/>
    <w:rsid w:val="00A67905"/>
    <w:rsid w:val="00A67908"/>
    <w:rsid w:val="00A67916"/>
    <w:rsid w:val="00A67A1D"/>
    <w:rsid w:val="00A67A27"/>
    <w:rsid w:val="00A67AFF"/>
    <w:rsid w:val="00A67BE4"/>
    <w:rsid w:val="00A67C14"/>
    <w:rsid w:val="00A67C5C"/>
    <w:rsid w:val="00A67D34"/>
    <w:rsid w:val="00A67DBA"/>
    <w:rsid w:val="00A67DE8"/>
    <w:rsid w:val="00A67E07"/>
    <w:rsid w:val="00A67E20"/>
    <w:rsid w:val="00A67E47"/>
    <w:rsid w:val="00A67EC9"/>
    <w:rsid w:val="00A67ECF"/>
    <w:rsid w:val="00A67F8C"/>
    <w:rsid w:val="00A7003F"/>
    <w:rsid w:val="00A700E3"/>
    <w:rsid w:val="00A70103"/>
    <w:rsid w:val="00A70195"/>
    <w:rsid w:val="00A702B3"/>
    <w:rsid w:val="00A7031D"/>
    <w:rsid w:val="00A7032B"/>
    <w:rsid w:val="00A70362"/>
    <w:rsid w:val="00A70372"/>
    <w:rsid w:val="00A7037A"/>
    <w:rsid w:val="00A70388"/>
    <w:rsid w:val="00A703CC"/>
    <w:rsid w:val="00A7042B"/>
    <w:rsid w:val="00A70454"/>
    <w:rsid w:val="00A7050D"/>
    <w:rsid w:val="00A7056E"/>
    <w:rsid w:val="00A705A3"/>
    <w:rsid w:val="00A7067D"/>
    <w:rsid w:val="00A706B4"/>
    <w:rsid w:val="00A706E9"/>
    <w:rsid w:val="00A70869"/>
    <w:rsid w:val="00A7090A"/>
    <w:rsid w:val="00A7091D"/>
    <w:rsid w:val="00A70969"/>
    <w:rsid w:val="00A70B56"/>
    <w:rsid w:val="00A70B67"/>
    <w:rsid w:val="00A70BB1"/>
    <w:rsid w:val="00A70BF0"/>
    <w:rsid w:val="00A70C0E"/>
    <w:rsid w:val="00A70C29"/>
    <w:rsid w:val="00A70C60"/>
    <w:rsid w:val="00A70C6E"/>
    <w:rsid w:val="00A70E16"/>
    <w:rsid w:val="00A70E55"/>
    <w:rsid w:val="00A70E8C"/>
    <w:rsid w:val="00A70EAF"/>
    <w:rsid w:val="00A70EDD"/>
    <w:rsid w:val="00A70F85"/>
    <w:rsid w:val="00A70F8C"/>
    <w:rsid w:val="00A70F8E"/>
    <w:rsid w:val="00A70FB4"/>
    <w:rsid w:val="00A7101B"/>
    <w:rsid w:val="00A71041"/>
    <w:rsid w:val="00A71096"/>
    <w:rsid w:val="00A710A6"/>
    <w:rsid w:val="00A710A8"/>
    <w:rsid w:val="00A710DF"/>
    <w:rsid w:val="00A710E6"/>
    <w:rsid w:val="00A71120"/>
    <w:rsid w:val="00A7113F"/>
    <w:rsid w:val="00A71190"/>
    <w:rsid w:val="00A7125C"/>
    <w:rsid w:val="00A712CA"/>
    <w:rsid w:val="00A71318"/>
    <w:rsid w:val="00A713B4"/>
    <w:rsid w:val="00A713B8"/>
    <w:rsid w:val="00A713FE"/>
    <w:rsid w:val="00A71687"/>
    <w:rsid w:val="00A716D6"/>
    <w:rsid w:val="00A717D8"/>
    <w:rsid w:val="00A717E5"/>
    <w:rsid w:val="00A7182F"/>
    <w:rsid w:val="00A71897"/>
    <w:rsid w:val="00A7189E"/>
    <w:rsid w:val="00A718CB"/>
    <w:rsid w:val="00A718D7"/>
    <w:rsid w:val="00A71940"/>
    <w:rsid w:val="00A71995"/>
    <w:rsid w:val="00A71A08"/>
    <w:rsid w:val="00A71A28"/>
    <w:rsid w:val="00A71A36"/>
    <w:rsid w:val="00A71A72"/>
    <w:rsid w:val="00A71A95"/>
    <w:rsid w:val="00A71AC4"/>
    <w:rsid w:val="00A71B46"/>
    <w:rsid w:val="00A71BD7"/>
    <w:rsid w:val="00A71BE5"/>
    <w:rsid w:val="00A71C3D"/>
    <w:rsid w:val="00A71C4C"/>
    <w:rsid w:val="00A71C4D"/>
    <w:rsid w:val="00A71D48"/>
    <w:rsid w:val="00A71D51"/>
    <w:rsid w:val="00A71D6F"/>
    <w:rsid w:val="00A71EA6"/>
    <w:rsid w:val="00A71ED1"/>
    <w:rsid w:val="00A71F4A"/>
    <w:rsid w:val="00A71F4B"/>
    <w:rsid w:val="00A71FEA"/>
    <w:rsid w:val="00A72022"/>
    <w:rsid w:val="00A72055"/>
    <w:rsid w:val="00A720A2"/>
    <w:rsid w:val="00A720F7"/>
    <w:rsid w:val="00A72166"/>
    <w:rsid w:val="00A7221C"/>
    <w:rsid w:val="00A72252"/>
    <w:rsid w:val="00A72385"/>
    <w:rsid w:val="00A723D6"/>
    <w:rsid w:val="00A7241A"/>
    <w:rsid w:val="00A72425"/>
    <w:rsid w:val="00A72470"/>
    <w:rsid w:val="00A72474"/>
    <w:rsid w:val="00A72479"/>
    <w:rsid w:val="00A724E1"/>
    <w:rsid w:val="00A7250D"/>
    <w:rsid w:val="00A7251A"/>
    <w:rsid w:val="00A72542"/>
    <w:rsid w:val="00A72600"/>
    <w:rsid w:val="00A7261B"/>
    <w:rsid w:val="00A7266F"/>
    <w:rsid w:val="00A726D7"/>
    <w:rsid w:val="00A72794"/>
    <w:rsid w:val="00A727D9"/>
    <w:rsid w:val="00A727EF"/>
    <w:rsid w:val="00A72870"/>
    <w:rsid w:val="00A7287D"/>
    <w:rsid w:val="00A728FC"/>
    <w:rsid w:val="00A7291E"/>
    <w:rsid w:val="00A72921"/>
    <w:rsid w:val="00A72945"/>
    <w:rsid w:val="00A7294C"/>
    <w:rsid w:val="00A72985"/>
    <w:rsid w:val="00A729A1"/>
    <w:rsid w:val="00A72B65"/>
    <w:rsid w:val="00A72C9E"/>
    <w:rsid w:val="00A72CEB"/>
    <w:rsid w:val="00A72DC0"/>
    <w:rsid w:val="00A72F3D"/>
    <w:rsid w:val="00A72FBF"/>
    <w:rsid w:val="00A73032"/>
    <w:rsid w:val="00A73041"/>
    <w:rsid w:val="00A730CD"/>
    <w:rsid w:val="00A73172"/>
    <w:rsid w:val="00A73198"/>
    <w:rsid w:val="00A731BF"/>
    <w:rsid w:val="00A731E4"/>
    <w:rsid w:val="00A73233"/>
    <w:rsid w:val="00A732CF"/>
    <w:rsid w:val="00A7333C"/>
    <w:rsid w:val="00A73363"/>
    <w:rsid w:val="00A733A4"/>
    <w:rsid w:val="00A733AA"/>
    <w:rsid w:val="00A733ED"/>
    <w:rsid w:val="00A735E6"/>
    <w:rsid w:val="00A735F9"/>
    <w:rsid w:val="00A7364F"/>
    <w:rsid w:val="00A736C8"/>
    <w:rsid w:val="00A73708"/>
    <w:rsid w:val="00A7372A"/>
    <w:rsid w:val="00A7377A"/>
    <w:rsid w:val="00A7383D"/>
    <w:rsid w:val="00A738C7"/>
    <w:rsid w:val="00A739A8"/>
    <w:rsid w:val="00A739D1"/>
    <w:rsid w:val="00A73A73"/>
    <w:rsid w:val="00A73A80"/>
    <w:rsid w:val="00A73AAB"/>
    <w:rsid w:val="00A73B3D"/>
    <w:rsid w:val="00A73BF5"/>
    <w:rsid w:val="00A73C03"/>
    <w:rsid w:val="00A73C23"/>
    <w:rsid w:val="00A73C4F"/>
    <w:rsid w:val="00A73C74"/>
    <w:rsid w:val="00A73C92"/>
    <w:rsid w:val="00A73CF2"/>
    <w:rsid w:val="00A73D22"/>
    <w:rsid w:val="00A73D65"/>
    <w:rsid w:val="00A74012"/>
    <w:rsid w:val="00A74015"/>
    <w:rsid w:val="00A7408E"/>
    <w:rsid w:val="00A740F8"/>
    <w:rsid w:val="00A74108"/>
    <w:rsid w:val="00A7414B"/>
    <w:rsid w:val="00A7414D"/>
    <w:rsid w:val="00A741AB"/>
    <w:rsid w:val="00A74226"/>
    <w:rsid w:val="00A74300"/>
    <w:rsid w:val="00A74327"/>
    <w:rsid w:val="00A74339"/>
    <w:rsid w:val="00A7435E"/>
    <w:rsid w:val="00A743E4"/>
    <w:rsid w:val="00A743FE"/>
    <w:rsid w:val="00A74488"/>
    <w:rsid w:val="00A744C2"/>
    <w:rsid w:val="00A7460E"/>
    <w:rsid w:val="00A747A4"/>
    <w:rsid w:val="00A747F6"/>
    <w:rsid w:val="00A748C4"/>
    <w:rsid w:val="00A74ABC"/>
    <w:rsid w:val="00A74B02"/>
    <w:rsid w:val="00A74B50"/>
    <w:rsid w:val="00A74B57"/>
    <w:rsid w:val="00A74C38"/>
    <w:rsid w:val="00A74C4E"/>
    <w:rsid w:val="00A74C96"/>
    <w:rsid w:val="00A74CE5"/>
    <w:rsid w:val="00A74DA0"/>
    <w:rsid w:val="00A74DEC"/>
    <w:rsid w:val="00A74E52"/>
    <w:rsid w:val="00A74E8C"/>
    <w:rsid w:val="00A74F3C"/>
    <w:rsid w:val="00A74F51"/>
    <w:rsid w:val="00A74FD9"/>
    <w:rsid w:val="00A7500C"/>
    <w:rsid w:val="00A750D5"/>
    <w:rsid w:val="00A75105"/>
    <w:rsid w:val="00A7511C"/>
    <w:rsid w:val="00A751C9"/>
    <w:rsid w:val="00A751E3"/>
    <w:rsid w:val="00A752D0"/>
    <w:rsid w:val="00A75346"/>
    <w:rsid w:val="00A753AE"/>
    <w:rsid w:val="00A7540E"/>
    <w:rsid w:val="00A75459"/>
    <w:rsid w:val="00A754CD"/>
    <w:rsid w:val="00A75575"/>
    <w:rsid w:val="00A7559E"/>
    <w:rsid w:val="00A75666"/>
    <w:rsid w:val="00A7566C"/>
    <w:rsid w:val="00A75672"/>
    <w:rsid w:val="00A75772"/>
    <w:rsid w:val="00A75793"/>
    <w:rsid w:val="00A757B0"/>
    <w:rsid w:val="00A757DF"/>
    <w:rsid w:val="00A758F4"/>
    <w:rsid w:val="00A75904"/>
    <w:rsid w:val="00A75910"/>
    <w:rsid w:val="00A75955"/>
    <w:rsid w:val="00A7597F"/>
    <w:rsid w:val="00A75A27"/>
    <w:rsid w:val="00A75A29"/>
    <w:rsid w:val="00A75A8D"/>
    <w:rsid w:val="00A75A8F"/>
    <w:rsid w:val="00A75B02"/>
    <w:rsid w:val="00A75BB2"/>
    <w:rsid w:val="00A75C23"/>
    <w:rsid w:val="00A75C28"/>
    <w:rsid w:val="00A75C66"/>
    <w:rsid w:val="00A75C68"/>
    <w:rsid w:val="00A75CFC"/>
    <w:rsid w:val="00A75D11"/>
    <w:rsid w:val="00A75D63"/>
    <w:rsid w:val="00A75DAA"/>
    <w:rsid w:val="00A75DC4"/>
    <w:rsid w:val="00A75DF8"/>
    <w:rsid w:val="00A75E11"/>
    <w:rsid w:val="00A75E15"/>
    <w:rsid w:val="00A75E1E"/>
    <w:rsid w:val="00A75E98"/>
    <w:rsid w:val="00A75EAD"/>
    <w:rsid w:val="00A7606F"/>
    <w:rsid w:val="00A76085"/>
    <w:rsid w:val="00A76091"/>
    <w:rsid w:val="00A761B4"/>
    <w:rsid w:val="00A761C3"/>
    <w:rsid w:val="00A76217"/>
    <w:rsid w:val="00A7621C"/>
    <w:rsid w:val="00A76235"/>
    <w:rsid w:val="00A762C3"/>
    <w:rsid w:val="00A7638E"/>
    <w:rsid w:val="00A763F4"/>
    <w:rsid w:val="00A76417"/>
    <w:rsid w:val="00A76479"/>
    <w:rsid w:val="00A76580"/>
    <w:rsid w:val="00A76588"/>
    <w:rsid w:val="00A765B5"/>
    <w:rsid w:val="00A765CA"/>
    <w:rsid w:val="00A765E8"/>
    <w:rsid w:val="00A765F2"/>
    <w:rsid w:val="00A765FC"/>
    <w:rsid w:val="00A76690"/>
    <w:rsid w:val="00A766A9"/>
    <w:rsid w:val="00A766B4"/>
    <w:rsid w:val="00A766D5"/>
    <w:rsid w:val="00A766DF"/>
    <w:rsid w:val="00A7671B"/>
    <w:rsid w:val="00A76726"/>
    <w:rsid w:val="00A76768"/>
    <w:rsid w:val="00A767E6"/>
    <w:rsid w:val="00A768C6"/>
    <w:rsid w:val="00A76902"/>
    <w:rsid w:val="00A76914"/>
    <w:rsid w:val="00A769A5"/>
    <w:rsid w:val="00A76AD8"/>
    <w:rsid w:val="00A76B3A"/>
    <w:rsid w:val="00A76B5D"/>
    <w:rsid w:val="00A76B7F"/>
    <w:rsid w:val="00A76BA4"/>
    <w:rsid w:val="00A76BC0"/>
    <w:rsid w:val="00A76BD1"/>
    <w:rsid w:val="00A76BDF"/>
    <w:rsid w:val="00A76C41"/>
    <w:rsid w:val="00A76D06"/>
    <w:rsid w:val="00A76E0C"/>
    <w:rsid w:val="00A76ED1"/>
    <w:rsid w:val="00A76EE6"/>
    <w:rsid w:val="00A77005"/>
    <w:rsid w:val="00A7702B"/>
    <w:rsid w:val="00A77047"/>
    <w:rsid w:val="00A77078"/>
    <w:rsid w:val="00A7708E"/>
    <w:rsid w:val="00A7715C"/>
    <w:rsid w:val="00A771C8"/>
    <w:rsid w:val="00A771E5"/>
    <w:rsid w:val="00A77213"/>
    <w:rsid w:val="00A7728E"/>
    <w:rsid w:val="00A773A1"/>
    <w:rsid w:val="00A773F9"/>
    <w:rsid w:val="00A774D0"/>
    <w:rsid w:val="00A7762C"/>
    <w:rsid w:val="00A77699"/>
    <w:rsid w:val="00A776A4"/>
    <w:rsid w:val="00A776E3"/>
    <w:rsid w:val="00A776F7"/>
    <w:rsid w:val="00A7772A"/>
    <w:rsid w:val="00A77732"/>
    <w:rsid w:val="00A7780D"/>
    <w:rsid w:val="00A7781F"/>
    <w:rsid w:val="00A77864"/>
    <w:rsid w:val="00A7794C"/>
    <w:rsid w:val="00A77996"/>
    <w:rsid w:val="00A77B5E"/>
    <w:rsid w:val="00A77BE2"/>
    <w:rsid w:val="00A77C35"/>
    <w:rsid w:val="00A77CBD"/>
    <w:rsid w:val="00A77D9E"/>
    <w:rsid w:val="00A77F08"/>
    <w:rsid w:val="00A77F2E"/>
    <w:rsid w:val="00A77F58"/>
    <w:rsid w:val="00A80020"/>
    <w:rsid w:val="00A8007E"/>
    <w:rsid w:val="00A80097"/>
    <w:rsid w:val="00A80131"/>
    <w:rsid w:val="00A80205"/>
    <w:rsid w:val="00A8025C"/>
    <w:rsid w:val="00A802BD"/>
    <w:rsid w:val="00A802E5"/>
    <w:rsid w:val="00A8030D"/>
    <w:rsid w:val="00A8037A"/>
    <w:rsid w:val="00A80437"/>
    <w:rsid w:val="00A8047A"/>
    <w:rsid w:val="00A8049D"/>
    <w:rsid w:val="00A8056C"/>
    <w:rsid w:val="00A805A1"/>
    <w:rsid w:val="00A806B2"/>
    <w:rsid w:val="00A806E1"/>
    <w:rsid w:val="00A806F2"/>
    <w:rsid w:val="00A8071B"/>
    <w:rsid w:val="00A80791"/>
    <w:rsid w:val="00A80810"/>
    <w:rsid w:val="00A80853"/>
    <w:rsid w:val="00A80897"/>
    <w:rsid w:val="00A80BF7"/>
    <w:rsid w:val="00A80D86"/>
    <w:rsid w:val="00A80E9A"/>
    <w:rsid w:val="00A80F71"/>
    <w:rsid w:val="00A81010"/>
    <w:rsid w:val="00A810C6"/>
    <w:rsid w:val="00A8117C"/>
    <w:rsid w:val="00A811A1"/>
    <w:rsid w:val="00A811A6"/>
    <w:rsid w:val="00A8122F"/>
    <w:rsid w:val="00A81304"/>
    <w:rsid w:val="00A8130F"/>
    <w:rsid w:val="00A8134A"/>
    <w:rsid w:val="00A8135B"/>
    <w:rsid w:val="00A8135E"/>
    <w:rsid w:val="00A8152B"/>
    <w:rsid w:val="00A81572"/>
    <w:rsid w:val="00A81666"/>
    <w:rsid w:val="00A81700"/>
    <w:rsid w:val="00A81749"/>
    <w:rsid w:val="00A817DB"/>
    <w:rsid w:val="00A817F7"/>
    <w:rsid w:val="00A81893"/>
    <w:rsid w:val="00A818BC"/>
    <w:rsid w:val="00A819BE"/>
    <w:rsid w:val="00A81A03"/>
    <w:rsid w:val="00A81B2E"/>
    <w:rsid w:val="00A81B4C"/>
    <w:rsid w:val="00A81BE0"/>
    <w:rsid w:val="00A81C18"/>
    <w:rsid w:val="00A81C5D"/>
    <w:rsid w:val="00A81D03"/>
    <w:rsid w:val="00A81D82"/>
    <w:rsid w:val="00A81DC2"/>
    <w:rsid w:val="00A81DCB"/>
    <w:rsid w:val="00A81E4B"/>
    <w:rsid w:val="00A81EFE"/>
    <w:rsid w:val="00A81F67"/>
    <w:rsid w:val="00A82018"/>
    <w:rsid w:val="00A8207E"/>
    <w:rsid w:val="00A820FA"/>
    <w:rsid w:val="00A821D9"/>
    <w:rsid w:val="00A822C2"/>
    <w:rsid w:val="00A82403"/>
    <w:rsid w:val="00A82547"/>
    <w:rsid w:val="00A82557"/>
    <w:rsid w:val="00A8267D"/>
    <w:rsid w:val="00A826C0"/>
    <w:rsid w:val="00A8270E"/>
    <w:rsid w:val="00A82787"/>
    <w:rsid w:val="00A8283D"/>
    <w:rsid w:val="00A82857"/>
    <w:rsid w:val="00A82866"/>
    <w:rsid w:val="00A82879"/>
    <w:rsid w:val="00A82887"/>
    <w:rsid w:val="00A82935"/>
    <w:rsid w:val="00A8295C"/>
    <w:rsid w:val="00A82983"/>
    <w:rsid w:val="00A82990"/>
    <w:rsid w:val="00A82A3C"/>
    <w:rsid w:val="00A82A4F"/>
    <w:rsid w:val="00A82A7D"/>
    <w:rsid w:val="00A82AEA"/>
    <w:rsid w:val="00A82B01"/>
    <w:rsid w:val="00A82B81"/>
    <w:rsid w:val="00A82BC7"/>
    <w:rsid w:val="00A82C43"/>
    <w:rsid w:val="00A82CBC"/>
    <w:rsid w:val="00A82CF9"/>
    <w:rsid w:val="00A82D26"/>
    <w:rsid w:val="00A82D86"/>
    <w:rsid w:val="00A82E1A"/>
    <w:rsid w:val="00A82F28"/>
    <w:rsid w:val="00A82FDA"/>
    <w:rsid w:val="00A8302E"/>
    <w:rsid w:val="00A8308D"/>
    <w:rsid w:val="00A830DB"/>
    <w:rsid w:val="00A8319B"/>
    <w:rsid w:val="00A831DA"/>
    <w:rsid w:val="00A832A4"/>
    <w:rsid w:val="00A83351"/>
    <w:rsid w:val="00A83529"/>
    <w:rsid w:val="00A8354C"/>
    <w:rsid w:val="00A83556"/>
    <w:rsid w:val="00A835AA"/>
    <w:rsid w:val="00A83611"/>
    <w:rsid w:val="00A8362A"/>
    <w:rsid w:val="00A83651"/>
    <w:rsid w:val="00A8365D"/>
    <w:rsid w:val="00A836CC"/>
    <w:rsid w:val="00A83717"/>
    <w:rsid w:val="00A83899"/>
    <w:rsid w:val="00A839C6"/>
    <w:rsid w:val="00A83A0F"/>
    <w:rsid w:val="00A83A80"/>
    <w:rsid w:val="00A83A9D"/>
    <w:rsid w:val="00A83AA1"/>
    <w:rsid w:val="00A83AE1"/>
    <w:rsid w:val="00A83B87"/>
    <w:rsid w:val="00A83C92"/>
    <w:rsid w:val="00A83C95"/>
    <w:rsid w:val="00A83D3F"/>
    <w:rsid w:val="00A83EE0"/>
    <w:rsid w:val="00A83EEA"/>
    <w:rsid w:val="00A83FF8"/>
    <w:rsid w:val="00A841B1"/>
    <w:rsid w:val="00A84239"/>
    <w:rsid w:val="00A84290"/>
    <w:rsid w:val="00A8429F"/>
    <w:rsid w:val="00A842AF"/>
    <w:rsid w:val="00A84311"/>
    <w:rsid w:val="00A84362"/>
    <w:rsid w:val="00A843C8"/>
    <w:rsid w:val="00A843D5"/>
    <w:rsid w:val="00A84415"/>
    <w:rsid w:val="00A845BE"/>
    <w:rsid w:val="00A845EF"/>
    <w:rsid w:val="00A8460D"/>
    <w:rsid w:val="00A846A1"/>
    <w:rsid w:val="00A846E9"/>
    <w:rsid w:val="00A84712"/>
    <w:rsid w:val="00A847C1"/>
    <w:rsid w:val="00A847E6"/>
    <w:rsid w:val="00A847FC"/>
    <w:rsid w:val="00A84875"/>
    <w:rsid w:val="00A84886"/>
    <w:rsid w:val="00A848BA"/>
    <w:rsid w:val="00A8495A"/>
    <w:rsid w:val="00A84991"/>
    <w:rsid w:val="00A84A7D"/>
    <w:rsid w:val="00A84A7F"/>
    <w:rsid w:val="00A84B37"/>
    <w:rsid w:val="00A84B82"/>
    <w:rsid w:val="00A84C1E"/>
    <w:rsid w:val="00A84CBA"/>
    <w:rsid w:val="00A84CC5"/>
    <w:rsid w:val="00A84D10"/>
    <w:rsid w:val="00A84E21"/>
    <w:rsid w:val="00A84E30"/>
    <w:rsid w:val="00A84E87"/>
    <w:rsid w:val="00A84EA4"/>
    <w:rsid w:val="00A84FDF"/>
    <w:rsid w:val="00A84FEF"/>
    <w:rsid w:val="00A85021"/>
    <w:rsid w:val="00A85052"/>
    <w:rsid w:val="00A850D7"/>
    <w:rsid w:val="00A85140"/>
    <w:rsid w:val="00A85145"/>
    <w:rsid w:val="00A851E4"/>
    <w:rsid w:val="00A851E9"/>
    <w:rsid w:val="00A85208"/>
    <w:rsid w:val="00A8520C"/>
    <w:rsid w:val="00A85305"/>
    <w:rsid w:val="00A8531B"/>
    <w:rsid w:val="00A8536F"/>
    <w:rsid w:val="00A8537B"/>
    <w:rsid w:val="00A85388"/>
    <w:rsid w:val="00A853A4"/>
    <w:rsid w:val="00A853CE"/>
    <w:rsid w:val="00A8548C"/>
    <w:rsid w:val="00A85555"/>
    <w:rsid w:val="00A8557A"/>
    <w:rsid w:val="00A85582"/>
    <w:rsid w:val="00A85595"/>
    <w:rsid w:val="00A855AE"/>
    <w:rsid w:val="00A856E9"/>
    <w:rsid w:val="00A85760"/>
    <w:rsid w:val="00A857A1"/>
    <w:rsid w:val="00A857B9"/>
    <w:rsid w:val="00A858F5"/>
    <w:rsid w:val="00A85974"/>
    <w:rsid w:val="00A85A56"/>
    <w:rsid w:val="00A85AC0"/>
    <w:rsid w:val="00A85AF5"/>
    <w:rsid w:val="00A85B16"/>
    <w:rsid w:val="00A85B35"/>
    <w:rsid w:val="00A85B51"/>
    <w:rsid w:val="00A85C06"/>
    <w:rsid w:val="00A85C40"/>
    <w:rsid w:val="00A85C53"/>
    <w:rsid w:val="00A85CC3"/>
    <w:rsid w:val="00A85CF6"/>
    <w:rsid w:val="00A85D13"/>
    <w:rsid w:val="00A85D2A"/>
    <w:rsid w:val="00A85D6C"/>
    <w:rsid w:val="00A85E46"/>
    <w:rsid w:val="00A85E79"/>
    <w:rsid w:val="00A85E80"/>
    <w:rsid w:val="00A85EC6"/>
    <w:rsid w:val="00A85F02"/>
    <w:rsid w:val="00A85F08"/>
    <w:rsid w:val="00A86064"/>
    <w:rsid w:val="00A86097"/>
    <w:rsid w:val="00A861B3"/>
    <w:rsid w:val="00A861CD"/>
    <w:rsid w:val="00A86257"/>
    <w:rsid w:val="00A863BF"/>
    <w:rsid w:val="00A863CD"/>
    <w:rsid w:val="00A86409"/>
    <w:rsid w:val="00A86434"/>
    <w:rsid w:val="00A86483"/>
    <w:rsid w:val="00A86490"/>
    <w:rsid w:val="00A864D5"/>
    <w:rsid w:val="00A864EF"/>
    <w:rsid w:val="00A86690"/>
    <w:rsid w:val="00A8677E"/>
    <w:rsid w:val="00A867C1"/>
    <w:rsid w:val="00A8684B"/>
    <w:rsid w:val="00A86987"/>
    <w:rsid w:val="00A8698A"/>
    <w:rsid w:val="00A869E9"/>
    <w:rsid w:val="00A86A85"/>
    <w:rsid w:val="00A86AB9"/>
    <w:rsid w:val="00A86B3D"/>
    <w:rsid w:val="00A86D43"/>
    <w:rsid w:val="00A86D90"/>
    <w:rsid w:val="00A86DA6"/>
    <w:rsid w:val="00A86DC7"/>
    <w:rsid w:val="00A86E19"/>
    <w:rsid w:val="00A86EE2"/>
    <w:rsid w:val="00A86F0D"/>
    <w:rsid w:val="00A86F76"/>
    <w:rsid w:val="00A86F93"/>
    <w:rsid w:val="00A86FD0"/>
    <w:rsid w:val="00A87028"/>
    <w:rsid w:val="00A8707A"/>
    <w:rsid w:val="00A870E6"/>
    <w:rsid w:val="00A87179"/>
    <w:rsid w:val="00A8720C"/>
    <w:rsid w:val="00A87240"/>
    <w:rsid w:val="00A873F9"/>
    <w:rsid w:val="00A8742B"/>
    <w:rsid w:val="00A874CB"/>
    <w:rsid w:val="00A87553"/>
    <w:rsid w:val="00A87616"/>
    <w:rsid w:val="00A8767D"/>
    <w:rsid w:val="00A876E7"/>
    <w:rsid w:val="00A87706"/>
    <w:rsid w:val="00A8777C"/>
    <w:rsid w:val="00A87834"/>
    <w:rsid w:val="00A878FE"/>
    <w:rsid w:val="00A8792B"/>
    <w:rsid w:val="00A87A2B"/>
    <w:rsid w:val="00A87AC6"/>
    <w:rsid w:val="00A87ACB"/>
    <w:rsid w:val="00A87ACE"/>
    <w:rsid w:val="00A87AFF"/>
    <w:rsid w:val="00A87B1B"/>
    <w:rsid w:val="00A87B2A"/>
    <w:rsid w:val="00A87BAD"/>
    <w:rsid w:val="00A87CB7"/>
    <w:rsid w:val="00A87CD9"/>
    <w:rsid w:val="00A87CFA"/>
    <w:rsid w:val="00A87D09"/>
    <w:rsid w:val="00A87DD8"/>
    <w:rsid w:val="00A87E21"/>
    <w:rsid w:val="00A87EAE"/>
    <w:rsid w:val="00A87EB7"/>
    <w:rsid w:val="00A87EE1"/>
    <w:rsid w:val="00A87F28"/>
    <w:rsid w:val="00A87F38"/>
    <w:rsid w:val="00A87FDB"/>
    <w:rsid w:val="00A9004E"/>
    <w:rsid w:val="00A9005C"/>
    <w:rsid w:val="00A900CA"/>
    <w:rsid w:val="00A900FF"/>
    <w:rsid w:val="00A9012F"/>
    <w:rsid w:val="00A90137"/>
    <w:rsid w:val="00A901A5"/>
    <w:rsid w:val="00A902C1"/>
    <w:rsid w:val="00A902CC"/>
    <w:rsid w:val="00A902EF"/>
    <w:rsid w:val="00A9035D"/>
    <w:rsid w:val="00A903C9"/>
    <w:rsid w:val="00A90401"/>
    <w:rsid w:val="00A9043E"/>
    <w:rsid w:val="00A9044A"/>
    <w:rsid w:val="00A9044E"/>
    <w:rsid w:val="00A904A5"/>
    <w:rsid w:val="00A904AD"/>
    <w:rsid w:val="00A904B1"/>
    <w:rsid w:val="00A90576"/>
    <w:rsid w:val="00A90597"/>
    <w:rsid w:val="00A905CA"/>
    <w:rsid w:val="00A90713"/>
    <w:rsid w:val="00A90756"/>
    <w:rsid w:val="00A907CD"/>
    <w:rsid w:val="00A90881"/>
    <w:rsid w:val="00A908BE"/>
    <w:rsid w:val="00A90A6B"/>
    <w:rsid w:val="00A90AE5"/>
    <w:rsid w:val="00A90BA7"/>
    <w:rsid w:val="00A90BEE"/>
    <w:rsid w:val="00A90CAF"/>
    <w:rsid w:val="00A90CC8"/>
    <w:rsid w:val="00A90D05"/>
    <w:rsid w:val="00A90D50"/>
    <w:rsid w:val="00A90D72"/>
    <w:rsid w:val="00A90D9D"/>
    <w:rsid w:val="00A90D9E"/>
    <w:rsid w:val="00A90DA8"/>
    <w:rsid w:val="00A90DD6"/>
    <w:rsid w:val="00A90DDF"/>
    <w:rsid w:val="00A90E3F"/>
    <w:rsid w:val="00A90E7F"/>
    <w:rsid w:val="00A90F0A"/>
    <w:rsid w:val="00A91011"/>
    <w:rsid w:val="00A910B9"/>
    <w:rsid w:val="00A911AB"/>
    <w:rsid w:val="00A911D2"/>
    <w:rsid w:val="00A911DD"/>
    <w:rsid w:val="00A91230"/>
    <w:rsid w:val="00A91252"/>
    <w:rsid w:val="00A91256"/>
    <w:rsid w:val="00A912E9"/>
    <w:rsid w:val="00A91346"/>
    <w:rsid w:val="00A91348"/>
    <w:rsid w:val="00A9138E"/>
    <w:rsid w:val="00A91417"/>
    <w:rsid w:val="00A91489"/>
    <w:rsid w:val="00A91519"/>
    <w:rsid w:val="00A9151C"/>
    <w:rsid w:val="00A91596"/>
    <w:rsid w:val="00A916E9"/>
    <w:rsid w:val="00A918E8"/>
    <w:rsid w:val="00A9195F"/>
    <w:rsid w:val="00A9197E"/>
    <w:rsid w:val="00A91A1A"/>
    <w:rsid w:val="00A91A51"/>
    <w:rsid w:val="00A91B08"/>
    <w:rsid w:val="00A91C0C"/>
    <w:rsid w:val="00A91C0D"/>
    <w:rsid w:val="00A91C45"/>
    <w:rsid w:val="00A91C62"/>
    <w:rsid w:val="00A91CA1"/>
    <w:rsid w:val="00A91CEF"/>
    <w:rsid w:val="00A91D18"/>
    <w:rsid w:val="00A91DEA"/>
    <w:rsid w:val="00A91E56"/>
    <w:rsid w:val="00A91EA9"/>
    <w:rsid w:val="00A91F2F"/>
    <w:rsid w:val="00A91F31"/>
    <w:rsid w:val="00A91F83"/>
    <w:rsid w:val="00A91FC3"/>
    <w:rsid w:val="00A91FCD"/>
    <w:rsid w:val="00A92006"/>
    <w:rsid w:val="00A9200D"/>
    <w:rsid w:val="00A9208F"/>
    <w:rsid w:val="00A920B6"/>
    <w:rsid w:val="00A920EF"/>
    <w:rsid w:val="00A92133"/>
    <w:rsid w:val="00A92142"/>
    <w:rsid w:val="00A9214B"/>
    <w:rsid w:val="00A92174"/>
    <w:rsid w:val="00A92187"/>
    <w:rsid w:val="00A921E3"/>
    <w:rsid w:val="00A922AB"/>
    <w:rsid w:val="00A922E8"/>
    <w:rsid w:val="00A922F8"/>
    <w:rsid w:val="00A92325"/>
    <w:rsid w:val="00A92341"/>
    <w:rsid w:val="00A923B0"/>
    <w:rsid w:val="00A923D5"/>
    <w:rsid w:val="00A9241E"/>
    <w:rsid w:val="00A924AC"/>
    <w:rsid w:val="00A924B5"/>
    <w:rsid w:val="00A92567"/>
    <w:rsid w:val="00A92569"/>
    <w:rsid w:val="00A92582"/>
    <w:rsid w:val="00A926C2"/>
    <w:rsid w:val="00A926D3"/>
    <w:rsid w:val="00A926D5"/>
    <w:rsid w:val="00A92734"/>
    <w:rsid w:val="00A92776"/>
    <w:rsid w:val="00A9288F"/>
    <w:rsid w:val="00A928D8"/>
    <w:rsid w:val="00A92971"/>
    <w:rsid w:val="00A929F6"/>
    <w:rsid w:val="00A92A56"/>
    <w:rsid w:val="00A92AA4"/>
    <w:rsid w:val="00A92B0F"/>
    <w:rsid w:val="00A92B68"/>
    <w:rsid w:val="00A92B7E"/>
    <w:rsid w:val="00A92B8D"/>
    <w:rsid w:val="00A92BBD"/>
    <w:rsid w:val="00A92C16"/>
    <w:rsid w:val="00A92C48"/>
    <w:rsid w:val="00A92C74"/>
    <w:rsid w:val="00A92D26"/>
    <w:rsid w:val="00A92D7B"/>
    <w:rsid w:val="00A92DA0"/>
    <w:rsid w:val="00A92DAE"/>
    <w:rsid w:val="00A92DBC"/>
    <w:rsid w:val="00A92DCD"/>
    <w:rsid w:val="00A92E2A"/>
    <w:rsid w:val="00A92E50"/>
    <w:rsid w:val="00A92E6F"/>
    <w:rsid w:val="00A92EFA"/>
    <w:rsid w:val="00A92F24"/>
    <w:rsid w:val="00A92F33"/>
    <w:rsid w:val="00A92F67"/>
    <w:rsid w:val="00A92FA8"/>
    <w:rsid w:val="00A93003"/>
    <w:rsid w:val="00A93012"/>
    <w:rsid w:val="00A93163"/>
    <w:rsid w:val="00A93183"/>
    <w:rsid w:val="00A931B8"/>
    <w:rsid w:val="00A932EF"/>
    <w:rsid w:val="00A93305"/>
    <w:rsid w:val="00A93338"/>
    <w:rsid w:val="00A9334B"/>
    <w:rsid w:val="00A933AF"/>
    <w:rsid w:val="00A9344B"/>
    <w:rsid w:val="00A93573"/>
    <w:rsid w:val="00A9357F"/>
    <w:rsid w:val="00A935F2"/>
    <w:rsid w:val="00A93652"/>
    <w:rsid w:val="00A93799"/>
    <w:rsid w:val="00A93844"/>
    <w:rsid w:val="00A93853"/>
    <w:rsid w:val="00A93974"/>
    <w:rsid w:val="00A939E9"/>
    <w:rsid w:val="00A939ED"/>
    <w:rsid w:val="00A93B0F"/>
    <w:rsid w:val="00A93B44"/>
    <w:rsid w:val="00A93B5A"/>
    <w:rsid w:val="00A93C3F"/>
    <w:rsid w:val="00A93C8D"/>
    <w:rsid w:val="00A93CA5"/>
    <w:rsid w:val="00A93CE6"/>
    <w:rsid w:val="00A93D19"/>
    <w:rsid w:val="00A93E4C"/>
    <w:rsid w:val="00A93E79"/>
    <w:rsid w:val="00A93FC7"/>
    <w:rsid w:val="00A9401B"/>
    <w:rsid w:val="00A9406F"/>
    <w:rsid w:val="00A9408E"/>
    <w:rsid w:val="00A940EF"/>
    <w:rsid w:val="00A94140"/>
    <w:rsid w:val="00A94162"/>
    <w:rsid w:val="00A9419F"/>
    <w:rsid w:val="00A9420A"/>
    <w:rsid w:val="00A94222"/>
    <w:rsid w:val="00A94246"/>
    <w:rsid w:val="00A9439F"/>
    <w:rsid w:val="00A944A4"/>
    <w:rsid w:val="00A9454B"/>
    <w:rsid w:val="00A9459F"/>
    <w:rsid w:val="00A94611"/>
    <w:rsid w:val="00A9461C"/>
    <w:rsid w:val="00A948AC"/>
    <w:rsid w:val="00A948CB"/>
    <w:rsid w:val="00A94A62"/>
    <w:rsid w:val="00A94A78"/>
    <w:rsid w:val="00A94AD3"/>
    <w:rsid w:val="00A94B65"/>
    <w:rsid w:val="00A94C17"/>
    <w:rsid w:val="00A94CF7"/>
    <w:rsid w:val="00A94D20"/>
    <w:rsid w:val="00A94D55"/>
    <w:rsid w:val="00A94D71"/>
    <w:rsid w:val="00A94D9C"/>
    <w:rsid w:val="00A94DCE"/>
    <w:rsid w:val="00A94F4D"/>
    <w:rsid w:val="00A94F8F"/>
    <w:rsid w:val="00A94FA8"/>
    <w:rsid w:val="00A9505D"/>
    <w:rsid w:val="00A9518C"/>
    <w:rsid w:val="00A9522B"/>
    <w:rsid w:val="00A95279"/>
    <w:rsid w:val="00A95379"/>
    <w:rsid w:val="00A953AF"/>
    <w:rsid w:val="00A953C1"/>
    <w:rsid w:val="00A9540A"/>
    <w:rsid w:val="00A95483"/>
    <w:rsid w:val="00A95526"/>
    <w:rsid w:val="00A95578"/>
    <w:rsid w:val="00A955E4"/>
    <w:rsid w:val="00A955E6"/>
    <w:rsid w:val="00A955F8"/>
    <w:rsid w:val="00A95601"/>
    <w:rsid w:val="00A95636"/>
    <w:rsid w:val="00A95654"/>
    <w:rsid w:val="00A95657"/>
    <w:rsid w:val="00A95662"/>
    <w:rsid w:val="00A956E2"/>
    <w:rsid w:val="00A956ED"/>
    <w:rsid w:val="00A95777"/>
    <w:rsid w:val="00A95807"/>
    <w:rsid w:val="00A95884"/>
    <w:rsid w:val="00A958D8"/>
    <w:rsid w:val="00A95A47"/>
    <w:rsid w:val="00A95A75"/>
    <w:rsid w:val="00A95B0F"/>
    <w:rsid w:val="00A95B96"/>
    <w:rsid w:val="00A95BF9"/>
    <w:rsid w:val="00A95C1D"/>
    <w:rsid w:val="00A95D0D"/>
    <w:rsid w:val="00A95D15"/>
    <w:rsid w:val="00A95D3B"/>
    <w:rsid w:val="00A95D4F"/>
    <w:rsid w:val="00A95D5A"/>
    <w:rsid w:val="00A95DC1"/>
    <w:rsid w:val="00A95EB2"/>
    <w:rsid w:val="00A95F4B"/>
    <w:rsid w:val="00A95F89"/>
    <w:rsid w:val="00A95FA8"/>
    <w:rsid w:val="00A96053"/>
    <w:rsid w:val="00A9606F"/>
    <w:rsid w:val="00A9619A"/>
    <w:rsid w:val="00A961AC"/>
    <w:rsid w:val="00A9622F"/>
    <w:rsid w:val="00A962A0"/>
    <w:rsid w:val="00A9631C"/>
    <w:rsid w:val="00A9636E"/>
    <w:rsid w:val="00A96391"/>
    <w:rsid w:val="00A963CA"/>
    <w:rsid w:val="00A96417"/>
    <w:rsid w:val="00A96563"/>
    <w:rsid w:val="00A965B5"/>
    <w:rsid w:val="00A965D2"/>
    <w:rsid w:val="00A965FA"/>
    <w:rsid w:val="00A9662C"/>
    <w:rsid w:val="00A96638"/>
    <w:rsid w:val="00A966B3"/>
    <w:rsid w:val="00A96734"/>
    <w:rsid w:val="00A967B4"/>
    <w:rsid w:val="00A967F4"/>
    <w:rsid w:val="00A96803"/>
    <w:rsid w:val="00A96816"/>
    <w:rsid w:val="00A968C7"/>
    <w:rsid w:val="00A968EB"/>
    <w:rsid w:val="00A96983"/>
    <w:rsid w:val="00A96A23"/>
    <w:rsid w:val="00A96A46"/>
    <w:rsid w:val="00A96A9B"/>
    <w:rsid w:val="00A96B76"/>
    <w:rsid w:val="00A96BAA"/>
    <w:rsid w:val="00A96BD2"/>
    <w:rsid w:val="00A96C0B"/>
    <w:rsid w:val="00A96CE1"/>
    <w:rsid w:val="00A96D63"/>
    <w:rsid w:val="00A96DA9"/>
    <w:rsid w:val="00A96E32"/>
    <w:rsid w:val="00A96E52"/>
    <w:rsid w:val="00A96E7F"/>
    <w:rsid w:val="00A96F04"/>
    <w:rsid w:val="00A96F30"/>
    <w:rsid w:val="00A96F4F"/>
    <w:rsid w:val="00A96F8C"/>
    <w:rsid w:val="00A96FAA"/>
    <w:rsid w:val="00A96FC4"/>
    <w:rsid w:val="00A97165"/>
    <w:rsid w:val="00A971EF"/>
    <w:rsid w:val="00A97203"/>
    <w:rsid w:val="00A97259"/>
    <w:rsid w:val="00A972EB"/>
    <w:rsid w:val="00A9735E"/>
    <w:rsid w:val="00A9739C"/>
    <w:rsid w:val="00A974DA"/>
    <w:rsid w:val="00A9752B"/>
    <w:rsid w:val="00A97562"/>
    <w:rsid w:val="00A97688"/>
    <w:rsid w:val="00A976A3"/>
    <w:rsid w:val="00A9775D"/>
    <w:rsid w:val="00A97848"/>
    <w:rsid w:val="00A9787E"/>
    <w:rsid w:val="00A97909"/>
    <w:rsid w:val="00A9791F"/>
    <w:rsid w:val="00A979D7"/>
    <w:rsid w:val="00A97A3B"/>
    <w:rsid w:val="00A97B15"/>
    <w:rsid w:val="00A97B4C"/>
    <w:rsid w:val="00A97B6A"/>
    <w:rsid w:val="00A97BEF"/>
    <w:rsid w:val="00A97C00"/>
    <w:rsid w:val="00A97C8E"/>
    <w:rsid w:val="00A97D23"/>
    <w:rsid w:val="00A97D99"/>
    <w:rsid w:val="00A97D9D"/>
    <w:rsid w:val="00A97DA4"/>
    <w:rsid w:val="00A97DD9"/>
    <w:rsid w:val="00A97E37"/>
    <w:rsid w:val="00A97F13"/>
    <w:rsid w:val="00A97F5B"/>
    <w:rsid w:val="00AA0039"/>
    <w:rsid w:val="00AA004B"/>
    <w:rsid w:val="00AA00C9"/>
    <w:rsid w:val="00AA014E"/>
    <w:rsid w:val="00AA023E"/>
    <w:rsid w:val="00AA02E5"/>
    <w:rsid w:val="00AA0307"/>
    <w:rsid w:val="00AA03CA"/>
    <w:rsid w:val="00AA0403"/>
    <w:rsid w:val="00AA0530"/>
    <w:rsid w:val="00AA0540"/>
    <w:rsid w:val="00AA056E"/>
    <w:rsid w:val="00AA0584"/>
    <w:rsid w:val="00AA0615"/>
    <w:rsid w:val="00AA0663"/>
    <w:rsid w:val="00AA06A7"/>
    <w:rsid w:val="00AA06F9"/>
    <w:rsid w:val="00AA0737"/>
    <w:rsid w:val="00AA07F5"/>
    <w:rsid w:val="00AA08D3"/>
    <w:rsid w:val="00AA0A2C"/>
    <w:rsid w:val="00AA0A4E"/>
    <w:rsid w:val="00AA0AAB"/>
    <w:rsid w:val="00AA0ACF"/>
    <w:rsid w:val="00AA0BE1"/>
    <w:rsid w:val="00AA0BEB"/>
    <w:rsid w:val="00AA0BED"/>
    <w:rsid w:val="00AA0BEF"/>
    <w:rsid w:val="00AA0BF4"/>
    <w:rsid w:val="00AA0C00"/>
    <w:rsid w:val="00AA0C40"/>
    <w:rsid w:val="00AA0D2E"/>
    <w:rsid w:val="00AA0D42"/>
    <w:rsid w:val="00AA0D76"/>
    <w:rsid w:val="00AA0E39"/>
    <w:rsid w:val="00AA0E71"/>
    <w:rsid w:val="00AA0EE0"/>
    <w:rsid w:val="00AA0EE6"/>
    <w:rsid w:val="00AA0F5C"/>
    <w:rsid w:val="00AA0FBB"/>
    <w:rsid w:val="00AA1050"/>
    <w:rsid w:val="00AA10AF"/>
    <w:rsid w:val="00AA11D4"/>
    <w:rsid w:val="00AA11DD"/>
    <w:rsid w:val="00AA1226"/>
    <w:rsid w:val="00AA1262"/>
    <w:rsid w:val="00AA1273"/>
    <w:rsid w:val="00AA1275"/>
    <w:rsid w:val="00AA1296"/>
    <w:rsid w:val="00AA12BB"/>
    <w:rsid w:val="00AA13E4"/>
    <w:rsid w:val="00AA1404"/>
    <w:rsid w:val="00AA1478"/>
    <w:rsid w:val="00AA14CE"/>
    <w:rsid w:val="00AA1519"/>
    <w:rsid w:val="00AA151D"/>
    <w:rsid w:val="00AA159C"/>
    <w:rsid w:val="00AA15B0"/>
    <w:rsid w:val="00AA16AF"/>
    <w:rsid w:val="00AA16D8"/>
    <w:rsid w:val="00AA1757"/>
    <w:rsid w:val="00AA1778"/>
    <w:rsid w:val="00AA17D6"/>
    <w:rsid w:val="00AA17EF"/>
    <w:rsid w:val="00AA17F9"/>
    <w:rsid w:val="00AA184F"/>
    <w:rsid w:val="00AA1886"/>
    <w:rsid w:val="00AA188F"/>
    <w:rsid w:val="00AA18A5"/>
    <w:rsid w:val="00AA18AE"/>
    <w:rsid w:val="00AA1A16"/>
    <w:rsid w:val="00AA1A46"/>
    <w:rsid w:val="00AA1AE3"/>
    <w:rsid w:val="00AA1BA0"/>
    <w:rsid w:val="00AA1BDE"/>
    <w:rsid w:val="00AA1BF7"/>
    <w:rsid w:val="00AA1C71"/>
    <w:rsid w:val="00AA1C82"/>
    <w:rsid w:val="00AA1C96"/>
    <w:rsid w:val="00AA1CB4"/>
    <w:rsid w:val="00AA1CE7"/>
    <w:rsid w:val="00AA1E31"/>
    <w:rsid w:val="00AA1E3E"/>
    <w:rsid w:val="00AA1E58"/>
    <w:rsid w:val="00AA1F71"/>
    <w:rsid w:val="00AA1FFA"/>
    <w:rsid w:val="00AA204B"/>
    <w:rsid w:val="00AA214D"/>
    <w:rsid w:val="00AA2183"/>
    <w:rsid w:val="00AA21FA"/>
    <w:rsid w:val="00AA2296"/>
    <w:rsid w:val="00AA239E"/>
    <w:rsid w:val="00AA240B"/>
    <w:rsid w:val="00AA2461"/>
    <w:rsid w:val="00AA2562"/>
    <w:rsid w:val="00AA2595"/>
    <w:rsid w:val="00AA25C1"/>
    <w:rsid w:val="00AA260D"/>
    <w:rsid w:val="00AA2668"/>
    <w:rsid w:val="00AA267C"/>
    <w:rsid w:val="00AA26C5"/>
    <w:rsid w:val="00AA271B"/>
    <w:rsid w:val="00AA2722"/>
    <w:rsid w:val="00AA272B"/>
    <w:rsid w:val="00AA273F"/>
    <w:rsid w:val="00AA275C"/>
    <w:rsid w:val="00AA275D"/>
    <w:rsid w:val="00AA2865"/>
    <w:rsid w:val="00AA28BF"/>
    <w:rsid w:val="00AA28C0"/>
    <w:rsid w:val="00AA292C"/>
    <w:rsid w:val="00AA2940"/>
    <w:rsid w:val="00AA29B4"/>
    <w:rsid w:val="00AA2A2D"/>
    <w:rsid w:val="00AA2AB3"/>
    <w:rsid w:val="00AA2ABD"/>
    <w:rsid w:val="00AA2CB5"/>
    <w:rsid w:val="00AA2CCA"/>
    <w:rsid w:val="00AA2DED"/>
    <w:rsid w:val="00AA2E1D"/>
    <w:rsid w:val="00AA2E31"/>
    <w:rsid w:val="00AA2E7E"/>
    <w:rsid w:val="00AA2E8B"/>
    <w:rsid w:val="00AA2EBF"/>
    <w:rsid w:val="00AA2EDF"/>
    <w:rsid w:val="00AA2EF4"/>
    <w:rsid w:val="00AA2FA8"/>
    <w:rsid w:val="00AA2FB0"/>
    <w:rsid w:val="00AA2FBA"/>
    <w:rsid w:val="00AA2FF9"/>
    <w:rsid w:val="00AA303D"/>
    <w:rsid w:val="00AA3084"/>
    <w:rsid w:val="00AA30D0"/>
    <w:rsid w:val="00AA314A"/>
    <w:rsid w:val="00AA317F"/>
    <w:rsid w:val="00AA31E4"/>
    <w:rsid w:val="00AA328B"/>
    <w:rsid w:val="00AA32C7"/>
    <w:rsid w:val="00AA3334"/>
    <w:rsid w:val="00AA3446"/>
    <w:rsid w:val="00AA35C2"/>
    <w:rsid w:val="00AA360D"/>
    <w:rsid w:val="00AA372A"/>
    <w:rsid w:val="00AA3796"/>
    <w:rsid w:val="00AA37B8"/>
    <w:rsid w:val="00AA37CF"/>
    <w:rsid w:val="00AA3825"/>
    <w:rsid w:val="00AA38C9"/>
    <w:rsid w:val="00AA3990"/>
    <w:rsid w:val="00AA39BF"/>
    <w:rsid w:val="00AA39DE"/>
    <w:rsid w:val="00AA3A9B"/>
    <w:rsid w:val="00AA3ABB"/>
    <w:rsid w:val="00AA3AC3"/>
    <w:rsid w:val="00AA3AE9"/>
    <w:rsid w:val="00AA3AF3"/>
    <w:rsid w:val="00AA3BF1"/>
    <w:rsid w:val="00AA3BFC"/>
    <w:rsid w:val="00AA3C12"/>
    <w:rsid w:val="00AA3C23"/>
    <w:rsid w:val="00AA3C72"/>
    <w:rsid w:val="00AA3C76"/>
    <w:rsid w:val="00AA3DD6"/>
    <w:rsid w:val="00AA3E2D"/>
    <w:rsid w:val="00AA3E46"/>
    <w:rsid w:val="00AA3F86"/>
    <w:rsid w:val="00AA3FC7"/>
    <w:rsid w:val="00AA4086"/>
    <w:rsid w:val="00AA40F0"/>
    <w:rsid w:val="00AA4175"/>
    <w:rsid w:val="00AA419F"/>
    <w:rsid w:val="00AA41AE"/>
    <w:rsid w:val="00AA41FD"/>
    <w:rsid w:val="00AA4208"/>
    <w:rsid w:val="00AA4241"/>
    <w:rsid w:val="00AA426C"/>
    <w:rsid w:val="00AA4277"/>
    <w:rsid w:val="00AA428B"/>
    <w:rsid w:val="00AA4311"/>
    <w:rsid w:val="00AA4322"/>
    <w:rsid w:val="00AA4333"/>
    <w:rsid w:val="00AA4453"/>
    <w:rsid w:val="00AA4494"/>
    <w:rsid w:val="00AA44CD"/>
    <w:rsid w:val="00AA4538"/>
    <w:rsid w:val="00AA45C4"/>
    <w:rsid w:val="00AA4682"/>
    <w:rsid w:val="00AA46D9"/>
    <w:rsid w:val="00AA4745"/>
    <w:rsid w:val="00AA4767"/>
    <w:rsid w:val="00AA478B"/>
    <w:rsid w:val="00AA48AA"/>
    <w:rsid w:val="00AA48E5"/>
    <w:rsid w:val="00AA493A"/>
    <w:rsid w:val="00AA49D4"/>
    <w:rsid w:val="00AA4A7D"/>
    <w:rsid w:val="00AA4AF1"/>
    <w:rsid w:val="00AA4C05"/>
    <w:rsid w:val="00AA4C7D"/>
    <w:rsid w:val="00AA4D9E"/>
    <w:rsid w:val="00AA4DA3"/>
    <w:rsid w:val="00AA4F05"/>
    <w:rsid w:val="00AA4F2A"/>
    <w:rsid w:val="00AA4F7D"/>
    <w:rsid w:val="00AA4F99"/>
    <w:rsid w:val="00AA5009"/>
    <w:rsid w:val="00AA5013"/>
    <w:rsid w:val="00AA5139"/>
    <w:rsid w:val="00AA516D"/>
    <w:rsid w:val="00AA5198"/>
    <w:rsid w:val="00AA51E7"/>
    <w:rsid w:val="00AA51FD"/>
    <w:rsid w:val="00AA521A"/>
    <w:rsid w:val="00AA5235"/>
    <w:rsid w:val="00AA5255"/>
    <w:rsid w:val="00AA52EE"/>
    <w:rsid w:val="00AA52F3"/>
    <w:rsid w:val="00AA5356"/>
    <w:rsid w:val="00AA537D"/>
    <w:rsid w:val="00AA5387"/>
    <w:rsid w:val="00AA5410"/>
    <w:rsid w:val="00AA54CE"/>
    <w:rsid w:val="00AA54D6"/>
    <w:rsid w:val="00AA5524"/>
    <w:rsid w:val="00AA5535"/>
    <w:rsid w:val="00AA55E0"/>
    <w:rsid w:val="00AA561D"/>
    <w:rsid w:val="00AA571F"/>
    <w:rsid w:val="00AA5891"/>
    <w:rsid w:val="00AA5998"/>
    <w:rsid w:val="00AA5B37"/>
    <w:rsid w:val="00AA5B76"/>
    <w:rsid w:val="00AA5BE2"/>
    <w:rsid w:val="00AA5C27"/>
    <w:rsid w:val="00AA5D20"/>
    <w:rsid w:val="00AA5DE1"/>
    <w:rsid w:val="00AA5F22"/>
    <w:rsid w:val="00AA5F44"/>
    <w:rsid w:val="00AA5F56"/>
    <w:rsid w:val="00AA5F5A"/>
    <w:rsid w:val="00AA5F78"/>
    <w:rsid w:val="00AA600C"/>
    <w:rsid w:val="00AA6073"/>
    <w:rsid w:val="00AA6118"/>
    <w:rsid w:val="00AA6234"/>
    <w:rsid w:val="00AA62A1"/>
    <w:rsid w:val="00AA62B9"/>
    <w:rsid w:val="00AA645A"/>
    <w:rsid w:val="00AA6472"/>
    <w:rsid w:val="00AA648D"/>
    <w:rsid w:val="00AA64C2"/>
    <w:rsid w:val="00AA6505"/>
    <w:rsid w:val="00AA6525"/>
    <w:rsid w:val="00AA659B"/>
    <w:rsid w:val="00AA668F"/>
    <w:rsid w:val="00AA66B2"/>
    <w:rsid w:val="00AA66F4"/>
    <w:rsid w:val="00AA6720"/>
    <w:rsid w:val="00AA6770"/>
    <w:rsid w:val="00AA6791"/>
    <w:rsid w:val="00AA67B4"/>
    <w:rsid w:val="00AA67B7"/>
    <w:rsid w:val="00AA67BB"/>
    <w:rsid w:val="00AA67C2"/>
    <w:rsid w:val="00AA67E6"/>
    <w:rsid w:val="00AA697C"/>
    <w:rsid w:val="00AA69B2"/>
    <w:rsid w:val="00AA6A68"/>
    <w:rsid w:val="00AA6AAF"/>
    <w:rsid w:val="00AA6ACB"/>
    <w:rsid w:val="00AA6CB7"/>
    <w:rsid w:val="00AA6CDF"/>
    <w:rsid w:val="00AA6CE1"/>
    <w:rsid w:val="00AA6CF1"/>
    <w:rsid w:val="00AA6D1D"/>
    <w:rsid w:val="00AA6D29"/>
    <w:rsid w:val="00AA6DDB"/>
    <w:rsid w:val="00AA6E68"/>
    <w:rsid w:val="00AA6EC5"/>
    <w:rsid w:val="00AA6FAA"/>
    <w:rsid w:val="00AA7026"/>
    <w:rsid w:val="00AA7062"/>
    <w:rsid w:val="00AA7100"/>
    <w:rsid w:val="00AA717F"/>
    <w:rsid w:val="00AA71B8"/>
    <w:rsid w:val="00AA71CE"/>
    <w:rsid w:val="00AA720C"/>
    <w:rsid w:val="00AA7324"/>
    <w:rsid w:val="00AA7355"/>
    <w:rsid w:val="00AA7356"/>
    <w:rsid w:val="00AA7358"/>
    <w:rsid w:val="00AA73A6"/>
    <w:rsid w:val="00AA7455"/>
    <w:rsid w:val="00AA7473"/>
    <w:rsid w:val="00AA7486"/>
    <w:rsid w:val="00AA74D4"/>
    <w:rsid w:val="00AA74E8"/>
    <w:rsid w:val="00AA764F"/>
    <w:rsid w:val="00AA76B0"/>
    <w:rsid w:val="00AA77C1"/>
    <w:rsid w:val="00AA77DB"/>
    <w:rsid w:val="00AA78A1"/>
    <w:rsid w:val="00AA792F"/>
    <w:rsid w:val="00AA7934"/>
    <w:rsid w:val="00AA7A52"/>
    <w:rsid w:val="00AA7AEC"/>
    <w:rsid w:val="00AA7B40"/>
    <w:rsid w:val="00AA7B6A"/>
    <w:rsid w:val="00AA7B6E"/>
    <w:rsid w:val="00AA7BE8"/>
    <w:rsid w:val="00AA7C08"/>
    <w:rsid w:val="00AA7D32"/>
    <w:rsid w:val="00AA7D44"/>
    <w:rsid w:val="00AA7D72"/>
    <w:rsid w:val="00AA7DAD"/>
    <w:rsid w:val="00AA7DF1"/>
    <w:rsid w:val="00AA7E86"/>
    <w:rsid w:val="00AA7ED5"/>
    <w:rsid w:val="00AA7EF7"/>
    <w:rsid w:val="00AA7F14"/>
    <w:rsid w:val="00AA7F8E"/>
    <w:rsid w:val="00AA7FE6"/>
    <w:rsid w:val="00AB0020"/>
    <w:rsid w:val="00AB00E2"/>
    <w:rsid w:val="00AB00F5"/>
    <w:rsid w:val="00AB0192"/>
    <w:rsid w:val="00AB01D7"/>
    <w:rsid w:val="00AB01EA"/>
    <w:rsid w:val="00AB025E"/>
    <w:rsid w:val="00AB0286"/>
    <w:rsid w:val="00AB029C"/>
    <w:rsid w:val="00AB0304"/>
    <w:rsid w:val="00AB0341"/>
    <w:rsid w:val="00AB0395"/>
    <w:rsid w:val="00AB03A5"/>
    <w:rsid w:val="00AB03D4"/>
    <w:rsid w:val="00AB05B1"/>
    <w:rsid w:val="00AB063F"/>
    <w:rsid w:val="00AB0640"/>
    <w:rsid w:val="00AB0704"/>
    <w:rsid w:val="00AB0764"/>
    <w:rsid w:val="00AB0798"/>
    <w:rsid w:val="00AB07A2"/>
    <w:rsid w:val="00AB07D4"/>
    <w:rsid w:val="00AB0809"/>
    <w:rsid w:val="00AB086C"/>
    <w:rsid w:val="00AB08D9"/>
    <w:rsid w:val="00AB08E0"/>
    <w:rsid w:val="00AB08FC"/>
    <w:rsid w:val="00AB0965"/>
    <w:rsid w:val="00AB09C4"/>
    <w:rsid w:val="00AB0A44"/>
    <w:rsid w:val="00AB0A9E"/>
    <w:rsid w:val="00AB0B05"/>
    <w:rsid w:val="00AB0B24"/>
    <w:rsid w:val="00AB0BAE"/>
    <w:rsid w:val="00AB0C0A"/>
    <w:rsid w:val="00AB0C7B"/>
    <w:rsid w:val="00AB0C9C"/>
    <w:rsid w:val="00AB0CEF"/>
    <w:rsid w:val="00AB0D02"/>
    <w:rsid w:val="00AB0D51"/>
    <w:rsid w:val="00AB0DA9"/>
    <w:rsid w:val="00AB0DFA"/>
    <w:rsid w:val="00AB0E0A"/>
    <w:rsid w:val="00AB0E87"/>
    <w:rsid w:val="00AB0F11"/>
    <w:rsid w:val="00AB0F15"/>
    <w:rsid w:val="00AB0F6E"/>
    <w:rsid w:val="00AB0FDF"/>
    <w:rsid w:val="00AB0FF7"/>
    <w:rsid w:val="00AB1018"/>
    <w:rsid w:val="00AB1036"/>
    <w:rsid w:val="00AB1058"/>
    <w:rsid w:val="00AB10BE"/>
    <w:rsid w:val="00AB10C6"/>
    <w:rsid w:val="00AB117C"/>
    <w:rsid w:val="00AB11DA"/>
    <w:rsid w:val="00AB1217"/>
    <w:rsid w:val="00AB1236"/>
    <w:rsid w:val="00AB12CB"/>
    <w:rsid w:val="00AB1320"/>
    <w:rsid w:val="00AB1340"/>
    <w:rsid w:val="00AB135D"/>
    <w:rsid w:val="00AB13D7"/>
    <w:rsid w:val="00AB1411"/>
    <w:rsid w:val="00AB147D"/>
    <w:rsid w:val="00AB150E"/>
    <w:rsid w:val="00AB1511"/>
    <w:rsid w:val="00AB15C1"/>
    <w:rsid w:val="00AB15C4"/>
    <w:rsid w:val="00AB1622"/>
    <w:rsid w:val="00AB1652"/>
    <w:rsid w:val="00AB171D"/>
    <w:rsid w:val="00AB1896"/>
    <w:rsid w:val="00AB18C7"/>
    <w:rsid w:val="00AB18D2"/>
    <w:rsid w:val="00AB18DE"/>
    <w:rsid w:val="00AB1942"/>
    <w:rsid w:val="00AB1AAC"/>
    <w:rsid w:val="00AB1AB1"/>
    <w:rsid w:val="00AB1B0B"/>
    <w:rsid w:val="00AB1C0D"/>
    <w:rsid w:val="00AB1C8F"/>
    <w:rsid w:val="00AB1D09"/>
    <w:rsid w:val="00AB1DCA"/>
    <w:rsid w:val="00AB1DCE"/>
    <w:rsid w:val="00AB1E29"/>
    <w:rsid w:val="00AB1E4F"/>
    <w:rsid w:val="00AB1EB9"/>
    <w:rsid w:val="00AB1F72"/>
    <w:rsid w:val="00AB1FB6"/>
    <w:rsid w:val="00AB2056"/>
    <w:rsid w:val="00AB2176"/>
    <w:rsid w:val="00AB21C6"/>
    <w:rsid w:val="00AB2273"/>
    <w:rsid w:val="00AB2284"/>
    <w:rsid w:val="00AB22A9"/>
    <w:rsid w:val="00AB2303"/>
    <w:rsid w:val="00AB2326"/>
    <w:rsid w:val="00AB235D"/>
    <w:rsid w:val="00AB2404"/>
    <w:rsid w:val="00AB246D"/>
    <w:rsid w:val="00AB2559"/>
    <w:rsid w:val="00AB267C"/>
    <w:rsid w:val="00AB26A9"/>
    <w:rsid w:val="00AB26B8"/>
    <w:rsid w:val="00AB27AE"/>
    <w:rsid w:val="00AB27F4"/>
    <w:rsid w:val="00AB2819"/>
    <w:rsid w:val="00AB2841"/>
    <w:rsid w:val="00AB2941"/>
    <w:rsid w:val="00AB297A"/>
    <w:rsid w:val="00AB2998"/>
    <w:rsid w:val="00AB29CC"/>
    <w:rsid w:val="00AB2A07"/>
    <w:rsid w:val="00AB2B56"/>
    <w:rsid w:val="00AB2BBA"/>
    <w:rsid w:val="00AB2C5C"/>
    <w:rsid w:val="00AB2D07"/>
    <w:rsid w:val="00AB2DB8"/>
    <w:rsid w:val="00AB2E0B"/>
    <w:rsid w:val="00AB2E15"/>
    <w:rsid w:val="00AB2F33"/>
    <w:rsid w:val="00AB2F97"/>
    <w:rsid w:val="00AB2FFF"/>
    <w:rsid w:val="00AB3032"/>
    <w:rsid w:val="00AB3087"/>
    <w:rsid w:val="00AB30B0"/>
    <w:rsid w:val="00AB313A"/>
    <w:rsid w:val="00AB3160"/>
    <w:rsid w:val="00AB317B"/>
    <w:rsid w:val="00AB3184"/>
    <w:rsid w:val="00AB31C7"/>
    <w:rsid w:val="00AB327B"/>
    <w:rsid w:val="00AB32D0"/>
    <w:rsid w:val="00AB32FA"/>
    <w:rsid w:val="00AB3318"/>
    <w:rsid w:val="00AB33BA"/>
    <w:rsid w:val="00AB3404"/>
    <w:rsid w:val="00AB3439"/>
    <w:rsid w:val="00AB3481"/>
    <w:rsid w:val="00AB35EE"/>
    <w:rsid w:val="00AB366B"/>
    <w:rsid w:val="00AB37EA"/>
    <w:rsid w:val="00AB38EE"/>
    <w:rsid w:val="00AB391F"/>
    <w:rsid w:val="00AB39C1"/>
    <w:rsid w:val="00AB3A0F"/>
    <w:rsid w:val="00AB3A9E"/>
    <w:rsid w:val="00AB3AA0"/>
    <w:rsid w:val="00AB3B71"/>
    <w:rsid w:val="00AB3BB1"/>
    <w:rsid w:val="00AB3BDE"/>
    <w:rsid w:val="00AB3D69"/>
    <w:rsid w:val="00AB3E31"/>
    <w:rsid w:val="00AB3E82"/>
    <w:rsid w:val="00AB3EA6"/>
    <w:rsid w:val="00AB3EFB"/>
    <w:rsid w:val="00AB3F0A"/>
    <w:rsid w:val="00AB3F29"/>
    <w:rsid w:val="00AB3F5B"/>
    <w:rsid w:val="00AB4004"/>
    <w:rsid w:val="00AB4019"/>
    <w:rsid w:val="00AB401A"/>
    <w:rsid w:val="00AB4030"/>
    <w:rsid w:val="00AB40E7"/>
    <w:rsid w:val="00AB417A"/>
    <w:rsid w:val="00AB41B5"/>
    <w:rsid w:val="00AB41BC"/>
    <w:rsid w:val="00AB4277"/>
    <w:rsid w:val="00AB42C9"/>
    <w:rsid w:val="00AB43D0"/>
    <w:rsid w:val="00AB43DE"/>
    <w:rsid w:val="00AB43EF"/>
    <w:rsid w:val="00AB4405"/>
    <w:rsid w:val="00AB4446"/>
    <w:rsid w:val="00AB44E4"/>
    <w:rsid w:val="00AB450C"/>
    <w:rsid w:val="00AB45D3"/>
    <w:rsid w:val="00AB45F8"/>
    <w:rsid w:val="00AB4636"/>
    <w:rsid w:val="00AB4672"/>
    <w:rsid w:val="00AB490A"/>
    <w:rsid w:val="00AB4998"/>
    <w:rsid w:val="00AB4A83"/>
    <w:rsid w:val="00AB4C74"/>
    <w:rsid w:val="00AB4D9D"/>
    <w:rsid w:val="00AB4DDE"/>
    <w:rsid w:val="00AB4E12"/>
    <w:rsid w:val="00AB4EEE"/>
    <w:rsid w:val="00AB4F44"/>
    <w:rsid w:val="00AB4FA3"/>
    <w:rsid w:val="00AB501F"/>
    <w:rsid w:val="00AB5026"/>
    <w:rsid w:val="00AB5085"/>
    <w:rsid w:val="00AB50C1"/>
    <w:rsid w:val="00AB50C2"/>
    <w:rsid w:val="00AB50EE"/>
    <w:rsid w:val="00AB5149"/>
    <w:rsid w:val="00AB5167"/>
    <w:rsid w:val="00AB51D2"/>
    <w:rsid w:val="00AB5213"/>
    <w:rsid w:val="00AB52A0"/>
    <w:rsid w:val="00AB5305"/>
    <w:rsid w:val="00AB5340"/>
    <w:rsid w:val="00AB5362"/>
    <w:rsid w:val="00AB53F7"/>
    <w:rsid w:val="00AB5405"/>
    <w:rsid w:val="00AB541C"/>
    <w:rsid w:val="00AB5506"/>
    <w:rsid w:val="00AB559A"/>
    <w:rsid w:val="00AB5621"/>
    <w:rsid w:val="00AB57E6"/>
    <w:rsid w:val="00AB57F5"/>
    <w:rsid w:val="00AB5880"/>
    <w:rsid w:val="00AB58AC"/>
    <w:rsid w:val="00AB58C8"/>
    <w:rsid w:val="00AB5988"/>
    <w:rsid w:val="00AB5B2C"/>
    <w:rsid w:val="00AB5C32"/>
    <w:rsid w:val="00AB5C8F"/>
    <w:rsid w:val="00AB5CA8"/>
    <w:rsid w:val="00AB5D21"/>
    <w:rsid w:val="00AB5D9D"/>
    <w:rsid w:val="00AB5E2C"/>
    <w:rsid w:val="00AB5E30"/>
    <w:rsid w:val="00AB5E8E"/>
    <w:rsid w:val="00AB5EC6"/>
    <w:rsid w:val="00AB5EDC"/>
    <w:rsid w:val="00AB5FC5"/>
    <w:rsid w:val="00AB5FF9"/>
    <w:rsid w:val="00AB609C"/>
    <w:rsid w:val="00AB60E5"/>
    <w:rsid w:val="00AB6131"/>
    <w:rsid w:val="00AB6180"/>
    <w:rsid w:val="00AB61A0"/>
    <w:rsid w:val="00AB61A5"/>
    <w:rsid w:val="00AB61CD"/>
    <w:rsid w:val="00AB6240"/>
    <w:rsid w:val="00AB6271"/>
    <w:rsid w:val="00AB6278"/>
    <w:rsid w:val="00AB628A"/>
    <w:rsid w:val="00AB62BC"/>
    <w:rsid w:val="00AB634A"/>
    <w:rsid w:val="00AB6378"/>
    <w:rsid w:val="00AB63FC"/>
    <w:rsid w:val="00AB6487"/>
    <w:rsid w:val="00AB65CD"/>
    <w:rsid w:val="00AB6627"/>
    <w:rsid w:val="00AB6649"/>
    <w:rsid w:val="00AB667D"/>
    <w:rsid w:val="00AB6759"/>
    <w:rsid w:val="00AB67FD"/>
    <w:rsid w:val="00AB680B"/>
    <w:rsid w:val="00AB6841"/>
    <w:rsid w:val="00AB6843"/>
    <w:rsid w:val="00AB684F"/>
    <w:rsid w:val="00AB687F"/>
    <w:rsid w:val="00AB6A34"/>
    <w:rsid w:val="00AB6A67"/>
    <w:rsid w:val="00AB6AC0"/>
    <w:rsid w:val="00AB6B58"/>
    <w:rsid w:val="00AB6BB2"/>
    <w:rsid w:val="00AB6C18"/>
    <w:rsid w:val="00AB6C30"/>
    <w:rsid w:val="00AB6C4F"/>
    <w:rsid w:val="00AB6C6E"/>
    <w:rsid w:val="00AB6CB9"/>
    <w:rsid w:val="00AB6CD2"/>
    <w:rsid w:val="00AB6D96"/>
    <w:rsid w:val="00AB6E1E"/>
    <w:rsid w:val="00AB6ED4"/>
    <w:rsid w:val="00AB6EDE"/>
    <w:rsid w:val="00AB7172"/>
    <w:rsid w:val="00AB7253"/>
    <w:rsid w:val="00AB7267"/>
    <w:rsid w:val="00AB72A1"/>
    <w:rsid w:val="00AB72CF"/>
    <w:rsid w:val="00AB72E7"/>
    <w:rsid w:val="00AB7342"/>
    <w:rsid w:val="00AB7346"/>
    <w:rsid w:val="00AB738D"/>
    <w:rsid w:val="00AB740C"/>
    <w:rsid w:val="00AB758B"/>
    <w:rsid w:val="00AB77D1"/>
    <w:rsid w:val="00AB77E7"/>
    <w:rsid w:val="00AB7826"/>
    <w:rsid w:val="00AB78B7"/>
    <w:rsid w:val="00AB79D1"/>
    <w:rsid w:val="00AB7A0E"/>
    <w:rsid w:val="00AB7AEA"/>
    <w:rsid w:val="00AB7C5C"/>
    <w:rsid w:val="00AB7D22"/>
    <w:rsid w:val="00AB7D29"/>
    <w:rsid w:val="00AB7D38"/>
    <w:rsid w:val="00AB7D3C"/>
    <w:rsid w:val="00AB7DE4"/>
    <w:rsid w:val="00AB7E63"/>
    <w:rsid w:val="00AB7EB3"/>
    <w:rsid w:val="00AB7EC6"/>
    <w:rsid w:val="00AB7F28"/>
    <w:rsid w:val="00AB7FF1"/>
    <w:rsid w:val="00AC0017"/>
    <w:rsid w:val="00AC00F3"/>
    <w:rsid w:val="00AC0195"/>
    <w:rsid w:val="00AC0237"/>
    <w:rsid w:val="00AC02F4"/>
    <w:rsid w:val="00AC0362"/>
    <w:rsid w:val="00AC03AB"/>
    <w:rsid w:val="00AC03EB"/>
    <w:rsid w:val="00AC03F1"/>
    <w:rsid w:val="00AC054D"/>
    <w:rsid w:val="00AC05E6"/>
    <w:rsid w:val="00AC060C"/>
    <w:rsid w:val="00AC069C"/>
    <w:rsid w:val="00AC0758"/>
    <w:rsid w:val="00AC0789"/>
    <w:rsid w:val="00AC07A2"/>
    <w:rsid w:val="00AC07F6"/>
    <w:rsid w:val="00AC0814"/>
    <w:rsid w:val="00AC0844"/>
    <w:rsid w:val="00AC0859"/>
    <w:rsid w:val="00AC08CF"/>
    <w:rsid w:val="00AC08F3"/>
    <w:rsid w:val="00AC091E"/>
    <w:rsid w:val="00AC0941"/>
    <w:rsid w:val="00AC0974"/>
    <w:rsid w:val="00AC0991"/>
    <w:rsid w:val="00AC09B8"/>
    <w:rsid w:val="00AC09CB"/>
    <w:rsid w:val="00AC09F9"/>
    <w:rsid w:val="00AC0A08"/>
    <w:rsid w:val="00AC0A39"/>
    <w:rsid w:val="00AC0A72"/>
    <w:rsid w:val="00AC0B71"/>
    <w:rsid w:val="00AC0BF2"/>
    <w:rsid w:val="00AC0BFD"/>
    <w:rsid w:val="00AC0C3A"/>
    <w:rsid w:val="00AC0CA2"/>
    <w:rsid w:val="00AC0CEE"/>
    <w:rsid w:val="00AC0D07"/>
    <w:rsid w:val="00AC0D6D"/>
    <w:rsid w:val="00AC0DC2"/>
    <w:rsid w:val="00AC0E11"/>
    <w:rsid w:val="00AC0ED7"/>
    <w:rsid w:val="00AC0F45"/>
    <w:rsid w:val="00AC0FB3"/>
    <w:rsid w:val="00AC0FB6"/>
    <w:rsid w:val="00AC102C"/>
    <w:rsid w:val="00AC1045"/>
    <w:rsid w:val="00AC104D"/>
    <w:rsid w:val="00AC104F"/>
    <w:rsid w:val="00AC106D"/>
    <w:rsid w:val="00AC1101"/>
    <w:rsid w:val="00AC1110"/>
    <w:rsid w:val="00AC116C"/>
    <w:rsid w:val="00AC11CE"/>
    <w:rsid w:val="00AC1228"/>
    <w:rsid w:val="00AC12B5"/>
    <w:rsid w:val="00AC13F6"/>
    <w:rsid w:val="00AC1459"/>
    <w:rsid w:val="00AC14E0"/>
    <w:rsid w:val="00AC159A"/>
    <w:rsid w:val="00AC15E7"/>
    <w:rsid w:val="00AC1632"/>
    <w:rsid w:val="00AC175F"/>
    <w:rsid w:val="00AC1771"/>
    <w:rsid w:val="00AC1885"/>
    <w:rsid w:val="00AC1891"/>
    <w:rsid w:val="00AC191B"/>
    <w:rsid w:val="00AC1938"/>
    <w:rsid w:val="00AC1967"/>
    <w:rsid w:val="00AC1979"/>
    <w:rsid w:val="00AC1A07"/>
    <w:rsid w:val="00AC1A8B"/>
    <w:rsid w:val="00AC1BCC"/>
    <w:rsid w:val="00AC1D99"/>
    <w:rsid w:val="00AC1E08"/>
    <w:rsid w:val="00AC1ED1"/>
    <w:rsid w:val="00AC1F32"/>
    <w:rsid w:val="00AC1F63"/>
    <w:rsid w:val="00AC20DC"/>
    <w:rsid w:val="00AC20F3"/>
    <w:rsid w:val="00AC2105"/>
    <w:rsid w:val="00AC2116"/>
    <w:rsid w:val="00AC2117"/>
    <w:rsid w:val="00AC2198"/>
    <w:rsid w:val="00AC2210"/>
    <w:rsid w:val="00AC2246"/>
    <w:rsid w:val="00AC224B"/>
    <w:rsid w:val="00AC23B6"/>
    <w:rsid w:val="00AC23D6"/>
    <w:rsid w:val="00AC25C1"/>
    <w:rsid w:val="00AC25E7"/>
    <w:rsid w:val="00AC262E"/>
    <w:rsid w:val="00AC264F"/>
    <w:rsid w:val="00AC26A1"/>
    <w:rsid w:val="00AC26DA"/>
    <w:rsid w:val="00AC26DD"/>
    <w:rsid w:val="00AC2755"/>
    <w:rsid w:val="00AC2886"/>
    <w:rsid w:val="00AC28D1"/>
    <w:rsid w:val="00AC29C4"/>
    <w:rsid w:val="00AC2A72"/>
    <w:rsid w:val="00AC2AB9"/>
    <w:rsid w:val="00AC2B50"/>
    <w:rsid w:val="00AC2C6E"/>
    <w:rsid w:val="00AC2D07"/>
    <w:rsid w:val="00AC2D4C"/>
    <w:rsid w:val="00AC2D59"/>
    <w:rsid w:val="00AC2D87"/>
    <w:rsid w:val="00AC2E88"/>
    <w:rsid w:val="00AC2EFD"/>
    <w:rsid w:val="00AC2F07"/>
    <w:rsid w:val="00AC2FA3"/>
    <w:rsid w:val="00AC304D"/>
    <w:rsid w:val="00AC3081"/>
    <w:rsid w:val="00AC30A5"/>
    <w:rsid w:val="00AC3103"/>
    <w:rsid w:val="00AC317B"/>
    <w:rsid w:val="00AC31B7"/>
    <w:rsid w:val="00AC321C"/>
    <w:rsid w:val="00AC3338"/>
    <w:rsid w:val="00AC33B7"/>
    <w:rsid w:val="00AC3472"/>
    <w:rsid w:val="00AC3477"/>
    <w:rsid w:val="00AC348F"/>
    <w:rsid w:val="00AC356B"/>
    <w:rsid w:val="00AC361C"/>
    <w:rsid w:val="00AC3693"/>
    <w:rsid w:val="00AC371E"/>
    <w:rsid w:val="00AC373C"/>
    <w:rsid w:val="00AC374F"/>
    <w:rsid w:val="00AC380F"/>
    <w:rsid w:val="00AC38B2"/>
    <w:rsid w:val="00AC3920"/>
    <w:rsid w:val="00AC3923"/>
    <w:rsid w:val="00AC396B"/>
    <w:rsid w:val="00AC39B0"/>
    <w:rsid w:val="00AC39B3"/>
    <w:rsid w:val="00AC39F8"/>
    <w:rsid w:val="00AC3A4B"/>
    <w:rsid w:val="00AC3A70"/>
    <w:rsid w:val="00AC3A72"/>
    <w:rsid w:val="00AC3A74"/>
    <w:rsid w:val="00AC3A7B"/>
    <w:rsid w:val="00AC3B5C"/>
    <w:rsid w:val="00AC3C33"/>
    <w:rsid w:val="00AC3D04"/>
    <w:rsid w:val="00AC3D0E"/>
    <w:rsid w:val="00AC3D66"/>
    <w:rsid w:val="00AC3D8F"/>
    <w:rsid w:val="00AC3E37"/>
    <w:rsid w:val="00AC3ED4"/>
    <w:rsid w:val="00AC3F58"/>
    <w:rsid w:val="00AC3FBF"/>
    <w:rsid w:val="00AC4002"/>
    <w:rsid w:val="00AC400C"/>
    <w:rsid w:val="00AC408D"/>
    <w:rsid w:val="00AC417E"/>
    <w:rsid w:val="00AC41F0"/>
    <w:rsid w:val="00AC41F2"/>
    <w:rsid w:val="00AC4217"/>
    <w:rsid w:val="00AC4224"/>
    <w:rsid w:val="00AC4255"/>
    <w:rsid w:val="00AC428F"/>
    <w:rsid w:val="00AC4330"/>
    <w:rsid w:val="00AC4341"/>
    <w:rsid w:val="00AC43D0"/>
    <w:rsid w:val="00AC43F6"/>
    <w:rsid w:val="00AC440A"/>
    <w:rsid w:val="00AC4492"/>
    <w:rsid w:val="00AC45A3"/>
    <w:rsid w:val="00AC4665"/>
    <w:rsid w:val="00AC46DA"/>
    <w:rsid w:val="00AC4727"/>
    <w:rsid w:val="00AC4749"/>
    <w:rsid w:val="00AC475D"/>
    <w:rsid w:val="00AC4791"/>
    <w:rsid w:val="00AC4803"/>
    <w:rsid w:val="00AC48B6"/>
    <w:rsid w:val="00AC4916"/>
    <w:rsid w:val="00AC492A"/>
    <w:rsid w:val="00AC4A89"/>
    <w:rsid w:val="00AC4ABB"/>
    <w:rsid w:val="00AC4AFB"/>
    <w:rsid w:val="00AC4B6B"/>
    <w:rsid w:val="00AC4C61"/>
    <w:rsid w:val="00AC4C6C"/>
    <w:rsid w:val="00AC4CCF"/>
    <w:rsid w:val="00AC4D5D"/>
    <w:rsid w:val="00AC4E17"/>
    <w:rsid w:val="00AC4E24"/>
    <w:rsid w:val="00AC4E63"/>
    <w:rsid w:val="00AC4F5E"/>
    <w:rsid w:val="00AC5027"/>
    <w:rsid w:val="00AC505D"/>
    <w:rsid w:val="00AC5081"/>
    <w:rsid w:val="00AC50AF"/>
    <w:rsid w:val="00AC50C9"/>
    <w:rsid w:val="00AC50DE"/>
    <w:rsid w:val="00AC5104"/>
    <w:rsid w:val="00AC51C7"/>
    <w:rsid w:val="00AC51E3"/>
    <w:rsid w:val="00AC52AD"/>
    <w:rsid w:val="00AC52C2"/>
    <w:rsid w:val="00AC5331"/>
    <w:rsid w:val="00AC5386"/>
    <w:rsid w:val="00AC539C"/>
    <w:rsid w:val="00AC540C"/>
    <w:rsid w:val="00AC54D0"/>
    <w:rsid w:val="00AC550D"/>
    <w:rsid w:val="00AC550F"/>
    <w:rsid w:val="00AC5593"/>
    <w:rsid w:val="00AC55B0"/>
    <w:rsid w:val="00AC55BE"/>
    <w:rsid w:val="00AC55DC"/>
    <w:rsid w:val="00AC55EF"/>
    <w:rsid w:val="00AC5619"/>
    <w:rsid w:val="00AC5656"/>
    <w:rsid w:val="00AC5773"/>
    <w:rsid w:val="00AC57DA"/>
    <w:rsid w:val="00AC5823"/>
    <w:rsid w:val="00AC5849"/>
    <w:rsid w:val="00AC58B4"/>
    <w:rsid w:val="00AC58FA"/>
    <w:rsid w:val="00AC5B26"/>
    <w:rsid w:val="00AC5B90"/>
    <w:rsid w:val="00AC5BBD"/>
    <w:rsid w:val="00AC5C49"/>
    <w:rsid w:val="00AC5CD6"/>
    <w:rsid w:val="00AC5D14"/>
    <w:rsid w:val="00AC5D89"/>
    <w:rsid w:val="00AC5D9F"/>
    <w:rsid w:val="00AC5DE3"/>
    <w:rsid w:val="00AC5DF9"/>
    <w:rsid w:val="00AC5E0D"/>
    <w:rsid w:val="00AC5E2A"/>
    <w:rsid w:val="00AC5E60"/>
    <w:rsid w:val="00AC5E7C"/>
    <w:rsid w:val="00AC5EF3"/>
    <w:rsid w:val="00AC5F4E"/>
    <w:rsid w:val="00AC5F92"/>
    <w:rsid w:val="00AC5FBA"/>
    <w:rsid w:val="00AC5FD8"/>
    <w:rsid w:val="00AC6013"/>
    <w:rsid w:val="00AC608D"/>
    <w:rsid w:val="00AC6109"/>
    <w:rsid w:val="00AC62C4"/>
    <w:rsid w:val="00AC6306"/>
    <w:rsid w:val="00AC63B6"/>
    <w:rsid w:val="00AC63EF"/>
    <w:rsid w:val="00AC6438"/>
    <w:rsid w:val="00AC6487"/>
    <w:rsid w:val="00AC648B"/>
    <w:rsid w:val="00AC6499"/>
    <w:rsid w:val="00AC6567"/>
    <w:rsid w:val="00AC65B7"/>
    <w:rsid w:val="00AC65B8"/>
    <w:rsid w:val="00AC6633"/>
    <w:rsid w:val="00AC6645"/>
    <w:rsid w:val="00AC6667"/>
    <w:rsid w:val="00AC670D"/>
    <w:rsid w:val="00AC676B"/>
    <w:rsid w:val="00AC6770"/>
    <w:rsid w:val="00AC67AC"/>
    <w:rsid w:val="00AC67CA"/>
    <w:rsid w:val="00AC6902"/>
    <w:rsid w:val="00AC691E"/>
    <w:rsid w:val="00AC6A14"/>
    <w:rsid w:val="00AC6A31"/>
    <w:rsid w:val="00AC6A51"/>
    <w:rsid w:val="00AC6A5E"/>
    <w:rsid w:val="00AC6AE5"/>
    <w:rsid w:val="00AC6AF6"/>
    <w:rsid w:val="00AC6C2D"/>
    <w:rsid w:val="00AC6C51"/>
    <w:rsid w:val="00AC6C71"/>
    <w:rsid w:val="00AC6C84"/>
    <w:rsid w:val="00AC6C8D"/>
    <w:rsid w:val="00AC6C9C"/>
    <w:rsid w:val="00AC6F22"/>
    <w:rsid w:val="00AC6F4E"/>
    <w:rsid w:val="00AC6F7C"/>
    <w:rsid w:val="00AC6F7D"/>
    <w:rsid w:val="00AC7018"/>
    <w:rsid w:val="00AC704F"/>
    <w:rsid w:val="00AC7064"/>
    <w:rsid w:val="00AC70B8"/>
    <w:rsid w:val="00AC7102"/>
    <w:rsid w:val="00AC720A"/>
    <w:rsid w:val="00AC7236"/>
    <w:rsid w:val="00AC723C"/>
    <w:rsid w:val="00AC7300"/>
    <w:rsid w:val="00AC7323"/>
    <w:rsid w:val="00AC7341"/>
    <w:rsid w:val="00AC73F0"/>
    <w:rsid w:val="00AC744C"/>
    <w:rsid w:val="00AC7486"/>
    <w:rsid w:val="00AC74AC"/>
    <w:rsid w:val="00AC74C1"/>
    <w:rsid w:val="00AC74D8"/>
    <w:rsid w:val="00AC7524"/>
    <w:rsid w:val="00AC754A"/>
    <w:rsid w:val="00AC7622"/>
    <w:rsid w:val="00AC7646"/>
    <w:rsid w:val="00AC7652"/>
    <w:rsid w:val="00AC769D"/>
    <w:rsid w:val="00AC76CF"/>
    <w:rsid w:val="00AC76F4"/>
    <w:rsid w:val="00AC77CA"/>
    <w:rsid w:val="00AC7890"/>
    <w:rsid w:val="00AC78F0"/>
    <w:rsid w:val="00AC78F6"/>
    <w:rsid w:val="00AC7915"/>
    <w:rsid w:val="00AC7960"/>
    <w:rsid w:val="00AC7984"/>
    <w:rsid w:val="00AC7A6C"/>
    <w:rsid w:val="00AC7ACE"/>
    <w:rsid w:val="00AC7AE2"/>
    <w:rsid w:val="00AC7AFE"/>
    <w:rsid w:val="00AC7C82"/>
    <w:rsid w:val="00AC7C93"/>
    <w:rsid w:val="00AC7CD0"/>
    <w:rsid w:val="00AC7CD2"/>
    <w:rsid w:val="00AC7D50"/>
    <w:rsid w:val="00AC7D80"/>
    <w:rsid w:val="00AC7E0F"/>
    <w:rsid w:val="00AC7E1C"/>
    <w:rsid w:val="00AC7E86"/>
    <w:rsid w:val="00AC7ECD"/>
    <w:rsid w:val="00AC7F64"/>
    <w:rsid w:val="00AD0028"/>
    <w:rsid w:val="00AD018D"/>
    <w:rsid w:val="00AD01BF"/>
    <w:rsid w:val="00AD0210"/>
    <w:rsid w:val="00AD0270"/>
    <w:rsid w:val="00AD03E0"/>
    <w:rsid w:val="00AD044D"/>
    <w:rsid w:val="00AD051A"/>
    <w:rsid w:val="00AD059D"/>
    <w:rsid w:val="00AD05A1"/>
    <w:rsid w:val="00AD05A4"/>
    <w:rsid w:val="00AD060C"/>
    <w:rsid w:val="00AD068F"/>
    <w:rsid w:val="00AD06A4"/>
    <w:rsid w:val="00AD0703"/>
    <w:rsid w:val="00AD077C"/>
    <w:rsid w:val="00AD07CA"/>
    <w:rsid w:val="00AD081D"/>
    <w:rsid w:val="00AD0863"/>
    <w:rsid w:val="00AD0933"/>
    <w:rsid w:val="00AD095E"/>
    <w:rsid w:val="00AD097C"/>
    <w:rsid w:val="00AD097F"/>
    <w:rsid w:val="00AD09AD"/>
    <w:rsid w:val="00AD09BD"/>
    <w:rsid w:val="00AD09CE"/>
    <w:rsid w:val="00AD0B11"/>
    <w:rsid w:val="00AD0B3C"/>
    <w:rsid w:val="00AD0B43"/>
    <w:rsid w:val="00AD0B48"/>
    <w:rsid w:val="00AD0BCC"/>
    <w:rsid w:val="00AD0CF5"/>
    <w:rsid w:val="00AD0D1E"/>
    <w:rsid w:val="00AD0DE2"/>
    <w:rsid w:val="00AD0E9C"/>
    <w:rsid w:val="00AD0EA5"/>
    <w:rsid w:val="00AD0EC2"/>
    <w:rsid w:val="00AD0F5E"/>
    <w:rsid w:val="00AD0FE5"/>
    <w:rsid w:val="00AD1006"/>
    <w:rsid w:val="00AD101F"/>
    <w:rsid w:val="00AD1041"/>
    <w:rsid w:val="00AD1086"/>
    <w:rsid w:val="00AD109E"/>
    <w:rsid w:val="00AD11DD"/>
    <w:rsid w:val="00AD11F8"/>
    <w:rsid w:val="00AD129B"/>
    <w:rsid w:val="00AD12A7"/>
    <w:rsid w:val="00AD1305"/>
    <w:rsid w:val="00AD139B"/>
    <w:rsid w:val="00AD1481"/>
    <w:rsid w:val="00AD14B6"/>
    <w:rsid w:val="00AD154F"/>
    <w:rsid w:val="00AD15B2"/>
    <w:rsid w:val="00AD165C"/>
    <w:rsid w:val="00AD16B4"/>
    <w:rsid w:val="00AD16B9"/>
    <w:rsid w:val="00AD16CF"/>
    <w:rsid w:val="00AD1794"/>
    <w:rsid w:val="00AD1804"/>
    <w:rsid w:val="00AD186F"/>
    <w:rsid w:val="00AD188E"/>
    <w:rsid w:val="00AD19ED"/>
    <w:rsid w:val="00AD1A51"/>
    <w:rsid w:val="00AD1AA9"/>
    <w:rsid w:val="00AD1AC9"/>
    <w:rsid w:val="00AD1ACD"/>
    <w:rsid w:val="00AD1ADC"/>
    <w:rsid w:val="00AD1B03"/>
    <w:rsid w:val="00AD1BD5"/>
    <w:rsid w:val="00AD1BEF"/>
    <w:rsid w:val="00AD1C43"/>
    <w:rsid w:val="00AD1C76"/>
    <w:rsid w:val="00AD1C8C"/>
    <w:rsid w:val="00AD1DC4"/>
    <w:rsid w:val="00AD1EB9"/>
    <w:rsid w:val="00AD1EBA"/>
    <w:rsid w:val="00AD20FF"/>
    <w:rsid w:val="00AD218D"/>
    <w:rsid w:val="00AD2291"/>
    <w:rsid w:val="00AD22A7"/>
    <w:rsid w:val="00AD22DA"/>
    <w:rsid w:val="00AD2374"/>
    <w:rsid w:val="00AD237F"/>
    <w:rsid w:val="00AD23AF"/>
    <w:rsid w:val="00AD23E4"/>
    <w:rsid w:val="00AD2416"/>
    <w:rsid w:val="00AD242C"/>
    <w:rsid w:val="00AD2436"/>
    <w:rsid w:val="00AD2441"/>
    <w:rsid w:val="00AD2470"/>
    <w:rsid w:val="00AD24A5"/>
    <w:rsid w:val="00AD24B2"/>
    <w:rsid w:val="00AD2503"/>
    <w:rsid w:val="00AD2548"/>
    <w:rsid w:val="00AD25D9"/>
    <w:rsid w:val="00AD2791"/>
    <w:rsid w:val="00AD281E"/>
    <w:rsid w:val="00AD2852"/>
    <w:rsid w:val="00AD297B"/>
    <w:rsid w:val="00AD2BD9"/>
    <w:rsid w:val="00AD2BDD"/>
    <w:rsid w:val="00AD2C17"/>
    <w:rsid w:val="00AD2C80"/>
    <w:rsid w:val="00AD2CBF"/>
    <w:rsid w:val="00AD2D23"/>
    <w:rsid w:val="00AD2D6A"/>
    <w:rsid w:val="00AD2DAC"/>
    <w:rsid w:val="00AD2DBC"/>
    <w:rsid w:val="00AD2E2D"/>
    <w:rsid w:val="00AD2E8C"/>
    <w:rsid w:val="00AD2EF9"/>
    <w:rsid w:val="00AD2F01"/>
    <w:rsid w:val="00AD2F6B"/>
    <w:rsid w:val="00AD2FF2"/>
    <w:rsid w:val="00AD3014"/>
    <w:rsid w:val="00AD3080"/>
    <w:rsid w:val="00AD3192"/>
    <w:rsid w:val="00AD3297"/>
    <w:rsid w:val="00AD3328"/>
    <w:rsid w:val="00AD3337"/>
    <w:rsid w:val="00AD3375"/>
    <w:rsid w:val="00AD3394"/>
    <w:rsid w:val="00AD33C2"/>
    <w:rsid w:val="00AD33D3"/>
    <w:rsid w:val="00AD3483"/>
    <w:rsid w:val="00AD34B0"/>
    <w:rsid w:val="00AD34CD"/>
    <w:rsid w:val="00AD3525"/>
    <w:rsid w:val="00AD3587"/>
    <w:rsid w:val="00AD36CC"/>
    <w:rsid w:val="00AD3702"/>
    <w:rsid w:val="00AD3744"/>
    <w:rsid w:val="00AD37A1"/>
    <w:rsid w:val="00AD37A5"/>
    <w:rsid w:val="00AD37E8"/>
    <w:rsid w:val="00AD380E"/>
    <w:rsid w:val="00AD3830"/>
    <w:rsid w:val="00AD3902"/>
    <w:rsid w:val="00AD3965"/>
    <w:rsid w:val="00AD39BD"/>
    <w:rsid w:val="00AD3AAD"/>
    <w:rsid w:val="00AD3ABE"/>
    <w:rsid w:val="00AD3AF4"/>
    <w:rsid w:val="00AD3B27"/>
    <w:rsid w:val="00AD3B3A"/>
    <w:rsid w:val="00AD3B3F"/>
    <w:rsid w:val="00AD3E06"/>
    <w:rsid w:val="00AD3E14"/>
    <w:rsid w:val="00AD3E37"/>
    <w:rsid w:val="00AD3F3E"/>
    <w:rsid w:val="00AD3F55"/>
    <w:rsid w:val="00AD4041"/>
    <w:rsid w:val="00AD411E"/>
    <w:rsid w:val="00AD4166"/>
    <w:rsid w:val="00AD41E7"/>
    <w:rsid w:val="00AD42B6"/>
    <w:rsid w:val="00AD4322"/>
    <w:rsid w:val="00AD4431"/>
    <w:rsid w:val="00AD44A9"/>
    <w:rsid w:val="00AD4681"/>
    <w:rsid w:val="00AD46B3"/>
    <w:rsid w:val="00AD46C5"/>
    <w:rsid w:val="00AD46E6"/>
    <w:rsid w:val="00AD46EC"/>
    <w:rsid w:val="00AD4750"/>
    <w:rsid w:val="00AD4845"/>
    <w:rsid w:val="00AD48E8"/>
    <w:rsid w:val="00AD48F9"/>
    <w:rsid w:val="00AD4905"/>
    <w:rsid w:val="00AD49BF"/>
    <w:rsid w:val="00AD4A95"/>
    <w:rsid w:val="00AD4B0C"/>
    <w:rsid w:val="00AD4B6A"/>
    <w:rsid w:val="00AD4C52"/>
    <w:rsid w:val="00AD4C76"/>
    <w:rsid w:val="00AD4CEB"/>
    <w:rsid w:val="00AD4CF0"/>
    <w:rsid w:val="00AD4CF9"/>
    <w:rsid w:val="00AD4D41"/>
    <w:rsid w:val="00AD4DD8"/>
    <w:rsid w:val="00AD4E25"/>
    <w:rsid w:val="00AD4EC9"/>
    <w:rsid w:val="00AD4ED0"/>
    <w:rsid w:val="00AD4F64"/>
    <w:rsid w:val="00AD4F67"/>
    <w:rsid w:val="00AD507F"/>
    <w:rsid w:val="00AD5087"/>
    <w:rsid w:val="00AD5252"/>
    <w:rsid w:val="00AD52F3"/>
    <w:rsid w:val="00AD535C"/>
    <w:rsid w:val="00AD538B"/>
    <w:rsid w:val="00AD542B"/>
    <w:rsid w:val="00AD545B"/>
    <w:rsid w:val="00AD555C"/>
    <w:rsid w:val="00AD55B8"/>
    <w:rsid w:val="00AD55D6"/>
    <w:rsid w:val="00AD57BC"/>
    <w:rsid w:val="00AD57BF"/>
    <w:rsid w:val="00AD57D9"/>
    <w:rsid w:val="00AD5821"/>
    <w:rsid w:val="00AD5895"/>
    <w:rsid w:val="00AD5A23"/>
    <w:rsid w:val="00AD5A81"/>
    <w:rsid w:val="00AD5B09"/>
    <w:rsid w:val="00AD5B45"/>
    <w:rsid w:val="00AD5BAC"/>
    <w:rsid w:val="00AD5BF6"/>
    <w:rsid w:val="00AD5C40"/>
    <w:rsid w:val="00AD5CC8"/>
    <w:rsid w:val="00AD5DAD"/>
    <w:rsid w:val="00AD5DC3"/>
    <w:rsid w:val="00AD5E09"/>
    <w:rsid w:val="00AD5E17"/>
    <w:rsid w:val="00AD5F29"/>
    <w:rsid w:val="00AD5F2B"/>
    <w:rsid w:val="00AD6000"/>
    <w:rsid w:val="00AD6048"/>
    <w:rsid w:val="00AD60EA"/>
    <w:rsid w:val="00AD60F7"/>
    <w:rsid w:val="00AD6144"/>
    <w:rsid w:val="00AD64B7"/>
    <w:rsid w:val="00AD64E5"/>
    <w:rsid w:val="00AD655A"/>
    <w:rsid w:val="00AD6578"/>
    <w:rsid w:val="00AD6684"/>
    <w:rsid w:val="00AD66BE"/>
    <w:rsid w:val="00AD6701"/>
    <w:rsid w:val="00AD67D4"/>
    <w:rsid w:val="00AD6821"/>
    <w:rsid w:val="00AD68BD"/>
    <w:rsid w:val="00AD6917"/>
    <w:rsid w:val="00AD6994"/>
    <w:rsid w:val="00AD69C1"/>
    <w:rsid w:val="00AD69EA"/>
    <w:rsid w:val="00AD6A22"/>
    <w:rsid w:val="00AD6A2B"/>
    <w:rsid w:val="00AD6A52"/>
    <w:rsid w:val="00AD6BD5"/>
    <w:rsid w:val="00AD6BEF"/>
    <w:rsid w:val="00AD6C25"/>
    <w:rsid w:val="00AD6C4E"/>
    <w:rsid w:val="00AD6CF9"/>
    <w:rsid w:val="00AD6DBB"/>
    <w:rsid w:val="00AD6E30"/>
    <w:rsid w:val="00AD6E95"/>
    <w:rsid w:val="00AD6EDB"/>
    <w:rsid w:val="00AD6EE1"/>
    <w:rsid w:val="00AD6EEF"/>
    <w:rsid w:val="00AD6EF0"/>
    <w:rsid w:val="00AD6F02"/>
    <w:rsid w:val="00AD6FAA"/>
    <w:rsid w:val="00AD700E"/>
    <w:rsid w:val="00AD702A"/>
    <w:rsid w:val="00AD704D"/>
    <w:rsid w:val="00AD7158"/>
    <w:rsid w:val="00AD7186"/>
    <w:rsid w:val="00AD719F"/>
    <w:rsid w:val="00AD71EB"/>
    <w:rsid w:val="00AD722A"/>
    <w:rsid w:val="00AD72A5"/>
    <w:rsid w:val="00AD72C1"/>
    <w:rsid w:val="00AD72E2"/>
    <w:rsid w:val="00AD7358"/>
    <w:rsid w:val="00AD735A"/>
    <w:rsid w:val="00AD7542"/>
    <w:rsid w:val="00AD759C"/>
    <w:rsid w:val="00AD768C"/>
    <w:rsid w:val="00AD7706"/>
    <w:rsid w:val="00AD7731"/>
    <w:rsid w:val="00AD77BB"/>
    <w:rsid w:val="00AD7887"/>
    <w:rsid w:val="00AD7921"/>
    <w:rsid w:val="00AD79AC"/>
    <w:rsid w:val="00AD7A4E"/>
    <w:rsid w:val="00AD7A6E"/>
    <w:rsid w:val="00AD7A72"/>
    <w:rsid w:val="00AD7A75"/>
    <w:rsid w:val="00AD7AFE"/>
    <w:rsid w:val="00AD7BC6"/>
    <w:rsid w:val="00AD7C41"/>
    <w:rsid w:val="00AD7CE8"/>
    <w:rsid w:val="00AD7D5B"/>
    <w:rsid w:val="00AD7DFE"/>
    <w:rsid w:val="00AD7F52"/>
    <w:rsid w:val="00AE012D"/>
    <w:rsid w:val="00AE0157"/>
    <w:rsid w:val="00AE01C2"/>
    <w:rsid w:val="00AE01FE"/>
    <w:rsid w:val="00AE01FF"/>
    <w:rsid w:val="00AE02AB"/>
    <w:rsid w:val="00AE02DD"/>
    <w:rsid w:val="00AE02F2"/>
    <w:rsid w:val="00AE02FE"/>
    <w:rsid w:val="00AE0310"/>
    <w:rsid w:val="00AE034F"/>
    <w:rsid w:val="00AE03DB"/>
    <w:rsid w:val="00AE03E9"/>
    <w:rsid w:val="00AE045E"/>
    <w:rsid w:val="00AE04B1"/>
    <w:rsid w:val="00AE052E"/>
    <w:rsid w:val="00AE0583"/>
    <w:rsid w:val="00AE05F0"/>
    <w:rsid w:val="00AE062D"/>
    <w:rsid w:val="00AE06A8"/>
    <w:rsid w:val="00AE0729"/>
    <w:rsid w:val="00AE07CF"/>
    <w:rsid w:val="00AE081B"/>
    <w:rsid w:val="00AE08AF"/>
    <w:rsid w:val="00AE08BE"/>
    <w:rsid w:val="00AE08FE"/>
    <w:rsid w:val="00AE0A87"/>
    <w:rsid w:val="00AE0B06"/>
    <w:rsid w:val="00AE0BB6"/>
    <w:rsid w:val="00AE0BE8"/>
    <w:rsid w:val="00AE0C15"/>
    <w:rsid w:val="00AE0C21"/>
    <w:rsid w:val="00AE0C2F"/>
    <w:rsid w:val="00AE0D05"/>
    <w:rsid w:val="00AE0D3D"/>
    <w:rsid w:val="00AE0D77"/>
    <w:rsid w:val="00AE0DAF"/>
    <w:rsid w:val="00AE0DC6"/>
    <w:rsid w:val="00AE0EA8"/>
    <w:rsid w:val="00AE0EB2"/>
    <w:rsid w:val="00AE0F49"/>
    <w:rsid w:val="00AE1026"/>
    <w:rsid w:val="00AE1044"/>
    <w:rsid w:val="00AE1088"/>
    <w:rsid w:val="00AE108B"/>
    <w:rsid w:val="00AE10BB"/>
    <w:rsid w:val="00AE10CD"/>
    <w:rsid w:val="00AE10F6"/>
    <w:rsid w:val="00AE111E"/>
    <w:rsid w:val="00AE1155"/>
    <w:rsid w:val="00AE11B7"/>
    <w:rsid w:val="00AE11CE"/>
    <w:rsid w:val="00AE11EA"/>
    <w:rsid w:val="00AE11F1"/>
    <w:rsid w:val="00AE1211"/>
    <w:rsid w:val="00AE1258"/>
    <w:rsid w:val="00AE125B"/>
    <w:rsid w:val="00AE12B3"/>
    <w:rsid w:val="00AE1412"/>
    <w:rsid w:val="00AE1442"/>
    <w:rsid w:val="00AE1477"/>
    <w:rsid w:val="00AE1498"/>
    <w:rsid w:val="00AE14F7"/>
    <w:rsid w:val="00AE15E6"/>
    <w:rsid w:val="00AE15EB"/>
    <w:rsid w:val="00AE15FA"/>
    <w:rsid w:val="00AE1618"/>
    <w:rsid w:val="00AE165A"/>
    <w:rsid w:val="00AE176B"/>
    <w:rsid w:val="00AE1892"/>
    <w:rsid w:val="00AE18B3"/>
    <w:rsid w:val="00AE1A04"/>
    <w:rsid w:val="00AE1ABF"/>
    <w:rsid w:val="00AE1AC8"/>
    <w:rsid w:val="00AE1C13"/>
    <w:rsid w:val="00AE1C62"/>
    <w:rsid w:val="00AE1C77"/>
    <w:rsid w:val="00AE1D4E"/>
    <w:rsid w:val="00AE1D78"/>
    <w:rsid w:val="00AE1DBD"/>
    <w:rsid w:val="00AE1DF8"/>
    <w:rsid w:val="00AE1E09"/>
    <w:rsid w:val="00AE1E93"/>
    <w:rsid w:val="00AE1ED2"/>
    <w:rsid w:val="00AE1F1C"/>
    <w:rsid w:val="00AE207E"/>
    <w:rsid w:val="00AE20AE"/>
    <w:rsid w:val="00AE215C"/>
    <w:rsid w:val="00AE21A6"/>
    <w:rsid w:val="00AE21E5"/>
    <w:rsid w:val="00AE2252"/>
    <w:rsid w:val="00AE226E"/>
    <w:rsid w:val="00AE2285"/>
    <w:rsid w:val="00AE22B5"/>
    <w:rsid w:val="00AE22BC"/>
    <w:rsid w:val="00AE23B5"/>
    <w:rsid w:val="00AE24CA"/>
    <w:rsid w:val="00AE2515"/>
    <w:rsid w:val="00AE2564"/>
    <w:rsid w:val="00AE256F"/>
    <w:rsid w:val="00AE2581"/>
    <w:rsid w:val="00AE2582"/>
    <w:rsid w:val="00AE25A1"/>
    <w:rsid w:val="00AE2606"/>
    <w:rsid w:val="00AE2621"/>
    <w:rsid w:val="00AE2639"/>
    <w:rsid w:val="00AE2662"/>
    <w:rsid w:val="00AE266D"/>
    <w:rsid w:val="00AE269E"/>
    <w:rsid w:val="00AE274E"/>
    <w:rsid w:val="00AE27ED"/>
    <w:rsid w:val="00AE27F5"/>
    <w:rsid w:val="00AE2896"/>
    <w:rsid w:val="00AE2991"/>
    <w:rsid w:val="00AE2A19"/>
    <w:rsid w:val="00AE2A53"/>
    <w:rsid w:val="00AE2A90"/>
    <w:rsid w:val="00AE2AC1"/>
    <w:rsid w:val="00AE2BA1"/>
    <w:rsid w:val="00AE2BC3"/>
    <w:rsid w:val="00AE2BC5"/>
    <w:rsid w:val="00AE2C0D"/>
    <w:rsid w:val="00AE2C7D"/>
    <w:rsid w:val="00AE2C9D"/>
    <w:rsid w:val="00AE2CDB"/>
    <w:rsid w:val="00AE2D7B"/>
    <w:rsid w:val="00AE2D97"/>
    <w:rsid w:val="00AE2DA9"/>
    <w:rsid w:val="00AE2E0D"/>
    <w:rsid w:val="00AE2E1C"/>
    <w:rsid w:val="00AE2E57"/>
    <w:rsid w:val="00AE3052"/>
    <w:rsid w:val="00AE306E"/>
    <w:rsid w:val="00AE313E"/>
    <w:rsid w:val="00AE32B2"/>
    <w:rsid w:val="00AE32C5"/>
    <w:rsid w:val="00AE3309"/>
    <w:rsid w:val="00AE339A"/>
    <w:rsid w:val="00AE33FE"/>
    <w:rsid w:val="00AE3406"/>
    <w:rsid w:val="00AE345F"/>
    <w:rsid w:val="00AE3561"/>
    <w:rsid w:val="00AE35B5"/>
    <w:rsid w:val="00AE37DA"/>
    <w:rsid w:val="00AE37F4"/>
    <w:rsid w:val="00AE3805"/>
    <w:rsid w:val="00AE3838"/>
    <w:rsid w:val="00AE3898"/>
    <w:rsid w:val="00AE38BE"/>
    <w:rsid w:val="00AE3926"/>
    <w:rsid w:val="00AE3962"/>
    <w:rsid w:val="00AE396F"/>
    <w:rsid w:val="00AE398D"/>
    <w:rsid w:val="00AE3A69"/>
    <w:rsid w:val="00AE3A89"/>
    <w:rsid w:val="00AE3B5E"/>
    <w:rsid w:val="00AE3B62"/>
    <w:rsid w:val="00AE3BE6"/>
    <w:rsid w:val="00AE3CEF"/>
    <w:rsid w:val="00AE3CF6"/>
    <w:rsid w:val="00AE3DE9"/>
    <w:rsid w:val="00AE3E2D"/>
    <w:rsid w:val="00AE3E4E"/>
    <w:rsid w:val="00AE3E7F"/>
    <w:rsid w:val="00AE3EB0"/>
    <w:rsid w:val="00AE3EB3"/>
    <w:rsid w:val="00AE3ECB"/>
    <w:rsid w:val="00AE3F85"/>
    <w:rsid w:val="00AE40A4"/>
    <w:rsid w:val="00AE4102"/>
    <w:rsid w:val="00AE4111"/>
    <w:rsid w:val="00AE414F"/>
    <w:rsid w:val="00AE41E4"/>
    <w:rsid w:val="00AE4264"/>
    <w:rsid w:val="00AE42AF"/>
    <w:rsid w:val="00AE431C"/>
    <w:rsid w:val="00AE4331"/>
    <w:rsid w:val="00AE4368"/>
    <w:rsid w:val="00AE4383"/>
    <w:rsid w:val="00AE43F3"/>
    <w:rsid w:val="00AE43FF"/>
    <w:rsid w:val="00AE44F0"/>
    <w:rsid w:val="00AE45BE"/>
    <w:rsid w:val="00AE45CD"/>
    <w:rsid w:val="00AE45D5"/>
    <w:rsid w:val="00AE460A"/>
    <w:rsid w:val="00AE4682"/>
    <w:rsid w:val="00AE473F"/>
    <w:rsid w:val="00AE479A"/>
    <w:rsid w:val="00AE4806"/>
    <w:rsid w:val="00AE481A"/>
    <w:rsid w:val="00AE4832"/>
    <w:rsid w:val="00AE4835"/>
    <w:rsid w:val="00AE4841"/>
    <w:rsid w:val="00AE4898"/>
    <w:rsid w:val="00AE48F7"/>
    <w:rsid w:val="00AE4903"/>
    <w:rsid w:val="00AE4A1A"/>
    <w:rsid w:val="00AE4A72"/>
    <w:rsid w:val="00AE4C74"/>
    <w:rsid w:val="00AE4CC0"/>
    <w:rsid w:val="00AE4D1A"/>
    <w:rsid w:val="00AE4D81"/>
    <w:rsid w:val="00AE4D92"/>
    <w:rsid w:val="00AE4E1C"/>
    <w:rsid w:val="00AE4EC6"/>
    <w:rsid w:val="00AE4ECB"/>
    <w:rsid w:val="00AE4EE0"/>
    <w:rsid w:val="00AE4EE2"/>
    <w:rsid w:val="00AE4F1C"/>
    <w:rsid w:val="00AE4F20"/>
    <w:rsid w:val="00AE501B"/>
    <w:rsid w:val="00AE5051"/>
    <w:rsid w:val="00AE5053"/>
    <w:rsid w:val="00AE50D4"/>
    <w:rsid w:val="00AE510D"/>
    <w:rsid w:val="00AE5120"/>
    <w:rsid w:val="00AE514A"/>
    <w:rsid w:val="00AE519D"/>
    <w:rsid w:val="00AE51FA"/>
    <w:rsid w:val="00AE51FC"/>
    <w:rsid w:val="00AE521F"/>
    <w:rsid w:val="00AE52F9"/>
    <w:rsid w:val="00AE5358"/>
    <w:rsid w:val="00AE535F"/>
    <w:rsid w:val="00AE5361"/>
    <w:rsid w:val="00AE53AC"/>
    <w:rsid w:val="00AE53B4"/>
    <w:rsid w:val="00AE53C5"/>
    <w:rsid w:val="00AE543D"/>
    <w:rsid w:val="00AE543E"/>
    <w:rsid w:val="00AE5475"/>
    <w:rsid w:val="00AE54D0"/>
    <w:rsid w:val="00AE5525"/>
    <w:rsid w:val="00AE55C7"/>
    <w:rsid w:val="00AE5649"/>
    <w:rsid w:val="00AE56FC"/>
    <w:rsid w:val="00AE5709"/>
    <w:rsid w:val="00AE57A8"/>
    <w:rsid w:val="00AE5827"/>
    <w:rsid w:val="00AE584A"/>
    <w:rsid w:val="00AE586A"/>
    <w:rsid w:val="00AE587F"/>
    <w:rsid w:val="00AE5891"/>
    <w:rsid w:val="00AE5936"/>
    <w:rsid w:val="00AE5A84"/>
    <w:rsid w:val="00AE5ABE"/>
    <w:rsid w:val="00AE5B0A"/>
    <w:rsid w:val="00AE5B9A"/>
    <w:rsid w:val="00AE5BE6"/>
    <w:rsid w:val="00AE5BF7"/>
    <w:rsid w:val="00AE5C79"/>
    <w:rsid w:val="00AE5D2E"/>
    <w:rsid w:val="00AE5D59"/>
    <w:rsid w:val="00AE5DCC"/>
    <w:rsid w:val="00AE5E65"/>
    <w:rsid w:val="00AE5FCC"/>
    <w:rsid w:val="00AE6006"/>
    <w:rsid w:val="00AE6012"/>
    <w:rsid w:val="00AE6017"/>
    <w:rsid w:val="00AE602F"/>
    <w:rsid w:val="00AE6092"/>
    <w:rsid w:val="00AE60A6"/>
    <w:rsid w:val="00AE6134"/>
    <w:rsid w:val="00AE614D"/>
    <w:rsid w:val="00AE615E"/>
    <w:rsid w:val="00AE617E"/>
    <w:rsid w:val="00AE6183"/>
    <w:rsid w:val="00AE6203"/>
    <w:rsid w:val="00AE624F"/>
    <w:rsid w:val="00AE6371"/>
    <w:rsid w:val="00AE6389"/>
    <w:rsid w:val="00AE6398"/>
    <w:rsid w:val="00AE63A7"/>
    <w:rsid w:val="00AE6437"/>
    <w:rsid w:val="00AE644D"/>
    <w:rsid w:val="00AE6475"/>
    <w:rsid w:val="00AE65BE"/>
    <w:rsid w:val="00AE65D4"/>
    <w:rsid w:val="00AE6649"/>
    <w:rsid w:val="00AE6651"/>
    <w:rsid w:val="00AE6715"/>
    <w:rsid w:val="00AE6731"/>
    <w:rsid w:val="00AE675C"/>
    <w:rsid w:val="00AE687B"/>
    <w:rsid w:val="00AE68B5"/>
    <w:rsid w:val="00AE68F1"/>
    <w:rsid w:val="00AE691B"/>
    <w:rsid w:val="00AE6925"/>
    <w:rsid w:val="00AE693F"/>
    <w:rsid w:val="00AE6978"/>
    <w:rsid w:val="00AE6A0E"/>
    <w:rsid w:val="00AE6A12"/>
    <w:rsid w:val="00AE6A64"/>
    <w:rsid w:val="00AE6A83"/>
    <w:rsid w:val="00AE6AC2"/>
    <w:rsid w:val="00AE6B35"/>
    <w:rsid w:val="00AE6B5F"/>
    <w:rsid w:val="00AE6B9E"/>
    <w:rsid w:val="00AE6BC5"/>
    <w:rsid w:val="00AE6BDE"/>
    <w:rsid w:val="00AE6CD9"/>
    <w:rsid w:val="00AE6E09"/>
    <w:rsid w:val="00AE6EAA"/>
    <w:rsid w:val="00AE6EBD"/>
    <w:rsid w:val="00AE6EF1"/>
    <w:rsid w:val="00AE6F2E"/>
    <w:rsid w:val="00AE6F5F"/>
    <w:rsid w:val="00AE6F78"/>
    <w:rsid w:val="00AE6FCE"/>
    <w:rsid w:val="00AE70A4"/>
    <w:rsid w:val="00AE70C0"/>
    <w:rsid w:val="00AE710F"/>
    <w:rsid w:val="00AE7114"/>
    <w:rsid w:val="00AE713C"/>
    <w:rsid w:val="00AE7164"/>
    <w:rsid w:val="00AE721E"/>
    <w:rsid w:val="00AE7220"/>
    <w:rsid w:val="00AE72B0"/>
    <w:rsid w:val="00AE73B7"/>
    <w:rsid w:val="00AE73DE"/>
    <w:rsid w:val="00AE743B"/>
    <w:rsid w:val="00AE7497"/>
    <w:rsid w:val="00AE749D"/>
    <w:rsid w:val="00AE7558"/>
    <w:rsid w:val="00AE762F"/>
    <w:rsid w:val="00AE7711"/>
    <w:rsid w:val="00AE771F"/>
    <w:rsid w:val="00AE77DD"/>
    <w:rsid w:val="00AE77E2"/>
    <w:rsid w:val="00AE7821"/>
    <w:rsid w:val="00AE7849"/>
    <w:rsid w:val="00AE787D"/>
    <w:rsid w:val="00AE7892"/>
    <w:rsid w:val="00AE78F6"/>
    <w:rsid w:val="00AE796A"/>
    <w:rsid w:val="00AE796C"/>
    <w:rsid w:val="00AE7977"/>
    <w:rsid w:val="00AE7A28"/>
    <w:rsid w:val="00AE7AD6"/>
    <w:rsid w:val="00AE7B62"/>
    <w:rsid w:val="00AE7BDA"/>
    <w:rsid w:val="00AE7C2E"/>
    <w:rsid w:val="00AE7C42"/>
    <w:rsid w:val="00AE7C47"/>
    <w:rsid w:val="00AE7C8B"/>
    <w:rsid w:val="00AE7CD5"/>
    <w:rsid w:val="00AE7D08"/>
    <w:rsid w:val="00AE7D44"/>
    <w:rsid w:val="00AE7DCB"/>
    <w:rsid w:val="00AE7DD1"/>
    <w:rsid w:val="00AE7DEB"/>
    <w:rsid w:val="00AE7E07"/>
    <w:rsid w:val="00AE7E53"/>
    <w:rsid w:val="00AE7F03"/>
    <w:rsid w:val="00AE7F49"/>
    <w:rsid w:val="00AE7F8C"/>
    <w:rsid w:val="00AE7F8E"/>
    <w:rsid w:val="00AF008A"/>
    <w:rsid w:val="00AF00BF"/>
    <w:rsid w:val="00AF018F"/>
    <w:rsid w:val="00AF028B"/>
    <w:rsid w:val="00AF0353"/>
    <w:rsid w:val="00AF03EC"/>
    <w:rsid w:val="00AF0433"/>
    <w:rsid w:val="00AF0440"/>
    <w:rsid w:val="00AF0447"/>
    <w:rsid w:val="00AF048D"/>
    <w:rsid w:val="00AF04B8"/>
    <w:rsid w:val="00AF04FA"/>
    <w:rsid w:val="00AF058F"/>
    <w:rsid w:val="00AF05A6"/>
    <w:rsid w:val="00AF0644"/>
    <w:rsid w:val="00AF07A6"/>
    <w:rsid w:val="00AF0863"/>
    <w:rsid w:val="00AF08A4"/>
    <w:rsid w:val="00AF09CB"/>
    <w:rsid w:val="00AF0A8B"/>
    <w:rsid w:val="00AF0AA8"/>
    <w:rsid w:val="00AF0AED"/>
    <w:rsid w:val="00AF0B75"/>
    <w:rsid w:val="00AF0B81"/>
    <w:rsid w:val="00AF0D6F"/>
    <w:rsid w:val="00AF0D88"/>
    <w:rsid w:val="00AF0D94"/>
    <w:rsid w:val="00AF0DAC"/>
    <w:rsid w:val="00AF0DC2"/>
    <w:rsid w:val="00AF0DE9"/>
    <w:rsid w:val="00AF0DEB"/>
    <w:rsid w:val="00AF0E2B"/>
    <w:rsid w:val="00AF0E59"/>
    <w:rsid w:val="00AF0E7A"/>
    <w:rsid w:val="00AF0E8B"/>
    <w:rsid w:val="00AF0E99"/>
    <w:rsid w:val="00AF0F2D"/>
    <w:rsid w:val="00AF0F55"/>
    <w:rsid w:val="00AF0F8E"/>
    <w:rsid w:val="00AF1003"/>
    <w:rsid w:val="00AF1146"/>
    <w:rsid w:val="00AF118D"/>
    <w:rsid w:val="00AF11D1"/>
    <w:rsid w:val="00AF128F"/>
    <w:rsid w:val="00AF12FF"/>
    <w:rsid w:val="00AF137C"/>
    <w:rsid w:val="00AF143E"/>
    <w:rsid w:val="00AF1442"/>
    <w:rsid w:val="00AF148C"/>
    <w:rsid w:val="00AF14CD"/>
    <w:rsid w:val="00AF1537"/>
    <w:rsid w:val="00AF1600"/>
    <w:rsid w:val="00AF16AB"/>
    <w:rsid w:val="00AF16BE"/>
    <w:rsid w:val="00AF16FF"/>
    <w:rsid w:val="00AF17E8"/>
    <w:rsid w:val="00AF180E"/>
    <w:rsid w:val="00AF1814"/>
    <w:rsid w:val="00AF1830"/>
    <w:rsid w:val="00AF1894"/>
    <w:rsid w:val="00AF189A"/>
    <w:rsid w:val="00AF197B"/>
    <w:rsid w:val="00AF199B"/>
    <w:rsid w:val="00AF19BF"/>
    <w:rsid w:val="00AF1A17"/>
    <w:rsid w:val="00AF1A6E"/>
    <w:rsid w:val="00AF1B2F"/>
    <w:rsid w:val="00AF1C05"/>
    <w:rsid w:val="00AF1CC4"/>
    <w:rsid w:val="00AF1CCB"/>
    <w:rsid w:val="00AF1CF1"/>
    <w:rsid w:val="00AF1D0C"/>
    <w:rsid w:val="00AF1D28"/>
    <w:rsid w:val="00AF1DA3"/>
    <w:rsid w:val="00AF1DBE"/>
    <w:rsid w:val="00AF1DC7"/>
    <w:rsid w:val="00AF1E03"/>
    <w:rsid w:val="00AF1E40"/>
    <w:rsid w:val="00AF1E87"/>
    <w:rsid w:val="00AF1EA7"/>
    <w:rsid w:val="00AF1F10"/>
    <w:rsid w:val="00AF1F26"/>
    <w:rsid w:val="00AF1FBC"/>
    <w:rsid w:val="00AF1FD1"/>
    <w:rsid w:val="00AF1FE4"/>
    <w:rsid w:val="00AF2027"/>
    <w:rsid w:val="00AF2069"/>
    <w:rsid w:val="00AF2081"/>
    <w:rsid w:val="00AF2178"/>
    <w:rsid w:val="00AF217E"/>
    <w:rsid w:val="00AF223D"/>
    <w:rsid w:val="00AF2364"/>
    <w:rsid w:val="00AF23A0"/>
    <w:rsid w:val="00AF23C8"/>
    <w:rsid w:val="00AF23FE"/>
    <w:rsid w:val="00AF2424"/>
    <w:rsid w:val="00AF246F"/>
    <w:rsid w:val="00AF2564"/>
    <w:rsid w:val="00AF25D7"/>
    <w:rsid w:val="00AF2609"/>
    <w:rsid w:val="00AF26FB"/>
    <w:rsid w:val="00AF2710"/>
    <w:rsid w:val="00AF28A7"/>
    <w:rsid w:val="00AF28F2"/>
    <w:rsid w:val="00AF2920"/>
    <w:rsid w:val="00AF29EA"/>
    <w:rsid w:val="00AF2A04"/>
    <w:rsid w:val="00AF2A2B"/>
    <w:rsid w:val="00AF2A42"/>
    <w:rsid w:val="00AF2A44"/>
    <w:rsid w:val="00AF2A45"/>
    <w:rsid w:val="00AF2A96"/>
    <w:rsid w:val="00AF2AA7"/>
    <w:rsid w:val="00AF2B24"/>
    <w:rsid w:val="00AF2B2C"/>
    <w:rsid w:val="00AF2B35"/>
    <w:rsid w:val="00AF2C4C"/>
    <w:rsid w:val="00AF2C91"/>
    <w:rsid w:val="00AF2C9F"/>
    <w:rsid w:val="00AF2CAD"/>
    <w:rsid w:val="00AF2CDC"/>
    <w:rsid w:val="00AF2CEC"/>
    <w:rsid w:val="00AF2DC3"/>
    <w:rsid w:val="00AF2E41"/>
    <w:rsid w:val="00AF2EDA"/>
    <w:rsid w:val="00AF2F49"/>
    <w:rsid w:val="00AF2F99"/>
    <w:rsid w:val="00AF2FDD"/>
    <w:rsid w:val="00AF3081"/>
    <w:rsid w:val="00AF30D2"/>
    <w:rsid w:val="00AF30F1"/>
    <w:rsid w:val="00AF30F8"/>
    <w:rsid w:val="00AF31B4"/>
    <w:rsid w:val="00AF31DE"/>
    <w:rsid w:val="00AF321C"/>
    <w:rsid w:val="00AF32DC"/>
    <w:rsid w:val="00AF332C"/>
    <w:rsid w:val="00AF3356"/>
    <w:rsid w:val="00AF33A7"/>
    <w:rsid w:val="00AF33BE"/>
    <w:rsid w:val="00AF33D0"/>
    <w:rsid w:val="00AF33FD"/>
    <w:rsid w:val="00AF3451"/>
    <w:rsid w:val="00AF34A1"/>
    <w:rsid w:val="00AF3514"/>
    <w:rsid w:val="00AF366C"/>
    <w:rsid w:val="00AF3697"/>
    <w:rsid w:val="00AF36AF"/>
    <w:rsid w:val="00AF36C3"/>
    <w:rsid w:val="00AF3702"/>
    <w:rsid w:val="00AF3756"/>
    <w:rsid w:val="00AF375D"/>
    <w:rsid w:val="00AF37CB"/>
    <w:rsid w:val="00AF3840"/>
    <w:rsid w:val="00AF38B3"/>
    <w:rsid w:val="00AF38E5"/>
    <w:rsid w:val="00AF39F8"/>
    <w:rsid w:val="00AF3A03"/>
    <w:rsid w:val="00AF3AA4"/>
    <w:rsid w:val="00AF3BD3"/>
    <w:rsid w:val="00AF3BD5"/>
    <w:rsid w:val="00AF3BDC"/>
    <w:rsid w:val="00AF3BF4"/>
    <w:rsid w:val="00AF3C47"/>
    <w:rsid w:val="00AF3D21"/>
    <w:rsid w:val="00AF3D39"/>
    <w:rsid w:val="00AF3D7C"/>
    <w:rsid w:val="00AF3D89"/>
    <w:rsid w:val="00AF3DD6"/>
    <w:rsid w:val="00AF3DDC"/>
    <w:rsid w:val="00AF3E08"/>
    <w:rsid w:val="00AF3E5B"/>
    <w:rsid w:val="00AF3ECD"/>
    <w:rsid w:val="00AF3EFB"/>
    <w:rsid w:val="00AF3F28"/>
    <w:rsid w:val="00AF4072"/>
    <w:rsid w:val="00AF407B"/>
    <w:rsid w:val="00AF40E9"/>
    <w:rsid w:val="00AF4145"/>
    <w:rsid w:val="00AF41A9"/>
    <w:rsid w:val="00AF41B0"/>
    <w:rsid w:val="00AF4208"/>
    <w:rsid w:val="00AF420A"/>
    <w:rsid w:val="00AF42B6"/>
    <w:rsid w:val="00AF42FE"/>
    <w:rsid w:val="00AF4450"/>
    <w:rsid w:val="00AF4465"/>
    <w:rsid w:val="00AF45E7"/>
    <w:rsid w:val="00AF46F0"/>
    <w:rsid w:val="00AF4790"/>
    <w:rsid w:val="00AF4800"/>
    <w:rsid w:val="00AF4834"/>
    <w:rsid w:val="00AF486A"/>
    <w:rsid w:val="00AF497B"/>
    <w:rsid w:val="00AF4990"/>
    <w:rsid w:val="00AF49BD"/>
    <w:rsid w:val="00AF4A18"/>
    <w:rsid w:val="00AF4B59"/>
    <w:rsid w:val="00AF4C27"/>
    <w:rsid w:val="00AF4C39"/>
    <w:rsid w:val="00AF4CEA"/>
    <w:rsid w:val="00AF4D4D"/>
    <w:rsid w:val="00AF4D91"/>
    <w:rsid w:val="00AF4E05"/>
    <w:rsid w:val="00AF4E8B"/>
    <w:rsid w:val="00AF4ECF"/>
    <w:rsid w:val="00AF4F49"/>
    <w:rsid w:val="00AF4FB3"/>
    <w:rsid w:val="00AF4FE5"/>
    <w:rsid w:val="00AF4FFF"/>
    <w:rsid w:val="00AF5027"/>
    <w:rsid w:val="00AF503D"/>
    <w:rsid w:val="00AF505F"/>
    <w:rsid w:val="00AF5086"/>
    <w:rsid w:val="00AF51E7"/>
    <w:rsid w:val="00AF51F4"/>
    <w:rsid w:val="00AF52F7"/>
    <w:rsid w:val="00AF530C"/>
    <w:rsid w:val="00AF53CD"/>
    <w:rsid w:val="00AF53FF"/>
    <w:rsid w:val="00AF5436"/>
    <w:rsid w:val="00AF54B9"/>
    <w:rsid w:val="00AF54D6"/>
    <w:rsid w:val="00AF54DB"/>
    <w:rsid w:val="00AF561E"/>
    <w:rsid w:val="00AF5882"/>
    <w:rsid w:val="00AF5895"/>
    <w:rsid w:val="00AF58B8"/>
    <w:rsid w:val="00AF58FC"/>
    <w:rsid w:val="00AF5913"/>
    <w:rsid w:val="00AF5947"/>
    <w:rsid w:val="00AF5A30"/>
    <w:rsid w:val="00AF5ABC"/>
    <w:rsid w:val="00AF5B0C"/>
    <w:rsid w:val="00AF5B39"/>
    <w:rsid w:val="00AF5B85"/>
    <w:rsid w:val="00AF5BAD"/>
    <w:rsid w:val="00AF5D1D"/>
    <w:rsid w:val="00AF5E8D"/>
    <w:rsid w:val="00AF5EAF"/>
    <w:rsid w:val="00AF5F06"/>
    <w:rsid w:val="00AF5F2A"/>
    <w:rsid w:val="00AF5FA7"/>
    <w:rsid w:val="00AF6014"/>
    <w:rsid w:val="00AF6043"/>
    <w:rsid w:val="00AF6067"/>
    <w:rsid w:val="00AF60EE"/>
    <w:rsid w:val="00AF612E"/>
    <w:rsid w:val="00AF615D"/>
    <w:rsid w:val="00AF61ED"/>
    <w:rsid w:val="00AF626A"/>
    <w:rsid w:val="00AF630D"/>
    <w:rsid w:val="00AF6333"/>
    <w:rsid w:val="00AF6352"/>
    <w:rsid w:val="00AF64AC"/>
    <w:rsid w:val="00AF64CD"/>
    <w:rsid w:val="00AF6529"/>
    <w:rsid w:val="00AF65E1"/>
    <w:rsid w:val="00AF65EA"/>
    <w:rsid w:val="00AF6655"/>
    <w:rsid w:val="00AF6659"/>
    <w:rsid w:val="00AF66D7"/>
    <w:rsid w:val="00AF670D"/>
    <w:rsid w:val="00AF6736"/>
    <w:rsid w:val="00AF67BA"/>
    <w:rsid w:val="00AF682C"/>
    <w:rsid w:val="00AF6837"/>
    <w:rsid w:val="00AF684A"/>
    <w:rsid w:val="00AF6892"/>
    <w:rsid w:val="00AF6928"/>
    <w:rsid w:val="00AF692E"/>
    <w:rsid w:val="00AF6946"/>
    <w:rsid w:val="00AF69BB"/>
    <w:rsid w:val="00AF6A1B"/>
    <w:rsid w:val="00AF6A4A"/>
    <w:rsid w:val="00AF6A4C"/>
    <w:rsid w:val="00AF6B25"/>
    <w:rsid w:val="00AF6B90"/>
    <w:rsid w:val="00AF6C0B"/>
    <w:rsid w:val="00AF6C54"/>
    <w:rsid w:val="00AF6CC2"/>
    <w:rsid w:val="00AF6CD8"/>
    <w:rsid w:val="00AF6D1C"/>
    <w:rsid w:val="00AF6DED"/>
    <w:rsid w:val="00AF6ED0"/>
    <w:rsid w:val="00AF6ED3"/>
    <w:rsid w:val="00AF6F4F"/>
    <w:rsid w:val="00AF6F7A"/>
    <w:rsid w:val="00AF6FBD"/>
    <w:rsid w:val="00AF7020"/>
    <w:rsid w:val="00AF705B"/>
    <w:rsid w:val="00AF712F"/>
    <w:rsid w:val="00AF714C"/>
    <w:rsid w:val="00AF7179"/>
    <w:rsid w:val="00AF7184"/>
    <w:rsid w:val="00AF71FC"/>
    <w:rsid w:val="00AF7201"/>
    <w:rsid w:val="00AF7214"/>
    <w:rsid w:val="00AF7321"/>
    <w:rsid w:val="00AF734D"/>
    <w:rsid w:val="00AF7371"/>
    <w:rsid w:val="00AF73BF"/>
    <w:rsid w:val="00AF74A5"/>
    <w:rsid w:val="00AF74DB"/>
    <w:rsid w:val="00AF756B"/>
    <w:rsid w:val="00AF758B"/>
    <w:rsid w:val="00AF75CD"/>
    <w:rsid w:val="00AF7679"/>
    <w:rsid w:val="00AF767B"/>
    <w:rsid w:val="00AF76FA"/>
    <w:rsid w:val="00AF7700"/>
    <w:rsid w:val="00AF7787"/>
    <w:rsid w:val="00AF779E"/>
    <w:rsid w:val="00AF77A8"/>
    <w:rsid w:val="00AF77C6"/>
    <w:rsid w:val="00AF785E"/>
    <w:rsid w:val="00AF7860"/>
    <w:rsid w:val="00AF7871"/>
    <w:rsid w:val="00AF78B6"/>
    <w:rsid w:val="00AF78C7"/>
    <w:rsid w:val="00AF797D"/>
    <w:rsid w:val="00AF7A0D"/>
    <w:rsid w:val="00AF7A93"/>
    <w:rsid w:val="00AF7AAA"/>
    <w:rsid w:val="00AF7ACA"/>
    <w:rsid w:val="00AF7AD8"/>
    <w:rsid w:val="00AF7AE8"/>
    <w:rsid w:val="00AF7B30"/>
    <w:rsid w:val="00AF7BBC"/>
    <w:rsid w:val="00AF7BBD"/>
    <w:rsid w:val="00AF7EB8"/>
    <w:rsid w:val="00AF7EF9"/>
    <w:rsid w:val="00AF7F9D"/>
    <w:rsid w:val="00B00037"/>
    <w:rsid w:val="00B0003C"/>
    <w:rsid w:val="00B00044"/>
    <w:rsid w:val="00B0009B"/>
    <w:rsid w:val="00B001E5"/>
    <w:rsid w:val="00B00230"/>
    <w:rsid w:val="00B002BE"/>
    <w:rsid w:val="00B003A2"/>
    <w:rsid w:val="00B00482"/>
    <w:rsid w:val="00B004BE"/>
    <w:rsid w:val="00B005AB"/>
    <w:rsid w:val="00B0062A"/>
    <w:rsid w:val="00B006E4"/>
    <w:rsid w:val="00B00734"/>
    <w:rsid w:val="00B00749"/>
    <w:rsid w:val="00B00901"/>
    <w:rsid w:val="00B00927"/>
    <w:rsid w:val="00B00AE1"/>
    <w:rsid w:val="00B00B85"/>
    <w:rsid w:val="00B00BA2"/>
    <w:rsid w:val="00B00BDD"/>
    <w:rsid w:val="00B00C2A"/>
    <w:rsid w:val="00B00C88"/>
    <w:rsid w:val="00B00C94"/>
    <w:rsid w:val="00B00E24"/>
    <w:rsid w:val="00B00F97"/>
    <w:rsid w:val="00B0102A"/>
    <w:rsid w:val="00B01030"/>
    <w:rsid w:val="00B0106C"/>
    <w:rsid w:val="00B010FE"/>
    <w:rsid w:val="00B011AA"/>
    <w:rsid w:val="00B011E8"/>
    <w:rsid w:val="00B011FB"/>
    <w:rsid w:val="00B012A3"/>
    <w:rsid w:val="00B01306"/>
    <w:rsid w:val="00B014BB"/>
    <w:rsid w:val="00B014D9"/>
    <w:rsid w:val="00B01511"/>
    <w:rsid w:val="00B015D5"/>
    <w:rsid w:val="00B0166A"/>
    <w:rsid w:val="00B016E9"/>
    <w:rsid w:val="00B01715"/>
    <w:rsid w:val="00B0174B"/>
    <w:rsid w:val="00B018A6"/>
    <w:rsid w:val="00B018B7"/>
    <w:rsid w:val="00B018DE"/>
    <w:rsid w:val="00B01909"/>
    <w:rsid w:val="00B01946"/>
    <w:rsid w:val="00B01949"/>
    <w:rsid w:val="00B019D9"/>
    <w:rsid w:val="00B01A85"/>
    <w:rsid w:val="00B01AC2"/>
    <w:rsid w:val="00B01B02"/>
    <w:rsid w:val="00B01B10"/>
    <w:rsid w:val="00B01B4F"/>
    <w:rsid w:val="00B01B75"/>
    <w:rsid w:val="00B01C11"/>
    <w:rsid w:val="00B01C1C"/>
    <w:rsid w:val="00B01CA5"/>
    <w:rsid w:val="00B01D5B"/>
    <w:rsid w:val="00B01E05"/>
    <w:rsid w:val="00B01E07"/>
    <w:rsid w:val="00B01E2C"/>
    <w:rsid w:val="00B01E42"/>
    <w:rsid w:val="00B01E6D"/>
    <w:rsid w:val="00B01E9A"/>
    <w:rsid w:val="00B01EC5"/>
    <w:rsid w:val="00B01EDE"/>
    <w:rsid w:val="00B01EE9"/>
    <w:rsid w:val="00B02040"/>
    <w:rsid w:val="00B02069"/>
    <w:rsid w:val="00B020E8"/>
    <w:rsid w:val="00B0215E"/>
    <w:rsid w:val="00B02183"/>
    <w:rsid w:val="00B021C4"/>
    <w:rsid w:val="00B021FF"/>
    <w:rsid w:val="00B02207"/>
    <w:rsid w:val="00B0224F"/>
    <w:rsid w:val="00B02394"/>
    <w:rsid w:val="00B024FA"/>
    <w:rsid w:val="00B02500"/>
    <w:rsid w:val="00B025DD"/>
    <w:rsid w:val="00B0261B"/>
    <w:rsid w:val="00B0265A"/>
    <w:rsid w:val="00B02663"/>
    <w:rsid w:val="00B02903"/>
    <w:rsid w:val="00B029B6"/>
    <w:rsid w:val="00B02A38"/>
    <w:rsid w:val="00B02A5E"/>
    <w:rsid w:val="00B02AA1"/>
    <w:rsid w:val="00B02C29"/>
    <w:rsid w:val="00B02C47"/>
    <w:rsid w:val="00B02C69"/>
    <w:rsid w:val="00B02C6F"/>
    <w:rsid w:val="00B02C7C"/>
    <w:rsid w:val="00B02C96"/>
    <w:rsid w:val="00B02CCF"/>
    <w:rsid w:val="00B02CD6"/>
    <w:rsid w:val="00B02D4A"/>
    <w:rsid w:val="00B02F12"/>
    <w:rsid w:val="00B03072"/>
    <w:rsid w:val="00B0309D"/>
    <w:rsid w:val="00B030D4"/>
    <w:rsid w:val="00B0318F"/>
    <w:rsid w:val="00B031BC"/>
    <w:rsid w:val="00B032C1"/>
    <w:rsid w:val="00B032CF"/>
    <w:rsid w:val="00B03326"/>
    <w:rsid w:val="00B0349E"/>
    <w:rsid w:val="00B034AA"/>
    <w:rsid w:val="00B034CA"/>
    <w:rsid w:val="00B034E3"/>
    <w:rsid w:val="00B03514"/>
    <w:rsid w:val="00B03539"/>
    <w:rsid w:val="00B03546"/>
    <w:rsid w:val="00B03582"/>
    <w:rsid w:val="00B035DF"/>
    <w:rsid w:val="00B035ED"/>
    <w:rsid w:val="00B0365B"/>
    <w:rsid w:val="00B036B4"/>
    <w:rsid w:val="00B036BD"/>
    <w:rsid w:val="00B036F7"/>
    <w:rsid w:val="00B0373C"/>
    <w:rsid w:val="00B03745"/>
    <w:rsid w:val="00B03796"/>
    <w:rsid w:val="00B037C2"/>
    <w:rsid w:val="00B037E9"/>
    <w:rsid w:val="00B037EB"/>
    <w:rsid w:val="00B03806"/>
    <w:rsid w:val="00B03848"/>
    <w:rsid w:val="00B03883"/>
    <w:rsid w:val="00B03884"/>
    <w:rsid w:val="00B03937"/>
    <w:rsid w:val="00B03A99"/>
    <w:rsid w:val="00B03AAF"/>
    <w:rsid w:val="00B03B08"/>
    <w:rsid w:val="00B03B3B"/>
    <w:rsid w:val="00B03B87"/>
    <w:rsid w:val="00B03C2A"/>
    <w:rsid w:val="00B03C34"/>
    <w:rsid w:val="00B03C5C"/>
    <w:rsid w:val="00B03C69"/>
    <w:rsid w:val="00B03DA5"/>
    <w:rsid w:val="00B03DAF"/>
    <w:rsid w:val="00B03DC5"/>
    <w:rsid w:val="00B03E3B"/>
    <w:rsid w:val="00B03E54"/>
    <w:rsid w:val="00B03FEB"/>
    <w:rsid w:val="00B0401E"/>
    <w:rsid w:val="00B04062"/>
    <w:rsid w:val="00B0407B"/>
    <w:rsid w:val="00B0407C"/>
    <w:rsid w:val="00B040B3"/>
    <w:rsid w:val="00B041A3"/>
    <w:rsid w:val="00B041E4"/>
    <w:rsid w:val="00B041F1"/>
    <w:rsid w:val="00B041FA"/>
    <w:rsid w:val="00B04265"/>
    <w:rsid w:val="00B042BF"/>
    <w:rsid w:val="00B04339"/>
    <w:rsid w:val="00B043B5"/>
    <w:rsid w:val="00B043B8"/>
    <w:rsid w:val="00B04491"/>
    <w:rsid w:val="00B044BB"/>
    <w:rsid w:val="00B044E7"/>
    <w:rsid w:val="00B04554"/>
    <w:rsid w:val="00B045F0"/>
    <w:rsid w:val="00B0460F"/>
    <w:rsid w:val="00B046D0"/>
    <w:rsid w:val="00B04724"/>
    <w:rsid w:val="00B04727"/>
    <w:rsid w:val="00B04738"/>
    <w:rsid w:val="00B047C2"/>
    <w:rsid w:val="00B04832"/>
    <w:rsid w:val="00B04862"/>
    <w:rsid w:val="00B0492C"/>
    <w:rsid w:val="00B04942"/>
    <w:rsid w:val="00B04A12"/>
    <w:rsid w:val="00B04A20"/>
    <w:rsid w:val="00B04B58"/>
    <w:rsid w:val="00B04B84"/>
    <w:rsid w:val="00B04C2E"/>
    <w:rsid w:val="00B04C2F"/>
    <w:rsid w:val="00B04CB1"/>
    <w:rsid w:val="00B04CE5"/>
    <w:rsid w:val="00B04CE6"/>
    <w:rsid w:val="00B04D69"/>
    <w:rsid w:val="00B04DBD"/>
    <w:rsid w:val="00B04E24"/>
    <w:rsid w:val="00B04E33"/>
    <w:rsid w:val="00B04ECC"/>
    <w:rsid w:val="00B04EDE"/>
    <w:rsid w:val="00B04EF9"/>
    <w:rsid w:val="00B04FAA"/>
    <w:rsid w:val="00B04FCD"/>
    <w:rsid w:val="00B04FE0"/>
    <w:rsid w:val="00B050C6"/>
    <w:rsid w:val="00B050D4"/>
    <w:rsid w:val="00B0517B"/>
    <w:rsid w:val="00B05277"/>
    <w:rsid w:val="00B05357"/>
    <w:rsid w:val="00B05363"/>
    <w:rsid w:val="00B053A1"/>
    <w:rsid w:val="00B053DB"/>
    <w:rsid w:val="00B05407"/>
    <w:rsid w:val="00B054D3"/>
    <w:rsid w:val="00B054E5"/>
    <w:rsid w:val="00B0556A"/>
    <w:rsid w:val="00B055D4"/>
    <w:rsid w:val="00B05635"/>
    <w:rsid w:val="00B0565C"/>
    <w:rsid w:val="00B056A5"/>
    <w:rsid w:val="00B056AB"/>
    <w:rsid w:val="00B056FC"/>
    <w:rsid w:val="00B05720"/>
    <w:rsid w:val="00B05726"/>
    <w:rsid w:val="00B05776"/>
    <w:rsid w:val="00B0577D"/>
    <w:rsid w:val="00B05780"/>
    <w:rsid w:val="00B05793"/>
    <w:rsid w:val="00B0583B"/>
    <w:rsid w:val="00B058EC"/>
    <w:rsid w:val="00B0592C"/>
    <w:rsid w:val="00B059BD"/>
    <w:rsid w:val="00B05A38"/>
    <w:rsid w:val="00B05A71"/>
    <w:rsid w:val="00B05AEF"/>
    <w:rsid w:val="00B05B16"/>
    <w:rsid w:val="00B05B24"/>
    <w:rsid w:val="00B05B58"/>
    <w:rsid w:val="00B05BD6"/>
    <w:rsid w:val="00B05C08"/>
    <w:rsid w:val="00B05CA3"/>
    <w:rsid w:val="00B05CDE"/>
    <w:rsid w:val="00B05D0A"/>
    <w:rsid w:val="00B05D34"/>
    <w:rsid w:val="00B05D59"/>
    <w:rsid w:val="00B05D63"/>
    <w:rsid w:val="00B05D98"/>
    <w:rsid w:val="00B05DD9"/>
    <w:rsid w:val="00B05DE1"/>
    <w:rsid w:val="00B05E8E"/>
    <w:rsid w:val="00B05E9E"/>
    <w:rsid w:val="00B05ED6"/>
    <w:rsid w:val="00B05F61"/>
    <w:rsid w:val="00B05FD7"/>
    <w:rsid w:val="00B0605C"/>
    <w:rsid w:val="00B0608B"/>
    <w:rsid w:val="00B060AF"/>
    <w:rsid w:val="00B0613A"/>
    <w:rsid w:val="00B06253"/>
    <w:rsid w:val="00B062AC"/>
    <w:rsid w:val="00B063BE"/>
    <w:rsid w:val="00B06450"/>
    <w:rsid w:val="00B0658A"/>
    <w:rsid w:val="00B0659E"/>
    <w:rsid w:val="00B065C2"/>
    <w:rsid w:val="00B0665C"/>
    <w:rsid w:val="00B066D5"/>
    <w:rsid w:val="00B06704"/>
    <w:rsid w:val="00B067C7"/>
    <w:rsid w:val="00B067DC"/>
    <w:rsid w:val="00B0680B"/>
    <w:rsid w:val="00B068C5"/>
    <w:rsid w:val="00B068F1"/>
    <w:rsid w:val="00B06911"/>
    <w:rsid w:val="00B0694C"/>
    <w:rsid w:val="00B06951"/>
    <w:rsid w:val="00B06A03"/>
    <w:rsid w:val="00B06A4C"/>
    <w:rsid w:val="00B06A77"/>
    <w:rsid w:val="00B06B01"/>
    <w:rsid w:val="00B06C41"/>
    <w:rsid w:val="00B06D0F"/>
    <w:rsid w:val="00B06D1C"/>
    <w:rsid w:val="00B06D50"/>
    <w:rsid w:val="00B06DA6"/>
    <w:rsid w:val="00B06DBF"/>
    <w:rsid w:val="00B06DC7"/>
    <w:rsid w:val="00B06EB2"/>
    <w:rsid w:val="00B06EF0"/>
    <w:rsid w:val="00B06F69"/>
    <w:rsid w:val="00B06F9B"/>
    <w:rsid w:val="00B06FBD"/>
    <w:rsid w:val="00B07067"/>
    <w:rsid w:val="00B0707E"/>
    <w:rsid w:val="00B070A1"/>
    <w:rsid w:val="00B07160"/>
    <w:rsid w:val="00B07409"/>
    <w:rsid w:val="00B07487"/>
    <w:rsid w:val="00B074C0"/>
    <w:rsid w:val="00B074DB"/>
    <w:rsid w:val="00B074E2"/>
    <w:rsid w:val="00B0755B"/>
    <w:rsid w:val="00B0760E"/>
    <w:rsid w:val="00B07620"/>
    <w:rsid w:val="00B0769C"/>
    <w:rsid w:val="00B0772C"/>
    <w:rsid w:val="00B07907"/>
    <w:rsid w:val="00B0790D"/>
    <w:rsid w:val="00B07A02"/>
    <w:rsid w:val="00B07A60"/>
    <w:rsid w:val="00B07A99"/>
    <w:rsid w:val="00B07B94"/>
    <w:rsid w:val="00B07BD1"/>
    <w:rsid w:val="00B07C05"/>
    <w:rsid w:val="00B07C3B"/>
    <w:rsid w:val="00B07C82"/>
    <w:rsid w:val="00B07D26"/>
    <w:rsid w:val="00B07DC7"/>
    <w:rsid w:val="00B07DD8"/>
    <w:rsid w:val="00B07DE0"/>
    <w:rsid w:val="00B07F3B"/>
    <w:rsid w:val="00B07F4C"/>
    <w:rsid w:val="00B07F54"/>
    <w:rsid w:val="00B07F58"/>
    <w:rsid w:val="00B07F6C"/>
    <w:rsid w:val="00B07F93"/>
    <w:rsid w:val="00B1000F"/>
    <w:rsid w:val="00B100B3"/>
    <w:rsid w:val="00B100BD"/>
    <w:rsid w:val="00B100DD"/>
    <w:rsid w:val="00B10115"/>
    <w:rsid w:val="00B1011B"/>
    <w:rsid w:val="00B10158"/>
    <w:rsid w:val="00B1018B"/>
    <w:rsid w:val="00B101D5"/>
    <w:rsid w:val="00B102DC"/>
    <w:rsid w:val="00B102DE"/>
    <w:rsid w:val="00B102E9"/>
    <w:rsid w:val="00B10315"/>
    <w:rsid w:val="00B10345"/>
    <w:rsid w:val="00B10408"/>
    <w:rsid w:val="00B10435"/>
    <w:rsid w:val="00B104E6"/>
    <w:rsid w:val="00B104FE"/>
    <w:rsid w:val="00B1056D"/>
    <w:rsid w:val="00B106C5"/>
    <w:rsid w:val="00B10749"/>
    <w:rsid w:val="00B107CE"/>
    <w:rsid w:val="00B10802"/>
    <w:rsid w:val="00B10818"/>
    <w:rsid w:val="00B10935"/>
    <w:rsid w:val="00B1099A"/>
    <w:rsid w:val="00B109DC"/>
    <w:rsid w:val="00B10A5D"/>
    <w:rsid w:val="00B10A63"/>
    <w:rsid w:val="00B10AA8"/>
    <w:rsid w:val="00B10B5B"/>
    <w:rsid w:val="00B10B8F"/>
    <w:rsid w:val="00B10BC0"/>
    <w:rsid w:val="00B10BEC"/>
    <w:rsid w:val="00B10C75"/>
    <w:rsid w:val="00B10CD8"/>
    <w:rsid w:val="00B10D48"/>
    <w:rsid w:val="00B10E75"/>
    <w:rsid w:val="00B10E78"/>
    <w:rsid w:val="00B10ECE"/>
    <w:rsid w:val="00B10F44"/>
    <w:rsid w:val="00B10F6F"/>
    <w:rsid w:val="00B10FD6"/>
    <w:rsid w:val="00B11149"/>
    <w:rsid w:val="00B11186"/>
    <w:rsid w:val="00B111A5"/>
    <w:rsid w:val="00B1122A"/>
    <w:rsid w:val="00B11289"/>
    <w:rsid w:val="00B1129C"/>
    <w:rsid w:val="00B11318"/>
    <w:rsid w:val="00B113B5"/>
    <w:rsid w:val="00B1148C"/>
    <w:rsid w:val="00B114AE"/>
    <w:rsid w:val="00B1156D"/>
    <w:rsid w:val="00B115B6"/>
    <w:rsid w:val="00B11634"/>
    <w:rsid w:val="00B1166C"/>
    <w:rsid w:val="00B11670"/>
    <w:rsid w:val="00B11674"/>
    <w:rsid w:val="00B1168C"/>
    <w:rsid w:val="00B116E6"/>
    <w:rsid w:val="00B1174C"/>
    <w:rsid w:val="00B1175B"/>
    <w:rsid w:val="00B11812"/>
    <w:rsid w:val="00B11824"/>
    <w:rsid w:val="00B11862"/>
    <w:rsid w:val="00B118BC"/>
    <w:rsid w:val="00B118C5"/>
    <w:rsid w:val="00B1195B"/>
    <w:rsid w:val="00B119ED"/>
    <w:rsid w:val="00B119EE"/>
    <w:rsid w:val="00B11B2F"/>
    <w:rsid w:val="00B11B74"/>
    <w:rsid w:val="00B11BF2"/>
    <w:rsid w:val="00B11C27"/>
    <w:rsid w:val="00B11D03"/>
    <w:rsid w:val="00B11D1C"/>
    <w:rsid w:val="00B11D39"/>
    <w:rsid w:val="00B11EE2"/>
    <w:rsid w:val="00B11EEB"/>
    <w:rsid w:val="00B11F32"/>
    <w:rsid w:val="00B11FA3"/>
    <w:rsid w:val="00B11FD4"/>
    <w:rsid w:val="00B1200F"/>
    <w:rsid w:val="00B12011"/>
    <w:rsid w:val="00B1203C"/>
    <w:rsid w:val="00B120DC"/>
    <w:rsid w:val="00B12124"/>
    <w:rsid w:val="00B1213A"/>
    <w:rsid w:val="00B12285"/>
    <w:rsid w:val="00B12344"/>
    <w:rsid w:val="00B123A0"/>
    <w:rsid w:val="00B123A2"/>
    <w:rsid w:val="00B123F8"/>
    <w:rsid w:val="00B124FA"/>
    <w:rsid w:val="00B125B7"/>
    <w:rsid w:val="00B125CF"/>
    <w:rsid w:val="00B125F0"/>
    <w:rsid w:val="00B12662"/>
    <w:rsid w:val="00B12689"/>
    <w:rsid w:val="00B1268B"/>
    <w:rsid w:val="00B127F2"/>
    <w:rsid w:val="00B12910"/>
    <w:rsid w:val="00B1294F"/>
    <w:rsid w:val="00B1295E"/>
    <w:rsid w:val="00B12A3F"/>
    <w:rsid w:val="00B12A60"/>
    <w:rsid w:val="00B12B06"/>
    <w:rsid w:val="00B12C62"/>
    <w:rsid w:val="00B12C88"/>
    <w:rsid w:val="00B12CCB"/>
    <w:rsid w:val="00B12D6E"/>
    <w:rsid w:val="00B12DB9"/>
    <w:rsid w:val="00B12DE1"/>
    <w:rsid w:val="00B12E06"/>
    <w:rsid w:val="00B12E8D"/>
    <w:rsid w:val="00B12EE9"/>
    <w:rsid w:val="00B12F28"/>
    <w:rsid w:val="00B13051"/>
    <w:rsid w:val="00B1314F"/>
    <w:rsid w:val="00B13165"/>
    <w:rsid w:val="00B1317C"/>
    <w:rsid w:val="00B131B3"/>
    <w:rsid w:val="00B13214"/>
    <w:rsid w:val="00B13242"/>
    <w:rsid w:val="00B1324E"/>
    <w:rsid w:val="00B132CB"/>
    <w:rsid w:val="00B13313"/>
    <w:rsid w:val="00B13320"/>
    <w:rsid w:val="00B13330"/>
    <w:rsid w:val="00B133FD"/>
    <w:rsid w:val="00B13419"/>
    <w:rsid w:val="00B1345C"/>
    <w:rsid w:val="00B13483"/>
    <w:rsid w:val="00B134EA"/>
    <w:rsid w:val="00B13551"/>
    <w:rsid w:val="00B1355F"/>
    <w:rsid w:val="00B136B1"/>
    <w:rsid w:val="00B13707"/>
    <w:rsid w:val="00B1371B"/>
    <w:rsid w:val="00B13728"/>
    <w:rsid w:val="00B1374B"/>
    <w:rsid w:val="00B13793"/>
    <w:rsid w:val="00B13799"/>
    <w:rsid w:val="00B1382F"/>
    <w:rsid w:val="00B138CF"/>
    <w:rsid w:val="00B13907"/>
    <w:rsid w:val="00B13959"/>
    <w:rsid w:val="00B1399E"/>
    <w:rsid w:val="00B139ED"/>
    <w:rsid w:val="00B13B81"/>
    <w:rsid w:val="00B13BDD"/>
    <w:rsid w:val="00B13C78"/>
    <w:rsid w:val="00B13C95"/>
    <w:rsid w:val="00B13CC4"/>
    <w:rsid w:val="00B13CFE"/>
    <w:rsid w:val="00B13D35"/>
    <w:rsid w:val="00B13DF6"/>
    <w:rsid w:val="00B13E65"/>
    <w:rsid w:val="00B13EAD"/>
    <w:rsid w:val="00B13F09"/>
    <w:rsid w:val="00B1415D"/>
    <w:rsid w:val="00B14163"/>
    <w:rsid w:val="00B1419C"/>
    <w:rsid w:val="00B1419D"/>
    <w:rsid w:val="00B141CB"/>
    <w:rsid w:val="00B142A3"/>
    <w:rsid w:val="00B142F9"/>
    <w:rsid w:val="00B142FF"/>
    <w:rsid w:val="00B14305"/>
    <w:rsid w:val="00B14316"/>
    <w:rsid w:val="00B143BB"/>
    <w:rsid w:val="00B143C2"/>
    <w:rsid w:val="00B143C6"/>
    <w:rsid w:val="00B143C8"/>
    <w:rsid w:val="00B14497"/>
    <w:rsid w:val="00B144F4"/>
    <w:rsid w:val="00B14517"/>
    <w:rsid w:val="00B145B7"/>
    <w:rsid w:val="00B14633"/>
    <w:rsid w:val="00B14679"/>
    <w:rsid w:val="00B14696"/>
    <w:rsid w:val="00B147A3"/>
    <w:rsid w:val="00B14893"/>
    <w:rsid w:val="00B148C0"/>
    <w:rsid w:val="00B14901"/>
    <w:rsid w:val="00B1496E"/>
    <w:rsid w:val="00B14981"/>
    <w:rsid w:val="00B14B45"/>
    <w:rsid w:val="00B14B73"/>
    <w:rsid w:val="00B14B86"/>
    <w:rsid w:val="00B14BEB"/>
    <w:rsid w:val="00B14C96"/>
    <w:rsid w:val="00B14C97"/>
    <w:rsid w:val="00B14D5C"/>
    <w:rsid w:val="00B14DD2"/>
    <w:rsid w:val="00B14E06"/>
    <w:rsid w:val="00B14E0E"/>
    <w:rsid w:val="00B14E16"/>
    <w:rsid w:val="00B14F06"/>
    <w:rsid w:val="00B14F18"/>
    <w:rsid w:val="00B14F63"/>
    <w:rsid w:val="00B14F96"/>
    <w:rsid w:val="00B14FBA"/>
    <w:rsid w:val="00B15092"/>
    <w:rsid w:val="00B150DF"/>
    <w:rsid w:val="00B1511A"/>
    <w:rsid w:val="00B15152"/>
    <w:rsid w:val="00B151B4"/>
    <w:rsid w:val="00B151C5"/>
    <w:rsid w:val="00B151CF"/>
    <w:rsid w:val="00B151F0"/>
    <w:rsid w:val="00B152EB"/>
    <w:rsid w:val="00B15316"/>
    <w:rsid w:val="00B15384"/>
    <w:rsid w:val="00B15489"/>
    <w:rsid w:val="00B1552E"/>
    <w:rsid w:val="00B15547"/>
    <w:rsid w:val="00B1559E"/>
    <w:rsid w:val="00B155C9"/>
    <w:rsid w:val="00B1566B"/>
    <w:rsid w:val="00B156A7"/>
    <w:rsid w:val="00B156B4"/>
    <w:rsid w:val="00B15761"/>
    <w:rsid w:val="00B15763"/>
    <w:rsid w:val="00B157CE"/>
    <w:rsid w:val="00B158F4"/>
    <w:rsid w:val="00B15A9F"/>
    <w:rsid w:val="00B15AB0"/>
    <w:rsid w:val="00B15AF9"/>
    <w:rsid w:val="00B15B02"/>
    <w:rsid w:val="00B15B2D"/>
    <w:rsid w:val="00B15B3A"/>
    <w:rsid w:val="00B15B6E"/>
    <w:rsid w:val="00B15B9C"/>
    <w:rsid w:val="00B15C01"/>
    <w:rsid w:val="00B15C1B"/>
    <w:rsid w:val="00B15C28"/>
    <w:rsid w:val="00B15C3B"/>
    <w:rsid w:val="00B15CFC"/>
    <w:rsid w:val="00B15D83"/>
    <w:rsid w:val="00B15E50"/>
    <w:rsid w:val="00B15EC3"/>
    <w:rsid w:val="00B15F4D"/>
    <w:rsid w:val="00B15FC5"/>
    <w:rsid w:val="00B15FC6"/>
    <w:rsid w:val="00B15FF9"/>
    <w:rsid w:val="00B1604A"/>
    <w:rsid w:val="00B1614A"/>
    <w:rsid w:val="00B1625B"/>
    <w:rsid w:val="00B16275"/>
    <w:rsid w:val="00B16297"/>
    <w:rsid w:val="00B162FC"/>
    <w:rsid w:val="00B1633E"/>
    <w:rsid w:val="00B1636D"/>
    <w:rsid w:val="00B163D4"/>
    <w:rsid w:val="00B1645C"/>
    <w:rsid w:val="00B16535"/>
    <w:rsid w:val="00B165A6"/>
    <w:rsid w:val="00B165C6"/>
    <w:rsid w:val="00B167AA"/>
    <w:rsid w:val="00B1689C"/>
    <w:rsid w:val="00B168DE"/>
    <w:rsid w:val="00B16955"/>
    <w:rsid w:val="00B16973"/>
    <w:rsid w:val="00B169A1"/>
    <w:rsid w:val="00B169F9"/>
    <w:rsid w:val="00B16B1B"/>
    <w:rsid w:val="00B16B48"/>
    <w:rsid w:val="00B16B87"/>
    <w:rsid w:val="00B16C8A"/>
    <w:rsid w:val="00B16CC3"/>
    <w:rsid w:val="00B16D33"/>
    <w:rsid w:val="00B16D8F"/>
    <w:rsid w:val="00B16ED4"/>
    <w:rsid w:val="00B16ED6"/>
    <w:rsid w:val="00B16F0F"/>
    <w:rsid w:val="00B16F24"/>
    <w:rsid w:val="00B16F2F"/>
    <w:rsid w:val="00B16F99"/>
    <w:rsid w:val="00B16FD2"/>
    <w:rsid w:val="00B17029"/>
    <w:rsid w:val="00B17073"/>
    <w:rsid w:val="00B171B4"/>
    <w:rsid w:val="00B171BF"/>
    <w:rsid w:val="00B17278"/>
    <w:rsid w:val="00B172DE"/>
    <w:rsid w:val="00B173BC"/>
    <w:rsid w:val="00B173D6"/>
    <w:rsid w:val="00B173DC"/>
    <w:rsid w:val="00B17474"/>
    <w:rsid w:val="00B174EC"/>
    <w:rsid w:val="00B17517"/>
    <w:rsid w:val="00B1756E"/>
    <w:rsid w:val="00B175AB"/>
    <w:rsid w:val="00B1774A"/>
    <w:rsid w:val="00B17763"/>
    <w:rsid w:val="00B17785"/>
    <w:rsid w:val="00B177F4"/>
    <w:rsid w:val="00B17804"/>
    <w:rsid w:val="00B17877"/>
    <w:rsid w:val="00B17879"/>
    <w:rsid w:val="00B178F8"/>
    <w:rsid w:val="00B1790D"/>
    <w:rsid w:val="00B1798C"/>
    <w:rsid w:val="00B17A4D"/>
    <w:rsid w:val="00B17AB4"/>
    <w:rsid w:val="00B17C46"/>
    <w:rsid w:val="00B17E6C"/>
    <w:rsid w:val="00B17F3E"/>
    <w:rsid w:val="00B17F75"/>
    <w:rsid w:val="00B2002F"/>
    <w:rsid w:val="00B20080"/>
    <w:rsid w:val="00B200DC"/>
    <w:rsid w:val="00B20148"/>
    <w:rsid w:val="00B201AC"/>
    <w:rsid w:val="00B201B8"/>
    <w:rsid w:val="00B202F5"/>
    <w:rsid w:val="00B20376"/>
    <w:rsid w:val="00B2046A"/>
    <w:rsid w:val="00B20493"/>
    <w:rsid w:val="00B204BE"/>
    <w:rsid w:val="00B204DB"/>
    <w:rsid w:val="00B204E5"/>
    <w:rsid w:val="00B204EC"/>
    <w:rsid w:val="00B205DC"/>
    <w:rsid w:val="00B20661"/>
    <w:rsid w:val="00B206A4"/>
    <w:rsid w:val="00B206BF"/>
    <w:rsid w:val="00B2076C"/>
    <w:rsid w:val="00B207D8"/>
    <w:rsid w:val="00B20837"/>
    <w:rsid w:val="00B20847"/>
    <w:rsid w:val="00B2087D"/>
    <w:rsid w:val="00B208B8"/>
    <w:rsid w:val="00B208CD"/>
    <w:rsid w:val="00B208D5"/>
    <w:rsid w:val="00B208EE"/>
    <w:rsid w:val="00B20925"/>
    <w:rsid w:val="00B209E5"/>
    <w:rsid w:val="00B209FA"/>
    <w:rsid w:val="00B20A3D"/>
    <w:rsid w:val="00B20A5E"/>
    <w:rsid w:val="00B20A8C"/>
    <w:rsid w:val="00B20A97"/>
    <w:rsid w:val="00B20AAF"/>
    <w:rsid w:val="00B20B2F"/>
    <w:rsid w:val="00B20B50"/>
    <w:rsid w:val="00B20B6D"/>
    <w:rsid w:val="00B20D41"/>
    <w:rsid w:val="00B20E0D"/>
    <w:rsid w:val="00B20EF1"/>
    <w:rsid w:val="00B20F28"/>
    <w:rsid w:val="00B20F65"/>
    <w:rsid w:val="00B20F9B"/>
    <w:rsid w:val="00B20FB5"/>
    <w:rsid w:val="00B20FE6"/>
    <w:rsid w:val="00B21011"/>
    <w:rsid w:val="00B2117E"/>
    <w:rsid w:val="00B21264"/>
    <w:rsid w:val="00B21299"/>
    <w:rsid w:val="00B212B8"/>
    <w:rsid w:val="00B21344"/>
    <w:rsid w:val="00B2144E"/>
    <w:rsid w:val="00B214E6"/>
    <w:rsid w:val="00B2154E"/>
    <w:rsid w:val="00B21591"/>
    <w:rsid w:val="00B215CE"/>
    <w:rsid w:val="00B215F5"/>
    <w:rsid w:val="00B2167F"/>
    <w:rsid w:val="00B216A8"/>
    <w:rsid w:val="00B216D0"/>
    <w:rsid w:val="00B21703"/>
    <w:rsid w:val="00B2170D"/>
    <w:rsid w:val="00B21733"/>
    <w:rsid w:val="00B217D6"/>
    <w:rsid w:val="00B217F8"/>
    <w:rsid w:val="00B21858"/>
    <w:rsid w:val="00B21922"/>
    <w:rsid w:val="00B219DA"/>
    <w:rsid w:val="00B219FB"/>
    <w:rsid w:val="00B21A61"/>
    <w:rsid w:val="00B21ACE"/>
    <w:rsid w:val="00B21BB7"/>
    <w:rsid w:val="00B21BCF"/>
    <w:rsid w:val="00B21BEA"/>
    <w:rsid w:val="00B21BED"/>
    <w:rsid w:val="00B21BF3"/>
    <w:rsid w:val="00B21C53"/>
    <w:rsid w:val="00B21D67"/>
    <w:rsid w:val="00B21E0D"/>
    <w:rsid w:val="00B21E46"/>
    <w:rsid w:val="00B21EC6"/>
    <w:rsid w:val="00B21ED9"/>
    <w:rsid w:val="00B21EE2"/>
    <w:rsid w:val="00B21F8C"/>
    <w:rsid w:val="00B21FF5"/>
    <w:rsid w:val="00B220B7"/>
    <w:rsid w:val="00B220D6"/>
    <w:rsid w:val="00B220EB"/>
    <w:rsid w:val="00B22129"/>
    <w:rsid w:val="00B22175"/>
    <w:rsid w:val="00B221A6"/>
    <w:rsid w:val="00B22218"/>
    <w:rsid w:val="00B2225D"/>
    <w:rsid w:val="00B22271"/>
    <w:rsid w:val="00B2237A"/>
    <w:rsid w:val="00B223A6"/>
    <w:rsid w:val="00B22499"/>
    <w:rsid w:val="00B224C3"/>
    <w:rsid w:val="00B224CC"/>
    <w:rsid w:val="00B224CE"/>
    <w:rsid w:val="00B225CC"/>
    <w:rsid w:val="00B225E6"/>
    <w:rsid w:val="00B22625"/>
    <w:rsid w:val="00B226BF"/>
    <w:rsid w:val="00B22704"/>
    <w:rsid w:val="00B2274A"/>
    <w:rsid w:val="00B22766"/>
    <w:rsid w:val="00B227E8"/>
    <w:rsid w:val="00B2288B"/>
    <w:rsid w:val="00B2288C"/>
    <w:rsid w:val="00B228E0"/>
    <w:rsid w:val="00B228FF"/>
    <w:rsid w:val="00B22916"/>
    <w:rsid w:val="00B22958"/>
    <w:rsid w:val="00B22A4D"/>
    <w:rsid w:val="00B22A7C"/>
    <w:rsid w:val="00B22AA2"/>
    <w:rsid w:val="00B22BAD"/>
    <w:rsid w:val="00B22BCA"/>
    <w:rsid w:val="00B22BDC"/>
    <w:rsid w:val="00B22C85"/>
    <w:rsid w:val="00B22CEF"/>
    <w:rsid w:val="00B22D3B"/>
    <w:rsid w:val="00B22D87"/>
    <w:rsid w:val="00B22DC1"/>
    <w:rsid w:val="00B22E50"/>
    <w:rsid w:val="00B22EE8"/>
    <w:rsid w:val="00B22EEC"/>
    <w:rsid w:val="00B22F8F"/>
    <w:rsid w:val="00B22FB7"/>
    <w:rsid w:val="00B22FD6"/>
    <w:rsid w:val="00B22FEB"/>
    <w:rsid w:val="00B23011"/>
    <w:rsid w:val="00B2318A"/>
    <w:rsid w:val="00B231A5"/>
    <w:rsid w:val="00B231EE"/>
    <w:rsid w:val="00B2321B"/>
    <w:rsid w:val="00B23226"/>
    <w:rsid w:val="00B232B0"/>
    <w:rsid w:val="00B232E3"/>
    <w:rsid w:val="00B232EE"/>
    <w:rsid w:val="00B2331D"/>
    <w:rsid w:val="00B2335F"/>
    <w:rsid w:val="00B2336E"/>
    <w:rsid w:val="00B233C6"/>
    <w:rsid w:val="00B23415"/>
    <w:rsid w:val="00B23432"/>
    <w:rsid w:val="00B23447"/>
    <w:rsid w:val="00B2349D"/>
    <w:rsid w:val="00B23537"/>
    <w:rsid w:val="00B2355D"/>
    <w:rsid w:val="00B235FB"/>
    <w:rsid w:val="00B2364C"/>
    <w:rsid w:val="00B23670"/>
    <w:rsid w:val="00B23748"/>
    <w:rsid w:val="00B237D6"/>
    <w:rsid w:val="00B23837"/>
    <w:rsid w:val="00B2389D"/>
    <w:rsid w:val="00B2389F"/>
    <w:rsid w:val="00B2395E"/>
    <w:rsid w:val="00B23961"/>
    <w:rsid w:val="00B23A19"/>
    <w:rsid w:val="00B23AB8"/>
    <w:rsid w:val="00B23B0D"/>
    <w:rsid w:val="00B23BD5"/>
    <w:rsid w:val="00B23C6B"/>
    <w:rsid w:val="00B23CCB"/>
    <w:rsid w:val="00B23DD3"/>
    <w:rsid w:val="00B23DDE"/>
    <w:rsid w:val="00B23DE8"/>
    <w:rsid w:val="00B23E82"/>
    <w:rsid w:val="00B23EEF"/>
    <w:rsid w:val="00B23F1D"/>
    <w:rsid w:val="00B23FB2"/>
    <w:rsid w:val="00B24043"/>
    <w:rsid w:val="00B24066"/>
    <w:rsid w:val="00B240D7"/>
    <w:rsid w:val="00B240E2"/>
    <w:rsid w:val="00B24121"/>
    <w:rsid w:val="00B24147"/>
    <w:rsid w:val="00B24258"/>
    <w:rsid w:val="00B24273"/>
    <w:rsid w:val="00B243BD"/>
    <w:rsid w:val="00B243BF"/>
    <w:rsid w:val="00B24408"/>
    <w:rsid w:val="00B24463"/>
    <w:rsid w:val="00B24478"/>
    <w:rsid w:val="00B244D2"/>
    <w:rsid w:val="00B24545"/>
    <w:rsid w:val="00B246C4"/>
    <w:rsid w:val="00B246C7"/>
    <w:rsid w:val="00B24704"/>
    <w:rsid w:val="00B24713"/>
    <w:rsid w:val="00B24790"/>
    <w:rsid w:val="00B247A8"/>
    <w:rsid w:val="00B247AD"/>
    <w:rsid w:val="00B247BA"/>
    <w:rsid w:val="00B24931"/>
    <w:rsid w:val="00B24A82"/>
    <w:rsid w:val="00B24AFF"/>
    <w:rsid w:val="00B24B0D"/>
    <w:rsid w:val="00B24B34"/>
    <w:rsid w:val="00B24B3E"/>
    <w:rsid w:val="00B24B46"/>
    <w:rsid w:val="00B24B9A"/>
    <w:rsid w:val="00B24BC9"/>
    <w:rsid w:val="00B24C3E"/>
    <w:rsid w:val="00B24CF7"/>
    <w:rsid w:val="00B24D3C"/>
    <w:rsid w:val="00B24EAD"/>
    <w:rsid w:val="00B24EB3"/>
    <w:rsid w:val="00B24FB9"/>
    <w:rsid w:val="00B25064"/>
    <w:rsid w:val="00B25110"/>
    <w:rsid w:val="00B2516F"/>
    <w:rsid w:val="00B25178"/>
    <w:rsid w:val="00B251E8"/>
    <w:rsid w:val="00B25206"/>
    <w:rsid w:val="00B2524D"/>
    <w:rsid w:val="00B2526B"/>
    <w:rsid w:val="00B253AC"/>
    <w:rsid w:val="00B25414"/>
    <w:rsid w:val="00B254CC"/>
    <w:rsid w:val="00B254F5"/>
    <w:rsid w:val="00B25533"/>
    <w:rsid w:val="00B25566"/>
    <w:rsid w:val="00B2556C"/>
    <w:rsid w:val="00B255B9"/>
    <w:rsid w:val="00B255EC"/>
    <w:rsid w:val="00B255FC"/>
    <w:rsid w:val="00B2562F"/>
    <w:rsid w:val="00B256A1"/>
    <w:rsid w:val="00B25718"/>
    <w:rsid w:val="00B257B0"/>
    <w:rsid w:val="00B25814"/>
    <w:rsid w:val="00B25823"/>
    <w:rsid w:val="00B2582A"/>
    <w:rsid w:val="00B258D1"/>
    <w:rsid w:val="00B259B3"/>
    <w:rsid w:val="00B259E8"/>
    <w:rsid w:val="00B25AD4"/>
    <w:rsid w:val="00B25B76"/>
    <w:rsid w:val="00B25B77"/>
    <w:rsid w:val="00B25BE7"/>
    <w:rsid w:val="00B25BEC"/>
    <w:rsid w:val="00B25C0D"/>
    <w:rsid w:val="00B25C9A"/>
    <w:rsid w:val="00B25CB1"/>
    <w:rsid w:val="00B25D05"/>
    <w:rsid w:val="00B25DE0"/>
    <w:rsid w:val="00B25E42"/>
    <w:rsid w:val="00B25F62"/>
    <w:rsid w:val="00B25FB8"/>
    <w:rsid w:val="00B25FBC"/>
    <w:rsid w:val="00B26049"/>
    <w:rsid w:val="00B260A3"/>
    <w:rsid w:val="00B26226"/>
    <w:rsid w:val="00B2624E"/>
    <w:rsid w:val="00B26297"/>
    <w:rsid w:val="00B262BA"/>
    <w:rsid w:val="00B2637E"/>
    <w:rsid w:val="00B26384"/>
    <w:rsid w:val="00B26394"/>
    <w:rsid w:val="00B2639A"/>
    <w:rsid w:val="00B263A2"/>
    <w:rsid w:val="00B2649E"/>
    <w:rsid w:val="00B265A5"/>
    <w:rsid w:val="00B26622"/>
    <w:rsid w:val="00B26669"/>
    <w:rsid w:val="00B2666C"/>
    <w:rsid w:val="00B26685"/>
    <w:rsid w:val="00B267C6"/>
    <w:rsid w:val="00B267FF"/>
    <w:rsid w:val="00B26861"/>
    <w:rsid w:val="00B2688C"/>
    <w:rsid w:val="00B268F8"/>
    <w:rsid w:val="00B2693A"/>
    <w:rsid w:val="00B26A53"/>
    <w:rsid w:val="00B26A62"/>
    <w:rsid w:val="00B26AD5"/>
    <w:rsid w:val="00B26B19"/>
    <w:rsid w:val="00B26BC4"/>
    <w:rsid w:val="00B26C28"/>
    <w:rsid w:val="00B26CA1"/>
    <w:rsid w:val="00B26D19"/>
    <w:rsid w:val="00B26D60"/>
    <w:rsid w:val="00B26D9F"/>
    <w:rsid w:val="00B26DAA"/>
    <w:rsid w:val="00B26EAE"/>
    <w:rsid w:val="00B26FBD"/>
    <w:rsid w:val="00B27006"/>
    <w:rsid w:val="00B2704F"/>
    <w:rsid w:val="00B2706E"/>
    <w:rsid w:val="00B270AC"/>
    <w:rsid w:val="00B270B5"/>
    <w:rsid w:val="00B270FB"/>
    <w:rsid w:val="00B271A9"/>
    <w:rsid w:val="00B271CA"/>
    <w:rsid w:val="00B27278"/>
    <w:rsid w:val="00B272A9"/>
    <w:rsid w:val="00B27407"/>
    <w:rsid w:val="00B27437"/>
    <w:rsid w:val="00B2749B"/>
    <w:rsid w:val="00B27524"/>
    <w:rsid w:val="00B275D1"/>
    <w:rsid w:val="00B276B4"/>
    <w:rsid w:val="00B276C1"/>
    <w:rsid w:val="00B2775D"/>
    <w:rsid w:val="00B2778C"/>
    <w:rsid w:val="00B277AC"/>
    <w:rsid w:val="00B27891"/>
    <w:rsid w:val="00B278FB"/>
    <w:rsid w:val="00B279FD"/>
    <w:rsid w:val="00B27BB8"/>
    <w:rsid w:val="00B27D19"/>
    <w:rsid w:val="00B27D8E"/>
    <w:rsid w:val="00B27D8F"/>
    <w:rsid w:val="00B27DEB"/>
    <w:rsid w:val="00B27F08"/>
    <w:rsid w:val="00B27F31"/>
    <w:rsid w:val="00B27F43"/>
    <w:rsid w:val="00B27F90"/>
    <w:rsid w:val="00B27FC5"/>
    <w:rsid w:val="00B27FDA"/>
    <w:rsid w:val="00B27FEB"/>
    <w:rsid w:val="00B27FF9"/>
    <w:rsid w:val="00B3002E"/>
    <w:rsid w:val="00B300AA"/>
    <w:rsid w:val="00B30160"/>
    <w:rsid w:val="00B301AC"/>
    <w:rsid w:val="00B3027F"/>
    <w:rsid w:val="00B302A5"/>
    <w:rsid w:val="00B30306"/>
    <w:rsid w:val="00B30363"/>
    <w:rsid w:val="00B303E6"/>
    <w:rsid w:val="00B303F6"/>
    <w:rsid w:val="00B30407"/>
    <w:rsid w:val="00B3044F"/>
    <w:rsid w:val="00B3057D"/>
    <w:rsid w:val="00B30607"/>
    <w:rsid w:val="00B3060B"/>
    <w:rsid w:val="00B3062E"/>
    <w:rsid w:val="00B30646"/>
    <w:rsid w:val="00B306B6"/>
    <w:rsid w:val="00B306FD"/>
    <w:rsid w:val="00B307A5"/>
    <w:rsid w:val="00B307B7"/>
    <w:rsid w:val="00B307C7"/>
    <w:rsid w:val="00B3080E"/>
    <w:rsid w:val="00B30969"/>
    <w:rsid w:val="00B30AFE"/>
    <w:rsid w:val="00B30B20"/>
    <w:rsid w:val="00B30B71"/>
    <w:rsid w:val="00B30BA1"/>
    <w:rsid w:val="00B30BBD"/>
    <w:rsid w:val="00B30BEA"/>
    <w:rsid w:val="00B30C0D"/>
    <w:rsid w:val="00B30C12"/>
    <w:rsid w:val="00B30C18"/>
    <w:rsid w:val="00B30CE2"/>
    <w:rsid w:val="00B30D24"/>
    <w:rsid w:val="00B30D4D"/>
    <w:rsid w:val="00B30DC3"/>
    <w:rsid w:val="00B30E9F"/>
    <w:rsid w:val="00B30EE2"/>
    <w:rsid w:val="00B30EF1"/>
    <w:rsid w:val="00B30F40"/>
    <w:rsid w:val="00B30F48"/>
    <w:rsid w:val="00B30F97"/>
    <w:rsid w:val="00B3102F"/>
    <w:rsid w:val="00B310E2"/>
    <w:rsid w:val="00B311AD"/>
    <w:rsid w:val="00B311B7"/>
    <w:rsid w:val="00B3126B"/>
    <w:rsid w:val="00B31458"/>
    <w:rsid w:val="00B31479"/>
    <w:rsid w:val="00B314C1"/>
    <w:rsid w:val="00B31563"/>
    <w:rsid w:val="00B31564"/>
    <w:rsid w:val="00B31600"/>
    <w:rsid w:val="00B31604"/>
    <w:rsid w:val="00B31654"/>
    <w:rsid w:val="00B31741"/>
    <w:rsid w:val="00B317B3"/>
    <w:rsid w:val="00B3180A"/>
    <w:rsid w:val="00B3187A"/>
    <w:rsid w:val="00B3188C"/>
    <w:rsid w:val="00B318E1"/>
    <w:rsid w:val="00B318F4"/>
    <w:rsid w:val="00B318F8"/>
    <w:rsid w:val="00B31911"/>
    <w:rsid w:val="00B31A0D"/>
    <w:rsid w:val="00B31A98"/>
    <w:rsid w:val="00B31B13"/>
    <w:rsid w:val="00B31B98"/>
    <w:rsid w:val="00B31BB4"/>
    <w:rsid w:val="00B31CF5"/>
    <w:rsid w:val="00B31D92"/>
    <w:rsid w:val="00B31EB4"/>
    <w:rsid w:val="00B32005"/>
    <w:rsid w:val="00B32025"/>
    <w:rsid w:val="00B32064"/>
    <w:rsid w:val="00B320ED"/>
    <w:rsid w:val="00B32140"/>
    <w:rsid w:val="00B321CE"/>
    <w:rsid w:val="00B321EF"/>
    <w:rsid w:val="00B3226D"/>
    <w:rsid w:val="00B322D4"/>
    <w:rsid w:val="00B3230D"/>
    <w:rsid w:val="00B32317"/>
    <w:rsid w:val="00B32332"/>
    <w:rsid w:val="00B32378"/>
    <w:rsid w:val="00B325D4"/>
    <w:rsid w:val="00B325DE"/>
    <w:rsid w:val="00B32812"/>
    <w:rsid w:val="00B32945"/>
    <w:rsid w:val="00B32997"/>
    <w:rsid w:val="00B32A8E"/>
    <w:rsid w:val="00B32A91"/>
    <w:rsid w:val="00B32ABE"/>
    <w:rsid w:val="00B32B08"/>
    <w:rsid w:val="00B32CB1"/>
    <w:rsid w:val="00B32CEF"/>
    <w:rsid w:val="00B32F5C"/>
    <w:rsid w:val="00B3306B"/>
    <w:rsid w:val="00B3316F"/>
    <w:rsid w:val="00B3317B"/>
    <w:rsid w:val="00B33182"/>
    <w:rsid w:val="00B33190"/>
    <w:rsid w:val="00B331AB"/>
    <w:rsid w:val="00B331BF"/>
    <w:rsid w:val="00B3320D"/>
    <w:rsid w:val="00B33275"/>
    <w:rsid w:val="00B333BB"/>
    <w:rsid w:val="00B333D1"/>
    <w:rsid w:val="00B333D2"/>
    <w:rsid w:val="00B3344A"/>
    <w:rsid w:val="00B3345E"/>
    <w:rsid w:val="00B3366B"/>
    <w:rsid w:val="00B336B5"/>
    <w:rsid w:val="00B336B8"/>
    <w:rsid w:val="00B336C2"/>
    <w:rsid w:val="00B336D3"/>
    <w:rsid w:val="00B336F9"/>
    <w:rsid w:val="00B3374B"/>
    <w:rsid w:val="00B337A9"/>
    <w:rsid w:val="00B33896"/>
    <w:rsid w:val="00B338BE"/>
    <w:rsid w:val="00B33902"/>
    <w:rsid w:val="00B33945"/>
    <w:rsid w:val="00B339BC"/>
    <w:rsid w:val="00B33A28"/>
    <w:rsid w:val="00B33B5E"/>
    <w:rsid w:val="00B33C41"/>
    <w:rsid w:val="00B33C47"/>
    <w:rsid w:val="00B33CFF"/>
    <w:rsid w:val="00B33D3A"/>
    <w:rsid w:val="00B33DEE"/>
    <w:rsid w:val="00B33E06"/>
    <w:rsid w:val="00B33F80"/>
    <w:rsid w:val="00B33F9A"/>
    <w:rsid w:val="00B34013"/>
    <w:rsid w:val="00B34021"/>
    <w:rsid w:val="00B340DD"/>
    <w:rsid w:val="00B3411E"/>
    <w:rsid w:val="00B341B1"/>
    <w:rsid w:val="00B3427C"/>
    <w:rsid w:val="00B342C6"/>
    <w:rsid w:val="00B342E5"/>
    <w:rsid w:val="00B34391"/>
    <w:rsid w:val="00B34415"/>
    <w:rsid w:val="00B34447"/>
    <w:rsid w:val="00B34462"/>
    <w:rsid w:val="00B344EC"/>
    <w:rsid w:val="00B3457E"/>
    <w:rsid w:val="00B345C2"/>
    <w:rsid w:val="00B345D2"/>
    <w:rsid w:val="00B345DA"/>
    <w:rsid w:val="00B346FD"/>
    <w:rsid w:val="00B34715"/>
    <w:rsid w:val="00B3471C"/>
    <w:rsid w:val="00B347CE"/>
    <w:rsid w:val="00B347F6"/>
    <w:rsid w:val="00B34882"/>
    <w:rsid w:val="00B3499C"/>
    <w:rsid w:val="00B349BA"/>
    <w:rsid w:val="00B34A49"/>
    <w:rsid w:val="00B34A52"/>
    <w:rsid w:val="00B34D1C"/>
    <w:rsid w:val="00B34DA1"/>
    <w:rsid w:val="00B34DA7"/>
    <w:rsid w:val="00B34DEC"/>
    <w:rsid w:val="00B34DEE"/>
    <w:rsid w:val="00B34E88"/>
    <w:rsid w:val="00B34E97"/>
    <w:rsid w:val="00B34E9B"/>
    <w:rsid w:val="00B34E9F"/>
    <w:rsid w:val="00B350CB"/>
    <w:rsid w:val="00B3511F"/>
    <w:rsid w:val="00B3513F"/>
    <w:rsid w:val="00B351CA"/>
    <w:rsid w:val="00B35353"/>
    <w:rsid w:val="00B35367"/>
    <w:rsid w:val="00B35398"/>
    <w:rsid w:val="00B353AC"/>
    <w:rsid w:val="00B353F2"/>
    <w:rsid w:val="00B35443"/>
    <w:rsid w:val="00B35560"/>
    <w:rsid w:val="00B3581A"/>
    <w:rsid w:val="00B35831"/>
    <w:rsid w:val="00B35865"/>
    <w:rsid w:val="00B3589C"/>
    <w:rsid w:val="00B358EF"/>
    <w:rsid w:val="00B3590B"/>
    <w:rsid w:val="00B3591B"/>
    <w:rsid w:val="00B359A3"/>
    <w:rsid w:val="00B359F0"/>
    <w:rsid w:val="00B35A57"/>
    <w:rsid w:val="00B35BA1"/>
    <w:rsid w:val="00B35BA8"/>
    <w:rsid w:val="00B35BF3"/>
    <w:rsid w:val="00B35C44"/>
    <w:rsid w:val="00B35D7F"/>
    <w:rsid w:val="00B35D8D"/>
    <w:rsid w:val="00B35E38"/>
    <w:rsid w:val="00B35E3F"/>
    <w:rsid w:val="00B35ED1"/>
    <w:rsid w:val="00B35F2B"/>
    <w:rsid w:val="00B35F4D"/>
    <w:rsid w:val="00B36028"/>
    <w:rsid w:val="00B3606C"/>
    <w:rsid w:val="00B361EA"/>
    <w:rsid w:val="00B36217"/>
    <w:rsid w:val="00B36276"/>
    <w:rsid w:val="00B362A1"/>
    <w:rsid w:val="00B363C9"/>
    <w:rsid w:val="00B363F2"/>
    <w:rsid w:val="00B364E6"/>
    <w:rsid w:val="00B364F4"/>
    <w:rsid w:val="00B364F5"/>
    <w:rsid w:val="00B364FC"/>
    <w:rsid w:val="00B36559"/>
    <w:rsid w:val="00B36664"/>
    <w:rsid w:val="00B367C5"/>
    <w:rsid w:val="00B3684E"/>
    <w:rsid w:val="00B36951"/>
    <w:rsid w:val="00B3695B"/>
    <w:rsid w:val="00B36961"/>
    <w:rsid w:val="00B36A39"/>
    <w:rsid w:val="00B36A74"/>
    <w:rsid w:val="00B36A97"/>
    <w:rsid w:val="00B36B1A"/>
    <w:rsid w:val="00B36C47"/>
    <w:rsid w:val="00B36C73"/>
    <w:rsid w:val="00B36CF8"/>
    <w:rsid w:val="00B36D30"/>
    <w:rsid w:val="00B36DC3"/>
    <w:rsid w:val="00B36DF6"/>
    <w:rsid w:val="00B36E65"/>
    <w:rsid w:val="00B36ECD"/>
    <w:rsid w:val="00B36EE7"/>
    <w:rsid w:val="00B36F5C"/>
    <w:rsid w:val="00B36F77"/>
    <w:rsid w:val="00B36FAA"/>
    <w:rsid w:val="00B36FD2"/>
    <w:rsid w:val="00B37023"/>
    <w:rsid w:val="00B370E4"/>
    <w:rsid w:val="00B370E6"/>
    <w:rsid w:val="00B371BC"/>
    <w:rsid w:val="00B371C5"/>
    <w:rsid w:val="00B37203"/>
    <w:rsid w:val="00B37226"/>
    <w:rsid w:val="00B37233"/>
    <w:rsid w:val="00B3732F"/>
    <w:rsid w:val="00B3738D"/>
    <w:rsid w:val="00B373B6"/>
    <w:rsid w:val="00B37439"/>
    <w:rsid w:val="00B374F2"/>
    <w:rsid w:val="00B37560"/>
    <w:rsid w:val="00B37589"/>
    <w:rsid w:val="00B3758B"/>
    <w:rsid w:val="00B37744"/>
    <w:rsid w:val="00B377A0"/>
    <w:rsid w:val="00B378E1"/>
    <w:rsid w:val="00B3791F"/>
    <w:rsid w:val="00B37926"/>
    <w:rsid w:val="00B379A4"/>
    <w:rsid w:val="00B379BF"/>
    <w:rsid w:val="00B379C2"/>
    <w:rsid w:val="00B379E2"/>
    <w:rsid w:val="00B37A28"/>
    <w:rsid w:val="00B37A4B"/>
    <w:rsid w:val="00B37A5E"/>
    <w:rsid w:val="00B37BE6"/>
    <w:rsid w:val="00B37BF7"/>
    <w:rsid w:val="00B37BFD"/>
    <w:rsid w:val="00B37C72"/>
    <w:rsid w:val="00B37C8F"/>
    <w:rsid w:val="00B37C9D"/>
    <w:rsid w:val="00B37CF1"/>
    <w:rsid w:val="00B37D0C"/>
    <w:rsid w:val="00B37DAB"/>
    <w:rsid w:val="00B37E40"/>
    <w:rsid w:val="00B37E62"/>
    <w:rsid w:val="00B37F3F"/>
    <w:rsid w:val="00B37F76"/>
    <w:rsid w:val="00B40064"/>
    <w:rsid w:val="00B40074"/>
    <w:rsid w:val="00B40088"/>
    <w:rsid w:val="00B40119"/>
    <w:rsid w:val="00B40141"/>
    <w:rsid w:val="00B4014A"/>
    <w:rsid w:val="00B4023C"/>
    <w:rsid w:val="00B40306"/>
    <w:rsid w:val="00B4044C"/>
    <w:rsid w:val="00B4047A"/>
    <w:rsid w:val="00B404A6"/>
    <w:rsid w:val="00B4052C"/>
    <w:rsid w:val="00B4054C"/>
    <w:rsid w:val="00B40586"/>
    <w:rsid w:val="00B405A5"/>
    <w:rsid w:val="00B4068E"/>
    <w:rsid w:val="00B406DB"/>
    <w:rsid w:val="00B4076D"/>
    <w:rsid w:val="00B407D9"/>
    <w:rsid w:val="00B40887"/>
    <w:rsid w:val="00B408BC"/>
    <w:rsid w:val="00B40909"/>
    <w:rsid w:val="00B4097C"/>
    <w:rsid w:val="00B40991"/>
    <w:rsid w:val="00B40A10"/>
    <w:rsid w:val="00B40A18"/>
    <w:rsid w:val="00B40AFA"/>
    <w:rsid w:val="00B40BD2"/>
    <w:rsid w:val="00B40C3F"/>
    <w:rsid w:val="00B40D4D"/>
    <w:rsid w:val="00B40E47"/>
    <w:rsid w:val="00B40E8B"/>
    <w:rsid w:val="00B40ECC"/>
    <w:rsid w:val="00B4108E"/>
    <w:rsid w:val="00B4109C"/>
    <w:rsid w:val="00B41309"/>
    <w:rsid w:val="00B41358"/>
    <w:rsid w:val="00B413CD"/>
    <w:rsid w:val="00B41413"/>
    <w:rsid w:val="00B41443"/>
    <w:rsid w:val="00B414E4"/>
    <w:rsid w:val="00B414EF"/>
    <w:rsid w:val="00B414FF"/>
    <w:rsid w:val="00B4152C"/>
    <w:rsid w:val="00B41558"/>
    <w:rsid w:val="00B4164B"/>
    <w:rsid w:val="00B4164C"/>
    <w:rsid w:val="00B41799"/>
    <w:rsid w:val="00B41845"/>
    <w:rsid w:val="00B41849"/>
    <w:rsid w:val="00B4187B"/>
    <w:rsid w:val="00B41891"/>
    <w:rsid w:val="00B41A07"/>
    <w:rsid w:val="00B41A21"/>
    <w:rsid w:val="00B41A6B"/>
    <w:rsid w:val="00B41AEC"/>
    <w:rsid w:val="00B41B79"/>
    <w:rsid w:val="00B41C3B"/>
    <w:rsid w:val="00B41D19"/>
    <w:rsid w:val="00B41E64"/>
    <w:rsid w:val="00B41F36"/>
    <w:rsid w:val="00B41F39"/>
    <w:rsid w:val="00B41F5E"/>
    <w:rsid w:val="00B41FAF"/>
    <w:rsid w:val="00B41FB3"/>
    <w:rsid w:val="00B41FFF"/>
    <w:rsid w:val="00B4205F"/>
    <w:rsid w:val="00B42100"/>
    <w:rsid w:val="00B421D7"/>
    <w:rsid w:val="00B42203"/>
    <w:rsid w:val="00B42252"/>
    <w:rsid w:val="00B42291"/>
    <w:rsid w:val="00B422EC"/>
    <w:rsid w:val="00B42318"/>
    <w:rsid w:val="00B4234E"/>
    <w:rsid w:val="00B4235A"/>
    <w:rsid w:val="00B4236E"/>
    <w:rsid w:val="00B42399"/>
    <w:rsid w:val="00B42463"/>
    <w:rsid w:val="00B424AF"/>
    <w:rsid w:val="00B424C3"/>
    <w:rsid w:val="00B424F0"/>
    <w:rsid w:val="00B42580"/>
    <w:rsid w:val="00B4261F"/>
    <w:rsid w:val="00B42621"/>
    <w:rsid w:val="00B42707"/>
    <w:rsid w:val="00B42763"/>
    <w:rsid w:val="00B428A2"/>
    <w:rsid w:val="00B4298F"/>
    <w:rsid w:val="00B429A6"/>
    <w:rsid w:val="00B429A7"/>
    <w:rsid w:val="00B429D7"/>
    <w:rsid w:val="00B42A04"/>
    <w:rsid w:val="00B42B80"/>
    <w:rsid w:val="00B42BE3"/>
    <w:rsid w:val="00B42BF5"/>
    <w:rsid w:val="00B42C05"/>
    <w:rsid w:val="00B42C57"/>
    <w:rsid w:val="00B42C6E"/>
    <w:rsid w:val="00B42CFC"/>
    <w:rsid w:val="00B42D4F"/>
    <w:rsid w:val="00B42E5B"/>
    <w:rsid w:val="00B42ECF"/>
    <w:rsid w:val="00B42F32"/>
    <w:rsid w:val="00B43082"/>
    <w:rsid w:val="00B43193"/>
    <w:rsid w:val="00B431D0"/>
    <w:rsid w:val="00B43271"/>
    <w:rsid w:val="00B432DE"/>
    <w:rsid w:val="00B43321"/>
    <w:rsid w:val="00B4336C"/>
    <w:rsid w:val="00B4337E"/>
    <w:rsid w:val="00B433B1"/>
    <w:rsid w:val="00B4343C"/>
    <w:rsid w:val="00B434F8"/>
    <w:rsid w:val="00B4353A"/>
    <w:rsid w:val="00B43558"/>
    <w:rsid w:val="00B43592"/>
    <w:rsid w:val="00B4363C"/>
    <w:rsid w:val="00B436CA"/>
    <w:rsid w:val="00B436DD"/>
    <w:rsid w:val="00B436F9"/>
    <w:rsid w:val="00B43717"/>
    <w:rsid w:val="00B43846"/>
    <w:rsid w:val="00B43884"/>
    <w:rsid w:val="00B438BE"/>
    <w:rsid w:val="00B438E6"/>
    <w:rsid w:val="00B43921"/>
    <w:rsid w:val="00B43993"/>
    <w:rsid w:val="00B43A08"/>
    <w:rsid w:val="00B43AD0"/>
    <w:rsid w:val="00B43AF3"/>
    <w:rsid w:val="00B43B67"/>
    <w:rsid w:val="00B43B83"/>
    <w:rsid w:val="00B43D1F"/>
    <w:rsid w:val="00B43D81"/>
    <w:rsid w:val="00B43D9C"/>
    <w:rsid w:val="00B43DF4"/>
    <w:rsid w:val="00B43E2A"/>
    <w:rsid w:val="00B43E87"/>
    <w:rsid w:val="00B43F1F"/>
    <w:rsid w:val="00B43F6E"/>
    <w:rsid w:val="00B44050"/>
    <w:rsid w:val="00B44133"/>
    <w:rsid w:val="00B44262"/>
    <w:rsid w:val="00B4435A"/>
    <w:rsid w:val="00B44373"/>
    <w:rsid w:val="00B44464"/>
    <w:rsid w:val="00B444E9"/>
    <w:rsid w:val="00B44552"/>
    <w:rsid w:val="00B445AB"/>
    <w:rsid w:val="00B445E7"/>
    <w:rsid w:val="00B445F4"/>
    <w:rsid w:val="00B445F7"/>
    <w:rsid w:val="00B4466C"/>
    <w:rsid w:val="00B446C0"/>
    <w:rsid w:val="00B446F2"/>
    <w:rsid w:val="00B44715"/>
    <w:rsid w:val="00B44716"/>
    <w:rsid w:val="00B447D6"/>
    <w:rsid w:val="00B44828"/>
    <w:rsid w:val="00B4489A"/>
    <w:rsid w:val="00B448A3"/>
    <w:rsid w:val="00B448CA"/>
    <w:rsid w:val="00B44953"/>
    <w:rsid w:val="00B449E9"/>
    <w:rsid w:val="00B44AED"/>
    <w:rsid w:val="00B44B82"/>
    <w:rsid w:val="00B44C06"/>
    <w:rsid w:val="00B44C38"/>
    <w:rsid w:val="00B44C99"/>
    <w:rsid w:val="00B44D47"/>
    <w:rsid w:val="00B44D53"/>
    <w:rsid w:val="00B44DFB"/>
    <w:rsid w:val="00B44E4B"/>
    <w:rsid w:val="00B44E85"/>
    <w:rsid w:val="00B44F3A"/>
    <w:rsid w:val="00B44F65"/>
    <w:rsid w:val="00B44FE6"/>
    <w:rsid w:val="00B4511B"/>
    <w:rsid w:val="00B4524B"/>
    <w:rsid w:val="00B45261"/>
    <w:rsid w:val="00B45306"/>
    <w:rsid w:val="00B4534C"/>
    <w:rsid w:val="00B45393"/>
    <w:rsid w:val="00B4539A"/>
    <w:rsid w:val="00B453CE"/>
    <w:rsid w:val="00B45527"/>
    <w:rsid w:val="00B45538"/>
    <w:rsid w:val="00B4557A"/>
    <w:rsid w:val="00B455A6"/>
    <w:rsid w:val="00B455B8"/>
    <w:rsid w:val="00B4565D"/>
    <w:rsid w:val="00B4567F"/>
    <w:rsid w:val="00B456AC"/>
    <w:rsid w:val="00B4573F"/>
    <w:rsid w:val="00B4576F"/>
    <w:rsid w:val="00B457E6"/>
    <w:rsid w:val="00B4580C"/>
    <w:rsid w:val="00B45841"/>
    <w:rsid w:val="00B458BF"/>
    <w:rsid w:val="00B45A00"/>
    <w:rsid w:val="00B45A89"/>
    <w:rsid w:val="00B45AD0"/>
    <w:rsid w:val="00B45B84"/>
    <w:rsid w:val="00B45BA6"/>
    <w:rsid w:val="00B45BB8"/>
    <w:rsid w:val="00B45BE2"/>
    <w:rsid w:val="00B45C93"/>
    <w:rsid w:val="00B45CA2"/>
    <w:rsid w:val="00B45CBB"/>
    <w:rsid w:val="00B45CDD"/>
    <w:rsid w:val="00B45CED"/>
    <w:rsid w:val="00B45D6E"/>
    <w:rsid w:val="00B45DC3"/>
    <w:rsid w:val="00B45E6C"/>
    <w:rsid w:val="00B45E97"/>
    <w:rsid w:val="00B45EE8"/>
    <w:rsid w:val="00B45F17"/>
    <w:rsid w:val="00B45FC9"/>
    <w:rsid w:val="00B4600A"/>
    <w:rsid w:val="00B460C2"/>
    <w:rsid w:val="00B461A3"/>
    <w:rsid w:val="00B461EC"/>
    <w:rsid w:val="00B46211"/>
    <w:rsid w:val="00B463CE"/>
    <w:rsid w:val="00B46429"/>
    <w:rsid w:val="00B46446"/>
    <w:rsid w:val="00B4647B"/>
    <w:rsid w:val="00B46486"/>
    <w:rsid w:val="00B464E9"/>
    <w:rsid w:val="00B465CD"/>
    <w:rsid w:val="00B466BC"/>
    <w:rsid w:val="00B466D9"/>
    <w:rsid w:val="00B46730"/>
    <w:rsid w:val="00B46766"/>
    <w:rsid w:val="00B46818"/>
    <w:rsid w:val="00B4686A"/>
    <w:rsid w:val="00B4689E"/>
    <w:rsid w:val="00B46975"/>
    <w:rsid w:val="00B4697C"/>
    <w:rsid w:val="00B46A38"/>
    <w:rsid w:val="00B46A63"/>
    <w:rsid w:val="00B46B37"/>
    <w:rsid w:val="00B46B7F"/>
    <w:rsid w:val="00B46DD1"/>
    <w:rsid w:val="00B46DD2"/>
    <w:rsid w:val="00B46E9B"/>
    <w:rsid w:val="00B46EEB"/>
    <w:rsid w:val="00B46EFF"/>
    <w:rsid w:val="00B46F38"/>
    <w:rsid w:val="00B46F9C"/>
    <w:rsid w:val="00B46FBF"/>
    <w:rsid w:val="00B4703B"/>
    <w:rsid w:val="00B470C2"/>
    <w:rsid w:val="00B47135"/>
    <w:rsid w:val="00B471A6"/>
    <w:rsid w:val="00B47221"/>
    <w:rsid w:val="00B4722B"/>
    <w:rsid w:val="00B4723D"/>
    <w:rsid w:val="00B4725E"/>
    <w:rsid w:val="00B47265"/>
    <w:rsid w:val="00B4733C"/>
    <w:rsid w:val="00B473C4"/>
    <w:rsid w:val="00B473D0"/>
    <w:rsid w:val="00B475BC"/>
    <w:rsid w:val="00B475BE"/>
    <w:rsid w:val="00B4760A"/>
    <w:rsid w:val="00B47673"/>
    <w:rsid w:val="00B47676"/>
    <w:rsid w:val="00B476A6"/>
    <w:rsid w:val="00B476A9"/>
    <w:rsid w:val="00B47793"/>
    <w:rsid w:val="00B47883"/>
    <w:rsid w:val="00B478C2"/>
    <w:rsid w:val="00B478DF"/>
    <w:rsid w:val="00B47935"/>
    <w:rsid w:val="00B47971"/>
    <w:rsid w:val="00B47A07"/>
    <w:rsid w:val="00B47ABD"/>
    <w:rsid w:val="00B47AFC"/>
    <w:rsid w:val="00B47B49"/>
    <w:rsid w:val="00B47B4F"/>
    <w:rsid w:val="00B47B5E"/>
    <w:rsid w:val="00B47C4C"/>
    <w:rsid w:val="00B47C7F"/>
    <w:rsid w:val="00B47CC5"/>
    <w:rsid w:val="00B47D38"/>
    <w:rsid w:val="00B47D60"/>
    <w:rsid w:val="00B47D81"/>
    <w:rsid w:val="00B47D89"/>
    <w:rsid w:val="00B47DC3"/>
    <w:rsid w:val="00B47DCE"/>
    <w:rsid w:val="00B47DD1"/>
    <w:rsid w:val="00B47EBD"/>
    <w:rsid w:val="00B47F5C"/>
    <w:rsid w:val="00B47F8F"/>
    <w:rsid w:val="00B47FB5"/>
    <w:rsid w:val="00B500AD"/>
    <w:rsid w:val="00B500E8"/>
    <w:rsid w:val="00B50120"/>
    <w:rsid w:val="00B50127"/>
    <w:rsid w:val="00B50180"/>
    <w:rsid w:val="00B501B9"/>
    <w:rsid w:val="00B501FE"/>
    <w:rsid w:val="00B50283"/>
    <w:rsid w:val="00B502B9"/>
    <w:rsid w:val="00B502C9"/>
    <w:rsid w:val="00B5039C"/>
    <w:rsid w:val="00B50412"/>
    <w:rsid w:val="00B50592"/>
    <w:rsid w:val="00B505F9"/>
    <w:rsid w:val="00B50728"/>
    <w:rsid w:val="00B50791"/>
    <w:rsid w:val="00B507A1"/>
    <w:rsid w:val="00B507DC"/>
    <w:rsid w:val="00B507FD"/>
    <w:rsid w:val="00B5084E"/>
    <w:rsid w:val="00B5092C"/>
    <w:rsid w:val="00B50A1B"/>
    <w:rsid w:val="00B50A1F"/>
    <w:rsid w:val="00B50A44"/>
    <w:rsid w:val="00B50A86"/>
    <w:rsid w:val="00B50A9E"/>
    <w:rsid w:val="00B50AD0"/>
    <w:rsid w:val="00B50B57"/>
    <w:rsid w:val="00B50B74"/>
    <w:rsid w:val="00B50B99"/>
    <w:rsid w:val="00B50C59"/>
    <w:rsid w:val="00B50CC2"/>
    <w:rsid w:val="00B50CEE"/>
    <w:rsid w:val="00B50D08"/>
    <w:rsid w:val="00B50D5F"/>
    <w:rsid w:val="00B50DA5"/>
    <w:rsid w:val="00B50F5D"/>
    <w:rsid w:val="00B50F62"/>
    <w:rsid w:val="00B50FA8"/>
    <w:rsid w:val="00B50FB3"/>
    <w:rsid w:val="00B50FF8"/>
    <w:rsid w:val="00B5109C"/>
    <w:rsid w:val="00B510A6"/>
    <w:rsid w:val="00B510AC"/>
    <w:rsid w:val="00B51109"/>
    <w:rsid w:val="00B51160"/>
    <w:rsid w:val="00B5117A"/>
    <w:rsid w:val="00B51183"/>
    <w:rsid w:val="00B5119A"/>
    <w:rsid w:val="00B511CD"/>
    <w:rsid w:val="00B51234"/>
    <w:rsid w:val="00B51267"/>
    <w:rsid w:val="00B512AE"/>
    <w:rsid w:val="00B51391"/>
    <w:rsid w:val="00B5139F"/>
    <w:rsid w:val="00B51415"/>
    <w:rsid w:val="00B5142F"/>
    <w:rsid w:val="00B51443"/>
    <w:rsid w:val="00B514B4"/>
    <w:rsid w:val="00B51524"/>
    <w:rsid w:val="00B51619"/>
    <w:rsid w:val="00B5167A"/>
    <w:rsid w:val="00B516E2"/>
    <w:rsid w:val="00B517AC"/>
    <w:rsid w:val="00B517B9"/>
    <w:rsid w:val="00B517C3"/>
    <w:rsid w:val="00B51805"/>
    <w:rsid w:val="00B51870"/>
    <w:rsid w:val="00B5191E"/>
    <w:rsid w:val="00B5196A"/>
    <w:rsid w:val="00B51980"/>
    <w:rsid w:val="00B519DD"/>
    <w:rsid w:val="00B519F0"/>
    <w:rsid w:val="00B51A2E"/>
    <w:rsid w:val="00B51A74"/>
    <w:rsid w:val="00B51AEF"/>
    <w:rsid w:val="00B51B1A"/>
    <w:rsid w:val="00B51B26"/>
    <w:rsid w:val="00B51C05"/>
    <w:rsid w:val="00B51C55"/>
    <w:rsid w:val="00B51CA8"/>
    <w:rsid w:val="00B51D35"/>
    <w:rsid w:val="00B51D43"/>
    <w:rsid w:val="00B51D4C"/>
    <w:rsid w:val="00B51DEE"/>
    <w:rsid w:val="00B51E43"/>
    <w:rsid w:val="00B51E7B"/>
    <w:rsid w:val="00B51F01"/>
    <w:rsid w:val="00B51F90"/>
    <w:rsid w:val="00B51F97"/>
    <w:rsid w:val="00B51F9B"/>
    <w:rsid w:val="00B51FE0"/>
    <w:rsid w:val="00B5216A"/>
    <w:rsid w:val="00B521CB"/>
    <w:rsid w:val="00B521EA"/>
    <w:rsid w:val="00B52216"/>
    <w:rsid w:val="00B5225F"/>
    <w:rsid w:val="00B5229A"/>
    <w:rsid w:val="00B522A1"/>
    <w:rsid w:val="00B5232A"/>
    <w:rsid w:val="00B52345"/>
    <w:rsid w:val="00B52349"/>
    <w:rsid w:val="00B5235B"/>
    <w:rsid w:val="00B5238F"/>
    <w:rsid w:val="00B524DE"/>
    <w:rsid w:val="00B524F9"/>
    <w:rsid w:val="00B52507"/>
    <w:rsid w:val="00B5255A"/>
    <w:rsid w:val="00B5262A"/>
    <w:rsid w:val="00B526B5"/>
    <w:rsid w:val="00B526B8"/>
    <w:rsid w:val="00B526C5"/>
    <w:rsid w:val="00B5272A"/>
    <w:rsid w:val="00B5281B"/>
    <w:rsid w:val="00B52866"/>
    <w:rsid w:val="00B528D0"/>
    <w:rsid w:val="00B528D1"/>
    <w:rsid w:val="00B528E1"/>
    <w:rsid w:val="00B529D5"/>
    <w:rsid w:val="00B529DF"/>
    <w:rsid w:val="00B529FA"/>
    <w:rsid w:val="00B52A07"/>
    <w:rsid w:val="00B52A55"/>
    <w:rsid w:val="00B52A7F"/>
    <w:rsid w:val="00B52B00"/>
    <w:rsid w:val="00B52B67"/>
    <w:rsid w:val="00B52BD3"/>
    <w:rsid w:val="00B52C79"/>
    <w:rsid w:val="00B52CBB"/>
    <w:rsid w:val="00B52D38"/>
    <w:rsid w:val="00B52E03"/>
    <w:rsid w:val="00B52EA8"/>
    <w:rsid w:val="00B52EB8"/>
    <w:rsid w:val="00B52EF1"/>
    <w:rsid w:val="00B52F2B"/>
    <w:rsid w:val="00B5300D"/>
    <w:rsid w:val="00B53142"/>
    <w:rsid w:val="00B5315D"/>
    <w:rsid w:val="00B531B0"/>
    <w:rsid w:val="00B531B7"/>
    <w:rsid w:val="00B53235"/>
    <w:rsid w:val="00B53290"/>
    <w:rsid w:val="00B532E2"/>
    <w:rsid w:val="00B53337"/>
    <w:rsid w:val="00B533A5"/>
    <w:rsid w:val="00B53442"/>
    <w:rsid w:val="00B53458"/>
    <w:rsid w:val="00B53464"/>
    <w:rsid w:val="00B5346C"/>
    <w:rsid w:val="00B534B4"/>
    <w:rsid w:val="00B53538"/>
    <w:rsid w:val="00B535B0"/>
    <w:rsid w:val="00B535B3"/>
    <w:rsid w:val="00B535B6"/>
    <w:rsid w:val="00B536AF"/>
    <w:rsid w:val="00B536F8"/>
    <w:rsid w:val="00B53714"/>
    <w:rsid w:val="00B53721"/>
    <w:rsid w:val="00B53738"/>
    <w:rsid w:val="00B53756"/>
    <w:rsid w:val="00B537EE"/>
    <w:rsid w:val="00B537FB"/>
    <w:rsid w:val="00B53808"/>
    <w:rsid w:val="00B5397B"/>
    <w:rsid w:val="00B539C5"/>
    <w:rsid w:val="00B53A0F"/>
    <w:rsid w:val="00B53AEF"/>
    <w:rsid w:val="00B53B45"/>
    <w:rsid w:val="00B53BC5"/>
    <w:rsid w:val="00B53CBF"/>
    <w:rsid w:val="00B53CC6"/>
    <w:rsid w:val="00B53CDE"/>
    <w:rsid w:val="00B53D59"/>
    <w:rsid w:val="00B53DA0"/>
    <w:rsid w:val="00B53F87"/>
    <w:rsid w:val="00B53FB0"/>
    <w:rsid w:val="00B53FBC"/>
    <w:rsid w:val="00B54004"/>
    <w:rsid w:val="00B54030"/>
    <w:rsid w:val="00B54360"/>
    <w:rsid w:val="00B54472"/>
    <w:rsid w:val="00B5449B"/>
    <w:rsid w:val="00B54587"/>
    <w:rsid w:val="00B5459A"/>
    <w:rsid w:val="00B545A8"/>
    <w:rsid w:val="00B545FA"/>
    <w:rsid w:val="00B54723"/>
    <w:rsid w:val="00B5472D"/>
    <w:rsid w:val="00B54735"/>
    <w:rsid w:val="00B5476A"/>
    <w:rsid w:val="00B547F2"/>
    <w:rsid w:val="00B5487C"/>
    <w:rsid w:val="00B54936"/>
    <w:rsid w:val="00B54968"/>
    <w:rsid w:val="00B5498B"/>
    <w:rsid w:val="00B54A3E"/>
    <w:rsid w:val="00B54A48"/>
    <w:rsid w:val="00B54A85"/>
    <w:rsid w:val="00B54ABB"/>
    <w:rsid w:val="00B54AC8"/>
    <w:rsid w:val="00B54B3A"/>
    <w:rsid w:val="00B54BAC"/>
    <w:rsid w:val="00B54C7B"/>
    <w:rsid w:val="00B54CDC"/>
    <w:rsid w:val="00B54D08"/>
    <w:rsid w:val="00B54D2E"/>
    <w:rsid w:val="00B54D91"/>
    <w:rsid w:val="00B54DC5"/>
    <w:rsid w:val="00B54DF0"/>
    <w:rsid w:val="00B54E1C"/>
    <w:rsid w:val="00B54E34"/>
    <w:rsid w:val="00B54ECA"/>
    <w:rsid w:val="00B54EDB"/>
    <w:rsid w:val="00B54FCD"/>
    <w:rsid w:val="00B5501C"/>
    <w:rsid w:val="00B55076"/>
    <w:rsid w:val="00B5508D"/>
    <w:rsid w:val="00B550AC"/>
    <w:rsid w:val="00B550B2"/>
    <w:rsid w:val="00B55119"/>
    <w:rsid w:val="00B5511C"/>
    <w:rsid w:val="00B55146"/>
    <w:rsid w:val="00B55175"/>
    <w:rsid w:val="00B5517D"/>
    <w:rsid w:val="00B55193"/>
    <w:rsid w:val="00B5532C"/>
    <w:rsid w:val="00B5538C"/>
    <w:rsid w:val="00B55465"/>
    <w:rsid w:val="00B5548F"/>
    <w:rsid w:val="00B5551E"/>
    <w:rsid w:val="00B55524"/>
    <w:rsid w:val="00B55580"/>
    <w:rsid w:val="00B555A8"/>
    <w:rsid w:val="00B555C8"/>
    <w:rsid w:val="00B555C9"/>
    <w:rsid w:val="00B555D1"/>
    <w:rsid w:val="00B555DE"/>
    <w:rsid w:val="00B555E5"/>
    <w:rsid w:val="00B555E9"/>
    <w:rsid w:val="00B55658"/>
    <w:rsid w:val="00B55698"/>
    <w:rsid w:val="00B5572E"/>
    <w:rsid w:val="00B55779"/>
    <w:rsid w:val="00B557A1"/>
    <w:rsid w:val="00B55820"/>
    <w:rsid w:val="00B558AB"/>
    <w:rsid w:val="00B559BC"/>
    <w:rsid w:val="00B55A99"/>
    <w:rsid w:val="00B55AC4"/>
    <w:rsid w:val="00B55B42"/>
    <w:rsid w:val="00B55B84"/>
    <w:rsid w:val="00B55C2B"/>
    <w:rsid w:val="00B55C72"/>
    <w:rsid w:val="00B55C86"/>
    <w:rsid w:val="00B55DB3"/>
    <w:rsid w:val="00B55DD6"/>
    <w:rsid w:val="00B55E74"/>
    <w:rsid w:val="00B55F1E"/>
    <w:rsid w:val="00B55F51"/>
    <w:rsid w:val="00B55F54"/>
    <w:rsid w:val="00B55F64"/>
    <w:rsid w:val="00B55FD1"/>
    <w:rsid w:val="00B56096"/>
    <w:rsid w:val="00B56112"/>
    <w:rsid w:val="00B562E8"/>
    <w:rsid w:val="00B56347"/>
    <w:rsid w:val="00B56381"/>
    <w:rsid w:val="00B5642D"/>
    <w:rsid w:val="00B56460"/>
    <w:rsid w:val="00B56498"/>
    <w:rsid w:val="00B564C2"/>
    <w:rsid w:val="00B5651A"/>
    <w:rsid w:val="00B5653F"/>
    <w:rsid w:val="00B56586"/>
    <w:rsid w:val="00B56590"/>
    <w:rsid w:val="00B56595"/>
    <w:rsid w:val="00B565AD"/>
    <w:rsid w:val="00B565DE"/>
    <w:rsid w:val="00B56640"/>
    <w:rsid w:val="00B56687"/>
    <w:rsid w:val="00B566E9"/>
    <w:rsid w:val="00B56723"/>
    <w:rsid w:val="00B567A4"/>
    <w:rsid w:val="00B5682A"/>
    <w:rsid w:val="00B5683F"/>
    <w:rsid w:val="00B56861"/>
    <w:rsid w:val="00B5696F"/>
    <w:rsid w:val="00B56A42"/>
    <w:rsid w:val="00B56A4F"/>
    <w:rsid w:val="00B56A8B"/>
    <w:rsid w:val="00B56BC9"/>
    <w:rsid w:val="00B56D63"/>
    <w:rsid w:val="00B56DB4"/>
    <w:rsid w:val="00B56DB5"/>
    <w:rsid w:val="00B56EEE"/>
    <w:rsid w:val="00B56F26"/>
    <w:rsid w:val="00B56FDD"/>
    <w:rsid w:val="00B56FF3"/>
    <w:rsid w:val="00B57035"/>
    <w:rsid w:val="00B57038"/>
    <w:rsid w:val="00B570A4"/>
    <w:rsid w:val="00B57115"/>
    <w:rsid w:val="00B571F1"/>
    <w:rsid w:val="00B57214"/>
    <w:rsid w:val="00B57233"/>
    <w:rsid w:val="00B572D2"/>
    <w:rsid w:val="00B57311"/>
    <w:rsid w:val="00B57344"/>
    <w:rsid w:val="00B573C6"/>
    <w:rsid w:val="00B573CA"/>
    <w:rsid w:val="00B5744F"/>
    <w:rsid w:val="00B5745E"/>
    <w:rsid w:val="00B5749A"/>
    <w:rsid w:val="00B574DE"/>
    <w:rsid w:val="00B57573"/>
    <w:rsid w:val="00B575B2"/>
    <w:rsid w:val="00B575BF"/>
    <w:rsid w:val="00B575FB"/>
    <w:rsid w:val="00B57607"/>
    <w:rsid w:val="00B5768A"/>
    <w:rsid w:val="00B57698"/>
    <w:rsid w:val="00B57770"/>
    <w:rsid w:val="00B5787D"/>
    <w:rsid w:val="00B5788B"/>
    <w:rsid w:val="00B578B1"/>
    <w:rsid w:val="00B57952"/>
    <w:rsid w:val="00B579FB"/>
    <w:rsid w:val="00B57A0D"/>
    <w:rsid w:val="00B57A14"/>
    <w:rsid w:val="00B57AA7"/>
    <w:rsid w:val="00B57B0E"/>
    <w:rsid w:val="00B57B19"/>
    <w:rsid w:val="00B57B35"/>
    <w:rsid w:val="00B57B88"/>
    <w:rsid w:val="00B57B8B"/>
    <w:rsid w:val="00B57C54"/>
    <w:rsid w:val="00B57D3C"/>
    <w:rsid w:val="00B57D82"/>
    <w:rsid w:val="00B57DF5"/>
    <w:rsid w:val="00B57E27"/>
    <w:rsid w:val="00B57EF8"/>
    <w:rsid w:val="00B57F10"/>
    <w:rsid w:val="00B57F1E"/>
    <w:rsid w:val="00B57FD7"/>
    <w:rsid w:val="00B60063"/>
    <w:rsid w:val="00B60087"/>
    <w:rsid w:val="00B600AB"/>
    <w:rsid w:val="00B600BC"/>
    <w:rsid w:val="00B600D5"/>
    <w:rsid w:val="00B600E4"/>
    <w:rsid w:val="00B600FA"/>
    <w:rsid w:val="00B6018B"/>
    <w:rsid w:val="00B6018E"/>
    <w:rsid w:val="00B602BA"/>
    <w:rsid w:val="00B60349"/>
    <w:rsid w:val="00B6038E"/>
    <w:rsid w:val="00B60409"/>
    <w:rsid w:val="00B60437"/>
    <w:rsid w:val="00B604D1"/>
    <w:rsid w:val="00B6059D"/>
    <w:rsid w:val="00B6069A"/>
    <w:rsid w:val="00B60842"/>
    <w:rsid w:val="00B608B3"/>
    <w:rsid w:val="00B608BC"/>
    <w:rsid w:val="00B60947"/>
    <w:rsid w:val="00B60A07"/>
    <w:rsid w:val="00B60A0D"/>
    <w:rsid w:val="00B60AB8"/>
    <w:rsid w:val="00B60ACA"/>
    <w:rsid w:val="00B60B0C"/>
    <w:rsid w:val="00B60BF4"/>
    <w:rsid w:val="00B60BF9"/>
    <w:rsid w:val="00B60C7A"/>
    <w:rsid w:val="00B60C99"/>
    <w:rsid w:val="00B60CE5"/>
    <w:rsid w:val="00B60D13"/>
    <w:rsid w:val="00B60E01"/>
    <w:rsid w:val="00B60E46"/>
    <w:rsid w:val="00B60E9A"/>
    <w:rsid w:val="00B60F54"/>
    <w:rsid w:val="00B60F8D"/>
    <w:rsid w:val="00B6101C"/>
    <w:rsid w:val="00B6104F"/>
    <w:rsid w:val="00B610CA"/>
    <w:rsid w:val="00B610D3"/>
    <w:rsid w:val="00B61155"/>
    <w:rsid w:val="00B611DF"/>
    <w:rsid w:val="00B61218"/>
    <w:rsid w:val="00B61297"/>
    <w:rsid w:val="00B612EA"/>
    <w:rsid w:val="00B6132F"/>
    <w:rsid w:val="00B61440"/>
    <w:rsid w:val="00B61448"/>
    <w:rsid w:val="00B6144C"/>
    <w:rsid w:val="00B61461"/>
    <w:rsid w:val="00B6147C"/>
    <w:rsid w:val="00B61486"/>
    <w:rsid w:val="00B614E3"/>
    <w:rsid w:val="00B61560"/>
    <w:rsid w:val="00B615D7"/>
    <w:rsid w:val="00B616E9"/>
    <w:rsid w:val="00B6172F"/>
    <w:rsid w:val="00B617B9"/>
    <w:rsid w:val="00B617C4"/>
    <w:rsid w:val="00B6186D"/>
    <w:rsid w:val="00B61ACB"/>
    <w:rsid w:val="00B61B05"/>
    <w:rsid w:val="00B61BAD"/>
    <w:rsid w:val="00B61BC4"/>
    <w:rsid w:val="00B61BCE"/>
    <w:rsid w:val="00B61BDD"/>
    <w:rsid w:val="00B61BF9"/>
    <w:rsid w:val="00B61C66"/>
    <w:rsid w:val="00B61D29"/>
    <w:rsid w:val="00B61D92"/>
    <w:rsid w:val="00B61DE8"/>
    <w:rsid w:val="00B61E4D"/>
    <w:rsid w:val="00B61E6E"/>
    <w:rsid w:val="00B61E91"/>
    <w:rsid w:val="00B61F38"/>
    <w:rsid w:val="00B61F5B"/>
    <w:rsid w:val="00B62034"/>
    <w:rsid w:val="00B6204B"/>
    <w:rsid w:val="00B6205E"/>
    <w:rsid w:val="00B62084"/>
    <w:rsid w:val="00B62093"/>
    <w:rsid w:val="00B6213D"/>
    <w:rsid w:val="00B621E8"/>
    <w:rsid w:val="00B62258"/>
    <w:rsid w:val="00B62259"/>
    <w:rsid w:val="00B6234A"/>
    <w:rsid w:val="00B62367"/>
    <w:rsid w:val="00B6239C"/>
    <w:rsid w:val="00B623E3"/>
    <w:rsid w:val="00B623FA"/>
    <w:rsid w:val="00B62413"/>
    <w:rsid w:val="00B62468"/>
    <w:rsid w:val="00B624C0"/>
    <w:rsid w:val="00B62512"/>
    <w:rsid w:val="00B625A8"/>
    <w:rsid w:val="00B625BA"/>
    <w:rsid w:val="00B62604"/>
    <w:rsid w:val="00B62662"/>
    <w:rsid w:val="00B6269E"/>
    <w:rsid w:val="00B626EE"/>
    <w:rsid w:val="00B62749"/>
    <w:rsid w:val="00B6277B"/>
    <w:rsid w:val="00B6286E"/>
    <w:rsid w:val="00B62873"/>
    <w:rsid w:val="00B628EF"/>
    <w:rsid w:val="00B6292A"/>
    <w:rsid w:val="00B629A1"/>
    <w:rsid w:val="00B629CF"/>
    <w:rsid w:val="00B629DF"/>
    <w:rsid w:val="00B62A48"/>
    <w:rsid w:val="00B62AA0"/>
    <w:rsid w:val="00B62B6E"/>
    <w:rsid w:val="00B62B79"/>
    <w:rsid w:val="00B62C35"/>
    <w:rsid w:val="00B62C5F"/>
    <w:rsid w:val="00B62CF5"/>
    <w:rsid w:val="00B62CF9"/>
    <w:rsid w:val="00B62DB1"/>
    <w:rsid w:val="00B62DD3"/>
    <w:rsid w:val="00B62DF2"/>
    <w:rsid w:val="00B62DF4"/>
    <w:rsid w:val="00B62E2A"/>
    <w:rsid w:val="00B62E5D"/>
    <w:rsid w:val="00B62E69"/>
    <w:rsid w:val="00B62EA6"/>
    <w:rsid w:val="00B62F00"/>
    <w:rsid w:val="00B62F2B"/>
    <w:rsid w:val="00B62F75"/>
    <w:rsid w:val="00B62FEE"/>
    <w:rsid w:val="00B63006"/>
    <w:rsid w:val="00B63011"/>
    <w:rsid w:val="00B63014"/>
    <w:rsid w:val="00B63036"/>
    <w:rsid w:val="00B6305D"/>
    <w:rsid w:val="00B63099"/>
    <w:rsid w:val="00B6314B"/>
    <w:rsid w:val="00B6319B"/>
    <w:rsid w:val="00B631C0"/>
    <w:rsid w:val="00B6322D"/>
    <w:rsid w:val="00B63254"/>
    <w:rsid w:val="00B6328E"/>
    <w:rsid w:val="00B6330B"/>
    <w:rsid w:val="00B6335B"/>
    <w:rsid w:val="00B633AB"/>
    <w:rsid w:val="00B63402"/>
    <w:rsid w:val="00B6340E"/>
    <w:rsid w:val="00B6345E"/>
    <w:rsid w:val="00B63479"/>
    <w:rsid w:val="00B635BF"/>
    <w:rsid w:val="00B635DE"/>
    <w:rsid w:val="00B635E9"/>
    <w:rsid w:val="00B63685"/>
    <w:rsid w:val="00B63698"/>
    <w:rsid w:val="00B636BE"/>
    <w:rsid w:val="00B636DA"/>
    <w:rsid w:val="00B6377D"/>
    <w:rsid w:val="00B637B8"/>
    <w:rsid w:val="00B637EB"/>
    <w:rsid w:val="00B63851"/>
    <w:rsid w:val="00B638D2"/>
    <w:rsid w:val="00B639CA"/>
    <w:rsid w:val="00B639D2"/>
    <w:rsid w:val="00B639E4"/>
    <w:rsid w:val="00B639FD"/>
    <w:rsid w:val="00B63A3F"/>
    <w:rsid w:val="00B63A68"/>
    <w:rsid w:val="00B63A84"/>
    <w:rsid w:val="00B63A90"/>
    <w:rsid w:val="00B63B7E"/>
    <w:rsid w:val="00B63C13"/>
    <w:rsid w:val="00B63C1E"/>
    <w:rsid w:val="00B63C39"/>
    <w:rsid w:val="00B63C70"/>
    <w:rsid w:val="00B63CB4"/>
    <w:rsid w:val="00B63D2D"/>
    <w:rsid w:val="00B63D46"/>
    <w:rsid w:val="00B63D7D"/>
    <w:rsid w:val="00B63DA5"/>
    <w:rsid w:val="00B63DCC"/>
    <w:rsid w:val="00B63DDC"/>
    <w:rsid w:val="00B63E29"/>
    <w:rsid w:val="00B63EEA"/>
    <w:rsid w:val="00B63FE9"/>
    <w:rsid w:val="00B64025"/>
    <w:rsid w:val="00B6416F"/>
    <w:rsid w:val="00B641B7"/>
    <w:rsid w:val="00B641CE"/>
    <w:rsid w:val="00B641E9"/>
    <w:rsid w:val="00B6433E"/>
    <w:rsid w:val="00B64357"/>
    <w:rsid w:val="00B643D6"/>
    <w:rsid w:val="00B64419"/>
    <w:rsid w:val="00B644EC"/>
    <w:rsid w:val="00B64543"/>
    <w:rsid w:val="00B6465D"/>
    <w:rsid w:val="00B64742"/>
    <w:rsid w:val="00B6479B"/>
    <w:rsid w:val="00B647E8"/>
    <w:rsid w:val="00B64908"/>
    <w:rsid w:val="00B64919"/>
    <w:rsid w:val="00B64A0A"/>
    <w:rsid w:val="00B64A10"/>
    <w:rsid w:val="00B64A76"/>
    <w:rsid w:val="00B64A94"/>
    <w:rsid w:val="00B64B21"/>
    <w:rsid w:val="00B64B48"/>
    <w:rsid w:val="00B64B8A"/>
    <w:rsid w:val="00B64C02"/>
    <w:rsid w:val="00B64CB6"/>
    <w:rsid w:val="00B64CE6"/>
    <w:rsid w:val="00B64D32"/>
    <w:rsid w:val="00B64D7D"/>
    <w:rsid w:val="00B64ECD"/>
    <w:rsid w:val="00B64F48"/>
    <w:rsid w:val="00B650E7"/>
    <w:rsid w:val="00B65185"/>
    <w:rsid w:val="00B6520D"/>
    <w:rsid w:val="00B65227"/>
    <w:rsid w:val="00B65253"/>
    <w:rsid w:val="00B6528D"/>
    <w:rsid w:val="00B652D1"/>
    <w:rsid w:val="00B65322"/>
    <w:rsid w:val="00B65361"/>
    <w:rsid w:val="00B65407"/>
    <w:rsid w:val="00B65411"/>
    <w:rsid w:val="00B65453"/>
    <w:rsid w:val="00B654F8"/>
    <w:rsid w:val="00B654FC"/>
    <w:rsid w:val="00B65512"/>
    <w:rsid w:val="00B6555D"/>
    <w:rsid w:val="00B655B5"/>
    <w:rsid w:val="00B657AB"/>
    <w:rsid w:val="00B65847"/>
    <w:rsid w:val="00B65856"/>
    <w:rsid w:val="00B658AD"/>
    <w:rsid w:val="00B65948"/>
    <w:rsid w:val="00B65A1B"/>
    <w:rsid w:val="00B65AA2"/>
    <w:rsid w:val="00B65B76"/>
    <w:rsid w:val="00B65BF1"/>
    <w:rsid w:val="00B65CE3"/>
    <w:rsid w:val="00B65D5B"/>
    <w:rsid w:val="00B65D8F"/>
    <w:rsid w:val="00B65E5E"/>
    <w:rsid w:val="00B65E5F"/>
    <w:rsid w:val="00B65ECC"/>
    <w:rsid w:val="00B65ED2"/>
    <w:rsid w:val="00B65F16"/>
    <w:rsid w:val="00B65F84"/>
    <w:rsid w:val="00B66000"/>
    <w:rsid w:val="00B66229"/>
    <w:rsid w:val="00B66260"/>
    <w:rsid w:val="00B662E8"/>
    <w:rsid w:val="00B6632A"/>
    <w:rsid w:val="00B663A6"/>
    <w:rsid w:val="00B663D0"/>
    <w:rsid w:val="00B66426"/>
    <w:rsid w:val="00B664AA"/>
    <w:rsid w:val="00B6654D"/>
    <w:rsid w:val="00B665B2"/>
    <w:rsid w:val="00B6663E"/>
    <w:rsid w:val="00B666FA"/>
    <w:rsid w:val="00B6675C"/>
    <w:rsid w:val="00B66898"/>
    <w:rsid w:val="00B668A8"/>
    <w:rsid w:val="00B66964"/>
    <w:rsid w:val="00B669C9"/>
    <w:rsid w:val="00B66A87"/>
    <w:rsid w:val="00B66AD3"/>
    <w:rsid w:val="00B66AED"/>
    <w:rsid w:val="00B66B92"/>
    <w:rsid w:val="00B66BB0"/>
    <w:rsid w:val="00B66BC6"/>
    <w:rsid w:val="00B66BFC"/>
    <w:rsid w:val="00B66C17"/>
    <w:rsid w:val="00B66C57"/>
    <w:rsid w:val="00B66CEB"/>
    <w:rsid w:val="00B66D4F"/>
    <w:rsid w:val="00B66D74"/>
    <w:rsid w:val="00B66E0E"/>
    <w:rsid w:val="00B66E44"/>
    <w:rsid w:val="00B66E64"/>
    <w:rsid w:val="00B66EDE"/>
    <w:rsid w:val="00B66EED"/>
    <w:rsid w:val="00B66EF7"/>
    <w:rsid w:val="00B66F69"/>
    <w:rsid w:val="00B67026"/>
    <w:rsid w:val="00B670A1"/>
    <w:rsid w:val="00B67138"/>
    <w:rsid w:val="00B67286"/>
    <w:rsid w:val="00B672FA"/>
    <w:rsid w:val="00B67335"/>
    <w:rsid w:val="00B67367"/>
    <w:rsid w:val="00B67396"/>
    <w:rsid w:val="00B674E3"/>
    <w:rsid w:val="00B676BF"/>
    <w:rsid w:val="00B678D1"/>
    <w:rsid w:val="00B679CC"/>
    <w:rsid w:val="00B67A26"/>
    <w:rsid w:val="00B67A38"/>
    <w:rsid w:val="00B67A46"/>
    <w:rsid w:val="00B67A78"/>
    <w:rsid w:val="00B67B17"/>
    <w:rsid w:val="00B67BBB"/>
    <w:rsid w:val="00B67BC1"/>
    <w:rsid w:val="00B67BC8"/>
    <w:rsid w:val="00B67BCC"/>
    <w:rsid w:val="00B67C41"/>
    <w:rsid w:val="00B67C6C"/>
    <w:rsid w:val="00B67CC5"/>
    <w:rsid w:val="00B67D24"/>
    <w:rsid w:val="00B67DAC"/>
    <w:rsid w:val="00B67E46"/>
    <w:rsid w:val="00B67FA1"/>
    <w:rsid w:val="00B67FE7"/>
    <w:rsid w:val="00B70014"/>
    <w:rsid w:val="00B70030"/>
    <w:rsid w:val="00B7004F"/>
    <w:rsid w:val="00B70082"/>
    <w:rsid w:val="00B70095"/>
    <w:rsid w:val="00B700E2"/>
    <w:rsid w:val="00B70108"/>
    <w:rsid w:val="00B70136"/>
    <w:rsid w:val="00B70147"/>
    <w:rsid w:val="00B70231"/>
    <w:rsid w:val="00B7026A"/>
    <w:rsid w:val="00B70343"/>
    <w:rsid w:val="00B70345"/>
    <w:rsid w:val="00B703A7"/>
    <w:rsid w:val="00B703FF"/>
    <w:rsid w:val="00B70496"/>
    <w:rsid w:val="00B70497"/>
    <w:rsid w:val="00B704C4"/>
    <w:rsid w:val="00B70528"/>
    <w:rsid w:val="00B7054E"/>
    <w:rsid w:val="00B705E6"/>
    <w:rsid w:val="00B7065E"/>
    <w:rsid w:val="00B706CE"/>
    <w:rsid w:val="00B706D6"/>
    <w:rsid w:val="00B7072C"/>
    <w:rsid w:val="00B707CB"/>
    <w:rsid w:val="00B7087E"/>
    <w:rsid w:val="00B70935"/>
    <w:rsid w:val="00B7093F"/>
    <w:rsid w:val="00B70954"/>
    <w:rsid w:val="00B7099C"/>
    <w:rsid w:val="00B709B6"/>
    <w:rsid w:val="00B70AAD"/>
    <w:rsid w:val="00B70AD5"/>
    <w:rsid w:val="00B70AEE"/>
    <w:rsid w:val="00B70B00"/>
    <w:rsid w:val="00B70B19"/>
    <w:rsid w:val="00B70B63"/>
    <w:rsid w:val="00B70B81"/>
    <w:rsid w:val="00B70BA9"/>
    <w:rsid w:val="00B70BD3"/>
    <w:rsid w:val="00B70C65"/>
    <w:rsid w:val="00B70CF2"/>
    <w:rsid w:val="00B70D10"/>
    <w:rsid w:val="00B70D18"/>
    <w:rsid w:val="00B70DB7"/>
    <w:rsid w:val="00B70E6E"/>
    <w:rsid w:val="00B70E74"/>
    <w:rsid w:val="00B70E7F"/>
    <w:rsid w:val="00B70EFB"/>
    <w:rsid w:val="00B70F2A"/>
    <w:rsid w:val="00B70F33"/>
    <w:rsid w:val="00B70F45"/>
    <w:rsid w:val="00B70FCF"/>
    <w:rsid w:val="00B71086"/>
    <w:rsid w:val="00B710B8"/>
    <w:rsid w:val="00B710EA"/>
    <w:rsid w:val="00B7115E"/>
    <w:rsid w:val="00B711DD"/>
    <w:rsid w:val="00B711FD"/>
    <w:rsid w:val="00B7125B"/>
    <w:rsid w:val="00B7125D"/>
    <w:rsid w:val="00B712D0"/>
    <w:rsid w:val="00B71326"/>
    <w:rsid w:val="00B713E4"/>
    <w:rsid w:val="00B713ED"/>
    <w:rsid w:val="00B7145C"/>
    <w:rsid w:val="00B71550"/>
    <w:rsid w:val="00B71612"/>
    <w:rsid w:val="00B7161F"/>
    <w:rsid w:val="00B7162F"/>
    <w:rsid w:val="00B71679"/>
    <w:rsid w:val="00B716AE"/>
    <w:rsid w:val="00B716B0"/>
    <w:rsid w:val="00B716C9"/>
    <w:rsid w:val="00B71704"/>
    <w:rsid w:val="00B7184C"/>
    <w:rsid w:val="00B71870"/>
    <w:rsid w:val="00B718E8"/>
    <w:rsid w:val="00B7191D"/>
    <w:rsid w:val="00B71992"/>
    <w:rsid w:val="00B719D0"/>
    <w:rsid w:val="00B71A33"/>
    <w:rsid w:val="00B71B1A"/>
    <w:rsid w:val="00B71BC6"/>
    <w:rsid w:val="00B71BDF"/>
    <w:rsid w:val="00B71C29"/>
    <w:rsid w:val="00B71CC8"/>
    <w:rsid w:val="00B71D02"/>
    <w:rsid w:val="00B71DB5"/>
    <w:rsid w:val="00B71E08"/>
    <w:rsid w:val="00B71E0D"/>
    <w:rsid w:val="00B71E1D"/>
    <w:rsid w:val="00B71E7E"/>
    <w:rsid w:val="00B71EE8"/>
    <w:rsid w:val="00B71F58"/>
    <w:rsid w:val="00B7204B"/>
    <w:rsid w:val="00B720C9"/>
    <w:rsid w:val="00B720CF"/>
    <w:rsid w:val="00B72115"/>
    <w:rsid w:val="00B72186"/>
    <w:rsid w:val="00B721EF"/>
    <w:rsid w:val="00B7222C"/>
    <w:rsid w:val="00B7225F"/>
    <w:rsid w:val="00B7228E"/>
    <w:rsid w:val="00B72452"/>
    <w:rsid w:val="00B72483"/>
    <w:rsid w:val="00B72484"/>
    <w:rsid w:val="00B72524"/>
    <w:rsid w:val="00B72529"/>
    <w:rsid w:val="00B725BC"/>
    <w:rsid w:val="00B7263E"/>
    <w:rsid w:val="00B72701"/>
    <w:rsid w:val="00B72750"/>
    <w:rsid w:val="00B7275A"/>
    <w:rsid w:val="00B72871"/>
    <w:rsid w:val="00B7287F"/>
    <w:rsid w:val="00B7288A"/>
    <w:rsid w:val="00B728E4"/>
    <w:rsid w:val="00B72923"/>
    <w:rsid w:val="00B7294F"/>
    <w:rsid w:val="00B729AD"/>
    <w:rsid w:val="00B729B0"/>
    <w:rsid w:val="00B729F0"/>
    <w:rsid w:val="00B72A09"/>
    <w:rsid w:val="00B72A10"/>
    <w:rsid w:val="00B72A78"/>
    <w:rsid w:val="00B72AC1"/>
    <w:rsid w:val="00B72B2C"/>
    <w:rsid w:val="00B72BA8"/>
    <w:rsid w:val="00B72BB0"/>
    <w:rsid w:val="00B72BBC"/>
    <w:rsid w:val="00B72BC8"/>
    <w:rsid w:val="00B72C31"/>
    <w:rsid w:val="00B72CCE"/>
    <w:rsid w:val="00B72CFC"/>
    <w:rsid w:val="00B72D06"/>
    <w:rsid w:val="00B72D24"/>
    <w:rsid w:val="00B72D37"/>
    <w:rsid w:val="00B72D3C"/>
    <w:rsid w:val="00B72D6C"/>
    <w:rsid w:val="00B72D86"/>
    <w:rsid w:val="00B72DB2"/>
    <w:rsid w:val="00B72E1B"/>
    <w:rsid w:val="00B72E32"/>
    <w:rsid w:val="00B72F80"/>
    <w:rsid w:val="00B72FAD"/>
    <w:rsid w:val="00B72FDB"/>
    <w:rsid w:val="00B72FFF"/>
    <w:rsid w:val="00B73109"/>
    <w:rsid w:val="00B73171"/>
    <w:rsid w:val="00B731A6"/>
    <w:rsid w:val="00B7325C"/>
    <w:rsid w:val="00B7340F"/>
    <w:rsid w:val="00B73415"/>
    <w:rsid w:val="00B7345E"/>
    <w:rsid w:val="00B73472"/>
    <w:rsid w:val="00B734CB"/>
    <w:rsid w:val="00B7354C"/>
    <w:rsid w:val="00B7356E"/>
    <w:rsid w:val="00B7373C"/>
    <w:rsid w:val="00B73785"/>
    <w:rsid w:val="00B737D3"/>
    <w:rsid w:val="00B7380E"/>
    <w:rsid w:val="00B73884"/>
    <w:rsid w:val="00B7389A"/>
    <w:rsid w:val="00B7391A"/>
    <w:rsid w:val="00B7391D"/>
    <w:rsid w:val="00B73923"/>
    <w:rsid w:val="00B7393D"/>
    <w:rsid w:val="00B739BE"/>
    <w:rsid w:val="00B739CC"/>
    <w:rsid w:val="00B73A0C"/>
    <w:rsid w:val="00B73A6E"/>
    <w:rsid w:val="00B73B5A"/>
    <w:rsid w:val="00B73B9C"/>
    <w:rsid w:val="00B73BBA"/>
    <w:rsid w:val="00B73BEC"/>
    <w:rsid w:val="00B73C07"/>
    <w:rsid w:val="00B73D6C"/>
    <w:rsid w:val="00B73E20"/>
    <w:rsid w:val="00B73EC4"/>
    <w:rsid w:val="00B73ECC"/>
    <w:rsid w:val="00B73F2B"/>
    <w:rsid w:val="00B73F7F"/>
    <w:rsid w:val="00B73FBF"/>
    <w:rsid w:val="00B74000"/>
    <w:rsid w:val="00B7402A"/>
    <w:rsid w:val="00B74070"/>
    <w:rsid w:val="00B740B6"/>
    <w:rsid w:val="00B741CF"/>
    <w:rsid w:val="00B741D7"/>
    <w:rsid w:val="00B7425A"/>
    <w:rsid w:val="00B7429A"/>
    <w:rsid w:val="00B742B5"/>
    <w:rsid w:val="00B742B9"/>
    <w:rsid w:val="00B742D0"/>
    <w:rsid w:val="00B74356"/>
    <w:rsid w:val="00B7435E"/>
    <w:rsid w:val="00B743F0"/>
    <w:rsid w:val="00B744B5"/>
    <w:rsid w:val="00B744FE"/>
    <w:rsid w:val="00B745E0"/>
    <w:rsid w:val="00B74632"/>
    <w:rsid w:val="00B7466B"/>
    <w:rsid w:val="00B746F6"/>
    <w:rsid w:val="00B74732"/>
    <w:rsid w:val="00B74747"/>
    <w:rsid w:val="00B7476A"/>
    <w:rsid w:val="00B747B3"/>
    <w:rsid w:val="00B747C3"/>
    <w:rsid w:val="00B7485A"/>
    <w:rsid w:val="00B74966"/>
    <w:rsid w:val="00B749A2"/>
    <w:rsid w:val="00B74A3E"/>
    <w:rsid w:val="00B74A51"/>
    <w:rsid w:val="00B74A60"/>
    <w:rsid w:val="00B74A87"/>
    <w:rsid w:val="00B74AAE"/>
    <w:rsid w:val="00B74AB8"/>
    <w:rsid w:val="00B74ACC"/>
    <w:rsid w:val="00B74EE2"/>
    <w:rsid w:val="00B74EE9"/>
    <w:rsid w:val="00B74F85"/>
    <w:rsid w:val="00B74F9B"/>
    <w:rsid w:val="00B75014"/>
    <w:rsid w:val="00B750E5"/>
    <w:rsid w:val="00B75131"/>
    <w:rsid w:val="00B75195"/>
    <w:rsid w:val="00B751D1"/>
    <w:rsid w:val="00B7529E"/>
    <w:rsid w:val="00B752D9"/>
    <w:rsid w:val="00B752E1"/>
    <w:rsid w:val="00B752FA"/>
    <w:rsid w:val="00B753F9"/>
    <w:rsid w:val="00B7549D"/>
    <w:rsid w:val="00B75599"/>
    <w:rsid w:val="00B7567A"/>
    <w:rsid w:val="00B75697"/>
    <w:rsid w:val="00B7569D"/>
    <w:rsid w:val="00B756F4"/>
    <w:rsid w:val="00B75717"/>
    <w:rsid w:val="00B75728"/>
    <w:rsid w:val="00B7578E"/>
    <w:rsid w:val="00B7579B"/>
    <w:rsid w:val="00B757E5"/>
    <w:rsid w:val="00B7582D"/>
    <w:rsid w:val="00B75899"/>
    <w:rsid w:val="00B7589B"/>
    <w:rsid w:val="00B758BA"/>
    <w:rsid w:val="00B7595E"/>
    <w:rsid w:val="00B75965"/>
    <w:rsid w:val="00B759B9"/>
    <w:rsid w:val="00B759CD"/>
    <w:rsid w:val="00B759F2"/>
    <w:rsid w:val="00B75A4F"/>
    <w:rsid w:val="00B75AA5"/>
    <w:rsid w:val="00B75B1F"/>
    <w:rsid w:val="00B75B85"/>
    <w:rsid w:val="00B75C0F"/>
    <w:rsid w:val="00B75C43"/>
    <w:rsid w:val="00B75C8C"/>
    <w:rsid w:val="00B75C97"/>
    <w:rsid w:val="00B75D23"/>
    <w:rsid w:val="00B75D4D"/>
    <w:rsid w:val="00B75D66"/>
    <w:rsid w:val="00B75DAC"/>
    <w:rsid w:val="00B75E55"/>
    <w:rsid w:val="00B75EB7"/>
    <w:rsid w:val="00B75EE6"/>
    <w:rsid w:val="00B75EFB"/>
    <w:rsid w:val="00B75F12"/>
    <w:rsid w:val="00B75FB4"/>
    <w:rsid w:val="00B75FBE"/>
    <w:rsid w:val="00B7602D"/>
    <w:rsid w:val="00B7602E"/>
    <w:rsid w:val="00B761A2"/>
    <w:rsid w:val="00B761C1"/>
    <w:rsid w:val="00B7621E"/>
    <w:rsid w:val="00B76262"/>
    <w:rsid w:val="00B76263"/>
    <w:rsid w:val="00B762CF"/>
    <w:rsid w:val="00B76312"/>
    <w:rsid w:val="00B7631E"/>
    <w:rsid w:val="00B76371"/>
    <w:rsid w:val="00B76382"/>
    <w:rsid w:val="00B763AC"/>
    <w:rsid w:val="00B763F2"/>
    <w:rsid w:val="00B7645D"/>
    <w:rsid w:val="00B76460"/>
    <w:rsid w:val="00B76531"/>
    <w:rsid w:val="00B7656D"/>
    <w:rsid w:val="00B76580"/>
    <w:rsid w:val="00B76587"/>
    <w:rsid w:val="00B765B9"/>
    <w:rsid w:val="00B766AE"/>
    <w:rsid w:val="00B76732"/>
    <w:rsid w:val="00B767B7"/>
    <w:rsid w:val="00B767D9"/>
    <w:rsid w:val="00B76985"/>
    <w:rsid w:val="00B769B6"/>
    <w:rsid w:val="00B769E0"/>
    <w:rsid w:val="00B76A52"/>
    <w:rsid w:val="00B76AA4"/>
    <w:rsid w:val="00B76BDA"/>
    <w:rsid w:val="00B76BE8"/>
    <w:rsid w:val="00B76C4E"/>
    <w:rsid w:val="00B76CA9"/>
    <w:rsid w:val="00B76CBE"/>
    <w:rsid w:val="00B76D2D"/>
    <w:rsid w:val="00B76DCC"/>
    <w:rsid w:val="00B76E0C"/>
    <w:rsid w:val="00B76E29"/>
    <w:rsid w:val="00B76E6F"/>
    <w:rsid w:val="00B76E7E"/>
    <w:rsid w:val="00B76EB3"/>
    <w:rsid w:val="00B76EC8"/>
    <w:rsid w:val="00B76F98"/>
    <w:rsid w:val="00B77000"/>
    <w:rsid w:val="00B7702F"/>
    <w:rsid w:val="00B77057"/>
    <w:rsid w:val="00B77081"/>
    <w:rsid w:val="00B7710F"/>
    <w:rsid w:val="00B77163"/>
    <w:rsid w:val="00B771CE"/>
    <w:rsid w:val="00B7721B"/>
    <w:rsid w:val="00B77270"/>
    <w:rsid w:val="00B77362"/>
    <w:rsid w:val="00B773B3"/>
    <w:rsid w:val="00B773EC"/>
    <w:rsid w:val="00B77417"/>
    <w:rsid w:val="00B77486"/>
    <w:rsid w:val="00B77562"/>
    <w:rsid w:val="00B77595"/>
    <w:rsid w:val="00B775D0"/>
    <w:rsid w:val="00B775F3"/>
    <w:rsid w:val="00B775FA"/>
    <w:rsid w:val="00B7764E"/>
    <w:rsid w:val="00B776ED"/>
    <w:rsid w:val="00B77723"/>
    <w:rsid w:val="00B7774B"/>
    <w:rsid w:val="00B77761"/>
    <w:rsid w:val="00B7776C"/>
    <w:rsid w:val="00B777D5"/>
    <w:rsid w:val="00B778C4"/>
    <w:rsid w:val="00B7796D"/>
    <w:rsid w:val="00B779D3"/>
    <w:rsid w:val="00B77A17"/>
    <w:rsid w:val="00B77A31"/>
    <w:rsid w:val="00B77A9D"/>
    <w:rsid w:val="00B77AAA"/>
    <w:rsid w:val="00B77B40"/>
    <w:rsid w:val="00B77B53"/>
    <w:rsid w:val="00B77B81"/>
    <w:rsid w:val="00B77BF0"/>
    <w:rsid w:val="00B77BF1"/>
    <w:rsid w:val="00B77C72"/>
    <w:rsid w:val="00B77C7B"/>
    <w:rsid w:val="00B77E48"/>
    <w:rsid w:val="00B77EDF"/>
    <w:rsid w:val="00B77F70"/>
    <w:rsid w:val="00B801C9"/>
    <w:rsid w:val="00B8025A"/>
    <w:rsid w:val="00B8028C"/>
    <w:rsid w:val="00B802A8"/>
    <w:rsid w:val="00B803F1"/>
    <w:rsid w:val="00B803FC"/>
    <w:rsid w:val="00B8047D"/>
    <w:rsid w:val="00B804D9"/>
    <w:rsid w:val="00B80562"/>
    <w:rsid w:val="00B80573"/>
    <w:rsid w:val="00B80587"/>
    <w:rsid w:val="00B805E9"/>
    <w:rsid w:val="00B805EB"/>
    <w:rsid w:val="00B8065E"/>
    <w:rsid w:val="00B806C9"/>
    <w:rsid w:val="00B80715"/>
    <w:rsid w:val="00B807B0"/>
    <w:rsid w:val="00B807DD"/>
    <w:rsid w:val="00B80869"/>
    <w:rsid w:val="00B808E2"/>
    <w:rsid w:val="00B809DB"/>
    <w:rsid w:val="00B80AC4"/>
    <w:rsid w:val="00B80B06"/>
    <w:rsid w:val="00B80B1D"/>
    <w:rsid w:val="00B80B25"/>
    <w:rsid w:val="00B80B2F"/>
    <w:rsid w:val="00B80B35"/>
    <w:rsid w:val="00B80B88"/>
    <w:rsid w:val="00B80C35"/>
    <w:rsid w:val="00B80C6A"/>
    <w:rsid w:val="00B80C81"/>
    <w:rsid w:val="00B80C8E"/>
    <w:rsid w:val="00B80DCB"/>
    <w:rsid w:val="00B80E1B"/>
    <w:rsid w:val="00B80E2B"/>
    <w:rsid w:val="00B80E35"/>
    <w:rsid w:val="00B80E56"/>
    <w:rsid w:val="00B80E9B"/>
    <w:rsid w:val="00B80ECB"/>
    <w:rsid w:val="00B80ECF"/>
    <w:rsid w:val="00B80EEE"/>
    <w:rsid w:val="00B80FCF"/>
    <w:rsid w:val="00B80FFC"/>
    <w:rsid w:val="00B81020"/>
    <w:rsid w:val="00B810B8"/>
    <w:rsid w:val="00B810CF"/>
    <w:rsid w:val="00B81140"/>
    <w:rsid w:val="00B81183"/>
    <w:rsid w:val="00B812CE"/>
    <w:rsid w:val="00B812DA"/>
    <w:rsid w:val="00B81390"/>
    <w:rsid w:val="00B8145B"/>
    <w:rsid w:val="00B8147E"/>
    <w:rsid w:val="00B814BD"/>
    <w:rsid w:val="00B814F1"/>
    <w:rsid w:val="00B815B0"/>
    <w:rsid w:val="00B815CA"/>
    <w:rsid w:val="00B815D4"/>
    <w:rsid w:val="00B816C8"/>
    <w:rsid w:val="00B816E4"/>
    <w:rsid w:val="00B81775"/>
    <w:rsid w:val="00B817A6"/>
    <w:rsid w:val="00B817A9"/>
    <w:rsid w:val="00B8181C"/>
    <w:rsid w:val="00B81905"/>
    <w:rsid w:val="00B8192B"/>
    <w:rsid w:val="00B81957"/>
    <w:rsid w:val="00B8199A"/>
    <w:rsid w:val="00B81A1E"/>
    <w:rsid w:val="00B81A49"/>
    <w:rsid w:val="00B81AF5"/>
    <w:rsid w:val="00B81B5F"/>
    <w:rsid w:val="00B81BA4"/>
    <w:rsid w:val="00B81BB3"/>
    <w:rsid w:val="00B81C18"/>
    <w:rsid w:val="00B81C20"/>
    <w:rsid w:val="00B81C91"/>
    <w:rsid w:val="00B81CCE"/>
    <w:rsid w:val="00B81D0B"/>
    <w:rsid w:val="00B81D27"/>
    <w:rsid w:val="00B81DEA"/>
    <w:rsid w:val="00B81E81"/>
    <w:rsid w:val="00B81ED9"/>
    <w:rsid w:val="00B81F38"/>
    <w:rsid w:val="00B81FBF"/>
    <w:rsid w:val="00B81FE2"/>
    <w:rsid w:val="00B82041"/>
    <w:rsid w:val="00B82166"/>
    <w:rsid w:val="00B8222A"/>
    <w:rsid w:val="00B8222B"/>
    <w:rsid w:val="00B822DA"/>
    <w:rsid w:val="00B8241F"/>
    <w:rsid w:val="00B8243D"/>
    <w:rsid w:val="00B82451"/>
    <w:rsid w:val="00B82499"/>
    <w:rsid w:val="00B8251B"/>
    <w:rsid w:val="00B8255D"/>
    <w:rsid w:val="00B82598"/>
    <w:rsid w:val="00B8259F"/>
    <w:rsid w:val="00B825EB"/>
    <w:rsid w:val="00B826CE"/>
    <w:rsid w:val="00B826E9"/>
    <w:rsid w:val="00B82716"/>
    <w:rsid w:val="00B8279C"/>
    <w:rsid w:val="00B827E3"/>
    <w:rsid w:val="00B82897"/>
    <w:rsid w:val="00B8292F"/>
    <w:rsid w:val="00B82A43"/>
    <w:rsid w:val="00B82A4D"/>
    <w:rsid w:val="00B82A98"/>
    <w:rsid w:val="00B82B16"/>
    <w:rsid w:val="00B82B50"/>
    <w:rsid w:val="00B82BFB"/>
    <w:rsid w:val="00B82CA9"/>
    <w:rsid w:val="00B82CF7"/>
    <w:rsid w:val="00B82D4B"/>
    <w:rsid w:val="00B82DE3"/>
    <w:rsid w:val="00B82E13"/>
    <w:rsid w:val="00B82E42"/>
    <w:rsid w:val="00B82E6E"/>
    <w:rsid w:val="00B82F54"/>
    <w:rsid w:val="00B82FB4"/>
    <w:rsid w:val="00B83041"/>
    <w:rsid w:val="00B83054"/>
    <w:rsid w:val="00B830A6"/>
    <w:rsid w:val="00B8327A"/>
    <w:rsid w:val="00B83296"/>
    <w:rsid w:val="00B8329B"/>
    <w:rsid w:val="00B832B2"/>
    <w:rsid w:val="00B832BA"/>
    <w:rsid w:val="00B83333"/>
    <w:rsid w:val="00B833B3"/>
    <w:rsid w:val="00B833B8"/>
    <w:rsid w:val="00B833C1"/>
    <w:rsid w:val="00B834E8"/>
    <w:rsid w:val="00B835C1"/>
    <w:rsid w:val="00B835CF"/>
    <w:rsid w:val="00B835EA"/>
    <w:rsid w:val="00B83641"/>
    <w:rsid w:val="00B836CE"/>
    <w:rsid w:val="00B836D6"/>
    <w:rsid w:val="00B83780"/>
    <w:rsid w:val="00B837B2"/>
    <w:rsid w:val="00B837FA"/>
    <w:rsid w:val="00B837FE"/>
    <w:rsid w:val="00B8389D"/>
    <w:rsid w:val="00B8389F"/>
    <w:rsid w:val="00B838C8"/>
    <w:rsid w:val="00B838EE"/>
    <w:rsid w:val="00B8390C"/>
    <w:rsid w:val="00B83935"/>
    <w:rsid w:val="00B8393E"/>
    <w:rsid w:val="00B83975"/>
    <w:rsid w:val="00B83B27"/>
    <w:rsid w:val="00B83B62"/>
    <w:rsid w:val="00B83BCA"/>
    <w:rsid w:val="00B83C37"/>
    <w:rsid w:val="00B83CAF"/>
    <w:rsid w:val="00B83D09"/>
    <w:rsid w:val="00B83DB8"/>
    <w:rsid w:val="00B83EC8"/>
    <w:rsid w:val="00B83F36"/>
    <w:rsid w:val="00B84003"/>
    <w:rsid w:val="00B84086"/>
    <w:rsid w:val="00B84119"/>
    <w:rsid w:val="00B841E7"/>
    <w:rsid w:val="00B842C7"/>
    <w:rsid w:val="00B842F2"/>
    <w:rsid w:val="00B843BD"/>
    <w:rsid w:val="00B843F5"/>
    <w:rsid w:val="00B84434"/>
    <w:rsid w:val="00B84557"/>
    <w:rsid w:val="00B845EB"/>
    <w:rsid w:val="00B8464A"/>
    <w:rsid w:val="00B8477F"/>
    <w:rsid w:val="00B8478F"/>
    <w:rsid w:val="00B847DD"/>
    <w:rsid w:val="00B8484E"/>
    <w:rsid w:val="00B848E0"/>
    <w:rsid w:val="00B84907"/>
    <w:rsid w:val="00B84922"/>
    <w:rsid w:val="00B8492B"/>
    <w:rsid w:val="00B84947"/>
    <w:rsid w:val="00B84A52"/>
    <w:rsid w:val="00B84ACE"/>
    <w:rsid w:val="00B84AE3"/>
    <w:rsid w:val="00B84B14"/>
    <w:rsid w:val="00B84B33"/>
    <w:rsid w:val="00B84B81"/>
    <w:rsid w:val="00B84BA0"/>
    <w:rsid w:val="00B84BE7"/>
    <w:rsid w:val="00B84C10"/>
    <w:rsid w:val="00B84C58"/>
    <w:rsid w:val="00B84CCA"/>
    <w:rsid w:val="00B84CED"/>
    <w:rsid w:val="00B84E33"/>
    <w:rsid w:val="00B84EF1"/>
    <w:rsid w:val="00B84F06"/>
    <w:rsid w:val="00B84F26"/>
    <w:rsid w:val="00B84F53"/>
    <w:rsid w:val="00B84F95"/>
    <w:rsid w:val="00B85019"/>
    <w:rsid w:val="00B8514E"/>
    <w:rsid w:val="00B8515B"/>
    <w:rsid w:val="00B8516B"/>
    <w:rsid w:val="00B851FF"/>
    <w:rsid w:val="00B85204"/>
    <w:rsid w:val="00B852AB"/>
    <w:rsid w:val="00B85345"/>
    <w:rsid w:val="00B8535F"/>
    <w:rsid w:val="00B853A2"/>
    <w:rsid w:val="00B8560D"/>
    <w:rsid w:val="00B8561A"/>
    <w:rsid w:val="00B8561C"/>
    <w:rsid w:val="00B85632"/>
    <w:rsid w:val="00B8571A"/>
    <w:rsid w:val="00B8579C"/>
    <w:rsid w:val="00B857AD"/>
    <w:rsid w:val="00B857E1"/>
    <w:rsid w:val="00B8584C"/>
    <w:rsid w:val="00B8589E"/>
    <w:rsid w:val="00B85909"/>
    <w:rsid w:val="00B85945"/>
    <w:rsid w:val="00B85949"/>
    <w:rsid w:val="00B859F8"/>
    <w:rsid w:val="00B85A49"/>
    <w:rsid w:val="00B85A64"/>
    <w:rsid w:val="00B85A84"/>
    <w:rsid w:val="00B85B62"/>
    <w:rsid w:val="00B85C09"/>
    <w:rsid w:val="00B85C3F"/>
    <w:rsid w:val="00B85D34"/>
    <w:rsid w:val="00B85EF1"/>
    <w:rsid w:val="00B85F1A"/>
    <w:rsid w:val="00B8603B"/>
    <w:rsid w:val="00B8606D"/>
    <w:rsid w:val="00B860CD"/>
    <w:rsid w:val="00B86108"/>
    <w:rsid w:val="00B86143"/>
    <w:rsid w:val="00B86208"/>
    <w:rsid w:val="00B8620A"/>
    <w:rsid w:val="00B86213"/>
    <w:rsid w:val="00B8621B"/>
    <w:rsid w:val="00B862B9"/>
    <w:rsid w:val="00B862DD"/>
    <w:rsid w:val="00B862FE"/>
    <w:rsid w:val="00B8631B"/>
    <w:rsid w:val="00B8632C"/>
    <w:rsid w:val="00B86453"/>
    <w:rsid w:val="00B8657D"/>
    <w:rsid w:val="00B8659F"/>
    <w:rsid w:val="00B866E2"/>
    <w:rsid w:val="00B86763"/>
    <w:rsid w:val="00B8689F"/>
    <w:rsid w:val="00B86963"/>
    <w:rsid w:val="00B869D5"/>
    <w:rsid w:val="00B869D9"/>
    <w:rsid w:val="00B869DF"/>
    <w:rsid w:val="00B86A66"/>
    <w:rsid w:val="00B86A88"/>
    <w:rsid w:val="00B86A93"/>
    <w:rsid w:val="00B86B13"/>
    <w:rsid w:val="00B86BAB"/>
    <w:rsid w:val="00B86C0B"/>
    <w:rsid w:val="00B86CBE"/>
    <w:rsid w:val="00B86D6C"/>
    <w:rsid w:val="00B86D79"/>
    <w:rsid w:val="00B86DC6"/>
    <w:rsid w:val="00B86E61"/>
    <w:rsid w:val="00B86E97"/>
    <w:rsid w:val="00B86F2D"/>
    <w:rsid w:val="00B86F8E"/>
    <w:rsid w:val="00B86FB8"/>
    <w:rsid w:val="00B8705C"/>
    <w:rsid w:val="00B87185"/>
    <w:rsid w:val="00B87195"/>
    <w:rsid w:val="00B871B6"/>
    <w:rsid w:val="00B87324"/>
    <w:rsid w:val="00B87332"/>
    <w:rsid w:val="00B8734E"/>
    <w:rsid w:val="00B87400"/>
    <w:rsid w:val="00B874D7"/>
    <w:rsid w:val="00B874F1"/>
    <w:rsid w:val="00B87577"/>
    <w:rsid w:val="00B87742"/>
    <w:rsid w:val="00B87748"/>
    <w:rsid w:val="00B8774C"/>
    <w:rsid w:val="00B877C0"/>
    <w:rsid w:val="00B877FC"/>
    <w:rsid w:val="00B878CD"/>
    <w:rsid w:val="00B879C4"/>
    <w:rsid w:val="00B879C9"/>
    <w:rsid w:val="00B87A90"/>
    <w:rsid w:val="00B87A99"/>
    <w:rsid w:val="00B87ACD"/>
    <w:rsid w:val="00B87C91"/>
    <w:rsid w:val="00B87D4B"/>
    <w:rsid w:val="00B87D56"/>
    <w:rsid w:val="00B87D9D"/>
    <w:rsid w:val="00B87E33"/>
    <w:rsid w:val="00B87E93"/>
    <w:rsid w:val="00B87F90"/>
    <w:rsid w:val="00B87F93"/>
    <w:rsid w:val="00B87FB4"/>
    <w:rsid w:val="00B9009F"/>
    <w:rsid w:val="00B900CF"/>
    <w:rsid w:val="00B90118"/>
    <w:rsid w:val="00B9015D"/>
    <w:rsid w:val="00B9016A"/>
    <w:rsid w:val="00B9019B"/>
    <w:rsid w:val="00B90208"/>
    <w:rsid w:val="00B90220"/>
    <w:rsid w:val="00B9037E"/>
    <w:rsid w:val="00B904F5"/>
    <w:rsid w:val="00B90549"/>
    <w:rsid w:val="00B905B3"/>
    <w:rsid w:val="00B90618"/>
    <w:rsid w:val="00B906D8"/>
    <w:rsid w:val="00B9073B"/>
    <w:rsid w:val="00B90881"/>
    <w:rsid w:val="00B9090E"/>
    <w:rsid w:val="00B90993"/>
    <w:rsid w:val="00B909AD"/>
    <w:rsid w:val="00B909BA"/>
    <w:rsid w:val="00B909C8"/>
    <w:rsid w:val="00B90A19"/>
    <w:rsid w:val="00B90BCD"/>
    <w:rsid w:val="00B90C35"/>
    <w:rsid w:val="00B90CBB"/>
    <w:rsid w:val="00B90D4E"/>
    <w:rsid w:val="00B90D6E"/>
    <w:rsid w:val="00B90DFD"/>
    <w:rsid w:val="00B90E41"/>
    <w:rsid w:val="00B90E66"/>
    <w:rsid w:val="00B90EB9"/>
    <w:rsid w:val="00B90F4C"/>
    <w:rsid w:val="00B90FE1"/>
    <w:rsid w:val="00B90FE2"/>
    <w:rsid w:val="00B90FEE"/>
    <w:rsid w:val="00B910E8"/>
    <w:rsid w:val="00B91127"/>
    <w:rsid w:val="00B91154"/>
    <w:rsid w:val="00B911AF"/>
    <w:rsid w:val="00B911CD"/>
    <w:rsid w:val="00B912D9"/>
    <w:rsid w:val="00B9130C"/>
    <w:rsid w:val="00B9145F"/>
    <w:rsid w:val="00B91487"/>
    <w:rsid w:val="00B9152E"/>
    <w:rsid w:val="00B9159A"/>
    <w:rsid w:val="00B91626"/>
    <w:rsid w:val="00B91694"/>
    <w:rsid w:val="00B916D7"/>
    <w:rsid w:val="00B9172E"/>
    <w:rsid w:val="00B9177D"/>
    <w:rsid w:val="00B9179A"/>
    <w:rsid w:val="00B917E9"/>
    <w:rsid w:val="00B91803"/>
    <w:rsid w:val="00B91891"/>
    <w:rsid w:val="00B9189C"/>
    <w:rsid w:val="00B919C1"/>
    <w:rsid w:val="00B919F3"/>
    <w:rsid w:val="00B91A67"/>
    <w:rsid w:val="00B91B5E"/>
    <w:rsid w:val="00B91BF9"/>
    <w:rsid w:val="00B91C1D"/>
    <w:rsid w:val="00B91C84"/>
    <w:rsid w:val="00B91C91"/>
    <w:rsid w:val="00B91CB1"/>
    <w:rsid w:val="00B91CE7"/>
    <w:rsid w:val="00B91D37"/>
    <w:rsid w:val="00B91E11"/>
    <w:rsid w:val="00B91E6C"/>
    <w:rsid w:val="00B91E70"/>
    <w:rsid w:val="00B91EB2"/>
    <w:rsid w:val="00B91EC1"/>
    <w:rsid w:val="00B91ECA"/>
    <w:rsid w:val="00B91F14"/>
    <w:rsid w:val="00B91F55"/>
    <w:rsid w:val="00B91F8C"/>
    <w:rsid w:val="00B91FE6"/>
    <w:rsid w:val="00B9202B"/>
    <w:rsid w:val="00B92103"/>
    <w:rsid w:val="00B92128"/>
    <w:rsid w:val="00B9212E"/>
    <w:rsid w:val="00B92151"/>
    <w:rsid w:val="00B9216B"/>
    <w:rsid w:val="00B92185"/>
    <w:rsid w:val="00B921A6"/>
    <w:rsid w:val="00B921C2"/>
    <w:rsid w:val="00B921FC"/>
    <w:rsid w:val="00B92200"/>
    <w:rsid w:val="00B92211"/>
    <w:rsid w:val="00B92234"/>
    <w:rsid w:val="00B922C6"/>
    <w:rsid w:val="00B922D9"/>
    <w:rsid w:val="00B92444"/>
    <w:rsid w:val="00B9247B"/>
    <w:rsid w:val="00B9249B"/>
    <w:rsid w:val="00B924B7"/>
    <w:rsid w:val="00B924BE"/>
    <w:rsid w:val="00B92519"/>
    <w:rsid w:val="00B925BD"/>
    <w:rsid w:val="00B925EF"/>
    <w:rsid w:val="00B925FF"/>
    <w:rsid w:val="00B92657"/>
    <w:rsid w:val="00B9265C"/>
    <w:rsid w:val="00B92690"/>
    <w:rsid w:val="00B9272E"/>
    <w:rsid w:val="00B92744"/>
    <w:rsid w:val="00B927C3"/>
    <w:rsid w:val="00B927D4"/>
    <w:rsid w:val="00B927E0"/>
    <w:rsid w:val="00B927EC"/>
    <w:rsid w:val="00B92860"/>
    <w:rsid w:val="00B92880"/>
    <w:rsid w:val="00B9289F"/>
    <w:rsid w:val="00B928E5"/>
    <w:rsid w:val="00B92972"/>
    <w:rsid w:val="00B9298D"/>
    <w:rsid w:val="00B92A35"/>
    <w:rsid w:val="00B92A47"/>
    <w:rsid w:val="00B92A61"/>
    <w:rsid w:val="00B92B03"/>
    <w:rsid w:val="00B92B4E"/>
    <w:rsid w:val="00B92BBE"/>
    <w:rsid w:val="00B92C51"/>
    <w:rsid w:val="00B92C9C"/>
    <w:rsid w:val="00B92CAA"/>
    <w:rsid w:val="00B92D22"/>
    <w:rsid w:val="00B92DD4"/>
    <w:rsid w:val="00B92E95"/>
    <w:rsid w:val="00B92F0C"/>
    <w:rsid w:val="00B92F11"/>
    <w:rsid w:val="00B92F2D"/>
    <w:rsid w:val="00B92FA5"/>
    <w:rsid w:val="00B9307B"/>
    <w:rsid w:val="00B93182"/>
    <w:rsid w:val="00B932BF"/>
    <w:rsid w:val="00B932C4"/>
    <w:rsid w:val="00B93316"/>
    <w:rsid w:val="00B93331"/>
    <w:rsid w:val="00B93338"/>
    <w:rsid w:val="00B933D0"/>
    <w:rsid w:val="00B93492"/>
    <w:rsid w:val="00B93545"/>
    <w:rsid w:val="00B9359E"/>
    <w:rsid w:val="00B935E1"/>
    <w:rsid w:val="00B936AA"/>
    <w:rsid w:val="00B93713"/>
    <w:rsid w:val="00B937FF"/>
    <w:rsid w:val="00B93826"/>
    <w:rsid w:val="00B9383B"/>
    <w:rsid w:val="00B9384D"/>
    <w:rsid w:val="00B93876"/>
    <w:rsid w:val="00B93955"/>
    <w:rsid w:val="00B93999"/>
    <w:rsid w:val="00B939B9"/>
    <w:rsid w:val="00B939BE"/>
    <w:rsid w:val="00B939DD"/>
    <w:rsid w:val="00B939F5"/>
    <w:rsid w:val="00B93A00"/>
    <w:rsid w:val="00B93A1F"/>
    <w:rsid w:val="00B93AC1"/>
    <w:rsid w:val="00B93AE3"/>
    <w:rsid w:val="00B93B1C"/>
    <w:rsid w:val="00B93B79"/>
    <w:rsid w:val="00B93C1A"/>
    <w:rsid w:val="00B93C20"/>
    <w:rsid w:val="00B93C83"/>
    <w:rsid w:val="00B93C8D"/>
    <w:rsid w:val="00B93CB7"/>
    <w:rsid w:val="00B93D10"/>
    <w:rsid w:val="00B93DFB"/>
    <w:rsid w:val="00B93EA2"/>
    <w:rsid w:val="00B93F33"/>
    <w:rsid w:val="00B93F49"/>
    <w:rsid w:val="00B93F5E"/>
    <w:rsid w:val="00B93F76"/>
    <w:rsid w:val="00B940B9"/>
    <w:rsid w:val="00B940BB"/>
    <w:rsid w:val="00B941AB"/>
    <w:rsid w:val="00B941F4"/>
    <w:rsid w:val="00B94217"/>
    <w:rsid w:val="00B94326"/>
    <w:rsid w:val="00B94356"/>
    <w:rsid w:val="00B9435B"/>
    <w:rsid w:val="00B94370"/>
    <w:rsid w:val="00B943D4"/>
    <w:rsid w:val="00B94432"/>
    <w:rsid w:val="00B94434"/>
    <w:rsid w:val="00B944A3"/>
    <w:rsid w:val="00B94520"/>
    <w:rsid w:val="00B9453E"/>
    <w:rsid w:val="00B94559"/>
    <w:rsid w:val="00B94592"/>
    <w:rsid w:val="00B9459C"/>
    <w:rsid w:val="00B945EA"/>
    <w:rsid w:val="00B946CE"/>
    <w:rsid w:val="00B946FC"/>
    <w:rsid w:val="00B947DD"/>
    <w:rsid w:val="00B94804"/>
    <w:rsid w:val="00B9480E"/>
    <w:rsid w:val="00B94A34"/>
    <w:rsid w:val="00B94A44"/>
    <w:rsid w:val="00B94B5D"/>
    <w:rsid w:val="00B94B6B"/>
    <w:rsid w:val="00B94D17"/>
    <w:rsid w:val="00B94D25"/>
    <w:rsid w:val="00B94DEB"/>
    <w:rsid w:val="00B94E61"/>
    <w:rsid w:val="00B94F08"/>
    <w:rsid w:val="00B94F27"/>
    <w:rsid w:val="00B94F4E"/>
    <w:rsid w:val="00B94FBA"/>
    <w:rsid w:val="00B95068"/>
    <w:rsid w:val="00B950FB"/>
    <w:rsid w:val="00B951D4"/>
    <w:rsid w:val="00B95261"/>
    <w:rsid w:val="00B95275"/>
    <w:rsid w:val="00B95277"/>
    <w:rsid w:val="00B952E9"/>
    <w:rsid w:val="00B9532C"/>
    <w:rsid w:val="00B9536C"/>
    <w:rsid w:val="00B953DD"/>
    <w:rsid w:val="00B95443"/>
    <w:rsid w:val="00B9556F"/>
    <w:rsid w:val="00B9558D"/>
    <w:rsid w:val="00B95664"/>
    <w:rsid w:val="00B956B8"/>
    <w:rsid w:val="00B9573C"/>
    <w:rsid w:val="00B9578E"/>
    <w:rsid w:val="00B957DF"/>
    <w:rsid w:val="00B9584D"/>
    <w:rsid w:val="00B95899"/>
    <w:rsid w:val="00B958A1"/>
    <w:rsid w:val="00B9591D"/>
    <w:rsid w:val="00B95945"/>
    <w:rsid w:val="00B959A8"/>
    <w:rsid w:val="00B95A36"/>
    <w:rsid w:val="00B95A6C"/>
    <w:rsid w:val="00B95B40"/>
    <w:rsid w:val="00B95BBB"/>
    <w:rsid w:val="00B95BE9"/>
    <w:rsid w:val="00B95C05"/>
    <w:rsid w:val="00B95CE3"/>
    <w:rsid w:val="00B95D3B"/>
    <w:rsid w:val="00B95DD1"/>
    <w:rsid w:val="00B95E72"/>
    <w:rsid w:val="00B96034"/>
    <w:rsid w:val="00B960B7"/>
    <w:rsid w:val="00B9612A"/>
    <w:rsid w:val="00B9616E"/>
    <w:rsid w:val="00B962C8"/>
    <w:rsid w:val="00B9630D"/>
    <w:rsid w:val="00B9630F"/>
    <w:rsid w:val="00B9634B"/>
    <w:rsid w:val="00B963B7"/>
    <w:rsid w:val="00B963FC"/>
    <w:rsid w:val="00B9645B"/>
    <w:rsid w:val="00B9647C"/>
    <w:rsid w:val="00B964B4"/>
    <w:rsid w:val="00B964E4"/>
    <w:rsid w:val="00B96543"/>
    <w:rsid w:val="00B9654F"/>
    <w:rsid w:val="00B96568"/>
    <w:rsid w:val="00B965AF"/>
    <w:rsid w:val="00B965B9"/>
    <w:rsid w:val="00B96645"/>
    <w:rsid w:val="00B9664A"/>
    <w:rsid w:val="00B96676"/>
    <w:rsid w:val="00B966D1"/>
    <w:rsid w:val="00B966E4"/>
    <w:rsid w:val="00B968B8"/>
    <w:rsid w:val="00B968BD"/>
    <w:rsid w:val="00B969D2"/>
    <w:rsid w:val="00B96A0E"/>
    <w:rsid w:val="00B96A91"/>
    <w:rsid w:val="00B96A9B"/>
    <w:rsid w:val="00B96C5F"/>
    <w:rsid w:val="00B96C97"/>
    <w:rsid w:val="00B96CB0"/>
    <w:rsid w:val="00B96D1C"/>
    <w:rsid w:val="00B96D3C"/>
    <w:rsid w:val="00B96D6D"/>
    <w:rsid w:val="00B96DC9"/>
    <w:rsid w:val="00B96DEB"/>
    <w:rsid w:val="00B96E51"/>
    <w:rsid w:val="00B96E81"/>
    <w:rsid w:val="00B96F0B"/>
    <w:rsid w:val="00B96F1C"/>
    <w:rsid w:val="00B96FCD"/>
    <w:rsid w:val="00B9702E"/>
    <w:rsid w:val="00B970B9"/>
    <w:rsid w:val="00B970DE"/>
    <w:rsid w:val="00B97169"/>
    <w:rsid w:val="00B971C1"/>
    <w:rsid w:val="00B97277"/>
    <w:rsid w:val="00B97348"/>
    <w:rsid w:val="00B9737F"/>
    <w:rsid w:val="00B97439"/>
    <w:rsid w:val="00B9744B"/>
    <w:rsid w:val="00B974D5"/>
    <w:rsid w:val="00B975FB"/>
    <w:rsid w:val="00B976F3"/>
    <w:rsid w:val="00B97777"/>
    <w:rsid w:val="00B9777E"/>
    <w:rsid w:val="00B97856"/>
    <w:rsid w:val="00B97858"/>
    <w:rsid w:val="00B979A3"/>
    <w:rsid w:val="00B97A4B"/>
    <w:rsid w:val="00B97AC3"/>
    <w:rsid w:val="00B97B01"/>
    <w:rsid w:val="00B97B46"/>
    <w:rsid w:val="00B97BC8"/>
    <w:rsid w:val="00B97D29"/>
    <w:rsid w:val="00B97D37"/>
    <w:rsid w:val="00B97DA9"/>
    <w:rsid w:val="00B97DB1"/>
    <w:rsid w:val="00B97E27"/>
    <w:rsid w:val="00B97F61"/>
    <w:rsid w:val="00B97F8E"/>
    <w:rsid w:val="00B97F94"/>
    <w:rsid w:val="00B97FE1"/>
    <w:rsid w:val="00BA0005"/>
    <w:rsid w:val="00BA0047"/>
    <w:rsid w:val="00BA011D"/>
    <w:rsid w:val="00BA014B"/>
    <w:rsid w:val="00BA0164"/>
    <w:rsid w:val="00BA017A"/>
    <w:rsid w:val="00BA036D"/>
    <w:rsid w:val="00BA03F0"/>
    <w:rsid w:val="00BA04EF"/>
    <w:rsid w:val="00BA055C"/>
    <w:rsid w:val="00BA057E"/>
    <w:rsid w:val="00BA05C1"/>
    <w:rsid w:val="00BA068A"/>
    <w:rsid w:val="00BA06AF"/>
    <w:rsid w:val="00BA06CD"/>
    <w:rsid w:val="00BA079A"/>
    <w:rsid w:val="00BA07FA"/>
    <w:rsid w:val="00BA0873"/>
    <w:rsid w:val="00BA088C"/>
    <w:rsid w:val="00BA0939"/>
    <w:rsid w:val="00BA0953"/>
    <w:rsid w:val="00BA097F"/>
    <w:rsid w:val="00BA09C1"/>
    <w:rsid w:val="00BA0A44"/>
    <w:rsid w:val="00BA0A51"/>
    <w:rsid w:val="00BA0A74"/>
    <w:rsid w:val="00BA0AF2"/>
    <w:rsid w:val="00BA0B12"/>
    <w:rsid w:val="00BA0B83"/>
    <w:rsid w:val="00BA0CCD"/>
    <w:rsid w:val="00BA0D0B"/>
    <w:rsid w:val="00BA0D30"/>
    <w:rsid w:val="00BA0DBF"/>
    <w:rsid w:val="00BA0E38"/>
    <w:rsid w:val="00BA0E6C"/>
    <w:rsid w:val="00BA0EB0"/>
    <w:rsid w:val="00BA0EDC"/>
    <w:rsid w:val="00BA0F17"/>
    <w:rsid w:val="00BA0F1B"/>
    <w:rsid w:val="00BA0F27"/>
    <w:rsid w:val="00BA0F5B"/>
    <w:rsid w:val="00BA0F83"/>
    <w:rsid w:val="00BA1022"/>
    <w:rsid w:val="00BA10B7"/>
    <w:rsid w:val="00BA110D"/>
    <w:rsid w:val="00BA1126"/>
    <w:rsid w:val="00BA114B"/>
    <w:rsid w:val="00BA116A"/>
    <w:rsid w:val="00BA11C1"/>
    <w:rsid w:val="00BA1250"/>
    <w:rsid w:val="00BA127D"/>
    <w:rsid w:val="00BA12AD"/>
    <w:rsid w:val="00BA12E4"/>
    <w:rsid w:val="00BA1336"/>
    <w:rsid w:val="00BA13D5"/>
    <w:rsid w:val="00BA1403"/>
    <w:rsid w:val="00BA141B"/>
    <w:rsid w:val="00BA144F"/>
    <w:rsid w:val="00BA14C3"/>
    <w:rsid w:val="00BA1519"/>
    <w:rsid w:val="00BA1656"/>
    <w:rsid w:val="00BA1658"/>
    <w:rsid w:val="00BA16C8"/>
    <w:rsid w:val="00BA16CC"/>
    <w:rsid w:val="00BA173E"/>
    <w:rsid w:val="00BA1744"/>
    <w:rsid w:val="00BA184F"/>
    <w:rsid w:val="00BA185B"/>
    <w:rsid w:val="00BA1893"/>
    <w:rsid w:val="00BA18C1"/>
    <w:rsid w:val="00BA18D4"/>
    <w:rsid w:val="00BA190F"/>
    <w:rsid w:val="00BA1986"/>
    <w:rsid w:val="00BA199D"/>
    <w:rsid w:val="00BA19BB"/>
    <w:rsid w:val="00BA1A5C"/>
    <w:rsid w:val="00BA1B02"/>
    <w:rsid w:val="00BA1B91"/>
    <w:rsid w:val="00BA1BE7"/>
    <w:rsid w:val="00BA1C93"/>
    <w:rsid w:val="00BA1E30"/>
    <w:rsid w:val="00BA1EBD"/>
    <w:rsid w:val="00BA1EC8"/>
    <w:rsid w:val="00BA1F47"/>
    <w:rsid w:val="00BA1F80"/>
    <w:rsid w:val="00BA1FFB"/>
    <w:rsid w:val="00BA2046"/>
    <w:rsid w:val="00BA20C7"/>
    <w:rsid w:val="00BA2264"/>
    <w:rsid w:val="00BA2270"/>
    <w:rsid w:val="00BA2343"/>
    <w:rsid w:val="00BA2374"/>
    <w:rsid w:val="00BA23B1"/>
    <w:rsid w:val="00BA23C9"/>
    <w:rsid w:val="00BA23DA"/>
    <w:rsid w:val="00BA23DB"/>
    <w:rsid w:val="00BA251B"/>
    <w:rsid w:val="00BA2561"/>
    <w:rsid w:val="00BA258D"/>
    <w:rsid w:val="00BA2677"/>
    <w:rsid w:val="00BA270F"/>
    <w:rsid w:val="00BA27FE"/>
    <w:rsid w:val="00BA28FA"/>
    <w:rsid w:val="00BA29B5"/>
    <w:rsid w:val="00BA29F8"/>
    <w:rsid w:val="00BA2A52"/>
    <w:rsid w:val="00BA2AE7"/>
    <w:rsid w:val="00BA2B09"/>
    <w:rsid w:val="00BA2B3F"/>
    <w:rsid w:val="00BA2C14"/>
    <w:rsid w:val="00BA2CF3"/>
    <w:rsid w:val="00BA2D16"/>
    <w:rsid w:val="00BA2D48"/>
    <w:rsid w:val="00BA2D6F"/>
    <w:rsid w:val="00BA2D7A"/>
    <w:rsid w:val="00BA2D7F"/>
    <w:rsid w:val="00BA2E29"/>
    <w:rsid w:val="00BA2E2C"/>
    <w:rsid w:val="00BA2E5B"/>
    <w:rsid w:val="00BA2EC6"/>
    <w:rsid w:val="00BA2ECF"/>
    <w:rsid w:val="00BA2F05"/>
    <w:rsid w:val="00BA2F65"/>
    <w:rsid w:val="00BA2F81"/>
    <w:rsid w:val="00BA307F"/>
    <w:rsid w:val="00BA308E"/>
    <w:rsid w:val="00BA3139"/>
    <w:rsid w:val="00BA31B3"/>
    <w:rsid w:val="00BA32AD"/>
    <w:rsid w:val="00BA32BA"/>
    <w:rsid w:val="00BA33B8"/>
    <w:rsid w:val="00BA3435"/>
    <w:rsid w:val="00BA3444"/>
    <w:rsid w:val="00BA34AF"/>
    <w:rsid w:val="00BA34EF"/>
    <w:rsid w:val="00BA350D"/>
    <w:rsid w:val="00BA350F"/>
    <w:rsid w:val="00BA351C"/>
    <w:rsid w:val="00BA35FB"/>
    <w:rsid w:val="00BA3651"/>
    <w:rsid w:val="00BA3737"/>
    <w:rsid w:val="00BA378F"/>
    <w:rsid w:val="00BA37CE"/>
    <w:rsid w:val="00BA37DC"/>
    <w:rsid w:val="00BA3823"/>
    <w:rsid w:val="00BA3845"/>
    <w:rsid w:val="00BA38EE"/>
    <w:rsid w:val="00BA397E"/>
    <w:rsid w:val="00BA399F"/>
    <w:rsid w:val="00BA39B9"/>
    <w:rsid w:val="00BA39C2"/>
    <w:rsid w:val="00BA39DD"/>
    <w:rsid w:val="00BA3A0E"/>
    <w:rsid w:val="00BA3A43"/>
    <w:rsid w:val="00BA3A63"/>
    <w:rsid w:val="00BA3A65"/>
    <w:rsid w:val="00BA3A99"/>
    <w:rsid w:val="00BA3B4A"/>
    <w:rsid w:val="00BA3BC8"/>
    <w:rsid w:val="00BA3C1F"/>
    <w:rsid w:val="00BA3CDF"/>
    <w:rsid w:val="00BA3D29"/>
    <w:rsid w:val="00BA3DB8"/>
    <w:rsid w:val="00BA3E37"/>
    <w:rsid w:val="00BA3E71"/>
    <w:rsid w:val="00BA3E87"/>
    <w:rsid w:val="00BA3EA7"/>
    <w:rsid w:val="00BA3F40"/>
    <w:rsid w:val="00BA403F"/>
    <w:rsid w:val="00BA4080"/>
    <w:rsid w:val="00BA4082"/>
    <w:rsid w:val="00BA41C0"/>
    <w:rsid w:val="00BA430E"/>
    <w:rsid w:val="00BA43AF"/>
    <w:rsid w:val="00BA4476"/>
    <w:rsid w:val="00BA44B7"/>
    <w:rsid w:val="00BA44BA"/>
    <w:rsid w:val="00BA4608"/>
    <w:rsid w:val="00BA4713"/>
    <w:rsid w:val="00BA4767"/>
    <w:rsid w:val="00BA47F5"/>
    <w:rsid w:val="00BA47F8"/>
    <w:rsid w:val="00BA4816"/>
    <w:rsid w:val="00BA482D"/>
    <w:rsid w:val="00BA4862"/>
    <w:rsid w:val="00BA4881"/>
    <w:rsid w:val="00BA48A0"/>
    <w:rsid w:val="00BA491E"/>
    <w:rsid w:val="00BA4977"/>
    <w:rsid w:val="00BA499A"/>
    <w:rsid w:val="00BA49AD"/>
    <w:rsid w:val="00BA4A0B"/>
    <w:rsid w:val="00BA4A55"/>
    <w:rsid w:val="00BA4A6C"/>
    <w:rsid w:val="00BA4BAA"/>
    <w:rsid w:val="00BA4BE0"/>
    <w:rsid w:val="00BA4C3C"/>
    <w:rsid w:val="00BA4D39"/>
    <w:rsid w:val="00BA4E45"/>
    <w:rsid w:val="00BA4E67"/>
    <w:rsid w:val="00BA4E71"/>
    <w:rsid w:val="00BA4EF4"/>
    <w:rsid w:val="00BA4F85"/>
    <w:rsid w:val="00BA4F92"/>
    <w:rsid w:val="00BA505C"/>
    <w:rsid w:val="00BA505D"/>
    <w:rsid w:val="00BA50FD"/>
    <w:rsid w:val="00BA51DF"/>
    <w:rsid w:val="00BA522A"/>
    <w:rsid w:val="00BA5279"/>
    <w:rsid w:val="00BA52B4"/>
    <w:rsid w:val="00BA52CB"/>
    <w:rsid w:val="00BA5300"/>
    <w:rsid w:val="00BA5351"/>
    <w:rsid w:val="00BA537A"/>
    <w:rsid w:val="00BA5381"/>
    <w:rsid w:val="00BA53E8"/>
    <w:rsid w:val="00BA53FD"/>
    <w:rsid w:val="00BA5530"/>
    <w:rsid w:val="00BA554F"/>
    <w:rsid w:val="00BA556C"/>
    <w:rsid w:val="00BA559C"/>
    <w:rsid w:val="00BA5609"/>
    <w:rsid w:val="00BA5643"/>
    <w:rsid w:val="00BA5730"/>
    <w:rsid w:val="00BA5732"/>
    <w:rsid w:val="00BA573E"/>
    <w:rsid w:val="00BA57BD"/>
    <w:rsid w:val="00BA57DC"/>
    <w:rsid w:val="00BA57FF"/>
    <w:rsid w:val="00BA590A"/>
    <w:rsid w:val="00BA59B2"/>
    <w:rsid w:val="00BA59BA"/>
    <w:rsid w:val="00BA59C3"/>
    <w:rsid w:val="00BA59FB"/>
    <w:rsid w:val="00BA5B19"/>
    <w:rsid w:val="00BA5BF8"/>
    <w:rsid w:val="00BA5C10"/>
    <w:rsid w:val="00BA5C1F"/>
    <w:rsid w:val="00BA5C78"/>
    <w:rsid w:val="00BA5CDC"/>
    <w:rsid w:val="00BA5D29"/>
    <w:rsid w:val="00BA5EAA"/>
    <w:rsid w:val="00BA5F27"/>
    <w:rsid w:val="00BA600D"/>
    <w:rsid w:val="00BA60A4"/>
    <w:rsid w:val="00BA60CD"/>
    <w:rsid w:val="00BA615D"/>
    <w:rsid w:val="00BA615E"/>
    <w:rsid w:val="00BA617C"/>
    <w:rsid w:val="00BA61A1"/>
    <w:rsid w:val="00BA6247"/>
    <w:rsid w:val="00BA6261"/>
    <w:rsid w:val="00BA6295"/>
    <w:rsid w:val="00BA629F"/>
    <w:rsid w:val="00BA62E4"/>
    <w:rsid w:val="00BA63B6"/>
    <w:rsid w:val="00BA63C9"/>
    <w:rsid w:val="00BA643F"/>
    <w:rsid w:val="00BA647B"/>
    <w:rsid w:val="00BA6522"/>
    <w:rsid w:val="00BA655A"/>
    <w:rsid w:val="00BA66F4"/>
    <w:rsid w:val="00BA6780"/>
    <w:rsid w:val="00BA6788"/>
    <w:rsid w:val="00BA67B7"/>
    <w:rsid w:val="00BA67D5"/>
    <w:rsid w:val="00BA68E6"/>
    <w:rsid w:val="00BA6925"/>
    <w:rsid w:val="00BA693E"/>
    <w:rsid w:val="00BA69EB"/>
    <w:rsid w:val="00BA6A1A"/>
    <w:rsid w:val="00BA6C69"/>
    <w:rsid w:val="00BA6CE9"/>
    <w:rsid w:val="00BA6D0E"/>
    <w:rsid w:val="00BA6D48"/>
    <w:rsid w:val="00BA6D5F"/>
    <w:rsid w:val="00BA6D6A"/>
    <w:rsid w:val="00BA6D9E"/>
    <w:rsid w:val="00BA6E8E"/>
    <w:rsid w:val="00BA7011"/>
    <w:rsid w:val="00BA703F"/>
    <w:rsid w:val="00BA708C"/>
    <w:rsid w:val="00BA70BC"/>
    <w:rsid w:val="00BA71A5"/>
    <w:rsid w:val="00BA71C4"/>
    <w:rsid w:val="00BA7216"/>
    <w:rsid w:val="00BA73A5"/>
    <w:rsid w:val="00BA73AD"/>
    <w:rsid w:val="00BA73C7"/>
    <w:rsid w:val="00BA749E"/>
    <w:rsid w:val="00BA74E9"/>
    <w:rsid w:val="00BA750F"/>
    <w:rsid w:val="00BA7565"/>
    <w:rsid w:val="00BA7637"/>
    <w:rsid w:val="00BA7654"/>
    <w:rsid w:val="00BA776D"/>
    <w:rsid w:val="00BA77D5"/>
    <w:rsid w:val="00BA77E4"/>
    <w:rsid w:val="00BA787B"/>
    <w:rsid w:val="00BA788F"/>
    <w:rsid w:val="00BA78D7"/>
    <w:rsid w:val="00BA78E9"/>
    <w:rsid w:val="00BA7959"/>
    <w:rsid w:val="00BA7964"/>
    <w:rsid w:val="00BA7A8A"/>
    <w:rsid w:val="00BA7B6A"/>
    <w:rsid w:val="00BA7C22"/>
    <w:rsid w:val="00BA7C4A"/>
    <w:rsid w:val="00BA7C9C"/>
    <w:rsid w:val="00BA7CAD"/>
    <w:rsid w:val="00BA7CB3"/>
    <w:rsid w:val="00BA7CC8"/>
    <w:rsid w:val="00BA7FA1"/>
    <w:rsid w:val="00BA7FE1"/>
    <w:rsid w:val="00BB0131"/>
    <w:rsid w:val="00BB0190"/>
    <w:rsid w:val="00BB01C1"/>
    <w:rsid w:val="00BB01D9"/>
    <w:rsid w:val="00BB01EC"/>
    <w:rsid w:val="00BB01FF"/>
    <w:rsid w:val="00BB02A0"/>
    <w:rsid w:val="00BB02EB"/>
    <w:rsid w:val="00BB040D"/>
    <w:rsid w:val="00BB042E"/>
    <w:rsid w:val="00BB0495"/>
    <w:rsid w:val="00BB04DB"/>
    <w:rsid w:val="00BB0517"/>
    <w:rsid w:val="00BB0565"/>
    <w:rsid w:val="00BB0574"/>
    <w:rsid w:val="00BB062A"/>
    <w:rsid w:val="00BB067B"/>
    <w:rsid w:val="00BB06AA"/>
    <w:rsid w:val="00BB0705"/>
    <w:rsid w:val="00BB0774"/>
    <w:rsid w:val="00BB077B"/>
    <w:rsid w:val="00BB07BD"/>
    <w:rsid w:val="00BB0829"/>
    <w:rsid w:val="00BB085E"/>
    <w:rsid w:val="00BB0918"/>
    <w:rsid w:val="00BB0957"/>
    <w:rsid w:val="00BB0BC2"/>
    <w:rsid w:val="00BB0BEB"/>
    <w:rsid w:val="00BB0CAD"/>
    <w:rsid w:val="00BB0DA1"/>
    <w:rsid w:val="00BB0DA4"/>
    <w:rsid w:val="00BB0DB3"/>
    <w:rsid w:val="00BB0E8E"/>
    <w:rsid w:val="00BB0EF4"/>
    <w:rsid w:val="00BB0F46"/>
    <w:rsid w:val="00BB0F73"/>
    <w:rsid w:val="00BB0F86"/>
    <w:rsid w:val="00BB108A"/>
    <w:rsid w:val="00BB10F1"/>
    <w:rsid w:val="00BB119F"/>
    <w:rsid w:val="00BB11A0"/>
    <w:rsid w:val="00BB11B2"/>
    <w:rsid w:val="00BB11E9"/>
    <w:rsid w:val="00BB1223"/>
    <w:rsid w:val="00BB1239"/>
    <w:rsid w:val="00BB1274"/>
    <w:rsid w:val="00BB129D"/>
    <w:rsid w:val="00BB12D6"/>
    <w:rsid w:val="00BB130A"/>
    <w:rsid w:val="00BB1377"/>
    <w:rsid w:val="00BB143E"/>
    <w:rsid w:val="00BB14A3"/>
    <w:rsid w:val="00BB14D3"/>
    <w:rsid w:val="00BB153C"/>
    <w:rsid w:val="00BB15F6"/>
    <w:rsid w:val="00BB16A3"/>
    <w:rsid w:val="00BB16AC"/>
    <w:rsid w:val="00BB16B2"/>
    <w:rsid w:val="00BB16DE"/>
    <w:rsid w:val="00BB1733"/>
    <w:rsid w:val="00BB183C"/>
    <w:rsid w:val="00BB18D9"/>
    <w:rsid w:val="00BB18E4"/>
    <w:rsid w:val="00BB1934"/>
    <w:rsid w:val="00BB193D"/>
    <w:rsid w:val="00BB1989"/>
    <w:rsid w:val="00BB1996"/>
    <w:rsid w:val="00BB1A05"/>
    <w:rsid w:val="00BB1A59"/>
    <w:rsid w:val="00BB1B40"/>
    <w:rsid w:val="00BB1B4A"/>
    <w:rsid w:val="00BB1B70"/>
    <w:rsid w:val="00BB1B8D"/>
    <w:rsid w:val="00BB1BA2"/>
    <w:rsid w:val="00BB1BFC"/>
    <w:rsid w:val="00BB1C43"/>
    <w:rsid w:val="00BB1D2B"/>
    <w:rsid w:val="00BB1D7A"/>
    <w:rsid w:val="00BB1DEF"/>
    <w:rsid w:val="00BB1E10"/>
    <w:rsid w:val="00BB1E14"/>
    <w:rsid w:val="00BB1E4B"/>
    <w:rsid w:val="00BB1E6F"/>
    <w:rsid w:val="00BB1E86"/>
    <w:rsid w:val="00BB1EA7"/>
    <w:rsid w:val="00BB1F05"/>
    <w:rsid w:val="00BB1FA6"/>
    <w:rsid w:val="00BB1FC1"/>
    <w:rsid w:val="00BB1FE9"/>
    <w:rsid w:val="00BB1FFA"/>
    <w:rsid w:val="00BB20D9"/>
    <w:rsid w:val="00BB21DC"/>
    <w:rsid w:val="00BB21FD"/>
    <w:rsid w:val="00BB2245"/>
    <w:rsid w:val="00BB2256"/>
    <w:rsid w:val="00BB22A9"/>
    <w:rsid w:val="00BB22E5"/>
    <w:rsid w:val="00BB2377"/>
    <w:rsid w:val="00BB23C3"/>
    <w:rsid w:val="00BB23DE"/>
    <w:rsid w:val="00BB2406"/>
    <w:rsid w:val="00BB241E"/>
    <w:rsid w:val="00BB24E0"/>
    <w:rsid w:val="00BB25A8"/>
    <w:rsid w:val="00BB261E"/>
    <w:rsid w:val="00BB2643"/>
    <w:rsid w:val="00BB2654"/>
    <w:rsid w:val="00BB276B"/>
    <w:rsid w:val="00BB27AF"/>
    <w:rsid w:val="00BB27B8"/>
    <w:rsid w:val="00BB2805"/>
    <w:rsid w:val="00BB2BF3"/>
    <w:rsid w:val="00BB2C12"/>
    <w:rsid w:val="00BB2C88"/>
    <w:rsid w:val="00BB2CD0"/>
    <w:rsid w:val="00BB2D57"/>
    <w:rsid w:val="00BB2DAB"/>
    <w:rsid w:val="00BB2E21"/>
    <w:rsid w:val="00BB2E7F"/>
    <w:rsid w:val="00BB2EAF"/>
    <w:rsid w:val="00BB2EF6"/>
    <w:rsid w:val="00BB2F4E"/>
    <w:rsid w:val="00BB307B"/>
    <w:rsid w:val="00BB3080"/>
    <w:rsid w:val="00BB321E"/>
    <w:rsid w:val="00BB336A"/>
    <w:rsid w:val="00BB33CC"/>
    <w:rsid w:val="00BB3404"/>
    <w:rsid w:val="00BB3452"/>
    <w:rsid w:val="00BB347D"/>
    <w:rsid w:val="00BB34A4"/>
    <w:rsid w:val="00BB34CF"/>
    <w:rsid w:val="00BB35C2"/>
    <w:rsid w:val="00BB35D8"/>
    <w:rsid w:val="00BB3756"/>
    <w:rsid w:val="00BB3757"/>
    <w:rsid w:val="00BB3788"/>
    <w:rsid w:val="00BB37EB"/>
    <w:rsid w:val="00BB38D8"/>
    <w:rsid w:val="00BB38E2"/>
    <w:rsid w:val="00BB395B"/>
    <w:rsid w:val="00BB39FF"/>
    <w:rsid w:val="00BB3A18"/>
    <w:rsid w:val="00BB3A36"/>
    <w:rsid w:val="00BB3A62"/>
    <w:rsid w:val="00BB3A99"/>
    <w:rsid w:val="00BB3AC8"/>
    <w:rsid w:val="00BB3AF2"/>
    <w:rsid w:val="00BB3AFF"/>
    <w:rsid w:val="00BB3BC6"/>
    <w:rsid w:val="00BB3C1A"/>
    <w:rsid w:val="00BB3CAF"/>
    <w:rsid w:val="00BB3CB1"/>
    <w:rsid w:val="00BB3CF5"/>
    <w:rsid w:val="00BB3CF7"/>
    <w:rsid w:val="00BB3D5E"/>
    <w:rsid w:val="00BB3DF7"/>
    <w:rsid w:val="00BB3E0E"/>
    <w:rsid w:val="00BB3E1E"/>
    <w:rsid w:val="00BB3E58"/>
    <w:rsid w:val="00BB3F9E"/>
    <w:rsid w:val="00BB40D6"/>
    <w:rsid w:val="00BB40EA"/>
    <w:rsid w:val="00BB413F"/>
    <w:rsid w:val="00BB4192"/>
    <w:rsid w:val="00BB41C7"/>
    <w:rsid w:val="00BB4252"/>
    <w:rsid w:val="00BB426B"/>
    <w:rsid w:val="00BB429A"/>
    <w:rsid w:val="00BB42A6"/>
    <w:rsid w:val="00BB430F"/>
    <w:rsid w:val="00BB43B4"/>
    <w:rsid w:val="00BB4458"/>
    <w:rsid w:val="00BB44FD"/>
    <w:rsid w:val="00BB455D"/>
    <w:rsid w:val="00BB456D"/>
    <w:rsid w:val="00BB45CE"/>
    <w:rsid w:val="00BB4637"/>
    <w:rsid w:val="00BB463B"/>
    <w:rsid w:val="00BB46E9"/>
    <w:rsid w:val="00BB46F2"/>
    <w:rsid w:val="00BB470E"/>
    <w:rsid w:val="00BB47C5"/>
    <w:rsid w:val="00BB486E"/>
    <w:rsid w:val="00BB48A2"/>
    <w:rsid w:val="00BB49AB"/>
    <w:rsid w:val="00BB49B6"/>
    <w:rsid w:val="00BB4A85"/>
    <w:rsid w:val="00BB4A96"/>
    <w:rsid w:val="00BB4B15"/>
    <w:rsid w:val="00BB4C14"/>
    <w:rsid w:val="00BB4D67"/>
    <w:rsid w:val="00BB4DA8"/>
    <w:rsid w:val="00BB4E1B"/>
    <w:rsid w:val="00BB4E2B"/>
    <w:rsid w:val="00BB4E2C"/>
    <w:rsid w:val="00BB4E81"/>
    <w:rsid w:val="00BB4F4D"/>
    <w:rsid w:val="00BB4FF9"/>
    <w:rsid w:val="00BB5047"/>
    <w:rsid w:val="00BB5062"/>
    <w:rsid w:val="00BB5083"/>
    <w:rsid w:val="00BB50AD"/>
    <w:rsid w:val="00BB51E8"/>
    <w:rsid w:val="00BB52FB"/>
    <w:rsid w:val="00BB5336"/>
    <w:rsid w:val="00BB5397"/>
    <w:rsid w:val="00BB5432"/>
    <w:rsid w:val="00BB5514"/>
    <w:rsid w:val="00BB553C"/>
    <w:rsid w:val="00BB556B"/>
    <w:rsid w:val="00BB55EB"/>
    <w:rsid w:val="00BB55F7"/>
    <w:rsid w:val="00BB5601"/>
    <w:rsid w:val="00BB562D"/>
    <w:rsid w:val="00BB5640"/>
    <w:rsid w:val="00BB56F0"/>
    <w:rsid w:val="00BB5786"/>
    <w:rsid w:val="00BB579A"/>
    <w:rsid w:val="00BB57C3"/>
    <w:rsid w:val="00BB5856"/>
    <w:rsid w:val="00BB5897"/>
    <w:rsid w:val="00BB597D"/>
    <w:rsid w:val="00BB5987"/>
    <w:rsid w:val="00BB5A14"/>
    <w:rsid w:val="00BB5AA6"/>
    <w:rsid w:val="00BB5B35"/>
    <w:rsid w:val="00BB5B5A"/>
    <w:rsid w:val="00BB5B9A"/>
    <w:rsid w:val="00BB5B9B"/>
    <w:rsid w:val="00BB5C35"/>
    <w:rsid w:val="00BB5C72"/>
    <w:rsid w:val="00BB5CDC"/>
    <w:rsid w:val="00BB5D2B"/>
    <w:rsid w:val="00BB5D8E"/>
    <w:rsid w:val="00BB5D90"/>
    <w:rsid w:val="00BB5D9A"/>
    <w:rsid w:val="00BB5DA7"/>
    <w:rsid w:val="00BB5DB8"/>
    <w:rsid w:val="00BB5DE3"/>
    <w:rsid w:val="00BB5DE4"/>
    <w:rsid w:val="00BB5E38"/>
    <w:rsid w:val="00BB5E53"/>
    <w:rsid w:val="00BB5EB0"/>
    <w:rsid w:val="00BB6003"/>
    <w:rsid w:val="00BB60B0"/>
    <w:rsid w:val="00BB6127"/>
    <w:rsid w:val="00BB61CE"/>
    <w:rsid w:val="00BB6200"/>
    <w:rsid w:val="00BB6220"/>
    <w:rsid w:val="00BB6266"/>
    <w:rsid w:val="00BB629B"/>
    <w:rsid w:val="00BB62BF"/>
    <w:rsid w:val="00BB6446"/>
    <w:rsid w:val="00BB6460"/>
    <w:rsid w:val="00BB66CC"/>
    <w:rsid w:val="00BB6950"/>
    <w:rsid w:val="00BB696C"/>
    <w:rsid w:val="00BB6A45"/>
    <w:rsid w:val="00BB6A7F"/>
    <w:rsid w:val="00BB6B6C"/>
    <w:rsid w:val="00BB6B7C"/>
    <w:rsid w:val="00BB6BB9"/>
    <w:rsid w:val="00BB6C27"/>
    <w:rsid w:val="00BB6CD0"/>
    <w:rsid w:val="00BB6E2B"/>
    <w:rsid w:val="00BB6E32"/>
    <w:rsid w:val="00BB6E3B"/>
    <w:rsid w:val="00BB6E7E"/>
    <w:rsid w:val="00BB6F28"/>
    <w:rsid w:val="00BB6F74"/>
    <w:rsid w:val="00BB6F97"/>
    <w:rsid w:val="00BB718D"/>
    <w:rsid w:val="00BB71A4"/>
    <w:rsid w:val="00BB71AD"/>
    <w:rsid w:val="00BB71CB"/>
    <w:rsid w:val="00BB7240"/>
    <w:rsid w:val="00BB72C2"/>
    <w:rsid w:val="00BB72E3"/>
    <w:rsid w:val="00BB7364"/>
    <w:rsid w:val="00BB73C9"/>
    <w:rsid w:val="00BB7511"/>
    <w:rsid w:val="00BB7544"/>
    <w:rsid w:val="00BB7591"/>
    <w:rsid w:val="00BB75E8"/>
    <w:rsid w:val="00BB7614"/>
    <w:rsid w:val="00BB762B"/>
    <w:rsid w:val="00BB765E"/>
    <w:rsid w:val="00BB7664"/>
    <w:rsid w:val="00BB7698"/>
    <w:rsid w:val="00BB77EC"/>
    <w:rsid w:val="00BB78AA"/>
    <w:rsid w:val="00BB78D9"/>
    <w:rsid w:val="00BB79B2"/>
    <w:rsid w:val="00BB79DF"/>
    <w:rsid w:val="00BB79E9"/>
    <w:rsid w:val="00BB7ADB"/>
    <w:rsid w:val="00BB7B14"/>
    <w:rsid w:val="00BB7B55"/>
    <w:rsid w:val="00BB7BB8"/>
    <w:rsid w:val="00BB7BFE"/>
    <w:rsid w:val="00BB7D34"/>
    <w:rsid w:val="00BB7D97"/>
    <w:rsid w:val="00BB7E07"/>
    <w:rsid w:val="00BB7E87"/>
    <w:rsid w:val="00BB7E89"/>
    <w:rsid w:val="00BB7ECA"/>
    <w:rsid w:val="00BB7EE6"/>
    <w:rsid w:val="00BB7F68"/>
    <w:rsid w:val="00BB7F8C"/>
    <w:rsid w:val="00BC0002"/>
    <w:rsid w:val="00BC00F3"/>
    <w:rsid w:val="00BC0140"/>
    <w:rsid w:val="00BC01CA"/>
    <w:rsid w:val="00BC01DF"/>
    <w:rsid w:val="00BC02D4"/>
    <w:rsid w:val="00BC043F"/>
    <w:rsid w:val="00BC04A4"/>
    <w:rsid w:val="00BC04F2"/>
    <w:rsid w:val="00BC0572"/>
    <w:rsid w:val="00BC05B9"/>
    <w:rsid w:val="00BC05DC"/>
    <w:rsid w:val="00BC0654"/>
    <w:rsid w:val="00BC0697"/>
    <w:rsid w:val="00BC069C"/>
    <w:rsid w:val="00BC0773"/>
    <w:rsid w:val="00BC0802"/>
    <w:rsid w:val="00BC0841"/>
    <w:rsid w:val="00BC086D"/>
    <w:rsid w:val="00BC0908"/>
    <w:rsid w:val="00BC090B"/>
    <w:rsid w:val="00BC09AA"/>
    <w:rsid w:val="00BC0A3A"/>
    <w:rsid w:val="00BC0A63"/>
    <w:rsid w:val="00BC0B2A"/>
    <w:rsid w:val="00BC0B98"/>
    <w:rsid w:val="00BC0CB1"/>
    <w:rsid w:val="00BC0CFE"/>
    <w:rsid w:val="00BC0D36"/>
    <w:rsid w:val="00BC0D55"/>
    <w:rsid w:val="00BC0D6F"/>
    <w:rsid w:val="00BC0D82"/>
    <w:rsid w:val="00BC0E48"/>
    <w:rsid w:val="00BC0F0E"/>
    <w:rsid w:val="00BC0F19"/>
    <w:rsid w:val="00BC0FF7"/>
    <w:rsid w:val="00BC1059"/>
    <w:rsid w:val="00BC10CC"/>
    <w:rsid w:val="00BC10F0"/>
    <w:rsid w:val="00BC113B"/>
    <w:rsid w:val="00BC1164"/>
    <w:rsid w:val="00BC11B5"/>
    <w:rsid w:val="00BC1220"/>
    <w:rsid w:val="00BC12D3"/>
    <w:rsid w:val="00BC1325"/>
    <w:rsid w:val="00BC1352"/>
    <w:rsid w:val="00BC136B"/>
    <w:rsid w:val="00BC136E"/>
    <w:rsid w:val="00BC1437"/>
    <w:rsid w:val="00BC14A2"/>
    <w:rsid w:val="00BC14BB"/>
    <w:rsid w:val="00BC15DE"/>
    <w:rsid w:val="00BC1710"/>
    <w:rsid w:val="00BC1797"/>
    <w:rsid w:val="00BC17C8"/>
    <w:rsid w:val="00BC17F6"/>
    <w:rsid w:val="00BC1828"/>
    <w:rsid w:val="00BC1834"/>
    <w:rsid w:val="00BC18B2"/>
    <w:rsid w:val="00BC1928"/>
    <w:rsid w:val="00BC19D0"/>
    <w:rsid w:val="00BC19F0"/>
    <w:rsid w:val="00BC19FA"/>
    <w:rsid w:val="00BC1BA7"/>
    <w:rsid w:val="00BC1BC8"/>
    <w:rsid w:val="00BC1C44"/>
    <w:rsid w:val="00BC1C7B"/>
    <w:rsid w:val="00BC1CCB"/>
    <w:rsid w:val="00BC1CF2"/>
    <w:rsid w:val="00BC1D13"/>
    <w:rsid w:val="00BC1D43"/>
    <w:rsid w:val="00BC1DC5"/>
    <w:rsid w:val="00BC1E51"/>
    <w:rsid w:val="00BC1EB3"/>
    <w:rsid w:val="00BC1EFE"/>
    <w:rsid w:val="00BC1F65"/>
    <w:rsid w:val="00BC1F7F"/>
    <w:rsid w:val="00BC1F8B"/>
    <w:rsid w:val="00BC2037"/>
    <w:rsid w:val="00BC2050"/>
    <w:rsid w:val="00BC208D"/>
    <w:rsid w:val="00BC20C0"/>
    <w:rsid w:val="00BC2224"/>
    <w:rsid w:val="00BC226C"/>
    <w:rsid w:val="00BC22A6"/>
    <w:rsid w:val="00BC22B5"/>
    <w:rsid w:val="00BC2419"/>
    <w:rsid w:val="00BC242A"/>
    <w:rsid w:val="00BC243B"/>
    <w:rsid w:val="00BC2451"/>
    <w:rsid w:val="00BC24FF"/>
    <w:rsid w:val="00BC2537"/>
    <w:rsid w:val="00BC25D3"/>
    <w:rsid w:val="00BC262E"/>
    <w:rsid w:val="00BC2651"/>
    <w:rsid w:val="00BC2660"/>
    <w:rsid w:val="00BC26F2"/>
    <w:rsid w:val="00BC26F9"/>
    <w:rsid w:val="00BC2992"/>
    <w:rsid w:val="00BC2A1E"/>
    <w:rsid w:val="00BC2A25"/>
    <w:rsid w:val="00BC2A3A"/>
    <w:rsid w:val="00BC2A64"/>
    <w:rsid w:val="00BC2A9D"/>
    <w:rsid w:val="00BC2AEA"/>
    <w:rsid w:val="00BC2B1E"/>
    <w:rsid w:val="00BC2B39"/>
    <w:rsid w:val="00BC2B49"/>
    <w:rsid w:val="00BC2CA0"/>
    <w:rsid w:val="00BC2D07"/>
    <w:rsid w:val="00BC2D0B"/>
    <w:rsid w:val="00BC2D3C"/>
    <w:rsid w:val="00BC2D51"/>
    <w:rsid w:val="00BC2D53"/>
    <w:rsid w:val="00BC2DF1"/>
    <w:rsid w:val="00BC2DF7"/>
    <w:rsid w:val="00BC2E07"/>
    <w:rsid w:val="00BC2E0C"/>
    <w:rsid w:val="00BC2EAB"/>
    <w:rsid w:val="00BC2F35"/>
    <w:rsid w:val="00BC2F89"/>
    <w:rsid w:val="00BC2FA7"/>
    <w:rsid w:val="00BC2FD5"/>
    <w:rsid w:val="00BC3013"/>
    <w:rsid w:val="00BC306C"/>
    <w:rsid w:val="00BC30DD"/>
    <w:rsid w:val="00BC3137"/>
    <w:rsid w:val="00BC3150"/>
    <w:rsid w:val="00BC31AB"/>
    <w:rsid w:val="00BC3243"/>
    <w:rsid w:val="00BC32F9"/>
    <w:rsid w:val="00BC335E"/>
    <w:rsid w:val="00BC3373"/>
    <w:rsid w:val="00BC33A9"/>
    <w:rsid w:val="00BC33AB"/>
    <w:rsid w:val="00BC33AE"/>
    <w:rsid w:val="00BC33FB"/>
    <w:rsid w:val="00BC3469"/>
    <w:rsid w:val="00BC3505"/>
    <w:rsid w:val="00BC3598"/>
    <w:rsid w:val="00BC369A"/>
    <w:rsid w:val="00BC369C"/>
    <w:rsid w:val="00BC37DC"/>
    <w:rsid w:val="00BC38B3"/>
    <w:rsid w:val="00BC398A"/>
    <w:rsid w:val="00BC3996"/>
    <w:rsid w:val="00BC3A5B"/>
    <w:rsid w:val="00BC3A99"/>
    <w:rsid w:val="00BC3AAB"/>
    <w:rsid w:val="00BC3B90"/>
    <w:rsid w:val="00BC3BF4"/>
    <w:rsid w:val="00BC3CC7"/>
    <w:rsid w:val="00BC3CF5"/>
    <w:rsid w:val="00BC3D22"/>
    <w:rsid w:val="00BC3F1C"/>
    <w:rsid w:val="00BC4005"/>
    <w:rsid w:val="00BC41B4"/>
    <w:rsid w:val="00BC4295"/>
    <w:rsid w:val="00BC4296"/>
    <w:rsid w:val="00BC431B"/>
    <w:rsid w:val="00BC43E3"/>
    <w:rsid w:val="00BC444C"/>
    <w:rsid w:val="00BC44E6"/>
    <w:rsid w:val="00BC4583"/>
    <w:rsid w:val="00BC45ED"/>
    <w:rsid w:val="00BC4602"/>
    <w:rsid w:val="00BC4663"/>
    <w:rsid w:val="00BC46A6"/>
    <w:rsid w:val="00BC46B6"/>
    <w:rsid w:val="00BC46C5"/>
    <w:rsid w:val="00BC4707"/>
    <w:rsid w:val="00BC470D"/>
    <w:rsid w:val="00BC475F"/>
    <w:rsid w:val="00BC47B0"/>
    <w:rsid w:val="00BC4803"/>
    <w:rsid w:val="00BC483F"/>
    <w:rsid w:val="00BC4874"/>
    <w:rsid w:val="00BC48D4"/>
    <w:rsid w:val="00BC48F6"/>
    <w:rsid w:val="00BC4906"/>
    <w:rsid w:val="00BC4939"/>
    <w:rsid w:val="00BC496B"/>
    <w:rsid w:val="00BC4972"/>
    <w:rsid w:val="00BC49A1"/>
    <w:rsid w:val="00BC4A7A"/>
    <w:rsid w:val="00BC4B79"/>
    <w:rsid w:val="00BC4C71"/>
    <w:rsid w:val="00BC4C86"/>
    <w:rsid w:val="00BC4D5C"/>
    <w:rsid w:val="00BC4FD0"/>
    <w:rsid w:val="00BC4FE5"/>
    <w:rsid w:val="00BC50D7"/>
    <w:rsid w:val="00BC51A9"/>
    <w:rsid w:val="00BC51F7"/>
    <w:rsid w:val="00BC52C8"/>
    <w:rsid w:val="00BC5328"/>
    <w:rsid w:val="00BC5371"/>
    <w:rsid w:val="00BC53B5"/>
    <w:rsid w:val="00BC53BD"/>
    <w:rsid w:val="00BC53FF"/>
    <w:rsid w:val="00BC5418"/>
    <w:rsid w:val="00BC5452"/>
    <w:rsid w:val="00BC5461"/>
    <w:rsid w:val="00BC5466"/>
    <w:rsid w:val="00BC54A0"/>
    <w:rsid w:val="00BC54EA"/>
    <w:rsid w:val="00BC551F"/>
    <w:rsid w:val="00BC559B"/>
    <w:rsid w:val="00BC55AB"/>
    <w:rsid w:val="00BC55C1"/>
    <w:rsid w:val="00BC55D8"/>
    <w:rsid w:val="00BC5605"/>
    <w:rsid w:val="00BC5622"/>
    <w:rsid w:val="00BC56AC"/>
    <w:rsid w:val="00BC56B4"/>
    <w:rsid w:val="00BC56B6"/>
    <w:rsid w:val="00BC5722"/>
    <w:rsid w:val="00BC578C"/>
    <w:rsid w:val="00BC58CE"/>
    <w:rsid w:val="00BC5A4E"/>
    <w:rsid w:val="00BC5A81"/>
    <w:rsid w:val="00BC5AAA"/>
    <w:rsid w:val="00BC5AE1"/>
    <w:rsid w:val="00BC5B02"/>
    <w:rsid w:val="00BC5B70"/>
    <w:rsid w:val="00BC5BAA"/>
    <w:rsid w:val="00BC5C29"/>
    <w:rsid w:val="00BC5CEC"/>
    <w:rsid w:val="00BC5D36"/>
    <w:rsid w:val="00BC5E58"/>
    <w:rsid w:val="00BC5F29"/>
    <w:rsid w:val="00BC603D"/>
    <w:rsid w:val="00BC6044"/>
    <w:rsid w:val="00BC615B"/>
    <w:rsid w:val="00BC61A1"/>
    <w:rsid w:val="00BC61E2"/>
    <w:rsid w:val="00BC6222"/>
    <w:rsid w:val="00BC623A"/>
    <w:rsid w:val="00BC6252"/>
    <w:rsid w:val="00BC62A2"/>
    <w:rsid w:val="00BC634E"/>
    <w:rsid w:val="00BC63F4"/>
    <w:rsid w:val="00BC640D"/>
    <w:rsid w:val="00BC644A"/>
    <w:rsid w:val="00BC6453"/>
    <w:rsid w:val="00BC64B8"/>
    <w:rsid w:val="00BC6593"/>
    <w:rsid w:val="00BC664C"/>
    <w:rsid w:val="00BC66ED"/>
    <w:rsid w:val="00BC6716"/>
    <w:rsid w:val="00BC6854"/>
    <w:rsid w:val="00BC6885"/>
    <w:rsid w:val="00BC6897"/>
    <w:rsid w:val="00BC68AD"/>
    <w:rsid w:val="00BC69F3"/>
    <w:rsid w:val="00BC6AD1"/>
    <w:rsid w:val="00BC6BAC"/>
    <w:rsid w:val="00BC6BE4"/>
    <w:rsid w:val="00BC6D8F"/>
    <w:rsid w:val="00BC6E66"/>
    <w:rsid w:val="00BC6EBF"/>
    <w:rsid w:val="00BC6F0A"/>
    <w:rsid w:val="00BC6F12"/>
    <w:rsid w:val="00BC6F40"/>
    <w:rsid w:val="00BC6FA8"/>
    <w:rsid w:val="00BC7028"/>
    <w:rsid w:val="00BC7052"/>
    <w:rsid w:val="00BC70E9"/>
    <w:rsid w:val="00BC737D"/>
    <w:rsid w:val="00BC744E"/>
    <w:rsid w:val="00BC74E6"/>
    <w:rsid w:val="00BC752D"/>
    <w:rsid w:val="00BC7531"/>
    <w:rsid w:val="00BC753F"/>
    <w:rsid w:val="00BC7583"/>
    <w:rsid w:val="00BC75A1"/>
    <w:rsid w:val="00BC75EA"/>
    <w:rsid w:val="00BC75F8"/>
    <w:rsid w:val="00BC763E"/>
    <w:rsid w:val="00BC7713"/>
    <w:rsid w:val="00BC7937"/>
    <w:rsid w:val="00BC7943"/>
    <w:rsid w:val="00BC79B1"/>
    <w:rsid w:val="00BC7B03"/>
    <w:rsid w:val="00BC7B33"/>
    <w:rsid w:val="00BC7B3A"/>
    <w:rsid w:val="00BC7BBE"/>
    <w:rsid w:val="00BC7BED"/>
    <w:rsid w:val="00BC7BF7"/>
    <w:rsid w:val="00BC7CA7"/>
    <w:rsid w:val="00BC7CEC"/>
    <w:rsid w:val="00BC7D33"/>
    <w:rsid w:val="00BC7EAF"/>
    <w:rsid w:val="00BC7EB6"/>
    <w:rsid w:val="00BC7F05"/>
    <w:rsid w:val="00BC7F10"/>
    <w:rsid w:val="00BC7F96"/>
    <w:rsid w:val="00BC7FE0"/>
    <w:rsid w:val="00BC7FEC"/>
    <w:rsid w:val="00BD0002"/>
    <w:rsid w:val="00BD004D"/>
    <w:rsid w:val="00BD0122"/>
    <w:rsid w:val="00BD0166"/>
    <w:rsid w:val="00BD027F"/>
    <w:rsid w:val="00BD0292"/>
    <w:rsid w:val="00BD02C4"/>
    <w:rsid w:val="00BD02DF"/>
    <w:rsid w:val="00BD0307"/>
    <w:rsid w:val="00BD030D"/>
    <w:rsid w:val="00BD032A"/>
    <w:rsid w:val="00BD032F"/>
    <w:rsid w:val="00BD033A"/>
    <w:rsid w:val="00BD0341"/>
    <w:rsid w:val="00BD034C"/>
    <w:rsid w:val="00BD03D7"/>
    <w:rsid w:val="00BD0412"/>
    <w:rsid w:val="00BD04F3"/>
    <w:rsid w:val="00BD0539"/>
    <w:rsid w:val="00BD053B"/>
    <w:rsid w:val="00BD05FE"/>
    <w:rsid w:val="00BD0658"/>
    <w:rsid w:val="00BD0660"/>
    <w:rsid w:val="00BD0699"/>
    <w:rsid w:val="00BD06E9"/>
    <w:rsid w:val="00BD0705"/>
    <w:rsid w:val="00BD0728"/>
    <w:rsid w:val="00BD0742"/>
    <w:rsid w:val="00BD0756"/>
    <w:rsid w:val="00BD0799"/>
    <w:rsid w:val="00BD07FE"/>
    <w:rsid w:val="00BD0A19"/>
    <w:rsid w:val="00BD0A1C"/>
    <w:rsid w:val="00BD0AE0"/>
    <w:rsid w:val="00BD0B4D"/>
    <w:rsid w:val="00BD0C4C"/>
    <w:rsid w:val="00BD0C72"/>
    <w:rsid w:val="00BD0D1A"/>
    <w:rsid w:val="00BD0D8B"/>
    <w:rsid w:val="00BD0DB2"/>
    <w:rsid w:val="00BD0DD0"/>
    <w:rsid w:val="00BD0E13"/>
    <w:rsid w:val="00BD0E19"/>
    <w:rsid w:val="00BD0EF8"/>
    <w:rsid w:val="00BD0F15"/>
    <w:rsid w:val="00BD0F17"/>
    <w:rsid w:val="00BD0F22"/>
    <w:rsid w:val="00BD1012"/>
    <w:rsid w:val="00BD1092"/>
    <w:rsid w:val="00BD10EC"/>
    <w:rsid w:val="00BD11DE"/>
    <w:rsid w:val="00BD11E7"/>
    <w:rsid w:val="00BD11FD"/>
    <w:rsid w:val="00BD1221"/>
    <w:rsid w:val="00BD126D"/>
    <w:rsid w:val="00BD12BD"/>
    <w:rsid w:val="00BD1316"/>
    <w:rsid w:val="00BD1573"/>
    <w:rsid w:val="00BD170B"/>
    <w:rsid w:val="00BD1721"/>
    <w:rsid w:val="00BD1788"/>
    <w:rsid w:val="00BD17DA"/>
    <w:rsid w:val="00BD17FB"/>
    <w:rsid w:val="00BD1807"/>
    <w:rsid w:val="00BD1899"/>
    <w:rsid w:val="00BD1935"/>
    <w:rsid w:val="00BD1A91"/>
    <w:rsid w:val="00BD1AA8"/>
    <w:rsid w:val="00BD1AAE"/>
    <w:rsid w:val="00BD1BDB"/>
    <w:rsid w:val="00BD1CDA"/>
    <w:rsid w:val="00BD1D5C"/>
    <w:rsid w:val="00BD1DB4"/>
    <w:rsid w:val="00BD1DB7"/>
    <w:rsid w:val="00BD1E47"/>
    <w:rsid w:val="00BD1E67"/>
    <w:rsid w:val="00BD1E6F"/>
    <w:rsid w:val="00BD1F82"/>
    <w:rsid w:val="00BD1FB2"/>
    <w:rsid w:val="00BD2088"/>
    <w:rsid w:val="00BD2153"/>
    <w:rsid w:val="00BD2184"/>
    <w:rsid w:val="00BD21E7"/>
    <w:rsid w:val="00BD225A"/>
    <w:rsid w:val="00BD22BC"/>
    <w:rsid w:val="00BD23B2"/>
    <w:rsid w:val="00BD242D"/>
    <w:rsid w:val="00BD2439"/>
    <w:rsid w:val="00BD247B"/>
    <w:rsid w:val="00BD24A4"/>
    <w:rsid w:val="00BD2531"/>
    <w:rsid w:val="00BD256C"/>
    <w:rsid w:val="00BD25AF"/>
    <w:rsid w:val="00BD25FA"/>
    <w:rsid w:val="00BD25FF"/>
    <w:rsid w:val="00BD2647"/>
    <w:rsid w:val="00BD2651"/>
    <w:rsid w:val="00BD2663"/>
    <w:rsid w:val="00BD2780"/>
    <w:rsid w:val="00BD2795"/>
    <w:rsid w:val="00BD28E6"/>
    <w:rsid w:val="00BD2912"/>
    <w:rsid w:val="00BD29BA"/>
    <w:rsid w:val="00BD29F9"/>
    <w:rsid w:val="00BD2A18"/>
    <w:rsid w:val="00BD2A78"/>
    <w:rsid w:val="00BD2AD0"/>
    <w:rsid w:val="00BD2ADD"/>
    <w:rsid w:val="00BD2B04"/>
    <w:rsid w:val="00BD2B14"/>
    <w:rsid w:val="00BD2B7E"/>
    <w:rsid w:val="00BD2BE9"/>
    <w:rsid w:val="00BD2BF5"/>
    <w:rsid w:val="00BD2C11"/>
    <w:rsid w:val="00BD2C89"/>
    <w:rsid w:val="00BD2C8F"/>
    <w:rsid w:val="00BD2C9C"/>
    <w:rsid w:val="00BD2D00"/>
    <w:rsid w:val="00BD2D0C"/>
    <w:rsid w:val="00BD2D2A"/>
    <w:rsid w:val="00BD2D4A"/>
    <w:rsid w:val="00BD2D8A"/>
    <w:rsid w:val="00BD2DC9"/>
    <w:rsid w:val="00BD2E84"/>
    <w:rsid w:val="00BD2EA5"/>
    <w:rsid w:val="00BD2EC1"/>
    <w:rsid w:val="00BD2ED8"/>
    <w:rsid w:val="00BD2EE2"/>
    <w:rsid w:val="00BD2F03"/>
    <w:rsid w:val="00BD2F5E"/>
    <w:rsid w:val="00BD30A2"/>
    <w:rsid w:val="00BD30BD"/>
    <w:rsid w:val="00BD31CF"/>
    <w:rsid w:val="00BD31D7"/>
    <w:rsid w:val="00BD32A3"/>
    <w:rsid w:val="00BD32C9"/>
    <w:rsid w:val="00BD32FC"/>
    <w:rsid w:val="00BD3332"/>
    <w:rsid w:val="00BD33D4"/>
    <w:rsid w:val="00BD33E0"/>
    <w:rsid w:val="00BD345C"/>
    <w:rsid w:val="00BD3483"/>
    <w:rsid w:val="00BD3487"/>
    <w:rsid w:val="00BD3493"/>
    <w:rsid w:val="00BD3502"/>
    <w:rsid w:val="00BD357C"/>
    <w:rsid w:val="00BD35AF"/>
    <w:rsid w:val="00BD36C3"/>
    <w:rsid w:val="00BD3702"/>
    <w:rsid w:val="00BD3729"/>
    <w:rsid w:val="00BD377B"/>
    <w:rsid w:val="00BD395D"/>
    <w:rsid w:val="00BD396B"/>
    <w:rsid w:val="00BD39A4"/>
    <w:rsid w:val="00BD39D2"/>
    <w:rsid w:val="00BD3A02"/>
    <w:rsid w:val="00BD3A20"/>
    <w:rsid w:val="00BD3A97"/>
    <w:rsid w:val="00BD3AC9"/>
    <w:rsid w:val="00BD3B6A"/>
    <w:rsid w:val="00BD3BC7"/>
    <w:rsid w:val="00BD3C7A"/>
    <w:rsid w:val="00BD3C9A"/>
    <w:rsid w:val="00BD3CB2"/>
    <w:rsid w:val="00BD3D18"/>
    <w:rsid w:val="00BD3D21"/>
    <w:rsid w:val="00BD3D2F"/>
    <w:rsid w:val="00BD3E6F"/>
    <w:rsid w:val="00BD3E70"/>
    <w:rsid w:val="00BD3EBF"/>
    <w:rsid w:val="00BD40B1"/>
    <w:rsid w:val="00BD40C7"/>
    <w:rsid w:val="00BD40DE"/>
    <w:rsid w:val="00BD411A"/>
    <w:rsid w:val="00BD41DD"/>
    <w:rsid w:val="00BD4272"/>
    <w:rsid w:val="00BD4278"/>
    <w:rsid w:val="00BD4288"/>
    <w:rsid w:val="00BD42EA"/>
    <w:rsid w:val="00BD42EC"/>
    <w:rsid w:val="00BD437B"/>
    <w:rsid w:val="00BD43A8"/>
    <w:rsid w:val="00BD43FC"/>
    <w:rsid w:val="00BD440E"/>
    <w:rsid w:val="00BD443D"/>
    <w:rsid w:val="00BD44B6"/>
    <w:rsid w:val="00BD451E"/>
    <w:rsid w:val="00BD45B0"/>
    <w:rsid w:val="00BD45B4"/>
    <w:rsid w:val="00BD46DE"/>
    <w:rsid w:val="00BD48B3"/>
    <w:rsid w:val="00BD4984"/>
    <w:rsid w:val="00BD49DE"/>
    <w:rsid w:val="00BD4A7A"/>
    <w:rsid w:val="00BD4BA3"/>
    <w:rsid w:val="00BD4C35"/>
    <w:rsid w:val="00BD4C73"/>
    <w:rsid w:val="00BD4C7C"/>
    <w:rsid w:val="00BD4C87"/>
    <w:rsid w:val="00BD4D6C"/>
    <w:rsid w:val="00BD4D74"/>
    <w:rsid w:val="00BD4DF3"/>
    <w:rsid w:val="00BD4EAB"/>
    <w:rsid w:val="00BD4F35"/>
    <w:rsid w:val="00BD5078"/>
    <w:rsid w:val="00BD50A2"/>
    <w:rsid w:val="00BD50AE"/>
    <w:rsid w:val="00BD5107"/>
    <w:rsid w:val="00BD510E"/>
    <w:rsid w:val="00BD5172"/>
    <w:rsid w:val="00BD51B4"/>
    <w:rsid w:val="00BD51DF"/>
    <w:rsid w:val="00BD51F4"/>
    <w:rsid w:val="00BD5228"/>
    <w:rsid w:val="00BD53BF"/>
    <w:rsid w:val="00BD53C6"/>
    <w:rsid w:val="00BD53D3"/>
    <w:rsid w:val="00BD53E8"/>
    <w:rsid w:val="00BD5425"/>
    <w:rsid w:val="00BD552E"/>
    <w:rsid w:val="00BD5548"/>
    <w:rsid w:val="00BD55DA"/>
    <w:rsid w:val="00BD5601"/>
    <w:rsid w:val="00BD563B"/>
    <w:rsid w:val="00BD566F"/>
    <w:rsid w:val="00BD568F"/>
    <w:rsid w:val="00BD56CA"/>
    <w:rsid w:val="00BD570B"/>
    <w:rsid w:val="00BD5732"/>
    <w:rsid w:val="00BD574A"/>
    <w:rsid w:val="00BD57AB"/>
    <w:rsid w:val="00BD57C6"/>
    <w:rsid w:val="00BD57F3"/>
    <w:rsid w:val="00BD586D"/>
    <w:rsid w:val="00BD587F"/>
    <w:rsid w:val="00BD58A9"/>
    <w:rsid w:val="00BD58FB"/>
    <w:rsid w:val="00BD5995"/>
    <w:rsid w:val="00BD5996"/>
    <w:rsid w:val="00BD59D9"/>
    <w:rsid w:val="00BD59EA"/>
    <w:rsid w:val="00BD5AAE"/>
    <w:rsid w:val="00BD5B39"/>
    <w:rsid w:val="00BD5B79"/>
    <w:rsid w:val="00BD5BE6"/>
    <w:rsid w:val="00BD5BEB"/>
    <w:rsid w:val="00BD5CB9"/>
    <w:rsid w:val="00BD5DB3"/>
    <w:rsid w:val="00BD5E70"/>
    <w:rsid w:val="00BD5EC0"/>
    <w:rsid w:val="00BD5EF0"/>
    <w:rsid w:val="00BD5F06"/>
    <w:rsid w:val="00BD5F41"/>
    <w:rsid w:val="00BD5F92"/>
    <w:rsid w:val="00BD6068"/>
    <w:rsid w:val="00BD6077"/>
    <w:rsid w:val="00BD60B5"/>
    <w:rsid w:val="00BD6112"/>
    <w:rsid w:val="00BD6132"/>
    <w:rsid w:val="00BD6157"/>
    <w:rsid w:val="00BD61E8"/>
    <w:rsid w:val="00BD622F"/>
    <w:rsid w:val="00BD6235"/>
    <w:rsid w:val="00BD6288"/>
    <w:rsid w:val="00BD62DC"/>
    <w:rsid w:val="00BD63B9"/>
    <w:rsid w:val="00BD63E4"/>
    <w:rsid w:val="00BD650E"/>
    <w:rsid w:val="00BD6513"/>
    <w:rsid w:val="00BD652C"/>
    <w:rsid w:val="00BD653C"/>
    <w:rsid w:val="00BD655B"/>
    <w:rsid w:val="00BD65EA"/>
    <w:rsid w:val="00BD6607"/>
    <w:rsid w:val="00BD6648"/>
    <w:rsid w:val="00BD6825"/>
    <w:rsid w:val="00BD685C"/>
    <w:rsid w:val="00BD68F4"/>
    <w:rsid w:val="00BD68FB"/>
    <w:rsid w:val="00BD692C"/>
    <w:rsid w:val="00BD69E6"/>
    <w:rsid w:val="00BD6A74"/>
    <w:rsid w:val="00BD6AB9"/>
    <w:rsid w:val="00BD6ACB"/>
    <w:rsid w:val="00BD6AED"/>
    <w:rsid w:val="00BD6CC4"/>
    <w:rsid w:val="00BD6E13"/>
    <w:rsid w:val="00BD6F35"/>
    <w:rsid w:val="00BD6FB6"/>
    <w:rsid w:val="00BD7007"/>
    <w:rsid w:val="00BD706F"/>
    <w:rsid w:val="00BD70EC"/>
    <w:rsid w:val="00BD713E"/>
    <w:rsid w:val="00BD719E"/>
    <w:rsid w:val="00BD71A0"/>
    <w:rsid w:val="00BD723D"/>
    <w:rsid w:val="00BD72C0"/>
    <w:rsid w:val="00BD7331"/>
    <w:rsid w:val="00BD7413"/>
    <w:rsid w:val="00BD7515"/>
    <w:rsid w:val="00BD7549"/>
    <w:rsid w:val="00BD7590"/>
    <w:rsid w:val="00BD75E4"/>
    <w:rsid w:val="00BD766D"/>
    <w:rsid w:val="00BD768B"/>
    <w:rsid w:val="00BD769C"/>
    <w:rsid w:val="00BD76B2"/>
    <w:rsid w:val="00BD76EC"/>
    <w:rsid w:val="00BD77BA"/>
    <w:rsid w:val="00BD7842"/>
    <w:rsid w:val="00BD78C8"/>
    <w:rsid w:val="00BD7954"/>
    <w:rsid w:val="00BD79B9"/>
    <w:rsid w:val="00BD7A99"/>
    <w:rsid w:val="00BD7B5A"/>
    <w:rsid w:val="00BD7B7E"/>
    <w:rsid w:val="00BD7C3B"/>
    <w:rsid w:val="00BD7C3E"/>
    <w:rsid w:val="00BD7C96"/>
    <w:rsid w:val="00BD7D6B"/>
    <w:rsid w:val="00BD7DB6"/>
    <w:rsid w:val="00BD7E4C"/>
    <w:rsid w:val="00BD7EA7"/>
    <w:rsid w:val="00BD7EBF"/>
    <w:rsid w:val="00BD7EE2"/>
    <w:rsid w:val="00BD7F28"/>
    <w:rsid w:val="00BE00E8"/>
    <w:rsid w:val="00BE0100"/>
    <w:rsid w:val="00BE01B0"/>
    <w:rsid w:val="00BE02C3"/>
    <w:rsid w:val="00BE02F3"/>
    <w:rsid w:val="00BE03CC"/>
    <w:rsid w:val="00BE0410"/>
    <w:rsid w:val="00BE055C"/>
    <w:rsid w:val="00BE0564"/>
    <w:rsid w:val="00BE08DF"/>
    <w:rsid w:val="00BE09E7"/>
    <w:rsid w:val="00BE0A6A"/>
    <w:rsid w:val="00BE0CE4"/>
    <w:rsid w:val="00BE0D4E"/>
    <w:rsid w:val="00BE0D90"/>
    <w:rsid w:val="00BE0DEF"/>
    <w:rsid w:val="00BE0E0C"/>
    <w:rsid w:val="00BE0E87"/>
    <w:rsid w:val="00BE0F41"/>
    <w:rsid w:val="00BE0F47"/>
    <w:rsid w:val="00BE0FE0"/>
    <w:rsid w:val="00BE1006"/>
    <w:rsid w:val="00BE1075"/>
    <w:rsid w:val="00BE1139"/>
    <w:rsid w:val="00BE1145"/>
    <w:rsid w:val="00BE1171"/>
    <w:rsid w:val="00BE1191"/>
    <w:rsid w:val="00BE13A9"/>
    <w:rsid w:val="00BE144D"/>
    <w:rsid w:val="00BE148C"/>
    <w:rsid w:val="00BE15C7"/>
    <w:rsid w:val="00BE15F7"/>
    <w:rsid w:val="00BE161C"/>
    <w:rsid w:val="00BE1636"/>
    <w:rsid w:val="00BE16C0"/>
    <w:rsid w:val="00BE1709"/>
    <w:rsid w:val="00BE1716"/>
    <w:rsid w:val="00BE1731"/>
    <w:rsid w:val="00BE174C"/>
    <w:rsid w:val="00BE1770"/>
    <w:rsid w:val="00BE17F3"/>
    <w:rsid w:val="00BE1817"/>
    <w:rsid w:val="00BE182D"/>
    <w:rsid w:val="00BE183B"/>
    <w:rsid w:val="00BE1875"/>
    <w:rsid w:val="00BE191A"/>
    <w:rsid w:val="00BE196A"/>
    <w:rsid w:val="00BE1A7F"/>
    <w:rsid w:val="00BE1BAF"/>
    <w:rsid w:val="00BE1BBC"/>
    <w:rsid w:val="00BE1C7F"/>
    <w:rsid w:val="00BE1D7E"/>
    <w:rsid w:val="00BE1E0F"/>
    <w:rsid w:val="00BE1E45"/>
    <w:rsid w:val="00BE1EC0"/>
    <w:rsid w:val="00BE1F41"/>
    <w:rsid w:val="00BE1FEF"/>
    <w:rsid w:val="00BE2013"/>
    <w:rsid w:val="00BE2052"/>
    <w:rsid w:val="00BE20A5"/>
    <w:rsid w:val="00BE21B0"/>
    <w:rsid w:val="00BE21C9"/>
    <w:rsid w:val="00BE23C2"/>
    <w:rsid w:val="00BE2427"/>
    <w:rsid w:val="00BE2452"/>
    <w:rsid w:val="00BE246B"/>
    <w:rsid w:val="00BE248A"/>
    <w:rsid w:val="00BE2538"/>
    <w:rsid w:val="00BE2618"/>
    <w:rsid w:val="00BE2649"/>
    <w:rsid w:val="00BE26C5"/>
    <w:rsid w:val="00BE26C8"/>
    <w:rsid w:val="00BE26DD"/>
    <w:rsid w:val="00BE26DF"/>
    <w:rsid w:val="00BE2785"/>
    <w:rsid w:val="00BE2861"/>
    <w:rsid w:val="00BE28A0"/>
    <w:rsid w:val="00BE28F0"/>
    <w:rsid w:val="00BE29CA"/>
    <w:rsid w:val="00BE2A0C"/>
    <w:rsid w:val="00BE2A2C"/>
    <w:rsid w:val="00BE2BA9"/>
    <w:rsid w:val="00BE2BB3"/>
    <w:rsid w:val="00BE2C4B"/>
    <w:rsid w:val="00BE2CAE"/>
    <w:rsid w:val="00BE2CDD"/>
    <w:rsid w:val="00BE2D3D"/>
    <w:rsid w:val="00BE2D40"/>
    <w:rsid w:val="00BE2F16"/>
    <w:rsid w:val="00BE2F4B"/>
    <w:rsid w:val="00BE2F77"/>
    <w:rsid w:val="00BE30AA"/>
    <w:rsid w:val="00BE310A"/>
    <w:rsid w:val="00BE3180"/>
    <w:rsid w:val="00BE31EA"/>
    <w:rsid w:val="00BE324E"/>
    <w:rsid w:val="00BE32E0"/>
    <w:rsid w:val="00BE338E"/>
    <w:rsid w:val="00BE3493"/>
    <w:rsid w:val="00BE34A5"/>
    <w:rsid w:val="00BE3610"/>
    <w:rsid w:val="00BE3622"/>
    <w:rsid w:val="00BE36FD"/>
    <w:rsid w:val="00BE371E"/>
    <w:rsid w:val="00BE3762"/>
    <w:rsid w:val="00BE3777"/>
    <w:rsid w:val="00BE384C"/>
    <w:rsid w:val="00BE38AD"/>
    <w:rsid w:val="00BE38CC"/>
    <w:rsid w:val="00BE38CE"/>
    <w:rsid w:val="00BE38F1"/>
    <w:rsid w:val="00BE393D"/>
    <w:rsid w:val="00BE397E"/>
    <w:rsid w:val="00BE3A71"/>
    <w:rsid w:val="00BE3AE2"/>
    <w:rsid w:val="00BE3B3C"/>
    <w:rsid w:val="00BE3B6B"/>
    <w:rsid w:val="00BE3BAC"/>
    <w:rsid w:val="00BE3BD1"/>
    <w:rsid w:val="00BE3BDC"/>
    <w:rsid w:val="00BE3C6C"/>
    <w:rsid w:val="00BE3CA1"/>
    <w:rsid w:val="00BE3CCF"/>
    <w:rsid w:val="00BE3CEF"/>
    <w:rsid w:val="00BE3CF1"/>
    <w:rsid w:val="00BE3D50"/>
    <w:rsid w:val="00BE3DC0"/>
    <w:rsid w:val="00BE3DC8"/>
    <w:rsid w:val="00BE3DEF"/>
    <w:rsid w:val="00BE3E81"/>
    <w:rsid w:val="00BE3E94"/>
    <w:rsid w:val="00BE3EAB"/>
    <w:rsid w:val="00BE3EC8"/>
    <w:rsid w:val="00BE3F7C"/>
    <w:rsid w:val="00BE4026"/>
    <w:rsid w:val="00BE4031"/>
    <w:rsid w:val="00BE41C4"/>
    <w:rsid w:val="00BE426B"/>
    <w:rsid w:val="00BE427C"/>
    <w:rsid w:val="00BE42ED"/>
    <w:rsid w:val="00BE4321"/>
    <w:rsid w:val="00BE438E"/>
    <w:rsid w:val="00BE44E7"/>
    <w:rsid w:val="00BE451D"/>
    <w:rsid w:val="00BE4715"/>
    <w:rsid w:val="00BE472B"/>
    <w:rsid w:val="00BE4751"/>
    <w:rsid w:val="00BE47BF"/>
    <w:rsid w:val="00BE481E"/>
    <w:rsid w:val="00BE4844"/>
    <w:rsid w:val="00BE4893"/>
    <w:rsid w:val="00BE4BC1"/>
    <w:rsid w:val="00BE4BC7"/>
    <w:rsid w:val="00BE4BD9"/>
    <w:rsid w:val="00BE4C1C"/>
    <w:rsid w:val="00BE4D8F"/>
    <w:rsid w:val="00BE4E23"/>
    <w:rsid w:val="00BE4E6D"/>
    <w:rsid w:val="00BE4F2C"/>
    <w:rsid w:val="00BE4F65"/>
    <w:rsid w:val="00BE4FAB"/>
    <w:rsid w:val="00BE5127"/>
    <w:rsid w:val="00BE514B"/>
    <w:rsid w:val="00BE5157"/>
    <w:rsid w:val="00BE516C"/>
    <w:rsid w:val="00BE51E0"/>
    <w:rsid w:val="00BE5217"/>
    <w:rsid w:val="00BE5271"/>
    <w:rsid w:val="00BE5328"/>
    <w:rsid w:val="00BE536B"/>
    <w:rsid w:val="00BE5374"/>
    <w:rsid w:val="00BE5398"/>
    <w:rsid w:val="00BE53CB"/>
    <w:rsid w:val="00BE53F6"/>
    <w:rsid w:val="00BE541D"/>
    <w:rsid w:val="00BE543F"/>
    <w:rsid w:val="00BE5447"/>
    <w:rsid w:val="00BE5576"/>
    <w:rsid w:val="00BE5626"/>
    <w:rsid w:val="00BE566B"/>
    <w:rsid w:val="00BE5676"/>
    <w:rsid w:val="00BE569B"/>
    <w:rsid w:val="00BE569D"/>
    <w:rsid w:val="00BE573A"/>
    <w:rsid w:val="00BE579B"/>
    <w:rsid w:val="00BE57DF"/>
    <w:rsid w:val="00BE57EA"/>
    <w:rsid w:val="00BE5807"/>
    <w:rsid w:val="00BE5923"/>
    <w:rsid w:val="00BE5B14"/>
    <w:rsid w:val="00BE5B1D"/>
    <w:rsid w:val="00BE5B48"/>
    <w:rsid w:val="00BE5B7A"/>
    <w:rsid w:val="00BE5B7B"/>
    <w:rsid w:val="00BE5BA9"/>
    <w:rsid w:val="00BE5BF5"/>
    <w:rsid w:val="00BE5C49"/>
    <w:rsid w:val="00BE5C6E"/>
    <w:rsid w:val="00BE5CB8"/>
    <w:rsid w:val="00BE5D7D"/>
    <w:rsid w:val="00BE5D98"/>
    <w:rsid w:val="00BE5DA6"/>
    <w:rsid w:val="00BE5DBE"/>
    <w:rsid w:val="00BE5E3E"/>
    <w:rsid w:val="00BE5E82"/>
    <w:rsid w:val="00BE5EF4"/>
    <w:rsid w:val="00BE5F40"/>
    <w:rsid w:val="00BE5FFD"/>
    <w:rsid w:val="00BE6004"/>
    <w:rsid w:val="00BE60EE"/>
    <w:rsid w:val="00BE615F"/>
    <w:rsid w:val="00BE618F"/>
    <w:rsid w:val="00BE619B"/>
    <w:rsid w:val="00BE6232"/>
    <w:rsid w:val="00BE624B"/>
    <w:rsid w:val="00BE6263"/>
    <w:rsid w:val="00BE627A"/>
    <w:rsid w:val="00BE62F2"/>
    <w:rsid w:val="00BE6363"/>
    <w:rsid w:val="00BE6376"/>
    <w:rsid w:val="00BE6391"/>
    <w:rsid w:val="00BE63FE"/>
    <w:rsid w:val="00BE64CF"/>
    <w:rsid w:val="00BE6519"/>
    <w:rsid w:val="00BE6540"/>
    <w:rsid w:val="00BE654A"/>
    <w:rsid w:val="00BE65BB"/>
    <w:rsid w:val="00BE6615"/>
    <w:rsid w:val="00BE6665"/>
    <w:rsid w:val="00BE667C"/>
    <w:rsid w:val="00BE66FD"/>
    <w:rsid w:val="00BE6804"/>
    <w:rsid w:val="00BE6844"/>
    <w:rsid w:val="00BE68B1"/>
    <w:rsid w:val="00BE6910"/>
    <w:rsid w:val="00BE69AE"/>
    <w:rsid w:val="00BE6A30"/>
    <w:rsid w:val="00BE6B02"/>
    <w:rsid w:val="00BE6B8A"/>
    <w:rsid w:val="00BE6BC1"/>
    <w:rsid w:val="00BE6BD0"/>
    <w:rsid w:val="00BE6CE8"/>
    <w:rsid w:val="00BE6D71"/>
    <w:rsid w:val="00BE6E8B"/>
    <w:rsid w:val="00BE6EBF"/>
    <w:rsid w:val="00BE6ECB"/>
    <w:rsid w:val="00BE6EEE"/>
    <w:rsid w:val="00BE6FF5"/>
    <w:rsid w:val="00BE7048"/>
    <w:rsid w:val="00BE70F2"/>
    <w:rsid w:val="00BE7155"/>
    <w:rsid w:val="00BE71B1"/>
    <w:rsid w:val="00BE722E"/>
    <w:rsid w:val="00BE726D"/>
    <w:rsid w:val="00BE72C4"/>
    <w:rsid w:val="00BE730D"/>
    <w:rsid w:val="00BE7314"/>
    <w:rsid w:val="00BE73A2"/>
    <w:rsid w:val="00BE73E2"/>
    <w:rsid w:val="00BE73FE"/>
    <w:rsid w:val="00BE7425"/>
    <w:rsid w:val="00BE7467"/>
    <w:rsid w:val="00BE767B"/>
    <w:rsid w:val="00BE767E"/>
    <w:rsid w:val="00BE76AF"/>
    <w:rsid w:val="00BE77A2"/>
    <w:rsid w:val="00BE77D3"/>
    <w:rsid w:val="00BE7854"/>
    <w:rsid w:val="00BE785E"/>
    <w:rsid w:val="00BE79F4"/>
    <w:rsid w:val="00BE7A91"/>
    <w:rsid w:val="00BE7AA6"/>
    <w:rsid w:val="00BE7AF4"/>
    <w:rsid w:val="00BE7B68"/>
    <w:rsid w:val="00BE7C3C"/>
    <w:rsid w:val="00BE7C45"/>
    <w:rsid w:val="00BE7D59"/>
    <w:rsid w:val="00BE7D5F"/>
    <w:rsid w:val="00BE7D67"/>
    <w:rsid w:val="00BE7D6C"/>
    <w:rsid w:val="00BE7D7F"/>
    <w:rsid w:val="00BE7DC6"/>
    <w:rsid w:val="00BE7DD6"/>
    <w:rsid w:val="00BE7F0A"/>
    <w:rsid w:val="00BE7F1F"/>
    <w:rsid w:val="00BE7FE8"/>
    <w:rsid w:val="00BE7FF6"/>
    <w:rsid w:val="00BF0114"/>
    <w:rsid w:val="00BF0140"/>
    <w:rsid w:val="00BF0195"/>
    <w:rsid w:val="00BF01D6"/>
    <w:rsid w:val="00BF01F6"/>
    <w:rsid w:val="00BF02E0"/>
    <w:rsid w:val="00BF0307"/>
    <w:rsid w:val="00BF0330"/>
    <w:rsid w:val="00BF0332"/>
    <w:rsid w:val="00BF0348"/>
    <w:rsid w:val="00BF03D0"/>
    <w:rsid w:val="00BF0473"/>
    <w:rsid w:val="00BF04FA"/>
    <w:rsid w:val="00BF0542"/>
    <w:rsid w:val="00BF05DB"/>
    <w:rsid w:val="00BF0684"/>
    <w:rsid w:val="00BF06B6"/>
    <w:rsid w:val="00BF06C3"/>
    <w:rsid w:val="00BF06F6"/>
    <w:rsid w:val="00BF076F"/>
    <w:rsid w:val="00BF07AC"/>
    <w:rsid w:val="00BF086C"/>
    <w:rsid w:val="00BF088F"/>
    <w:rsid w:val="00BF08BF"/>
    <w:rsid w:val="00BF08EE"/>
    <w:rsid w:val="00BF0942"/>
    <w:rsid w:val="00BF099B"/>
    <w:rsid w:val="00BF09E6"/>
    <w:rsid w:val="00BF0ABC"/>
    <w:rsid w:val="00BF0B7A"/>
    <w:rsid w:val="00BF0C8E"/>
    <w:rsid w:val="00BF0D06"/>
    <w:rsid w:val="00BF0D73"/>
    <w:rsid w:val="00BF0D94"/>
    <w:rsid w:val="00BF0DA0"/>
    <w:rsid w:val="00BF0ED8"/>
    <w:rsid w:val="00BF0EDA"/>
    <w:rsid w:val="00BF0F31"/>
    <w:rsid w:val="00BF112D"/>
    <w:rsid w:val="00BF1164"/>
    <w:rsid w:val="00BF11AB"/>
    <w:rsid w:val="00BF123D"/>
    <w:rsid w:val="00BF129E"/>
    <w:rsid w:val="00BF14FA"/>
    <w:rsid w:val="00BF1582"/>
    <w:rsid w:val="00BF15E5"/>
    <w:rsid w:val="00BF15E7"/>
    <w:rsid w:val="00BF1617"/>
    <w:rsid w:val="00BF16A1"/>
    <w:rsid w:val="00BF16E1"/>
    <w:rsid w:val="00BF1745"/>
    <w:rsid w:val="00BF178E"/>
    <w:rsid w:val="00BF17AA"/>
    <w:rsid w:val="00BF182E"/>
    <w:rsid w:val="00BF1840"/>
    <w:rsid w:val="00BF1853"/>
    <w:rsid w:val="00BF186C"/>
    <w:rsid w:val="00BF1873"/>
    <w:rsid w:val="00BF1931"/>
    <w:rsid w:val="00BF1933"/>
    <w:rsid w:val="00BF19A1"/>
    <w:rsid w:val="00BF19D7"/>
    <w:rsid w:val="00BF1A01"/>
    <w:rsid w:val="00BF1A0E"/>
    <w:rsid w:val="00BF1A41"/>
    <w:rsid w:val="00BF1ABB"/>
    <w:rsid w:val="00BF1ADE"/>
    <w:rsid w:val="00BF1B1A"/>
    <w:rsid w:val="00BF1C85"/>
    <w:rsid w:val="00BF1DA7"/>
    <w:rsid w:val="00BF1DC1"/>
    <w:rsid w:val="00BF1DC3"/>
    <w:rsid w:val="00BF1DF7"/>
    <w:rsid w:val="00BF1E5F"/>
    <w:rsid w:val="00BF1E83"/>
    <w:rsid w:val="00BF1EF7"/>
    <w:rsid w:val="00BF1FDA"/>
    <w:rsid w:val="00BF1FE7"/>
    <w:rsid w:val="00BF208D"/>
    <w:rsid w:val="00BF210E"/>
    <w:rsid w:val="00BF2113"/>
    <w:rsid w:val="00BF2164"/>
    <w:rsid w:val="00BF2194"/>
    <w:rsid w:val="00BF2268"/>
    <w:rsid w:val="00BF2281"/>
    <w:rsid w:val="00BF22D0"/>
    <w:rsid w:val="00BF23BD"/>
    <w:rsid w:val="00BF23FB"/>
    <w:rsid w:val="00BF2411"/>
    <w:rsid w:val="00BF24EA"/>
    <w:rsid w:val="00BF251C"/>
    <w:rsid w:val="00BF2525"/>
    <w:rsid w:val="00BF25AC"/>
    <w:rsid w:val="00BF25BF"/>
    <w:rsid w:val="00BF25EE"/>
    <w:rsid w:val="00BF267B"/>
    <w:rsid w:val="00BF26FF"/>
    <w:rsid w:val="00BF2713"/>
    <w:rsid w:val="00BF2781"/>
    <w:rsid w:val="00BF289B"/>
    <w:rsid w:val="00BF28DA"/>
    <w:rsid w:val="00BF28DC"/>
    <w:rsid w:val="00BF2942"/>
    <w:rsid w:val="00BF2AD9"/>
    <w:rsid w:val="00BF2C56"/>
    <w:rsid w:val="00BF2CB8"/>
    <w:rsid w:val="00BF2D02"/>
    <w:rsid w:val="00BF2D30"/>
    <w:rsid w:val="00BF2D36"/>
    <w:rsid w:val="00BF2D6A"/>
    <w:rsid w:val="00BF2DF7"/>
    <w:rsid w:val="00BF2E39"/>
    <w:rsid w:val="00BF2FC6"/>
    <w:rsid w:val="00BF2FED"/>
    <w:rsid w:val="00BF3003"/>
    <w:rsid w:val="00BF3071"/>
    <w:rsid w:val="00BF308B"/>
    <w:rsid w:val="00BF3101"/>
    <w:rsid w:val="00BF31A5"/>
    <w:rsid w:val="00BF3392"/>
    <w:rsid w:val="00BF33A8"/>
    <w:rsid w:val="00BF33D7"/>
    <w:rsid w:val="00BF3484"/>
    <w:rsid w:val="00BF34B3"/>
    <w:rsid w:val="00BF34DD"/>
    <w:rsid w:val="00BF358B"/>
    <w:rsid w:val="00BF35D1"/>
    <w:rsid w:val="00BF3650"/>
    <w:rsid w:val="00BF36AF"/>
    <w:rsid w:val="00BF36DF"/>
    <w:rsid w:val="00BF3703"/>
    <w:rsid w:val="00BF376F"/>
    <w:rsid w:val="00BF3826"/>
    <w:rsid w:val="00BF3982"/>
    <w:rsid w:val="00BF39CD"/>
    <w:rsid w:val="00BF39DA"/>
    <w:rsid w:val="00BF3AE4"/>
    <w:rsid w:val="00BF3AF4"/>
    <w:rsid w:val="00BF3B04"/>
    <w:rsid w:val="00BF3B8B"/>
    <w:rsid w:val="00BF3BCD"/>
    <w:rsid w:val="00BF3C38"/>
    <w:rsid w:val="00BF3C6E"/>
    <w:rsid w:val="00BF3D94"/>
    <w:rsid w:val="00BF3DDF"/>
    <w:rsid w:val="00BF3EA9"/>
    <w:rsid w:val="00BF3EAA"/>
    <w:rsid w:val="00BF3FE1"/>
    <w:rsid w:val="00BF3FF3"/>
    <w:rsid w:val="00BF4003"/>
    <w:rsid w:val="00BF4044"/>
    <w:rsid w:val="00BF4191"/>
    <w:rsid w:val="00BF41F6"/>
    <w:rsid w:val="00BF421D"/>
    <w:rsid w:val="00BF4258"/>
    <w:rsid w:val="00BF42BC"/>
    <w:rsid w:val="00BF42CB"/>
    <w:rsid w:val="00BF42D9"/>
    <w:rsid w:val="00BF4364"/>
    <w:rsid w:val="00BF4396"/>
    <w:rsid w:val="00BF4479"/>
    <w:rsid w:val="00BF4611"/>
    <w:rsid w:val="00BF4615"/>
    <w:rsid w:val="00BF4650"/>
    <w:rsid w:val="00BF4681"/>
    <w:rsid w:val="00BF46EF"/>
    <w:rsid w:val="00BF46FE"/>
    <w:rsid w:val="00BF4705"/>
    <w:rsid w:val="00BF472F"/>
    <w:rsid w:val="00BF47AD"/>
    <w:rsid w:val="00BF47CA"/>
    <w:rsid w:val="00BF482A"/>
    <w:rsid w:val="00BF48BF"/>
    <w:rsid w:val="00BF496A"/>
    <w:rsid w:val="00BF496B"/>
    <w:rsid w:val="00BF4987"/>
    <w:rsid w:val="00BF4A91"/>
    <w:rsid w:val="00BF4AD8"/>
    <w:rsid w:val="00BF4B4A"/>
    <w:rsid w:val="00BF4B4C"/>
    <w:rsid w:val="00BF4B8B"/>
    <w:rsid w:val="00BF4C41"/>
    <w:rsid w:val="00BF4C5B"/>
    <w:rsid w:val="00BF4C77"/>
    <w:rsid w:val="00BF4C7F"/>
    <w:rsid w:val="00BF4CD3"/>
    <w:rsid w:val="00BF4D6A"/>
    <w:rsid w:val="00BF4E09"/>
    <w:rsid w:val="00BF4E1D"/>
    <w:rsid w:val="00BF4E2B"/>
    <w:rsid w:val="00BF4E57"/>
    <w:rsid w:val="00BF4E66"/>
    <w:rsid w:val="00BF4ED9"/>
    <w:rsid w:val="00BF5018"/>
    <w:rsid w:val="00BF5028"/>
    <w:rsid w:val="00BF5033"/>
    <w:rsid w:val="00BF5182"/>
    <w:rsid w:val="00BF5252"/>
    <w:rsid w:val="00BF5395"/>
    <w:rsid w:val="00BF540A"/>
    <w:rsid w:val="00BF546D"/>
    <w:rsid w:val="00BF5477"/>
    <w:rsid w:val="00BF5487"/>
    <w:rsid w:val="00BF5560"/>
    <w:rsid w:val="00BF55E8"/>
    <w:rsid w:val="00BF55FD"/>
    <w:rsid w:val="00BF5633"/>
    <w:rsid w:val="00BF56AD"/>
    <w:rsid w:val="00BF56D2"/>
    <w:rsid w:val="00BF56FF"/>
    <w:rsid w:val="00BF5920"/>
    <w:rsid w:val="00BF592C"/>
    <w:rsid w:val="00BF59F9"/>
    <w:rsid w:val="00BF5AAE"/>
    <w:rsid w:val="00BF5AD0"/>
    <w:rsid w:val="00BF5BA3"/>
    <w:rsid w:val="00BF5C36"/>
    <w:rsid w:val="00BF5CAE"/>
    <w:rsid w:val="00BF5CF0"/>
    <w:rsid w:val="00BF5D12"/>
    <w:rsid w:val="00BF5D7A"/>
    <w:rsid w:val="00BF5D7E"/>
    <w:rsid w:val="00BF5DD6"/>
    <w:rsid w:val="00BF5DF9"/>
    <w:rsid w:val="00BF5E61"/>
    <w:rsid w:val="00BF5E96"/>
    <w:rsid w:val="00BF5EDB"/>
    <w:rsid w:val="00BF5F69"/>
    <w:rsid w:val="00BF5F6B"/>
    <w:rsid w:val="00BF600F"/>
    <w:rsid w:val="00BF614F"/>
    <w:rsid w:val="00BF6182"/>
    <w:rsid w:val="00BF61AE"/>
    <w:rsid w:val="00BF6209"/>
    <w:rsid w:val="00BF6220"/>
    <w:rsid w:val="00BF622A"/>
    <w:rsid w:val="00BF62CF"/>
    <w:rsid w:val="00BF6348"/>
    <w:rsid w:val="00BF6448"/>
    <w:rsid w:val="00BF6469"/>
    <w:rsid w:val="00BF661D"/>
    <w:rsid w:val="00BF6632"/>
    <w:rsid w:val="00BF6680"/>
    <w:rsid w:val="00BF66C3"/>
    <w:rsid w:val="00BF6781"/>
    <w:rsid w:val="00BF67D3"/>
    <w:rsid w:val="00BF6834"/>
    <w:rsid w:val="00BF695B"/>
    <w:rsid w:val="00BF6A1C"/>
    <w:rsid w:val="00BF6A7D"/>
    <w:rsid w:val="00BF6A8D"/>
    <w:rsid w:val="00BF6BBF"/>
    <w:rsid w:val="00BF6BF0"/>
    <w:rsid w:val="00BF6C7C"/>
    <w:rsid w:val="00BF6D5E"/>
    <w:rsid w:val="00BF6D69"/>
    <w:rsid w:val="00BF6E3B"/>
    <w:rsid w:val="00BF6E82"/>
    <w:rsid w:val="00BF6ED2"/>
    <w:rsid w:val="00BF6F43"/>
    <w:rsid w:val="00BF6F4D"/>
    <w:rsid w:val="00BF6F5E"/>
    <w:rsid w:val="00BF6F7C"/>
    <w:rsid w:val="00BF6FE4"/>
    <w:rsid w:val="00BF7091"/>
    <w:rsid w:val="00BF70E5"/>
    <w:rsid w:val="00BF70F8"/>
    <w:rsid w:val="00BF70FE"/>
    <w:rsid w:val="00BF720B"/>
    <w:rsid w:val="00BF724F"/>
    <w:rsid w:val="00BF7291"/>
    <w:rsid w:val="00BF72C9"/>
    <w:rsid w:val="00BF72D9"/>
    <w:rsid w:val="00BF7331"/>
    <w:rsid w:val="00BF73CC"/>
    <w:rsid w:val="00BF7420"/>
    <w:rsid w:val="00BF7509"/>
    <w:rsid w:val="00BF7522"/>
    <w:rsid w:val="00BF760D"/>
    <w:rsid w:val="00BF7624"/>
    <w:rsid w:val="00BF76B3"/>
    <w:rsid w:val="00BF7726"/>
    <w:rsid w:val="00BF777C"/>
    <w:rsid w:val="00BF779A"/>
    <w:rsid w:val="00BF77D1"/>
    <w:rsid w:val="00BF77E7"/>
    <w:rsid w:val="00BF791A"/>
    <w:rsid w:val="00BF791E"/>
    <w:rsid w:val="00BF7956"/>
    <w:rsid w:val="00BF79F8"/>
    <w:rsid w:val="00BF7A05"/>
    <w:rsid w:val="00BF7A3F"/>
    <w:rsid w:val="00BF7A5D"/>
    <w:rsid w:val="00BF7AB6"/>
    <w:rsid w:val="00BF7C39"/>
    <w:rsid w:val="00BF7C43"/>
    <w:rsid w:val="00BF7C54"/>
    <w:rsid w:val="00BF7C79"/>
    <w:rsid w:val="00BF7C87"/>
    <w:rsid w:val="00BF7D54"/>
    <w:rsid w:val="00BF7D9A"/>
    <w:rsid w:val="00BF7DB6"/>
    <w:rsid w:val="00BF7E64"/>
    <w:rsid w:val="00BF7ED4"/>
    <w:rsid w:val="00BF7FA1"/>
    <w:rsid w:val="00BF7FA2"/>
    <w:rsid w:val="00C00004"/>
    <w:rsid w:val="00C000F8"/>
    <w:rsid w:val="00C00137"/>
    <w:rsid w:val="00C00174"/>
    <w:rsid w:val="00C00310"/>
    <w:rsid w:val="00C0031F"/>
    <w:rsid w:val="00C00348"/>
    <w:rsid w:val="00C00387"/>
    <w:rsid w:val="00C00454"/>
    <w:rsid w:val="00C004B0"/>
    <w:rsid w:val="00C004B9"/>
    <w:rsid w:val="00C00599"/>
    <w:rsid w:val="00C00642"/>
    <w:rsid w:val="00C00643"/>
    <w:rsid w:val="00C00651"/>
    <w:rsid w:val="00C006F6"/>
    <w:rsid w:val="00C00721"/>
    <w:rsid w:val="00C007E3"/>
    <w:rsid w:val="00C00838"/>
    <w:rsid w:val="00C0087F"/>
    <w:rsid w:val="00C008DF"/>
    <w:rsid w:val="00C0091B"/>
    <w:rsid w:val="00C00977"/>
    <w:rsid w:val="00C009A2"/>
    <w:rsid w:val="00C00A38"/>
    <w:rsid w:val="00C00A8A"/>
    <w:rsid w:val="00C00ACE"/>
    <w:rsid w:val="00C00ADF"/>
    <w:rsid w:val="00C00B33"/>
    <w:rsid w:val="00C00BB1"/>
    <w:rsid w:val="00C00C50"/>
    <w:rsid w:val="00C00C57"/>
    <w:rsid w:val="00C00C81"/>
    <w:rsid w:val="00C00CC5"/>
    <w:rsid w:val="00C00D04"/>
    <w:rsid w:val="00C00D1F"/>
    <w:rsid w:val="00C00DFE"/>
    <w:rsid w:val="00C00E2F"/>
    <w:rsid w:val="00C00E79"/>
    <w:rsid w:val="00C00E7C"/>
    <w:rsid w:val="00C00EDE"/>
    <w:rsid w:val="00C00EF2"/>
    <w:rsid w:val="00C01124"/>
    <w:rsid w:val="00C011F8"/>
    <w:rsid w:val="00C0120C"/>
    <w:rsid w:val="00C01238"/>
    <w:rsid w:val="00C01253"/>
    <w:rsid w:val="00C0141D"/>
    <w:rsid w:val="00C0146F"/>
    <w:rsid w:val="00C014AD"/>
    <w:rsid w:val="00C01524"/>
    <w:rsid w:val="00C01596"/>
    <w:rsid w:val="00C0162D"/>
    <w:rsid w:val="00C01695"/>
    <w:rsid w:val="00C01730"/>
    <w:rsid w:val="00C017A9"/>
    <w:rsid w:val="00C01870"/>
    <w:rsid w:val="00C019BE"/>
    <w:rsid w:val="00C01A57"/>
    <w:rsid w:val="00C01AA5"/>
    <w:rsid w:val="00C01AE3"/>
    <w:rsid w:val="00C01B84"/>
    <w:rsid w:val="00C01BEC"/>
    <w:rsid w:val="00C01C33"/>
    <w:rsid w:val="00C01C97"/>
    <w:rsid w:val="00C01D1D"/>
    <w:rsid w:val="00C01D54"/>
    <w:rsid w:val="00C01D5F"/>
    <w:rsid w:val="00C01DB6"/>
    <w:rsid w:val="00C01E41"/>
    <w:rsid w:val="00C01E6E"/>
    <w:rsid w:val="00C01F0D"/>
    <w:rsid w:val="00C01F1A"/>
    <w:rsid w:val="00C01FB1"/>
    <w:rsid w:val="00C02011"/>
    <w:rsid w:val="00C02065"/>
    <w:rsid w:val="00C0206E"/>
    <w:rsid w:val="00C020DC"/>
    <w:rsid w:val="00C02357"/>
    <w:rsid w:val="00C0238B"/>
    <w:rsid w:val="00C023CD"/>
    <w:rsid w:val="00C025FA"/>
    <w:rsid w:val="00C0263B"/>
    <w:rsid w:val="00C0264D"/>
    <w:rsid w:val="00C02656"/>
    <w:rsid w:val="00C02661"/>
    <w:rsid w:val="00C02666"/>
    <w:rsid w:val="00C026AA"/>
    <w:rsid w:val="00C026C7"/>
    <w:rsid w:val="00C02752"/>
    <w:rsid w:val="00C0275C"/>
    <w:rsid w:val="00C0280F"/>
    <w:rsid w:val="00C028D6"/>
    <w:rsid w:val="00C02A3A"/>
    <w:rsid w:val="00C02ADF"/>
    <w:rsid w:val="00C02AF7"/>
    <w:rsid w:val="00C02BA2"/>
    <w:rsid w:val="00C02C12"/>
    <w:rsid w:val="00C02C1F"/>
    <w:rsid w:val="00C02C4F"/>
    <w:rsid w:val="00C02D2D"/>
    <w:rsid w:val="00C02D2F"/>
    <w:rsid w:val="00C02D43"/>
    <w:rsid w:val="00C02D61"/>
    <w:rsid w:val="00C02D8A"/>
    <w:rsid w:val="00C02ED6"/>
    <w:rsid w:val="00C03132"/>
    <w:rsid w:val="00C03166"/>
    <w:rsid w:val="00C03191"/>
    <w:rsid w:val="00C0328C"/>
    <w:rsid w:val="00C0331C"/>
    <w:rsid w:val="00C033DD"/>
    <w:rsid w:val="00C033E6"/>
    <w:rsid w:val="00C0342D"/>
    <w:rsid w:val="00C0345A"/>
    <w:rsid w:val="00C03485"/>
    <w:rsid w:val="00C03511"/>
    <w:rsid w:val="00C0372E"/>
    <w:rsid w:val="00C037AC"/>
    <w:rsid w:val="00C037D1"/>
    <w:rsid w:val="00C03A35"/>
    <w:rsid w:val="00C03A63"/>
    <w:rsid w:val="00C03A90"/>
    <w:rsid w:val="00C03AF5"/>
    <w:rsid w:val="00C03B23"/>
    <w:rsid w:val="00C03B48"/>
    <w:rsid w:val="00C03BF0"/>
    <w:rsid w:val="00C03C49"/>
    <w:rsid w:val="00C03DA6"/>
    <w:rsid w:val="00C03E07"/>
    <w:rsid w:val="00C03EA2"/>
    <w:rsid w:val="00C03F33"/>
    <w:rsid w:val="00C03F8E"/>
    <w:rsid w:val="00C04001"/>
    <w:rsid w:val="00C0405D"/>
    <w:rsid w:val="00C04124"/>
    <w:rsid w:val="00C04145"/>
    <w:rsid w:val="00C041BE"/>
    <w:rsid w:val="00C0430B"/>
    <w:rsid w:val="00C04312"/>
    <w:rsid w:val="00C043DC"/>
    <w:rsid w:val="00C04483"/>
    <w:rsid w:val="00C04505"/>
    <w:rsid w:val="00C045BD"/>
    <w:rsid w:val="00C04699"/>
    <w:rsid w:val="00C046EF"/>
    <w:rsid w:val="00C04800"/>
    <w:rsid w:val="00C04802"/>
    <w:rsid w:val="00C04830"/>
    <w:rsid w:val="00C04835"/>
    <w:rsid w:val="00C04887"/>
    <w:rsid w:val="00C04A34"/>
    <w:rsid w:val="00C04A83"/>
    <w:rsid w:val="00C04B3E"/>
    <w:rsid w:val="00C04B46"/>
    <w:rsid w:val="00C04BCA"/>
    <w:rsid w:val="00C04BFF"/>
    <w:rsid w:val="00C04C3A"/>
    <w:rsid w:val="00C04C4A"/>
    <w:rsid w:val="00C04CCD"/>
    <w:rsid w:val="00C04D3D"/>
    <w:rsid w:val="00C04E6E"/>
    <w:rsid w:val="00C04EB9"/>
    <w:rsid w:val="00C04F01"/>
    <w:rsid w:val="00C05027"/>
    <w:rsid w:val="00C050C8"/>
    <w:rsid w:val="00C05123"/>
    <w:rsid w:val="00C05193"/>
    <w:rsid w:val="00C051DB"/>
    <w:rsid w:val="00C05252"/>
    <w:rsid w:val="00C053F7"/>
    <w:rsid w:val="00C0550B"/>
    <w:rsid w:val="00C0553B"/>
    <w:rsid w:val="00C05700"/>
    <w:rsid w:val="00C0572F"/>
    <w:rsid w:val="00C057D8"/>
    <w:rsid w:val="00C0597C"/>
    <w:rsid w:val="00C059E4"/>
    <w:rsid w:val="00C059EE"/>
    <w:rsid w:val="00C05A8D"/>
    <w:rsid w:val="00C05B3D"/>
    <w:rsid w:val="00C05BEF"/>
    <w:rsid w:val="00C05BF2"/>
    <w:rsid w:val="00C05BF3"/>
    <w:rsid w:val="00C05C41"/>
    <w:rsid w:val="00C05C67"/>
    <w:rsid w:val="00C05DC5"/>
    <w:rsid w:val="00C05DCD"/>
    <w:rsid w:val="00C05DCF"/>
    <w:rsid w:val="00C05E29"/>
    <w:rsid w:val="00C05E47"/>
    <w:rsid w:val="00C05FD7"/>
    <w:rsid w:val="00C0600E"/>
    <w:rsid w:val="00C06051"/>
    <w:rsid w:val="00C06069"/>
    <w:rsid w:val="00C06100"/>
    <w:rsid w:val="00C06112"/>
    <w:rsid w:val="00C0611B"/>
    <w:rsid w:val="00C0618F"/>
    <w:rsid w:val="00C061E1"/>
    <w:rsid w:val="00C06262"/>
    <w:rsid w:val="00C063B4"/>
    <w:rsid w:val="00C06473"/>
    <w:rsid w:val="00C06497"/>
    <w:rsid w:val="00C064C7"/>
    <w:rsid w:val="00C06500"/>
    <w:rsid w:val="00C0653E"/>
    <w:rsid w:val="00C0659A"/>
    <w:rsid w:val="00C065AF"/>
    <w:rsid w:val="00C06617"/>
    <w:rsid w:val="00C06643"/>
    <w:rsid w:val="00C06748"/>
    <w:rsid w:val="00C06753"/>
    <w:rsid w:val="00C0695A"/>
    <w:rsid w:val="00C06BCA"/>
    <w:rsid w:val="00C06BD6"/>
    <w:rsid w:val="00C06C0F"/>
    <w:rsid w:val="00C06C4D"/>
    <w:rsid w:val="00C06C50"/>
    <w:rsid w:val="00C06C68"/>
    <w:rsid w:val="00C06D00"/>
    <w:rsid w:val="00C06D4C"/>
    <w:rsid w:val="00C06D78"/>
    <w:rsid w:val="00C06EDA"/>
    <w:rsid w:val="00C06F08"/>
    <w:rsid w:val="00C06F2E"/>
    <w:rsid w:val="00C06F53"/>
    <w:rsid w:val="00C06FE8"/>
    <w:rsid w:val="00C0712D"/>
    <w:rsid w:val="00C07166"/>
    <w:rsid w:val="00C0723E"/>
    <w:rsid w:val="00C0725A"/>
    <w:rsid w:val="00C073EE"/>
    <w:rsid w:val="00C073F1"/>
    <w:rsid w:val="00C0742D"/>
    <w:rsid w:val="00C0746B"/>
    <w:rsid w:val="00C074CD"/>
    <w:rsid w:val="00C07518"/>
    <w:rsid w:val="00C0752E"/>
    <w:rsid w:val="00C07603"/>
    <w:rsid w:val="00C0761C"/>
    <w:rsid w:val="00C076D7"/>
    <w:rsid w:val="00C076FD"/>
    <w:rsid w:val="00C07765"/>
    <w:rsid w:val="00C078C3"/>
    <w:rsid w:val="00C078E4"/>
    <w:rsid w:val="00C0793B"/>
    <w:rsid w:val="00C079FC"/>
    <w:rsid w:val="00C07A17"/>
    <w:rsid w:val="00C07A1B"/>
    <w:rsid w:val="00C07A20"/>
    <w:rsid w:val="00C07A3A"/>
    <w:rsid w:val="00C07A3B"/>
    <w:rsid w:val="00C07AD5"/>
    <w:rsid w:val="00C07B06"/>
    <w:rsid w:val="00C07B53"/>
    <w:rsid w:val="00C07B9F"/>
    <w:rsid w:val="00C07C15"/>
    <w:rsid w:val="00C07CC7"/>
    <w:rsid w:val="00C07CFB"/>
    <w:rsid w:val="00C07D07"/>
    <w:rsid w:val="00C07E12"/>
    <w:rsid w:val="00C07EB0"/>
    <w:rsid w:val="00C07EDC"/>
    <w:rsid w:val="00C07FFA"/>
    <w:rsid w:val="00C1000C"/>
    <w:rsid w:val="00C1004D"/>
    <w:rsid w:val="00C101D0"/>
    <w:rsid w:val="00C10246"/>
    <w:rsid w:val="00C1029C"/>
    <w:rsid w:val="00C10334"/>
    <w:rsid w:val="00C10385"/>
    <w:rsid w:val="00C103E0"/>
    <w:rsid w:val="00C10413"/>
    <w:rsid w:val="00C10420"/>
    <w:rsid w:val="00C10431"/>
    <w:rsid w:val="00C10436"/>
    <w:rsid w:val="00C104AA"/>
    <w:rsid w:val="00C104C0"/>
    <w:rsid w:val="00C104C2"/>
    <w:rsid w:val="00C10552"/>
    <w:rsid w:val="00C10571"/>
    <w:rsid w:val="00C105BE"/>
    <w:rsid w:val="00C106EB"/>
    <w:rsid w:val="00C107C3"/>
    <w:rsid w:val="00C10890"/>
    <w:rsid w:val="00C10926"/>
    <w:rsid w:val="00C1094E"/>
    <w:rsid w:val="00C10A0A"/>
    <w:rsid w:val="00C10A60"/>
    <w:rsid w:val="00C10A91"/>
    <w:rsid w:val="00C10ACB"/>
    <w:rsid w:val="00C10ADE"/>
    <w:rsid w:val="00C10B40"/>
    <w:rsid w:val="00C10B9B"/>
    <w:rsid w:val="00C10BD9"/>
    <w:rsid w:val="00C10C30"/>
    <w:rsid w:val="00C10CF6"/>
    <w:rsid w:val="00C10D20"/>
    <w:rsid w:val="00C10D4F"/>
    <w:rsid w:val="00C10D60"/>
    <w:rsid w:val="00C10D6B"/>
    <w:rsid w:val="00C10D92"/>
    <w:rsid w:val="00C10E22"/>
    <w:rsid w:val="00C10E2A"/>
    <w:rsid w:val="00C11000"/>
    <w:rsid w:val="00C1101B"/>
    <w:rsid w:val="00C110DA"/>
    <w:rsid w:val="00C11158"/>
    <w:rsid w:val="00C11204"/>
    <w:rsid w:val="00C11229"/>
    <w:rsid w:val="00C1122B"/>
    <w:rsid w:val="00C11264"/>
    <w:rsid w:val="00C11281"/>
    <w:rsid w:val="00C11294"/>
    <w:rsid w:val="00C112EE"/>
    <w:rsid w:val="00C112F0"/>
    <w:rsid w:val="00C1130F"/>
    <w:rsid w:val="00C1135B"/>
    <w:rsid w:val="00C113A4"/>
    <w:rsid w:val="00C11404"/>
    <w:rsid w:val="00C11411"/>
    <w:rsid w:val="00C11423"/>
    <w:rsid w:val="00C1146D"/>
    <w:rsid w:val="00C11512"/>
    <w:rsid w:val="00C11571"/>
    <w:rsid w:val="00C115D7"/>
    <w:rsid w:val="00C11624"/>
    <w:rsid w:val="00C116EB"/>
    <w:rsid w:val="00C11734"/>
    <w:rsid w:val="00C1184B"/>
    <w:rsid w:val="00C11887"/>
    <w:rsid w:val="00C11942"/>
    <w:rsid w:val="00C119CC"/>
    <w:rsid w:val="00C119CE"/>
    <w:rsid w:val="00C11A80"/>
    <w:rsid w:val="00C11A89"/>
    <w:rsid w:val="00C11AA3"/>
    <w:rsid w:val="00C11ABF"/>
    <w:rsid w:val="00C11B12"/>
    <w:rsid w:val="00C11C61"/>
    <w:rsid w:val="00C11C9F"/>
    <w:rsid w:val="00C11CB1"/>
    <w:rsid w:val="00C11CBC"/>
    <w:rsid w:val="00C11D69"/>
    <w:rsid w:val="00C11D82"/>
    <w:rsid w:val="00C11DEC"/>
    <w:rsid w:val="00C11DF7"/>
    <w:rsid w:val="00C11E99"/>
    <w:rsid w:val="00C11F93"/>
    <w:rsid w:val="00C12194"/>
    <w:rsid w:val="00C1227A"/>
    <w:rsid w:val="00C123B9"/>
    <w:rsid w:val="00C124B4"/>
    <w:rsid w:val="00C12543"/>
    <w:rsid w:val="00C1256F"/>
    <w:rsid w:val="00C125DF"/>
    <w:rsid w:val="00C12613"/>
    <w:rsid w:val="00C1263B"/>
    <w:rsid w:val="00C126A4"/>
    <w:rsid w:val="00C12833"/>
    <w:rsid w:val="00C12863"/>
    <w:rsid w:val="00C12870"/>
    <w:rsid w:val="00C128F0"/>
    <w:rsid w:val="00C128FF"/>
    <w:rsid w:val="00C1290A"/>
    <w:rsid w:val="00C12939"/>
    <w:rsid w:val="00C12944"/>
    <w:rsid w:val="00C12A66"/>
    <w:rsid w:val="00C12A81"/>
    <w:rsid w:val="00C12AE6"/>
    <w:rsid w:val="00C12B80"/>
    <w:rsid w:val="00C12B9E"/>
    <w:rsid w:val="00C12C05"/>
    <w:rsid w:val="00C12C0B"/>
    <w:rsid w:val="00C12C60"/>
    <w:rsid w:val="00C12D01"/>
    <w:rsid w:val="00C12D4C"/>
    <w:rsid w:val="00C12DA3"/>
    <w:rsid w:val="00C12DED"/>
    <w:rsid w:val="00C12E04"/>
    <w:rsid w:val="00C12E50"/>
    <w:rsid w:val="00C12F17"/>
    <w:rsid w:val="00C12FD7"/>
    <w:rsid w:val="00C13076"/>
    <w:rsid w:val="00C1310E"/>
    <w:rsid w:val="00C13131"/>
    <w:rsid w:val="00C13146"/>
    <w:rsid w:val="00C131C9"/>
    <w:rsid w:val="00C13216"/>
    <w:rsid w:val="00C132CB"/>
    <w:rsid w:val="00C1331F"/>
    <w:rsid w:val="00C13408"/>
    <w:rsid w:val="00C13463"/>
    <w:rsid w:val="00C13520"/>
    <w:rsid w:val="00C13555"/>
    <w:rsid w:val="00C1355A"/>
    <w:rsid w:val="00C135A2"/>
    <w:rsid w:val="00C135E2"/>
    <w:rsid w:val="00C13701"/>
    <w:rsid w:val="00C1372E"/>
    <w:rsid w:val="00C13758"/>
    <w:rsid w:val="00C1381D"/>
    <w:rsid w:val="00C13837"/>
    <w:rsid w:val="00C138DE"/>
    <w:rsid w:val="00C1394D"/>
    <w:rsid w:val="00C139D7"/>
    <w:rsid w:val="00C13A38"/>
    <w:rsid w:val="00C13A9F"/>
    <w:rsid w:val="00C13B44"/>
    <w:rsid w:val="00C13B59"/>
    <w:rsid w:val="00C13B9E"/>
    <w:rsid w:val="00C13C66"/>
    <w:rsid w:val="00C13C76"/>
    <w:rsid w:val="00C13CB7"/>
    <w:rsid w:val="00C13D71"/>
    <w:rsid w:val="00C13D77"/>
    <w:rsid w:val="00C13DFE"/>
    <w:rsid w:val="00C13E09"/>
    <w:rsid w:val="00C13E28"/>
    <w:rsid w:val="00C13F97"/>
    <w:rsid w:val="00C14014"/>
    <w:rsid w:val="00C1401C"/>
    <w:rsid w:val="00C14065"/>
    <w:rsid w:val="00C14095"/>
    <w:rsid w:val="00C140F4"/>
    <w:rsid w:val="00C14137"/>
    <w:rsid w:val="00C1416C"/>
    <w:rsid w:val="00C14173"/>
    <w:rsid w:val="00C14186"/>
    <w:rsid w:val="00C141A9"/>
    <w:rsid w:val="00C141D6"/>
    <w:rsid w:val="00C141E9"/>
    <w:rsid w:val="00C1420C"/>
    <w:rsid w:val="00C142D2"/>
    <w:rsid w:val="00C142EB"/>
    <w:rsid w:val="00C14313"/>
    <w:rsid w:val="00C14364"/>
    <w:rsid w:val="00C143DD"/>
    <w:rsid w:val="00C14407"/>
    <w:rsid w:val="00C14467"/>
    <w:rsid w:val="00C1448F"/>
    <w:rsid w:val="00C1450F"/>
    <w:rsid w:val="00C14520"/>
    <w:rsid w:val="00C145A2"/>
    <w:rsid w:val="00C145E7"/>
    <w:rsid w:val="00C145F7"/>
    <w:rsid w:val="00C1469D"/>
    <w:rsid w:val="00C146D9"/>
    <w:rsid w:val="00C146F2"/>
    <w:rsid w:val="00C1473A"/>
    <w:rsid w:val="00C147A7"/>
    <w:rsid w:val="00C147AF"/>
    <w:rsid w:val="00C14877"/>
    <w:rsid w:val="00C1495D"/>
    <w:rsid w:val="00C149CD"/>
    <w:rsid w:val="00C149DF"/>
    <w:rsid w:val="00C14B08"/>
    <w:rsid w:val="00C14B62"/>
    <w:rsid w:val="00C14BB5"/>
    <w:rsid w:val="00C14C2E"/>
    <w:rsid w:val="00C14C4A"/>
    <w:rsid w:val="00C14C93"/>
    <w:rsid w:val="00C14D7F"/>
    <w:rsid w:val="00C14D81"/>
    <w:rsid w:val="00C14DBA"/>
    <w:rsid w:val="00C14E04"/>
    <w:rsid w:val="00C14F9B"/>
    <w:rsid w:val="00C14FAB"/>
    <w:rsid w:val="00C15019"/>
    <w:rsid w:val="00C150BE"/>
    <w:rsid w:val="00C1511B"/>
    <w:rsid w:val="00C15196"/>
    <w:rsid w:val="00C15237"/>
    <w:rsid w:val="00C15418"/>
    <w:rsid w:val="00C1542F"/>
    <w:rsid w:val="00C15460"/>
    <w:rsid w:val="00C15462"/>
    <w:rsid w:val="00C154CF"/>
    <w:rsid w:val="00C155A8"/>
    <w:rsid w:val="00C155E8"/>
    <w:rsid w:val="00C156A3"/>
    <w:rsid w:val="00C156CB"/>
    <w:rsid w:val="00C157D0"/>
    <w:rsid w:val="00C1581A"/>
    <w:rsid w:val="00C1587B"/>
    <w:rsid w:val="00C1596B"/>
    <w:rsid w:val="00C15979"/>
    <w:rsid w:val="00C15B5F"/>
    <w:rsid w:val="00C15BE8"/>
    <w:rsid w:val="00C15C4B"/>
    <w:rsid w:val="00C15C52"/>
    <w:rsid w:val="00C15C94"/>
    <w:rsid w:val="00C15CA6"/>
    <w:rsid w:val="00C15D1D"/>
    <w:rsid w:val="00C15D8B"/>
    <w:rsid w:val="00C15DE8"/>
    <w:rsid w:val="00C15DEE"/>
    <w:rsid w:val="00C15E2E"/>
    <w:rsid w:val="00C15EAC"/>
    <w:rsid w:val="00C15EED"/>
    <w:rsid w:val="00C15F42"/>
    <w:rsid w:val="00C15F60"/>
    <w:rsid w:val="00C15F95"/>
    <w:rsid w:val="00C1610B"/>
    <w:rsid w:val="00C1611D"/>
    <w:rsid w:val="00C16179"/>
    <w:rsid w:val="00C161BE"/>
    <w:rsid w:val="00C161CC"/>
    <w:rsid w:val="00C16240"/>
    <w:rsid w:val="00C1627D"/>
    <w:rsid w:val="00C162E4"/>
    <w:rsid w:val="00C162EB"/>
    <w:rsid w:val="00C16416"/>
    <w:rsid w:val="00C16460"/>
    <w:rsid w:val="00C164AD"/>
    <w:rsid w:val="00C164E7"/>
    <w:rsid w:val="00C16583"/>
    <w:rsid w:val="00C1663A"/>
    <w:rsid w:val="00C16645"/>
    <w:rsid w:val="00C166D0"/>
    <w:rsid w:val="00C166E1"/>
    <w:rsid w:val="00C16703"/>
    <w:rsid w:val="00C167B9"/>
    <w:rsid w:val="00C16812"/>
    <w:rsid w:val="00C1682B"/>
    <w:rsid w:val="00C16837"/>
    <w:rsid w:val="00C16840"/>
    <w:rsid w:val="00C168A0"/>
    <w:rsid w:val="00C16943"/>
    <w:rsid w:val="00C1698F"/>
    <w:rsid w:val="00C169E7"/>
    <w:rsid w:val="00C16AE5"/>
    <w:rsid w:val="00C16B4C"/>
    <w:rsid w:val="00C16C00"/>
    <w:rsid w:val="00C16C7A"/>
    <w:rsid w:val="00C16C9A"/>
    <w:rsid w:val="00C16CC9"/>
    <w:rsid w:val="00C16D8C"/>
    <w:rsid w:val="00C16E22"/>
    <w:rsid w:val="00C16F5C"/>
    <w:rsid w:val="00C16F84"/>
    <w:rsid w:val="00C16FC4"/>
    <w:rsid w:val="00C16FCA"/>
    <w:rsid w:val="00C1707B"/>
    <w:rsid w:val="00C17104"/>
    <w:rsid w:val="00C171FF"/>
    <w:rsid w:val="00C17206"/>
    <w:rsid w:val="00C17215"/>
    <w:rsid w:val="00C172DC"/>
    <w:rsid w:val="00C1733F"/>
    <w:rsid w:val="00C1735D"/>
    <w:rsid w:val="00C1740D"/>
    <w:rsid w:val="00C1745B"/>
    <w:rsid w:val="00C1753F"/>
    <w:rsid w:val="00C17566"/>
    <w:rsid w:val="00C1756D"/>
    <w:rsid w:val="00C1759F"/>
    <w:rsid w:val="00C175E4"/>
    <w:rsid w:val="00C17618"/>
    <w:rsid w:val="00C17628"/>
    <w:rsid w:val="00C176E2"/>
    <w:rsid w:val="00C17780"/>
    <w:rsid w:val="00C17815"/>
    <w:rsid w:val="00C1784B"/>
    <w:rsid w:val="00C178DA"/>
    <w:rsid w:val="00C17932"/>
    <w:rsid w:val="00C17992"/>
    <w:rsid w:val="00C17A7D"/>
    <w:rsid w:val="00C17AA6"/>
    <w:rsid w:val="00C17B39"/>
    <w:rsid w:val="00C17B47"/>
    <w:rsid w:val="00C17BD4"/>
    <w:rsid w:val="00C17C51"/>
    <w:rsid w:val="00C17CD5"/>
    <w:rsid w:val="00C17CFD"/>
    <w:rsid w:val="00C17D2E"/>
    <w:rsid w:val="00C17D45"/>
    <w:rsid w:val="00C17D58"/>
    <w:rsid w:val="00C17D88"/>
    <w:rsid w:val="00C17DC8"/>
    <w:rsid w:val="00C17DD9"/>
    <w:rsid w:val="00C17DF3"/>
    <w:rsid w:val="00C17E3D"/>
    <w:rsid w:val="00C17FC0"/>
    <w:rsid w:val="00C2006C"/>
    <w:rsid w:val="00C20082"/>
    <w:rsid w:val="00C20168"/>
    <w:rsid w:val="00C20201"/>
    <w:rsid w:val="00C2021D"/>
    <w:rsid w:val="00C202E9"/>
    <w:rsid w:val="00C20303"/>
    <w:rsid w:val="00C2033A"/>
    <w:rsid w:val="00C2033F"/>
    <w:rsid w:val="00C20377"/>
    <w:rsid w:val="00C203D5"/>
    <w:rsid w:val="00C203F1"/>
    <w:rsid w:val="00C2044E"/>
    <w:rsid w:val="00C20451"/>
    <w:rsid w:val="00C2045A"/>
    <w:rsid w:val="00C204C7"/>
    <w:rsid w:val="00C20569"/>
    <w:rsid w:val="00C2069B"/>
    <w:rsid w:val="00C2074F"/>
    <w:rsid w:val="00C2077A"/>
    <w:rsid w:val="00C20790"/>
    <w:rsid w:val="00C208CF"/>
    <w:rsid w:val="00C208D5"/>
    <w:rsid w:val="00C2097A"/>
    <w:rsid w:val="00C20A49"/>
    <w:rsid w:val="00C20A54"/>
    <w:rsid w:val="00C20A8B"/>
    <w:rsid w:val="00C20BE5"/>
    <w:rsid w:val="00C20C6D"/>
    <w:rsid w:val="00C20C7A"/>
    <w:rsid w:val="00C20D5A"/>
    <w:rsid w:val="00C20D9F"/>
    <w:rsid w:val="00C20E45"/>
    <w:rsid w:val="00C20E58"/>
    <w:rsid w:val="00C20E7F"/>
    <w:rsid w:val="00C20ED7"/>
    <w:rsid w:val="00C20EE1"/>
    <w:rsid w:val="00C20F60"/>
    <w:rsid w:val="00C20F6C"/>
    <w:rsid w:val="00C20FB6"/>
    <w:rsid w:val="00C20FD7"/>
    <w:rsid w:val="00C20FDB"/>
    <w:rsid w:val="00C21033"/>
    <w:rsid w:val="00C21091"/>
    <w:rsid w:val="00C210AE"/>
    <w:rsid w:val="00C210C4"/>
    <w:rsid w:val="00C210E3"/>
    <w:rsid w:val="00C21123"/>
    <w:rsid w:val="00C21358"/>
    <w:rsid w:val="00C2135C"/>
    <w:rsid w:val="00C2139C"/>
    <w:rsid w:val="00C21427"/>
    <w:rsid w:val="00C21453"/>
    <w:rsid w:val="00C2146A"/>
    <w:rsid w:val="00C21488"/>
    <w:rsid w:val="00C21494"/>
    <w:rsid w:val="00C2149F"/>
    <w:rsid w:val="00C21647"/>
    <w:rsid w:val="00C21677"/>
    <w:rsid w:val="00C216AA"/>
    <w:rsid w:val="00C216C6"/>
    <w:rsid w:val="00C217BC"/>
    <w:rsid w:val="00C217C1"/>
    <w:rsid w:val="00C2184F"/>
    <w:rsid w:val="00C218B6"/>
    <w:rsid w:val="00C21A11"/>
    <w:rsid w:val="00C21AAF"/>
    <w:rsid w:val="00C21B73"/>
    <w:rsid w:val="00C21BB4"/>
    <w:rsid w:val="00C21BFD"/>
    <w:rsid w:val="00C21C7B"/>
    <w:rsid w:val="00C21CE0"/>
    <w:rsid w:val="00C21CE5"/>
    <w:rsid w:val="00C21D46"/>
    <w:rsid w:val="00C21DE9"/>
    <w:rsid w:val="00C21E95"/>
    <w:rsid w:val="00C21F35"/>
    <w:rsid w:val="00C21F75"/>
    <w:rsid w:val="00C21FC3"/>
    <w:rsid w:val="00C22002"/>
    <w:rsid w:val="00C220B4"/>
    <w:rsid w:val="00C220F5"/>
    <w:rsid w:val="00C2210F"/>
    <w:rsid w:val="00C22124"/>
    <w:rsid w:val="00C221D6"/>
    <w:rsid w:val="00C221F2"/>
    <w:rsid w:val="00C22220"/>
    <w:rsid w:val="00C22253"/>
    <w:rsid w:val="00C222FC"/>
    <w:rsid w:val="00C2236E"/>
    <w:rsid w:val="00C223DD"/>
    <w:rsid w:val="00C22451"/>
    <w:rsid w:val="00C224DB"/>
    <w:rsid w:val="00C2250B"/>
    <w:rsid w:val="00C225B5"/>
    <w:rsid w:val="00C22614"/>
    <w:rsid w:val="00C22622"/>
    <w:rsid w:val="00C2267D"/>
    <w:rsid w:val="00C226A1"/>
    <w:rsid w:val="00C22784"/>
    <w:rsid w:val="00C2289C"/>
    <w:rsid w:val="00C22939"/>
    <w:rsid w:val="00C22952"/>
    <w:rsid w:val="00C22978"/>
    <w:rsid w:val="00C22A3B"/>
    <w:rsid w:val="00C22A45"/>
    <w:rsid w:val="00C22B28"/>
    <w:rsid w:val="00C22B42"/>
    <w:rsid w:val="00C22BD3"/>
    <w:rsid w:val="00C22C1A"/>
    <w:rsid w:val="00C22C39"/>
    <w:rsid w:val="00C22D3D"/>
    <w:rsid w:val="00C22D58"/>
    <w:rsid w:val="00C22D70"/>
    <w:rsid w:val="00C22DA1"/>
    <w:rsid w:val="00C22DDF"/>
    <w:rsid w:val="00C22E19"/>
    <w:rsid w:val="00C22E1B"/>
    <w:rsid w:val="00C2305B"/>
    <w:rsid w:val="00C23087"/>
    <w:rsid w:val="00C23165"/>
    <w:rsid w:val="00C231AE"/>
    <w:rsid w:val="00C231B7"/>
    <w:rsid w:val="00C231BA"/>
    <w:rsid w:val="00C231C4"/>
    <w:rsid w:val="00C231D3"/>
    <w:rsid w:val="00C23212"/>
    <w:rsid w:val="00C23243"/>
    <w:rsid w:val="00C232E0"/>
    <w:rsid w:val="00C232E9"/>
    <w:rsid w:val="00C232F8"/>
    <w:rsid w:val="00C233EE"/>
    <w:rsid w:val="00C23440"/>
    <w:rsid w:val="00C23443"/>
    <w:rsid w:val="00C23455"/>
    <w:rsid w:val="00C23466"/>
    <w:rsid w:val="00C236F2"/>
    <w:rsid w:val="00C2370E"/>
    <w:rsid w:val="00C237BD"/>
    <w:rsid w:val="00C23816"/>
    <w:rsid w:val="00C2390D"/>
    <w:rsid w:val="00C23938"/>
    <w:rsid w:val="00C239A6"/>
    <w:rsid w:val="00C239BC"/>
    <w:rsid w:val="00C23A9C"/>
    <w:rsid w:val="00C23AA4"/>
    <w:rsid w:val="00C23AAF"/>
    <w:rsid w:val="00C23B91"/>
    <w:rsid w:val="00C23CA7"/>
    <w:rsid w:val="00C23D2E"/>
    <w:rsid w:val="00C23DF3"/>
    <w:rsid w:val="00C23E66"/>
    <w:rsid w:val="00C23E6B"/>
    <w:rsid w:val="00C23ED8"/>
    <w:rsid w:val="00C23FEF"/>
    <w:rsid w:val="00C24007"/>
    <w:rsid w:val="00C2405D"/>
    <w:rsid w:val="00C24083"/>
    <w:rsid w:val="00C240CA"/>
    <w:rsid w:val="00C2418B"/>
    <w:rsid w:val="00C2431B"/>
    <w:rsid w:val="00C243C7"/>
    <w:rsid w:val="00C244F0"/>
    <w:rsid w:val="00C2451A"/>
    <w:rsid w:val="00C24585"/>
    <w:rsid w:val="00C245A6"/>
    <w:rsid w:val="00C245D1"/>
    <w:rsid w:val="00C245DC"/>
    <w:rsid w:val="00C245F4"/>
    <w:rsid w:val="00C2460C"/>
    <w:rsid w:val="00C2467B"/>
    <w:rsid w:val="00C24688"/>
    <w:rsid w:val="00C246E8"/>
    <w:rsid w:val="00C2474C"/>
    <w:rsid w:val="00C24759"/>
    <w:rsid w:val="00C2478B"/>
    <w:rsid w:val="00C247C9"/>
    <w:rsid w:val="00C247D5"/>
    <w:rsid w:val="00C247DE"/>
    <w:rsid w:val="00C248D6"/>
    <w:rsid w:val="00C248FB"/>
    <w:rsid w:val="00C2492B"/>
    <w:rsid w:val="00C24933"/>
    <w:rsid w:val="00C24952"/>
    <w:rsid w:val="00C249DC"/>
    <w:rsid w:val="00C24A20"/>
    <w:rsid w:val="00C24A5B"/>
    <w:rsid w:val="00C24A64"/>
    <w:rsid w:val="00C24A78"/>
    <w:rsid w:val="00C24A9E"/>
    <w:rsid w:val="00C24B30"/>
    <w:rsid w:val="00C24B5E"/>
    <w:rsid w:val="00C24E3B"/>
    <w:rsid w:val="00C24E5A"/>
    <w:rsid w:val="00C24E5E"/>
    <w:rsid w:val="00C24EAB"/>
    <w:rsid w:val="00C24EB2"/>
    <w:rsid w:val="00C24EED"/>
    <w:rsid w:val="00C24F1E"/>
    <w:rsid w:val="00C24F2E"/>
    <w:rsid w:val="00C24F89"/>
    <w:rsid w:val="00C24FF2"/>
    <w:rsid w:val="00C2501D"/>
    <w:rsid w:val="00C25096"/>
    <w:rsid w:val="00C25178"/>
    <w:rsid w:val="00C252B2"/>
    <w:rsid w:val="00C2534F"/>
    <w:rsid w:val="00C25391"/>
    <w:rsid w:val="00C2539B"/>
    <w:rsid w:val="00C253E8"/>
    <w:rsid w:val="00C25437"/>
    <w:rsid w:val="00C25473"/>
    <w:rsid w:val="00C2547D"/>
    <w:rsid w:val="00C25540"/>
    <w:rsid w:val="00C2556A"/>
    <w:rsid w:val="00C25650"/>
    <w:rsid w:val="00C2566B"/>
    <w:rsid w:val="00C2572B"/>
    <w:rsid w:val="00C25765"/>
    <w:rsid w:val="00C25769"/>
    <w:rsid w:val="00C2579D"/>
    <w:rsid w:val="00C257AF"/>
    <w:rsid w:val="00C257D1"/>
    <w:rsid w:val="00C2581C"/>
    <w:rsid w:val="00C2582C"/>
    <w:rsid w:val="00C2587A"/>
    <w:rsid w:val="00C258D5"/>
    <w:rsid w:val="00C259F1"/>
    <w:rsid w:val="00C25A87"/>
    <w:rsid w:val="00C25AD7"/>
    <w:rsid w:val="00C25B36"/>
    <w:rsid w:val="00C25BEB"/>
    <w:rsid w:val="00C25C5F"/>
    <w:rsid w:val="00C25D2C"/>
    <w:rsid w:val="00C25DDA"/>
    <w:rsid w:val="00C25E73"/>
    <w:rsid w:val="00C25EC2"/>
    <w:rsid w:val="00C25EEA"/>
    <w:rsid w:val="00C25F7B"/>
    <w:rsid w:val="00C25FBA"/>
    <w:rsid w:val="00C25FCA"/>
    <w:rsid w:val="00C2600A"/>
    <w:rsid w:val="00C26018"/>
    <w:rsid w:val="00C2603E"/>
    <w:rsid w:val="00C26046"/>
    <w:rsid w:val="00C26091"/>
    <w:rsid w:val="00C260A3"/>
    <w:rsid w:val="00C26137"/>
    <w:rsid w:val="00C26186"/>
    <w:rsid w:val="00C2622E"/>
    <w:rsid w:val="00C26277"/>
    <w:rsid w:val="00C26282"/>
    <w:rsid w:val="00C26305"/>
    <w:rsid w:val="00C26360"/>
    <w:rsid w:val="00C2636E"/>
    <w:rsid w:val="00C2637E"/>
    <w:rsid w:val="00C263F8"/>
    <w:rsid w:val="00C26491"/>
    <w:rsid w:val="00C264A7"/>
    <w:rsid w:val="00C264F2"/>
    <w:rsid w:val="00C264FB"/>
    <w:rsid w:val="00C2650F"/>
    <w:rsid w:val="00C26579"/>
    <w:rsid w:val="00C2657D"/>
    <w:rsid w:val="00C26749"/>
    <w:rsid w:val="00C267B9"/>
    <w:rsid w:val="00C268D0"/>
    <w:rsid w:val="00C26925"/>
    <w:rsid w:val="00C26941"/>
    <w:rsid w:val="00C269B7"/>
    <w:rsid w:val="00C269CA"/>
    <w:rsid w:val="00C269CE"/>
    <w:rsid w:val="00C269DD"/>
    <w:rsid w:val="00C26A2E"/>
    <w:rsid w:val="00C26A3B"/>
    <w:rsid w:val="00C26A8E"/>
    <w:rsid w:val="00C26AEE"/>
    <w:rsid w:val="00C26B30"/>
    <w:rsid w:val="00C26B3C"/>
    <w:rsid w:val="00C26B5E"/>
    <w:rsid w:val="00C26BA7"/>
    <w:rsid w:val="00C26C19"/>
    <w:rsid w:val="00C26C28"/>
    <w:rsid w:val="00C26C60"/>
    <w:rsid w:val="00C26C97"/>
    <w:rsid w:val="00C26D26"/>
    <w:rsid w:val="00C26E12"/>
    <w:rsid w:val="00C26F08"/>
    <w:rsid w:val="00C26F1D"/>
    <w:rsid w:val="00C26FB2"/>
    <w:rsid w:val="00C26FFC"/>
    <w:rsid w:val="00C27075"/>
    <w:rsid w:val="00C27098"/>
    <w:rsid w:val="00C270F1"/>
    <w:rsid w:val="00C271AB"/>
    <w:rsid w:val="00C271C3"/>
    <w:rsid w:val="00C271F2"/>
    <w:rsid w:val="00C27259"/>
    <w:rsid w:val="00C27294"/>
    <w:rsid w:val="00C27376"/>
    <w:rsid w:val="00C273A4"/>
    <w:rsid w:val="00C273A7"/>
    <w:rsid w:val="00C27447"/>
    <w:rsid w:val="00C27526"/>
    <w:rsid w:val="00C27639"/>
    <w:rsid w:val="00C276AD"/>
    <w:rsid w:val="00C276D0"/>
    <w:rsid w:val="00C27759"/>
    <w:rsid w:val="00C277F0"/>
    <w:rsid w:val="00C277FE"/>
    <w:rsid w:val="00C27844"/>
    <w:rsid w:val="00C278DA"/>
    <w:rsid w:val="00C27A48"/>
    <w:rsid w:val="00C27AA7"/>
    <w:rsid w:val="00C27AFF"/>
    <w:rsid w:val="00C27B1A"/>
    <w:rsid w:val="00C27D68"/>
    <w:rsid w:val="00C27DA3"/>
    <w:rsid w:val="00C27E79"/>
    <w:rsid w:val="00C27F4D"/>
    <w:rsid w:val="00C30058"/>
    <w:rsid w:val="00C3007F"/>
    <w:rsid w:val="00C3011B"/>
    <w:rsid w:val="00C3013C"/>
    <w:rsid w:val="00C301D4"/>
    <w:rsid w:val="00C302CE"/>
    <w:rsid w:val="00C30325"/>
    <w:rsid w:val="00C30357"/>
    <w:rsid w:val="00C30540"/>
    <w:rsid w:val="00C30544"/>
    <w:rsid w:val="00C3058A"/>
    <w:rsid w:val="00C305A4"/>
    <w:rsid w:val="00C3076A"/>
    <w:rsid w:val="00C307BC"/>
    <w:rsid w:val="00C30804"/>
    <w:rsid w:val="00C3087D"/>
    <w:rsid w:val="00C30B1D"/>
    <w:rsid w:val="00C30B4B"/>
    <w:rsid w:val="00C30BBC"/>
    <w:rsid w:val="00C30BD9"/>
    <w:rsid w:val="00C30C35"/>
    <w:rsid w:val="00C30C9F"/>
    <w:rsid w:val="00C30D0C"/>
    <w:rsid w:val="00C30DF0"/>
    <w:rsid w:val="00C30DF2"/>
    <w:rsid w:val="00C30E67"/>
    <w:rsid w:val="00C30ED8"/>
    <w:rsid w:val="00C30FAD"/>
    <w:rsid w:val="00C30FCB"/>
    <w:rsid w:val="00C3101D"/>
    <w:rsid w:val="00C3107E"/>
    <w:rsid w:val="00C310C6"/>
    <w:rsid w:val="00C310FD"/>
    <w:rsid w:val="00C310FF"/>
    <w:rsid w:val="00C31125"/>
    <w:rsid w:val="00C31193"/>
    <w:rsid w:val="00C31195"/>
    <w:rsid w:val="00C311D6"/>
    <w:rsid w:val="00C311F5"/>
    <w:rsid w:val="00C312A1"/>
    <w:rsid w:val="00C312C2"/>
    <w:rsid w:val="00C31311"/>
    <w:rsid w:val="00C31341"/>
    <w:rsid w:val="00C314B3"/>
    <w:rsid w:val="00C3150C"/>
    <w:rsid w:val="00C315DD"/>
    <w:rsid w:val="00C31610"/>
    <w:rsid w:val="00C31613"/>
    <w:rsid w:val="00C31673"/>
    <w:rsid w:val="00C316F6"/>
    <w:rsid w:val="00C31707"/>
    <w:rsid w:val="00C31714"/>
    <w:rsid w:val="00C317A2"/>
    <w:rsid w:val="00C31860"/>
    <w:rsid w:val="00C3190D"/>
    <w:rsid w:val="00C319DB"/>
    <w:rsid w:val="00C31A47"/>
    <w:rsid w:val="00C31B14"/>
    <w:rsid w:val="00C31BC7"/>
    <w:rsid w:val="00C31BD5"/>
    <w:rsid w:val="00C31C36"/>
    <w:rsid w:val="00C31C40"/>
    <w:rsid w:val="00C31C68"/>
    <w:rsid w:val="00C31CAD"/>
    <w:rsid w:val="00C31D00"/>
    <w:rsid w:val="00C31F4C"/>
    <w:rsid w:val="00C31F4E"/>
    <w:rsid w:val="00C31F6D"/>
    <w:rsid w:val="00C31FB2"/>
    <w:rsid w:val="00C31FE9"/>
    <w:rsid w:val="00C31FF5"/>
    <w:rsid w:val="00C3211E"/>
    <w:rsid w:val="00C32131"/>
    <w:rsid w:val="00C32177"/>
    <w:rsid w:val="00C32183"/>
    <w:rsid w:val="00C32218"/>
    <w:rsid w:val="00C322B3"/>
    <w:rsid w:val="00C32303"/>
    <w:rsid w:val="00C3233A"/>
    <w:rsid w:val="00C32367"/>
    <w:rsid w:val="00C32384"/>
    <w:rsid w:val="00C32469"/>
    <w:rsid w:val="00C324A3"/>
    <w:rsid w:val="00C324D3"/>
    <w:rsid w:val="00C32548"/>
    <w:rsid w:val="00C325E1"/>
    <w:rsid w:val="00C326AE"/>
    <w:rsid w:val="00C327A5"/>
    <w:rsid w:val="00C327B9"/>
    <w:rsid w:val="00C32845"/>
    <w:rsid w:val="00C32872"/>
    <w:rsid w:val="00C328CF"/>
    <w:rsid w:val="00C328EB"/>
    <w:rsid w:val="00C32933"/>
    <w:rsid w:val="00C32963"/>
    <w:rsid w:val="00C3299D"/>
    <w:rsid w:val="00C329CD"/>
    <w:rsid w:val="00C329F0"/>
    <w:rsid w:val="00C32A2B"/>
    <w:rsid w:val="00C32A55"/>
    <w:rsid w:val="00C32ABC"/>
    <w:rsid w:val="00C32B7B"/>
    <w:rsid w:val="00C32C4A"/>
    <w:rsid w:val="00C32C9B"/>
    <w:rsid w:val="00C32CBF"/>
    <w:rsid w:val="00C32DCA"/>
    <w:rsid w:val="00C32DEE"/>
    <w:rsid w:val="00C32E8B"/>
    <w:rsid w:val="00C32E92"/>
    <w:rsid w:val="00C32EC7"/>
    <w:rsid w:val="00C32F74"/>
    <w:rsid w:val="00C32FE5"/>
    <w:rsid w:val="00C33064"/>
    <w:rsid w:val="00C330A9"/>
    <w:rsid w:val="00C330DD"/>
    <w:rsid w:val="00C3316F"/>
    <w:rsid w:val="00C331DE"/>
    <w:rsid w:val="00C3338F"/>
    <w:rsid w:val="00C333B8"/>
    <w:rsid w:val="00C333F9"/>
    <w:rsid w:val="00C334CF"/>
    <w:rsid w:val="00C334D1"/>
    <w:rsid w:val="00C334F5"/>
    <w:rsid w:val="00C33508"/>
    <w:rsid w:val="00C3353D"/>
    <w:rsid w:val="00C33554"/>
    <w:rsid w:val="00C33568"/>
    <w:rsid w:val="00C335BD"/>
    <w:rsid w:val="00C335D4"/>
    <w:rsid w:val="00C335DE"/>
    <w:rsid w:val="00C3361C"/>
    <w:rsid w:val="00C33620"/>
    <w:rsid w:val="00C33647"/>
    <w:rsid w:val="00C33678"/>
    <w:rsid w:val="00C336AE"/>
    <w:rsid w:val="00C336EF"/>
    <w:rsid w:val="00C3394B"/>
    <w:rsid w:val="00C33980"/>
    <w:rsid w:val="00C33B14"/>
    <w:rsid w:val="00C33B29"/>
    <w:rsid w:val="00C33B7E"/>
    <w:rsid w:val="00C33C9C"/>
    <w:rsid w:val="00C33DD2"/>
    <w:rsid w:val="00C33E59"/>
    <w:rsid w:val="00C33F7C"/>
    <w:rsid w:val="00C33FB2"/>
    <w:rsid w:val="00C33FE3"/>
    <w:rsid w:val="00C3400D"/>
    <w:rsid w:val="00C3404A"/>
    <w:rsid w:val="00C3409B"/>
    <w:rsid w:val="00C340E2"/>
    <w:rsid w:val="00C3410C"/>
    <w:rsid w:val="00C3418B"/>
    <w:rsid w:val="00C34292"/>
    <w:rsid w:val="00C34321"/>
    <w:rsid w:val="00C3438F"/>
    <w:rsid w:val="00C343FC"/>
    <w:rsid w:val="00C34427"/>
    <w:rsid w:val="00C3443C"/>
    <w:rsid w:val="00C34507"/>
    <w:rsid w:val="00C34599"/>
    <w:rsid w:val="00C345EC"/>
    <w:rsid w:val="00C3461E"/>
    <w:rsid w:val="00C3462E"/>
    <w:rsid w:val="00C347A1"/>
    <w:rsid w:val="00C348FC"/>
    <w:rsid w:val="00C34918"/>
    <w:rsid w:val="00C349C6"/>
    <w:rsid w:val="00C349D8"/>
    <w:rsid w:val="00C34A70"/>
    <w:rsid w:val="00C34AF9"/>
    <w:rsid w:val="00C34CC4"/>
    <w:rsid w:val="00C34D77"/>
    <w:rsid w:val="00C34E0D"/>
    <w:rsid w:val="00C34EC5"/>
    <w:rsid w:val="00C34EFC"/>
    <w:rsid w:val="00C34F29"/>
    <w:rsid w:val="00C34F5A"/>
    <w:rsid w:val="00C34F67"/>
    <w:rsid w:val="00C34FD7"/>
    <w:rsid w:val="00C3501F"/>
    <w:rsid w:val="00C35095"/>
    <w:rsid w:val="00C350B1"/>
    <w:rsid w:val="00C350E4"/>
    <w:rsid w:val="00C35119"/>
    <w:rsid w:val="00C351B7"/>
    <w:rsid w:val="00C35222"/>
    <w:rsid w:val="00C3527D"/>
    <w:rsid w:val="00C352A3"/>
    <w:rsid w:val="00C35336"/>
    <w:rsid w:val="00C35339"/>
    <w:rsid w:val="00C3540F"/>
    <w:rsid w:val="00C35429"/>
    <w:rsid w:val="00C3552F"/>
    <w:rsid w:val="00C35543"/>
    <w:rsid w:val="00C355C3"/>
    <w:rsid w:val="00C356CB"/>
    <w:rsid w:val="00C3576A"/>
    <w:rsid w:val="00C35799"/>
    <w:rsid w:val="00C3579C"/>
    <w:rsid w:val="00C358E7"/>
    <w:rsid w:val="00C358FD"/>
    <w:rsid w:val="00C35989"/>
    <w:rsid w:val="00C359C5"/>
    <w:rsid w:val="00C359FB"/>
    <w:rsid w:val="00C35A80"/>
    <w:rsid w:val="00C35A98"/>
    <w:rsid w:val="00C35B0A"/>
    <w:rsid w:val="00C35B19"/>
    <w:rsid w:val="00C35B22"/>
    <w:rsid w:val="00C35B83"/>
    <w:rsid w:val="00C35C73"/>
    <w:rsid w:val="00C35CB8"/>
    <w:rsid w:val="00C35D12"/>
    <w:rsid w:val="00C35D23"/>
    <w:rsid w:val="00C35D53"/>
    <w:rsid w:val="00C35EEB"/>
    <w:rsid w:val="00C36018"/>
    <w:rsid w:val="00C3603D"/>
    <w:rsid w:val="00C36070"/>
    <w:rsid w:val="00C36074"/>
    <w:rsid w:val="00C36082"/>
    <w:rsid w:val="00C360F5"/>
    <w:rsid w:val="00C36141"/>
    <w:rsid w:val="00C36160"/>
    <w:rsid w:val="00C361D6"/>
    <w:rsid w:val="00C36330"/>
    <w:rsid w:val="00C363E1"/>
    <w:rsid w:val="00C36435"/>
    <w:rsid w:val="00C36467"/>
    <w:rsid w:val="00C36472"/>
    <w:rsid w:val="00C3647A"/>
    <w:rsid w:val="00C3651F"/>
    <w:rsid w:val="00C3653A"/>
    <w:rsid w:val="00C365C3"/>
    <w:rsid w:val="00C365CE"/>
    <w:rsid w:val="00C365E7"/>
    <w:rsid w:val="00C36633"/>
    <w:rsid w:val="00C36651"/>
    <w:rsid w:val="00C36698"/>
    <w:rsid w:val="00C366C8"/>
    <w:rsid w:val="00C366DC"/>
    <w:rsid w:val="00C366F1"/>
    <w:rsid w:val="00C36741"/>
    <w:rsid w:val="00C36755"/>
    <w:rsid w:val="00C367E2"/>
    <w:rsid w:val="00C367E4"/>
    <w:rsid w:val="00C367E9"/>
    <w:rsid w:val="00C368FD"/>
    <w:rsid w:val="00C36A82"/>
    <w:rsid w:val="00C36AB9"/>
    <w:rsid w:val="00C36ADF"/>
    <w:rsid w:val="00C36B50"/>
    <w:rsid w:val="00C36BBC"/>
    <w:rsid w:val="00C36C0C"/>
    <w:rsid w:val="00C36C14"/>
    <w:rsid w:val="00C36C8D"/>
    <w:rsid w:val="00C36CBF"/>
    <w:rsid w:val="00C36CFE"/>
    <w:rsid w:val="00C36E6A"/>
    <w:rsid w:val="00C36E86"/>
    <w:rsid w:val="00C36E9D"/>
    <w:rsid w:val="00C36F47"/>
    <w:rsid w:val="00C36FCD"/>
    <w:rsid w:val="00C36FD0"/>
    <w:rsid w:val="00C3701D"/>
    <w:rsid w:val="00C3712C"/>
    <w:rsid w:val="00C371CE"/>
    <w:rsid w:val="00C3722A"/>
    <w:rsid w:val="00C3722C"/>
    <w:rsid w:val="00C37325"/>
    <w:rsid w:val="00C3737A"/>
    <w:rsid w:val="00C373A4"/>
    <w:rsid w:val="00C37615"/>
    <w:rsid w:val="00C37637"/>
    <w:rsid w:val="00C3766F"/>
    <w:rsid w:val="00C37697"/>
    <w:rsid w:val="00C37698"/>
    <w:rsid w:val="00C376C8"/>
    <w:rsid w:val="00C376CD"/>
    <w:rsid w:val="00C3779C"/>
    <w:rsid w:val="00C378D1"/>
    <w:rsid w:val="00C3791B"/>
    <w:rsid w:val="00C37921"/>
    <w:rsid w:val="00C3794B"/>
    <w:rsid w:val="00C37A09"/>
    <w:rsid w:val="00C37A20"/>
    <w:rsid w:val="00C37BE5"/>
    <w:rsid w:val="00C37BED"/>
    <w:rsid w:val="00C37C3E"/>
    <w:rsid w:val="00C37C86"/>
    <w:rsid w:val="00C37CFC"/>
    <w:rsid w:val="00C37D01"/>
    <w:rsid w:val="00C37D21"/>
    <w:rsid w:val="00C37E3D"/>
    <w:rsid w:val="00C37E7F"/>
    <w:rsid w:val="00C37EAA"/>
    <w:rsid w:val="00C37F1B"/>
    <w:rsid w:val="00C37F37"/>
    <w:rsid w:val="00C37FA4"/>
    <w:rsid w:val="00C40119"/>
    <w:rsid w:val="00C4019B"/>
    <w:rsid w:val="00C4019D"/>
    <w:rsid w:val="00C4024E"/>
    <w:rsid w:val="00C402C1"/>
    <w:rsid w:val="00C40327"/>
    <w:rsid w:val="00C403BE"/>
    <w:rsid w:val="00C40531"/>
    <w:rsid w:val="00C405A6"/>
    <w:rsid w:val="00C4065C"/>
    <w:rsid w:val="00C406DA"/>
    <w:rsid w:val="00C40782"/>
    <w:rsid w:val="00C407E5"/>
    <w:rsid w:val="00C407FF"/>
    <w:rsid w:val="00C4080A"/>
    <w:rsid w:val="00C40819"/>
    <w:rsid w:val="00C4089F"/>
    <w:rsid w:val="00C40944"/>
    <w:rsid w:val="00C40999"/>
    <w:rsid w:val="00C40A22"/>
    <w:rsid w:val="00C40A71"/>
    <w:rsid w:val="00C40A8C"/>
    <w:rsid w:val="00C40AFD"/>
    <w:rsid w:val="00C40B1B"/>
    <w:rsid w:val="00C40BAC"/>
    <w:rsid w:val="00C40BED"/>
    <w:rsid w:val="00C40C1F"/>
    <w:rsid w:val="00C40C57"/>
    <w:rsid w:val="00C40C76"/>
    <w:rsid w:val="00C40CAE"/>
    <w:rsid w:val="00C40D1C"/>
    <w:rsid w:val="00C40D99"/>
    <w:rsid w:val="00C40DB4"/>
    <w:rsid w:val="00C40E65"/>
    <w:rsid w:val="00C40F2C"/>
    <w:rsid w:val="00C40F9E"/>
    <w:rsid w:val="00C4101A"/>
    <w:rsid w:val="00C411B1"/>
    <w:rsid w:val="00C411BE"/>
    <w:rsid w:val="00C4120A"/>
    <w:rsid w:val="00C41219"/>
    <w:rsid w:val="00C4121A"/>
    <w:rsid w:val="00C412B1"/>
    <w:rsid w:val="00C412B3"/>
    <w:rsid w:val="00C412DC"/>
    <w:rsid w:val="00C413D9"/>
    <w:rsid w:val="00C4150B"/>
    <w:rsid w:val="00C41524"/>
    <w:rsid w:val="00C41526"/>
    <w:rsid w:val="00C41538"/>
    <w:rsid w:val="00C4153E"/>
    <w:rsid w:val="00C41558"/>
    <w:rsid w:val="00C415C4"/>
    <w:rsid w:val="00C41607"/>
    <w:rsid w:val="00C416EB"/>
    <w:rsid w:val="00C4173A"/>
    <w:rsid w:val="00C41788"/>
    <w:rsid w:val="00C417F5"/>
    <w:rsid w:val="00C4181E"/>
    <w:rsid w:val="00C41828"/>
    <w:rsid w:val="00C41875"/>
    <w:rsid w:val="00C4187A"/>
    <w:rsid w:val="00C418C4"/>
    <w:rsid w:val="00C41930"/>
    <w:rsid w:val="00C41A82"/>
    <w:rsid w:val="00C41ABB"/>
    <w:rsid w:val="00C41AC3"/>
    <w:rsid w:val="00C41AF6"/>
    <w:rsid w:val="00C41B82"/>
    <w:rsid w:val="00C41C94"/>
    <w:rsid w:val="00C41CA1"/>
    <w:rsid w:val="00C41CA4"/>
    <w:rsid w:val="00C41CDF"/>
    <w:rsid w:val="00C41D19"/>
    <w:rsid w:val="00C41D77"/>
    <w:rsid w:val="00C41E19"/>
    <w:rsid w:val="00C41FCC"/>
    <w:rsid w:val="00C42032"/>
    <w:rsid w:val="00C4203F"/>
    <w:rsid w:val="00C42147"/>
    <w:rsid w:val="00C4217B"/>
    <w:rsid w:val="00C42263"/>
    <w:rsid w:val="00C42281"/>
    <w:rsid w:val="00C422E0"/>
    <w:rsid w:val="00C42390"/>
    <w:rsid w:val="00C4241F"/>
    <w:rsid w:val="00C42584"/>
    <w:rsid w:val="00C425BF"/>
    <w:rsid w:val="00C4263C"/>
    <w:rsid w:val="00C42721"/>
    <w:rsid w:val="00C42780"/>
    <w:rsid w:val="00C42840"/>
    <w:rsid w:val="00C4285F"/>
    <w:rsid w:val="00C42889"/>
    <w:rsid w:val="00C4296A"/>
    <w:rsid w:val="00C42971"/>
    <w:rsid w:val="00C42982"/>
    <w:rsid w:val="00C4298C"/>
    <w:rsid w:val="00C429E9"/>
    <w:rsid w:val="00C42A19"/>
    <w:rsid w:val="00C42AB1"/>
    <w:rsid w:val="00C42AC7"/>
    <w:rsid w:val="00C42ACE"/>
    <w:rsid w:val="00C42B25"/>
    <w:rsid w:val="00C42C06"/>
    <w:rsid w:val="00C42D3B"/>
    <w:rsid w:val="00C42D3D"/>
    <w:rsid w:val="00C42D8C"/>
    <w:rsid w:val="00C42E1F"/>
    <w:rsid w:val="00C42E80"/>
    <w:rsid w:val="00C42EA6"/>
    <w:rsid w:val="00C42EE1"/>
    <w:rsid w:val="00C42F1D"/>
    <w:rsid w:val="00C42FF1"/>
    <w:rsid w:val="00C430C3"/>
    <w:rsid w:val="00C430C8"/>
    <w:rsid w:val="00C430E0"/>
    <w:rsid w:val="00C43188"/>
    <w:rsid w:val="00C431E7"/>
    <w:rsid w:val="00C4321B"/>
    <w:rsid w:val="00C4323F"/>
    <w:rsid w:val="00C43248"/>
    <w:rsid w:val="00C43258"/>
    <w:rsid w:val="00C4340B"/>
    <w:rsid w:val="00C4346A"/>
    <w:rsid w:val="00C434B9"/>
    <w:rsid w:val="00C43503"/>
    <w:rsid w:val="00C4351D"/>
    <w:rsid w:val="00C4359B"/>
    <w:rsid w:val="00C436AA"/>
    <w:rsid w:val="00C436AE"/>
    <w:rsid w:val="00C43746"/>
    <w:rsid w:val="00C43754"/>
    <w:rsid w:val="00C43818"/>
    <w:rsid w:val="00C438B9"/>
    <w:rsid w:val="00C438F2"/>
    <w:rsid w:val="00C4392D"/>
    <w:rsid w:val="00C4395E"/>
    <w:rsid w:val="00C4399C"/>
    <w:rsid w:val="00C43ACC"/>
    <w:rsid w:val="00C43AF1"/>
    <w:rsid w:val="00C43B2F"/>
    <w:rsid w:val="00C43B52"/>
    <w:rsid w:val="00C43B8D"/>
    <w:rsid w:val="00C43C1E"/>
    <w:rsid w:val="00C43C21"/>
    <w:rsid w:val="00C43C9F"/>
    <w:rsid w:val="00C43CB4"/>
    <w:rsid w:val="00C43DCA"/>
    <w:rsid w:val="00C43DD4"/>
    <w:rsid w:val="00C43DF5"/>
    <w:rsid w:val="00C43E00"/>
    <w:rsid w:val="00C43E37"/>
    <w:rsid w:val="00C43E85"/>
    <w:rsid w:val="00C43E8E"/>
    <w:rsid w:val="00C43EBC"/>
    <w:rsid w:val="00C43EFE"/>
    <w:rsid w:val="00C43F05"/>
    <w:rsid w:val="00C441E0"/>
    <w:rsid w:val="00C442D0"/>
    <w:rsid w:val="00C442F6"/>
    <w:rsid w:val="00C4433F"/>
    <w:rsid w:val="00C4436C"/>
    <w:rsid w:val="00C44391"/>
    <w:rsid w:val="00C4443C"/>
    <w:rsid w:val="00C44441"/>
    <w:rsid w:val="00C44492"/>
    <w:rsid w:val="00C4449F"/>
    <w:rsid w:val="00C4451B"/>
    <w:rsid w:val="00C44579"/>
    <w:rsid w:val="00C44588"/>
    <w:rsid w:val="00C4458A"/>
    <w:rsid w:val="00C4458E"/>
    <w:rsid w:val="00C445CB"/>
    <w:rsid w:val="00C4466E"/>
    <w:rsid w:val="00C44676"/>
    <w:rsid w:val="00C44913"/>
    <w:rsid w:val="00C449AC"/>
    <w:rsid w:val="00C44A10"/>
    <w:rsid w:val="00C44A68"/>
    <w:rsid w:val="00C44B9B"/>
    <w:rsid w:val="00C44C10"/>
    <w:rsid w:val="00C44C7E"/>
    <w:rsid w:val="00C44D58"/>
    <w:rsid w:val="00C44D5F"/>
    <w:rsid w:val="00C44D9A"/>
    <w:rsid w:val="00C44E6F"/>
    <w:rsid w:val="00C44E9E"/>
    <w:rsid w:val="00C44EA4"/>
    <w:rsid w:val="00C44F69"/>
    <w:rsid w:val="00C44F93"/>
    <w:rsid w:val="00C44FDF"/>
    <w:rsid w:val="00C4536C"/>
    <w:rsid w:val="00C45370"/>
    <w:rsid w:val="00C45374"/>
    <w:rsid w:val="00C45390"/>
    <w:rsid w:val="00C453D7"/>
    <w:rsid w:val="00C45446"/>
    <w:rsid w:val="00C45457"/>
    <w:rsid w:val="00C4548D"/>
    <w:rsid w:val="00C455FA"/>
    <w:rsid w:val="00C4564D"/>
    <w:rsid w:val="00C45698"/>
    <w:rsid w:val="00C456BC"/>
    <w:rsid w:val="00C456D4"/>
    <w:rsid w:val="00C456E9"/>
    <w:rsid w:val="00C456FE"/>
    <w:rsid w:val="00C45741"/>
    <w:rsid w:val="00C4576D"/>
    <w:rsid w:val="00C457DC"/>
    <w:rsid w:val="00C458B1"/>
    <w:rsid w:val="00C45902"/>
    <w:rsid w:val="00C459E9"/>
    <w:rsid w:val="00C45A2E"/>
    <w:rsid w:val="00C45A98"/>
    <w:rsid w:val="00C45AFD"/>
    <w:rsid w:val="00C45B0D"/>
    <w:rsid w:val="00C45B1E"/>
    <w:rsid w:val="00C45BAA"/>
    <w:rsid w:val="00C45BC0"/>
    <w:rsid w:val="00C45C38"/>
    <w:rsid w:val="00C45C84"/>
    <w:rsid w:val="00C45CE7"/>
    <w:rsid w:val="00C45D06"/>
    <w:rsid w:val="00C45D4D"/>
    <w:rsid w:val="00C45E4C"/>
    <w:rsid w:val="00C45F12"/>
    <w:rsid w:val="00C45F3A"/>
    <w:rsid w:val="00C45F7D"/>
    <w:rsid w:val="00C45FC4"/>
    <w:rsid w:val="00C45FD8"/>
    <w:rsid w:val="00C45FE1"/>
    <w:rsid w:val="00C46025"/>
    <w:rsid w:val="00C460A1"/>
    <w:rsid w:val="00C4612C"/>
    <w:rsid w:val="00C461B2"/>
    <w:rsid w:val="00C4621E"/>
    <w:rsid w:val="00C463A7"/>
    <w:rsid w:val="00C463D3"/>
    <w:rsid w:val="00C4641B"/>
    <w:rsid w:val="00C4642E"/>
    <w:rsid w:val="00C4644B"/>
    <w:rsid w:val="00C46488"/>
    <w:rsid w:val="00C464FC"/>
    <w:rsid w:val="00C46505"/>
    <w:rsid w:val="00C465DC"/>
    <w:rsid w:val="00C4660A"/>
    <w:rsid w:val="00C46611"/>
    <w:rsid w:val="00C466EB"/>
    <w:rsid w:val="00C467A7"/>
    <w:rsid w:val="00C467A9"/>
    <w:rsid w:val="00C467C2"/>
    <w:rsid w:val="00C4691C"/>
    <w:rsid w:val="00C46933"/>
    <w:rsid w:val="00C46AFA"/>
    <w:rsid w:val="00C46B74"/>
    <w:rsid w:val="00C46C05"/>
    <w:rsid w:val="00C46C3D"/>
    <w:rsid w:val="00C46C3F"/>
    <w:rsid w:val="00C46C72"/>
    <w:rsid w:val="00C46CCC"/>
    <w:rsid w:val="00C46CF3"/>
    <w:rsid w:val="00C46CF6"/>
    <w:rsid w:val="00C46D18"/>
    <w:rsid w:val="00C46D5A"/>
    <w:rsid w:val="00C46DAE"/>
    <w:rsid w:val="00C46E1D"/>
    <w:rsid w:val="00C46E95"/>
    <w:rsid w:val="00C46ECE"/>
    <w:rsid w:val="00C46F9F"/>
    <w:rsid w:val="00C46FF7"/>
    <w:rsid w:val="00C47066"/>
    <w:rsid w:val="00C47069"/>
    <w:rsid w:val="00C470FF"/>
    <w:rsid w:val="00C4710C"/>
    <w:rsid w:val="00C47123"/>
    <w:rsid w:val="00C47193"/>
    <w:rsid w:val="00C471A2"/>
    <w:rsid w:val="00C471A8"/>
    <w:rsid w:val="00C471B9"/>
    <w:rsid w:val="00C471C8"/>
    <w:rsid w:val="00C471DB"/>
    <w:rsid w:val="00C4722A"/>
    <w:rsid w:val="00C472CE"/>
    <w:rsid w:val="00C47314"/>
    <w:rsid w:val="00C473D4"/>
    <w:rsid w:val="00C4748F"/>
    <w:rsid w:val="00C474F4"/>
    <w:rsid w:val="00C4750E"/>
    <w:rsid w:val="00C47546"/>
    <w:rsid w:val="00C47568"/>
    <w:rsid w:val="00C475B5"/>
    <w:rsid w:val="00C4763B"/>
    <w:rsid w:val="00C476D2"/>
    <w:rsid w:val="00C476ED"/>
    <w:rsid w:val="00C4770C"/>
    <w:rsid w:val="00C4772F"/>
    <w:rsid w:val="00C47764"/>
    <w:rsid w:val="00C477C8"/>
    <w:rsid w:val="00C477D3"/>
    <w:rsid w:val="00C477FD"/>
    <w:rsid w:val="00C47807"/>
    <w:rsid w:val="00C478CD"/>
    <w:rsid w:val="00C4793A"/>
    <w:rsid w:val="00C479C6"/>
    <w:rsid w:val="00C47AC7"/>
    <w:rsid w:val="00C47B02"/>
    <w:rsid w:val="00C47BAB"/>
    <w:rsid w:val="00C47C8E"/>
    <w:rsid w:val="00C47CDE"/>
    <w:rsid w:val="00C47D05"/>
    <w:rsid w:val="00C47D71"/>
    <w:rsid w:val="00C47E65"/>
    <w:rsid w:val="00C47EBF"/>
    <w:rsid w:val="00C47EEE"/>
    <w:rsid w:val="00C47F02"/>
    <w:rsid w:val="00C47F14"/>
    <w:rsid w:val="00C47FC3"/>
    <w:rsid w:val="00C47FFE"/>
    <w:rsid w:val="00C50023"/>
    <w:rsid w:val="00C500D6"/>
    <w:rsid w:val="00C50115"/>
    <w:rsid w:val="00C50152"/>
    <w:rsid w:val="00C501AF"/>
    <w:rsid w:val="00C50205"/>
    <w:rsid w:val="00C50271"/>
    <w:rsid w:val="00C502BA"/>
    <w:rsid w:val="00C502C2"/>
    <w:rsid w:val="00C502E4"/>
    <w:rsid w:val="00C50367"/>
    <w:rsid w:val="00C5049D"/>
    <w:rsid w:val="00C504DF"/>
    <w:rsid w:val="00C504EE"/>
    <w:rsid w:val="00C5050F"/>
    <w:rsid w:val="00C50515"/>
    <w:rsid w:val="00C506F1"/>
    <w:rsid w:val="00C5078C"/>
    <w:rsid w:val="00C507C1"/>
    <w:rsid w:val="00C507CA"/>
    <w:rsid w:val="00C507D2"/>
    <w:rsid w:val="00C5082A"/>
    <w:rsid w:val="00C50830"/>
    <w:rsid w:val="00C50872"/>
    <w:rsid w:val="00C5096B"/>
    <w:rsid w:val="00C5098D"/>
    <w:rsid w:val="00C50A55"/>
    <w:rsid w:val="00C50AE8"/>
    <w:rsid w:val="00C50BC9"/>
    <w:rsid w:val="00C50D14"/>
    <w:rsid w:val="00C50D19"/>
    <w:rsid w:val="00C50D91"/>
    <w:rsid w:val="00C50DA3"/>
    <w:rsid w:val="00C50E05"/>
    <w:rsid w:val="00C50F5B"/>
    <w:rsid w:val="00C50FC4"/>
    <w:rsid w:val="00C5100E"/>
    <w:rsid w:val="00C51013"/>
    <w:rsid w:val="00C51029"/>
    <w:rsid w:val="00C51077"/>
    <w:rsid w:val="00C510C4"/>
    <w:rsid w:val="00C5112C"/>
    <w:rsid w:val="00C51191"/>
    <w:rsid w:val="00C511CE"/>
    <w:rsid w:val="00C511EC"/>
    <w:rsid w:val="00C5123A"/>
    <w:rsid w:val="00C51287"/>
    <w:rsid w:val="00C51424"/>
    <w:rsid w:val="00C51553"/>
    <w:rsid w:val="00C515BB"/>
    <w:rsid w:val="00C51665"/>
    <w:rsid w:val="00C517F2"/>
    <w:rsid w:val="00C5180E"/>
    <w:rsid w:val="00C518C4"/>
    <w:rsid w:val="00C51906"/>
    <w:rsid w:val="00C5190F"/>
    <w:rsid w:val="00C5194E"/>
    <w:rsid w:val="00C519AB"/>
    <w:rsid w:val="00C519AF"/>
    <w:rsid w:val="00C51A02"/>
    <w:rsid w:val="00C51A19"/>
    <w:rsid w:val="00C51C43"/>
    <w:rsid w:val="00C51EF3"/>
    <w:rsid w:val="00C51F85"/>
    <w:rsid w:val="00C51FCE"/>
    <w:rsid w:val="00C52001"/>
    <w:rsid w:val="00C520C4"/>
    <w:rsid w:val="00C521A5"/>
    <w:rsid w:val="00C52205"/>
    <w:rsid w:val="00C52290"/>
    <w:rsid w:val="00C5229C"/>
    <w:rsid w:val="00C522B9"/>
    <w:rsid w:val="00C523E0"/>
    <w:rsid w:val="00C52488"/>
    <w:rsid w:val="00C524D0"/>
    <w:rsid w:val="00C52662"/>
    <w:rsid w:val="00C52698"/>
    <w:rsid w:val="00C526E2"/>
    <w:rsid w:val="00C52727"/>
    <w:rsid w:val="00C52785"/>
    <w:rsid w:val="00C52853"/>
    <w:rsid w:val="00C5288F"/>
    <w:rsid w:val="00C528C6"/>
    <w:rsid w:val="00C528D9"/>
    <w:rsid w:val="00C5291F"/>
    <w:rsid w:val="00C5299A"/>
    <w:rsid w:val="00C529DB"/>
    <w:rsid w:val="00C529DF"/>
    <w:rsid w:val="00C52A23"/>
    <w:rsid w:val="00C52B59"/>
    <w:rsid w:val="00C52BEC"/>
    <w:rsid w:val="00C52C2F"/>
    <w:rsid w:val="00C52C81"/>
    <w:rsid w:val="00C52E72"/>
    <w:rsid w:val="00C52E9D"/>
    <w:rsid w:val="00C52F43"/>
    <w:rsid w:val="00C52FD1"/>
    <w:rsid w:val="00C5306B"/>
    <w:rsid w:val="00C5307C"/>
    <w:rsid w:val="00C531E5"/>
    <w:rsid w:val="00C53209"/>
    <w:rsid w:val="00C5322E"/>
    <w:rsid w:val="00C53275"/>
    <w:rsid w:val="00C53283"/>
    <w:rsid w:val="00C532CE"/>
    <w:rsid w:val="00C53381"/>
    <w:rsid w:val="00C533F2"/>
    <w:rsid w:val="00C53449"/>
    <w:rsid w:val="00C53472"/>
    <w:rsid w:val="00C5359B"/>
    <w:rsid w:val="00C535B2"/>
    <w:rsid w:val="00C535F4"/>
    <w:rsid w:val="00C53694"/>
    <w:rsid w:val="00C536B7"/>
    <w:rsid w:val="00C5377E"/>
    <w:rsid w:val="00C53795"/>
    <w:rsid w:val="00C537B3"/>
    <w:rsid w:val="00C538AE"/>
    <w:rsid w:val="00C538DF"/>
    <w:rsid w:val="00C53911"/>
    <w:rsid w:val="00C53935"/>
    <w:rsid w:val="00C53958"/>
    <w:rsid w:val="00C53965"/>
    <w:rsid w:val="00C539F1"/>
    <w:rsid w:val="00C539F7"/>
    <w:rsid w:val="00C53A13"/>
    <w:rsid w:val="00C53AF7"/>
    <w:rsid w:val="00C53B03"/>
    <w:rsid w:val="00C53B32"/>
    <w:rsid w:val="00C53B33"/>
    <w:rsid w:val="00C53BEF"/>
    <w:rsid w:val="00C53D1A"/>
    <w:rsid w:val="00C53D2E"/>
    <w:rsid w:val="00C53DBF"/>
    <w:rsid w:val="00C53E17"/>
    <w:rsid w:val="00C53F14"/>
    <w:rsid w:val="00C53F8B"/>
    <w:rsid w:val="00C53FC0"/>
    <w:rsid w:val="00C54069"/>
    <w:rsid w:val="00C5432C"/>
    <w:rsid w:val="00C5434B"/>
    <w:rsid w:val="00C54367"/>
    <w:rsid w:val="00C54385"/>
    <w:rsid w:val="00C54386"/>
    <w:rsid w:val="00C54440"/>
    <w:rsid w:val="00C544B8"/>
    <w:rsid w:val="00C544C5"/>
    <w:rsid w:val="00C545DC"/>
    <w:rsid w:val="00C545FC"/>
    <w:rsid w:val="00C54641"/>
    <w:rsid w:val="00C54647"/>
    <w:rsid w:val="00C54660"/>
    <w:rsid w:val="00C546FF"/>
    <w:rsid w:val="00C547BF"/>
    <w:rsid w:val="00C547F6"/>
    <w:rsid w:val="00C54898"/>
    <w:rsid w:val="00C548DA"/>
    <w:rsid w:val="00C548E8"/>
    <w:rsid w:val="00C5492B"/>
    <w:rsid w:val="00C5497E"/>
    <w:rsid w:val="00C54BCC"/>
    <w:rsid w:val="00C54C01"/>
    <w:rsid w:val="00C54C61"/>
    <w:rsid w:val="00C54DFD"/>
    <w:rsid w:val="00C54E02"/>
    <w:rsid w:val="00C54E99"/>
    <w:rsid w:val="00C54F4C"/>
    <w:rsid w:val="00C54F52"/>
    <w:rsid w:val="00C54F9D"/>
    <w:rsid w:val="00C54FDC"/>
    <w:rsid w:val="00C54FFB"/>
    <w:rsid w:val="00C550BD"/>
    <w:rsid w:val="00C550DD"/>
    <w:rsid w:val="00C55187"/>
    <w:rsid w:val="00C551A7"/>
    <w:rsid w:val="00C551E9"/>
    <w:rsid w:val="00C553E4"/>
    <w:rsid w:val="00C554A2"/>
    <w:rsid w:val="00C554B5"/>
    <w:rsid w:val="00C554D5"/>
    <w:rsid w:val="00C5559D"/>
    <w:rsid w:val="00C556B5"/>
    <w:rsid w:val="00C556C3"/>
    <w:rsid w:val="00C5571A"/>
    <w:rsid w:val="00C5572D"/>
    <w:rsid w:val="00C55742"/>
    <w:rsid w:val="00C5577B"/>
    <w:rsid w:val="00C557FB"/>
    <w:rsid w:val="00C5581F"/>
    <w:rsid w:val="00C55895"/>
    <w:rsid w:val="00C558EF"/>
    <w:rsid w:val="00C5595F"/>
    <w:rsid w:val="00C55A30"/>
    <w:rsid w:val="00C55A40"/>
    <w:rsid w:val="00C55ACB"/>
    <w:rsid w:val="00C55AEF"/>
    <w:rsid w:val="00C55BA5"/>
    <w:rsid w:val="00C55BB6"/>
    <w:rsid w:val="00C55D56"/>
    <w:rsid w:val="00C55D65"/>
    <w:rsid w:val="00C55DF2"/>
    <w:rsid w:val="00C55E0A"/>
    <w:rsid w:val="00C55E4A"/>
    <w:rsid w:val="00C55EDE"/>
    <w:rsid w:val="00C55F84"/>
    <w:rsid w:val="00C55FD7"/>
    <w:rsid w:val="00C55FDE"/>
    <w:rsid w:val="00C5601B"/>
    <w:rsid w:val="00C560CF"/>
    <w:rsid w:val="00C5617D"/>
    <w:rsid w:val="00C561B9"/>
    <w:rsid w:val="00C56284"/>
    <w:rsid w:val="00C5628D"/>
    <w:rsid w:val="00C56363"/>
    <w:rsid w:val="00C563CF"/>
    <w:rsid w:val="00C56470"/>
    <w:rsid w:val="00C56489"/>
    <w:rsid w:val="00C564BB"/>
    <w:rsid w:val="00C5655D"/>
    <w:rsid w:val="00C56568"/>
    <w:rsid w:val="00C566B9"/>
    <w:rsid w:val="00C566C3"/>
    <w:rsid w:val="00C5674F"/>
    <w:rsid w:val="00C567F9"/>
    <w:rsid w:val="00C56850"/>
    <w:rsid w:val="00C56860"/>
    <w:rsid w:val="00C56876"/>
    <w:rsid w:val="00C568B2"/>
    <w:rsid w:val="00C568B8"/>
    <w:rsid w:val="00C568C6"/>
    <w:rsid w:val="00C568C7"/>
    <w:rsid w:val="00C568DC"/>
    <w:rsid w:val="00C56957"/>
    <w:rsid w:val="00C569EA"/>
    <w:rsid w:val="00C56A17"/>
    <w:rsid w:val="00C56A8F"/>
    <w:rsid w:val="00C56B36"/>
    <w:rsid w:val="00C56BAB"/>
    <w:rsid w:val="00C56BC6"/>
    <w:rsid w:val="00C56C88"/>
    <w:rsid w:val="00C56CFC"/>
    <w:rsid w:val="00C56D74"/>
    <w:rsid w:val="00C56DB7"/>
    <w:rsid w:val="00C56E00"/>
    <w:rsid w:val="00C56E09"/>
    <w:rsid w:val="00C56EA2"/>
    <w:rsid w:val="00C56EF2"/>
    <w:rsid w:val="00C56FA5"/>
    <w:rsid w:val="00C570A6"/>
    <w:rsid w:val="00C57116"/>
    <w:rsid w:val="00C5718F"/>
    <w:rsid w:val="00C57214"/>
    <w:rsid w:val="00C5724A"/>
    <w:rsid w:val="00C57251"/>
    <w:rsid w:val="00C57258"/>
    <w:rsid w:val="00C5726F"/>
    <w:rsid w:val="00C57281"/>
    <w:rsid w:val="00C57293"/>
    <w:rsid w:val="00C57308"/>
    <w:rsid w:val="00C5733D"/>
    <w:rsid w:val="00C573AB"/>
    <w:rsid w:val="00C573DC"/>
    <w:rsid w:val="00C5742E"/>
    <w:rsid w:val="00C57435"/>
    <w:rsid w:val="00C57491"/>
    <w:rsid w:val="00C574DC"/>
    <w:rsid w:val="00C574E1"/>
    <w:rsid w:val="00C575AF"/>
    <w:rsid w:val="00C5761D"/>
    <w:rsid w:val="00C57650"/>
    <w:rsid w:val="00C57717"/>
    <w:rsid w:val="00C5780B"/>
    <w:rsid w:val="00C578B6"/>
    <w:rsid w:val="00C578D5"/>
    <w:rsid w:val="00C579C6"/>
    <w:rsid w:val="00C579F3"/>
    <w:rsid w:val="00C57A16"/>
    <w:rsid w:val="00C57A3C"/>
    <w:rsid w:val="00C57A99"/>
    <w:rsid w:val="00C57B2D"/>
    <w:rsid w:val="00C57CD8"/>
    <w:rsid w:val="00C57D0E"/>
    <w:rsid w:val="00C57D40"/>
    <w:rsid w:val="00C57D5A"/>
    <w:rsid w:val="00C57E14"/>
    <w:rsid w:val="00C57E58"/>
    <w:rsid w:val="00C600B3"/>
    <w:rsid w:val="00C60181"/>
    <w:rsid w:val="00C60227"/>
    <w:rsid w:val="00C60255"/>
    <w:rsid w:val="00C60367"/>
    <w:rsid w:val="00C6038F"/>
    <w:rsid w:val="00C603AE"/>
    <w:rsid w:val="00C60405"/>
    <w:rsid w:val="00C60484"/>
    <w:rsid w:val="00C6069D"/>
    <w:rsid w:val="00C606EE"/>
    <w:rsid w:val="00C607A3"/>
    <w:rsid w:val="00C607F1"/>
    <w:rsid w:val="00C6083E"/>
    <w:rsid w:val="00C609A6"/>
    <w:rsid w:val="00C609C2"/>
    <w:rsid w:val="00C609E8"/>
    <w:rsid w:val="00C60AFF"/>
    <w:rsid w:val="00C60B0D"/>
    <w:rsid w:val="00C60B18"/>
    <w:rsid w:val="00C60B2E"/>
    <w:rsid w:val="00C60B48"/>
    <w:rsid w:val="00C60B7F"/>
    <w:rsid w:val="00C60BB3"/>
    <w:rsid w:val="00C60C08"/>
    <w:rsid w:val="00C60C1D"/>
    <w:rsid w:val="00C60C3E"/>
    <w:rsid w:val="00C60CF3"/>
    <w:rsid w:val="00C60D61"/>
    <w:rsid w:val="00C60D78"/>
    <w:rsid w:val="00C60D9E"/>
    <w:rsid w:val="00C60ED5"/>
    <w:rsid w:val="00C60F38"/>
    <w:rsid w:val="00C60F80"/>
    <w:rsid w:val="00C60F83"/>
    <w:rsid w:val="00C60FCF"/>
    <w:rsid w:val="00C60FEC"/>
    <w:rsid w:val="00C60FF5"/>
    <w:rsid w:val="00C61082"/>
    <w:rsid w:val="00C610DD"/>
    <w:rsid w:val="00C611A1"/>
    <w:rsid w:val="00C611A9"/>
    <w:rsid w:val="00C6123B"/>
    <w:rsid w:val="00C612F3"/>
    <w:rsid w:val="00C6130A"/>
    <w:rsid w:val="00C6131E"/>
    <w:rsid w:val="00C6134F"/>
    <w:rsid w:val="00C6135F"/>
    <w:rsid w:val="00C61375"/>
    <w:rsid w:val="00C613C4"/>
    <w:rsid w:val="00C61410"/>
    <w:rsid w:val="00C61464"/>
    <w:rsid w:val="00C61543"/>
    <w:rsid w:val="00C61675"/>
    <w:rsid w:val="00C61747"/>
    <w:rsid w:val="00C617BB"/>
    <w:rsid w:val="00C617D0"/>
    <w:rsid w:val="00C61939"/>
    <w:rsid w:val="00C619AD"/>
    <w:rsid w:val="00C619B4"/>
    <w:rsid w:val="00C619DA"/>
    <w:rsid w:val="00C61A02"/>
    <w:rsid w:val="00C61AC9"/>
    <w:rsid w:val="00C61AEB"/>
    <w:rsid w:val="00C61B38"/>
    <w:rsid w:val="00C61BAC"/>
    <w:rsid w:val="00C61C27"/>
    <w:rsid w:val="00C61C70"/>
    <w:rsid w:val="00C61C7C"/>
    <w:rsid w:val="00C61CB7"/>
    <w:rsid w:val="00C61D41"/>
    <w:rsid w:val="00C61DCD"/>
    <w:rsid w:val="00C61E45"/>
    <w:rsid w:val="00C61E76"/>
    <w:rsid w:val="00C61E7F"/>
    <w:rsid w:val="00C61E8A"/>
    <w:rsid w:val="00C61EC3"/>
    <w:rsid w:val="00C61FED"/>
    <w:rsid w:val="00C62017"/>
    <w:rsid w:val="00C620B4"/>
    <w:rsid w:val="00C62132"/>
    <w:rsid w:val="00C6217F"/>
    <w:rsid w:val="00C621FB"/>
    <w:rsid w:val="00C6222E"/>
    <w:rsid w:val="00C6223F"/>
    <w:rsid w:val="00C62320"/>
    <w:rsid w:val="00C62366"/>
    <w:rsid w:val="00C6236E"/>
    <w:rsid w:val="00C623D4"/>
    <w:rsid w:val="00C62424"/>
    <w:rsid w:val="00C62432"/>
    <w:rsid w:val="00C624C0"/>
    <w:rsid w:val="00C624D4"/>
    <w:rsid w:val="00C62564"/>
    <w:rsid w:val="00C62566"/>
    <w:rsid w:val="00C625FA"/>
    <w:rsid w:val="00C6261F"/>
    <w:rsid w:val="00C627CD"/>
    <w:rsid w:val="00C627E4"/>
    <w:rsid w:val="00C62872"/>
    <w:rsid w:val="00C6291C"/>
    <w:rsid w:val="00C62984"/>
    <w:rsid w:val="00C62998"/>
    <w:rsid w:val="00C629C2"/>
    <w:rsid w:val="00C629FC"/>
    <w:rsid w:val="00C62A44"/>
    <w:rsid w:val="00C62A60"/>
    <w:rsid w:val="00C62AB6"/>
    <w:rsid w:val="00C62AE5"/>
    <w:rsid w:val="00C62AEB"/>
    <w:rsid w:val="00C62B64"/>
    <w:rsid w:val="00C62BC4"/>
    <w:rsid w:val="00C62BCD"/>
    <w:rsid w:val="00C62C03"/>
    <w:rsid w:val="00C62C24"/>
    <w:rsid w:val="00C62C7C"/>
    <w:rsid w:val="00C62CB9"/>
    <w:rsid w:val="00C62CDB"/>
    <w:rsid w:val="00C62CF6"/>
    <w:rsid w:val="00C62CFD"/>
    <w:rsid w:val="00C62E1B"/>
    <w:rsid w:val="00C62E6E"/>
    <w:rsid w:val="00C62EB0"/>
    <w:rsid w:val="00C62EE1"/>
    <w:rsid w:val="00C62F96"/>
    <w:rsid w:val="00C62F9B"/>
    <w:rsid w:val="00C62F9D"/>
    <w:rsid w:val="00C62FA4"/>
    <w:rsid w:val="00C62FDA"/>
    <w:rsid w:val="00C62FF7"/>
    <w:rsid w:val="00C6301C"/>
    <w:rsid w:val="00C63031"/>
    <w:rsid w:val="00C630AC"/>
    <w:rsid w:val="00C630CB"/>
    <w:rsid w:val="00C63106"/>
    <w:rsid w:val="00C6310C"/>
    <w:rsid w:val="00C6314B"/>
    <w:rsid w:val="00C632EF"/>
    <w:rsid w:val="00C633E8"/>
    <w:rsid w:val="00C63444"/>
    <w:rsid w:val="00C63509"/>
    <w:rsid w:val="00C63592"/>
    <w:rsid w:val="00C635FF"/>
    <w:rsid w:val="00C63652"/>
    <w:rsid w:val="00C6365B"/>
    <w:rsid w:val="00C636BB"/>
    <w:rsid w:val="00C63730"/>
    <w:rsid w:val="00C63731"/>
    <w:rsid w:val="00C63773"/>
    <w:rsid w:val="00C63791"/>
    <w:rsid w:val="00C637B2"/>
    <w:rsid w:val="00C637E6"/>
    <w:rsid w:val="00C63849"/>
    <w:rsid w:val="00C638CF"/>
    <w:rsid w:val="00C63A30"/>
    <w:rsid w:val="00C63AB1"/>
    <w:rsid w:val="00C63AEF"/>
    <w:rsid w:val="00C63B56"/>
    <w:rsid w:val="00C63BCE"/>
    <w:rsid w:val="00C63C31"/>
    <w:rsid w:val="00C63C33"/>
    <w:rsid w:val="00C63C3C"/>
    <w:rsid w:val="00C63C6F"/>
    <w:rsid w:val="00C63CAF"/>
    <w:rsid w:val="00C63CB9"/>
    <w:rsid w:val="00C63CC2"/>
    <w:rsid w:val="00C63CF1"/>
    <w:rsid w:val="00C63D50"/>
    <w:rsid w:val="00C63DF2"/>
    <w:rsid w:val="00C63E00"/>
    <w:rsid w:val="00C63E5B"/>
    <w:rsid w:val="00C63EEA"/>
    <w:rsid w:val="00C63F0E"/>
    <w:rsid w:val="00C63F17"/>
    <w:rsid w:val="00C63F3F"/>
    <w:rsid w:val="00C64059"/>
    <w:rsid w:val="00C6409D"/>
    <w:rsid w:val="00C640ED"/>
    <w:rsid w:val="00C64226"/>
    <w:rsid w:val="00C642B3"/>
    <w:rsid w:val="00C642C5"/>
    <w:rsid w:val="00C64342"/>
    <w:rsid w:val="00C6437E"/>
    <w:rsid w:val="00C64384"/>
    <w:rsid w:val="00C64419"/>
    <w:rsid w:val="00C64541"/>
    <w:rsid w:val="00C6461E"/>
    <w:rsid w:val="00C64676"/>
    <w:rsid w:val="00C646F6"/>
    <w:rsid w:val="00C647E3"/>
    <w:rsid w:val="00C648E4"/>
    <w:rsid w:val="00C64A12"/>
    <w:rsid w:val="00C64A6E"/>
    <w:rsid w:val="00C64A7F"/>
    <w:rsid w:val="00C64A8D"/>
    <w:rsid w:val="00C64B46"/>
    <w:rsid w:val="00C64B49"/>
    <w:rsid w:val="00C64B53"/>
    <w:rsid w:val="00C64F84"/>
    <w:rsid w:val="00C650C4"/>
    <w:rsid w:val="00C650CB"/>
    <w:rsid w:val="00C650E1"/>
    <w:rsid w:val="00C65159"/>
    <w:rsid w:val="00C6517A"/>
    <w:rsid w:val="00C651CD"/>
    <w:rsid w:val="00C6520F"/>
    <w:rsid w:val="00C65257"/>
    <w:rsid w:val="00C65420"/>
    <w:rsid w:val="00C65463"/>
    <w:rsid w:val="00C654C3"/>
    <w:rsid w:val="00C654FE"/>
    <w:rsid w:val="00C6551F"/>
    <w:rsid w:val="00C65578"/>
    <w:rsid w:val="00C655AB"/>
    <w:rsid w:val="00C656BB"/>
    <w:rsid w:val="00C6575E"/>
    <w:rsid w:val="00C6578E"/>
    <w:rsid w:val="00C657B5"/>
    <w:rsid w:val="00C657B8"/>
    <w:rsid w:val="00C6584B"/>
    <w:rsid w:val="00C65858"/>
    <w:rsid w:val="00C65866"/>
    <w:rsid w:val="00C6586E"/>
    <w:rsid w:val="00C6589E"/>
    <w:rsid w:val="00C658D3"/>
    <w:rsid w:val="00C6590F"/>
    <w:rsid w:val="00C659AF"/>
    <w:rsid w:val="00C659C3"/>
    <w:rsid w:val="00C659C7"/>
    <w:rsid w:val="00C65A46"/>
    <w:rsid w:val="00C65A96"/>
    <w:rsid w:val="00C65B6A"/>
    <w:rsid w:val="00C65B70"/>
    <w:rsid w:val="00C65C22"/>
    <w:rsid w:val="00C65C2A"/>
    <w:rsid w:val="00C65C2B"/>
    <w:rsid w:val="00C65C44"/>
    <w:rsid w:val="00C65C72"/>
    <w:rsid w:val="00C65E1E"/>
    <w:rsid w:val="00C65FD2"/>
    <w:rsid w:val="00C6603A"/>
    <w:rsid w:val="00C66069"/>
    <w:rsid w:val="00C66079"/>
    <w:rsid w:val="00C660A6"/>
    <w:rsid w:val="00C660AE"/>
    <w:rsid w:val="00C660EA"/>
    <w:rsid w:val="00C6610B"/>
    <w:rsid w:val="00C661AE"/>
    <w:rsid w:val="00C6628E"/>
    <w:rsid w:val="00C6637E"/>
    <w:rsid w:val="00C66404"/>
    <w:rsid w:val="00C664A0"/>
    <w:rsid w:val="00C664BE"/>
    <w:rsid w:val="00C664EA"/>
    <w:rsid w:val="00C66503"/>
    <w:rsid w:val="00C665F6"/>
    <w:rsid w:val="00C66694"/>
    <w:rsid w:val="00C6676C"/>
    <w:rsid w:val="00C66816"/>
    <w:rsid w:val="00C66867"/>
    <w:rsid w:val="00C66869"/>
    <w:rsid w:val="00C6686F"/>
    <w:rsid w:val="00C668C7"/>
    <w:rsid w:val="00C6692B"/>
    <w:rsid w:val="00C66936"/>
    <w:rsid w:val="00C6693A"/>
    <w:rsid w:val="00C66955"/>
    <w:rsid w:val="00C669A6"/>
    <w:rsid w:val="00C669F1"/>
    <w:rsid w:val="00C669FF"/>
    <w:rsid w:val="00C66AF2"/>
    <w:rsid w:val="00C66B7C"/>
    <w:rsid w:val="00C66BB1"/>
    <w:rsid w:val="00C66BCA"/>
    <w:rsid w:val="00C66C91"/>
    <w:rsid w:val="00C66CCB"/>
    <w:rsid w:val="00C66CD0"/>
    <w:rsid w:val="00C66CE1"/>
    <w:rsid w:val="00C66D1A"/>
    <w:rsid w:val="00C66D22"/>
    <w:rsid w:val="00C66E06"/>
    <w:rsid w:val="00C66E3E"/>
    <w:rsid w:val="00C66F47"/>
    <w:rsid w:val="00C66F88"/>
    <w:rsid w:val="00C670B5"/>
    <w:rsid w:val="00C670BC"/>
    <w:rsid w:val="00C670DE"/>
    <w:rsid w:val="00C671AE"/>
    <w:rsid w:val="00C67217"/>
    <w:rsid w:val="00C67242"/>
    <w:rsid w:val="00C672A0"/>
    <w:rsid w:val="00C673E2"/>
    <w:rsid w:val="00C6750D"/>
    <w:rsid w:val="00C67510"/>
    <w:rsid w:val="00C675BA"/>
    <w:rsid w:val="00C675DE"/>
    <w:rsid w:val="00C6764F"/>
    <w:rsid w:val="00C676AB"/>
    <w:rsid w:val="00C676F4"/>
    <w:rsid w:val="00C67795"/>
    <w:rsid w:val="00C677DD"/>
    <w:rsid w:val="00C67851"/>
    <w:rsid w:val="00C6786F"/>
    <w:rsid w:val="00C67978"/>
    <w:rsid w:val="00C6798F"/>
    <w:rsid w:val="00C6799D"/>
    <w:rsid w:val="00C67A34"/>
    <w:rsid w:val="00C67AA6"/>
    <w:rsid w:val="00C67B0A"/>
    <w:rsid w:val="00C67B32"/>
    <w:rsid w:val="00C67B55"/>
    <w:rsid w:val="00C67B9E"/>
    <w:rsid w:val="00C67C03"/>
    <w:rsid w:val="00C67C74"/>
    <w:rsid w:val="00C67CA1"/>
    <w:rsid w:val="00C67CFE"/>
    <w:rsid w:val="00C67D30"/>
    <w:rsid w:val="00C67DCF"/>
    <w:rsid w:val="00C67E8E"/>
    <w:rsid w:val="00C67F26"/>
    <w:rsid w:val="00C67F5B"/>
    <w:rsid w:val="00C67FAD"/>
    <w:rsid w:val="00C70062"/>
    <w:rsid w:val="00C70138"/>
    <w:rsid w:val="00C701A7"/>
    <w:rsid w:val="00C701B0"/>
    <w:rsid w:val="00C70216"/>
    <w:rsid w:val="00C7025D"/>
    <w:rsid w:val="00C70282"/>
    <w:rsid w:val="00C702AD"/>
    <w:rsid w:val="00C702F5"/>
    <w:rsid w:val="00C70335"/>
    <w:rsid w:val="00C70393"/>
    <w:rsid w:val="00C703AB"/>
    <w:rsid w:val="00C703F3"/>
    <w:rsid w:val="00C7048E"/>
    <w:rsid w:val="00C7051F"/>
    <w:rsid w:val="00C705B6"/>
    <w:rsid w:val="00C705C6"/>
    <w:rsid w:val="00C7063E"/>
    <w:rsid w:val="00C70666"/>
    <w:rsid w:val="00C7066D"/>
    <w:rsid w:val="00C706AD"/>
    <w:rsid w:val="00C7076F"/>
    <w:rsid w:val="00C707A9"/>
    <w:rsid w:val="00C7084B"/>
    <w:rsid w:val="00C7088F"/>
    <w:rsid w:val="00C708DD"/>
    <w:rsid w:val="00C7092A"/>
    <w:rsid w:val="00C7095D"/>
    <w:rsid w:val="00C70974"/>
    <w:rsid w:val="00C709B1"/>
    <w:rsid w:val="00C709D5"/>
    <w:rsid w:val="00C709E5"/>
    <w:rsid w:val="00C70A0A"/>
    <w:rsid w:val="00C70A5B"/>
    <w:rsid w:val="00C70A92"/>
    <w:rsid w:val="00C70B69"/>
    <w:rsid w:val="00C70B8B"/>
    <w:rsid w:val="00C70BEB"/>
    <w:rsid w:val="00C70C33"/>
    <w:rsid w:val="00C70D3B"/>
    <w:rsid w:val="00C70D4D"/>
    <w:rsid w:val="00C70DFC"/>
    <w:rsid w:val="00C70EFE"/>
    <w:rsid w:val="00C70F4C"/>
    <w:rsid w:val="00C710A8"/>
    <w:rsid w:val="00C710FC"/>
    <w:rsid w:val="00C71169"/>
    <w:rsid w:val="00C7119E"/>
    <w:rsid w:val="00C71276"/>
    <w:rsid w:val="00C712DB"/>
    <w:rsid w:val="00C71309"/>
    <w:rsid w:val="00C71368"/>
    <w:rsid w:val="00C713B1"/>
    <w:rsid w:val="00C71412"/>
    <w:rsid w:val="00C71417"/>
    <w:rsid w:val="00C714B3"/>
    <w:rsid w:val="00C714D2"/>
    <w:rsid w:val="00C71532"/>
    <w:rsid w:val="00C715D6"/>
    <w:rsid w:val="00C71663"/>
    <w:rsid w:val="00C71862"/>
    <w:rsid w:val="00C718F1"/>
    <w:rsid w:val="00C71917"/>
    <w:rsid w:val="00C71A81"/>
    <w:rsid w:val="00C71A88"/>
    <w:rsid w:val="00C71A98"/>
    <w:rsid w:val="00C71B2B"/>
    <w:rsid w:val="00C71B65"/>
    <w:rsid w:val="00C71BCE"/>
    <w:rsid w:val="00C71C41"/>
    <w:rsid w:val="00C71CA8"/>
    <w:rsid w:val="00C71D06"/>
    <w:rsid w:val="00C71D57"/>
    <w:rsid w:val="00C71D82"/>
    <w:rsid w:val="00C71DE9"/>
    <w:rsid w:val="00C71EA6"/>
    <w:rsid w:val="00C71F9C"/>
    <w:rsid w:val="00C720DD"/>
    <w:rsid w:val="00C720E6"/>
    <w:rsid w:val="00C72177"/>
    <w:rsid w:val="00C721E5"/>
    <w:rsid w:val="00C7220F"/>
    <w:rsid w:val="00C72266"/>
    <w:rsid w:val="00C7227A"/>
    <w:rsid w:val="00C7227F"/>
    <w:rsid w:val="00C72287"/>
    <w:rsid w:val="00C7241D"/>
    <w:rsid w:val="00C72446"/>
    <w:rsid w:val="00C724C2"/>
    <w:rsid w:val="00C72590"/>
    <w:rsid w:val="00C725B9"/>
    <w:rsid w:val="00C725E3"/>
    <w:rsid w:val="00C7268C"/>
    <w:rsid w:val="00C72737"/>
    <w:rsid w:val="00C72753"/>
    <w:rsid w:val="00C72774"/>
    <w:rsid w:val="00C7278C"/>
    <w:rsid w:val="00C728F7"/>
    <w:rsid w:val="00C72903"/>
    <w:rsid w:val="00C72932"/>
    <w:rsid w:val="00C729DC"/>
    <w:rsid w:val="00C729F0"/>
    <w:rsid w:val="00C72A05"/>
    <w:rsid w:val="00C72A28"/>
    <w:rsid w:val="00C72ACB"/>
    <w:rsid w:val="00C72B44"/>
    <w:rsid w:val="00C72C28"/>
    <w:rsid w:val="00C72C2C"/>
    <w:rsid w:val="00C72C2D"/>
    <w:rsid w:val="00C72D05"/>
    <w:rsid w:val="00C72E58"/>
    <w:rsid w:val="00C72E7A"/>
    <w:rsid w:val="00C72EC7"/>
    <w:rsid w:val="00C72EDF"/>
    <w:rsid w:val="00C72F0F"/>
    <w:rsid w:val="00C72F50"/>
    <w:rsid w:val="00C72FA2"/>
    <w:rsid w:val="00C72FB4"/>
    <w:rsid w:val="00C72FC2"/>
    <w:rsid w:val="00C73061"/>
    <w:rsid w:val="00C7308F"/>
    <w:rsid w:val="00C7309F"/>
    <w:rsid w:val="00C73127"/>
    <w:rsid w:val="00C73168"/>
    <w:rsid w:val="00C73177"/>
    <w:rsid w:val="00C7320E"/>
    <w:rsid w:val="00C73237"/>
    <w:rsid w:val="00C7328C"/>
    <w:rsid w:val="00C7329F"/>
    <w:rsid w:val="00C732E5"/>
    <w:rsid w:val="00C7333D"/>
    <w:rsid w:val="00C73363"/>
    <w:rsid w:val="00C7336C"/>
    <w:rsid w:val="00C733C8"/>
    <w:rsid w:val="00C733CE"/>
    <w:rsid w:val="00C733F6"/>
    <w:rsid w:val="00C7345C"/>
    <w:rsid w:val="00C7356A"/>
    <w:rsid w:val="00C7356E"/>
    <w:rsid w:val="00C73572"/>
    <w:rsid w:val="00C7358B"/>
    <w:rsid w:val="00C7371C"/>
    <w:rsid w:val="00C73741"/>
    <w:rsid w:val="00C73780"/>
    <w:rsid w:val="00C73829"/>
    <w:rsid w:val="00C73836"/>
    <w:rsid w:val="00C739CD"/>
    <w:rsid w:val="00C739EE"/>
    <w:rsid w:val="00C73A2F"/>
    <w:rsid w:val="00C73A69"/>
    <w:rsid w:val="00C73B36"/>
    <w:rsid w:val="00C73B45"/>
    <w:rsid w:val="00C73B58"/>
    <w:rsid w:val="00C73B5E"/>
    <w:rsid w:val="00C73B73"/>
    <w:rsid w:val="00C73C22"/>
    <w:rsid w:val="00C73D50"/>
    <w:rsid w:val="00C73E0F"/>
    <w:rsid w:val="00C73E3B"/>
    <w:rsid w:val="00C73E45"/>
    <w:rsid w:val="00C73E81"/>
    <w:rsid w:val="00C73FAA"/>
    <w:rsid w:val="00C73FD5"/>
    <w:rsid w:val="00C74015"/>
    <w:rsid w:val="00C74048"/>
    <w:rsid w:val="00C7404F"/>
    <w:rsid w:val="00C740A3"/>
    <w:rsid w:val="00C7418B"/>
    <w:rsid w:val="00C741B5"/>
    <w:rsid w:val="00C741CD"/>
    <w:rsid w:val="00C74221"/>
    <w:rsid w:val="00C74268"/>
    <w:rsid w:val="00C742A2"/>
    <w:rsid w:val="00C742E8"/>
    <w:rsid w:val="00C74307"/>
    <w:rsid w:val="00C743A0"/>
    <w:rsid w:val="00C743F6"/>
    <w:rsid w:val="00C743FB"/>
    <w:rsid w:val="00C74404"/>
    <w:rsid w:val="00C74457"/>
    <w:rsid w:val="00C744AF"/>
    <w:rsid w:val="00C744C0"/>
    <w:rsid w:val="00C7453D"/>
    <w:rsid w:val="00C745F4"/>
    <w:rsid w:val="00C74712"/>
    <w:rsid w:val="00C7473F"/>
    <w:rsid w:val="00C747D9"/>
    <w:rsid w:val="00C747F0"/>
    <w:rsid w:val="00C74821"/>
    <w:rsid w:val="00C748D0"/>
    <w:rsid w:val="00C748E9"/>
    <w:rsid w:val="00C748F5"/>
    <w:rsid w:val="00C74930"/>
    <w:rsid w:val="00C749D7"/>
    <w:rsid w:val="00C749F2"/>
    <w:rsid w:val="00C74AA6"/>
    <w:rsid w:val="00C74B0B"/>
    <w:rsid w:val="00C74B8C"/>
    <w:rsid w:val="00C74BFD"/>
    <w:rsid w:val="00C74C16"/>
    <w:rsid w:val="00C74CB7"/>
    <w:rsid w:val="00C74DA6"/>
    <w:rsid w:val="00C74DA8"/>
    <w:rsid w:val="00C74E68"/>
    <w:rsid w:val="00C74EC9"/>
    <w:rsid w:val="00C74ED4"/>
    <w:rsid w:val="00C74F4D"/>
    <w:rsid w:val="00C74F69"/>
    <w:rsid w:val="00C75019"/>
    <w:rsid w:val="00C750AA"/>
    <w:rsid w:val="00C7513B"/>
    <w:rsid w:val="00C7514B"/>
    <w:rsid w:val="00C751EF"/>
    <w:rsid w:val="00C7522A"/>
    <w:rsid w:val="00C752E1"/>
    <w:rsid w:val="00C752EB"/>
    <w:rsid w:val="00C75378"/>
    <w:rsid w:val="00C75456"/>
    <w:rsid w:val="00C7550B"/>
    <w:rsid w:val="00C75510"/>
    <w:rsid w:val="00C75589"/>
    <w:rsid w:val="00C7558B"/>
    <w:rsid w:val="00C7558D"/>
    <w:rsid w:val="00C755C4"/>
    <w:rsid w:val="00C75624"/>
    <w:rsid w:val="00C756B3"/>
    <w:rsid w:val="00C756C6"/>
    <w:rsid w:val="00C75714"/>
    <w:rsid w:val="00C7575C"/>
    <w:rsid w:val="00C757E0"/>
    <w:rsid w:val="00C757F9"/>
    <w:rsid w:val="00C75895"/>
    <w:rsid w:val="00C75928"/>
    <w:rsid w:val="00C759C4"/>
    <w:rsid w:val="00C75A56"/>
    <w:rsid w:val="00C75A88"/>
    <w:rsid w:val="00C75AEC"/>
    <w:rsid w:val="00C75AEF"/>
    <w:rsid w:val="00C75BE3"/>
    <w:rsid w:val="00C75BFB"/>
    <w:rsid w:val="00C75BFD"/>
    <w:rsid w:val="00C75C58"/>
    <w:rsid w:val="00C75CAD"/>
    <w:rsid w:val="00C75CCD"/>
    <w:rsid w:val="00C75EFC"/>
    <w:rsid w:val="00C75F24"/>
    <w:rsid w:val="00C76054"/>
    <w:rsid w:val="00C76189"/>
    <w:rsid w:val="00C761D3"/>
    <w:rsid w:val="00C761E8"/>
    <w:rsid w:val="00C76254"/>
    <w:rsid w:val="00C762E6"/>
    <w:rsid w:val="00C762F2"/>
    <w:rsid w:val="00C76319"/>
    <w:rsid w:val="00C7631B"/>
    <w:rsid w:val="00C763B4"/>
    <w:rsid w:val="00C7640C"/>
    <w:rsid w:val="00C764EF"/>
    <w:rsid w:val="00C76523"/>
    <w:rsid w:val="00C7654E"/>
    <w:rsid w:val="00C7655E"/>
    <w:rsid w:val="00C765A6"/>
    <w:rsid w:val="00C765D3"/>
    <w:rsid w:val="00C76615"/>
    <w:rsid w:val="00C76747"/>
    <w:rsid w:val="00C7675A"/>
    <w:rsid w:val="00C7676A"/>
    <w:rsid w:val="00C76869"/>
    <w:rsid w:val="00C7686D"/>
    <w:rsid w:val="00C76972"/>
    <w:rsid w:val="00C769DE"/>
    <w:rsid w:val="00C76A54"/>
    <w:rsid w:val="00C76A72"/>
    <w:rsid w:val="00C76A98"/>
    <w:rsid w:val="00C76AEF"/>
    <w:rsid w:val="00C76B5C"/>
    <w:rsid w:val="00C76C24"/>
    <w:rsid w:val="00C76C98"/>
    <w:rsid w:val="00C76D01"/>
    <w:rsid w:val="00C76E97"/>
    <w:rsid w:val="00C76F05"/>
    <w:rsid w:val="00C76F93"/>
    <w:rsid w:val="00C76FD6"/>
    <w:rsid w:val="00C77011"/>
    <w:rsid w:val="00C77039"/>
    <w:rsid w:val="00C770DA"/>
    <w:rsid w:val="00C770DD"/>
    <w:rsid w:val="00C770E0"/>
    <w:rsid w:val="00C770EA"/>
    <w:rsid w:val="00C770F4"/>
    <w:rsid w:val="00C77118"/>
    <w:rsid w:val="00C77123"/>
    <w:rsid w:val="00C771F6"/>
    <w:rsid w:val="00C7724D"/>
    <w:rsid w:val="00C7724F"/>
    <w:rsid w:val="00C7727E"/>
    <w:rsid w:val="00C77319"/>
    <w:rsid w:val="00C773E6"/>
    <w:rsid w:val="00C77411"/>
    <w:rsid w:val="00C77460"/>
    <w:rsid w:val="00C774D7"/>
    <w:rsid w:val="00C77635"/>
    <w:rsid w:val="00C776D3"/>
    <w:rsid w:val="00C77836"/>
    <w:rsid w:val="00C7791C"/>
    <w:rsid w:val="00C77942"/>
    <w:rsid w:val="00C7799F"/>
    <w:rsid w:val="00C77A3D"/>
    <w:rsid w:val="00C77A63"/>
    <w:rsid w:val="00C77BF8"/>
    <w:rsid w:val="00C77C13"/>
    <w:rsid w:val="00C77C72"/>
    <w:rsid w:val="00C77C73"/>
    <w:rsid w:val="00C77C82"/>
    <w:rsid w:val="00C77C8B"/>
    <w:rsid w:val="00C77CD2"/>
    <w:rsid w:val="00C77CF2"/>
    <w:rsid w:val="00C77D27"/>
    <w:rsid w:val="00C77D56"/>
    <w:rsid w:val="00C77D93"/>
    <w:rsid w:val="00C77E51"/>
    <w:rsid w:val="00C77ED3"/>
    <w:rsid w:val="00C77F51"/>
    <w:rsid w:val="00C77F58"/>
    <w:rsid w:val="00C77FCC"/>
    <w:rsid w:val="00C80134"/>
    <w:rsid w:val="00C80150"/>
    <w:rsid w:val="00C80201"/>
    <w:rsid w:val="00C80223"/>
    <w:rsid w:val="00C80272"/>
    <w:rsid w:val="00C8027A"/>
    <w:rsid w:val="00C80285"/>
    <w:rsid w:val="00C8031D"/>
    <w:rsid w:val="00C80330"/>
    <w:rsid w:val="00C80355"/>
    <w:rsid w:val="00C80358"/>
    <w:rsid w:val="00C8035C"/>
    <w:rsid w:val="00C803E9"/>
    <w:rsid w:val="00C803FB"/>
    <w:rsid w:val="00C804B6"/>
    <w:rsid w:val="00C804E0"/>
    <w:rsid w:val="00C80602"/>
    <w:rsid w:val="00C80641"/>
    <w:rsid w:val="00C80671"/>
    <w:rsid w:val="00C80675"/>
    <w:rsid w:val="00C806D4"/>
    <w:rsid w:val="00C806EB"/>
    <w:rsid w:val="00C80831"/>
    <w:rsid w:val="00C80976"/>
    <w:rsid w:val="00C80A48"/>
    <w:rsid w:val="00C80A86"/>
    <w:rsid w:val="00C80AD0"/>
    <w:rsid w:val="00C80BBC"/>
    <w:rsid w:val="00C80C0A"/>
    <w:rsid w:val="00C80C2A"/>
    <w:rsid w:val="00C80C37"/>
    <w:rsid w:val="00C80CC7"/>
    <w:rsid w:val="00C80D29"/>
    <w:rsid w:val="00C80DD2"/>
    <w:rsid w:val="00C80E27"/>
    <w:rsid w:val="00C80E4D"/>
    <w:rsid w:val="00C80FAB"/>
    <w:rsid w:val="00C8102A"/>
    <w:rsid w:val="00C810D9"/>
    <w:rsid w:val="00C8117A"/>
    <w:rsid w:val="00C811A8"/>
    <w:rsid w:val="00C811B7"/>
    <w:rsid w:val="00C811D6"/>
    <w:rsid w:val="00C81239"/>
    <w:rsid w:val="00C812BE"/>
    <w:rsid w:val="00C81380"/>
    <w:rsid w:val="00C81421"/>
    <w:rsid w:val="00C81441"/>
    <w:rsid w:val="00C814A2"/>
    <w:rsid w:val="00C814BA"/>
    <w:rsid w:val="00C814C4"/>
    <w:rsid w:val="00C81568"/>
    <w:rsid w:val="00C81575"/>
    <w:rsid w:val="00C8158F"/>
    <w:rsid w:val="00C815E2"/>
    <w:rsid w:val="00C81621"/>
    <w:rsid w:val="00C8163B"/>
    <w:rsid w:val="00C81735"/>
    <w:rsid w:val="00C81798"/>
    <w:rsid w:val="00C817B8"/>
    <w:rsid w:val="00C81850"/>
    <w:rsid w:val="00C8189C"/>
    <w:rsid w:val="00C81955"/>
    <w:rsid w:val="00C819F0"/>
    <w:rsid w:val="00C81AC0"/>
    <w:rsid w:val="00C81B2C"/>
    <w:rsid w:val="00C81BDC"/>
    <w:rsid w:val="00C81BFD"/>
    <w:rsid w:val="00C81C74"/>
    <w:rsid w:val="00C81CA6"/>
    <w:rsid w:val="00C81CC6"/>
    <w:rsid w:val="00C81D0C"/>
    <w:rsid w:val="00C81D10"/>
    <w:rsid w:val="00C81D13"/>
    <w:rsid w:val="00C81D4E"/>
    <w:rsid w:val="00C81F6B"/>
    <w:rsid w:val="00C81F82"/>
    <w:rsid w:val="00C82071"/>
    <w:rsid w:val="00C820C8"/>
    <w:rsid w:val="00C8210C"/>
    <w:rsid w:val="00C82116"/>
    <w:rsid w:val="00C82158"/>
    <w:rsid w:val="00C82289"/>
    <w:rsid w:val="00C822B5"/>
    <w:rsid w:val="00C82306"/>
    <w:rsid w:val="00C8235B"/>
    <w:rsid w:val="00C823CD"/>
    <w:rsid w:val="00C823D6"/>
    <w:rsid w:val="00C82469"/>
    <w:rsid w:val="00C82473"/>
    <w:rsid w:val="00C824CE"/>
    <w:rsid w:val="00C82508"/>
    <w:rsid w:val="00C8256A"/>
    <w:rsid w:val="00C82578"/>
    <w:rsid w:val="00C8258F"/>
    <w:rsid w:val="00C825A9"/>
    <w:rsid w:val="00C825B6"/>
    <w:rsid w:val="00C82613"/>
    <w:rsid w:val="00C82687"/>
    <w:rsid w:val="00C8268F"/>
    <w:rsid w:val="00C82755"/>
    <w:rsid w:val="00C82761"/>
    <w:rsid w:val="00C82796"/>
    <w:rsid w:val="00C82811"/>
    <w:rsid w:val="00C8284A"/>
    <w:rsid w:val="00C828BA"/>
    <w:rsid w:val="00C82907"/>
    <w:rsid w:val="00C82932"/>
    <w:rsid w:val="00C82963"/>
    <w:rsid w:val="00C829DA"/>
    <w:rsid w:val="00C82A5D"/>
    <w:rsid w:val="00C82B5E"/>
    <w:rsid w:val="00C82B75"/>
    <w:rsid w:val="00C82BA4"/>
    <w:rsid w:val="00C82BD1"/>
    <w:rsid w:val="00C82BE8"/>
    <w:rsid w:val="00C82C0C"/>
    <w:rsid w:val="00C82C98"/>
    <w:rsid w:val="00C82D14"/>
    <w:rsid w:val="00C82D23"/>
    <w:rsid w:val="00C82E62"/>
    <w:rsid w:val="00C82E64"/>
    <w:rsid w:val="00C82EBF"/>
    <w:rsid w:val="00C82F78"/>
    <w:rsid w:val="00C83010"/>
    <w:rsid w:val="00C830F0"/>
    <w:rsid w:val="00C83100"/>
    <w:rsid w:val="00C831DB"/>
    <w:rsid w:val="00C83240"/>
    <w:rsid w:val="00C83265"/>
    <w:rsid w:val="00C83407"/>
    <w:rsid w:val="00C8343A"/>
    <w:rsid w:val="00C834FB"/>
    <w:rsid w:val="00C83535"/>
    <w:rsid w:val="00C83565"/>
    <w:rsid w:val="00C835DA"/>
    <w:rsid w:val="00C835E7"/>
    <w:rsid w:val="00C8369F"/>
    <w:rsid w:val="00C83704"/>
    <w:rsid w:val="00C83739"/>
    <w:rsid w:val="00C8379F"/>
    <w:rsid w:val="00C8384C"/>
    <w:rsid w:val="00C83902"/>
    <w:rsid w:val="00C83984"/>
    <w:rsid w:val="00C839F1"/>
    <w:rsid w:val="00C83A00"/>
    <w:rsid w:val="00C83AC0"/>
    <w:rsid w:val="00C83BA6"/>
    <w:rsid w:val="00C83BF5"/>
    <w:rsid w:val="00C83C07"/>
    <w:rsid w:val="00C83C5D"/>
    <w:rsid w:val="00C83C70"/>
    <w:rsid w:val="00C83C9D"/>
    <w:rsid w:val="00C83CA0"/>
    <w:rsid w:val="00C83CE6"/>
    <w:rsid w:val="00C83D08"/>
    <w:rsid w:val="00C83D82"/>
    <w:rsid w:val="00C83D84"/>
    <w:rsid w:val="00C83DDE"/>
    <w:rsid w:val="00C83E52"/>
    <w:rsid w:val="00C83E5B"/>
    <w:rsid w:val="00C83ED1"/>
    <w:rsid w:val="00C83EFA"/>
    <w:rsid w:val="00C83F2E"/>
    <w:rsid w:val="00C83F40"/>
    <w:rsid w:val="00C83FE0"/>
    <w:rsid w:val="00C8402C"/>
    <w:rsid w:val="00C8407F"/>
    <w:rsid w:val="00C840C0"/>
    <w:rsid w:val="00C840FB"/>
    <w:rsid w:val="00C84109"/>
    <w:rsid w:val="00C84115"/>
    <w:rsid w:val="00C8420D"/>
    <w:rsid w:val="00C8429D"/>
    <w:rsid w:val="00C843E7"/>
    <w:rsid w:val="00C844A1"/>
    <w:rsid w:val="00C8462E"/>
    <w:rsid w:val="00C8464A"/>
    <w:rsid w:val="00C8467C"/>
    <w:rsid w:val="00C8468E"/>
    <w:rsid w:val="00C84693"/>
    <w:rsid w:val="00C84747"/>
    <w:rsid w:val="00C84761"/>
    <w:rsid w:val="00C84778"/>
    <w:rsid w:val="00C84846"/>
    <w:rsid w:val="00C8488E"/>
    <w:rsid w:val="00C848D4"/>
    <w:rsid w:val="00C848E5"/>
    <w:rsid w:val="00C84A3A"/>
    <w:rsid w:val="00C84A5F"/>
    <w:rsid w:val="00C84A64"/>
    <w:rsid w:val="00C84AF3"/>
    <w:rsid w:val="00C84B28"/>
    <w:rsid w:val="00C84BB0"/>
    <w:rsid w:val="00C84C33"/>
    <w:rsid w:val="00C84C6B"/>
    <w:rsid w:val="00C84C6D"/>
    <w:rsid w:val="00C84D23"/>
    <w:rsid w:val="00C84D3D"/>
    <w:rsid w:val="00C84DB1"/>
    <w:rsid w:val="00C84DB9"/>
    <w:rsid w:val="00C84E16"/>
    <w:rsid w:val="00C84E8D"/>
    <w:rsid w:val="00C84EC8"/>
    <w:rsid w:val="00C84EDA"/>
    <w:rsid w:val="00C84EF5"/>
    <w:rsid w:val="00C84F5E"/>
    <w:rsid w:val="00C84F79"/>
    <w:rsid w:val="00C84FEB"/>
    <w:rsid w:val="00C850B8"/>
    <w:rsid w:val="00C85102"/>
    <w:rsid w:val="00C851AA"/>
    <w:rsid w:val="00C8526C"/>
    <w:rsid w:val="00C853D4"/>
    <w:rsid w:val="00C85403"/>
    <w:rsid w:val="00C8543C"/>
    <w:rsid w:val="00C85520"/>
    <w:rsid w:val="00C85546"/>
    <w:rsid w:val="00C85555"/>
    <w:rsid w:val="00C85579"/>
    <w:rsid w:val="00C855C5"/>
    <w:rsid w:val="00C85653"/>
    <w:rsid w:val="00C85768"/>
    <w:rsid w:val="00C857C4"/>
    <w:rsid w:val="00C85806"/>
    <w:rsid w:val="00C85834"/>
    <w:rsid w:val="00C8586B"/>
    <w:rsid w:val="00C858B4"/>
    <w:rsid w:val="00C858F8"/>
    <w:rsid w:val="00C8591B"/>
    <w:rsid w:val="00C85A09"/>
    <w:rsid w:val="00C85AA0"/>
    <w:rsid w:val="00C85B25"/>
    <w:rsid w:val="00C85B47"/>
    <w:rsid w:val="00C85C79"/>
    <w:rsid w:val="00C85D6E"/>
    <w:rsid w:val="00C85D8A"/>
    <w:rsid w:val="00C85D94"/>
    <w:rsid w:val="00C85DD1"/>
    <w:rsid w:val="00C85E29"/>
    <w:rsid w:val="00C85EAF"/>
    <w:rsid w:val="00C85F41"/>
    <w:rsid w:val="00C85F6A"/>
    <w:rsid w:val="00C861A3"/>
    <w:rsid w:val="00C86301"/>
    <w:rsid w:val="00C8636D"/>
    <w:rsid w:val="00C8639A"/>
    <w:rsid w:val="00C863C7"/>
    <w:rsid w:val="00C86459"/>
    <w:rsid w:val="00C8649E"/>
    <w:rsid w:val="00C86520"/>
    <w:rsid w:val="00C8654A"/>
    <w:rsid w:val="00C865B0"/>
    <w:rsid w:val="00C865BF"/>
    <w:rsid w:val="00C865F6"/>
    <w:rsid w:val="00C8660A"/>
    <w:rsid w:val="00C86616"/>
    <w:rsid w:val="00C86675"/>
    <w:rsid w:val="00C866AC"/>
    <w:rsid w:val="00C867B9"/>
    <w:rsid w:val="00C867FA"/>
    <w:rsid w:val="00C8680E"/>
    <w:rsid w:val="00C86840"/>
    <w:rsid w:val="00C8684C"/>
    <w:rsid w:val="00C8685E"/>
    <w:rsid w:val="00C86896"/>
    <w:rsid w:val="00C869AD"/>
    <w:rsid w:val="00C869F6"/>
    <w:rsid w:val="00C86A3C"/>
    <w:rsid w:val="00C86A42"/>
    <w:rsid w:val="00C86AA1"/>
    <w:rsid w:val="00C86B7C"/>
    <w:rsid w:val="00C86C14"/>
    <w:rsid w:val="00C86D29"/>
    <w:rsid w:val="00C86DD6"/>
    <w:rsid w:val="00C86E78"/>
    <w:rsid w:val="00C86E80"/>
    <w:rsid w:val="00C86FC5"/>
    <w:rsid w:val="00C86FE9"/>
    <w:rsid w:val="00C86FF1"/>
    <w:rsid w:val="00C87005"/>
    <w:rsid w:val="00C870DC"/>
    <w:rsid w:val="00C87110"/>
    <w:rsid w:val="00C8718B"/>
    <w:rsid w:val="00C8719B"/>
    <w:rsid w:val="00C8723C"/>
    <w:rsid w:val="00C8725E"/>
    <w:rsid w:val="00C872F7"/>
    <w:rsid w:val="00C87379"/>
    <w:rsid w:val="00C8738D"/>
    <w:rsid w:val="00C87436"/>
    <w:rsid w:val="00C8747F"/>
    <w:rsid w:val="00C87486"/>
    <w:rsid w:val="00C8750E"/>
    <w:rsid w:val="00C8766A"/>
    <w:rsid w:val="00C877F4"/>
    <w:rsid w:val="00C878AF"/>
    <w:rsid w:val="00C8797A"/>
    <w:rsid w:val="00C8799E"/>
    <w:rsid w:val="00C879E8"/>
    <w:rsid w:val="00C87A48"/>
    <w:rsid w:val="00C87A88"/>
    <w:rsid w:val="00C87AC0"/>
    <w:rsid w:val="00C87AD8"/>
    <w:rsid w:val="00C87BAF"/>
    <w:rsid w:val="00C87BB2"/>
    <w:rsid w:val="00C87BE8"/>
    <w:rsid w:val="00C87D3B"/>
    <w:rsid w:val="00C87D65"/>
    <w:rsid w:val="00C87DC2"/>
    <w:rsid w:val="00C87E08"/>
    <w:rsid w:val="00C87F84"/>
    <w:rsid w:val="00C87FD4"/>
    <w:rsid w:val="00C87FE2"/>
    <w:rsid w:val="00C90010"/>
    <w:rsid w:val="00C9001E"/>
    <w:rsid w:val="00C9018B"/>
    <w:rsid w:val="00C9028A"/>
    <w:rsid w:val="00C9028E"/>
    <w:rsid w:val="00C902D4"/>
    <w:rsid w:val="00C903A9"/>
    <w:rsid w:val="00C903C3"/>
    <w:rsid w:val="00C903D6"/>
    <w:rsid w:val="00C903E3"/>
    <w:rsid w:val="00C903ED"/>
    <w:rsid w:val="00C903FB"/>
    <w:rsid w:val="00C90409"/>
    <w:rsid w:val="00C904C1"/>
    <w:rsid w:val="00C904CB"/>
    <w:rsid w:val="00C904D8"/>
    <w:rsid w:val="00C9051B"/>
    <w:rsid w:val="00C9071B"/>
    <w:rsid w:val="00C9074E"/>
    <w:rsid w:val="00C9079B"/>
    <w:rsid w:val="00C90892"/>
    <w:rsid w:val="00C908B8"/>
    <w:rsid w:val="00C9090A"/>
    <w:rsid w:val="00C9090E"/>
    <w:rsid w:val="00C9090F"/>
    <w:rsid w:val="00C909C1"/>
    <w:rsid w:val="00C909C6"/>
    <w:rsid w:val="00C90A13"/>
    <w:rsid w:val="00C90A4B"/>
    <w:rsid w:val="00C90A5F"/>
    <w:rsid w:val="00C90A9A"/>
    <w:rsid w:val="00C90BD8"/>
    <w:rsid w:val="00C90BFD"/>
    <w:rsid w:val="00C90CC7"/>
    <w:rsid w:val="00C90DB8"/>
    <w:rsid w:val="00C90E5F"/>
    <w:rsid w:val="00C90E6B"/>
    <w:rsid w:val="00C90EC2"/>
    <w:rsid w:val="00C90ECE"/>
    <w:rsid w:val="00C90F51"/>
    <w:rsid w:val="00C91003"/>
    <w:rsid w:val="00C91032"/>
    <w:rsid w:val="00C91042"/>
    <w:rsid w:val="00C9104F"/>
    <w:rsid w:val="00C91096"/>
    <w:rsid w:val="00C910CC"/>
    <w:rsid w:val="00C910FA"/>
    <w:rsid w:val="00C91136"/>
    <w:rsid w:val="00C911C2"/>
    <w:rsid w:val="00C91253"/>
    <w:rsid w:val="00C91283"/>
    <w:rsid w:val="00C91312"/>
    <w:rsid w:val="00C91347"/>
    <w:rsid w:val="00C9135B"/>
    <w:rsid w:val="00C913C3"/>
    <w:rsid w:val="00C913FC"/>
    <w:rsid w:val="00C9149B"/>
    <w:rsid w:val="00C914A5"/>
    <w:rsid w:val="00C914F0"/>
    <w:rsid w:val="00C91517"/>
    <w:rsid w:val="00C91533"/>
    <w:rsid w:val="00C91537"/>
    <w:rsid w:val="00C91575"/>
    <w:rsid w:val="00C91647"/>
    <w:rsid w:val="00C91651"/>
    <w:rsid w:val="00C91670"/>
    <w:rsid w:val="00C9169E"/>
    <w:rsid w:val="00C916E8"/>
    <w:rsid w:val="00C91755"/>
    <w:rsid w:val="00C917A4"/>
    <w:rsid w:val="00C918DE"/>
    <w:rsid w:val="00C91904"/>
    <w:rsid w:val="00C91959"/>
    <w:rsid w:val="00C91978"/>
    <w:rsid w:val="00C919EA"/>
    <w:rsid w:val="00C91A18"/>
    <w:rsid w:val="00C91A86"/>
    <w:rsid w:val="00C91B0A"/>
    <w:rsid w:val="00C91B6F"/>
    <w:rsid w:val="00C91B76"/>
    <w:rsid w:val="00C91B83"/>
    <w:rsid w:val="00C91B8A"/>
    <w:rsid w:val="00C91BAA"/>
    <w:rsid w:val="00C91C41"/>
    <w:rsid w:val="00C91C9F"/>
    <w:rsid w:val="00C91D07"/>
    <w:rsid w:val="00C91EC0"/>
    <w:rsid w:val="00C92087"/>
    <w:rsid w:val="00C920FC"/>
    <w:rsid w:val="00C92193"/>
    <w:rsid w:val="00C921E0"/>
    <w:rsid w:val="00C9220A"/>
    <w:rsid w:val="00C922A2"/>
    <w:rsid w:val="00C922D7"/>
    <w:rsid w:val="00C92341"/>
    <w:rsid w:val="00C9243F"/>
    <w:rsid w:val="00C9244D"/>
    <w:rsid w:val="00C92489"/>
    <w:rsid w:val="00C925B1"/>
    <w:rsid w:val="00C925C2"/>
    <w:rsid w:val="00C9264A"/>
    <w:rsid w:val="00C9265F"/>
    <w:rsid w:val="00C9266E"/>
    <w:rsid w:val="00C9268F"/>
    <w:rsid w:val="00C926C5"/>
    <w:rsid w:val="00C92736"/>
    <w:rsid w:val="00C9276B"/>
    <w:rsid w:val="00C92785"/>
    <w:rsid w:val="00C9284A"/>
    <w:rsid w:val="00C928E9"/>
    <w:rsid w:val="00C9294E"/>
    <w:rsid w:val="00C92964"/>
    <w:rsid w:val="00C92A04"/>
    <w:rsid w:val="00C92A0D"/>
    <w:rsid w:val="00C92A95"/>
    <w:rsid w:val="00C92ABC"/>
    <w:rsid w:val="00C92AC0"/>
    <w:rsid w:val="00C92AE6"/>
    <w:rsid w:val="00C92B01"/>
    <w:rsid w:val="00C92B0D"/>
    <w:rsid w:val="00C92B35"/>
    <w:rsid w:val="00C92C3D"/>
    <w:rsid w:val="00C92D98"/>
    <w:rsid w:val="00C92ED8"/>
    <w:rsid w:val="00C92F3E"/>
    <w:rsid w:val="00C92F80"/>
    <w:rsid w:val="00C92F93"/>
    <w:rsid w:val="00C92FFF"/>
    <w:rsid w:val="00C93048"/>
    <w:rsid w:val="00C9320D"/>
    <w:rsid w:val="00C93225"/>
    <w:rsid w:val="00C9323F"/>
    <w:rsid w:val="00C9324E"/>
    <w:rsid w:val="00C93284"/>
    <w:rsid w:val="00C9328A"/>
    <w:rsid w:val="00C932C4"/>
    <w:rsid w:val="00C932D1"/>
    <w:rsid w:val="00C9331A"/>
    <w:rsid w:val="00C93345"/>
    <w:rsid w:val="00C933D5"/>
    <w:rsid w:val="00C93434"/>
    <w:rsid w:val="00C934BC"/>
    <w:rsid w:val="00C934BF"/>
    <w:rsid w:val="00C93584"/>
    <w:rsid w:val="00C935FC"/>
    <w:rsid w:val="00C93678"/>
    <w:rsid w:val="00C9384F"/>
    <w:rsid w:val="00C9386C"/>
    <w:rsid w:val="00C93936"/>
    <w:rsid w:val="00C93968"/>
    <w:rsid w:val="00C93971"/>
    <w:rsid w:val="00C939AC"/>
    <w:rsid w:val="00C939B7"/>
    <w:rsid w:val="00C93A22"/>
    <w:rsid w:val="00C93A4E"/>
    <w:rsid w:val="00C93A88"/>
    <w:rsid w:val="00C93B23"/>
    <w:rsid w:val="00C93B37"/>
    <w:rsid w:val="00C93B49"/>
    <w:rsid w:val="00C93B50"/>
    <w:rsid w:val="00C93B71"/>
    <w:rsid w:val="00C93B8A"/>
    <w:rsid w:val="00C93BF3"/>
    <w:rsid w:val="00C93C8D"/>
    <w:rsid w:val="00C93CAA"/>
    <w:rsid w:val="00C93CC1"/>
    <w:rsid w:val="00C93CED"/>
    <w:rsid w:val="00C93D14"/>
    <w:rsid w:val="00C93DAB"/>
    <w:rsid w:val="00C93DE9"/>
    <w:rsid w:val="00C93EF0"/>
    <w:rsid w:val="00C93F73"/>
    <w:rsid w:val="00C93FBC"/>
    <w:rsid w:val="00C94020"/>
    <w:rsid w:val="00C94060"/>
    <w:rsid w:val="00C940B0"/>
    <w:rsid w:val="00C9412B"/>
    <w:rsid w:val="00C94162"/>
    <w:rsid w:val="00C9419B"/>
    <w:rsid w:val="00C94280"/>
    <w:rsid w:val="00C94362"/>
    <w:rsid w:val="00C94380"/>
    <w:rsid w:val="00C943EF"/>
    <w:rsid w:val="00C943F2"/>
    <w:rsid w:val="00C94443"/>
    <w:rsid w:val="00C944BF"/>
    <w:rsid w:val="00C9455C"/>
    <w:rsid w:val="00C9457E"/>
    <w:rsid w:val="00C9457F"/>
    <w:rsid w:val="00C945B7"/>
    <w:rsid w:val="00C945EB"/>
    <w:rsid w:val="00C946C8"/>
    <w:rsid w:val="00C946E7"/>
    <w:rsid w:val="00C9470C"/>
    <w:rsid w:val="00C947D6"/>
    <w:rsid w:val="00C947F6"/>
    <w:rsid w:val="00C94896"/>
    <w:rsid w:val="00C948B6"/>
    <w:rsid w:val="00C948CD"/>
    <w:rsid w:val="00C9491A"/>
    <w:rsid w:val="00C949AC"/>
    <w:rsid w:val="00C94A43"/>
    <w:rsid w:val="00C94A7D"/>
    <w:rsid w:val="00C94AA5"/>
    <w:rsid w:val="00C94AFA"/>
    <w:rsid w:val="00C94C5B"/>
    <w:rsid w:val="00C94CBA"/>
    <w:rsid w:val="00C94CC2"/>
    <w:rsid w:val="00C94CCC"/>
    <w:rsid w:val="00C94DFB"/>
    <w:rsid w:val="00C94E57"/>
    <w:rsid w:val="00C94EA4"/>
    <w:rsid w:val="00C94ED0"/>
    <w:rsid w:val="00C94F98"/>
    <w:rsid w:val="00C94FC9"/>
    <w:rsid w:val="00C95023"/>
    <w:rsid w:val="00C950DC"/>
    <w:rsid w:val="00C95100"/>
    <w:rsid w:val="00C95103"/>
    <w:rsid w:val="00C95159"/>
    <w:rsid w:val="00C9528D"/>
    <w:rsid w:val="00C95297"/>
    <w:rsid w:val="00C9535F"/>
    <w:rsid w:val="00C9539E"/>
    <w:rsid w:val="00C95481"/>
    <w:rsid w:val="00C95509"/>
    <w:rsid w:val="00C95526"/>
    <w:rsid w:val="00C955AB"/>
    <w:rsid w:val="00C95618"/>
    <w:rsid w:val="00C9572F"/>
    <w:rsid w:val="00C95838"/>
    <w:rsid w:val="00C958B8"/>
    <w:rsid w:val="00C9590D"/>
    <w:rsid w:val="00C95961"/>
    <w:rsid w:val="00C959C2"/>
    <w:rsid w:val="00C95A55"/>
    <w:rsid w:val="00C95A66"/>
    <w:rsid w:val="00C95B34"/>
    <w:rsid w:val="00C95B3F"/>
    <w:rsid w:val="00C95B52"/>
    <w:rsid w:val="00C95B72"/>
    <w:rsid w:val="00C95B91"/>
    <w:rsid w:val="00C95BCA"/>
    <w:rsid w:val="00C95EAB"/>
    <w:rsid w:val="00C95FCC"/>
    <w:rsid w:val="00C95FDD"/>
    <w:rsid w:val="00C95FE8"/>
    <w:rsid w:val="00C95FF2"/>
    <w:rsid w:val="00C96015"/>
    <w:rsid w:val="00C96021"/>
    <w:rsid w:val="00C96028"/>
    <w:rsid w:val="00C960DF"/>
    <w:rsid w:val="00C9611E"/>
    <w:rsid w:val="00C96134"/>
    <w:rsid w:val="00C961A8"/>
    <w:rsid w:val="00C96232"/>
    <w:rsid w:val="00C9638E"/>
    <w:rsid w:val="00C963A0"/>
    <w:rsid w:val="00C963DA"/>
    <w:rsid w:val="00C964C9"/>
    <w:rsid w:val="00C965E4"/>
    <w:rsid w:val="00C96607"/>
    <w:rsid w:val="00C9662E"/>
    <w:rsid w:val="00C96653"/>
    <w:rsid w:val="00C966F9"/>
    <w:rsid w:val="00C967B0"/>
    <w:rsid w:val="00C967C3"/>
    <w:rsid w:val="00C967C6"/>
    <w:rsid w:val="00C9683C"/>
    <w:rsid w:val="00C9694D"/>
    <w:rsid w:val="00C969DA"/>
    <w:rsid w:val="00C969DD"/>
    <w:rsid w:val="00C96A0C"/>
    <w:rsid w:val="00C96A12"/>
    <w:rsid w:val="00C96A56"/>
    <w:rsid w:val="00C96A97"/>
    <w:rsid w:val="00C96ACB"/>
    <w:rsid w:val="00C96B8C"/>
    <w:rsid w:val="00C96B96"/>
    <w:rsid w:val="00C96C69"/>
    <w:rsid w:val="00C96C72"/>
    <w:rsid w:val="00C96C87"/>
    <w:rsid w:val="00C96C9A"/>
    <w:rsid w:val="00C96CA1"/>
    <w:rsid w:val="00C96CEB"/>
    <w:rsid w:val="00C96E2B"/>
    <w:rsid w:val="00C96E84"/>
    <w:rsid w:val="00C96EC1"/>
    <w:rsid w:val="00C96EEE"/>
    <w:rsid w:val="00C96F08"/>
    <w:rsid w:val="00C96F5E"/>
    <w:rsid w:val="00C97004"/>
    <w:rsid w:val="00C97047"/>
    <w:rsid w:val="00C970D4"/>
    <w:rsid w:val="00C97115"/>
    <w:rsid w:val="00C9713E"/>
    <w:rsid w:val="00C97180"/>
    <w:rsid w:val="00C97231"/>
    <w:rsid w:val="00C9726A"/>
    <w:rsid w:val="00C97371"/>
    <w:rsid w:val="00C973A3"/>
    <w:rsid w:val="00C97460"/>
    <w:rsid w:val="00C97461"/>
    <w:rsid w:val="00C974A8"/>
    <w:rsid w:val="00C974CA"/>
    <w:rsid w:val="00C974E5"/>
    <w:rsid w:val="00C97588"/>
    <w:rsid w:val="00C975A0"/>
    <w:rsid w:val="00C97712"/>
    <w:rsid w:val="00C977DE"/>
    <w:rsid w:val="00C97810"/>
    <w:rsid w:val="00C978B9"/>
    <w:rsid w:val="00C9792D"/>
    <w:rsid w:val="00C97A00"/>
    <w:rsid w:val="00C97A67"/>
    <w:rsid w:val="00C97AA0"/>
    <w:rsid w:val="00C97B0D"/>
    <w:rsid w:val="00C97C23"/>
    <w:rsid w:val="00C97CEE"/>
    <w:rsid w:val="00C97E8B"/>
    <w:rsid w:val="00C97EC6"/>
    <w:rsid w:val="00C97F2D"/>
    <w:rsid w:val="00C97FF5"/>
    <w:rsid w:val="00CA00B4"/>
    <w:rsid w:val="00CA00D0"/>
    <w:rsid w:val="00CA00EF"/>
    <w:rsid w:val="00CA0130"/>
    <w:rsid w:val="00CA023F"/>
    <w:rsid w:val="00CA0240"/>
    <w:rsid w:val="00CA0243"/>
    <w:rsid w:val="00CA02C2"/>
    <w:rsid w:val="00CA03C3"/>
    <w:rsid w:val="00CA03C5"/>
    <w:rsid w:val="00CA042F"/>
    <w:rsid w:val="00CA0550"/>
    <w:rsid w:val="00CA0564"/>
    <w:rsid w:val="00CA05E5"/>
    <w:rsid w:val="00CA0718"/>
    <w:rsid w:val="00CA0777"/>
    <w:rsid w:val="00CA08E4"/>
    <w:rsid w:val="00CA09C7"/>
    <w:rsid w:val="00CA0A91"/>
    <w:rsid w:val="00CA0AFE"/>
    <w:rsid w:val="00CA0B1F"/>
    <w:rsid w:val="00CA0B58"/>
    <w:rsid w:val="00CA0BA2"/>
    <w:rsid w:val="00CA0BC5"/>
    <w:rsid w:val="00CA0C01"/>
    <w:rsid w:val="00CA0D19"/>
    <w:rsid w:val="00CA0D2B"/>
    <w:rsid w:val="00CA0E2F"/>
    <w:rsid w:val="00CA0E78"/>
    <w:rsid w:val="00CA0ED1"/>
    <w:rsid w:val="00CA0F1C"/>
    <w:rsid w:val="00CA0F9E"/>
    <w:rsid w:val="00CA0FAB"/>
    <w:rsid w:val="00CA0FB0"/>
    <w:rsid w:val="00CA0FCE"/>
    <w:rsid w:val="00CA0FEA"/>
    <w:rsid w:val="00CA0FF6"/>
    <w:rsid w:val="00CA0FFF"/>
    <w:rsid w:val="00CA1024"/>
    <w:rsid w:val="00CA1095"/>
    <w:rsid w:val="00CA10D6"/>
    <w:rsid w:val="00CA114F"/>
    <w:rsid w:val="00CA1181"/>
    <w:rsid w:val="00CA119A"/>
    <w:rsid w:val="00CA11B7"/>
    <w:rsid w:val="00CA11E0"/>
    <w:rsid w:val="00CA11F0"/>
    <w:rsid w:val="00CA1249"/>
    <w:rsid w:val="00CA1269"/>
    <w:rsid w:val="00CA140E"/>
    <w:rsid w:val="00CA1415"/>
    <w:rsid w:val="00CA1453"/>
    <w:rsid w:val="00CA1473"/>
    <w:rsid w:val="00CA1496"/>
    <w:rsid w:val="00CA14E5"/>
    <w:rsid w:val="00CA151E"/>
    <w:rsid w:val="00CA15C3"/>
    <w:rsid w:val="00CA16B5"/>
    <w:rsid w:val="00CA1736"/>
    <w:rsid w:val="00CA1821"/>
    <w:rsid w:val="00CA184F"/>
    <w:rsid w:val="00CA1927"/>
    <w:rsid w:val="00CA1B2A"/>
    <w:rsid w:val="00CA1B37"/>
    <w:rsid w:val="00CA1B6C"/>
    <w:rsid w:val="00CA1B84"/>
    <w:rsid w:val="00CA1BE6"/>
    <w:rsid w:val="00CA1C05"/>
    <w:rsid w:val="00CA1CAB"/>
    <w:rsid w:val="00CA1CEE"/>
    <w:rsid w:val="00CA1DC5"/>
    <w:rsid w:val="00CA1E53"/>
    <w:rsid w:val="00CA1EAD"/>
    <w:rsid w:val="00CA1F06"/>
    <w:rsid w:val="00CA1F88"/>
    <w:rsid w:val="00CA1FFD"/>
    <w:rsid w:val="00CA20B8"/>
    <w:rsid w:val="00CA216A"/>
    <w:rsid w:val="00CA2171"/>
    <w:rsid w:val="00CA2172"/>
    <w:rsid w:val="00CA21B3"/>
    <w:rsid w:val="00CA21BF"/>
    <w:rsid w:val="00CA22B8"/>
    <w:rsid w:val="00CA22C6"/>
    <w:rsid w:val="00CA22D9"/>
    <w:rsid w:val="00CA2343"/>
    <w:rsid w:val="00CA2406"/>
    <w:rsid w:val="00CA25CB"/>
    <w:rsid w:val="00CA26B2"/>
    <w:rsid w:val="00CA26EA"/>
    <w:rsid w:val="00CA2792"/>
    <w:rsid w:val="00CA27B1"/>
    <w:rsid w:val="00CA2802"/>
    <w:rsid w:val="00CA2848"/>
    <w:rsid w:val="00CA294F"/>
    <w:rsid w:val="00CA29CE"/>
    <w:rsid w:val="00CA29D4"/>
    <w:rsid w:val="00CA2A09"/>
    <w:rsid w:val="00CA2A5D"/>
    <w:rsid w:val="00CA2AE8"/>
    <w:rsid w:val="00CA2AF6"/>
    <w:rsid w:val="00CA2B27"/>
    <w:rsid w:val="00CA2BE0"/>
    <w:rsid w:val="00CA2C54"/>
    <w:rsid w:val="00CA2C71"/>
    <w:rsid w:val="00CA2CDD"/>
    <w:rsid w:val="00CA2CF1"/>
    <w:rsid w:val="00CA2DC3"/>
    <w:rsid w:val="00CA2DCB"/>
    <w:rsid w:val="00CA2E14"/>
    <w:rsid w:val="00CA2EDE"/>
    <w:rsid w:val="00CA2F0E"/>
    <w:rsid w:val="00CA2F24"/>
    <w:rsid w:val="00CA2FB2"/>
    <w:rsid w:val="00CA2FB9"/>
    <w:rsid w:val="00CA3028"/>
    <w:rsid w:val="00CA30F5"/>
    <w:rsid w:val="00CA30FB"/>
    <w:rsid w:val="00CA30FD"/>
    <w:rsid w:val="00CA3181"/>
    <w:rsid w:val="00CA3282"/>
    <w:rsid w:val="00CA3297"/>
    <w:rsid w:val="00CA3337"/>
    <w:rsid w:val="00CA3369"/>
    <w:rsid w:val="00CA337E"/>
    <w:rsid w:val="00CA3395"/>
    <w:rsid w:val="00CA33F9"/>
    <w:rsid w:val="00CA341F"/>
    <w:rsid w:val="00CA3431"/>
    <w:rsid w:val="00CA346A"/>
    <w:rsid w:val="00CA3502"/>
    <w:rsid w:val="00CA356E"/>
    <w:rsid w:val="00CA362E"/>
    <w:rsid w:val="00CA36B1"/>
    <w:rsid w:val="00CA372B"/>
    <w:rsid w:val="00CA376D"/>
    <w:rsid w:val="00CA379E"/>
    <w:rsid w:val="00CA37CE"/>
    <w:rsid w:val="00CA38E6"/>
    <w:rsid w:val="00CA3951"/>
    <w:rsid w:val="00CA395A"/>
    <w:rsid w:val="00CA39CD"/>
    <w:rsid w:val="00CA39F1"/>
    <w:rsid w:val="00CA3B15"/>
    <w:rsid w:val="00CA3B18"/>
    <w:rsid w:val="00CA3B71"/>
    <w:rsid w:val="00CA3C58"/>
    <w:rsid w:val="00CA3D3A"/>
    <w:rsid w:val="00CA3D70"/>
    <w:rsid w:val="00CA3D9E"/>
    <w:rsid w:val="00CA3DA3"/>
    <w:rsid w:val="00CA3DD2"/>
    <w:rsid w:val="00CA3DEC"/>
    <w:rsid w:val="00CA3EF4"/>
    <w:rsid w:val="00CA3F94"/>
    <w:rsid w:val="00CA3FEA"/>
    <w:rsid w:val="00CA40C3"/>
    <w:rsid w:val="00CA41C4"/>
    <w:rsid w:val="00CA41FB"/>
    <w:rsid w:val="00CA426A"/>
    <w:rsid w:val="00CA4277"/>
    <w:rsid w:val="00CA42D6"/>
    <w:rsid w:val="00CA433E"/>
    <w:rsid w:val="00CA4365"/>
    <w:rsid w:val="00CA4385"/>
    <w:rsid w:val="00CA4390"/>
    <w:rsid w:val="00CA441B"/>
    <w:rsid w:val="00CA4522"/>
    <w:rsid w:val="00CA452D"/>
    <w:rsid w:val="00CA45C3"/>
    <w:rsid w:val="00CA45C9"/>
    <w:rsid w:val="00CA4606"/>
    <w:rsid w:val="00CA4642"/>
    <w:rsid w:val="00CA466D"/>
    <w:rsid w:val="00CA468F"/>
    <w:rsid w:val="00CA46D3"/>
    <w:rsid w:val="00CA4763"/>
    <w:rsid w:val="00CA4791"/>
    <w:rsid w:val="00CA47C5"/>
    <w:rsid w:val="00CA48DA"/>
    <w:rsid w:val="00CA4955"/>
    <w:rsid w:val="00CA49C0"/>
    <w:rsid w:val="00CA49C3"/>
    <w:rsid w:val="00CA49E9"/>
    <w:rsid w:val="00CA4A39"/>
    <w:rsid w:val="00CA4A88"/>
    <w:rsid w:val="00CA4AC9"/>
    <w:rsid w:val="00CA4B36"/>
    <w:rsid w:val="00CA4B69"/>
    <w:rsid w:val="00CA4B86"/>
    <w:rsid w:val="00CA4BA0"/>
    <w:rsid w:val="00CA4CC9"/>
    <w:rsid w:val="00CA4CD1"/>
    <w:rsid w:val="00CA4D55"/>
    <w:rsid w:val="00CA4D5C"/>
    <w:rsid w:val="00CA4D6F"/>
    <w:rsid w:val="00CA4E07"/>
    <w:rsid w:val="00CA4E7D"/>
    <w:rsid w:val="00CA4F05"/>
    <w:rsid w:val="00CA4F32"/>
    <w:rsid w:val="00CA4F56"/>
    <w:rsid w:val="00CA4FBB"/>
    <w:rsid w:val="00CA50AF"/>
    <w:rsid w:val="00CA50B6"/>
    <w:rsid w:val="00CA50BD"/>
    <w:rsid w:val="00CA50E0"/>
    <w:rsid w:val="00CA5115"/>
    <w:rsid w:val="00CA5208"/>
    <w:rsid w:val="00CA5235"/>
    <w:rsid w:val="00CA528A"/>
    <w:rsid w:val="00CA52AA"/>
    <w:rsid w:val="00CA52B1"/>
    <w:rsid w:val="00CA5307"/>
    <w:rsid w:val="00CA5316"/>
    <w:rsid w:val="00CA5374"/>
    <w:rsid w:val="00CA53C6"/>
    <w:rsid w:val="00CA5404"/>
    <w:rsid w:val="00CA543A"/>
    <w:rsid w:val="00CA54AB"/>
    <w:rsid w:val="00CA5500"/>
    <w:rsid w:val="00CA55B1"/>
    <w:rsid w:val="00CA55F3"/>
    <w:rsid w:val="00CA561C"/>
    <w:rsid w:val="00CA564F"/>
    <w:rsid w:val="00CA5689"/>
    <w:rsid w:val="00CA56C6"/>
    <w:rsid w:val="00CA56EA"/>
    <w:rsid w:val="00CA5782"/>
    <w:rsid w:val="00CA57A5"/>
    <w:rsid w:val="00CA57B9"/>
    <w:rsid w:val="00CA57E3"/>
    <w:rsid w:val="00CA58A2"/>
    <w:rsid w:val="00CA599C"/>
    <w:rsid w:val="00CA5A7E"/>
    <w:rsid w:val="00CA5AAD"/>
    <w:rsid w:val="00CA5BAF"/>
    <w:rsid w:val="00CA5C80"/>
    <w:rsid w:val="00CA5CBB"/>
    <w:rsid w:val="00CA5CC1"/>
    <w:rsid w:val="00CA5D40"/>
    <w:rsid w:val="00CA5EED"/>
    <w:rsid w:val="00CA5F18"/>
    <w:rsid w:val="00CA5F68"/>
    <w:rsid w:val="00CA5F6B"/>
    <w:rsid w:val="00CA5F80"/>
    <w:rsid w:val="00CA5FC0"/>
    <w:rsid w:val="00CA6061"/>
    <w:rsid w:val="00CA608B"/>
    <w:rsid w:val="00CA6099"/>
    <w:rsid w:val="00CA609C"/>
    <w:rsid w:val="00CA60DC"/>
    <w:rsid w:val="00CA60EC"/>
    <w:rsid w:val="00CA617E"/>
    <w:rsid w:val="00CA61D7"/>
    <w:rsid w:val="00CA6211"/>
    <w:rsid w:val="00CA6274"/>
    <w:rsid w:val="00CA6296"/>
    <w:rsid w:val="00CA62BE"/>
    <w:rsid w:val="00CA62ED"/>
    <w:rsid w:val="00CA640E"/>
    <w:rsid w:val="00CA6454"/>
    <w:rsid w:val="00CA64A7"/>
    <w:rsid w:val="00CA64E0"/>
    <w:rsid w:val="00CA6503"/>
    <w:rsid w:val="00CA6504"/>
    <w:rsid w:val="00CA6515"/>
    <w:rsid w:val="00CA6553"/>
    <w:rsid w:val="00CA65ED"/>
    <w:rsid w:val="00CA65EF"/>
    <w:rsid w:val="00CA6664"/>
    <w:rsid w:val="00CA66A0"/>
    <w:rsid w:val="00CA66E3"/>
    <w:rsid w:val="00CA6717"/>
    <w:rsid w:val="00CA6745"/>
    <w:rsid w:val="00CA67D9"/>
    <w:rsid w:val="00CA68F8"/>
    <w:rsid w:val="00CA691C"/>
    <w:rsid w:val="00CA692C"/>
    <w:rsid w:val="00CA6971"/>
    <w:rsid w:val="00CA6976"/>
    <w:rsid w:val="00CA69B0"/>
    <w:rsid w:val="00CA69CC"/>
    <w:rsid w:val="00CA69D7"/>
    <w:rsid w:val="00CA6A0F"/>
    <w:rsid w:val="00CA6A1E"/>
    <w:rsid w:val="00CA6A65"/>
    <w:rsid w:val="00CA6AD6"/>
    <w:rsid w:val="00CA6B77"/>
    <w:rsid w:val="00CA6BD5"/>
    <w:rsid w:val="00CA6C57"/>
    <w:rsid w:val="00CA6C97"/>
    <w:rsid w:val="00CA6CF2"/>
    <w:rsid w:val="00CA6E04"/>
    <w:rsid w:val="00CA6E34"/>
    <w:rsid w:val="00CA6E71"/>
    <w:rsid w:val="00CA6EF3"/>
    <w:rsid w:val="00CA70C2"/>
    <w:rsid w:val="00CA7193"/>
    <w:rsid w:val="00CA71C7"/>
    <w:rsid w:val="00CA71DA"/>
    <w:rsid w:val="00CA7385"/>
    <w:rsid w:val="00CA7469"/>
    <w:rsid w:val="00CA7575"/>
    <w:rsid w:val="00CA757A"/>
    <w:rsid w:val="00CA758E"/>
    <w:rsid w:val="00CA7599"/>
    <w:rsid w:val="00CA75E1"/>
    <w:rsid w:val="00CA764A"/>
    <w:rsid w:val="00CA7897"/>
    <w:rsid w:val="00CA79B4"/>
    <w:rsid w:val="00CA7A73"/>
    <w:rsid w:val="00CA7A7F"/>
    <w:rsid w:val="00CA7A96"/>
    <w:rsid w:val="00CA7ADF"/>
    <w:rsid w:val="00CA7B2E"/>
    <w:rsid w:val="00CA7B5C"/>
    <w:rsid w:val="00CA7D1B"/>
    <w:rsid w:val="00CA7D3E"/>
    <w:rsid w:val="00CA7D50"/>
    <w:rsid w:val="00CA7DA0"/>
    <w:rsid w:val="00CA7F1D"/>
    <w:rsid w:val="00CA7F64"/>
    <w:rsid w:val="00CA7F75"/>
    <w:rsid w:val="00CA7FB4"/>
    <w:rsid w:val="00CA7FF0"/>
    <w:rsid w:val="00CB004D"/>
    <w:rsid w:val="00CB006E"/>
    <w:rsid w:val="00CB010C"/>
    <w:rsid w:val="00CB0193"/>
    <w:rsid w:val="00CB01B8"/>
    <w:rsid w:val="00CB0200"/>
    <w:rsid w:val="00CB0258"/>
    <w:rsid w:val="00CB0261"/>
    <w:rsid w:val="00CB02BF"/>
    <w:rsid w:val="00CB037D"/>
    <w:rsid w:val="00CB039F"/>
    <w:rsid w:val="00CB03BE"/>
    <w:rsid w:val="00CB03CC"/>
    <w:rsid w:val="00CB04FB"/>
    <w:rsid w:val="00CB063B"/>
    <w:rsid w:val="00CB0671"/>
    <w:rsid w:val="00CB06B0"/>
    <w:rsid w:val="00CB077B"/>
    <w:rsid w:val="00CB07B0"/>
    <w:rsid w:val="00CB07F0"/>
    <w:rsid w:val="00CB0802"/>
    <w:rsid w:val="00CB0881"/>
    <w:rsid w:val="00CB08DB"/>
    <w:rsid w:val="00CB09AD"/>
    <w:rsid w:val="00CB09B5"/>
    <w:rsid w:val="00CB0ADC"/>
    <w:rsid w:val="00CB0AE7"/>
    <w:rsid w:val="00CB0B2E"/>
    <w:rsid w:val="00CB0BC6"/>
    <w:rsid w:val="00CB0C23"/>
    <w:rsid w:val="00CB0C3D"/>
    <w:rsid w:val="00CB0C44"/>
    <w:rsid w:val="00CB0C5F"/>
    <w:rsid w:val="00CB0CC5"/>
    <w:rsid w:val="00CB0D14"/>
    <w:rsid w:val="00CB0D64"/>
    <w:rsid w:val="00CB0F1A"/>
    <w:rsid w:val="00CB0F83"/>
    <w:rsid w:val="00CB0FC5"/>
    <w:rsid w:val="00CB0FCE"/>
    <w:rsid w:val="00CB1038"/>
    <w:rsid w:val="00CB10A3"/>
    <w:rsid w:val="00CB10D3"/>
    <w:rsid w:val="00CB10F1"/>
    <w:rsid w:val="00CB1126"/>
    <w:rsid w:val="00CB11D4"/>
    <w:rsid w:val="00CB11DD"/>
    <w:rsid w:val="00CB123E"/>
    <w:rsid w:val="00CB12BD"/>
    <w:rsid w:val="00CB131C"/>
    <w:rsid w:val="00CB1326"/>
    <w:rsid w:val="00CB1369"/>
    <w:rsid w:val="00CB13C6"/>
    <w:rsid w:val="00CB13CA"/>
    <w:rsid w:val="00CB1424"/>
    <w:rsid w:val="00CB1437"/>
    <w:rsid w:val="00CB14F8"/>
    <w:rsid w:val="00CB1551"/>
    <w:rsid w:val="00CB15CE"/>
    <w:rsid w:val="00CB15E9"/>
    <w:rsid w:val="00CB1687"/>
    <w:rsid w:val="00CB1797"/>
    <w:rsid w:val="00CB1816"/>
    <w:rsid w:val="00CB181A"/>
    <w:rsid w:val="00CB189A"/>
    <w:rsid w:val="00CB18B5"/>
    <w:rsid w:val="00CB18B8"/>
    <w:rsid w:val="00CB18EE"/>
    <w:rsid w:val="00CB1906"/>
    <w:rsid w:val="00CB190E"/>
    <w:rsid w:val="00CB1943"/>
    <w:rsid w:val="00CB198F"/>
    <w:rsid w:val="00CB19B6"/>
    <w:rsid w:val="00CB19BC"/>
    <w:rsid w:val="00CB19F0"/>
    <w:rsid w:val="00CB1A2A"/>
    <w:rsid w:val="00CB1A70"/>
    <w:rsid w:val="00CB1B8B"/>
    <w:rsid w:val="00CB1C52"/>
    <w:rsid w:val="00CB1C92"/>
    <w:rsid w:val="00CB1CDC"/>
    <w:rsid w:val="00CB1E14"/>
    <w:rsid w:val="00CB1E3C"/>
    <w:rsid w:val="00CB1F57"/>
    <w:rsid w:val="00CB1F7C"/>
    <w:rsid w:val="00CB1FB8"/>
    <w:rsid w:val="00CB1FE1"/>
    <w:rsid w:val="00CB214B"/>
    <w:rsid w:val="00CB218A"/>
    <w:rsid w:val="00CB221F"/>
    <w:rsid w:val="00CB2344"/>
    <w:rsid w:val="00CB2383"/>
    <w:rsid w:val="00CB24BB"/>
    <w:rsid w:val="00CB2559"/>
    <w:rsid w:val="00CB2597"/>
    <w:rsid w:val="00CB25C2"/>
    <w:rsid w:val="00CB2652"/>
    <w:rsid w:val="00CB2675"/>
    <w:rsid w:val="00CB2683"/>
    <w:rsid w:val="00CB2772"/>
    <w:rsid w:val="00CB27CF"/>
    <w:rsid w:val="00CB282F"/>
    <w:rsid w:val="00CB2862"/>
    <w:rsid w:val="00CB28A1"/>
    <w:rsid w:val="00CB28ED"/>
    <w:rsid w:val="00CB292E"/>
    <w:rsid w:val="00CB296D"/>
    <w:rsid w:val="00CB297A"/>
    <w:rsid w:val="00CB2997"/>
    <w:rsid w:val="00CB2A31"/>
    <w:rsid w:val="00CB2A76"/>
    <w:rsid w:val="00CB2AC4"/>
    <w:rsid w:val="00CB2AED"/>
    <w:rsid w:val="00CB2B10"/>
    <w:rsid w:val="00CB2BD5"/>
    <w:rsid w:val="00CB2C4A"/>
    <w:rsid w:val="00CB2CBC"/>
    <w:rsid w:val="00CB2CC1"/>
    <w:rsid w:val="00CB2CFE"/>
    <w:rsid w:val="00CB2D13"/>
    <w:rsid w:val="00CB2D38"/>
    <w:rsid w:val="00CB2D47"/>
    <w:rsid w:val="00CB2DA4"/>
    <w:rsid w:val="00CB2E05"/>
    <w:rsid w:val="00CB2E15"/>
    <w:rsid w:val="00CB2E81"/>
    <w:rsid w:val="00CB2E9C"/>
    <w:rsid w:val="00CB2F5C"/>
    <w:rsid w:val="00CB2F7A"/>
    <w:rsid w:val="00CB2FF9"/>
    <w:rsid w:val="00CB3103"/>
    <w:rsid w:val="00CB3190"/>
    <w:rsid w:val="00CB3258"/>
    <w:rsid w:val="00CB3274"/>
    <w:rsid w:val="00CB3307"/>
    <w:rsid w:val="00CB33C9"/>
    <w:rsid w:val="00CB33E1"/>
    <w:rsid w:val="00CB3502"/>
    <w:rsid w:val="00CB352E"/>
    <w:rsid w:val="00CB3541"/>
    <w:rsid w:val="00CB363C"/>
    <w:rsid w:val="00CB3655"/>
    <w:rsid w:val="00CB366C"/>
    <w:rsid w:val="00CB36B0"/>
    <w:rsid w:val="00CB36D4"/>
    <w:rsid w:val="00CB3740"/>
    <w:rsid w:val="00CB3814"/>
    <w:rsid w:val="00CB3818"/>
    <w:rsid w:val="00CB3882"/>
    <w:rsid w:val="00CB38B8"/>
    <w:rsid w:val="00CB3902"/>
    <w:rsid w:val="00CB3920"/>
    <w:rsid w:val="00CB3954"/>
    <w:rsid w:val="00CB39F0"/>
    <w:rsid w:val="00CB3ABE"/>
    <w:rsid w:val="00CB3B6A"/>
    <w:rsid w:val="00CB3BCB"/>
    <w:rsid w:val="00CB3BD0"/>
    <w:rsid w:val="00CB3C57"/>
    <w:rsid w:val="00CB3C75"/>
    <w:rsid w:val="00CB3CD8"/>
    <w:rsid w:val="00CB3D02"/>
    <w:rsid w:val="00CB3E43"/>
    <w:rsid w:val="00CB3E50"/>
    <w:rsid w:val="00CB3E97"/>
    <w:rsid w:val="00CB3F46"/>
    <w:rsid w:val="00CB3F4F"/>
    <w:rsid w:val="00CB3FF0"/>
    <w:rsid w:val="00CB405D"/>
    <w:rsid w:val="00CB41DB"/>
    <w:rsid w:val="00CB420B"/>
    <w:rsid w:val="00CB4215"/>
    <w:rsid w:val="00CB4336"/>
    <w:rsid w:val="00CB43BE"/>
    <w:rsid w:val="00CB43D8"/>
    <w:rsid w:val="00CB4578"/>
    <w:rsid w:val="00CB457D"/>
    <w:rsid w:val="00CB45C5"/>
    <w:rsid w:val="00CB4635"/>
    <w:rsid w:val="00CB463E"/>
    <w:rsid w:val="00CB467A"/>
    <w:rsid w:val="00CB46FA"/>
    <w:rsid w:val="00CB4714"/>
    <w:rsid w:val="00CB47ED"/>
    <w:rsid w:val="00CB4881"/>
    <w:rsid w:val="00CB488D"/>
    <w:rsid w:val="00CB49A7"/>
    <w:rsid w:val="00CB4AE2"/>
    <w:rsid w:val="00CB4B38"/>
    <w:rsid w:val="00CB4BD1"/>
    <w:rsid w:val="00CB4BF2"/>
    <w:rsid w:val="00CB4D90"/>
    <w:rsid w:val="00CB4ECF"/>
    <w:rsid w:val="00CB4F89"/>
    <w:rsid w:val="00CB4FF9"/>
    <w:rsid w:val="00CB5006"/>
    <w:rsid w:val="00CB5017"/>
    <w:rsid w:val="00CB5169"/>
    <w:rsid w:val="00CB51CF"/>
    <w:rsid w:val="00CB521A"/>
    <w:rsid w:val="00CB525A"/>
    <w:rsid w:val="00CB528F"/>
    <w:rsid w:val="00CB52CF"/>
    <w:rsid w:val="00CB5319"/>
    <w:rsid w:val="00CB53A0"/>
    <w:rsid w:val="00CB53DF"/>
    <w:rsid w:val="00CB5405"/>
    <w:rsid w:val="00CB546F"/>
    <w:rsid w:val="00CB548E"/>
    <w:rsid w:val="00CB54B9"/>
    <w:rsid w:val="00CB5557"/>
    <w:rsid w:val="00CB5558"/>
    <w:rsid w:val="00CB55AD"/>
    <w:rsid w:val="00CB5704"/>
    <w:rsid w:val="00CB571B"/>
    <w:rsid w:val="00CB5733"/>
    <w:rsid w:val="00CB5757"/>
    <w:rsid w:val="00CB5840"/>
    <w:rsid w:val="00CB5886"/>
    <w:rsid w:val="00CB5892"/>
    <w:rsid w:val="00CB58B5"/>
    <w:rsid w:val="00CB58C2"/>
    <w:rsid w:val="00CB591A"/>
    <w:rsid w:val="00CB59B9"/>
    <w:rsid w:val="00CB5A13"/>
    <w:rsid w:val="00CB5B29"/>
    <w:rsid w:val="00CB5C55"/>
    <w:rsid w:val="00CB5C61"/>
    <w:rsid w:val="00CB5D0B"/>
    <w:rsid w:val="00CB5D5F"/>
    <w:rsid w:val="00CB5D7E"/>
    <w:rsid w:val="00CB5F43"/>
    <w:rsid w:val="00CB5FFE"/>
    <w:rsid w:val="00CB5FFF"/>
    <w:rsid w:val="00CB603D"/>
    <w:rsid w:val="00CB616A"/>
    <w:rsid w:val="00CB621D"/>
    <w:rsid w:val="00CB623A"/>
    <w:rsid w:val="00CB6292"/>
    <w:rsid w:val="00CB62E5"/>
    <w:rsid w:val="00CB63B9"/>
    <w:rsid w:val="00CB63F8"/>
    <w:rsid w:val="00CB6410"/>
    <w:rsid w:val="00CB6438"/>
    <w:rsid w:val="00CB6441"/>
    <w:rsid w:val="00CB65C4"/>
    <w:rsid w:val="00CB6628"/>
    <w:rsid w:val="00CB66AB"/>
    <w:rsid w:val="00CB66C2"/>
    <w:rsid w:val="00CB66CC"/>
    <w:rsid w:val="00CB6704"/>
    <w:rsid w:val="00CB672F"/>
    <w:rsid w:val="00CB6731"/>
    <w:rsid w:val="00CB67C4"/>
    <w:rsid w:val="00CB67DD"/>
    <w:rsid w:val="00CB6817"/>
    <w:rsid w:val="00CB6842"/>
    <w:rsid w:val="00CB6882"/>
    <w:rsid w:val="00CB6895"/>
    <w:rsid w:val="00CB68DC"/>
    <w:rsid w:val="00CB691B"/>
    <w:rsid w:val="00CB6942"/>
    <w:rsid w:val="00CB697A"/>
    <w:rsid w:val="00CB69FB"/>
    <w:rsid w:val="00CB6A0E"/>
    <w:rsid w:val="00CB6A82"/>
    <w:rsid w:val="00CB6AA6"/>
    <w:rsid w:val="00CB6ABC"/>
    <w:rsid w:val="00CB6AF9"/>
    <w:rsid w:val="00CB6BB1"/>
    <w:rsid w:val="00CB6BEC"/>
    <w:rsid w:val="00CB6BF1"/>
    <w:rsid w:val="00CB6DA0"/>
    <w:rsid w:val="00CB6F2A"/>
    <w:rsid w:val="00CB6F3D"/>
    <w:rsid w:val="00CB7069"/>
    <w:rsid w:val="00CB706C"/>
    <w:rsid w:val="00CB70C4"/>
    <w:rsid w:val="00CB7142"/>
    <w:rsid w:val="00CB71D7"/>
    <w:rsid w:val="00CB726A"/>
    <w:rsid w:val="00CB7279"/>
    <w:rsid w:val="00CB7291"/>
    <w:rsid w:val="00CB7371"/>
    <w:rsid w:val="00CB73A0"/>
    <w:rsid w:val="00CB73A1"/>
    <w:rsid w:val="00CB73E4"/>
    <w:rsid w:val="00CB7430"/>
    <w:rsid w:val="00CB74CE"/>
    <w:rsid w:val="00CB7505"/>
    <w:rsid w:val="00CB7589"/>
    <w:rsid w:val="00CB758F"/>
    <w:rsid w:val="00CB75D0"/>
    <w:rsid w:val="00CB75F3"/>
    <w:rsid w:val="00CB7635"/>
    <w:rsid w:val="00CB763D"/>
    <w:rsid w:val="00CB7715"/>
    <w:rsid w:val="00CB7780"/>
    <w:rsid w:val="00CB77CF"/>
    <w:rsid w:val="00CB77F7"/>
    <w:rsid w:val="00CB7851"/>
    <w:rsid w:val="00CB7866"/>
    <w:rsid w:val="00CB7935"/>
    <w:rsid w:val="00CB7946"/>
    <w:rsid w:val="00CB79C2"/>
    <w:rsid w:val="00CB7A58"/>
    <w:rsid w:val="00CB7AE9"/>
    <w:rsid w:val="00CB7B84"/>
    <w:rsid w:val="00CB7BA7"/>
    <w:rsid w:val="00CB7D30"/>
    <w:rsid w:val="00CB7D64"/>
    <w:rsid w:val="00CB7D69"/>
    <w:rsid w:val="00CB7DD0"/>
    <w:rsid w:val="00CB7E40"/>
    <w:rsid w:val="00CB7EAA"/>
    <w:rsid w:val="00CB7ECA"/>
    <w:rsid w:val="00CB7F1D"/>
    <w:rsid w:val="00CB7F3D"/>
    <w:rsid w:val="00CB7FCB"/>
    <w:rsid w:val="00CC000B"/>
    <w:rsid w:val="00CC0032"/>
    <w:rsid w:val="00CC0063"/>
    <w:rsid w:val="00CC00F6"/>
    <w:rsid w:val="00CC010B"/>
    <w:rsid w:val="00CC0174"/>
    <w:rsid w:val="00CC01B3"/>
    <w:rsid w:val="00CC01D1"/>
    <w:rsid w:val="00CC0229"/>
    <w:rsid w:val="00CC0377"/>
    <w:rsid w:val="00CC0393"/>
    <w:rsid w:val="00CC03FD"/>
    <w:rsid w:val="00CC043F"/>
    <w:rsid w:val="00CC0505"/>
    <w:rsid w:val="00CC067D"/>
    <w:rsid w:val="00CC0690"/>
    <w:rsid w:val="00CC0879"/>
    <w:rsid w:val="00CC0906"/>
    <w:rsid w:val="00CC0A69"/>
    <w:rsid w:val="00CC0A6A"/>
    <w:rsid w:val="00CC0A94"/>
    <w:rsid w:val="00CC0ABE"/>
    <w:rsid w:val="00CC0B73"/>
    <w:rsid w:val="00CC0C1A"/>
    <w:rsid w:val="00CC0C38"/>
    <w:rsid w:val="00CC0C96"/>
    <w:rsid w:val="00CC0D85"/>
    <w:rsid w:val="00CC0DC7"/>
    <w:rsid w:val="00CC0E1F"/>
    <w:rsid w:val="00CC0E41"/>
    <w:rsid w:val="00CC0E67"/>
    <w:rsid w:val="00CC0EB7"/>
    <w:rsid w:val="00CC0EE5"/>
    <w:rsid w:val="00CC0F53"/>
    <w:rsid w:val="00CC0FA5"/>
    <w:rsid w:val="00CC0FD7"/>
    <w:rsid w:val="00CC109E"/>
    <w:rsid w:val="00CC11CE"/>
    <w:rsid w:val="00CC11E0"/>
    <w:rsid w:val="00CC124B"/>
    <w:rsid w:val="00CC1275"/>
    <w:rsid w:val="00CC13CF"/>
    <w:rsid w:val="00CC13F6"/>
    <w:rsid w:val="00CC146D"/>
    <w:rsid w:val="00CC1487"/>
    <w:rsid w:val="00CC150C"/>
    <w:rsid w:val="00CC1515"/>
    <w:rsid w:val="00CC1553"/>
    <w:rsid w:val="00CC163F"/>
    <w:rsid w:val="00CC1670"/>
    <w:rsid w:val="00CC1671"/>
    <w:rsid w:val="00CC1773"/>
    <w:rsid w:val="00CC1881"/>
    <w:rsid w:val="00CC18C9"/>
    <w:rsid w:val="00CC18F2"/>
    <w:rsid w:val="00CC1A01"/>
    <w:rsid w:val="00CC1A3F"/>
    <w:rsid w:val="00CC1AD1"/>
    <w:rsid w:val="00CC1ADD"/>
    <w:rsid w:val="00CC1AE2"/>
    <w:rsid w:val="00CC1B57"/>
    <w:rsid w:val="00CC1B9F"/>
    <w:rsid w:val="00CC1C4B"/>
    <w:rsid w:val="00CC1C9C"/>
    <w:rsid w:val="00CC1D1A"/>
    <w:rsid w:val="00CC1D4B"/>
    <w:rsid w:val="00CC1E3A"/>
    <w:rsid w:val="00CC1E5E"/>
    <w:rsid w:val="00CC1ED8"/>
    <w:rsid w:val="00CC1F55"/>
    <w:rsid w:val="00CC1FF5"/>
    <w:rsid w:val="00CC2041"/>
    <w:rsid w:val="00CC204E"/>
    <w:rsid w:val="00CC204F"/>
    <w:rsid w:val="00CC206A"/>
    <w:rsid w:val="00CC208A"/>
    <w:rsid w:val="00CC2120"/>
    <w:rsid w:val="00CC21D8"/>
    <w:rsid w:val="00CC241E"/>
    <w:rsid w:val="00CC2428"/>
    <w:rsid w:val="00CC243A"/>
    <w:rsid w:val="00CC2490"/>
    <w:rsid w:val="00CC2544"/>
    <w:rsid w:val="00CC257C"/>
    <w:rsid w:val="00CC260F"/>
    <w:rsid w:val="00CC261B"/>
    <w:rsid w:val="00CC268C"/>
    <w:rsid w:val="00CC289B"/>
    <w:rsid w:val="00CC28DA"/>
    <w:rsid w:val="00CC28EE"/>
    <w:rsid w:val="00CC29B5"/>
    <w:rsid w:val="00CC29C3"/>
    <w:rsid w:val="00CC29ED"/>
    <w:rsid w:val="00CC2A26"/>
    <w:rsid w:val="00CC2A3D"/>
    <w:rsid w:val="00CC2A88"/>
    <w:rsid w:val="00CC2A92"/>
    <w:rsid w:val="00CC2AFA"/>
    <w:rsid w:val="00CC2B61"/>
    <w:rsid w:val="00CC2B66"/>
    <w:rsid w:val="00CC2BA9"/>
    <w:rsid w:val="00CC2BAA"/>
    <w:rsid w:val="00CC2BE9"/>
    <w:rsid w:val="00CC2C28"/>
    <w:rsid w:val="00CC2CBA"/>
    <w:rsid w:val="00CC2CDD"/>
    <w:rsid w:val="00CC2CFD"/>
    <w:rsid w:val="00CC2D2C"/>
    <w:rsid w:val="00CC2D43"/>
    <w:rsid w:val="00CC2D9E"/>
    <w:rsid w:val="00CC2EBA"/>
    <w:rsid w:val="00CC2F00"/>
    <w:rsid w:val="00CC2F04"/>
    <w:rsid w:val="00CC2F3D"/>
    <w:rsid w:val="00CC2F8D"/>
    <w:rsid w:val="00CC2F9F"/>
    <w:rsid w:val="00CC2FF0"/>
    <w:rsid w:val="00CC3050"/>
    <w:rsid w:val="00CC30AC"/>
    <w:rsid w:val="00CC3154"/>
    <w:rsid w:val="00CC31D6"/>
    <w:rsid w:val="00CC31D9"/>
    <w:rsid w:val="00CC32B6"/>
    <w:rsid w:val="00CC33B7"/>
    <w:rsid w:val="00CC3400"/>
    <w:rsid w:val="00CC344C"/>
    <w:rsid w:val="00CC346E"/>
    <w:rsid w:val="00CC357E"/>
    <w:rsid w:val="00CC35D0"/>
    <w:rsid w:val="00CC3697"/>
    <w:rsid w:val="00CC3742"/>
    <w:rsid w:val="00CC3768"/>
    <w:rsid w:val="00CC381A"/>
    <w:rsid w:val="00CC390C"/>
    <w:rsid w:val="00CC39FC"/>
    <w:rsid w:val="00CC3A46"/>
    <w:rsid w:val="00CC3A74"/>
    <w:rsid w:val="00CC3B2B"/>
    <w:rsid w:val="00CC3BAC"/>
    <w:rsid w:val="00CC3C47"/>
    <w:rsid w:val="00CC3C57"/>
    <w:rsid w:val="00CC3CC6"/>
    <w:rsid w:val="00CC3D00"/>
    <w:rsid w:val="00CC3D78"/>
    <w:rsid w:val="00CC3E53"/>
    <w:rsid w:val="00CC3E7C"/>
    <w:rsid w:val="00CC3EBE"/>
    <w:rsid w:val="00CC3EF7"/>
    <w:rsid w:val="00CC3F2D"/>
    <w:rsid w:val="00CC3F9C"/>
    <w:rsid w:val="00CC3FA0"/>
    <w:rsid w:val="00CC3FB2"/>
    <w:rsid w:val="00CC4098"/>
    <w:rsid w:val="00CC40B9"/>
    <w:rsid w:val="00CC40C3"/>
    <w:rsid w:val="00CC40CB"/>
    <w:rsid w:val="00CC412E"/>
    <w:rsid w:val="00CC42C0"/>
    <w:rsid w:val="00CC42D5"/>
    <w:rsid w:val="00CC42E4"/>
    <w:rsid w:val="00CC434C"/>
    <w:rsid w:val="00CC43FC"/>
    <w:rsid w:val="00CC440B"/>
    <w:rsid w:val="00CC440E"/>
    <w:rsid w:val="00CC445B"/>
    <w:rsid w:val="00CC44D5"/>
    <w:rsid w:val="00CC44FA"/>
    <w:rsid w:val="00CC4535"/>
    <w:rsid w:val="00CC4561"/>
    <w:rsid w:val="00CC45F4"/>
    <w:rsid w:val="00CC4621"/>
    <w:rsid w:val="00CC4673"/>
    <w:rsid w:val="00CC470F"/>
    <w:rsid w:val="00CC47BF"/>
    <w:rsid w:val="00CC4841"/>
    <w:rsid w:val="00CC490F"/>
    <w:rsid w:val="00CC4A1E"/>
    <w:rsid w:val="00CC4A86"/>
    <w:rsid w:val="00CC4A8C"/>
    <w:rsid w:val="00CC4B64"/>
    <w:rsid w:val="00CC4D53"/>
    <w:rsid w:val="00CC4D5F"/>
    <w:rsid w:val="00CC4DE6"/>
    <w:rsid w:val="00CC4E59"/>
    <w:rsid w:val="00CC4E9E"/>
    <w:rsid w:val="00CC4F4C"/>
    <w:rsid w:val="00CC5001"/>
    <w:rsid w:val="00CC5153"/>
    <w:rsid w:val="00CC51EE"/>
    <w:rsid w:val="00CC522B"/>
    <w:rsid w:val="00CC5253"/>
    <w:rsid w:val="00CC5259"/>
    <w:rsid w:val="00CC52B8"/>
    <w:rsid w:val="00CC52CC"/>
    <w:rsid w:val="00CC536F"/>
    <w:rsid w:val="00CC5375"/>
    <w:rsid w:val="00CC5405"/>
    <w:rsid w:val="00CC542C"/>
    <w:rsid w:val="00CC545F"/>
    <w:rsid w:val="00CC5544"/>
    <w:rsid w:val="00CC554D"/>
    <w:rsid w:val="00CC5573"/>
    <w:rsid w:val="00CC55A5"/>
    <w:rsid w:val="00CC55D4"/>
    <w:rsid w:val="00CC568B"/>
    <w:rsid w:val="00CC578C"/>
    <w:rsid w:val="00CC58C7"/>
    <w:rsid w:val="00CC592C"/>
    <w:rsid w:val="00CC5950"/>
    <w:rsid w:val="00CC5980"/>
    <w:rsid w:val="00CC5A1B"/>
    <w:rsid w:val="00CC5A67"/>
    <w:rsid w:val="00CC5A7C"/>
    <w:rsid w:val="00CC5B3D"/>
    <w:rsid w:val="00CC5B41"/>
    <w:rsid w:val="00CC5B67"/>
    <w:rsid w:val="00CC5BBB"/>
    <w:rsid w:val="00CC5BE3"/>
    <w:rsid w:val="00CC5C2C"/>
    <w:rsid w:val="00CC5CF9"/>
    <w:rsid w:val="00CC5D4A"/>
    <w:rsid w:val="00CC5E87"/>
    <w:rsid w:val="00CC5E9A"/>
    <w:rsid w:val="00CC5EA1"/>
    <w:rsid w:val="00CC5F9E"/>
    <w:rsid w:val="00CC608C"/>
    <w:rsid w:val="00CC60B1"/>
    <w:rsid w:val="00CC60C3"/>
    <w:rsid w:val="00CC6146"/>
    <w:rsid w:val="00CC61EA"/>
    <w:rsid w:val="00CC6260"/>
    <w:rsid w:val="00CC639E"/>
    <w:rsid w:val="00CC6419"/>
    <w:rsid w:val="00CC64B0"/>
    <w:rsid w:val="00CC6515"/>
    <w:rsid w:val="00CC65B3"/>
    <w:rsid w:val="00CC65CF"/>
    <w:rsid w:val="00CC668E"/>
    <w:rsid w:val="00CC676A"/>
    <w:rsid w:val="00CC6791"/>
    <w:rsid w:val="00CC6803"/>
    <w:rsid w:val="00CC6882"/>
    <w:rsid w:val="00CC68B8"/>
    <w:rsid w:val="00CC68C6"/>
    <w:rsid w:val="00CC68E3"/>
    <w:rsid w:val="00CC6A8A"/>
    <w:rsid w:val="00CC6A92"/>
    <w:rsid w:val="00CC6B42"/>
    <w:rsid w:val="00CC6C05"/>
    <w:rsid w:val="00CC6C37"/>
    <w:rsid w:val="00CC6C57"/>
    <w:rsid w:val="00CC6C6A"/>
    <w:rsid w:val="00CC6CBC"/>
    <w:rsid w:val="00CC6CD9"/>
    <w:rsid w:val="00CC6D68"/>
    <w:rsid w:val="00CC6DFF"/>
    <w:rsid w:val="00CC6F2E"/>
    <w:rsid w:val="00CC6F75"/>
    <w:rsid w:val="00CC70A8"/>
    <w:rsid w:val="00CC714B"/>
    <w:rsid w:val="00CC73A1"/>
    <w:rsid w:val="00CC7448"/>
    <w:rsid w:val="00CC74B2"/>
    <w:rsid w:val="00CC750E"/>
    <w:rsid w:val="00CC757F"/>
    <w:rsid w:val="00CC75A0"/>
    <w:rsid w:val="00CC76A5"/>
    <w:rsid w:val="00CC7749"/>
    <w:rsid w:val="00CC77AD"/>
    <w:rsid w:val="00CC7814"/>
    <w:rsid w:val="00CC7928"/>
    <w:rsid w:val="00CC79BB"/>
    <w:rsid w:val="00CC7A61"/>
    <w:rsid w:val="00CC7AC2"/>
    <w:rsid w:val="00CC7B49"/>
    <w:rsid w:val="00CC7B71"/>
    <w:rsid w:val="00CC7BD5"/>
    <w:rsid w:val="00CC7D0D"/>
    <w:rsid w:val="00CC7D1B"/>
    <w:rsid w:val="00CC7D95"/>
    <w:rsid w:val="00CC7DD5"/>
    <w:rsid w:val="00CC7E23"/>
    <w:rsid w:val="00CC7EC8"/>
    <w:rsid w:val="00CC7F04"/>
    <w:rsid w:val="00CC7F22"/>
    <w:rsid w:val="00CC7FD4"/>
    <w:rsid w:val="00CD004A"/>
    <w:rsid w:val="00CD00E7"/>
    <w:rsid w:val="00CD0158"/>
    <w:rsid w:val="00CD016F"/>
    <w:rsid w:val="00CD01AD"/>
    <w:rsid w:val="00CD01EC"/>
    <w:rsid w:val="00CD0218"/>
    <w:rsid w:val="00CD0225"/>
    <w:rsid w:val="00CD026E"/>
    <w:rsid w:val="00CD02C9"/>
    <w:rsid w:val="00CD0309"/>
    <w:rsid w:val="00CD0395"/>
    <w:rsid w:val="00CD0499"/>
    <w:rsid w:val="00CD04A2"/>
    <w:rsid w:val="00CD056C"/>
    <w:rsid w:val="00CD05F0"/>
    <w:rsid w:val="00CD06AA"/>
    <w:rsid w:val="00CD06DD"/>
    <w:rsid w:val="00CD07AE"/>
    <w:rsid w:val="00CD07FD"/>
    <w:rsid w:val="00CD08F0"/>
    <w:rsid w:val="00CD0936"/>
    <w:rsid w:val="00CD0966"/>
    <w:rsid w:val="00CD0AC4"/>
    <w:rsid w:val="00CD0B86"/>
    <w:rsid w:val="00CD0BC3"/>
    <w:rsid w:val="00CD0C4A"/>
    <w:rsid w:val="00CD0CC2"/>
    <w:rsid w:val="00CD0CD6"/>
    <w:rsid w:val="00CD0D17"/>
    <w:rsid w:val="00CD0D7C"/>
    <w:rsid w:val="00CD0D82"/>
    <w:rsid w:val="00CD0E3E"/>
    <w:rsid w:val="00CD0F78"/>
    <w:rsid w:val="00CD0FC9"/>
    <w:rsid w:val="00CD1000"/>
    <w:rsid w:val="00CD1003"/>
    <w:rsid w:val="00CD11C2"/>
    <w:rsid w:val="00CD11D6"/>
    <w:rsid w:val="00CD11F2"/>
    <w:rsid w:val="00CD1227"/>
    <w:rsid w:val="00CD123E"/>
    <w:rsid w:val="00CD1247"/>
    <w:rsid w:val="00CD1255"/>
    <w:rsid w:val="00CD1262"/>
    <w:rsid w:val="00CD12A6"/>
    <w:rsid w:val="00CD12E6"/>
    <w:rsid w:val="00CD1404"/>
    <w:rsid w:val="00CD147D"/>
    <w:rsid w:val="00CD14C9"/>
    <w:rsid w:val="00CD14EC"/>
    <w:rsid w:val="00CD1522"/>
    <w:rsid w:val="00CD1613"/>
    <w:rsid w:val="00CD1699"/>
    <w:rsid w:val="00CD16D0"/>
    <w:rsid w:val="00CD1752"/>
    <w:rsid w:val="00CD17FF"/>
    <w:rsid w:val="00CD1801"/>
    <w:rsid w:val="00CD18BB"/>
    <w:rsid w:val="00CD1903"/>
    <w:rsid w:val="00CD1929"/>
    <w:rsid w:val="00CD1940"/>
    <w:rsid w:val="00CD1A2C"/>
    <w:rsid w:val="00CD1A79"/>
    <w:rsid w:val="00CD1AF5"/>
    <w:rsid w:val="00CD1B6D"/>
    <w:rsid w:val="00CD1BAF"/>
    <w:rsid w:val="00CD1BF6"/>
    <w:rsid w:val="00CD1C0E"/>
    <w:rsid w:val="00CD1C60"/>
    <w:rsid w:val="00CD1C8E"/>
    <w:rsid w:val="00CD1CE3"/>
    <w:rsid w:val="00CD1D98"/>
    <w:rsid w:val="00CD1F03"/>
    <w:rsid w:val="00CD1FA0"/>
    <w:rsid w:val="00CD1FEF"/>
    <w:rsid w:val="00CD2023"/>
    <w:rsid w:val="00CD2032"/>
    <w:rsid w:val="00CD203E"/>
    <w:rsid w:val="00CD204E"/>
    <w:rsid w:val="00CD20D2"/>
    <w:rsid w:val="00CD211E"/>
    <w:rsid w:val="00CD2172"/>
    <w:rsid w:val="00CD2219"/>
    <w:rsid w:val="00CD2244"/>
    <w:rsid w:val="00CD2368"/>
    <w:rsid w:val="00CD23A8"/>
    <w:rsid w:val="00CD241D"/>
    <w:rsid w:val="00CD2442"/>
    <w:rsid w:val="00CD2445"/>
    <w:rsid w:val="00CD2482"/>
    <w:rsid w:val="00CD24B1"/>
    <w:rsid w:val="00CD24B8"/>
    <w:rsid w:val="00CD24F2"/>
    <w:rsid w:val="00CD25BC"/>
    <w:rsid w:val="00CD25E0"/>
    <w:rsid w:val="00CD25F9"/>
    <w:rsid w:val="00CD2688"/>
    <w:rsid w:val="00CD2725"/>
    <w:rsid w:val="00CD275F"/>
    <w:rsid w:val="00CD27B8"/>
    <w:rsid w:val="00CD280D"/>
    <w:rsid w:val="00CD2828"/>
    <w:rsid w:val="00CD2893"/>
    <w:rsid w:val="00CD28DB"/>
    <w:rsid w:val="00CD298D"/>
    <w:rsid w:val="00CD299D"/>
    <w:rsid w:val="00CD29B2"/>
    <w:rsid w:val="00CD2A06"/>
    <w:rsid w:val="00CD2A2B"/>
    <w:rsid w:val="00CD2A48"/>
    <w:rsid w:val="00CD2A4F"/>
    <w:rsid w:val="00CD2A57"/>
    <w:rsid w:val="00CD2C0B"/>
    <w:rsid w:val="00CD2D22"/>
    <w:rsid w:val="00CD2D4D"/>
    <w:rsid w:val="00CD2D8D"/>
    <w:rsid w:val="00CD2DC1"/>
    <w:rsid w:val="00CD2DE4"/>
    <w:rsid w:val="00CD2E5E"/>
    <w:rsid w:val="00CD2F36"/>
    <w:rsid w:val="00CD2F82"/>
    <w:rsid w:val="00CD2FB4"/>
    <w:rsid w:val="00CD3112"/>
    <w:rsid w:val="00CD315F"/>
    <w:rsid w:val="00CD3194"/>
    <w:rsid w:val="00CD3228"/>
    <w:rsid w:val="00CD32D8"/>
    <w:rsid w:val="00CD335B"/>
    <w:rsid w:val="00CD34B0"/>
    <w:rsid w:val="00CD34FA"/>
    <w:rsid w:val="00CD34FD"/>
    <w:rsid w:val="00CD35FF"/>
    <w:rsid w:val="00CD367C"/>
    <w:rsid w:val="00CD3766"/>
    <w:rsid w:val="00CD3815"/>
    <w:rsid w:val="00CD3877"/>
    <w:rsid w:val="00CD387D"/>
    <w:rsid w:val="00CD3911"/>
    <w:rsid w:val="00CD392D"/>
    <w:rsid w:val="00CD392E"/>
    <w:rsid w:val="00CD3967"/>
    <w:rsid w:val="00CD3A6B"/>
    <w:rsid w:val="00CD3B31"/>
    <w:rsid w:val="00CD3B93"/>
    <w:rsid w:val="00CD3B99"/>
    <w:rsid w:val="00CD3C01"/>
    <w:rsid w:val="00CD3C5C"/>
    <w:rsid w:val="00CD3C77"/>
    <w:rsid w:val="00CD3C81"/>
    <w:rsid w:val="00CD3F5C"/>
    <w:rsid w:val="00CD3F67"/>
    <w:rsid w:val="00CD3F6F"/>
    <w:rsid w:val="00CD3FDE"/>
    <w:rsid w:val="00CD4048"/>
    <w:rsid w:val="00CD4079"/>
    <w:rsid w:val="00CD4085"/>
    <w:rsid w:val="00CD413A"/>
    <w:rsid w:val="00CD419F"/>
    <w:rsid w:val="00CD41E2"/>
    <w:rsid w:val="00CD4245"/>
    <w:rsid w:val="00CD4250"/>
    <w:rsid w:val="00CD4264"/>
    <w:rsid w:val="00CD426B"/>
    <w:rsid w:val="00CD4335"/>
    <w:rsid w:val="00CD4369"/>
    <w:rsid w:val="00CD4390"/>
    <w:rsid w:val="00CD43E0"/>
    <w:rsid w:val="00CD43F1"/>
    <w:rsid w:val="00CD4454"/>
    <w:rsid w:val="00CD44B3"/>
    <w:rsid w:val="00CD44E0"/>
    <w:rsid w:val="00CD4524"/>
    <w:rsid w:val="00CD452F"/>
    <w:rsid w:val="00CD4588"/>
    <w:rsid w:val="00CD464A"/>
    <w:rsid w:val="00CD4658"/>
    <w:rsid w:val="00CD46B4"/>
    <w:rsid w:val="00CD4744"/>
    <w:rsid w:val="00CD47B4"/>
    <w:rsid w:val="00CD47C2"/>
    <w:rsid w:val="00CD48A1"/>
    <w:rsid w:val="00CD493B"/>
    <w:rsid w:val="00CD497C"/>
    <w:rsid w:val="00CD49D6"/>
    <w:rsid w:val="00CD4A73"/>
    <w:rsid w:val="00CD4A7F"/>
    <w:rsid w:val="00CD4B2F"/>
    <w:rsid w:val="00CD4B8C"/>
    <w:rsid w:val="00CD4B9E"/>
    <w:rsid w:val="00CD4BCD"/>
    <w:rsid w:val="00CD4C5D"/>
    <w:rsid w:val="00CD4D56"/>
    <w:rsid w:val="00CD4D5A"/>
    <w:rsid w:val="00CD4DBD"/>
    <w:rsid w:val="00CD4DD7"/>
    <w:rsid w:val="00CD4E3A"/>
    <w:rsid w:val="00CD4FDF"/>
    <w:rsid w:val="00CD4FF0"/>
    <w:rsid w:val="00CD4FF6"/>
    <w:rsid w:val="00CD5151"/>
    <w:rsid w:val="00CD516D"/>
    <w:rsid w:val="00CD51E9"/>
    <w:rsid w:val="00CD52EC"/>
    <w:rsid w:val="00CD5365"/>
    <w:rsid w:val="00CD542E"/>
    <w:rsid w:val="00CD554E"/>
    <w:rsid w:val="00CD5588"/>
    <w:rsid w:val="00CD5635"/>
    <w:rsid w:val="00CD5647"/>
    <w:rsid w:val="00CD56DE"/>
    <w:rsid w:val="00CD5762"/>
    <w:rsid w:val="00CD5799"/>
    <w:rsid w:val="00CD57B2"/>
    <w:rsid w:val="00CD57E9"/>
    <w:rsid w:val="00CD5820"/>
    <w:rsid w:val="00CD58C5"/>
    <w:rsid w:val="00CD592E"/>
    <w:rsid w:val="00CD593C"/>
    <w:rsid w:val="00CD5953"/>
    <w:rsid w:val="00CD5973"/>
    <w:rsid w:val="00CD59D6"/>
    <w:rsid w:val="00CD5A06"/>
    <w:rsid w:val="00CD5ABA"/>
    <w:rsid w:val="00CD5BB8"/>
    <w:rsid w:val="00CD5C72"/>
    <w:rsid w:val="00CD5DC1"/>
    <w:rsid w:val="00CD5DC4"/>
    <w:rsid w:val="00CD5EA3"/>
    <w:rsid w:val="00CD5ECD"/>
    <w:rsid w:val="00CD5EF9"/>
    <w:rsid w:val="00CD5F2C"/>
    <w:rsid w:val="00CD5FD7"/>
    <w:rsid w:val="00CD5FE1"/>
    <w:rsid w:val="00CD6013"/>
    <w:rsid w:val="00CD6017"/>
    <w:rsid w:val="00CD6018"/>
    <w:rsid w:val="00CD6153"/>
    <w:rsid w:val="00CD615E"/>
    <w:rsid w:val="00CD6175"/>
    <w:rsid w:val="00CD61A3"/>
    <w:rsid w:val="00CD6201"/>
    <w:rsid w:val="00CD622A"/>
    <w:rsid w:val="00CD6310"/>
    <w:rsid w:val="00CD638C"/>
    <w:rsid w:val="00CD6436"/>
    <w:rsid w:val="00CD64AF"/>
    <w:rsid w:val="00CD64DF"/>
    <w:rsid w:val="00CD650A"/>
    <w:rsid w:val="00CD6520"/>
    <w:rsid w:val="00CD6602"/>
    <w:rsid w:val="00CD66BA"/>
    <w:rsid w:val="00CD674F"/>
    <w:rsid w:val="00CD6759"/>
    <w:rsid w:val="00CD67EF"/>
    <w:rsid w:val="00CD687E"/>
    <w:rsid w:val="00CD695C"/>
    <w:rsid w:val="00CD696F"/>
    <w:rsid w:val="00CD69A7"/>
    <w:rsid w:val="00CD6AD5"/>
    <w:rsid w:val="00CD6ADD"/>
    <w:rsid w:val="00CD6B07"/>
    <w:rsid w:val="00CD6B23"/>
    <w:rsid w:val="00CD6BAF"/>
    <w:rsid w:val="00CD6C3C"/>
    <w:rsid w:val="00CD6CB9"/>
    <w:rsid w:val="00CD6D10"/>
    <w:rsid w:val="00CD6D21"/>
    <w:rsid w:val="00CD6DCE"/>
    <w:rsid w:val="00CD6E00"/>
    <w:rsid w:val="00CD6E07"/>
    <w:rsid w:val="00CD6E25"/>
    <w:rsid w:val="00CD6E2B"/>
    <w:rsid w:val="00CD6EFA"/>
    <w:rsid w:val="00CD6F0F"/>
    <w:rsid w:val="00CD6F33"/>
    <w:rsid w:val="00CD6F5F"/>
    <w:rsid w:val="00CD6F7A"/>
    <w:rsid w:val="00CD6FC6"/>
    <w:rsid w:val="00CD6FE7"/>
    <w:rsid w:val="00CD7009"/>
    <w:rsid w:val="00CD7055"/>
    <w:rsid w:val="00CD7059"/>
    <w:rsid w:val="00CD709F"/>
    <w:rsid w:val="00CD70AE"/>
    <w:rsid w:val="00CD70DA"/>
    <w:rsid w:val="00CD710F"/>
    <w:rsid w:val="00CD7119"/>
    <w:rsid w:val="00CD712C"/>
    <w:rsid w:val="00CD7143"/>
    <w:rsid w:val="00CD7151"/>
    <w:rsid w:val="00CD7175"/>
    <w:rsid w:val="00CD71E5"/>
    <w:rsid w:val="00CD7215"/>
    <w:rsid w:val="00CD7219"/>
    <w:rsid w:val="00CD727C"/>
    <w:rsid w:val="00CD72B4"/>
    <w:rsid w:val="00CD735B"/>
    <w:rsid w:val="00CD7382"/>
    <w:rsid w:val="00CD73E1"/>
    <w:rsid w:val="00CD73FE"/>
    <w:rsid w:val="00CD7497"/>
    <w:rsid w:val="00CD74B5"/>
    <w:rsid w:val="00CD74F9"/>
    <w:rsid w:val="00CD758F"/>
    <w:rsid w:val="00CD75A9"/>
    <w:rsid w:val="00CD75C4"/>
    <w:rsid w:val="00CD75D8"/>
    <w:rsid w:val="00CD7617"/>
    <w:rsid w:val="00CD76D4"/>
    <w:rsid w:val="00CD76FF"/>
    <w:rsid w:val="00CD776E"/>
    <w:rsid w:val="00CD7792"/>
    <w:rsid w:val="00CD77E4"/>
    <w:rsid w:val="00CD7841"/>
    <w:rsid w:val="00CD78CA"/>
    <w:rsid w:val="00CD7934"/>
    <w:rsid w:val="00CD7A21"/>
    <w:rsid w:val="00CD7A38"/>
    <w:rsid w:val="00CD7A5E"/>
    <w:rsid w:val="00CD7A9C"/>
    <w:rsid w:val="00CD7AA5"/>
    <w:rsid w:val="00CD7B4F"/>
    <w:rsid w:val="00CD7C37"/>
    <w:rsid w:val="00CD7C3C"/>
    <w:rsid w:val="00CD7C9E"/>
    <w:rsid w:val="00CD7D49"/>
    <w:rsid w:val="00CD7E14"/>
    <w:rsid w:val="00CD7E75"/>
    <w:rsid w:val="00CD7EB1"/>
    <w:rsid w:val="00CD7EFE"/>
    <w:rsid w:val="00CD7FB5"/>
    <w:rsid w:val="00CE00D4"/>
    <w:rsid w:val="00CE00E3"/>
    <w:rsid w:val="00CE0105"/>
    <w:rsid w:val="00CE015D"/>
    <w:rsid w:val="00CE01BF"/>
    <w:rsid w:val="00CE01D4"/>
    <w:rsid w:val="00CE01FF"/>
    <w:rsid w:val="00CE0254"/>
    <w:rsid w:val="00CE0452"/>
    <w:rsid w:val="00CE0461"/>
    <w:rsid w:val="00CE04B1"/>
    <w:rsid w:val="00CE05D1"/>
    <w:rsid w:val="00CE06E7"/>
    <w:rsid w:val="00CE0722"/>
    <w:rsid w:val="00CE0787"/>
    <w:rsid w:val="00CE083F"/>
    <w:rsid w:val="00CE08C1"/>
    <w:rsid w:val="00CE08DF"/>
    <w:rsid w:val="00CE0944"/>
    <w:rsid w:val="00CE0A33"/>
    <w:rsid w:val="00CE0A74"/>
    <w:rsid w:val="00CE0AA8"/>
    <w:rsid w:val="00CE0AB7"/>
    <w:rsid w:val="00CE0B79"/>
    <w:rsid w:val="00CE0BA2"/>
    <w:rsid w:val="00CE0C61"/>
    <w:rsid w:val="00CE0C68"/>
    <w:rsid w:val="00CE0DB7"/>
    <w:rsid w:val="00CE0DC3"/>
    <w:rsid w:val="00CE0DE4"/>
    <w:rsid w:val="00CE0E22"/>
    <w:rsid w:val="00CE0EB7"/>
    <w:rsid w:val="00CE0EF3"/>
    <w:rsid w:val="00CE0F25"/>
    <w:rsid w:val="00CE0FDF"/>
    <w:rsid w:val="00CE105B"/>
    <w:rsid w:val="00CE10C3"/>
    <w:rsid w:val="00CE10D8"/>
    <w:rsid w:val="00CE1116"/>
    <w:rsid w:val="00CE11C5"/>
    <w:rsid w:val="00CE11C9"/>
    <w:rsid w:val="00CE1217"/>
    <w:rsid w:val="00CE12CC"/>
    <w:rsid w:val="00CE12F6"/>
    <w:rsid w:val="00CE13FD"/>
    <w:rsid w:val="00CE142E"/>
    <w:rsid w:val="00CE14C8"/>
    <w:rsid w:val="00CE1510"/>
    <w:rsid w:val="00CE16BC"/>
    <w:rsid w:val="00CE16D3"/>
    <w:rsid w:val="00CE19AE"/>
    <w:rsid w:val="00CE1A18"/>
    <w:rsid w:val="00CE1A9D"/>
    <w:rsid w:val="00CE1AB7"/>
    <w:rsid w:val="00CE1B24"/>
    <w:rsid w:val="00CE1B39"/>
    <w:rsid w:val="00CE1B61"/>
    <w:rsid w:val="00CE1CEA"/>
    <w:rsid w:val="00CE1CEE"/>
    <w:rsid w:val="00CE1D62"/>
    <w:rsid w:val="00CE1DEE"/>
    <w:rsid w:val="00CE1E93"/>
    <w:rsid w:val="00CE1EB0"/>
    <w:rsid w:val="00CE1F39"/>
    <w:rsid w:val="00CE1F3D"/>
    <w:rsid w:val="00CE1FD7"/>
    <w:rsid w:val="00CE2004"/>
    <w:rsid w:val="00CE2025"/>
    <w:rsid w:val="00CE2206"/>
    <w:rsid w:val="00CE2297"/>
    <w:rsid w:val="00CE22DD"/>
    <w:rsid w:val="00CE235C"/>
    <w:rsid w:val="00CE2401"/>
    <w:rsid w:val="00CE2420"/>
    <w:rsid w:val="00CE2562"/>
    <w:rsid w:val="00CE266D"/>
    <w:rsid w:val="00CE2718"/>
    <w:rsid w:val="00CE27B7"/>
    <w:rsid w:val="00CE27C6"/>
    <w:rsid w:val="00CE28A5"/>
    <w:rsid w:val="00CE28E3"/>
    <w:rsid w:val="00CE290A"/>
    <w:rsid w:val="00CE297B"/>
    <w:rsid w:val="00CE298B"/>
    <w:rsid w:val="00CE2A03"/>
    <w:rsid w:val="00CE2A11"/>
    <w:rsid w:val="00CE2A4F"/>
    <w:rsid w:val="00CE2A5B"/>
    <w:rsid w:val="00CE2A82"/>
    <w:rsid w:val="00CE2AA8"/>
    <w:rsid w:val="00CE2B74"/>
    <w:rsid w:val="00CE2BB8"/>
    <w:rsid w:val="00CE2C65"/>
    <w:rsid w:val="00CE2C73"/>
    <w:rsid w:val="00CE2CFE"/>
    <w:rsid w:val="00CE2ED4"/>
    <w:rsid w:val="00CE2F7F"/>
    <w:rsid w:val="00CE2F86"/>
    <w:rsid w:val="00CE303A"/>
    <w:rsid w:val="00CE3066"/>
    <w:rsid w:val="00CE3192"/>
    <w:rsid w:val="00CE321C"/>
    <w:rsid w:val="00CE323A"/>
    <w:rsid w:val="00CE328E"/>
    <w:rsid w:val="00CE329D"/>
    <w:rsid w:val="00CE343A"/>
    <w:rsid w:val="00CE3492"/>
    <w:rsid w:val="00CE34EC"/>
    <w:rsid w:val="00CE3572"/>
    <w:rsid w:val="00CE357B"/>
    <w:rsid w:val="00CE35C8"/>
    <w:rsid w:val="00CE35EE"/>
    <w:rsid w:val="00CE35FA"/>
    <w:rsid w:val="00CE3695"/>
    <w:rsid w:val="00CE36E5"/>
    <w:rsid w:val="00CE372E"/>
    <w:rsid w:val="00CE3756"/>
    <w:rsid w:val="00CE3766"/>
    <w:rsid w:val="00CE37B8"/>
    <w:rsid w:val="00CE3866"/>
    <w:rsid w:val="00CE3930"/>
    <w:rsid w:val="00CE39A6"/>
    <w:rsid w:val="00CE3A75"/>
    <w:rsid w:val="00CE3A76"/>
    <w:rsid w:val="00CE3A88"/>
    <w:rsid w:val="00CE3B32"/>
    <w:rsid w:val="00CE3B70"/>
    <w:rsid w:val="00CE3BBA"/>
    <w:rsid w:val="00CE3BC5"/>
    <w:rsid w:val="00CE3CEB"/>
    <w:rsid w:val="00CE3D1C"/>
    <w:rsid w:val="00CE3D2B"/>
    <w:rsid w:val="00CE3D53"/>
    <w:rsid w:val="00CE3F24"/>
    <w:rsid w:val="00CE3F3A"/>
    <w:rsid w:val="00CE3F61"/>
    <w:rsid w:val="00CE4072"/>
    <w:rsid w:val="00CE411B"/>
    <w:rsid w:val="00CE41CB"/>
    <w:rsid w:val="00CE41D7"/>
    <w:rsid w:val="00CE4244"/>
    <w:rsid w:val="00CE4278"/>
    <w:rsid w:val="00CE42F0"/>
    <w:rsid w:val="00CE42F4"/>
    <w:rsid w:val="00CE4408"/>
    <w:rsid w:val="00CE442F"/>
    <w:rsid w:val="00CE4440"/>
    <w:rsid w:val="00CE4452"/>
    <w:rsid w:val="00CE44AE"/>
    <w:rsid w:val="00CE44C4"/>
    <w:rsid w:val="00CE4517"/>
    <w:rsid w:val="00CE4565"/>
    <w:rsid w:val="00CE457A"/>
    <w:rsid w:val="00CE45B7"/>
    <w:rsid w:val="00CE45FB"/>
    <w:rsid w:val="00CE46BD"/>
    <w:rsid w:val="00CE46E0"/>
    <w:rsid w:val="00CE471A"/>
    <w:rsid w:val="00CE4748"/>
    <w:rsid w:val="00CE4758"/>
    <w:rsid w:val="00CE4766"/>
    <w:rsid w:val="00CE478F"/>
    <w:rsid w:val="00CE47C9"/>
    <w:rsid w:val="00CE47DF"/>
    <w:rsid w:val="00CE4820"/>
    <w:rsid w:val="00CE48B7"/>
    <w:rsid w:val="00CE48BB"/>
    <w:rsid w:val="00CE48F5"/>
    <w:rsid w:val="00CE49E1"/>
    <w:rsid w:val="00CE4A94"/>
    <w:rsid w:val="00CE4AC1"/>
    <w:rsid w:val="00CE4B0F"/>
    <w:rsid w:val="00CE4B44"/>
    <w:rsid w:val="00CE4B50"/>
    <w:rsid w:val="00CE4C0C"/>
    <w:rsid w:val="00CE4C25"/>
    <w:rsid w:val="00CE4C78"/>
    <w:rsid w:val="00CE4CB3"/>
    <w:rsid w:val="00CE4CE0"/>
    <w:rsid w:val="00CE4D12"/>
    <w:rsid w:val="00CE4D20"/>
    <w:rsid w:val="00CE4D6D"/>
    <w:rsid w:val="00CE4DC7"/>
    <w:rsid w:val="00CE4EBB"/>
    <w:rsid w:val="00CE4EF0"/>
    <w:rsid w:val="00CE4EFA"/>
    <w:rsid w:val="00CE4EFE"/>
    <w:rsid w:val="00CE4F14"/>
    <w:rsid w:val="00CE4F8F"/>
    <w:rsid w:val="00CE4FCA"/>
    <w:rsid w:val="00CE4FF4"/>
    <w:rsid w:val="00CE5013"/>
    <w:rsid w:val="00CE5067"/>
    <w:rsid w:val="00CE50CC"/>
    <w:rsid w:val="00CE5118"/>
    <w:rsid w:val="00CE520A"/>
    <w:rsid w:val="00CE5298"/>
    <w:rsid w:val="00CE52ED"/>
    <w:rsid w:val="00CE5320"/>
    <w:rsid w:val="00CE53B8"/>
    <w:rsid w:val="00CE5400"/>
    <w:rsid w:val="00CE542E"/>
    <w:rsid w:val="00CE543C"/>
    <w:rsid w:val="00CE5479"/>
    <w:rsid w:val="00CE54F2"/>
    <w:rsid w:val="00CE5500"/>
    <w:rsid w:val="00CE550A"/>
    <w:rsid w:val="00CE5555"/>
    <w:rsid w:val="00CE558C"/>
    <w:rsid w:val="00CE55B9"/>
    <w:rsid w:val="00CE55CB"/>
    <w:rsid w:val="00CE55EA"/>
    <w:rsid w:val="00CE55FB"/>
    <w:rsid w:val="00CE569A"/>
    <w:rsid w:val="00CE56F7"/>
    <w:rsid w:val="00CE57A8"/>
    <w:rsid w:val="00CE5828"/>
    <w:rsid w:val="00CE5848"/>
    <w:rsid w:val="00CE5869"/>
    <w:rsid w:val="00CE58F9"/>
    <w:rsid w:val="00CE590A"/>
    <w:rsid w:val="00CE5981"/>
    <w:rsid w:val="00CE5998"/>
    <w:rsid w:val="00CE5A19"/>
    <w:rsid w:val="00CE5AC9"/>
    <w:rsid w:val="00CE5AED"/>
    <w:rsid w:val="00CE5AF3"/>
    <w:rsid w:val="00CE5B1C"/>
    <w:rsid w:val="00CE5C4C"/>
    <w:rsid w:val="00CE5C71"/>
    <w:rsid w:val="00CE5CFE"/>
    <w:rsid w:val="00CE5D64"/>
    <w:rsid w:val="00CE5D65"/>
    <w:rsid w:val="00CE5D68"/>
    <w:rsid w:val="00CE5E79"/>
    <w:rsid w:val="00CE5ED5"/>
    <w:rsid w:val="00CE5F5E"/>
    <w:rsid w:val="00CE5FE4"/>
    <w:rsid w:val="00CE605A"/>
    <w:rsid w:val="00CE611B"/>
    <w:rsid w:val="00CE6164"/>
    <w:rsid w:val="00CE618B"/>
    <w:rsid w:val="00CE62FC"/>
    <w:rsid w:val="00CE6329"/>
    <w:rsid w:val="00CE6360"/>
    <w:rsid w:val="00CE63EB"/>
    <w:rsid w:val="00CE6453"/>
    <w:rsid w:val="00CE6577"/>
    <w:rsid w:val="00CE65F7"/>
    <w:rsid w:val="00CE66C9"/>
    <w:rsid w:val="00CE66DA"/>
    <w:rsid w:val="00CE66E7"/>
    <w:rsid w:val="00CE6726"/>
    <w:rsid w:val="00CE6792"/>
    <w:rsid w:val="00CE67BF"/>
    <w:rsid w:val="00CE6815"/>
    <w:rsid w:val="00CE68B9"/>
    <w:rsid w:val="00CE68C7"/>
    <w:rsid w:val="00CE6921"/>
    <w:rsid w:val="00CE69C5"/>
    <w:rsid w:val="00CE6A83"/>
    <w:rsid w:val="00CE6C16"/>
    <w:rsid w:val="00CE6D03"/>
    <w:rsid w:val="00CE6D0A"/>
    <w:rsid w:val="00CE6DA9"/>
    <w:rsid w:val="00CE6E03"/>
    <w:rsid w:val="00CE6F4F"/>
    <w:rsid w:val="00CE6F80"/>
    <w:rsid w:val="00CE6F9D"/>
    <w:rsid w:val="00CE6FB0"/>
    <w:rsid w:val="00CE702B"/>
    <w:rsid w:val="00CE7035"/>
    <w:rsid w:val="00CE704F"/>
    <w:rsid w:val="00CE7096"/>
    <w:rsid w:val="00CE7100"/>
    <w:rsid w:val="00CE7102"/>
    <w:rsid w:val="00CE712E"/>
    <w:rsid w:val="00CE714B"/>
    <w:rsid w:val="00CE71F1"/>
    <w:rsid w:val="00CE7208"/>
    <w:rsid w:val="00CE7215"/>
    <w:rsid w:val="00CE721A"/>
    <w:rsid w:val="00CE7250"/>
    <w:rsid w:val="00CE7334"/>
    <w:rsid w:val="00CE7365"/>
    <w:rsid w:val="00CE73B9"/>
    <w:rsid w:val="00CE745C"/>
    <w:rsid w:val="00CE74E9"/>
    <w:rsid w:val="00CE7514"/>
    <w:rsid w:val="00CE75B6"/>
    <w:rsid w:val="00CE764A"/>
    <w:rsid w:val="00CE7691"/>
    <w:rsid w:val="00CE76BC"/>
    <w:rsid w:val="00CE77B7"/>
    <w:rsid w:val="00CE783E"/>
    <w:rsid w:val="00CE7865"/>
    <w:rsid w:val="00CE78F0"/>
    <w:rsid w:val="00CE7955"/>
    <w:rsid w:val="00CE79E7"/>
    <w:rsid w:val="00CE7A80"/>
    <w:rsid w:val="00CE7AF2"/>
    <w:rsid w:val="00CE7AF7"/>
    <w:rsid w:val="00CE7B28"/>
    <w:rsid w:val="00CE7BA3"/>
    <w:rsid w:val="00CE7BC2"/>
    <w:rsid w:val="00CE7CBD"/>
    <w:rsid w:val="00CE7CC5"/>
    <w:rsid w:val="00CE7D28"/>
    <w:rsid w:val="00CE7D33"/>
    <w:rsid w:val="00CE7DA1"/>
    <w:rsid w:val="00CE7E5F"/>
    <w:rsid w:val="00CE7F12"/>
    <w:rsid w:val="00CE7F14"/>
    <w:rsid w:val="00CE7F49"/>
    <w:rsid w:val="00CF0008"/>
    <w:rsid w:val="00CF01E8"/>
    <w:rsid w:val="00CF01F2"/>
    <w:rsid w:val="00CF0247"/>
    <w:rsid w:val="00CF0252"/>
    <w:rsid w:val="00CF028C"/>
    <w:rsid w:val="00CF02C5"/>
    <w:rsid w:val="00CF0370"/>
    <w:rsid w:val="00CF03B1"/>
    <w:rsid w:val="00CF041C"/>
    <w:rsid w:val="00CF0525"/>
    <w:rsid w:val="00CF05B2"/>
    <w:rsid w:val="00CF05B9"/>
    <w:rsid w:val="00CF05D5"/>
    <w:rsid w:val="00CF06A4"/>
    <w:rsid w:val="00CF0726"/>
    <w:rsid w:val="00CF084D"/>
    <w:rsid w:val="00CF08BE"/>
    <w:rsid w:val="00CF08CB"/>
    <w:rsid w:val="00CF0900"/>
    <w:rsid w:val="00CF09D0"/>
    <w:rsid w:val="00CF0A6C"/>
    <w:rsid w:val="00CF0A88"/>
    <w:rsid w:val="00CF0B06"/>
    <w:rsid w:val="00CF0B07"/>
    <w:rsid w:val="00CF0B4C"/>
    <w:rsid w:val="00CF0C23"/>
    <w:rsid w:val="00CF0CDE"/>
    <w:rsid w:val="00CF0D01"/>
    <w:rsid w:val="00CF0E62"/>
    <w:rsid w:val="00CF0E95"/>
    <w:rsid w:val="00CF0EFB"/>
    <w:rsid w:val="00CF0F05"/>
    <w:rsid w:val="00CF0F09"/>
    <w:rsid w:val="00CF0F8C"/>
    <w:rsid w:val="00CF1079"/>
    <w:rsid w:val="00CF10FA"/>
    <w:rsid w:val="00CF1106"/>
    <w:rsid w:val="00CF1112"/>
    <w:rsid w:val="00CF1128"/>
    <w:rsid w:val="00CF113F"/>
    <w:rsid w:val="00CF1206"/>
    <w:rsid w:val="00CF1277"/>
    <w:rsid w:val="00CF1301"/>
    <w:rsid w:val="00CF1322"/>
    <w:rsid w:val="00CF1410"/>
    <w:rsid w:val="00CF145C"/>
    <w:rsid w:val="00CF14A7"/>
    <w:rsid w:val="00CF14BE"/>
    <w:rsid w:val="00CF1545"/>
    <w:rsid w:val="00CF15B8"/>
    <w:rsid w:val="00CF1617"/>
    <w:rsid w:val="00CF16A9"/>
    <w:rsid w:val="00CF17CF"/>
    <w:rsid w:val="00CF1827"/>
    <w:rsid w:val="00CF1854"/>
    <w:rsid w:val="00CF1883"/>
    <w:rsid w:val="00CF18B1"/>
    <w:rsid w:val="00CF1911"/>
    <w:rsid w:val="00CF1A12"/>
    <w:rsid w:val="00CF1A2D"/>
    <w:rsid w:val="00CF1A58"/>
    <w:rsid w:val="00CF1A81"/>
    <w:rsid w:val="00CF1BCB"/>
    <w:rsid w:val="00CF1BEC"/>
    <w:rsid w:val="00CF1C15"/>
    <w:rsid w:val="00CF1C3C"/>
    <w:rsid w:val="00CF1C57"/>
    <w:rsid w:val="00CF1C5C"/>
    <w:rsid w:val="00CF1D34"/>
    <w:rsid w:val="00CF1D3B"/>
    <w:rsid w:val="00CF1DD5"/>
    <w:rsid w:val="00CF1E54"/>
    <w:rsid w:val="00CF1E9F"/>
    <w:rsid w:val="00CF1EFF"/>
    <w:rsid w:val="00CF1F36"/>
    <w:rsid w:val="00CF1F3C"/>
    <w:rsid w:val="00CF1F8A"/>
    <w:rsid w:val="00CF1F90"/>
    <w:rsid w:val="00CF1F95"/>
    <w:rsid w:val="00CF1FE4"/>
    <w:rsid w:val="00CF20DA"/>
    <w:rsid w:val="00CF2122"/>
    <w:rsid w:val="00CF2156"/>
    <w:rsid w:val="00CF21BD"/>
    <w:rsid w:val="00CF21BF"/>
    <w:rsid w:val="00CF21FF"/>
    <w:rsid w:val="00CF223B"/>
    <w:rsid w:val="00CF2261"/>
    <w:rsid w:val="00CF228C"/>
    <w:rsid w:val="00CF237B"/>
    <w:rsid w:val="00CF2388"/>
    <w:rsid w:val="00CF238A"/>
    <w:rsid w:val="00CF23C4"/>
    <w:rsid w:val="00CF23DF"/>
    <w:rsid w:val="00CF24BF"/>
    <w:rsid w:val="00CF2514"/>
    <w:rsid w:val="00CF2515"/>
    <w:rsid w:val="00CF2519"/>
    <w:rsid w:val="00CF253F"/>
    <w:rsid w:val="00CF25D6"/>
    <w:rsid w:val="00CF25F0"/>
    <w:rsid w:val="00CF25F2"/>
    <w:rsid w:val="00CF2605"/>
    <w:rsid w:val="00CF266E"/>
    <w:rsid w:val="00CF2681"/>
    <w:rsid w:val="00CF26D6"/>
    <w:rsid w:val="00CF27C3"/>
    <w:rsid w:val="00CF27FF"/>
    <w:rsid w:val="00CF288B"/>
    <w:rsid w:val="00CF2913"/>
    <w:rsid w:val="00CF2959"/>
    <w:rsid w:val="00CF29A6"/>
    <w:rsid w:val="00CF2A1E"/>
    <w:rsid w:val="00CF2A3E"/>
    <w:rsid w:val="00CF2A3F"/>
    <w:rsid w:val="00CF2A6F"/>
    <w:rsid w:val="00CF2A84"/>
    <w:rsid w:val="00CF2AB9"/>
    <w:rsid w:val="00CF2AEF"/>
    <w:rsid w:val="00CF2B5B"/>
    <w:rsid w:val="00CF2C9E"/>
    <w:rsid w:val="00CF2CE2"/>
    <w:rsid w:val="00CF2D1C"/>
    <w:rsid w:val="00CF2D3B"/>
    <w:rsid w:val="00CF2D79"/>
    <w:rsid w:val="00CF2DA6"/>
    <w:rsid w:val="00CF2E80"/>
    <w:rsid w:val="00CF2EE0"/>
    <w:rsid w:val="00CF2EEC"/>
    <w:rsid w:val="00CF2F31"/>
    <w:rsid w:val="00CF3077"/>
    <w:rsid w:val="00CF30D3"/>
    <w:rsid w:val="00CF3105"/>
    <w:rsid w:val="00CF314A"/>
    <w:rsid w:val="00CF319B"/>
    <w:rsid w:val="00CF31EA"/>
    <w:rsid w:val="00CF3227"/>
    <w:rsid w:val="00CF324F"/>
    <w:rsid w:val="00CF3294"/>
    <w:rsid w:val="00CF3417"/>
    <w:rsid w:val="00CF3478"/>
    <w:rsid w:val="00CF34B4"/>
    <w:rsid w:val="00CF34D9"/>
    <w:rsid w:val="00CF34FD"/>
    <w:rsid w:val="00CF3540"/>
    <w:rsid w:val="00CF356F"/>
    <w:rsid w:val="00CF37FB"/>
    <w:rsid w:val="00CF3A31"/>
    <w:rsid w:val="00CF3AA6"/>
    <w:rsid w:val="00CF3B88"/>
    <w:rsid w:val="00CF3C15"/>
    <w:rsid w:val="00CF3CB5"/>
    <w:rsid w:val="00CF3DD2"/>
    <w:rsid w:val="00CF3DDF"/>
    <w:rsid w:val="00CF3DE5"/>
    <w:rsid w:val="00CF3E32"/>
    <w:rsid w:val="00CF3E5F"/>
    <w:rsid w:val="00CF3E6F"/>
    <w:rsid w:val="00CF3ECE"/>
    <w:rsid w:val="00CF3F27"/>
    <w:rsid w:val="00CF3F32"/>
    <w:rsid w:val="00CF3F3B"/>
    <w:rsid w:val="00CF3F6C"/>
    <w:rsid w:val="00CF3FA8"/>
    <w:rsid w:val="00CF4008"/>
    <w:rsid w:val="00CF4036"/>
    <w:rsid w:val="00CF40BA"/>
    <w:rsid w:val="00CF40E0"/>
    <w:rsid w:val="00CF40E2"/>
    <w:rsid w:val="00CF4176"/>
    <w:rsid w:val="00CF41B2"/>
    <w:rsid w:val="00CF420C"/>
    <w:rsid w:val="00CF42BC"/>
    <w:rsid w:val="00CF439B"/>
    <w:rsid w:val="00CF439F"/>
    <w:rsid w:val="00CF43AE"/>
    <w:rsid w:val="00CF43C8"/>
    <w:rsid w:val="00CF43CB"/>
    <w:rsid w:val="00CF443E"/>
    <w:rsid w:val="00CF447B"/>
    <w:rsid w:val="00CF44F1"/>
    <w:rsid w:val="00CF4548"/>
    <w:rsid w:val="00CF475D"/>
    <w:rsid w:val="00CF479A"/>
    <w:rsid w:val="00CF47AA"/>
    <w:rsid w:val="00CF481C"/>
    <w:rsid w:val="00CF4873"/>
    <w:rsid w:val="00CF4887"/>
    <w:rsid w:val="00CF488D"/>
    <w:rsid w:val="00CF493C"/>
    <w:rsid w:val="00CF49A1"/>
    <w:rsid w:val="00CF49A6"/>
    <w:rsid w:val="00CF49B4"/>
    <w:rsid w:val="00CF4A5B"/>
    <w:rsid w:val="00CF4ACB"/>
    <w:rsid w:val="00CF4AF2"/>
    <w:rsid w:val="00CF4B1C"/>
    <w:rsid w:val="00CF4BEC"/>
    <w:rsid w:val="00CF4BF6"/>
    <w:rsid w:val="00CF4C05"/>
    <w:rsid w:val="00CF4C65"/>
    <w:rsid w:val="00CF4C9C"/>
    <w:rsid w:val="00CF4D02"/>
    <w:rsid w:val="00CF4E4B"/>
    <w:rsid w:val="00CF4E5F"/>
    <w:rsid w:val="00CF4F5B"/>
    <w:rsid w:val="00CF4FAD"/>
    <w:rsid w:val="00CF4FD0"/>
    <w:rsid w:val="00CF5036"/>
    <w:rsid w:val="00CF5166"/>
    <w:rsid w:val="00CF51AD"/>
    <w:rsid w:val="00CF5201"/>
    <w:rsid w:val="00CF5226"/>
    <w:rsid w:val="00CF529A"/>
    <w:rsid w:val="00CF532B"/>
    <w:rsid w:val="00CF540D"/>
    <w:rsid w:val="00CF5413"/>
    <w:rsid w:val="00CF549B"/>
    <w:rsid w:val="00CF5607"/>
    <w:rsid w:val="00CF5619"/>
    <w:rsid w:val="00CF5627"/>
    <w:rsid w:val="00CF565E"/>
    <w:rsid w:val="00CF567F"/>
    <w:rsid w:val="00CF56D2"/>
    <w:rsid w:val="00CF5709"/>
    <w:rsid w:val="00CF5809"/>
    <w:rsid w:val="00CF5814"/>
    <w:rsid w:val="00CF5828"/>
    <w:rsid w:val="00CF5875"/>
    <w:rsid w:val="00CF58E4"/>
    <w:rsid w:val="00CF58EC"/>
    <w:rsid w:val="00CF5929"/>
    <w:rsid w:val="00CF5932"/>
    <w:rsid w:val="00CF599A"/>
    <w:rsid w:val="00CF59A1"/>
    <w:rsid w:val="00CF5A2B"/>
    <w:rsid w:val="00CF5A45"/>
    <w:rsid w:val="00CF5A7B"/>
    <w:rsid w:val="00CF5ADF"/>
    <w:rsid w:val="00CF5C0F"/>
    <w:rsid w:val="00CF5C59"/>
    <w:rsid w:val="00CF5D35"/>
    <w:rsid w:val="00CF5DDC"/>
    <w:rsid w:val="00CF5E49"/>
    <w:rsid w:val="00CF5E59"/>
    <w:rsid w:val="00CF5E87"/>
    <w:rsid w:val="00CF5EE9"/>
    <w:rsid w:val="00CF5F10"/>
    <w:rsid w:val="00CF5F1E"/>
    <w:rsid w:val="00CF5F7B"/>
    <w:rsid w:val="00CF5F9E"/>
    <w:rsid w:val="00CF6055"/>
    <w:rsid w:val="00CF605C"/>
    <w:rsid w:val="00CF6180"/>
    <w:rsid w:val="00CF618F"/>
    <w:rsid w:val="00CF61F1"/>
    <w:rsid w:val="00CF6273"/>
    <w:rsid w:val="00CF628F"/>
    <w:rsid w:val="00CF64D9"/>
    <w:rsid w:val="00CF652C"/>
    <w:rsid w:val="00CF653F"/>
    <w:rsid w:val="00CF65D3"/>
    <w:rsid w:val="00CF6600"/>
    <w:rsid w:val="00CF660A"/>
    <w:rsid w:val="00CF667B"/>
    <w:rsid w:val="00CF66E3"/>
    <w:rsid w:val="00CF66F4"/>
    <w:rsid w:val="00CF6741"/>
    <w:rsid w:val="00CF6780"/>
    <w:rsid w:val="00CF67B6"/>
    <w:rsid w:val="00CF67CE"/>
    <w:rsid w:val="00CF67FE"/>
    <w:rsid w:val="00CF683D"/>
    <w:rsid w:val="00CF6846"/>
    <w:rsid w:val="00CF68DC"/>
    <w:rsid w:val="00CF6974"/>
    <w:rsid w:val="00CF69A7"/>
    <w:rsid w:val="00CF6AF1"/>
    <w:rsid w:val="00CF6B35"/>
    <w:rsid w:val="00CF6C28"/>
    <w:rsid w:val="00CF6C78"/>
    <w:rsid w:val="00CF6CB6"/>
    <w:rsid w:val="00CF6D34"/>
    <w:rsid w:val="00CF6D4C"/>
    <w:rsid w:val="00CF6D9A"/>
    <w:rsid w:val="00CF6D9C"/>
    <w:rsid w:val="00CF6E84"/>
    <w:rsid w:val="00CF6EE4"/>
    <w:rsid w:val="00CF6F1E"/>
    <w:rsid w:val="00CF6F89"/>
    <w:rsid w:val="00CF6FCB"/>
    <w:rsid w:val="00CF6FF5"/>
    <w:rsid w:val="00CF70BB"/>
    <w:rsid w:val="00CF7120"/>
    <w:rsid w:val="00CF71C6"/>
    <w:rsid w:val="00CF724C"/>
    <w:rsid w:val="00CF7274"/>
    <w:rsid w:val="00CF72D1"/>
    <w:rsid w:val="00CF72F6"/>
    <w:rsid w:val="00CF7390"/>
    <w:rsid w:val="00CF73CE"/>
    <w:rsid w:val="00CF752E"/>
    <w:rsid w:val="00CF757D"/>
    <w:rsid w:val="00CF75C8"/>
    <w:rsid w:val="00CF76ED"/>
    <w:rsid w:val="00CF772A"/>
    <w:rsid w:val="00CF779B"/>
    <w:rsid w:val="00CF77F6"/>
    <w:rsid w:val="00CF78C8"/>
    <w:rsid w:val="00CF7988"/>
    <w:rsid w:val="00CF79CE"/>
    <w:rsid w:val="00CF7A72"/>
    <w:rsid w:val="00CF7AE7"/>
    <w:rsid w:val="00CF7B24"/>
    <w:rsid w:val="00CF7B74"/>
    <w:rsid w:val="00CF7BD1"/>
    <w:rsid w:val="00CF7C64"/>
    <w:rsid w:val="00CF7C68"/>
    <w:rsid w:val="00CF7C9B"/>
    <w:rsid w:val="00CF7CEA"/>
    <w:rsid w:val="00CF7D01"/>
    <w:rsid w:val="00CF7D2F"/>
    <w:rsid w:val="00CF7D57"/>
    <w:rsid w:val="00CF7D73"/>
    <w:rsid w:val="00CF7D84"/>
    <w:rsid w:val="00CF7DA0"/>
    <w:rsid w:val="00CF7DCB"/>
    <w:rsid w:val="00CF7E4C"/>
    <w:rsid w:val="00CF7E57"/>
    <w:rsid w:val="00CF7EBC"/>
    <w:rsid w:val="00CF7F09"/>
    <w:rsid w:val="00CF7F0B"/>
    <w:rsid w:val="00CF7FAD"/>
    <w:rsid w:val="00D00003"/>
    <w:rsid w:val="00D00067"/>
    <w:rsid w:val="00D0007E"/>
    <w:rsid w:val="00D00101"/>
    <w:rsid w:val="00D00104"/>
    <w:rsid w:val="00D00167"/>
    <w:rsid w:val="00D0016B"/>
    <w:rsid w:val="00D00180"/>
    <w:rsid w:val="00D001B4"/>
    <w:rsid w:val="00D002D3"/>
    <w:rsid w:val="00D00315"/>
    <w:rsid w:val="00D0033C"/>
    <w:rsid w:val="00D00367"/>
    <w:rsid w:val="00D003B2"/>
    <w:rsid w:val="00D003B7"/>
    <w:rsid w:val="00D003C4"/>
    <w:rsid w:val="00D00506"/>
    <w:rsid w:val="00D00507"/>
    <w:rsid w:val="00D00637"/>
    <w:rsid w:val="00D007DD"/>
    <w:rsid w:val="00D00851"/>
    <w:rsid w:val="00D0087C"/>
    <w:rsid w:val="00D009F7"/>
    <w:rsid w:val="00D00A1C"/>
    <w:rsid w:val="00D00B7D"/>
    <w:rsid w:val="00D00BBD"/>
    <w:rsid w:val="00D00CE7"/>
    <w:rsid w:val="00D00D17"/>
    <w:rsid w:val="00D00D8F"/>
    <w:rsid w:val="00D00DF3"/>
    <w:rsid w:val="00D00E36"/>
    <w:rsid w:val="00D00E87"/>
    <w:rsid w:val="00D00EE9"/>
    <w:rsid w:val="00D01022"/>
    <w:rsid w:val="00D01082"/>
    <w:rsid w:val="00D010A7"/>
    <w:rsid w:val="00D01115"/>
    <w:rsid w:val="00D01132"/>
    <w:rsid w:val="00D01265"/>
    <w:rsid w:val="00D0139B"/>
    <w:rsid w:val="00D013A1"/>
    <w:rsid w:val="00D013BC"/>
    <w:rsid w:val="00D0146F"/>
    <w:rsid w:val="00D014FD"/>
    <w:rsid w:val="00D01567"/>
    <w:rsid w:val="00D015F8"/>
    <w:rsid w:val="00D015FF"/>
    <w:rsid w:val="00D016D5"/>
    <w:rsid w:val="00D017AC"/>
    <w:rsid w:val="00D017B7"/>
    <w:rsid w:val="00D017E1"/>
    <w:rsid w:val="00D017EE"/>
    <w:rsid w:val="00D018CD"/>
    <w:rsid w:val="00D01955"/>
    <w:rsid w:val="00D019A4"/>
    <w:rsid w:val="00D01A3A"/>
    <w:rsid w:val="00D01A7E"/>
    <w:rsid w:val="00D01ACC"/>
    <w:rsid w:val="00D01B22"/>
    <w:rsid w:val="00D01B5D"/>
    <w:rsid w:val="00D01BAC"/>
    <w:rsid w:val="00D01BC5"/>
    <w:rsid w:val="00D01C15"/>
    <w:rsid w:val="00D01C22"/>
    <w:rsid w:val="00D01C4C"/>
    <w:rsid w:val="00D01CFF"/>
    <w:rsid w:val="00D01D2A"/>
    <w:rsid w:val="00D01D6C"/>
    <w:rsid w:val="00D01DF7"/>
    <w:rsid w:val="00D01E23"/>
    <w:rsid w:val="00D01EE3"/>
    <w:rsid w:val="00D01FA5"/>
    <w:rsid w:val="00D0200D"/>
    <w:rsid w:val="00D0203E"/>
    <w:rsid w:val="00D0217B"/>
    <w:rsid w:val="00D021B1"/>
    <w:rsid w:val="00D02232"/>
    <w:rsid w:val="00D0224A"/>
    <w:rsid w:val="00D02290"/>
    <w:rsid w:val="00D023EB"/>
    <w:rsid w:val="00D02418"/>
    <w:rsid w:val="00D02429"/>
    <w:rsid w:val="00D02447"/>
    <w:rsid w:val="00D0248A"/>
    <w:rsid w:val="00D024B6"/>
    <w:rsid w:val="00D024F3"/>
    <w:rsid w:val="00D0250E"/>
    <w:rsid w:val="00D02539"/>
    <w:rsid w:val="00D025E7"/>
    <w:rsid w:val="00D025F6"/>
    <w:rsid w:val="00D027EB"/>
    <w:rsid w:val="00D0280F"/>
    <w:rsid w:val="00D02865"/>
    <w:rsid w:val="00D028BB"/>
    <w:rsid w:val="00D028D7"/>
    <w:rsid w:val="00D028FD"/>
    <w:rsid w:val="00D02984"/>
    <w:rsid w:val="00D02AD1"/>
    <w:rsid w:val="00D02BF9"/>
    <w:rsid w:val="00D02C87"/>
    <w:rsid w:val="00D02D1E"/>
    <w:rsid w:val="00D02D55"/>
    <w:rsid w:val="00D02D66"/>
    <w:rsid w:val="00D02DBB"/>
    <w:rsid w:val="00D02DCD"/>
    <w:rsid w:val="00D02E69"/>
    <w:rsid w:val="00D02E93"/>
    <w:rsid w:val="00D02E9E"/>
    <w:rsid w:val="00D02EBE"/>
    <w:rsid w:val="00D02F4F"/>
    <w:rsid w:val="00D02F7C"/>
    <w:rsid w:val="00D03025"/>
    <w:rsid w:val="00D03035"/>
    <w:rsid w:val="00D0304E"/>
    <w:rsid w:val="00D030DB"/>
    <w:rsid w:val="00D0312D"/>
    <w:rsid w:val="00D03135"/>
    <w:rsid w:val="00D0316F"/>
    <w:rsid w:val="00D031F7"/>
    <w:rsid w:val="00D032B5"/>
    <w:rsid w:val="00D032B6"/>
    <w:rsid w:val="00D03314"/>
    <w:rsid w:val="00D0344D"/>
    <w:rsid w:val="00D03461"/>
    <w:rsid w:val="00D03498"/>
    <w:rsid w:val="00D034ED"/>
    <w:rsid w:val="00D035D5"/>
    <w:rsid w:val="00D03671"/>
    <w:rsid w:val="00D03703"/>
    <w:rsid w:val="00D037B5"/>
    <w:rsid w:val="00D03809"/>
    <w:rsid w:val="00D038F6"/>
    <w:rsid w:val="00D039D0"/>
    <w:rsid w:val="00D03A94"/>
    <w:rsid w:val="00D03A96"/>
    <w:rsid w:val="00D03B54"/>
    <w:rsid w:val="00D03B84"/>
    <w:rsid w:val="00D03C41"/>
    <w:rsid w:val="00D03C5A"/>
    <w:rsid w:val="00D03C79"/>
    <w:rsid w:val="00D03C94"/>
    <w:rsid w:val="00D03CD0"/>
    <w:rsid w:val="00D03CFD"/>
    <w:rsid w:val="00D03E70"/>
    <w:rsid w:val="00D0401F"/>
    <w:rsid w:val="00D04081"/>
    <w:rsid w:val="00D040E3"/>
    <w:rsid w:val="00D0415B"/>
    <w:rsid w:val="00D0422B"/>
    <w:rsid w:val="00D04239"/>
    <w:rsid w:val="00D043CC"/>
    <w:rsid w:val="00D044BF"/>
    <w:rsid w:val="00D0450D"/>
    <w:rsid w:val="00D0463C"/>
    <w:rsid w:val="00D046AE"/>
    <w:rsid w:val="00D04813"/>
    <w:rsid w:val="00D04873"/>
    <w:rsid w:val="00D04981"/>
    <w:rsid w:val="00D049C8"/>
    <w:rsid w:val="00D04A86"/>
    <w:rsid w:val="00D04AAE"/>
    <w:rsid w:val="00D04BA4"/>
    <w:rsid w:val="00D04BF3"/>
    <w:rsid w:val="00D04BFD"/>
    <w:rsid w:val="00D04C3C"/>
    <w:rsid w:val="00D04C58"/>
    <w:rsid w:val="00D04C93"/>
    <w:rsid w:val="00D04CB3"/>
    <w:rsid w:val="00D04D5C"/>
    <w:rsid w:val="00D04D9C"/>
    <w:rsid w:val="00D04EC4"/>
    <w:rsid w:val="00D05070"/>
    <w:rsid w:val="00D0507F"/>
    <w:rsid w:val="00D0510C"/>
    <w:rsid w:val="00D05112"/>
    <w:rsid w:val="00D0513B"/>
    <w:rsid w:val="00D05193"/>
    <w:rsid w:val="00D051DD"/>
    <w:rsid w:val="00D0520A"/>
    <w:rsid w:val="00D05317"/>
    <w:rsid w:val="00D0531E"/>
    <w:rsid w:val="00D053B6"/>
    <w:rsid w:val="00D053D4"/>
    <w:rsid w:val="00D05404"/>
    <w:rsid w:val="00D0541B"/>
    <w:rsid w:val="00D05593"/>
    <w:rsid w:val="00D0569A"/>
    <w:rsid w:val="00D05767"/>
    <w:rsid w:val="00D057A7"/>
    <w:rsid w:val="00D05853"/>
    <w:rsid w:val="00D05868"/>
    <w:rsid w:val="00D058D8"/>
    <w:rsid w:val="00D05928"/>
    <w:rsid w:val="00D0593F"/>
    <w:rsid w:val="00D05959"/>
    <w:rsid w:val="00D059BD"/>
    <w:rsid w:val="00D05B1D"/>
    <w:rsid w:val="00D05B57"/>
    <w:rsid w:val="00D05B79"/>
    <w:rsid w:val="00D05BE2"/>
    <w:rsid w:val="00D05CA8"/>
    <w:rsid w:val="00D05CB4"/>
    <w:rsid w:val="00D05D41"/>
    <w:rsid w:val="00D05D55"/>
    <w:rsid w:val="00D05DB0"/>
    <w:rsid w:val="00D05E2E"/>
    <w:rsid w:val="00D05E73"/>
    <w:rsid w:val="00D05EB9"/>
    <w:rsid w:val="00D05F19"/>
    <w:rsid w:val="00D05F33"/>
    <w:rsid w:val="00D05F3B"/>
    <w:rsid w:val="00D05FD0"/>
    <w:rsid w:val="00D06067"/>
    <w:rsid w:val="00D060B9"/>
    <w:rsid w:val="00D060D8"/>
    <w:rsid w:val="00D06171"/>
    <w:rsid w:val="00D06191"/>
    <w:rsid w:val="00D061AA"/>
    <w:rsid w:val="00D061E6"/>
    <w:rsid w:val="00D061F2"/>
    <w:rsid w:val="00D0621B"/>
    <w:rsid w:val="00D06307"/>
    <w:rsid w:val="00D0635A"/>
    <w:rsid w:val="00D063FC"/>
    <w:rsid w:val="00D06406"/>
    <w:rsid w:val="00D06452"/>
    <w:rsid w:val="00D064EB"/>
    <w:rsid w:val="00D0652F"/>
    <w:rsid w:val="00D065FE"/>
    <w:rsid w:val="00D06658"/>
    <w:rsid w:val="00D066BD"/>
    <w:rsid w:val="00D066C8"/>
    <w:rsid w:val="00D06919"/>
    <w:rsid w:val="00D06959"/>
    <w:rsid w:val="00D069EF"/>
    <w:rsid w:val="00D06B04"/>
    <w:rsid w:val="00D06B14"/>
    <w:rsid w:val="00D06B7B"/>
    <w:rsid w:val="00D06C1D"/>
    <w:rsid w:val="00D06CA1"/>
    <w:rsid w:val="00D06CBB"/>
    <w:rsid w:val="00D06D96"/>
    <w:rsid w:val="00D06D9B"/>
    <w:rsid w:val="00D06E70"/>
    <w:rsid w:val="00D06E7C"/>
    <w:rsid w:val="00D06E7F"/>
    <w:rsid w:val="00D06EBA"/>
    <w:rsid w:val="00D06EF2"/>
    <w:rsid w:val="00D06F91"/>
    <w:rsid w:val="00D07091"/>
    <w:rsid w:val="00D070C9"/>
    <w:rsid w:val="00D07135"/>
    <w:rsid w:val="00D071EF"/>
    <w:rsid w:val="00D0725E"/>
    <w:rsid w:val="00D07266"/>
    <w:rsid w:val="00D072D5"/>
    <w:rsid w:val="00D072E2"/>
    <w:rsid w:val="00D07305"/>
    <w:rsid w:val="00D07307"/>
    <w:rsid w:val="00D07365"/>
    <w:rsid w:val="00D07368"/>
    <w:rsid w:val="00D073CE"/>
    <w:rsid w:val="00D073DE"/>
    <w:rsid w:val="00D0743C"/>
    <w:rsid w:val="00D07536"/>
    <w:rsid w:val="00D07632"/>
    <w:rsid w:val="00D076FE"/>
    <w:rsid w:val="00D07742"/>
    <w:rsid w:val="00D0786C"/>
    <w:rsid w:val="00D0798E"/>
    <w:rsid w:val="00D079B7"/>
    <w:rsid w:val="00D079F5"/>
    <w:rsid w:val="00D07A47"/>
    <w:rsid w:val="00D07A50"/>
    <w:rsid w:val="00D07AA0"/>
    <w:rsid w:val="00D07AD0"/>
    <w:rsid w:val="00D07B88"/>
    <w:rsid w:val="00D07B98"/>
    <w:rsid w:val="00D07C53"/>
    <w:rsid w:val="00D07D38"/>
    <w:rsid w:val="00D07D3B"/>
    <w:rsid w:val="00D07DAA"/>
    <w:rsid w:val="00D07DC4"/>
    <w:rsid w:val="00D07E3F"/>
    <w:rsid w:val="00D07E61"/>
    <w:rsid w:val="00D07E8F"/>
    <w:rsid w:val="00D07EC2"/>
    <w:rsid w:val="00D07EE9"/>
    <w:rsid w:val="00D07F31"/>
    <w:rsid w:val="00D07FB2"/>
    <w:rsid w:val="00D10031"/>
    <w:rsid w:val="00D10059"/>
    <w:rsid w:val="00D10171"/>
    <w:rsid w:val="00D1017B"/>
    <w:rsid w:val="00D10192"/>
    <w:rsid w:val="00D1019D"/>
    <w:rsid w:val="00D101EC"/>
    <w:rsid w:val="00D101FD"/>
    <w:rsid w:val="00D1031C"/>
    <w:rsid w:val="00D10377"/>
    <w:rsid w:val="00D10387"/>
    <w:rsid w:val="00D10487"/>
    <w:rsid w:val="00D104B2"/>
    <w:rsid w:val="00D104DE"/>
    <w:rsid w:val="00D10569"/>
    <w:rsid w:val="00D10589"/>
    <w:rsid w:val="00D1078D"/>
    <w:rsid w:val="00D107F1"/>
    <w:rsid w:val="00D10840"/>
    <w:rsid w:val="00D10861"/>
    <w:rsid w:val="00D1086A"/>
    <w:rsid w:val="00D10AE6"/>
    <w:rsid w:val="00D10B3A"/>
    <w:rsid w:val="00D10BCD"/>
    <w:rsid w:val="00D10C41"/>
    <w:rsid w:val="00D10C57"/>
    <w:rsid w:val="00D10C83"/>
    <w:rsid w:val="00D10CF3"/>
    <w:rsid w:val="00D10CF8"/>
    <w:rsid w:val="00D10DF0"/>
    <w:rsid w:val="00D10E56"/>
    <w:rsid w:val="00D10F3E"/>
    <w:rsid w:val="00D10F5D"/>
    <w:rsid w:val="00D10F7E"/>
    <w:rsid w:val="00D11037"/>
    <w:rsid w:val="00D1115E"/>
    <w:rsid w:val="00D111F6"/>
    <w:rsid w:val="00D1122E"/>
    <w:rsid w:val="00D11252"/>
    <w:rsid w:val="00D1126A"/>
    <w:rsid w:val="00D1126E"/>
    <w:rsid w:val="00D1133D"/>
    <w:rsid w:val="00D11386"/>
    <w:rsid w:val="00D113CF"/>
    <w:rsid w:val="00D1145E"/>
    <w:rsid w:val="00D114C4"/>
    <w:rsid w:val="00D114C5"/>
    <w:rsid w:val="00D114CE"/>
    <w:rsid w:val="00D114D6"/>
    <w:rsid w:val="00D11573"/>
    <w:rsid w:val="00D1158D"/>
    <w:rsid w:val="00D11757"/>
    <w:rsid w:val="00D117A4"/>
    <w:rsid w:val="00D117CC"/>
    <w:rsid w:val="00D117F3"/>
    <w:rsid w:val="00D118A6"/>
    <w:rsid w:val="00D1193B"/>
    <w:rsid w:val="00D11988"/>
    <w:rsid w:val="00D1198C"/>
    <w:rsid w:val="00D11A14"/>
    <w:rsid w:val="00D11A2B"/>
    <w:rsid w:val="00D11A3B"/>
    <w:rsid w:val="00D11AB9"/>
    <w:rsid w:val="00D11B15"/>
    <w:rsid w:val="00D11BB0"/>
    <w:rsid w:val="00D11BB7"/>
    <w:rsid w:val="00D11BCE"/>
    <w:rsid w:val="00D11BDE"/>
    <w:rsid w:val="00D11CAB"/>
    <w:rsid w:val="00D11DBF"/>
    <w:rsid w:val="00D11DC9"/>
    <w:rsid w:val="00D11E44"/>
    <w:rsid w:val="00D11E9C"/>
    <w:rsid w:val="00D11E9D"/>
    <w:rsid w:val="00D11FDD"/>
    <w:rsid w:val="00D11FEF"/>
    <w:rsid w:val="00D12011"/>
    <w:rsid w:val="00D12038"/>
    <w:rsid w:val="00D1205F"/>
    <w:rsid w:val="00D120CC"/>
    <w:rsid w:val="00D1215A"/>
    <w:rsid w:val="00D12192"/>
    <w:rsid w:val="00D121A2"/>
    <w:rsid w:val="00D121BC"/>
    <w:rsid w:val="00D121E8"/>
    <w:rsid w:val="00D1222A"/>
    <w:rsid w:val="00D1229E"/>
    <w:rsid w:val="00D122C6"/>
    <w:rsid w:val="00D122DD"/>
    <w:rsid w:val="00D1235A"/>
    <w:rsid w:val="00D12383"/>
    <w:rsid w:val="00D12488"/>
    <w:rsid w:val="00D124E1"/>
    <w:rsid w:val="00D12517"/>
    <w:rsid w:val="00D1251F"/>
    <w:rsid w:val="00D1258B"/>
    <w:rsid w:val="00D12592"/>
    <w:rsid w:val="00D12638"/>
    <w:rsid w:val="00D126C7"/>
    <w:rsid w:val="00D12771"/>
    <w:rsid w:val="00D1277D"/>
    <w:rsid w:val="00D127A9"/>
    <w:rsid w:val="00D127B3"/>
    <w:rsid w:val="00D12823"/>
    <w:rsid w:val="00D12855"/>
    <w:rsid w:val="00D1285C"/>
    <w:rsid w:val="00D1286A"/>
    <w:rsid w:val="00D12982"/>
    <w:rsid w:val="00D129BE"/>
    <w:rsid w:val="00D129C0"/>
    <w:rsid w:val="00D12A06"/>
    <w:rsid w:val="00D12A20"/>
    <w:rsid w:val="00D12A37"/>
    <w:rsid w:val="00D12AB7"/>
    <w:rsid w:val="00D12B89"/>
    <w:rsid w:val="00D12BA7"/>
    <w:rsid w:val="00D12BB5"/>
    <w:rsid w:val="00D12C0B"/>
    <w:rsid w:val="00D12C67"/>
    <w:rsid w:val="00D12EA6"/>
    <w:rsid w:val="00D12F1B"/>
    <w:rsid w:val="00D12F7D"/>
    <w:rsid w:val="00D12F87"/>
    <w:rsid w:val="00D12FAE"/>
    <w:rsid w:val="00D12FEA"/>
    <w:rsid w:val="00D12FF7"/>
    <w:rsid w:val="00D130D6"/>
    <w:rsid w:val="00D13180"/>
    <w:rsid w:val="00D131E2"/>
    <w:rsid w:val="00D1320F"/>
    <w:rsid w:val="00D13302"/>
    <w:rsid w:val="00D1335B"/>
    <w:rsid w:val="00D133C4"/>
    <w:rsid w:val="00D133C6"/>
    <w:rsid w:val="00D134B1"/>
    <w:rsid w:val="00D1353F"/>
    <w:rsid w:val="00D135B5"/>
    <w:rsid w:val="00D135F9"/>
    <w:rsid w:val="00D13627"/>
    <w:rsid w:val="00D13642"/>
    <w:rsid w:val="00D13752"/>
    <w:rsid w:val="00D13755"/>
    <w:rsid w:val="00D13865"/>
    <w:rsid w:val="00D13890"/>
    <w:rsid w:val="00D138D8"/>
    <w:rsid w:val="00D139AD"/>
    <w:rsid w:val="00D139C9"/>
    <w:rsid w:val="00D13A9F"/>
    <w:rsid w:val="00D13AC6"/>
    <w:rsid w:val="00D13BA8"/>
    <w:rsid w:val="00D13C30"/>
    <w:rsid w:val="00D13D68"/>
    <w:rsid w:val="00D13D69"/>
    <w:rsid w:val="00D13D7D"/>
    <w:rsid w:val="00D13DAF"/>
    <w:rsid w:val="00D13E96"/>
    <w:rsid w:val="00D13EEF"/>
    <w:rsid w:val="00D14048"/>
    <w:rsid w:val="00D1405C"/>
    <w:rsid w:val="00D14083"/>
    <w:rsid w:val="00D1409F"/>
    <w:rsid w:val="00D140D5"/>
    <w:rsid w:val="00D14121"/>
    <w:rsid w:val="00D14192"/>
    <w:rsid w:val="00D14198"/>
    <w:rsid w:val="00D141B1"/>
    <w:rsid w:val="00D141D6"/>
    <w:rsid w:val="00D14220"/>
    <w:rsid w:val="00D1423E"/>
    <w:rsid w:val="00D142BB"/>
    <w:rsid w:val="00D142CA"/>
    <w:rsid w:val="00D14315"/>
    <w:rsid w:val="00D14339"/>
    <w:rsid w:val="00D14423"/>
    <w:rsid w:val="00D14493"/>
    <w:rsid w:val="00D14575"/>
    <w:rsid w:val="00D1458B"/>
    <w:rsid w:val="00D14636"/>
    <w:rsid w:val="00D14658"/>
    <w:rsid w:val="00D146C4"/>
    <w:rsid w:val="00D146F9"/>
    <w:rsid w:val="00D147ED"/>
    <w:rsid w:val="00D1487D"/>
    <w:rsid w:val="00D1487E"/>
    <w:rsid w:val="00D14932"/>
    <w:rsid w:val="00D14981"/>
    <w:rsid w:val="00D149AE"/>
    <w:rsid w:val="00D14A6D"/>
    <w:rsid w:val="00D14B3B"/>
    <w:rsid w:val="00D14B70"/>
    <w:rsid w:val="00D14BFB"/>
    <w:rsid w:val="00D14C34"/>
    <w:rsid w:val="00D14C64"/>
    <w:rsid w:val="00D14C88"/>
    <w:rsid w:val="00D14CB0"/>
    <w:rsid w:val="00D14D05"/>
    <w:rsid w:val="00D14D29"/>
    <w:rsid w:val="00D14DAB"/>
    <w:rsid w:val="00D14DB7"/>
    <w:rsid w:val="00D14DCB"/>
    <w:rsid w:val="00D14E59"/>
    <w:rsid w:val="00D14E92"/>
    <w:rsid w:val="00D14E9F"/>
    <w:rsid w:val="00D14F42"/>
    <w:rsid w:val="00D14FA3"/>
    <w:rsid w:val="00D14FF4"/>
    <w:rsid w:val="00D1508E"/>
    <w:rsid w:val="00D150A1"/>
    <w:rsid w:val="00D150F1"/>
    <w:rsid w:val="00D15126"/>
    <w:rsid w:val="00D15317"/>
    <w:rsid w:val="00D153FC"/>
    <w:rsid w:val="00D154BB"/>
    <w:rsid w:val="00D154C5"/>
    <w:rsid w:val="00D154C9"/>
    <w:rsid w:val="00D154D2"/>
    <w:rsid w:val="00D15528"/>
    <w:rsid w:val="00D15533"/>
    <w:rsid w:val="00D1553D"/>
    <w:rsid w:val="00D15568"/>
    <w:rsid w:val="00D155DA"/>
    <w:rsid w:val="00D1568F"/>
    <w:rsid w:val="00D156CF"/>
    <w:rsid w:val="00D156E9"/>
    <w:rsid w:val="00D15767"/>
    <w:rsid w:val="00D15795"/>
    <w:rsid w:val="00D15831"/>
    <w:rsid w:val="00D1588F"/>
    <w:rsid w:val="00D158C7"/>
    <w:rsid w:val="00D158DA"/>
    <w:rsid w:val="00D15951"/>
    <w:rsid w:val="00D1596E"/>
    <w:rsid w:val="00D15986"/>
    <w:rsid w:val="00D15A5F"/>
    <w:rsid w:val="00D15AC9"/>
    <w:rsid w:val="00D15B45"/>
    <w:rsid w:val="00D15B8E"/>
    <w:rsid w:val="00D15BA7"/>
    <w:rsid w:val="00D15C3A"/>
    <w:rsid w:val="00D15C5A"/>
    <w:rsid w:val="00D15CD4"/>
    <w:rsid w:val="00D15CF4"/>
    <w:rsid w:val="00D15D4A"/>
    <w:rsid w:val="00D15DD4"/>
    <w:rsid w:val="00D15E04"/>
    <w:rsid w:val="00D15E0E"/>
    <w:rsid w:val="00D15E1F"/>
    <w:rsid w:val="00D15F28"/>
    <w:rsid w:val="00D15F4F"/>
    <w:rsid w:val="00D1600F"/>
    <w:rsid w:val="00D16017"/>
    <w:rsid w:val="00D16018"/>
    <w:rsid w:val="00D16071"/>
    <w:rsid w:val="00D16145"/>
    <w:rsid w:val="00D1615B"/>
    <w:rsid w:val="00D1622E"/>
    <w:rsid w:val="00D16342"/>
    <w:rsid w:val="00D163AC"/>
    <w:rsid w:val="00D16413"/>
    <w:rsid w:val="00D1646D"/>
    <w:rsid w:val="00D1654D"/>
    <w:rsid w:val="00D165BA"/>
    <w:rsid w:val="00D1660B"/>
    <w:rsid w:val="00D16703"/>
    <w:rsid w:val="00D1674A"/>
    <w:rsid w:val="00D1677B"/>
    <w:rsid w:val="00D16793"/>
    <w:rsid w:val="00D16797"/>
    <w:rsid w:val="00D16937"/>
    <w:rsid w:val="00D1694F"/>
    <w:rsid w:val="00D16995"/>
    <w:rsid w:val="00D169F4"/>
    <w:rsid w:val="00D16A0C"/>
    <w:rsid w:val="00D16A5A"/>
    <w:rsid w:val="00D16A9E"/>
    <w:rsid w:val="00D16B39"/>
    <w:rsid w:val="00D16B66"/>
    <w:rsid w:val="00D16B85"/>
    <w:rsid w:val="00D16BAC"/>
    <w:rsid w:val="00D16CB4"/>
    <w:rsid w:val="00D16CB8"/>
    <w:rsid w:val="00D16CBD"/>
    <w:rsid w:val="00D16D25"/>
    <w:rsid w:val="00D16DF6"/>
    <w:rsid w:val="00D16E19"/>
    <w:rsid w:val="00D16EC0"/>
    <w:rsid w:val="00D16EE3"/>
    <w:rsid w:val="00D16F78"/>
    <w:rsid w:val="00D16FA3"/>
    <w:rsid w:val="00D170C9"/>
    <w:rsid w:val="00D170CE"/>
    <w:rsid w:val="00D1714C"/>
    <w:rsid w:val="00D17177"/>
    <w:rsid w:val="00D171EE"/>
    <w:rsid w:val="00D17251"/>
    <w:rsid w:val="00D17281"/>
    <w:rsid w:val="00D173F2"/>
    <w:rsid w:val="00D1740B"/>
    <w:rsid w:val="00D17491"/>
    <w:rsid w:val="00D174EC"/>
    <w:rsid w:val="00D174F1"/>
    <w:rsid w:val="00D1754D"/>
    <w:rsid w:val="00D175B9"/>
    <w:rsid w:val="00D175C6"/>
    <w:rsid w:val="00D175EA"/>
    <w:rsid w:val="00D17719"/>
    <w:rsid w:val="00D17820"/>
    <w:rsid w:val="00D17936"/>
    <w:rsid w:val="00D17960"/>
    <w:rsid w:val="00D17961"/>
    <w:rsid w:val="00D17990"/>
    <w:rsid w:val="00D179DA"/>
    <w:rsid w:val="00D17A56"/>
    <w:rsid w:val="00D17A84"/>
    <w:rsid w:val="00D17BF0"/>
    <w:rsid w:val="00D17BFF"/>
    <w:rsid w:val="00D17C0B"/>
    <w:rsid w:val="00D17C26"/>
    <w:rsid w:val="00D17CCC"/>
    <w:rsid w:val="00D17F91"/>
    <w:rsid w:val="00D17F92"/>
    <w:rsid w:val="00D20009"/>
    <w:rsid w:val="00D20031"/>
    <w:rsid w:val="00D200B5"/>
    <w:rsid w:val="00D200CB"/>
    <w:rsid w:val="00D20164"/>
    <w:rsid w:val="00D20167"/>
    <w:rsid w:val="00D2019D"/>
    <w:rsid w:val="00D20236"/>
    <w:rsid w:val="00D2024C"/>
    <w:rsid w:val="00D20318"/>
    <w:rsid w:val="00D20469"/>
    <w:rsid w:val="00D20487"/>
    <w:rsid w:val="00D20585"/>
    <w:rsid w:val="00D206D4"/>
    <w:rsid w:val="00D2072D"/>
    <w:rsid w:val="00D20776"/>
    <w:rsid w:val="00D20804"/>
    <w:rsid w:val="00D20839"/>
    <w:rsid w:val="00D20887"/>
    <w:rsid w:val="00D208B3"/>
    <w:rsid w:val="00D20969"/>
    <w:rsid w:val="00D20971"/>
    <w:rsid w:val="00D20A03"/>
    <w:rsid w:val="00D20A39"/>
    <w:rsid w:val="00D20A48"/>
    <w:rsid w:val="00D20A5F"/>
    <w:rsid w:val="00D20A99"/>
    <w:rsid w:val="00D20B67"/>
    <w:rsid w:val="00D20BC3"/>
    <w:rsid w:val="00D20BEC"/>
    <w:rsid w:val="00D20C83"/>
    <w:rsid w:val="00D20CD4"/>
    <w:rsid w:val="00D20D1B"/>
    <w:rsid w:val="00D20DB9"/>
    <w:rsid w:val="00D20E2F"/>
    <w:rsid w:val="00D20E3D"/>
    <w:rsid w:val="00D20FAA"/>
    <w:rsid w:val="00D20FD4"/>
    <w:rsid w:val="00D2101C"/>
    <w:rsid w:val="00D210AE"/>
    <w:rsid w:val="00D210E9"/>
    <w:rsid w:val="00D211A1"/>
    <w:rsid w:val="00D2129F"/>
    <w:rsid w:val="00D212A6"/>
    <w:rsid w:val="00D21341"/>
    <w:rsid w:val="00D21349"/>
    <w:rsid w:val="00D21352"/>
    <w:rsid w:val="00D21363"/>
    <w:rsid w:val="00D2139D"/>
    <w:rsid w:val="00D213AC"/>
    <w:rsid w:val="00D213B9"/>
    <w:rsid w:val="00D21443"/>
    <w:rsid w:val="00D21617"/>
    <w:rsid w:val="00D21638"/>
    <w:rsid w:val="00D21653"/>
    <w:rsid w:val="00D2174A"/>
    <w:rsid w:val="00D2178F"/>
    <w:rsid w:val="00D217CF"/>
    <w:rsid w:val="00D217E9"/>
    <w:rsid w:val="00D21917"/>
    <w:rsid w:val="00D2194E"/>
    <w:rsid w:val="00D219B6"/>
    <w:rsid w:val="00D21A9F"/>
    <w:rsid w:val="00D21AA7"/>
    <w:rsid w:val="00D21B3F"/>
    <w:rsid w:val="00D21BAE"/>
    <w:rsid w:val="00D21BB4"/>
    <w:rsid w:val="00D21C3D"/>
    <w:rsid w:val="00D21C87"/>
    <w:rsid w:val="00D21CD0"/>
    <w:rsid w:val="00D21CDE"/>
    <w:rsid w:val="00D21CE6"/>
    <w:rsid w:val="00D21D19"/>
    <w:rsid w:val="00D21DCF"/>
    <w:rsid w:val="00D21E2A"/>
    <w:rsid w:val="00D21EDA"/>
    <w:rsid w:val="00D21F1F"/>
    <w:rsid w:val="00D21F84"/>
    <w:rsid w:val="00D21FE2"/>
    <w:rsid w:val="00D22002"/>
    <w:rsid w:val="00D220F2"/>
    <w:rsid w:val="00D220FE"/>
    <w:rsid w:val="00D2220C"/>
    <w:rsid w:val="00D22292"/>
    <w:rsid w:val="00D22297"/>
    <w:rsid w:val="00D2233E"/>
    <w:rsid w:val="00D223C8"/>
    <w:rsid w:val="00D223D5"/>
    <w:rsid w:val="00D22415"/>
    <w:rsid w:val="00D22499"/>
    <w:rsid w:val="00D224DE"/>
    <w:rsid w:val="00D22530"/>
    <w:rsid w:val="00D2258E"/>
    <w:rsid w:val="00D2263A"/>
    <w:rsid w:val="00D22691"/>
    <w:rsid w:val="00D22744"/>
    <w:rsid w:val="00D227AC"/>
    <w:rsid w:val="00D227E7"/>
    <w:rsid w:val="00D22883"/>
    <w:rsid w:val="00D228A1"/>
    <w:rsid w:val="00D228E6"/>
    <w:rsid w:val="00D2294A"/>
    <w:rsid w:val="00D229AC"/>
    <w:rsid w:val="00D229BD"/>
    <w:rsid w:val="00D229CC"/>
    <w:rsid w:val="00D22AFC"/>
    <w:rsid w:val="00D22B0E"/>
    <w:rsid w:val="00D22BAA"/>
    <w:rsid w:val="00D22BB1"/>
    <w:rsid w:val="00D22BD7"/>
    <w:rsid w:val="00D22C62"/>
    <w:rsid w:val="00D22C88"/>
    <w:rsid w:val="00D22CAF"/>
    <w:rsid w:val="00D22CD3"/>
    <w:rsid w:val="00D22D15"/>
    <w:rsid w:val="00D22D57"/>
    <w:rsid w:val="00D22D9C"/>
    <w:rsid w:val="00D22DA7"/>
    <w:rsid w:val="00D22DE7"/>
    <w:rsid w:val="00D22E06"/>
    <w:rsid w:val="00D22E24"/>
    <w:rsid w:val="00D22EBB"/>
    <w:rsid w:val="00D22ED0"/>
    <w:rsid w:val="00D22F40"/>
    <w:rsid w:val="00D22F63"/>
    <w:rsid w:val="00D23078"/>
    <w:rsid w:val="00D230BC"/>
    <w:rsid w:val="00D2315F"/>
    <w:rsid w:val="00D2316D"/>
    <w:rsid w:val="00D23202"/>
    <w:rsid w:val="00D2324F"/>
    <w:rsid w:val="00D2327B"/>
    <w:rsid w:val="00D233AC"/>
    <w:rsid w:val="00D23424"/>
    <w:rsid w:val="00D235B4"/>
    <w:rsid w:val="00D235E3"/>
    <w:rsid w:val="00D23701"/>
    <w:rsid w:val="00D237FA"/>
    <w:rsid w:val="00D23808"/>
    <w:rsid w:val="00D2381D"/>
    <w:rsid w:val="00D23861"/>
    <w:rsid w:val="00D2387B"/>
    <w:rsid w:val="00D238C8"/>
    <w:rsid w:val="00D238D5"/>
    <w:rsid w:val="00D23991"/>
    <w:rsid w:val="00D23A8C"/>
    <w:rsid w:val="00D23B2A"/>
    <w:rsid w:val="00D23B7E"/>
    <w:rsid w:val="00D23C32"/>
    <w:rsid w:val="00D23C55"/>
    <w:rsid w:val="00D23CE7"/>
    <w:rsid w:val="00D23CF1"/>
    <w:rsid w:val="00D23D0A"/>
    <w:rsid w:val="00D23DB6"/>
    <w:rsid w:val="00D23F08"/>
    <w:rsid w:val="00D23F1F"/>
    <w:rsid w:val="00D23F5B"/>
    <w:rsid w:val="00D23FCA"/>
    <w:rsid w:val="00D24045"/>
    <w:rsid w:val="00D24144"/>
    <w:rsid w:val="00D24172"/>
    <w:rsid w:val="00D24200"/>
    <w:rsid w:val="00D24214"/>
    <w:rsid w:val="00D2424A"/>
    <w:rsid w:val="00D242CB"/>
    <w:rsid w:val="00D242CC"/>
    <w:rsid w:val="00D24325"/>
    <w:rsid w:val="00D2432A"/>
    <w:rsid w:val="00D24349"/>
    <w:rsid w:val="00D243B5"/>
    <w:rsid w:val="00D243C6"/>
    <w:rsid w:val="00D243EE"/>
    <w:rsid w:val="00D244B2"/>
    <w:rsid w:val="00D244BD"/>
    <w:rsid w:val="00D244EA"/>
    <w:rsid w:val="00D244EC"/>
    <w:rsid w:val="00D24508"/>
    <w:rsid w:val="00D24550"/>
    <w:rsid w:val="00D2455D"/>
    <w:rsid w:val="00D24568"/>
    <w:rsid w:val="00D245F4"/>
    <w:rsid w:val="00D24621"/>
    <w:rsid w:val="00D24639"/>
    <w:rsid w:val="00D24668"/>
    <w:rsid w:val="00D246E2"/>
    <w:rsid w:val="00D24713"/>
    <w:rsid w:val="00D24715"/>
    <w:rsid w:val="00D2474D"/>
    <w:rsid w:val="00D247EE"/>
    <w:rsid w:val="00D24825"/>
    <w:rsid w:val="00D2485E"/>
    <w:rsid w:val="00D24870"/>
    <w:rsid w:val="00D24955"/>
    <w:rsid w:val="00D2496E"/>
    <w:rsid w:val="00D24974"/>
    <w:rsid w:val="00D249EA"/>
    <w:rsid w:val="00D24AA6"/>
    <w:rsid w:val="00D24AB7"/>
    <w:rsid w:val="00D24AD5"/>
    <w:rsid w:val="00D24AF1"/>
    <w:rsid w:val="00D24B19"/>
    <w:rsid w:val="00D24C7A"/>
    <w:rsid w:val="00D24D14"/>
    <w:rsid w:val="00D24DB2"/>
    <w:rsid w:val="00D24E19"/>
    <w:rsid w:val="00D24F00"/>
    <w:rsid w:val="00D24F05"/>
    <w:rsid w:val="00D24F4D"/>
    <w:rsid w:val="00D24FBE"/>
    <w:rsid w:val="00D2503F"/>
    <w:rsid w:val="00D250CF"/>
    <w:rsid w:val="00D2514B"/>
    <w:rsid w:val="00D2516B"/>
    <w:rsid w:val="00D25305"/>
    <w:rsid w:val="00D25367"/>
    <w:rsid w:val="00D25382"/>
    <w:rsid w:val="00D253C7"/>
    <w:rsid w:val="00D253FB"/>
    <w:rsid w:val="00D254B9"/>
    <w:rsid w:val="00D254C9"/>
    <w:rsid w:val="00D25539"/>
    <w:rsid w:val="00D25550"/>
    <w:rsid w:val="00D255D0"/>
    <w:rsid w:val="00D255F4"/>
    <w:rsid w:val="00D2569B"/>
    <w:rsid w:val="00D256BB"/>
    <w:rsid w:val="00D2577B"/>
    <w:rsid w:val="00D25797"/>
    <w:rsid w:val="00D2587C"/>
    <w:rsid w:val="00D258D0"/>
    <w:rsid w:val="00D258E5"/>
    <w:rsid w:val="00D258E9"/>
    <w:rsid w:val="00D25960"/>
    <w:rsid w:val="00D259A7"/>
    <w:rsid w:val="00D25A1E"/>
    <w:rsid w:val="00D25A28"/>
    <w:rsid w:val="00D25B94"/>
    <w:rsid w:val="00D25BC7"/>
    <w:rsid w:val="00D25BD3"/>
    <w:rsid w:val="00D25C19"/>
    <w:rsid w:val="00D25C55"/>
    <w:rsid w:val="00D25CCC"/>
    <w:rsid w:val="00D25CE5"/>
    <w:rsid w:val="00D25E1C"/>
    <w:rsid w:val="00D25F4D"/>
    <w:rsid w:val="00D25FA7"/>
    <w:rsid w:val="00D2609A"/>
    <w:rsid w:val="00D260A1"/>
    <w:rsid w:val="00D260FD"/>
    <w:rsid w:val="00D26128"/>
    <w:rsid w:val="00D261E7"/>
    <w:rsid w:val="00D262EA"/>
    <w:rsid w:val="00D2635D"/>
    <w:rsid w:val="00D2639D"/>
    <w:rsid w:val="00D26420"/>
    <w:rsid w:val="00D26462"/>
    <w:rsid w:val="00D264E7"/>
    <w:rsid w:val="00D26543"/>
    <w:rsid w:val="00D2659C"/>
    <w:rsid w:val="00D26709"/>
    <w:rsid w:val="00D2673D"/>
    <w:rsid w:val="00D267C1"/>
    <w:rsid w:val="00D267D3"/>
    <w:rsid w:val="00D267E1"/>
    <w:rsid w:val="00D268D4"/>
    <w:rsid w:val="00D2692C"/>
    <w:rsid w:val="00D26954"/>
    <w:rsid w:val="00D2697A"/>
    <w:rsid w:val="00D26A3E"/>
    <w:rsid w:val="00D26B10"/>
    <w:rsid w:val="00D26B8C"/>
    <w:rsid w:val="00D26BCE"/>
    <w:rsid w:val="00D26C74"/>
    <w:rsid w:val="00D26C7B"/>
    <w:rsid w:val="00D26D01"/>
    <w:rsid w:val="00D26D28"/>
    <w:rsid w:val="00D26D5F"/>
    <w:rsid w:val="00D26DDB"/>
    <w:rsid w:val="00D26E1C"/>
    <w:rsid w:val="00D26EFE"/>
    <w:rsid w:val="00D26F95"/>
    <w:rsid w:val="00D27063"/>
    <w:rsid w:val="00D270F4"/>
    <w:rsid w:val="00D2712F"/>
    <w:rsid w:val="00D27187"/>
    <w:rsid w:val="00D27197"/>
    <w:rsid w:val="00D271E9"/>
    <w:rsid w:val="00D27205"/>
    <w:rsid w:val="00D27208"/>
    <w:rsid w:val="00D27223"/>
    <w:rsid w:val="00D2724E"/>
    <w:rsid w:val="00D27250"/>
    <w:rsid w:val="00D272C2"/>
    <w:rsid w:val="00D272E2"/>
    <w:rsid w:val="00D27394"/>
    <w:rsid w:val="00D27461"/>
    <w:rsid w:val="00D27478"/>
    <w:rsid w:val="00D2747F"/>
    <w:rsid w:val="00D2762B"/>
    <w:rsid w:val="00D27672"/>
    <w:rsid w:val="00D27686"/>
    <w:rsid w:val="00D276B3"/>
    <w:rsid w:val="00D276F7"/>
    <w:rsid w:val="00D27713"/>
    <w:rsid w:val="00D27748"/>
    <w:rsid w:val="00D2775D"/>
    <w:rsid w:val="00D27804"/>
    <w:rsid w:val="00D27834"/>
    <w:rsid w:val="00D2785B"/>
    <w:rsid w:val="00D27868"/>
    <w:rsid w:val="00D27896"/>
    <w:rsid w:val="00D2789A"/>
    <w:rsid w:val="00D27900"/>
    <w:rsid w:val="00D279B6"/>
    <w:rsid w:val="00D279DD"/>
    <w:rsid w:val="00D27A24"/>
    <w:rsid w:val="00D27A2A"/>
    <w:rsid w:val="00D27A5E"/>
    <w:rsid w:val="00D27A7A"/>
    <w:rsid w:val="00D27B3E"/>
    <w:rsid w:val="00D27CBA"/>
    <w:rsid w:val="00D27CD5"/>
    <w:rsid w:val="00D27D3A"/>
    <w:rsid w:val="00D27D73"/>
    <w:rsid w:val="00D27DAE"/>
    <w:rsid w:val="00D27E14"/>
    <w:rsid w:val="00D30027"/>
    <w:rsid w:val="00D300CB"/>
    <w:rsid w:val="00D30166"/>
    <w:rsid w:val="00D3019B"/>
    <w:rsid w:val="00D301E6"/>
    <w:rsid w:val="00D301FF"/>
    <w:rsid w:val="00D30206"/>
    <w:rsid w:val="00D3021F"/>
    <w:rsid w:val="00D302F0"/>
    <w:rsid w:val="00D30311"/>
    <w:rsid w:val="00D30458"/>
    <w:rsid w:val="00D304A7"/>
    <w:rsid w:val="00D304C6"/>
    <w:rsid w:val="00D3052B"/>
    <w:rsid w:val="00D30557"/>
    <w:rsid w:val="00D305AB"/>
    <w:rsid w:val="00D305D5"/>
    <w:rsid w:val="00D30621"/>
    <w:rsid w:val="00D30739"/>
    <w:rsid w:val="00D3090B"/>
    <w:rsid w:val="00D3095D"/>
    <w:rsid w:val="00D309B4"/>
    <w:rsid w:val="00D309E2"/>
    <w:rsid w:val="00D30A30"/>
    <w:rsid w:val="00D30A4F"/>
    <w:rsid w:val="00D30AAC"/>
    <w:rsid w:val="00D30AE3"/>
    <w:rsid w:val="00D30C22"/>
    <w:rsid w:val="00D30C71"/>
    <w:rsid w:val="00D30C8C"/>
    <w:rsid w:val="00D30C8E"/>
    <w:rsid w:val="00D30CEC"/>
    <w:rsid w:val="00D30D11"/>
    <w:rsid w:val="00D30D1D"/>
    <w:rsid w:val="00D30D3A"/>
    <w:rsid w:val="00D30D71"/>
    <w:rsid w:val="00D30D91"/>
    <w:rsid w:val="00D30D9E"/>
    <w:rsid w:val="00D30DB6"/>
    <w:rsid w:val="00D30DC8"/>
    <w:rsid w:val="00D30EF6"/>
    <w:rsid w:val="00D30FAA"/>
    <w:rsid w:val="00D30FB0"/>
    <w:rsid w:val="00D310BC"/>
    <w:rsid w:val="00D310E0"/>
    <w:rsid w:val="00D31179"/>
    <w:rsid w:val="00D3117F"/>
    <w:rsid w:val="00D311B4"/>
    <w:rsid w:val="00D311BA"/>
    <w:rsid w:val="00D31283"/>
    <w:rsid w:val="00D31294"/>
    <w:rsid w:val="00D312AF"/>
    <w:rsid w:val="00D312FB"/>
    <w:rsid w:val="00D313B3"/>
    <w:rsid w:val="00D313F1"/>
    <w:rsid w:val="00D31446"/>
    <w:rsid w:val="00D3157D"/>
    <w:rsid w:val="00D31632"/>
    <w:rsid w:val="00D31686"/>
    <w:rsid w:val="00D316B5"/>
    <w:rsid w:val="00D3177C"/>
    <w:rsid w:val="00D317A5"/>
    <w:rsid w:val="00D317DF"/>
    <w:rsid w:val="00D3186A"/>
    <w:rsid w:val="00D31881"/>
    <w:rsid w:val="00D318B2"/>
    <w:rsid w:val="00D319A4"/>
    <w:rsid w:val="00D319C2"/>
    <w:rsid w:val="00D31A4B"/>
    <w:rsid w:val="00D31B3E"/>
    <w:rsid w:val="00D31B87"/>
    <w:rsid w:val="00D31BF0"/>
    <w:rsid w:val="00D31BF3"/>
    <w:rsid w:val="00D31C0F"/>
    <w:rsid w:val="00D31CBE"/>
    <w:rsid w:val="00D31D7E"/>
    <w:rsid w:val="00D31DF8"/>
    <w:rsid w:val="00D31E0D"/>
    <w:rsid w:val="00D31E35"/>
    <w:rsid w:val="00D31E76"/>
    <w:rsid w:val="00D31F75"/>
    <w:rsid w:val="00D32006"/>
    <w:rsid w:val="00D32024"/>
    <w:rsid w:val="00D320DB"/>
    <w:rsid w:val="00D32152"/>
    <w:rsid w:val="00D321F3"/>
    <w:rsid w:val="00D322EA"/>
    <w:rsid w:val="00D32379"/>
    <w:rsid w:val="00D3240B"/>
    <w:rsid w:val="00D325ED"/>
    <w:rsid w:val="00D32625"/>
    <w:rsid w:val="00D32629"/>
    <w:rsid w:val="00D32766"/>
    <w:rsid w:val="00D327C3"/>
    <w:rsid w:val="00D32913"/>
    <w:rsid w:val="00D3292B"/>
    <w:rsid w:val="00D3296E"/>
    <w:rsid w:val="00D32987"/>
    <w:rsid w:val="00D32A52"/>
    <w:rsid w:val="00D32B1C"/>
    <w:rsid w:val="00D32B41"/>
    <w:rsid w:val="00D32C03"/>
    <w:rsid w:val="00D32C0C"/>
    <w:rsid w:val="00D32D3C"/>
    <w:rsid w:val="00D32D4F"/>
    <w:rsid w:val="00D32D5B"/>
    <w:rsid w:val="00D32D6A"/>
    <w:rsid w:val="00D32D7B"/>
    <w:rsid w:val="00D32D81"/>
    <w:rsid w:val="00D32D8B"/>
    <w:rsid w:val="00D32DA7"/>
    <w:rsid w:val="00D32E11"/>
    <w:rsid w:val="00D32E2A"/>
    <w:rsid w:val="00D32E5E"/>
    <w:rsid w:val="00D32EC5"/>
    <w:rsid w:val="00D32F04"/>
    <w:rsid w:val="00D32F5D"/>
    <w:rsid w:val="00D32F94"/>
    <w:rsid w:val="00D32FD5"/>
    <w:rsid w:val="00D32FED"/>
    <w:rsid w:val="00D33000"/>
    <w:rsid w:val="00D3303E"/>
    <w:rsid w:val="00D33042"/>
    <w:rsid w:val="00D3305B"/>
    <w:rsid w:val="00D330EA"/>
    <w:rsid w:val="00D331A0"/>
    <w:rsid w:val="00D331CE"/>
    <w:rsid w:val="00D331E9"/>
    <w:rsid w:val="00D33206"/>
    <w:rsid w:val="00D33209"/>
    <w:rsid w:val="00D33217"/>
    <w:rsid w:val="00D332B8"/>
    <w:rsid w:val="00D332C7"/>
    <w:rsid w:val="00D332E6"/>
    <w:rsid w:val="00D3334A"/>
    <w:rsid w:val="00D333A8"/>
    <w:rsid w:val="00D333AD"/>
    <w:rsid w:val="00D33526"/>
    <w:rsid w:val="00D33539"/>
    <w:rsid w:val="00D335AF"/>
    <w:rsid w:val="00D3364A"/>
    <w:rsid w:val="00D336FD"/>
    <w:rsid w:val="00D337F3"/>
    <w:rsid w:val="00D33804"/>
    <w:rsid w:val="00D33894"/>
    <w:rsid w:val="00D3390D"/>
    <w:rsid w:val="00D33948"/>
    <w:rsid w:val="00D339AB"/>
    <w:rsid w:val="00D33A62"/>
    <w:rsid w:val="00D33A75"/>
    <w:rsid w:val="00D33B3E"/>
    <w:rsid w:val="00D33C5E"/>
    <w:rsid w:val="00D33C79"/>
    <w:rsid w:val="00D33DFA"/>
    <w:rsid w:val="00D33DFE"/>
    <w:rsid w:val="00D33E05"/>
    <w:rsid w:val="00D33F02"/>
    <w:rsid w:val="00D33F79"/>
    <w:rsid w:val="00D340A0"/>
    <w:rsid w:val="00D340F2"/>
    <w:rsid w:val="00D34198"/>
    <w:rsid w:val="00D341F9"/>
    <w:rsid w:val="00D343EC"/>
    <w:rsid w:val="00D343F7"/>
    <w:rsid w:val="00D3442E"/>
    <w:rsid w:val="00D34466"/>
    <w:rsid w:val="00D344A5"/>
    <w:rsid w:val="00D344AA"/>
    <w:rsid w:val="00D345BA"/>
    <w:rsid w:val="00D346A0"/>
    <w:rsid w:val="00D347AD"/>
    <w:rsid w:val="00D34801"/>
    <w:rsid w:val="00D34868"/>
    <w:rsid w:val="00D34896"/>
    <w:rsid w:val="00D34929"/>
    <w:rsid w:val="00D349A7"/>
    <w:rsid w:val="00D34A52"/>
    <w:rsid w:val="00D34C5D"/>
    <w:rsid w:val="00D34C5E"/>
    <w:rsid w:val="00D34D00"/>
    <w:rsid w:val="00D34D1F"/>
    <w:rsid w:val="00D34D30"/>
    <w:rsid w:val="00D34E14"/>
    <w:rsid w:val="00D34E1D"/>
    <w:rsid w:val="00D34EC2"/>
    <w:rsid w:val="00D34F67"/>
    <w:rsid w:val="00D3503A"/>
    <w:rsid w:val="00D3507D"/>
    <w:rsid w:val="00D3527E"/>
    <w:rsid w:val="00D35299"/>
    <w:rsid w:val="00D352C7"/>
    <w:rsid w:val="00D3534B"/>
    <w:rsid w:val="00D35364"/>
    <w:rsid w:val="00D353A0"/>
    <w:rsid w:val="00D353BE"/>
    <w:rsid w:val="00D354EC"/>
    <w:rsid w:val="00D35566"/>
    <w:rsid w:val="00D355A7"/>
    <w:rsid w:val="00D35625"/>
    <w:rsid w:val="00D35647"/>
    <w:rsid w:val="00D35687"/>
    <w:rsid w:val="00D35883"/>
    <w:rsid w:val="00D358AC"/>
    <w:rsid w:val="00D358D7"/>
    <w:rsid w:val="00D358F7"/>
    <w:rsid w:val="00D3594B"/>
    <w:rsid w:val="00D3595A"/>
    <w:rsid w:val="00D35981"/>
    <w:rsid w:val="00D35A52"/>
    <w:rsid w:val="00D35A62"/>
    <w:rsid w:val="00D35B94"/>
    <w:rsid w:val="00D35BCA"/>
    <w:rsid w:val="00D35BED"/>
    <w:rsid w:val="00D35C5D"/>
    <w:rsid w:val="00D35CA6"/>
    <w:rsid w:val="00D35D6B"/>
    <w:rsid w:val="00D35D78"/>
    <w:rsid w:val="00D35DEF"/>
    <w:rsid w:val="00D35EDB"/>
    <w:rsid w:val="00D35F14"/>
    <w:rsid w:val="00D35F4C"/>
    <w:rsid w:val="00D35FA9"/>
    <w:rsid w:val="00D35FB3"/>
    <w:rsid w:val="00D3602D"/>
    <w:rsid w:val="00D36031"/>
    <w:rsid w:val="00D360D1"/>
    <w:rsid w:val="00D36146"/>
    <w:rsid w:val="00D3619F"/>
    <w:rsid w:val="00D361B4"/>
    <w:rsid w:val="00D3620A"/>
    <w:rsid w:val="00D362F0"/>
    <w:rsid w:val="00D36376"/>
    <w:rsid w:val="00D36381"/>
    <w:rsid w:val="00D36397"/>
    <w:rsid w:val="00D3639E"/>
    <w:rsid w:val="00D36403"/>
    <w:rsid w:val="00D3640F"/>
    <w:rsid w:val="00D3652B"/>
    <w:rsid w:val="00D365C8"/>
    <w:rsid w:val="00D365E2"/>
    <w:rsid w:val="00D3660E"/>
    <w:rsid w:val="00D3666B"/>
    <w:rsid w:val="00D36714"/>
    <w:rsid w:val="00D367DD"/>
    <w:rsid w:val="00D368E3"/>
    <w:rsid w:val="00D368E9"/>
    <w:rsid w:val="00D36945"/>
    <w:rsid w:val="00D36964"/>
    <w:rsid w:val="00D3696C"/>
    <w:rsid w:val="00D369A0"/>
    <w:rsid w:val="00D369EC"/>
    <w:rsid w:val="00D36AF5"/>
    <w:rsid w:val="00D36BA2"/>
    <w:rsid w:val="00D36BCC"/>
    <w:rsid w:val="00D36BF7"/>
    <w:rsid w:val="00D36D73"/>
    <w:rsid w:val="00D36DA5"/>
    <w:rsid w:val="00D36E03"/>
    <w:rsid w:val="00D36E44"/>
    <w:rsid w:val="00D36E67"/>
    <w:rsid w:val="00D36EBC"/>
    <w:rsid w:val="00D36FB8"/>
    <w:rsid w:val="00D37055"/>
    <w:rsid w:val="00D37085"/>
    <w:rsid w:val="00D370FA"/>
    <w:rsid w:val="00D3710F"/>
    <w:rsid w:val="00D37153"/>
    <w:rsid w:val="00D37218"/>
    <w:rsid w:val="00D3726E"/>
    <w:rsid w:val="00D372B6"/>
    <w:rsid w:val="00D37333"/>
    <w:rsid w:val="00D37394"/>
    <w:rsid w:val="00D373AD"/>
    <w:rsid w:val="00D3746A"/>
    <w:rsid w:val="00D3760C"/>
    <w:rsid w:val="00D376F1"/>
    <w:rsid w:val="00D37749"/>
    <w:rsid w:val="00D3775E"/>
    <w:rsid w:val="00D377D5"/>
    <w:rsid w:val="00D37921"/>
    <w:rsid w:val="00D379DB"/>
    <w:rsid w:val="00D379E3"/>
    <w:rsid w:val="00D37A02"/>
    <w:rsid w:val="00D37B07"/>
    <w:rsid w:val="00D37B4C"/>
    <w:rsid w:val="00D37B55"/>
    <w:rsid w:val="00D37D4B"/>
    <w:rsid w:val="00D37E4F"/>
    <w:rsid w:val="00D37ED5"/>
    <w:rsid w:val="00D37EF5"/>
    <w:rsid w:val="00D37F93"/>
    <w:rsid w:val="00D40055"/>
    <w:rsid w:val="00D40116"/>
    <w:rsid w:val="00D401AB"/>
    <w:rsid w:val="00D401DD"/>
    <w:rsid w:val="00D40221"/>
    <w:rsid w:val="00D40294"/>
    <w:rsid w:val="00D402BB"/>
    <w:rsid w:val="00D402DB"/>
    <w:rsid w:val="00D40301"/>
    <w:rsid w:val="00D4030D"/>
    <w:rsid w:val="00D40398"/>
    <w:rsid w:val="00D403B7"/>
    <w:rsid w:val="00D403BF"/>
    <w:rsid w:val="00D403ED"/>
    <w:rsid w:val="00D403F1"/>
    <w:rsid w:val="00D4042F"/>
    <w:rsid w:val="00D40475"/>
    <w:rsid w:val="00D40484"/>
    <w:rsid w:val="00D404AA"/>
    <w:rsid w:val="00D40510"/>
    <w:rsid w:val="00D405A9"/>
    <w:rsid w:val="00D405AB"/>
    <w:rsid w:val="00D4061B"/>
    <w:rsid w:val="00D40704"/>
    <w:rsid w:val="00D4071F"/>
    <w:rsid w:val="00D40786"/>
    <w:rsid w:val="00D407AF"/>
    <w:rsid w:val="00D407D7"/>
    <w:rsid w:val="00D407D8"/>
    <w:rsid w:val="00D40815"/>
    <w:rsid w:val="00D408A5"/>
    <w:rsid w:val="00D4093F"/>
    <w:rsid w:val="00D40965"/>
    <w:rsid w:val="00D409BD"/>
    <w:rsid w:val="00D40A3B"/>
    <w:rsid w:val="00D40AAD"/>
    <w:rsid w:val="00D40B66"/>
    <w:rsid w:val="00D40B8F"/>
    <w:rsid w:val="00D40BBA"/>
    <w:rsid w:val="00D40C4D"/>
    <w:rsid w:val="00D40CD4"/>
    <w:rsid w:val="00D40CE7"/>
    <w:rsid w:val="00D40CF7"/>
    <w:rsid w:val="00D40D04"/>
    <w:rsid w:val="00D40D5A"/>
    <w:rsid w:val="00D40D6A"/>
    <w:rsid w:val="00D40D83"/>
    <w:rsid w:val="00D40DBD"/>
    <w:rsid w:val="00D40E12"/>
    <w:rsid w:val="00D40E18"/>
    <w:rsid w:val="00D40E2C"/>
    <w:rsid w:val="00D40F7A"/>
    <w:rsid w:val="00D40FC8"/>
    <w:rsid w:val="00D40FFA"/>
    <w:rsid w:val="00D410AD"/>
    <w:rsid w:val="00D41152"/>
    <w:rsid w:val="00D4117D"/>
    <w:rsid w:val="00D41286"/>
    <w:rsid w:val="00D413DF"/>
    <w:rsid w:val="00D413E5"/>
    <w:rsid w:val="00D413F5"/>
    <w:rsid w:val="00D41410"/>
    <w:rsid w:val="00D4143C"/>
    <w:rsid w:val="00D41462"/>
    <w:rsid w:val="00D41573"/>
    <w:rsid w:val="00D41578"/>
    <w:rsid w:val="00D415B9"/>
    <w:rsid w:val="00D41635"/>
    <w:rsid w:val="00D416AB"/>
    <w:rsid w:val="00D416B3"/>
    <w:rsid w:val="00D41768"/>
    <w:rsid w:val="00D417AA"/>
    <w:rsid w:val="00D41830"/>
    <w:rsid w:val="00D41865"/>
    <w:rsid w:val="00D41972"/>
    <w:rsid w:val="00D4197A"/>
    <w:rsid w:val="00D419C9"/>
    <w:rsid w:val="00D419E7"/>
    <w:rsid w:val="00D41A1B"/>
    <w:rsid w:val="00D41A42"/>
    <w:rsid w:val="00D41A6A"/>
    <w:rsid w:val="00D41ABF"/>
    <w:rsid w:val="00D41B44"/>
    <w:rsid w:val="00D41C73"/>
    <w:rsid w:val="00D41CEE"/>
    <w:rsid w:val="00D41E2D"/>
    <w:rsid w:val="00D41EF0"/>
    <w:rsid w:val="00D41F18"/>
    <w:rsid w:val="00D42058"/>
    <w:rsid w:val="00D42076"/>
    <w:rsid w:val="00D420C0"/>
    <w:rsid w:val="00D42178"/>
    <w:rsid w:val="00D4233F"/>
    <w:rsid w:val="00D4236B"/>
    <w:rsid w:val="00D424B8"/>
    <w:rsid w:val="00D42504"/>
    <w:rsid w:val="00D42510"/>
    <w:rsid w:val="00D42532"/>
    <w:rsid w:val="00D4258E"/>
    <w:rsid w:val="00D425B6"/>
    <w:rsid w:val="00D42629"/>
    <w:rsid w:val="00D4268A"/>
    <w:rsid w:val="00D426F1"/>
    <w:rsid w:val="00D4272C"/>
    <w:rsid w:val="00D4274F"/>
    <w:rsid w:val="00D427B0"/>
    <w:rsid w:val="00D427B3"/>
    <w:rsid w:val="00D427EB"/>
    <w:rsid w:val="00D428B9"/>
    <w:rsid w:val="00D428CA"/>
    <w:rsid w:val="00D42917"/>
    <w:rsid w:val="00D42936"/>
    <w:rsid w:val="00D42B20"/>
    <w:rsid w:val="00D42C5C"/>
    <w:rsid w:val="00D42D40"/>
    <w:rsid w:val="00D42DAF"/>
    <w:rsid w:val="00D42F5B"/>
    <w:rsid w:val="00D42FA2"/>
    <w:rsid w:val="00D42FDC"/>
    <w:rsid w:val="00D430D8"/>
    <w:rsid w:val="00D43225"/>
    <w:rsid w:val="00D43246"/>
    <w:rsid w:val="00D433D6"/>
    <w:rsid w:val="00D433F1"/>
    <w:rsid w:val="00D433F6"/>
    <w:rsid w:val="00D4342C"/>
    <w:rsid w:val="00D43449"/>
    <w:rsid w:val="00D4348A"/>
    <w:rsid w:val="00D43576"/>
    <w:rsid w:val="00D435B3"/>
    <w:rsid w:val="00D435BF"/>
    <w:rsid w:val="00D43613"/>
    <w:rsid w:val="00D4369A"/>
    <w:rsid w:val="00D436E3"/>
    <w:rsid w:val="00D4379B"/>
    <w:rsid w:val="00D438BC"/>
    <w:rsid w:val="00D438C4"/>
    <w:rsid w:val="00D438F1"/>
    <w:rsid w:val="00D43946"/>
    <w:rsid w:val="00D43974"/>
    <w:rsid w:val="00D439AE"/>
    <w:rsid w:val="00D43A47"/>
    <w:rsid w:val="00D43B62"/>
    <w:rsid w:val="00D43BD7"/>
    <w:rsid w:val="00D43BFD"/>
    <w:rsid w:val="00D43C1D"/>
    <w:rsid w:val="00D43C4A"/>
    <w:rsid w:val="00D43C55"/>
    <w:rsid w:val="00D43CFA"/>
    <w:rsid w:val="00D43CFF"/>
    <w:rsid w:val="00D43D62"/>
    <w:rsid w:val="00D43DDD"/>
    <w:rsid w:val="00D43E3A"/>
    <w:rsid w:val="00D43E60"/>
    <w:rsid w:val="00D43E69"/>
    <w:rsid w:val="00D43F22"/>
    <w:rsid w:val="00D43F26"/>
    <w:rsid w:val="00D43F79"/>
    <w:rsid w:val="00D440FE"/>
    <w:rsid w:val="00D44108"/>
    <w:rsid w:val="00D44176"/>
    <w:rsid w:val="00D4419A"/>
    <w:rsid w:val="00D4432B"/>
    <w:rsid w:val="00D443B1"/>
    <w:rsid w:val="00D443B4"/>
    <w:rsid w:val="00D4443C"/>
    <w:rsid w:val="00D4444F"/>
    <w:rsid w:val="00D44593"/>
    <w:rsid w:val="00D445D1"/>
    <w:rsid w:val="00D445D6"/>
    <w:rsid w:val="00D4465B"/>
    <w:rsid w:val="00D44670"/>
    <w:rsid w:val="00D446CE"/>
    <w:rsid w:val="00D446E5"/>
    <w:rsid w:val="00D44724"/>
    <w:rsid w:val="00D44733"/>
    <w:rsid w:val="00D44752"/>
    <w:rsid w:val="00D44894"/>
    <w:rsid w:val="00D448D3"/>
    <w:rsid w:val="00D448E3"/>
    <w:rsid w:val="00D449DD"/>
    <w:rsid w:val="00D44A44"/>
    <w:rsid w:val="00D44B71"/>
    <w:rsid w:val="00D44B96"/>
    <w:rsid w:val="00D44C89"/>
    <w:rsid w:val="00D44CB5"/>
    <w:rsid w:val="00D44CBF"/>
    <w:rsid w:val="00D44D04"/>
    <w:rsid w:val="00D44D42"/>
    <w:rsid w:val="00D44E0D"/>
    <w:rsid w:val="00D44E25"/>
    <w:rsid w:val="00D44E8F"/>
    <w:rsid w:val="00D44EBB"/>
    <w:rsid w:val="00D44F36"/>
    <w:rsid w:val="00D44FD7"/>
    <w:rsid w:val="00D45142"/>
    <w:rsid w:val="00D45173"/>
    <w:rsid w:val="00D451CC"/>
    <w:rsid w:val="00D45329"/>
    <w:rsid w:val="00D45344"/>
    <w:rsid w:val="00D45409"/>
    <w:rsid w:val="00D4543F"/>
    <w:rsid w:val="00D4547F"/>
    <w:rsid w:val="00D4549C"/>
    <w:rsid w:val="00D455C9"/>
    <w:rsid w:val="00D45643"/>
    <w:rsid w:val="00D4567E"/>
    <w:rsid w:val="00D456E3"/>
    <w:rsid w:val="00D456F7"/>
    <w:rsid w:val="00D45750"/>
    <w:rsid w:val="00D4577E"/>
    <w:rsid w:val="00D45794"/>
    <w:rsid w:val="00D457B3"/>
    <w:rsid w:val="00D457C1"/>
    <w:rsid w:val="00D457EA"/>
    <w:rsid w:val="00D45834"/>
    <w:rsid w:val="00D4583C"/>
    <w:rsid w:val="00D4587E"/>
    <w:rsid w:val="00D45981"/>
    <w:rsid w:val="00D45A3D"/>
    <w:rsid w:val="00D45AD7"/>
    <w:rsid w:val="00D45AE8"/>
    <w:rsid w:val="00D45AF5"/>
    <w:rsid w:val="00D45BA5"/>
    <w:rsid w:val="00D45BCA"/>
    <w:rsid w:val="00D45BD8"/>
    <w:rsid w:val="00D45C21"/>
    <w:rsid w:val="00D45C31"/>
    <w:rsid w:val="00D45C42"/>
    <w:rsid w:val="00D45D0C"/>
    <w:rsid w:val="00D45D73"/>
    <w:rsid w:val="00D45DD9"/>
    <w:rsid w:val="00D45DFF"/>
    <w:rsid w:val="00D45E5B"/>
    <w:rsid w:val="00D45E63"/>
    <w:rsid w:val="00D45E67"/>
    <w:rsid w:val="00D45E86"/>
    <w:rsid w:val="00D45E8A"/>
    <w:rsid w:val="00D45EDD"/>
    <w:rsid w:val="00D45F13"/>
    <w:rsid w:val="00D45F27"/>
    <w:rsid w:val="00D4609A"/>
    <w:rsid w:val="00D460D0"/>
    <w:rsid w:val="00D461BE"/>
    <w:rsid w:val="00D461FE"/>
    <w:rsid w:val="00D4622F"/>
    <w:rsid w:val="00D46254"/>
    <w:rsid w:val="00D462C0"/>
    <w:rsid w:val="00D462CF"/>
    <w:rsid w:val="00D46381"/>
    <w:rsid w:val="00D463AC"/>
    <w:rsid w:val="00D463D2"/>
    <w:rsid w:val="00D463D6"/>
    <w:rsid w:val="00D463F4"/>
    <w:rsid w:val="00D46459"/>
    <w:rsid w:val="00D46466"/>
    <w:rsid w:val="00D4657E"/>
    <w:rsid w:val="00D466E2"/>
    <w:rsid w:val="00D466EB"/>
    <w:rsid w:val="00D46717"/>
    <w:rsid w:val="00D4672E"/>
    <w:rsid w:val="00D46796"/>
    <w:rsid w:val="00D46806"/>
    <w:rsid w:val="00D46852"/>
    <w:rsid w:val="00D468D7"/>
    <w:rsid w:val="00D468E7"/>
    <w:rsid w:val="00D468E9"/>
    <w:rsid w:val="00D4691B"/>
    <w:rsid w:val="00D46934"/>
    <w:rsid w:val="00D46989"/>
    <w:rsid w:val="00D46A11"/>
    <w:rsid w:val="00D46A47"/>
    <w:rsid w:val="00D46A5D"/>
    <w:rsid w:val="00D46A9E"/>
    <w:rsid w:val="00D46B56"/>
    <w:rsid w:val="00D46B7E"/>
    <w:rsid w:val="00D46C8A"/>
    <w:rsid w:val="00D46D59"/>
    <w:rsid w:val="00D46D6E"/>
    <w:rsid w:val="00D46DBA"/>
    <w:rsid w:val="00D46EA8"/>
    <w:rsid w:val="00D46ED7"/>
    <w:rsid w:val="00D46FAA"/>
    <w:rsid w:val="00D47017"/>
    <w:rsid w:val="00D470A6"/>
    <w:rsid w:val="00D470DC"/>
    <w:rsid w:val="00D47191"/>
    <w:rsid w:val="00D4727F"/>
    <w:rsid w:val="00D4728F"/>
    <w:rsid w:val="00D472A0"/>
    <w:rsid w:val="00D47338"/>
    <w:rsid w:val="00D47466"/>
    <w:rsid w:val="00D47469"/>
    <w:rsid w:val="00D474B0"/>
    <w:rsid w:val="00D47531"/>
    <w:rsid w:val="00D475B3"/>
    <w:rsid w:val="00D4765B"/>
    <w:rsid w:val="00D476B2"/>
    <w:rsid w:val="00D476E9"/>
    <w:rsid w:val="00D47748"/>
    <w:rsid w:val="00D47783"/>
    <w:rsid w:val="00D47786"/>
    <w:rsid w:val="00D47802"/>
    <w:rsid w:val="00D4785A"/>
    <w:rsid w:val="00D47890"/>
    <w:rsid w:val="00D4793A"/>
    <w:rsid w:val="00D47968"/>
    <w:rsid w:val="00D479BF"/>
    <w:rsid w:val="00D479F0"/>
    <w:rsid w:val="00D479F6"/>
    <w:rsid w:val="00D47B21"/>
    <w:rsid w:val="00D47B3D"/>
    <w:rsid w:val="00D47BAF"/>
    <w:rsid w:val="00D47C32"/>
    <w:rsid w:val="00D47C49"/>
    <w:rsid w:val="00D47C7E"/>
    <w:rsid w:val="00D47CD4"/>
    <w:rsid w:val="00D47D2C"/>
    <w:rsid w:val="00D47DB5"/>
    <w:rsid w:val="00D47EF4"/>
    <w:rsid w:val="00D47F7B"/>
    <w:rsid w:val="00D47F8F"/>
    <w:rsid w:val="00D47FC4"/>
    <w:rsid w:val="00D4BB4E"/>
    <w:rsid w:val="00D50109"/>
    <w:rsid w:val="00D50181"/>
    <w:rsid w:val="00D501D8"/>
    <w:rsid w:val="00D5021F"/>
    <w:rsid w:val="00D50298"/>
    <w:rsid w:val="00D502BE"/>
    <w:rsid w:val="00D502ED"/>
    <w:rsid w:val="00D50350"/>
    <w:rsid w:val="00D50351"/>
    <w:rsid w:val="00D5039F"/>
    <w:rsid w:val="00D503AA"/>
    <w:rsid w:val="00D503E9"/>
    <w:rsid w:val="00D50406"/>
    <w:rsid w:val="00D5040F"/>
    <w:rsid w:val="00D504EA"/>
    <w:rsid w:val="00D5058B"/>
    <w:rsid w:val="00D505AC"/>
    <w:rsid w:val="00D50651"/>
    <w:rsid w:val="00D50667"/>
    <w:rsid w:val="00D50668"/>
    <w:rsid w:val="00D506C5"/>
    <w:rsid w:val="00D5074C"/>
    <w:rsid w:val="00D50798"/>
    <w:rsid w:val="00D507D7"/>
    <w:rsid w:val="00D507FA"/>
    <w:rsid w:val="00D50882"/>
    <w:rsid w:val="00D509A1"/>
    <w:rsid w:val="00D509CB"/>
    <w:rsid w:val="00D509CF"/>
    <w:rsid w:val="00D50AFB"/>
    <w:rsid w:val="00D50B37"/>
    <w:rsid w:val="00D50B54"/>
    <w:rsid w:val="00D50BE3"/>
    <w:rsid w:val="00D50CB3"/>
    <w:rsid w:val="00D50D0F"/>
    <w:rsid w:val="00D50D79"/>
    <w:rsid w:val="00D50E2E"/>
    <w:rsid w:val="00D50ED9"/>
    <w:rsid w:val="00D50F78"/>
    <w:rsid w:val="00D50FAE"/>
    <w:rsid w:val="00D50FD2"/>
    <w:rsid w:val="00D51002"/>
    <w:rsid w:val="00D5100F"/>
    <w:rsid w:val="00D51011"/>
    <w:rsid w:val="00D51049"/>
    <w:rsid w:val="00D510A8"/>
    <w:rsid w:val="00D5111A"/>
    <w:rsid w:val="00D5114F"/>
    <w:rsid w:val="00D51177"/>
    <w:rsid w:val="00D51291"/>
    <w:rsid w:val="00D51295"/>
    <w:rsid w:val="00D5131C"/>
    <w:rsid w:val="00D51392"/>
    <w:rsid w:val="00D513B2"/>
    <w:rsid w:val="00D513D0"/>
    <w:rsid w:val="00D513EB"/>
    <w:rsid w:val="00D51417"/>
    <w:rsid w:val="00D514E2"/>
    <w:rsid w:val="00D515B8"/>
    <w:rsid w:val="00D515DF"/>
    <w:rsid w:val="00D51635"/>
    <w:rsid w:val="00D516A0"/>
    <w:rsid w:val="00D51836"/>
    <w:rsid w:val="00D51885"/>
    <w:rsid w:val="00D51949"/>
    <w:rsid w:val="00D519EE"/>
    <w:rsid w:val="00D51B48"/>
    <w:rsid w:val="00D51B8C"/>
    <w:rsid w:val="00D51B9B"/>
    <w:rsid w:val="00D51C52"/>
    <w:rsid w:val="00D51C5F"/>
    <w:rsid w:val="00D51C6C"/>
    <w:rsid w:val="00D51CC3"/>
    <w:rsid w:val="00D51CD2"/>
    <w:rsid w:val="00D51CE1"/>
    <w:rsid w:val="00D51D63"/>
    <w:rsid w:val="00D51D73"/>
    <w:rsid w:val="00D51DA2"/>
    <w:rsid w:val="00D51F8B"/>
    <w:rsid w:val="00D51F96"/>
    <w:rsid w:val="00D51FA6"/>
    <w:rsid w:val="00D51FED"/>
    <w:rsid w:val="00D520BB"/>
    <w:rsid w:val="00D520CA"/>
    <w:rsid w:val="00D52145"/>
    <w:rsid w:val="00D5217B"/>
    <w:rsid w:val="00D5217E"/>
    <w:rsid w:val="00D52204"/>
    <w:rsid w:val="00D52215"/>
    <w:rsid w:val="00D522BD"/>
    <w:rsid w:val="00D522BF"/>
    <w:rsid w:val="00D522F9"/>
    <w:rsid w:val="00D522FD"/>
    <w:rsid w:val="00D523A8"/>
    <w:rsid w:val="00D523B3"/>
    <w:rsid w:val="00D52418"/>
    <w:rsid w:val="00D5242D"/>
    <w:rsid w:val="00D524A6"/>
    <w:rsid w:val="00D52505"/>
    <w:rsid w:val="00D52548"/>
    <w:rsid w:val="00D5254F"/>
    <w:rsid w:val="00D52577"/>
    <w:rsid w:val="00D52578"/>
    <w:rsid w:val="00D5258B"/>
    <w:rsid w:val="00D5258C"/>
    <w:rsid w:val="00D525B7"/>
    <w:rsid w:val="00D525C2"/>
    <w:rsid w:val="00D525F0"/>
    <w:rsid w:val="00D52652"/>
    <w:rsid w:val="00D52663"/>
    <w:rsid w:val="00D526A7"/>
    <w:rsid w:val="00D527AD"/>
    <w:rsid w:val="00D527B3"/>
    <w:rsid w:val="00D527C6"/>
    <w:rsid w:val="00D527CB"/>
    <w:rsid w:val="00D5280A"/>
    <w:rsid w:val="00D5281D"/>
    <w:rsid w:val="00D528E1"/>
    <w:rsid w:val="00D52908"/>
    <w:rsid w:val="00D5291F"/>
    <w:rsid w:val="00D5296F"/>
    <w:rsid w:val="00D529B3"/>
    <w:rsid w:val="00D52A49"/>
    <w:rsid w:val="00D52B19"/>
    <w:rsid w:val="00D52BCB"/>
    <w:rsid w:val="00D52C07"/>
    <w:rsid w:val="00D52C28"/>
    <w:rsid w:val="00D52C58"/>
    <w:rsid w:val="00D52C79"/>
    <w:rsid w:val="00D52C8A"/>
    <w:rsid w:val="00D52CC5"/>
    <w:rsid w:val="00D52CE5"/>
    <w:rsid w:val="00D52D16"/>
    <w:rsid w:val="00D52D25"/>
    <w:rsid w:val="00D52D6B"/>
    <w:rsid w:val="00D52E54"/>
    <w:rsid w:val="00D52E7B"/>
    <w:rsid w:val="00D52E82"/>
    <w:rsid w:val="00D52F24"/>
    <w:rsid w:val="00D52F5C"/>
    <w:rsid w:val="00D52FF5"/>
    <w:rsid w:val="00D53010"/>
    <w:rsid w:val="00D53089"/>
    <w:rsid w:val="00D530FD"/>
    <w:rsid w:val="00D53112"/>
    <w:rsid w:val="00D5312B"/>
    <w:rsid w:val="00D5317D"/>
    <w:rsid w:val="00D531B3"/>
    <w:rsid w:val="00D531C7"/>
    <w:rsid w:val="00D531D4"/>
    <w:rsid w:val="00D53241"/>
    <w:rsid w:val="00D5326E"/>
    <w:rsid w:val="00D532E0"/>
    <w:rsid w:val="00D53329"/>
    <w:rsid w:val="00D53362"/>
    <w:rsid w:val="00D533A6"/>
    <w:rsid w:val="00D53402"/>
    <w:rsid w:val="00D5342B"/>
    <w:rsid w:val="00D5347D"/>
    <w:rsid w:val="00D534C4"/>
    <w:rsid w:val="00D53515"/>
    <w:rsid w:val="00D53516"/>
    <w:rsid w:val="00D53526"/>
    <w:rsid w:val="00D53532"/>
    <w:rsid w:val="00D536F1"/>
    <w:rsid w:val="00D5371D"/>
    <w:rsid w:val="00D53743"/>
    <w:rsid w:val="00D5374E"/>
    <w:rsid w:val="00D5377B"/>
    <w:rsid w:val="00D537C8"/>
    <w:rsid w:val="00D537DE"/>
    <w:rsid w:val="00D53811"/>
    <w:rsid w:val="00D53881"/>
    <w:rsid w:val="00D5388B"/>
    <w:rsid w:val="00D538D9"/>
    <w:rsid w:val="00D539D7"/>
    <w:rsid w:val="00D53A33"/>
    <w:rsid w:val="00D53A4C"/>
    <w:rsid w:val="00D53A55"/>
    <w:rsid w:val="00D53DED"/>
    <w:rsid w:val="00D53E61"/>
    <w:rsid w:val="00D53E65"/>
    <w:rsid w:val="00D53EAD"/>
    <w:rsid w:val="00D53F8A"/>
    <w:rsid w:val="00D53FB4"/>
    <w:rsid w:val="00D53FD2"/>
    <w:rsid w:val="00D540CE"/>
    <w:rsid w:val="00D54162"/>
    <w:rsid w:val="00D54183"/>
    <w:rsid w:val="00D541E6"/>
    <w:rsid w:val="00D541FC"/>
    <w:rsid w:val="00D54233"/>
    <w:rsid w:val="00D54251"/>
    <w:rsid w:val="00D54290"/>
    <w:rsid w:val="00D543D6"/>
    <w:rsid w:val="00D543D7"/>
    <w:rsid w:val="00D544A2"/>
    <w:rsid w:val="00D54501"/>
    <w:rsid w:val="00D5453F"/>
    <w:rsid w:val="00D545AE"/>
    <w:rsid w:val="00D545E7"/>
    <w:rsid w:val="00D5465A"/>
    <w:rsid w:val="00D5465D"/>
    <w:rsid w:val="00D5467E"/>
    <w:rsid w:val="00D546E8"/>
    <w:rsid w:val="00D54718"/>
    <w:rsid w:val="00D547B8"/>
    <w:rsid w:val="00D54828"/>
    <w:rsid w:val="00D5485D"/>
    <w:rsid w:val="00D54866"/>
    <w:rsid w:val="00D54879"/>
    <w:rsid w:val="00D549E2"/>
    <w:rsid w:val="00D54A2C"/>
    <w:rsid w:val="00D54A3C"/>
    <w:rsid w:val="00D54A53"/>
    <w:rsid w:val="00D54ABC"/>
    <w:rsid w:val="00D54AF6"/>
    <w:rsid w:val="00D54BC5"/>
    <w:rsid w:val="00D54BD4"/>
    <w:rsid w:val="00D54C56"/>
    <w:rsid w:val="00D54C86"/>
    <w:rsid w:val="00D54CA5"/>
    <w:rsid w:val="00D54DF6"/>
    <w:rsid w:val="00D54E7D"/>
    <w:rsid w:val="00D54E8A"/>
    <w:rsid w:val="00D54EB9"/>
    <w:rsid w:val="00D54F11"/>
    <w:rsid w:val="00D54F1B"/>
    <w:rsid w:val="00D54FEF"/>
    <w:rsid w:val="00D55064"/>
    <w:rsid w:val="00D550A8"/>
    <w:rsid w:val="00D550C2"/>
    <w:rsid w:val="00D551B2"/>
    <w:rsid w:val="00D55201"/>
    <w:rsid w:val="00D55212"/>
    <w:rsid w:val="00D55272"/>
    <w:rsid w:val="00D55278"/>
    <w:rsid w:val="00D552A2"/>
    <w:rsid w:val="00D552B6"/>
    <w:rsid w:val="00D55341"/>
    <w:rsid w:val="00D553A2"/>
    <w:rsid w:val="00D554EF"/>
    <w:rsid w:val="00D555AA"/>
    <w:rsid w:val="00D5561B"/>
    <w:rsid w:val="00D5567D"/>
    <w:rsid w:val="00D55694"/>
    <w:rsid w:val="00D556EF"/>
    <w:rsid w:val="00D557BD"/>
    <w:rsid w:val="00D55825"/>
    <w:rsid w:val="00D5585E"/>
    <w:rsid w:val="00D5591E"/>
    <w:rsid w:val="00D55A96"/>
    <w:rsid w:val="00D55AEC"/>
    <w:rsid w:val="00D55B4F"/>
    <w:rsid w:val="00D55BEF"/>
    <w:rsid w:val="00D55C4B"/>
    <w:rsid w:val="00D55C69"/>
    <w:rsid w:val="00D55C6F"/>
    <w:rsid w:val="00D55C72"/>
    <w:rsid w:val="00D55D37"/>
    <w:rsid w:val="00D55D75"/>
    <w:rsid w:val="00D55D82"/>
    <w:rsid w:val="00D55DD1"/>
    <w:rsid w:val="00D55E01"/>
    <w:rsid w:val="00D55E6A"/>
    <w:rsid w:val="00D55EC3"/>
    <w:rsid w:val="00D55EFF"/>
    <w:rsid w:val="00D55F34"/>
    <w:rsid w:val="00D55F73"/>
    <w:rsid w:val="00D5601E"/>
    <w:rsid w:val="00D56077"/>
    <w:rsid w:val="00D56160"/>
    <w:rsid w:val="00D5618F"/>
    <w:rsid w:val="00D561A2"/>
    <w:rsid w:val="00D561E1"/>
    <w:rsid w:val="00D56223"/>
    <w:rsid w:val="00D5634B"/>
    <w:rsid w:val="00D56392"/>
    <w:rsid w:val="00D563A7"/>
    <w:rsid w:val="00D563E7"/>
    <w:rsid w:val="00D56438"/>
    <w:rsid w:val="00D56453"/>
    <w:rsid w:val="00D5648A"/>
    <w:rsid w:val="00D5658F"/>
    <w:rsid w:val="00D5659F"/>
    <w:rsid w:val="00D565DF"/>
    <w:rsid w:val="00D5666C"/>
    <w:rsid w:val="00D566F7"/>
    <w:rsid w:val="00D56753"/>
    <w:rsid w:val="00D5675D"/>
    <w:rsid w:val="00D5677E"/>
    <w:rsid w:val="00D5679D"/>
    <w:rsid w:val="00D567A8"/>
    <w:rsid w:val="00D567F8"/>
    <w:rsid w:val="00D5684F"/>
    <w:rsid w:val="00D5686B"/>
    <w:rsid w:val="00D56917"/>
    <w:rsid w:val="00D56947"/>
    <w:rsid w:val="00D569D7"/>
    <w:rsid w:val="00D569D9"/>
    <w:rsid w:val="00D56A7F"/>
    <w:rsid w:val="00D56ACA"/>
    <w:rsid w:val="00D56BA6"/>
    <w:rsid w:val="00D56BC8"/>
    <w:rsid w:val="00D56C05"/>
    <w:rsid w:val="00D56C08"/>
    <w:rsid w:val="00D56C7E"/>
    <w:rsid w:val="00D56C9A"/>
    <w:rsid w:val="00D56D48"/>
    <w:rsid w:val="00D56D8F"/>
    <w:rsid w:val="00D56DA1"/>
    <w:rsid w:val="00D56DAF"/>
    <w:rsid w:val="00D56DF5"/>
    <w:rsid w:val="00D56DFA"/>
    <w:rsid w:val="00D56E22"/>
    <w:rsid w:val="00D56FB5"/>
    <w:rsid w:val="00D570D3"/>
    <w:rsid w:val="00D570F6"/>
    <w:rsid w:val="00D57279"/>
    <w:rsid w:val="00D5727C"/>
    <w:rsid w:val="00D57293"/>
    <w:rsid w:val="00D57311"/>
    <w:rsid w:val="00D57325"/>
    <w:rsid w:val="00D57329"/>
    <w:rsid w:val="00D573A2"/>
    <w:rsid w:val="00D57495"/>
    <w:rsid w:val="00D57498"/>
    <w:rsid w:val="00D57523"/>
    <w:rsid w:val="00D57536"/>
    <w:rsid w:val="00D57539"/>
    <w:rsid w:val="00D5759A"/>
    <w:rsid w:val="00D575AC"/>
    <w:rsid w:val="00D57683"/>
    <w:rsid w:val="00D576C5"/>
    <w:rsid w:val="00D57745"/>
    <w:rsid w:val="00D57754"/>
    <w:rsid w:val="00D577B0"/>
    <w:rsid w:val="00D578F4"/>
    <w:rsid w:val="00D57906"/>
    <w:rsid w:val="00D57911"/>
    <w:rsid w:val="00D579C7"/>
    <w:rsid w:val="00D57A12"/>
    <w:rsid w:val="00D57A7C"/>
    <w:rsid w:val="00D57B9E"/>
    <w:rsid w:val="00D57CBE"/>
    <w:rsid w:val="00D57CCA"/>
    <w:rsid w:val="00D57CF3"/>
    <w:rsid w:val="00D57D3C"/>
    <w:rsid w:val="00D57D7D"/>
    <w:rsid w:val="00D57D80"/>
    <w:rsid w:val="00D57E21"/>
    <w:rsid w:val="00D57E2F"/>
    <w:rsid w:val="00D57E3F"/>
    <w:rsid w:val="00D57E4A"/>
    <w:rsid w:val="00D57ED0"/>
    <w:rsid w:val="00D57F58"/>
    <w:rsid w:val="00D60086"/>
    <w:rsid w:val="00D60128"/>
    <w:rsid w:val="00D60156"/>
    <w:rsid w:val="00D60160"/>
    <w:rsid w:val="00D6023E"/>
    <w:rsid w:val="00D60299"/>
    <w:rsid w:val="00D60378"/>
    <w:rsid w:val="00D603CA"/>
    <w:rsid w:val="00D603DB"/>
    <w:rsid w:val="00D6044C"/>
    <w:rsid w:val="00D6047D"/>
    <w:rsid w:val="00D60598"/>
    <w:rsid w:val="00D60643"/>
    <w:rsid w:val="00D6066A"/>
    <w:rsid w:val="00D6089E"/>
    <w:rsid w:val="00D608FE"/>
    <w:rsid w:val="00D60904"/>
    <w:rsid w:val="00D60915"/>
    <w:rsid w:val="00D6092D"/>
    <w:rsid w:val="00D6093D"/>
    <w:rsid w:val="00D609C5"/>
    <w:rsid w:val="00D609CD"/>
    <w:rsid w:val="00D60A4D"/>
    <w:rsid w:val="00D60ACF"/>
    <w:rsid w:val="00D60B55"/>
    <w:rsid w:val="00D60C08"/>
    <w:rsid w:val="00D60C50"/>
    <w:rsid w:val="00D60D03"/>
    <w:rsid w:val="00D60DB6"/>
    <w:rsid w:val="00D60DE5"/>
    <w:rsid w:val="00D60E22"/>
    <w:rsid w:val="00D60ED0"/>
    <w:rsid w:val="00D60F24"/>
    <w:rsid w:val="00D61096"/>
    <w:rsid w:val="00D610EE"/>
    <w:rsid w:val="00D61102"/>
    <w:rsid w:val="00D61189"/>
    <w:rsid w:val="00D6119A"/>
    <w:rsid w:val="00D61238"/>
    <w:rsid w:val="00D61296"/>
    <w:rsid w:val="00D612FF"/>
    <w:rsid w:val="00D61302"/>
    <w:rsid w:val="00D61395"/>
    <w:rsid w:val="00D61423"/>
    <w:rsid w:val="00D61445"/>
    <w:rsid w:val="00D6145D"/>
    <w:rsid w:val="00D614F6"/>
    <w:rsid w:val="00D6151A"/>
    <w:rsid w:val="00D6155F"/>
    <w:rsid w:val="00D61600"/>
    <w:rsid w:val="00D61707"/>
    <w:rsid w:val="00D618F0"/>
    <w:rsid w:val="00D61923"/>
    <w:rsid w:val="00D619E2"/>
    <w:rsid w:val="00D61A9C"/>
    <w:rsid w:val="00D61AA7"/>
    <w:rsid w:val="00D61BA8"/>
    <w:rsid w:val="00D61BC9"/>
    <w:rsid w:val="00D61C99"/>
    <w:rsid w:val="00D61D12"/>
    <w:rsid w:val="00D61D1B"/>
    <w:rsid w:val="00D61EE7"/>
    <w:rsid w:val="00D61F3E"/>
    <w:rsid w:val="00D61F76"/>
    <w:rsid w:val="00D61F92"/>
    <w:rsid w:val="00D61FD4"/>
    <w:rsid w:val="00D61FF4"/>
    <w:rsid w:val="00D6209F"/>
    <w:rsid w:val="00D622B8"/>
    <w:rsid w:val="00D622C2"/>
    <w:rsid w:val="00D622D8"/>
    <w:rsid w:val="00D622FD"/>
    <w:rsid w:val="00D62300"/>
    <w:rsid w:val="00D62340"/>
    <w:rsid w:val="00D6234B"/>
    <w:rsid w:val="00D6235A"/>
    <w:rsid w:val="00D62421"/>
    <w:rsid w:val="00D62424"/>
    <w:rsid w:val="00D62446"/>
    <w:rsid w:val="00D6246C"/>
    <w:rsid w:val="00D62476"/>
    <w:rsid w:val="00D624CC"/>
    <w:rsid w:val="00D625B3"/>
    <w:rsid w:val="00D62627"/>
    <w:rsid w:val="00D6264E"/>
    <w:rsid w:val="00D626AC"/>
    <w:rsid w:val="00D62793"/>
    <w:rsid w:val="00D62821"/>
    <w:rsid w:val="00D6285C"/>
    <w:rsid w:val="00D62867"/>
    <w:rsid w:val="00D6289C"/>
    <w:rsid w:val="00D628A8"/>
    <w:rsid w:val="00D628D9"/>
    <w:rsid w:val="00D62A57"/>
    <w:rsid w:val="00D62B27"/>
    <w:rsid w:val="00D62C2C"/>
    <w:rsid w:val="00D62DCD"/>
    <w:rsid w:val="00D62DFF"/>
    <w:rsid w:val="00D62E25"/>
    <w:rsid w:val="00D62E37"/>
    <w:rsid w:val="00D62E80"/>
    <w:rsid w:val="00D62F35"/>
    <w:rsid w:val="00D62F4D"/>
    <w:rsid w:val="00D63009"/>
    <w:rsid w:val="00D63055"/>
    <w:rsid w:val="00D63099"/>
    <w:rsid w:val="00D630C9"/>
    <w:rsid w:val="00D630DA"/>
    <w:rsid w:val="00D631AD"/>
    <w:rsid w:val="00D631EB"/>
    <w:rsid w:val="00D632E1"/>
    <w:rsid w:val="00D63324"/>
    <w:rsid w:val="00D63361"/>
    <w:rsid w:val="00D63388"/>
    <w:rsid w:val="00D63392"/>
    <w:rsid w:val="00D633D2"/>
    <w:rsid w:val="00D6340F"/>
    <w:rsid w:val="00D63494"/>
    <w:rsid w:val="00D63516"/>
    <w:rsid w:val="00D63530"/>
    <w:rsid w:val="00D63534"/>
    <w:rsid w:val="00D635BA"/>
    <w:rsid w:val="00D635C7"/>
    <w:rsid w:val="00D63620"/>
    <w:rsid w:val="00D636CB"/>
    <w:rsid w:val="00D6378C"/>
    <w:rsid w:val="00D637E0"/>
    <w:rsid w:val="00D63948"/>
    <w:rsid w:val="00D63949"/>
    <w:rsid w:val="00D6397B"/>
    <w:rsid w:val="00D6398F"/>
    <w:rsid w:val="00D63AA6"/>
    <w:rsid w:val="00D63ABB"/>
    <w:rsid w:val="00D63AEC"/>
    <w:rsid w:val="00D63B71"/>
    <w:rsid w:val="00D63C0F"/>
    <w:rsid w:val="00D63C68"/>
    <w:rsid w:val="00D63DB8"/>
    <w:rsid w:val="00D63DD1"/>
    <w:rsid w:val="00D63ECD"/>
    <w:rsid w:val="00D63EF6"/>
    <w:rsid w:val="00D63EF8"/>
    <w:rsid w:val="00D63F93"/>
    <w:rsid w:val="00D63F9A"/>
    <w:rsid w:val="00D63FA9"/>
    <w:rsid w:val="00D64094"/>
    <w:rsid w:val="00D6414E"/>
    <w:rsid w:val="00D64205"/>
    <w:rsid w:val="00D64300"/>
    <w:rsid w:val="00D643C1"/>
    <w:rsid w:val="00D6443D"/>
    <w:rsid w:val="00D6448D"/>
    <w:rsid w:val="00D644E6"/>
    <w:rsid w:val="00D6454B"/>
    <w:rsid w:val="00D645A9"/>
    <w:rsid w:val="00D645B2"/>
    <w:rsid w:val="00D646B4"/>
    <w:rsid w:val="00D646CB"/>
    <w:rsid w:val="00D646CE"/>
    <w:rsid w:val="00D64754"/>
    <w:rsid w:val="00D647CE"/>
    <w:rsid w:val="00D647DC"/>
    <w:rsid w:val="00D6492B"/>
    <w:rsid w:val="00D649B2"/>
    <w:rsid w:val="00D64AA7"/>
    <w:rsid w:val="00D64C0A"/>
    <w:rsid w:val="00D64C38"/>
    <w:rsid w:val="00D64CB8"/>
    <w:rsid w:val="00D64CE9"/>
    <w:rsid w:val="00D64D1B"/>
    <w:rsid w:val="00D64DC1"/>
    <w:rsid w:val="00D64DFE"/>
    <w:rsid w:val="00D64E47"/>
    <w:rsid w:val="00D64E7F"/>
    <w:rsid w:val="00D64EA1"/>
    <w:rsid w:val="00D64EB2"/>
    <w:rsid w:val="00D64F0F"/>
    <w:rsid w:val="00D64F20"/>
    <w:rsid w:val="00D64F2D"/>
    <w:rsid w:val="00D64F35"/>
    <w:rsid w:val="00D64F45"/>
    <w:rsid w:val="00D64FD6"/>
    <w:rsid w:val="00D651A9"/>
    <w:rsid w:val="00D651DE"/>
    <w:rsid w:val="00D65208"/>
    <w:rsid w:val="00D65289"/>
    <w:rsid w:val="00D6529F"/>
    <w:rsid w:val="00D652D9"/>
    <w:rsid w:val="00D65305"/>
    <w:rsid w:val="00D6532E"/>
    <w:rsid w:val="00D6532F"/>
    <w:rsid w:val="00D65373"/>
    <w:rsid w:val="00D653AE"/>
    <w:rsid w:val="00D653B3"/>
    <w:rsid w:val="00D653D5"/>
    <w:rsid w:val="00D653EB"/>
    <w:rsid w:val="00D653EF"/>
    <w:rsid w:val="00D6541E"/>
    <w:rsid w:val="00D65464"/>
    <w:rsid w:val="00D65500"/>
    <w:rsid w:val="00D6550B"/>
    <w:rsid w:val="00D65518"/>
    <w:rsid w:val="00D65533"/>
    <w:rsid w:val="00D65554"/>
    <w:rsid w:val="00D65559"/>
    <w:rsid w:val="00D65598"/>
    <w:rsid w:val="00D6560E"/>
    <w:rsid w:val="00D65630"/>
    <w:rsid w:val="00D65785"/>
    <w:rsid w:val="00D6579B"/>
    <w:rsid w:val="00D6582E"/>
    <w:rsid w:val="00D658D5"/>
    <w:rsid w:val="00D65900"/>
    <w:rsid w:val="00D65944"/>
    <w:rsid w:val="00D659B6"/>
    <w:rsid w:val="00D65A24"/>
    <w:rsid w:val="00D65AF5"/>
    <w:rsid w:val="00D65AF9"/>
    <w:rsid w:val="00D65AFB"/>
    <w:rsid w:val="00D65BAB"/>
    <w:rsid w:val="00D65BF3"/>
    <w:rsid w:val="00D65C85"/>
    <w:rsid w:val="00D65C9D"/>
    <w:rsid w:val="00D65D1F"/>
    <w:rsid w:val="00D65D20"/>
    <w:rsid w:val="00D65FA5"/>
    <w:rsid w:val="00D65FB1"/>
    <w:rsid w:val="00D65FCE"/>
    <w:rsid w:val="00D65FF6"/>
    <w:rsid w:val="00D65FF8"/>
    <w:rsid w:val="00D66121"/>
    <w:rsid w:val="00D66284"/>
    <w:rsid w:val="00D662FF"/>
    <w:rsid w:val="00D6631D"/>
    <w:rsid w:val="00D663BB"/>
    <w:rsid w:val="00D664B0"/>
    <w:rsid w:val="00D664F0"/>
    <w:rsid w:val="00D6651A"/>
    <w:rsid w:val="00D66523"/>
    <w:rsid w:val="00D66553"/>
    <w:rsid w:val="00D6656A"/>
    <w:rsid w:val="00D665C7"/>
    <w:rsid w:val="00D665D8"/>
    <w:rsid w:val="00D6665C"/>
    <w:rsid w:val="00D6669F"/>
    <w:rsid w:val="00D666D3"/>
    <w:rsid w:val="00D666F7"/>
    <w:rsid w:val="00D66791"/>
    <w:rsid w:val="00D667E1"/>
    <w:rsid w:val="00D66893"/>
    <w:rsid w:val="00D668A8"/>
    <w:rsid w:val="00D66908"/>
    <w:rsid w:val="00D6692B"/>
    <w:rsid w:val="00D6694E"/>
    <w:rsid w:val="00D669D2"/>
    <w:rsid w:val="00D669D4"/>
    <w:rsid w:val="00D669FB"/>
    <w:rsid w:val="00D66B60"/>
    <w:rsid w:val="00D66C01"/>
    <w:rsid w:val="00D66D6E"/>
    <w:rsid w:val="00D66DB1"/>
    <w:rsid w:val="00D66E25"/>
    <w:rsid w:val="00D66E59"/>
    <w:rsid w:val="00D66E8B"/>
    <w:rsid w:val="00D66F38"/>
    <w:rsid w:val="00D66F55"/>
    <w:rsid w:val="00D66FA8"/>
    <w:rsid w:val="00D66FE3"/>
    <w:rsid w:val="00D66FFD"/>
    <w:rsid w:val="00D67039"/>
    <w:rsid w:val="00D6722A"/>
    <w:rsid w:val="00D67241"/>
    <w:rsid w:val="00D672E5"/>
    <w:rsid w:val="00D673F4"/>
    <w:rsid w:val="00D674EF"/>
    <w:rsid w:val="00D674F0"/>
    <w:rsid w:val="00D675B3"/>
    <w:rsid w:val="00D6760E"/>
    <w:rsid w:val="00D6763D"/>
    <w:rsid w:val="00D676C6"/>
    <w:rsid w:val="00D676DB"/>
    <w:rsid w:val="00D677BA"/>
    <w:rsid w:val="00D6782F"/>
    <w:rsid w:val="00D6786A"/>
    <w:rsid w:val="00D67881"/>
    <w:rsid w:val="00D678F2"/>
    <w:rsid w:val="00D6798C"/>
    <w:rsid w:val="00D679D9"/>
    <w:rsid w:val="00D67BFA"/>
    <w:rsid w:val="00D67C4A"/>
    <w:rsid w:val="00D67CAC"/>
    <w:rsid w:val="00D67E8D"/>
    <w:rsid w:val="00D67E9F"/>
    <w:rsid w:val="00D67F74"/>
    <w:rsid w:val="00D67FAB"/>
    <w:rsid w:val="00D70105"/>
    <w:rsid w:val="00D70182"/>
    <w:rsid w:val="00D70188"/>
    <w:rsid w:val="00D701F5"/>
    <w:rsid w:val="00D702AD"/>
    <w:rsid w:val="00D702DA"/>
    <w:rsid w:val="00D702E1"/>
    <w:rsid w:val="00D7033F"/>
    <w:rsid w:val="00D7036F"/>
    <w:rsid w:val="00D703B1"/>
    <w:rsid w:val="00D70406"/>
    <w:rsid w:val="00D70407"/>
    <w:rsid w:val="00D70425"/>
    <w:rsid w:val="00D7049E"/>
    <w:rsid w:val="00D70577"/>
    <w:rsid w:val="00D7057B"/>
    <w:rsid w:val="00D70625"/>
    <w:rsid w:val="00D70665"/>
    <w:rsid w:val="00D706D0"/>
    <w:rsid w:val="00D7071E"/>
    <w:rsid w:val="00D70793"/>
    <w:rsid w:val="00D707C0"/>
    <w:rsid w:val="00D70835"/>
    <w:rsid w:val="00D708D1"/>
    <w:rsid w:val="00D708D5"/>
    <w:rsid w:val="00D70916"/>
    <w:rsid w:val="00D70920"/>
    <w:rsid w:val="00D7093B"/>
    <w:rsid w:val="00D7099B"/>
    <w:rsid w:val="00D70A25"/>
    <w:rsid w:val="00D70B25"/>
    <w:rsid w:val="00D70BB6"/>
    <w:rsid w:val="00D70BEB"/>
    <w:rsid w:val="00D70BFC"/>
    <w:rsid w:val="00D70BFF"/>
    <w:rsid w:val="00D70C0F"/>
    <w:rsid w:val="00D70CCD"/>
    <w:rsid w:val="00D70CED"/>
    <w:rsid w:val="00D70D9C"/>
    <w:rsid w:val="00D70DDA"/>
    <w:rsid w:val="00D70E21"/>
    <w:rsid w:val="00D70E48"/>
    <w:rsid w:val="00D70E7A"/>
    <w:rsid w:val="00D70ECE"/>
    <w:rsid w:val="00D70EEB"/>
    <w:rsid w:val="00D70F5B"/>
    <w:rsid w:val="00D71000"/>
    <w:rsid w:val="00D711BE"/>
    <w:rsid w:val="00D711F5"/>
    <w:rsid w:val="00D71202"/>
    <w:rsid w:val="00D712D9"/>
    <w:rsid w:val="00D712EF"/>
    <w:rsid w:val="00D71328"/>
    <w:rsid w:val="00D7138C"/>
    <w:rsid w:val="00D71424"/>
    <w:rsid w:val="00D71438"/>
    <w:rsid w:val="00D71487"/>
    <w:rsid w:val="00D7149A"/>
    <w:rsid w:val="00D714D4"/>
    <w:rsid w:val="00D714E5"/>
    <w:rsid w:val="00D7150A"/>
    <w:rsid w:val="00D71513"/>
    <w:rsid w:val="00D71526"/>
    <w:rsid w:val="00D71533"/>
    <w:rsid w:val="00D71593"/>
    <w:rsid w:val="00D715C8"/>
    <w:rsid w:val="00D7165E"/>
    <w:rsid w:val="00D7166E"/>
    <w:rsid w:val="00D717BA"/>
    <w:rsid w:val="00D717BC"/>
    <w:rsid w:val="00D717FE"/>
    <w:rsid w:val="00D71822"/>
    <w:rsid w:val="00D7189D"/>
    <w:rsid w:val="00D718C2"/>
    <w:rsid w:val="00D7197F"/>
    <w:rsid w:val="00D71A89"/>
    <w:rsid w:val="00D71A97"/>
    <w:rsid w:val="00D71B51"/>
    <w:rsid w:val="00D71B7A"/>
    <w:rsid w:val="00D71C3E"/>
    <w:rsid w:val="00D71DA5"/>
    <w:rsid w:val="00D71E54"/>
    <w:rsid w:val="00D71EF2"/>
    <w:rsid w:val="00D71F78"/>
    <w:rsid w:val="00D71F7C"/>
    <w:rsid w:val="00D71F87"/>
    <w:rsid w:val="00D71FD0"/>
    <w:rsid w:val="00D720B5"/>
    <w:rsid w:val="00D72123"/>
    <w:rsid w:val="00D721F3"/>
    <w:rsid w:val="00D7224D"/>
    <w:rsid w:val="00D7228A"/>
    <w:rsid w:val="00D722A5"/>
    <w:rsid w:val="00D72306"/>
    <w:rsid w:val="00D7235F"/>
    <w:rsid w:val="00D7244F"/>
    <w:rsid w:val="00D7248D"/>
    <w:rsid w:val="00D724C9"/>
    <w:rsid w:val="00D72572"/>
    <w:rsid w:val="00D72595"/>
    <w:rsid w:val="00D725D2"/>
    <w:rsid w:val="00D72627"/>
    <w:rsid w:val="00D72693"/>
    <w:rsid w:val="00D7272C"/>
    <w:rsid w:val="00D727B1"/>
    <w:rsid w:val="00D727E5"/>
    <w:rsid w:val="00D7289C"/>
    <w:rsid w:val="00D7294C"/>
    <w:rsid w:val="00D72981"/>
    <w:rsid w:val="00D729D5"/>
    <w:rsid w:val="00D72A92"/>
    <w:rsid w:val="00D72ABE"/>
    <w:rsid w:val="00D72AC5"/>
    <w:rsid w:val="00D72B0A"/>
    <w:rsid w:val="00D72B1F"/>
    <w:rsid w:val="00D72B34"/>
    <w:rsid w:val="00D72BCD"/>
    <w:rsid w:val="00D72C1B"/>
    <w:rsid w:val="00D72C32"/>
    <w:rsid w:val="00D72CF9"/>
    <w:rsid w:val="00D72D60"/>
    <w:rsid w:val="00D72E12"/>
    <w:rsid w:val="00D72F26"/>
    <w:rsid w:val="00D72F56"/>
    <w:rsid w:val="00D72F5D"/>
    <w:rsid w:val="00D72FFC"/>
    <w:rsid w:val="00D73106"/>
    <w:rsid w:val="00D731B6"/>
    <w:rsid w:val="00D7322A"/>
    <w:rsid w:val="00D732CD"/>
    <w:rsid w:val="00D733B3"/>
    <w:rsid w:val="00D734D7"/>
    <w:rsid w:val="00D734FB"/>
    <w:rsid w:val="00D7354B"/>
    <w:rsid w:val="00D735AC"/>
    <w:rsid w:val="00D7360E"/>
    <w:rsid w:val="00D7375D"/>
    <w:rsid w:val="00D737A5"/>
    <w:rsid w:val="00D737ED"/>
    <w:rsid w:val="00D739F9"/>
    <w:rsid w:val="00D73A1C"/>
    <w:rsid w:val="00D73A32"/>
    <w:rsid w:val="00D73A8C"/>
    <w:rsid w:val="00D73AB7"/>
    <w:rsid w:val="00D73AD9"/>
    <w:rsid w:val="00D73AE7"/>
    <w:rsid w:val="00D73AF8"/>
    <w:rsid w:val="00D73B03"/>
    <w:rsid w:val="00D73C00"/>
    <w:rsid w:val="00D73C0E"/>
    <w:rsid w:val="00D73C6A"/>
    <w:rsid w:val="00D73C88"/>
    <w:rsid w:val="00D73D8B"/>
    <w:rsid w:val="00D73E18"/>
    <w:rsid w:val="00D73E1B"/>
    <w:rsid w:val="00D73E34"/>
    <w:rsid w:val="00D73E60"/>
    <w:rsid w:val="00D73EB9"/>
    <w:rsid w:val="00D73EF8"/>
    <w:rsid w:val="00D73F42"/>
    <w:rsid w:val="00D73F60"/>
    <w:rsid w:val="00D7406E"/>
    <w:rsid w:val="00D740E3"/>
    <w:rsid w:val="00D74101"/>
    <w:rsid w:val="00D7411C"/>
    <w:rsid w:val="00D74130"/>
    <w:rsid w:val="00D74132"/>
    <w:rsid w:val="00D74150"/>
    <w:rsid w:val="00D7428E"/>
    <w:rsid w:val="00D7429F"/>
    <w:rsid w:val="00D742A7"/>
    <w:rsid w:val="00D742C8"/>
    <w:rsid w:val="00D742DA"/>
    <w:rsid w:val="00D743E5"/>
    <w:rsid w:val="00D744A2"/>
    <w:rsid w:val="00D744D5"/>
    <w:rsid w:val="00D744FD"/>
    <w:rsid w:val="00D745A0"/>
    <w:rsid w:val="00D746E3"/>
    <w:rsid w:val="00D7470B"/>
    <w:rsid w:val="00D7478A"/>
    <w:rsid w:val="00D747B7"/>
    <w:rsid w:val="00D747FB"/>
    <w:rsid w:val="00D74879"/>
    <w:rsid w:val="00D74886"/>
    <w:rsid w:val="00D748A9"/>
    <w:rsid w:val="00D7495F"/>
    <w:rsid w:val="00D749D9"/>
    <w:rsid w:val="00D74A06"/>
    <w:rsid w:val="00D74A0E"/>
    <w:rsid w:val="00D74A5C"/>
    <w:rsid w:val="00D74B9F"/>
    <w:rsid w:val="00D74BCD"/>
    <w:rsid w:val="00D74C39"/>
    <w:rsid w:val="00D74E22"/>
    <w:rsid w:val="00D74E76"/>
    <w:rsid w:val="00D74EF8"/>
    <w:rsid w:val="00D74FC7"/>
    <w:rsid w:val="00D75099"/>
    <w:rsid w:val="00D750F7"/>
    <w:rsid w:val="00D75104"/>
    <w:rsid w:val="00D75340"/>
    <w:rsid w:val="00D7534B"/>
    <w:rsid w:val="00D753C2"/>
    <w:rsid w:val="00D75447"/>
    <w:rsid w:val="00D75451"/>
    <w:rsid w:val="00D75509"/>
    <w:rsid w:val="00D755ED"/>
    <w:rsid w:val="00D75674"/>
    <w:rsid w:val="00D756BD"/>
    <w:rsid w:val="00D7572C"/>
    <w:rsid w:val="00D757D6"/>
    <w:rsid w:val="00D75870"/>
    <w:rsid w:val="00D75927"/>
    <w:rsid w:val="00D75930"/>
    <w:rsid w:val="00D75998"/>
    <w:rsid w:val="00D75A0C"/>
    <w:rsid w:val="00D75A5B"/>
    <w:rsid w:val="00D75B85"/>
    <w:rsid w:val="00D75C24"/>
    <w:rsid w:val="00D75C43"/>
    <w:rsid w:val="00D75D00"/>
    <w:rsid w:val="00D75D01"/>
    <w:rsid w:val="00D75E2D"/>
    <w:rsid w:val="00D75E78"/>
    <w:rsid w:val="00D762ED"/>
    <w:rsid w:val="00D7630C"/>
    <w:rsid w:val="00D76322"/>
    <w:rsid w:val="00D7634E"/>
    <w:rsid w:val="00D763F3"/>
    <w:rsid w:val="00D7643A"/>
    <w:rsid w:val="00D764C6"/>
    <w:rsid w:val="00D7653A"/>
    <w:rsid w:val="00D7654D"/>
    <w:rsid w:val="00D766C3"/>
    <w:rsid w:val="00D767A1"/>
    <w:rsid w:val="00D768C4"/>
    <w:rsid w:val="00D76A04"/>
    <w:rsid w:val="00D76A31"/>
    <w:rsid w:val="00D76AE0"/>
    <w:rsid w:val="00D76BD5"/>
    <w:rsid w:val="00D76C0E"/>
    <w:rsid w:val="00D76D36"/>
    <w:rsid w:val="00D76DCF"/>
    <w:rsid w:val="00D76DD5"/>
    <w:rsid w:val="00D76EAE"/>
    <w:rsid w:val="00D76EFE"/>
    <w:rsid w:val="00D76F38"/>
    <w:rsid w:val="00D76FD7"/>
    <w:rsid w:val="00D77018"/>
    <w:rsid w:val="00D77038"/>
    <w:rsid w:val="00D77086"/>
    <w:rsid w:val="00D771F5"/>
    <w:rsid w:val="00D7739C"/>
    <w:rsid w:val="00D77448"/>
    <w:rsid w:val="00D7744A"/>
    <w:rsid w:val="00D7744F"/>
    <w:rsid w:val="00D7747E"/>
    <w:rsid w:val="00D774CD"/>
    <w:rsid w:val="00D7756C"/>
    <w:rsid w:val="00D775AA"/>
    <w:rsid w:val="00D775BD"/>
    <w:rsid w:val="00D77601"/>
    <w:rsid w:val="00D77645"/>
    <w:rsid w:val="00D776AA"/>
    <w:rsid w:val="00D776F5"/>
    <w:rsid w:val="00D77734"/>
    <w:rsid w:val="00D7774A"/>
    <w:rsid w:val="00D77768"/>
    <w:rsid w:val="00D777E4"/>
    <w:rsid w:val="00D7785F"/>
    <w:rsid w:val="00D778BB"/>
    <w:rsid w:val="00D77960"/>
    <w:rsid w:val="00D77A00"/>
    <w:rsid w:val="00D77A31"/>
    <w:rsid w:val="00D77A44"/>
    <w:rsid w:val="00D77ACE"/>
    <w:rsid w:val="00D77B49"/>
    <w:rsid w:val="00D77C34"/>
    <w:rsid w:val="00D77C47"/>
    <w:rsid w:val="00D77C49"/>
    <w:rsid w:val="00D77C58"/>
    <w:rsid w:val="00D77C85"/>
    <w:rsid w:val="00D77CDC"/>
    <w:rsid w:val="00D77CE5"/>
    <w:rsid w:val="00D77D2C"/>
    <w:rsid w:val="00D77D57"/>
    <w:rsid w:val="00D77E9A"/>
    <w:rsid w:val="00D77ED7"/>
    <w:rsid w:val="00D77F96"/>
    <w:rsid w:val="00D80057"/>
    <w:rsid w:val="00D8005A"/>
    <w:rsid w:val="00D80143"/>
    <w:rsid w:val="00D80200"/>
    <w:rsid w:val="00D8025E"/>
    <w:rsid w:val="00D80340"/>
    <w:rsid w:val="00D803B8"/>
    <w:rsid w:val="00D8045D"/>
    <w:rsid w:val="00D804BD"/>
    <w:rsid w:val="00D804D2"/>
    <w:rsid w:val="00D804E3"/>
    <w:rsid w:val="00D806BC"/>
    <w:rsid w:val="00D806F4"/>
    <w:rsid w:val="00D80798"/>
    <w:rsid w:val="00D80877"/>
    <w:rsid w:val="00D808C6"/>
    <w:rsid w:val="00D80914"/>
    <w:rsid w:val="00D8092F"/>
    <w:rsid w:val="00D8098E"/>
    <w:rsid w:val="00D809A3"/>
    <w:rsid w:val="00D809FF"/>
    <w:rsid w:val="00D80A34"/>
    <w:rsid w:val="00D80AA1"/>
    <w:rsid w:val="00D80AD0"/>
    <w:rsid w:val="00D80B9A"/>
    <w:rsid w:val="00D80C29"/>
    <w:rsid w:val="00D80D12"/>
    <w:rsid w:val="00D80D46"/>
    <w:rsid w:val="00D80D7B"/>
    <w:rsid w:val="00D80DA2"/>
    <w:rsid w:val="00D80DFC"/>
    <w:rsid w:val="00D80E07"/>
    <w:rsid w:val="00D80EB5"/>
    <w:rsid w:val="00D80EF7"/>
    <w:rsid w:val="00D80F3D"/>
    <w:rsid w:val="00D81008"/>
    <w:rsid w:val="00D81064"/>
    <w:rsid w:val="00D810C9"/>
    <w:rsid w:val="00D810E3"/>
    <w:rsid w:val="00D810E5"/>
    <w:rsid w:val="00D81207"/>
    <w:rsid w:val="00D8130B"/>
    <w:rsid w:val="00D813AF"/>
    <w:rsid w:val="00D81417"/>
    <w:rsid w:val="00D8141D"/>
    <w:rsid w:val="00D8152A"/>
    <w:rsid w:val="00D815CE"/>
    <w:rsid w:val="00D81624"/>
    <w:rsid w:val="00D81633"/>
    <w:rsid w:val="00D8177B"/>
    <w:rsid w:val="00D81813"/>
    <w:rsid w:val="00D81825"/>
    <w:rsid w:val="00D8182E"/>
    <w:rsid w:val="00D81893"/>
    <w:rsid w:val="00D818BB"/>
    <w:rsid w:val="00D818FB"/>
    <w:rsid w:val="00D81911"/>
    <w:rsid w:val="00D81948"/>
    <w:rsid w:val="00D81A0E"/>
    <w:rsid w:val="00D81A42"/>
    <w:rsid w:val="00D81A5F"/>
    <w:rsid w:val="00D81A97"/>
    <w:rsid w:val="00D81ACC"/>
    <w:rsid w:val="00D81B22"/>
    <w:rsid w:val="00D81B2C"/>
    <w:rsid w:val="00D81B64"/>
    <w:rsid w:val="00D81B76"/>
    <w:rsid w:val="00D81B7E"/>
    <w:rsid w:val="00D81BE3"/>
    <w:rsid w:val="00D81BE4"/>
    <w:rsid w:val="00D81C51"/>
    <w:rsid w:val="00D81C65"/>
    <w:rsid w:val="00D81CB8"/>
    <w:rsid w:val="00D81D04"/>
    <w:rsid w:val="00D81DBE"/>
    <w:rsid w:val="00D81DEC"/>
    <w:rsid w:val="00D81F56"/>
    <w:rsid w:val="00D82005"/>
    <w:rsid w:val="00D82146"/>
    <w:rsid w:val="00D821CC"/>
    <w:rsid w:val="00D8238A"/>
    <w:rsid w:val="00D82390"/>
    <w:rsid w:val="00D823EE"/>
    <w:rsid w:val="00D8246E"/>
    <w:rsid w:val="00D824FB"/>
    <w:rsid w:val="00D82528"/>
    <w:rsid w:val="00D8252F"/>
    <w:rsid w:val="00D82583"/>
    <w:rsid w:val="00D82668"/>
    <w:rsid w:val="00D826D8"/>
    <w:rsid w:val="00D826DD"/>
    <w:rsid w:val="00D826E1"/>
    <w:rsid w:val="00D826E2"/>
    <w:rsid w:val="00D82721"/>
    <w:rsid w:val="00D82743"/>
    <w:rsid w:val="00D8276B"/>
    <w:rsid w:val="00D827A3"/>
    <w:rsid w:val="00D8286B"/>
    <w:rsid w:val="00D82954"/>
    <w:rsid w:val="00D829BA"/>
    <w:rsid w:val="00D82A71"/>
    <w:rsid w:val="00D82AF8"/>
    <w:rsid w:val="00D82B1D"/>
    <w:rsid w:val="00D82BF1"/>
    <w:rsid w:val="00D82C43"/>
    <w:rsid w:val="00D82C59"/>
    <w:rsid w:val="00D82CD0"/>
    <w:rsid w:val="00D82CD7"/>
    <w:rsid w:val="00D82CE9"/>
    <w:rsid w:val="00D82D39"/>
    <w:rsid w:val="00D82D5D"/>
    <w:rsid w:val="00D82DB4"/>
    <w:rsid w:val="00D82EF9"/>
    <w:rsid w:val="00D82F7A"/>
    <w:rsid w:val="00D82F9C"/>
    <w:rsid w:val="00D8300D"/>
    <w:rsid w:val="00D8301C"/>
    <w:rsid w:val="00D830C4"/>
    <w:rsid w:val="00D830E6"/>
    <w:rsid w:val="00D830FE"/>
    <w:rsid w:val="00D83133"/>
    <w:rsid w:val="00D8316D"/>
    <w:rsid w:val="00D831BF"/>
    <w:rsid w:val="00D831FA"/>
    <w:rsid w:val="00D8331A"/>
    <w:rsid w:val="00D83378"/>
    <w:rsid w:val="00D83499"/>
    <w:rsid w:val="00D834A7"/>
    <w:rsid w:val="00D834ED"/>
    <w:rsid w:val="00D83539"/>
    <w:rsid w:val="00D8353B"/>
    <w:rsid w:val="00D83596"/>
    <w:rsid w:val="00D835A4"/>
    <w:rsid w:val="00D83644"/>
    <w:rsid w:val="00D836C7"/>
    <w:rsid w:val="00D8373B"/>
    <w:rsid w:val="00D837AE"/>
    <w:rsid w:val="00D837B4"/>
    <w:rsid w:val="00D837E9"/>
    <w:rsid w:val="00D837F1"/>
    <w:rsid w:val="00D83805"/>
    <w:rsid w:val="00D8388F"/>
    <w:rsid w:val="00D8389A"/>
    <w:rsid w:val="00D838A2"/>
    <w:rsid w:val="00D83993"/>
    <w:rsid w:val="00D8399E"/>
    <w:rsid w:val="00D839CC"/>
    <w:rsid w:val="00D83A47"/>
    <w:rsid w:val="00D83B51"/>
    <w:rsid w:val="00D83B95"/>
    <w:rsid w:val="00D83CA6"/>
    <w:rsid w:val="00D83D22"/>
    <w:rsid w:val="00D83D8D"/>
    <w:rsid w:val="00D83DAE"/>
    <w:rsid w:val="00D83DB4"/>
    <w:rsid w:val="00D83DB9"/>
    <w:rsid w:val="00D83E17"/>
    <w:rsid w:val="00D83E6E"/>
    <w:rsid w:val="00D83E75"/>
    <w:rsid w:val="00D83EA1"/>
    <w:rsid w:val="00D83F57"/>
    <w:rsid w:val="00D83F98"/>
    <w:rsid w:val="00D84032"/>
    <w:rsid w:val="00D840C4"/>
    <w:rsid w:val="00D840E8"/>
    <w:rsid w:val="00D8417F"/>
    <w:rsid w:val="00D84225"/>
    <w:rsid w:val="00D842B8"/>
    <w:rsid w:val="00D842BA"/>
    <w:rsid w:val="00D842F0"/>
    <w:rsid w:val="00D843C4"/>
    <w:rsid w:val="00D843F7"/>
    <w:rsid w:val="00D84419"/>
    <w:rsid w:val="00D84460"/>
    <w:rsid w:val="00D84477"/>
    <w:rsid w:val="00D8450A"/>
    <w:rsid w:val="00D8455D"/>
    <w:rsid w:val="00D84629"/>
    <w:rsid w:val="00D84664"/>
    <w:rsid w:val="00D846B2"/>
    <w:rsid w:val="00D84922"/>
    <w:rsid w:val="00D8493C"/>
    <w:rsid w:val="00D8498C"/>
    <w:rsid w:val="00D849B2"/>
    <w:rsid w:val="00D849E4"/>
    <w:rsid w:val="00D84A49"/>
    <w:rsid w:val="00D84ABE"/>
    <w:rsid w:val="00D84AC3"/>
    <w:rsid w:val="00D84B90"/>
    <w:rsid w:val="00D84B94"/>
    <w:rsid w:val="00D84BD0"/>
    <w:rsid w:val="00D84BD8"/>
    <w:rsid w:val="00D84C48"/>
    <w:rsid w:val="00D84D76"/>
    <w:rsid w:val="00D84DDF"/>
    <w:rsid w:val="00D84E55"/>
    <w:rsid w:val="00D84E67"/>
    <w:rsid w:val="00D84ECA"/>
    <w:rsid w:val="00D84F09"/>
    <w:rsid w:val="00D84F70"/>
    <w:rsid w:val="00D85032"/>
    <w:rsid w:val="00D851D3"/>
    <w:rsid w:val="00D85226"/>
    <w:rsid w:val="00D8525E"/>
    <w:rsid w:val="00D852E9"/>
    <w:rsid w:val="00D853D0"/>
    <w:rsid w:val="00D85433"/>
    <w:rsid w:val="00D85484"/>
    <w:rsid w:val="00D8548B"/>
    <w:rsid w:val="00D85542"/>
    <w:rsid w:val="00D85549"/>
    <w:rsid w:val="00D85559"/>
    <w:rsid w:val="00D85586"/>
    <w:rsid w:val="00D855AA"/>
    <w:rsid w:val="00D855E9"/>
    <w:rsid w:val="00D85704"/>
    <w:rsid w:val="00D85741"/>
    <w:rsid w:val="00D85743"/>
    <w:rsid w:val="00D85797"/>
    <w:rsid w:val="00D857DD"/>
    <w:rsid w:val="00D8587F"/>
    <w:rsid w:val="00D85887"/>
    <w:rsid w:val="00D858FD"/>
    <w:rsid w:val="00D8598C"/>
    <w:rsid w:val="00D85A29"/>
    <w:rsid w:val="00D85A2D"/>
    <w:rsid w:val="00D85AB1"/>
    <w:rsid w:val="00D85ACF"/>
    <w:rsid w:val="00D85AD1"/>
    <w:rsid w:val="00D85BA8"/>
    <w:rsid w:val="00D85BAC"/>
    <w:rsid w:val="00D85C8A"/>
    <w:rsid w:val="00D85CB1"/>
    <w:rsid w:val="00D85D03"/>
    <w:rsid w:val="00D85D68"/>
    <w:rsid w:val="00D86064"/>
    <w:rsid w:val="00D86103"/>
    <w:rsid w:val="00D86139"/>
    <w:rsid w:val="00D8617F"/>
    <w:rsid w:val="00D86259"/>
    <w:rsid w:val="00D862D0"/>
    <w:rsid w:val="00D862EA"/>
    <w:rsid w:val="00D86321"/>
    <w:rsid w:val="00D863FA"/>
    <w:rsid w:val="00D86446"/>
    <w:rsid w:val="00D86529"/>
    <w:rsid w:val="00D8656C"/>
    <w:rsid w:val="00D8662D"/>
    <w:rsid w:val="00D866E7"/>
    <w:rsid w:val="00D86706"/>
    <w:rsid w:val="00D8676A"/>
    <w:rsid w:val="00D867A3"/>
    <w:rsid w:val="00D867DF"/>
    <w:rsid w:val="00D86960"/>
    <w:rsid w:val="00D869A5"/>
    <w:rsid w:val="00D86AAD"/>
    <w:rsid w:val="00D86B42"/>
    <w:rsid w:val="00D86B71"/>
    <w:rsid w:val="00D86C3D"/>
    <w:rsid w:val="00D86C6B"/>
    <w:rsid w:val="00D86CC6"/>
    <w:rsid w:val="00D86CED"/>
    <w:rsid w:val="00D86D15"/>
    <w:rsid w:val="00D86D33"/>
    <w:rsid w:val="00D86D4B"/>
    <w:rsid w:val="00D86DDB"/>
    <w:rsid w:val="00D86E0D"/>
    <w:rsid w:val="00D86E2B"/>
    <w:rsid w:val="00D86EEE"/>
    <w:rsid w:val="00D86FFB"/>
    <w:rsid w:val="00D8706B"/>
    <w:rsid w:val="00D87079"/>
    <w:rsid w:val="00D871C9"/>
    <w:rsid w:val="00D8723F"/>
    <w:rsid w:val="00D87252"/>
    <w:rsid w:val="00D87269"/>
    <w:rsid w:val="00D8729F"/>
    <w:rsid w:val="00D872D6"/>
    <w:rsid w:val="00D872DA"/>
    <w:rsid w:val="00D872DD"/>
    <w:rsid w:val="00D872EC"/>
    <w:rsid w:val="00D87316"/>
    <w:rsid w:val="00D87393"/>
    <w:rsid w:val="00D87426"/>
    <w:rsid w:val="00D87575"/>
    <w:rsid w:val="00D875A3"/>
    <w:rsid w:val="00D875C5"/>
    <w:rsid w:val="00D875D1"/>
    <w:rsid w:val="00D87675"/>
    <w:rsid w:val="00D877E3"/>
    <w:rsid w:val="00D878AC"/>
    <w:rsid w:val="00D878E8"/>
    <w:rsid w:val="00D8796D"/>
    <w:rsid w:val="00D87A0F"/>
    <w:rsid w:val="00D87A1F"/>
    <w:rsid w:val="00D87A77"/>
    <w:rsid w:val="00D87AA9"/>
    <w:rsid w:val="00D87AC4"/>
    <w:rsid w:val="00D87B42"/>
    <w:rsid w:val="00D87BEF"/>
    <w:rsid w:val="00D87C3C"/>
    <w:rsid w:val="00D87C95"/>
    <w:rsid w:val="00D87CDE"/>
    <w:rsid w:val="00D87D1D"/>
    <w:rsid w:val="00D87D3A"/>
    <w:rsid w:val="00D87F38"/>
    <w:rsid w:val="00D87F66"/>
    <w:rsid w:val="00D87FA5"/>
    <w:rsid w:val="00D87FC1"/>
    <w:rsid w:val="00D9008A"/>
    <w:rsid w:val="00D9010B"/>
    <w:rsid w:val="00D90147"/>
    <w:rsid w:val="00D90175"/>
    <w:rsid w:val="00D901D8"/>
    <w:rsid w:val="00D90267"/>
    <w:rsid w:val="00D90343"/>
    <w:rsid w:val="00D9039B"/>
    <w:rsid w:val="00D903A6"/>
    <w:rsid w:val="00D903CC"/>
    <w:rsid w:val="00D9040F"/>
    <w:rsid w:val="00D9041B"/>
    <w:rsid w:val="00D90444"/>
    <w:rsid w:val="00D90461"/>
    <w:rsid w:val="00D90485"/>
    <w:rsid w:val="00D904AD"/>
    <w:rsid w:val="00D90628"/>
    <w:rsid w:val="00D906B7"/>
    <w:rsid w:val="00D906F1"/>
    <w:rsid w:val="00D90747"/>
    <w:rsid w:val="00D90754"/>
    <w:rsid w:val="00D907F9"/>
    <w:rsid w:val="00D90837"/>
    <w:rsid w:val="00D908A4"/>
    <w:rsid w:val="00D90904"/>
    <w:rsid w:val="00D909BB"/>
    <w:rsid w:val="00D90A92"/>
    <w:rsid w:val="00D90B3F"/>
    <w:rsid w:val="00D90B60"/>
    <w:rsid w:val="00D90B80"/>
    <w:rsid w:val="00D90BA2"/>
    <w:rsid w:val="00D90BA7"/>
    <w:rsid w:val="00D90BB0"/>
    <w:rsid w:val="00D90C3A"/>
    <w:rsid w:val="00D90CA1"/>
    <w:rsid w:val="00D90D02"/>
    <w:rsid w:val="00D90D6D"/>
    <w:rsid w:val="00D90DBB"/>
    <w:rsid w:val="00D90DEB"/>
    <w:rsid w:val="00D90E1A"/>
    <w:rsid w:val="00D90E64"/>
    <w:rsid w:val="00D91054"/>
    <w:rsid w:val="00D910AB"/>
    <w:rsid w:val="00D911FB"/>
    <w:rsid w:val="00D91304"/>
    <w:rsid w:val="00D91324"/>
    <w:rsid w:val="00D913FE"/>
    <w:rsid w:val="00D9141D"/>
    <w:rsid w:val="00D9145B"/>
    <w:rsid w:val="00D914B8"/>
    <w:rsid w:val="00D914DC"/>
    <w:rsid w:val="00D914E7"/>
    <w:rsid w:val="00D914ED"/>
    <w:rsid w:val="00D914EF"/>
    <w:rsid w:val="00D9151A"/>
    <w:rsid w:val="00D91636"/>
    <w:rsid w:val="00D91676"/>
    <w:rsid w:val="00D91696"/>
    <w:rsid w:val="00D9171E"/>
    <w:rsid w:val="00D9178C"/>
    <w:rsid w:val="00D917B1"/>
    <w:rsid w:val="00D918F3"/>
    <w:rsid w:val="00D919E0"/>
    <w:rsid w:val="00D91AD6"/>
    <w:rsid w:val="00D91B31"/>
    <w:rsid w:val="00D91BE5"/>
    <w:rsid w:val="00D91C8F"/>
    <w:rsid w:val="00D91D1E"/>
    <w:rsid w:val="00D91DA0"/>
    <w:rsid w:val="00D91E49"/>
    <w:rsid w:val="00D91EA1"/>
    <w:rsid w:val="00D91EF1"/>
    <w:rsid w:val="00D91F84"/>
    <w:rsid w:val="00D9204D"/>
    <w:rsid w:val="00D9204F"/>
    <w:rsid w:val="00D92058"/>
    <w:rsid w:val="00D9209B"/>
    <w:rsid w:val="00D92187"/>
    <w:rsid w:val="00D9228A"/>
    <w:rsid w:val="00D9228E"/>
    <w:rsid w:val="00D922A4"/>
    <w:rsid w:val="00D9230B"/>
    <w:rsid w:val="00D9231F"/>
    <w:rsid w:val="00D92337"/>
    <w:rsid w:val="00D92412"/>
    <w:rsid w:val="00D92479"/>
    <w:rsid w:val="00D924A5"/>
    <w:rsid w:val="00D92514"/>
    <w:rsid w:val="00D925E2"/>
    <w:rsid w:val="00D92689"/>
    <w:rsid w:val="00D9268D"/>
    <w:rsid w:val="00D92696"/>
    <w:rsid w:val="00D9273B"/>
    <w:rsid w:val="00D9276F"/>
    <w:rsid w:val="00D92783"/>
    <w:rsid w:val="00D9297B"/>
    <w:rsid w:val="00D92993"/>
    <w:rsid w:val="00D92999"/>
    <w:rsid w:val="00D929A3"/>
    <w:rsid w:val="00D929DF"/>
    <w:rsid w:val="00D92B51"/>
    <w:rsid w:val="00D92B73"/>
    <w:rsid w:val="00D92C96"/>
    <w:rsid w:val="00D92D9E"/>
    <w:rsid w:val="00D92E60"/>
    <w:rsid w:val="00D92E8A"/>
    <w:rsid w:val="00D92F51"/>
    <w:rsid w:val="00D92F58"/>
    <w:rsid w:val="00D92FB9"/>
    <w:rsid w:val="00D92FCA"/>
    <w:rsid w:val="00D93117"/>
    <w:rsid w:val="00D93135"/>
    <w:rsid w:val="00D9315F"/>
    <w:rsid w:val="00D931E1"/>
    <w:rsid w:val="00D93218"/>
    <w:rsid w:val="00D9328E"/>
    <w:rsid w:val="00D932C1"/>
    <w:rsid w:val="00D932D0"/>
    <w:rsid w:val="00D93307"/>
    <w:rsid w:val="00D93313"/>
    <w:rsid w:val="00D93318"/>
    <w:rsid w:val="00D93359"/>
    <w:rsid w:val="00D9342F"/>
    <w:rsid w:val="00D9345F"/>
    <w:rsid w:val="00D9359F"/>
    <w:rsid w:val="00D935B1"/>
    <w:rsid w:val="00D93635"/>
    <w:rsid w:val="00D93662"/>
    <w:rsid w:val="00D93677"/>
    <w:rsid w:val="00D936C7"/>
    <w:rsid w:val="00D936F9"/>
    <w:rsid w:val="00D936FF"/>
    <w:rsid w:val="00D93700"/>
    <w:rsid w:val="00D9379E"/>
    <w:rsid w:val="00D937C6"/>
    <w:rsid w:val="00D93839"/>
    <w:rsid w:val="00D93850"/>
    <w:rsid w:val="00D9385A"/>
    <w:rsid w:val="00D93885"/>
    <w:rsid w:val="00D938F3"/>
    <w:rsid w:val="00D9395E"/>
    <w:rsid w:val="00D93991"/>
    <w:rsid w:val="00D939F6"/>
    <w:rsid w:val="00D93A20"/>
    <w:rsid w:val="00D93A5E"/>
    <w:rsid w:val="00D93A82"/>
    <w:rsid w:val="00D93B42"/>
    <w:rsid w:val="00D93B48"/>
    <w:rsid w:val="00D93B98"/>
    <w:rsid w:val="00D93BB9"/>
    <w:rsid w:val="00D93C0C"/>
    <w:rsid w:val="00D93C40"/>
    <w:rsid w:val="00D93CA3"/>
    <w:rsid w:val="00D93D42"/>
    <w:rsid w:val="00D93D87"/>
    <w:rsid w:val="00D93DB4"/>
    <w:rsid w:val="00D93DD7"/>
    <w:rsid w:val="00D93DEB"/>
    <w:rsid w:val="00D93FB2"/>
    <w:rsid w:val="00D94031"/>
    <w:rsid w:val="00D94154"/>
    <w:rsid w:val="00D941BF"/>
    <w:rsid w:val="00D94247"/>
    <w:rsid w:val="00D942A2"/>
    <w:rsid w:val="00D942B4"/>
    <w:rsid w:val="00D9438E"/>
    <w:rsid w:val="00D9444C"/>
    <w:rsid w:val="00D94493"/>
    <w:rsid w:val="00D944F2"/>
    <w:rsid w:val="00D9457E"/>
    <w:rsid w:val="00D945C1"/>
    <w:rsid w:val="00D9463E"/>
    <w:rsid w:val="00D946B4"/>
    <w:rsid w:val="00D946C9"/>
    <w:rsid w:val="00D9472F"/>
    <w:rsid w:val="00D94751"/>
    <w:rsid w:val="00D9487A"/>
    <w:rsid w:val="00D9487C"/>
    <w:rsid w:val="00D948E6"/>
    <w:rsid w:val="00D949B9"/>
    <w:rsid w:val="00D94B63"/>
    <w:rsid w:val="00D94B86"/>
    <w:rsid w:val="00D94C26"/>
    <w:rsid w:val="00D94C97"/>
    <w:rsid w:val="00D94CA4"/>
    <w:rsid w:val="00D94CBB"/>
    <w:rsid w:val="00D94CF3"/>
    <w:rsid w:val="00D94D10"/>
    <w:rsid w:val="00D94D56"/>
    <w:rsid w:val="00D94DCC"/>
    <w:rsid w:val="00D94DCE"/>
    <w:rsid w:val="00D94E7B"/>
    <w:rsid w:val="00D94F46"/>
    <w:rsid w:val="00D94F50"/>
    <w:rsid w:val="00D94F62"/>
    <w:rsid w:val="00D94F7A"/>
    <w:rsid w:val="00D9502B"/>
    <w:rsid w:val="00D95035"/>
    <w:rsid w:val="00D95037"/>
    <w:rsid w:val="00D950BB"/>
    <w:rsid w:val="00D950EC"/>
    <w:rsid w:val="00D95157"/>
    <w:rsid w:val="00D951F2"/>
    <w:rsid w:val="00D95290"/>
    <w:rsid w:val="00D952AD"/>
    <w:rsid w:val="00D95331"/>
    <w:rsid w:val="00D95347"/>
    <w:rsid w:val="00D953B6"/>
    <w:rsid w:val="00D953B7"/>
    <w:rsid w:val="00D95422"/>
    <w:rsid w:val="00D95437"/>
    <w:rsid w:val="00D95459"/>
    <w:rsid w:val="00D95499"/>
    <w:rsid w:val="00D954DB"/>
    <w:rsid w:val="00D954F2"/>
    <w:rsid w:val="00D95601"/>
    <w:rsid w:val="00D9561F"/>
    <w:rsid w:val="00D95636"/>
    <w:rsid w:val="00D95699"/>
    <w:rsid w:val="00D956AE"/>
    <w:rsid w:val="00D956BA"/>
    <w:rsid w:val="00D956FC"/>
    <w:rsid w:val="00D95728"/>
    <w:rsid w:val="00D957D4"/>
    <w:rsid w:val="00D95848"/>
    <w:rsid w:val="00D95933"/>
    <w:rsid w:val="00D95A00"/>
    <w:rsid w:val="00D95AA7"/>
    <w:rsid w:val="00D95B09"/>
    <w:rsid w:val="00D95C36"/>
    <w:rsid w:val="00D95C45"/>
    <w:rsid w:val="00D95C6E"/>
    <w:rsid w:val="00D95C84"/>
    <w:rsid w:val="00D95CAE"/>
    <w:rsid w:val="00D95CEB"/>
    <w:rsid w:val="00D95CEE"/>
    <w:rsid w:val="00D95D4A"/>
    <w:rsid w:val="00D95D77"/>
    <w:rsid w:val="00D95EA2"/>
    <w:rsid w:val="00D95EAF"/>
    <w:rsid w:val="00D95ED0"/>
    <w:rsid w:val="00D95F36"/>
    <w:rsid w:val="00D9611B"/>
    <w:rsid w:val="00D96140"/>
    <w:rsid w:val="00D961A7"/>
    <w:rsid w:val="00D96235"/>
    <w:rsid w:val="00D96299"/>
    <w:rsid w:val="00D962B4"/>
    <w:rsid w:val="00D9643E"/>
    <w:rsid w:val="00D964ED"/>
    <w:rsid w:val="00D96557"/>
    <w:rsid w:val="00D9656C"/>
    <w:rsid w:val="00D96597"/>
    <w:rsid w:val="00D96638"/>
    <w:rsid w:val="00D967A8"/>
    <w:rsid w:val="00D967AF"/>
    <w:rsid w:val="00D967BB"/>
    <w:rsid w:val="00D967F4"/>
    <w:rsid w:val="00D96813"/>
    <w:rsid w:val="00D96913"/>
    <w:rsid w:val="00D96974"/>
    <w:rsid w:val="00D969ED"/>
    <w:rsid w:val="00D969F3"/>
    <w:rsid w:val="00D96A58"/>
    <w:rsid w:val="00D96A7D"/>
    <w:rsid w:val="00D96B7D"/>
    <w:rsid w:val="00D96CE5"/>
    <w:rsid w:val="00D96D1E"/>
    <w:rsid w:val="00D96D4B"/>
    <w:rsid w:val="00D96DBB"/>
    <w:rsid w:val="00D96DCC"/>
    <w:rsid w:val="00D96E04"/>
    <w:rsid w:val="00D96E0C"/>
    <w:rsid w:val="00D96E20"/>
    <w:rsid w:val="00D96E4F"/>
    <w:rsid w:val="00D96E6D"/>
    <w:rsid w:val="00D96EC1"/>
    <w:rsid w:val="00D96F61"/>
    <w:rsid w:val="00D96F91"/>
    <w:rsid w:val="00D96FB1"/>
    <w:rsid w:val="00D97058"/>
    <w:rsid w:val="00D97065"/>
    <w:rsid w:val="00D970AC"/>
    <w:rsid w:val="00D970D4"/>
    <w:rsid w:val="00D9710A"/>
    <w:rsid w:val="00D971BC"/>
    <w:rsid w:val="00D971BF"/>
    <w:rsid w:val="00D971D7"/>
    <w:rsid w:val="00D9724B"/>
    <w:rsid w:val="00D972D6"/>
    <w:rsid w:val="00D9731E"/>
    <w:rsid w:val="00D97381"/>
    <w:rsid w:val="00D9741A"/>
    <w:rsid w:val="00D9755A"/>
    <w:rsid w:val="00D9755E"/>
    <w:rsid w:val="00D97675"/>
    <w:rsid w:val="00D9768B"/>
    <w:rsid w:val="00D976A7"/>
    <w:rsid w:val="00D97716"/>
    <w:rsid w:val="00D9775B"/>
    <w:rsid w:val="00D977A7"/>
    <w:rsid w:val="00D97871"/>
    <w:rsid w:val="00D978CC"/>
    <w:rsid w:val="00D979E9"/>
    <w:rsid w:val="00D97A54"/>
    <w:rsid w:val="00D97A92"/>
    <w:rsid w:val="00D97B1C"/>
    <w:rsid w:val="00D97B9D"/>
    <w:rsid w:val="00D97C3B"/>
    <w:rsid w:val="00D97C86"/>
    <w:rsid w:val="00D97C8C"/>
    <w:rsid w:val="00D97D79"/>
    <w:rsid w:val="00D97DAA"/>
    <w:rsid w:val="00D97DFD"/>
    <w:rsid w:val="00D97FC3"/>
    <w:rsid w:val="00D97FF6"/>
    <w:rsid w:val="00D97FFD"/>
    <w:rsid w:val="00DA0016"/>
    <w:rsid w:val="00DA01B3"/>
    <w:rsid w:val="00DA0319"/>
    <w:rsid w:val="00DA0366"/>
    <w:rsid w:val="00DA03A6"/>
    <w:rsid w:val="00DA03B1"/>
    <w:rsid w:val="00DA0440"/>
    <w:rsid w:val="00DA050E"/>
    <w:rsid w:val="00DA0558"/>
    <w:rsid w:val="00DA057E"/>
    <w:rsid w:val="00DA058E"/>
    <w:rsid w:val="00DA063D"/>
    <w:rsid w:val="00DA0657"/>
    <w:rsid w:val="00DA067C"/>
    <w:rsid w:val="00DA06A7"/>
    <w:rsid w:val="00DA06B5"/>
    <w:rsid w:val="00DA06C9"/>
    <w:rsid w:val="00DA0728"/>
    <w:rsid w:val="00DA073B"/>
    <w:rsid w:val="00DA07D0"/>
    <w:rsid w:val="00DA07E8"/>
    <w:rsid w:val="00DA08CF"/>
    <w:rsid w:val="00DA0951"/>
    <w:rsid w:val="00DA0989"/>
    <w:rsid w:val="00DA0A1A"/>
    <w:rsid w:val="00DA0B14"/>
    <w:rsid w:val="00DA0B37"/>
    <w:rsid w:val="00DA0B42"/>
    <w:rsid w:val="00DA0BB5"/>
    <w:rsid w:val="00DA0C5F"/>
    <w:rsid w:val="00DA0C85"/>
    <w:rsid w:val="00DA0CBF"/>
    <w:rsid w:val="00DA0DBB"/>
    <w:rsid w:val="00DA0E0A"/>
    <w:rsid w:val="00DA0F0C"/>
    <w:rsid w:val="00DA0FA0"/>
    <w:rsid w:val="00DA0FD1"/>
    <w:rsid w:val="00DA1006"/>
    <w:rsid w:val="00DA100C"/>
    <w:rsid w:val="00DA104F"/>
    <w:rsid w:val="00DA1104"/>
    <w:rsid w:val="00DA1131"/>
    <w:rsid w:val="00DA1186"/>
    <w:rsid w:val="00DA11A8"/>
    <w:rsid w:val="00DA122B"/>
    <w:rsid w:val="00DA124A"/>
    <w:rsid w:val="00DA129E"/>
    <w:rsid w:val="00DA12E9"/>
    <w:rsid w:val="00DA1328"/>
    <w:rsid w:val="00DA13EB"/>
    <w:rsid w:val="00DA1428"/>
    <w:rsid w:val="00DA1457"/>
    <w:rsid w:val="00DA1460"/>
    <w:rsid w:val="00DA14B1"/>
    <w:rsid w:val="00DA14F1"/>
    <w:rsid w:val="00DA15B4"/>
    <w:rsid w:val="00DA16DB"/>
    <w:rsid w:val="00DA1717"/>
    <w:rsid w:val="00DA179A"/>
    <w:rsid w:val="00DA179F"/>
    <w:rsid w:val="00DA181B"/>
    <w:rsid w:val="00DA188C"/>
    <w:rsid w:val="00DA192A"/>
    <w:rsid w:val="00DA194A"/>
    <w:rsid w:val="00DA19C2"/>
    <w:rsid w:val="00DA19E3"/>
    <w:rsid w:val="00DA19F0"/>
    <w:rsid w:val="00DA1AD1"/>
    <w:rsid w:val="00DA1AFD"/>
    <w:rsid w:val="00DA1CA3"/>
    <w:rsid w:val="00DA1D6B"/>
    <w:rsid w:val="00DA1D9E"/>
    <w:rsid w:val="00DA1E11"/>
    <w:rsid w:val="00DA1E3C"/>
    <w:rsid w:val="00DA1EF0"/>
    <w:rsid w:val="00DA1F1B"/>
    <w:rsid w:val="00DA1F80"/>
    <w:rsid w:val="00DA1F87"/>
    <w:rsid w:val="00DA1FEF"/>
    <w:rsid w:val="00DA205F"/>
    <w:rsid w:val="00DA20B8"/>
    <w:rsid w:val="00DA217C"/>
    <w:rsid w:val="00DA21C1"/>
    <w:rsid w:val="00DA223A"/>
    <w:rsid w:val="00DA228B"/>
    <w:rsid w:val="00DA22A5"/>
    <w:rsid w:val="00DA22BB"/>
    <w:rsid w:val="00DA2509"/>
    <w:rsid w:val="00DA2517"/>
    <w:rsid w:val="00DA2536"/>
    <w:rsid w:val="00DA2537"/>
    <w:rsid w:val="00DA253D"/>
    <w:rsid w:val="00DA2696"/>
    <w:rsid w:val="00DA283C"/>
    <w:rsid w:val="00DA2967"/>
    <w:rsid w:val="00DA299C"/>
    <w:rsid w:val="00DA29F7"/>
    <w:rsid w:val="00DA2A3E"/>
    <w:rsid w:val="00DA2A5D"/>
    <w:rsid w:val="00DA2A71"/>
    <w:rsid w:val="00DA2A75"/>
    <w:rsid w:val="00DA2AD0"/>
    <w:rsid w:val="00DA2B13"/>
    <w:rsid w:val="00DA2B28"/>
    <w:rsid w:val="00DA2B5D"/>
    <w:rsid w:val="00DA2C67"/>
    <w:rsid w:val="00DA2CDD"/>
    <w:rsid w:val="00DA2DD7"/>
    <w:rsid w:val="00DA2E16"/>
    <w:rsid w:val="00DA2EB7"/>
    <w:rsid w:val="00DA2FDB"/>
    <w:rsid w:val="00DA3127"/>
    <w:rsid w:val="00DA31C6"/>
    <w:rsid w:val="00DA321C"/>
    <w:rsid w:val="00DA3271"/>
    <w:rsid w:val="00DA3277"/>
    <w:rsid w:val="00DA33C7"/>
    <w:rsid w:val="00DA3482"/>
    <w:rsid w:val="00DA3509"/>
    <w:rsid w:val="00DA3572"/>
    <w:rsid w:val="00DA35AF"/>
    <w:rsid w:val="00DA364C"/>
    <w:rsid w:val="00DA365B"/>
    <w:rsid w:val="00DA368B"/>
    <w:rsid w:val="00DA36B6"/>
    <w:rsid w:val="00DA383F"/>
    <w:rsid w:val="00DA3930"/>
    <w:rsid w:val="00DA3A91"/>
    <w:rsid w:val="00DA3AA6"/>
    <w:rsid w:val="00DA3AE7"/>
    <w:rsid w:val="00DA3B3C"/>
    <w:rsid w:val="00DA3C25"/>
    <w:rsid w:val="00DA3C43"/>
    <w:rsid w:val="00DA3C84"/>
    <w:rsid w:val="00DA3CAE"/>
    <w:rsid w:val="00DA3CCC"/>
    <w:rsid w:val="00DA3CD7"/>
    <w:rsid w:val="00DA3D33"/>
    <w:rsid w:val="00DA3D58"/>
    <w:rsid w:val="00DA3D80"/>
    <w:rsid w:val="00DA3DDB"/>
    <w:rsid w:val="00DA3DE1"/>
    <w:rsid w:val="00DA3F1D"/>
    <w:rsid w:val="00DA3F44"/>
    <w:rsid w:val="00DA3F60"/>
    <w:rsid w:val="00DA3F78"/>
    <w:rsid w:val="00DA3F83"/>
    <w:rsid w:val="00DA403F"/>
    <w:rsid w:val="00DA409A"/>
    <w:rsid w:val="00DA4256"/>
    <w:rsid w:val="00DA42F6"/>
    <w:rsid w:val="00DA43ED"/>
    <w:rsid w:val="00DA445A"/>
    <w:rsid w:val="00DA4466"/>
    <w:rsid w:val="00DA4511"/>
    <w:rsid w:val="00DA459A"/>
    <w:rsid w:val="00DA461A"/>
    <w:rsid w:val="00DA4681"/>
    <w:rsid w:val="00DA46B3"/>
    <w:rsid w:val="00DA46C7"/>
    <w:rsid w:val="00DA46D6"/>
    <w:rsid w:val="00DA473F"/>
    <w:rsid w:val="00DA4753"/>
    <w:rsid w:val="00DA4788"/>
    <w:rsid w:val="00DA489D"/>
    <w:rsid w:val="00DA492C"/>
    <w:rsid w:val="00DA49A4"/>
    <w:rsid w:val="00DA4A47"/>
    <w:rsid w:val="00DA4AC6"/>
    <w:rsid w:val="00DA4AC7"/>
    <w:rsid w:val="00DA4B27"/>
    <w:rsid w:val="00DA4B55"/>
    <w:rsid w:val="00DA4C0D"/>
    <w:rsid w:val="00DA4C13"/>
    <w:rsid w:val="00DA4C28"/>
    <w:rsid w:val="00DA4C3B"/>
    <w:rsid w:val="00DA4C61"/>
    <w:rsid w:val="00DA4C67"/>
    <w:rsid w:val="00DA4D95"/>
    <w:rsid w:val="00DA4DBF"/>
    <w:rsid w:val="00DA4DE2"/>
    <w:rsid w:val="00DA4E25"/>
    <w:rsid w:val="00DA4E47"/>
    <w:rsid w:val="00DA4E62"/>
    <w:rsid w:val="00DA4EA3"/>
    <w:rsid w:val="00DA4F0B"/>
    <w:rsid w:val="00DA4F64"/>
    <w:rsid w:val="00DA4F78"/>
    <w:rsid w:val="00DA4FE2"/>
    <w:rsid w:val="00DA50FE"/>
    <w:rsid w:val="00DA5124"/>
    <w:rsid w:val="00DA512C"/>
    <w:rsid w:val="00DA51B7"/>
    <w:rsid w:val="00DA51E2"/>
    <w:rsid w:val="00DA522C"/>
    <w:rsid w:val="00DA5248"/>
    <w:rsid w:val="00DA5333"/>
    <w:rsid w:val="00DA5355"/>
    <w:rsid w:val="00DA5396"/>
    <w:rsid w:val="00DA53E0"/>
    <w:rsid w:val="00DA5441"/>
    <w:rsid w:val="00DA5462"/>
    <w:rsid w:val="00DA54C0"/>
    <w:rsid w:val="00DA54DC"/>
    <w:rsid w:val="00DA5572"/>
    <w:rsid w:val="00DA557D"/>
    <w:rsid w:val="00DA560E"/>
    <w:rsid w:val="00DA569A"/>
    <w:rsid w:val="00DA5820"/>
    <w:rsid w:val="00DA5842"/>
    <w:rsid w:val="00DA5891"/>
    <w:rsid w:val="00DA58B6"/>
    <w:rsid w:val="00DA58BA"/>
    <w:rsid w:val="00DA593F"/>
    <w:rsid w:val="00DA59A1"/>
    <w:rsid w:val="00DA59EF"/>
    <w:rsid w:val="00DA5AAB"/>
    <w:rsid w:val="00DA5B9D"/>
    <w:rsid w:val="00DA5BE8"/>
    <w:rsid w:val="00DA5C36"/>
    <w:rsid w:val="00DA5C70"/>
    <w:rsid w:val="00DA5CA8"/>
    <w:rsid w:val="00DA5D7B"/>
    <w:rsid w:val="00DA5E04"/>
    <w:rsid w:val="00DA5E07"/>
    <w:rsid w:val="00DA5E13"/>
    <w:rsid w:val="00DA5EB9"/>
    <w:rsid w:val="00DA5ED5"/>
    <w:rsid w:val="00DA5F89"/>
    <w:rsid w:val="00DA5FA7"/>
    <w:rsid w:val="00DA5FE8"/>
    <w:rsid w:val="00DA6092"/>
    <w:rsid w:val="00DA6095"/>
    <w:rsid w:val="00DA6150"/>
    <w:rsid w:val="00DA6177"/>
    <w:rsid w:val="00DA63DA"/>
    <w:rsid w:val="00DA64FE"/>
    <w:rsid w:val="00DA65BC"/>
    <w:rsid w:val="00DA65D6"/>
    <w:rsid w:val="00DA66A1"/>
    <w:rsid w:val="00DA66C7"/>
    <w:rsid w:val="00DA66C8"/>
    <w:rsid w:val="00DA66CF"/>
    <w:rsid w:val="00DA6765"/>
    <w:rsid w:val="00DA67E0"/>
    <w:rsid w:val="00DA6887"/>
    <w:rsid w:val="00DA688A"/>
    <w:rsid w:val="00DA690C"/>
    <w:rsid w:val="00DA6993"/>
    <w:rsid w:val="00DA69DD"/>
    <w:rsid w:val="00DA69F4"/>
    <w:rsid w:val="00DA6A35"/>
    <w:rsid w:val="00DA6C11"/>
    <w:rsid w:val="00DA6C4F"/>
    <w:rsid w:val="00DA6D16"/>
    <w:rsid w:val="00DA6DFA"/>
    <w:rsid w:val="00DA6E95"/>
    <w:rsid w:val="00DA6ED9"/>
    <w:rsid w:val="00DA70FB"/>
    <w:rsid w:val="00DA7118"/>
    <w:rsid w:val="00DA7183"/>
    <w:rsid w:val="00DA71A4"/>
    <w:rsid w:val="00DA71F3"/>
    <w:rsid w:val="00DA7228"/>
    <w:rsid w:val="00DA726E"/>
    <w:rsid w:val="00DA72B4"/>
    <w:rsid w:val="00DA7341"/>
    <w:rsid w:val="00DA7371"/>
    <w:rsid w:val="00DA737B"/>
    <w:rsid w:val="00DA7383"/>
    <w:rsid w:val="00DA7398"/>
    <w:rsid w:val="00DA73AC"/>
    <w:rsid w:val="00DA73D2"/>
    <w:rsid w:val="00DA73E2"/>
    <w:rsid w:val="00DA7420"/>
    <w:rsid w:val="00DA74A6"/>
    <w:rsid w:val="00DA75C4"/>
    <w:rsid w:val="00DA760B"/>
    <w:rsid w:val="00DA7628"/>
    <w:rsid w:val="00DA768F"/>
    <w:rsid w:val="00DA7740"/>
    <w:rsid w:val="00DA77C2"/>
    <w:rsid w:val="00DA77C8"/>
    <w:rsid w:val="00DA77DD"/>
    <w:rsid w:val="00DA77FA"/>
    <w:rsid w:val="00DA783F"/>
    <w:rsid w:val="00DA7849"/>
    <w:rsid w:val="00DA789F"/>
    <w:rsid w:val="00DA78CB"/>
    <w:rsid w:val="00DA78E3"/>
    <w:rsid w:val="00DA78F1"/>
    <w:rsid w:val="00DA78F7"/>
    <w:rsid w:val="00DA7957"/>
    <w:rsid w:val="00DA7972"/>
    <w:rsid w:val="00DA7994"/>
    <w:rsid w:val="00DA7A81"/>
    <w:rsid w:val="00DA7AB1"/>
    <w:rsid w:val="00DA7B77"/>
    <w:rsid w:val="00DA7B9C"/>
    <w:rsid w:val="00DA7BDE"/>
    <w:rsid w:val="00DA7C50"/>
    <w:rsid w:val="00DA7D5C"/>
    <w:rsid w:val="00DA7D65"/>
    <w:rsid w:val="00DA7E15"/>
    <w:rsid w:val="00DA7E68"/>
    <w:rsid w:val="00DA7F39"/>
    <w:rsid w:val="00DA7F70"/>
    <w:rsid w:val="00DA7F77"/>
    <w:rsid w:val="00DB003C"/>
    <w:rsid w:val="00DB0075"/>
    <w:rsid w:val="00DB00B4"/>
    <w:rsid w:val="00DB00DC"/>
    <w:rsid w:val="00DB0137"/>
    <w:rsid w:val="00DB01D3"/>
    <w:rsid w:val="00DB02CA"/>
    <w:rsid w:val="00DB0386"/>
    <w:rsid w:val="00DB0591"/>
    <w:rsid w:val="00DB066E"/>
    <w:rsid w:val="00DB06E5"/>
    <w:rsid w:val="00DB073F"/>
    <w:rsid w:val="00DB0779"/>
    <w:rsid w:val="00DB07A0"/>
    <w:rsid w:val="00DB0838"/>
    <w:rsid w:val="00DB0872"/>
    <w:rsid w:val="00DB08CD"/>
    <w:rsid w:val="00DB0A03"/>
    <w:rsid w:val="00DB0A66"/>
    <w:rsid w:val="00DB0AB7"/>
    <w:rsid w:val="00DB0ABF"/>
    <w:rsid w:val="00DB0AF4"/>
    <w:rsid w:val="00DB0AF9"/>
    <w:rsid w:val="00DB0B7D"/>
    <w:rsid w:val="00DB0BC4"/>
    <w:rsid w:val="00DB0C36"/>
    <w:rsid w:val="00DB0C5F"/>
    <w:rsid w:val="00DB0C99"/>
    <w:rsid w:val="00DB0CB8"/>
    <w:rsid w:val="00DB0D42"/>
    <w:rsid w:val="00DB0DA7"/>
    <w:rsid w:val="00DB0E45"/>
    <w:rsid w:val="00DB0EC5"/>
    <w:rsid w:val="00DB0EEC"/>
    <w:rsid w:val="00DB0F36"/>
    <w:rsid w:val="00DB0F46"/>
    <w:rsid w:val="00DB0FA6"/>
    <w:rsid w:val="00DB0FAD"/>
    <w:rsid w:val="00DB0FAE"/>
    <w:rsid w:val="00DB0FBB"/>
    <w:rsid w:val="00DB0FFB"/>
    <w:rsid w:val="00DB10E6"/>
    <w:rsid w:val="00DB1100"/>
    <w:rsid w:val="00DB12B0"/>
    <w:rsid w:val="00DB12CE"/>
    <w:rsid w:val="00DB1339"/>
    <w:rsid w:val="00DB133D"/>
    <w:rsid w:val="00DB144D"/>
    <w:rsid w:val="00DB1584"/>
    <w:rsid w:val="00DB163F"/>
    <w:rsid w:val="00DB165E"/>
    <w:rsid w:val="00DB1666"/>
    <w:rsid w:val="00DB167E"/>
    <w:rsid w:val="00DB16FD"/>
    <w:rsid w:val="00DB1709"/>
    <w:rsid w:val="00DB171C"/>
    <w:rsid w:val="00DB17E0"/>
    <w:rsid w:val="00DB1853"/>
    <w:rsid w:val="00DB185E"/>
    <w:rsid w:val="00DB1865"/>
    <w:rsid w:val="00DB1942"/>
    <w:rsid w:val="00DB194C"/>
    <w:rsid w:val="00DB199C"/>
    <w:rsid w:val="00DB19AE"/>
    <w:rsid w:val="00DB1A1C"/>
    <w:rsid w:val="00DB1A83"/>
    <w:rsid w:val="00DB1B42"/>
    <w:rsid w:val="00DB1BC1"/>
    <w:rsid w:val="00DB1BE4"/>
    <w:rsid w:val="00DB1BFB"/>
    <w:rsid w:val="00DB1DA1"/>
    <w:rsid w:val="00DB1DD0"/>
    <w:rsid w:val="00DB1E4C"/>
    <w:rsid w:val="00DB1E52"/>
    <w:rsid w:val="00DB1E91"/>
    <w:rsid w:val="00DB1EE9"/>
    <w:rsid w:val="00DB1F5C"/>
    <w:rsid w:val="00DB1F6A"/>
    <w:rsid w:val="00DB20D6"/>
    <w:rsid w:val="00DB20DD"/>
    <w:rsid w:val="00DB20E9"/>
    <w:rsid w:val="00DB215E"/>
    <w:rsid w:val="00DB21A0"/>
    <w:rsid w:val="00DB220C"/>
    <w:rsid w:val="00DB222F"/>
    <w:rsid w:val="00DB2317"/>
    <w:rsid w:val="00DB2321"/>
    <w:rsid w:val="00DB233E"/>
    <w:rsid w:val="00DB2349"/>
    <w:rsid w:val="00DB23DA"/>
    <w:rsid w:val="00DB24BD"/>
    <w:rsid w:val="00DB2642"/>
    <w:rsid w:val="00DB2676"/>
    <w:rsid w:val="00DB2692"/>
    <w:rsid w:val="00DB274B"/>
    <w:rsid w:val="00DB2756"/>
    <w:rsid w:val="00DB2760"/>
    <w:rsid w:val="00DB2763"/>
    <w:rsid w:val="00DB278B"/>
    <w:rsid w:val="00DB2817"/>
    <w:rsid w:val="00DB2852"/>
    <w:rsid w:val="00DB2858"/>
    <w:rsid w:val="00DB288C"/>
    <w:rsid w:val="00DB2894"/>
    <w:rsid w:val="00DB28AB"/>
    <w:rsid w:val="00DB2904"/>
    <w:rsid w:val="00DB2921"/>
    <w:rsid w:val="00DB292A"/>
    <w:rsid w:val="00DB298C"/>
    <w:rsid w:val="00DB29A4"/>
    <w:rsid w:val="00DB2A93"/>
    <w:rsid w:val="00DB2ABC"/>
    <w:rsid w:val="00DB2AD2"/>
    <w:rsid w:val="00DB2B2C"/>
    <w:rsid w:val="00DB2BA5"/>
    <w:rsid w:val="00DB2BB0"/>
    <w:rsid w:val="00DB2BDC"/>
    <w:rsid w:val="00DB2C46"/>
    <w:rsid w:val="00DB2C50"/>
    <w:rsid w:val="00DB2D65"/>
    <w:rsid w:val="00DB2DEF"/>
    <w:rsid w:val="00DB2F7B"/>
    <w:rsid w:val="00DB3000"/>
    <w:rsid w:val="00DB303F"/>
    <w:rsid w:val="00DB3150"/>
    <w:rsid w:val="00DB3199"/>
    <w:rsid w:val="00DB3235"/>
    <w:rsid w:val="00DB324D"/>
    <w:rsid w:val="00DB3352"/>
    <w:rsid w:val="00DB347D"/>
    <w:rsid w:val="00DB34A2"/>
    <w:rsid w:val="00DB34D5"/>
    <w:rsid w:val="00DB35C5"/>
    <w:rsid w:val="00DB3722"/>
    <w:rsid w:val="00DB3786"/>
    <w:rsid w:val="00DB37B9"/>
    <w:rsid w:val="00DB3839"/>
    <w:rsid w:val="00DB385A"/>
    <w:rsid w:val="00DB38CB"/>
    <w:rsid w:val="00DB38E1"/>
    <w:rsid w:val="00DB3917"/>
    <w:rsid w:val="00DB395D"/>
    <w:rsid w:val="00DB39CF"/>
    <w:rsid w:val="00DB39D2"/>
    <w:rsid w:val="00DB3B06"/>
    <w:rsid w:val="00DB3B2D"/>
    <w:rsid w:val="00DB3B83"/>
    <w:rsid w:val="00DB3B84"/>
    <w:rsid w:val="00DB3BF9"/>
    <w:rsid w:val="00DB3C40"/>
    <w:rsid w:val="00DB3CF9"/>
    <w:rsid w:val="00DB3DC5"/>
    <w:rsid w:val="00DB3E14"/>
    <w:rsid w:val="00DB3E41"/>
    <w:rsid w:val="00DB3E6B"/>
    <w:rsid w:val="00DB3F8B"/>
    <w:rsid w:val="00DB3FBC"/>
    <w:rsid w:val="00DB418C"/>
    <w:rsid w:val="00DB4194"/>
    <w:rsid w:val="00DB41E7"/>
    <w:rsid w:val="00DB4224"/>
    <w:rsid w:val="00DB43ED"/>
    <w:rsid w:val="00DB4410"/>
    <w:rsid w:val="00DB442A"/>
    <w:rsid w:val="00DB44F1"/>
    <w:rsid w:val="00DB4572"/>
    <w:rsid w:val="00DB45B5"/>
    <w:rsid w:val="00DB45CB"/>
    <w:rsid w:val="00DB45DD"/>
    <w:rsid w:val="00DB45EF"/>
    <w:rsid w:val="00DB469B"/>
    <w:rsid w:val="00DB4708"/>
    <w:rsid w:val="00DB47D7"/>
    <w:rsid w:val="00DB483B"/>
    <w:rsid w:val="00DB4858"/>
    <w:rsid w:val="00DB486C"/>
    <w:rsid w:val="00DB48B2"/>
    <w:rsid w:val="00DB48FF"/>
    <w:rsid w:val="00DB49AD"/>
    <w:rsid w:val="00DB4A08"/>
    <w:rsid w:val="00DB4A16"/>
    <w:rsid w:val="00DB4A55"/>
    <w:rsid w:val="00DB4BB8"/>
    <w:rsid w:val="00DB4C53"/>
    <w:rsid w:val="00DB4C74"/>
    <w:rsid w:val="00DB4C8D"/>
    <w:rsid w:val="00DB4D3D"/>
    <w:rsid w:val="00DB4D5C"/>
    <w:rsid w:val="00DB4DD5"/>
    <w:rsid w:val="00DB4E40"/>
    <w:rsid w:val="00DB4E46"/>
    <w:rsid w:val="00DB4E9A"/>
    <w:rsid w:val="00DB4F9E"/>
    <w:rsid w:val="00DB4FA3"/>
    <w:rsid w:val="00DB4FEC"/>
    <w:rsid w:val="00DB5040"/>
    <w:rsid w:val="00DB505E"/>
    <w:rsid w:val="00DB5109"/>
    <w:rsid w:val="00DB5117"/>
    <w:rsid w:val="00DB51B1"/>
    <w:rsid w:val="00DB52E4"/>
    <w:rsid w:val="00DB544A"/>
    <w:rsid w:val="00DB5479"/>
    <w:rsid w:val="00DB551E"/>
    <w:rsid w:val="00DB552C"/>
    <w:rsid w:val="00DB559D"/>
    <w:rsid w:val="00DB55D2"/>
    <w:rsid w:val="00DB55F7"/>
    <w:rsid w:val="00DB564C"/>
    <w:rsid w:val="00DB56A5"/>
    <w:rsid w:val="00DB56F3"/>
    <w:rsid w:val="00DB583C"/>
    <w:rsid w:val="00DB5840"/>
    <w:rsid w:val="00DB5845"/>
    <w:rsid w:val="00DB58B0"/>
    <w:rsid w:val="00DB592A"/>
    <w:rsid w:val="00DB595A"/>
    <w:rsid w:val="00DB5A1A"/>
    <w:rsid w:val="00DB5A93"/>
    <w:rsid w:val="00DB5AD9"/>
    <w:rsid w:val="00DB5BB7"/>
    <w:rsid w:val="00DB5BBF"/>
    <w:rsid w:val="00DB5C16"/>
    <w:rsid w:val="00DB5C57"/>
    <w:rsid w:val="00DB5CC9"/>
    <w:rsid w:val="00DB5D10"/>
    <w:rsid w:val="00DB5D70"/>
    <w:rsid w:val="00DB5D7E"/>
    <w:rsid w:val="00DB5D94"/>
    <w:rsid w:val="00DB5E85"/>
    <w:rsid w:val="00DB5E93"/>
    <w:rsid w:val="00DB5F24"/>
    <w:rsid w:val="00DB5FBE"/>
    <w:rsid w:val="00DB6031"/>
    <w:rsid w:val="00DB60D4"/>
    <w:rsid w:val="00DB60D7"/>
    <w:rsid w:val="00DB6145"/>
    <w:rsid w:val="00DB61B2"/>
    <w:rsid w:val="00DB61B9"/>
    <w:rsid w:val="00DB61DF"/>
    <w:rsid w:val="00DB6221"/>
    <w:rsid w:val="00DB626F"/>
    <w:rsid w:val="00DB6313"/>
    <w:rsid w:val="00DB633A"/>
    <w:rsid w:val="00DB63C5"/>
    <w:rsid w:val="00DB65BA"/>
    <w:rsid w:val="00DB664A"/>
    <w:rsid w:val="00DB6652"/>
    <w:rsid w:val="00DB6664"/>
    <w:rsid w:val="00DB66A6"/>
    <w:rsid w:val="00DB66E2"/>
    <w:rsid w:val="00DB676C"/>
    <w:rsid w:val="00DB6770"/>
    <w:rsid w:val="00DB67CB"/>
    <w:rsid w:val="00DB683D"/>
    <w:rsid w:val="00DB6873"/>
    <w:rsid w:val="00DB68C4"/>
    <w:rsid w:val="00DB6A92"/>
    <w:rsid w:val="00DB6AA1"/>
    <w:rsid w:val="00DB6B04"/>
    <w:rsid w:val="00DB6B1B"/>
    <w:rsid w:val="00DB6BAA"/>
    <w:rsid w:val="00DB6C34"/>
    <w:rsid w:val="00DB6DA5"/>
    <w:rsid w:val="00DB6E0B"/>
    <w:rsid w:val="00DB6E23"/>
    <w:rsid w:val="00DB6ED7"/>
    <w:rsid w:val="00DB6F67"/>
    <w:rsid w:val="00DB7070"/>
    <w:rsid w:val="00DB7174"/>
    <w:rsid w:val="00DB718B"/>
    <w:rsid w:val="00DB7330"/>
    <w:rsid w:val="00DB7333"/>
    <w:rsid w:val="00DB733D"/>
    <w:rsid w:val="00DB73B6"/>
    <w:rsid w:val="00DB73D9"/>
    <w:rsid w:val="00DB7463"/>
    <w:rsid w:val="00DB7488"/>
    <w:rsid w:val="00DB74D4"/>
    <w:rsid w:val="00DB7795"/>
    <w:rsid w:val="00DB77D3"/>
    <w:rsid w:val="00DB77EE"/>
    <w:rsid w:val="00DB7868"/>
    <w:rsid w:val="00DB7902"/>
    <w:rsid w:val="00DB791D"/>
    <w:rsid w:val="00DB794B"/>
    <w:rsid w:val="00DB79BA"/>
    <w:rsid w:val="00DB7A44"/>
    <w:rsid w:val="00DB7A8A"/>
    <w:rsid w:val="00DB7ACA"/>
    <w:rsid w:val="00DB7AD5"/>
    <w:rsid w:val="00DB7B14"/>
    <w:rsid w:val="00DB7BBD"/>
    <w:rsid w:val="00DB7CFD"/>
    <w:rsid w:val="00DB7E36"/>
    <w:rsid w:val="00DB7E47"/>
    <w:rsid w:val="00DB7E9B"/>
    <w:rsid w:val="00DB7EB1"/>
    <w:rsid w:val="00DB7F27"/>
    <w:rsid w:val="00DB7F2F"/>
    <w:rsid w:val="00DB7F86"/>
    <w:rsid w:val="00DB7FFA"/>
    <w:rsid w:val="00DC0082"/>
    <w:rsid w:val="00DC008D"/>
    <w:rsid w:val="00DC013B"/>
    <w:rsid w:val="00DC01C9"/>
    <w:rsid w:val="00DC0231"/>
    <w:rsid w:val="00DC024B"/>
    <w:rsid w:val="00DC0324"/>
    <w:rsid w:val="00DC0372"/>
    <w:rsid w:val="00DC037A"/>
    <w:rsid w:val="00DC0397"/>
    <w:rsid w:val="00DC03D9"/>
    <w:rsid w:val="00DC03EB"/>
    <w:rsid w:val="00DC0427"/>
    <w:rsid w:val="00DC0447"/>
    <w:rsid w:val="00DC0487"/>
    <w:rsid w:val="00DC04B9"/>
    <w:rsid w:val="00DC05AE"/>
    <w:rsid w:val="00DC060B"/>
    <w:rsid w:val="00DC0637"/>
    <w:rsid w:val="00DC066F"/>
    <w:rsid w:val="00DC067F"/>
    <w:rsid w:val="00DC06A8"/>
    <w:rsid w:val="00DC076F"/>
    <w:rsid w:val="00DC079C"/>
    <w:rsid w:val="00DC086D"/>
    <w:rsid w:val="00DC086E"/>
    <w:rsid w:val="00DC0931"/>
    <w:rsid w:val="00DC0A08"/>
    <w:rsid w:val="00DC0A27"/>
    <w:rsid w:val="00DC0A60"/>
    <w:rsid w:val="00DC0AC6"/>
    <w:rsid w:val="00DC0B05"/>
    <w:rsid w:val="00DC0B8F"/>
    <w:rsid w:val="00DC0BB3"/>
    <w:rsid w:val="00DC0C48"/>
    <w:rsid w:val="00DC0C89"/>
    <w:rsid w:val="00DC0D54"/>
    <w:rsid w:val="00DC0D82"/>
    <w:rsid w:val="00DC0DB1"/>
    <w:rsid w:val="00DC0DCE"/>
    <w:rsid w:val="00DC0DD3"/>
    <w:rsid w:val="00DC0E58"/>
    <w:rsid w:val="00DC0E8F"/>
    <w:rsid w:val="00DC0EB7"/>
    <w:rsid w:val="00DC0F7E"/>
    <w:rsid w:val="00DC0F8C"/>
    <w:rsid w:val="00DC112C"/>
    <w:rsid w:val="00DC1148"/>
    <w:rsid w:val="00DC1175"/>
    <w:rsid w:val="00DC11CA"/>
    <w:rsid w:val="00DC123D"/>
    <w:rsid w:val="00DC125F"/>
    <w:rsid w:val="00DC12FB"/>
    <w:rsid w:val="00DC13AF"/>
    <w:rsid w:val="00DC14AF"/>
    <w:rsid w:val="00DC158F"/>
    <w:rsid w:val="00DC1607"/>
    <w:rsid w:val="00DC1683"/>
    <w:rsid w:val="00DC1720"/>
    <w:rsid w:val="00DC1749"/>
    <w:rsid w:val="00DC175A"/>
    <w:rsid w:val="00DC18C1"/>
    <w:rsid w:val="00DC19D2"/>
    <w:rsid w:val="00DC19F1"/>
    <w:rsid w:val="00DC1A03"/>
    <w:rsid w:val="00DC1A22"/>
    <w:rsid w:val="00DC1A35"/>
    <w:rsid w:val="00DC1AA2"/>
    <w:rsid w:val="00DC1BF0"/>
    <w:rsid w:val="00DC1C70"/>
    <w:rsid w:val="00DC1C79"/>
    <w:rsid w:val="00DC1D3B"/>
    <w:rsid w:val="00DC1F30"/>
    <w:rsid w:val="00DC1F54"/>
    <w:rsid w:val="00DC1FDE"/>
    <w:rsid w:val="00DC2059"/>
    <w:rsid w:val="00DC2076"/>
    <w:rsid w:val="00DC217C"/>
    <w:rsid w:val="00DC2196"/>
    <w:rsid w:val="00DC21A4"/>
    <w:rsid w:val="00DC21BC"/>
    <w:rsid w:val="00DC2204"/>
    <w:rsid w:val="00DC220B"/>
    <w:rsid w:val="00DC22CB"/>
    <w:rsid w:val="00DC231D"/>
    <w:rsid w:val="00DC2374"/>
    <w:rsid w:val="00DC2378"/>
    <w:rsid w:val="00DC23AC"/>
    <w:rsid w:val="00DC240A"/>
    <w:rsid w:val="00DC2503"/>
    <w:rsid w:val="00DC2584"/>
    <w:rsid w:val="00DC25CB"/>
    <w:rsid w:val="00DC2704"/>
    <w:rsid w:val="00DC2750"/>
    <w:rsid w:val="00DC275E"/>
    <w:rsid w:val="00DC2763"/>
    <w:rsid w:val="00DC27C3"/>
    <w:rsid w:val="00DC28D2"/>
    <w:rsid w:val="00DC291D"/>
    <w:rsid w:val="00DC295A"/>
    <w:rsid w:val="00DC299A"/>
    <w:rsid w:val="00DC2AB7"/>
    <w:rsid w:val="00DC2B04"/>
    <w:rsid w:val="00DC2B8F"/>
    <w:rsid w:val="00DC2B93"/>
    <w:rsid w:val="00DC2B9D"/>
    <w:rsid w:val="00DC2BA7"/>
    <w:rsid w:val="00DC2BD8"/>
    <w:rsid w:val="00DC2C24"/>
    <w:rsid w:val="00DC2CB4"/>
    <w:rsid w:val="00DC2D51"/>
    <w:rsid w:val="00DC2EE4"/>
    <w:rsid w:val="00DC2EFF"/>
    <w:rsid w:val="00DC2F56"/>
    <w:rsid w:val="00DC3088"/>
    <w:rsid w:val="00DC30D9"/>
    <w:rsid w:val="00DC30F6"/>
    <w:rsid w:val="00DC3114"/>
    <w:rsid w:val="00DC3160"/>
    <w:rsid w:val="00DC319F"/>
    <w:rsid w:val="00DC31EE"/>
    <w:rsid w:val="00DC33BA"/>
    <w:rsid w:val="00DC33CA"/>
    <w:rsid w:val="00DC3409"/>
    <w:rsid w:val="00DC35F2"/>
    <w:rsid w:val="00DC3633"/>
    <w:rsid w:val="00DC3666"/>
    <w:rsid w:val="00DC36CC"/>
    <w:rsid w:val="00DC36D7"/>
    <w:rsid w:val="00DC36EC"/>
    <w:rsid w:val="00DC3825"/>
    <w:rsid w:val="00DC3873"/>
    <w:rsid w:val="00DC387C"/>
    <w:rsid w:val="00DC3887"/>
    <w:rsid w:val="00DC3B3B"/>
    <w:rsid w:val="00DC3B5C"/>
    <w:rsid w:val="00DC3B72"/>
    <w:rsid w:val="00DC3BB7"/>
    <w:rsid w:val="00DC3C22"/>
    <w:rsid w:val="00DC3C80"/>
    <w:rsid w:val="00DC3CD2"/>
    <w:rsid w:val="00DC3D01"/>
    <w:rsid w:val="00DC3D9D"/>
    <w:rsid w:val="00DC3E2A"/>
    <w:rsid w:val="00DC3E2C"/>
    <w:rsid w:val="00DC3E48"/>
    <w:rsid w:val="00DC3E60"/>
    <w:rsid w:val="00DC3EB7"/>
    <w:rsid w:val="00DC3ED5"/>
    <w:rsid w:val="00DC3EE6"/>
    <w:rsid w:val="00DC3FC9"/>
    <w:rsid w:val="00DC3FE0"/>
    <w:rsid w:val="00DC402B"/>
    <w:rsid w:val="00DC40A0"/>
    <w:rsid w:val="00DC4108"/>
    <w:rsid w:val="00DC4156"/>
    <w:rsid w:val="00DC41C4"/>
    <w:rsid w:val="00DC41D7"/>
    <w:rsid w:val="00DC4374"/>
    <w:rsid w:val="00DC43A2"/>
    <w:rsid w:val="00DC43F6"/>
    <w:rsid w:val="00DC4411"/>
    <w:rsid w:val="00DC44C8"/>
    <w:rsid w:val="00DC45AB"/>
    <w:rsid w:val="00DC45AF"/>
    <w:rsid w:val="00DC45DB"/>
    <w:rsid w:val="00DC464A"/>
    <w:rsid w:val="00DC46EA"/>
    <w:rsid w:val="00DC4925"/>
    <w:rsid w:val="00DC4A6E"/>
    <w:rsid w:val="00DC4AD0"/>
    <w:rsid w:val="00DC4BC6"/>
    <w:rsid w:val="00DC4C83"/>
    <w:rsid w:val="00DC4CEA"/>
    <w:rsid w:val="00DC4D76"/>
    <w:rsid w:val="00DC4DBE"/>
    <w:rsid w:val="00DC4DC2"/>
    <w:rsid w:val="00DC4DEA"/>
    <w:rsid w:val="00DC4DEE"/>
    <w:rsid w:val="00DC4E21"/>
    <w:rsid w:val="00DC4EBD"/>
    <w:rsid w:val="00DC4EC7"/>
    <w:rsid w:val="00DC4ECD"/>
    <w:rsid w:val="00DC4F64"/>
    <w:rsid w:val="00DC4FD4"/>
    <w:rsid w:val="00DC5060"/>
    <w:rsid w:val="00DC50C4"/>
    <w:rsid w:val="00DC50C5"/>
    <w:rsid w:val="00DC50ED"/>
    <w:rsid w:val="00DC514C"/>
    <w:rsid w:val="00DC518B"/>
    <w:rsid w:val="00DC519F"/>
    <w:rsid w:val="00DC51E7"/>
    <w:rsid w:val="00DC5269"/>
    <w:rsid w:val="00DC52F1"/>
    <w:rsid w:val="00DC531C"/>
    <w:rsid w:val="00DC5322"/>
    <w:rsid w:val="00DC537E"/>
    <w:rsid w:val="00DC53ED"/>
    <w:rsid w:val="00DC54B2"/>
    <w:rsid w:val="00DC5573"/>
    <w:rsid w:val="00DC5595"/>
    <w:rsid w:val="00DC5651"/>
    <w:rsid w:val="00DC56DC"/>
    <w:rsid w:val="00DC5772"/>
    <w:rsid w:val="00DC57EE"/>
    <w:rsid w:val="00DC5817"/>
    <w:rsid w:val="00DC583E"/>
    <w:rsid w:val="00DC5863"/>
    <w:rsid w:val="00DC591C"/>
    <w:rsid w:val="00DC5941"/>
    <w:rsid w:val="00DC59D9"/>
    <w:rsid w:val="00DC59FF"/>
    <w:rsid w:val="00DC5A97"/>
    <w:rsid w:val="00DC5B4D"/>
    <w:rsid w:val="00DC5BA3"/>
    <w:rsid w:val="00DC5C83"/>
    <w:rsid w:val="00DC5CB3"/>
    <w:rsid w:val="00DC5D50"/>
    <w:rsid w:val="00DC5DD6"/>
    <w:rsid w:val="00DC5E5A"/>
    <w:rsid w:val="00DC5EC2"/>
    <w:rsid w:val="00DC6074"/>
    <w:rsid w:val="00DC609A"/>
    <w:rsid w:val="00DC612A"/>
    <w:rsid w:val="00DC62C4"/>
    <w:rsid w:val="00DC63F3"/>
    <w:rsid w:val="00DC649C"/>
    <w:rsid w:val="00DC64A0"/>
    <w:rsid w:val="00DC64A7"/>
    <w:rsid w:val="00DC64E0"/>
    <w:rsid w:val="00DC65D2"/>
    <w:rsid w:val="00DC65F1"/>
    <w:rsid w:val="00DC6629"/>
    <w:rsid w:val="00DC663F"/>
    <w:rsid w:val="00DC6645"/>
    <w:rsid w:val="00DC66BB"/>
    <w:rsid w:val="00DC66F4"/>
    <w:rsid w:val="00DC670F"/>
    <w:rsid w:val="00DC6796"/>
    <w:rsid w:val="00DC6816"/>
    <w:rsid w:val="00DC6838"/>
    <w:rsid w:val="00DC6850"/>
    <w:rsid w:val="00DC6866"/>
    <w:rsid w:val="00DC6869"/>
    <w:rsid w:val="00DC68CA"/>
    <w:rsid w:val="00DC693F"/>
    <w:rsid w:val="00DC6974"/>
    <w:rsid w:val="00DC69AC"/>
    <w:rsid w:val="00DC6A3B"/>
    <w:rsid w:val="00DC6A72"/>
    <w:rsid w:val="00DC6AB1"/>
    <w:rsid w:val="00DC6B2D"/>
    <w:rsid w:val="00DC6B8A"/>
    <w:rsid w:val="00DC6B91"/>
    <w:rsid w:val="00DC6B9C"/>
    <w:rsid w:val="00DC6BB9"/>
    <w:rsid w:val="00DC6C43"/>
    <w:rsid w:val="00DC6C66"/>
    <w:rsid w:val="00DC6D15"/>
    <w:rsid w:val="00DC6D37"/>
    <w:rsid w:val="00DC6D51"/>
    <w:rsid w:val="00DC6DAB"/>
    <w:rsid w:val="00DC6EC9"/>
    <w:rsid w:val="00DC703F"/>
    <w:rsid w:val="00DC707B"/>
    <w:rsid w:val="00DC70B5"/>
    <w:rsid w:val="00DC70F8"/>
    <w:rsid w:val="00DC7110"/>
    <w:rsid w:val="00DC71E4"/>
    <w:rsid w:val="00DC7262"/>
    <w:rsid w:val="00DC730C"/>
    <w:rsid w:val="00DC73F4"/>
    <w:rsid w:val="00DC74D4"/>
    <w:rsid w:val="00DC75BD"/>
    <w:rsid w:val="00DC75F2"/>
    <w:rsid w:val="00DC7673"/>
    <w:rsid w:val="00DC76AC"/>
    <w:rsid w:val="00DC76D2"/>
    <w:rsid w:val="00DC7737"/>
    <w:rsid w:val="00DC7754"/>
    <w:rsid w:val="00DC77D2"/>
    <w:rsid w:val="00DC78EC"/>
    <w:rsid w:val="00DC7995"/>
    <w:rsid w:val="00DC799D"/>
    <w:rsid w:val="00DC79A9"/>
    <w:rsid w:val="00DC79C3"/>
    <w:rsid w:val="00DC79E0"/>
    <w:rsid w:val="00DC79E8"/>
    <w:rsid w:val="00DC7A12"/>
    <w:rsid w:val="00DC7A2B"/>
    <w:rsid w:val="00DC7AB5"/>
    <w:rsid w:val="00DC7AD8"/>
    <w:rsid w:val="00DC7AD9"/>
    <w:rsid w:val="00DC7B5D"/>
    <w:rsid w:val="00DC7B94"/>
    <w:rsid w:val="00DC7BE5"/>
    <w:rsid w:val="00DC7CC7"/>
    <w:rsid w:val="00DC7CEA"/>
    <w:rsid w:val="00DC7D43"/>
    <w:rsid w:val="00DC7D7E"/>
    <w:rsid w:val="00DC7E03"/>
    <w:rsid w:val="00DC7EAA"/>
    <w:rsid w:val="00DC7F00"/>
    <w:rsid w:val="00DC7F66"/>
    <w:rsid w:val="00DC7F7A"/>
    <w:rsid w:val="00DC7FEE"/>
    <w:rsid w:val="00DD0124"/>
    <w:rsid w:val="00DD0141"/>
    <w:rsid w:val="00DD01E2"/>
    <w:rsid w:val="00DD0280"/>
    <w:rsid w:val="00DD0284"/>
    <w:rsid w:val="00DD02AB"/>
    <w:rsid w:val="00DD02F0"/>
    <w:rsid w:val="00DD0419"/>
    <w:rsid w:val="00DD0471"/>
    <w:rsid w:val="00DD053D"/>
    <w:rsid w:val="00DD05AC"/>
    <w:rsid w:val="00DD06B0"/>
    <w:rsid w:val="00DD06B4"/>
    <w:rsid w:val="00DD0803"/>
    <w:rsid w:val="00DD08D5"/>
    <w:rsid w:val="00DD0953"/>
    <w:rsid w:val="00DD0AF8"/>
    <w:rsid w:val="00DD0B21"/>
    <w:rsid w:val="00DD0B8E"/>
    <w:rsid w:val="00DD0BF7"/>
    <w:rsid w:val="00DD0C7E"/>
    <w:rsid w:val="00DD0CA0"/>
    <w:rsid w:val="00DD0E44"/>
    <w:rsid w:val="00DD0E4F"/>
    <w:rsid w:val="00DD0F10"/>
    <w:rsid w:val="00DD0F6A"/>
    <w:rsid w:val="00DD0F8D"/>
    <w:rsid w:val="00DD0FB4"/>
    <w:rsid w:val="00DD106E"/>
    <w:rsid w:val="00DD1090"/>
    <w:rsid w:val="00DD1171"/>
    <w:rsid w:val="00DD117F"/>
    <w:rsid w:val="00DD11AF"/>
    <w:rsid w:val="00DD1208"/>
    <w:rsid w:val="00DD128A"/>
    <w:rsid w:val="00DD12AF"/>
    <w:rsid w:val="00DD12FE"/>
    <w:rsid w:val="00DD1398"/>
    <w:rsid w:val="00DD13DD"/>
    <w:rsid w:val="00DD140B"/>
    <w:rsid w:val="00DD1454"/>
    <w:rsid w:val="00DD1456"/>
    <w:rsid w:val="00DD14E1"/>
    <w:rsid w:val="00DD1599"/>
    <w:rsid w:val="00DD15DD"/>
    <w:rsid w:val="00DD15F1"/>
    <w:rsid w:val="00DD1639"/>
    <w:rsid w:val="00DD16FA"/>
    <w:rsid w:val="00DD1710"/>
    <w:rsid w:val="00DD1735"/>
    <w:rsid w:val="00DD175D"/>
    <w:rsid w:val="00DD1878"/>
    <w:rsid w:val="00DD18C9"/>
    <w:rsid w:val="00DD18F1"/>
    <w:rsid w:val="00DD1928"/>
    <w:rsid w:val="00DD19B8"/>
    <w:rsid w:val="00DD19C1"/>
    <w:rsid w:val="00DD1A2F"/>
    <w:rsid w:val="00DD1A95"/>
    <w:rsid w:val="00DD1AD4"/>
    <w:rsid w:val="00DD1B30"/>
    <w:rsid w:val="00DD1BE5"/>
    <w:rsid w:val="00DD1CA3"/>
    <w:rsid w:val="00DD1CCB"/>
    <w:rsid w:val="00DD1CD1"/>
    <w:rsid w:val="00DD1D94"/>
    <w:rsid w:val="00DD1E2F"/>
    <w:rsid w:val="00DD1E5F"/>
    <w:rsid w:val="00DD1EE8"/>
    <w:rsid w:val="00DD1F89"/>
    <w:rsid w:val="00DD20AF"/>
    <w:rsid w:val="00DD215C"/>
    <w:rsid w:val="00DD21B6"/>
    <w:rsid w:val="00DD21DB"/>
    <w:rsid w:val="00DD224D"/>
    <w:rsid w:val="00DD2352"/>
    <w:rsid w:val="00DD239C"/>
    <w:rsid w:val="00DD23EB"/>
    <w:rsid w:val="00DD23F4"/>
    <w:rsid w:val="00DD2433"/>
    <w:rsid w:val="00DD243B"/>
    <w:rsid w:val="00DD2442"/>
    <w:rsid w:val="00DD244F"/>
    <w:rsid w:val="00DD246B"/>
    <w:rsid w:val="00DD24D8"/>
    <w:rsid w:val="00DD25B8"/>
    <w:rsid w:val="00DD25BE"/>
    <w:rsid w:val="00DD260A"/>
    <w:rsid w:val="00DD2684"/>
    <w:rsid w:val="00DD26CB"/>
    <w:rsid w:val="00DD288C"/>
    <w:rsid w:val="00DD29B7"/>
    <w:rsid w:val="00DD2A92"/>
    <w:rsid w:val="00DD2A97"/>
    <w:rsid w:val="00DD2B31"/>
    <w:rsid w:val="00DD2B3A"/>
    <w:rsid w:val="00DD2BE0"/>
    <w:rsid w:val="00DD2C00"/>
    <w:rsid w:val="00DD2C7C"/>
    <w:rsid w:val="00DD2C81"/>
    <w:rsid w:val="00DD2C98"/>
    <w:rsid w:val="00DD2CDD"/>
    <w:rsid w:val="00DD2D07"/>
    <w:rsid w:val="00DD2D0E"/>
    <w:rsid w:val="00DD2D27"/>
    <w:rsid w:val="00DD2D37"/>
    <w:rsid w:val="00DD2EB3"/>
    <w:rsid w:val="00DD2F6D"/>
    <w:rsid w:val="00DD2F7C"/>
    <w:rsid w:val="00DD2FB7"/>
    <w:rsid w:val="00DD3070"/>
    <w:rsid w:val="00DD307D"/>
    <w:rsid w:val="00DD308C"/>
    <w:rsid w:val="00DD30C5"/>
    <w:rsid w:val="00DD3103"/>
    <w:rsid w:val="00DD3173"/>
    <w:rsid w:val="00DD3199"/>
    <w:rsid w:val="00DD31FC"/>
    <w:rsid w:val="00DD3280"/>
    <w:rsid w:val="00DD32EF"/>
    <w:rsid w:val="00DD332C"/>
    <w:rsid w:val="00DD3363"/>
    <w:rsid w:val="00DD33EE"/>
    <w:rsid w:val="00DD340F"/>
    <w:rsid w:val="00DD358E"/>
    <w:rsid w:val="00DD35D4"/>
    <w:rsid w:val="00DD3657"/>
    <w:rsid w:val="00DD3689"/>
    <w:rsid w:val="00DD372E"/>
    <w:rsid w:val="00DD37A4"/>
    <w:rsid w:val="00DD37C4"/>
    <w:rsid w:val="00DD3864"/>
    <w:rsid w:val="00DD3866"/>
    <w:rsid w:val="00DD3929"/>
    <w:rsid w:val="00DD399C"/>
    <w:rsid w:val="00DD39B3"/>
    <w:rsid w:val="00DD39C2"/>
    <w:rsid w:val="00DD3A24"/>
    <w:rsid w:val="00DD3AA3"/>
    <w:rsid w:val="00DD3AB7"/>
    <w:rsid w:val="00DD3ADD"/>
    <w:rsid w:val="00DD3AFD"/>
    <w:rsid w:val="00DD3B75"/>
    <w:rsid w:val="00DD3BA2"/>
    <w:rsid w:val="00DD3C58"/>
    <w:rsid w:val="00DD3C6D"/>
    <w:rsid w:val="00DD3CFF"/>
    <w:rsid w:val="00DD3D17"/>
    <w:rsid w:val="00DD3D1D"/>
    <w:rsid w:val="00DD3D6C"/>
    <w:rsid w:val="00DD3DEF"/>
    <w:rsid w:val="00DD3DF0"/>
    <w:rsid w:val="00DD3E14"/>
    <w:rsid w:val="00DD3E54"/>
    <w:rsid w:val="00DD4045"/>
    <w:rsid w:val="00DD405C"/>
    <w:rsid w:val="00DD4087"/>
    <w:rsid w:val="00DD40BF"/>
    <w:rsid w:val="00DD410D"/>
    <w:rsid w:val="00DD413E"/>
    <w:rsid w:val="00DD41B7"/>
    <w:rsid w:val="00DD41FF"/>
    <w:rsid w:val="00DD4201"/>
    <w:rsid w:val="00DD42BB"/>
    <w:rsid w:val="00DD4430"/>
    <w:rsid w:val="00DD4468"/>
    <w:rsid w:val="00DD4480"/>
    <w:rsid w:val="00DD4494"/>
    <w:rsid w:val="00DD44A4"/>
    <w:rsid w:val="00DD44AA"/>
    <w:rsid w:val="00DD44AE"/>
    <w:rsid w:val="00DD44C6"/>
    <w:rsid w:val="00DD4525"/>
    <w:rsid w:val="00DD4576"/>
    <w:rsid w:val="00DD458B"/>
    <w:rsid w:val="00DD45A8"/>
    <w:rsid w:val="00DD45C6"/>
    <w:rsid w:val="00DD45E3"/>
    <w:rsid w:val="00DD45F2"/>
    <w:rsid w:val="00DD4671"/>
    <w:rsid w:val="00DD4733"/>
    <w:rsid w:val="00DD4761"/>
    <w:rsid w:val="00DD47C0"/>
    <w:rsid w:val="00DD4828"/>
    <w:rsid w:val="00DD490E"/>
    <w:rsid w:val="00DD49A0"/>
    <w:rsid w:val="00DD49A3"/>
    <w:rsid w:val="00DD49DD"/>
    <w:rsid w:val="00DD4A96"/>
    <w:rsid w:val="00DD4AAC"/>
    <w:rsid w:val="00DD4AEA"/>
    <w:rsid w:val="00DD4B12"/>
    <w:rsid w:val="00DD4B1F"/>
    <w:rsid w:val="00DD4B39"/>
    <w:rsid w:val="00DD4BF3"/>
    <w:rsid w:val="00DD4CBA"/>
    <w:rsid w:val="00DD4CC4"/>
    <w:rsid w:val="00DD4CC8"/>
    <w:rsid w:val="00DD4D11"/>
    <w:rsid w:val="00DD4D75"/>
    <w:rsid w:val="00DD4E02"/>
    <w:rsid w:val="00DD4E4D"/>
    <w:rsid w:val="00DD4FC6"/>
    <w:rsid w:val="00DD5053"/>
    <w:rsid w:val="00DD5146"/>
    <w:rsid w:val="00DD5169"/>
    <w:rsid w:val="00DD5177"/>
    <w:rsid w:val="00DD5310"/>
    <w:rsid w:val="00DD5341"/>
    <w:rsid w:val="00DD5445"/>
    <w:rsid w:val="00DD545D"/>
    <w:rsid w:val="00DD548C"/>
    <w:rsid w:val="00DD54F8"/>
    <w:rsid w:val="00DD563C"/>
    <w:rsid w:val="00DD565E"/>
    <w:rsid w:val="00DD570D"/>
    <w:rsid w:val="00DD5736"/>
    <w:rsid w:val="00DD5741"/>
    <w:rsid w:val="00DD57B0"/>
    <w:rsid w:val="00DD5804"/>
    <w:rsid w:val="00DD5859"/>
    <w:rsid w:val="00DD5884"/>
    <w:rsid w:val="00DD59CA"/>
    <w:rsid w:val="00DD5A06"/>
    <w:rsid w:val="00DD5A42"/>
    <w:rsid w:val="00DD5AB5"/>
    <w:rsid w:val="00DD5B21"/>
    <w:rsid w:val="00DD5B43"/>
    <w:rsid w:val="00DD5BBD"/>
    <w:rsid w:val="00DD5BFE"/>
    <w:rsid w:val="00DD5D17"/>
    <w:rsid w:val="00DD5D2C"/>
    <w:rsid w:val="00DD5D62"/>
    <w:rsid w:val="00DD5D86"/>
    <w:rsid w:val="00DD5E0B"/>
    <w:rsid w:val="00DD5E76"/>
    <w:rsid w:val="00DD5E82"/>
    <w:rsid w:val="00DD5EEB"/>
    <w:rsid w:val="00DD5EFB"/>
    <w:rsid w:val="00DD5EFF"/>
    <w:rsid w:val="00DD5F14"/>
    <w:rsid w:val="00DD5F2F"/>
    <w:rsid w:val="00DD6018"/>
    <w:rsid w:val="00DD603C"/>
    <w:rsid w:val="00DD6072"/>
    <w:rsid w:val="00DD6098"/>
    <w:rsid w:val="00DD6184"/>
    <w:rsid w:val="00DD61A6"/>
    <w:rsid w:val="00DD621D"/>
    <w:rsid w:val="00DD6265"/>
    <w:rsid w:val="00DD6335"/>
    <w:rsid w:val="00DD6336"/>
    <w:rsid w:val="00DD637E"/>
    <w:rsid w:val="00DD63B6"/>
    <w:rsid w:val="00DD642C"/>
    <w:rsid w:val="00DD643F"/>
    <w:rsid w:val="00DD6495"/>
    <w:rsid w:val="00DD64B7"/>
    <w:rsid w:val="00DD64E3"/>
    <w:rsid w:val="00DD654C"/>
    <w:rsid w:val="00DD658C"/>
    <w:rsid w:val="00DD659F"/>
    <w:rsid w:val="00DD664B"/>
    <w:rsid w:val="00DD6668"/>
    <w:rsid w:val="00DD6733"/>
    <w:rsid w:val="00DD677C"/>
    <w:rsid w:val="00DD691B"/>
    <w:rsid w:val="00DD6A44"/>
    <w:rsid w:val="00DD6AE0"/>
    <w:rsid w:val="00DD6B09"/>
    <w:rsid w:val="00DD6B15"/>
    <w:rsid w:val="00DD6B21"/>
    <w:rsid w:val="00DD6B52"/>
    <w:rsid w:val="00DD6B9B"/>
    <w:rsid w:val="00DD6BC0"/>
    <w:rsid w:val="00DD6C36"/>
    <w:rsid w:val="00DD6C51"/>
    <w:rsid w:val="00DD6C56"/>
    <w:rsid w:val="00DD6D71"/>
    <w:rsid w:val="00DD6D94"/>
    <w:rsid w:val="00DD6E2E"/>
    <w:rsid w:val="00DD6E67"/>
    <w:rsid w:val="00DD6E6A"/>
    <w:rsid w:val="00DD6EA2"/>
    <w:rsid w:val="00DD6F0A"/>
    <w:rsid w:val="00DD6F6C"/>
    <w:rsid w:val="00DD6FA3"/>
    <w:rsid w:val="00DD6FF8"/>
    <w:rsid w:val="00DD703B"/>
    <w:rsid w:val="00DD7053"/>
    <w:rsid w:val="00DD710C"/>
    <w:rsid w:val="00DD710E"/>
    <w:rsid w:val="00DD7144"/>
    <w:rsid w:val="00DD7157"/>
    <w:rsid w:val="00DD719F"/>
    <w:rsid w:val="00DD72AF"/>
    <w:rsid w:val="00DD72DA"/>
    <w:rsid w:val="00DD7345"/>
    <w:rsid w:val="00DD737C"/>
    <w:rsid w:val="00DD73D9"/>
    <w:rsid w:val="00DD73ED"/>
    <w:rsid w:val="00DD743A"/>
    <w:rsid w:val="00DD743B"/>
    <w:rsid w:val="00DD75C0"/>
    <w:rsid w:val="00DD75E5"/>
    <w:rsid w:val="00DD7623"/>
    <w:rsid w:val="00DD7625"/>
    <w:rsid w:val="00DD7646"/>
    <w:rsid w:val="00DD767E"/>
    <w:rsid w:val="00DD7716"/>
    <w:rsid w:val="00DD7838"/>
    <w:rsid w:val="00DD787B"/>
    <w:rsid w:val="00DD78E2"/>
    <w:rsid w:val="00DD7A14"/>
    <w:rsid w:val="00DD7A4F"/>
    <w:rsid w:val="00DD7A81"/>
    <w:rsid w:val="00DD7AA5"/>
    <w:rsid w:val="00DD7AFB"/>
    <w:rsid w:val="00DD7B29"/>
    <w:rsid w:val="00DD7B65"/>
    <w:rsid w:val="00DD7BBE"/>
    <w:rsid w:val="00DD7BC7"/>
    <w:rsid w:val="00DD7BEB"/>
    <w:rsid w:val="00DD7BEC"/>
    <w:rsid w:val="00DD7C24"/>
    <w:rsid w:val="00DD7CD8"/>
    <w:rsid w:val="00DD7D27"/>
    <w:rsid w:val="00DD7D46"/>
    <w:rsid w:val="00DD7D50"/>
    <w:rsid w:val="00DD7D84"/>
    <w:rsid w:val="00DD7DFB"/>
    <w:rsid w:val="00DD7E36"/>
    <w:rsid w:val="00DD7E3E"/>
    <w:rsid w:val="00DD7EC3"/>
    <w:rsid w:val="00DD7F44"/>
    <w:rsid w:val="00DD7F51"/>
    <w:rsid w:val="00DE0022"/>
    <w:rsid w:val="00DE00DC"/>
    <w:rsid w:val="00DE00FA"/>
    <w:rsid w:val="00DE00FC"/>
    <w:rsid w:val="00DE01FB"/>
    <w:rsid w:val="00DE0200"/>
    <w:rsid w:val="00DE0209"/>
    <w:rsid w:val="00DE0249"/>
    <w:rsid w:val="00DE0261"/>
    <w:rsid w:val="00DE0277"/>
    <w:rsid w:val="00DE02A6"/>
    <w:rsid w:val="00DE02A9"/>
    <w:rsid w:val="00DE0344"/>
    <w:rsid w:val="00DE03A5"/>
    <w:rsid w:val="00DE0490"/>
    <w:rsid w:val="00DE04A8"/>
    <w:rsid w:val="00DE04AB"/>
    <w:rsid w:val="00DE04AE"/>
    <w:rsid w:val="00DE04B4"/>
    <w:rsid w:val="00DE04C3"/>
    <w:rsid w:val="00DE0589"/>
    <w:rsid w:val="00DE05A7"/>
    <w:rsid w:val="00DE0722"/>
    <w:rsid w:val="00DE073B"/>
    <w:rsid w:val="00DE07B2"/>
    <w:rsid w:val="00DE07B7"/>
    <w:rsid w:val="00DE0904"/>
    <w:rsid w:val="00DE094C"/>
    <w:rsid w:val="00DE09B7"/>
    <w:rsid w:val="00DE09CA"/>
    <w:rsid w:val="00DE0A1B"/>
    <w:rsid w:val="00DE0B8B"/>
    <w:rsid w:val="00DE0BE8"/>
    <w:rsid w:val="00DE0BF6"/>
    <w:rsid w:val="00DE0CD1"/>
    <w:rsid w:val="00DE0DC1"/>
    <w:rsid w:val="00DE0DFA"/>
    <w:rsid w:val="00DE0E9C"/>
    <w:rsid w:val="00DE0FBA"/>
    <w:rsid w:val="00DE103B"/>
    <w:rsid w:val="00DE1086"/>
    <w:rsid w:val="00DE1093"/>
    <w:rsid w:val="00DE11EE"/>
    <w:rsid w:val="00DE1218"/>
    <w:rsid w:val="00DE12AC"/>
    <w:rsid w:val="00DE12BD"/>
    <w:rsid w:val="00DE13D0"/>
    <w:rsid w:val="00DE13D4"/>
    <w:rsid w:val="00DE151B"/>
    <w:rsid w:val="00DE154B"/>
    <w:rsid w:val="00DE1582"/>
    <w:rsid w:val="00DE1585"/>
    <w:rsid w:val="00DE15CC"/>
    <w:rsid w:val="00DE1641"/>
    <w:rsid w:val="00DE16DA"/>
    <w:rsid w:val="00DE171E"/>
    <w:rsid w:val="00DE178E"/>
    <w:rsid w:val="00DE17F3"/>
    <w:rsid w:val="00DE1806"/>
    <w:rsid w:val="00DE18A1"/>
    <w:rsid w:val="00DE193B"/>
    <w:rsid w:val="00DE1A54"/>
    <w:rsid w:val="00DE1A93"/>
    <w:rsid w:val="00DE1B08"/>
    <w:rsid w:val="00DE1B12"/>
    <w:rsid w:val="00DE1B1A"/>
    <w:rsid w:val="00DE1BED"/>
    <w:rsid w:val="00DE1C5A"/>
    <w:rsid w:val="00DE1D73"/>
    <w:rsid w:val="00DE1D77"/>
    <w:rsid w:val="00DE1D87"/>
    <w:rsid w:val="00DE1E06"/>
    <w:rsid w:val="00DE1E14"/>
    <w:rsid w:val="00DE1F29"/>
    <w:rsid w:val="00DE1F98"/>
    <w:rsid w:val="00DE2003"/>
    <w:rsid w:val="00DE2043"/>
    <w:rsid w:val="00DE204F"/>
    <w:rsid w:val="00DE208B"/>
    <w:rsid w:val="00DE20A6"/>
    <w:rsid w:val="00DE20C7"/>
    <w:rsid w:val="00DE20E2"/>
    <w:rsid w:val="00DE21E4"/>
    <w:rsid w:val="00DE2228"/>
    <w:rsid w:val="00DE2297"/>
    <w:rsid w:val="00DE22DB"/>
    <w:rsid w:val="00DE2399"/>
    <w:rsid w:val="00DE2431"/>
    <w:rsid w:val="00DE2496"/>
    <w:rsid w:val="00DE253E"/>
    <w:rsid w:val="00DE259D"/>
    <w:rsid w:val="00DE27D7"/>
    <w:rsid w:val="00DE2843"/>
    <w:rsid w:val="00DE292D"/>
    <w:rsid w:val="00DE2965"/>
    <w:rsid w:val="00DE2987"/>
    <w:rsid w:val="00DE29C0"/>
    <w:rsid w:val="00DE2A31"/>
    <w:rsid w:val="00DE2A4A"/>
    <w:rsid w:val="00DE2A89"/>
    <w:rsid w:val="00DE2B09"/>
    <w:rsid w:val="00DE2C18"/>
    <w:rsid w:val="00DE2C47"/>
    <w:rsid w:val="00DE2C9B"/>
    <w:rsid w:val="00DE2D32"/>
    <w:rsid w:val="00DE2D3A"/>
    <w:rsid w:val="00DE2DAA"/>
    <w:rsid w:val="00DE2E68"/>
    <w:rsid w:val="00DE2EAE"/>
    <w:rsid w:val="00DE2EE7"/>
    <w:rsid w:val="00DE2FB0"/>
    <w:rsid w:val="00DE2FC7"/>
    <w:rsid w:val="00DE3035"/>
    <w:rsid w:val="00DE3036"/>
    <w:rsid w:val="00DE3067"/>
    <w:rsid w:val="00DE3137"/>
    <w:rsid w:val="00DE313B"/>
    <w:rsid w:val="00DE3146"/>
    <w:rsid w:val="00DE3231"/>
    <w:rsid w:val="00DE337F"/>
    <w:rsid w:val="00DE344C"/>
    <w:rsid w:val="00DE348B"/>
    <w:rsid w:val="00DE34F9"/>
    <w:rsid w:val="00DE352C"/>
    <w:rsid w:val="00DE3533"/>
    <w:rsid w:val="00DE360B"/>
    <w:rsid w:val="00DE3613"/>
    <w:rsid w:val="00DE36B0"/>
    <w:rsid w:val="00DE3747"/>
    <w:rsid w:val="00DE37CD"/>
    <w:rsid w:val="00DE37F7"/>
    <w:rsid w:val="00DE384D"/>
    <w:rsid w:val="00DE3850"/>
    <w:rsid w:val="00DE38A4"/>
    <w:rsid w:val="00DE38CB"/>
    <w:rsid w:val="00DE38D8"/>
    <w:rsid w:val="00DE38DC"/>
    <w:rsid w:val="00DE3951"/>
    <w:rsid w:val="00DE39B1"/>
    <w:rsid w:val="00DE39E6"/>
    <w:rsid w:val="00DE3AA2"/>
    <w:rsid w:val="00DE3AD0"/>
    <w:rsid w:val="00DE3CC3"/>
    <w:rsid w:val="00DE3CC7"/>
    <w:rsid w:val="00DE3D79"/>
    <w:rsid w:val="00DE3DAA"/>
    <w:rsid w:val="00DE3DAC"/>
    <w:rsid w:val="00DE3E14"/>
    <w:rsid w:val="00DE3E48"/>
    <w:rsid w:val="00DE3E99"/>
    <w:rsid w:val="00DE3EA6"/>
    <w:rsid w:val="00DE3EDE"/>
    <w:rsid w:val="00DE3EFD"/>
    <w:rsid w:val="00DE3FAC"/>
    <w:rsid w:val="00DE3FFF"/>
    <w:rsid w:val="00DE40AA"/>
    <w:rsid w:val="00DE40CF"/>
    <w:rsid w:val="00DE40EE"/>
    <w:rsid w:val="00DE4101"/>
    <w:rsid w:val="00DE410F"/>
    <w:rsid w:val="00DE418D"/>
    <w:rsid w:val="00DE419E"/>
    <w:rsid w:val="00DE421D"/>
    <w:rsid w:val="00DE4258"/>
    <w:rsid w:val="00DE427C"/>
    <w:rsid w:val="00DE42EA"/>
    <w:rsid w:val="00DE4323"/>
    <w:rsid w:val="00DE436B"/>
    <w:rsid w:val="00DE4375"/>
    <w:rsid w:val="00DE43EB"/>
    <w:rsid w:val="00DE44B3"/>
    <w:rsid w:val="00DE44E2"/>
    <w:rsid w:val="00DE4568"/>
    <w:rsid w:val="00DE457F"/>
    <w:rsid w:val="00DE476A"/>
    <w:rsid w:val="00DE485E"/>
    <w:rsid w:val="00DE48EB"/>
    <w:rsid w:val="00DE49C9"/>
    <w:rsid w:val="00DE4A23"/>
    <w:rsid w:val="00DE4A47"/>
    <w:rsid w:val="00DE4A76"/>
    <w:rsid w:val="00DE4AB5"/>
    <w:rsid w:val="00DE4AD6"/>
    <w:rsid w:val="00DE4B0B"/>
    <w:rsid w:val="00DE4BC8"/>
    <w:rsid w:val="00DE4BD7"/>
    <w:rsid w:val="00DE4C1B"/>
    <w:rsid w:val="00DE4C47"/>
    <w:rsid w:val="00DE4C6A"/>
    <w:rsid w:val="00DE4D27"/>
    <w:rsid w:val="00DE4D54"/>
    <w:rsid w:val="00DE4DA1"/>
    <w:rsid w:val="00DE4DD5"/>
    <w:rsid w:val="00DE4DE0"/>
    <w:rsid w:val="00DE4DE2"/>
    <w:rsid w:val="00DE4E03"/>
    <w:rsid w:val="00DE4E15"/>
    <w:rsid w:val="00DE4E18"/>
    <w:rsid w:val="00DE4EC1"/>
    <w:rsid w:val="00DE4F36"/>
    <w:rsid w:val="00DE4F55"/>
    <w:rsid w:val="00DE4F74"/>
    <w:rsid w:val="00DE508D"/>
    <w:rsid w:val="00DE5129"/>
    <w:rsid w:val="00DE5143"/>
    <w:rsid w:val="00DE51C2"/>
    <w:rsid w:val="00DE51C9"/>
    <w:rsid w:val="00DE5202"/>
    <w:rsid w:val="00DE5205"/>
    <w:rsid w:val="00DE5298"/>
    <w:rsid w:val="00DE52D0"/>
    <w:rsid w:val="00DE52E7"/>
    <w:rsid w:val="00DE52E8"/>
    <w:rsid w:val="00DE52FE"/>
    <w:rsid w:val="00DE53B6"/>
    <w:rsid w:val="00DE53F9"/>
    <w:rsid w:val="00DE5510"/>
    <w:rsid w:val="00DE55F3"/>
    <w:rsid w:val="00DE5694"/>
    <w:rsid w:val="00DE5715"/>
    <w:rsid w:val="00DE5759"/>
    <w:rsid w:val="00DE579E"/>
    <w:rsid w:val="00DE57E9"/>
    <w:rsid w:val="00DE5813"/>
    <w:rsid w:val="00DE581E"/>
    <w:rsid w:val="00DE5837"/>
    <w:rsid w:val="00DE5849"/>
    <w:rsid w:val="00DE5861"/>
    <w:rsid w:val="00DE599C"/>
    <w:rsid w:val="00DE5A50"/>
    <w:rsid w:val="00DE5AAB"/>
    <w:rsid w:val="00DE5AB9"/>
    <w:rsid w:val="00DE5ABF"/>
    <w:rsid w:val="00DE5AD1"/>
    <w:rsid w:val="00DE5B3B"/>
    <w:rsid w:val="00DE5B98"/>
    <w:rsid w:val="00DE5C39"/>
    <w:rsid w:val="00DE5D2F"/>
    <w:rsid w:val="00DE5D73"/>
    <w:rsid w:val="00DE5DEB"/>
    <w:rsid w:val="00DE5ECF"/>
    <w:rsid w:val="00DE5F2A"/>
    <w:rsid w:val="00DE603C"/>
    <w:rsid w:val="00DE614A"/>
    <w:rsid w:val="00DE623D"/>
    <w:rsid w:val="00DE6285"/>
    <w:rsid w:val="00DE62D3"/>
    <w:rsid w:val="00DE62E5"/>
    <w:rsid w:val="00DE62F2"/>
    <w:rsid w:val="00DE6365"/>
    <w:rsid w:val="00DE63A9"/>
    <w:rsid w:val="00DE64BC"/>
    <w:rsid w:val="00DE64D7"/>
    <w:rsid w:val="00DE652B"/>
    <w:rsid w:val="00DE6541"/>
    <w:rsid w:val="00DE654D"/>
    <w:rsid w:val="00DE655B"/>
    <w:rsid w:val="00DE6640"/>
    <w:rsid w:val="00DE6656"/>
    <w:rsid w:val="00DE6672"/>
    <w:rsid w:val="00DE668D"/>
    <w:rsid w:val="00DE66B3"/>
    <w:rsid w:val="00DE67A9"/>
    <w:rsid w:val="00DE67E7"/>
    <w:rsid w:val="00DE67EF"/>
    <w:rsid w:val="00DE681D"/>
    <w:rsid w:val="00DE683F"/>
    <w:rsid w:val="00DE687E"/>
    <w:rsid w:val="00DE68AD"/>
    <w:rsid w:val="00DE68BA"/>
    <w:rsid w:val="00DE6934"/>
    <w:rsid w:val="00DE6AD9"/>
    <w:rsid w:val="00DE6B0C"/>
    <w:rsid w:val="00DE6B34"/>
    <w:rsid w:val="00DE6C5A"/>
    <w:rsid w:val="00DE6CCA"/>
    <w:rsid w:val="00DE6D25"/>
    <w:rsid w:val="00DE6DD3"/>
    <w:rsid w:val="00DE6E7D"/>
    <w:rsid w:val="00DE6EFA"/>
    <w:rsid w:val="00DE6F14"/>
    <w:rsid w:val="00DE6FC2"/>
    <w:rsid w:val="00DE7029"/>
    <w:rsid w:val="00DE7065"/>
    <w:rsid w:val="00DE7099"/>
    <w:rsid w:val="00DE71B1"/>
    <w:rsid w:val="00DE72A1"/>
    <w:rsid w:val="00DE72B8"/>
    <w:rsid w:val="00DE73F7"/>
    <w:rsid w:val="00DE74CF"/>
    <w:rsid w:val="00DE755D"/>
    <w:rsid w:val="00DE762F"/>
    <w:rsid w:val="00DE7647"/>
    <w:rsid w:val="00DE76EF"/>
    <w:rsid w:val="00DE77A0"/>
    <w:rsid w:val="00DE77AA"/>
    <w:rsid w:val="00DE77DB"/>
    <w:rsid w:val="00DE7805"/>
    <w:rsid w:val="00DE7888"/>
    <w:rsid w:val="00DE7944"/>
    <w:rsid w:val="00DE7A25"/>
    <w:rsid w:val="00DE7A73"/>
    <w:rsid w:val="00DE7A90"/>
    <w:rsid w:val="00DE7ABC"/>
    <w:rsid w:val="00DE7AF8"/>
    <w:rsid w:val="00DE7B30"/>
    <w:rsid w:val="00DE7B35"/>
    <w:rsid w:val="00DE7B67"/>
    <w:rsid w:val="00DE7BF6"/>
    <w:rsid w:val="00DE7D7A"/>
    <w:rsid w:val="00DE7E1C"/>
    <w:rsid w:val="00DE7E98"/>
    <w:rsid w:val="00DE7F49"/>
    <w:rsid w:val="00DE7F8A"/>
    <w:rsid w:val="00DF0001"/>
    <w:rsid w:val="00DF0212"/>
    <w:rsid w:val="00DF0297"/>
    <w:rsid w:val="00DF02A9"/>
    <w:rsid w:val="00DF02C0"/>
    <w:rsid w:val="00DF0339"/>
    <w:rsid w:val="00DF042A"/>
    <w:rsid w:val="00DF0471"/>
    <w:rsid w:val="00DF05C9"/>
    <w:rsid w:val="00DF060A"/>
    <w:rsid w:val="00DF06AE"/>
    <w:rsid w:val="00DF083C"/>
    <w:rsid w:val="00DF088A"/>
    <w:rsid w:val="00DF0906"/>
    <w:rsid w:val="00DF0982"/>
    <w:rsid w:val="00DF0A28"/>
    <w:rsid w:val="00DF0A31"/>
    <w:rsid w:val="00DF0A79"/>
    <w:rsid w:val="00DF0BA2"/>
    <w:rsid w:val="00DF0BC5"/>
    <w:rsid w:val="00DF0BDA"/>
    <w:rsid w:val="00DF0C26"/>
    <w:rsid w:val="00DF0C30"/>
    <w:rsid w:val="00DF0CB6"/>
    <w:rsid w:val="00DF0D64"/>
    <w:rsid w:val="00DF0E30"/>
    <w:rsid w:val="00DF0E4D"/>
    <w:rsid w:val="00DF0ED8"/>
    <w:rsid w:val="00DF0FAA"/>
    <w:rsid w:val="00DF0FC2"/>
    <w:rsid w:val="00DF1036"/>
    <w:rsid w:val="00DF109D"/>
    <w:rsid w:val="00DF119A"/>
    <w:rsid w:val="00DF1270"/>
    <w:rsid w:val="00DF12CE"/>
    <w:rsid w:val="00DF12EC"/>
    <w:rsid w:val="00DF1307"/>
    <w:rsid w:val="00DF13B5"/>
    <w:rsid w:val="00DF144D"/>
    <w:rsid w:val="00DF152A"/>
    <w:rsid w:val="00DF1593"/>
    <w:rsid w:val="00DF1599"/>
    <w:rsid w:val="00DF1645"/>
    <w:rsid w:val="00DF16E2"/>
    <w:rsid w:val="00DF180E"/>
    <w:rsid w:val="00DF1863"/>
    <w:rsid w:val="00DF18A0"/>
    <w:rsid w:val="00DF1A55"/>
    <w:rsid w:val="00DF1A57"/>
    <w:rsid w:val="00DF1B10"/>
    <w:rsid w:val="00DF1B3C"/>
    <w:rsid w:val="00DF1B97"/>
    <w:rsid w:val="00DF1BFC"/>
    <w:rsid w:val="00DF1CCF"/>
    <w:rsid w:val="00DF1D28"/>
    <w:rsid w:val="00DF1D34"/>
    <w:rsid w:val="00DF1D75"/>
    <w:rsid w:val="00DF1DE3"/>
    <w:rsid w:val="00DF1E07"/>
    <w:rsid w:val="00DF1E71"/>
    <w:rsid w:val="00DF1E8A"/>
    <w:rsid w:val="00DF1EE3"/>
    <w:rsid w:val="00DF1FDC"/>
    <w:rsid w:val="00DF2022"/>
    <w:rsid w:val="00DF20E9"/>
    <w:rsid w:val="00DF21A0"/>
    <w:rsid w:val="00DF21DC"/>
    <w:rsid w:val="00DF21E7"/>
    <w:rsid w:val="00DF220F"/>
    <w:rsid w:val="00DF222F"/>
    <w:rsid w:val="00DF236E"/>
    <w:rsid w:val="00DF242D"/>
    <w:rsid w:val="00DF2460"/>
    <w:rsid w:val="00DF2490"/>
    <w:rsid w:val="00DF249B"/>
    <w:rsid w:val="00DF24CA"/>
    <w:rsid w:val="00DF24F7"/>
    <w:rsid w:val="00DF2521"/>
    <w:rsid w:val="00DF2524"/>
    <w:rsid w:val="00DF2539"/>
    <w:rsid w:val="00DF25BD"/>
    <w:rsid w:val="00DF25C4"/>
    <w:rsid w:val="00DF25F4"/>
    <w:rsid w:val="00DF2672"/>
    <w:rsid w:val="00DF271C"/>
    <w:rsid w:val="00DF2751"/>
    <w:rsid w:val="00DF2774"/>
    <w:rsid w:val="00DF2784"/>
    <w:rsid w:val="00DF27B0"/>
    <w:rsid w:val="00DF2843"/>
    <w:rsid w:val="00DF292A"/>
    <w:rsid w:val="00DF29AB"/>
    <w:rsid w:val="00DF29C9"/>
    <w:rsid w:val="00DF2A02"/>
    <w:rsid w:val="00DF2A91"/>
    <w:rsid w:val="00DF2A9C"/>
    <w:rsid w:val="00DF2AD5"/>
    <w:rsid w:val="00DF2B2C"/>
    <w:rsid w:val="00DF2B48"/>
    <w:rsid w:val="00DF2BAE"/>
    <w:rsid w:val="00DF2BCC"/>
    <w:rsid w:val="00DF2C15"/>
    <w:rsid w:val="00DF2C38"/>
    <w:rsid w:val="00DF2D4E"/>
    <w:rsid w:val="00DF2E32"/>
    <w:rsid w:val="00DF2F7A"/>
    <w:rsid w:val="00DF2FDF"/>
    <w:rsid w:val="00DF302F"/>
    <w:rsid w:val="00DF3073"/>
    <w:rsid w:val="00DF30CC"/>
    <w:rsid w:val="00DF310B"/>
    <w:rsid w:val="00DF3147"/>
    <w:rsid w:val="00DF31A6"/>
    <w:rsid w:val="00DF320B"/>
    <w:rsid w:val="00DF3217"/>
    <w:rsid w:val="00DF32D8"/>
    <w:rsid w:val="00DF330D"/>
    <w:rsid w:val="00DF3361"/>
    <w:rsid w:val="00DF33EB"/>
    <w:rsid w:val="00DF341B"/>
    <w:rsid w:val="00DF345A"/>
    <w:rsid w:val="00DF3476"/>
    <w:rsid w:val="00DF34AC"/>
    <w:rsid w:val="00DF34ED"/>
    <w:rsid w:val="00DF353B"/>
    <w:rsid w:val="00DF364B"/>
    <w:rsid w:val="00DF3661"/>
    <w:rsid w:val="00DF3686"/>
    <w:rsid w:val="00DF36EE"/>
    <w:rsid w:val="00DF377F"/>
    <w:rsid w:val="00DF37D7"/>
    <w:rsid w:val="00DF3806"/>
    <w:rsid w:val="00DF383F"/>
    <w:rsid w:val="00DF386E"/>
    <w:rsid w:val="00DF399F"/>
    <w:rsid w:val="00DF39E9"/>
    <w:rsid w:val="00DF3A93"/>
    <w:rsid w:val="00DF3AE1"/>
    <w:rsid w:val="00DF3B08"/>
    <w:rsid w:val="00DF3BA3"/>
    <w:rsid w:val="00DF3BEB"/>
    <w:rsid w:val="00DF3CF1"/>
    <w:rsid w:val="00DF3D0A"/>
    <w:rsid w:val="00DF3D5D"/>
    <w:rsid w:val="00DF3DC1"/>
    <w:rsid w:val="00DF3DC7"/>
    <w:rsid w:val="00DF3DDA"/>
    <w:rsid w:val="00DF3FAA"/>
    <w:rsid w:val="00DF3FC0"/>
    <w:rsid w:val="00DF4061"/>
    <w:rsid w:val="00DF4182"/>
    <w:rsid w:val="00DF4238"/>
    <w:rsid w:val="00DF42D4"/>
    <w:rsid w:val="00DF431B"/>
    <w:rsid w:val="00DF44F2"/>
    <w:rsid w:val="00DF4582"/>
    <w:rsid w:val="00DF4589"/>
    <w:rsid w:val="00DF45AC"/>
    <w:rsid w:val="00DF45DD"/>
    <w:rsid w:val="00DF4644"/>
    <w:rsid w:val="00DF4656"/>
    <w:rsid w:val="00DF4668"/>
    <w:rsid w:val="00DF4682"/>
    <w:rsid w:val="00DF4693"/>
    <w:rsid w:val="00DF4813"/>
    <w:rsid w:val="00DF4817"/>
    <w:rsid w:val="00DF4899"/>
    <w:rsid w:val="00DF492E"/>
    <w:rsid w:val="00DF4990"/>
    <w:rsid w:val="00DF49C3"/>
    <w:rsid w:val="00DF49C6"/>
    <w:rsid w:val="00DF4AC2"/>
    <w:rsid w:val="00DF4ADC"/>
    <w:rsid w:val="00DF4B56"/>
    <w:rsid w:val="00DF4BE5"/>
    <w:rsid w:val="00DF4BF7"/>
    <w:rsid w:val="00DF4BFA"/>
    <w:rsid w:val="00DF4C0E"/>
    <w:rsid w:val="00DF4C40"/>
    <w:rsid w:val="00DF4C41"/>
    <w:rsid w:val="00DF4C8D"/>
    <w:rsid w:val="00DF4CF0"/>
    <w:rsid w:val="00DF4DC1"/>
    <w:rsid w:val="00DF4E51"/>
    <w:rsid w:val="00DF4E74"/>
    <w:rsid w:val="00DF4E75"/>
    <w:rsid w:val="00DF4E83"/>
    <w:rsid w:val="00DF4F06"/>
    <w:rsid w:val="00DF4F08"/>
    <w:rsid w:val="00DF4F1C"/>
    <w:rsid w:val="00DF4FB8"/>
    <w:rsid w:val="00DF4FC9"/>
    <w:rsid w:val="00DF4FD8"/>
    <w:rsid w:val="00DF4FF3"/>
    <w:rsid w:val="00DF508C"/>
    <w:rsid w:val="00DF5190"/>
    <w:rsid w:val="00DF51AC"/>
    <w:rsid w:val="00DF53D2"/>
    <w:rsid w:val="00DF541C"/>
    <w:rsid w:val="00DF5437"/>
    <w:rsid w:val="00DF5455"/>
    <w:rsid w:val="00DF54AC"/>
    <w:rsid w:val="00DF54F0"/>
    <w:rsid w:val="00DF5519"/>
    <w:rsid w:val="00DF557C"/>
    <w:rsid w:val="00DF559C"/>
    <w:rsid w:val="00DF55E3"/>
    <w:rsid w:val="00DF5698"/>
    <w:rsid w:val="00DF56C3"/>
    <w:rsid w:val="00DF56E2"/>
    <w:rsid w:val="00DF5774"/>
    <w:rsid w:val="00DF579D"/>
    <w:rsid w:val="00DF582C"/>
    <w:rsid w:val="00DF5841"/>
    <w:rsid w:val="00DF58DD"/>
    <w:rsid w:val="00DF58E6"/>
    <w:rsid w:val="00DF593E"/>
    <w:rsid w:val="00DF5951"/>
    <w:rsid w:val="00DF5983"/>
    <w:rsid w:val="00DF5994"/>
    <w:rsid w:val="00DF59CE"/>
    <w:rsid w:val="00DF5AFC"/>
    <w:rsid w:val="00DF5B00"/>
    <w:rsid w:val="00DF5B13"/>
    <w:rsid w:val="00DF5B16"/>
    <w:rsid w:val="00DF5B81"/>
    <w:rsid w:val="00DF5BBD"/>
    <w:rsid w:val="00DF5C02"/>
    <w:rsid w:val="00DF5CE6"/>
    <w:rsid w:val="00DF5D97"/>
    <w:rsid w:val="00DF5D9D"/>
    <w:rsid w:val="00DF5E01"/>
    <w:rsid w:val="00DF5EB6"/>
    <w:rsid w:val="00DF5EBF"/>
    <w:rsid w:val="00DF5ECA"/>
    <w:rsid w:val="00DF5FC4"/>
    <w:rsid w:val="00DF6033"/>
    <w:rsid w:val="00DF6074"/>
    <w:rsid w:val="00DF608C"/>
    <w:rsid w:val="00DF60AC"/>
    <w:rsid w:val="00DF60E8"/>
    <w:rsid w:val="00DF61F6"/>
    <w:rsid w:val="00DF624E"/>
    <w:rsid w:val="00DF6277"/>
    <w:rsid w:val="00DF6306"/>
    <w:rsid w:val="00DF63C5"/>
    <w:rsid w:val="00DF63D3"/>
    <w:rsid w:val="00DF6453"/>
    <w:rsid w:val="00DF64AB"/>
    <w:rsid w:val="00DF64B1"/>
    <w:rsid w:val="00DF660B"/>
    <w:rsid w:val="00DF660C"/>
    <w:rsid w:val="00DF66A4"/>
    <w:rsid w:val="00DF66EB"/>
    <w:rsid w:val="00DF672D"/>
    <w:rsid w:val="00DF6777"/>
    <w:rsid w:val="00DF6790"/>
    <w:rsid w:val="00DF6843"/>
    <w:rsid w:val="00DF684D"/>
    <w:rsid w:val="00DF6852"/>
    <w:rsid w:val="00DF687C"/>
    <w:rsid w:val="00DF68C5"/>
    <w:rsid w:val="00DF6912"/>
    <w:rsid w:val="00DF6997"/>
    <w:rsid w:val="00DF6A18"/>
    <w:rsid w:val="00DF6A4C"/>
    <w:rsid w:val="00DF6A87"/>
    <w:rsid w:val="00DF6AC1"/>
    <w:rsid w:val="00DF6B4B"/>
    <w:rsid w:val="00DF6BA4"/>
    <w:rsid w:val="00DF6D11"/>
    <w:rsid w:val="00DF6DB5"/>
    <w:rsid w:val="00DF6E0D"/>
    <w:rsid w:val="00DF6E1E"/>
    <w:rsid w:val="00DF6EAC"/>
    <w:rsid w:val="00DF6EBA"/>
    <w:rsid w:val="00DF6F8E"/>
    <w:rsid w:val="00DF6FAF"/>
    <w:rsid w:val="00DF701F"/>
    <w:rsid w:val="00DF7080"/>
    <w:rsid w:val="00DF70BE"/>
    <w:rsid w:val="00DF71B0"/>
    <w:rsid w:val="00DF71BE"/>
    <w:rsid w:val="00DF720E"/>
    <w:rsid w:val="00DF7248"/>
    <w:rsid w:val="00DF738F"/>
    <w:rsid w:val="00DF73A1"/>
    <w:rsid w:val="00DF742E"/>
    <w:rsid w:val="00DF74D9"/>
    <w:rsid w:val="00DF7675"/>
    <w:rsid w:val="00DF76B9"/>
    <w:rsid w:val="00DF76D8"/>
    <w:rsid w:val="00DF7755"/>
    <w:rsid w:val="00DF77DC"/>
    <w:rsid w:val="00DF783B"/>
    <w:rsid w:val="00DF785B"/>
    <w:rsid w:val="00DF78A8"/>
    <w:rsid w:val="00DF78DB"/>
    <w:rsid w:val="00DF79C0"/>
    <w:rsid w:val="00DF7AA6"/>
    <w:rsid w:val="00DF7AE5"/>
    <w:rsid w:val="00DF7B13"/>
    <w:rsid w:val="00DF7B23"/>
    <w:rsid w:val="00DF7B58"/>
    <w:rsid w:val="00DF7B5E"/>
    <w:rsid w:val="00DF7BA9"/>
    <w:rsid w:val="00DF7BF8"/>
    <w:rsid w:val="00DF7C2D"/>
    <w:rsid w:val="00DF7C35"/>
    <w:rsid w:val="00DF7C5E"/>
    <w:rsid w:val="00DF7D7F"/>
    <w:rsid w:val="00DF7D91"/>
    <w:rsid w:val="00DF7DA1"/>
    <w:rsid w:val="00DF7DAE"/>
    <w:rsid w:val="00DF7DBA"/>
    <w:rsid w:val="00DF7DDA"/>
    <w:rsid w:val="00DF7DEC"/>
    <w:rsid w:val="00DF7F52"/>
    <w:rsid w:val="00DF7FB8"/>
    <w:rsid w:val="00E0005D"/>
    <w:rsid w:val="00E0009B"/>
    <w:rsid w:val="00E00142"/>
    <w:rsid w:val="00E00205"/>
    <w:rsid w:val="00E0024A"/>
    <w:rsid w:val="00E002A1"/>
    <w:rsid w:val="00E002FD"/>
    <w:rsid w:val="00E0030D"/>
    <w:rsid w:val="00E00313"/>
    <w:rsid w:val="00E0036A"/>
    <w:rsid w:val="00E003DD"/>
    <w:rsid w:val="00E0045C"/>
    <w:rsid w:val="00E00494"/>
    <w:rsid w:val="00E004A0"/>
    <w:rsid w:val="00E00638"/>
    <w:rsid w:val="00E006C3"/>
    <w:rsid w:val="00E006C6"/>
    <w:rsid w:val="00E007D8"/>
    <w:rsid w:val="00E007EF"/>
    <w:rsid w:val="00E008E7"/>
    <w:rsid w:val="00E008F0"/>
    <w:rsid w:val="00E008F6"/>
    <w:rsid w:val="00E0091C"/>
    <w:rsid w:val="00E0092A"/>
    <w:rsid w:val="00E00981"/>
    <w:rsid w:val="00E009B2"/>
    <w:rsid w:val="00E00A1E"/>
    <w:rsid w:val="00E00A67"/>
    <w:rsid w:val="00E00B14"/>
    <w:rsid w:val="00E00B25"/>
    <w:rsid w:val="00E00BA2"/>
    <w:rsid w:val="00E00BBC"/>
    <w:rsid w:val="00E00C07"/>
    <w:rsid w:val="00E00C5B"/>
    <w:rsid w:val="00E00C6C"/>
    <w:rsid w:val="00E00CB5"/>
    <w:rsid w:val="00E00D2A"/>
    <w:rsid w:val="00E00E67"/>
    <w:rsid w:val="00E00E7E"/>
    <w:rsid w:val="00E00EE1"/>
    <w:rsid w:val="00E00F7A"/>
    <w:rsid w:val="00E00FB0"/>
    <w:rsid w:val="00E00FD0"/>
    <w:rsid w:val="00E00FDC"/>
    <w:rsid w:val="00E00FE4"/>
    <w:rsid w:val="00E01048"/>
    <w:rsid w:val="00E010E4"/>
    <w:rsid w:val="00E0115A"/>
    <w:rsid w:val="00E0127F"/>
    <w:rsid w:val="00E01292"/>
    <w:rsid w:val="00E01337"/>
    <w:rsid w:val="00E0141D"/>
    <w:rsid w:val="00E0142C"/>
    <w:rsid w:val="00E01430"/>
    <w:rsid w:val="00E014B1"/>
    <w:rsid w:val="00E0158E"/>
    <w:rsid w:val="00E01597"/>
    <w:rsid w:val="00E016F5"/>
    <w:rsid w:val="00E017E1"/>
    <w:rsid w:val="00E01879"/>
    <w:rsid w:val="00E018CB"/>
    <w:rsid w:val="00E01A21"/>
    <w:rsid w:val="00E01B9D"/>
    <w:rsid w:val="00E01BDF"/>
    <w:rsid w:val="00E01BEB"/>
    <w:rsid w:val="00E01BFC"/>
    <w:rsid w:val="00E01CD0"/>
    <w:rsid w:val="00E01D40"/>
    <w:rsid w:val="00E01ECE"/>
    <w:rsid w:val="00E01FA4"/>
    <w:rsid w:val="00E01FD9"/>
    <w:rsid w:val="00E02010"/>
    <w:rsid w:val="00E02087"/>
    <w:rsid w:val="00E020DB"/>
    <w:rsid w:val="00E02140"/>
    <w:rsid w:val="00E02148"/>
    <w:rsid w:val="00E021BE"/>
    <w:rsid w:val="00E021D5"/>
    <w:rsid w:val="00E0222D"/>
    <w:rsid w:val="00E022AC"/>
    <w:rsid w:val="00E022B7"/>
    <w:rsid w:val="00E022BB"/>
    <w:rsid w:val="00E0232C"/>
    <w:rsid w:val="00E02356"/>
    <w:rsid w:val="00E02466"/>
    <w:rsid w:val="00E024CE"/>
    <w:rsid w:val="00E02516"/>
    <w:rsid w:val="00E02631"/>
    <w:rsid w:val="00E026AF"/>
    <w:rsid w:val="00E026CB"/>
    <w:rsid w:val="00E02731"/>
    <w:rsid w:val="00E02739"/>
    <w:rsid w:val="00E02745"/>
    <w:rsid w:val="00E0280E"/>
    <w:rsid w:val="00E029FE"/>
    <w:rsid w:val="00E02A0B"/>
    <w:rsid w:val="00E02A98"/>
    <w:rsid w:val="00E02AA8"/>
    <w:rsid w:val="00E02AC8"/>
    <w:rsid w:val="00E02AE8"/>
    <w:rsid w:val="00E02B69"/>
    <w:rsid w:val="00E02B88"/>
    <w:rsid w:val="00E02C64"/>
    <w:rsid w:val="00E02CE4"/>
    <w:rsid w:val="00E02D3E"/>
    <w:rsid w:val="00E02D90"/>
    <w:rsid w:val="00E02E22"/>
    <w:rsid w:val="00E02E6A"/>
    <w:rsid w:val="00E02FE8"/>
    <w:rsid w:val="00E02FF7"/>
    <w:rsid w:val="00E03044"/>
    <w:rsid w:val="00E030C7"/>
    <w:rsid w:val="00E03121"/>
    <w:rsid w:val="00E03135"/>
    <w:rsid w:val="00E031C4"/>
    <w:rsid w:val="00E031CB"/>
    <w:rsid w:val="00E03233"/>
    <w:rsid w:val="00E03236"/>
    <w:rsid w:val="00E03381"/>
    <w:rsid w:val="00E03391"/>
    <w:rsid w:val="00E033A6"/>
    <w:rsid w:val="00E0347E"/>
    <w:rsid w:val="00E034BC"/>
    <w:rsid w:val="00E034C7"/>
    <w:rsid w:val="00E0360B"/>
    <w:rsid w:val="00E036DA"/>
    <w:rsid w:val="00E0377B"/>
    <w:rsid w:val="00E037C6"/>
    <w:rsid w:val="00E037E6"/>
    <w:rsid w:val="00E0383A"/>
    <w:rsid w:val="00E03941"/>
    <w:rsid w:val="00E0395C"/>
    <w:rsid w:val="00E0395D"/>
    <w:rsid w:val="00E039EA"/>
    <w:rsid w:val="00E03A65"/>
    <w:rsid w:val="00E03A68"/>
    <w:rsid w:val="00E03A96"/>
    <w:rsid w:val="00E03B18"/>
    <w:rsid w:val="00E03B24"/>
    <w:rsid w:val="00E03B66"/>
    <w:rsid w:val="00E03B7F"/>
    <w:rsid w:val="00E03C05"/>
    <w:rsid w:val="00E03D3D"/>
    <w:rsid w:val="00E03E38"/>
    <w:rsid w:val="00E03EB4"/>
    <w:rsid w:val="00E03EB7"/>
    <w:rsid w:val="00E03EDB"/>
    <w:rsid w:val="00E03F3B"/>
    <w:rsid w:val="00E03F7E"/>
    <w:rsid w:val="00E0404F"/>
    <w:rsid w:val="00E040B6"/>
    <w:rsid w:val="00E041D7"/>
    <w:rsid w:val="00E041E7"/>
    <w:rsid w:val="00E041F5"/>
    <w:rsid w:val="00E0425E"/>
    <w:rsid w:val="00E0427C"/>
    <w:rsid w:val="00E04360"/>
    <w:rsid w:val="00E04383"/>
    <w:rsid w:val="00E043CC"/>
    <w:rsid w:val="00E04475"/>
    <w:rsid w:val="00E044D3"/>
    <w:rsid w:val="00E044D6"/>
    <w:rsid w:val="00E044F4"/>
    <w:rsid w:val="00E0456E"/>
    <w:rsid w:val="00E045BE"/>
    <w:rsid w:val="00E045C0"/>
    <w:rsid w:val="00E045CD"/>
    <w:rsid w:val="00E04628"/>
    <w:rsid w:val="00E04703"/>
    <w:rsid w:val="00E04767"/>
    <w:rsid w:val="00E047AB"/>
    <w:rsid w:val="00E0495F"/>
    <w:rsid w:val="00E049F9"/>
    <w:rsid w:val="00E04A87"/>
    <w:rsid w:val="00E04B0C"/>
    <w:rsid w:val="00E04B83"/>
    <w:rsid w:val="00E04B89"/>
    <w:rsid w:val="00E04BD2"/>
    <w:rsid w:val="00E04BDA"/>
    <w:rsid w:val="00E04C1E"/>
    <w:rsid w:val="00E04CA4"/>
    <w:rsid w:val="00E04CE7"/>
    <w:rsid w:val="00E04CF1"/>
    <w:rsid w:val="00E04D7E"/>
    <w:rsid w:val="00E04E32"/>
    <w:rsid w:val="00E04EB4"/>
    <w:rsid w:val="00E04ED7"/>
    <w:rsid w:val="00E04EEA"/>
    <w:rsid w:val="00E04FFA"/>
    <w:rsid w:val="00E05091"/>
    <w:rsid w:val="00E05095"/>
    <w:rsid w:val="00E051BD"/>
    <w:rsid w:val="00E05201"/>
    <w:rsid w:val="00E052C5"/>
    <w:rsid w:val="00E052C9"/>
    <w:rsid w:val="00E052F9"/>
    <w:rsid w:val="00E0543B"/>
    <w:rsid w:val="00E054A1"/>
    <w:rsid w:val="00E054C5"/>
    <w:rsid w:val="00E054C7"/>
    <w:rsid w:val="00E0551F"/>
    <w:rsid w:val="00E05548"/>
    <w:rsid w:val="00E0559A"/>
    <w:rsid w:val="00E0568D"/>
    <w:rsid w:val="00E056D5"/>
    <w:rsid w:val="00E0572A"/>
    <w:rsid w:val="00E05861"/>
    <w:rsid w:val="00E0586F"/>
    <w:rsid w:val="00E0597E"/>
    <w:rsid w:val="00E059B9"/>
    <w:rsid w:val="00E05A8D"/>
    <w:rsid w:val="00E05AB0"/>
    <w:rsid w:val="00E05AB3"/>
    <w:rsid w:val="00E05AFD"/>
    <w:rsid w:val="00E05B15"/>
    <w:rsid w:val="00E05B41"/>
    <w:rsid w:val="00E05C1A"/>
    <w:rsid w:val="00E05CC5"/>
    <w:rsid w:val="00E05D1D"/>
    <w:rsid w:val="00E05D56"/>
    <w:rsid w:val="00E05DC5"/>
    <w:rsid w:val="00E05E4F"/>
    <w:rsid w:val="00E05EAC"/>
    <w:rsid w:val="00E05F34"/>
    <w:rsid w:val="00E05F76"/>
    <w:rsid w:val="00E06016"/>
    <w:rsid w:val="00E060ED"/>
    <w:rsid w:val="00E061BC"/>
    <w:rsid w:val="00E06204"/>
    <w:rsid w:val="00E06240"/>
    <w:rsid w:val="00E06273"/>
    <w:rsid w:val="00E0635A"/>
    <w:rsid w:val="00E0642A"/>
    <w:rsid w:val="00E064A7"/>
    <w:rsid w:val="00E064D2"/>
    <w:rsid w:val="00E0656E"/>
    <w:rsid w:val="00E065B3"/>
    <w:rsid w:val="00E065E6"/>
    <w:rsid w:val="00E066FB"/>
    <w:rsid w:val="00E0679D"/>
    <w:rsid w:val="00E06821"/>
    <w:rsid w:val="00E069E1"/>
    <w:rsid w:val="00E06A52"/>
    <w:rsid w:val="00E06A96"/>
    <w:rsid w:val="00E06AAB"/>
    <w:rsid w:val="00E06AF0"/>
    <w:rsid w:val="00E06B84"/>
    <w:rsid w:val="00E06C06"/>
    <w:rsid w:val="00E06E9C"/>
    <w:rsid w:val="00E06EA0"/>
    <w:rsid w:val="00E06EDD"/>
    <w:rsid w:val="00E06FA9"/>
    <w:rsid w:val="00E07014"/>
    <w:rsid w:val="00E0705C"/>
    <w:rsid w:val="00E0707F"/>
    <w:rsid w:val="00E07111"/>
    <w:rsid w:val="00E07182"/>
    <w:rsid w:val="00E071C0"/>
    <w:rsid w:val="00E07303"/>
    <w:rsid w:val="00E073FB"/>
    <w:rsid w:val="00E073FF"/>
    <w:rsid w:val="00E0746C"/>
    <w:rsid w:val="00E0749E"/>
    <w:rsid w:val="00E074E6"/>
    <w:rsid w:val="00E07528"/>
    <w:rsid w:val="00E07577"/>
    <w:rsid w:val="00E0759B"/>
    <w:rsid w:val="00E07605"/>
    <w:rsid w:val="00E0761C"/>
    <w:rsid w:val="00E07636"/>
    <w:rsid w:val="00E07646"/>
    <w:rsid w:val="00E0765B"/>
    <w:rsid w:val="00E07660"/>
    <w:rsid w:val="00E0773C"/>
    <w:rsid w:val="00E0779A"/>
    <w:rsid w:val="00E077D3"/>
    <w:rsid w:val="00E079B8"/>
    <w:rsid w:val="00E07A2A"/>
    <w:rsid w:val="00E07AA4"/>
    <w:rsid w:val="00E07AE1"/>
    <w:rsid w:val="00E07BC5"/>
    <w:rsid w:val="00E07BF9"/>
    <w:rsid w:val="00E07CE6"/>
    <w:rsid w:val="00E07D85"/>
    <w:rsid w:val="00E07EB2"/>
    <w:rsid w:val="00E07F9E"/>
    <w:rsid w:val="00E10065"/>
    <w:rsid w:val="00E100D2"/>
    <w:rsid w:val="00E100F6"/>
    <w:rsid w:val="00E100FC"/>
    <w:rsid w:val="00E100FD"/>
    <w:rsid w:val="00E10112"/>
    <w:rsid w:val="00E10113"/>
    <w:rsid w:val="00E10139"/>
    <w:rsid w:val="00E1013F"/>
    <w:rsid w:val="00E10161"/>
    <w:rsid w:val="00E101ED"/>
    <w:rsid w:val="00E10227"/>
    <w:rsid w:val="00E1028C"/>
    <w:rsid w:val="00E102B0"/>
    <w:rsid w:val="00E102C5"/>
    <w:rsid w:val="00E10374"/>
    <w:rsid w:val="00E103DD"/>
    <w:rsid w:val="00E103E1"/>
    <w:rsid w:val="00E103E5"/>
    <w:rsid w:val="00E10480"/>
    <w:rsid w:val="00E104E3"/>
    <w:rsid w:val="00E104EC"/>
    <w:rsid w:val="00E104F1"/>
    <w:rsid w:val="00E1050D"/>
    <w:rsid w:val="00E10549"/>
    <w:rsid w:val="00E1059B"/>
    <w:rsid w:val="00E105A9"/>
    <w:rsid w:val="00E10705"/>
    <w:rsid w:val="00E10745"/>
    <w:rsid w:val="00E10757"/>
    <w:rsid w:val="00E107C0"/>
    <w:rsid w:val="00E107ED"/>
    <w:rsid w:val="00E1081D"/>
    <w:rsid w:val="00E1087D"/>
    <w:rsid w:val="00E10893"/>
    <w:rsid w:val="00E108B1"/>
    <w:rsid w:val="00E1094D"/>
    <w:rsid w:val="00E1097B"/>
    <w:rsid w:val="00E10987"/>
    <w:rsid w:val="00E10999"/>
    <w:rsid w:val="00E10AE9"/>
    <w:rsid w:val="00E10BC2"/>
    <w:rsid w:val="00E10C47"/>
    <w:rsid w:val="00E10D1A"/>
    <w:rsid w:val="00E10E90"/>
    <w:rsid w:val="00E10ED4"/>
    <w:rsid w:val="00E10F30"/>
    <w:rsid w:val="00E10F74"/>
    <w:rsid w:val="00E10F7A"/>
    <w:rsid w:val="00E10FFD"/>
    <w:rsid w:val="00E1100B"/>
    <w:rsid w:val="00E1106F"/>
    <w:rsid w:val="00E11070"/>
    <w:rsid w:val="00E11073"/>
    <w:rsid w:val="00E110C2"/>
    <w:rsid w:val="00E110E9"/>
    <w:rsid w:val="00E111A4"/>
    <w:rsid w:val="00E11215"/>
    <w:rsid w:val="00E1126B"/>
    <w:rsid w:val="00E112D2"/>
    <w:rsid w:val="00E1136F"/>
    <w:rsid w:val="00E11406"/>
    <w:rsid w:val="00E1140B"/>
    <w:rsid w:val="00E114DA"/>
    <w:rsid w:val="00E11502"/>
    <w:rsid w:val="00E115D8"/>
    <w:rsid w:val="00E11631"/>
    <w:rsid w:val="00E11728"/>
    <w:rsid w:val="00E117BA"/>
    <w:rsid w:val="00E117E4"/>
    <w:rsid w:val="00E11825"/>
    <w:rsid w:val="00E1182D"/>
    <w:rsid w:val="00E119E0"/>
    <w:rsid w:val="00E11A03"/>
    <w:rsid w:val="00E11B26"/>
    <w:rsid w:val="00E11B7C"/>
    <w:rsid w:val="00E11B8E"/>
    <w:rsid w:val="00E11BF6"/>
    <w:rsid w:val="00E11C8A"/>
    <w:rsid w:val="00E11C8B"/>
    <w:rsid w:val="00E11CD8"/>
    <w:rsid w:val="00E11DB6"/>
    <w:rsid w:val="00E11DD1"/>
    <w:rsid w:val="00E11E31"/>
    <w:rsid w:val="00E11E92"/>
    <w:rsid w:val="00E11F2A"/>
    <w:rsid w:val="00E11F3B"/>
    <w:rsid w:val="00E11F4F"/>
    <w:rsid w:val="00E11F8E"/>
    <w:rsid w:val="00E1202D"/>
    <w:rsid w:val="00E12039"/>
    <w:rsid w:val="00E12223"/>
    <w:rsid w:val="00E122AC"/>
    <w:rsid w:val="00E122E8"/>
    <w:rsid w:val="00E1230F"/>
    <w:rsid w:val="00E12412"/>
    <w:rsid w:val="00E124DB"/>
    <w:rsid w:val="00E12555"/>
    <w:rsid w:val="00E1255F"/>
    <w:rsid w:val="00E125CF"/>
    <w:rsid w:val="00E125FC"/>
    <w:rsid w:val="00E12619"/>
    <w:rsid w:val="00E12782"/>
    <w:rsid w:val="00E12837"/>
    <w:rsid w:val="00E1288B"/>
    <w:rsid w:val="00E12945"/>
    <w:rsid w:val="00E129CF"/>
    <w:rsid w:val="00E12A00"/>
    <w:rsid w:val="00E12A30"/>
    <w:rsid w:val="00E12A62"/>
    <w:rsid w:val="00E12A79"/>
    <w:rsid w:val="00E12AC1"/>
    <w:rsid w:val="00E12B08"/>
    <w:rsid w:val="00E12B37"/>
    <w:rsid w:val="00E12B9B"/>
    <w:rsid w:val="00E12BFD"/>
    <w:rsid w:val="00E12CB2"/>
    <w:rsid w:val="00E12D30"/>
    <w:rsid w:val="00E12E2F"/>
    <w:rsid w:val="00E12E91"/>
    <w:rsid w:val="00E12F0E"/>
    <w:rsid w:val="00E12F10"/>
    <w:rsid w:val="00E13015"/>
    <w:rsid w:val="00E1302D"/>
    <w:rsid w:val="00E1304A"/>
    <w:rsid w:val="00E13090"/>
    <w:rsid w:val="00E130AB"/>
    <w:rsid w:val="00E130E1"/>
    <w:rsid w:val="00E13191"/>
    <w:rsid w:val="00E13206"/>
    <w:rsid w:val="00E13210"/>
    <w:rsid w:val="00E13296"/>
    <w:rsid w:val="00E132D6"/>
    <w:rsid w:val="00E132DA"/>
    <w:rsid w:val="00E1334D"/>
    <w:rsid w:val="00E1336A"/>
    <w:rsid w:val="00E133A6"/>
    <w:rsid w:val="00E133FA"/>
    <w:rsid w:val="00E13475"/>
    <w:rsid w:val="00E134A6"/>
    <w:rsid w:val="00E134DA"/>
    <w:rsid w:val="00E135ED"/>
    <w:rsid w:val="00E13602"/>
    <w:rsid w:val="00E13748"/>
    <w:rsid w:val="00E13782"/>
    <w:rsid w:val="00E137DD"/>
    <w:rsid w:val="00E137F4"/>
    <w:rsid w:val="00E13878"/>
    <w:rsid w:val="00E1392D"/>
    <w:rsid w:val="00E1394A"/>
    <w:rsid w:val="00E13979"/>
    <w:rsid w:val="00E13985"/>
    <w:rsid w:val="00E139B5"/>
    <w:rsid w:val="00E13A09"/>
    <w:rsid w:val="00E13A46"/>
    <w:rsid w:val="00E13A60"/>
    <w:rsid w:val="00E13AC0"/>
    <w:rsid w:val="00E13B32"/>
    <w:rsid w:val="00E13B41"/>
    <w:rsid w:val="00E13B42"/>
    <w:rsid w:val="00E13B4E"/>
    <w:rsid w:val="00E13CD8"/>
    <w:rsid w:val="00E13DCB"/>
    <w:rsid w:val="00E13DDB"/>
    <w:rsid w:val="00E13E0C"/>
    <w:rsid w:val="00E13E32"/>
    <w:rsid w:val="00E13EF0"/>
    <w:rsid w:val="00E13F55"/>
    <w:rsid w:val="00E13F9F"/>
    <w:rsid w:val="00E14002"/>
    <w:rsid w:val="00E1401C"/>
    <w:rsid w:val="00E1403B"/>
    <w:rsid w:val="00E1408F"/>
    <w:rsid w:val="00E14130"/>
    <w:rsid w:val="00E14166"/>
    <w:rsid w:val="00E1417E"/>
    <w:rsid w:val="00E141A6"/>
    <w:rsid w:val="00E141C7"/>
    <w:rsid w:val="00E1421E"/>
    <w:rsid w:val="00E14408"/>
    <w:rsid w:val="00E14429"/>
    <w:rsid w:val="00E144C4"/>
    <w:rsid w:val="00E144EC"/>
    <w:rsid w:val="00E14604"/>
    <w:rsid w:val="00E14609"/>
    <w:rsid w:val="00E14655"/>
    <w:rsid w:val="00E14666"/>
    <w:rsid w:val="00E1474F"/>
    <w:rsid w:val="00E14766"/>
    <w:rsid w:val="00E14793"/>
    <w:rsid w:val="00E1481E"/>
    <w:rsid w:val="00E14868"/>
    <w:rsid w:val="00E148F9"/>
    <w:rsid w:val="00E14952"/>
    <w:rsid w:val="00E149BC"/>
    <w:rsid w:val="00E14A2C"/>
    <w:rsid w:val="00E14A61"/>
    <w:rsid w:val="00E14A97"/>
    <w:rsid w:val="00E14AF6"/>
    <w:rsid w:val="00E14B05"/>
    <w:rsid w:val="00E14B07"/>
    <w:rsid w:val="00E14C2A"/>
    <w:rsid w:val="00E14D26"/>
    <w:rsid w:val="00E14E4F"/>
    <w:rsid w:val="00E14E7E"/>
    <w:rsid w:val="00E14EC8"/>
    <w:rsid w:val="00E14ED7"/>
    <w:rsid w:val="00E14F22"/>
    <w:rsid w:val="00E14F64"/>
    <w:rsid w:val="00E14F98"/>
    <w:rsid w:val="00E14FC0"/>
    <w:rsid w:val="00E15056"/>
    <w:rsid w:val="00E150F8"/>
    <w:rsid w:val="00E15137"/>
    <w:rsid w:val="00E15146"/>
    <w:rsid w:val="00E15318"/>
    <w:rsid w:val="00E1536A"/>
    <w:rsid w:val="00E153AA"/>
    <w:rsid w:val="00E15505"/>
    <w:rsid w:val="00E1553A"/>
    <w:rsid w:val="00E15671"/>
    <w:rsid w:val="00E156BA"/>
    <w:rsid w:val="00E156BE"/>
    <w:rsid w:val="00E156C3"/>
    <w:rsid w:val="00E156EF"/>
    <w:rsid w:val="00E156F3"/>
    <w:rsid w:val="00E157A1"/>
    <w:rsid w:val="00E15834"/>
    <w:rsid w:val="00E15849"/>
    <w:rsid w:val="00E159FA"/>
    <w:rsid w:val="00E15A00"/>
    <w:rsid w:val="00E15A07"/>
    <w:rsid w:val="00E15BA2"/>
    <w:rsid w:val="00E15BAD"/>
    <w:rsid w:val="00E15BB6"/>
    <w:rsid w:val="00E15CB4"/>
    <w:rsid w:val="00E15CFD"/>
    <w:rsid w:val="00E15D52"/>
    <w:rsid w:val="00E15DB1"/>
    <w:rsid w:val="00E15E0E"/>
    <w:rsid w:val="00E15E1F"/>
    <w:rsid w:val="00E15E4A"/>
    <w:rsid w:val="00E15F27"/>
    <w:rsid w:val="00E15FB1"/>
    <w:rsid w:val="00E15FEC"/>
    <w:rsid w:val="00E1601F"/>
    <w:rsid w:val="00E16116"/>
    <w:rsid w:val="00E161B2"/>
    <w:rsid w:val="00E161C5"/>
    <w:rsid w:val="00E1622A"/>
    <w:rsid w:val="00E16232"/>
    <w:rsid w:val="00E1624F"/>
    <w:rsid w:val="00E1627D"/>
    <w:rsid w:val="00E16320"/>
    <w:rsid w:val="00E1633F"/>
    <w:rsid w:val="00E16359"/>
    <w:rsid w:val="00E16412"/>
    <w:rsid w:val="00E1641C"/>
    <w:rsid w:val="00E164D8"/>
    <w:rsid w:val="00E16604"/>
    <w:rsid w:val="00E166DA"/>
    <w:rsid w:val="00E16726"/>
    <w:rsid w:val="00E1678D"/>
    <w:rsid w:val="00E16802"/>
    <w:rsid w:val="00E16861"/>
    <w:rsid w:val="00E168FA"/>
    <w:rsid w:val="00E1690B"/>
    <w:rsid w:val="00E16940"/>
    <w:rsid w:val="00E16A1E"/>
    <w:rsid w:val="00E16ADC"/>
    <w:rsid w:val="00E16B50"/>
    <w:rsid w:val="00E16B58"/>
    <w:rsid w:val="00E16BEF"/>
    <w:rsid w:val="00E16BF0"/>
    <w:rsid w:val="00E16C06"/>
    <w:rsid w:val="00E16C13"/>
    <w:rsid w:val="00E16C39"/>
    <w:rsid w:val="00E16C68"/>
    <w:rsid w:val="00E16C8D"/>
    <w:rsid w:val="00E16CFD"/>
    <w:rsid w:val="00E16D0A"/>
    <w:rsid w:val="00E16D11"/>
    <w:rsid w:val="00E16D89"/>
    <w:rsid w:val="00E16DBC"/>
    <w:rsid w:val="00E16DD1"/>
    <w:rsid w:val="00E16E00"/>
    <w:rsid w:val="00E16E12"/>
    <w:rsid w:val="00E16E3F"/>
    <w:rsid w:val="00E16E75"/>
    <w:rsid w:val="00E16E78"/>
    <w:rsid w:val="00E16F4F"/>
    <w:rsid w:val="00E16F58"/>
    <w:rsid w:val="00E1714F"/>
    <w:rsid w:val="00E17161"/>
    <w:rsid w:val="00E171F2"/>
    <w:rsid w:val="00E171F7"/>
    <w:rsid w:val="00E17258"/>
    <w:rsid w:val="00E17291"/>
    <w:rsid w:val="00E172C3"/>
    <w:rsid w:val="00E1731A"/>
    <w:rsid w:val="00E1731B"/>
    <w:rsid w:val="00E173E5"/>
    <w:rsid w:val="00E173EF"/>
    <w:rsid w:val="00E17458"/>
    <w:rsid w:val="00E1746C"/>
    <w:rsid w:val="00E1749B"/>
    <w:rsid w:val="00E17527"/>
    <w:rsid w:val="00E17532"/>
    <w:rsid w:val="00E17552"/>
    <w:rsid w:val="00E1757F"/>
    <w:rsid w:val="00E175E4"/>
    <w:rsid w:val="00E17695"/>
    <w:rsid w:val="00E176AB"/>
    <w:rsid w:val="00E17778"/>
    <w:rsid w:val="00E177CF"/>
    <w:rsid w:val="00E1781A"/>
    <w:rsid w:val="00E17918"/>
    <w:rsid w:val="00E17988"/>
    <w:rsid w:val="00E179A3"/>
    <w:rsid w:val="00E17A89"/>
    <w:rsid w:val="00E17AFF"/>
    <w:rsid w:val="00E17B5B"/>
    <w:rsid w:val="00E17CFB"/>
    <w:rsid w:val="00E17E09"/>
    <w:rsid w:val="00E17FB3"/>
    <w:rsid w:val="00E20043"/>
    <w:rsid w:val="00E20055"/>
    <w:rsid w:val="00E200CB"/>
    <w:rsid w:val="00E200EE"/>
    <w:rsid w:val="00E20171"/>
    <w:rsid w:val="00E2018A"/>
    <w:rsid w:val="00E201FF"/>
    <w:rsid w:val="00E20207"/>
    <w:rsid w:val="00E20285"/>
    <w:rsid w:val="00E20356"/>
    <w:rsid w:val="00E203EC"/>
    <w:rsid w:val="00E20461"/>
    <w:rsid w:val="00E2047A"/>
    <w:rsid w:val="00E204C4"/>
    <w:rsid w:val="00E204D3"/>
    <w:rsid w:val="00E204EB"/>
    <w:rsid w:val="00E20540"/>
    <w:rsid w:val="00E20555"/>
    <w:rsid w:val="00E206D6"/>
    <w:rsid w:val="00E206E7"/>
    <w:rsid w:val="00E206F1"/>
    <w:rsid w:val="00E20716"/>
    <w:rsid w:val="00E20781"/>
    <w:rsid w:val="00E2079B"/>
    <w:rsid w:val="00E20882"/>
    <w:rsid w:val="00E20968"/>
    <w:rsid w:val="00E209B0"/>
    <w:rsid w:val="00E209B3"/>
    <w:rsid w:val="00E209E0"/>
    <w:rsid w:val="00E20A70"/>
    <w:rsid w:val="00E20A80"/>
    <w:rsid w:val="00E20AB3"/>
    <w:rsid w:val="00E20B27"/>
    <w:rsid w:val="00E20C0C"/>
    <w:rsid w:val="00E20C27"/>
    <w:rsid w:val="00E20C46"/>
    <w:rsid w:val="00E20C90"/>
    <w:rsid w:val="00E20C92"/>
    <w:rsid w:val="00E20D6A"/>
    <w:rsid w:val="00E20DA8"/>
    <w:rsid w:val="00E20EC3"/>
    <w:rsid w:val="00E20EC6"/>
    <w:rsid w:val="00E20F44"/>
    <w:rsid w:val="00E21051"/>
    <w:rsid w:val="00E21063"/>
    <w:rsid w:val="00E2106D"/>
    <w:rsid w:val="00E21087"/>
    <w:rsid w:val="00E2108A"/>
    <w:rsid w:val="00E21198"/>
    <w:rsid w:val="00E211B7"/>
    <w:rsid w:val="00E211F5"/>
    <w:rsid w:val="00E211FD"/>
    <w:rsid w:val="00E21300"/>
    <w:rsid w:val="00E21359"/>
    <w:rsid w:val="00E213AF"/>
    <w:rsid w:val="00E213B6"/>
    <w:rsid w:val="00E21412"/>
    <w:rsid w:val="00E21421"/>
    <w:rsid w:val="00E2144C"/>
    <w:rsid w:val="00E214B0"/>
    <w:rsid w:val="00E21521"/>
    <w:rsid w:val="00E21570"/>
    <w:rsid w:val="00E215B7"/>
    <w:rsid w:val="00E215BA"/>
    <w:rsid w:val="00E21650"/>
    <w:rsid w:val="00E2167C"/>
    <w:rsid w:val="00E21682"/>
    <w:rsid w:val="00E216E5"/>
    <w:rsid w:val="00E216FE"/>
    <w:rsid w:val="00E21732"/>
    <w:rsid w:val="00E2173F"/>
    <w:rsid w:val="00E21761"/>
    <w:rsid w:val="00E2176A"/>
    <w:rsid w:val="00E217E3"/>
    <w:rsid w:val="00E2185D"/>
    <w:rsid w:val="00E218B5"/>
    <w:rsid w:val="00E2194F"/>
    <w:rsid w:val="00E2197A"/>
    <w:rsid w:val="00E2199F"/>
    <w:rsid w:val="00E21A2D"/>
    <w:rsid w:val="00E21A76"/>
    <w:rsid w:val="00E21B03"/>
    <w:rsid w:val="00E21C29"/>
    <w:rsid w:val="00E21C87"/>
    <w:rsid w:val="00E21D8B"/>
    <w:rsid w:val="00E21DB8"/>
    <w:rsid w:val="00E21E9B"/>
    <w:rsid w:val="00E21EF1"/>
    <w:rsid w:val="00E21F2B"/>
    <w:rsid w:val="00E21F64"/>
    <w:rsid w:val="00E21FA7"/>
    <w:rsid w:val="00E21FC4"/>
    <w:rsid w:val="00E2202A"/>
    <w:rsid w:val="00E220AA"/>
    <w:rsid w:val="00E220C6"/>
    <w:rsid w:val="00E220D2"/>
    <w:rsid w:val="00E22197"/>
    <w:rsid w:val="00E222AD"/>
    <w:rsid w:val="00E22310"/>
    <w:rsid w:val="00E22445"/>
    <w:rsid w:val="00E2245E"/>
    <w:rsid w:val="00E2246B"/>
    <w:rsid w:val="00E224B3"/>
    <w:rsid w:val="00E22553"/>
    <w:rsid w:val="00E225CB"/>
    <w:rsid w:val="00E225E3"/>
    <w:rsid w:val="00E225EE"/>
    <w:rsid w:val="00E22638"/>
    <w:rsid w:val="00E22653"/>
    <w:rsid w:val="00E22741"/>
    <w:rsid w:val="00E22769"/>
    <w:rsid w:val="00E22783"/>
    <w:rsid w:val="00E227E3"/>
    <w:rsid w:val="00E2280B"/>
    <w:rsid w:val="00E228C7"/>
    <w:rsid w:val="00E228D7"/>
    <w:rsid w:val="00E22A31"/>
    <w:rsid w:val="00E22A73"/>
    <w:rsid w:val="00E22AA5"/>
    <w:rsid w:val="00E22AD0"/>
    <w:rsid w:val="00E22B2B"/>
    <w:rsid w:val="00E22B62"/>
    <w:rsid w:val="00E22BCD"/>
    <w:rsid w:val="00E22BEF"/>
    <w:rsid w:val="00E22D87"/>
    <w:rsid w:val="00E22D95"/>
    <w:rsid w:val="00E22DA1"/>
    <w:rsid w:val="00E22E74"/>
    <w:rsid w:val="00E22ED2"/>
    <w:rsid w:val="00E22FA6"/>
    <w:rsid w:val="00E22FD4"/>
    <w:rsid w:val="00E23033"/>
    <w:rsid w:val="00E230E9"/>
    <w:rsid w:val="00E2321A"/>
    <w:rsid w:val="00E2337B"/>
    <w:rsid w:val="00E23419"/>
    <w:rsid w:val="00E23567"/>
    <w:rsid w:val="00E235C4"/>
    <w:rsid w:val="00E237C0"/>
    <w:rsid w:val="00E23929"/>
    <w:rsid w:val="00E2397B"/>
    <w:rsid w:val="00E239A7"/>
    <w:rsid w:val="00E239BB"/>
    <w:rsid w:val="00E239DD"/>
    <w:rsid w:val="00E23A5F"/>
    <w:rsid w:val="00E23ADD"/>
    <w:rsid w:val="00E23B16"/>
    <w:rsid w:val="00E23BC8"/>
    <w:rsid w:val="00E23BEC"/>
    <w:rsid w:val="00E23C08"/>
    <w:rsid w:val="00E23D00"/>
    <w:rsid w:val="00E23D2C"/>
    <w:rsid w:val="00E23DF5"/>
    <w:rsid w:val="00E23E25"/>
    <w:rsid w:val="00E23E50"/>
    <w:rsid w:val="00E23E51"/>
    <w:rsid w:val="00E23EB2"/>
    <w:rsid w:val="00E23ECB"/>
    <w:rsid w:val="00E23F44"/>
    <w:rsid w:val="00E23F7D"/>
    <w:rsid w:val="00E23F80"/>
    <w:rsid w:val="00E24024"/>
    <w:rsid w:val="00E24123"/>
    <w:rsid w:val="00E2422E"/>
    <w:rsid w:val="00E2425E"/>
    <w:rsid w:val="00E242CF"/>
    <w:rsid w:val="00E2433B"/>
    <w:rsid w:val="00E243BF"/>
    <w:rsid w:val="00E243DA"/>
    <w:rsid w:val="00E24458"/>
    <w:rsid w:val="00E24471"/>
    <w:rsid w:val="00E24474"/>
    <w:rsid w:val="00E24515"/>
    <w:rsid w:val="00E24547"/>
    <w:rsid w:val="00E2454D"/>
    <w:rsid w:val="00E24563"/>
    <w:rsid w:val="00E2464E"/>
    <w:rsid w:val="00E246A0"/>
    <w:rsid w:val="00E246AB"/>
    <w:rsid w:val="00E24743"/>
    <w:rsid w:val="00E24749"/>
    <w:rsid w:val="00E24763"/>
    <w:rsid w:val="00E2476C"/>
    <w:rsid w:val="00E24827"/>
    <w:rsid w:val="00E24848"/>
    <w:rsid w:val="00E2486E"/>
    <w:rsid w:val="00E2497C"/>
    <w:rsid w:val="00E249D1"/>
    <w:rsid w:val="00E24A52"/>
    <w:rsid w:val="00E24A55"/>
    <w:rsid w:val="00E24A80"/>
    <w:rsid w:val="00E24AA6"/>
    <w:rsid w:val="00E24AFA"/>
    <w:rsid w:val="00E24B32"/>
    <w:rsid w:val="00E24B62"/>
    <w:rsid w:val="00E24BA2"/>
    <w:rsid w:val="00E24BE0"/>
    <w:rsid w:val="00E24C09"/>
    <w:rsid w:val="00E24C93"/>
    <w:rsid w:val="00E24C96"/>
    <w:rsid w:val="00E24D87"/>
    <w:rsid w:val="00E24D92"/>
    <w:rsid w:val="00E24DAC"/>
    <w:rsid w:val="00E24DBD"/>
    <w:rsid w:val="00E24E15"/>
    <w:rsid w:val="00E24E6B"/>
    <w:rsid w:val="00E24EAD"/>
    <w:rsid w:val="00E24EF7"/>
    <w:rsid w:val="00E24EF9"/>
    <w:rsid w:val="00E24F11"/>
    <w:rsid w:val="00E24F9A"/>
    <w:rsid w:val="00E2503F"/>
    <w:rsid w:val="00E250E3"/>
    <w:rsid w:val="00E25121"/>
    <w:rsid w:val="00E25138"/>
    <w:rsid w:val="00E251BE"/>
    <w:rsid w:val="00E251C5"/>
    <w:rsid w:val="00E251D6"/>
    <w:rsid w:val="00E2532C"/>
    <w:rsid w:val="00E2536A"/>
    <w:rsid w:val="00E25399"/>
    <w:rsid w:val="00E2544E"/>
    <w:rsid w:val="00E25520"/>
    <w:rsid w:val="00E256AA"/>
    <w:rsid w:val="00E256F4"/>
    <w:rsid w:val="00E25734"/>
    <w:rsid w:val="00E257D5"/>
    <w:rsid w:val="00E25904"/>
    <w:rsid w:val="00E25968"/>
    <w:rsid w:val="00E259E3"/>
    <w:rsid w:val="00E259EC"/>
    <w:rsid w:val="00E25A75"/>
    <w:rsid w:val="00E25B57"/>
    <w:rsid w:val="00E25B8C"/>
    <w:rsid w:val="00E25B8D"/>
    <w:rsid w:val="00E25C7E"/>
    <w:rsid w:val="00E25C87"/>
    <w:rsid w:val="00E25D80"/>
    <w:rsid w:val="00E25D9B"/>
    <w:rsid w:val="00E25D9C"/>
    <w:rsid w:val="00E25DB5"/>
    <w:rsid w:val="00E25DD1"/>
    <w:rsid w:val="00E25DDC"/>
    <w:rsid w:val="00E25EB4"/>
    <w:rsid w:val="00E25EC6"/>
    <w:rsid w:val="00E25EC9"/>
    <w:rsid w:val="00E25ECE"/>
    <w:rsid w:val="00E25EE3"/>
    <w:rsid w:val="00E25F5B"/>
    <w:rsid w:val="00E25FFD"/>
    <w:rsid w:val="00E260A3"/>
    <w:rsid w:val="00E260E2"/>
    <w:rsid w:val="00E26181"/>
    <w:rsid w:val="00E26333"/>
    <w:rsid w:val="00E26351"/>
    <w:rsid w:val="00E263B6"/>
    <w:rsid w:val="00E263CE"/>
    <w:rsid w:val="00E2646A"/>
    <w:rsid w:val="00E265D5"/>
    <w:rsid w:val="00E2661C"/>
    <w:rsid w:val="00E2667A"/>
    <w:rsid w:val="00E266A2"/>
    <w:rsid w:val="00E26732"/>
    <w:rsid w:val="00E26784"/>
    <w:rsid w:val="00E26798"/>
    <w:rsid w:val="00E267D2"/>
    <w:rsid w:val="00E268B3"/>
    <w:rsid w:val="00E26905"/>
    <w:rsid w:val="00E26992"/>
    <w:rsid w:val="00E269B9"/>
    <w:rsid w:val="00E26A4A"/>
    <w:rsid w:val="00E26A9B"/>
    <w:rsid w:val="00E26BA0"/>
    <w:rsid w:val="00E26BCB"/>
    <w:rsid w:val="00E26CA3"/>
    <w:rsid w:val="00E26D15"/>
    <w:rsid w:val="00E26D9C"/>
    <w:rsid w:val="00E26DB7"/>
    <w:rsid w:val="00E26DC3"/>
    <w:rsid w:val="00E26E23"/>
    <w:rsid w:val="00E26E24"/>
    <w:rsid w:val="00E26EBC"/>
    <w:rsid w:val="00E26F07"/>
    <w:rsid w:val="00E26FA9"/>
    <w:rsid w:val="00E271DE"/>
    <w:rsid w:val="00E27274"/>
    <w:rsid w:val="00E27296"/>
    <w:rsid w:val="00E272F9"/>
    <w:rsid w:val="00E2732A"/>
    <w:rsid w:val="00E27337"/>
    <w:rsid w:val="00E27384"/>
    <w:rsid w:val="00E27393"/>
    <w:rsid w:val="00E27399"/>
    <w:rsid w:val="00E2743C"/>
    <w:rsid w:val="00E274EB"/>
    <w:rsid w:val="00E274F5"/>
    <w:rsid w:val="00E275AB"/>
    <w:rsid w:val="00E275EA"/>
    <w:rsid w:val="00E27677"/>
    <w:rsid w:val="00E2773A"/>
    <w:rsid w:val="00E2773C"/>
    <w:rsid w:val="00E27745"/>
    <w:rsid w:val="00E277E3"/>
    <w:rsid w:val="00E27848"/>
    <w:rsid w:val="00E27AFE"/>
    <w:rsid w:val="00E27B29"/>
    <w:rsid w:val="00E27B59"/>
    <w:rsid w:val="00E27B8F"/>
    <w:rsid w:val="00E27C05"/>
    <w:rsid w:val="00E27C19"/>
    <w:rsid w:val="00E27C3E"/>
    <w:rsid w:val="00E27CA6"/>
    <w:rsid w:val="00E27CB0"/>
    <w:rsid w:val="00E27CCD"/>
    <w:rsid w:val="00E27CD5"/>
    <w:rsid w:val="00E27D32"/>
    <w:rsid w:val="00E27D5C"/>
    <w:rsid w:val="00E27DDB"/>
    <w:rsid w:val="00E27DF5"/>
    <w:rsid w:val="00E27E4B"/>
    <w:rsid w:val="00E27E58"/>
    <w:rsid w:val="00E27EC7"/>
    <w:rsid w:val="00E27EEE"/>
    <w:rsid w:val="00E27F0F"/>
    <w:rsid w:val="00E27F92"/>
    <w:rsid w:val="00E27FED"/>
    <w:rsid w:val="00E30280"/>
    <w:rsid w:val="00E302E7"/>
    <w:rsid w:val="00E302EF"/>
    <w:rsid w:val="00E30343"/>
    <w:rsid w:val="00E30378"/>
    <w:rsid w:val="00E30459"/>
    <w:rsid w:val="00E30477"/>
    <w:rsid w:val="00E3051E"/>
    <w:rsid w:val="00E3054B"/>
    <w:rsid w:val="00E30640"/>
    <w:rsid w:val="00E30676"/>
    <w:rsid w:val="00E306A3"/>
    <w:rsid w:val="00E306B8"/>
    <w:rsid w:val="00E3073B"/>
    <w:rsid w:val="00E307DE"/>
    <w:rsid w:val="00E307E5"/>
    <w:rsid w:val="00E30839"/>
    <w:rsid w:val="00E30847"/>
    <w:rsid w:val="00E308AD"/>
    <w:rsid w:val="00E308CF"/>
    <w:rsid w:val="00E3093E"/>
    <w:rsid w:val="00E30943"/>
    <w:rsid w:val="00E3096A"/>
    <w:rsid w:val="00E30A8B"/>
    <w:rsid w:val="00E30AEF"/>
    <w:rsid w:val="00E30B5B"/>
    <w:rsid w:val="00E30B5D"/>
    <w:rsid w:val="00E30B71"/>
    <w:rsid w:val="00E30BF8"/>
    <w:rsid w:val="00E30BF9"/>
    <w:rsid w:val="00E30D23"/>
    <w:rsid w:val="00E30DA8"/>
    <w:rsid w:val="00E30DCF"/>
    <w:rsid w:val="00E30DDC"/>
    <w:rsid w:val="00E30EEC"/>
    <w:rsid w:val="00E30EED"/>
    <w:rsid w:val="00E30F3A"/>
    <w:rsid w:val="00E30F6D"/>
    <w:rsid w:val="00E30FF1"/>
    <w:rsid w:val="00E31041"/>
    <w:rsid w:val="00E31102"/>
    <w:rsid w:val="00E31158"/>
    <w:rsid w:val="00E311BA"/>
    <w:rsid w:val="00E31239"/>
    <w:rsid w:val="00E3130A"/>
    <w:rsid w:val="00E31380"/>
    <w:rsid w:val="00E31386"/>
    <w:rsid w:val="00E31498"/>
    <w:rsid w:val="00E3149F"/>
    <w:rsid w:val="00E31633"/>
    <w:rsid w:val="00E31647"/>
    <w:rsid w:val="00E31702"/>
    <w:rsid w:val="00E31824"/>
    <w:rsid w:val="00E31841"/>
    <w:rsid w:val="00E31854"/>
    <w:rsid w:val="00E31861"/>
    <w:rsid w:val="00E31899"/>
    <w:rsid w:val="00E318B0"/>
    <w:rsid w:val="00E31990"/>
    <w:rsid w:val="00E319F9"/>
    <w:rsid w:val="00E31A65"/>
    <w:rsid w:val="00E31AB5"/>
    <w:rsid w:val="00E31B69"/>
    <w:rsid w:val="00E31B75"/>
    <w:rsid w:val="00E31C12"/>
    <w:rsid w:val="00E31C56"/>
    <w:rsid w:val="00E31C6F"/>
    <w:rsid w:val="00E31D2E"/>
    <w:rsid w:val="00E31DE4"/>
    <w:rsid w:val="00E31EF5"/>
    <w:rsid w:val="00E31F4B"/>
    <w:rsid w:val="00E31F7E"/>
    <w:rsid w:val="00E31FD6"/>
    <w:rsid w:val="00E3204F"/>
    <w:rsid w:val="00E32050"/>
    <w:rsid w:val="00E3206A"/>
    <w:rsid w:val="00E3208E"/>
    <w:rsid w:val="00E320A6"/>
    <w:rsid w:val="00E32178"/>
    <w:rsid w:val="00E32248"/>
    <w:rsid w:val="00E32250"/>
    <w:rsid w:val="00E3229F"/>
    <w:rsid w:val="00E322FB"/>
    <w:rsid w:val="00E3237D"/>
    <w:rsid w:val="00E32397"/>
    <w:rsid w:val="00E32407"/>
    <w:rsid w:val="00E3242E"/>
    <w:rsid w:val="00E324CF"/>
    <w:rsid w:val="00E324FD"/>
    <w:rsid w:val="00E32662"/>
    <w:rsid w:val="00E32691"/>
    <w:rsid w:val="00E32718"/>
    <w:rsid w:val="00E327AF"/>
    <w:rsid w:val="00E32875"/>
    <w:rsid w:val="00E328A0"/>
    <w:rsid w:val="00E32929"/>
    <w:rsid w:val="00E3294E"/>
    <w:rsid w:val="00E32964"/>
    <w:rsid w:val="00E32968"/>
    <w:rsid w:val="00E32AA8"/>
    <w:rsid w:val="00E32C2E"/>
    <w:rsid w:val="00E32D19"/>
    <w:rsid w:val="00E32DAC"/>
    <w:rsid w:val="00E32EB2"/>
    <w:rsid w:val="00E32ECD"/>
    <w:rsid w:val="00E32EF0"/>
    <w:rsid w:val="00E32F01"/>
    <w:rsid w:val="00E32FC8"/>
    <w:rsid w:val="00E33010"/>
    <w:rsid w:val="00E330AF"/>
    <w:rsid w:val="00E330BE"/>
    <w:rsid w:val="00E330C9"/>
    <w:rsid w:val="00E330DB"/>
    <w:rsid w:val="00E3315F"/>
    <w:rsid w:val="00E33265"/>
    <w:rsid w:val="00E33277"/>
    <w:rsid w:val="00E3330E"/>
    <w:rsid w:val="00E33311"/>
    <w:rsid w:val="00E3338F"/>
    <w:rsid w:val="00E333B5"/>
    <w:rsid w:val="00E333CB"/>
    <w:rsid w:val="00E33411"/>
    <w:rsid w:val="00E3344A"/>
    <w:rsid w:val="00E3345E"/>
    <w:rsid w:val="00E3348C"/>
    <w:rsid w:val="00E334A1"/>
    <w:rsid w:val="00E334A5"/>
    <w:rsid w:val="00E33500"/>
    <w:rsid w:val="00E3351F"/>
    <w:rsid w:val="00E335EE"/>
    <w:rsid w:val="00E33708"/>
    <w:rsid w:val="00E3376A"/>
    <w:rsid w:val="00E337BF"/>
    <w:rsid w:val="00E3382A"/>
    <w:rsid w:val="00E33845"/>
    <w:rsid w:val="00E3385F"/>
    <w:rsid w:val="00E338D0"/>
    <w:rsid w:val="00E33992"/>
    <w:rsid w:val="00E33995"/>
    <w:rsid w:val="00E33ABC"/>
    <w:rsid w:val="00E33AD4"/>
    <w:rsid w:val="00E33B10"/>
    <w:rsid w:val="00E33B35"/>
    <w:rsid w:val="00E33B41"/>
    <w:rsid w:val="00E33B8F"/>
    <w:rsid w:val="00E33B9C"/>
    <w:rsid w:val="00E33BD7"/>
    <w:rsid w:val="00E33BF1"/>
    <w:rsid w:val="00E33C20"/>
    <w:rsid w:val="00E33CA6"/>
    <w:rsid w:val="00E33CB0"/>
    <w:rsid w:val="00E33D66"/>
    <w:rsid w:val="00E33E17"/>
    <w:rsid w:val="00E33E42"/>
    <w:rsid w:val="00E33E5F"/>
    <w:rsid w:val="00E33E6C"/>
    <w:rsid w:val="00E33ED0"/>
    <w:rsid w:val="00E33EDC"/>
    <w:rsid w:val="00E33F1F"/>
    <w:rsid w:val="00E33F30"/>
    <w:rsid w:val="00E33F57"/>
    <w:rsid w:val="00E33F6A"/>
    <w:rsid w:val="00E33F84"/>
    <w:rsid w:val="00E340EC"/>
    <w:rsid w:val="00E341B0"/>
    <w:rsid w:val="00E341BC"/>
    <w:rsid w:val="00E341C5"/>
    <w:rsid w:val="00E34232"/>
    <w:rsid w:val="00E34250"/>
    <w:rsid w:val="00E342F3"/>
    <w:rsid w:val="00E343C5"/>
    <w:rsid w:val="00E34434"/>
    <w:rsid w:val="00E34442"/>
    <w:rsid w:val="00E344BA"/>
    <w:rsid w:val="00E34547"/>
    <w:rsid w:val="00E3455F"/>
    <w:rsid w:val="00E3461A"/>
    <w:rsid w:val="00E34666"/>
    <w:rsid w:val="00E346E0"/>
    <w:rsid w:val="00E3473F"/>
    <w:rsid w:val="00E34745"/>
    <w:rsid w:val="00E3476A"/>
    <w:rsid w:val="00E34819"/>
    <w:rsid w:val="00E348BC"/>
    <w:rsid w:val="00E34A98"/>
    <w:rsid w:val="00E34AED"/>
    <w:rsid w:val="00E34AFD"/>
    <w:rsid w:val="00E34B14"/>
    <w:rsid w:val="00E34B82"/>
    <w:rsid w:val="00E34B90"/>
    <w:rsid w:val="00E34BE2"/>
    <w:rsid w:val="00E34C52"/>
    <w:rsid w:val="00E34CBA"/>
    <w:rsid w:val="00E34D06"/>
    <w:rsid w:val="00E34D36"/>
    <w:rsid w:val="00E34DD7"/>
    <w:rsid w:val="00E34DE8"/>
    <w:rsid w:val="00E34DFA"/>
    <w:rsid w:val="00E34DFC"/>
    <w:rsid w:val="00E34E1B"/>
    <w:rsid w:val="00E34E7E"/>
    <w:rsid w:val="00E34E85"/>
    <w:rsid w:val="00E34E99"/>
    <w:rsid w:val="00E34E9E"/>
    <w:rsid w:val="00E34F28"/>
    <w:rsid w:val="00E34F2C"/>
    <w:rsid w:val="00E34FC1"/>
    <w:rsid w:val="00E34FFF"/>
    <w:rsid w:val="00E35067"/>
    <w:rsid w:val="00E3507D"/>
    <w:rsid w:val="00E35089"/>
    <w:rsid w:val="00E351D0"/>
    <w:rsid w:val="00E351DA"/>
    <w:rsid w:val="00E351E1"/>
    <w:rsid w:val="00E35249"/>
    <w:rsid w:val="00E352A1"/>
    <w:rsid w:val="00E3536E"/>
    <w:rsid w:val="00E35395"/>
    <w:rsid w:val="00E3550D"/>
    <w:rsid w:val="00E3551A"/>
    <w:rsid w:val="00E3557F"/>
    <w:rsid w:val="00E35589"/>
    <w:rsid w:val="00E356DD"/>
    <w:rsid w:val="00E3571A"/>
    <w:rsid w:val="00E3573B"/>
    <w:rsid w:val="00E3579A"/>
    <w:rsid w:val="00E357B6"/>
    <w:rsid w:val="00E357DF"/>
    <w:rsid w:val="00E35809"/>
    <w:rsid w:val="00E35867"/>
    <w:rsid w:val="00E359B6"/>
    <w:rsid w:val="00E35ACE"/>
    <w:rsid w:val="00E35AE6"/>
    <w:rsid w:val="00E35B0F"/>
    <w:rsid w:val="00E35B11"/>
    <w:rsid w:val="00E35B54"/>
    <w:rsid w:val="00E35B7B"/>
    <w:rsid w:val="00E35C40"/>
    <w:rsid w:val="00E35CD8"/>
    <w:rsid w:val="00E35CDD"/>
    <w:rsid w:val="00E35CE0"/>
    <w:rsid w:val="00E35D2D"/>
    <w:rsid w:val="00E35D65"/>
    <w:rsid w:val="00E35E6C"/>
    <w:rsid w:val="00E35F16"/>
    <w:rsid w:val="00E35F39"/>
    <w:rsid w:val="00E35FB0"/>
    <w:rsid w:val="00E3603F"/>
    <w:rsid w:val="00E360DA"/>
    <w:rsid w:val="00E361CA"/>
    <w:rsid w:val="00E361D0"/>
    <w:rsid w:val="00E36307"/>
    <w:rsid w:val="00E3632D"/>
    <w:rsid w:val="00E36444"/>
    <w:rsid w:val="00E3646B"/>
    <w:rsid w:val="00E364C7"/>
    <w:rsid w:val="00E364DC"/>
    <w:rsid w:val="00E36541"/>
    <w:rsid w:val="00E36591"/>
    <w:rsid w:val="00E36617"/>
    <w:rsid w:val="00E3666E"/>
    <w:rsid w:val="00E366CF"/>
    <w:rsid w:val="00E3675B"/>
    <w:rsid w:val="00E36760"/>
    <w:rsid w:val="00E367C7"/>
    <w:rsid w:val="00E36832"/>
    <w:rsid w:val="00E3684A"/>
    <w:rsid w:val="00E36860"/>
    <w:rsid w:val="00E368A1"/>
    <w:rsid w:val="00E368E2"/>
    <w:rsid w:val="00E36911"/>
    <w:rsid w:val="00E36995"/>
    <w:rsid w:val="00E36A9B"/>
    <w:rsid w:val="00E36B93"/>
    <w:rsid w:val="00E36B95"/>
    <w:rsid w:val="00E36BAB"/>
    <w:rsid w:val="00E36C18"/>
    <w:rsid w:val="00E36C2A"/>
    <w:rsid w:val="00E36D0D"/>
    <w:rsid w:val="00E36D2C"/>
    <w:rsid w:val="00E36D47"/>
    <w:rsid w:val="00E36D7E"/>
    <w:rsid w:val="00E36DE3"/>
    <w:rsid w:val="00E36DF1"/>
    <w:rsid w:val="00E36E24"/>
    <w:rsid w:val="00E36F68"/>
    <w:rsid w:val="00E36FD3"/>
    <w:rsid w:val="00E3711C"/>
    <w:rsid w:val="00E37124"/>
    <w:rsid w:val="00E372E1"/>
    <w:rsid w:val="00E373CF"/>
    <w:rsid w:val="00E37407"/>
    <w:rsid w:val="00E37435"/>
    <w:rsid w:val="00E3744F"/>
    <w:rsid w:val="00E37466"/>
    <w:rsid w:val="00E37498"/>
    <w:rsid w:val="00E3774B"/>
    <w:rsid w:val="00E377C9"/>
    <w:rsid w:val="00E378C0"/>
    <w:rsid w:val="00E378FF"/>
    <w:rsid w:val="00E37993"/>
    <w:rsid w:val="00E379DE"/>
    <w:rsid w:val="00E37A01"/>
    <w:rsid w:val="00E37A0F"/>
    <w:rsid w:val="00E37A12"/>
    <w:rsid w:val="00E37A29"/>
    <w:rsid w:val="00E37A47"/>
    <w:rsid w:val="00E37AF8"/>
    <w:rsid w:val="00E37B16"/>
    <w:rsid w:val="00E37CBB"/>
    <w:rsid w:val="00E37CEF"/>
    <w:rsid w:val="00E37D31"/>
    <w:rsid w:val="00E37D33"/>
    <w:rsid w:val="00E37D3C"/>
    <w:rsid w:val="00E37DB1"/>
    <w:rsid w:val="00E37DC3"/>
    <w:rsid w:val="00E37E05"/>
    <w:rsid w:val="00E37EDF"/>
    <w:rsid w:val="00E37F26"/>
    <w:rsid w:val="00E37F6A"/>
    <w:rsid w:val="00E37F75"/>
    <w:rsid w:val="00E37FD9"/>
    <w:rsid w:val="00E40082"/>
    <w:rsid w:val="00E4009A"/>
    <w:rsid w:val="00E400EA"/>
    <w:rsid w:val="00E40102"/>
    <w:rsid w:val="00E4011A"/>
    <w:rsid w:val="00E4011D"/>
    <w:rsid w:val="00E401E8"/>
    <w:rsid w:val="00E4025C"/>
    <w:rsid w:val="00E40263"/>
    <w:rsid w:val="00E40264"/>
    <w:rsid w:val="00E402B9"/>
    <w:rsid w:val="00E402C1"/>
    <w:rsid w:val="00E40329"/>
    <w:rsid w:val="00E40376"/>
    <w:rsid w:val="00E40399"/>
    <w:rsid w:val="00E403B0"/>
    <w:rsid w:val="00E4044A"/>
    <w:rsid w:val="00E40618"/>
    <w:rsid w:val="00E4068F"/>
    <w:rsid w:val="00E40734"/>
    <w:rsid w:val="00E407C2"/>
    <w:rsid w:val="00E407CF"/>
    <w:rsid w:val="00E40851"/>
    <w:rsid w:val="00E408A7"/>
    <w:rsid w:val="00E4098A"/>
    <w:rsid w:val="00E409C2"/>
    <w:rsid w:val="00E409FB"/>
    <w:rsid w:val="00E40A30"/>
    <w:rsid w:val="00E40A7F"/>
    <w:rsid w:val="00E40AD8"/>
    <w:rsid w:val="00E40AED"/>
    <w:rsid w:val="00E40B04"/>
    <w:rsid w:val="00E40B55"/>
    <w:rsid w:val="00E40B5F"/>
    <w:rsid w:val="00E40B60"/>
    <w:rsid w:val="00E40B65"/>
    <w:rsid w:val="00E40BAD"/>
    <w:rsid w:val="00E40BF9"/>
    <w:rsid w:val="00E40BFE"/>
    <w:rsid w:val="00E40C29"/>
    <w:rsid w:val="00E40C3C"/>
    <w:rsid w:val="00E40C43"/>
    <w:rsid w:val="00E40C6A"/>
    <w:rsid w:val="00E40CAE"/>
    <w:rsid w:val="00E40D4B"/>
    <w:rsid w:val="00E40DAE"/>
    <w:rsid w:val="00E40E10"/>
    <w:rsid w:val="00E40E3D"/>
    <w:rsid w:val="00E40F62"/>
    <w:rsid w:val="00E40F93"/>
    <w:rsid w:val="00E40FC7"/>
    <w:rsid w:val="00E4102E"/>
    <w:rsid w:val="00E4105D"/>
    <w:rsid w:val="00E4108F"/>
    <w:rsid w:val="00E41098"/>
    <w:rsid w:val="00E410A0"/>
    <w:rsid w:val="00E410A8"/>
    <w:rsid w:val="00E41110"/>
    <w:rsid w:val="00E412B7"/>
    <w:rsid w:val="00E4143E"/>
    <w:rsid w:val="00E41570"/>
    <w:rsid w:val="00E415BA"/>
    <w:rsid w:val="00E415E9"/>
    <w:rsid w:val="00E41657"/>
    <w:rsid w:val="00E416C9"/>
    <w:rsid w:val="00E41732"/>
    <w:rsid w:val="00E41733"/>
    <w:rsid w:val="00E417C3"/>
    <w:rsid w:val="00E418C9"/>
    <w:rsid w:val="00E4197B"/>
    <w:rsid w:val="00E41ABB"/>
    <w:rsid w:val="00E41B40"/>
    <w:rsid w:val="00E41B70"/>
    <w:rsid w:val="00E41C10"/>
    <w:rsid w:val="00E41C4D"/>
    <w:rsid w:val="00E41E9E"/>
    <w:rsid w:val="00E41ED7"/>
    <w:rsid w:val="00E4201B"/>
    <w:rsid w:val="00E4201D"/>
    <w:rsid w:val="00E42187"/>
    <w:rsid w:val="00E421AF"/>
    <w:rsid w:val="00E421BC"/>
    <w:rsid w:val="00E4224A"/>
    <w:rsid w:val="00E42266"/>
    <w:rsid w:val="00E422B9"/>
    <w:rsid w:val="00E42325"/>
    <w:rsid w:val="00E42384"/>
    <w:rsid w:val="00E4239C"/>
    <w:rsid w:val="00E423AB"/>
    <w:rsid w:val="00E423B6"/>
    <w:rsid w:val="00E4248B"/>
    <w:rsid w:val="00E424E0"/>
    <w:rsid w:val="00E42504"/>
    <w:rsid w:val="00E42546"/>
    <w:rsid w:val="00E425FB"/>
    <w:rsid w:val="00E42604"/>
    <w:rsid w:val="00E426E3"/>
    <w:rsid w:val="00E42715"/>
    <w:rsid w:val="00E42718"/>
    <w:rsid w:val="00E42735"/>
    <w:rsid w:val="00E42792"/>
    <w:rsid w:val="00E427D1"/>
    <w:rsid w:val="00E42835"/>
    <w:rsid w:val="00E4290E"/>
    <w:rsid w:val="00E4296B"/>
    <w:rsid w:val="00E4297D"/>
    <w:rsid w:val="00E429DE"/>
    <w:rsid w:val="00E429FE"/>
    <w:rsid w:val="00E42A82"/>
    <w:rsid w:val="00E42B5A"/>
    <w:rsid w:val="00E42B95"/>
    <w:rsid w:val="00E42BA8"/>
    <w:rsid w:val="00E42BDC"/>
    <w:rsid w:val="00E42BFE"/>
    <w:rsid w:val="00E42C2F"/>
    <w:rsid w:val="00E42C55"/>
    <w:rsid w:val="00E42DBF"/>
    <w:rsid w:val="00E42DFC"/>
    <w:rsid w:val="00E42E5A"/>
    <w:rsid w:val="00E42EBA"/>
    <w:rsid w:val="00E42F34"/>
    <w:rsid w:val="00E42F56"/>
    <w:rsid w:val="00E42F7B"/>
    <w:rsid w:val="00E42FE1"/>
    <w:rsid w:val="00E4304B"/>
    <w:rsid w:val="00E430A6"/>
    <w:rsid w:val="00E430CF"/>
    <w:rsid w:val="00E4316F"/>
    <w:rsid w:val="00E43249"/>
    <w:rsid w:val="00E43379"/>
    <w:rsid w:val="00E433B1"/>
    <w:rsid w:val="00E433CC"/>
    <w:rsid w:val="00E4341C"/>
    <w:rsid w:val="00E43472"/>
    <w:rsid w:val="00E4347B"/>
    <w:rsid w:val="00E434AF"/>
    <w:rsid w:val="00E434C1"/>
    <w:rsid w:val="00E434FF"/>
    <w:rsid w:val="00E43503"/>
    <w:rsid w:val="00E43546"/>
    <w:rsid w:val="00E435A0"/>
    <w:rsid w:val="00E436A2"/>
    <w:rsid w:val="00E437B9"/>
    <w:rsid w:val="00E438C7"/>
    <w:rsid w:val="00E43907"/>
    <w:rsid w:val="00E439EA"/>
    <w:rsid w:val="00E43A2E"/>
    <w:rsid w:val="00E43A6C"/>
    <w:rsid w:val="00E43A9A"/>
    <w:rsid w:val="00E43AFD"/>
    <w:rsid w:val="00E43B06"/>
    <w:rsid w:val="00E43B54"/>
    <w:rsid w:val="00E43B7E"/>
    <w:rsid w:val="00E43B9F"/>
    <w:rsid w:val="00E43BE6"/>
    <w:rsid w:val="00E43BEF"/>
    <w:rsid w:val="00E43CCE"/>
    <w:rsid w:val="00E43D66"/>
    <w:rsid w:val="00E43D94"/>
    <w:rsid w:val="00E43DC0"/>
    <w:rsid w:val="00E43DE2"/>
    <w:rsid w:val="00E43E39"/>
    <w:rsid w:val="00E43E50"/>
    <w:rsid w:val="00E43F63"/>
    <w:rsid w:val="00E43FE2"/>
    <w:rsid w:val="00E44024"/>
    <w:rsid w:val="00E4403A"/>
    <w:rsid w:val="00E4403B"/>
    <w:rsid w:val="00E440BC"/>
    <w:rsid w:val="00E440E3"/>
    <w:rsid w:val="00E44197"/>
    <w:rsid w:val="00E4419D"/>
    <w:rsid w:val="00E44208"/>
    <w:rsid w:val="00E442D6"/>
    <w:rsid w:val="00E443CC"/>
    <w:rsid w:val="00E443DA"/>
    <w:rsid w:val="00E443FA"/>
    <w:rsid w:val="00E4451F"/>
    <w:rsid w:val="00E44574"/>
    <w:rsid w:val="00E445D0"/>
    <w:rsid w:val="00E44603"/>
    <w:rsid w:val="00E44665"/>
    <w:rsid w:val="00E44668"/>
    <w:rsid w:val="00E44672"/>
    <w:rsid w:val="00E4470F"/>
    <w:rsid w:val="00E447A3"/>
    <w:rsid w:val="00E447A6"/>
    <w:rsid w:val="00E447A8"/>
    <w:rsid w:val="00E447FC"/>
    <w:rsid w:val="00E44844"/>
    <w:rsid w:val="00E448A3"/>
    <w:rsid w:val="00E448BA"/>
    <w:rsid w:val="00E44959"/>
    <w:rsid w:val="00E4495B"/>
    <w:rsid w:val="00E44990"/>
    <w:rsid w:val="00E449B2"/>
    <w:rsid w:val="00E449B8"/>
    <w:rsid w:val="00E44A86"/>
    <w:rsid w:val="00E44AC1"/>
    <w:rsid w:val="00E44B0D"/>
    <w:rsid w:val="00E44B2C"/>
    <w:rsid w:val="00E44B73"/>
    <w:rsid w:val="00E44B97"/>
    <w:rsid w:val="00E44C0B"/>
    <w:rsid w:val="00E44C4D"/>
    <w:rsid w:val="00E44C5B"/>
    <w:rsid w:val="00E44C6E"/>
    <w:rsid w:val="00E44C9E"/>
    <w:rsid w:val="00E44CF3"/>
    <w:rsid w:val="00E44D18"/>
    <w:rsid w:val="00E44D35"/>
    <w:rsid w:val="00E44DE8"/>
    <w:rsid w:val="00E44E0C"/>
    <w:rsid w:val="00E44E31"/>
    <w:rsid w:val="00E44E5D"/>
    <w:rsid w:val="00E44E97"/>
    <w:rsid w:val="00E44EC0"/>
    <w:rsid w:val="00E44EE4"/>
    <w:rsid w:val="00E44F6D"/>
    <w:rsid w:val="00E44F82"/>
    <w:rsid w:val="00E44F8B"/>
    <w:rsid w:val="00E44FBA"/>
    <w:rsid w:val="00E4503A"/>
    <w:rsid w:val="00E450F7"/>
    <w:rsid w:val="00E450FA"/>
    <w:rsid w:val="00E45107"/>
    <w:rsid w:val="00E45137"/>
    <w:rsid w:val="00E4513E"/>
    <w:rsid w:val="00E451B4"/>
    <w:rsid w:val="00E45250"/>
    <w:rsid w:val="00E45286"/>
    <w:rsid w:val="00E452CA"/>
    <w:rsid w:val="00E452E5"/>
    <w:rsid w:val="00E45340"/>
    <w:rsid w:val="00E45387"/>
    <w:rsid w:val="00E45429"/>
    <w:rsid w:val="00E4548F"/>
    <w:rsid w:val="00E454D7"/>
    <w:rsid w:val="00E45517"/>
    <w:rsid w:val="00E4551C"/>
    <w:rsid w:val="00E4554B"/>
    <w:rsid w:val="00E45586"/>
    <w:rsid w:val="00E45591"/>
    <w:rsid w:val="00E455FC"/>
    <w:rsid w:val="00E4568F"/>
    <w:rsid w:val="00E45735"/>
    <w:rsid w:val="00E45799"/>
    <w:rsid w:val="00E458D5"/>
    <w:rsid w:val="00E458D8"/>
    <w:rsid w:val="00E4591D"/>
    <w:rsid w:val="00E4594B"/>
    <w:rsid w:val="00E459B1"/>
    <w:rsid w:val="00E45A59"/>
    <w:rsid w:val="00E45A97"/>
    <w:rsid w:val="00E45BFC"/>
    <w:rsid w:val="00E45C07"/>
    <w:rsid w:val="00E45C2F"/>
    <w:rsid w:val="00E45D23"/>
    <w:rsid w:val="00E45DB1"/>
    <w:rsid w:val="00E45DB2"/>
    <w:rsid w:val="00E45E29"/>
    <w:rsid w:val="00E4601E"/>
    <w:rsid w:val="00E4604F"/>
    <w:rsid w:val="00E4619F"/>
    <w:rsid w:val="00E461D6"/>
    <w:rsid w:val="00E461F8"/>
    <w:rsid w:val="00E4620D"/>
    <w:rsid w:val="00E4621B"/>
    <w:rsid w:val="00E46355"/>
    <w:rsid w:val="00E4638D"/>
    <w:rsid w:val="00E463C9"/>
    <w:rsid w:val="00E463E1"/>
    <w:rsid w:val="00E46432"/>
    <w:rsid w:val="00E46435"/>
    <w:rsid w:val="00E46466"/>
    <w:rsid w:val="00E464A6"/>
    <w:rsid w:val="00E464D6"/>
    <w:rsid w:val="00E4654E"/>
    <w:rsid w:val="00E46555"/>
    <w:rsid w:val="00E46598"/>
    <w:rsid w:val="00E465D3"/>
    <w:rsid w:val="00E465F6"/>
    <w:rsid w:val="00E466AC"/>
    <w:rsid w:val="00E467A4"/>
    <w:rsid w:val="00E467E9"/>
    <w:rsid w:val="00E467F5"/>
    <w:rsid w:val="00E4691E"/>
    <w:rsid w:val="00E46923"/>
    <w:rsid w:val="00E46AC4"/>
    <w:rsid w:val="00E46ADC"/>
    <w:rsid w:val="00E46B1A"/>
    <w:rsid w:val="00E46B52"/>
    <w:rsid w:val="00E46C16"/>
    <w:rsid w:val="00E46C6F"/>
    <w:rsid w:val="00E46CAC"/>
    <w:rsid w:val="00E46CBE"/>
    <w:rsid w:val="00E46CD9"/>
    <w:rsid w:val="00E46CF7"/>
    <w:rsid w:val="00E46E4C"/>
    <w:rsid w:val="00E46F56"/>
    <w:rsid w:val="00E46FB6"/>
    <w:rsid w:val="00E46FE9"/>
    <w:rsid w:val="00E4703C"/>
    <w:rsid w:val="00E47119"/>
    <w:rsid w:val="00E4711B"/>
    <w:rsid w:val="00E4714E"/>
    <w:rsid w:val="00E4719F"/>
    <w:rsid w:val="00E471A3"/>
    <w:rsid w:val="00E471BD"/>
    <w:rsid w:val="00E471FC"/>
    <w:rsid w:val="00E47203"/>
    <w:rsid w:val="00E47231"/>
    <w:rsid w:val="00E472D3"/>
    <w:rsid w:val="00E4730A"/>
    <w:rsid w:val="00E47391"/>
    <w:rsid w:val="00E473EE"/>
    <w:rsid w:val="00E47490"/>
    <w:rsid w:val="00E474B5"/>
    <w:rsid w:val="00E474BA"/>
    <w:rsid w:val="00E475EE"/>
    <w:rsid w:val="00E4762C"/>
    <w:rsid w:val="00E4770E"/>
    <w:rsid w:val="00E477D2"/>
    <w:rsid w:val="00E477F2"/>
    <w:rsid w:val="00E4787C"/>
    <w:rsid w:val="00E478F5"/>
    <w:rsid w:val="00E47909"/>
    <w:rsid w:val="00E4790E"/>
    <w:rsid w:val="00E479B3"/>
    <w:rsid w:val="00E47AD3"/>
    <w:rsid w:val="00E47B51"/>
    <w:rsid w:val="00E47B69"/>
    <w:rsid w:val="00E47C0E"/>
    <w:rsid w:val="00E47D13"/>
    <w:rsid w:val="00E47D1C"/>
    <w:rsid w:val="00E47D7C"/>
    <w:rsid w:val="00E47E60"/>
    <w:rsid w:val="00E47EA6"/>
    <w:rsid w:val="00E47F55"/>
    <w:rsid w:val="00E47F76"/>
    <w:rsid w:val="00E47F99"/>
    <w:rsid w:val="00E47FCD"/>
    <w:rsid w:val="00E50092"/>
    <w:rsid w:val="00E5009E"/>
    <w:rsid w:val="00E500CE"/>
    <w:rsid w:val="00E50152"/>
    <w:rsid w:val="00E50198"/>
    <w:rsid w:val="00E50239"/>
    <w:rsid w:val="00E50305"/>
    <w:rsid w:val="00E50362"/>
    <w:rsid w:val="00E503B6"/>
    <w:rsid w:val="00E50441"/>
    <w:rsid w:val="00E504E1"/>
    <w:rsid w:val="00E50595"/>
    <w:rsid w:val="00E50607"/>
    <w:rsid w:val="00E506B1"/>
    <w:rsid w:val="00E50709"/>
    <w:rsid w:val="00E50844"/>
    <w:rsid w:val="00E50851"/>
    <w:rsid w:val="00E508D7"/>
    <w:rsid w:val="00E50B09"/>
    <w:rsid w:val="00E50BAA"/>
    <w:rsid w:val="00E50BDD"/>
    <w:rsid w:val="00E50BFC"/>
    <w:rsid w:val="00E50C5B"/>
    <w:rsid w:val="00E50CE2"/>
    <w:rsid w:val="00E50CED"/>
    <w:rsid w:val="00E50DB6"/>
    <w:rsid w:val="00E50DEC"/>
    <w:rsid w:val="00E50DFF"/>
    <w:rsid w:val="00E50EB6"/>
    <w:rsid w:val="00E50F2A"/>
    <w:rsid w:val="00E50F2E"/>
    <w:rsid w:val="00E51006"/>
    <w:rsid w:val="00E51146"/>
    <w:rsid w:val="00E512E7"/>
    <w:rsid w:val="00E51382"/>
    <w:rsid w:val="00E51393"/>
    <w:rsid w:val="00E5145F"/>
    <w:rsid w:val="00E51469"/>
    <w:rsid w:val="00E51586"/>
    <w:rsid w:val="00E515AA"/>
    <w:rsid w:val="00E5164E"/>
    <w:rsid w:val="00E516BA"/>
    <w:rsid w:val="00E5176B"/>
    <w:rsid w:val="00E5177F"/>
    <w:rsid w:val="00E51790"/>
    <w:rsid w:val="00E5179C"/>
    <w:rsid w:val="00E517C7"/>
    <w:rsid w:val="00E517D8"/>
    <w:rsid w:val="00E51808"/>
    <w:rsid w:val="00E51811"/>
    <w:rsid w:val="00E518A7"/>
    <w:rsid w:val="00E518AF"/>
    <w:rsid w:val="00E518CE"/>
    <w:rsid w:val="00E51A3B"/>
    <w:rsid w:val="00E51A5C"/>
    <w:rsid w:val="00E51AA8"/>
    <w:rsid w:val="00E51B0F"/>
    <w:rsid w:val="00E51C05"/>
    <w:rsid w:val="00E51C39"/>
    <w:rsid w:val="00E51CE7"/>
    <w:rsid w:val="00E51CEC"/>
    <w:rsid w:val="00E51E49"/>
    <w:rsid w:val="00E51E6E"/>
    <w:rsid w:val="00E51EA7"/>
    <w:rsid w:val="00E51EB4"/>
    <w:rsid w:val="00E51EBA"/>
    <w:rsid w:val="00E51F03"/>
    <w:rsid w:val="00E51F25"/>
    <w:rsid w:val="00E51FAF"/>
    <w:rsid w:val="00E5205C"/>
    <w:rsid w:val="00E520E2"/>
    <w:rsid w:val="00E52102"/>
    <w:rsid w:val="00E52233"/>
    <w:rsid w:val="00E52270"/>
    <w:rsid w:val="00E5233C"/>
    <w:rsid w:val="00E523BD"/>
    <w:rsid w:val="00E52427"/>
    <w:rsid w:val="00E524F1"/>
    <w:rsid w:val="00E52536"/>
    <w:rsid w:val="00E5259F"/>
    <w:rsid w:val="00E52627"/>
    <w:rsid w:val="00E5263F"/>
    <w:rsid w:val="00E52698"/>
    <w:rsid w:val="00E527E5"/>
    <w:rsid w:val="00E527FC"/>
    <w:rsid w:val="00E52846"/>
    <w:rsid w:val="00E5289A"/>
    <w:rsid w:val="00E528C3"/>
    <w:rsid w:val="00E528ED"/>
    <w:rsid w:val="00E52901"/>
    <w:rsid w:val="00E52916"/>
    <w:rsid w:val="00E5299E"/>
    <w:rsid w:val="00E5299F"/>
    <w:rsid w:val="00E529F5"/>
    <w:rsid w:val="00E52B28"/>
    <w:rsid w:val="00E52B93"/>
    <w:rsid w:val="00E52BED"/>
    <w:rsid w:val="00E52C0D"/>
    <w:rsid w:val="00E52C34"/>
    <w:rsid w:val="00E52D29"/>
    <w:rsid w:val="00E52D58"/>
    <w:rsid w:val="00E52DDD"/>
    <w:rsid w:val="00E52E60"/>
    <w:rsid w:val="00E52E7E"/>
    <w:rsid w:val="00E52E8A"/>
    <w:rsid w:val="00E52E90"/>
    <w:rsid w:val="00E52ECD"/>
    <w:rsid w:val="00E52F15"/>
    <w:rsid w:val="00E52F5B"/>
    <w:rsid w:val="00E52F84"/>
    <w:rsid w:val="00E52FB0"/>
    <w:rsid w:val="00E530B3"/>
    <w:rsid w:val="00E5313B"/>
    <w:rsid w:val="00E5313E"/>
    <w:rsid w:val="00E5316D"/>
    <w:rsid w:val="00E531A4"/>
    <w:rsid w:val="00E531FF"/>
    <w:rsid w:val="00E53273"/>
    <w:rsid w:val="00E53324"/>
    <w:rsid w:val="00E5349A"/>
    <w:rsid w:val="00E534A7"/>
    <w:rsid w:val="00E534E8"/>
    <w:rsid w:val="00E5356B"/>
    <w:rsid w:val="00E5357F"/>
    <w:rsid w:val="00E536BB"/>
    <w:rsid w:val="00E53728"/>
    <w:rsid w:val="00E537EB"/>
    <w:rsid w:val="00E5384F"/>
    <w:rsid w:val="00E538BC"/>
    <w:rsid w:val="00E538C9"/>
    <w:rsid w:val="00E538FE"/>
    <w:rsid w:val="00E53946"/>
    <w:rsid w:val="00E53A22"/>
    <w:rsid w:val="00E53A36"/>
    <w:rsid w:val="00E53C43"/>
    <w:rsid w:val="00E53C4A"/>
    <w:rsid w:val="00E53CEF"/>
    <w:rsid w:val="00E53CFD"/>
    <w:rsid w:val="00E53D05"/>
    <w:rsid w:val="00E53D26"/>
    <w:rsid w:val="00E53DD2"/>
    <w:rsid w:val="00E53E00"/>
    <w:rsid w:val="00E53E25"/>
    <w:rsid w:val="00E53EFA"/>
    <w:rsid w:val="00E53F68"/>
    <w:rsid w:val="00E54107"/>
    <w:rsid w:val="00E54221"/>
    <w:rsid w:val="00E54243"/>
    <w:rsid w:val="00E5437A"/>
    <w:rsid w:val="00E54389"/>
    <w:rsid w:val="00E543F4"/>
    <w:rsid w:val="00E54427"/>
    <w:rsid w:val="00E544C3"/>
    <w:rsid w:val="00E544C5"/>
    <w:rsid w:val="00E54571"/>
    <w:rsid w:val="00E5467E"/>
    <w:rsid w:val="00E546AE"/>
    <w:rsid w:val="00E5475F"/>
    <w:rsid w:val="00E547A4"/>
    <w:rsid w:val="00E547B3"/>
    <w:rsid w:val="00E547D1"/>
    <w:rsid w:val="00E54881"/>
    <w:rsid w:val="00E54939"/>
    <w:rsid w:val="00E5493F"/>
    <w:rsid w:val="00E54961"/>
    <w:rsid w:val="00E54993"/>
    <w:rsid w:val="00E549B9"/>
    <w:rsid w:val="00E54A63"/>
    <w:rsid w:val="00E54BDF"/>
    <w:rsid w:val="00E54CA3"/>
    <w:rsid w:val="00E54CCB"/>
    <w:rsid w:val="00E54D10"/>
    <w:rsid w:val="00E54D31"/>
    <w:rsid w:val="00E54D7D"/>
    <w:rsid w:val="00E54EC5"/>
    <w:rsid w:val="00E54F7E"/>
    <w:rsid w:val="00E55026"/>
    <w:rsid w:val="00E55068"/>
    <w:rsid w:val="00E55102"/>
    <w:rsid w:val="00E55137"/>
    <w:rsid w:val="00E55178"/>
    <w:rsid w:val="00E5519C"/>
    <w:rsid w:val="00E551FC"/>
    <w:rsid w:val="00E552AB"/>
    <w:rsid w:val="00E5544A"/>
    <w:rsid w:val="00E55502"/>
    <w:rsid w:val="00E5561A"/>
    <w:rsid w:val="00E55622"/>
    <w:rsid w:val="00E5573D"/>
    <w:rsid w:val="00E55768"/>
    <w:rsid w:val="00E557FD"/>
    <w:rsid w:val="00E55918"/>
    <w:rsid w:val="00E5591B"/>
    <w:rsid w:val="00E5591C"/>
    <w:rsid w:val="00E5598E"/>
    <w:rsid w:val="00E5599C"/>
    <w:rsid w:val="00E559B4"/>
    <w:rsid w:val="00E559CC"/>
    <w:rsid w:val="00E559FE"/>
    <w:rsid w:val="00E55ABA"/>
    <w:rsid w:val="00E55B4E"/>
    <w:rsid w:val="00E55BDE"/>
    <w:rsid w:val="00E55BE2"/>
    <w:rsid w:val="00E55C33"/>
    <w:rsid w:val="00E55C4A"/>
    <w:rsid w:val="00E55C89"/>
    <w:rsid w:val="00E55DAA"/>
    <w:rsid w:val="00E55DD7"/>
    <w:rsid w:val="00E55DF0"/>
    <w:rsid w:val="00E55DF8"/>
    <w:rsid w:val="00E55F30"/>
    <w:rsid w:val="00E55F42"/>
    <w:rsid w:val="00E55F81"/>
    <w:rsid w:val="00E56021"/>
    <w:rsid w:val="00E56081"/>
    <w:rsid w:val="00E56086"/>
    <w:rsid w:val="00E560D3"/>
    <w:rsid w:val="00E5611C"/>
    <w:rsid w:val="00E56180"/>
    <w:rsid w:val="00E561BF"/>
    <w:rsid w:val="00E56223"/>
    <w:rsid w:val="00E56231"/>
    <w:rsid w:val="00E5624E"/>
    <w:rsid w:val="00E56262"/>
    <w:rsid w:val="00E562A3"/>
    <w:rsid w:val="00E562F1"/>
    <w:rsid w:val="00E56433"/>
    <w:rsid w:val="00E5650A"/>
    <w:rsid w:val="00E5657D"/>
    <w:rsid w:val="00E566B3"/>
    <w:rsid w:val="00E566F3"/>
    <w:rsid w:val="00E56741"/>
    <w:rsid w:val="00E56840"/>
    <w:rsid w:val="00E568CC"/>
    <w:rsid w:val="00E56932"/>
    <w:rsid w:val="00E5699C"/>
    <w:rsid w:val="00E56A4D"/>
    <w:rsid w:val="00E56A5B"/>
    <w:rsid w:val="00E56B5A"/>
    <w:rsid w:val="00E56B82"/>
    <w:rsid w:val="00E56BBC"/>
    <w:rsid w:val="00E56C06"/>
    <w:rsid w:val="00E56C2D"/>
    <w:rsid w:val="00E56C5F"/>
    <w:rsid w:val="00E56CDD"/>
    <w:rsid w:val="00E56D2A"/>
    <w:rsid w:val="00E56E14"/>
    <w:rsid w:val="00E56E1D"/>
    <w:rsid w:val="00E56E3E"/>
    <w:rsid w:val="00E56EAB"/>
    <w:rsid w:val="00E56F2A"/>
    <w:rsid w:val="00E56F3B"/>
    <w:rsid w:val="00E570F9"/>
    <w:rsid w:val="00E570FF"/>
    <w:rsid w:val="00E5711B"/>
    <w:rsid w:val="00E5711F"/>
    <w:rsid w:val="00E571DF"/>
    <w:rsid w:val="00E57393"/>
    <w:rsid w:val="00E57410"/>
    <w:rsid w:val="00E57427"/>
    <w:rsid w:val="00E574EC"/>
    <w:rsid w:val="00E57547"/>
    <w:rsid w:val="00E575A2"/>
    <w:rsid w:val="00E575E6"/>
    <w:rsid w:val="00E57604"/>
    <w:rsid w:val="00E5772D"/>
    <w:rsid w:val="00E57757"/>
    <w:rsid w:val="00E57855"/>
    <w:rsid w:val="00E5787E"/>
    <w:rsid w:val="00E5788D"/>
    <w:rsid w:val="00E57893"/>
    <w:rsid w:val="00E578B2"/>
    <w:rsid w:val="00E578E5"/>
    <w:rsid w:val="00E578FF"/>
    <w:rsid w:val="00E57925"/>
    <w:rsid w:val="00E5796A"/>
    <w:rsid w:val="00E5799C"/>
    <w:rsid w:val="00E579D2"/>
    <w:rsid w:val="00E57AAA"/>
    <w:rsid w:val="00E57ABB"/>
    <w:rsid w:val="00E57AC6"/>
    <w:rsid w:val="00E57B08"/>
    <w:rsid w:val="00E57B0E"/>
    <w:rsid w:val="00E57CB1"/>
    <w:rsid w:val="00E57CD4"/>
    <w:rsid w:val="00E57D27"/>
    <w:rsid w:val="00E57D9C"/>
    <w:rsid w:val="00E57EC2"/>
    <w:rsid w:val="00E57EF7"/>
    <w:rsid w:val="00E57F1D"/>
    <w:rsid w:val="00E57F62"/>
    <w:rsid w:val="00E57F9C"/>
    <w:rsid w:val="00E57FB2"/>
    <w:rsid w:val="00E6004C"/>
    <w:rsid w:val="00E600E3"/>
    <w:rsid w:val="00E60148"/>
    <w:rsid w:val="00E60155"/>
    <w:rsid w:val="00E6019E"/>
    <w:rsid w:val="00E601AC"/>
    <w:rsid w:val="00E6020E"/>
    <w:rsid w:val="00E60398"/>
    <w:rsid w:val="00E603C6"/>
    <w:rsid w:val="00E603D1"/>
    <w:rsid w:val="00E603D8"/>
    <w:rsid w:val="00E603FA"/>
    <w:rsid w:val="00E603FB"/>
    <w:rsid w:val="00E60457"/>
    <w:rsid w:val="00E604A6"/>
    <w:rsid w:val="00E604C3"/>
    <w:rsid w:val="00E604F3"/>
    <w:rsid w:val="00E60506"/>
    <w:rsid w:val="00E60563"/>
    <w:rsid w:val="00E6059F"/>
    <w:rsid w:val="00E605A0"/>
    <w:rsid w:val="00E605B3"/>
    <w:rsid w:val="00E6080D"/>
    <w:rsid w:val="00E60843"/>
    <w:rsid w:val="00E609AB"/>
    <w:rsid w:val="00E60A07"/>
    <w:rsid w:val="00E60ABE"/>
    <w:rsid w:val="00E60B04"/>
    <w:rsid w:val="00E60B6A"/>
    <w:rsid w:val="00E60B79"/>
    <w:rsid w:val="00E60B88"/>
    <w:rsid w:val="00E60C05"/>
    <w:rsid w:val="00E60C11"/>
    <w:rsid w:val="00E60C31"/>
    <w:rsid w:val="00E60CA6"/>
    <w:rsid w:val="00E60CB3"/>
    <w:rsid w:val="00E60CB8"/>
    <w:rsid w:val="00E60CDB"/>
    <w:rsid w:val="00E60CF5"/>
    <w:rsid w:val="00E60D19"/>
    <w:rsid w:val="00E60D4E"/>
    <w:rsid w:val="00E60DB2"/>
    <w:rsid w:val="00E60E02"/>
    <w:rsid w:val="00E60EAE"/>
    <w:rsid w:val="00E60EB9"/>
    <w:rsid w:val="00E60ECE"/>
    <w:rsid w:val="00E60ED9"/>
    <w:rsid w:val="00E61002"/>
    <w:rsid w:val="00E6100B"/>
    <w:rsid w:val="00E6101B"/>
    <w:rsid w:val="00E61056"/>
    <w:rsid w:val="00E61204"/>
    <w:rsid w:val="00E61205"/>
    <w:rsid w:val="00E61213"/>
    <w:rsid w:val="00E6122A"/>
    <w:rsid w:val="00E612A5"/>
    <w:rsid w:val="00E61440"/>
    <w:rsid w:val="00E6144A"/>
    <w:rsid w:val="00E61466"/>
    <w:rsid w:val="00E614C3"/>
    <w:rsid w:val="00E614DE"/>
    <w:rsid w:val="00E6152C"/>
    <w:rsid w:val="00E61597"/>
    <w:rsid w:val="00E615B3"/>
    <w:rsid w:val="00E615F9"/>
    <w:rsid w:val="00E6162C"/>
    <w:rsid w:val="00E61640"/>
    <w:rsid w:val="00E61645"/>
    <w:rsid w:val="00E617BE"/>
    <w:rsid w:val="00E617E9"/>
    <w:rsid w:val="00E6193C"/>
    <w:rsid w:val="00E61952"/>
    <w:rsid w:val="00E61A86"/>
    <w:rsid w:val="00E61A8D"/>
    <w:rsid w:val="00E61B14"/>
    <w:rsid w:val="00E61B3C"/>
    <w:rsid w:val="00E61BA1"/>
    <w:rsid w:val="00E61BA3"/>
    <w:rsid w:val="00E61C20"/>
    <w:rsid w:val="00E61C4A"/>
    <w:rsid w:val="00E61CC6"/>
    <w:rsid w:val="00E61D06"/>
    <w:rsid w:val="00E61D71"/>
    <w:rsid w:val="00E61D8C"/>
    <w:rsid w:val="00E61DFB"/>
    <w:rsid w:val="00E61E11"/>
    <w:rsid w:val="00E6209F"/>
    <w:rsid w:val="00E620A6"/>
    <w:rsid w:val="00E62258"/>
    <w:rsid w:val="00E6225C"/>
    <w:rsid w:val="00E622A1"/>
    <w:rsid w:val="00E622E4"/>
    <w:rsid w:val="00E622F6"/>
    <w:rsid w:val="00E62325"/>
    <w:rsid w:val="00E623CD"/>
    <w:rsid w:val="00E624AA"/>
    <w:rsid w:val="00E624CE"/>
    <w:rsid w:val="00E624EF"/>
    <w:rsid w:val="00E624FD"/>
    <w:rsid w:val="00E62535"/>
    <w:rsid w:val="00E625F9"/>
    <w:rsid w:val="00E62683"/>
    <w:rsid w:val="00E626CE"/>
    <w:rsid w:val="00E62710"/>
    <w:rsid w:val="00E627BC"/>
    <w:rsid w:val="00E6282E"/>
    <w:rsid w:val="00E6285B"/>
    <w:rsid w:val="00E6293C"/>
    <w:rsid w:val="00E62A76"/>
    <w:rsid w:val="00E62A95"/>
    <w:rsid w:val="00E62B91"/>
    <w:rsid w:val="00E62B98"/>
    <w:rsid w:val="00E62BC2"/>
    <w:rsid w:val="00E62C79"/>
    <w:rsid w:val="00E62CBB"/>
    <w:rsid w:val="00E62CD3"/>
    <w:rsid w:val="00E62D36"/>
    <w:rsid w:val="00E62D47"/>
    <w:rsid w:val="00E62ED3"/>
    <w:rsid w:val="00E62F8C"/>
    <w:rsid w:val="00E62F8D"/>
    <w:rsid w:val="00E6304B"/>
    <w:rsid w:val="00E63070"/>
    <w:rsid w:val="00E6307C"/>
    <w:rsid w:val="00E630B2"/>
    <w:rsid w:val="00E631F4"/>
    <w:rsid w:val="00E63248"/>
    <w:rsid w:val="00E6324A"/>
    <w:rsid w:val="00E63256"/>
    <w:rsid w:val="00E632E5"/>
    <w:rsid w:val="00E63340"/>
    <w:rsid w:val="00E6340F"/>
    <w:rsid w:val="00E636FA"/>
    <w:rsid w:val="00E63790"/>
    <w:rsid w:val="00E638F0"/>
    <w:rsid w:val="00E638FB"/>
    <w:rsid w:val="00E63916"/>
    <w:rsid w:val="00E6394A"/>
    <w:rsid w:val="00E6397A"/>
    <w:rsid w:val="00E6399A"/>
    <w:rsid w:val="00E63A35"/>
    <w:rsid w:val="00E63A78"/>
    <w:rsid w:val="00E63AF2"/>
    <w:rsid w:val="00E63B0C"/>
    <w:rsid w:val="00E63B41"/>
    <w:rsid w:val="00E63C00"/>
    <w:rsid w:val="00E63C5D"/>
    <w:rsid w:val="00E63CA0"/>
    <w:rsid w:val="00E63D09"/>
    <w:rsid w:val="00E63D36"/>
    <w:rsid w:val="00E63D4D"/>
    <w:rsid w:val="00E63DAA"/>
    <w:rsid w:val="00E63EB6"/>
    <w:rsid w:val="00E63F0A"/>
    <w:rsid w:val="00E63F64"/>
    <w:rsid w:val="00E63FD8"/>
    <w:rsid w:val="00E63FF5"/>
    <w:rsid w:val="00E640A6"/>
    <w:rsid w:val="00E640A9"/>
    <w:rsid w:val="00E640C0"/>
    <w:rsid w:val="00E640D8"/>
    <w:rsid w:val="00E640FE"/>
    <w:rsid w:val="00E64246"/>
    <w:rsid w:val="00E6424F"/>
    <w:rsid w:val="00E6438C"/>
    <w:rsid w:val="00E643E6"/>
    <w:rsid w:val="00E643E8"/>
    <w:rsid w:val="00E644C4"/>
    <w:rsid w:val="00E6451D"/>
    <w:rsid w:val="00E64547"/>
    <w:rsid w:val="00E64557"/>
    <w:rsid w:val="00E64578"/>
    <w:rsid w:val="00E645A7"/>
    <w:rsid w:val="00E645B9"/>
    <w:rsid w:val="00E64735"/>
    <w:rsid w:val="00E647E9"/>
    <w:rsid w:val="00E649CC"/>
    <w:rsid w:val="00E64A06"/>
    <w:rsid w:val="00E64A50"/>
    <w:rsid w:val="00E64ABA"/>
    <w:rsid w:val="00E64B1F"/>
    <w:rsid w:val="00E64B22"/>
    <w:rsid w:val="00E64B3F"/>
    <w:rsid w:val="00E64B73"/>
    <w:rsid w:val="00E64BA4"/>
    <w:rsid w:val="00E64BBF"/>
    <w:rsid w:val="00E64BD1"/>
    <w:rsid w:val="00E64BFD"/>
    <w:rsid w:val="00E64CFA"/>
    <w:rsid w:val="00E64D4E"/>
    <w:rsid w:val="00E64D63"/>
    <w:rsid w:val="00E64E0E"/>
    <w:rsid w:val="00E64F1D"/>
    <w:rsid w:val="00E64F8A"/>
    <w:rsid w:val="00E64FF3"/>
    <w:rsid w:val="00E6506E"/>
    <w:rsid w:val="00E650B6"/>
    <w:rsid w:val="00E6513F"/>
    <w:rsid w:val="00E651EE"/>
    <w:rsid w:val="00E652B0"/>
    <w:rsid w:val="00E652B6"/>
    <w:rsid w:val="00E652C5"/>
    <w:rsid w:val="00E652C8"/>
    <w:rsid w:val="00E652F3"/>
    <w:rsid w:val="00E6534B"/>
    <w:rsid w:val="00E653B4"/>
    <w:rsid w:val="00E653C5"/>
    <w:rsid w:val="00E653EA"/>
    <w:rsid w:val="00E65428"/>
    <w:rsid w:val="00E654A6"/>
    <w:rsid w:val="00E65565"/>
    <w:rsid w:val="00E655B0"/>
    <w:rsid w:val="00E65609"/>
    <w:rsid w:val="00E65635"/>
    <w:rsid w:val="00E65684"/>
    <w:rsid w:val="00E6570D"/>
    <w:rsid w:val="00E6570E"/>
    <w:rsid w:val="00E65721"/>
    <w:rsid w:val="00E65762"/>
    <w:rsid w:val="00E65776"/>
    <w:rsid w:val="00E6577E"/>
    <w:rsid w:val="00E657A0"/>
    <w:rsid w:val="00E657FB"/>
    <w:rsid w:val="00E658B5"/>
    <w:rsid w:val="00E65AF5"/>
    <w:rsid w:val="00E65B73"/>
    <w:rsid w:val="00E65C0B"/>
    <w:rsid w:val="00E65C3D"/>
    <w:rsid w:val="00E65CC7"/>
    <w:rsid w:val="00E65D20"/>
    <w:rsid w:val="00E65D4E"/>
    <w:rsid w:val="00E65D90"/>
    <w:rsid w:val="00E65D9A"/>
    <w:rsid w:val="00E65E8B"/>
    <w:rsid w:val="00E65F92"/>
    <w:rsid w:val="00E65FCC"/>
    <w:rsid w:val="00E65FD2"/>
    <w:rsid w:val="00E65FE1"/>
    <w:rsid w:val="00E66024"/>
    <w:rsid w:val="00E6619D"/>
    <w:rsid w:val="00E662BB"/>
    <w:rsid w:val="00E662CD"/>
    <w:rsid w:val="00E66355"/>
    <w:rsid w:val="00E66401"/>
    <w:rsid w:val="00E66506"/>
    <w:rsid w:val="00E665A2"/>
    <w:rsid w:val="00E665B6"/>
    <w:rsid w:val="00E666E5"/>
    <w:rsid w:val="00E666F6"/>
    <w:rsid w:val="00E6673E"/>
    <w:rsid w:val="00E667A0"/>
    <w:rsid w:val="00E6684C"/>
    <w:rsid w:val="00E66869"/>
    <w:rsid w:val="00E66887"/>
    <w:rsid w:val="00E66A51"/>
    <w:rsid w:val="00E66A62"/>
    <w:rsid w:val="00E66AC5"/>
    <w:rsid w:val="00E66BAE"/>
    <w:rsid w:val="00E66BB6"/>
    <w:rsid w:val="00E66BC9"/>
    <w:rsid w:val="00E66BF4"/>
    <w:rsid w:val="00E66C21"/>
    <w:rsid w:val="00E66C7A"/>
    <w:rsid w:val="00E66D0D"/>
    <w:rsid w:val="00E66D66"/>
    <w:rsid w:val="00E66DAB"/>
    <w:rsid w:val="00E66DDE"/>
    <w:rsid w:val="00E66E0F"/>
    <w:rsid w:val="00E66E59"/>
    <w:rsid w:val="00E66EF3"/>
    <w:rsid w:val="00E66F4F"/>
    <w:rsid w:val="00E66F6E"/>
    <w:rsid w:val="00E66FC0"/>
    <w:rsid w:val="00E67012"/>
    <w:rsid w:val="00E67099"/>
    <w:rsid w:val="00E6709B"/>
    <w:rsid w:val="00E67192"/>
    <w:rsid w:val="00E671AF"/>
    <w:rsid w:val="00E67206"/>
    <w:rsid w:val="00E6721F"/>
    <w:rsid w:val="00E672B3"/>
    <w:rsid w:val="00E672D7"/>
    <w:rsid w:val="00E6735F"/>
    <w:rsid w:val="00E673EC"/>
    <w:rsid w:val="00E6744F"/>
    <w:rsid w:val="00E67464"/>
    <w:rsid w:val="00E6746C"/>
    <w:rsid w:val="00E6756A"/>
    <w:rsid w:val="00E675DE"/>
    <w:rsid w:val="00E67635"/>
    <w:rsid w:val="00E6763A"/>
    <w:rsid w:val="00E67700"/>
    <w:rsid w:val="00E67722"/>
    <w:rsid w:val="00E67828"/>
    <w:rsid w:val="00E678F6"/>
    <w:rsid w:val="00E67A49"/>
    <w:rsid w:val="00E67AB4"/>
    <w:rsid w:val="00E67AD6"/>
    <w:rsid w:val="00E67AF9"/>
    <w:rsid w:val="00E67B21"/>
    <w:rsid w:val="00E67B49"/>
    <w:rsid w:val="00E67B88"/>
    <w:rsid w:val="00E67BAD"/>
    <w:rsid w:val="00E67BB3"/>
    <w:rsid w:val="00E67CB4"/>
    <w:rsid w:val="00E67DDB"/>
    <w:rsid w:val="00E67E59"/>
    <w:rsid w:val="00E67E84"/>
    <w:rsid w:val="00E67EC7"/>
    <w:rsid w:val="00E67F03"/>
    <w:rsid w:val="00E67F0F"/>
    <w:rsid w:val="00E67F8E"/>
    <w:rsid w:val="00E67F97"/>
    <w:rsid w:val="00E67FB9"/>
    <w:rsid w:val="00E67FD0"/>
    <w:rsid w:val="00E67FE3"/>
    <w:rsid w:val="00E70106"/>
    <w:rsid w:val="00E70125"/>
    <w:rsid w:val="00E70293"/>
    <w:rsid w:val="00E70316"/>
    <w:rsid w:val="00E7037E"/>
    <w:rsid w:val="00E703A0"/>
    <w:rsid w:val="00E7046B"/>
    <w:rsid w:val="00E70471"/>
    <w:rsid w:val="00E70571"/>
    <w:rsid w:val="00E70572"/>
    <w:rsid w:val="00E705F9"/>
    <w:rsid w:val="00E707B0"/>
    <w:rsid w:val="00E707F7"/>
    <w:rsid w:val="00E70831"/>
    <w:rsid w:val="00E70977"/>
    <w:rsid w:val="00E70A0A"/>
    <w:rsid w:val="00E70AC1"/>
    <w:rsid w:val="00E70ADC"/>
    <w:rsid w:val="00E70B45"/>
    <w:rsid w:val="00E70B90"/>
    <w:rsid w:val="00E70BF5"/>
    <w:rsid w:val="00E70C39"/>
    <w:rsid w:val="00E70C6D"/>
    <w:rsid w:val="00E70C85"/>
    <w:rsid w:val="00E70D81"/>
    <w:rsid w:val="00E70D9F"/>
    <w:rsid w:val="00E70DC4"/>
    <w:rsid w:val="00E70DFF"/>
    <w:rsid w:val="00E71091"/>
    <w:rsid w:val="00E710A0"/>
    <w:rsid w:val="00E711BA"/>
    <w:rsid w:val="00E711C0"/>
    <w:rsid w:val="00E711C4"/>
    <w:rsid w:val="00E712B3"/>
    <w:rsid w:val="00E71327"/>
    <w:rsid w:val="00E7138B"/>
    <w:rsid w:val="00E71401"/>
    <w:rsid w:val="00E7144C"/>
    <w:rsid w:val="00E714E7"/>
    <w:rsid w:val="00E71654"/>
    <w:rsid w:val="00E717B0"/>
    <w:rsid w:val="00E71811"/>
    <w:rsid w:val="00E71818"/>
    <w:rsid w:val="00E7184A"/>
    <w:rsid w:val="00E71886"/>
    <w:rsid w:val="00E718BA"/>
    <w:rsid w:val="00E718C6"/>
    <w:rsid w:val="00E718D6"/>
    <w:rsid w:val="00E7193D"/>
    <w:rsid w:val="00E7196D"/>
    <w:rsid w:val="00E7197D"/>
    <w:rsid w:val="00E71A8C"/>
    <w:rsid w:val="00E71A91"/>
    <w:rsid w:val="00E71A95"/>
    <w:rsid w:val="00E71AF8"/>
    <w:rsid w:val="00E71B1B"/>
    <w:rsid w:val="00E71C3E"/>
    <w:rsid w:val="00E71C44"/>
    <w:rsid w:val="00E71CCF"/>
    <w:rsid w:val="00E71D04"/>
    <w:rsid w:val="00E71DDC"/>
    <w:rsid w:val="00E71E37"/>
    <w:rsid w:val="00E71EE2"/>
    <w:rsid w:val="00E71F4C"/>
    <w:rsid w:val="00E71F66"/>
    <w:rsid w:val="00E71FF7"/>
    <w:rsid w:val="00E72088"/>
    <w:rsid w:val="00E72107"/>
    <w:rsid w:val="00E7218A"/>
    <w:rsid w:val="00E7221D"/>
    <w:rsid w:val="00E72355"/>
    <w:rsid w:val="00E723F1"/>
    <w:rsid w:val="00E7240D"/>
    <w:rsid w:val="00E72426"/>
    <w:rsid w:val="00E725C8"/>
    <w:rsid w:val="00E725F2"/>
    <w:rsid w:val="00E72658"/>
    <w:rsid w:val="00E72659"/>
    <w:rsid w:val="00E72690"/>
    <w:rsid w:val="00E7273B"/>
    <w:rsid w:val="00E72780"/>
    <w:rsid w:val="00E72781"/>
    <w:rsid w:val="00E727B5"/>
    <w:rsid w:val="00E72872"/>
    <w:rsid w:val="00E7291E"/>
    <w:rsid w:val="00E72AC6"/>
    <w:rsid w:val="00E72B7A"/>
    <w:rsid w:val="00E72BB7"/>
    <w:rsid w:val="00E72BFE"/>
    <w:rsid w:val="00E72C20"/>
    <w:rsid w:val="00E72CF2"/>
    <w:rsid w:val="00E72CF7"/>
    <w:rsid w:val="00E72CFE"/>
    <w:rsid w:val="00E72D08"/>
    <w:rsid w:val="00E72D8C"/>
    <w:rsid w:val="00E72E7D"/>
    <w:rsid w:val="00E72FCB"/>
    <w:rsid w:val="00E72FED"/>
    <w:rsid w:val="00E73072"/>
    <w:rsid w:val="00E730AD"/>
    <w:rsid w:val="00E730B5"/>
    <w:rsid w:val="00E730C3"/>
    <w:rsid w:val="00E731F6"/>
    <w:rsid w:val="00E732C7"/>
    <w:rsid w:val="00E7332B"/>
    <w:rsid w:val="00E733FD"/>
    <w:rsid w:val="00E7340F"/>
    <w:rsid w:val="00E73507"/>
    <w:rsid w:val="00E7351F"/>
    <w:rsid w:val="00E73535"/>
    <w:rsid w:val="00E7353A"/>
    <w:rsid w:val="00E73555"/>
    <w:rsid w:val="00E73595"/>
    <w:rsid w:val="00E735AE"/>
    <w:rsid w:val="00E73649"/>
    <w:rsid w:val="00E7369B"/>
    <w:rsid w:val="00E737B4"/>
    <w:rsid w:val="00E737F0"/>
    <w:rsid w:val="00E73813"/>
    <w:rsid w:val="00E73869"/>
    <w:rsid w:val="00E73890"/>
    <w:rsid w:val="00E738AD"/>
    <w:rsid w:val="00E738FE"/>
    <w:rsid w:val="00E739AD"/>
    <w:rsid w:val="00E73ADF"/>
    <w:rsid w:val="00E73B38"/>
    <w:rsid w:val="00E73BFF"/>
    <w:rsid w:val="00E73C27"/>
    <w:rsid w:val="00E73C46"/>
    <w:rsid w:val="00E73CBC"/>
    <w:rsid w:val="00E73D10"/>
    <w:rsid w:val="00E73D25"/>
    <w:rsid w:val="00E73D4D"/>
    <w:rsid w:val="00E73D82"/>
    <w:rsid w:val="00E73DBB"/>
    <w:rsid w:val="00E73E73"/>
    <w:rsid w:val="00E73F15"/>
    <w:rsid w:val="00E73F6F"/>
    <w:rsid w:val="00E73F7A"/>
    <w:rsid w:val="00E73FD5"/>
    <w:rsid w:val="00E74007"/>
    <w:rsid w:val="00E7400D"/>
    <w:rsid w:val="00E74118"/>
    <w:rsid w:val="00E7413B"/>
    <w:rsid w:val="00E74146"/>
    <w:rsid w:val="00E7417C"/>
    <w:rsid w:val="00E741AC"/>
    <w:rsid w:val="00E741EE"/>
    <w:rsid w:val="00E74240"/>
    <w:rsid w:val="00E742ED"/>
    <w:rsid w:val="00E743E1"/>
    <w:rsid w:val="00E74442"/>
    <w:rsid w:val="00E74493"/>
    <w:rsid w:val="00E744B1"/>
    <w:rsid w:val="00E744D1"/>
    <w:rsid w:val="00E74595"/>
    <w:rsid w:val="00E7459B"/>
    <w:rsid w:val="00E74641"/>
    <w:rsid w:val="00E74709"/>
    <w:rsid w:val="00E74841"/>
    <w:rsid w:val="00E748D8"/>
    <w:rsid w:val="00E7491C"/>
    <w:rsid w:val="00E74922"/>
    <w:rsid w:val="00E7496F"/>
    <w:rsid w:val="00E749C2"/>
    <w:rsid w:val="00E749D9"/>
    <w:rsid w:val="00E749F3"/>
    <w:rsid w:val="00E74A08"/>
    <w:rsid w:val="00E74AD4"/>
    <w:rsid w:val="00E74AE2"/>
    <w:rsid w:val="00E74AF1"/>
    <w:rsid w:val="00E74B8A"/>
    <w:rsid w:val="00E74BB4"/>
    <w:rsid w:val="00E74BC4"/>
    <w:rsid w:val="00E74BD2"/>
    <w:rsid w:val="00E74C6F"/>
    <w:rsid w:val="00E74CBA"/>
    <w:rsid w:val="00E74CD5"/>
    <w:rsid w:val="00E74D0A"/>
    <w:rsid w:val="00E74D1C"/>
    <w:rsid w:val="00E74D6B"/>
    <w:rsid w:val="00E74F5B"/>
    <w:rsid w:val="00E74FCB"/>
    <w:rsid w:val="00E75023"/>
    <w:rsid w:val="00E751B1"/>
    <w:rsid w:val="00E751C3"/>
    <w:rsid w:val="00E75248"/>
    <w:rsid w:val="00E752B2"/>
    <w:rsid w:val="00E75350"/>
    <w:rsid w:val="00E753BB"/>
    <w:rsid w:val="00E75479"/>
    <w:rsid w:val="00E754C7"/>
    <w:rsid w:val="00E7553E"/>
    <w:rsid w:val="00E755AE"/>
    <w:rsid w:val="00E755F8"/>
    <w:rsid w:val="00E75678"/>
    <w:rsid w:val="00E75689"/>
    <w:rsid w:val="00E75703"/>
    <w:rsid w:val="00E7577E"/>
    <w:rsid w:val="00E7578D"/>
    <w:rsid w:val="00E7579F"/>
    <w:rsid w:val="00E757AC"/>
    <w:rsid w:val="00E7583F"/>
    <w:rsid w:val="00E7584E"/>
    <w:rsid w:val="00E75A21"/>
    <w:rsid w:val="00E75A3A"/>
    <w:rsid w:val="00E75A59"/>
    <w:rsid w:val="00E75B47"/>
    <w:rsid w:val="00E75B86"/>
    <w:rsid w:val="00E75BB3"/>
    <w:rsid w:val="00E75C4C"/>
    <w:rsid w:val="00E75C61"/>
    <w:rsid w:val="00E75C70"/>
    <w:rsid w:val="00E75D79"/>
    <w:rsid w:val="00E75D9A"/>
    <w:rsid w:val="00E75DC1"/>
    <w:rsid w:val="00E75DE1"/>
    <w:rsid w:val="00E75E9D"/>
    <w:rsid w:val="00E75EA6"/>
    <w:rsid w:val="00E75FB8"/>
    <w:rsid w:val="00E75FC2"/>
    <w:rsid w:val="00E76079"/>
    <w:rsid w:val="00E76080"/>
    <w:rsid w:val="00E760E5"/>
    <w:rsid w:val="00E760E9"/>
    <w:rsid w:val="00E76100"/>
    <w:rsid w:val="00E7615F"/>
    <w:rsid w:val="00E76186"/>
    <w:rsid w:val="00E761AC"/>
    <w:rsid w:val="00E761AF"/>
    <w:rsid w:val="00E76239"/>
    <w:rsid w:val="00E7626A"/>
    <w:rsid w:val="00E76274"/>
    <w:rsid w:val="00E76286"/>
    <w:rsid w:val="00E7631C"/>
    <w:rsid w:val="00E76399"/>
    <w:rsid w:val="00E763BF"/>
    <w:rsid w:val="00E763D9"/>
    <w:rsid w:val="00E7649E"/>
    <w:rsid w:val="00E76564"/>
    <w:rsid w:val="00E76644"/>
    <w:rsid w:val="00E766DF"/>
    <w:rsid w:val="00E76718"/>
    <w:rsid w:val="00E76741"/>
    <w:rsid w:val="00E7674C"/>
    <w:rsid w:val="00E76757"/>
    <w:rsid w:val="00E767B4"/>
    <w:rsid w:val="00E76826"/>
    <w:rsid w:val="00E768EC"/>
    <w:rsid w:val="00E76930"/>
    <w:rsid w:val="00E76965"/>
    <w:rsid w:val="00E7698B"/>
    <w:rsid w:val="00E76A59"/>
    <w:rsid w:val="00E76AE0"/>
    <w:rsid w:val="00E76AFE"/>
    <w:rsid w:val="00E76BA9"/>
    <w:rsid w:val="00E76BB2"/>
    <w:rsid w:val="00E76C00"/>
    <w:rsid w:val="00E76CAE"/>
    <w:rsid w:val="00E76CB0"/>
    <w:rsid w:val="00E76CB7"/>
    <w:rsid w:val="00E76CC7"/>
    <w:rsid w:val="00E76CCD"/>
    <w:rsid w:val="00E76CFC"/>
    <w:rsid w:val="00E76D2C"/>
    <w:rsid w:val="00E76D99"/>
    <w:rsid w:val="00E76E21"/>
    <w:rsid w:val="00E76E66"/>
    <w:rsid w:val="00E76E72"/>
    <w:rsid w:val="00E76EC6"/>
    <w:rsid w:val="00E76FA7"/>
    <w:rsid w:val="00E7709B"/>
    <w:rsid w:val="00E7709D"/>
    <w:rsid w:val="00E7714E"/>
    <w:rsid w:val="00E77296"/>
    <w:rsid w:val="00E77406"/>
    <w:rsid w:val="00E774BE"/>
    <w:rsid w:val="00E7753C"/>
    <w:rsid w:val="00E77625"/>
    <w:rsid w:val="00E77632"/>
    <w:rsid w:val="00E77668"/>
    <w:rsid w:val="00E77692"/>
    <w:rsid w:val="00E7769F"/>
    <w:rsid w:val="00E776E8"/>
    <w:rsid w:val="00E77716"/>
    <w:rsid w:val="00E777B3"/>
    <w:rsid w:val="00E77977"/>
    <w:rsid w:val="00E77A10"/>
    <w:rsid w:val="00E77A1E"/>
    <w:rsid w:val="00E77A86"/>
    <w:rsid w:val="00E77A8F"/>
    <w:rsid w:val="00E77AA6"/>
    <w:rsid w:val="00E77ABE"/>
    <w:rsid w:val="00E77ADF"/>
    <w:rsid w:val="00E77B9F"/>
    <w:rsid w:val="00E77C4B"/>
    <w:rsid w:val="00E77C8F"/>
    <w:rsid w:val="00E77D5B"/>
    <w:rsid w:val="00E77DFC"/>
    <w:rsid w:val="00E77E6D"/>
    <w:rsid w:val="00E77E83"/>
    <w:rsid w:val="00E77EA8"/>
    <w:rsid w:val="00E77F05"/>
    <w:rsid w:val="00E77F84"/>
    <w:rsid w:val="00E77F85"/>
    <w:rsid w:val="00E77FB9"/>
    <w:rsid w:val="00E8000C"/>
    <w:rsid w:val="00E800D9"/>
    <w:rsid w:val="00E800DE"/>
    <w:rsid w:val="00E8013F"/>
    <w:rsid w:val="00E8018E"/>
    <w:rsid w:val="00E8019A"/>
    <w:rsid w:val="00E80294"/>
    <w:rsid w:val="00E802CD"/>
    <w:rsid w:val="00E80390"/>
    <w:rsid w:val="00E803A4"/>
    <w:rsid w:val="00E803CB"/>
    <w:rsid w:val="00E8049A"/>
    <w:rsid w:val="00E804B3"/>
    <w:rsid w:val="00E80546"/>
    <w:rsid w:val="00E80627"/>
    <w:rsid w:val="00E80696"/>
    <w:rsid w:val="00E806BA"/>
    <w:rsid w:val="00E8072A"/>
    <w:rsid w:val="00E807F2"/>
    <w:rsid w:val="00E80821"/>
    <w:rsid w:val="00E80826"/>
    <w:rsid w:val="00E80877"/>
    <w:rsid w:val="00E808D5"/>
    <w:rsid w:val="00E80940"/>
    <w:rsid w:val="00E809B4"/>
    <w:rsid w:val="00E80A80"/>
    <w:rsid w:val="00E80BB4"/>
    <w:rsid w:val="00E80BE0"/>
    <w:rsid w:val="00E80BF8"/>
    <w:rsid w:val="00E80C1B"/>
    <w:rsid w:val="00E80C53"/>
    <w:rsid w:val="00E80C5F"/>
    <w:rsid w:val="00E80CF8"/>
    <w:rsid w:val="00E80D04"/>
    <w:rsid w:val="00E80E48"/>
    <w:rsid w:val="00E80ECA"/>
    <w:rsid w:val="00E80F11"/>
    <w:rsid w:val="00E80FEA"/>
    <w:rsid w:val="00E810C2"/>
    <w:rsid w:val="00E81126"/>
    <w:rsid w:val="00E81143"/>
    <w:rsid w:val="00E81150"/>
    <w:rsid w:val="00E811E8"/>
    <w:rsid w:val="00E811ED"/>
    <w:rsid w:val="00E8120B"/>
    <w:rsid w:val="00E81296"/>
    <w:rsid w:val="00E812DA"/>
    <w:rsid w:val="00E81340"/>
    <w:rsid w:val="00E81361"/>
    <w:rsid w:val="00E813C6"/>
    <w:rsid w:val="00E813D2"/>
    <w:rsid w:val="00E813F9"/>
    <w:rsid w:val="00E81442"/>
    <w:rsid w:val="00E8158F"/>
    <w:rsid w:val="00E81593"/>
    <w:rsid w:val="00E8161A"/>
    <w:rsid w:val="00E81716"/>
    <w:rsid w:val="00E8179F"/>
    <w:rsid w:val="00E817F5"/>
    <w:rsid w:val="00E81865"/>
    <w:rsid w:val="00E8187E"/>
    <w:rsid w:val="00E818D3"/>
    <w:rsid w:val="00E81938"/>
    <w:rsid w:val="00E81945"/>
    <w:rsid w:val="00E8194B"/>
    <w:rsid w:val="00E81955"/>
    <w:rsid w:val="00E81972"/>
    <w:rsid w:val="00E8197E"/>
    <w:rsid w:val="00E81981"/>
    <w:rsid w:val="00E819F0"/>
    <w:rsid w:val="00E81A5F"/>
    <w:rsid w:val="00E81A87"/>
    <w:rsid w:val="00E81A8F"/>
    <w:rsid w:val="00E81A9E"/>
    <w:rsid w:val="00E81ADB"/>
    <w:rsid w:val="00E81B20"/>
    <w:rsid w:val="00E81C86"/>
    <w:rsid w:val="00E81D4E"/>
    <w:rsid w:val="00E81D5B"/>
    <w:rsid w:val="00E81E82"/>
    <w:rsid w:val="00E81F83"/>
    <w:rsid w:val="00E81F9C"/>
    <w:rsid w:val="00E81FB4"/>
    <w:rsid w:val="00E82014"/>
    <w:rsid w:val="00E82045"/>
    <w:rsid w:val="00E820A1"/>
    <w:rsid w:val="00E8217B"/>
    <w:rsid w:val="00E82186"/>
    <w:rsid w:val="00E821B0"/>
    <w:rsid w:val="00E821D0"/>
    <w:rsid w:val="00E821F1"/>
    <w:rsid w:val="00E8221D"/>
    <w:rsid w:val="00E82255"/>
    <w:rsid w:val="00E8226E"/>
    <w:rsid w:val="00E822D6"/>
    <w:rsid w:val="00E8230E"/>
    <w:rsid w:val="00E82368"/>
    <w:rsid w:val="00E82429"/>
    <w:rsid w:val="00E8248A"/>
    <w:rsid w:val="00E8259A"/>
    <w:rsid w:val="00E825A5"/>
    <w:rsid w:val="00E825B4"/>
    <w:rsid w:val="00E825E7"/>
    <w:rsid w:val="00E825EC"/>
    <w:rsid w:val="00E825F3"/>
    <w:rsid w:val="00E82611"/>
    <w:rsid w:val="00E82638"/>
    <w:rsid w:val="00E82652"/>
    <w:rsid w:val="00E8267C"/>
    <w:rsid w:val="00E82695"/>
    <w:rsid w:val="00E826B7"/>
    <w:rsid w:val="00E826FC"/>
    <w:rsid w:val="00E82751"/>
    <w:rsid w:val="00E8275B"/>
    <w:rsid w:val="00E8279A"/>
    <w:rsid w:val="00E827C9"/>
    <w:rsid w:val="00E8283A"/>
    <w:rsid w:val="00E82862"/>
    <w:rsid w:val="00E82874"/>
    <w:rsid w:val="00E828D8"/>
    <w:rsid w:val="00E828EF"/>
    <w:rsid w:val="00E829AB"/>
    <w:rsid w:val="00E82ADB"/>
    <w:rsid w:val="00E82AE8"/>
    <w:rsid w:val="00E82B1E"/>
    <w:rsid w:val="00E82B30"/>
    <w:rsid w:val="00E82B35"/>
    <w:rsid w:val="00E82B41"/>
    <w:rsid w:val="00E82B55"/>
    <w:rsid w:val="00E82C26"/>
    <w:rsid w:val="00E82C74"/>
    <w:rsid w:val="00E82D05"/>
    <w:rsid w:val="00E82DDC"/>
    <w:rsid w:val="00E82E9D"/>
    <w:rsid w:val="00E82F07"/>
    <w:rsid w:val="00E82F2C"/>
    <w:rsid w:val="00E82F62"/>
    <w:rsid w:val="00E82F7A"/>
    <w:rsid w:val="00E82F86"/>
    <w:rsid w:val="00E82FB6"/>
    <w:rsid w:val="00E82FE4"/>
    <w:rsid w:val="00E83004"/>
    <w:rsid w:val="00E83015"/>
    <w:rsid w:val="00E83059"/>
    <w:rsid w:val="00E83095"/>
    <w:rsid w:val="00E83096"/>
    <w:rsid w:val="00E8310A"/>
    <w:rsid w:val="00E8313A"/>
    <w:rsid w:val="00E8319C"/>
    <w:rsid w:val="00E83209"/>
    <w:rsid w:val="00E832CA"/>
    <w:rsid w:val="00E8331E"/>
    <w:rsid w:val="00E83334"/>
    <w:rsid w:val="00E834F8"/>
    <w:rsid w:val="00E8361E"/>
    <w:rsid w:val="00E8365F"/>
    <w:rsid w:val="00E83702"/>
    <w:rsid w:val="00E83781"/>
    <w:rsid w:val="00E83845"/>
    <w:rsid w:val="00E83948"/>
    <w:rsid w:val="00E83965"/>
    <w:rsid w:val="00E839AC"/>
    <w:rsid w:val="00E839DA"/>
    <w:rsid w:val="00E83A1E"/>
    <w:rsid w:val="00E83A25"/>
    <w:rsid w:val="00E83AC7"/>
    <w:rsid w:val="00E83AD9"/>
    <w:rsid w:val="00E83AE9"/>
    <w:rsid w:val="00E83C10"/>
    <w:rsid w:val="00E83CC8"/>
    <w:rsid w:val="00E83CF9"/>
    <w:rsid w:val="00E83D8C"/>
    <w:rsid w:val="00E83DED"/>
    <w:rsid w:val="00E83E02"/>
    <w:rsid w:val="00E83E30"/>
    <w:rsid w:val="00E83E3E"/>
    <w:rsid w:val="00E83E97"/>
    <w:rsid w:val="00E83EA5"/>
    <w:rsid w:val="00E83EAE"/>
    <w:rsid w:val="00E83F4E"/>
    <w:rsid w:val="00E83F72"/>
    <w:rsid w:val="00E8404E"/>
    <w:rsid w:val="00E840BC"/>
    <w:rsid w:val="00E840E0"/>
    <w:rsid w:val="00E840F4"/>
    <w:rsid w:val="00E840F8"/>
    <w:rsid w:val="00E84114"/>
    <w:rsid w:val="00E841B3"/>
    <w:rsid w:val="00E841F4"/>
    <w:rsid w:val="00E8420E"/>
    <w:rsid w:val="00E8424C"/>
    <w:rsid w:val="00E8426A"/>
    <w:rsid w:val="00E8427A"/>
    <w:rsid w:val="00E842DF"/>
    <w:rsid w:val="00E842FD"/>
    <w:rsid w:val="00E84302"/>
    <w:rsid w:val="00E8432E"/>
    <w:rsid w:val="00E844E8"/>
    <w:rsid w:val="00E845F9"/>
    <w:rsid w:val="00E845FB"/>
    <w:rsid w:val="00E84644"/>
    <w:rsid w:val="00E8469D"/>
    <w:rsid w:val="00E846DF"/>
    <w:rsid w:val="00E8472E"/>
    <w:rsid w:val="00E84763"/>
    <w:rsid w:val="00E84837"/>
    <w:rsid w:val="00E848FF"/>
    <w:rsid w:val="00E8495D"/>
    <w:rsid w:val="00E84974"/>
    <w:rsid w:val="00E84A5F"/>
    <w:rsid w:val="00E84AD0"/>
    <w:rsid w:val="00E84AD2"/>
    <w:rsid w:val="00E84B80"/>
    <w:rsid w:val="00E84C74"/>
    <w:rsid w:val="00E84C91"/>
    <w:rsid w:val="00E84CA4"/>
    <w:rsid w:val="00E84CDF"/>
    <w:rsid w:val="00E84D0C"/>
    <w:rsid w:val="00E84D61"/>
    <w:rsid w:val="00E84DAD"/>
    <w:rsid w:val="00E84DE8"/>
    <w:rsid w:val="00E84DFB"/>
    <w:rsid w:val="00E84E03"/>
    <w:rsid w:val="00E84E20"/>
    <w:rsid w:val="00E84EC9"/>
    <w:rsid w:val="00E84F90"/>
    <w:rsid w:val="00E85069"/>
    <w:rsid w:val="00E85082"/>
    <w:rsid w:val="00E850D7"/>
    <w:rsid w:val="00E85116"/>
    <w:rsid w:val="00E851B2"/>
    <w:rsid w:val="00E851F1"/>
    <w:rsid w:val="00E852AB"/>
    <w:rsid w:val="00E85303"/>
    <w:rsid w:val="00E85355"/>
    <w:rsid w:val="00E8539F"/>
    <w:rsid w:val="00E853F7"/>
    <w:rsid w:val="00E8541E"/>
    <w:rsid w:val="00E85462"/>
    <w:rsid w:val="00E854FD"/>
    <w:rsid w:val="00E85565"/>
    <w:rsid w:val="00E8560D"/>
    <w:rsid w:val="00E8562B"/>
    <w:rsid w:val="00E8563E"/>
    <w:rsid w:val="00E856B1"/>
    <w:rsid w:val="00E856EF"/>
    <w:rsid w:val="00E85717"/>
    <w:rsid w:val="00E85796"/>
    <w:rsid w:val="00E857CE"/>
    <w:rsid w:val="00E8584A"/>
    <w:rsid w:val="00E859E2"/>
    <w:rsid w:val="00E85A5C"/>
    <w:rsid w:val="00E85A94"/>
    <w:rsid w:val="00E85AA2"/>
    <w:rsid w:val="00E85C42"/>
    <w:rsid w:val="00E85C90"/>
    <w:rsid w:val="00E85CAA"/>
    <w:rsid w:val="00E85D0A"/>
    <w:rsid w:val="00E85D33"/>
    <w:rsid w:val="00E85D36"/>
    <w:rsid w:val="00E85D96"/>
    <w:rsid w:val="00E85DD1"/>
    <w:rsid w:val="00E85E39"/>
    <w:rsid w:val="00E85EAA"/>
    <w:rsid w:val="00E85EFD"/>
    <w:rsid w:val="00E85F4C"/>
    <w:rsid w:val="00E85F6E"/>
    <w:rsid w:val="00E86077"/>
    <w:rsid w:val="00E860C4"/>
    <w:rsid w:val="00E860E1"/>
    <w:rsid w:val="00E861AB"/>
    <w:rsid w:val="00E861BA"/>
    <w:rsid w:val="00E8621A"/>
    <w:rsid w:val="00E86257"/>
    <w:rsid w:val="00E8628F"/>
    <w:rsid w:val="00E86351"/>
    <w:rsid w:val="00E86358"/>
    <w:rsid w:val="00E8636F"/>
    <w:rsid w:val="00E86388"/>
    <w:rsid w:val="00E863D5"/>
    <w:rsid w:val="00E86483"/>
    <w:rsid w:val="00E86499"/>
    <w:rsid w:val="00E864A3"/>
    <w:rsid w:val="00E864BD"/>
    <w:rsid w:val="00E86592"/>
    <w:rsid w:val="00E866D7"/>
    <w:rsid w:val="00E86706"/>
    <w:rsid w:val="00E8673C"/>
    <w:rsid w:val="00E8673D"/>
    <w:rsid w:val="00E86781"/>
    <w:rsid w:val="00E868B9"/>
    <w:rsid w:val="00E8699F"/>
    <w:rsid w:val="00E869D4"/>
    <w:rsid w:val="00E86ADC"/>
    <w:rsid w:val="00E86B29"/>
    <w:rsid w:val="00E86C72"/>
    <w:rsid w:val="00E86C74"/>
    <w:rsid w:val="00E86C86"/>
    <w:rsid w:val="00E86CC5"/>
    <w:rsid w:val="00E86D41"/>
    <w:rsid w:val="00E86E6A"/>
    <w:rsid w:val="00E86E82"/>
    <w:rsid w:val="00E86E8A"/>
    <w:rsid w:val="00E86EBB"/>
    <w:rsid w:val="00E86EE2"/>
    <w:rsid w:val="00E86EF3"/>
    <w:rsid w:val="00E86F08"/>
    <w:rsid w:val="00E86F7C"/>
    <w:rsid w:val="00E870C5"/>
    <w:rsid w:val="00E87202"/>
    <w:rsid w:val="00E8725E"/>
    <w:rsid w:val="00E872CA"/>
    <w:rsid w:val="00E87399"/>
    <w:rsid w:val="00E873A3"/>
    <w:rsid w:val="00E873F8"/>
    <w:rsid w:val="00E874DD"/>
    <w:rsid w:val="00E8753D"/>
    <w:rsid w:val="00E87579"/>
    <w:rsid w:val="00E875EF"/>
    <w:rsid w:val="00E8760A"/>
    <w:rsid w:val="00E87643"/>
    <w:rsid w:val="00E87702"/>
    <w:rsid w:val="00E87831"/>
    <w:rsid w:val="00E8786C"/>
    <w:rsid w:val="00E878E1"/>
    <w:rsid w:val="00E87967"/>
    <w:rsid w:val="00E879EC"/>
    <w:rsid w:val="00E87A2C"/>
    <w:rsid w:val="00E87ACF"/>
    <w:rsid w:val="00E87BDA"/>
    <w:rsid w:val="00E87C08"/>
    <w:rsid w:val="00E87C66"/>
    <w:rsid w:val="00E87CE7"/>
    <w:rsid w:val="00E87D56"/>
    <w:rsid w:val="00E87D59"/>
    <w:rsid w:val="00E87D62"/>
    <w:rsid w:val="00E87D9C"/>
    <w:rsid w:val="00E87F63"/>
    <w:rsid w:val="00E87FA2"/>
    <w:rsid w:val="00E90060"/>
    <w:rsid w:val="00E900BA"/>
    <w:rsid w:val="00E900EE"/>
    <w:rsid w:val="00E9014B"/>
    <w:rsid w:val="00E90209"/>
    <w:rsid w:val="00E9021D"/>
    <w:rsid w:val="00E9022A"/>
    <w:rsid w:val="00E9026D"/>
    <w:rsid w:val="00E90339"/>
    <w:rsid w:val="00E90428"/>
    <w:rsid w:val="00E9045E"/>
    <w:rsid w:val="00E904D4"/>
    <w:rsid w:val="00E904E2"/>
    <w:rsid w:val="00E90593"/>
    <w:rsid w:val="00E905CD"/>
    <w:rsid w:val="00E90698"/>
    <w:rsid w:val="00E9069D"/>
    <w:rsid w:val="00E906A2"/>
    <w:rsid w:val="00E90712"/>
    <w:rsid w:val="00E90725"/>
    <w:rsid w:val="00E90728"/>
    <w:rsid w:val="00E9085C"/>
    <w:rsid w:val="00E90862"/>
    <w:rsid w:val="00E908AD"/>
    <w:rsid w:val="00E908C0"/>
    <w:rsid w:val="00E9090C"/>
    <w:rsid w:val="00E90976"/>
    <w:rsid w:val="00E909B4"/>
    <w:rsid w:val="00E909BE"/>
    <w:rsid w:val="00E90A5D"/>
    <w:rsid w:val="00E90A83"/>
    <w:rsid w:val="00E90A90"/>
    <w:rsid w:val="00E90B5D"/>
    <w:rsid w:val="00E90CB6"/>
    <w:rsid w:val="00E90D82"/>
    <w:rsid w:val="00E90D8B"/>
    <w:rsid w:val="00E9107E"/>
    <w:rsid w:val="00E911EB"/>
    <w:rsid w:val="00E91306"/>
    <w:rsid w:val="00E9142A"/>
    <w:rsid w:val="00E9143A"/>
    <w:rsid w:val="00E914DB"/>
    <w:rsid w:val="00E914EA"/>
    <w:rsid w:val="00E9165D"/>
    <w:rsid w:val="00E9173A"/>
    <w:rsid w:val="00E91773"/>
    <w:rsid w:val="00E91779"/>
    <w:rsid w:val="00E91791"/>
    <w:rsid w:val="00E917A6"/>
    <w:rsid w:val="00E91895"/>
    <w:rsid w:val="00E9195F"/>
    <w:rsid w:val="00E91A2B"/>
    <w:rsid w:val="00E91A3E"/>
    <w:rsid w:val="00E91AF1"/>
    <w:rsid w:val="00E91B59"/>
    <w:rsid w:val="00E91B74"/>
    <w:rsid w:val="00E91B76"/>
    <w:rsid w:val="00E91BF7"/>
    <w:rsid w:val="00E91C74"/>
    <w:rsid w:val="00E91CDE"/>
    <w:rsid w:val="00E91D67"/>
    <w:rsid w:val="00E91D89"/>
    <w:rsid w:val="00E91D91"/>
    <w:rsid w:val="00E91DF1"/>
    <w:rsid w:val="00E91E3F"/>
    <w:rsid w:val="00E91EED"/>
    <w:rsid w:val="00E91EF3"/>
    <w:rsid w:val="00E91F5A"/>
    <w:rsid w:val="00E91FC0"/>
    <w:rsid w:val="00E920FA"/>
    <w:rsid w:val="00E920FB"/>
    <w:rsid w:val="00E9217A"/>
    <w:rsid w:val="00E9217C"/>
    <w:rsid w:val="00E92194"/>
    <w:rsid w:val="00E921C4"/>
    <w:rsid w:val="00E92256"/>
    <w:rsid w:val="00E92285"/>
    <w:rsid w:val="00E922EF"/>
    <w:rsid w:val="00E9237B"/>
    <w:rsid w:val="00E92384"/>
    <w:rsid w:val="00E923D9"/>
    <w:rsid w:val="00E92411"/>
    <w:rsid w:val="00E92467"/>
    <w:rsid w:val="00E92478"/>
    <w:rsid w:val="00E924B7"/>
    <w:rsid w:val="00E92556"/>
    <w:rsid w:val="00E9261C"/>
    <w:rsid w:val="00E926D5"/>
    <w:rsid w:val="00E927E4"/>
    <w:rsid w:val="00E9282D"/>
    <w:rsid w:val="00E928B9"/>
    <w:rsid w:val="00E9295F"/>
    <w:rsid w:val="00E92974"/>
    <w:rsid w:val="00E92A37"/>
    <w:rsid w:val="00E92A6F"/>
    <w:rsid w:val="00E92B88"/>
    <w:rsid w:val="00E92B8C"/>
    <w:rsid w:val="00E92C19"/>
    <w:rsid w:val="00E92C28"/>
    <w:rsid w:val="00E92C3B"/>
    <w:rsid w:val="00E92C65"/>
    <w:rsid w:val="00E92CEE"/>
    <w:rsid w:val="00E92D30"/>
    <w:rsid w:val="00E92EAA"/>
    <w:rsid w:val="00E92EF8"/>
    <w:rsid w:val="00E92F0C"/>
    <w:rsid w:val="00E92F6C"/>
    <w:rsid w:val="00E92F98"/>
    <w:rsid w:val="00E930B8"/>
    <w:rsid w:val="00E93231"/>
    <w:rsid w:val="00E9331D"/>
    <w:rsid w:val="00E9343E"/>
    <w:rsid w:val="00E93451"/>
    <w:rsid w:val="00E934C4"/>
    <w:rsid w:val="00E93512"/>
    <w:rsid w:val="00E936B6"/>
    <w:rsid w:val="00E93750"/>
    <w:rsid w:val="00E9376D"/>
    <w:rsid w:val="00E93793"/>
    <w:rsid w:val="00E9385D"/>
    <w:rsid w:val="00E9388D"/>
    <w:rsid w:val="00E93895"/>
    <w:rsid w:val="00E939A2"/>
    <w:rsid w:val="00E939F5"/>
    <w:rsid w:val="00E93A03"/>
    <w:rsid w:val="00E93AB8"/>
    <w:rsid w:val="00E93AC4"/>
    <w:rsid w:val="00E93AD5"/>
    <w:rsid w:val="00E93BE4"/>
    <w:rsid w:val="00E93C40"/>
    <w:rsid w:val="00E93C86"/>
    <w:rsid w:val="00E93CF7"/>
    <w:rsid w:val="00E93D27"/>
    <w:rsid w:val="00E93D37"/>
    <w:rsid w:val="00E93D84"/>
    <w:rsid w:val="00E93E1A"/>
    <w:rsid w:val="00E93E22"/>
    <w:rsid w:val="00E93E4B"/>
    <w:rsid w:val="00E93F5E"/>
    <w:rsid w:val="00E93FA6"/>
    <w:rsid w:val="00E93FCB"/>
    <w:rsid w:val="00E9410B"/>
    <w:rsid w:val="00E94245"/>
    <w:rsid w:val="00E94293"/>
    <w:rsid w:val="00E94371"/>
    <w:rsid w:val="00E943F7"/>
    <w:rsid w:val="00E94497"/>
    <w:rsid w:val="00E944F5"/>
    <w:rsid w:val="00E94543"/>
    <w:rsid w:val="00E9460F"/>
    <w:rsid w:val="00E946B3"/>
    <w:rsid w:val="00E947E8"/>
    <w:rsid w:val="00E9489F"/>
    <w:rsid w:val="00E948FB"/>
    <w:rsid w:val="00E94900"/>
    <w:rsid w:val="00E94951"/>
    <w:rsid w:val="00E949BF"/>
    <w:rsid w:val="00E949E0"/>
    <w:rsid w:val="00E94AFE"/>
    <w:rsid w:val="00E94B17"/>
    <w:rsid w:val="00E94B44"/>
    <w:rsid w:val="00E94BEE"/>
    <w:rsid w:val="00E94CD6"/>
    <w:rsid w:val="00E94D51"/>
    <w:rsid w:val="00E94E97"/>
    <w:rsid w:val="00E94EF7"/>
    <w:rsid w:val="00E9502B"/>
    <w:rsid w:val="00E95070"/>
    <w:rsid w:val="00E9517F"/>
    <w:rsid w:val="00E951B2"/>
    <w:rsid w:val="00E9525D"/>
    <w:rsid w:val="00E9529C"/>
    <w:rsid w:val="00E952E8"/>
    <w:rsid w:val="00E95322"/>
    <w:rsid w:val="00E953D4"/>
    <w:rsid w:val="00E95419"/>
    <w:rsid w:val="00E9547D"/>
    <w:rsid w:val="00E95490"/>
    <w:rsid w:val="00E9556C"/>
    <w:rsid w:val="00E955B6"/>
    <w:rsid w:val="00E955E1"/>
    <w:rsid w:val="00E95724"/>
    <w:rsid w:val="00E95755"/>
    <w:rsid w:val="00E9575B"/>
    <w:rsid w:val="00E957B8"/>
    <w:rsid w:val="00E9587B"/>
    <w:rsid w:val="00E9589E"/>
    <w:rsid w:val="00E958E1"/>
    <w:rsid w:val="00E958F8"/>
    <w:rsid w:val="00E959BF"/>
    <w:rsid w:val="00E95ACF"/>
    <w:rsid w:val="00E95B7A"/>
    <w:rsid w:val="00E95C68"/>
    <w:rsid w:val="00E95CBE"/>
    <w:rsid w:val="00E95CD7"/>
    <w:rsid w:val="00E95D21"/>
    <w:rsid w:val="00E95D56"/>
    <w:rsid w:val="00E95E6D"/>
    <w:rsid w:val="00E95EF0"/>
    <w:rsid w:val="00E95F26"/>
    <w:rsid w:val="00E95F45"/>
    <w:rsid w:val="00E95F4B"/>
    <w:rsid w:val="00E95F61"/>
    <w:rsid w:val="00E96005"/>
    <w:rsid w:val="00E9603D"/>
    <w:rsid w:val="00E9606F"/>
    <w:rsid w:val="00E9610E"/>
    <w:rsid w:val="00E9614E"/>
    <w:rsid w:val="00E96169"/>
    <w:rsid w:val="00E96188"/>
    <w:rsid w:val="00E9619A"/>
    <w:rsid w:val="00E96279"/>
    <w:rsid w:val="00E9631B"/>
    <w:rsid w:val="00E96327"/>
    <w:rsid w:val="00E9636D"/>
    <w:rsid w:val="00E963B5"/>
    <w:rsid w:val="00E96453"/>
    <w:rsid w:val="00E964D4"/>
    <w:rsid w:val="00E964E2"/>
    <w:rsid w:val="00E964EA"/>
    <w:rsid w:val="00E96523"/>
    <w:rsid w:val="00E96534"/>
    <w:rsid w:val="00E9657C"/>
    <w:rsid w:val="00E96583"/>
    <w:rsid w:val="00E965B4"/>
    <w:rsid w:val="00E9669F"/>
    <w:rsid w:val="00E966E7"/>
    <w:rsid w:val="00E966F7"/>
    <w:rsid w:val="00E96720"/>
    <w:rsid w:val="00E96728"/>
    <w:rsid w:val="00E9675F"/>
    <w:rsid w:val="00E96797"/>
    <w:rsid w:val="00E967B0"/>
    <w:rsid w:val="00E967B7"/>
    <w:rsid w:val="00E96885"/>
    <w:rsid w:val="00E968C1"/>
    <w:rsid w:val="00E96944"/>
    <w:rsid w:val="00E969B6"/>
    <w:rsid w:val="00E969FD"/>
    <w:rsid w:val="00E96B19"/>
    <w:rsid w:val="00E96B22"/>
    <w:rsid w:val="00E96BD0"/>
    <w:rsid w:val="00E96BD3"/>
    <w:rsid w:val="00E96C23"/>
    <w:rsid w:val="00E96C8F"/>
    <w:rsid w:val="00E96C90"/>
    <w:rsid w:val="00E96C96"/>
    <w:rsid w:val="00E96D4E"/>
    <w:rsid w:val="00E96DFD"/>
    <w:rsid w:val="00E96EA7"/>
    <w:rsid w:val="00E96EEA"/>
    <w:rsid w:val="00E96FA3"/>
    <w:rsid w:val="00E970BB"/>
    <w:rsid w:val="00E97146"/>
    <w:rsid w:val="00E971F6"/>
    <w:rsid w:val="00E97267"/>
    <w:rsid w:val="00E9726D"/>
    <w:rsid w:val="00E97306"/>
    <w:rsid w:val="00E97431"/>
    <w:rsid w:val="00E9747D"/>
    <w:rsid w:val="00E974CB"/>
    <w:rsid w:val="00E975A5"/>
    <w:rsid w:val="00E976C5"/>
    <w:rsid w:val="00E97722"/>
    <w:rsid w:val="00E977B0"/>
    <w:rsid w:val="00E97855"/>
    <w:rsid w:val="00E97859"/>
    <w:rsid w:val="00E978AA"/>
    <w:rsid w:val="00E97938"/>
    <w:rsid w:val="00E9799B"/>
    <w:rsid w:val="00E979A3"/>
    <w:rsid w:val="00E979BE"/>
    <w:rsid w:val="00E979E8"/>
    <w:rsid w:val="00E97A2A"/>
    <w:rsid w:val="00E97A7C"/>
    <w:rsid w:val="00E97A98"/>
    <w:rsid w:val="00E97B02"/>
    <w:rsid w:val="00E97B4D"/>
    <w:rsid w:val="00E97BD8"/>
    <w:rsid w:val="00E97BF7"/>
    <w:rsid w:val="00E97BFB"/>
    <w:rsid w:val="00E97C8A"/>
    <w:rsid w:val="00E97C9A"/>
    <w:rsid w:val="00E97CB8"/>
    <w:rsid w:val="00E97CF3"/>
    <w:rsid w:val="00E97D1C"/>
    <w:rsid w:val="00E97D4B"/>
    <w:rsid w:val="00E97D67"/>
    <w:rsid w:val="00E97D7C"/>
    <w:rsid w:val="00E97E6E"/>
    <w:rsid w:val="00E97EAD"/>
    <w:rsid w:val="00E97EED"/>
    <w:rsid w:val="00E97F48"/>
    <w:rsid w:val="00E97FCB"/>
    <w:rsid w:val="00E97FEA"/>
    <w:rsid w:val="00EA00E5"/>
    <w:rsid w:val="00EA00EF"/>
    <w:rsid w:val="00EA00F9"/>
    <w:rsid w:val="00EA0164"/>
    <w:rsid w:val="00EA0275"/>
    <w:rsid w:val="00EA02C1"/>
    <w:rsid w:val="00EA0378"/>
    <w:rsid w:val="00EA03B8"/>
    <w:rsid w:val="00EA04CA"/>
    <w:rsid w:val="00EA04E2"/>
    <w:rsid w:val="00EA04F4"/>
    <w:rsid w:val="00EA053B"/>
    <w:rsid w:val="00EA05DB"/>
    <w:rsid w:val="00EA06E4"/>
    <w:rsid w:val="00EA071E"/>
    <w:rsid w:val="00EA07D3"/>
    <w:rsid w:val="00EA0940"/>
    <w:rsid w:val="00EA0976"/>
    <w:rsid w:val="00EA09F2"/>
    <w:rsid w:val="00EA0A6B"/>
    <w:rsid w:val="00EA0AFF"/>
    <w:rsid w:val="00EA0B24"/>
    <w:rsid w:val="00EA0BEC"/>
    <w:rsid w:val="00EA0C70"/>
    <w:rsid w:val="00EA0C78"/>
    <w:rsid w:val="00EA0CCB"/>
    <w:rsid w:val="00EA0CDD"/>
    <w:rsid w:val="00EA0D0A"/>
    <w:rsid w:val="00EA0D15"/>
    <w:rsid w:val="00EA0D30"/>
    <w:rsid w:val="00EA0D6A"/>
    <w:rsid w:val="00EA0E17"/>
    <w:rsid w:val="00EA0E3C"/>
    <w:rsid w:val="00EA0E54"/>
    <w:rsid w:val="00EA0E6C"/>
    <w:rsid w:val="00EA0EE7"/>
    <w:rsid w:val="00EA0F5F"/>
    <w:rsid w:val="00EA0FB3"/>
    <w:rsid w:val="00EA0FBA"/>
    <w:rsid w:val="00EA1130"/>
    <w:rsid w:val="00EA11E1"/>
    <w:rsid w:val="00EA1257"/>
    <w:rsid w:val="00EA1343"/>
    <w:rsid w:val="00EA135E"/>
    <w:rsid w:val="00EA1499"/>
    <w:rsid w:val="00EA1540"/>
    <w:rsid w:val="00EA154B"/>
    <w:rsid w:val="00EA1553"/>
    <w:rsid w:val="00EA1615"/>
    <w:rsid w:val="00EA164F"/>
    <w:rsid w:val="00EA16E2"/>
    <w:rsid w:val="00EA16EC"/>
    <w:rsid w:val="00EA1711"/>
    <w:rsid w:val="00EA1769"/>
    <w:rsid w:val="00EA17EB"/>
    <w:rsid w:val="00EA180E"/>
    <w:rsid w:val="00EA186E"/>
    <w:rsid w:val="00EA1908"/>
    <w:rsid w:val="00EA1927"/>
    <w:rsid w:val="00EA1929"/>
    <w:rsid w:val="00EA1AA7"/>
    <w:rsid w:val="00EA1AD7"/>
    <w:rsid w:val="00EA1AE3"/>
    <w:rsid w:val="00EA1B63"/>
    <w:rsid w:val="00EA1B76"/>
    <w:rsid w:val="00EA1C75"/>
    <w:rsid w:val="00EA1CB2"/>
    <w:rsid w:val="00EA1CE1"/>
    <w:rsid w:val="00EA1D00"/>
    <w:rsid w:val="00EA1D59"/>
    <w:rsid w:val="00EA1D81"/>
    <w:rsid w:val="00EA1D88"/>
    <w:rsid w:val="00EA1DFB"/>
    <w:rsid w:val="00EA1E30"/>
    <w:rsid w:val="00EA1E76"/>
    <w:rsid w:val="00EA1EC4"/>
    <w:rsid w:val="00EA1F13"/>
    <w:rsid w:val="00EA1FC2"/>
    <w:rsid w:val="00EA1FD8"/>
    <w:rsid w:val="00EA213A"/>
    <w:rsid w:val="00EA2154"/>
    <w:rsid w:val="00EA21A2"/>
    <w:rsid w:val="00EA21D9"/>
    <w:rsid w:val="00EA221D"/>
    <w:rsid w:val="00EA2268"/>
    <w:rsid w:val="00EA22FC"/>
    <w:rsid w:val="00EA2302"/>
    <w:rsid w:val="00EA2391"/>
    <w:rsid w:val="00EA244C"/>
    <w:rsid w:val="00EA24BE"/>
    <w:rsid w:val="00EA24F2"/>
    <w:rsid w:val="00EA2510"/>
    <w:rsid w:val="00EA255B"/>
    <w:rsid w:val="00EA25A7"/>
    <w:rsid w:val="00EA26B4"/>
    <w:rsid w:val="00EA26D4"/>
    <w:rsid w:val="00EA26EA"/>
    <w:rsid w:val="00EA270C"/>
    <w:rsid w:val="00EA270D"/>
    <w:rsid w:val="00EA2816"/>
    <w:rsid w:val="00EA2850"/>
    <w:rsid w:val="00EA2851"/>
    <w:rsid w:val="00EA2968"/>
    <w:rsid w:val="00EA296D"/>
    <w:rsid w:val="00EA2A40"/>
    <w:rsid w:val="00EA2B2E"/>
    <w:rsid w:val="00EA2B5C"/>
    <w:rsid w:val="00EA2BB4"/>
    <w:rsid w:val="00EA2BC8"/>
    <w:rsid w:val="00EA2CDA"/>
    <w:rsid w:val="00EA2D45"/>
    <w:rsid w:val="00EA2F28"/>
    <w:rsid w:val="00EA2FA3"/>
    <w:rsid w:val="00EA2FCA"/>
    <w:rsid w:val="00EA3088"/>
    <w:rsid w:val="00EA30BF"/>
    <w:rsid w:val="00EA3122"/>
    <w:rsid w:val="00EA3198"/>
    <w:rsid w:val="00EA325B"/>
    <w:rsid w:val="00EA3271"/>
    <w:rsid w:val="00EA331A"/>
    <w:rsid w:val="00EA3356"/>
    <w:rsid w:val="00EA3368"/>
    <w:rsid w:val="00EA33A3"/>
    <w:rsid w:val="00EA340E"/>
    <w:rsid w:val="00EA3482"/>
    <w:rsid w:val="00EA3484"/>
    <w:rsid w:val="00EA349A"/>
    <w:rsid w:val="00EA350A"/>
    <w:rsid w:val="00EA350B"/>
    <w:rsid w:val="00EA35A1"/>
    <w:rsid w:val="00EA35BE"/>
    <w:rsid w:val="00EA35EE"/>
    <w:rsid w:val="00EA364F"/>
    <w:rsid w:val="00EA3671"/>
    <w:rsid w:val="00EA3695"/>
    <w:rsid w:val="00EA36A8"/>
    <w:rsid w:val="00EA36CC"/>
    <w:rsid w:val="00EA3724"/>
    <w:rsid w:val="00EA3734"/>
    <w:rsid w:val="00EA376D"/>
    <w:rsid w:val="00EA376E"/>
    <w:rsid w:val="00EA37CB"/>
    <w:rsid w:val="00EA382A"/>
    <w:rsid w:val="00EA385D"/>
    <w:rsid w:val="00EA388E"/>
    <w:rsid w:val="00EA391B"/>
    <w:rsid w:val="00EA3988"/>
    <w:rsid w:val="00EA3A5C"/>
    <w:rsid w:val="00EA3A68"/>
    <w:rsid w:val="00EA3AB7"/>
    <w:rsid w:val="00EA3B58"/>
    <w:rsid w:val="00EA3BC4"/>
    <w:rsid w:val="00EA3BE6"/>
    <w:rsid w:val="00EA3BF5"/>
    <w:rsid w:val="00EA3BFC"/>
    <w:rsid w:val="00EA3CF3"/>
    <w:rsid w:val="00EA3D3E"/>
    <w:rsid w:val="00EA3D9E"/>
    <w:rsid w:val="00EA3FAC"/>
    <w:rsid w:val="00EA3FD0"/>
    <w:rsid w:val="00EA3FF2"/>
    <w:rsid w:val="00EA3FF8"/>
    <w:rsid w:val="00EA4082"/>
    <w:rsid w:val="00EA40A8"/>
    <w:rsid w:val="00EA40F4"/>
    <w:rsid w:val="00EA410D"/>
    <w:rsid w:val="00EA411E"/>
    <w:rsid w:val="00EA413E"/>
    <w:rsid w:val="00EA4145"/>
    <w:rsid w:val="00EA41BB"/>
    <w:rsid w:val="00EA41C1"/>
    <w:rsid w:val="00EA41C7"/>
    <w:rsid w:val="00EA4209"/>
    <w:rsid w:val="00EA4276"/>
    <w:rsid w:val="00EA42AC"/>
    <w:rsid w:val="00EA42CF"/>
    <w:rsid w:val="00EA42EE"/>
    <w:rsid w:val="00EA42EF"/>
    <w:rsid w:val="00EA436F"/>
    <w:rsid w:val="00EA43B5"/>
    <w:rsid w:val="00EA445F"/>
    <w:rsid w:val="00EA446A"/>
    <w:rsid w:val="00EA447C"/>
    <w:rsid w:val="00EA44C1"/>
    <w:rsid w:val="00EA44CE"/>
    <w:rsid w:val="00EA45A9"/>
    <w:rsid w:val="00EA4627"/>
    <w:rsid w:val="00EA4692"/>
    <w:rsid w:val="00EA46CF"/>
    <w:rsid w:val="00EA472F"/>
    <w:rsid w:val="00EA47ED"/>
    <w:rsid w:val="00EA47F6"/>
    <w:rsid w:val="00EA486A"/>
    <w:rsid w:val="00EA48EA"/>
    <w:rsid w:val="00EA49E0"/>
    <w:rsid w:val="00EA49E5"/>
    <w:rsid w:val="00EA4A60"/>
    <w:rsid w:val="00EA4AD4"/>
    <w:rsid w:val="00EA4AF0"/>
    <w:rsid w:val="00EA4B48"/>
    <w:rsid w:val="00EA4B78"/>
    <w:rsid w:val="00EA4B7D"/>
    <w:rsid w:val="00EA4BA7"/>
    <w:rsid w:val="00EA4C1B"/>
    <w:rsid w:val="00EA4D1D"/>
    <w:rsid w:val="00EA4D6C"/>
    <w:rsid w:val="00EA4D89"/>
    <w:rsid w:val="00EA4D8E"/>
    <w:rsid w:val="00EA4DB9"/>
    <w:rsid w:val="00EA4DCB"/>
    <w:rsid w:val="00EA4DF6"/>
    <w:rsid w:val="00EA4F16"/>
    <w:rsid w:val="00EA4FC4"/>
    <w:rsid w:val="00EA4FFA"/>
    <w:rsid w:val="00EA5101"/>
    <w:rsid w:val="00EA5113"/>
    <w:rsid w:val="00EA5170"/>
    <w:rsid w:val="00EA5174"/>
    <w:rsid w:val="00EA51BB"/>
    <w:rsid w:val="00EA525D"/>
    <w:rsid w:val="00EA52AC"/>
    <w:rsid w:val="00EA52E4"/>
    <w:rsid w:val="00EA5468"/>
    <w:rsid w:val="00EA5525"/>
    <w:rsid w:val="00EA558E"/>
    <w:rsid w:val="00EA5619"/>
    <w:rsid w:val="00EA56F8"/>
    <w:rsid w:val="00EA5756"/>
    <w:rsid w:val="00EA576C"/>
    <w:rsid w:val="00EA578C"/>
    <w:rsid w:val="00EA5791"/>
    <w:rsid w:val="00EA57C3"/>
    <w:rsid w:val="00EA57E4"/>
    <w:rsid w:val="00EA585F"/>
    <w:rsid w:val="00EA5902"/>
    <w:rsid w:val="00EA5AAC"/>
    <w:rsid w:val="00EA5BB9"/>
    <w:rsid w:val="00EA5BE8"/>
    <w:rsid w:val="00EA5C61"/>
    <w:rsid w:val="00EA5CD5"/>
    <w:rsid w:val="00EA5D78"/>
    <w:rsid w:val="00EA5DF2"/>
    <w:rsid w:val="00EA5E3B"/>
    <w:rsid w:val="00EA5E4A"/>
    <w:rsid w:val="00EA5E92"/>
    <w:rsid w:val="00EA6027"/>
    <w:rsid w:val="00EA6090"/>
    <w:rsid w:val="00EA60C5"/>
    <w:rsid w:val="00EA60F6"/>
    <w:rsid w:val="00EA6129"/>
    <w:rsid w:val="00EA618E"/>
    <w:rsid w:val="00EA61A4"/>
    <w:rsid w:val="00EA622D"/>
    <w:rsid w:val="00EA630A"/>
    <w:rsid w:val="00EA638D"/>
    <w:rsid w:val="00EA63BA"/>
    <w:rsid w:val="00EA6497"/>
    <w:rsid w:val="00EA6541"/>
    <w:rsid w:val="00EA65BC"/>
    <w:rsid w:val="00EA663F"/>
    <w:rsid w:val="00EA6684"/>
    <w:rsid w:val="00EA66E3"/>
    <w:rsid w:val="00EA670C"/>
    <w:rsid w:val="00EA6724"/>
    <w:rsid w:val="00EA6809"/>
    <w:rsid w:val="00EA687D"/>
    <w:rsid w:val="00EA68BF"/>
    <w:rsid w:val="00EA6962"/>
    <w:rsid w:val="00EA6972"/>
    <w:rsid w:val="00EA6979"/>
    <w:rsid w:val="00EA69BC"/>
    <w:rsid w:val="00EA69FE"/>
    <w:rsid w:val="00EA6ACE"/>
    <w:rsid w:val="00EA6AE6"/>
    <w:rsid w:val="00EA6AEB"/>
    <w:rsid w:val="00EA6AED"/>
    <w:rsid w:val="00EA6B6E"/>
    <w:rsid w:val="00EA6B87"/>
    <w:rsid w:val="00EA6BAB"/>
    <w:rsid w:val="00EA6BF0"/>
    <w:rsid w:val="00EA6D1D"/>
    <w:rsid w:val="00EA6D89"/>
    <w:rsid w:val="00EA6DFD"/>
    <w:rsid w:val="00EA6EAF"/>
    <w:rsid w:val="00EA6EDF"/>
    <w:rsid w:val="00EA6EE8"/>
    <w:rsid w:val="00EA6F1C"/>
    <w:rsid w:val="00EA6F41"/>
    <w:rsid w:val="00EA6F5E"/>
    <w:rsid w:val="00EA70E3"/>
    <w:rsid w:val="00EA7158"/>
    <w:rsid w:val="00EA71CA"/>
    <w:rsid w:val="00EA724C"/>
    <w:rsid w:val="00EA7313"/>
    <w:rsid w:val="00EA7336"/>
    <w:rsid w:val="00EA7393"/>
    <w:rsid w:val="00EA7532"/>
    <w:rsid w:val="00EA7552"/>
    <w:rsid w:val="00EA75B9"/>
    <w:rsid w:val="00EA7606"/>
    <w:rsid w:val="00EA765B"/>
    <w:rsid w:val="00EA76D4"/>
    <w:rsid w:val="00EA7756"/>
    <w:rsid w:val="00EA7793"/>
    <w:rsid w:val="00EA779C"/>
    <w:rsid w:val="00EA7828"/>
    <w:rsid w:val="00EA7857"/>
    <w:rsid w:val="00EA78F3"/>
    <w:rsid w:val="00EA7900"/>
    <w:rsid w:val="00EA79AF"/>
    <w:rsid w:val="00EA7A0A"/>
    <w:rsid w:val="00EA7A5C"/>
    <w:rsid w:val="00EA7ABD"/>
    <w:rsid w:val="00EA7AD4"/>
    <w:rsid w:val="00EA7C2D"/>
    <w:rsid w:val="00EA7CA9"/>
    <w:rsid w:val="00EA7DE9"/>
    <w:rsid w:val="00EA7E16"/>
    <w:rsid w:val="00EA7E48"/>
    <w:rsid w:val="00EA7F0F"/>
    <w:rsid w:val="00EA7F85"/>
    <w:rsid w:val="00EA7FA3"/>
    <w:rsid w:val="00EA7FD8"/>
    <w:rsid w:val="00EB0096"/>
    <w:rsid w:val="00EB00CF"/>
    <w:rsid w:val="00EB0229"/>
    <w:rsid w:val="00EB0239"/>
    <w:rsid w:val="00EB02DB"/>
    <w:rsid w:val="00EB0316"/>
    <w:rsid w:val="00EB0374"/>
    <w:rsid w:val="00EB03B2"/>
    <w:rsid w:val="00EB03E3"/>
    <w:rsid w:val="00EB040F"/>
    <w:rsid w:val="00EB0412"/>
    <w:rsid w:val="00EB043E"/>
    <w:rsid w:val="00EB0571"/>
    <w:rsid w:val="00EB05F0"/>
    <w:rsid w:val="00EB0698"/>
    <w:rsid w:val="00EB074F"/>
    <w:rsid w:val="00EB078B"/>
    <w:rsid w:val="00EB07E2"/>
    <w:rsid w:val="00EB08E5"/>
    <w:rsid w:val="00EB08F4"/>
    <w:rsid w:val="00EB094F"/>
    <w:rsid w:val="00EB096F"/>
    <w:rsid w:val="00EB09D9"/>
    <w:rsid w:val="00EB0A17"/>
    <w:rsid w:val="00EB0A98"/>
    <w:rsid w:val="00EB0B12"/>
    <w:rsid w:val="00EB0BD1"/>
    <w:rsid w:val="00EB0BDA"/>
    <w:rsid w:val="00EB0DEA"/>
    <w:rsid w:val="00EB0F8C"/>
    <w:rsid w:val="00EB0FB9"/>
    <w:rsid w:val="00EB0FC9"/>
    <w:rsid w:val="00EB0FFD"/>
    <w:rsid w:val="00EB104A"/>
    <w:rsid w:val="00EB10CE"/>
    <w:rsid w:val="00EB10E8"/>
    <w:rsid w:val="00EB117C"/>
    <w:rsid w:val="00EB1181"/>
    <w:rsid w:val="00EB11FC"/>
    <w:rsid w:val="00EB123B"/>
    <w:rsid w:val="00EB13CC"/>
    <w:rsid w:val="00EB13D6"/>
    <w:rsid w:val="00EB1437"/>
    <w:rsid w:val="00EB1486"/>
    <w:rsid w:val="00EB14E7"/>
    <w:rsid w:val="00EB159F"/>
    <w:rsid w:val="00EB1601"/>
    <w:rsid w:val="00EB1659"/>
    <w:rsid w:val="00EB168B"/>
    <w:rsid w:val="00EB16E3"/>
    <w:rsid w:val="00EB17F0"/>
    <w:rsid w:val="00EB180E"/>
    <w:rsid w:val="00EB19D3"/>
    <w:rsid w:val="00EB1A65"/>
    <w:rsid w:val="00EB1B3F"/>
    <w:rsid w:val="00EB1B7B"/>
    <w:rsid w:val="00EB1BD4"/>
    <w:rsid w:val="00EB1BD5"/>
    <w:rsid w:val="00EB1C9C"/>
    <w:rsid w:val="00EB1E56"/>
    <w:rsid w:val="00EB1E5C"/>
    <w:rsid w:val="00EB1E6C"/>
    <w:rsid w:val="00EB1F5D"/>
    <w:rsid w:val="00EB1F63"/>
    <w:rsid w:val="00EB1F64"/>
    <w:rsid w:val="00EB1FCF"/>
    <w:rsid w:val="00EB2058"/>
    <w:rsid w:val="00EB20A9"/>
    <w:rsid w:val="00EB20E6"/>
    <w:rsid w:val="00EB2132"/>
    <w:rsid w:val="00EB2197"/>
    <w:rsid w:val="00EB21A3"/>
    <w:rsid w:val="00EB225B"/>
    <w:rsid w:val="00EB22CD"/>
    <w:rsid w:val="00EB2327"/>
    <w:rsid w:val="00EB2379"/>
    <w:rsid w:val="00EB23D2"/>
    <w:rsid w:val="00EB2437"/>
    <w:rsid w:val="00EB2531"/>
    <w:rsid w:val="00EB25A5"/>
    <w:rsid w:val="00EB267B"/>
    <w:rsid w:val="00EB26A2"/>
    <w:rsid w:val="00EB26AB"/>
    <w:rsid w:val="00EB2718"/>
    <w:rsid w:val="00EB2796"/>
    <w:rsid w:val="00EB27BC"/>
    <w:rsid w:val="00EB27D4"/>
    <w:rsid w:val="00EB27E8"/>
    <w:rsid w:val="00EB288A"/>
    <w:rsid w:val="00EB28C6"/>
    <w:rsid w:val="00EB28E7"/>
    <w:rsid w:val="00EB2997"/>
    <w:rsid w:val="00EB29C8"/>
    <w:rsid w:val="00EB2C25"/>
    <w:rsid w:val="00EB2CEA"/>
    <w:rsid w:val="00EB2D5A"/>
    <w:rsid w:val="00EB2D88"/>
    <w:rsid w:val="00EB2DA2"/>
    <w:rsid w:val="00EB2E24"/>
    <w:rsid w:val="00EB2F5B"/>
    <w:rsid w:val="00EB2F78"/>
    <w:rsid w:val="00EB30AD"/>
    <w:rsid w:val="00EB3109"/>
    <w:rsid w:val="00EB3155"/>
    <w:rsid w:val="00EB3158"/>
    <w:rsid w:val="00EB3174"/>
    <w:rsid w:val="00EB31BE"/>
    <w:rsid w:val="00EB333A"/>
    <w:rsid w:val="00EB333B"/>
    <w:rsid w:val="00EB3390"/>
    <w:rsid w:val="00EB3517"/>
    <w:rsid w:val="00EB3581"/>
    <w:rsid w:val="00EB3597"/>
    <w:rsid w:val="00EB3685"/>
    <w:rsid w:val="00EB369E"/>
    <w:rsid w:val="00EB36D3"/>
    <w:rsid w:val="00EB36E0"/>
    <w:rsid w:val="00EB371F"/>
    <w:rsid w:val="00EB3723"/>
    <w:rsid w:val="00EB3787"/>
    <w:rsid w:val="00EB380D"/>
    <w:rsid w:val="00EB3821"/>
    <w:rsid w:val="00EB388A"/>
    <w:rsid w:val="00EB399B"/>
    <w:rsid w:val="00EB39BC"/>
    <w:rsid w:val="00EB39F3"/>
    <w:rsid w:val="00EB39FA"/>
    <w:rsid w:val="00EB3A83"/>
    <w:rsid w:val="00EB3B22"/>
    <w:rsid w:val="00EB3BD7"/>
    <w:rsid w:val="00EB3C0B"/>
    <w:rsid w:val="00EB3D58"/>
    <w:rsid w:val="00EB3E42"/>
    <w:rsid w:val="00EB3E99"/>
    <w:rsid w:val="00EB3F3E"/>
    <w:rsid w:val="00EB3F4D"/>
    <w:rsid w:val="00EB4031"/>
    <w:rsid w:val="00EB405A"/>
    <w:rsid w:val="00EB4087"/>
    <w:rsid w:val="00EB409C"/>
    <w:rsid w:val="00EB41A9"/>
    <w:rsid w:val="00EB41D6"/>
    <w:rsid w:val="00EB4207"/>
    <w:rsid w:val="00EB4231"/>
    <w:rsid w:val="00EB423A"/>
    <w:rsid w:val="00EB428E"/>
    <w:rsid w:val="00EB42E3"/>
    <w:rsid w:val="00EB4318"/>
    <w:rsid w:val="00EB432E"/>
    <w:rsid w:val="00EB442E"/>
    <w:rsid w:val="00EB44BB"/>
    <w:rsid w:val="00EB451D"/>
    <w:rsid w:val="00EB4555"/>
    <w:rsid w:val="00EB4650"/>
    <w:rsid w:val="00EB46B5"/>
    <w:rsid w:val="00EB46E9"/>
    <w:rsid w:val="00EB47D3"/>
    <w:rsid w:val="00EB486F"/>
    <w:rsid w:val="00EB48CB"/>
    <w:rsid w:val="00EB48D7"/>
    <w:rsid w:val="00EB48FA"/>
    <w:rsid w:val="00EB4924"/>
    <w:rsid w:val="00EB4957"/>
    <w:rsid w:val="00EB4ACB"/>
    <w:rsid w:val="00EB4AEA"/>
    <w:rsid w:val="00EB4B4D"/>
    <w:rsid w:val="00EB4CA7"/>
    <w:rsid w:val="00EB4E76"/>
    <w:rsid w:val="00EB4F34"/>
    <w:rsid w:val="00EB4F91"/>
    <w:rsid w:val="00EB4FAC"/>
    <w:rsid w:val="00EB4FB7"/>
    <w:rsid w:val="00EB4FF0"/>
    <w:rsid w:val="00EB510D"/>
    <w:rsid w:val="00EB5194"/>
    <w:rsid w:val="00EB519D"/>
    <w:rsid w:val="00EB5288"/>
    <w:rsid w:val="00EB5293"/>
    <w:rsid w:val="00EB52BE"/>
    <w:rsid w:val="00EB5383"/>
    <w:rsid w:val="00EB5478"/>
    <w:rsid w:val="00EB548B"/>
    <w:rsid w:val="00EB548D"/>
    <w:rsid w:val="00EB54D6"/>
    <w:rsid w:val="00EB5511"/>
    <w:rsid w:val="00EB5588"/>
    <w:rsid w:val="00EB55A6"/>
    <w:rsid w:val="00EB5651"/>
    <w:rsid w:val="00EB56C8"/>
    <w:rsid w:val="00EB5731"/>
    <w:rsid w:val="00EB576D"/>
    <w:rsid w:val="00EB576E"/>
    <w:rsid w:val="00EB5A8C"/>
    <w:rsid w:val="00EB5A9C"/>
    <w:rsid w:val="00EB5B16"/>
    <w:rsid w:val="00EB5D35"/>
    <w:rsid w:val="00EB5D60"/>
    <w:rsid w:val="00EB5DA8"/>
    <w:rsid w:val="00EB5E95"/>
    <w:rsid w:val="00EB5ED7"/>
    <w:rsid w:val="00EB5EDD"/>
    <w:rsid w:val="00EB5F5F"/>
    <w:rsid w:val="00EB5F79"/>
    <w:rsid w:val="00EB5F95"/>
    <w:rsid w:val="00EB5FDB"/>
    <w:rsid w:val="00EB6038"/>
    <w:rsid w:val="00EB6180"/>
    <w:rsid w:val="00EB6190"/>
    <w:rsid w:val="00EB61EE"/>
    <w:rsid w:val="00EB6270"/>
    <w:rsid w:val="00EB6284"/>
    <w:rsid w:val="00EB62DE"/>
    <w:rsid w:val="00EB630A"/>
    <w:rsid w:val="00EB635C"/>
    <w:rsid w:val="00EB63DA"/>
    <w:rsid w:val="00EB63F6"/>
    <w:rsid w:val="00EB6485"/>
    <w:rsid w:val="00EB64B8"/>
    <w:rsid w:val="00EB6506"/>
    <w:rsid w:val="00EB656C"/>
    <w:rsid w:val="00EB660F"/>
    <w:rsid w:val="00EB6663"/>
    <w:rsid w:val="00EB66EF"/>
    <w:rsid w:val="00EB6709"/>
    <w:rsid w:val="00EB673B"/>
    <w:rsid w:val="00EB684F"/>
    <w:rsid w:val="00EB68AD"/>
    <w:rsid w:val="00EB695D"/>
    <w:rsid w:val="00EB69BD"/>
    <w:rsid w:val="00EB69C0"/>
    <w:rsid w:val="00EB6A32"/>
    <w:rsid w:val="00EB6A88"/>
    <w:rsid w:val="00EB6A94"/>
    <w:rsid w:val="00EB6AD6"/>
    <w:rsid w:val="00EB6AF2"/>
    <w:rsid w:val="00EB6AF7"/>
    <w:rsid w:val="00EB6BC0"/>
    <w:rsid w:val="00EB6C3E"/>
    <w:rsid w:val="00EB6D22"/>
    <w:rsid w:val="00EB6D9F"/>
    <w:rsid w:val="00EB6DCD"/>
    <w:rsid w:val="00EB6E51"/>
    <w:rsid w:val="00EB6E83"/>
    <w:rsid w:val="00EB6ED0"/>
    <w:rsid w:val="00EB6EF2"/>
    <w:rsid w:val="00EB6F5D"/>
    <w:rsid w:val="00EB6FDC"/>
    <w:rsid w:val="00EB6FE1"/>
    <w:rsid w:val="00EB7010"/>
    <w:rsid w:val="00EB7023"/>
    <w:rsid w:val="00EB709C"/>
    <w:rsid w:val="00EB7123"/>
    <w:rsid w:val="00EB719D"/>
    <w:rsid w:val="00EB71B3"/>
    <w:rsid w:val="00EB71CF"/>
    <w:rsid w:val="00EB7272"/>
    <w:rsid w:val="00EB72B9"/>
    <w:rsid w:val="00EB72FB"/>
    <w:rsid w:val="00EB7370"/>
    <w:rsid w:val="00EB7505"/>
    <w:rsid w:val="00EB754D"/>
    <w:rsid w:val="00EB75B2"/>
    <w:rsid w:val="00EB761C"/>
    <w:rsid w:val="00EB765C"/>
    <w:rsid w:val="00EB76A4"/>
    <w:rsid w:val="00EB782F"/>
    <w:rsid w:val="00EB7863"/>
    <w:rsid w:val="00EB796A"/>
    <w:rsid w:val="00EB79D2"/>
    <w:rsid w:val="00EB7A07"/>
    <w:rsid w:val="00EB7A15"/>
    <w:rsid w:val="00EB7A3C"/>
    <w:rsid w:val="00EB7A51"/>
    <w:rsid w:val="00EB7A85"/>
    <w:rsid w:val="00EB7AC3"/>
    <w:rsid w:val="00EB7AC7"/>
    <w:rsid w:val="00EB7B5A"/>
    <w:rsid w:val="00EB7BC9"/>
    <w:rsid w:val="00EB7C1D"/>
    <w:rsid w:val="00EB7C94"/>
    <w:rsid w:val="00EB7CB6"/>
    <w:rsid w:val="00EB7CD0"/>
    <w:rsid w:val="00EB7DE2"/>
    <w:rsid w:val="00EB7E2D"/>
    <w:rsid w:val="00EB7EE3"/>
    <w:rsid w:val="00EB7EF2"/>
    <w:rsid w:val="00EB7F14"/>
    <w:rsid w:val="00EB7F2E"/>
    <w:rsid w:val="00EC005F"/>
    <w:rsid w:val="00EC0093"/>
    <w:rsid w:val="00EC0152"/>
    <w:rsid w:val="00EC0227"/>
    <w:rsid w:val="00EC024E"/>
    <w:rsid w:val="00EC034E"/>
    <w:rsid w:val="00EC039E"/>
    <w:rsid w:val="00EC03E2"/>
    <w:rsid w:val="00EC043A"/>
    <w:rsid w:val="00EC04DB"/>
    <w:rsid w:val="00EC0573"/>
    <w:rsid w:val="00EC0787"/>
    <w:rsid w:val="00EC07D6"/>
    <w:rsid w:val="00EC085D"/>
    <w:rsid w:val="00EC086F"/>
    <w:rsid w:val="00EC0886"/>
    <w:rsid w:val="00EC08C8"/>
    <w:rsid w:val="00EC08FC"/>
    <w:rsid w:val="00EC095D"/>
    <w:rsid w:val="00EC098F"/>
    <w:rsid w:val="00EC09F5"/>
    <w:rsid w:val="00EC0A0F"/>
    <w:rsid w:val="00EC0A3D"/>
    <w:rsid w:val="00EC0A9A"/>
    <w:rsid w:val="00EC0B07"/>
    <w:rsid w:val="00EC0BC4"/>
    <w:rsid w:val="00EC0DF0"/>
    <w:rsid w:val="00EC0E4B"/>
    <w:rsid w:val="00EC0EF5"/>
    <w:rsid w:val="00EC0F98"/>
    <w:rsid w:val="00EC0FAC"/>
    <w:rsid w:val="00EC101A"/>
    <w:rsid w:val="00EC1022"/>
    <w:rsid w:val="00EC104B"/>
    <w:rsid w:val="00EC10C3"/>
    <w:rsid w:val="00EC10E3"/>
    <w:rsid w:val="00EC10ED"/>
    <w:rsid w:val="00EC1146"/>
    <w:rsid w:val="00EC1207"/>
    <w:rsid w:val="00EC12A3"/>
    <w:rsid w:val="00EC1306"/>
    <w:rsid w:val="00EC1381"/>
    <w:rsid w:val="00EC1463"/>
    <w:rsid w:val="00EC14BB"/>
    <w:rsid w:val="00EC1591"/>
    <w:rsid w:val="00EC15B1"/>
    <w:rsid w:val="00EC160B"/>
    <w:rsid w:val="00EC169B"/>
    <w:rsid w:val="00EC16CA"/>
    <w:rsid w:val="00EC16CE"/>
    <w:rsid w:val="00EC1756"/>
    <w:rsid w:val="00EC1795"/>
    <w:rsid w:val="00EC17D9"/>
    <w:rsid w:val="00EC18C7"/>
    <w:rsid w:val="00EC192F"/>
    <w:rsid w:val="00EC1954"/>
    <w:rsid w:val="00EC19A3"/>
    <w:rsid w:val="00EC1A01"/>
    <w:rsid w:val="00EC1A99"/>
    <w:rsid w:val="00EC1ABF"/>
    <w:rsid w:val="00EC1BAD"/>
    <w:rsid w:val="00EC1BCE"/>
    <w:rsid w:val="00EC1C96"/>
    <w:rsid w:val="00EC1C9E"/>
    <w:rsid w:val="00EC1D5A"/>
    <w:rsid w:val="00EC1DE9"/>
    <w:rsid w:val="00EC1E39"/>
    <w:rsid w:val="00EC1E58"/>
    <w:rsid w:val="00EC1EB5"/>
    <w:rsid w:val="00EC1ECB"/>
    <w:rsid w:val="00EC1EF6"/>
    <w:rsid w:val="00EC1F4E"/>
    <w:rsid w:val="00EC1F7F"/>
    <w:rsid w:val="00EC1FB8"/>
    <w:rsid w:val="00EC1FCB"/>
    <w:rsid w:val="00EC1FEA"/>
    <w:rsid w:val="00EC1FEE"/>
    <w:rsid w:val="00EC207A"/>
    <w:rsid w:val="00EC2314"/>
    <w:rsid w:val="00EC2336"/>
    <w:rsid w:val="00EC23AE"/>
    <w:rsid w:val="00EC24CD"/>
    <w:rsid w:val="00EC25E7"/>
    <w:rsid w:val="00EC261C"/>
    <w:rsid w:val="00EC2650"/>
    <w:rsid w:val="00EC268E"/>
    <w:rsid w:val="00EC2708"/>
    <w:rsid w:val="00EC2846"/>
    <w:rsid w:val="00EC28CF"/>
    <w:rsid w:val="00EC28FC"/>
    <w:rsid w:val="00EC2974"/>
    <w:rsid w:val="00EC29AE"/>
    <w:rsid w:val="00EC2A06"/>
    <w:rsid w:val="00EC2A36"/>
    <w:rsid w:val="00EC2B2A"/>
    <w:rsid w:val="00EC2B4D"/>
    <w:rsid w:val="00EC2B81"/>
    <w:rsid w:val="00EC2BE3"/>
    <w:rsid w:val="00EC2C64"/>
    <w:rsid w:val="00EC2CD9"/>
    <w:rsid w:val="00EC2D53"/>
    <w:rsid w:val="00EC2E53"/>
    <w:rsid w:val="00EC2E5F"/>
    <w:rsid w:val="00EC2E6E"/>
    <w:rsid w:val="00EC2E8D"/>
    <w:rsid w:val="00EC2F3D"/>
    <w:rsid w:val="00EC2FE3"/>
    <w:rsid w:val="00EC30A4"/>
    <w:rsid w:val="00EC3129"/>
    <w:rsid w:val="00EC3178"/>
    <w:rsid w:val="00EC31B9"/>
    <w:rsid w:val="00EC31C4"/>
    <w:rsid w:val="00EC31F4"/>
    <w:rsid w:val="00EC32B5"/>
    <w:rsid w:val="00EC32CF"/>
    <w:rsid w:val="00EC3348"/>
    <w:rsid w:val="00EC3392"/>
    <w:rsid w:val="00EC33A0"/>
    <w:rsid w:val="00EC33DE"/>
    <w:rsid w:val="00EC34BB"/>
    <w:rsid w:val="00EC3511"/>
    <w:rsid w:val="00EC351E"/>
    <w:rsid w:val="00EC36AA"/>
    <w:rsid w:val="00EC373C"/>
    <w:rsid w:val="00EC3786"/>
    <w:rsid w:val="00EC378E"/>
    <w:rsid w:val="00EC38E2"/>
    <w:rsid w:val="00EC38E8"/>
    <w:rsid w:val="00EC39FF"/>
    <w:rsid w:val="00EC3A29"/>
    <w:rsid w:val="00EC3A5E"/>
    <w:rsid w:val="00EC3A60"/>
    <w:rsid w:val="00EC3AD1"/>
    <w:rsid w:val="00EC3B26"/>
    <w:rsid w:val="00EC3B50"/>
    <w:rsid w:val="00EC3B77"/>
    <w:rsid w:val="00EC3B89"/>
    <w:rsid w:val="00EC3B98"/>
    <w:rsid w:val="00EC3C98"/>
    <w:rsid w:val="00EC3CF5"/>
    <w:rsid w:val="00EC3DA2"/>
    <w:rsid w:val="00EC3F9D"/>
    <w:rsid w:val="00EC4027"/>
    <w:rsid w:val="00EC402E"/>
    <w:rsid w:val="00EC4074"/>
    <w:rsid w:val="00EC4089"/>
    <w:rsid w:val="00EC417D"/>
    <w:rsid w:val="00EC41DB"/>
    <w:rsid w:val="00EC428A"/>
    <w:rsid w:val="00EC42C4"/>
    <w:rsid w:val="00EC433E"/>
    <w:rsid w:val="00EC4351"/>
    <w:rsid w:val="00EC4365"/>
    <w:rsid w:val="00EC440E"/>
    <w:rsid w:val="00EC441C"/>
    <w:rsid w:val="00EC4468"/>
    <w:rsid w:val="00EC44A9"/>
    <w:rsid w:val="00EC44F4"/>
    <w:rsid w:val="00EC4539"/>
    <w:rsid w:val="00EC4584"/>
    <w:rsid w:val="00EC467D"/>
    <w:rsid w:val="00EC46C6"/>
    <w:rsid w:val="00EC47F0"/>
    <w:rsid w:val="00EC4836"/>
    <w:rsid w:val="00EC485D"/>
    <w:rsid w:val="00EC487C"/>
    <w:rsid w:val="00EC48B6"/>
    <w:rsid w:val="00EC48B7"/>
    <w:rsid w:val="00EC4924"/>
    <w:rsid w:val="00EC4960"/>
    <w:rsid w:val="00EC49D1"/>
    <w:rsid w:val="00EC49F8"/>
    <w:rsid w:val="00EC4A7D"/>
    <w:rsid w:val="00EC4B51"/>
    <w:rsid w:val="00EC4BFE"/>
    <w:rsid w:val="00EC4C75"/>
    <w:rsid w:val="00EC4CC9"/>
    <w:rsid w:val="00EC4D04"/>
    <w:rsid w:val="00EC4D8F"/>
    <w:rsid w:val="00EC4E1B"/>
    <w:rsid w:val="00EC4EA3"/>
    <w:rsid w:val="00EC4F88"/>
    <w:rsid w:val="00EC4F97"/>
    <w:rsid w:val="00EC4FD0"/>
    <w:rsid w:val="00EC5088"/>
    <w:rsid w:val="00EC50F6"/>
    <w:rsid w:val="00EC50FB"/>
    <w:rsid w:val="00EC510C"/>
    <w:rsid w:val="00EC5120"/>
    <w:rsid w:val="00EC5123"/>
    <w:rsid w:val="00EC5124"/>
    <w:rsid w:val="00EC513F"/>
    <w:rsid w:val="00EC5246"/>
    <w:rsid w:val="00EC5259"/>
    <w:rsid w:val="00EC5285"/>
    <w:rsid w:val="00EC52F5"/>
    <w:rsid w:val="00EC53EB"/>
    <w:rsid w:val="00EC5494"/>
    <w:rsid w:val="00EC549C"/>
    <w:rsid w:val="00EC54B2"/>
    <w:rsid w:val="00EC5510"/>
    <w:rsid w:val="00EC5563"/>
    <w:rsid w:val="00EC55B0"/>
    <w:rsid w:val="00EC55C5"/>
    <w:rsid w:val="00EC5615"/>
    <w:rsid w:val="00EC5669"/>
    <w:rsid w:val="00EC56CB"/>
    <w:rsid w:val="00EC570A"/>
    <w:rsid w:val="00EC575E"/>
    <w:rsid w:val="00EC579D"/>
    <w:rsid w:val="00EC57C6"/>
    <w:rsid w:val="00EC5843"/>
    <w:rsid w:val="00EC5895"/>
    <w:rsid w:val="00EC591B"/>
    <w:rsid w:val="00EC597D"/>
    <w:rsid w:val="00EC59D2"/>
    <w:rsid w:val="00EC5C30"/>
    <w:rsid w:val="00EC5C41"/>
    <w:rsid w:val="00EC5C64"/>
    <w:rsid w:val="00EC5CCB"/>
    <w:rsid w:val="00EC5CDD"/>
    <w:rsid w:val="00EC5CF8"/>
    <w:rsid w:val="00EC5D59"/>
    <w:rsid w:val="00EC5E7B"/>
    <w:rsid w:val="00EC5EC4"/>
    <w:rsid w:val="00EC5F2F"/>
    <w:rsid w:val="00EC5FD4"/>
    <w:rsid w:val="00EC5FDA"/>
    <w:rsid w:val="00EC5FE3"/>
    <w:rsid w:val="00EC5FFB"/>
    <w:rsid w:val="00EC600D"/>
    <w:rsid w:val="00EC604C"/>
    <w:rsid w:val="00EC6090"/>
    <w:rsid w:val="00EC609B"/>
    <w:rsid w:val="00EC6149"/>
    <w:rsid w:val="00EC61A3"/>
    <w:rsid w:val="00EC62B5"/>
    <w:rsid w:val="00EC62CE"/>
    <w:rsid w:val="00EC62D4"/>
    <w:rsid w:val="00EC6315"/>
    <w:rsid w:val="00EC637D"/>
    <w:rsid w:val="00EC645B"/>
    <w:rsid w:val="00EC6478"/>
    <w:rsid w:val="00EC64BE"/>
    <w:rsid w:val="00EC64CB"/>
    <w:rsid w:val="00EC653C"/>
    <w:rsid w:val="00EC65AE"/>
    <w:rsid w:val="00EC6626"/>
    <w:rsid w:val="00EC67A6"/>
    <w:rsid w:val="00EC689B"/>
    <w:rsid w:val="00EC68B0"/>
    <w:rsid w:val="00EC6903"/>
    <w:rsid w:val="00EC698E"/>
    <w:rsid w:val="00EC69DF"/>
    <w:rsid w:val="00EC6A38"/>
    <w:rsid w:val="00EC6B10"/>
    <w:rsid w:val="00EC6B25"/>
    <w:rsid w:val="00EC6B7A"/>
    <w:rsid w:val="00EC6BE9"/>
    <w:rsid w:val="00EC6C04"/>
    <w:rsid w:val="00EC6CB9"/>
    <w:rsid w:val="00EC6CBF"/>
    <w:rsid w:val="00EC6CCE"/>
    <w:rsid w:val="00EC6CDA"/>
    <w:rsid w:val="00EC6D9E"/>
    <w:rsid w:val="00EC6DFC"/>
    <w:rsid w:val="00EC6E87"/>
    <w:rsid w:val="00EC6E8D"/>
    <w:rsid w:val="00EC6E9B"/>
    <w:rsid w:val="00EC6EDA"/>
    <w:rsid w:val="00EC6F09"/>
    <w:rsid w:val="00EC6F77"/>
    <w:rsid w:val="00EC6F89"/>
    <w:rsid w:val="00EC6FA1"/>
    <w:rsid w:val="00EC7016"/>
    <w:rsid w:val="00EC701D"/>
    <w:rsid w:val="00EC7149"/>
    <w:rsid w:val="00EC71E2"/>
    <w:rsid w:val="00EC7262"/>
    <w:rsid w:val="00EC72DA"/>
    <w:rsid w:val="00EC7353"/>
    <w:rsid w:val="00EC7369"/>
    <w:rsid w:val="00EC738D"/>
    <w:rsid w:val="00EC73DE"/>
    <w:rsid w:val="00EC73E4"/>
    <w:rsid w:val="00EC7400"/>
    <w:rsid w:val="00EC7429"/>
    <w:rsid w:val="00EC74C2"/>
    <w:rsid w:val="00EC74EF"/>
    <w:rsid w:val="00EC74FB"/>
    <w:rsid w:val="00EC756A"/>
    <w:rsid w:val="00EC75D6"/>
    <w:rsid w:val="00EC75E8"/>
    <w:rsid w:val="00EC75EB"/>
    <w:rsid w:val="00EC75F2"/>
    <w:rsid w:val="00EC76F6"/>
    <w:rsid w:val="00EC7750"/>
    <w:rsid w:val="00EC7751"/>
    <w:rsid w:val="00EC7820"/>
    <w:rsid w:val="00EC784E"/>
    <w:rsid w:val="00EC7855"/>
    <w:rsid w:val="00EC789E"/>
    <w:rsid w:val="00EC78AF"/>
    <w:rsid w:val="00EC7966"/>
    <w:rsid w:val="00EC79E8"/>
    <w:rsid w:val="00EC79F1"/>
    <w:rsid w:val="00EC7A25"/>
    <w:rsid w:val="00EC7A36"/>
    <w:rsid w:val="00EC7AD4"/>
    <w:rsid w:val="00EC7B0E"/>
    <w:rsid w:val="00EC7B90"/>
    <w:rsid w:val="00EC7C02"/>
    <w:rsid w:val="00EC7C7C"/>
    <w:rsid w:val="00EC7D35"/>
    <w:rsid w:val="00EC7E8E"/>
    <w:rsid w:val="00EC7EB7"/>
    <w:rsid w:val="00EC7ED3"/>
    <w:rsid w:val="00EC7F91"/>
    <w:rsid w:val="00EC7FD4"/>
    <w:rsid w:val="00ED001C"/>
    <w:rsid w:val="00ED0053"/>
    <w:rsid w:val="00ED005B"/>
    <w:rsid w:val="00ED00C9"/>
    <w:rsid w:val="00ED010C"/>
    <w:rsid w:val="00ED019B"/>
    <w:rsid w:val="00ED019E"/>
    <w:rsid w:val="00ED01D2"/>
    <w:rsid w:val="00ED01E4"/>
    <w:rsid w:val="00ED02DB"/>
    <w:rsid w:val="00ED0302"/>
    <w:rsid w:val="00ED032D"/>
    <w:rsid w:val="00ED03E1"/>
    <w:rsid w:val="00ED03F1"/>
    <w:rsid w:val="00ED0429"/>
    <w:rsid w:val="00ED045A"/>
    <w:rsid w:val="00ED04FD"/>
    <w:rsid w:val="00ED0510"/>
    <w:rsid w:val="00ED0518"/>
    <w:rsid w:val="00ED0542"/>
    <w:rsid w:val="00ED058F"/>
    <w:rsid w:val="00ED06EC"/>
    <w:rsid w:val="00ED073E"/>
    <w:rsid w:val="00ED0749"/>
    <w:rsid w:val="00ED081C"/>
    <w:rsid w:val="00ED0845"/>
    <w:rsid w:val="00ED08B4"/>
    <w:rsid w:val="00ED08C1"/>
    <w:rsid w:val="00ED08D8"/>
    <w:rsid w:val="00ED08F9"/>
    <w:rsid w:val="00ED091E"/>
    <w:rsid w:val="00ED092D"/>
    <w:rsid w:val="00ED094C"/>
    <w:rsid w:val="00ED09AA"/>
    <w:rsid w:val="00ED09C4"/>
    <w:rsid w:val="00ED0A10"/>
    <w:rsid w:val="00ED0B4F"/>
    <w:rsid w:val="00ED0BF1"/>
    <w:rsid w:val="00ED0C8C"/>
    <w:rsid w:val="00ED0D19"/>
    <w:rsid w:val="00ED0D97"/>
    <w:rsid w:val="00ED0E29"/>
    <w:rsid w:val="00ED0E8E"/>
    <w:rsid w:val="00ED0EF2"/>
    <w:rsid w:val="00ED0F18"/>
    <w:rsid w:val="00ED0F5A"/>
    <w:rsid w:val="00ED0FCF"/>
    <w:rsid w:val="00ED0FE0"/>
    <w:rsid w:val="00ED106F"/>
    <w:rsid w:val="00ED1070"/>
    <w:rsid w:val="00ED108B"/>
    <w:rsid w:val="00ED10EF"/>
    <w:rsid w:val="00ED10FF"/>
    <w:rsid w:val="00ED1146"/>
    <w:rsid w:val="00ED114B"/>
    <w:rsid w:val="00ED1239"/>
    <w:rsid w:val="00ED1279"/>
    <w:rsid w:val="00ED12DA"/>
    <w:rsid w:val="00ED1303"/>
    <w:rsid w:val="00ED141D"/>
    <w:rsid w:val="00ED1461"/>
    <w:rsid w:val="00ED14CA"/>
    <w:rsid w:val="00ED150D"/>
    <w:rsid w:val="00ED15B5"/>
    <w:rsid w:val="00ED15EE"/>
    <w:rsid w:val="00ED1642"/>
    <w:rsid w:val="00ED1655"/>
    <w:rsid w:val="00ED165F"/>
    <w:rsid w:val="00ED16E7"/>
    <w:rsid w:val="00ED1713"/>
    <w:rsid w:val="00ED1719"/>
    <w:rsid w:val="00ED1793"/>
    <w:rsid w:val="00ED17DE"/>
    <w:rsid w:val="00ED1824"/>
    <w:rsid w:val="00ED185B"/>
    <w:rsid w:val="00ED1983"/>
    <w:rsid w:val="00ED1A3E"/>
    <w:rsid w:val="00ED1AC7"/>
    <w:rsid w:val="00ED1B36"/>
    <w:rsid w:val="00ED1B8D"/>
    <w:rsid w:val="00ED1C39"/>
    <w:rsid w:val="00ED1C95"/>
    <w:rsid w:val="00ED1CF3"/>
    <w:rsid w:val="00ED1D22"/>
    <w:rsid w:val="00ED1D4A"/>
    <w:rsid w:val="00ED1DE1"/>
    <w:rsid w:val="00ED1E29"/>
    <w:rsid w:val="00ED1E4C"/>
    <w:rsid w:val="00ED1E7B"/>
    <w:rsid w:val="00ED1F62"/>
    <w:rsid w:val="00ED1F76"/>
    <w:rsid w:val="00ED1FF5"/>
    <w:rsid w:val="00ED2057"/>
    <w:rsid w:val="00ED2136"/>
    <w:rsid w:val="00ED215B"/>
    <w:rsid w:val="00ED216B"/>
    <w:rsid w:val="00ED2194"/>
    <w:rsid w:val="00ED219B"/>
    <w:rsid w:val="00ED2256"/>
    <w:rsid w:val="00ED225C"/>
    <w:rsid w:val="00ED22B4"/>
    <w:rsid w:val="00ED22CE"/>
    <w:rsid w:val="00ED22F5"/>
    <w:rsid w:val="00ED230B"/>
    <w:rsid w:val="00ED2317"/>
    <w:rsid w:val="00ED2367"/>
    <w:rsid w:val="00ED2391"/>
    <w:rsid w:val="00ED23A5"/>
    <w:rsid w:val="00ED23B0"/>
    <w:rsid w:val="00ED2441"/>
    <w:rsid w:val="00ED246A"/>
    <w:rsid w:val="00ED251A"/>
    <w:rsid w:val="00ED253B"/>
    <w:rsid w:val="00ED253C"/>
    <w:rsid w:val="00ED2540"/>
    <w:rsid w:val="00ED2546"/>
    <w:rsid w:val="00ED2559"/>
    <w:rsid w:val="00ED25A0"/>
    <w:rsid w:val="00ED25FF"/>
    <w:rsid w:val="00ED2618"/>
    <w:rsid w:val="00ED2680"/>
    <w:rsid w:val="00ED2682"/>
    <w:rsid w:val="00ED269A"/>
    <w:rsid w:val="00ED26FA"/>
    <w:rsid w:val="00ED271A"/>
    <w:rsid w:val="00ED2748"/>
    <w:rsid w:val="00ED2805"/>
    <w:rsid w:val="00ED2874"/>
    <w:rsid w:val="00ED2941"/>
    <w:rsid w:val="00ED2982"/>
    <w:rsid w:val="00ED2A15"/>
    <w:rsid w:val="00ED2A4F"/>
    <w:rsid w:val="00ED2AE4"/>
    <w:rsid w:val="00ED2B74"/>
    <w:rsid w:val="00ED2B89"/>
    <w:rsid w:val="00ED2BC2"/>
    <w:rsid w:val="00ED2C03"/>
    <w:rsid w:val="00ED2C66"/>
    <w:rsid w:val="00ED2C77"/>
    <w:rsid w:val="00ED2D2F"/>
    <w:rsid w:val="00ED2D6D"/>
    <w:rsid w:val="00ED2D7A"/>
    <w:rsid w:val="00ED2DFE"/>
    <w:rsid w:val="00ED2EA4"/>
    <w:rsid w:val="00ED2F12"/>
    <w:rsid w:val="00ED2F62"/>
    <w:rsid w:val="00ED2F97"/>
    <w:rsid w:val="00ED30A5"/>
    <w:rsid w:val="00ED3144"/>
    <w:rsid w:val="00ED31E6"/>
    <w:rsid w:val="00ED31F2"/>
    <w:rsid w:val="00ED321C"/>
    <w:rsid w:val="00ED327F"/>
    <w:rsid w:val="00ED3498"/>
    <w:rsid w:val="00ED350D"/>
    <w:rsid w:val="00ED3569"/>
    <w:rsid w:val="00ED35D2"/>
    <w:rsid w:val="00ED3692"/>
    <w:rsid w:val="00ED36A9"/>
    <w:rsid w:val="00ED37DE"/>
    <w:rsid w:val="00ED3822"/>
    <w:rsid w:val="00ED3846"/>
    <w:rsid w:val="00ED3891"/>
    <w:rsid w:val="00ED39D4"/>
    <w:rsid w:val="00ED39F1"/>
    <w:rsid w:val="00ED3A15"/>
    <w:rsid w:val="00ED3B93"/>
    <w:rsid w:val="00ED3BA0"/>
    <w:rsid w:val="00ED3BA5"/>
    <w:rsid w:val="00ED3BDD"/>
    <w:rsid w:val="00ED3BE4"/>
    <w:rsid w:val="00ED3C55"/>
    <w:rsid w:val="00ED3CB1"/>
    <w:rsid w:val="00ED3CB8"/>
    <w:rsid w:val="00ED3D42"/>
    <w:rsid w:val="00ED3DC4"/>
    <w:rsid w:val="00ED3E53"/>
    <w:rsid w:val="00ED3EE6"/>
    <w:rsid w:val="00ED3F55"/>
    <w:rsid w:val="00ED3FFB"/>
    <w:rsid w:val="00ED4065"/>
    <w:rsid w:val="00ED406C"/>
    <w:rsid w:val="00ED4171"/>
    <w:rsid w:val="00ED4267"/>
    <w:rsid w:val="00ED428A"/>
    <w:rsid w:val="00ED4326"/>
    <w:rsid w:val="00ED437F"/>
    <w:rsid w:val="00ED43D1"/>
    <w:rsid w:val="00ED4436"/>
    <w:rsid w:val="00ED4503"/>
    <w:rsid w:val="00ED459E"/>
    <w:rsid w:val="00ED4646"/>
    <w:rsid w:val="00ED469F"/>
    <w:rsid w:val="00ED470C"/>
    <w:rsid w:val="00ED4719"/>
    <w:rsid w:val="00ED4780"/>
    <w:rsid w:val="00ED47D5"/>
    <w:rsid w:val="00ED47DA"/>
    <w:rsid w:val="00ED48F9"/>
    <w:rsid w:val="00ED4964"/>
    <w:rsid w:val="00ED4A00"/>
    <w:rsid w:val="00ED4A2B"/>
    <w:rsid w:val="00ED4AB3"/>
    <w:rsid w:val="00ED4B2A"/>
    <w:rsid w:val="00ED4B7F"/>
    <w:rsid w:val="00ED4C13"/>
    <w:rsid w:val="00ED4C20"/>
    <w:rsid w:val="00ED4C4F"/>
    <w:rsid w:val="00ED4C8C"/>
    <w:rsid w:val="00ED4CEC"/>
    <w:rsid w:val="00ED4D32"/>
    <w:rsid w:val="00ED4DA9"/>
    <w:rsid w:val="00ED4E52"/>
    <w:rsid w:val="00ED4E89"/>
    <w:rsid w:val="00ED4F1F"/>
    <w:rsid w:val="00ED4FA7"/>
    <w:rsid w:val="00ED504F"/>
    <w:rsid w:val="00ED5076"/>
    <w:rsid w:val="00ED50C6"/>
    <w:rsid w:val="00ED50E3"/>
    <w:rsid w:val="00ED5164"/>
    <w:rsid w:val="00ED517F"/>
    <w:rsid w:val="00ED51C7"/>
    <w:rsid w:val="00ED51C8"/>
    <w:rsid w:val="00ED5252"/>
    <w:rsid w:val="00ED52AA"/>
    <w:rsid w:val="00ED5318"/>
    <w:rsid w:val="00ED5341"/>
    <w:rsid w:val="00ED537B"/>
    <w:rsid w:val="00ED5396"/>
    <w:rsid w:val="00ED53C1"/>
    <w:rsid w:val="00ED5643"/>
    <w:rsid w:val="00ED564A"/>
    <w:rsid w:val="00ED5687"/>
    <w:rsid w:val="00ED569E"/>
    <w:rsid w:val="00ED56F8"/>
    <w:rsid w:val="00ED5743"/>
    <w:rsid w:val="00ED5804"/>
    <w:rsid w:val="00ED591B"/>
    <w:rsid w:val="00ED59A3"/>
    <w:rsid w:val="00ED59C3"/>
    <w:rsid w:val="00ED59C8"/>
    <w:rsid w:val="00ED59E5"/>
    <w:rsid w:val="00ED5A4C"/>
    <w:rsid w:val="00ED5ABE"/>
    <w:rsid w:val="00ED5AF8"/>
    <w:rsid w:val="00ED5B0B"/>
    <w:rsid w:val="00ED5B5D"/>
    <w:rsid w:val="00ED5B73"/>
    <w:rsid w:val="00ED5CA4"/>
    <w:rsid w:val="00ED5D61"/>
    <w:rsid w:val="00ED5D79"/>
    <w:rsid w:val="00ED5DCE"/>
    <w:rsid w:val="00ED5E06"/>
    <w:rsid w:val="00ED5E21"/>
    <w:rsid w:val="00ED5E38"/>
    <w:rsid w:val="00ED5E79"/>
    <w:rsid w:val="00ED5E81"/>
    <w:rsid w:val="00ED5E86"/>
    <w:rsid w:val="00ED5EA3"/>
    <w:rsid w:val="00ED5EE9"/>
    <w:rsid w:val="00ED5F31"/>
    <w:rsid w:val="00ED5FF7"/>
    <w:rsid w:val="00ED600A"/>
    <w:rsid w:val="00ED6013"/>
    <w:rsid w:val="00ED60F8"/>
    <w:rsid w:val="00ED61DF"/>
    <w:rsid w:val="00ED628B"/>
    <w:rsid w:val="00ED629E"/>
    <w:rsid w:val="00ED6312"/>
    <w:rsid w:val="00ED6328"/>
    <w:rsid w:val="00ED6337"/>
    <w:rsid w:val="00ED6439"/>
    <w:rsid w:val="00ED644E"/>
    <w:rsid w:val="00ED64EF"/>
    <w:rsid w:val="00ED6569"/>
    <w:rsid w:val="00ED6575"/>
    <w:rsid w:val="00ED65AB"/>
    <w:rsid w:val="00ED6620"/>
    <w:rsid w:val="00ED66FF"/>
    <w:rsid w:val="00ED6703"/>
    <w:rsid w:val="00ED6760"/>
    <w:rsid w:val="00ED68B2"/>
    <w:rsid w:val="00ED69B8"/>
    <w:rsid w:val="00ED6A18"/>
    <w:rsid w:val="00ED6AE4"/>
    <w:rsid w:val="00ED6B58"/>
    <w:rsid w:val="00ED6B5B"/>
    <w:rsid w:val="00ED6B89"/>
    <w:rsid w:val="00ED6BDB"/>
    <w:rsid w:val="00ED6C0C"/>
    <w:rsid w:val="00ED6C8F"/>
    <w:rsid w:val="00ED6D7D"/>
    <w:rsid w:val="00ED6E84"/>
    <w:rsid w:val="00ED6F7B"/>
    <w:rsid w:val="00ED6F7E"/>
    <w:rsid w:val="00ED6FC5"/>
    <w:rsid w:val="00ED70A4"/>
    <w:rsid w:val="00ED70D5"/>
    <w:rsid w:val="00ED7132"/>
    <w:rsid w:val="00ED71E5"/>
    <w:rsid w:val="00ED721D"/>
    <w:rsid w:val="00ED7233"/>
    <w:rsid w:val="00ED7291"/>
    <w:rsid w:val="00ED7380"/>
    <w:rsid w:val="00ED7396"/>
    <w:rsid w:val="00ED7542"/>
    <w:rsid w:val="00ED7557"/>
    <w:rsid w:val="00ED75FA"/>
    <w:rsid w:val="00ED7613"/>
    <w:rsid w:val="00ED7623"/>
    <w:rsid w:val="00ED76BD"/>
    <w:rsid w:val="00ED76E4"/>
    <w:rsid w:val="00ED77AF"/>
    <w:rsid w:val="00ED77FC"/>
    <w:rsid w:val="00ED7822"/>
    <w:rsid w:val="00ED783C"/>
    <w:rsid w:val="00ED784F"/>
    <w:rsid w:val="00ED78B5"/>
    <w:rsid w:val="00ED790B"/>
    <w:rsid w:val="00ED79A3"/>
    <w:rsid w:val="00ED79DE"/>
    <w:rsid w:val="00ED7A9D"/>
    <w:rsid w:val="00ED7AA9"/>
    <w:rsid w:val="00ED7ABC"/>
    <w:rsid w:val="00ED7C59"/>
    <w:rsid w:val="00ED7D3D"/>
    <w:rsid w:val="00ED7D5F"/>
    <w:rsid w:val="00ED7DDF"/>
    <w:rsid w:val="00ED7E39"/>
    <w:rsid w:val="00ED7E46"/>
    <w:rsid w:val="00ED7E69"/>
    <w:rsid w:val="00ED7EAF"/>
    <w:rsid w:val="00EE0015"/>
    <w:rsid w:val="00EE0107"/>
    <w:rsid w:val="00EE01D8"/>
    <w:rsid w:val="00EE01DC"/>
    <w:rsid w:val="00EE01E9"/>
    <w:rsid w:val="00EE0357"/>
    <w:rsid w:val="00EE035F"/>
    <w:rsid w:val="00EE0386"/>
    <w:rsid w:val="00EE03C8"/>
    <w:rsid w:val="00EE040F"/>
    <w:rsid w:val="00EE04D8"/>
    <w:rsid w:val="00EE064C"/>
    <w:rsid w:val="00EE065B"/>
    <w:rsid w:val="00EE06A7"/>
    <w:rsid w:val="00EE06E9"/>
    <w:rsid w:val="00EE0743"/>
    <w:rsid w:val="00EE0774"/>
    <w:rsid w:val="00EE07D1"/>
    <w:rsid w:val="00EE0813"/>
    <w:rsid w:val="00EE0A4A"/>
    <w:rsid w:val="00EE0AAF"/>
    <w:rsid w:val="00EE0B5A"/>
    <w:rsid w:val="00EE0B64"/>
    <w:rsid w:val="00EE0C71"/>
    <w:rsid w:val="00EE0CDB"/>
    <w:rsid w:val="00EE0D2D"/>
    <w:rsid w:val="00EE0DEE"/>
    <w:rsid w:val="00EE0F70"/>
    <w:rsid w:val="00EE0FF3"/>
    <w:rsid w:val="00EE1027"/>
    <w:rsid w:val="00EE10A0"/>
    <w:rsid w:val="00EE10B5"/>
    <w:rsid w:val="00EE10C4"/>
    <w:rsid w:val="00EE121D"/>
    <w:rsid w:val="00EE136A"/>
    <w:rsid w:val="00EE140F"/>
    <w:rsid w:val="00EE144C"/>
    <w:rsid w:val="00EE1452"/>
    <w:rsid w:val="00EE150E"/>
    <w:rsid w:val="00EE1510"/>
    <w:rsid w:val="00EE1514"/>
    <w:rsid w:val="00EE1574"/>
    <w:rsid w:val="00EE15D3"/>
    <w:rsid w:val="00EE15E8"/>
    <w:rsid w:val="00EE15EA"/>
    <w:rsid w:val="00EE1610"/>
    <w:rsid w:val="00EE16CF"/>
    <w:rsid w:val="00EE16F6"/>
    <w:rsid w:val="00EE170B"/>
    <w:rsid w:val="00EE17D5"/>
    <w:rsid w:val="00EE17F1"/>
    <w:rsid w:val="00EE1815"/>
    <w:rsid w:val="00EE18B7"/>
    <w:rsid w:val="00EE1973"/>
    <w:rsid w:val="00EE197B"/>
    <w:rsid w:val="00EE197C"/>
    <w:rsid w:val="00EE1984"/>
    <w:rsid w:val="00EE19B3"/>
    <w:rsid w:val="00EE19B6"/>
    <w:rsid w:val="00EE19F0"/>
    <w:rsid w:val="00EE1A27"/>
    <w:rsid w:val="00EE1A2A"/>
    <w:rsid w:val="00EE1B03"/>
    <w:rsid w:val="00EE1B67"/>
    <w:rsid w:val="00EE1B68"/>
    <w:rsid w:val="00EE1B88"/>
    <w:rsid w:val="00EE1C1A"/>
    <w:rsid w:val="00EE1C36"/>
    <w:rsid w:val="00EE1C45"/>
    <w:rsid w:val="00EE1CC0"/>
    <w:rsid w:val="00EE1D30"/>
    <w:rsid w:val="00EE1D9E"/>
    <w:rsid w:val="00EE1DB2"/>
    <w:rsid w:val="00EE1DC3"/>
    <w:rsid w:val="00EE1DD9"/>
    <w:rsid w:val="00EE1F45"/>
    <w:rsid w:val="00EE1F5B"/>
    <w:rsid w:val="00EE1F88"/>
    <w:rsid w:val="00EE1F8C"/>
    <w:rsid w:val="00EE1FC5"/>
    <w:rsid w:val="00EE1FE2"/>
    <w:rsid w:val="00EE1FFB"/>
    <w:rsid w:val="00EE2075"/>
    <w:rsid w:val="00EE20D5"/>
    <w:rsid w:val="00EE213C"/>
    <w:rsid w:val="00EE2140"/>
    <w:rsid w:val="00EE2152"/>
    <w:rsid w:val="00EE216C"/>
    <w:rsid w:val="00EE2184"/>
    <w:rsid w:val="00EE2187"/>
    <w:rsid w:val="00EE21E5"/>
    <w:rsid w:val="00EE2244"/>
    <w:rsid w:val="00EE22CB"/>
    <w:rsid w:val="00EE22CC"/>
    <w:rsid w:val="00EE236A"/>
    <w:rsid w:val="00EE23A5"/>
    <w:rsid w:val="00EE240F"/>
    <w:rsid w:val="00EE251C"/>
    <w:rsid w:val="00EE2562"/>
    <w:rsid w:val="00EE2596"/>
    <w:rsid w:val="00EE272A"/>
    <w:rsid w:val="00EE27A4"/>
    <w:rsid w:val="00EE2821"/>
    <w:rsid w:val="00EE2824"/>
    <w:rsid w:val="00EE28BF"/>
    <w:rsid w:val="00EE2906"/>
    <w:rsid w:val="00EE29AB"/>
    <w:rsid w:val="00EE2A1B"/>
    <w:rsid w:val="00EE2A93"/>
    <w:rsid w:val="00EE2B17"/>
    <w:rsid w:val="00EE2B2C"/>
    <w:rsid w:val="00EE2B5F"/>
    <w:rsid w:val="00EE2BC3"/>
    <w:rsid w:val="00EE2BFD"/>
    <w:rsid w:val="00EE2DDC"/>
    <w:rsid w:val="00EE2F28"/>
    <w:rsid w:val="00EE2FD0"/>
    <w:rsid w:val="00EE2FDD"/>
    <w:rsid w:val="00EE300C"/>
    <w:rsid w:val="00EE30DB"/>
    <w:rsid w:val="00EE30DD"/>
    <w:rsid w:val="00EE3229"/>
    <w:rsid w:val="00EE32E1"/>
    <w:rsid w:val="00EE32FC"/>
    <w:rsid w:val="00EE330F"/>
    <w:rsid w:val="00EE3329"/>
    <w:rsid w:val="00EE33F5"/>
    <w:rsid w:val="00EE3429"/>
    <w:rsid w:val="00EE3461"/>
    <w:rsid w:val="00EE3513"/>
    <w:rsid w:val="00EE3553"/>
    <w:rsid w:val="00EE35D1"/>
    <w:rsid w:val="00EE3607"/>
    <w:rsid w:val="00EE36EB"/>
    <w:rsid w:val="00EE37D2"/>
    <w:rsid w:val="00EE37E0"/>
    <w:rsid w:val="00EE3835"/>
    <w:rsid w:val="00EE3846"/>
    <w:rsid w:val="00EE38C3"/>
    <w:rsid w:val="00EE38C7"/>
    <w:rsid w:val="00EE3939"/>
    <w:rsid w:val="00EE397E"/>
    <w:rsid w:val="00EE3B24"/>
    <w:rsid w:val="00EE3B37"/>
    <w:rsid w:val="00EE3B54"/>
    <w:rsid w:val="00EE3C45"/>
    <w:rsid w:val="00EE3C72"/>
    <w:rsid w:val="00EE3CF9"/>
    <w:rsid w:val="00EE3CFC"/>
    <w:rsid w:val="00EE3D1D"/>
    <w:rsid w:val="00EE3D68"/>
    <w:rsid w:val="00EE3E02"/>
    <w:rsid w:val="00EE3E56"/>
    <w:rsid w:val="00EE3EB1"/>
    <w:rsid w:val="00EE3F28"/>
    <w:rsid w:val="00EE3FF1"/>
    <w:rsid w:val="00EE4018"/>
    <w:rsid w:val="00EE4056"/>
    <w:rsid w:val="00EE41A3"/>
    <w:rsid w:val="00EE4209"/>
    <w:rsid w:val="00EE4490"/>
    <w:rsid w:val="00EE44D8"/>
    <w:rsid w:val="00EE44F4"/>
    <w:rsid w:val="00EE454E"/>
    <w:rsid w:val="00EE46A5"/>
    <w:rsid w:val="00EE46B0"/>
    <w:rsid w:val="00EE46BC"/>
    <w:rsid w:val="00EE4703"/>
    <w:rsid w:val="00EE470A"/>
    <w:rsid w:val="00EE473F"/>
    <w:rsid w:val="00EE47E2"/>
    <w:rsid w:val="00EE485C"/>
    <w:rsid w:val="00EE488C"/>
    <w:rsid w:val="00EE495E"/>
    <w:rsid w:val="00EE4977"/>
    <w:rsid w:val="00EE4994"/>
    <w:rsid w:val="00EE4A24"/>
    <w:rsid w:val="00EE4A56"/>
    <w:rsid w:val="00EE4BA7"/>
    <w:rsid w:val="00EE4C2B"/>
    <w:rsid w:val="00EE4CCA"/>
    <w:rsid w:val="00EE4CFA"/>
    <w:rsid w:val="00EE4D33"/>
    <w:rsid w:val="00EE4D48"/>
    <w:rsid w:val="00EE4DD7"/>
    <w:rsid w:val="00EE4E32"/>
    <w:rsid w:val="00EE4EEF"/>
    <w:rsid w:val="00EE4F73"/>
    <w:rsid w:val="00EE4F94"/>
    <w:rsid w:val="00EE4FF8"/>
    <w:rsid w:val="00EE503C"/>
    <w:rsid w:val="00EE5049"/>
    <w:rsid w:val="00EE505D"/>
    <w:rsid w:val="00EE50EA"/>
    <w:rsid w:val="00EE5113"/>
    <w:rsid w:val="00EE51BC"/>
    <w:rsid w:val="00EE520E"/>
    <w:rsid w:val="00EE523C"/>
    <w:rsid w:val="00EE5247"/>
    <w:rsid w:val="00EE5274"/>
    <w:rsid w:val="00EE538B"/>
    <w:rsid w:val="00EE53B7"/>
    <w:rsid w:val="00EE53D1"/>
    <w:rsid w:val="00EE53D4"/>
    <w:rsid w:val="00EE53EE"/>
    <w:rsid w:val="00EE542E"/>
    <w:rsid w:val="00EE543B"/>
    <w:rsid w:val="00EE5531"/>
    <w:rsid w:val="00EE554D"/>
    <w:rsid w:val="00EE5578"/>
    <w:rsid w:val="00EE55BE"/>
    <w:rsid w:val="00EE5627"/>
    <w:rsid w:val="00EE56FB"/>
    <w:rsid w:val="00EE571A"/>
    <w:rsid w:val="00EE57B3"/>
    <w:rsid w:val="00EE5816"/>
    <w:rsid w:val="00EE5A46"/>
    <w:rsid w:val="00EE5A69"/>
    <w:rsid w:val="00EE5A6F"/>
    <w:rsid w:val="00EE5AA7"/>
    <w:rsid w:val="00EE5BAF"/>
    <w:rsid w:val="00EE5BB3"/>
    <w:rsid w:val="00EE5BB7"/>
    <w:rsid w:val="00EE5CC3"/>
    <w:rsid w:val="00EE5CE4"/>
    <w:rsid w:val="00EE5CE8"/>
    <w:rsid w:val="00EE5D10"/>
    <w:rsid w:val="00EE5DA9"/>
    <w:rsid w:val="00EE5DDD"/>
    <w:rsid w:val="00EE5E3E"/>
    <w:rsid w:val="00EE5F85"/>
    <w:rsid w:val="00EE5FB0"/>
    <w:rsid w:val="00EE5FBA"/>
    <w:rsid w:val="00EE6268"/>
    <w:rsid w:val="00EE6288"/>
    <w:rsid w:val="00EE6299"/>
    <w:rsid w:val="00EE62C0"/>
    <w:rsid w:val="00EE63BA"/>
    <w:rsid w:val="00EE64C1"/>
    <w:rsid w:val="00EE64FB"/>
    <w:rsid w:val="00EE653E"/>
    <w:rsid w:val="00EE6555"/>
    <w:rsid w:val="00EE65CA"/>
    <w:rsid w:val="00EE65DB"/>
    <w:rsid w:val="00EE65E3"/>
    <w:rsid w:val="00EE66A5"/>
    <w:rsid w:val="00EE66B2"/>
    <w:rsid w:val="00EE6747"/>
    <w:rsid w:val="00EE679D"/>
    <w:rsid w:val="00EE67E9"/>
    <w:rsid w:val="00EE681A"/>
    <w:rsid w:val="00EE6832"/>
    <w:rsid w:val="00EE68A9"/>
    <w:rsid w:val="00EE6936"/>
    <w:rsid w:val="00EE6A75"/>
    <w:rsid w:val="00EE6B09"/>
    <w:rsid w:val="00EE6BD3"/>
    <w:rsid w:val="00EE6BDF"/>
    <w:rsid w:val="00EE6BF9"/>
    <w:rsid w:val="00EE6C58"/>
    <w:rsid w:val="00EE6D03"/>
    <w:rsid w:val="00EE6DCB"/>
    <w:rsid w:val="00EE6DD3"/>
    <w:rsid w:val="00EE6DDD"/>
    <w:rsid w:val="00EE6E2F"/>
    <w:rsid w:val="00EE6E52"/>
    <w:rsid w:val="00EE6EC5"/>
    <w:rsid w:val="00EE6ED9"/>
    <w:rsid w:val="00EE6F5D"/>
    <w:rsid w:val="00EE703C"/>
    <w:rsid w:val="00EE7056"/>
    <w:rsid w:val="00EE70E4"/>
    <w:rsid w:val="00EE718F"/>
    <w:rsid w:val="00EE71CE"/>
    <w:rsid w:val="00EE7257"/>
    <w:rsid w:val="00EE725A"/>
    <w:rsid w:val="00EE7312"/>
    <w:rsid w:val="00EE738A"/>
    <w:rsid w:val="00EE73AA"/>
    <w:rsid w:val="00EE73AB"/>
    <w:rsid w:val="00EE73E6"/>
    <w:rsid w:val="00EE7435"/>
    <w:rsid w:val="00EE7440"/>
    <w:rsid w:val="00EE749A"/>
    <w:rsid w:val="00EE74A3"/>
    <w:rsid w:val="00EE74AE"/>
    <w:rsid w:val="00EE74BB"/>
    <w:rsid w:val="00EE74D0"/>
    <w:rsid w:val="00EE7622"/>
    <w:rsid w:val="00EE7674"/>
    <w:rsid w:val="00EE7696"/>
    <w:rsid w:val="00EE7712"/>
    <w:rsid w:val="00EE771D"/>
    <w:rsid w:val="00EE7793"/>
    <w:rsid w:val="00EE77C0"/>
    <w:rsid w:val="00EE780F"/>
    <w:rsid w:val="00EE782F"/>
    <w:rsid w:val="00EE7840"/>
    <w:rsid w:val="00EE7927"/>
    <w:rsid w:val="00EE792D"/>
    <w:rsid w:val="00EE798B"/>
    <w:rsid w:val="00EE79FA"/>
    <w:rsid w:val="00EE7A9A"/>
    <w:rsid w:val="00EE7AC7"/>
    <w:rsid w:val="00EE7ADA"/>
    <w:rsid w:val="00EE7AE4"/>
    <w:rsid w:val="00EE7AFE"/>
    <w:rsid w:val="00EE7B1A"/>
    <w:rsid w:val="00EE7C41"/>
    <w:rsid w:val="00EE7CCA"/>
    <w:rsid w:val="00EE7D12"/>
    <w:rsid w:val="00EE7D3A"/>
    <w:rsid w:val="00EE7E3B"/>
    <w:rsid w:val="00EE7E4A"/>
    <w:rsid w:val="00EE7EFB"/>
    <w:rsid w:val="00EE7F64"/>
    <w:rsid w:val="00EF0002"/>
    <w:rsid w:val="00EF000D"/>
    <w:rsid w:val="00EF0017"/>
    <w:rsid w:val="00EF00EA"/>
    <w:rsid w:val="00EF0109"/>
    <w:rsid w:val="00EF0129"/>
    <w:rsid w:val="00EF0199"/>
    <w:rsid w:val="00EF01FA"/>
    <w:rsid w:val="00EF0206"/>
    <w:rsid w:val="00EF020F"/>
    <w:rsid w:val="00EF024A"/>
    <w:rsid w:val="00EF02A8"/>
    <w:rsid w:val="00EF0362"/>
    <w:rsid w:val="00EF03F2"/>
    <w:rsid w:val="00EF043A"/>
    <w:rsid w:val="00EF055C"/>
    <w:rsid w:val="00EF0625"/>
    <w:rsid w:val="00EF066B"/>
    <w:rsid w:val="00EF06A0"/>
    <w:rsid w:val="00EF06DA"/>
    <w:rsid w:val="00EF06E2"/>
    <w:rsid w:val="00EF06E9"/>
    <w:rsid w:val="00EF0783"/>
    <w:rsid w:val="00EF080D"/>
    <w:rsid w:val="00EF086D"/>
    <w:rsid w:val="00EF08B2"/>
    <w:rsid w:val="00EF08D4"/>
    <w:rsid w:val="00EF08F4"/>
    <w:rsid w:val="00EF0935"/>
    <w:rsid w:val="00EF09CE"/>
    <w:rsid w:val="00EF09E3"/>
    <w:rsid w:val="00EF0A01"/>
    <w:rsid w:val="00EF0A13"/>
    <w:rsid w:val="00EF0A85"/>
    <w:rsid w:val="00EF0B0E"/>
    <w:rsid w:val="00EF0BB8"/>
    <w:rsid w:val="00EF0BED"/>
    <w:rsid w:val="00EF0C7F"/>
    <w:rsid w:val="00EF0C8C"/>
    <w:rsid w:val="00EF0CC2"/>
    <w:rsid w:val="00EF0D4C"/>
    <w:rsid w:val="00EF0D89"/>
    <w:rsid w:val="00EF0DFA"/>
    <w:rsid w:val="00EF0EA8"/>
    <w:rsid w:val="00EF0F6D"/>
    <w:rsid w:val="00EF0F92"/>
    <w:rsid w:val="00EF0FFC"/>
    <w:rsid w:val="00EF1007"/>
    <w:rsid w:val="00EF107E"/>
    <w:rsid w:val="00EF10B4"/>
    <w:rsid w:val="00EF10C8"/>
    <w:rsid w:val="00EF1162"/>
    <w:rsid w:val="00EF119D"/>
    <w:rsid w:val="00EF11AF"/>
    <w:rsid w:val="00EF11C0"/>
    <w:rsid w:val="00EF11E9"/>
    <w:rsid w:val="00EF13B4"/>
    <w:rsid w:val="00EF147F"/>
    <w:rsid w:val="00EF15BA"/>
    <w:rsid w:val="00EF15D9"/>
    <w:rsid w:val="00EF1672"/>
    <w:rsid w:val="00EF1755"/>
    <w:rsid w:val="00EF175C"/>
    <w:rsid w:val="00EF1767"/>
    <w:rsid w:val="00EF176A"/>
    <w:rsid w:val="00EF1786"/>
    <w:rsid w:val="00EF17A1"/>
    <w:rsid w:val="00EF181D"/>
    <w:rsid w:val="00EF189A"/>
    <w:rsid w:val="00EF18C0"/>
    <w:rsid w:val="00EF19B4"/>
    <w:rsid w:val="00EF19F3"/>
    <w:rsid w:val="00EF1A05"/>
    <w:rsid w:val="00EF1A2B"/>
    <w:rsid w:val="00EF1AB8"/>
    <w:rsid w:val="00EF1AC9"/>
    <w:rsid w:val="00EF1B2A"/>
    <w:rsid w:val="00EF1C3A"/>
    <w:rsid w:val="00EF1C86"/>
    <w:rsid w:val="00EF1CE1"/>
    <w:rsid w:val="00EF1CF3"/>
    <w:rsid w:val="00EF1DB0"/>
    <w:rsid w:val="00EF1DE6"/>
    <w:rsid w:val="00EF1EB7"/>
    <w:rsid w:val="00EF1F94"/>
    <w:rsid w:val="00EF1FAE"/>
    <w:rsid w:val="00EF1FCD"/>
    <w:rsid w:val="00EF1FD6"/>
    <w:rsid w:val="00EF2114"/>
    <w:rsid w:val="00EF2190"/>
    <w:rsid w:val="00EF21B8"/>
    <w:rsid w:val="00EF21E5"/>
    <w:rsid w:val="00EF21F5"/>
    <w:rsid w:val="00EF2220"/>
    <w:rsid w:val="00EF2228"/>
    <w:rsid w:val="00EF225C"/>
    <w:rsid w:val="00EF226C"/>
    <w:rsid w:val="00EF2279"/>
    <w:rsid w:val="00EF227D"/>
    <w:rsid w:val="00EF22AD"/>
    <w:rsid w:val="00EF231C"/>
    <w:rsid w:val="00EF231E"/>
    <w:rsid w:val="00EF23A0"/>
    <w:rsid w:val="00EF23A3"/>
    <w:rsid w:val="00EF24AB"/>
    <w:rsid w:val="00EF24E1"/>
    <w:rsid w:val="00EF24F4"/>
    <w:rsid w:val="00EF2548"/>
    <w:rsid w:val="00EF2596"/>
    <w:rsid w:val="00EF2624"/>
    <w:rsid w:val="00EF2665"/>
    <w:rsid w:val="00EF26A5"/>
    <w:rsid w:val="00EF278A"/>
    <w:rsid w:val="00EF27AA"/>
    <w:rsid w:val="00EF2883"/>
    <w:rsid w:val="00EF2919"/>
    <w:rsid w:val="00EF29B2"/>
    <w:rsid w:val="00EF29B5"/>
    <w:rsid w:val="00EF2A04"/>
    <w:rsid w:val="00EF2A2D"/>
    <w:rsid w:val="00EF2A68"/>
    <w:rsid w:val="00EF2AB3"/>
    <w:rsid w:val="00EF2AC8"/>
    <w:rsid w:val="00EF2B81"/>
    <w:rsid w:val="00EF2BA6"/>
    <w:rsid w:val="00EF2C14"/>
    <w:rsid w:val="00EF2C8F"/>
    <w:rsid w:val="00EF2CF1"/>
    <w:rsid w:val="00EF2D0E"/>
    <w:rsid w:val="00EF2D27"/>
    <w:rsid w:val="00EF2E3C"/>
    <w:rsid w:val="00EF2ED6"/>
    <w:rsid w:val="00EF2F25"/>
    <w:rsid w:val="00EF2F39"/>
    <w:rsid w:val="00EF2F69"/>
    <w:rsid w:val="00EF301B"/>
    <w:rsid w:val="00EF305A"/>
    <w:rsid w:val="00EF311E"/>
    <w:rsid w:val="00EF3148"/>
    <w:rsid w:val="00EF318D"/>
    <w:rsid w:val="00EF32FA"/>
    <w:rsid w:val="00EF3338"/>
    <w:rsid w:val="00EF3347"/>
    <w:rsid w:val="00EF3364"/>
    <w:rsid w:val="00EF3423"/>
    <w:rsid w:val="00EF350D"/>
    <w:rsid w:val="00EF3563"/>
    <w:rsid w:val="00EF358E"/>
    <w:rsid w:val="00EF359D"/>
    <w:rsid w:val="00EF360B"/>
    <w:rsid w:val="00EF3638"/>
    <w:rsid w:val="00EF37FA"/>
    <w:rsid w:val="00EF381F"/>
    <w:rsid w:val="00EF384F"/>
    <w:rsid w:val="00EF386D"/>
    <w:rsid w:val="00EF3899"/>
    <w:rsid w:val="00EF38E1"/>
    <w:rsid w:val="00EF38E8"/>
    <w:rsid w:val="00EF390D"/>
    <w:rsid w:val="00EF3929"/>
    <w:rsid w:val="00EF392C"/>
    <w:rsid w:val="00EF39A7"/>
    <w:rsid w:val="00EF39D2"/>
    <w:rsid w:val="00EF3A6E"/>
    <w:rsid w:val="00EF3B97"/>
    <w:rsid w:val="00EF3BB6"/>
    <w:rsid w:val="00EF3BDB"/>
    <w:rsid w:val="00EF3BFC"/>
    <w:rsid w:val="00EF3C02"/>
    <w:rsid w:val="00EF3C11"/>
    <w:rsid w:val="00EF3C1F"/>
    <w:rsid w:val="00EF3C4E"/>
    <w:rsid w:val="00EF3C92"/>
    <w:rsid w:val="00EF3CD8"/>
    <w:rsid w:val="00EF3CE0"/>
    <w:rsid w:val="00EF3D2E"/>
    <w:rsid w:val="00EF3D58"/>
    <w:rsid w:val="00EF3D73"/>
    <w:rsid w:val="00EF3D74"/>
    <w:rsid w:val="00EF3F27"/>
    <w:rsid w:val="00EF4021"/>
    <w:rsid w:val="00EF4077"/>
    <w:rsid w:val="00EF407D"/>
    <w:rsid w:val="00EF4121"/>
    <w:rsid w:val="00EF41B5"/>
    <w:rsid w:val="00EF420E"/>
    <w:rsid w:val="00EF4258"/>
    <w:rsid w:val="00EF4262"/>
    <w:rsid w:val="00EF42AE"/>
    <w:rsid w:val="00EF4357"/>
    <w:rsid w:val="00EF43EC"/>
    <w:rsid w:val="00EF4501"/>
    <w:rsid w:val="00EF4593"/>
    <w:rsid w:val="00EF4631"/>
    <w:rsid w:val="00EF4645"/>
    <w:rsid w:val="00EF4670"/>
    <w:rsid w:val="00EF471D"/>
    <w:rsid w:val="00EF4746"/>
    <w:rsid w:val="00EF4753"/>
    <w:rsid w:val="00EF4819"/>
    <w:rsid w:val="00EF4841"/>
    <w:rsid w:val="00EF4862"/>
    <w:rsid w:val="00EF486F"/>
    <w:rsid w:val="00EF48A8"/>
    <w:rsid w:val="00EF49F3"/>
    <w:rsid w:val="00EF4A2C"/>
    <w:rsid w:val="00EF4A3A"/>
    <w:rsid w:val="00EF4AA7"/>
    <w:rsid w:val="00EF4BBA"/>
    <w:rsid w:val="00EF4BD2"/>
    <w:rsid w:val="00EF4BD6"/>
    <w:rsid w:val="00EF4C94"/>
    <w:rsid w:val="00EF4D00"/>
    <w:rsid w:val="00EF4D69"/>
    <w:rsid w:val="00EF4D86"/>
    <w:rsid w:val="00EF4DA4"/>
    <w:rsid w:val="00EF4E14"/>
    <w:rsid w:val="00EF4E51"/>
    <w:rsid w:val="00EF4EA5"/>
    <w:rsid w:val="00EF4FD5"/>
    <w:rsid w:val="00EF50B4"/>
    <w:rsid w:val="00EF518B"/>
    <w:rsid w:val="00EF51E5"/>
    <w:rsid w:val="00EF5213"/>
    <w:rsid w:val="00EF52B9"/>
    <w:rsid w:val="00EF52CC"/>
    <w:rsid w:val="00EF52E4"/>
    <w:rsid w:val="00EF53D1"/>
    <w:rsid w:val="00EF5423"/>
    <w:rsid w:val="00EF54E0"/>
    <w:rsid w:val="00EF5518"/>
    <w:rsid w:val="00EF56E0"/>
    <w:rsid w:val="00EF5751"/>
    <w:rsid w:val="00EF57CC"/>
    <w:rsid w:val="00EF581D"/>
    <w:rsid w:val="00EF58CB"/>
    <w:rsid w:val="00EF58E9"/>
    <w:rsid w:val="00EF5911"/>
    <w:rsid w:val="00EF5955"/>
    <w:rsid w:val="00EF5961"/>
    <w:rsid w:val="00EF59E4"/>
    <w:rsid w:val="00EF5A42"/>
    <w:rsid w:val="00EF5A6E"/>
    <w:rsid w:val="00EF5B58"/>
    <w:rsid w:val="00EF5B5D"/>
    <w:rsid w:val="00EF5BA7"/>
    <w:rsid w:val="00EF5BC7"/>
    <w:rsid w:val="00EF5BD9"/>
    <w:rsid w:val="00EF5C88"/>
    <w:rsid w:val="00EF5CDB"/>
    <w:rsid w:val="00EF5CF5"/>
    <w:rsid w:val="00EF5CF8"/>
    <w:rsid w:val="00EF5D2B"/>
    <w:rsid w:val="00EF5D67"/>
    <w:rsid w:val="00EF5DAE"/>
    <w:rsid w:val="00EF5E32"/>
    <w:rsid w:val="00EF6044"/>
    <w:rsid w:val="00EF621F"/>
    <w:rsid w:val="00EF627D"/>
    <w:rsid w:val="00EF62AB"/>
    <w:rsid w:val="00EF62B8"/>
    <w:rsid w:val="00EF62F9"/>
    <w:rsid w:val="00EF6309"/>
    <w:rsid w:val="00EF6369"/>
    <w:rsid w:val="00EF641F"/>
    <w:rsid w:val="00EF642D"/>
    <w:rsid w:val="00EF6453"/>
    <w:rsid w:val="00EF662C"/>
    <w:rsid w:val="00EF6666"/>
    <w:rsid w:val="00EF6752"/>
    <w:rsid w:val="00EF6764"/>
    <w:rsid w:val="00EF6850"/>
    <w:rsid w:val="00EF689E"/>
    <w:rsid w:val="00EF691B"/>
    <w:rsid w:val="00EF69DA"/>
    <w:rsid w:val="00EF6A26"/>
    <w:rsid w:val="00EF6A3F"/>
    <w:rsid w:val="00EF6A58"/>
    <w:rsid w:val="00EF6A70"/>
    <w:rsid w:val="00EF6A74"/>
    <w:rsid w:val="00EF6A8C"/>
    <w:rsid w:val="00EF6AFC"/>
    <w:rsid w:val="00EF6B2C"/>
    <w:rsid w:val="00EF6B70"/>
    <w:rsid w:val="00EF6B84"/>
    <w:rsid w:val="00EF6BA3"/>
    <w:rsid w:val="00EF6C37"/>
    <w:rsid w:val="00EF6C4C"/>
    <w:rsid w:val="00EF6CDE"/>
    <w:rsid w:val="00EF6CDF"/>
    <w:rsid w:val="00EF6D3C"/>
    <w:rsid w:val="00EF6D5B"/>
    <w:rsid w:val="00EF6D62"/>
    <w:rsid w:val="00EF6DAE"/>
    <w:rsid w:val="00EF6DBE"/>
    <w:rsid w:val="00EF6E04"/>
    <w:rsid w:val="00EF6EB7"/>
    <w:rsid w:val="00EF6F8A"/>
    <w:rsid w:val="00EF6FD2"/>
    <w:rsid w:val="00EF6FD7"/>
    <w:rsid w:val="00EF6FF8"/>
    <w:rsid w:val="00EF7063"/>
    <w:rsid w:val="00EF7084"/>
    <w:rsid w:val="00EF70B2"/>
    <w:rsid w:val="00EF7130"/>
    <w:rsid w:val="00EF7150"/>
    <w:rsid w:val="00EF71CA"/>
    <w:rsid w:val="00EF71E7"/>
    <w:rsid w:val="00EF71E9"/>
    <w:rsid w:val="00EF722D"/>
    <w:rsid w:val="00EF7253"/>
    <w:rsid w:val="00EF72A4"/>
    <w:rsid w:val="00EF72CC"/>
    <w:rsid w:val="00EF7338"/>
    <w:rsid w:val="00EF7369"/>
    <w:rsid w:val="00EF73A3"/>
    <w:rsid w:val="00EF73CC"/>
    <w:rsid w:val="00EF73F6"/>
    <w:rsid w:val="00EF7429"/>
    <w:rsid w:val="00EF744A"/>
    <w:rsid w:val="00EF751D"/>
    <w:rsid w:val="00EF754F"/>
    <w:rsid w:val="00EF7589"/>
    <w:rsid w:val="00EF762C"/>
    <w:rsid w:val="00EF7674"/>
    <w:rsid w:val="00EF7695"/>
    <w:rsid w:val="00EF788B"/>
    <w:rsid w:val="00EF78C6"/>
    <w:rsid w:val="00EF78EA"/>
    <w:rsid w:val="00EF7904"/>
    <w:rsid w:val="00EF7961"/>
    <w:rsid w:val="00EF7AA5"/>
    <w:rsid w:val="00EF7BCA"/>
    <w:rsid w:val="00EF7C10"/>
    <w:rsid w:val="00EF7CDD"/>
    <w:rsid w:val="00EF7DC5"/>
    <w:rsid w:val="00EF7EA9"/>
    <w:rsid w:val="00EF7ED8"/>
    <w:rsid w:val="00EF7EEA"/>
    <w:rsid w:val="00EF7F12"/>
    <w:rsid w:val="00EF7F2D"/>
    <w:rsid w:val="00EFF0B2"/>
    <w:rsid w:val="00F00050"/>
    <w:rsid w:val="00F00058"/>
    <w:rsid w:val="00F001CE"/>
    <w:rsid w:val="00F001F7"/>
    <w:rsid w:val="00F00271"/>
    <w:rsid w:val="00F0038D"/>
    <w:rsid w:val="00F0039B"/>
    <w:rsid w:val="00F003C2"/>
    <w:rsid w:val="00F0045C"/>
    <w:rsid w:val="00F00462"/>
    <w:rsid w:val="00F004ED"/>
    <w:rsid w:val="00F004F3"/>
    <w:rsid w:val="00F004FB"/>
    <w:rsid w:val="00F00505"/>
    <w:rsid w:val="00F00538"/>
    <w:rsid w:val="00F00657"/>
    <w:rsid w:val="00F0068F"/>
    <w:rsid w:val="00F006A1"/>
    <w:rsid w:val="00F0070D"/>
    <w:rsid w:val="00F00710"/>
    <w:rsid w:val="00F00780"/>
    <w:rsid w:val="00F007B0"/>
    <w:rsid w:val="00F007DE"/>
    <w:rsid w:val="00F007FD"/>
    <w:rsid w:val="00F00800"/>
    <w:rsid w:val="00F0086C"/>
    <w:rsid w:val="00F009D3"/>
    <w:rsid w:val="00F00A25"/>
    <w:rsid w:val="00F00A61"/>
    <w:rsid w:val="00F00AD0"/>
    <w:rsid w:val="00F00B93"/>
    <w:rsid w:val="00F00BB2"/>
    <w:rsid w:val="00F00CC5"/>
    <w:rsid w:val="00F00DC8"/>
    <w:rsid w:val="00F00E32"/>
    <w:rsid w:val="00F00E73"/>
    <w:rsid w:val="00F00FE8"/>
    <w:rsid w:val="00F010A0"/>
    <w:rsid w:val="00F010EF"/>
    <w:rsid w:val="00F01105"/>
    <w:rsid w:val="00F01106"/>
    <w:rsid w:val="00F01227"/>
    <w:rsid w:val="00F0122E"/>
    <w:rsid w:val="00F0124E"/>
    <w:rsid w:val="00F012CC"/>
    <w:rsid w:val="00F01312"/>
    <w:rsid w:val="00F01335"/>
    <w:rsid w:val="00F01381"/>
    <w:rsid w:val="00F013CB"/>
    <w:rsid w:val="00F013E3"/>
    <w:rsid w:val="00F013F7"/>
    <w:rsid w:val="00F01515"/>
    <w:rsid w:val="00F0156B"/>
    <w:rsid w:val="00F015B4"/>
    <w:rsid w:val="00F0161B"/>
    <w:rsid w:val="00F01630"/>
    <w:rsid w:val="00F01654"/>
    <w:rsid w:val="00F016D8"/>
    <w:rsid w:val="00F01735"/>
    <w:rsid w:val="00F01758"/>
    <w:rsid w:val="00F01780"/>
    <w:rsid w:val="00F0178A"/>
    <w:rsid w:val="00F01894"/>
    <w:rsid w:val="00F018CB"/>
    <w:rsid w:val="00F018FC"/>
    <w:rsid w:val="00F019FB"/>
    <w:rsid w:val="00F01AF4"/>
    <w:rsid w:val="00F01B0A"/>
    <w:rsid w:val="00F01BAF"/>
    <w:rsid w:val="00F01BDC"/>
    <w:rsid w:val="00F01CF2"/>
    <w:rsid w:val="00F01D86"/>
    <w:rsid w:val="00F01DD1"/>
    <w:rsid w:val="00F01E45"/>
    <w:rsid w:val="00F01EEC"/>
    <w:rsid w:val="00F01F1D"/>
    <w:rsid w:val="00F01FBE"/>
    <w:rsid w:val="00F0205E"/>
    <w:rsid w:val="00F020AD"/>
    <w:rsid w:val="00F020B1"/>
    <w:rsid w:val="00F020BE"/>
    <w:rsid w:val="00F020FE"/>
    <w:rsid w:val="00F0219F"/>
    <w:rsid w:val="00F021CB"/>
    <w:rsid w:val="00F02234"/>
    <w:rsid w:val="00F02249"/>
    <w:rsid w:val="00F022AB"/>
    <w:rsid w:val="00F022DB"/>
    <w:rsid w:val="00F02319"/>
    <w:rsid w:val="00F02330"/>
    <w:rsid w:val="00F02382"/>
    <w:rsid w:val="00F023CD"/>
    <w:rsid w:val="00F025C1"/>
    <w:rsid w:val="00F025C4"/>
    <w:rsid w:val="00F0263B"/>
    <w:rsid w:val="00F02748"/>
    <w:rsid w:val="00F02791"/>
    <w:rsid w:val="00F027E1"/>
    <w:rsid w:val="00F02880"/>
    <w:rsid w:val="00F028AA"/>
    <w:rsid w:val="00F02999"/>
    <w:rsid w:val="00F02A7B"/>
    <w:rsid w:val="00F02A8F"/>
    <w:rsid w:val="00F02AC9"/>
    <w:rsid w:val="00F02B1C"/>
    <w:rsid w:val="00F02B95"/>
    <w:rsid w:val="00F02C11"/>
    <w:rsid w:val="00F02C4B"/>
    <w:rsid w:val="00F02D5F"/>
    <w:rsid w:val="00F02D9F"/>
    <w:rsid w:val="00F02DCB"/>
    <w:rsid w:val="00F02E28"/>
    <w:rsid w:val="00F02E3D"/>
    <w:rsid w:val="00F02E4D"/>
    <w:rsid w:val="00F02E8C"/>
    <w:rsid w:val="00F02F65"/>
    <w:rsid w:val="00F02F84"/>
    <w:rsid w:val="00F02FBE"/>
    <w:rsid w:val="00F0300B"/>
    <w:rsid w:val="00F0301D"/>
    <w:rsid w:val="00F03078"/>
    <w:rsid w:val="00F03162"/>
    <w:rsid w:val="00F03183"/>
    <w:rsid w:val="00F031DB"/>
    <w:rsid w:val="00F032D4"/>
    <w:rsid w:val="00F03379"/>
    <w:rsid w:val="00F0338A"/>
    <w:rsid w:val="00F033C0"/>
    <w:rsid w:val="00F034CE"/>
    <w:rsid w:val="00F034DF"/>
    <w:rsid w:val="00F03594"/>
    <w:rsid w:val="00F035DA"/>
    <w:rsid w:val="00F03602"/>
    <w:rsid w:val="00F0368C"/>
    <w:rsid w:val="00F036E7"/>
    <w:rsid w:val="00F0376F"/>
    <w:rsid w:val="00F03771"/>
    <w:rsid w:val="00F0379F"/>
    <w:rsid w:val="00F037DF"/>
    <w:rsid w:val="00F0387B"/>
    <w:rsid w:val="00F038A6"/>
    <w:rsid w:val="00F0394C"/>
    <w:rsid w:val="00F039A5"/>
    <w:rsid w:val="00F039B1"/>
    <w:rsid w:val="00F039CC"/>
    <w:rsid w:val="00F03AF9"/>
    <w:rsid w:val="00F03B39"/>
    <w:rsid w:val="00F03B8E"/>
    <w:rsid w:val="00F03B96"/>
    <w:rsid w:val="00F03C3F"/>
    <w:rsid w:val="00F03C7F"/>
    <w:rsid w:val="00F03DBD"/>
    <w:rsid w:val="00F03DED"/>
    <w:rsid w:val="00F03ECD"/>
    <w:rsid w:val="00F03F27"/>
    <w:rsid w:val="00F03F30"/>
    <w:rsid w:val="00F0401B"/>
    <w:rsid w:val="00F04052"/>
    <w:rsid w:val="00F04111"/>
    <w:rsid w:val="00F04294"/>
    <w:rsid w:val="00F042DF"/>
    <w:rsid w:val="00F04370"/>
    <w:rsid w:val="00F0439C"/>
    <w:rsid w:val="00F043DE"/>
    <w:rsid w:val="00F043EA"/>
    <w:rsid w:val="00F04468"/>
    <w:rsid w:val="00F04494"/>
    <w:rsid w:val="00F044AB"/>
    <w:rsid w:val="00F044EE"/>
    <w:rsid w:val="00F044FD"/>
    <w:rsid w:val="00F04566"/>
    <w:rsid w:val="00F04678"/>
    <w:rsid w:val="00F046B5"/>
    <w:rsid w:val="00F047A2"/>
    <w:rsid w:val="00F047BD"/>
    <w:rsid w:val="00F0489F"/>
    <w:rsid w:val="00F0497D"/>
    <w:rsid w:val="00F04A08"/>
    <w:rsid w:val="00F04A23"/>
    <w:rsid w:val="00F04ADA"/>
    <w:rsid w:val="00F04B34"/>
    <w:rsid w:val="00F04C9D"/>
    <w:rsid w:val="00F04DC1"/>
    <w:rsid w:val="00F04DDC"/>
    <w:rsid w:val="00F04E3D"/>
    <w:rsid w:val="00F04E70"/>
    <w:rsid w:val="00F04E86"/>
    <w:rsid w:val="00F04EDB"/>
    <w:rsid w:val="00F04EDF"/>
    <w:rsid w:val="00F04FA2"/>
    <w:rsid w:val="00F04FA8"/>
    <w:rsid w:val="00F04FED"/>
    <w:rsid w:val="00F05032"/>
    <w:rsid w:val="00F05115"/>
    <w:rsid w:val="00F05119"/>
    <w:rsid w:val="00F05154"/>
    <w:rsid w:val="00F05341"/>
    <w:rsid w:val="00F05361"/>
    <w:rsid w:val="00F0539E"/>
    <w:rsid w:val="00F05410"/>
    <w:rsid w:val="00F05587"/>
    <w:rsid w:val="00F055AE"/>
    <w:rsid w:val="00F055D3"/>
    <w:rsid w:val="00F0561B"/>
    <w:rsid w:val="00F0567E"/>
    <w:rsid w:val="00F056DB"/>
    <w:rsid w:val="00F056F6"/>
    <w:rsid w:val="00F057B8"/>
    <w:rsid w:val="00F057C1"/>
    <w:rsid w:val="00F05866"/>
    <w:rsid w:val="00F05941"/>
    <w:rsid w:val="00F05966"/>
    <w:rsid w:val="00F05A8A"/>
    <w:rsid w:val="00F05AB7"/>
    <w:rsid w:val="00F05ABC"/>
    <w:rsid w:val="00F05AE9"/>
    <w:rsid w:val="00F05AEC"/>
    <w:rsid w:val="00F05BD6"/>
    <w:rsid w:val="00F05C11"/>
    <w:rsid w:val="00F05C9C"/>
    <w:rsid w:val="00F05CED"/>
    <w:rsid w:val="00F05D4F"/>
    <w:rsid w:val="00F05E84"/>
    <w:rsid w:val="00F05EB6"/>
    <w:rsid w:val="00F05EF5"/>
    <w:rsid w:val="00F05F57"/>
    <w:rsid w:val="00F05F8C"/>
    <w:rsid w:val="00F05FBE"/>
    <w:rsid w:val="00F060D4"/>
    <w:rsid w:val="00F060F6"/>
    <w:rsid w:val="00F062DD"/>
    <w:rsid w:val="00F062E7"/>
    <w:rsid w:val="00F06317"/>
    <w:rsid w:val="00F063A3"/>
    <w:rsid w:val="00F063E0"/>
    <w:rsid w:val="00F06449"/>
    <w:rsid w:val="00F064B2"/>
    <w:rsid w:val="00F06516"/>
    <w:rsid w:val="00F06540"/>
    <w:rsid w:val="00F065A9"/>
    <w:rsid w:val="00F06604"/>
    <w:rsid w:val="00F06673"/>
    <w:rsid w:val="00F066D9"/>
    <w:rsid w:val="00F067D5"/>
    <w:rsid w:val="00F06858"/>
    <w:rsid w:val="00F068C0"/>
    <w:rsid w:val="00F06935"/>
    <w:rsid w:val="00F06936"/>
    <w:rsid w:val="00F06961"/>
    <w:rsid w:val="00F06985"/>
    <w:rsid w:val="00F06A38"/>
    <w:rsid w:val="00F06A4E"/>
    <w:rsid w:val="00F06B94"/>
    <w:rsid w:val="00F06C02"/>
    <w:rsid w:val="00F06C80"/>
    <w:rsid w:val="00F06D0F"/>
    <w:rsid w:val="00F06D8F"/>
    <w:rsid w:val="00F06DA1"/>
    <w:rsid w:val="00F06DFE"/>
    <w:rsid w:val="00F06E51"/>
    <w:rsid w:val="00F06E75"/>
    <w:rsid w:val="00F06EBF"/>
    <w:rsid w:val="00F06F56"/>
    <w:rsid w:val="00F0706F"/>
    <w:rsid w:val="00F07096"/>
    <w:rsid w:val="00F070EC"/>
    <w:rsid w:val="00F07226"/>
    <w:rsid w:val="00F0733F"/>
    <w:rsid w:val="00F0741B"/>
    <w:rsid w:val="00F0746A"/>
    <w:rsid w:val="00F07477"/>
    <w:rsid w:val="00F0753F"/>
    <w:rsid w:val="00F07596"/>
    <w:rsid w:val="00F075BC"/>
    <w:rsid w:val="00F075D5"/>
    <w:rsid w:val="00F0763C"/>
    <w:rsid w:val="00F076E3"/>
    <w:rsid w:val="00F076FA"/>
    <w:rsid w:val="00F0770C"/>
    <w:rsid w:val="00F07747"/>
    <w:rsid w:val="00F07832"/>
    <w:rsid w:val="00F078E9"/>
    <w:rsid w:val="00F079B3"/>
    <w:rsid w:val="00F079CF"/>
    <w:rsid w:val="00F07A2E"/>
    <w:rsid w:val="00F07A3F"/>
    <w:rsid w:val="00F07B09"/>
    <w:rsid w:val="00F07B39"/>
    <w:rsid w:val="00F07C1B"/>
    <w:rsid w:val="00F07C21"/>
    <w:rsid w:val="00F07C4D"/>
    <w:rsid w:val="00F07D65"/>
    <w:rsid w:val="00F07D96"/>
    <w:rsid w:val="00F07E4D"/>
    <w:rsid w:val="00F07E7B"/>
    <w:rsid w:val="00F07EC6"/>
    <w:rsid w:val="00F07F38"/>
    <w:rsid w:val="00F07F39"/>
    <w:rsid w:val="00F07F54"/>
    <w:rsid w:val="00F07F8F"/>
    <w:rsid w:val="00F07FCE"/>
    <w:rsid w:val="00F100DA"/>
    <w:rsid w:val="00F100F7"/>
    <w:rsid w:val="00F100FD"/>
    <w:rsid w:val="00F100FF"/>
    <w:rsid w:val="00F1014D"/>
    <w:rsid w:val="00F10187"/>
    <w:rsid w:val="00F10231"/>
    <w:rsid w:val="00F1023A"/>
    <w:rsid w:val="00F1024E"/>
    <w:rsid w:val="00F10304"/>
    <w:rsid w:val="00F103A8"/>
    <w:rsid w:val="00F103E0"/>
    <w:rsid w:val="00F103EA"/>
    <w:rsid w:val="00F104BE"/>
    <w:rsid w:val="00F105D2"/>
    <w:rsid w:val="00F1065F"/>
    <w:rsid w:val="00F1066F"/>
    <w:rsid w:val="00F1072A"/>
    <w:rsid w:val="00F107A5"/>
    <w:rsid w:val="00F107DA"/>
    <w:rsid w:val="00F1085B"/>
    <w:rsid w:val="00F108E7"/>
    <w:rsid w:val="00F10934"/>
    <w:rsid w:val="00F10A25"/>
    <w:rsid w:val="00F10AE3"/>
    <w:rsid w:val="00F10AE5"/>
    <w:rsid w:val="00F10B4E"/>
    <w:rsid w:val="00F10C3B"/>
    <w:rsid w:val="00F10E58"/>
    <w:rsid w:val="00F10EFD"/>
    <w:rsid w:val="00F10F1C"/>
    <w:rsid w:val="00F10F6C"/>
    <w:rsid w:val="00F10FBA"/>
    <w:rsid w:val="00F1108D"/>
    <w:rsid w:val="00F11099"/>
    <w:rsid w:val="00F110B5"/>
    <w:rsid w:val="00F110D0"/>
    <w:rsid w:val="00F1116A"/>
    <w:rsid w:val="00F1117A"/>
    <w:rsid w:val="00F1119E"/>
    <w:rsid w:val="00F111B8"/>
    <w:rsid w:val="00F11301"/>
    <w:rsid w:val="00F11427"/>
    <w:rsid w:val="00F1148E"/>
    <w:rsid w:val="00F11499"/>
    <w:rsid w:val="00F1153B"/>
    <w:rsid w:val="00F1159E"/>
    <w:rsid w:val="00F1162C"/>
    <w:rsid w:val="00F1166B"/>
    <w:rsid w:val="00F11704"/>
    <w:rsid w:val="00F1172E"/>
    <w:rsid w:val="00F11750"/>
    <w:rsid w:val="00F1178D"/>
    <w:rsid w:val="00F117DC"/>
    <w:rsid w:val="00F1188D"/>
    <w:rsid w:val="00F11970"/>
    <w:rsid w:val="00F119EE"/>
    <w:rsid w:val="00F119FB"/>
    <w:rsid w:val="00F11A84"/>
    <w:rsid w:val="00F11A9D"/>
    <w:rsid w:val="00F11AD1"/>
    <w:rsid w:val="00F11ADB"/>
    <w:rsid w:val="00F11B09"/>
    <w:rsid w:val="00F11B56"/>
    <w:rsid w:val="00F11B8B"/>
    <w:rsid w:val="00F11BDF"/>
    <w:rsid w:val="00F11CEF"/>
    <w:rsid w:val="00F11D13"/>
    <w:rsid w:val="00F11D64"/>
    <w:rsid w:val="00F11DC8"/>
    <w:rsid w:val="00F11E24"/>
    <w:rsid w:val="00F11F20"/>
    <w:rsid w:val="00F11FC3"/>
    <w:rsid w:val="00F11FF4"/>
    <w:rsid w:val="00F120B5"/>
    <w:rsid w:val="00F12161"/>
    <w:rsid w:val="00F121B6"/>
    <w:rsid w:val="00F121F2"/>
    <w:rsid w:val="00F12205"/>
    <w:rsid w:val="00F1220C"/>
    <w:rsid w:val="00F1225A"/>
    <w:rsid w:val="00F12277"/>
    <w:rsid w:val="00F12457"/>
    <w:rsid w:val="00F1245F"/>
    <w:rsid w:val="00F12489"/>
    <w:rsid w:val="00F12537"/>
    <w:rsid w:val="00F12576"/>
    <w:rsid w:val="00F125D6"/>
    <w:rsid w:val="00F1280B"/>
    <w:rsid w:val="00F1281D"/>
    <w:rsid w:val="00F1285E"/>
    <w:rsid w:val="00F128CA"/>
    <w:rsid w:val="00F128CC"/>
    <w:rsid w:val="00F128DE"/>
    <w:rsid w:val="00F1293C"/>
    <w:rsid w:val="00F129F9"/>
    <w:rsid w:val="00F12A9D"/>
    <w:rsid w:val="00F12AE6"/>
    <w:rsid w:val="00F12B03"/>
    <w:rsid w:val="00F12B37"/>
    <w:rsid w:val="00F12B72"/>
    <w:rsid w:val="00F12D07"/>
    <w:rsid w:val="00F12D15"/>
    <w:rsid w:val="00F12DF8"/>
    <w:rsid w:val="00F12E06"/>
    <w:rsid w:val="00F12E0A"/>
    <w:rsid w:val="00F12E1C"/>
    <w:rsid w:val="00F12E4B"/>
    <w:rsid w:val="00F12E77"/>
    <w:rsid w:val="00F12E86"/>
    <w:rsid w:val="00F12EA3"/>
    <w:rsid w:val="00F12F23"/>
    <w:rsid w:val="00F12FB5"/>
    <w:rsid w:val="00F13000"/>
    <w:rsid w:val="00F13083"/>
    <w:rsid w:val="00F130E0"/>
    <w:rsid w:val="00F13164"/>
    <w:rsid w:val="00F13165"/>
    <w:rsid w:val="00F131B6"/>
    <w:rsid w:val="00F132B5"/>
    <w:rsid w:val="00F132C2"/>
    <w:rsid w:val="00F132D5"/>
    <w:rsid w:val="00F1330B"/>
    <w:rsid w:val="00F133AD"/>
    <w:rsid w:val="00F133FD"/>
    <w:rsid w:val="00F134C4"/>
    <w:rsid w:val="00F134DE"/>
    <w:rsid w:val="00F1354F"/>
    <w:rsid w:val="00F13604"/>
    <w:rsid w:val="00F1364F"/>
    <w:rsid w:val="00F1379F"/>
    <w:rsid w:val="00F137A7"/>
    <w:rsid w:val="00F137EF"/>
    <w:rsid w:val="00F13815"/>
    <w:rsid w:val="00F1383D"/>
    <w:rsid w:val="00F13855"/>
    <w:rsid w:val="00F1385D"/>
    <w:rsid w:val="00F138DD"/>
    <w:rsid w:val="00F13957"/>
    <w:rsid w:val="00F139A6"/>
    <w:rsid w:val="00F13A57"/>
    <w:rsid w:val="00F13B57"/>
    <w:rsid w:val="00F13B73"/>
    <w:rsid w:val="00F13B7B"/>
    <w:rsid w:val="00F13C04"/>
    <w:rsid w:val="00F13C8F"/>
    <w:rsid w:val="00F13C99"/>
    <w:rsid w:val="00F13CB4"/>
    <w:rsid w:val="00F13D3B"/>
    <w:rsid w:val="00F13DD1"/>
    <w:rsid w:val="00F13DEA"/>
    <w:rsid w:val="00F13E7E"/>
    <w:rsid w:val="00F13EA1"/>
    <w:rsid w:val="00F13EF5"/>
    <w:rsid w:val="00F13F65"/>
    <w:rsid w:val="00F1405D"/>
    <w:rsid w:val="00F14066"/>
    <w:rsid w:val="00F140C9"/>
    <w:rsid w:val="00F140EA"/>
    <w:rsid w:val="00F14131"/>
    <w:rsid w:val="00F1415F"/>
    <w:rsid w:val="00F14179"/>
    <w:rsid w:val="00F14201"/>
    <w:rsid w:val="00F14281"/>
    <w:rsid w:val="00F142F9"/>
    <w:rsid w:val="00F14314"/>
    <w:rsid w:val="00F1438E"/>
    <w:rsid w:val="00F143A4"/>
    <w:rsid w:val="00F143C0"/>
    <w:rsid w:val="00F143C4"/>
    <w:rsid w:val="00F1443F"/>
    <w:rsid w:val="00F145B3"/>
    <w:rsid w:val="00F14624"/>
    <w:rsid w:val="00F14757"/>
    <w:rsid w:val="00F147E9"/>
    <w:rsid w:val="00F149F2"/>
    <w:rsid w:val="00F14B06"/>
    <w:rsid w:val="00F14B11"/>
    <w:rsid w:val="00F14BAB"/>
    <w:rsid w:val="00F14BFA"/>
    <w:rsid w:val="00F14C25"/>
    <w:rsid w:val="00F14C96"/>
    <w:rsid w:val="00F14D99"/>
    <w:rsid w:val="00F14E87"/>
    <w:rsid w:val="00F14F67"/>
    <w:rsid w:val="00F1504E"/>
    <w:rsid w:val="00F15083"/>
    <w:rsid w:val="00F1508C"/>
    <w:rsid w:val="00F1515C"/>
    <w:rsid w:val="00F15193"/>
    <w:rsid w:val="00F151A0"/>
    <w:rsid w:val="00F151E8"/>
    <w:rsid w:val="00F1520D"/>
    <w:rsid w:val="00F1525C"/>
    <w:rsid w:val="00F15261"/>
    <w:rsid w:val="00F15266"/>
    <w:rsid w:val="00F152AE"/>
    <w:rsid w:val="00F152EE"/>
    <w:rsid w:val="00F15346"/>
    <w:rsid w:val="00F153F4"/>
    <w:rsid w:val="00F154A4"/>
    <w:rsid w:val="00F154C4"/>
    <w:rsid w:val="00F1553E"/>
    <w:rsid w:val="00F15575"/>
    <w:rsid w:val="00F15665"/>
    <w:rsid w:val="00F1578E"/>
    <w:rsid w:val="00F157C3"/>
    <w:rsid w:val="00F1582A"/>
    <w:rsid w:val="00F15840"/>
    <w:rsid w:val="00F15847"/>
    <w:rsid w:val="00F158E6"/>
    <w:rsid w:val="00F1595E"/>
    <w:rsid w:val="00F159AD"/>
    <w:rsid w:val="00F159BC"/>
    <w:rsid w:val="00F15A5E"/>
    <w:rsid w:val="00F15AEF"/>
    <w:rsid w:val="00F15B86"/>
    <w:rsid w:val="00F15BC7"/>
    <w:rsid w:val="00F15C04"/>
    <w:rsid w:val="00F15C31"/>
    <w:rsid w:val="00F15C38"/>
    <w:rsid w:val="00F15C4E"/>
    <w:rsid w:val="00F15C5F"/>
    <w:rsid w:val="00F15CA0"/>
    <w:rsid w:val="00F15CC3"/>
    <w:rsid w:val="00F15D70"/>
    <w:rsid w:val="00F15E39"/>
    <w:rsid w:val="00F15E70"/>
    <w:rsid w:val="00F15E88"/>
    <w:rsid w:val="00F15F73"/>
    <w:rsid w:val="00F15FFE"/>
    <w:rsid w:val="00F160D0"/>
    <w:rsid w:val="00F160D2"/>
    <w:rsid w:val="00F160D3"/>
    <w:rsid w:val="00F16251"/>
    <w:rsid w:val="00F162A4"/>
    <w:rsid w:val="00F162BF"/>
    <w:rsid w:val="00F162C4"/>
    <w:rsid w:val="00F162CA"/>
    <w:rsid w:val="00F16301"/>
    <w:rsid w:val="00F16384"/>
    <w:rsid w:val="00F163DA"/>
    <w:rsid w:val="00F163F7"/>
    <w:rsid w:val="00F16428"/>
    <w:rsid w:val="00F16596"/>
    <w:rsid w:val="00F165D9"/>
    <w:rsid w:val="00F16677"/>
    <w:rsid w:val="00F16687"/>
    <w:rsid w:val="00F16695"/>
    <w:rsid w:val="00F166AB"/>
    <w:rsid w:val="00F16728"/>
    <w:rsid w:val="00F1673F"/>
    <w:rsid w:val="00F16876"/>
    <w:rsid w:val="00F169C3"/>
    <w:rsid w:val="00F169C7"/>
    <w:rsid w:val="00F169E4"/>
    <w:rsid w:val="00F16A19"/>
    <w:rsid w:val="00F16A8E"/>
    <w:rsid w:val="00F16AB9"/>
    <w:rsid w:val="00F16D41"/>
    <w:rsid w:val="00F16D65"/>
    <w:rsid w:val="00F16DC2"/>
    <w:rsid w:val="00F16E1D"/>
    <w:rsid w:val="00F16E44"/>
    <w:rsid w:val="00F16E76"/>
    <w:rsid w:val="00F16E9B"/>
    <w:rsid w:val="00F16EF1"/>
    <w:rsid w:val="00F16F89"/>
    <w:rsid w:val="00F17099"/>
    <w:rsid w:val="00F17175"/>
    <w:rsid w:val="00F172BA"/>
    <w:rsid w:val="00F17304"/>
    <w:rsid w:val="00F17379"/>
    <w:rsid w:val="00F17442"/>
    <w:rsid w:val="00F17456"/>
    <w:rsid w:val="00F174DD"/>
    <w:rsid w:val="00F174F3"/>
    <w:rsid w:val="00F17563"/>
    <w:rsid w:val="00F175C4"/>
    <w:rsid w:val="00F175D8"/>
    <w:rsid w:val="00F175FE"/>
    <w:rsid w:val="00F17629"/>
    <w:rsid w:val="00F17636"/>
    <w:rsid w:val="00F17651"/>
    <w:rsid w:val="00F1766C"/>
    <w:rsid w:val="00F176B0"/>
    <w:rsid w:val="00F176BB"/>
    <w:rsid w:val="00F17728"/>
    <w:rsid w:val="00F17A56"/>
    <w:rsid w:val="00F17AB7"/>
    <w:rsid w:val="00F17B84"/>
    <w:rsid w:val="00F17C02"/>
    <w:rsid w:val="00F17C6C"/>
    <w:rsid w:val="00F17C85"/>
    <w:rsid w:val="00F17CAA"/>
    <w:rsid w:val="00F17D58"/>
    <w:rsid w:val="00F17EA0"/>
    <w:rsid w:val="00F17F0B"/>
    <w:rsid w:val="00F17F98"/>
    <w:rsid w:val="00F17F9F"/>
    <w:rsid w:val="00F20018"/>
    <w:rsid w:val="00F2002B"/>
    <w:rsid w:val="00F200EB"/>
    <w:rsid w:val="00F2011A"/>
    <w:rsid w:val="00F20179"/>
    <w:rsid w:val="00F201BB"/>
    <w:rsid w:val="00F20252"/>
    <w:rsid w:val="00F20274"/>
    <w:rsid w:val="00F2028C"/>
    <w:rsid w:val="00F202ED"/>
    <w:rsid w:val="00F2038E"/>
    <w:rsid w:val="00F2044C"/>
    <w:rsid w:val="00F204EE"/>
    <w:rsid w:val="00F20552"/>
    <w:rsid w:val="00F2055B"/>
    <w:rsid w:val="00F2058E"/>
    <w:rsid w:val="00F20624"/>
    <w:rsid w:val="00F206B9"/>
    <w:rsid w:val="00F206C4"/>
    <w:rsid w:val="00F20711"/>
    <w:rsid w:val="00F2074C"/>
    <w:rsid w:val="00F20763"/>
    <w:rsid w:val="00F20770"/>
    <w:rsid w:val="00F207AE"/>
    <w:rsid w:val="00F2084B"/>
    <w:rsid w:val="00F2093D"/>
    <w:rsid w:val="00F20A34"/>
    <w:rsid w:val="00F20A43"/>
    <w:rsid w:val="00F20ACE"/>
    <w:rsid w:val="00F20AEE"/>
    <w:rsid w:val="00F20B46"/>
    <w:rsid w:val="00F20BC7"/>
    <w:rsid w:val="00F20CB7"/>
    <w:rsid w:val="00F20D14"/>
    <w:rsid w:val="00F20D98"/>
    <w:rsid w:val="00F20DD3"/>
    <w:rsid w:val="00F20E78"/>
    <w:rsid w:val="00F20F1D"/>
    <w:rsid w:val="00F20F2C"/>
    <w:rsid w:val="00F20F52"/>
    <w:rsid w:val="00F20FB5"/>
    <w:rsid w:val="00F20FEC"/>
    <w:rsid w:val="00F20FF1"/>
    <w:rsid w:val="00F21001"/>
    <w:rsid w:val="00F2100F"/>
    <w:rsid w:val="00F210A6"/>
    <w:rsid w:val="00F210CE"/>
    <w:rsid w:val="00F210FF"/>
    <w:rsid w:val="00F21110"/>
    <w:rsid w:val="00F211C3"/>
    <w:rsid w:val="00F212E6"/>
    <w:rsid w:val="00F21356"/>
    <w:rsid w:val="00F213AF"/>
    <w:rsid w:val="00F213BD"/>
    <w:rsid w:val="00F21487"/>
    <w:rsid w:val="00F21492"/>
    <w:rsid w:val="00F214D1"/>
    <w:rsid w:val="00F214F5"/>
    <w:rsid w:val="00F21516"/>
    <w:rsid w:val="00F215EB"/>
    <w:rsid w:val="00F2162C"/>
    <w:rsid w:val="00F2163D"/>
    <w:rsid w:val="00F216B4"/>
    <w:rsid w:val="00F217F4"/>
    <w:rsid w:val="00F21836"/>
    <w:rsid w:val="00F2198A"/>
    <w:rsid w:val="00F219D3"/>
    <w:rsid w:val="00F21A2D"/>
    <w:rsid w:val="00F21A68"/>
    <w:rsid w:val="00F21A6F"/>
    <w:rsid w:val="00F21B41"/>
    <w:rsid w:val="00F21B50"/>
    <w:rsid w:val="00F21B80"/>
    <w:rsid w:val="00F21BC9"/>
    <w:rsid w:val="00F21C14"/>
    <w:rsid w:val="00F21C2A"/>
    <w:rsid w:val="00F21C37"/>
    <w:rsid w:val="00F21CA0"/>
    <w:rsid w:val="00F21D61"/>
    <w:rsid w:val="00F21E89"/>
    <w:rsid w:val="00F21F25"/>
    <w:rsid w:val="00F21F54"/>
    <w:rsid w:val="00F2201C"/>
    <w:rsid w:val="00F2219A"/>
    <w:rsid w:val="00F2234B"/>
    <w:rsid w:val="00F22468"/>
    <w:rsid w:val="00F22497"/>
    <w:rsid w:val="00F224F1"/>
    <w:rsid w:val="00F225ED"/>
    <w:rsid w:val="00F22649"/>
    <w:rsid w:val="00F226A9"/>
    <w:rsid w:val="00F2275D"/>
    <w:rsid w:val="00F22780"/>
    <w:rsid w:val="00F2279B"/>
    <w:rsid w:val="00F227C8"/>
    <w:rsid w:val="00F227CC"/>
    <w:rsid w:val="00F227D7"/>
    <w:rsid w:val="00F2287E"/>
    <w:rsid w:val="00F22883"/>
    <w:rsid w:val="00F22A16"/>
    <w:rsid w:val="00F22A3C"/>
    <w:rsid w:val="00F22B24"/>
    <w:rsid w:val="00F22B5F"/>
    <w:rsid w:val="00F22DF9"/>
    <w:rsid w:val="00F22E4C"/>
    <w:rsid w:val="00F22E9C"/>
    <w:rsid w:val="00F22EA0"/>
    <w:rsid w:val="00F22EEF"/>
    <w:rsid w:val="00F22F59"/>
    <w:rsid w:val="00F22F84"/>
    <w:rsid w:val="00F230B8"/>
    <w:rsid w:val="00F230CE"/>
    <w:rsid w:val="00F230F5"/>
    <w:rsid w:val="00F231A8"/>
    <w:rsid w:val="00F23265"/>
    <w:rsid w:val="00F23323"/>
    <w:rsid w:val="00F23347"/>
    <w:rsid w:val="00F23368"/>
    <w:rsid w:val="00F23378"/>
    <w:rsid w:val="00F233BB"/>
    <w:rsid w:val="00F23412"/>
    <w:rsid w:val="00F234C0"/>
    <w:rsid w:val="00F234C3"/>
    <w:rsid w:val="00F234E0"/>
    <w:rsid w:val="00F235D5"/>
    <w:rsid w:val="00F23667"/>
    <w:rsid w:val="00F2367D"/>
    <w:rsid w:val="00F236B0"/>
    <w:rsid w:val="00F236D7"/>
    <w:rsid w:val="00F2378E"/>
    <w:rsid w:val="00F23882"/>
    <w:rsid w:val="00F23889"/>
    <w:rsid w:val="00F23961"/>
    <w:rsid w:val="00F239E8"/>
    <w:rsid w:val="00F23AA5"/>
    <w:rsid w:val="00F23ADE"/>
    <w:rsid w:val="00F23AFA"/>
    <w:rsid w:val="00F23B19"/>
    <w:rsid w:val="00F23BBE"/>
    <w:rsid w:val="00F23BC2"/>
    <w:rsid w:val="00F23C53"/>
    <w:rsid w:val="00F23C71"/>
    <w:rsid w:val="00F23CAA"/>
    <w:rsid w:val="00F23CB7"/>
    <w:rsid w:val="00F23D40"/>
    <w:rsid w:val="00F23DBE"/>
    <w:rsid w:val="00F23E5C"/>
    <w:rsid w:val="00F23EF4"/>
    <w:rsid w:val="00F23F30"/>
    <w:rsid w:val="00F2402F"/>
    <w:rsid w:val="00F240D1"/>
    <w:rsid w:val="00F2410F"/>
    <w:rsid w:val="00F24194"/>
    <w:rsid w:val="00F241A3"/>
    <w:rsid w:val="00F24209"/>
    <w:rsid w:val="00F24235"/>
    <w:rsid w:val="00F24283"/>
    <w:rsid w:val="00F242A3"/>
    <w:rsid w:val="00F242B2"/>
    <w:rsid w:val="00F242B3"/>
    <w:rsid w:val="00F243BB"/>
    <w:rsid w:val="00F243EF"/>
    <w:rsid w:val="00F2444B"/>
    <w:rsid w:val="00F2454B"/>
    <w:rsid w:val="00F245E4"/>
    <w:rsid w:val="00F2474D"/>
    <w:rsid w:val="00F24767"/>
    <w:rsid w:val="00F24802"/>
    <w:rsid w:val="00F24845"/>
    <w:rsid w:val="00F24849"/>
    <w:rsid w:val="00F24905"/>
    <w:rsid w:val="00F24987"/>
    <w:rsid w:val="00F24ABB"/>
    <w:rsid w:val="00F24B6F"/>
    <w:rsid w:val="00F24BA6"/>
    <w:rsid w:val="00F24C3E"/>
    <w:rsid w:val="00F24C41"/>
    <w:rsid w:val="00F24D17"/>
    <w:rsid w:val="00F24F19"/>
    <w:rsid w:val="00F24F3F"/>
    <w:rsid w:val="00F24F7A"/>
    <w:rsid w:val="00F24FCD"/>
    <w:rsid w:val="00F250BF"/>
    <w:rsid w:val="00F250DE"/>
    <w:rsid w:val="00F2514D"/>
    <w:rsid w:val="00F2515F"/>
    <w:rsid w:val="00F2517C"/>
    <w:rsid w:val="00F2517D"/>
    <w:rsid w:val="00F2518F"/>
    <w:rsid w:val="00F251B6"/>
    <w:rsid w:val="00F252B9"/>
    <w:rsid w:val="00F2550B"/>
    <w:rsid w:val="00F25556"/>
    <w:rsid w:val="00F25594"/>
    <w:rsid w:val="00F255F2"/>
    <w:rsid w:val="00F25657"/>
    <w:rsid w:val="00F2575D"/>
    <w:rsid w:val="00F25767"/>
    <w:rsid w:val="00F257B5"/>
    <w:rsid w:val="00F258D6"/>
    <w:rsid w:val="00F259B2"/>
    <w:rsid w:val="00F259BF"/>
    <w:rsid w:val="00F259D7"/>
    <w:rsid w:val="00F25A0E"/>
    <w:rsid w:val="00F25A26"/>
    <w:rsid w:val="00F25A3B"/>
    <w:rsid w:val="00F25A5E"/>
    <w:rsid w:val="00F25A93"/>
    <w:rsid w:val="00F25A9C"/>
    <w:rsid w:val="00F25AF9"/>
    <w:rsid w:val="00F25B2F"/>
    <w:rsid w:val="00F25C83"/>
    <w:rsid w:val="00F25CDC"/>
    <w:rsid w:val="00F25CF1"/>
    <w:rsid w:val="00F25D96"/>
    <w:rsid w:val="00F25D9E"/>
    <w:rsid w:val="00F25E0B"/>
    <w:rsid w:val="00F25E34"/>
    <w:rsid w:val="00F25E39"/>
    <w:rsid w:val="00F25E45"/>
    <w:rsid w:val="00F25E5F"/>
    <w:rsid w:val="00F25F63"/>
    <w:rsid w:val="00F25FB2"/>
    <w:rsid w:val="00F260B4"/>
    <w:rsid w:val="00F260D3"/>
    <w:rsid w:val="00F260E2"/>
    <w:rsid w:val="00F26144"/>
    <w:rsid w:val="00F26173"/>
    <w:rsid w:val="00F26255"/>
    <w:rsid w:val="00F2625A"/>
    <w:rsid w:val="00F2629B"/>
    <w:rsid w:val="00F26370"/>
    <w:rsid w:val="00F264AE"/>
    <w:rsid w:val="00F2650E"/>
    <w:rsid w:val="00F26513"/>
    <w:rsid w:val="00F26593"/>
    <w:rsid w:val="00F265CC"/>
    <w:rsid w:val="00F2661E"/>
    <w:rsid w:val="00F26651"/>
    <w:rsid w:val="00F266C6"/>
    <w:rsid w:val="00F266CD"/>
    <w:rsid w:val="00F2670A"/>
    <w:rsid w:val="00F2672E"/>
    <w:rsid w:val="00F26802"/>
    <w:rsid w:val="00F2682B"/>
    <w:rsid w:val="00F2687D"/>
    <w:rsid w:val="00F26905"/>
    <w:rsid w:val="00F2692E"/>
    <w:rsid w:val="00F26975"/>
    <w:rsid w:val="00F26AD4"/>
    <w:rsid w:val="00F26B2A"/>
    <w:rsid w:val="00F26B6E"/>
    <w:rsid w:val="00F26BEA"/>
    <w:rsid w:val="00F26BFB"/>
    <w:rsid w:val="00F26CF3"/>
    <w:rsid w:val="00F26D03"/>
    <w:rsid w:val="00F26E3D"/>
    <w:rsid w:val="00F26ECC"/>
    <w:rsid w:val="00F26F09"/>
    <w:rsid w:val="00F26F41"/>
    <w:rsid w:val="00F26F65"/>
    <w:rsid w:val="00F26F75"/>
    <w:rsid w:val="00F26F98"/>
    <w:rsid w:val="00F26FCB"/>
    <w:rsid w:val="00F2707A"/>
    <w:rsid w:val="00F270B1"/>
    <w:rsid w:val="00F270E1"/>
    <w:rsid w:val="00F2716C"/>
    <w:rsid w:val="00F2717A"/>
    <w:rsid w:val="00F27182"/>
    <w:rsid w:val="00F271BA"/>
    <w:rsid w:val="00F2720E"/>
    <w:rsid w:val="00F27294"/>
    <w:rsid w:val="00F27396"/>
    <w:rsid w:val="00F273EE"/>
    <w:rsid w:val="00F2742A"/>
    <w:rsid w:val="00F27467"/>
    <w:rsid w:val="00F2748D"/>
    <w:rsid w:val="00F27500"/>
    <w:rsid w:val="00F27520"/>
    <w:rsid w:val="00F27543"/>
    <w:rsid w:val="00F27549"/>
    <w:rsid w:val="00F27637"/>
    <w:rsid w:val="00F27650"/>
    <w:rsid w:val="00F2765E"/>
    <w:rsid w:val="00F276EC"/>
    <w:rsid w:val="00F2776D"/>
    <w:rsid w:val="00F277C0"/>
    <w:rsid w:val="00F277DE"/>
    <w:rsid w:val="00F27829"/>
    <w:rsid w:val="00F27857"/>
    <w:rsid w:val="00F2789D"/>
    <w:rsid w:val="00F278C5"/>
    <w:rsid w:val="00F278D6"/>
    <w:rsid w:val="00F2794C"/>
    <w:rsid w:val="00F279CE"/>
    <w:rsid w:val="00F279EF"/>
    <w:rsid w:val="00F27ADC"/>
    <w:rsid w:val="00F27ADF"/>
    <w:rsid w:val="00F27C06"/>
    <w:rsid w:val="00F27C38"/>
    <w:rsid w:val="00F27C77"/>
    <w:rsid w:val="00F27CE7"/>
    <w:rsid w:val="00F27D24"/>
    <w:rsid w:val="00F27DBC"/>
    <w:rsid w:val="00F27DD9"/>
    <w:rsid w:val="00F27E1E"/>
    <w:rsid w:val="00F27E9A"/>
    <w:rsid w:val="00F27ED5"/>
    <w:rsid w:val="00F27FBA"/>
    <w:rsid w:val="00F300B5"/>
    <w:rsid w:val="00F30170"/>
    <w:rsid w:val="00F302D1"/>
    <w:rsid w:val="00F3034C"/>
    <w:rsid w:val="00F3035D"/>
    <w:rsid w:val="00F303CF"/>
    <w:rsid w:val="00F30472"/>
    <w:rsid w:val="00F304A5"/>
    <w:rsid w:val="00F30501"/>
    <w:rsid w:val="00F30528"/>
    <w:rsid w:val="00F30538"/>
    <w:rsid w:val="00F30555"/>
    <w:rsid w:val="00F30574"/>
    <w:rsid w:val="00F3057C"/>
    <w:rsid w:val="00F305EE"/>
    <w:rsid w:val="00F30700"/>
    <w:rsid w:val="00F30738"/>
    <w:rsid w:val="00F307B2"/>
    <w:rsid w:val="00F30849"/>
    <w:rsid w:val="00F308D8"/>
    <w:rsid w:val="00F30A24"/>
    <w:rsid w:val="00F30AB0"/>
    <w:rsid w:val="00F30AB9"/>
    <w:rsid w:val="00F30B08"/>
    <w:rsid w:val="00F30B8E"/>
    <w:rsid w:val="00F30C05"/>
    <w:rsid w:val="00F30CA7"/>
    <w:rsid w:val="00F30D06"/>
    <w:rsid w:val="00F30D6E"/>
    <w:rsid w:val="00F30D79"/>
    <w:rsid w:val="00F30DF4"/>
    <w:rsid w:val="00F30F58"/>
    <w:rsid w:val="00F3100C"/>
    <w:rsid w:val="00F3104E"/>
    <w:rsid w:val="00F310C4"/>
    <w:rsid w:val="00F310D4"/>
    <w:rsid w:val="00F310D5"/>
    <w:rsid w:val="00F31196"/>
    <w:rsid w:val="00F311BE"/>
    <w:rsid w:val="00F3125B"/>
    <w:rsid w:val="00F31335"/>
    <w:rsid w:val="00F31380"/>
    <w:rsid w:val="00F3140E"/>
    <w:rsid w:val="00F31464"/>
    <w:rsid w:val="00F31576"/>
    <w:rsid w:val="00F315A4"/>
    <w:rsid w:val="00F315F7"/>
    <w:rsid w:val="00F31605"/>
    <w:rsid w:val="00F31828"/>
    <w:rsid w:val="00F31835"/>
    <w:rsid w:val="00F31872"/>
    <w:rsid w:val="00F31912"/>
    <w:rsid w:val="00F31A45"/>
    <w:rsid w:val="00F31A64"/>
    <w:rsid w:val="00F31AA9"/>
    <w:rsid w:val="00F31C19"/>
    <w:rsid w:val="00F31C47"/>
    <w:rsid w:val="00F31C71"/>
    <w:rsid w:val="00F31CC7"/>
    <w:rsid w:val="00F31D3E"/>
    <w:rsid w:val="00F31D82"/>
    <w:rsid w:val="00F31DCF"/>
    <w:rsid w:val="00F31E24"/>
    <w:rsid w:val="00F31E7E"/>
    <w:rsid w:val="00F31E93"/>
    <w:rsid w:val="00F31F2B"/>
    <w:rsid w:val="00F31F86"/>
    <w:rsid w:val="00F3219F"/>
    <w:rsid w:val="00F321D9"/>
    <w:rsid w:val="00F321F0"/>
    <w:rsid w:val="00F32217"/>
    <w:rsid w:val="00F3232E"/>
    <w:rsid w:val="00F32343"/>
    <w:rsid w:val="00F323AE"/>
    <w:rsid w:val="00F323FF"/>
    <w:rsid w:val="00F32484"/>
    <w:rsid w:val="00F324C3"/>
    <w:rsid w:val="00F324D3"/>
    <w:rsid w:val="00F324D9"/>
    <w:rsid w:val="00F324FA"/>
    <w:rsid w:val="00F325E4"/>
    <w:rsid w:val="00F325EA"/>
    <w:rsid w:val="00F32672"/>
    <w:rsid w:val="00F326C4"/>
    <w:rsid w:val="00F32702"/>
    <w:rsid w:val="00F3270E"/>
    <w:rsid w:val="00F3272B"/>
    <w:rsid w:val="00F32740"/>
    <w:rsid w:val="00F327A7"/>
    <w:rsid w:val="00F327C6"/>
    <w:rsid w:val="00F327F4"/>
    <w:rsid w:val="00F3280E"/>
    <w:rsid w:val="00F328B6"/>
    <w:rsid w:val="00F3298F"/>
    <w:rsid w:val="00F32AF0"/>
    <w:rsid w:val="00F32B23"/>
    <w:rsid w:val="00F32B65"/>
    <w:rsid w:val="00F32C51"/>
    <w:rsid w:val="00F32C8B"/>
    <w:rsid w:val="00F32CD5"/>
    <w:rsid w:val="00F32DE6"/>
    <w:rsid w:val="00F32DF2"/>
    <w:rsid w:val="00F32E62"/>
    <w:rsid w:val="00F32F49"/>
    <w:rsid w:val="00F32F54"/>
    <w:rsid w:val="00F32F55"/>
    <w:rsid w:val="00F32FBD"/>
    <w:rsid w:val="00F32FBF"/>
    <w:rsid w:val="00F3304A"/>
    <w:rsid w:val="00F33096"/>
    <w:rsid w:val="00F3313D"/>
    <w:rsid w:val="00F33158"/>
    <w:rsid w:val="00F33179"/>
    <w:rsid w:val="00F33193"/>
    <w:rsid w:val="00F33197"/>
    <w:rsid w:val="00F331A4"/>
    <w:rsid w:val="00F3322F"/>
    <w:rsid w:val="00F3329A"/>
    <w:rsid w:val="00F332CC"/>
    <w:rsid w:val="00F332CE"/>
    <w:rsid w:val="00F33406"/>
    <w:rsid w:val="00F3340D"/>
    <w:rsid w:val="00F33450"/>
    <w:rsid w:val="00F33489"/>
    <w:rsid w:val="00F334A7"/>
    <w:rsid w:val="00F334BB"/>
    <w:rsid w:val="00F334C2"/>
    <w:rsid w:val="00F336B6"/>
    <w:rsid w:val="00F33761"/>
    <w:rsid w:val="00F33788"/>
    <w:rsid w:val="00F33823"/>
    <w:rsid w:val="00F3384B"/>
    <w:rsid w:val="00F338AB"/>
    <w:rsid w:val="00F3390D"/>
    <w:rsid w:val="00F339E3"/>
    <w:rsid w:val="00F33AC2"/>
    <w:rsid w:val="00F33ACD"/>
    <w:rsid w:val="00F33B6F"/>
    <w:rsid w:val="00F33C6E"/>
    <w:rsid w:val="00F33CD1"/>
    <w:rsid w:val="00F33D82"/>
    <w:rsid w:val="00F33DEB"/>
    <w:rsid w:val="00F33DF7"/>
    <w:rsid w:val="00F33E3B"/>
    <w:rsid w:val="00F33E63"/>
    <w:rsid w:val="00F33E6A"/>
    <w:rsid w:val="00F33EC2"/>
    <w:rsid w:val="00F33F0C"/>
    <w:rsid w:val="00F33F15"/>
    <w:rsid w:val="00F33F2D"/>
    <w:rsid w:val="00F33FC4"/>
    <w:rsid w:val="00F33FCF"/>
    <w:rsid w:val="00F33FF0"/>
    <w:rsid w:val="00F34020"/>
    <w:rsid w:val="00F34024"/>
    <w:rsid w:val="00F34101"/>
    <w:rsid w:val="00F3412C"/>
    <w:rsid w:val="00F341D7"/>
    <w:rsid w:val="00F34221"/>
    <w:rsid w:val="00F34225"/>
    <w:rsid w:val="00F3424F"/>
    <w:rsid w:val="00F34297"/>
    <w:rsid w:val="00F3441B"/>
    <w:rsid w:val="00F34422"/>
    <w:rsid w:val="00F344CE"/>
    <w:rsid w:val="00F344E5"/>
    <w:rsid w:val="00F3457D"/>
    <w:rsid w:val="00F345E3"/>
    <w:rsid w:val="00F345F1"/>
    <w:rsid w:val="00F345FC"/>
    <w:rsid w:val="00F346A4"/>
    <w:rsid w:val="00F346B4"/>
    <w:rsid w:val="00F346E6"/>
    <w:rsid w:val="00F34715"/>
    <w:rsid w:val="00F3474B"/>
    <w:rsid w:val="00F34772"/>
    <w:rsid w:val="00F34906"/>
    <w:rsid w:val="00F34B12"/>
    <w:rsid w:val="00F34B8D"/>
    <w:rsid w:val="00F34BFE"/>
    <w:rsid w:val="00F34C5F"/>
    <w:rsid w:val="00F34CAF"/>
    <w:rsid w:val="00F34E8D"/>
    <w:rsid w:val="00F34E96"/>
    <w:rsid w:val="00F34F88"/>
    <w:rsid w:val="00F3500E"/>
    <w:rsid w:val="00F35020"/>
    <w:rsid w:val="00F35023"/>
    <w:rsid w:val="00F35036"/>
    <w:rsid w:val="00F350C9"/>
    <w:rsid w:val="00F35150"/>
    <w:rsid w:val="00F35167"/>
    <w:rsid w:val="00F35169"/>
    <w:rsid w:val="00F3518A"/>
    <w:rsid w:val="00F35279"/>
    <w:rsid w:val="00F3527C"/>
    <w:rsid w:val="00F352AC"/>
    <w:rsid w:val="00F352C0"/>
    <w:rsid w:val="00F35359"/>
    <w:rsid w:val="00F354D6"/>
    <w:rsid w:val="00F355DC"/>
    <w:rsid w:val="00F35612"/>
    <w:rsid w:val="00F3563B"/>
    <w:rsid w:val="00F3563F"/>
    <w:rsid w:val="00F356DA"/>
    <w:rsid w:val="00F35739"/>
    <w:rsid w:val="00F3574E"/>
    <w:rsid w:val="00F35759"/>
    <w:rsid w:val="00F357A5"/>
    <w:rsid w:val="00F357F8"/>
    <w:rsid w:val="00F35879"/>
    <w:rsid w:val="00F3588D"/>
    <w:rsid w:val="00F3592F"/>
    <w:rsid w:val="00F35949"/>
    <w:rsid w:val="00F35994"/>
    <w:rsid w:val="00F359FF"/>
    <w:rsid w:val="00F35A21"/>
    <w:rsid w:val="00F35A63"/>
    <w:rsid w:val="00F35A6E"/>
    <w:rsid w:val="00F35BB1"/>
    <w:rsid w:val="00F35C15"/>
    <w:rsid w:val="00F35C38"/>
    <w:rsid w:val="00F35C5A"/>
    <w:rsid w:val="00F35C6D"/>
    <w:rsid w:val="00F35CEA"/>
    <w:rsid w:val="00F35DE0"/>
    <w:rsid w:val="00F35E4E"/>
    <w:rsid w:val="00F35E92"/>
    <w:rsid w:val="00F35EBE"/>
    <w:rsid w:val="00F35F28"/>
    <w:rsid w:val="00F35FC4"/>
    <w:rsid w:val="00F36020"/>
    <w:rsid w:val="00F3606B"/>
    <w:rsid w:val="00F36091"/>
    <w:rsid w:val="00F361F7"/>
    <w:rsid w:val="00F36253"/>
    <w:rsid w:val="00F36271"/>
    <w:rsid w:val="00F362A3"/>
    <w:rsid w:val="00F36373"/>
    <w:rsid w:val="00F36394"/>
    <w:rsid w:val="00F363E3"/>
    <w:rsid w:val="00F36478"/>
    <w:rsid w:val="00F365AF"/>
    <w:rsid w:val="00F36661"/>
    <w:rsid w:val="00F36858"/>
    <w:rsid w:val="00F36879"/>
    <w:rsid w:val="00F3689A"/>
    <w:rsid w:val="00F368AA"/>
    <w:rsid w:val="00F368C0"/>
    <w:rsid w:val="00F3691E"/>
    <w:rsid w:val="00F369B4"/>
    <w:rsid w:val="00F369E3"/>
    <w:rsid w:val="00F369F2"/>
    <w:rsid w:val="00F369F9"/>
    <w:rsid w:val="00F36A54"/>
    <w:rsid w:val="00F36B43"/>
    <w:rsid w:val="00F36BBC"/>
    <w:rsid w:val="00F36C02"/>
    <w:rsid w:val="00F36C31"/>
    <w:rsid w:val="00F36C4F"/>
    <w:rsid w:val="00F36C93"/>
    <w:rsid w:val="00F36CBC"/>
    <w:rsid w:val="00F36CC3"/>
    <w:rsid w:val="00F36CCE"/>
    <w:rsid w:val="00F36DF7"/>
    <w:rsid w:val="00F36E0C"/>
    <w:rsid w:val="00F36EA2"/>
    <w:rsid w:val="00F36EF8"/>
    <w:rsid w:val="00F36F78"/>
    <w:rsid w:val="00F36F94"/>
    <w:rsid w:val="00F36FBC"/>
    <w:rsid w:val="00F36FE5"/>
    <w:rsid w:val="00F37036"/>
    <w:rsid w:val="00F37080"/>
    <w:rsid w:val="00F37125"/>
    <w:rsid w:val="00F3716E"/>
    <w:rsid w:val="00F37213"/>
    <w:rsid w:val="00F37252"/>
    <w:rsid w:val="00F372A0"/>
    <w:rsid w:val="00F372B0"/>
    <w:rsid w:val="00F372E9"/>
    <w:rsid w:val="00F37333"/>
    <w:rsid w:val="00F37357"/>
    <w:rsid w:val="00F37383"/>
    <w:rsid w:val="00F373EA"/>
    <w:rsid w:val="00F3740C"/>
    <w:rsid w:val="00F374FE"/>
    <w:rsid w:val="00F37530"/>
    <w:rsid w:val="00F37533"/>
    <w:rsid w:val="00F37581"/>
    <w:rsid w:val="00F3758F"/>
    <w:rsid w:val="00F375BD"/>
    <w:rsid w:val="00F37612"/>
    <w:rsid w:val="00F37636"/>
    <w:rsid w:val="00F37695"/>
    <w:rsid w:val="00F376A1"/>
    <w:rsid w:val="00F377A7"/>
    <w:rsid w:val="00F377DB"/>
    <w:rsid w:val="00F37832"/>
    <w:rsid w:val="00F37839"/>
    <w:rsid w:val="00F37876"/>
    <w:rsid w:val="00F378FA"/>
    <w:rsid w:val="00F37918"/>
    <w:rsid w:val="00F37938"/>
    <w:rsid w:val="00F379DE"/>
    <w:rsid w:val="00F37A6F"/>
    <w:rsid w:val="00F37A8C"/>
    <w:rsid w:val="00F37AED"/>
    <w:rsid w:val="00F37B13"/>
    <w:rsid w:val="00F37BF4"/>
    <w:rsid w:val="00F37C10"/>
    <w:rsid w:val="00F37C5C"/>
    <w:rsid w:val="00F37C71"/>
    <w:rsid w:val="00F37D21"/>
    <w:rsid w:val="00F37D34"/>
    <w:rsid w:val="00F37E34"/>
    <w:rsid w:val="00F40018"/>
    <w:rsid w:val="00F4003B"/>
    <w:rsid w:val="00F400A8"/>
    <w:rsid w:val="00F400D6"/>
    <w:rsid w:val="00F400D9"/>
    <w:rsid w:val="00F4011A"/>
    <w:rsid w:val="00F4015F"/>
    <w:rsid w:val="00F40189"/>
    <w:rsid w:val="00F401CF"/>
    <w:rsid w:val="00F40307"/>
    <w:rsid w:val="00F4032B"/>
    <w:rsid w:val="00F4035C"/>
    <w:rsid w:val="00F40362"/>
    <w:rsid w:val="00F40375"/>
    <w:rsid w:val="00F4037D"/>
    <w:rsid w:val="00F403D3"/>
    <w:rsid w:val="00F403F7"/>
    <w:rsid w:val="00F40461"/>
    <w:rsid w:val="00F40483"/>
    <w:rsid w:val="00F404C5"/>
    <w:rsid w:val="00F404DB"/>
    <w:rsid w:val="00F40529"/>
    <w:rsid w:val="00F4063F"/>
    <w:rsid w:val="00F407B0"/>
    <w:rsid w:val="00F40864"/>
    <w:rsid w:val="00F409BD"/>
    <w:rsid w:val="00F409C8"/>
    <w:rsid w:val="00F409E9"/>
    <w:rsid w:val="00F40AA4"/>
    <w:rsid w:val="00F40AE3"/>
    <w:rsid w:val="00F40B2E"/>
    <w:rsid w:val="00F40B49"/>
    <w:rsid w:val="00F40B6F"/>
    <w:rsid w:val="00F40BB9"/>
    <w:rsid w:val="00F40C99"/>
    <w:rsid w:val="00F40CE1"/>
    <w:rsid w:val="00F40E03"/>
    <w:rsid w:val="00F40E8F"/>
    <w:rsid w:val="00F40E92"/>
    <w:rsid w:val="00F40EC6"/>
    <w:rsid w:val="00F41145"/>
    <w:rsid w:val="00F41295"/>
    <w:rsid w:val="00F41333"/>
    <w:rsid w:val="00F41471"/>
    <w:rsid w:val="00F414EC"/>
    <w:rsid w:val="00F414EE"/>
    <w:rsid w:val="00F4150B"/>
    <w:rsid w:val="00F41533"/>
    <w:rsid w:val="00F4153B"/>
    <w:rsid w:val="00F4156E"/>
    <w:rsid w:val="00F4159E"/>
    <w:rsid w:val="00F415A5"/>
    <w:rsid w:val="00F41613"/>
    <w:rsid w:val="00F416BA"/>
    <w:rsid w:val="00F416BF"/>
    <w:rsid w:val="00F416DC"/>
    <w:rsid w:val="00F41776"/>
    <w:rsid w:val="00F417EE"/>
    <w:rsid w:val="00F4185C"/>
    <w:rsid w:val="00F418F6"/>
    <w:rsid w:val="00F419EB"/>
    <w:rsid w:val="00F41B23"/>
    <w:rsid w:val="00F41BCA"/>
    <w:rsid w:val="00F41BF8"/>
    <w:rsid w:val="00F41CC8"/>
    <w:rsid w:val="00F41D3C"/>
    <w:rsid w:val="00F41D74"/>
    <w:rsid w:val="00F41E19"/>
    <w:rsid w:val="00F41E6F"/>
    <w:rsid w:val="00F41F77"/>
    <w:rsid w:val="00F4207B"/>
    <w:rsid w:val="00F420B2"/>
    <w:rsid w:val="00F420E7"/>
    <w:rsid w:val="00F42121"/>
    <w:rsid w:val="00F42132"/>
    <w:rsid w:val="00F42153"/>
    <w:rsid w:val="00F42216"/>
    <w:rsid w:val="00F4226E"/>
    <w:rsid w:val="00F42349"/>
    <w:rsid w:val="00F42378"/>
    <w:rsid w:val="00F42389"/>
    <w:rsid w:val="00F4248E"/>
    <w:rsid w:val="00F424D4"/>
    <w:rsid w:val="00F424F1"/>
    <w:rsid w:val="00F42505"/>
    <w:rsid w:val="00F42893"/>
    <w:rsid w:val="00F428C8"/>
    <w:rsid w:val="00F42938"/>
    <w:rsid w:val="00F429E2"/>
    <w:rsid w:val="00F42ACB"/>
    <w:rsid w:val="00F42ADE"/>
    <w:rsid w:val="00F42C46"/>
    <w:rsid w:val="00F42C82"/>
    <w:rsid w:val="00F42CB9"/>
    <w:rsid w:val="00F42D09"/>
    <w:rsid w:val="00F42D42"/>
    <w:rsid w:val="00F42DA5"/>
    <w:rsid w:val="00F42DF0"/>
    <w:rsid w:val="00F42EA8"/>
    <w:rsid w:val="00F42EC5"/>
    <w:rsid w:val="00F42ECC"/>
    <w:rsid w:val="00F42EE2"/>
    <w:rsid w:val="00F42F56"/>
    <w:rsid w:val="00F42F98"/>
    <w:rsid w:val="00F42FF3"/>
    <w:rsid w:val="00F43093"/>
    <w:rsid w:val="00F43130"/>
    <w:rsid w:val="00F4329A"/>
    <w:rsid w:val="00F432B7"/>
    <w:rsid w:val="00F43314"/>
    <w:rsid w:val="00F4337B"/>
    <w:rsid w:val="00F433D5"/>
    <w:rsid w:val="00F4345B"/>
    <w:rsid w:val="00F434B0"/>
    <w:rsid w:val="00F4354D"/>
    <w:rsid w:val="00F435C7"/>
    <w:rsid w:val="00F43648"/>
    <w:rsid w:val="00F4373C"/>
    <w:rsid w:val="00F437AC"/>
    <w:rsid w:val="00F438AE"/>
    <w:rsid w:val="00F438C4"/>
    <w:rsid w:val="00F438E2"/>
    <w:rsid w:val="00F43948"/>
    <w:rsid w:val="00F43975"/>
    <w:rsid w:val="00F439C7"/>
    <w:rsid w:val="00F439CE"/>
    <w:rsid w:val="00F43A46"/>
    <w:rsid w:val="00F43A73"/>
    <w:rsid w:val="00F43B17"/>
    <w:rsid w:val="00F43B6B"/>
    <w:rsid w:val="00F43BB5"/>
    <w:rsid w:val="00F43BC0"/>
    <w:rsid w:val="00F43C5E"/>
    <w:rsid w:val="00F43CB7"/>
    <w:rsid w:val="00F43CD8"/>
    <w:rsid w:val="00F43CDD"/>
    <w:rsid w:val="00F43CFC"/>
    <w:rsid w:val="00F43DD4"/>
    <w:rsid w:val="00F43E1D"/>
    <w:rsid w:val="00F43FBD"/>
    <w:rsid w:val="00F43FD0"/>
    <w:rsid w:val="00F43FD9"/>
    <w:rsid w:val="00F43FE7"/>
    <w:rsid w:val="00F43FED"/>
    <w:rsid w:val="00F440EB"/>
    <w:rsid w:val="00F44195"/>
    <w:rsid w:val="00F44206"/>
    <w:rsid w:val="00F442CB"/>
    <w:rsid w:val="00F4439E"/>
    <w:rsid w:val="00F443CE"/>
    <w:rsid w:val="00F44498"/>
    <w:rsid w:val="00F44518"/>
    <w:rsid w:val="00F44529"/>
    <w:rsid w:val="00F4459B"/>
    <w:rsid w:val="00F44628"/>
    <w:rsid w:val="00F44699"/>
    <w:rsid w:val="00F4469B"/>
    <w:rsid w:val="00F447C0"/>
    <w:rsid w:val="00F4483E"/>
    <w:rsid w:val="00F44895"/>
    <w:rsid w:val="00F44955"/>
    <w:rsid w:val="00F4499D"/>
    <w:rsid w:val="00F449CF"/>
    <w:rsid w:val="00F44A27"/>
    <w:rsid w:val="00F44A92"/>
    <w:rsid w:val="00F44AAE"/>
    <w:rsid w:val="00F44B18"/>
    <w:rsid w:val="00F44CD9"/>
    <w:rsid w:val="00F44CEC"/>
    <w:rsid w:val="00F44D54"/>
    <w:rsid w:val="00F44DE5"/>
    <w:rsid w:val="00F44E3C"/>
    <w:rsid w:val="00F44E3F"/>
    <w:rsid w:val="00F44E75"/>
    <w:rsid w:val="00F44F17"/>
    <w:rsid w:val="00F44FE4"/>
    <w:rsid w:val="00F4504D"/>
    <w:rsid w:val="00F45089"/>
    <w:rsid w:val="00F45100"/>
    <w:rsid w:val="00F4510D"/>
    <w:rsid w:val="00F451E4"/>
    <w:rsid w:val="00F45217"/>
    <w:rsid w:val="00F4521D"/>
    <w:rsid w:val="00F45263"/>
    <w:rsid w:val="00F453BD"/>
    <w:rsid w:val="00F453FD"/>
    <w:rsid w:val="00F4542B"/>
    <w:rsid w:val="00F454C6"/>
    <w:rsid w:val="00F45613"/>
    <w:rsid w:val="00F456A2"/>
    <w:rsid w:val="00F456AA"/>
    <w:rsid w:val="00F45713"/>
    <w:rsid w:val="00F457D4"/>
    <w:rsid w:val="00F45819"/>
    <w:rsid w:val="00F458BE"/>
    <w:rsid w:val="00F4593D"/>
    <w:rsid w:val="00F45A13"/>
    <w:rsid w:val="00F45AC5"/>
    <w:rsid w:val="00F45B2C"/>
    <w:rsid w:val="00F45B5A"/>
    <w:rsid w:val="00F45B79"/>
    <w:rsid w:val="00F45C55"/>
    <w:rsid w:val="00F45CD6"/>
    <w:rsid w:val="00F45CFB"/>
    <w:rsid w:val="00F45DA6"/>
    <w:rsid w:val="00F45DF0"/>
    <w:rsid w:val="00F45E14"/>
    <w:rsid w:val="00F45E2A"/>
    <w:rsid w:val="00F45E9F"/>
    <w:rsid w:val="00F45F61"/>
    <w:rsid w:val="00F46070"/>
    <w:rsid w:val="00F460DE"/>
    <w:rsid w:val="00F46108"/>
    <w:rsid w:val="00F46176"/>
    <w:rsid w:val="00F4619A"/>
    <w:rsid w:val="00F461DD"/>
    <w:rsid w:val="00F46215"/>
    <w:rsid w:val="00F462E2"/>
    <w:rsid w:val="00F463C8"/>
    <w:rsid w:val="00F463C9"/>
    <w:rsid w:val="00F463F8"/>
    <w:rsid w:val="00F46420"/>
    <w:rsid w:val="00F46458"/>
    <w:rsid w:val="00F4647D"/>
    <w:rsid w:val="00F4660E"/>
    <w:rsid w:val="00F46669"/>
    <w:rsid w:val="00F466C7"/>
    <w:rsid w:val="00F46703"/>
    <w:rsid w:val="00F46742"/>
    <w:rsid w:val="00F46768"/>
    <w:rsid w:val="00F467C4"/>
    <w:rsid w:val="00F46888"/>
    <w:rsid w:val="00F468A8"/>
    <w:rsid w:val="00F468DB"/>
    <w:rsid w:val="00F468F8"/>
    <w:rsid w:val="00F46906"/>
    <w:rsid w:val="00F469AC"/>
    <w:rsid w:val="00F46A03"/>
    <w:rsid w:val="00F46A49"/>
    <w:rsid w:val="00F46A8C"/>
    <w:rsid w:val="00F46BB9"/>
    <w:rsid w:val="00F46BC6"/>
    <w:rsid w:val="00F46C1E"/>
    <w:rsid w:val="00F46C20"/>
    <w:rsid w:val="00F46CB9"/>
    <w:rsid w:val="00F46CE8"/>
    <w:rsid w:val="00F46DAD"/>
    <w:rsid w:val="00F46DAE"/>
    <w:rsid w:val="00F46DFA"/>
    <w:rsid w:val="00F46E0D"/>
    <w:rsid w:val="00F46E78"/>
    <w:rsid w:val="00F46E7C"/>
    <w:rsid w:val="00F46E83"/>
    <w:rsid w:val="00F46E9F"/>
    <w:rsid w:val="00F46F54"/>
    <w:rsid w:val="00F47182"/>
    <w:rsid w:val="00F471C8"/>
    <w:rsid w:val="00F4728A"/>
    <w:rsid w:val="00F472E2"/>
    <w:rsid w:val="00F47365"/>
    <w:rsid w:val="00F47436"/>
    <w:rsid w:val="00F47461"/>
    <w:rsid w:val="00F47480"/>
    <w:rsid w:val="00F47581"/>
    <w:rsid w:val="00F47594"/>
    <w:rsid w:val="00F475AC"/>
    <w:rsid w:val="00F4762A"/>
    <w:rsid w:val="00F47657"/>
    <w:rsid w:val="00F4769E"/>
    <w:rsid w:val="00F476A5"/>
    <w:rsid w:val="00F476E8"/>
    <w:rsid w:val="00F4787E"/>
    <w:rsid w:val="00F478A3"/>
    <w:rsid w:val="00F47926"/>
    <w:rsid w:val="00F4793F"/>
    <w:rsid w:val="00F47950"/>
    <w:rsid w:val="00F4795F"/>
    <w:rsid w:val="00F47A4F"/>
    <w:rsid w:val="00F47AF1"/>
    <w:rsid w:val="00F47B9F"/>
    <w:rsid w:val="00F47BE6"/>
    <w:rsid w:val="00F47C4B"/>
    <w:rsid w:val="00F47C97"/>
    <w:rsid w:val="00F47CC0"/>
    <w:rsid w:val="00F47CD2"/>
    <w:rsid w:val="00F47D02"/>
    <w:rsid w:val="00F47D45"/>
    <w:rsid w:val="00F47DC4"/>
    <w:rsid w:val="00F47E52"/>
    <w:rsid w:val="00F47EA6"/>
    <w:rsid w:val="00F47EAF"/>
    <w:rsid w:val="00F47F10"/>
    <w:rsid w:val="00F47F3C"/>
    <w:rsid w:val="00F47F98"/>
    <w:rsid w:val="00F50021"/>
    <w:rsid w:val="00F50041"/>
    <w:rsid w:val="00F5007E"/>
    <w:rsid w:val="00F50125"/>
    <w:rsid w:val="00F50166"/>
    <w:rsid w:val="00F501AF"/>
    <w:rsid w:val="00F501C9"/>
    <w:rsid w:val="00F50252"/>
    <w:rsid w:val="00F5026A"/>
    <w:rsid w:val="00F502CD"/>
    <w:rsid w:val="00F503B7"/>
    <w:rsid w:val="00F504E0"/>
    <w:rsid w:val="00F504EC"/>
    <w:rsid w:val="00F5053D"/>
    <w:rsid w:val="00F50585"/>
    <w:rsid w:val="00F505BC"/>
    <w:rsid w:val="00F505BD"/>
    <w:rsid w:val="00F50613"/>
    <w:rsid w:val="00F507D7"/>
    <w:rsid w:val="00F5081D"/>
    <w:rsid w:val="00F508C3"/>
    <w:rsid w:val="00F5096A"/>
    <w:rsid w:val="00F509BC"/>
    <w:rsid w:val="00F50A06"/>
    <w:rsid w:val="00F50A6F"/>
    <w:rsid w:val="00F50AEA"/>
    <w:rsid w:val="00F50B28"/>
    <w:rsid w:val="00F50B47"/>
    <w:rsid w:val="00F50BED"/>
    <w:rsid w:val="00F50C85"/>
    <w:rsid w:val="00F50CA0"/>
    <w:rsid w:val="00F50CCA"/>
    <w:rsid w:val="00F50CD2"/>
    <w:rsid w:val="00F50D6D"/>
    <w:rsid w:val="00F50E6A"/>
    <w:rsid w:val="00F50EBC"/>
    <w:rsid w:val="00F51004"/>
    <w:rsid w:val="00F51083"/>
    <w:rsid w:val="00F51090"/>
    <w:rsid w:val="00F510B0"/>
    <w:rsid w:val="00F510C6"/>
    <w:rsid w:val="00F51137"/>
    <w:rsid w:val="00F5114B"/>
    <w:rsid w:val="00F511C5"/>
    <w:rsid w:val="00F511DF"/>
    <w:rsid w:val="00F51279"/>
    <w:rsid w:val="00F512B5"/>
    <w:rsid w:val="00F512CD"/>
    <w:rsid w:val="00F51376"/>
    <w:rsid w:val="00F5138F"/>
    <w:rsid w:val="00F51532"/>
    <w:rsid w:val="00F515C2"/>
    <w:rsid w:val="00F515C9"/>
    <w:rsid w:val="00F515CA"/>
    <w:rsid w:val="00F51601"/>
    <w:rsid w:val="00F5164E"/>
    <w:rsid w:val="00F5167C"/>
    <w:rsid w:val="00F516E3"/>
    <w:rsid w:val="00F5175D"/>
    <w:rsid w:val="00F5177B"/>
    <w:rsid w:val="00F5177F"/>
    <w:rsid w:val="00F517BD"/>
    <w:rsid w:val="00F517DC"/>
    <w:rsid w:val="00F5183B"/>
    <w:rsid w:val="00F51867"/>
    <w:rsid w:val="00F518A8"/>
    <w:rsid w:val="00F51934"/>
    <w:rsid w:val="00F5193B"/>
    <w:rsid w:val="00F5196D"/>
    <w:rsid w:val="00F519B9"/>
    <w:rsid w:val="00F519C4"/>
    <w:rsid w:val="00F519DC"/>
    <w:rsid w:val="00F51ABE"/>
    <w:rsid w:val="00F51B99"/>
    <w:rsid w:val="00F51B9F"/>
    <w:rsid w:val="00F51BCE"/>
    <w:rsid w:val="00F51BE4"/>
    <w:rsid w:val="00F51C0F"/>
    <w:rsid w:val="00F51C3B"/>
    <w:rsid w:val="00F51C3C"/>
    <w:rsid w:val="00F51CB1"/>
    <w:rsid w:val="00F51CDB"/>
    <w:rsid w:val="00F51D16"/>
    <w:rsid w:val="00F51EC8"/>
    <w:rsid w:val="00F51EFB"/>
    <w:rsid w:val="00F51F11"/>
    <w:rsid w:val="00F51F4D"/>
    <w:rsid w:val="00F51F91"/>
    <w:rsid w:val="00F51F9F"/>
    <w:rsid w:val="00F51FA1"/>
    <w:rsid w:val="00F51FE2"/>
    <w:rsid w:val="00F52060"/>
    <w:rsid w:val="00F5208E"/>
    <w:rsid w:val="00F520E9"/>
    <w:rsid w:val="00F5214D"/>
    <w:rsid w:val="00F52199"/>
    <w:rsid w:val="00F521F1"/>
    <w:rsid w:val="00F522C9"/>
    <w:rsid w:val="00F523A7"/>
    <w:rsid w:val="00F523AE"/>
    <w:rsid w:val="00F523B0"/>
    <w:rsid w:val="00F523D7"/>
    <w:rsid w:val="00F52413"/>
    <w:rsid w:val="00F52425"/>
    <w:rsid w:val="00F5244F"/>
    <w:rsid w:val="00F524E8"/>
    <w:rsid w:val="00F52500"/>
    <w:rsid w:val="00F52515"/>
    <w:rsid w:val="00F52605"/>
    <w:rsid w:val="00F5265C"/>
    <w:rsid w:val="00F526C5"/>
    <w:rsid w:val="00F5271B"/>
    <w:rsid w:val="00F52749"/>
    <w:rsid w:val="00F527AB"/>
    <w:rsid w:val="00F52912"/>
    <w:rsid w:val="00F52943"/>
    <w:rsid w:val="00F529BB"/>
    <w:rsid w:val="00F52A44"/>
    <w:rsid w:val="00F52A7D"/>
    <w:rsid w:val="00F52AA2"/>
    <w:rsid w:val="00F52AB0"/>
    <w:rsid w:val="00F52AC9"/>
    <w:rsid w:val="00F52B16"/>
    <w:rsid w:val="00F52B20"/>
    <w:rsid w:val="00F52B4C"/>
    <w:rsid w:val="00F52B5B"/>
    <w:rsid w:val="00F52C1B"/>
    <w:rsid w:val="00F52CD6"/>
    <w:rsid w:val="00F52CF1"/>
    <w:rsid w:val="00F52D45"/>
    <w:rsid w:val="00F52D8F"/>
    <w:rsid w:val="00F52E9F"/>
    <w:rsid w:val="00F52F06"/>
    <w:rsid w:val="00F53177"/>
    <w:rsid w:val="00F53219"/>
    <w:rsid w:val="00F5326B"/>
    <w:rsid w:val="00F532BD"/>
    <w:rsid w:val="00F53314"/>
    <w:rsid w:val="00F53514"/>
    <w:rsid w:val="00F535AE"/>
    <w:rsid w:val="00F535E3"/>
    <w:rsid w:val="00F535FB"/>
    <w:rsid w:val="00F53632"/>
    <w:rsid w:val="00F5378B"/>
    <w:rsid w:val="00F537CF"/>
    <w:rsid w:val="00F5380B"/>
    <w:rsid w:val="00F53878"/>
    <w:rsid w:val="00F5388F"/>
    <w:rsid w:val="00F538F0"/>
    <w:rsid w:val="00F5392D"/>
    <w:rsid w:val="00F53A6E"/>
    <w:rsid w:val="00F53AD5"/>
    <w:rsid w:val="00F53B0B"/>
    <w:rsid w:val="00F53B23"/>
    <w:rsid w:val="00F53B5F"/>
    <w:rsid w:val="00F53BDF"/>
    <w:rsid w:val="00F53BFA"/>
    <w:rsid w:val="00F53C6E"/>
    <w:rsid w:val="00F53CDA"/>
    <w:rsid w:val="00F53DD0"/>
    <w:rsid w:val="00F53DD4"/>
    <w:rsid w:val="00F53ED5"/>
    <w:rsid w:val="00F53F5E"/>
    <w:rsid w:val="00F53FD9"/>
    <w:rsid w:val="00F53FEB"/>
    <w:rsid w:val="00F54026"/>
    <w:rsid w:val="00F54152"/>
    <w:rsid w:val="00F54211"/>
    <w:rsid w:val="00F54277"/>
    <w:rsid w:val="00F5430A"/>
    <w:rsid w:val="00F5439A"/>
    <w:rsid w:val="00F543AD"/>
    <w:rsid w:val="00F54419"/>
    <w:rsid w:val="00F5442D"/>
    <w:rsid w:val="00F54476"/>
    <w:rsid w:val="00F54596"/>
    <w:rsid w:val="00F545A3"/>
    <w:rsid w:val="00F545B5"/>
    <w:rsid w:val="00F54606"/>
    <w:rsid w:val="00F5463C"/>
    <w:rsid w:val="00F54701"/>
    <w:rsid w:val="00F54746"/>
    <w:rsid w:val="00F5477D"/>
    <w:rsid w:val="00F54785"/>
    <w:rsid w:val="00F5478C"/>
    <w:rsid w:val="00F547F5"/>
    <w:rsid w:val="00F5481E"/>
    <w:rsid w:val="00F54832"/>
    <w:rsid w:val="00F54835"/>
    <w:rsid w:val="00F548D7"/>
    <w:rsid w:val="00F54909"/>
    <w:rsid w:val="00F54912"/>
    <w:rsid w:val="00F5495B"/>
    <w:rsid w:val="00F5496B"/>
    <w:rsid w:val="00F549CA"/>
    <w:rsid w:val="00F54A07"/>
    <w:rsid w:val="00F54ADB"/>
    <w:rsid w:val="00F54B03"/>
    <w:rsid w:val="00F54BAB"/>
    <w:rsid w:val="00F54DD9"/>
    <w:rsid w:val="00F54E54"/>
    <w:rsid w:val="00F54EE7"/>
    <w:rsid w:val="00F54EF8"/>
    <w:rsid w:val="00F54FE4"/>
    <w:rsid w:val="00F55020"/>
    <w:rsid w:val="00F55058"/>
    <w:rsid w:val="00F55086"/>
    <w:rsid w:val="00F550A0"/>
    <w:rsid w:val="00F550B7"/>
    <w:rsid w:val="00F55115"/>
    <w:rsid w:val="00F55271"/>
    <w:rsid w:val="00F552E8"/>
    <w:rsid w:val="00F55304"/>
    <w:rsid w:val="00F5537D"/>
    <w:rsid w:val="00F553FD"/>
    <w:rsid w:val="00F554F6"/>
    <w:rsid w:val="00F5553F"/>
    <w:rsid w:val="00F55571"/>
    <w:rsid w:val="00F5559C"/>
    <w:rsid w:val="00F555B7"/>
    <w:rsid w:val="00F555CD"/>
    <w:rsid w:val="00F555EA"/>
    <w:rsid w:val="00F555F1"/>
    <w:rsid w:val="00F5563F"/>
    <w:rsid w:val="00F55662"/>
    <w:rsid w:val="00F55694"/>
    <w:rsid w:val="00F55816"/>
    <w:rsid w:val="00F5581B"/>
    <w:rsid w:val="00F55874"/>
    <w:rsid w:val="00F55895"/>
    <w:rsid w:val="00F55899"/>
    <w:rsid w:val="00F558DF"/>
    <w:rsid w:val="00F558E7"/>
    <w:rsid w:val="00F55946"/>
    <w:rsid w:val="00F5595F"/>
    <w:rsid w:val="00F559F1"/>
    <w:rsid w:val="00F55B53"/>
    <w:rsid w:val="00F55BA9"/>
    <w:rsid w:val="00F55BD0"/>
    <w:rsid w:val="00F55C54"/>
    <w:rsid w:val="00F55C9E"/>
    <w:rsid w:val="00F55D52"/>
    <w:rsid w:val="00F55D6D"/>
    <w:rsid w:val="00F55D8A"/>
    <w:rsid w:val="00F55E80"/>
    <w:rsid w:val="00F55EB7"/>
    <w:rsid w:val="00F55EE0"/>
    <w:rsid w:val="00F55F71"/>
    <w:rsid w:val="00F55FC0"/>
    <w:rsid w:val="00F55FDB"/>
    <w:rsid w:val="00F560BE"/>
    <w:rsid w:val="00F560F5"/>
    <w:rsid w:val="00F5615B"/>
    <w:rsid w:val="00F561CD"/>
    <w:rsid w:val="00F56249"/>
    <w:rsid w:val="00F56264"/>
    <w:rsid w:val="00F562B0"/>
    <w:rsid w:val="00F562CD"/>
    <w:rsid w:val="00F56341"/>
    <w:rsid w:val="00F56353"/>
    <w:rsid w:val="00F563B0"/>
    <w:rsid w:val="00F56483"/>
    <w:rsid w:val="00F565B9"/>
    <w:rsid w:val="00F56771"/>
    <w:rsid w:val="00F567E4"/>
    <w:rsid w:val="00F56865"/>
    <w:rsid w:val="00F56882"/>
    <w:rsid w:val="00F568BF"/>
    <w:rsid w:val="00F5692D"/>
    <w:rsid w:val="00F569EB"/>
    <w:rsid w:val="00F56A22"/>
    <w:rsid w:val="00F56B3A"/>
    <w:rsid w:val="00F56B4D"/>
    <w:rsid w:val="00F56B81"/>
    <w:rsid w:val="00F56BD8"/>
    <w:rsid w:val="00F56BF6"/>
    <w:rsid w:val="00F56C0C"/>
    <w:rsid w:val="00F56C4F"/>
    <w:rsid w:val="00F56CDB"/>
    <w:rsid w:val="00F56D1E"/>
    <w:rsid w:val="00F56D52"/>
    <w:rsid w:val="00F56D59"/>
    <w:rsid w:val="00F56DA3"/>
    <w:rsid w:val="00F56DCF"/>
    <w:rsid w:val="00F56DE7"/>
    <w:rsid w:val="00F56DF6"/>
    <w:rsid w:val="00F56E03"/>
    <w:rsid w:val="00F56E1E"/>
    <w:rsid w:val="00F56E5D"/>
    <w:rsid w:val="00F56ED4"/>
    <w:rsid w:val="00F56F4E"/>
    <w:rsid w:val="00F56F4F"/>
    <w:rsid w:val="00F56FAA"/>
    <w:rsid w:val="00F570E0"/>
    <w:rsid w:val="00F57121"/>
    <w:rsid w:val="00F5714A"/>
    <w:rsid w:val="00F57291"/>
    <w:rsid w:val="00F573C0"/>
    <w:rsid w:val="00F57445"/>
    <w:rsid w:val="00F5745B"/>
    <w:rsid w:val="00F57505"/>
    <w:rsid w:val="00F57544"/>
    <w:rsid w:val="00F5758C"/>
    <w:rsid w:val="00F575B6"/>
    <w:rsid w:val="00F5760B"/>
    <w:rsid w:val="00F57664"/>
    <w:rsid w:val="00F576BA"/>
    <w:rsid w:val="00F5775E"/>
    <w:rsid w:val="00F57761"/>
    <w:rsid w:val="00F57792"/>
    <w:rsid w:val="00F577F4"/>
    <w:rsid w:val="00F5780F"/>
    <w:rsid w:val="00F57854"/>
    <w:rsid w:val="00F57885"/>
    <w:rsid w:val="00F57996"/>
    <w:rsid w:val="00F579A1"/>
    <w:rsid w:val="00F579EB"/>
    <w:rsid w:val="00F57A94"/>
    <w:rsid w:val="00F57B00"/>
    <w:rsid w:val="00F57BA0"/>
    <w:rsid w:val="00F57BA5"/>
    <w:rsid w:val="00F57C36"/>
    <w:rsid w:val="00F57C72"/>
    <w:rsid w:val="00F57D62"/>
    <w:rsid w:val="00F57D9D"/>
    <w:rsid w:val="00F57DED"/>
    <w:rsid w:val="00F57DFB"/>
    <w:rsid w:val="00F57E16"/>
    <w:rsid w:val="00F57E4B"/>
    <w:rsid w:val="00F57F26"/>
    <w:rsid w:val="00F57F32"/>
    <w:rsid w:val="00F57F5A"/>
    <w:rsid w:val="00F600D4"/>
    <w:rsid w:val="00F6011F"/>
    <w:rsid w:val="00F60141"/>
    <w:rsid w:val="00F60156"/>
    <w:rsid w:val="00F60169"/>
    <w:rsid w:val="00F60293"/>
    <w:rsid w:val="00F602FD"/>
    <w:rsid w:val="00F60321"/>
    <w:rsid w:val="00F60397"/>
    <w:rsid w:val="00F603C2"/>
    <w:rsid w:val="00F60458"/>
    <w:rsid w:val="00F604B9"/>
    <w:rsid w:val="00F604DF"/>
    <w:rsid w:val="00F60575"/>
    <w:rsid w:val="00F6057E"/>
    <w:rsid w:val="00F605E9"/>
    <w:rsid w:val="00F6069F"/>
    <w:rsid w:val="00F606F7"/>
    <w:rsid w:val="00F6079C"/>
    <w:rsid w:val="00F607A3"/>
    <w:rsid w:val="00F6089B"/>
    <w:rsid w:val="00F608C5"/>
    <w:rsid w:val="00F608ED"/>
    <w:rsid w:val="00F60962"/>
    <w:rsid w:val="00F609DF"/>
    <w:rsid w:val="00F609FD"/>
    <w:rsid w:val="00F60A00"/>
    <w:rsid w:val="00F60A94"/>
    <w:rsid w:val="00F60AB1"/>
    <w:rsid w:val="00F60B68"/>
    <w:rsid w:val="00F60B7F"/>
    <w:rsid w:val="00F60B93"/>
    <w:rsid w:val="00F60BE2"/>
    <w:rsid w:val="00F60C3F"/>
    <w:rsid w:val="00F60C93"/>
    <w:rsid w:val="00F60D1F"/>
    <w:rsid w:val="00F60DA0"/>
    <w:rsid w:val="00F60DFE"/>
    <w:rsid w:val="00F60E02"/>
    <w:rsid w:val="00F60E50"/>
    <w:rsid w:val="00F60EAA"/>
    <w:rsid w:val="00F60F27"/>
    <w:rsid w:val="00F60FE3"/>
    <w:rsid w:val="00F60FF4"/>
    <w:rsid w:val="00F60FF6"/>
    <w:rsid w:val="00F61052"/>
    <w:rsid w:val="00F6106E"/>
    <w:rsid w:val="00F610D2"/>
    <w:rsid w:val="00F610F0"/>
    <w:rsid w:val="00F61109"/>
    <w:rsid w:val="00F611CE"/>
    <w:rsid w:val="00F611EE"/>
    <w:rsid w:val="00F61217"/>
    <w:rsid w:val="00F612FA"/>
    <w:rsid w:val="00F61396"/>
    <w:rsid w:val="00F613F1"/>
    <w:rsid w:val="00F6141D"/>
    <w:rsid w:val="00F61452"/>
    <w:rsid w:val="00F614AB"/>
    <w:rsid w:val="00F61510"/>
    <w:rsid w:val="00F6152E"/>
    <w:rsid w:val="00F6154B"/>
    <w:rsid w:val="00F615A9"/>
    <w:rsid w:val="00F61612"/>
    <w:rsid w:val="00F61646"/>
    <w:rsid w:val="00F616B6"/>
    <w:rsid w:val="00F6171E"/>
    <w:rsid w:val="00F617EA"/>
    <w:rsid w:val="00F61828"/>
    <w:rsid w:val="00F6187E"/>
    <w:rsid w:val="00F6189A"/>
    <w:rsid w:val="00F61911"/>
    <w:rsid w:val="00F6195A"/>
    <w:rsid w:val="00F61A6F"/>
    <w:rsid w:val="00F61C18"/>
    <w:rsid w:val="00F61C1C"/>
    <w:rsid w:val="00F61CB1"/>
    <w:rsid w:val="00F61CC1"/>
    <w:rsid w:val="00F61CC6"/>
    <w:rsid w:val="00F61CDD"/>
    <w:rsid w:val="00F61CFC"/>
    <w:rsid w:val="00F61D02"/>
    <w:rsid w:val="00F61DCD"/>
    <w:rsid w:val="00F61E59"/>
    <w:rsid w:val="00F61E8D"/>
    <w:rsid w:val="00F61EB6"/>
    <w:rsid w:val="00F61F01"/>
    <w:rsid w:val="00F61F1A"/>
    <w:rsid w:val="00F61F90"/>
    <w:rsid w:val="00F61F9F"/>
    <w:rsid w:val="00F61FC1"/>
    <w:rsid w:val="00F62000"/>
    <w:rsid w:val="00F6200C"/>
    <w:rsid w:val="00F62142"/>
    <w:rsid w:val="00F62223"/>
    <w:rsid w:val="00F62229"/>
    <w:rsid w:val="00F622D3"/>
    <w:rsid w:val="00F62326"/>
    <w:rsid w:val="00F623A7"/>
    <w:rsid w:val="00F623E5"/>
    <w:rsid w:val="00F62425"/>
    <w:rsid w:val="00F62432"/>
    <w:rsid w:val="00F62434"/>
    <w:rsid w:val="00F6243A"/>
    <w:rsid w:val="00F62473"/>
    <w:rsid w:val="00F624E9"/>
    <w:rsid w:val="00F6258C"/>
    <w:rsid w:val="00F625A0"/>
    <w:rsid w:val="00F625AC"/>
    <w:rsid w:val="00F62715"/>
    <w:rsid w:val="00F627D1"/>
    <w:rsid w:val="00F627DF"/>
    <w:rsid w:val="00F62814"/>
    <w:rsid w:val="00F62824"/>
    <w:rsid w:val="00F62843"/>
    <w:rsid w:val="00F6284E"/>
    <w:rsid w:val="00F628A0"/>
    <w:rsid w:val="00F62906"/>
    <w:rsid w:val="00F62992"/>
    <w:rsid w:val="00F629E0"/>
    <w:rsid w:val="00F62A22"/>
    <w:rsid w:val="00F62A3B"/>
    <w:rsid w:val="00F62BFD"/>
    <w:rsid w:val="00F62C6E"/>
    <w:rsid w:val="00F62CDB"/>
    <w:rsid w:val="00F62CF0"/>
    <w:rsid w:val="00F62D73"/>
    <w:rsid w:val="00F62DAA"/>
    <w:rsid w:val="00F62E37"/>
    <w:rsid w:val="00F62E50"/>
    <w:rsid w:val="00F62FA0"/>
    <w:rsid w:val="00F63050"/>
    <w:rsid w:val="00F6305C"/>
    <w:rsid w:val="00F63067"/>
    <w:rsid w:val="00F63174"/>
    <w:rsid w:val="00F632B7"/>
    <w:rsid w:val="00F632F0"/>
    <w:rsid w:val="00F6337F"/>
    <w:rsid w:val="00F633FF"/>
    <w:rsid w:val="00F6349B"/>
    <w:rsid w:val="00F634CD"/>
    <w:rsid w:val="00F635A7"/>
    <w:rsid w:val="00F63620"/>
    <w:rsid w:val="00F6364B"/>
    <w:rsid w:val="00F636A1"/>
    <w:rsid w:val="00F636C5"/>
    <w:rsid w:val="00F63718"/>
    <w:rsid w:val="00F6375D"/>
    <w:rsid w:val="00F63792"/>
    <w:rsid w:val="00F6379F"/>
    <w:rsid w:val="00F638B3"/>
    <w:rsid w:val="00F63A06"/>
    <w:rsid w:val="00F63AFC"/>
    <w:rsid w:val="00F63B0B"/>
    <w:rsid w:val="00F63BA2"/>
    <w:rsid w:val="00F63C30"/>
    <w:rsid w:val="00F63C3D"/>
    <w:rsid w:val="00F63CE8"/>
    <w:rsid w:val="00F63D93"/>
    <w:rsid w:val="00F63EAB"/>
    <w:rsid w:val="00F63F05"/>
    <w:rsid w:val="00F63F47"/>
    <w:rsid w:val="00F63F8C"/>
    <w:rsid w:val="00F64000"/>
    <w:rsid w:val="00F64029"/>
    <w:rsid w:val="00F640C2"/>
    <w:rsid w:val="00F6419C"/>
    <w:rsid w:val="00F6419E"/>
    <w:rsid w:val="00F6421B"/>
    <w:rsid w:val="00F6426C"/>
    <w:rsid w:val="00F6432C"/>
    <w:rsid w:val="00F64380"/>
    <w:rsid w:val="00F643CF"/>
    <w:rsid w:val="00F643DF"/>
    <w:rsid w:val="00F643EE"/>
    <w:rsid w:val="00F64407"/>
    <w:rsid w:val="00F64460"/>
    <w:rsid w:val="00F6447E"/>
    <w:rsid w:val="00F64490"/>
    <w:rsid w:val="00F644EE"/>
    <w:rsid w:val="00F64523"/>
    <w:rsid w:val="00F645DC"/>
    <w:rsid w:val="00F64778"/>
    <w:rsid w:val="00F647CE"/>
    <w:rsid w:val="00F64829"/>
    <w:rsid w:val="00F648BA"/>
    <w:rsid w:val="00F648E0"/>
    <w:rsid w:val="00F648FB"/>
    <w:rsid w:val="00F64901"/>
    <w:rsid w:val="00F6497B"/>
    <w:rsid w:val="00F649CB"/>
    <w:rsid w:val="00F64A07"/>
    <w:rsid w:val="00F64A21"/>
    <w:rsid w:val="00F64A83"/>
    <w:rsid w:val="00F64AC2"/>
    <w:rsid w:val="00F64B07"/>
    <w:rsid w:val="00F64B1A"/>
    <w:rsid w:val="00F64B28"/>
    <w:rsid w:val="00F64BC2"/>
    <w:rsid w:val="00F64C6C"/>
    <w:rsid w:val="00F64C97"/>
    <w:rsid w:val="00F64C9F"/>
    <w:rsid w:val="00F64D37"/>
    <w:rsid w:val="00F64D72"/>
    <w:rsid w:val="00F64DE5"/>
    <w:rsid w:val="00F64DEE"/>
    <w:rsid w:val="00F64E9A"/>
    <w:rsid w:val="00F64EA5"/>
    <w:rsid w:val="00F64EE5"/>
    <w:rsid w:val="00F64EF7"/>
    <w:rsid w:val="00F64F3E"/>
    <w:rsid w:val="00F64FB5"/>
    <w:rsid w:val="00F65051"/>
    <w:rsid w:val="00F651E3"/>
    <w:rsid w:val="00F65227"/>
    <w:rsid w:val="00F6526E"/>
    <w:rsid w:val="00F65359"/>
    <w:rsid w:val="00F65365"/>
    <w:rsid w:val="00F6539C"/>
    <w:rsid w:val="00F653F2"/>
    <w:rsid w:val="00F65448"/>
    <w:rsid w:val="00F65470"/>
    <w:rsid w:val="00F65478"/>
    <w:rsid w:val="00F6553A"/>
    <w:rsid w:val="00F6555A"/>
    <w:rsid w:val="00F6557B"/>
    <w:rsid w:val="00F6568A"/>
    <w:rsid w:val="00F65750"/>
    <w:rsid w:val="00F65825"/>
    <w:rsid w:val="00F658C8"/>
    <w:rsid w:val="00F65939"/>
    <w:rsid w:val="00F6594A"/>
    <w:rsid w:val="00F65971"/>
    <w:rsid w:val="00F65A41"/>
    <w:rsid w:val="00F65AEC"/>
    <w:rsid w:val="00F65B45"/>
    <w:rsid w:val="00F65B4E"/>
    <w:rsid w:val="00F65BA4"/>
    <w:rsid w:val="00F65BC2"/>
    <w:rsid w:val="00F65BDD"/>
    <w:rsid w:val="00F65C55"/>
    <w:rsid w:val="00F65C68"/>
    <w:rsid w:val="00F65CB3"/>
    <w:rsid w:val="00F65D45"/>
    <w:rsid w:val="00F65D65"/>
    <w:rsid w:val="00F65DBE"/>
    <w:rsid w:val="00F65E02"/>
    <w:rsid w:val="00F65EC0"/>
    <w:rsid w:val="00F65EC5"/>
    <w:rsid w:val="00F65F1C"/>
    <w:rsid w:val="00F65F79"/>
    <w:rsid w:val="00F6607E"/>
    <w:rsid w:val="00F66144"/>
    <w:rsid w:val="00F66175"/>
    <w:rsid w:val="00F6617F"/>
    <w:rsid w:val="00F661DF"/>
    <w:rsid w:val="00F66254"/>
    <w:rsid w:val="00F6626A"/>
    <w:rsid w:val="00F662CD"/>
    <w:rsid w:val="00F662FF"/>
    <w:rsid w:val="00F66392"/>
    <w:rsid w:val="00F66408"/>
    <w:rsid w:val="00F66416"/>
    <w:rsid w:val="00F66429"/>
    <w:rsid w:val="00F66581"/>
    <w:rsid w:val="00F66609"/>
    <w:rsid w:val="00F66766"/>
    <w:rsid w:val="00F667FC"/>
    <w:rsid w:val="00F66AF6"/>
    <w:rsid w:val="00F66BE3"/>
    <w:rsid w:val="00F66C01"/>
    <w:rsid w:val="00F66C87"/>
    <w:rsid w:val="00F66CC6"/>
    <w:rsid w:val="00F66D15"/>
    <w:rsid w:val="00F66DDC"/>
    <w:rsid w:val="00F66E18"/>
    <w:rsid w:val="00F66F68"/>
    <w:rsid w:val="00F66FBB"/>
    <w:rsid w:val="00F66FC7"/>
    <w:rsid w:val="00F6702A"/>
    <w:rsid w:val="00F6703C"/>
    <w:rsid w:val="00F670AC"/>
    <w:rsid w:val="00F670DC"/>
    <w:rsid w:val="00F67116"/>
    <w:rsid w:val="00F67117"/>
    <w:rsid w:val="00F67123"/>
    <w:rsid w:val="00F67131"/>
    <w:rsid w:val="00F6713F"/>
    <w:rsid w:val="00F67188"/>
    <w:rsid w:val="00F671A1"/>
    <w:rsid w:val="00F671D0"/>
    <w:rsid w:val="00F67211"/>
    <w:rsid w:val="00F67233"/>
    <w:rsid w:val="00F67259"/>
    <w:rsid w:val="00F67293"/>
    <w:rsid w:val="00F672A9"/>
    <w:rsid w:val="00F67399"/>
    <w:rsid w:val="00F67411"/>
    <w:rsid w:val="00F67450"/>
    <w:rsid w:val="00F6758A"/>
    <w:rsid w:val="00F675FA"/>
    <w:rsid w:val="00F67632"/>
    <w:rsid w:val="00F6763E"/>
    <w:rsid w:val="00F6764D"/>
    <w:rsid w:val="00F67656"/>
    <w:rsid w:val="00F6766A"/>
    <w:rsid w:val="00F67692"/>
    <w:rsid w:val="00F676B0"/>
    <w:rsid w:val="00F67716"/>
    <w:rsid w:val="00F67779"/>
    <w:rsid w:val="00F677A9"/>
    <w:rsid w:val="00F677EE"/>
    <w:rsid w:val="00F67835"/>
    <w:rsid w:val="00F6785C"/>
    <w:rsid w:val="00F67877"/>
    <w:rsid w:val="00F678A1"/>
    <w:rsid w:val="00F6797F"/>
    <w:rsid w:val="00F67A4B"/>
    <w:rsid w:val="00F67B37"/>
    <w:rsid w:val="00F67BCB"/>
    <w:rsid w:val="00F67C18"/>
    <w:rsid w:val="00F67C43"/>
    <w:rsid w:val="00F67C53"/>
    <w:rsid w:val="00F67CB0"/>
    <w:rsid w:val="00F67D0B"/>
    <w:rsid w:val="00F67F6D"/>
    <w:rsid w:val="00F70018"/>
    <w:rsid w:val="00F70019"/>
    <w:rsid w:val="00F70098"/>
    <w:rsid w:val="00F70165"/>
    <w:rsid w:val="00F702C1"/>
    <w:rsid w:val="00F70383"/>
    <w:rsid w:val="00F703B8"/>
    <w:rsid w:val="00F7045E"/>
    <w:rsid w:val="00F704D9"/>
    <w:rsid w:val="00F7063D"/>
    <w:rsid w:val="00F70751"/>
    <w:rsid w:val="00F70767"/>
    <w:rsid w:val="00F70792"/>
    <w:rsid w:val="00F707C4"/>
    <w:rsid w:val="00F7085D"/>
    <w:rsid w:val="00F70869"/>
    <w:rsid w:val="00F7093A"/>
    <w:rsid w:val="00F70983"/>
    <w:rsid w:val="00F709C6"/>
    <w:rsid w:val="00F70A22"/>
    <w:rsid w:val="00F70AA1"/>
    <w:rsid w:val="00F70B1E"/>
    <w:rsid w:val="00F70BE6"/>
    <w:rsid w:val="00F70C56"/>
    <w:rsid w:val="00F70C6E"/>
    <w:rsid w:val="00F70C94"/>
    <w:rsid w:val="00F70DB0"/>
    <w:rsid w:val="00F70DD1"/>
    <w:rsid w:val="00F70DDD"/>
    <w:rsid w:val="00F70DE6"/>
    <w:rsid w:val="00F70E5E"/>
    <w:rsid w:val="00F70E68"/>
    <w:rsid w:val="00F70ED4"/>
    <w:rsid w:val="00F70F0A"/>
    <w:rsid w:val="00F70F2C"/>
    <w:rsid w:val="00F70FD0"/>
    <w:rsid w:val="00F70FF9"/>
    <w:rsid w:val="00F71011"/>
    <w:rsid w:val="00F71116"/>
    <w:rsid w:val="00F7116E"/>
    <w:rsid w:val="00F71193"/>
    <w:rsid w:val="00F7127D"/>
    <w:rsid w:val="00F7129F"/>
    <w:rsid w:val="00F7133B"/>
    <w:rsid w:val="00F7135B"/>
    <w:rsid w:val="00F7149E"/>
    <w:rsid w:val="00F714C1"/>
    <w:rsid w:val="00F714C7"/>
    <w:rsid w:val="00F7151C"/>
    <w:rsid w:val="00F7152F"/>
    <w:rsid w:val="00F71588"/>
    <w:rsid w:val="00F71595"/>
    <w:rsid w:val="00F7161F"/>
    <w:rsid w:val="00F716D1"/>
    <w:rsid w:val="00F716F1"/>
    <w:rsid w:val="00F71732"/>
    <w:rsid w:val="00F71838"/>
    <w:rsid w:val="00F71891"/>
    <w:rsid w:val="00F7192F"/>
    <w:rsid w:val="00F71973"/>
    <w:rsid w:val="00F71980"/>
    <w:rsid w:val="00F71991"/>
    <w:rsid w:val="00F719FC"/>
    <w:rsid w:val="00F71A3F"/>
    <w:rsid w:val="00F71A4C"/>
    <w:rsid w:val="00F71A4F"/>
    <w:rsid w:val="00F71A7F"/>
    <w:rsid w:val="00F71AB5"/>
    <w:rsid w:val="00F71AC9"/>
    <w:rsid w:val="00F71B51"/>
    <w:rsid w:val="00F71B8D"/>
    <w:rsid w:val="00F71BCF"/>
    <w:rsid w:val="00F71C4F"/>
    <w:rsid w:val="00F71C78"/>
    <w:rsid w:val="00F71D13"/>
    <w:rsid w:val="00F71D8D"/>
    <w:rsid w:val="00F71DDA"/>
    <w:rsid w:val="00F71DE1"/>
    <w:rsid w:val="00F71DEC"/>
    <w:rsid w:val="00F71E73"/>
    <w:rsid w:val="00F71E99"/>
    <w:rsid w:val="00F71EFA"/>
    <w:rsid w:val="00F71F3C"/>
    <w:rsid w:val="00F71F83"/>
    <w:rsid w:val="00F72061"/>
    <w:rsid w:val="00F72072"/>
    <w:rsid w:val="00F720B4"/>
    <w:rsid w:val="00F720E8"/>
    <w:rsid w:val="00F720EC"/>
    <w:rsid w:val="00F721A7"/>
    <w:rsid w:val="00F721C6"/>
    <w:rsid w:val="00F7227D"/>
    <w:rsid w:val="00F7244D"/>
    <w:rsid w:val="00F7245D"/>
    <w:rsid w:val="00F72477"/>
    <w:rsid w:val="00F72542"/>
    <w:rsid w:val="00F72622"/>
    <w:rsid w:val="00F7268A"/>
    <w:rsid w:val="00F726FD"/>
    <w:rsid w:val="00F7273C"/>
    <w:rsid w:val="00F7288D"/>
    <w:rsid w:val="00F7289F"/>
    <w:rsid w:val="00F7299C"/>
    <w:rsid w:val="00F729AE"/>
    <w:rsid w:val="00F729DC"/>
    <w:rsid w:val="00F72A19"/>
    <w:rsid w:val="00F72A4B"/>
    <w:rsid w:val="00F72B7A"/>
    <w:rsid w:val="00F72BDD"/>
    <w:rsid w:val="00F72C1D"/>
    <w:rsid w:val="00F72C79"/>
    <w:rsid w:val="00F72C9B"/>
    <w:rsid w:val="00F72CB2"/>
    <w:rsid w:val="00F72CE6"/>
    <w:rsid w:val="00F72D20"/>
    <w:rsid w:val="00F72D4B"/>
    <w:rsid w:val="00F72D8F"/>
    <w:rsid w:val="00F72D93"/>
    <w:rsid w:val="00F72DDD"/>
    <w:rsid w:val="00F72DE3"/>
    <w:rsid w:val="00F72E42"/>
    <w:rsid w:val="00F72E6D"/>
    <w:rsid w:val="00F72EC7"/>
    <w:rsid w:val="00F72F5F"/>
    <w:rsid w:val="00F72FE5"/>
    <w:rsid w:val="00F73026"/>
    <w:rsid w:val="00F730B3"/>
    <w:rsid w:val="00F73128"/>
    <w:rsid w:val="00F73130"/>
    <w:rsid w:val="00F7314D"/>
    <w:rsid w:val="00F73161"/>
    <w:rsid w:val="00F73172"/>
    <w:rsid w:val="00F73177"/>
    <w:rsid w:val="00F731F2"/>
    <w:rsid w:val="00F73202"/>
    <w:rsid w:val="00F7328A"/>
    <w:rsid w:val="00F73310"/>
    <w:rsid w:val="00F73321"/>
    <w:rsid w:val="00F7338D"/>
    <w:rsid w:val="00F733AE"/>
    <w:rsid w:val="00F73449"/>
    <w:rsid w:val="00F73494"/>
    <w:rsid w:val="00F73665"/>
    <w:rsid w:val="00F736B8"/>
    <w:rsid w:val="00F736C0"/>
    <w:rsid w:val="00F736E9"/>
    <w:rsid w:val="00F73701"/>
    <w:rsid w:val="00F7371C"/>
    <w:rsid w:val="00F7373F"/>
    <w:rsid w:val="00F73789"/>
    <w:rsid w:val="00F738F0"/>
    <w:rsid w:val="00F73927"/>
    <w:rsid w:val="00F73941"/>
    <w:rsid w:val="00F73A09"/>
    <w:rsid w:val="00F73A74"/>
    <w:rsid w:val="00F73AE8"/>
    <w:rsid w:val="00F73BB9"/>
    <w:rsid w:val="00F73BC6"/>
    <w:rsid w:val="00F73CD6"/>
    <w:rsid w:val="00F73CDA"/>
    <w:rsid w:val="00F73CE8"/>
    <w:rsid w:val="00F73D96"/>
    <w:rsid w:val="00F73DBD"/>
    <w:rsid w:val="00F73E3B"/>
    <w:rsid w:val="00F73E3C"/>
    <w:rsid w:val="00F73E4F"/>
    <w:rsid w:val="00F73E74"/>
    <w:rsid w:val="00F73E8E"/>
    <w:rsid w:val="00F73E9A"/>
    <w:rsid w:val="00F73EE5"/>
    <w:rsid w:val="00F73F0D"/>
    <w:rsid w:val="00F73F14"/>
    <w:rsid w:val="00F73F32"/>
    <w:rsid w:val="00F73F6E"/>
    <w:rsid w:val="00F73FDE"/>
    <w:rsid w:val="00F73FF6"/>
    <w:rsid w:val="00F73FFA"/>
    <w:rsid w:val="00F7404B"/>
    <w:rsid w:val="00F741B3"/>
    <w:rsid w:val="00F741C1"/>
    <w:rsid w:val="00F741ED"/>
    <w:rsid w:val="00F74208"/>
    <w:rsid w:val="00F7436E"/>
    <w:rsid w:val="00F7438C"/>
    <w:rsid w:val="00F7449F"/>
    <w:rsid w:val="00F74694"/>
    <w:rsid w:val="00F747C6"/>
    <w:rsid w:val="00F747E3"/>
    <w:rsid w:val="00F74843"/>
    <w:rsid w:val="00F7487F"/>
    <w:rsid w:val="00F748E3"/>
    <w:rsid w:val="00F749DB"/>
    <w:rsid w:val="00F74A74"/>
    <w:rsid w:val="00F74A9E"/>
    <w:rsid w:val="00F74AF6"/>
    <w:rsid w:val="00F74B3F"/>
    <w:rsid w:val="00F74B51"/>
    <w:rsid w:val="00F74BFD"/>
    <w:rsid w:val="00F74C87"/>
    <w:rsid w:val="00F74CBE"/>
    <w:rsid w:val="00F74D66"/>
    <w:rsid w:val="00F74D74"/>
    <w:rsid w:val="00F74E2B"/>
    <w:rsid w:val="00F74E31"/>
    <w:rsid w:val="00F74FD6"/>
    <w:rsid w:val="00F75151"/>
    <w:rsid w:val="00F75182"/>
    <w:rsid w:val="00F751CD"/>
    <w:rsid w:val="00F75364"/>
    <w:rsid w:val="00F75368"/>
    <w:rsid w:val="00F7540B"/>
    <w:rsid w:val="00F754A2"/>
    <w:rsid w:val="00F75529"/>
    <w:rsid w:val="00F75537"/>
    <w:rsid w:val="00F755A6"/>
    <w:rsid w:val="00F756FA"/>
    <w:rsid w:val="00F75735"/>
    <w:rsid w:val="00F7574E"/>
    <w:rsid w:val="00F7576C"/>
    <w:rsid w:val="00F757C5"/>
    <w:rsid w:val="00F758C7"/>
    <w:rsid w:val="00F7595D"/>
    <w:rsid w:val="00F7597E"/>
    <w:rsid w:val="00F759C4"/>
    <w:rsid w:val="00F75AF3"/>
    <w:rsid w:val="00F75B13"/>
    <w:rsid w:val="00F75C78"/>
    <w:rsid w:val="00F75C7E"/>
    <w:rsid w:val="00F75D4C"/>
    <w:rsid w:val="00F75DAD"/>
    <w:rsid w:val="00F75E01"/>
    <w:rsid w:val="00F75E45"/>
    <w:rsid w:val="00F75E6F"/>
    <w:rsid w:val="00F75E7B"/>
    <w:rsid w:val="00F75E94"/>
    <w:rsid w:val="00F75E9F"/>
    <w:rsid w:val="00F75F07"/>
    <w:rsid w:val="00F75FF1"/>
    <w:rsid w:val="00F76088"/>
    <w:rsid w:val="00F760A3"/>
    <w:rsid w:val="00F760D4"/>
    <w:rsid w:val="00F76115"/>
    <w:rsid w:val="00F7611A"/>
    <w:rsid w:val="00F76146"/>
    <w:rsid w:val="00F76191"/>
    <w:rsid w:val="00F76260"/>
    <w:rsid w:val="00F76397"/>
    <w:rsid w:val="00F76416"/>
    <w:rsid w:val="00F7645B"/>
    <w:rsid w:val="00F764E5"/>
    <w:rsid w:val="00F764F6"/>
    <w:rsid w:val="00F765AF"/>
    <w:rsid w:val="00F765D0"/>
    <w:rsid w:val="00F765E7"/>
    <w:rsid w:val="00F7660C"/>
    <w:rsid w:val="00F766B4"/>
    <w:rsid w:val="00F766D9"/>
    <w:rsid w:val="00F7671A"/>
    <w:rsid w:val="00F76723"/>
    <w:rsid w:val="00F7674D"/>
    <w:rsid w:val="00F76815"/>
    <w:rsid w:val="00F76860"/>
    <w:rsid w:val="00F768FC"/>
    <w:rsid w:val="00F7690E"/>
    <w:rsid w:val="00F76920"/>
    <w:rsid w:val="00F76933"/>
    <w:rsid w:val="00F7697F"/>
    <w:rsid w:val="00F76A09"/>
    <w:rsid w:val="00F76A32"/>
    <w:rsid w:val="00F76A34"/>
    <w:rsid w:val="00F76ABA"/>
    <w:rsid w:val="00F76AF8"/>
    <w:rsid w:val="00F76AFC"/>
    <w:rsid w:val="00F76BA8"/>
    <w:rsid w:val="00F76C38"/>
    <w:rsid w:val="00F76C67"/>
    <w:rsid w:val="00F76C98"/>
    <w:rsid w:val="00F76CCD"/>
    <w:rsid w:val="00F76CEC"/>
    <w:rsid w:val="00F76D04"/>
    <w:rsid w:val="00F76D5F"/>
    <w:rsid w:val="00F76D85"/>
    <w:rsid w:val="00F76DAC"/>
    <w:rsid w:val="00F76E11"/>
    <w:rsid w:val="00F76E6B"/>
    <w:rsid w:val="00F76EFF"/>
    <w:rsid w:val="00F76FC5"/>
    <w:rsid w:val="00F77054"/>
    <w:rsid w:val="00F770CA"/>
    <w:rsid w:val="00F77193"/>
    <w:rsid w:val="00F771B9"/>
    <w:rsid w:val="00F771D0"/>
    <w:rsid w:val="00F771D6"/>
    <w:rsid w:val="00F771E6"/>
    <w:rsid w:val="00F771E8"/>
    <w:rsid w:val="00F7726B"/>
    <w:rsid w:val="00F772E8"/>
    <w:rsid w:val="00F7731B"/>
    <w:rsid w:val="00F7735A"/>
    <w:rsid w:val="00F77380"/>
    <w:rsid w:val="00F77423"/>
    <w:rsid w:val="00F77449"/>
    <w:rsid w:val="00F77552"/>
    <w:rsid w:val="00F77620"/>
    <w:rsid w:val="00F77676"/>
    <w:rsid w:val="00F7767B"/>
    <w:rsid w:val="00F77755"/>
    <w:rsid w:val="00F777DB"/>
    <w:rsid w:val="00F77813"/>
    <w:rsid w:val="00F7785D"/>
    <w:rsid w:val="00F779CF"/>
    <w:rsid w:val="00F77A39"/>
    <w:rsid w:val="00F77ADE"/>
    <w:rsid w:val="00F77B28"/>
    <w:rsid w:val="00F77B67"/>
    <w:rsid w:val="00F77BD0"/>
    <w:rsid w:val="00F77C0C"/>
    <w:rsid w:val="00F77C88"/>
    <w:rsid w:val="00F77CD3"/>
    <w:rsid w:val="00F77CFB"/>
    <w:rsid w:val="00F77D2C"/>
    <w:rsid w:val="00F77D41"/>
    <w:rsid w:val="00F77DAE"/>
    <w:rsid w:val="00F77DBD"/>
    <w:rsid w:val="00F77DFF"/>
    <w:rsid w:val="00F77EF4"/>
    <w:rsid w:val="00F77F71"/>
    <w:rsid w:val="00F77F7C"/>
    <w:rsid w:val="00F77FF2"/>
    <w:rsid w:val="00F80020"/>
    <w:rsid w:val="00F800BC"/>
    <w:rsid w:val="00F8019D"/>
    <w:rsid w:val="00F8019E"/>
    <w:rsid w:val="00F801CD"/>
    <w:rsid w:val="00F80285"/>
    <w:rsid w:val="00F802EC"/>
    <w:rsid w:val="00F80300"/>
    <w:rsid w:val="00F8043F"/>
    <w:rsid w:val="00F80496"/>
    <w:rsid w:val="00F804AA"/>
    <w:rsid w:val="00F804DF"/>
    <w:rsid w:val="00F8056A"/>
    <w:rsid w:val="00F80571"/>
    <w:rsid w:val="00F8059B"/>
    <w:rsid w:val="00F8060C"/>
    <w:rsid w:val="00F80703"/>
    <w:rsid w:val="00F8074D"/>
    <w:rsid w:val="00F8078B"/>
    <w:rsid w:val="00F80816"/>
    <w:rsid w:val="00F80855"/>
    <w:rsid w:val="00F80897"/>
    <w:rsid w:val="00F808B2"/>
    <w:rsid w:val="00F808E2"/>
    <w:rsid w:val="00F80946"/>
    <w:rsid w:val="00F8095B"/>
    <w:rsid w:val="00F80977"/>
    <w:rsid w:val="00F809B5"/>
    <w:rsid w:val="00F809D5"/>
    <w:rsid w:val="00F809F3"/>
    <w:rsid w:val="00F80A4D"/>
    <w:rsid w:val="00F80A5E"/>
    <w:rsid w:val="00F80B3B"/>
    <w:rsid w:val="00F80BFA"/>
    <w:rsid w:val="00F80C08"/>
    <w:rsid w:val="00F80C38"/>
    <w:rsid w:val="00F80D89"/>
    <w:rsid w:val="00F80DB1"/>
    <w:rsid w:val="00F80E8A"/>
    <w:rsid w:val="00F80EBB"/>
    <w:rsid w:val="00F80EC5"/>
    <w:rsid w:val="00F80EFF"/>
    <w:rsid w:val="00F81136"/>
    <w:rsid w:val="00F8123B"/>
    <w:rsid w:val="00F8127D"/>
    <w:rsid w:val="00F81285"/>
    <w:rsid w:val="00F812FD"/>
    <w:rsid w:val="00F81362"/>
    <w:rsid w:val="00F81367"/>
    <w:rsid w:val="00F813CD"/>
    <w:rsid w:val="00F81662"/>
    <w:rsid w:val="00F816B4"/>
    <w:rsid w:val="00F816DA"/>
    <w:rsid w:val="00F8183A"/>
    <w:rsid w:val="00F818AF"/>
    <w:rsid w:val="00F818C2"/>
    <w:rsid w:val="00F8194B"/>
    <w:rsid w:val="00F81A0D"/>
    <w:rsid w:val="00F81A18"/>
    <w:rsid w:val="00F81A7D"/>
    <w:rsid w:val="00F81A8F"/>
    <w:rsid w:val="00F81AA4"/>
    <w:rsid w:val="00F81AF2"/>
    <w:rsid w:val="00F81AF4"/>
    <w:rsid w:val="00F81B72"/>
    <w:rsid w:val="00F81BB6"/>
    <w:rsid w:val="00F81BDC"/>
    <w:rsid w:val="00F81C16"/>
    <w:rsid w:val="00F81C43"/>
    <w:rsid w:val="00F81C57"/>
    <w:rsid w:val="00F81C64"/>
    <w:rsid w:val="00F81C8E"/>
    <w:rsid w:val="00F81D33"/>
    <w:rsid w:val="00F81D8E"/>
    <w:rsid w:val="00F81D90"/>
    <w:rsid w:val="00F81DBA"/>
    <w:rsid w:val="00F81F09"/>
    <w:rsid w:val="00F81F3F"/>
    <w:rsid w:val="00F81F9A"/>
    <w:rsid w:val="00F81FD8"/>
    <w:rsid w:val="00F8206B"/>
    <w:rsid w:val="00F8210C"/>
    <w:rsid w:val="00F82221"/>
    <w:rsid w:val="00F822A1"/>
    <w:rsid w:val="00F822D5"/>
    <w:rsid w:val="00F822DA"/>
    <w:rsid w:val="00F8232B"/>
    <w:rsid w:val="00F823AE"/>
    <w:rsid w:val="00F8250C"/>
    <w:rsid w:val="00F8255B"/>
    <w:rsid w:val="00F825A7"/>
    <w:rsid w:val="00F82616"/>
    <w:rsid w:val="00F826DD"/>
    <w:rsid w:val="00F82780"/>
    <w:rsid w:val="00F827AA"/>
    <w:rsid w:val="00F827B4"/>
    <w:rsid w:val="00F8280B"/>
    <w:rsid w:val="00F82967"/>
    <w:rsid w:val="00F82996"/>
    <w:rsid w:val="00F82A3B"/>
    <w:rsid w:val="00F82A75"/>
    <w:rsid w:val="00F82A77"/>
    <w:rsid w:val="00F82A80"/>
    <w:rsid w:val="00F82AB6"/>
    <w:rsid w:val="00F82AEA"/>
    <w:rsid w:val="00F82B17"/>
    <w:rsid w:val="00F82B6F"/>
    <w:rsid w:val="00F82C15"/>
    <w:rsid w:val="00F82C34"/>
    <w:rsid w:val="00F82C57"/>
    <w:rsid w:val="00F82C61"/>
    <w:rsid w:val="00F82CE5"/>
    <w:rsid w:val="00F82DDC"/>
    <w:rsid w:val="00F82E5F"/>
    <w:rsid w:val="00F82EE9"/>
    <w:rsid w:val="00F82EFD"/>
    <w:rsid w:val="00F82F98"/>
    <w:rsid w:val="00F830CA"/>
    <w:rsid w:val="00F83242"/>
    <w:rsid w:val="00F832A6"/>
    <w:rsid w:val="00F832C9"/>
    <w:rsid w:val="00F83322"/>
    <w:rsid w:val="00F833AB"/>
    <w:rsid w:val="00F833BA"/>
    <w:rsid w:val="00F83448"/>
    <w:rsid w:val="00F834A8"/>
    <w:rsid w:val="00F834B9"/>
    <w:rsid w:val="00F834DB"/>
    <w:rsid w:val="00F83597"/>
    <w:rsid w:val="00F83621"/>
    <w:rsid w:val="00F8363A"/>
    <w:rsid w:val="00F83657"/>
    <w:rsid w:val="00F836E0"/>
    <w:rsid w:val="00F83747"/>
    <w:rsid w:val="00F8383B"/>
    <w:rsid w:val="00F839D5"/>
    <w:rsid w:val="00F83A14"/>
    <w:rsid w:val="00F83AF6"/>
    <w:rsid w:val="00F83B80"/>
    <w:rsid w:val="00F83B9A"/>
    <w:rsid w:val="00F83BDD"/>
    <w:rsid w:val="00F83D58"/>
    <w:rsid w:val="00F83D68"/>
    <w:rsid w:val="00F83EAC"/>
    <w:rsid w:val="00F83F2F"/>
    <w:rsid w:val="00F8403B"/>
    <w:rsid w:val="00F84096"/>
    <w:rsid w:val="00F8417A"/>
    <w:rsid w:val="00F84189"/>
    <w:rsid w:val="00F84208"/>
    <w:rsid w:val="00F84219"/>
    <w:rsid w:val="00F8424B"/>
    <w:rsid w:val="00F842C1"/>
    <w:rsid w:val="00F8431D"/>
    <w:rsid w:val="00F8438D"/>
    <w:rsid w:val="00F843AB"/>
    <w:rsid w:val="00F84401"/>
    <w:rsid w:val="00F844C3"/>
    <w:rsid w:val="00F8452C"/>
    <w:rsid w:val="00F8454B"/>
    <w:rsid w:val="00F845B7"/>
    <w:rsid w:val="00F84692"/>
    <w:rsid w:val="00F846AD"/>
    <w:rsid w:val="00F846D5"/>
    <w:rsid w:val="00F8480E"/>
    <w:rsid w:val="00F8492B"/>
    <w:rsid w:val="00F84949"/>
    <w:rsid w:val="00F849C4"/>
    <w:rsid w:val="00F84A1C"/>
    <w:rsid w:val="00F84AA9"/>
    <w:rsid w:val="00F84B23"/>
    <w:rsid w:val="00F84B29"/>
    <w:rsid w:val="00F84B6C"/>
    <w:rsid w:val="00F84BD5"/>
    <w:rsid w:val="00F84C55"/>
    <w:rsid w:val="00F84C9D"/>
    <w:rsid w:val="00F84D7E"/>
    <w:rsid w:val="00F84DFC"/>
    <w:rsid w:val="00F84E44"/>
    <w:rsid w:val="00F84F87"/>
    <w:rsid w:val="00F84FD4"/>
    <w:rsid w:val="00F84FDC"/>
    <w:rsid w:val="00F84FF7"/>
    <w:rsid w:val="00F8505D"/>
    <w:rsid w:val="00F85179"/>
    <w:rsid w:val="00F851E2"/>
    <w:rsid w:val="00F8524E"/>
    <w:rsid w:val="00F85287"/>
    <w:rsid w:val="00F8528E"/>
    <w:rsid w:val="00F852DA"/>
    <w:rsid w:val="00F852FA"/>
    <w:rsid w:val="00F853B2"/>
    <w:rsid w:val="00F853DE"/>
    <w:rsid w:val="00F854EE"/>
    <w:rsid w:val="00F85680"/>
    <w:rsid w:val="00F856E7"/>
    <w:rsid w:val="00F857EB"/>
    <w:rsid w:val="00F858AD"/>
    <w:rsid w:val="00F858BA"/>
    <w:rsid w:val="00F85909"/>
    <w:rsid w:val="00F859C8"/>
    <w:rsid w:val="00F85A65"/>
    <w:rsid w:val="00F85AA4"/>
    <w:rsid w:val="00F85C65"/>
    <w:rsid w:val="00F85CC0"/>
    <w:rsid w:val="00F85CC5"/>
    <w:rsid w:val="00F85CF2"/>
    <w:rsid w:val="00F85F04"/>
    <w:rsid w:val="00F85F1D"/>
    <w:rsid w:val="00F85F1E"/>
    <w:rsid w:val="00F85F4C"/>
    <w:rsid w:val="00F85F54"/>
    <w:rsid w:val="00F85F69"/>
    <w:rsid w:val="00F85FE1"/>
    <w:rsid w:val="00F85FEB"/>
    <w:rsid w:val="00F86096"/>
    <w:rsid w:val="00F860A0"/>
    <w:rsid w:val="00F86183"/>
    <w:rsid w:val="00F8618B"/>
    <w:rsid w:val="00F86198"/>
    <w:rsid w:val="00F86221"/>
    <w:rsid w:val="00F862B2"/>
    <w:rsid w:val="00F862D3"/>
    <w:rsid w:val="00F8630B"/>
    <w:rsid w:val="00F86331"/>
    <w:rsid w:val="00F8634C"/>
    <w:rsid w:val="00F86490"/>
    <w:rsid w:val="00F86545"/>
    <w:rsid w:val="00F8659B"/>
    <w:rsid w:val="00F865BF"/>
    <w:rsid w:val="00F86652"/>
    <w:rsid w:val="00F86688"/>
    <w:rsid w:val="00F866A5"/>
    <w:rsid w:val="00F866D4"/>
    <w:rsid w:val="00F86710"/>
    <w:rsid w:val="00F86831"/>
    <w:rsid w:val="00F868D0"/>
    <w:rsid w:val="00F869C0"/>
    <w:rsid w:val="00F86A2F"/>
    <w:rsid w:val="00F86AA0"/>
    <w:rsid w:val="00F86B3A"/>
    <w:rsid w:val="00F86B46"/>
    <w:rsid w:val="00F86BC1"/>
    <w:rsid w:val="00F86BC9"/>
    <w:rsid w:val="00F86C5A"/>
    <w:rsid w:val="00F86C5F"/>
    <w:rsid w:val="00F86C83"/>
    <w:rsid w:val="00F86CE5"/>
    <w:rsid w:val="00F86D1B"/>
    <w:rsid w:val="00F86D73"/>
    <w:rsid w:val="00F86E77"/>
    <w:rsid w:val="00F86E93"/>
    <w:rsid w:val="00F86FEF"/>
    <w:rsid w:val="00F8706B"/>
    <w:rsid w:val="00F87155"/>
    <w:rsid w:val="00F871CF"/>
    <w:rsid w:val="00F87208"/>
    <w:rsid w:val="00F872EC"/>
    <w:rsid w:val="00F872F2"/>
    <w:rsid w:val="00F8734E"/>
    <w:rsid w:val="00F87350"/>
    <w:rsid w:val="00F87368"/>
    <w:rsid w:val="00F874DE"/>
    <w:rsid w:val="00F875A8"/>
    <w:rsid w:val="00F876F7"/>
    <w:rsid w:val="00F87700"/>
    <w:rsid w:val="00F87761"/>
    <w:rsid w:val="00F87793"/>
    <w:rsid w:val="00F87976"/>
    <w:rsid w:val="00F879A6"/>
    <w:rsid w:val="00F879C4"/>
    <w:rsid w:val="00F879F1"/>
    <w:rsid w:val="00F87A3B"/>
    <w:rsid w:val="00F87AE7"/>
    <w:rsid w:val="00F87C1E"/>
    <w:rsid w:val="00F87C50"/>
    <w:rsid w:val="00F87C78"/>
    <w:rsid w:val="00F87C7F"/>
    <w:rsid w:val="00F87CEB"/>
    <w:rsid w:val="00F87D0D"/>
    <w:rsid w:val="00F87D28"/>
    <w:rsid w:val="00F9010D"/>
    <w:rsid w:val="00F901DB"/>
    <w:rsid w:val="00F901FA"/>
    <w:rsid w:val="00F9021C"/>
    <w:rsid w:val="00F90279"/>
    <w:rsid w:val="00F90320"/>
    <w:rsid w:val="00F903A0"/>
    <w:rsid w:val="00F9045F"/>
    <w:rsid w:val="00F9047A"/>
    <w:rsid w:val="00F904B6"/>
    <w:rsid w:val="00F90503"/>
    <w:rsid w:val="00F90561"/>
    <w:rsid w:val="00F9060E"/>
    <w:rsid w:val="00F90623"/>
    <w:rsid w:val="00F90631"/>
    <w:rsid w:val="00F9064F"/>
    <w:rsid w:val="00F90670"/>
    <w:rsid w:val="00F90695"/>
    <w:rsid w:val="00F906A4"/>
    <w:rsid w:val="00F90702"/>
    <w:rsid w:val="00F90766"/>
    <w:rsid w:val="00F907C1"/>
    <w:rsid w:val="00F907CB"/>
    <w:rsid w:val="00F908AD"/>
    <w:rsid w:val="00F908D5"/>
    <w:rsid w:val="00F90940"/>
    <w:rsid w:val="00F90953"/>
    <w:rsid w:val="00F9096C"/>
    <w:rsid w:val="00F90997"/>
    <w:rsid w:val="00F909A2"/>
    <w:rsid w:val="00F909F1"/>
    <w:rsid w:val="00F90AC3"/>
    <w:rsid w:val="00F90C37"/>
    <w:rsid w:val="00F90C3E"/>
    <w:rsid w:val="00F90C7B"/>
    <w:rsid w:val="00F90CE3"/>
    <w:rsid w:val="00F90D26"/>
    <w:rsid w:val="00F90D9E"/>
    <w:rsid w:val="00F90E69"/>
    <w:rsid w:val="00F90EB7"/>
    <w:rsid w:val="00F90FE7"/>
    <w:rsid w:val="00F910B3"/>
    <w:rsid w:val="00F910C8"/>
    <w:rsid w:val="00F91214"/>
    <w:rsid w:val="00F912A6"/>
    <w:rsid w:val="00F912C4"/>
    <w:rsid w:val="00F912EE"/>
    <w:rsid w:val="00F91308"/>
    <w:rsid w:val="00F91353"/>
    <w:rsid w:val="00F9136E"/>
    <w:rsid w:val="00F9139C"/>
    <w:rsid w:val="00F91435"/>
    <w:rsid w:val="00F914AE"/>
    <w:rsid w:val="00F914CA"/>
    <w:rsid w:val="00F914E3"/>
    <w:rsid w:val="00F914F4"/>
    <w:rsid w:val="00F915FB"/>
    <w:rsid w:val="00F916B4"/>
    <w:rsid w:val="00F916C4"/>
    <w:rsid w:val="00F916D1"/>
    <w:rsid w:val="00F91827"/>
    <w:rsid w:val="00F9188B"/>
    <w:rsid w:val="00F918D8"/>
    <w:rsid w:val="00F91990"/>
    <w:rsid w:val="00F91A9A"/>
    <w:rsid w:val="00F91A9D"/>
    <w:rsid w:val="00F91AA9"/>
    <w:rsid w:val="00F91AE5"/>
    <w:rsid w:val="00F91B62"/>
    <w:rsid w:val="00F91B83"/>
    <w:rsid w:val="00F91C10"/>
    <w:rsid w:val="00F91C35"/>
    <w:rsid w:val="00F91C58"/>
    <w:rsid w:val="00F91C83"/>
    <w:rsid w:val="00F91CA3"/>
    <w:rsid w:val="00F91CB5"/>
    <w:rsid w:val="00F91CB9"/>
    <w:rsid w:val="00F91DB7"/>
    <w:rsid w:val="00F91E39"/>
    <w:rsid w:val="00F91E64"/>
    <w:rsid w:val="00F91F08"/>
    <w:rsid w:val="00F91FC1"/>
    <w:rsid w:val="00F91FEB"/>
    <w:rsid w:val="00F92056"/>
    <w:rsid w:val="00F92089"/>
    <w:rsid w:val="00F920B8"/>
    <w:rsid w:val="00F920C7"/>
    <w:rsid w:val="00F921C1"/>
    <w:rsid w:val="00F921CA"/>
    <w:rsid w:val="00F921D9"/>
    <w:rsid w:val="00F922F5"/>
    <w:rsid w:val="00F92325"/>
    <w:rsid w:val="00F923BA"/>
    <w:rsid w:val="00F9241D"/>
    <w:rsid w:val="00F924BE"/>
    <w:rsid w:val="00F924E3"/>
    <w:rsid w:val="00F925C5"/>
    <w:rsid w:val="00F92629"/>
    <w:rsid w:val="00F9266A"/>
    <w:rsid w:val="00F9267A"/>
    <w:rsid w:val="00F9274D"/>
    <w:rsid w:val="00F92770"/>
    <w:rsid w:val="00F92809"/>
    <w:rsid w:val="00F92812"/>
    <w:rsid w:val="00F928D4"/>
    <w:rsid w:val="00F9290C"/>
    <w:rsid w:val="00F9292A"/>
    <w:rsid w:val="00F9296A"/>
    <w:rsid w:val="00F9297C"/>
    <w:rsid w:val="00F929A0"/>
    <w:rsid w:val="00F929B9"/>
    <w:rsid w:val="00F929CA"/>
    <w:rsid w:val="00F92A3C"/>
    <w:rsid w:val="00F92ACB"/>
    <w:rsid w:val="00F92B66"/>
    <w:rsid w:val="00F92C4B"/>
    <w:rsid w:val="00F92C4D"/>
    <w:rsid w:val="00F92C6F"/>
    <w:rsid w:val="00F92C8F"/>
    <w:rsid w:val="00F92CDF"/>
    <w:rsid w:val="00F92DE6"/>
    <w:rsid w:val="00F931FC"/>
    <w:rsid w:val="00F9323E"/>
    <w:rsid w:val="00F932AD"/>
    <w:rsid w:val="00F9336C"/>
    <w:rsid w:val="00F933A5"/>
    <w:rsid w:val="00F9340D"/>
    <w:rsid w:val="00F93448"/>
    <w:rsid w:val="00F935FE"/>
    <w:rsid w:val="00F93673"/>
    <w:rsid w:val="00F936A8"/>
    <w:rsid w:val="00F9371E"/>
    <w:rsid w:val="00F93744"/>
    <w:rsid w:val="00F93776"/>
    <w:rsid w:val="00F938B4"/>
    <w:rsid w:val="00F9392B"/>
    <w:rsid w:val="00F93948"/>
    <w:rsid w:val="00F93997"/>
    <w:rsid w:val="00F939F2"/>
    <w:rsid w:val="00F939F7"/>
    <w:rsid w:val="00F93A51"/>
    <w:rsid w:val="00F93A72"/>
    <w:rsid w:val="00F93ACD"/>
    <w:rsid w:val="00F93C64"/>
    <w:rsid w:val="00F93CBB"/>
    <w:rsid w:val="00F93CFD"/>
    <w:rsid w:val="00F93E38"/>
    <w:rsid w:val="00F93EE0"/>
    <w:rsid w:val="00F93EFF"/>
    <w:rsid w:val="00F93FAF"/>
    <w:rsid w:val="00F94017"/>
    <w:rsid w:val="00F9401C"/>
    <w:rsid w:val="00F94065"/>
    <w:rsid w:val="00F94137"/>
    <w:rsid w:val="00F94152"/>
    <w:rsid w:val="00F94213"/>
    <w:rsid w:val="00F942CA"/>
    <w:rsid w:val="00F94323"/>
    <w:rsid w:val="00F9448A"/>
    <w:rsid w:val="00F94516"/>
    <w:rsid w:val="00F9455C"/>
    <w:rsid w:val="00F94588"/>
    <w:rsid w:val="00F945BD"/>
    <w:rsid w:val="00F946D3"/>
    <w:rsid w:val="00F94760"/>
    <w:rsid w:val="00F94792"/>
    <w:rsid w:val="00F947C9"/>
    <w:rsid w:val="00F9495F"/>
    <w:rsid w:val="00F94A1B"/>
    <w:rsid w:val="00F94B07"/>
    <w:rsid w:val="00F94B0C"/>
    <w:rsid w:val="00F94BC4"/>
    <w:rsid w:val="00F94C2D"/>
    <w:rsid w:val="00F94C4A"/>
    <w:rsid w:val="00F94DA0"/>
    <w:rsid w:val="00F94EC2"/>
    <w:rsid w:val="00F94F1D"/>
    <w:rsid w:val="00F94F3C"/>
    <w:rsid w:val="00F94FAD"/>
    <w:rsid w:val="00F9501B"/>
    <w:rsid w:val="00F950D2"/>
    <w:rsid w:val="00F9514A"/>
    <w:rsid w:val="00F95308"/>
    <w:rsid w:val="00F95315"/>
    <w:rsid w:val="00F95346"/>
    <w:rsid w:val="00F953C3"/>
    <w:rsid w:val="00F953FE"/>
    <w:rsid w:val="00F95475"/>
    <w:rsid w:val="00F9555B"/>
    <w:rsid w:val="00F955A7"/>
    <w:rsid w:val="00F955E5"/>
    <w:rsid w:val="00F95649"/>
    <w:rsid w:val="00F9567C"/>
    <w:rsid w:val="00F95790"/>
    <w:rsid w:val="00F9580E"/>
    <w:rsid w:val="00F95822"/>
    <w:rsid w:val="00F95828"/>
    <w:rsid w:val="00F9595E"/>
    <w:rsid w:val="00F95994"/>
    <w:rsid w:val="00F959A7"/>
    <w:rsid w:val="00F95A4D"/>
    <w:rsid w:val="00F95A6B"/>
    <w:rsid w:val="00F95A83"/>
    <w:rsid w:val="00F95B2A"/>
    <w:rsid w:val="00F95CA5"/>
    <w:rsid w:val="00F95D1D"/>
    <w:rsid w:val="00F95DAC"/>
    <w:rsid w:val="00F95DD7"/>
    <w:rsid w:val="00F95E5A"/>
    <w:rsid w:val="00F95EA2"/>
    <w:rsid w:val="00F95ECB"/>
    <w:rsid w:val="00F95EDF"/>
    <w:rsid w:val="00F95F12"/>
    <w:rsid w:val="00F95FB3"/>
    <w:rsid w:val="00F95FE2"/>
    <w:rsid w:val="00F96032"/>
    <w:rsid w:val="00F960E5"/>
    <w:rsid w:val="00F96182"/>
    <w:rsid w:val="00F961F4"/>
    <w:rsid w:val="00F96249"/>
    <w:rsid w:val="00F9625A"/>
    <w:rsid w:val="00F9626D"/>
    <w:rsid w:val="00F962D6"/>
    <w:rsid w:val="00F962EA"/>
    <w:rsid w:val="00F96324"/>
    <w:rsid w:val="00F9637F"/>
    <w:rsid w:val="00F963F0"/>
    <w:rsid w:val="00F965CB"/>
    <w:rsid w:val="00F965FE"/>
    <w:rsid w:val="00F96629"/>
    <w:rsid w:val="00F9665A"/>
    <w:rsid w:val="00F96686"/>
    <w:rsid w:val="00F9673C"/>
    <w:rsid w:val="00F96754"/>
    <w:rsid w:val="00F96775"/>
    <w:rsid w:val="00F9684A"/>
    <w:rsid w:val="00F96885"/>
    <w:rsid w:val="00F968BB"/>
    <w:rsid w:val="00F9692E"/>
    <w:rsid w:val="00F969A3"/>
    <w:rsid w:val="00F969BC"/>
    <w:rsid w:val="00F96B6E"/>
    <w:rsid w:val="00F96BD3"/>
    <w:rsid w:val="00F96D00"/>
    <w:rsid w:val="00F96D2B"/>
    <w:rsid w:val="00F96D7A"/>
    <w:rsid w:val="00F96E11"/>
    <w:rsid w:val="00F97004"/>
    <w:rsid w:val="00F97085"/>
    <w:rsid w:val="00F97167"/>
    <w:rsid w:val="00F9722D"/>
    <w:rsid w:val="00F97249"/>
    <w:rsid w:val="00F972A7"/>
    <w:rsid w:val="00F973AC"/>
    <w:rsid w:val="00F97454"/>
    <w:rsid w:val="00F9747F"/>
    <w:rsid w:val="00F974D8"/>
    <w:rsid w:val="00F974EB"/>
    <w:rsid w:val="00F97505"/>
    <w:rsid w:val="00F975CB"/>
    <w:rsid w:val="00F97621"/>
    <w:rsid w:val="00F97647"/>
    <w:rsid w:val="00F976C2"/>
    <w:rsid w:val="00F97768"/>
    <w:rsid w:val="00F97816"/>
    <w:rsid w:val="00F9781A"/>
    <w:rsid w:val="00F97899"/>
    <w:rsid w:val="00F978BE"/>
    <w:rsid w:val="00F97928"/>
    <w:rsid w:val="00F9799C"/>
    <w:rsid w:val="00F979B6"/>
    <w:rsid w:val="00F97AB3"/>
    <w:rsid w:val="00F97AD8"/>
    <w:rsid w:val="00F97B47"/>
    <w:rsid w:val="00F97BF0"/>
    <w:rsid w:val="00F97C20"/>
    <w:rsid w:val="00F97C5E"/>
    <w:rsid w:val="00F97D4F"/>
    <w:rsid w:val="00F97D5A"/>
    <w:rsid w:val="00F97D61"/>
    <w:rsid w:val="00F97E3F"/>
    <w:rsid w:val="00F97E4D"/>
    <w:rsid w:val="00F97E4F"/>
    <w:rsid w:val="00F97EBE"/>
    <w:rsid w:val="00F97EE0"/>
    <w:rsid w:val="00F97F74"/>
    <w:rsid w:val="00F97F7E"/>
    <w:rsid w:val="00F97FDA"/>
    <w:rsid w:val="00F97FEA"/>
    <w:rsid w:val="00FA0001"/>
    <w:rsid w:val="00FA00B3"/>
    <w:rsid w:val="00FA00ED"/>
    <w:rsid w:val="00FA0196"/>
    <w:rsid w:val="00FA02FD"/>
    <w:rsid w:val="00FA03ED"/>
    <w:rsid w:val="00FA03FA"/>
    <w:rsid w:val="00FA0403"/>
    <w:rsid w:val="00FA04CE"/>
    <w:rsid w:val="00FA0567"/>
    <w:rsid w:val="00FA0594"/>
    <w:rsid w:val="00FA06CA"/>
    <w:rsid w:val="00FA06DB"/>
    <w:rsid w:val="00FA07F2"/>
    <w:rsid w:val="00FA0815"/>
    <w:rsid w:val="00FA0825"/>
    <w:rsid w:val="00FA082E"/>
    <w:rsid w:val="00FA0862"/>
    <w:rsid w:val="00FA087E"/>
    <w:rsid w:val="00FA08AD"/>
    <w:rsid w:val="00FA08CA"/>
    <w:rsid w:val="00FA08CD"/>
    <w:rsid w:val="00FA0964"/>
    <w:rsid w:val="00FA0996"/>
    <w:rsid w:val="00FA09CC"/>
    <w:rsid w:val="00FA0A1D"/>
    <w:rsid w:val="00FA0A3C"/>
    <w:rsid w:val="00FA0AA8"/>
    <w:rsid w:val="00FA0AD2"/>
    <w:rsid w:val="00FA0AD6"/>
    <w:rsid w:val="00FA0ADF"/>
    <w:rsid w:val="00FA0B30"/>
    <w:rsid w:val="00FA0B4C"/>
    <w:rsid w:val="00FA0C25"/>
    <w:rsid w:val="00FA0C2C"/>
    <w:rsid w:val="00FA0C56"/>
    <w:rsid w:val="00FA0C79"/>
    <w:rsid w:val="00FA0DC0"/>
    <w:rsid w:val="00FA0E60"/>
    <w:rsid w:val="00FA0EAA"/>
    <w:rsid w:val="00FA1095"/>
    <w:rsid w:val="00FA10DD"/>
    <w:rsid w:val="00FA1128"/>
    <w:rsid w:val="00FA1299"/>
    <w:rsid w:val="00FA12D4"/>
    <w:rsid w:val="00FA1327"/>
    <w:rsid w:val="00FA132B"/>
    <w:rsid w:val="00FA1393"/>
    <w:rsid w:val="00FA13DD"/>
    <w:rsid w:val="00FA143F"/>
    <w:rsid w:val="00FA1454"/>
    <w:rsid w:val="00FA14A6"/>
    <w:rsid w:val="00FA14C6"/>
    <w:rsid w:val="00FA1536"/>
    <w:rsid w:val="00FA161E"/>
    <w:rsid w:val="00FA1681"/>
    <w:rsid w:val="00FA16B0"/>
    <w:rsid w:val="00FA16EB"/>
    <w:rsid w:val="00FA1731"/>
    <w:rsid w:val="00FA181A"/>
    <w:rsid w:val="00FA1837"/>
    <w:rsid w:val="00FA1885"/>
    <w:rsid w:val="00FA1B8C"/>
    <w:rsid w:val="00FA1CCB"/>
    <w:rsid w:val="00FA1D1C"/>
    <w:rsid w:val="00FA1D27"/>
    <w:rsid w:val="00FA1D2F"/>
    <w:rsid w:val="00FA1D97"/>
    <w:rsid w:val="00FA1DD4"/>
    <w:rsid w:val="00FA1E46"/>
    <w:rsid w:val="00FA1F01"/>
    <w:rsid w:val="00FA1F63"/>
    <w:rsid w:val="00FA1FB4"/>
    <w:rsid w:val="00FA208F"/>
    <w:rsid w:val="00FA20D2"/>
    <w:rsid w:val="00FA2134"/>
    <w:rsid w:val="00FA217B"/>
    <w:rsid w:val="00FA21B3"/>
    <w:rsid w:val="00FA2218"/>
    <w:rsid w:val="00FA225F"/>
    <w:rsid w:val="00FA233C"/>
    <w:rsid w:val="00FA23E9"/>
    <w:rsid w:val="00FA2533"/>
    <w:rsid w:val="00FA2537"/>
    <w:rsid w:val="00FA25BD"/>
    <w:rsid w:val="00FA2614"/>
    <w:rsid w:val="00FA2629"/>
    <w:rsid w:val="00FA2679"/>
    <w:rsid w:val="00FA2896"/>
    <w:rsid w:val="00FA291B"/>
    <w:rsid w:val="00FA2928"/>
    <w:rsid w:val="00FA2976"/>
    <w:rsid w:val="00FA2991"/>
    <w:rsid w:val="00FA29FD"/>
    <w:rsid w:val="00FA2AFB"/>
    <w:rsid w:val="00FA2B1B"/>
    <w:rsid w:val="00FA2B5E"/>
    <w:rsid w:val="00FA2CD6"/>
    <w:rsid w:val="00FA2D3E"/>
    <w:rsid w:val="00FA2D94"/>
    <w:rsid w:val="00FA2E38"/>
    <w:rsid w:val="00FA2E59"/>
    <w:rsid w:val="00FA2ECC"/>
    <w:rsid w:val="00FA2F27"/>
    <w:rsid w:val="00FA301C"/>
    <w:rsid w:val="00FA3046"/>
    <w:rsid w:val="00FA30DC"/>
    <w:rsid w:val="00FA30FC"/>
    <w:rsid w:val="00FA311D"/>
    <w:rsid w:val="00FA317D"/>
    <w:rsid w:val="00FA320E"/>
    <w:rsid w:val="00FA33C9"/>
    <w:rsid w:val="00FA341D"/>
    <w:rsid w:val="00FA3468"/>
    <w:rsid w:val="00FA34CD"/>
    <w:rsid w:val="00FA34DC"/>
    <w:rsid w:val="00FA3677"/>
    <w:rsid w:val="00FA36F4"/>
    <w:rsid w:val="00FA3754"/>
    <w:rsid w:val="00FA3772"/>
    <w:rsid w:val="00FA3776"/>
    <w:rsid w:val="00FA37C9"/>
    <w:rsid w:val="00FA38CE"/>
    <w:rsid w:val="00FA3900"/>
    <w:rsid w:val="00FA3905"/>
    <w:rsid w:val="00FA3936"/>
    <w:rsid w:val="00FA3958"/>
    <w:rsid w:val="00FA3A11"/>
    <w:rsid w:val="00FA3A52"/>
    <w:rsid w:val="00FA3A62"/>
    <w:rsid w:val="00FA3A63"/>
    <w:rsid w:val="00FA3AEA"/>
    <w:rsid w:val="00FA3BF9"/>
    <w:rsid w:val="00FA3C96"/>
    <w:rsid w:val="00FA3D3A"/>
    <w:rsid w:val="00FA3D8F"/>
    <w:rsid w:val="00FA3E8A"/>
    <w:rsid w:val="00FA3F1B"/>
    <w:rsid w:val="00FA3FA2"/>
    <w:rsid w:val="00FA3FD5"/>
    <w:rsid w:val="00FA3FDF"/>
    <w:rsid w:val="00FA4016"/>
    <w:rsid w:val="00FA4028"/>
    <w:rsid w:val="00FA4076"/>
    <w:rsid w:val="00FA40C7"/>
    <w:rsid w:val="00FA40D6"/>
    <w:rsid w:val="00FA40F0"/>
    <w:rsid w:val="00FA4150"/>
    <w:rsid w:val="00FA4174"/>
    <w:rsid w:val="00FA4213"/>
    <w:rsid w:val="00FA423D"/>
    <w:rsid w:val="00FA4277"/>
    <w:rsid w:val="00FA428A"/>
    <w:rsid w:val="00FA433A"/>
    <w:rsid w:val="00FA4369"/>
    <w:rsid w:val="00FA43CB"/>
    <w:rsid w:val="00FA442C"/>
    <w:rsid w:val="00FA443A"/>
    <w:rsid w:val="00FA4509"/>
    <w:rsid w:val="00FA451E"/>
    <w:rsid w:val="00FA451F"/>
    <w:rsid w:val="00FA459B"/>
    <w:rsid w:val="00FA45F9"/>
    <w:rsid w:val="00FA46BC"/>
    <w:rsid w:val="00FA474E"/>
    <w:rsid w:val="00FA4777"/>
    <w:rsid w:val="00FA480B"/>
    <w:rsid w:val="00FA480E"/>
    <w:rsid w:val="00FA4814"/>
    <w:rsid w:val="00FA487B"/>
    <w:rsid w:val="00FA487F"/>
    <w:rsid w:val="00FA4A00"/>
    <w:rsid w:val="00FA4A2C"/>
    <w:rsid w:val="00FA4A93"/>
    <w:rsid w:val="00FA4B6C"/>
    <w:rsid w:val="00FA4B9C"/>
    <w:rsid w:val="00FA4CD4"/>
    <w:rsid w:val="00FA4CF7"/>
    <w:rsid w:val="00FA4D0C"/>
    <w:rsid w:val="00FA4D0F"/>
    <w:rsid w:val="00FA4D3B"/>
    <w:rsid w:val="00FA4DCC"/>
    <w:rsid w:val="00FA4E88"/>
    <w:rsid w:val="00FA4F07"/>
    <w:rsid w:val="00FA4F4A"/>
    <w:rsid w:val="00FA4F93"/>
    <w:rsid w:val="00FA50B6"/>
    <w:rsid w:val="00FA51CC"/>
    <w:rsid w:val="00FA51EB"/>
    <w:rsid w:val="00FA52CE"/>
    <w:rsid w:val="00FA533B"/>
    <w:rsid w:val="00FA537B"/>
    <w:rsid w:val="00FA5381"/>
    <w:rsid w:val="00FA545B"/>
    <w:rsid w:val="00FA54F3"/>
    <w:rsid w:val="00FA5549"/>
    <w:rsid w:val="00FA5593"/>
    <w:rsid w:val="00FA5597"/>
    <w:rsid w:val="00FA570A"/>
    <w:rsid w:val="00FA5766"/>
    <w:rsid w:val="00FA5772"/>
    <w:rsid w:val="00FA5787"/>
    <w:rsid w:val="00FA578A"/>
    <w:rsid w:val="00FA57E4"/>
    <w:rsid w:val="00FA5806"/>
    <w:rsid w:val="00FA5869"/>
    <w:rsid w:val="00FA5991"/>
    <w:rsid w:val="00FA59AD"/>
    <w:rsid w:val="00FA5A8B"/>
    <w:rsid w:val="00FA5AB0"/>
    <w:rsid w:val="00FA5AE6"/>
    <w:rsid w:val="00FA5C33"/>
    <w:rsid w:val="00FA5C52"/>
    <w:rsid w:val="00FA5CC8"/>
    <w:rsid w:val="00FA5D20"/>
    <w:rsid w:val="00FA5DB2"/>
    <w:rsid w:val="00FA5DCF"/>
    <w:rsid w:val="00FA5E01"/>
    <w:rsid w:val="00FA5E63"/>
    <w:rsid w:val="00FA5E67"/>
    <w:rsid w:val="00FA5E6A"/>
    <w:rsid w:val="00FA5F3A"/>
    <w:rsid w:val="00FA5F48"/>
    <w:rsid w:val="00FA5F65"/>
    <w:rsid w:val="00FA5F79"/>
    <w:rsid w:val="00FA5FAD"/>
    <w:rsid w:val="00FA5FEE"/>
    <w:rsid w:val="00FA5FF7"/>
    <w:rsid w:val="00FA605D"/>
    <w:rsid w:val="00FA60EC"/>
    <w:rsid w:val="00FA618F"/>
    <w:rsid w:val="00FA61BE"/>
    <w:rsid w:val="00FA6287"/>
    <w:rsid w:val="00FA62F7"/>
    <w:rsid w:val="00FA63A6"/>
    <w:rsid w:val="00FA64B8"/>
    <w:rsid w:val="00FA6675"/>
    <w:rsid w:val="00FA6798"/>
    <w:rsid w:val="00FA67F6"/>
    <w:rsid w:val="00FA6849"/>
    <w:rsid w:val="00FA6922"/>
    <w:rsid w:val="00FA693F"/>
    <w:rsid w:val="00FA69A4"/>
    <w:rsid w:val="00FA69BE"/>
    <w:rsid w:val="00FA69DB"/>
    <w:rsid w:val="00FA6A7B"/>
    <w:rsid w:val="00FA6AE4"/>
    <w:rsid w:val="00FA6B8C"/>
    <w:rsid w:val="00FA6BDE"/>
    <w:rsid w:val="00FA6BF8"/>
    <w:rsid w:val="00FA6C03"/>
    <w:rsid w:val="00FA6C3B"/>
    <w:rsid w:val="00FA6C45"/>
    <w:rsid w:val="00FA6C47"/>
    <w:rsid w:val="00FA6CB7"/>
    <w:rsid w:val="00FA6CD6"/>
    <w:rsid w:val="00FA6D36"/>
    <w:rsid w:val="00FA6D49"/>
    <w:rsid w:val="00FA6D89"/>
    <w:rsid w:val="00FA6DAA"/>
    <w:rsid w:val="00FA6DEE"/>
    <w:rsid w:val="00FA6E21"/>
    <w:rsid w:val="00FA6E8F"/>
    <w:rsid w:val="00FA6E9E"/>
    <w:rsid w:val="00FA6F72"/>
    <w:rsid w:val="00FA6F9D"/>
    <w:rsid w:val="00FA7037"/>
    <w:rsid w:val="00FA7107"/>
    <w:rsid w:val="00FA713F"/>
    <w:rsid w:val="00FA7176"/>
    <w:rsid w:val="00FA71A4"/>
    <w:rsid w:val="00FA71ED"/>
    <w:rsid w:val="00FA7200"/>
    <w:rsid w:val="00FA7285"/>
    <w:rsid w:val="00FA7295"/>
    <w:rsid w:val="00FA7300"/>
    <w:rsid w:val="00FA731D"/>
    <w:rsid w:val="00FA737E"/>
    <w:rsid w:val="00FA7413"/>
    <w:rsid w:val="00FA74C7"/>
    <w:rsid w:val="00FA74CA"/>
    <w:rsid w:val="00FA7516"/>
    <w:rsid w:val="00FA7585"/>
    <w:rsid w:val="00FA763A"/>
    <w:rsid w:val="00FA7713"/>
    <w:rsid w:val="00FA7821"/>
    <w:rsid w:val="00FA786A"/>
    <w:rsid w:val="00FA78A3"/>
    <w:rsid w:val="00FA78BE"/>
    <w:rsid w:val="00FA7919"/>
    <w:rsid w:val="00FA799A"/>
    <w:rsid w:val="00FA79F7"/>
    <w:rsid w:val="00FA7AAE"/>
    <w:rsid w:val="00FA7AC6"/>
    <w:rsid w:val="00FA7ADA"/>
    <w:rsid w:val="00FA7B50"/>
    <w:rsid w:val="00FA7BA4"/>
    <w:rsid w:val="00FA7BD7"/>
    <w:rsid w:val="00FA7BEC"/>
    <w:rsid w:val="00FA7C3B"/>
    <w:rsid w:val="00FA7C3F"/>
    <w:rsid w:val="00FA7D2C"/>
    <w:rsid w:val="00FA7D7D"/>
    <w:rsid w:val="00FA7E5D"/>
    <w:rsid w:val="00FA7EA4"/>
    <w:rsid w:val="00FA7EDC"/>
    <w:rsid w:val="00FA7EE9"/>
    <w:rsid w:val="00FA7F24"/>
    <w:rsid w:val="00FB00C0"/>
    <w:rsid w:val="00FB0195"/>
    <w:rsid w:val="00FB028A"/>
    <w:rsid w:val="00FB0299"/>
    <w:rsid w:val="00FB0355"/>
    <w:rsid w:val="00FB03F8"/>
    <w:rsid w:val="00FB04FC"/>
    <w:rsid w:val="00FB0556"/>
    <w:rsid w:val="00FB055A"/>
    <w:rsid w:val="00FB061C"/>
    <w:rsid w:val="00FB062E"/>
    <w:rsid w:val="00FB065B"/>
    <w:rsid w:val="00FB06E5"/>
    <w:rsid w:val="00FB0971"/>
    <w:rsid w:val="00FB098D"/>
    <w:rsid w:val="00FB09C9"/>
    <w:rsid w:val="00FB09CE"/>
    <w:rsid w:val="00FB09D1"/>
    <w:rsid w:val="00FB09FF"/>
    <w:rsid w:val="00FB0A14"/>
    <w:rsid w:val="00FB0AE4"/>
    <w:rsid w:val="00FB0AEE"/>
    <w:rsid w:val="00FB0B52"/>
    <w:rsid w:val="00FB0B64"/>
    <w:rsid w:val="00FB0B7A"/>
    <w:rsid w:val="00FB0BD4"/>
    <w:rsid w:val="00FB0C60"/>
    <w:rsid w:val="00FB0CA6"/>
    <w:rsid w:val="00FB0D01"/>
    <w:rsid w:val="00FB0DB4"/>
    <w:rsid w:val="00FB0E14"/>
    <w:rsid w:val="00FB0E1B"/>
    <w:rsid w:val="00FB0E86"/>
    <w:rsid w:val="00FB0E8A"/>
    <w:rsid w:val="00FB0EFA"/>
    <w:rsid w:val="00FB0FC2"/>
    <w:rsid w:val="00FB1116"/>
    <w:rsid w:val="00FB125F"/>
    <w:rsid w:val="00FB12A1"/>
    <w:rsid w:val="00FB12E4"/>
    <w:rsid w:val="00FB1375"/>
    <w:rsid w:val="00FB1387"/>
    <w:rsid w:val="00FB1399"/>
    <w:rsid w:val="00FB13A7"/>
    <w:rsid w:val="00FB1415"/>
    <w:rsid w:val="00FB1485"/>
    <w:rsid w:val="00FB1515"/>
    <w:rsid w:val="00FB1520"/>
    <w:rsid w:val="00FB1584"/>
    <w:rsid w:val="00FB15F0"/>
    <w:rsid w:val="00FB1615"/>
    <w:rsid w:val="00FB1639"/>
    <w:rsid w:val="00FB1649"/>
    <w:rsid w:val="00FB165B"/>
    <w:rsid w:val="00FB175E"/>
    <w:rsid w:val="00FB1803"/>
    <w:rsid w:val="00FB18F3"/>
    <w:rsid w:val="00FB18FA"/>
    <w:rsid w:val="00FB19D8"/>
    <w:rsid w:val="00FB19ED"/>
    <w:rsid w:val="00FB19FA"/>
    <w:rsid w:val="00FB1AF3"/>
    <w:rsid w:val="00FB1B61"/>
    <w:rsid w:val="00FB1B71"/>
    <w:rsid w:val="00FB1BB0"/>
    <w:rsid w:val="00FB1C69"/>
    <w:rsid w:val="00FB1CAF"/>
    <w:rsid w:val="00FB1CD8"/>
    <w:rsid w:val="00FB1D84"/>
    <w:rsid w:val="00FB1E30"/>
    <w:rsid w:val="00FB1E35"/>
    <w:rsid w:val="00FB1E5E"/>
    <w:rsid w:val="00FB1E79"/>
    <w:rsid w:val="00FB1ECA"/>
    <w:rsid w:val="00FB1F1E"/>
    <w:rsid w:val="00FB1F3D"/>
    <w:rsid w:val="00FB1F5B"/>
    <w:rsid w:val="00FB213B"/>
    <w:rsid w:val="00FB2145"/>
    <w:rsid w:val="00FB2199"/>
    <w:rsid w:val="00FB2200"/>
    <w:rsid w:val="00FB22BA"/>
    <w:rsid w:val="00FB22CA"/>
    <w:rsid w:val="00FB22CB"/>
    <w:rsid w:val="00FB2326"/>
    <w:rsid w:val="00FB2353"/>
    <w:rsid w:val="00FB23E5"/>
    <w:rsid w:val="00FB240C"/>
    <w:rsid w:val="00FB243E"/>
    <w:rsid w:val="00FB2479"/>
    <w:rsid w:val="00FB2512"/>
    <w:rsid w:val="00FB2566"/>
    <w:rsid w:val="00FB25B8"/>
    <w:rsid w:val="00FB263E"/>
    <w:rsid w:val="00FB2654"/>
    <w:rsid w:val="00FB2718"/>
    <w:rsid w:val="00FB2757"/>
    <w:rsid w:val="00FB2781"/>
    <w:rsid w:val="00FB27E1"/>
    <w:rsid w:val="00FB280C"/>
    <w:rsid w:val="00FB2857"/>
    <w:rsid w:val="00FB2980"/>
    <w:rsid w:val="00FB2A4D"/>
    <w:rsid w:val="00FB2A5A"/>
    <w:rsid w:val="00FB2AE3"/>
    <w:rsid w:val="00FB2C6F"/>
    <w:rsid w:val="00FB2EBF"/>
    <w:rsid w:val="00FB2EEC"/>
    <w:rsid w:val="00FB2EF3"/>
    <w:rsid w:val="00FB2F6D"/>
    <w:rsid w:val="00FB302C"/>
    <w:rsid w:val="00FB308C"/>
    <w:rsid w:val="00FB30FF"/>
    <w:rsid w:val="00FB3209"/>
    <w:rsid w:val="00FB3303"/>
    <w:rsid w:val="00FB338F"/>
    <w:rsid w:val="00FB33C3"/>
    <w:rsid w:val="00FB33DE"/>
    <w:rsid w:val="00FB3454"/>
    <w:rsid w:val="00FB3483"/>
    <w:rsid w:val="00FB34A7"/>
    <w:rsid w:val="00FB35E8"/>
    <w:rsid w:val="00FB35E9"/>
    <w:rsid w:val="00FB3680"/>
    <w:rsid w:val="00FB36F8"/>
    <w:rsid w:val="00FB3905"/>
    <w:rsid w:val="00FB3922"/>
    <w:rsid w:val="00FB393C"/>
    <w:rsid w:val="00FB3983"/>
    <w:rsid w:val="00FB3A46"/>
    <w:rsid w:val="00FB3ABA"/>
    <w:rsid w:val="00FB3AC7"/>
    <w:rsid w:val="00FB3AD7"/>
    <w:rsid w:val="00FB3B12"/>
    <w:rsid w:val="00FB3C1C"/>
    <w:rsid w:val="00FB3C55"/>
    <w:rsid w:val="00FB3C66"/>
    <w:rsid w:val="00FB3C69"/>
    <w:rsid w:val="00FB3CC7"/>
    <w:rsid w:val="00FB3CD6"/>
    <w:rsid w:val="00FB3CFF"/>
    <w:rsid w:val="00FB3E12"/>
    <w:rsid w:val="00FB3E99"/>
    <w:rsid w:val="00FB3EBE"/>
    <w:rsid w:val="00FB3FF3"/>
    <w:rsid w:val="00FB3FF6"/>
    <w:rsid w:val="00FB409B"/>
    <w:rsid w:val="00FB40A6"/>
    <w:rsid w:val="00FB414B"/>
    <w:rsid w:val="00FB4151"/>
    <w:rsid w:val="00FB4166"/>
    <w:rsid w:val="00FB4172"/>
    <w:rsid w:val="00FB41A0"/>
    <w:rsid w:val="00FB41FB"/>
    <w:rsid w:val="00FB4233"/>
    <w:rsid w:val="00FB425C"/>
    <w:rsid w:val="00FB42DE"/>
    <w:rsid w:val="00FB43CC"/>
    <w:rsid w:val="00FB441A"/>
    <w:rsid w:val="00FB442F"/>
    <w:rsid w:val="00FB4440"/>
    <w:rsid w:val="00FB4473"/>
    <w:rsid w:val="00FB44F9"/>
    <w:rsid w:val="00FB4501"/>
    <w:rsid w:val="00FB45CC"/>
    <w:rsid w:val="00FB45D9"/>
    <w:rsid w:val="00FB4603"/>
    <w:rsid w:val="00FB46C9"/>
    <w:rsid w:val="00FB473C"/>
    <w:rsid w:val="00FB475E"/>
    <w:rsid w:val="00FB4773"/>
    <w:rsid w:val="00FB47D6"/>
    <w:rsid w:val="00FB47FC"/>
    <w:rsid w:val="00FB4875"/>
    <w:rsid w:val="00FB48C4"/>
    <w:rsid w:val="00FB4968"/>
    <w:rsid w:val="00FB49B5"/>
    <w:rsid w:val="00FB4A51"/>
    <w:rsid w:val="00FB4A5D"/>
    <w:rsid w:val="00FB4AFA"/>
    <w:rsid w:val="00FB4B14"/>
    <w:rsid w:val="00FB4B15"/>
    <w:rsid w:val="00FB4B2D"/>
    <w:rsid w:val="00FB4B73"/>
    <w:rsid w:val="00FB4BB2"/>
    <w:rsid w:val="00FB4C1A"/>
    <w:rsid w:val="00FB4C61"/>
    <w:rsid w:val="00FB4DE3"/>
    <w:rsid w:val="00FB4E14"/>
    <w:rsid w:val="00FB4E47"/>
    <w:rsid w:val="00FB4F03"/>
    <w:rsid w:val="00FB4F6C"/>
    <w:rsid w:val="00FB4F7A"/>
    <w:rsid w:val="00FB5038"/>
    <w:rsid w:val="00FB506E"/>
    <w:rsid w:val="00FB507D"/>
    <w:rsid w:val="00FB509E"/>
    <w:rsid w:val="00FB5109"/>
    <w:rsid w:val="00FB511A"/>
    <w:rsid w:val="00FB511F"/>
    <w:rsid w:val="00FB5231"/>
    <w:rsid w:val="00FB5278"/>
    <w:rsid w:val="00FB52FD"/>
    <w:rsid w:val="00FB5321"/>
    <w:rsid w:val="00FB53CA"/>
    <w:rsid w:val="00FB53FA"/>
    <w:rsid w:val="00FB542F"/>
    <w:rsid w:val="00FB54DA"/>
    <w:rsid w:val="00FB55DD"/>
    <w:rsid w:val="00FB55F0"/>
    <w:rsid w:val="00FB566C"/>
    <w:rsid w:val="00FB5766"/>
    <w:rsid w:val="00FB5832"/>
    <w:rsid w:val="00FB589D"/>
    <w:rsid w:val="00FB58E0"/>
    <w:rsid w:val="00FB5994"/>
    <w:rsid w:val="00FB5A13"/>
    <w:rsid w:val="00FB5A4C"/>
    <w:rsid w:val="00FB5A75"/>
    <w:rsid w:val="00FB5A76"/>
    <w:rsid w:val="00FB5C4C"/>
    <w:rsid w:val="00FB5C7E"/>
    <w:rsid w:val="00FB5CD5"/>
    <w:rsid w:val="00FB5DE0"/>
    <w:rsid w:val="00FB5DE6"/>
    <w:rsid w:val="00FB5E10"/>
    <w:rsid w:val="00FB5E9F"/>
    <w:rsid w:val="00FB5FFE"/>
    <w:rsid w:val="00FB6006"/>
    <w:rsid w:val="00FB606D"/>
    <w:rsid w:val="00FB6077"/>
    <w:rsid w:val="00FB60B3"/>
    <w:rsid w:val="00FB614E"/>
    <w:rsid w:val="00FB61C9"/>
    <w:rsid w:val="00FB620D"/>
    <w:rsid w:val="00FB62A4"/>
    <w:rsid w:val="00FB632D"/>
    <w:rsid w:val="00FB636B"/>
    <w:rsid w:val="00FB638E"/>
    <w:rsid w:val="00FB63B3"/>
    <w:rsid w:val="00FB6496"/>
    <w:rsid w:val="00FB64AB"/>
    <w:rsid w:val="00FB64CE"/>
    <w:rsid w:val="00FB6564"/>
    <w:rsid w:val="00FB6593"/>
    <w:rsid w:val="00FB65F0"/>
    <w:rsid w:val="00FB66BE"/>
    <w:rsid w:val="00FB66DC"/>
    <w:rsid w:val="00FB679C"/>
    <w:rsid w:val="00FB680D"/>
    <w:rsid w:val="00FB683F"/>
    <w:rsid w:val="00FB685F"/>
    <w:rsid w:val="00FB6860"/>
    <w:rsid w:val="00FB6958"/>
    <w:rsid w:val="00FB6978"/>
    <w:rsid w:val="00FB69C4"/>
    <w:rsid w:val="00FB6A15"/>
    <w:rsid w:val="00FB6A32"/>
    <w:rsid w:val="00FB6ACC"/>
    <w:rsid w:val="00FB6B1D"/>
    <w:rsid w:val="00FB6B99"/>
    <w:rsid w:val="00FB6B9F"/>
    <w:rsid w:val="00FB6CF6"/>
    <w:rsid w:val="00FB6D58"/>
    <w:rsid w:val="00FB6E92"/>
    <w:rsid w:val="00FB6ECA"/>
    <w:rsid w:val="00FB6EDF"/>
    <w:rsid w:val="00FB6F45"/>
    <w:rsid w:val="00FB6F67"/>
    <w:rsid w:val="00FB7050"/>
    <w:rsid w:val="00FB70EF"/>
    <w:rsid w:val="00FB7129"/>
    <w:rsid w:val="00FB7178"/>
    <w:rsid w:val="00FB7188"/>
    <w:rsid w:val="00FB7248"/>
    <w:rsid w:val="00FB7391"/>
    <w:rsid w:val="00FB7402"/>
    <w:rsid w:val="00FB741E"/>
    <w:rsid w:val="00FB7454"/>
    <w:rsid w:val="00FB7463"/>
    <w:rsid w:val="00FB7490"/>
    <w:rsid w:val="00FB7536"/>
    <w:rsid w:val="00FB7553"/>
    <w:rsid w:val="00FB761C"/>
    <w:rsid w:val="00FB7639"/>
    <w:rsid w:val="00FB7839"/>
    <w:rsid w:val="00FB795B"/>
    <w:rsid w:val="00FB798B"/>
    <w:rsid w:val="00FB798E"/>
    <w:rsid w:val="00FB799C"/>
    <w:rsid w:val="00FB799E"/>
    <w:rsid w:val="00FB7AE3"/>
    <w:rsid w:val="00FB7B03"/>
    <w:rsid w:val="00FB7C2D"/>
    <w:rsid w:val="00FB7CD6"/>
    <w:rsid w:val="00FB7D1C"/>
    <w:rsid w:val="00FB7D20"/>
    <w:rsid w:val="00FB7D38"/>
    <w:rsid w:val="00FB7D6D"/>
    <w:rsid w:val="00FB7D9B"/>
    <w:rsid w:val="00FB7D9E"/>
    <w:rsid w:val="00FB7DBD"/>
    <w:rsid w:val="00FB7DC8"/>
    <w:rsid w:val="00FB7E59"/>
    <w:rsid w:val="00FB7EE3"/>
    <w:rsid w:val="00FB7F64"/>
    <w:rsid w:val="00FC0007"/>
    <w:rsid w:val="00FC0082"/>
    <w:rsid w:val="00FC01EA"/>
    <w:rsid w:val="00FC01F6"/>
    <w:rsid w:val="00FC0298"/>
    <w:rsid w:val="00FC02CB"/>
    <w:rsid w:val="00FC033D"/>
    <w:rsid w:val="00FC0395"/>
    <w:rsid w:val="00FC03D4"/>
    <w:rsid w:val="00FC03FA"/>
    <w:rsid w:val="00FC042B"/>
    <w:rsid w:val="00FC0440"/>
    <w:rsid w:val="00FC0482"/>
    <w:rsid w:val="00FC04DA"/>
    <w:rsid w:val="00FC0544"/>
    <w:rsid w:val="00FC055B"/>
    <w:rsid w:val="00FC055D"/>
    <w:rsid w:val="00FC059D"/>
    <w:rsid w:val="00FC05FA"/>
    <w:rsid w:val="00FC06C1"/>
    <w:rsid w:val="00FC0716"/>
    <w:rsid w:val="00FC0759"/>
    <w:rsid w:val="00FC076A"/>
    <w:rsid w:val="00FC07DA"/>
    <w:rsid w:val="00FC080A"/>
    <w:rsid w:val="00FC08EA"/>
    <w:rsid w:val="00FC097E"/>
    <w:rsid w:val="00FC099D"/>
    <w:rsid w:val="00FC0A0F"/>
    <w:rsid w:val="00FC0A40"/>
    <w:rsid w:val="00FC0A4E"/>
    <w:rsid w:val="00FC0A7D"/>
    <w:rsid w:val="00FC0AC6"/>
    <w:rsid w:val="00FC0AD7"/>
    <w:rsid w:val="00FC0B5D"/>
    <w:rsid w:val="00FC0BC2"/>
    <w:rsid w:val="00FC0BEE"/>
    <w:rsid w:val="00FC0D3B"/>
    <w:rsid w:val="00FC0D67"/>
    <w:rsid w:val="00FC0DE1"/>
    <w:rsid w:val="00FC0DF4"/>
    <w:rsid w:val="00FC0ECE"/>
    <w:rsid w:val="00FC0FA5"/>
    <w:rsid w:val="00FC1073"/>
    <w:rsid w:val="00FC1086"/>
    <w:rsid w:val="00FC10DE"/>
    <w:rsid w:val="00FC1119"/>
    <w:rsid w:val="00FC117B"/>
    <w:rsid w:val="00FC11B4"/>
    <w:rsid w:val="00FC13B0"/>
    <w:rsid w:val="00FC1404"/>
    <w:rsid w:val="00FC146E"/>
    <w:rsid w:val="00FC14ED"/>
    <w:rsid w:val="00FC152F"/>
    <w:rsid w:val="00FC156A"/>
    <w:rsid w:val="00FC1586"/>
    <w:rsid w:val="00FC1598"/>
    <w:rsid w:val="00FC1617"/>
    <w:rsid w:val="00FC1620"/>
    <w:rsid w:val="00FC16E0"/>
    <w:rsid w:val="00FC175B"/>
    <w:rsid w:val="00FC17DD"/>
    <w:rsid w:val="00FC1878"/>
    <w:rsid w:val="00FC18AA"/>
    <w:rsid w:val="00FC18D1"/>
    <w:rsid w:val="00FC18F7"/>
    <w:rsid w:val="00FC1989"/>
    <w:rsid w:val="00FC19AE"/>
    <w:rsid w:val="00FC1A08"/>
    <w:rsid w:val="00FC1A79"/>
    <w:rsid w:val="00FC1A8F"/>
    <w:rsid w:val="00FC1B97"/>
    <w:rsid w:val="00FC1BDA"/>
    <w:rsid w:val="00FC1C09"/>
    <w:rsid w:val="00FC1C8F"/>
    <w:rsid w:val="00FC1CE5"/>
    <w:rsid w:val="00FC1D84"/>
    <w:rsid w:val="00FC1DB6"/>
    <w:rsid w:val="00FC1DF3"/>
    <w:rsid w:val="00FC1F1E"/>
    <w:rsid w:val="00FC1F41"/>
    <w:rsid w:val="00FC1F74"/>
    <w:rsid w:val="00FC1F97"/>
    <w:rsid w:val="00FC1FB6"/>
    <w:rsid w:val="00FC202E"/>
    <w:rsid w:val="00FC20D9"/>
    <w:rsid w:val="00FC220B"/>
    <w:rsid w:val="00FC226E"/>
    <w:rsid w:val="00FC2276"/>
    <w:rsid w:val="00FC2303"/>
    <w:rsid w:val="00FC234A"/>
    <w:rsid w:val="00FC23CC"/>
    <w:rsid w:val="00FC24A2"/>
    <w:rsid w:val="00FC24B1"/>
    <w:rsid w:val="00FC24E4"/>
    <w:rsid w:val="00FC255B"/>
    <w:rsid w:val="00FC25B0"/>
    <w:rsid w:val="00FC25E8"/>
    <w:rsid w:val="00FC268D"/>
    <w:rsid w:val="00FC2707"/>
    <w:rsid w:val="00FC2728"/>
    <w:rsid w:val="00FC2805"/>
    <w:rsid w:val="00FC2891"/>
    <w:rsid w:val="00FC2894"/>
    <w:rsid w:val="00FC29CF"/>
    <w:rsid w:val="00FC2A1B"/>
    <w:rsid w:val="00FC2A23"/>
    <w:rsid w:val="00FC2A2E"/>
    <w:rsid w:val="00FC2AD1"/>
    <w:rsid w:val="00FC2B13"/>
    <w:rsid w:val="00FC2BFD"/>
    <w:rsid w:val="00FC2C25"/>
    <w:rsid w:val="00FC2C70"/>
    <w:rsid w:val="00FC2CB5"/>
    <w:rsid w:val="00FC2CFD"/>
    <w:rsid w:val="00FC2D4C"/>
    <w:rsid w:val="00FC2D5F"/>
    <w:rsid w:val="00FC2D86"/>
    <w:rsid w:val="00FC2D95"/>
    <w:rsid w:val="00FC2DB5"/>
    <w:rsid w:val="00FC2E4F"/>
    <w:rsid w:val="00FC2E89"/>
    <w:rsid w:val="00FC2F17"/>
    <w:rsid w:val="00FC2F35"/>
    <w:rsid w:val="00FC2F4C"/>
    <w:rsid w:val="00FC2FE8"/>
    <w:rsid w:val="00FC3062"/>
    <w:rsid w:val="00FC31A4"/>
    <w:rsid w:val="00FC32A7"/>
    <w:rsid w:val="00FC3398"/>
    <w:rsid w:val="00FC33BA"/>
    <w:rsid w:val="00FC3460"/>
    <w:rsid w:val="00FC34F8"/>
    <w:rsid w:val="00FC35C1"/>
    <w:rsid w:val="00FC35FE"/>
    <w:rsid w:val="00FC368B"/>
    <w:rsid w:val="00FC36A4"/>
    <w:rsid w:val="00FC36A5"/>
    <w:rsid w:val="00FC37ED"/>
    <w:rsid w:val="00FC38C4"/>
    <w:rsid w:val="00FC38F1"/>
    <w:rsid w:val="00FC3920"/>
    <w:rsid w:val="00FC3933"/>
    <w:rsid w:val="00FC394C"/>
    <w:rsid w:val="00FC3A0C"/>
    <w:rsid w:val="00FC3BA3"/>
    <w:rsid w:val="00FC3C3D"/>
    <w:rsid w:val="00FC3D3F"/>
    <w:rsid w:val="00FC3DBB"/>
    <w:rsid w:val="00FC3E16"/>
    <w:rsid w:val="00FC3E79"/>
    <w:rsid w:val="00FC3EA3"/>
    <w:rsid w:val="00FC3EAF"/>
    <w:rsid w:val="00FC3EE4"/>
    <w:rsid w:val="00FC3F70"/>
    <w:rsid w:val="00FC3F82"/>
    <w:rsid w:val="00FC3F9E"/>
    <w:rsid w:val="00FC3FF2"/>
    <w:rsid w:val="00FC408B"/>
    <w:rsid w:val="00FC415D"/>
    <w:rsid w:val="00FC41C8"/>
    <w:rsid w:val="00FC41E8"/>
    <w:rsid w:val="00FC4245"/>
    <w:rsid w:val="00FC426F"/>
    <w:rsid w:val="00FC428B"/>
    <w:rsid w:val="00FC42D5"/>
    <w:rsid w:val="00FC4411"/>
    <w:rsid w:val="00FC446E"/>
    <w:rsid w:val="00FC4521"/>
    <w:rsid w:val="00FC4557"/>
    <w:rsid w:val="00FC45AC"/>
    <w:rsid w:val="00FC46ED"/>
    <w:rsid w:val="00FC4703"/>
    <w:rsid w:val="00FC4734"/>
    <w:rsid w:val="00FC4844"/>
    <w:rsid w:val="00FC48CD"/>
    <w:rsid w:val="00FC4919"/>
    <w:rsid w:val="00FC49A8"/>
    <w:rsid w:val="00FC4A82"/>
    <w:rsid w:val="00FC4C17"/>
    <w:rsid w:val="00FC4C2C"/>
    <w:rsid w:val="00FC4C91"/>
    <w:rsid w:val="00FC4D15"/>
    <w:rsid w:val="00FC4D9D"/>
    <w:rsid w:val="00FC4DD2"/>
    <w:rsid w:val="00FC4E30"/>
    <w:rsid w:val="00FC4E44"/>
    <w:rsid w:val="00FC4EA0"/>
    <w:rsid w:val="00FC4ED6"/>
    <w:rsid w:val="00FC4F0F"/>
    <w:rsid w:val="00FC4FC7"/>
    <w:rsid w:val="00FC500C"/>
    <w:rsid w:val="00FC5017"/>
    <w:rsid w:val="00FC50CE"/>
    <w:rsid w:val="00FC50EF"/>
    <w:rsid w:val="00FC518C"/>
    <w:rsid w:val="00FC51BF"/>
    <w:rsid w:val="00FC51D1"/>
    <w:rsid w:val="00FC51D2"/>
    <w:rsid w:val="00FC5304"/>
    <w:rsid w:val="00FC5353"/>
    <w:rsid w:val="00FC54A9"/>
    <w:rsid w:val="00FC5520"/>
    <w:rsid w:val="00FC5603"/>
    <w:rsid w:val="00FC5612"/>
    <w:rsid w:val="00FC5779"/>
    <w:rsid w:val="00FC57B2"/>
    <w:rsid w:val="00FC57DA"/>
    <w:rsid w:val="00FC57FB"/>
    <w:rsid w:val="00FC5828"/>
    <w:rsid w:val="00FC5850"/>
    <w:rsid w:val="00FC5892"/>
    <w:rsid w:val="00FC5A40"/>
    <w:rsid w:val="00FC5ABD"/>
    <w:rsid w:val="00FC5ADE"/>
    <w:rsid w:val="00FC5C89"/>
    <w:rsid w:val="00FC5D51"/>
    <w:rsid w:val="00FC5D63"/>
    <w:rsid w:val="00FC5DEB"/>
    <w:rsid w:val="00FC5E00"/>
    <w:rsid w:val="00FC5E24"/>
    <w:rsid w:val="00FC5F06"/>
    <w:rsid w:val="00FC600C"/>
    <w:rsid w:val="00FC602A"/>
    <w:rsid w:val="00FC6065"/>
    <w:rsid w:val="00FC60E6"/>
    <w:rsid w:val="00FC6101"/>
    <w:rsid w:val="00FC624D"/>
    <w:rsid w:val="00FC6295"/>
    <w:rsid w:val="00FC62D3"/>
    <w:rsid w:val="00FC62FF"/>
    <w:rsid w:val="00FC6310"/>
    <w:rsid w:val="00FC6311"/>
    <w:rsid w:val="00FC63C6"/>
    <w:rsid w:val="00FC6429"/>
    <w:rsid w:val="00FC6526"/>
    <w:rsid w:val="00FC667F"/>
    <w:rsid w:val="00FC669A"/>
    <w:rsid w:val="00FC66AF"/>
    <w:rsid w:val="00FC677D"/>
    <w:rsid w:val="00FC67A0"/>
    <w:rsid w:val="00FC67A3"/>
    <w:rsid w:val="00FC682D"/>
    <w:rsid w:val="00FC6909"/>
    <w:rsid w:val="00FC692B"/>
    <w:rsid w:val="00FC6989"/>
    <w:rsid w:val="00FC698C"/>
    <w:rsid w:val="00FC69A5"/>
    <w:rsid w:val="00FC69D9"/>
    <w:rsid w:val="00FC6A11"/>
    <w:rsid w:val="00FC6A41"/>
    <w:rsid w:val="00FC6A6F"/>
    <w:rsid w:val="00FC6AA1"/>
    <w:rsid w:val="00FC6AD6"/>
    <w:rsid w:val="00FC6C70"/>
    <w:rsid w:val="00FC6C73"/>
    <w:rsid w:val="00FC6D42"/>
    <w:rsid w:val="00FC6F04"/>
    <w:rsid w:val="00FC6F16"/>
    <w:rsid w:val="00FC6F38"/>
    <w:rsid w:val="00FC6FAD"/>
    <w:rsid w:val="00FC6FD6"/>
    <w:rsid w:val="00FC6FE6"/>
    <w:rsid w:val="00FC7094"/>
    <w:rsid w:val="00FC709B"/>
    <w:rsid w:val="00FC70D1"/>
    <w:rsid w:val="00FC7167"/>
    <w:rsid w:val="00FC7373"/>
    <w:rsid w:val="00FC74CE"/>
    <w:rsid w:val="00FC760D"/>
    <w:rsid w:val="00FC7681"/>
    <w:rsid w:val="00FC76A9"/>
    <w:rsid w:val="00FC76AA"/>
    <w:rsid w:val="00FC76E4"/>
    <w:rsid w:val="00FC7761"/>
    <w:rsid w:val="00FC7789"/>
    <w:rsid w:val="00FC779D"/>
    <w:rsid w:val="00FC77EA"/>
    <w:rsid w:val="00FC78FE"/>
    <w:rsid w:val="00FC797B"/>
    <w:rsid w:val="00FC7999"/>
    <w:rsid w:val="00FC7A07"/>
    <w:rsid w:val="00FC7A84"/>
    <w:rsid w:val="00FC7B3B"/>
    <w:rsid w:val="00FC7BA6"/>
    <w:rsid w:val="00FC7BA7"/>
    <w:rsid w:val="00FC7BA9"/>
    <w:rsid w:val="00FC7BC8"/>
    <w:rsid w:val="00FC7C44"/>
    <w:rsid w:val="00FC7C5D"/>
    <w:rsid w:val="00FC7C88"/>
    <w:rsid w:val="00FC7D94"/>
    <w:rsid w:val="00FC7DA8"/>
    <w:rsid w:val="00FC7E5B"/>
    <w:rsid w:val="00FC7EC9"/>
    <w:rsid w:val="00FC7EED"/>
    <w:rsid w:val="00FC7F0B"/>
    <w:rsid w:val="00FC7F7D"/>
    <w:rsid w:val="00FD001E"/>
    <w:rsid w:val="00FD01F5"/>
    <w:rsid w:val="00FD0258"/>
    <w:rsid w:val="00FD02C6"/>
    <w:rsid w:val="00FD0349"/>
    <w:rsid w:val="00FD03A7"/>
    <w:rsid w:val="00FD0445"/>
    <w:rsid w:val="00FD0458"/>
    <w:rsid w:val="00FD04DC"/>
    <w:rsid w:val="00FD058B"/>
    <w:rsid w:val="00FD0625"/>
    <w:rsid w:val="00FD0655"/>
    <w:rsid w:val="00FD065D"/>
    <w:rsid w:val="00FD0672"/>
    <w:rsid w:val="00FD06C7"/>
    <w:rsid w:val="00FD06CC"/>
    <w:rsid w:val="00FD06EF"/>
    <w:rsid w:val="00FD0779"/>
    <w:rsid w:val="00FD07EB"/>
    <w:rsid w:val="00FD081E"/>
    <w:rsid w:val="00FD082F"/>
    <w:rsid w:val="00FD0847"/>
    <w:rsid w:val="00FD09A5"/>
    <w:rsid w:val="00FD09BC"/>
    <w:rsid w:val="00FD09F6"/>
    <w:rsid w:val="00FD0B28"/>
    <w:rsid w:val="00FD0B52"/>
    <w:rsid w:val="00FD0B56"/>
    <w:rsid w:val="00FD0BD1"/>
    <w:rsid w:val="00FD0BD8"/>
    <w:rsid w:val="00FD0CAC"/>
    <w:rsid w:val="00FD0CF4"/>
    <w:rsid w:val="00FD0D29"/>
    <w:rsid w:val="00FD0D3E"/>
    <w:rsid w:val="00FD0E52"/>
    <w:rsid w:val="00FD0F31"/>
    <w:rsid w:val="00FD11B6"/>
    <w:rsid w:val="00FD11DC"/>
    <w:rsid w:val="00FD1367"/>
    <w:rsid w:val="00FD13DD"/>
    <w:rsid w:val="00FD1426"/>
    <w:rsid w:val="00FD144E"/>
    <w:rsid w:val="00FD14D9"/>
    <w:rsid w:val="00FD1513"/>
    <w:rsid w:val="00FD1522"/>
    <w:rsid w:val="00FD15E2"/>
    <w:rsid w:val="00FD1605"/>
    <w:rsid w:val="00FD162F"/>
    <w:rsid w:val="00FD166D"/>
    <w:rsid w:val="00FD1686"/>
    <w:rsid w:val="00FD1688"/>
    <w:rsid w:val="00FD16B3"/>
    <w:rsid w:val="00FD16CE"/>
    <w:rsid w:val="00FD1741"/>
    <w:rsid w:val="00FD174C"/>
    <w:rsid w:val="00FD1756"/>
    <w:rsid w:val="00FD1783"/>
    <w:rsid w:val="00FD1796"/>
    <w:rsid w:val="00FD17BA"/>
    <w:rsid w:val="00FD18A2"/>
    <w:rsid w:val="00FD1A4D"/>
    <w:rsid w:val="00FD1A6C"/>
    <w:rsid w:val="00FD1AA8"/>
    <w:rsid w:val="00FD1AAD"/>
    <w:rsid w:val="00FD1B09"/>
    <w:rsid w:val="00FD1B8E"/>
    <w:rsid w:val="00FD1BD3"/>
    <w:rsid w:val="00FD1BE5"/>
    <w:rsid w:val="00FD1C0F"/>
    <w:rsid w:val="00FD1CE1"/>
    <w:rsid w:val="00FD205F"/>
    <w:rsid w:val="00FD2088"/>
    <w:rsid w:val="00FD2111"/>
    <w:rsid w:val="00FD2119"/>
    <w:rsid w:val="00FD2165"/>
    <w:rsid w:val="00FD21E1"/>
    <w:rsid w:val="00FD2381"/>
    <w:rsid w:val="00FD23A8"/>
    <w:rsid w:val="00FD2417"/>
    <w:rsid w:val="00FD263E"/>
    <w:rsid w:val="00FD26EA"/>
    <w:rsid w:val="00FD2763"/>
    <w:rsid w:val="00FD277A"/>
    <w:rsid w:val="00FD27C0"/>
    <w:rsid w:val="00FD2827"/>
    <w:rsid w:val="00FD2852"/>
    <w:rsid w:val="00FD2913"/>
    <w:rsid w:val="00FD2926"/>
    <w:rsid w:val="00FD2937"/>
    <w:rsid w:val="00FD29E4"/>
    <w:rsid w:val="00FD2A0C"/>
    <w:rsid w:val="00FD2A21"/>
    <w:rsid w:val="00FD2AFA"/>
    <w:rsid w:val="00FD2B76"/>
    <w:rsid w:val="00FD2BB1"/>
    <w:rsid w:val="00FD2BFD"/>
    <w:rsid w:val="00FD2BFF"/>
    <w:rsid w:val="00FD2C85"/>
    <w:rsid w:val="00FD2C9D"/>
    <w:rsid w:val="00FD2CB3"/>
    <w:rsid w:val="00FD2CCE"/>
    <w:rsid w:val="00FD2CF8"/>
    <w:rsid w:val="00FD2D1D"/>
    <w:rsid w:val="00FD2D42"/>
    <w:rsid w:val="00FD2F74"/>
    <w:rsid w:val="00FD2FA8"/>
    <w:rsid w:val="00FD2FAE"/>
    <w:rsid w:val="00FD2FD7"/>
    <w:rsid w:val="00FD2FE4"/>
    <w:rsid w:val="00FD3047"/>
    <w:rsid w:val="00FD3072"/>
    <w:rsid w:val="00FD30DA"/>
    <w:rsid w:val="00FD30DC"/>
    <w:rsid w:val="00FD313E"/>
    <w:rsid w:val="00FD3160"/>
    <w:rsid w:val="00FD31BB"/>
    <w:rsid w:val="00FD31F4"/>
    <w:rsid w:val="00FD32E2"/>
    <w:rsid w:val="00FD332F"/>
    <w:rsid w:val="00FD3423"/>
    <w:rsid w:val="00FD3463"/>
    <w:rsid w:val="00FD34AD"/>
    <w:rsid w:val="00FD34FA"/>
    <w:rsid w:val="00FD3532"/>
    <w:rsid w:val="00FD37A7"/>
    <w:rsid w:val="00FD38EF"/>
    <w:rsid w:val="00FD391F"/>
    <w:rsid w:val="00FD3964"/>
    <w:rsid w:val="00FD397D"/>
    <w:rsid w:val="00FD39B7"/>
    <w:rsid w:val="00FD3A77"/>
    <w:rsid w:val="00FD3B1E"/>
    <w:rsid w:val="00FD3B65"/>
    <w:rsid w:val="00FD3B94"/>
    <w:rsid w:val="00FD3C1D"/>
    <w:rsid w:val="00FD3C4F"/>
    <w:rsid w:val="00FD3D10"/>
    <w:rsid w:val="00FD3D6B"/>
    <w:rsid w:val="00FD3DDA"/>
    <w:rsid w:val="00FD3F32"/>
    <w:rsid w:val="00FD3F4A"/>
    <w:rsid w:val="00FD3FAA"/>
    <w:rsid w:val="00FD3FD8"/>
    <w:rsid w:val="00FD3FDE"/>
    <w:rsid w:val="00FD40A7"/>
    <w:rsid w:val="00FD40AC"/>
    <w:rsid w:val="00FD40DD"/>
    <w:rsid w:val="00FD4107"/>
    <w:rsid w:val="00FD4155"/>
    <w:rsid w:val="00FD41C5"/>
    <w:rsid w:val="00FD41E7"/>
    <w:rsid w:val="00FD41FE"/>
    <w:rsid w:val="00FD4229"/>
    <w:rsid w:val="00FD423D"/>
    <w:rsid w:val="00FD428C"/>
    <w:rsid w:val="00FD429C"/>
    <w:rsid w:val="00FD42F0"/>
    <w:rsid w:val="00FD430A"/>
    <w:rsid w:val="00FD43B3"/>
    <w:rsid w:val="00FD4497"/>
    <w:rsid w:val="00FD4600"/>
    <w:rsid w:val="00FD46DB"/>
    <w:rsid w:val="00FD46E0"/>
    <w:rsid w:val="00FD4877"/>
    <w:rsid w:val="00FD4884"/>
    <w:rsid w:val="00FD492D"/>
    <w:rsid w:val="00FD4947"/>
    <w:rsid w:val="00FD499D"/>
    <w:rsid w:val="00FD49AC"/>
    <w:rsid w:val="00FD49E7"/>
    <w:rsid w:val="00FD4B3A"/>
    <w:rsid w:val="00FD4C69"/>
    <w:rsid w:val="00FD4D66"/>
    <w:rsid w:val="00FD4E23"/>
    <w:rsid w:val="00FD4E33"/>
    <w:rsid w:val="00FD4E3A"/>
    <w:rsid w:val="00FD4E54"/>
    <w:rsid w:val="00FD4E5B"/>
    <w:rsid w:val="00FD4E91"/>
    <w:rsid w:val="00FD4EB9"/>
    <w:rsid w:val="00FD4FBD"/>
    <w:rsid w:val="00FD4FCD"/>
    <w:rsid w:val="00FD501A"/>
    <w:rsid w:val="00FD505F"/>
    <w:rsid w:val="00FD5102"/>
    <w:rsid w:val="00FD5106"/>
    <w:rsid w:val="00FD510D"/>
    <w:rsid w:val="00FD515B"/>
    <w:rsid w:val="00FD51E6"/>
    <w:rsid w:val="00FD51EF"/>
    <w:rsid w:val="00FD5375"/>
    <w:rsid w:val="00FD5448"/>
    <w:rsid w:val="00FD55CA"/>
    <w:rsid w:val="00FD55FE"/>
    <w:rsid w:val="00FD565A"/>
    <w:rsid w:val="00FD566F"/>
    <w:rsid w:val="00FD5751"/>
    <w:rsid w:val="00FD57DF"/>
    <w:rsid w:val="00FD5856"/>
    <w:rsid w:val="00FD58E2"/>
    <w:rsid w:val="00FD598C"/>
    <w:rsid w:val="00FD59CE"/>
    <w:rsid w:val="00FD59FF"/>
    <w:rsid w:val="00FD5A49"/>
    <w:rsid w:val="00FD5AB4"/>
    <w:rsid w:val="00FD5AE4"/>
    <w:rsid w:val="00FD5B78"/>
    <w:rsid w:val="00FD5BE1"/>
    <w:rsid w:val="00FD5C9E"/>
    <w:rsid w:val="00FD5D64"/>
    <w:rsid w:val="00FD5E08"/>
    <w:rsid w:val="00FD5E26"/>
    <w:rsid w:val="00FD5E5E"/>
    <w:rsid w:val="00FD5E66"/>
    <w:rsid w:val="00FD5F39"/>
    <w:rsid w:val="00FD5F6E"/>
    <w:rsid w:val="00FD5F90"/>
    <w:rsid w:val="00FD5FF7"/>
    <w:rsid w:val="00FD6067"/>
    <w:rsid w:val="00FD60C1"/>
    <w:rsid w:val="00FD60FD"/>
    <w:rsid w:val="00FD6118"/>
    <w:rsid w:val="00FD6129"/>
    <w:rsid w:val="00FD6155"/>
    <w:rsid w:val="00FD6193"/>
    <w:rsid w:val="00FD61C1"/>
    <w:rsid w:val="00FD6208"/>
    <w:rsid w:val="00FD6214"/>
    <w:rsid w:val="00FD6263"/>
    <w:rsid w:val="00FD6295"/>
    <w:rsid w:val="00FD62A8"/>
    <w:rsid w:val="00FD62E2"/>
    <w:rsid w:val="00FD6392"/>
    <w:rsid w:val="00FD6397"/>
    <w:rsid w:val="00FD6399"/>
    <w:rsid w:val="00FD63F7"/>
    <w:rsid w:val="00FD6450"/>
    <w:rsid w:val="00FD650D"/>
    <w:rsid w:val="00FD650F"/>
    <w:rsid w:val="00FD6709"/>
    <w:rsid w:val="00FD6711"/>
    <w:rsid w:val="00FD6716"/>
    <w:rsid w:val="00FD6732"/>
    <w:rsid w:val="00FD674C"/>
    <w:rsid w:val="00FD6790"/>
    <w:rsid w:val="00FD6821"/>
    <w:rsid w:val="00FD6822"/>
    <w:rsid w:val="00FD68C3"/>
    <w:rsid w:val="00FD69D9"/>
    <w:rsid w:val="00FD6AEB"/>
    <w:rsid w:val="00FD6B7A"/>
    <w:rsid w:val="00FD6C97"/>
    <w:rsid w:val="00FD6CCA"/>
    <w:rsid w:val="00FD6D35"/>
    <w:rsid w:val="00FD6D57"/>
    <w:rsid w:val="00FD6DB9"/>
    <w:rsid w:val="00FD6DDE"/>
    <w:rsid w:val="00FD6E9E"/>
    <w:rsid w:val="00FD6F4B"/>
    <w:rsid w:val="00FD6F4E"/>
    <w:rsid w:val="00FD6F92"/>
    <w:rsid w:val="00FD6F9B"/>
    <w:rsid w:val="00FD6FF6"/>
    <w:rsid w:val="00FD6FFD"/>
    <w:rsid w:val="00FD70FD"/>
    <w:rsid w:val="00FD7139"/>
    <w:rsid w:val="00FD7146"/>
    <w:rsid w:val="00FD7270"/>
    <w:rsid w:val="00FD7285"/>
    <w:rsid w:val="00FD7308"/>
    <w:rsid w:val="00FD73CC"/>
    <w:rsid w:val="00FD73CF"/>
    <w:rsid w:val="00FD73E5"/>
    <w:rsid w:val="00FD7428"/>
    <w:rsid w:val="00FD746E"/>
    <w:rsid w:val="00FD7525"/>
    <w:rsid w:val="00FD7556"/>
    <w:rsid w:val="00FD7577"/>
    <w:rsid w:val="00FD75C8"/>
    <w:rsid w:val="00FD76E4"/>
    <w:rsid w:val="00FD774E"/>
    <w:rsid w:val="00FD777D"/>
    <w:rsid w:val="00FD7787"/>
    <w:rsid w:val="00FD789A"/>
    <w:rsid w:val="00FD794F"/>
    <w:rsid w:val="00FD795B"/>
    <w:rsid w:val="00FD7963"/>
    <w:rsid w:val="00FD79C2"/>
    <w:rsid w:val="00FD7A45"/>
    <w:rsid w:val="00FD7BFF"/>
    <w:rsid w:val="00FD7CB2"/>
    <w:rsid w:val="00FD7DB4"/>
    <w:rsid w:val="00FD7E0B"/>
    <w:rsid w:val="00FD7F30"/>
    <w:rsid w:val="00FD7F68"/>
    <w:rsid w:val="00FD7F6F"/>
    <w:rsid w:val="00FD7FA8"/>
    <w:rsid w:val="00FD7FB7"/>
    <w:rsid w:val="00FE008C"/>
    <w:rsid w:val="00FE01E1"/>
    <w:rsid w:val="00FE0235"/>
    <w:rsid w:val="00FE0459"/>
    <w:rsid w:val="00FE04AC"/>
    <w:rsid w:val="00FE04DC"/>
    <w:rsid w:val="00FE0532"/>
    <w:rsid w:val="00FE0548"/>
    <w:rsid w:val="00FE054D"/>
    <w:rsid w:val="00FE05B1"/>
    <w:rsid w:val="00FE0630"/>
    <w:rsid w:val="00FE079A"/>
    <w:rsid w:val="00FE07B3"/>
    <w:rsid w:val="00FE0804"/>
    <w:rsid w:val="00FE08B8"/>
    <w:rsid w:val="00FE08CB"/>
    <w:rsid w:val="00FE08DE"/>
    <w:rsid w:val="00FE0987"/>
    <w:rsid w:val="00FE09EF"/>
    <w:rsid w:val="00FE0A06"/>
    <w:rsid w:val="00FE0A29"/>
    <w:rsid w:val="00FE0A36"/>
    <w:rsid w:val="00FE0A52"/>
    <w:rsid w:val="00FE0AF9"/>
    <w:rsid w:val="00FE0B1E"/>
    <w:rsid w:val="00FE0B38"/>
    <w:rsid w:val="00FE0B63"/>
    <w:rsid w:val="00FE0B6A"/>
    <w:rsid w:val="00FE0BAE"/>
    <w:rsid w:val="00FE0CA2"/>
    <w:rsid w:val="00FE0CE6"/>
    <w:rsid w:val="00FE0D77"/>
    <w:rsid w:val="00FE0DA1"/>
    <w:rsid w:val="00FE0E89"/>
    <w:rsid w:val="00FE0EE7"/>
    <w:rsid w:val="00FE0FF8"/>
    <w:rsid w:val="00FE1016"/>
    <w:rsid w:val="00FE1043"/>
    <w:rsid w:val="00FE1092"/>
    <w:rsid w:val="00FE10AD"/>
    <w:rsid w:val="00FE10EE"/>
    <w:rsid w:val="00FE10F2"/>
    <w:rsid w:val="00FE1118"/>
    <w:rsid w:val="00FE118B"/>
    <w:rsid w:val="00FE1206"/>
    <w:rsid w:val="00FE1250"/>
    <w:rsid w:val="00FE1253"/>
    <w:rsid w:val="00FE134B"/>
    <w:rsid w:val="00FE1358"/>
    <w:rsid w:val="00FE1382"/>
    <w:rsid w:val="00FE1426"/>
    <w:rsid w:val="00FE1427"/>
    <w:rsid w:val="00FE14EE"/>
    <w:rsid w:val="00FE1653"/>
    <w:rsid w:val="00FE1672"/>
    <w:rsid w:val="00FE1689"/>
    <w:rsid w:val="00FE1697"/>
    <w:rsid w:val="00FE169A"/>
    <w:rsid w:val="00FE16E6"/>
    <w:rsid w:val="00FE16E8"/>
    <w:rsid w:val="00FE1768"/>
    <w:rsid w:val="00FE1783"/>
    <w:rsid w:val="00FE17C7"/>
    <w:rsid w:val="00FE1838"/>
    <w:rsid w:val="00FE18CE"/>
    <w:rsid w:val="00FE1913"/>
    <w:rsid w:val="00FE1970"/>
    <w:rsid w:val="00FE199F"/>
    <w:rsid w:val="00FE19F6"/>
    <w:rsid w:val="00FE19F8"/>
    <w:rsid w:val="00FE1A07"/>
    <w:rsid w:val="00FE1A26"/>
    <w:rsid w:val="00FE1A80"/>
    <w:rsid w:val="00FE1B0A"/>
    <w:rsid w:val="00FE1B1F"/>
    <w:rsid w:val="00FE1B4D"/>
    <w:rsid w:val="00FE1B8F"/>
    <w:rsid w:val="00FE1BA5"/>
    <w:rsid w:val="00FE1BEE"/>
    <w:rsid w:val="00FE1C1C"/>
    <w:rsid w:val="00FE1C39"/>
    <w:rsid w:val="00FE1C9F"/>
    <w:rsid w:val="00FE1D26"/>
    <w:rsid w:val="00FE1DE2"/>
    <w:rsid w:val="00FE1E2D"/>
    <w:rsid w:val="00FE1ED6"/>
    <w:rsid w:val="00FE1EEE"/>
    <w:rsid w:val="00FE1F3A"/>
    <w:rsid w:val="00FE1F3F"/>
    <w:rsid w:val="00FE2053"/>
    <w:rsid w:val="00FE20FC"/>
    <w:rsid w:val="00FE22CB"/>
    <w:rsid w:val="00FE22E1"/>
    <w:rsid w:val="00FE230A"/>
    <w:rsid w:val="00FE2375"/>
    <w:rsid w:val="00FE2396"/>
    <w:rsid w:val="00FE2399"/>
    <w:rsid w:val="00FE2429"/>
    <w:rsid w:val="00FE2455"/>
    <w:rsid w:val="00FE2474"/>
    <w:rsid w:val="00FE2488"/>
    <w:rsid w:val="00FE2509"/>
    <w:rsid w:val="00FE2527"/>
    <w:rsid w:val="00FE257C"/>
    <w:rsid w:val="00FE25D1"/>
    <w:rsid w:val="00FE2663"/>
    <w:rsid w:val="00FE2666"/>
    <w:rsid w:val="00FE267C"/>
    <w:rsid w:val="00FE26E4"/>
    <w:rsid w:val="00FE2717"/>
    <w:rsid w:val="00FE27DC"/>
    <w:rsid w:val="00FE2827"/>
    <w:rsid w:val="00FE2889"/>
    <w:rsid w:val="00FE28F4"/>
    <w:rsid w:val="00FE2902"/>
    <w:rsid w:val="00FE2969"/>
    <w:rsid w:val="00FE2AD6"/>
    <w:rsid w:val="00FE2C27"/>
    <w:rsid w:val="00FE2C92"/>
    <w:rsid w:val="00FE2DE1"/>
    <w:rsid w:val="00FE2E28"/>
    <w:rsid w:val="00FE2E67"/>
    <w:rsid w:val="00FE2F2A"/>
    <w:rsid w:val="00FE2FF1"/>
    <w:rsid w:val="00FE3061"/>
    <w:rsid w:val="00FE306F"/>
    <w:rsid w:val="00FE30A3"/>
    <w:rsid w:val="00FE30C4"/>
    <w:rsid w:val="00FE30DA"/>
    <w:rsid w:val="00FE315F"/>
    <w:rsid w:val="00FE316F"/>
    <w:rsid w:val="00FE3266"/>
    <w:rsid w:val="00FE32D5"/>
    <w:rsid w:val="00FE3367"/>
    <w:rsid w:val="00FE33B3"/>
    <w:rsid w:val="00FE33D1"/>
    <w:rsid w:val="00FE3467"/>
    <w:rsid w:val="00FE3478"/>
    <w:rsid w:val="00FE3504"/>
    <w:rsid w:val="00FE3508"/>
    <w:rsid w:val="00FE356A"/>
    <w:rsid w:val="00FE362B"/>
    <w:rsid w:val="00FE367B"/>
    <w:rsid w:val="00FE372E"/>
    <w:rsid w:val="00FE3735"/>
    <w:rsid w:val="00FE3784"/>
    <w:rsid w:val="00FE37F4"/>
    <w:rsid w:val="00FE38DD"/>
    <w:rsid w:val="00FE38F1"/>
    <w:rsid w:val="00FE391F"/>
    <w:rsid w:val="00FE3A6B"/>
    <w:rsid w:val="00FE3BA5"/>
    <w:rsid w:val="00FE3BBE"/>
    <w:rsid w:val="00FE3C8F"/>
    <w:rsid w:val="00FE3CD5"/>
    <w:rsid w:val="00FE3D01"/>
    <w:rsid w:val="00FE3D3A"/>
    <w:rsid w:val="00FE3D9E"/>
    <w:rsid w:val="00FE3DBE"/>
    <w:rsid w:val="00FE3DC5"/>
    <w:rsid w:val="00FE3E32"/>
    <w:rsid w:val="00FE3E34"/>
    <w:rsid w:val="00FE3E47"/>
    <w:rsid w:val="00FE3EF3"/>
    <w:rsid w:val="00FE3F31"/>
    <w:rsid w:val="00FE4007"/>
    <w:rsid w:val="00FE4029"/>
    <w:rsid w:val="00FE4095"/>
    <w:rsid w:val="00FE40B8"/>
    <w:rsid w:val="00FE40DC"/>
    <w:rsid w:val="00FE40E5"/>
    <w:rsid w:val="00FE41A5"/>
    <w:rsid w:val="00FE41ED"/>
    <w:rsid w:val="00FE4225"/>
    <w:rsid w:val="00FE4248"/>
    <w:rsid w:val="00FE428F"/>
    <w:rsid w:val="00FE42A4"/>
    <w:rsid w:val="00FE42DF"/>
    <w:rsid w:val="00FE42E4"/>
    <w:rsid w:val="00FE43BA"/>
    <w:rsid w:val="00FE43DC"/>
    <w:rsid w:val="00FE4417"/>
    <w:rsid w:val="00FE447C"/>
    <w:rsid w:val="00FE44F7"/>
    <w:rsid w:val="00FE4611"/>
    <w:rsid w:val="00FE462C"/>
    <w:rsid w:val="00FE4700"/>
    <w:rsid w:val="00FE4739"/>
    <w:rsid w:val="00FE4781"/>
    <w:rsid w:val="00FE47CC"/>
    <w:rsid w:val="00FE48A6"/>
    <w:rsid w:val="00FE48CD"/>
    <w:rsid w:val="00FE4916"/>
    <w:rsid w:val="00FE495B"/>
    <w:rsid w:val="00FE49BA"/>
    <w:rsid w:val="00FE49E9"/>
    <w:rsid w:val="00FE49EC"/>
    <w:rsid w:val="00FE49F2"/>
    <w:rsid w:val="00FE4A80"/>
    <w:rsid w:val="00FE4A8D"/>
    <w:rsid w:val="00FE4A92"/>
    <w:rsid w:val="00FE4A99"/>
    <w:rsid w:val="00FE4C02"/>
    <w:rsid w:val="00FE4CAD"/>
    <w:rsid w:val="00FE4CC7"/>
    <w:rsid w:val="00FE4CCD"/>
    <w:rsid w:val="00FE4CEB"/>
    <w:rsid w:val="00FE4D44"/>
    <w:rsid w:val="00FE4DB2"/>
    <w:rsid w:val="00FE4DB9"/>
    <w:rsid w:val="00FE4E8F"/>
    <w:rsid w:val="00FE4EA2"/>
    <w:rsid w:val="00FE4EA5"/>
    <w:rsid w:val="00FE4FB0"/>
    <w:rsid w:val="00FE4FE6"/>
    <w:rsid w:val="00FE4FF7"/>
    <w:rsid w:val="00FE5008"/>
    <w:rsid w:val="00FE500F"/>
    <w:rsid w:val="00FE5082"/>
    <w:rsid w:val="00FE50BB"/>
    <w:rsid w:val="00FE50C3"/>
    <w:rsid w:val="00FE5189"/>
    <w:rsid w:val="00FE53D5"/>
    <w:rsid w:val="00FE5414"/>
    <w:rsid w:val="00FE5436"/>
    <w:rsid w:val="00FE54F0"/>
    <w:rsid w:val="00FE54F8"/>
    <w:rsid w:val="00FE55A0"/>
    <w:rsid w:val="00FE55BB"/>
    <w:rsid w:val="00FE560E"/>
    <w:rsid w:val="00FE563D"/>
    <w:rsid w:val="00FE57C0"/>
    <w:rsid w:val="00FE584A"/>
    <w:rsid w:val="00FE5908"/>
    <w:rsid w:val="00FE5986"/>
    <w:rsid w:val="00FE5993"/>
    <w:rsid w:val="00FE5A62"/>
    <w:rsid w:val="00FE5A78"/>
    <w:rsid w:val="00FE5B13"/>
    <w:rsid w:val="00FE5B19"/>
    <w:rsid w:val="00FE5B90"/>
    <w:rsid w:val="00FE5BCC"/>
    <w:rsid w:val="00FE5DAC"/>
    <w:rsid w:val="00FE5EE8"/>
    <w:rsid w:val="00FE5FE4"/>
    <w:rsid w:val="00FE6136"/>
    <w:rsid w:val="00FE61C7"/>
    <w:rsid w:val="00FE62B5"/>
    <w:rsid w:val="00FE62F1"/>
    <w:rsid w:val="00FE6386"/>
    <w:rsid w:val="00FE6430"/>
    <w:rsid w:val="00FE645B"/>
    <w:rsid w:val="00FE65A4"/>
    <w:rsid w:val="00FE6615"/>
    <w:rsid w:val="00FE6640"/>
    <w:rsid w:val="00FE6675"/>
    <w:rsid w:val="00FE66A9"/>
    <w:rsid w:val="00FE66D5"/>
    <w:rsid w:val="00FE6709"/>
    <w:rsid w:val="00FE6730"/>
    <w:rsid w:val="00FE673D"/>
    <w:rsid w:val="00FE6757"/>
    <w:rsid w:val="00FE677A"/>
    <w:rsid w:val="00FE6814"/>
    <w:rsid w:val="00FE681D"/>
    <w:rsid w:val="00FE6896"/>
    <w:rsid w:val="00FE68A7"/>
    <w:rsid w:val="00FE69B5"/>
    <w:rsid w:val="00FE6A63"/>
    <w:rsid w:val="00FE6AA6"/>
    <w:rsid w:val="00FE6B65"/>
    <w:rsid w:val="00FE6C42"/>
    <w:rsid w:val="00FE6C8B"/>
    <w:rsid w:val="00FE6C9A"/>
    <w:rsid w:val="00FE6CE8"/>
    <w:rsid w:val="00FE6D50"/>
    <w:rsid w:val="00FE6DC8"/>
    <w:rsid w:val="00FE6E9E"/>
    <w:rsid w:val="00FE6F68"/>
    <w:rsid w:val="00FE6F77"/>
    <w:rsid w:val="00FE6FDA"/>
    <w:rsid w:val="00FE7006"/>
    <w:rsid w:val="00FE7053"/>
    <w:rsid w:val="00FE70A8"/>
    <w:rsid w:val="00FE70C9"/>
    <w:rsid w:val="00FE7165"/>
    <w:rsid w:val="00FE7242"/>
    <w:rsid w:val="00FE725F"/>
    <w:rsid w:val="00FE7278"/>
    <w:rsid w:val="00FE73BB"/>
    <w:rsid w:val="00FE73C6"/>
    <w:rsid w:val="00FE7448"/>
    <w:rsid w:val="00FE7492"/>
    <w:rsid w:val="00FE74B3"/>
    <w:rsid w:val="00FE74DF"/>
    <w:rsid w:val="00FE74E9"/>
    <w:rsid w:val="00FE762F"/>
    <w:rsid w:val="00FE76F7"/>
    <w:rsid w:val="00FE7703"/>
    <w:rsid w:val="00FE7714"/>
    <w:rsid w:val="00FE772D"/>
    <w:rsid w:val="00FE7818"/>
    <w:rsid w:val="00FE7867"/>
    <w:rsid w:val="00FE791B"/>
    <w:rsid w:val="00FE795B"/>
    <w:rsid w:val="00FE79ED"/>
    <w:rsid w:val="00FE7A9A"/>
    <w:rsid w:val="00FE7ABE"/>
    <w:rsid w:val="00FE7AC3"/>
    <w:rsid w:val="00FE7B16"/>
    <w:rsid w:val="00FE7B32"/>
    <w:rsid w:val="00FE7B56"/>
    <w:rsid w:val="00FE7B71"/>
    <w:rsid w:val="00FE7BC0"/>
    <w:rsid w:val="00FE7C44"/>
    <w:rsid w:val="00FE7C5E"/>
    <w:rsid w:val="00FE7D4A"/>
    <w:rsid w:val="00FE7E79"/>
    <w:rsid w:val="00FE7E85"/>
    <w:rsid w:val="00FE7EC5"/>
    <w:rsid w:val="00FE7ED2"/>
    <w:rsid w:val="00FE7EEA"/>
    <w:rsid w:val="00FE7F71"/>
    <w:rsid w:val="00FE7F90"/>
    <w:rsid w:val="00FE7FA3"/>
    <w:rsid w:val="00FF001E"/>
    <w:rsid w:val="00FF0054"/>
    <w:rsid w:val="00FF0095"/>
    <w:rsid w:val="00FF017F"/>
    <w:rsid w:val="00FF01BF"/>
    <w:rsid w:val="00FF01E7"/>
    <w:rsid w:val="00FF0233"/>
    <w:rsid w:val="00FF027A"/>
    <w:rsid w:val="00FF02AB"/>
    <w:rsid w:val="00FF02CE"/>
    <w:rsid w:val="00FF02F2"/>
    <w:rsid w:val="00FF0385"/>
    <w:rsid w:val="00FF03AF"/>
    <w:rsid w:val="00FF0414"/>
    <w:rsid w:val="00FF0467"/>
    <w:rsid w:val="00FF0516"/>
    <w:rsid w:val="00FF059B"/>
    <w:rsid w:val="00FF05B7"/>
    <w:rsid w:val="00FF05D5"/>
    <w:rsid w:val="00FF064D"/>
    <w:rsid w:val="00FF069E"/>
    <w:rsid w:val="00FF06B7"/>
    <w:rsid w:val="00FF0723"/>
    <w:rsid w:val="00FF075C"/>
    <w:rsid w:val="00FF0798"/>
    <w:rsid w:val="00FF0823"/>
    <w:rsid w:val="00FF0875"/>
    <w:rsid w:val="00FF08B9"/>
    <w:rsid w:val="00FF095C"/>
    <w:rsid w:val="00FF0A26"/>
    <w:rsid w:val="00FF0A56"/>
    <w:rsid w:val="00FF0B22"/>
    <w:rsid w:val="00FF0BE3"/>
    <w:rsid w:val="00FF0BE9"/>
    <w:rsid w:val="00FF0DBD"/>
    <w:rsid w:val="00FF0DE1"/>
    <w:rsid w:val="00FF0EA8"/>
    <w:rsid w:val="00FF0F61"/>
    <w:rsid w:val="00FF0F7B"/>
    <w:rsid w:val="00FF0F86"/>
    <w:rsid w:val="00FF0F8E"/>
    <w:rsid w:val="00FF0FA9"/>
    <w:rsid w:val="00FF1002"/>
    <w:rsid w:val="00FF1070"/>
    <w:rsid w:val="00FF1071"/>
    <w:rsid w:val="00FF10F9"/>
    <w:rsid w:val="00FF11A9"/>
    <w:rsid w:val="00FF1248"/>
    <w:rsid w:val="00FF125A"/>
    <w:rsid w:val="00FF12CC"/>
    <w:rsid w:val="00FF1347"/>
    <w:rsid w:val="00FF140C"/>
    <w:rsid w:val="00FF1479"/>
    <w:rsid w:val="00FF14BE"/>
    <w:rsid w:val="00FF14C7"/>
    <w:rsid w:val="00FF159D"/>
    <w:rsid w:val="00FF166B"/>
    <w:rsid w:val="00FF16AB"/>
    <w:rsid w:val="00FF16F6"/>
    <w:rsid w:val="00FF172C"/>
    <w:rsid w:val="00FF1733"/>
    <w:rsid w:val="00FF1752"/>
    <w:rsid w:val="00FF176B"/>
    <w:rsid w:val="00FF17A4"/>
    <w:rsid w:val="00FF17C7"/>
    <w:rsid w:val="00FF1854"/>
    <w:rsid w:val="00FF188D"/>
    <w:rsid w:val="00FF18C3"/>
    <w:rsid w:val="00FF18E3"/>
    <w:rsid w:val="00FF197B"/>
    <w:rsid w:val="00FF197C"/>
    <w:rsid w:val="00FF1A46"/>
    <w:rsid w:val="00FF1A48"/>
    <w:rsid w:val="00FF1A52"/>
    <w:rsid w:val="00FF1AE6"/>
    <w:rsid w:val="00FF1B0C"/>
    <w:rsid w:val="00FF1B47"/>
    <w:rsid w:val="00FF1C13"/>
    <w:rsid w:val="00FF1CAD"/>
    <w:rsid w:val="00FF1D01"/>
    <w:rsid w:val="00FF1DA5"/>
    <w:rsid w:val="00FF1DC6"/>
    <w:rsid w:val="00FF1DC9"/>
    <w:rsid w:val="00FF1E07"/>
    <w:rsid w:val="00FF1E5E"/>
    <w:rsid w:val="00FF1EC1"/>
    <w:rsid w:val="00FF1F8C"/>
    <w:rsid w:val="00FF2009"/>
    <w:rsid w:val="00FF2011"/>
    <w:rsid w:val="00FF2092"/>
    <w:rsid w:val="00FF2100"/>
    <w:rsid w:val="00FF224D"/>
    <w:rsid w:val="00FF22BC"/>
    <w:rsid w:val="00FF2301"/>
    <w:rsid w:val="00FF2349"/>
    <w:rsid w:val="00FF23DD"/>
    <w:rsid w:val="00FF241F"/>
    <w:rsid w:val="00FF24A3"/>
    <w:rsid w:val="00FF2538"/>
    <w:rsid w:val="00FF2590"/>
    <w:rsid w:val="00FF25A3"/>
    <w:rsid w:val="00FF25CB"/>
    <w:rsid w:val="00FF2619"/>
    <w:rsid w:val="00FF26A7"/>
    <w:rsid w:val="00FF26F7"/>
    <w:rsid w:val="00FF276F"/>
    <w:rsid w:val="00FF27FF"/>
    <w:rsid w:val="00FF284B"/>
    <w:rsid w:val="00FF2879"/>
    <w:rsid w:val="00FF28EC"/>
    <w:rsid w:val="00FF2926"/>
    <w:rsid w:val="00FF2955"/>
    <w:rsid w:val="00FF2970"/>
    <w:rsid w:val="00FF2A01"/>
    <w:rsid w:val="00FF2A23"/>
    <w:rsid w:val="00FF2A6C"/>
    <w:rsid w:val="00FF2ACA"/>
    <w:rsid w:val="00FF2AD1"/>
    <w:rsid w:val="00FF2B22"/>
    <w:rsid w:val="00FF2B28"/>
    <w:rsid w:val="00FF2B51"/>
    <w:rsid w:val="00FF2B6C"/>
    <w:rsid w:val="00FF2B7C"/>
    <w:rsid w:val="00FF2C11"/>
    <w:rsid w:val="00FF2C43"/>
    <w:rsid w:val="00FF2CEA"/>
    <w:rsid w:val="00FF2CF0"/>
    <w:rsid w:val="00FF2D03"/>
    <w:rsid w:val="00FF2D60"/>
    <w:rsid w:val="00FF2D7F"/>
    <w:rsid w:val="00FF2E6E"/>
    <w:rsid w:val="00FF2E81"/>
    <w:rsid w:val="00FF2E96"/>
    <w:rsid w:val="00FF2E9B"/>
    <w:rsid w:val="00FF2F34"/>
    <w:rsid w:val="00FF2FD5"/>
    <w:rsid w:val="00FF3003"/>
    <w:rsid w:val="00FF3037"/>
    <w:rsid w:val="00FF309A"/>
    <w:rsid w:val="00FF30A1"/>
    <w:rsid w:val="00FF30BC"/>
    <w:rsid w:val="00FF3122"/>
    <w:rsid w:val="00FF3145"/>
    <w:rsid w:val="00FF3160"/>
    <w:rsid w:val="00FF3189"/>
    <w:rsid w:val="00FF3192"/>
    <w:rsid w:val="00FF31F2"/>
    <w:rsid w:val="00FF31F7"/>
    <w:rsid w:val="00FF32EC"/>
    <w:rsid w:val="00FF33B7"/>
    <w:rsid w:val="00FF33E5"/>
    <w:rsid w:val="00FF3428"/>
    <w:rsid w:val="00FF34C6"/>
    <w:rsid w:val="00FF35D0"/>
    <w:rsid w:val="00FF35D5"/>
    <w:rsid w:val="00FF3639"/>
    <w:rsid w:val="00FF373E"/>
    <w:rsid w:val="00FF3740"/>
    <w:rsid w:val="00FF3760"/>
    <w:rsid w:val="00FF3761"/>
    <w:rsid w:val="00FF3782"/>
    <w:rsid w:val="00FF3784"/>
    <w:rsid w:val="00FF383E"/>
    <w:rsid w:val="00FF386E"/>
    <w:rsid w:val="00FF38C1"/>
    <w:rsid w:val="00FF3993"/>
    <w:rsid w:val="00FF3998"/>
    <w:rsid w:val="00FF39AF"/>
    <w:rsid w:val="00FF3A07"/>
    <w:rsid w:val="00FF3A70"/>
    <w:rsid w:val="00FF3A98"/>
    <w:rsid w:val="00FF3AA7"/>
    <w:rsid w:val="00FF3B31"/>
    <w:rsid w:val="00FF3B54"/>
    <w:rsid w:val="00FF3BC8"/>
    <w:rsid w:val="00FF3BD9"/>
    <w:rsid w:val="00FF3BDA"/>
    <w:rsid w:val="00FF3C37"/>
    <w:rsid w:val="00FF3C47"/>
    <w:rsid w:val="00FF3CCF"/>
    <w:rsid w:val="00FF3D86"/>
    <w:rsid w:val="00FF3DF7"/>
    <w:rsid w:val="00FF3E23"/>
    <w:rsid w:val="00FF3E43"/>
    <w:rsid w:val="00FF3E93"/>
    <w:rsid w:val="00FF3EB2"/>
    <w:rsid w:val="00FF3EEE"/>
    <w:rsid w:val="00FF3EFE"/>
    <w:rsid w:val="00FF3F5C"/>
    <w:rsid w:val="00FF3F66"/>
    <w:rsid w:val="00FF3FB2"/>
    <w:rsid w:val="00FF3FB7"/>
    <w:rsid w:val="00FF3FE0"/>
    <w:rsid w:val="00FF3FEA"/>
    <w:rsid w:val="00FF3FEC"/>
    <w:rsid w:val="00FF4005"/>
    <w:rsid w:val="00FF403A"/>
    <w:rsid w:val="00FF40D7"/>
    <w:rsid w:val="00FF4114"/>
    <w:rsid w:val="00FF424D"/>
    <w:rsid w:val="00FF427D"/>
    <w:rsid w:val="00FF42C3"/>
    <w:rsid w:val="00FF42D8"/>
    <w:rsid w:val="00FF4330"/>
    <w:rsid w:val="00FF43B4"/>
    <w:rsid w:val="00FF43BA"/>
    <w:rsid w:val="00FF4410"/>
    <w:rsid w:val="00FF4426"/>
    <w:rsid w:val="00FF4480"/>
    <w:rsid w:val="00FF44B8"/>
    <w:rsid w:val="00FF44C1"/>
    <w:rsid w:val="00FF455E"/>
    <w:rsid w:val="00FF4569"/>
    <w:rsid w:val="00FF45FC"/>
    <w:rsid w:val="00FF4639"/>
    <w:rsid w:val="00FF468B"/>
    <w:rsid w:val="00FF4739"/>
    <w:rsid w:val="00FF4756"/>
    <w:rsid w:val="00FF4792"/>
    <w:rsid w:val="00FF47CA"/>
    <w:rsid w:val="00FF4827"/>
    <w:rsid w:val="00FF482D"/>
    <w:rsid w:val="00FF4888"/>
    <w:rsid w:val="00FF48BF"/>
    <w:rsid w:val="00FF48C6"/>
    <w:rsid w:val="00FF492E"/>
    <w:rsid w:val="00FF4984"/>
    <w:rsid w:val="00FF49AF"/>
    <w:rsid w:val="00FF4A14"/>
    <w:rsid w:val="00FF4A59"/>
    <w:rsid w:val="00FF4AB0"/>
    <w:rsid w:val="00FF4AFC"/>
    <w:rsid w:val="00FF4B51"/>
    <w:rsid w:val="00FF4B8C"/>
    <w:rsid w:val="00FF4BEF"/>
    <w:rsid w:val="00FF4C68"/>
    <w:rsid w:val="00FF4CAC"/>
    <w:rsid w:val="00FF4D02"/>
    <w:rsid w:val="00FF4D19"/>
    <w:rsid w:val="00FF4EA9"/>
    <w:rsid w:val="00FF4EC0"/>
    <w:rsid w:val="00FF4F1E"/>
    <w:rsid w:val="00FF4F26"/>
    <w:rsid w:val="00FF4F3B"/>
    <w:rsid w:val="00FF4F4F"/>
    <w:rsid w:val="00FF4FB7"/>
    <w:rsid w:val="00FF4FC7"/>
    <w:rsid w:val="00FF51EB"/>
    <w:rsid w:val="00FF52E7"/>
    <w:rsid w:val="00FF52FD"/>
    <w:rsid w:val="00FF53AB"/>
    <w:rsid w:val="00FF53AD"/>
    <w:rsid w:val="00FF5412"/>
    <w:rsid w:val="00FF543D"/>
    <w:rsid w:val="00FF545C"/>
    <w:rsid w:val="00FF5467"/>
    <w:rsid w:val="00FF5469"/>
    <w:rsid w:val="00FF561C"/>
    <w:rsid w:val="00FF5643"/>
    <w:rsid w:val="00FF564A"/>
    <w:rsid w:val="00FF5684"/>
    <w:rsid w:val="00FF5750"/>
    <w:rsid w:val="00FF57A0"/>
    <w:rsid w:val="00FF5877"/>
    <w:rsid w:val="00FF58DC"/>
    <w:rsid w:val="00FF5940"/>
    <w:rsid w:val="00FF5A03"/>
    <w:rsid w:val="00FF5A21"/>
    <w:rsid w:val="00FF5A85"/>
    <w:rsid w:val="00FF5A8A"/>
    <w:rsid w:val="00FF5B08"/>
    <w:rsid w:val="00FF5B8E"/>
    <w:rsid w:val="00FF5BE1"/>
    <w:rsid w:val="00FF5BEA"/>
    <w:rsid w:val="00FF5D18"/>
    <w:rsid w:val="00FF5D61"/>
    <w:rsid w:val="00FF5E3C"/>
    <w:rsid w:val="00FF5E41"/>
    <w:rsid w:val="00FF5E53"/>
    <w:rsid w:val="00FF5E9E"/>
    <w:rsid w:val="00FF5EA3"/>
    <w:rsid w:val="00FF5EB3"/>
    <w:rsid w:val="00FF5EC7"/>
    <w:rsid w:val="00FF5EE5"/>
    <w:rsid w:val="00FF6014"/>
    <w:rsid w:val="00FF60A6"/>
    <w:rsid w:val="00FF614D"/>
    <w:rsid w:val="00FF61A0"/>
    <w:rsid w:val="00FF61DB"/>
    <w:rsid w:val="00FF61E1"/>
    <w:rsid w:val="00FF6228"/>
    <w:rsid w:val="00FF6251"/>
    <w:rsid w:val="00FF626D"/>
    <w:rsid w:val="00FF62BF"/>
    <w:rsid w:val="00FF631E"/>
    <w:rsid w:val="00FF6346"/>
    <w:rsid w:val="00FF63E2"/>
    <w:rsid w:val="00FF6474"/>
    <w:rsid w:val="00FF65BF"/>
    <w:rsid w:val="00FF65F2"/>
    <w:rsid w:val="00FF6646"/>
    <w:rsid w:val="00FF66E5"/>
    <w:rsid w:val="00FF6727"/>
    <w:rsid w:val="00FF673D"/>
    <w:rsid w:val="00FF6741"/>
    <w:rsid w:val="00FF67C4"/>
    <w:rsid w:val="00FF682E"/>
    <w:rsid w:val="00FF6856"/>
    <w:rsid w:val="00FF68B7"/>
    <w:rsid w:val="00FF68EE"/>
    <w:rsid w:val="00FF6908"/>
    <w:rsid w:val="00FF690E"/>
    <w:rsid w:val="00FF692A"/>
    <w:rsid w:val="00FF6942"/>
    <w:rsid w:val="00FF69C3"/>
    <w:rsid w:val="00FF69E8"/>
    <w:rsid w:val="00FF6A18"/>
    <w:rsid w:val="00FF6A6A"/>
    <w:rsid w:val="00FF6A8D"/>
    <w:rsid w:val="00FF6AC0"/>
    <w:rsid w:val="00FF6B14"/>
    <w:rsid w:val="00FF6C38"/>
    <w:rsid w:val="00FF6CC7"/>
    <w:rsid w:val="00FF6CF2"/>
    <w:rsid w:val="00FF6D63"/>
    <w:rsid w:val="00FF6D64"/>
    <w:rsid w:val="00FF6D7F"/>
    <w:rsid w:val="00FF6E18"/>
    <w:rsid w:val="00FF6E37"/>
    <w:rsid w:val="00FF6E4B"/>
    <w:rsid w:val="00FF6E5F"/>
    <w:rsid w:val="00FF6E7D"/>
    <w:rsid w:val="00FF6E81"/>
    <w:rsid w:val="00FF6F2C"/>
    <w:rsid w:val="00FF6F62"/>
    <w:rsid w:val="00FF6F65"/>
    <w:rsid w:val="00FF6FCE"/>
    <w:rsid w:val="00FF700B"/>
    <w:rsid w:val="00FF702C"/>
    <w:rsid w:val="00FF7044"/>
    <w:rsid w:val="00FF70ED"/>
    <w:rsid w:val="00FF7149"/>
    <w:rsid w:val="00FF719F"/>
    <w:rsid w:val="00FF71B9"/>
    <w:rsid w:val="00FF71E5"/>
    <w:rsid w:val="00FF72B6"/>
    <w:rsid w:val="00FF72C9"/>
    <w:rsid w:val="00FF72D8"/>
    <w:rsid w:val="00FF73A5"/>
    <w:rsid w:val="00FF73B5"/>
    <w:rsid w:val="00FF73E7"/>
    <w:rsid w:val="00FF73F0"/>
    <w:rsid w:val="00FF74E2"/>
    <w:rsid w:val="00FF754D"/>
    <w:rsid w:val="00FF75B7"/>
    <w:rsid w:val="00FF7609"/>
    <w:rsid w:val="00FF7653"/>
    <w:rsid w:val="00FF7654"/>
    <w:rsid w:val="00FF774D"/>
    <w:rsid w:val="00FF77E9"/>
    <w:rsid w:val="00FF781A"/>
    <w:rsid w:val="00FF781F"/>
    <w:rsid w:val="00FF782B"/>
    <w:rsid w:val="00FF786C"/>
    <w:rsid w:val="00FF78C6"/>
    <w:rsid w:val="00FF7962"/>
    <w:rsid w:val="00FF79ED"/>
    <w:rsid w:val="00FF7ACA"/>
    <w:rsid w:val="00FF7ACD"/>
    <w:rsid w:val="00FF7B73"/>
    <w:rsid w:val="00FF7B75"/>
    <w:rsid w:val="00FF7BFC"/>
    <w:rsid w:val="00FF7C4C"/>
    <w:rsid w:val="00FF7C82"/>
    <w:rsid w:val="00FF7C8E"/>
    <w:rsid w:val="00FF7E07"/>
    <w:rsid w:val="00FF7E35"/>
    <w:rsid w:val="00FF7E4E"/>
    <w:rsid w:val="00FF7F98"/>
    <w:rsid w:val="00FF7FC6"/>
    <w:rsid w:val="010A528C"/>
    <w:rsid w:val="010A73E0"/>
    <w:rsid w:val="010AD23D"/>
    <w:rsid w:val="011A31D0"/>
    <w:rsid w:val="011CE7F8"/>
    <w:rsid w:val="012762CE"/>
    <w:rsid w:val="01286D35"/>
    <w:rsid w:val="013483BC"/>
    <w:rsid w:val="01397963"/>
    <w:rsid w:val="013B5DB6"/>
    <w:rsid w:val="0155203F"/>
    <w:rsid w:val="01553F18"/>
    <w:rsid w:val="0155E805"/>
    <w:rsid w:val="0158ADFB"/>
    <w:rsid w:val="016B4612"/>
    <w:rsid w:val="017576D0"/>
    <w:rsid w:val="01840472"/>
    <w:rsid w:val="019B257D"/>
    <w:rsid w:val="019CD9B7"/>
    <w:rsid w:val="019FE389"/>
    <w:rsid w:val="01E2CAE5"/>
    <w:rsid w:val="01E41446"/>
    <w:rsid w:val="01EFD548"/>
    <w:rsid w:val="01F9D8BC"/>
    <w:rsid w:val="01FEFD16"/>
    <w:rsid w:val="02145CB1"/>
    <w:rsid w:val="023172B4"/>
    <w:rsid w:val="023F8C02"/>
    <w:rsid w:val="02452CCC"/>
    <w:rsid w:val="027105BE"/>
    <w:rsid w:val="027A904B"/>
    <w:rsid w:val="028207C3"/>
    <w:rsid w:val="0286DD13"/>
    <w:rsid w:val="02969982"/>
    <w:rsid w:val="029A1590"/>
    <w:rsid w:val="029E92D0"/>
    <w:rsid w:val="029F837E"/>
    <w:rsid w:val="02A03981"/>
    <w:rsid w:val="02B56F17"/>
    <w:rsid w:val="02B64AA4"/>
    <w:rsid w:val="02C2F2C2"/>
    <w:rsid w:val="02DB5C6D"/>
    <w:rsid w:val="02E09CF5"/>
    <w:rsid w:val="02E6ADE6"/>
    <w:rsid w:val="02FD52C1"/>
    <w:rsid w:val="03095B13"/>
    <w:rsid w:val="03096943"/>
    <w:rsid w:val="0323C15A"/>
    <w:rsid w:val="03264B2C"/>
    <w:rsid w:val="032E8B7D"/>
    <w:rsid w:val="0330AAC0"/>
    <w:rsid w:val="0336AD4D"/>
    <w:rsid w:val="034CC0BC"/>
    <w:rsid w:val="0370DDAA"/>
    <w:rsid w:val="0384509C"/>
    <w:rsid w:val="039B67A8"/>
    <w:rsid w:val="039B94DF"/>
    <w:rsid w:val="039CA8A1"/>
    <w:rsid w:val="03B6E0D3"/>
    <w:rsid w:val="03D8D14B"/>
    <w:rsid w:val="03DD3EA8"/>
    <w:rsid w:val="03EF8164"/>
    <w:rsid w:val="03F3AAEE"/>
    <w:rsid w:val="040C5145"/>
    <w:rsid w:val="040E4FE4"/>
    <w:rsid w:val="04348154"/>
    <w:rsid w:val="0439C1D3"/>
    <w:rsid w:val="0441B824"/>
    <w:rsid w:val="04544BC3"/>
    <w:rsid w:val="04580FA5"/>
    <w:rsid w:val="045F6C6F"/>
    <w:rsid w:val="046A25EF"/>
    <w:rsid w:val="04708833"/>
    <w:rsid w:val="048F558A"/>
    <w:rsid w:val="0491056F"/>
    <w:rsid w:val="04A56B7E"/>
    <w:rsid w:val="04AA801E"/>
    <w:rsid w:val="04B944FF"/>
    <w:rsid w:val="04DE54D4"/>
    <w:rsid w:val="04EBE559"/>
    <w:rsid w:val="04EFCAF1"/>
    <w:rsid w:val="04F20E40"/>
    <w:rsid w:val="04FCD369"/>
    <w:rsid w:val="05063744"/>
    <w:rsid w:val="050A8C82"/>
    <w:rsid w:val="050DB9F9"/>
    <w:rsid w:val="050EAB7A"/>
    <w:rsid w:val="050EE296"/>
    <w:rsid w:val="050FA38E"/>
    <w:rsid w:val="05310470"/>
    <w:rsid w:val="05368F01"/>
    <w:rsid w:val="053C98E3"/>
    <w:rsid w:val="054114F7"/>
    <w:rsid w:val="0547AF9B"/>
    <w:rsid w:val="05494727"/>
    <w:rsid w:val="054DEA6F"/>
    <w:rsid w:val="054EF7EA"/>
    <w:rsid w:val="055A3333"/>
    <w:rsid w:val="056C9974"/>
    <w:rsid w:val="056FAF5E"/>
    <w:rsid w:val="05A4F4FE"/>
    <w:rsid w:val="05B32F18"/>
    <w:rsid w:val="05D39820"/>
    <w:rsid w:val="05FE8B1B"/>
    <w:rsid w:val="06089E21"/>
    <w:rsid w:val="063C6867"/>
    <w:rsid w:val="063CB10D"/>
    <w:rsid w:val="0645665F"/>
    <w:rsid w:val="0670234D"/>
    <w:rsid w:val="0682B6DC"/>
    <w:rsid w:val="068EA879"/>
    <w:rsid w:val="0693495D"/>
    <w:rsid w:val="06B0A2B1"/>
    <w:rsid w:val="06B59A31"/>
    <w:rsid w:val="06CFCD43"/>
    <w:rsid w:val="06D311CD"/>
    <w:rsid w:val="06DA43DB"/>
    <w:rsid w:val="06DEBCE0"/>
    <w:rsid w:val="06DF53E9"/>
    <w:rsid w:val="06EDD264"/>
    <w:rsid w:val="06F0D043"/>
    <w:rsid w:val="06F8065D"/>
    <w:rsid w:val="06F8562A"/>
    <w:rsid w:val="06FE263A"/>
    <w:rsid w:val="0700DF22"/>
    <w:rsid w:val="0716C5EB"/>
    <w:rsid w:val="071C431B"/>
    <w:rsid w:val="072C2E2B"/>
    <w:rsid w:val="0738E453"/>
    <w:rsid w:val="073B51CA"/>
    <w:rsid w:val="07557D00"/>
    <w:rsid w:val="075C97D4"/>
    <w:rsid w:val="075E8CA5"/>
    <w:rsid w:val="0771AAB1"/>
    <w:rsid w:val="079FBF4F"/>
    <w:rsid w:val="07ABDF4D"/>
    <w:rsid w:val="07C9EB4C"/>
    <w:rsid w:val="07D914C8"/>
    <w:rsid w:val="07DBBE04"/>
    <w:rsid w:val="07E019ED"/>
    <w:rsid w:val="07E01E3A"/>
    <w:rsid w:val="07EE9F30"/>
    <w:rsid w:val="07FD2BF6"/>
    <w:rsid w:val="08037571"/>
    <w:rsid w:val="0820BDC5"/>
    <w:rsid w:val="082A03CD"/>
    <w:rsid w:val="08502C43"/>
    <w:rsid w:val="087230F3"/>
    <w:rsid w:val="08779D79"/>
    <w:rsid w:val="087E9FAC"/>
    <w:rsid w:val="0886BDD0"/>
    <w:rsid w:val="0891829C"/>
    <w:rsid w:val="08AB02CA"/>
    <w:rsid w:val="08BE4129"/>
    <w:rsid w:val="08C4A396"/>
    <w:rsid w:val="08DA6648"/>
    <w:rsid w:val="08EC8816"/>
    <w:rsid w:val="08F28247"/>
    <w:rsid w:val="08F33B81"/>
    <w:rsid w:val="08F6F2DC"/>
    <w:rsid w:val="08F789CA"/>
    <w:rsid w:val="091AC35E"/>
    <w:rsid w:val="091B2852"/>
    <w:rsid w:val="09237206"/>
    <w:rsid w:val="09345612"/>
    <w:rsid w:val="09396A5E"/>
    <w:rsid w:val="0943B687"/>
    <w:rsid w:val="094B4EB2"/>
    <w:rsid w:val="094F5480"/>
    <w:rsid w:val="096A17BF"/>
    <w:rsid w:val="0983E42A"/>
    <w:rsid w:val="09866186"/>
    <w:rsid w:val="0986B83E"/>
    <w:rsid w:val="099B041A"/>
    <w:rsid w:val="09D1B5C8"/>
    <w:rsid w:val="09D56B7C"/>
    <w:rsid w:val="09D5A54A"/>
    <w:rsid w:val="09D96C7A"/>
    <w:rsid w:val="09DF2FED"/>
    <w:rsid w:val="09E88087"/>
    <w:rsid w:val="09F0B0B3"/>
    <w:rsid w:val="0A0AC17A"/>
    <w:rsid w:val="0A253F95"/>
    <w:rsid w:val="0A2E7F8A"/>
    <w:rsid w:val="0A3857F9"/>
    <w:rsid w:val="0A45549F"/>
    <w:rsid w:val="0A4D4B65"/>
    <w:rsid w:val="0A5282ED"/>
    <w:rsid w:val="0A630707"/>
    <w:rsid w:val="0A6E8C95"/>
    <w:rsid w:val="0A79F7BF"/>
    <w:rsid w:val="0AA5B8C0"/>
    <w:rsid w:val="0AA79AC8"/>
    <w:rsid w:val="0AAF1907"/>
    <w:rsid w:val="0AB2C84C"/>
    <w:rsid w:val="0AB4938C"/>
    <w:rsid w:val="0AB5C6D5"/>
    <w:rsid w:val="0AC1911B"/>
    <w:rsid w:val="0AC6EEBB"/>
    <w:rsid w:val="0AD111C2"/>
    <w:rsid w:val="0ADFC987"/>
    <w:rsid w:val="0AE16923"/>
    <w:rsid w:val="0AFF50BC"/>
    <w:rsid w:val="0B0B2650"/>
    <w:rsid w:val="0B599201"/>
    <w:rsid w:val="0B671010"/>
    <w:rsid w:val="0B6712EA"/>
    <w:rsid w:val="0B6D4B1D"/>
    <w:rsid w:val="0B7427FB"/>
    <w:rsid w:val="0B8054C1"/>
    <w:rsid w:val="0B8917B7"/>
    <w:rsid w:val="0B897427"/>
    <w:rsid w:val="0B8EA8CB"/>
    <w:rsid w:val="0B95B33A"/>
    <w:rsid w:val="0BA09127"/>
    <w:rsid w:val="0BA9483E"/>
    <w:rsid w:val="0BBE7DD5"/>
    <w:rsid w:val="0BC4C181"/>
    <w:rsid w:val="0BCD80E4"/>
    <w:rsid w:val="0BD0F0D1"/>
    <w:rsid w:val="0BD19B3A"/>
    <w:rsid w:val="0BD97615"/>
    <w:rsid w:val="0BD9A500"/>
    <w:rsid w:val="0BE0AF6E"/>
    <w:rsid w:val="0BEA7676"/>
    <w:rsid w:val="0BF017A9"/>
    <w:rsid w:val="0BF33246"/>
    <w:rsid w:val="0C086CA7"/>
    <w:rsid w:val="0C0C466D"/>
    <w:rsid w:val="0C0CCDE0"/>
    <w:rsid w:val="0C1EDC89"/>
    <w:rsid w:val="0C2292D9"/>
    <w:rsid w:val="0C2B653B"/>
    <w:rsid w:val="0C36D3AA"/>
    <w:rsid w:val="0C5D574D"/>
    <w:rsid w:val="0C7683B1"/>
    <w:rsid w:val="0C8A75C3"/>
    <w:rsid w:val="0CAD2ABD"/>
    <w:rsid w:val="0CAEC10C"/>
    <w:rsid w:val="0CB8CE4B"/>
    <w:rsid w:val="0CF17F90"/>
    <w:rsid w:val="0CFA3C4A"/>
    <w:rsid w:val="0D0478C1"/>
    <w:rsid w:val="0D0B4FD6"/>
    <w:rsid w:val="0D164AD6"/>
    <w:rsid w:val="0D2B18E1"/>
    <w:rsid w:val="0D486D44"/>
    <w:rsid w:val="0D4AA326"/>
    <w:rsid w:val="0D60B683"/>
    <w:rsid w:val="0D693960"/>
    <w:rsid w:val="0D893861"/>
    <w:rsid w:val="0D8C001F"/>
    <w:rsid w:val="0D9D9146"/>
    <w:rsid w:val="0DADBD08"/>
    <w:rsid w:val="0DAE2A58"/>
    <w:rsid w:val="0DB01240"/>
    <w:rsid w:val="0DB20CF3"/>
    <w:rsid w:val="0DBCF76A"/>
    <w:rsid w:val="0DEEA3CA"/>
    <w:rsid w:val="0DF0EFD0"/>
    <w:rsid w:val="0DF4FCBA"/>
    <w:rsid w:val="0DFE2AF4"/>
    <w:rsid w:val="0E163D84"/>
    <w:rsid w:val="0E20D5F4"/>
    <w:rsid w:val="0E25C070"/>
    <w:rsid w:val="0E278280"/>
    <w:rsid w:val="0E28BC30"/>
    <w:rsid w:val="0E2D2627"/>
    <w:rsid w:val="0E3BD719"/>
    <w:rsid w:val="0E52905C"/>
    <w:rsid w:val="0E53E824"/>
    <w:rsid w:val="0E715F43"/>
    <w:rsid w:val="0E7AAF5C"/>
    <w:rsid w:val="0E7E2135"/>
    <w:rsid w:val="0E852D54"/>
    <w:rsid w:val="0E89EC88"/>
    <w:rsid w:val="0EA4F209"/>
    <w:rsid w:val="0EAE9669"/>
    <w:rsid w:val="0EB3E906"/>
    <w:rsid w:val="0EBDBA54"/>
    <w:rsid w:val="0ED3EC0D"/>
    <w:rsid w:val="0EEB59F8"/>
    <w:rsid w:val="0EF2028B"/>
    <w:rsid w:val="0F04D0EC"/>
    <w:rsid w:val="0F0C31AA"/>
    <w:rsid w:val="0F10C9CF"/>
    <w:rsid w:val="0F12DB07"/>
    <w:rsid w:val="0F1C6D9B"/>
    <w:rsid w:val="0F1C95C1"/>
    <w:rsid w:val="0F24C5F8"/>
    <w:rsid w:val="0F320073"/>
    <w:rsid w:val="0F35B658"/>
    <w:rsid w:val="0F4A2B0C"/>
    <w:rsid w:val="0F639F26"/>
    <w:rsid w:val="0F677820"/>
    <w:rsid w:val="0F6E3920"/>
    <w:rsid w:val="0F76EBA9"/>
    <w:rsid w:val="0F7C5780"/>
    <w:rsid w:val="0F816BE9"/>
    <w:rsid w:val="0F950BCE"/>
    <w:rsid w:val="0FC9C444"/>
    <w:rsid w:val="0FDD3D47"/>
    <w:rsid w:val="0FDEA945"/>
    <w:rsid w:val="1008ECEB"/>
    <w:rsid w:val="100E27CB"/>
    <w:rsid w:val="101DE43E"/>
    <w:rsid w:val="102171CA"/>
    <w:rsid w:val="1024365D"/>
    <w:rsid w:val="1033FD4E"/>
    <w:rsid w:val="103AF3B8"/>
    <w:rsid w:val="10439B51"/>
    <w:rsid w:val="1046A82F"/>
    <w:rsid w:val="106E5018"/>
    <w:rsid w:val="1078AAA7"/>
    <w:rsid w:val="1079C7E0"/>
    <w:rsid w:val="107F49CC"/>
    <w:rsid w:val="109E7028"/>
    <w:rsid w:val="10A53EB6"/>
    <w:rsid w:val="10A917F3"/>
    <w:rsid w:val="10B2AD08"/>
    <w:rsid w:val="10C3C892"/>
    <w:rsid w:val="10CB71B4"/>
    <w:rsid w:val="10CBB357"/>
    <w:rsid w:val="10CFB11F"/>
    <w:rsid w:val="10D18E10"/>
    <w:rsid w:val="10D5E217"/>
    <w:rsid w:val="10E13EAB"/>
    <w:rsid w:val="10FCC03F"/>
    <w:rsid w:val="10FD30D4"/>
    <w:rsid w:val="11018F5D"/>
    <w:rsid w:val="1102B40D"/>
    <w:rsid w:val="11248CE7"/>
    <w:rsid w:val="1128B9E9"/>
    <w:rsid w:val="1149E51B"/>
    <w:rsid w:val="114B42D5"/>
    <w:rsid w:val="114F60CE"/>
    <w:rsid w:val="116482A0"/>
    <w:rsid w:val="1165E95C"/>
    <w:rsid w:val="1168EC59"/>
    <w:rsid w:val="116A83CE"/>
    <w:rsid w:val="116D61BC"/>
    <w:rsid w:val="1179FB8A"/>
    <w:rsid w:val="11896AC9"/>
    <w:rsid w:val="11918217"/>
    <w:rsid w:val="11925574"/>
    <w:rsid w:val="11A8E91B"/>
    <w:rsid w:val="11A9AD6F"/>
    <w:rsid w:val="11AAE623"/>
    <w:rsid w:val="11B83D47"/>
    <w:rsid w:val="11B97C8B"/>
    <w:rsid w:val="11BD6804"/>
    <w:rsid w:val="11E031BB"/>
    <w:rsid w:val="11E041B1"/>
    <w:rsid w:val="11FBE8C5"/>
    <w:rsid w:val="12118251"/>
    <w:rsid w:val="12129316"/>
    <w:rsid w:val="12297587"/>
    <w:rsid w:val="12359985"/>
    <w:rsid w:val="12368514"/>
    <w:rsid w:val="123CA5DF"/>
    <w:rsid w:val="123CB08F"/>
    <w:rsid w:val="1250EADA"/>
    <w:rsid w:val="1254D40E"/>
    <w:rsid w:val="126C518E"/>
    <w:rsid w:val="1279FDF8"/>
    <w:rsid w:val="1296B652"/>
    <w:rsid w:val="129B8547"/>
    <w:rsid w:val="12A4623B"/>
    <w:rsid w:val="12B6D0BB"/>
    <w:rsid w:val="12B96419"/>
    <w:rsid w:val="12BC3D20"/>
    <w:rsid w:val="12BDFE87"/>
    <w:rsid w:val="12C1865F"/>
    <w:rsid w:val="12CF4EF8"/>
    <w:rsid w:val="12D06F81"/>
    <w:rsid w:val="12D9428B"/>
    <w:rsid w:val="12D99958"/>
    <w:rsid w:val="12D9A517"/>
    <w:rsid w:val="12DA7094"/>
    <w:rsid w:val="12EFB2F0"/>
    <w:rsid w:val="13169D5D"/>
    <w:rsid w:val="13198805"/>
    <w:rsid w:val="132C106F"/>
    <w:rsid w:val="1332FDCF"/>
    <w:rsid w:val="1353B9B3"/>
    <w:rsid w:val="13563010"/>
    <w:rsid w:val="1356AC55"/>
    <w:rsid w:val="13726018"/>
    <w:rsid w:val="1378B19D"/>
    <w:rsid w:val="1382F91F"/>
    <w:rsid w:val="13939112"/>
    <w:rsid w:val="13A65BCA"/>
    <w:rsid w:val="13A9FF3C"/>
    <w:rsid w:val="13B3419B"/>
    <w:rsid w:val="13C115B8"/>
    <w:rsid w:val="13C191F7"/>
    <w:rsid w:val="13C2BE33"/>
    <w:rsid w:val="13D19980"/>
    <w:rsid w:val="13D2A046"/>
    <w:rsid w:val="13D595BA"/>
    <w:rsid w:val="13DA5D35"/>
    <w:rsid w:val="13EA2FC5"/>
    <w:rsid w:val="13EB79D6"/>
    <w:rsid w:val="13F12EDE"/>
    <w:rsid w:val="13F5F7F9"/>
    <w:rsid w:val="13FBF7F2"/>
    <w:rsid w:val="13FD2821"/>
    <w:rsid w:val="13FFF6C7"/>
    <w:rsid w:val="14035E91"/>
    <w:rsid w:val="1414911E"/>
    <w:rsid w:val="14160EF8"/>
    <w:rsid w:val="141AA927"/>
    <w:rsid w:val="143D5CDC"/>
    <w:rsid w:val="14478145"/>
    <w:rsid w:val="1462303C"/>
    <w:rsid w:val="147815BD"/>
    <w:rsid w:val="14A3B6B1"/>
    <w:rsid w:val="14A9E82B"/>
    <w:rsid w:val="14B58A94"/>
    <w:rsid w:val="14BBFFE9"/>
    <w:rsid w:val="14DCE26C"/>
    <w:rsid w:val="14EDAE9E"/>
    <w:rsid w:val="15038EC7"/>
    <w:rsid w:val="150CA41D"/>
    <w:rsid w:val="150DED8B"/>
    <w:rsid w:val="15193A34"/>
    <w:rsid w:val="152B60AC"/>
    <w:rsid w:val="15537B79"/>
    <w:rsid w:val="1557FA41"/>
    <w:rsid w:val="1563A72A"/>
    <w:rsid w:val="1565FCD3"/>
    <w:rsid w:val="156FE223"/>
    <w:rsid w:val="158C0EFF"/>
    <w:rsid w:val="159C8760"/>
    <w:rsid w:val="159E933C"/>
    <w:rsid w:val="15A30729"/>
    <w:rsid w:val="15B8B077"/>
    <w:rsid w:val="15C033B6"/>
    <w:rsid w:val="15C62FB5"/>
    <w:rsid w:val="15C72681"/>
    <w:rsid w:val="15D0D53E"/>
    <w:rsid w:val="15DC49A9"/>
    <w:rsid w:val="15DF3CD0"/>
    <w:rsid w:val="15E9DE50"/>
    <w:rsid w:val="160E0F30"/>
    <w:rsid w:val="16316031"/>
    <w:rsid w:val="1642C15C"/>
    <w:rsid w:val="16508411"/>
    <w:rsid w:val="165993C8"/>
    <w:rsid w:val="166E7EC4"/>
    <w:rsid w:val="168B6B00"/>
    <w:rsid w:val="168CF66A"/>
    <w:rsid w:val="16A64632"/>
    <w:rsid w:val="16A98E30"/>
    <w:rsid w:val="16AF409D"/>
    <w:rsid w:val="16B8A76D"/>
    <w:rsid w:val="16C850AC"/>
    <w:rsid w:val="16CBE1BA"/>
    <w:rsid w:val="17028385"/>
    <w:rsid w:val="17171147"/>
    <w:rsid w:val="17194064"/>
    <w:rsid w:val="171CF1FB"/>
    <w:rsid w:val="1744F945"/>
    <w:rsid w:val="17494E05"/>
    <w:rsid w:val="174B3ED3"/>
    <w:rsid w:val="1758381B"/>
    <w:rsid w:val="1775A445"/>
    <w:rsid w:val="177DB193"/>
    <w:rsid w:val="179BC7A1"/>
    <w:rsid w:val="17A6CC26"/>
    <w:rsid w:val="17B6389C"/>
    <w:rsid w:val="17C1E78D"/>
    <w:rsid w:val="17CA22BD"/>
    <w:rsid w:val="17CE5DEF"/>
    <w:rsid w:val="17D311E1"/>
    <w:rsid w:val="17DA4597"/>
    <w:rsid w:val="17E7DC89"/>
    <w:rsid w:val="17EB7229"/>
    <w:rsid w:val="18010592"/>
    <w:rsid w:val="1801F978"/>
    <w:rsid w:val="1807EDF3"/>
    <w:rsid w:val="1819BA8A"/>
    <w:rsid w:val="182816C4"/>
    <w:rsid w:val="182BE90B"/>
    <w:rsid w:val="1836C947"/>
    <w:rsid w:val="1836D862"/>
    <w:rsid w:val="185FB2EA"/>
    <w:rsid w:val="1865F0DB"/>
    <w:rsid w:val="18740188"/>
    <w:rsid w:val="1880635F"/>
    <w:rsid w:val="1889F05B"/>
    <w:rsid w:val="188E584F"/>
    <w:rsid w:val="18BC7E5C"/>
    <w:rsid w:val="18CB43C2"/>
    <w:rsid w:val="18D59C53"/>
    <w:rsid w:val="18DDF8AA"/>
    <w:rsid w:val="18EC416A"/>
    <w:rsid w:val="1940FAB0"/>
    <w:rsid w:val="1941C6DB"/>
    <w:rsid w:val="1942C511"/>
    <w:rsid w:val="1951D4D6"/>
    <w:rsid w:val="19588F8A"/>
    <w:rsid w:val="19739626"/>
    <w:rsid w:val="197E03CB"/>
    <w:rsid w:val="19806F32"/>
    <w:rsid w:val="19848F22"/>
    <w:rsid w:val="1988F2D3"/>
    <w:rsid w:val="199069D5"/>
    <w:rsid w:val="19C09B11"/>
    <w:rsid w:val="19E9F656"/>
    <w:rsid w:val="19F05DDC"/>
    <w:rsid w:val="19F86D6D"/>
    <w:rsid w:val="19FB3A75"/>
    <w:rsid w:val="1A012B9B"/>
    <w:rsid w:val="1A05A1B0"/>
    <w:rsid w:val="1A0EBD05"/>
    <w:rsid w:val="1A1257C7"/>
    <w:rsid w:val="1A24B0A3"/>
    <w:rsid w:val="1A365B20"/>
    <w:rsid w:val="1A3A36EF"/>
    <w:rsid w:val="1A3C192B"/>
    <w:rsid w:val="1A424F96"/>
    <w:rsid w:val="1A4327CA"/>
    <w:rsid w:val="1A486708"/>
    <w:rsid w:val="1A4E7ED6"/>
    <w:rsid w:val="1A5B2499"/>
    <w:rsid w:val="1A5C711B"/>
    <w:rsid w:val="1A5D0F45"/>
    <w:rsid w:val="1A5DD902"/>
    <w:rsid w:val="1A5ED604"/>
    <w:rsid w:val="1A7F8E4C"/>
    <w:rsid w:val="1A80FB1F"/>
    <w:rsid w:val="1A81F43D"/>
    <w:rsid w:val="1A900C99"/>
    <w:rsid w:val="1A9A6559"/>
    <w:rsid w:val="1AAAC8D5"/>
    <w:rsid w:val="1AAAFBC3"/>
    <w:rsid w:val="1ABAFE85"/>
    <w:rsid w:val="1AC0587A"/>
    <w:rsid w:val="1AD72A1F"/>
    <w:rsid w:val="1AD74DE2"/>
    <w:rsid w:val="1AE0CBBD"/>
    <w:rsid w:val="1B20B866"/>
    <w:rsid w:val="1B3AFB62"/>
    <w:rsid w:val="1B3B8DB5"/>
    <w:rsid w:val="1B40E16B"/>
    <w:rsid w:val="1B40F23A"/>
    <w:rsid w:val="1B4BB472"/>
    <w:rsid w:val="1B6E4EE1"/>
    <w:rsid w:val="1B74466C"/>
    <w:rsid w:val="1B74D080"/>
    <w:rsid w:val="1B913179"/>
    <w:rsid w:val="1B91AA06"/>
    <w:rsid w:val="1BA84B13"/>
    <w:rsid w:val="1BBFC3B2"/>
    <w:rsid w:val="1BCC6642"/>
    <w:rsid w:val="1BE33AC5"/>
    <w:rsid w:val="1BEB6C50"/>
    <w:rsid w:val="1BF2A407"/>
    <w:rsid w:val="1C0269D2"/>
    <w:rsid w:val="1C0F3159"/>
    <w:rsid w:val="1C16144F"/>
    <w:rsid w:val="1C615063"/>
    <w:rsid w:val="1C63C06F"/>
    <w:rsid w:val="1C684D5E"/>
    <w:rsid w:val="1C68E468"/>
    <w:rsid w:val="1C751611"/>
    <w:rsid w:val="1C7A4027"/>
    <w:rsid w:val="1C7F3334"/>
    <w:rsid w:val="1CBB7B9B"/>
    <w:rsid w:val="1CC7350A"/>
    <w:rsid w:val="1CCB1C0A"/>
    <w:rsid w:val="1D05F82F"/>
    <w:rsid w:val="1D13E092"/>
    <w:rsid w:val="1D142E92"/>
    <w:rsid w:val="1D1AFECD"/>
    <w:rsid w:val="1D1CDE81"/>
    <w:rsid w:val="1D2C101E"/>
    <w:rsid w:val="1D4C0A26"/>
    <w:rsid w:val="1D5DE4B7"/>
    <w:rsid w:val="1D61F06E"/>
    <w:rsid w:val="1D669BA6"/>
    <w:rsid w:val="1D72FEEA"/>
    <w:rsid w:val="1D7A581F"/>
    <w:rsid w:val="1D91427E"/>
    <w:rsid w:val="1DA6EBED"/>
    <w:rsid w:val="1DBC6E6E"/>
    <w:rsid w:val="1DC7A965"/>
    <w:rsid w:val="1DF1707F"/>
    <w:rsid w:val="1DFBD5F1"/>
    <w:rsid w:val="1E09D555"/>
    <w:rsid w:val="1E1AA9DF"/>
    <w:rsid w:val="1E33BD6A"/>
    <w:rsid w:val="1E3B008E"/>
    <w:rsid w:val="1E42ABB1"/>
    <w:rsid w:val="1E6D6772"/>
    <w:rsid w:val="1E84F165"/>
    <w:rsid w:val="1E94906D"/>
    <w:rsid w:val="1EB6B452"/>
    <w:rsid w:val="1EB7BD9F"/>
    <w:rsid w:val="1ED01503"/>
    <w:rsid w:val="1ED3A647"/>
    <w:rsid w:val="1EF93671"/>
    <w:rsid w:val="1F07F62C"/>
    <w:rsid w:val="1F0818D7"/>
    <w:rsid w:val="1F0D5E84"/>
    <w:rsid w:val="1F119452"/>
    <w:rsid w:val="1F1E7692"/>
    <w:rsid w:val="1F517715"/>
    <w:rsid w:val="1F58F800"/>
    <w:rsid w:val="1F598BB2"/>
    <w:rsid w:val="1F5B0F68"/>
    <w:rsid w:val="1F757082"/>
    <w:rsid w:val="1F7C4C1A"/>
    <w:rsid w:val="1F831191"/>
    <w:rsid w:val="1F95E0EB"/>
    <w:rsid w:val="1F981049"/>
    <w:rsid w:val="1F9DDAA1"/>
    <w:rsid w:val="1FAF51F4"/>
    <w:rsid w:val="1FB99A8A"/>
    <w:rsid w:val="1FCC1E20"/>
    <w:rsid w:val="1FDD09DD"/>
    <w:rsid w:val="1FE11D20"/>
    <w:rsid w:val="1FE3E052"/>
    <w:rsid w:val="1FEAA902"/>
    <w:rsid w:val="1FFDA1FE"/>
    <w:rsid w:val="2002DB35"/>
    <w:rsid w:val="201AE185"/>
    <w:rsid w:val="201D7458"/>
    <w:rsid w:val="20329DC5"/>
    <w:rsid w:val="2032E346"/>
    <w:rsid w:val="20496B1A"/>
    <w:rsid w:val="20553763"/>
    <w:rsid w:val="205BD20D"/>
    <w:rsid w:val="206991CC"/>
    <w:rsid w:val="206D511F"/>
    <w:rsid w:val="207B04EB"/>
    <w:rsid w:val="207F0183"/>
    <w:rsid w:val="207FFB74"/>
    <w:rsid w:val="20834546"/>
    <w:rsid w:val="208BE90E"/>
    <w:rsid w:val="2092A4D1"/>
    <w:rsid w:val="2096BA7D"/>
    <w:rsid w:val="209D1A46"/>
    <w:rsid w:val="20A6289A"/>
    <w:rsid w:val="20B44439"/>
    <w:rsid w:val="20B4ED1E"/>
    <w:rsid w:val="20B52FFB"/>
    <w:rsid w:val="20E3BA20"/>
    <w:rsid w:val="20F2A097"/>
    <w:rsid w:val="20F8DF00"/>
    <w:rsid w:val="21013EBA"/>
    <w:rsid w:val="21043309"/>
    <w:rsid w:val="210908FC"/>
    <w:rsid w:val="210D2814"/>
    <w:rsid w:val="210F1E22"/>
    <w:rsid w:val="211333C8"/>
    <w:rsid w:val="212BE54F"/>
    <w:rsid w:val="2142712E"/>
    <w:rsid w:val="2142B1D8"/>
    <w:rsid w:val="215440E5"/>
    <w:rsid w:val="2158BC9C"/>
    <w:rsid w:val="215C48BA"/>
    <w:rsid w:val="2165F192"/>
    <w:rsid w:val="216F1AB6"/>
    <w:rsid w:val="218372D6"/>
    <w:rsid w:val="218E8265"/>
    <w:rsid w:val="218FBC21"/>
    <w:rsid w:val="21917B15"/>
    <w:rsid w:val="21A01C6B"/>
    <w:rsid w:val="21A3347B"/>
    <w:rsid w:val="21A3D69B"/>
    <w:rsid w:val="21AA1B85"/>
    <w:rsid w:val="21AD5D31"/>
    <w:rsid w:val="21B7C2AC"/>
    <w:rsid w:val="21C79E41"/>
    <w:rsid w:val="21CAAF8B"/>
    <w:rsid w:val="21CADEAF"/>
    <w:rsid w:val="21D9FF75"/>
    <w:rsid w:val="21E72F48"/>
    <w:rsid w:val="21F9BAA4"/>
    <w:rsid w:val="22044C84"/>
    <w:rsid w:val="2219DDB6"/>
    <w:rsid w:val="2221A1A8"/>
    <w:rsid w:val="22240871"/>
    <w:rsid w:val="2227AD1C"/>
    <w:rsid w:val="223362D6"/>
    <w:rsid w:val="2243C69C"/>
    <w:rsid w:val="2245E83C"/>
    <w:rsid w:val="22573E51"/>
    <w:rsid w:val="227A4220"/>
    <w:rsid w:val="227BE32C"/>
    <w:rsid w:val="227DFC4D"/>
    <w:rsid w:val="227E53AF"/>
    <w:rsid w:val="22AB9EE5"/>
    <w:rsid w:val="22B07C85"/>
    <w:rsid w:val="22D0C380"/>
    <w:rsid w:val="22E1B4D7"/>
    <w:rsid w:val="22F03564"/>
    <w:rsid w:val="22F20A06"/>
    <w:rsid w:val="23132922"/>
    <w:rsid w:val="23158B4E"/>
    <w:rsid w:val="232B7755"/>
    <w:rsid w:val="233992A9"/>
    <w:rsid w:val="233AFBD4"/>
    <w:rsid w:val="233B9730"/>
    <w:rsid w:val="236633E3"/>
    <w:rsid w:val="23859FB1"/>
    <w:rsid w:val="23934F53"/>
    <w:rsid w:val="23A89CAC"/>
    <w:rsid w:val="23B670C2"/>
    <w:rsid w:val="23B86B82"/>
    <w:rsid w:val="23C33DBB"/>
    <w:rsid w:val="23DC39DB"/>
    <w:rsid w:val="23DC51A1"/>
    <w:rsid w:val="23F70911"/>
    <w:rsid w:val="241B8715"/>
    <w:rsid w:val="24267A66"/>
    <w:rsid w:val="2426CF14"/>
    <w:rsid w:val="24293E3B"/>
    <w:rsid w:val="2429593C"/>
    <w:rsid w:val="243DFADB"/>
    <w:rsid w:val="24494A84"/>
    <w:rsid w:val="2456715D"/>
    <w:rsid w:val="2456E4CB"/>
    <w:rsid w:val="24602078"/>
    <w:rsid w:val="2466C6E4"/>
    <w:rsid w:val="247A480F"/>
    <w:rsid w:val="248E74B9"/>
    <w:rsid w:val="24A094EC"/>
    <w:rsid w:val="24B80641"/>
    <w:rsid w:val="24C033A2"/>
    <w:rsid w:val="24EA56DC"/>
    <w:rsid w:val="24EB8CA9"/>
    <w:rsid w:val="24F062C5"/>
    <w:rsid w:val="24F6F990"/>
    <w:rsid w:val="24FDF1A2"/>
    <w:rsid w:val="2504BACE"/>
    <w:rsid w:val="250AF10F"/>
    <w:rsid w:val="250B4F7B"/>
    <w:rsid w:val="251771FB"/>
    <w:rsid w:val="25195462"/>
    <w:rsid w:val="25230A6A"/>
    <w:rsid w:val="252BA8A8"/>
    <w:rsid w:val="252C65AE"/>
    <w:rsid w:val="252F6F33"/>
    <w:rsid w:val="253355CD"/>
    <w:rsid w:val="253441ED"/>
    <w:rsid w:val="253CD440"/>
    <w:rsid w:val="254A3CB2"/>
    <w:rsid w:val="254E31D1"/>
    <w:rsid w:val="254E5959"/>
    <w:rsid w:val="254F8B81"/>
    <w:rsid w:val="2556CF8C"/>
    <w:rsid w:val="255F1999"/>
    <w:rsid w:val="256A734D"/>
    <w:rsid w:val="259686A4"/>
    <w:rsid w:val="25C611D1"/>
    <w:rsid w:val="25D2C43D"/>
    <w:rsid w:val="25E2A60D"/>
    <w:rsid w:val="25F273C7"/>
    <w:rsid w:val="25F4F4FB"/>
    <w:rsid w:val="25FE7020"/>
    <w:rsid w:val="26037AFE"/>
    <w:rsid w:val="26059BFB"/>
    <w:rsid w:val="260D8713"/>
    <w:rsid w:val="2610168D"/>
    <w:rsid w:val="263305CA"/>
    <w:rsid w:val="264DA974"/>
    <w:rsid w:val="265C721C"/>
    <w:rsid w:val="266C98E4"/>
    <w:rsid w:val="2687F2E5"/>
    <w:rsid w:val="269813AB"/>
    <w:rsid w:val="269A8F91"/>
    <w:rsid w:val="26A7194D"/>
    <w:rsid w:val="26B15852"/>
    <w:rsid w:val="26B86F15"/>
    <w:rsid w:val="26BBC9FB"/>
    <w:rsid w:val="26C0325C"/>
    <w:rsid w:val="26CA0B66"/>
    <w:rsid w:val="26E854D4"/>
    <w:rsid w:val="2711D450"/>
    <w:rsid w:val="271A9B9B"/>
    <w:rsid w:val="2725DF29"/>
    <w:rsid w:val="273B11AC"/>
    <w:rsid w:val="27409C21"/>
    <w:rsid w:val="27427264"/>
    <w:rsid w:val="27444DB5"/>
    <w:rsid w:val="2747C7E3"/>
    <w:rsid w:val="274BEFFC"/>
    <w:rsid w:val="27607497"/>
    <w:rsid w:val="2760D0D2"/>
    <w:rsid w:val="276B8CF9"/>
    <w:rsid w:val="27766BEA"/>
    <w:rsid w:val="277BF927"/>
    <w:rsid w:val="277CD248"/>
    <w:rsid w:val="278213A7"/>
    <w:rsid w:val="27824085"/>
    <w:rsid w:val="2786453D"/>
    <w:rsid w:val="278FF158"/>
    <w:rsid w:val="279F9EFD"/>
    <w:rsid w:val="27A78238"/>
    <w:rsid w:val="27B5370E"/>
    <w:rsid w:val="27B815CA"/>
    <w:rsid w:val="27C9E23F"/>
    <w:rsid w:val="27D44628"/>
    <w:rsid w:val="2801E2D8"/>
    <w:rsid w:val="28148B72"/>
    <w:rsid w:val="2819EF03"/>
    <w:rsid w:val="2848BE80"/>
    <w:rsid w:val="28603980"/>
    <w:rsid w:val="2863C052"/>
    <w:rsid w:val="28680473"/>
    <w:rsid w:val="287B0D96"/>
    <w:rsid w:val="288BEDBA"/>
    <w:rsid w:val="288F1E0E"/>
    <w:rsid w:val="2890485C"/>
    <w:rsid w:val="28BA6AD4"/>
    <w:rsid w:val="28BBAB4B"/>
    <w:rsid w:val="28CABCFF"/>
    <w:rsid w:val="28CF5255"/>
    <w:rsid w:val="28D2BC77"/>
    <w:rsid w:val="28DAC601"/>
    <w:rsid w:val="28F55745"/>
    <w:rsid w:val="290A86FC"/>
    <w:rsid w:val="290B90C5"/>
    <w:rsid w:val="290F99DA"/>
    <w:rsid w:val="2911B8BC"/>
    <w:rsid w:val="29134FB5"/>
    <w:rsid w:val="29180AA5"/>
    <w:rsid w:val="291CF097"/>
    <w:rsid w:val="293DCEF9"/>
    <w:rsid w:val="294A0EE7"/>
    <w:rsid w:val="297D9411"/>
    <w:rsid w:val="2999AA76"/>
    <w:rsid w:val="29AE3733"/>
    <w:rsid w:val="29B4B438"/>
    <w:rsid w:val="29B512B0"/>
    <w:rsid w:val="29B5DBF1"/>
    <w:rsid w:val="29C2D8B2"/>
    <w:rsid w:val="29D8B73C"/>
    <w:rsid w:val="29DADF94"/>
    <w:rsid w:val="29E069BD"/>
    <w:rsid w:val="29ED5C6D"/>
    <w:rsid w:val="29F64565"/>
    <w:rsid w:val="2A073569"/>
    <w:rsid w:val="2A09142D"/>
    <w:rsid w:val="2A0BF9C0"/>
    <w:rsid w:val="2A15E9D2"/>
    <w:rsid w:val="2A1BA87B"/>
    <w:rsid w:val="2A44DF7A"/>
    <w:rsid w:val="2A78841A"/>
    <w:rsid w:val="2A7A0501"/>
    <w:rsid w:val="2A81E613"/>
    <w:rsid w:val="2A93AB0D"/>
    <w:rsid w:val="2A96C108"/>
    <w:rsid w:val="2AA12FA7"/>
    <w:rsid w:val="2AA7F93C"/>
    <w:rsid w:val="2AAED067"/>
    <w:rsid w:val="2ABC2CA8"/>
    <w:rsid w:val="2ABFB3AD"/>
    <w:rsid w:val="2ACF0B28"/>
    <w:rsid w:val="2ACF524F"/>
    <w:rsid w:val="2ACFA272"/>
    <w:rsid w:val="2AD56281"/>
    <w:rsid w:val="2AD6DB17"/>
    <w:rsid w:val="2ADDD3FD"/>
    <w:rsid w:val="2AE8F5EB"/>
    <w:rsid w:val="2B1468AA"/>
    <w:rsid w:val="2B1A1F24"/>
    <w:rsid w:val="2B1F419E"/>
    <w:rsid w:val="2B1FAEAB"/>
    <w:rsid w:val="2B278113"/>
    <w:rsid w:val="2B2BF2A6"/>
    <w:rsid w:val="2B2DC69E"/>
    <w:rsid w:val="2B2E569E"/>
    <w:rsid w:val="2B39A283"/>
    <w:rsid w:val="2B3CA215"/>
    <w:rsid w:val="2B4B4E97"/>
    <w:rsid w:val="2B4B8E73"/>
    <w:rsid w:val="2B538073"/>
    <w:rsid w:val="2B5B5DD5"/>
    <w:rsid w:val="2B5BE89F"/>
    <w:rsid w:val="2B5CFFAC"/>
    <w:rsid w:val="2B5E4FEB"/>
    <w:rsid w:val="2B604169"/>
    <w:rsid w:val="2B74E461"/>
    <w:rsid w:val="2B94B33E"/>
    <w:rsid w:val="2BA55BF3"/>
    <w:rsid w:val="2BAB1652"/>
    <w:rsid w:val="2BC31BC6"/>
    <w:rsid w:val="2BC5B21D"/>
    <w:rsid w:val="2BC8EA5A"/>
    <w:rsid w:val="2BCA6609"/>
    <w:rsid w:val="2BD53E30"/>
    <w:rsid w:val="2BE86A91"/>
    <w:rsid w:val="2BE94AC7"/>
    <w:rsid w:val="2C0AD03D"/>
    <w:rsid w:val="2C1A7643"/>
    <w:rsid w:val="2C3283F9"/>
    <w:rsid w:val="2C46A349"/>
    <w:rsid w:val="2C5C2CDB"/>
    <w:rsid w:val="2C6D044C"/>
    <w:rsid w:val="2C9025AB"/>
    <w:rsid w:val="2CA239A3"/>
    <w:rsid w:val="2CA74E84"/>
    <w:rsid w:val="2CB13D00"/>
    <w:rsid w:val="2CB56E35"/>
    <w:rsid w:val="2CBAAE7D"/>
    <w:rsid w:val="2CC7C8D7"/>
    <w:rsid w:val="2CCAEE7B"/>
    <w:rsid w:val="2CCCFD86"/>
    <w:rsid w:val="2CD146F1"/>
    <w:rsid w:val="2CE574F3"/>
    <w:rsid w:val="2CE7798E"/>
    <w:rsid w:val="2CEB616F"/>
    <w:rsid w:val="2CF0E62F"/>
    <w:rsid w:val="2CF52A6C"/>
    <w:rsid w:val="2CFC3562"/>
    <w:rsid w:val="2D0BE695"/>
    <w:rsid w:val="2D160983"/>
    <w:rsid w:val="2D1BD5AB"/>
    <w:rsid w:val="2D5714C0"/>
    <w:rsid w:val="2D57EBBE"/>
    <w:rsid w:val="2D6044EE"/>
    <w:rsid w:val="2D6473E0"/>
    <w:rsid w:val="2D79862E"/>
    <w:rsid w:val="2D939793"/>
    <w:rsid w:val="2D98E17A"/>
    <w:rsid w:val="2D9A0572"/>
    <w:rsid w:val="2D9B7EF0"/>
    <w:rsid w:val="2DAA411E"/>
    <w:rsid w:val="2DB2392E"/>
    <w:rsid w:val="2DB31EF5"/>
    <w:rsid w:val="2DB4749D"/>
    <w:rsid w:val="2DC3B375"/>
    <w:rsid w:val="2DC3C4CD"/>
    <w:rsid w:val="2DDBBD92"/>
    <w:rsid w:val="2DDBCC44"/>
    <w:rsid w:val="2DDEC98F"/>
    <w:rsid w:val="2DE206EC"/>
    <w:rsid w:val="2DF0D0BD"/>
    <w:rsid w:val="2DFA4A1A"/>
    <w:rsid w:val="2E00D738"/>
    <w:rsid w:val="2E228B52"/>
    <w:rsid w:val="2E2AD056"/>
    <w:rsid w:val="2E2EE59D"/>
    <w:rsid w:val="2E5423D8"/>
    <w:rsid w:val="2E77704D"/>
    <w:rsid w:val="2E803A3B"/>
    <w:rsid w:val="2E8457AA"/>
    <w:rsid w:val="2E858E69"/>
    <w:rsid w:val="2EA7BC22"/>
    <w:rsid w:val="2EBD715E"/>
    <w:rsid w:val="2EBDAA2F"/>
    <w:rsid w:val="2EC7E1E1"/>
    <w:rsid w:val="2EDF864B"/>
    <w:rsid w:val="2EE78452"/>
    <w:rsid w:val="2EF3D5E5"/>
    <w:rsid w:val="2EF52C82"/>
    <w:rsid w:val="2F01870E"/>
    <w:rsid w:val="2F033E62"/>
    <w:rsid w:val="2F084B5B"/>
    <w:rsid w:val="2F0FEE92"/>
    <w:rsid w:val="2F1F9566"/>
    <w:rsid w:val="2F28D9F3"/>
    <w:rsid w:val="2F2A06B1"/>
    <w:rsid w:val="2F2D8EC8"/>
    <w:rsid w:val="2F735590"/>
    <w:rsid w:val="2F7ED06A"/>
    <w:rsid w:val="2F802C52"/>
    <w:rsid w:val="2F83D08D"/>
    <w:rsid w:val="2F86C006"/>
    <w:rsid w:val="2F8ED0C0"/>
    <w:rsid w:val="2F91D51E"/>
    <w:rsid w:val="2F97BE89"/>
    <w:rsid w:val="2F9ECC45"/>
    <w:rsid w:val="2FB49744"/>
    <w:rsid w:val="2FCA5856"/>
    <w:rsid w:val="2FF93C77"/>
    <w:rsid w:val="30237A79"/>
    <w:rsid w:val="3043D17D"/>
    <w:rsid w:val="30502822"/>
    <w:rsid w:val="305159EF"/>
    <w:rsid w:val="3060EA11"/>
    <w:rsid w:val="307A71C9"/>
    <w:rsid w:val="307E616D"/>
    <w:rsid w:val="307F8F93"/>
    <w:rsid w:val="3086FE90"/>
    <w:rsid w:val="308F3587"/>
    <w:rsid w:val="30A427E2"/>
    <w:rsid w:val="30A73D83"/>
    <w:rsid w:val="30B06AA9"/>
    <w:rsid w:val="30C56E1C"/>
    <w:rsid w:val="30C68537"/>
    <w:rsid w:val="30CA3A89"/>
    <w:rsid w:val="30CFFB7A"/>
    <w:rsid w:val="30D0D655"/>
    <w:rsid w:val="30D3A431"/>
    <w:rsid w:val="30D7BF7F"/>
    <w:rsid w:val="30DB8D4A"/>
    <w:rsid w:val="30E23B0F"/>
    <w:rsid w:val="30E5DCAA"/>
    <w:rsid w:val="30EE9321"/>
    <w:rsid w:val="30FD20ED"/>
    <w:rsid w:val="3105128A"/>
    <w:rsid w:val="311A7519"/>
    <w:rsid w:val="312091AB"/>
    <w:rsid w:val="31215345"/>
    <w:rsid w:val="312E2082"/>
    <w:rsid w:val="31353FA7"/>
    <w:rsid w:val="31375E63"/>
    <w:rsid w:val="3138CBE3"/>
    <w:rsid w:val="31436A1B"/>
    <w:rsid w:val="3144DB75"/>
    <w:rsid w:val="31511C4F"/>
    <w:rsid w:val="3174B3A6"/>
    <w:rsid w:val="319EC16E"/>
    <w:rsid w:val="31A0B5F7"/>
    <w:rsid w:val="31A721A0"/>
    <w:rsid w:val="31AD100C"/>
    <w:rsid w:val="31ADD6CC"/>
    <w:rsid w:val="31B1FB17"/>
    <w:rsid w:val="31B5BB21"/>
    <w:rsid w:val="31C212EA"/>
    <w:rsid w:val="31C39D52"/>
    <w:rsid w:val="31C57034"/>
    <w:rsid w:val="31CBDFE3"/>
    <w:rsid w:val="31D1D30B"/>
    <w:rsid w:val="31D2F05F"/>
    <w:rsid w:val="31D6E341"/>
    <w:rsid w:val="31DE952D"/>
    <w:rsid w:val="31DF5E46"/>
    <w:rsid w:val="31DF7329"/>
    <w:rsid w:val="31ED5344"/>
    <w:rsid w:val="31FDE16A"/>
    <w:rsid w:val="32063B0B"/>
    <w:rsid w:val="320B153B"/>
    <w:rsid w:val="320E461B"/>
    <w:rsid w:val="323D373D"/>
    <w:rsid w:val="323D9379"/>
    <w:rsid w:val="3243022D"/>
    <w:rsid w:val="324404C9"/>
    <w:rsid w:val="3244454D"/>
    <w:rsid w:val="3250AB63"/>
    <w:rsid w:val="3258E87E"/>
    <w:rsid w:val="32625286"/>
    <w:rsid w:val="32769713"/>
    <w:rsid w:val="32788D7F"/>
    <w:rsid w:val="32853966"/>
    <w:rsid w:val="32BFA985"/>
    <w:rsid w:val="32CDABF5"/>
    <w:rsid w:val="32F7C7B7"/>
    <w:rsid w:val="32F8ED2A"/>
    <w:rsid w:val="330636D3"/>
    <w:rsid w:val="330E5124"/>
    <w:rsid w:val="33222858"/>
    <w:rsid w:val="33253B6A"/>
    <w:rsid w:val="33300909"/>
    <w:rsid w:val="33382AC7"/>
    <w:rsid w:val="333DF1A2"/>
    <w:rsid w:val="33403375"/>
    <w:rsid w:val="33554B83"/>
    <w:rsid w:val="33639C58"/>
    <w:rsid w:val="33677E6E"/>
    <w:rsid w:val="337C4064"/>
    <w:rsid w:val="33821015"/>
    <w:rsid w:val="33A38647"/>
    <w:rsid w:val="33B2A3C2"/>
    <w:rsid w:val="33B440AD"/>
    <w:rsid w:val="33B757FD"/>
    <w:rsid w:val="33B8537A"/>
    <w:rsid w:val="33BCCE31"/>
    <w:rsid w:val="33BE5F52"/>
    <w:rsid w:val="33BFC486"/>
    <w:rsid w:val="33DAB5EE"/>
    <w:rsid w:val="33DFD497"/>
    <w:rsid w:val="33E27F1D"/>
    <w:rsid w:val="33E4B0EE"/>
    <w:rsid w:val="33EDB9C4"/>
    <w:rsid w:val="340DD933"/>
    <w:rsid w:val="34202250"/>
    <w:rsid w:val="342F7047"/>
    <w:rsid w:val="3439F87A"/>
    <w:rsid w:val="344A1108"/>
    <w:rsid w:val="34623D0B"/>
    <w:rsid w:val="3462EDB2"/>
    <w:rsid w:val="3469A521"/>
    <w:rsid w:val="347CE6D1"/>
    <w:rsid w:val="347DFEA9"/>
    <w:rsid w:val="34800163"/>
    <w:rsid w:val="34831A85"/>
    <w:rsid w:val="3487686E"/>
    <w:rsid w:val="3487C900"/>
    <w:rsid w:val="348ADF47"/>
    <w:rsid w:val="34990D35"/>
    <w:rsid w:val="34B1BA01"/>
    <w:rsid w:val="34C36B2C"/>
    <w:rsid w:val="34D77146"/>
    <w:rsid w:val="34F8EACF"/>
    <w:rsid w:val="34F99DD0"/>
    <w:rsid w:val="351A71EF"/>
    <w:rsid w:val="35449A21"/>
    <w:rsid w:val="354CF0DE"/>
    <w:rsid w:val="354FC109"/>
    <w:rsid w:val="355DF7CE"/>
    <w:rsid w:val="356083F3"/>
    <w:rsid w:val="35705119"/>
    <w:rsid w:val="3580D0A5"/>
    <w:rsid w:val="35A114BD"/>
    <w:rsid w:val="35B2C925"/>
    <w:rsid w:val="35B58846"/>
    <w:rsid w:val="35B9FE27"/>
    <w:rsid w:val="35CE22F9"/>
    <w:rsid w:val="35D1B1E6"/>
    <w:rsid w:val="35DF16D1"/>
    <w:rsid w:val="35E93862"/>
    <w:rsid w:val="35F2A6C5"/>
    <w:rsid w:val="35F71CEF"/>
    <w:rsid w:val="3603536E"/>
    <w:rsid w:val="3608E07F"/>
    <w:rsid w:val="3612AE6E"/>
    <w:rsid w:val="361A6E81"/>
    <w:rsid w:val="3627B3D5"/>
    <w:rsid w:val="36356FD4"/>
    <w:rsid w:val="3640FD16"/>
    <w:rsid w:val="364CBD22"/>
    <w:rsid w:val="3671A594"/>
    <w:rsid w:val="36757C74"/>
    <w:rsid w:val="3680B6BF"/>
    <w:rsid w:val="3689089E"/>
    <w:rsid w:val="369B3FF9"/>
    <w:rsid w:val="369F4CB7"/>
    <w:rsid w:val="36A23AE9"/>
    <w:rsid w:val="36AA6D96"/>
    <w:rsid w:val="36B21FCA"/>
    <w:rsid w:val="36B51AE2"/>
    <w:rsid w:val="36B8E02F"/>
    <w:rsid w:val="36C252D4"/>
    <w:rsid w:val="36C3BFDC"/>
    <w:rsid w:val="36C9F095"/>
    <w:rsid w:val="36D9F1D4"/>
    <w:rsid w:val="36F82FEA"/>
    <w:rsid w:val="36FDDD36"/>
    <w:rsid w:val="373BF112"/>
    <w:rsid w:val="3749324B"/>
    <w:rsid w:val="374CD1EE"/>
    <w:rsid w:val="375E1351"/>
    <w:rsid w:val="375E9999"/>
    <w:rsid w:val="377443A1"/>
    <w:rsid w:val="378AB521"/>
    <w:rsid w:val="379CBAB7"/>
    <w:rsid w:val="37AA8ADC"/>
    <w:rsid w:val="37B0A035"/>
    <w:rsid w:val="37B1FE9A"/>
    <w:rsid w:val="37B8C981"/>
    <w:rsid w:val="37BC9094"/>
    <w:rsid w:val="37C7DB11"/>
    <w:rsid w:val="37C924BC"/>
    <w:rsid w:val="37D54BC8"/>
    <w:rsid w:val="37DD9112"/>
    <w:rsid w:val="37F69E6A"/>
    <w:rsid w:val="37F7F295"/>
    <w:rsid w:val="3821A7B7"/>
    <w:rsid w:val="3825C830"/>
    <w:rsid w:val="38349F6B"/>
    <w:rsid w:val="38406D37"/>
    <w:rsid w:val="38484578"/>
    <w:rsid w:val="38499747"/>
    <w:rsid w:val="38501581"/>
    <w:rsid w:val="386047EC"/>
    <w:rsid w:val="386236E4"/>
    <w:rsid w:val="38D1CBD2"/>
    <w:rsid w:val="38E97EC2"/>
    <w:rsid w:val="38FA995E"/>
    <w:rsid w:val="3908873D"/>
    <w:rsid w:val="39134599"/>
    <w:rsid w:val="3914E063"/>
    <w:rsid w:val="39150B75"/>
    <w:rsid w:val="3920F3B4"/>
    <w:rsid w:val="39368381"/>
    <w:rsid w:val="393FB232"/>
    <w:rsid w:val="39514E3C"/>
    <w:rsid w:val="3960B75E"/>
    <w:rsid w:val="39680472"/>
    <w:rsid w:val="39711F9B"/>
    <w:rsid w:val="3975858A"/>
    <w:rsid w:val="398B7975"/>
    <w:rsid w:val="399187C3"/>
    <w:rsid w:val="3995E1A5"/>
    <w:rsid w:val="399F5DC6"/>
    <w:rsid w:val="39B05B12"/>
    <w:rsid w:val="39CCCC07"/>
    <w:rsid w:val="39D306B4"/>
    <w:rsid w:val="39D5D734"/>
    <w:rsid w:val="39ED189E"/>
    <w:rsid w:val="39F94A8D"/>
    <w:rsid w:val="39FA569B"/>
    <w:rsid w:val="3A0372E2"/>
    <w:rsid w:val="3A06E10E"/>
    <w:rsid w:val="3A07982A"/>
    <w:rsid w:val="3A0E2FD7"/>
    <w:rsid w:val="3A1296BE"/>
    <w:rsid w:val="3A1653E1"/>
    <w:rsid w:val="3A285820"/>
    <w:rsid w:val="3A2B5C2D"/>
    <w:rsid w:val="3A41D8B1"/>
    <w:rsid w:val="3A53B6CC"/>
    <w:rsid w:val="3A594389"/>
    <w:rsid w:val="3A7FBECA"/>
    <w:rsid w:val="3A90FB87"/>
    <w:rsid w:val="3A939402"/>
    <w:rsid w:val="3AB18BBB"/>
    <w:rsid w:val="3ABDF39A"/>
    <w:rsid w:val="3AC26BA7"/>
    <w:rsid w:val="3ADEF30D"/>
    <w:rsid w:val="3AEEF580"/>
    <w:rsid w:val="3AF727D0"/>
    <w:rsid w:val="3AFEBBCC"/>
    <w:rsid w:val="3B135C4E"/>
    <w:rsid w:val="3B232791"/>
    <w:rsid w:val="3B23EDEF"/>
    <w:rsid w:val="3B31495B"/>
    <w:rsid w:val="3B343DBA"/>
    <w:rsid w:val="3B406817"/>
    <w:rsid w:val="3B40BD2D"/>
    <w:rsid w:val="3B42580A"/>
    <w:rsid w:val="3B44D5A1"/>
    <w:rsid w:val="3B46F630"/>
    <w:rsid w:val="3B483BF9"/>
    <w:rsid w:val="3B4D7D8C"/>
    <w:rsid w:val="3B60AFEB"/>
    <w:rsid w:val="3B623C76"/>
    <w:rsid w:val="3B77B98B"/>
    <w:rsid w:val="3B8B3128"/>
    <w:rsid w:val="3B9DF1D7"/>
    <w:rsid w:val="3BA32170"/>
    <w:rsid w:val="3BAEFD4D"/>
    <w:rsid w:val="3BCD1D0B"/>
    <w:rsid w:val="3BD5361A"/>
    <w:rsid w:val="3BD9F13E"/>
    <w:rsid w:val="3BDC0D5B"/>
    <w:rsid w:val="3BDD6F02"/>
    <w:rsid w:val="3BE5B288"/>
    <w:rsid w:val="3BF0A982"/>
    <w:rsid w:val="3BF5ADD5"/>
    <w:rsid w:val="3BF92A1B"/>
    <w:rsid w:val="3C0997BB"/>
    <w:rsid w:val="3C0A3363"/>
    <w:rsid w:val="3C0ABF0C"/>
    <w:rsid w:val="3C0BF481"/>
    <w:rsid w:val="3C115225"/>
    <w:rsid w:val="3C11CAF1"/>
    <w:rsid w:val="3C31969E"/>
    <w:rsid w:val="3C557DA1"/>
    <w:rsid w:val="3C6796D3"/>
    <w:rsid w:val="3C6D8BFE"/>
    <w:rsid w:val="3C74B01E"/>
    <w:rsid w:val="3C8BE828"/>
    <w:rsid w:val="3CA79062"/>
    <w:rsid w:val="3CA8CC5F"/>
    <w:rsid w:val="3CB0909D"/>
    <w:rsid w:val="3CB5C33B"/>
    <w:rsid w:val="3CC2EB74"/>
    <w:rsid w:val="3CD032F2"/>
    <w:rsid w:val="3CECCE5D"/>
    <w:rsid w:val="3D078495"/>
    <w:rsid w:val="3D1B734F"/>
    <w:rsid w:val="3D1C8556"/>
    <w:rsid w:val="3D1F97E6"/>
    <w:rsid w:val="3D3070B5"/>
    <w:rsid w:val="3D4AE088"/>
    <w:rsid w:val="3D4CA150"/>
    <w:rsid w:val="3D5A2A10"/>
    <w:rsid w:val="3D5E5140"/>
    <w:rsid w:val="3D5FEF4C"/>
    <w:rsid w:val="3D65A0B3"/>
    <w:rsid w:val="3D6905CE"/>
    <w:rsid w:val="3D7BC59A"/>
    <w:rsid w:val="3D7E1F1E"/>
    <w:rsid w:val="3D859078"/>
    <w:rsid w:val="3DB1CE1C"/>
    <w:rsid w:val="3DB54992"/>
    <w:rsid w:val="3DBAAF28"/>
    <w:rsid w:val="3DD640C1"/>
    <w:rsid w:val="3E24EA21"/>
    <w:rsid w:val="3E264CC1"/>
    <w:rsid w:val="3E2AC7A1"/>
    <w:rsid w:val="3E3316E0"/>
    <w:rsid w:val="3E38A67B"/>
    <w:rsid w:val="3E614912"/>
    <w:rsid w:val="3E64D675"/>
    <w:rsid w:val="3E6581CB"/>
    <w:rsid w:val="3E66F6A0"/>
    <w:rsid w:val="3E7F9F41"/>
    <w:rsid w:val="3E87DB37"/>
    <w:rsid w:val="3E8F1389"/>
    <w:rsid w:val="3E9189EF"/>
    <w:rsid w:val="3EA09927"/>
    <w:rsid w:val="3EA8E24C"/>
    <w:rsid w:val="3EAA043C"/>
    <w:rsid w:val="3EB0D60B"/>
    <w:rsid w:val="3EB363EB"/>
    <w:rsid w:val="3EBBD406"/>
    <w:rsid w:val="3EBE2082"/>
    <w:rsid w:val="3EC6A00A"/>
    <w:rsid w:val="3EC892EA"/>
    <w:rsid w:val="3ED3878C"/>
    <w:rsid w:val="3EF22E0D"/>
    <w:rsid w:val="3F243689"/>
    <w:rsid w:val="3F3DD182"/>
    <w:rsid w:val="3F44601E"/>
    <w:rsid w:val="3F47934A"/>
    <w:rsid w:val="3F51B1EC"/>
    <w:rsid w:val="3F5BE9DE"/>
    <w:rsid w:val="3F5D90CB"/>
    <w:rsid w:val="3F67CC3B"/>
    <w:rsid w:val="3F7EDCFF"/>
    <w:rsid w:val="3F8BCFDB"/>
    <w:rsid w:val="3F9E183F"/>
    <w:rsid w:val="3FA34BE8"/>
    <w:rsid w:val="3FA7C033"/>
    <w:rsid w:val="3FB59A7A"/>
    <w:rsid w:val="3FD1F4B7"/>
    <w:rsid w:val="3FD46A60"/>
    <w:rsid w:val="3FD91DA6"/>
    <w:rsid w:val="3FDCFF01"/>
    <w:rsid w:val="3FE044D6"/>
    <w:rsid w:val="3FEB077A"/>
    <w:rsid w:val="4007F23D"/>
    <w:rsid w:val="4022C21C"/>
    <w:rsid w:val="4029DFEB"/>
    <w:rsid w:val="404EED26"/>
    <w:rsid w:val="4070FA71"/>
    <w:rsid w:val="40ACBCCA"/>
    <w:rsid w:val="40B33E9B"/>
    <w:rsid w:val="40B3ED93"/>
    <w:rsid w:val="40B40D94"/>
    <w:rsid w:val="40B4B3D5"/>
    <w:rsid w:val="40B7A91E"/>
    <w:rsid w:val="40E2305C"/>
    <w:rsid w:val="40E575C9"/>
    <w:rsid w:val="40E63E36"/>
    <w:rsid w:val="410F8945"/>
    <w:rsid w:val="4121FF25"/>
    <w:rsid w:val="4129FF38"/>
    <w:rsid w:val="414CE027"/>
    <w:rsid w:val="41523AFC"/>
    <w:rsid w:val="415A4A6A"/>
    <w:rsid w:val="415B13F7"/>
    <w:rsid w:val="415BE756"/>
    <w:rsid w:val="4167FBB0"/>
    <w:rsid w:val="4172F56E"/>
    <w:rsid w:val="4178B444"/>
    <w:rsid w:val="41914D76"/>
    <w:rsid w:val="41A4FC0A"/>
    <w:rsid w:val="41B1C03E"/>
    <w:rsid w:val="41B8ED76"/>
    <w:rsid w:val="41BAF472"/>
    <w:rsid w:val="41CFBBB8"/>
    <w:rsid w:val="41D74ABD"/>
    <w:rsid w:val="41DB8EC1"/>
    <w:rsid w:val="420E6DE2"/>
    <w:rsid w:val="42156EBC"/>
    <w:rsid w:val="42217379"/>
    <w:rsid w:val="4243D21C"/>
    <w:rsid w:val="42485C1C"/>
    <w:rsid w:val="424DE1D9"/>
    <w:rsid w:val="4251BAEB"/>
    <w:rsid w:val="42520A49"/>
    <w:rsid w:val="42544E12"/>
    <w:rsid w:val="425630D6"/>
    <w:rsid w:val="42594D45"/>
    <w:rsid w:val="426544FB"/>
    <w:rsid w:val="428983D4"/>
    <w:rsid w:val="429C5CF2"/>
    <w:rsid w:val="42A0F2C1"/>
    <w:rsid w:val="42A770B4"/>
    <w:rsid w:val="42AFB74E"/>
    <w:rsid w:val="42B8C852"/>
    <w:rsid w:val="42BF66ED"/>
    <w:rsid w:val="42C8FDED"/>
    <w:rsid w:val="42D9FF4D"/>
    <w:rsid w:val="42DB1649"/>
    <w:rsid w:val="42DCC97D"/>
    <w:rsid w:val="42DD70F1"/>
    <w:rsid w:val="42E55432"/>
    <w:rsid w:val="42F04DA7"/>
    <w:rsid w:val="42F9B6D1"/>
    <w:rsid w:val="4307C9F3"/>
    <w:rsid w:val="431A3C92"/>
    <w:rsid w:val="431ED4A1"/>
    <w:rsid w:val="432C431D"/>
    <w:rsid w:val="432DA40C"/>
    <w:rsid w:val="43497919"/>
    <w:rsid w:val="435C504D"/>
    <w:rsid w:val="43725362"/>
    <w:rsid w:val="437908A8"/>
    <w:rsid w:val="438947E7"/>
    <w:rsid w:val="438BC5A9"/>
    <w:rsid w:val="439C7178"/>
    <w:rsid w:val="43D3F5D5"/>
    <w:rsid w:val="43E37184"/>
    <w:rsid w:val="43EA09A6"/>
    <w:rsid w:val="43F98CF8"/>
    <w:rsid w:val="4401F7D5"/>
    <w:rsid w:val="441496D3"/>
    <w:rsid w:val="44288225"/>
    <w:rsid w:val="442E899D"/>
    <w:rsid w:val="443068A9"/>
    <w:rsid w:val="443C5C73"/>
    <w:rsid w:val="444A0479"/>
    <w:rsid w:val="447BB13C"/>
    <w:rsid w:val="448F0C39"/>
    <w:rsid w:val="44936474"/>
    <w:rsid w:val="44A787B7"/>
    <w:rsid w:val="44BD4E87"/>
    <w:rsid w:val="44D166ED"/>
    <w:rsid w:val="44D4DC1A"/>
    <w:rsid w:val="44E3AD77"/>
    <w:rsid w:val="44E67845"/>
    <w:rsid w:val="44E9D931"/>
    <w:rsid w:val="44F54DB1"/>
    <w:rsid w:val="44FDCAE5"/>
    <w:rsid w:val="451E5899"/>
    <w:rsid w:val="4533C0CA"/>
    <w:rsid w:val="45855921"/>
    <w:rsid w:val="458A8B1D"/>
    <w:rsid w:val="4595C5BF"/>
    <w:rsid w:val="45A8C4A8"/>
    <w:rsid w:val="45C5E482"/>
    <w:rsid w:val="45CC8B5A"/>
    <w:rsid w:val="45E6B64D"/>
    <w:rsid w:val="45EAF440"/>
    <w:rsid w:val="45F1479B"/>
    <w:rsid w:val="45FAF13C"/>
    <w:rsid w:val="45FD5089"/>
    <w:rsid w:val="45FF37A5"/>
    <w:rsid w:val="460F3612"/>
    <w:rsid w:val="46103FAE"/>
    <w:rsid w:val="461290DF"/>
    <w:rsid w:val="46171D64"/>
    <w:rsid w:val="46209476"/>
    <w:rsid w:val="462B17E8"/>
    <w:rsid w:val="462EB717"/>
    <w:rsid w:val="46342D3F"/>
    <w:rsid w:val="464FA2FE"/>
    <w:rsid w:val="465665DC"/>
    <w:rsid w:val="46854695"/>
    <w:rsid w:val="46922923"/>
    <w:rsid w:val="46924184"/>
    <w:rsid w:val="46B3D12F"/>
    <w:rsid w:val="46B6B56B"/>
    <w:rsid w:val="46BE2D01"/>
    <w:rsid w:val="46CD35A3"/>
    <w:rsid w:val="46D6E3F3"/>
    <w:rsid w:val="46E5DC74"/>
    <w:rsid w:val="46EBAB45"/>
    <w:rsid w:val="47049183"/>
    <w:rsid w:val="470993C9"/>
    <w:rsid w:val="470E2D02"/>
    <w:rsid w:val="47182F3E"/>
    <w:rsid w:val="47213E85"/>
    <w:rsid w:val="47217E0E"/>
    <w:rsid w:val="4734CB61"/>
    <w:rsid w:val="473810B2"/>
    <w:rsid w:val="473C37CC"/>
    <w:rsid w:val="474FE6B8"/>
    <w:rsid w:val="47712424"/>
    <w:rsid w:val="47791101"/>
    <w:rsid w:val="4783510D"/>
    <w:rsid w:val="4797C2AF"/>
    <w:rsid w:val="4798644B"/>
    <w:rsid w:val="47A19F4F"/>
    <w:rsid w:val="47C59621"/>
    <w:rsid w:val="47CB84A9"/>
    <w:rsid w:val="47E47F6D"/>
    <w:rsid w:val="47E624DA"/>
    <w:rsid w:val="47EDA6D6"/>
    <w:rsid w:val="47EE2EDE"/>
    <w:rsid w:val="47FBD758"/>
    <w:rsid w:val="47FDBFC1"/>
    <w:rsid w:val="4806E493"/>
    <w:rsid w:val="4809274A"/>
    <w:rsid w:val="480F240F"/>
    <w:rsid w:val="4818DB53"/>
    <w:rsid w:val="4842204E"/>
    <w:rsid w:val="4851BC63"/>
    <w:rsid w:val="48597C76"/>
    <w:rsid w:val="486210FE"/>
    <w:rsid w:val="486333B3"/>
    <w:rsid w:val="487E381A"/>
    <w:rsid w:val="48832EE4"/>
    <w:rsid w:val="4889FE12"/>
    <w:rsid w:val="488CB6B7"/>
    <w:rsid w:val="48A07D9D"/>
    <w:rsid w:val="48A560CF"/>
    <w:rsid w:val="48AB705D"/>
    <w:rsid w:val="48B9327B"/>
    <w:rsid w:val="48BA673F"/>
    <w:rsid w:val="48CE4796"/>
    <w:rsid w:val="48D27FC0"/>
    <w:rsid w:val="48F4300D"/>
    <w:rsid w:val="49177028"/>
    <w:rsid w:val="491C7D0D"/>
    <w:rsid w:val="49212266"/>
    <w:rsid w:val="49228406"/>
    <w:rsid w:val="4923CAFB"/>
    <w:rsid w:val="492608BA"/>
    <w:rsid w:val="493F148D"/>
    <w:rsid w:val="49456931"/>
    <w:rsid w:val="494A2D32"/>
    <w:rsid w:val="494EC576"/>
    <w:rsid w:val="495EC170"/>
    <w:rsid w:val="4960CA5A"/>
    <w:rsid w:val="49739B35"/>
    <w:rsid w:val="49768857"/>
    <w:rsid w:val="4989832E"/>
    <w:rsid w:val="49953C2F"/>
    <w:rsid w:val="499AB424"/>
    <w:rsid w:val="49A80166"/>
    <w:rsid w:val="49AE1FCA"/>
    <w:rsid w:val="49BB63FE"/>
    <w:rsid w:val="49F3A920"/>
    <w:rsid w:val="4A08BCDD"/>
    <w:rsid w:val="4A1AF8A7"/>
    <w:rsid w:val="4A2FCFA8"/>
    <w:rsid w:val="4A3EB804"/>
    <w:rsid w:val="4A422BFA"/>
    <w:rsid w:val="4A45B5FF"/>
    <w:rsid w:val="4A45CC9D"/>
    <w:rsid w:val="4A4C0327"/>
    <w:rsid w:val="4A4E89D5"/>
    <w:rsid w:val="4A521618"/>
    <w:rsid w:val="4A5241C1"/>
    <w:rsid w:val="4A69A69A"/>
    <w:rsid w:val="4A6C8162"/>
    <w:rsid w:val="4A8A640B"/>
    <w:rsid w:val="4A9AB37F"/>
    <w:rsid w:val="4A9E6B68"/>
    <w:rsid w:val="4AAAF23B"/>
    <w:rsid w:val="4AAE38BE"/>
    <w:rsid w:val="4ABC88B3"/>
    <w:rsid w:val="4AD9E5A4"/>
    <w:rsid w:val="4ADA9C58"/>
    <w:rsid w:val="4B01B1CA"/>
    <w:rsid w:val="4B0D53FB"/>
    <w:rsid w:val="4B124F54"/>
    <w:rsid w:val="4B2131CE"/>
    <w:rsid w:val="4B343176"/>
    <w:rsid w:val="4B3FEE4B"/>
    <w:rsid w:val="4B42F76C"/>
    <w:rsid w:val="4B50F647"/>
    <w:rsid w:val="4B5D9A79"/>
    <w:rsid w:val="4B6175E5"/>
    <w:rsid w:val="4B6DB64A"/>
    <w:rsid w:val="4B783362"/>
    <w:rsid w:val="4B7AF261"/>
    <w:rsid w:val="4B7EE8DC"/>
    <w:rsid w:val="4B80B38D"/>
    <w:rsid w:val="4B8A8589"/>
    <w:rsid w:val="4B8F06AD"/>
    <w:rsid w:val="4BB65916"/>
    <w:rsid w:val="4BBF2593"/>
    <w:rsid w:val="4BC89B5A"/>
    <w:rsid w:val="4BC8ED94"/>
    <w:rsid w:val="4BD2D448"/>
    <w:rsid w:val="4BD752DD"/>
    <w:rsid w:val="4BF72D05"/>
    <w:rsid w:val="4BFCCE80"/>
    <w:rsid w:val="4C1ACE95"/>
    <w:rsid w:val="4C235124"/>
    <w:rsid w:val="4C2B6EF0"/>
    <w:rsid w:val="4C3A77F6"/>
    <w:rsid w:val="4C4FAB39"/>
    <w:rsid w:val="4C541E6E"/>
    <w:rsid w:val="4C6BE7F0"/>
    <w:rsid w:val="4C78C9CB"/>
    <w:rsid w:val="4C7F00EA"/>
    <w:rsid w:val="4C81F9C1"/>
    <w:rsid w:val="4C857DBD"/>
    <w:rsid w:val="4C8BA19A"/>
    <w:rsid w:val="4C8E6B6C"/>
    <w:rsid w:val="4C94316F"/>
    <w:rsid w:val="4CAB9388"/>
    <w:rsid w:val="4CBCE46E"/>
    <w:rsid w:val="4CDFA61D"/>
    <w:rsid w:val="4CE0CDB8"/>
    <w:rsid w:val="4CF1B177"/>
    <w:rsid w:val="4CFA4038"/>
    <w:rsid w:val="4D0E11A7"/>
    <w:rsid w:val="4D1CA9E4"/>
    <w:rsid w:val="4D25071F"/>
    <w:rsid w:val="4D2AE752"/>
    <w:rsid w:val="4D2D604D"/>
    <w:rsid w:val="4D2E0BA1"/>
    <w:rsid w:val="4D382289"/>
    <w:rsid w:val="4D3B6321"/>
    <w:rsid w:val="4D45E26C"/>
    <w:rsid w:val="4D49A3F0"/>
    <w:rsid w:val="4D4EEA72"/>
    <w:rsid w:val="4D5B78FB"/>
    <w:rsid w:val="4D62BDBB"/>
    <w:rsid w:val="4D677A38"/>
    <w:rsid w:val="4D74B1B7"/>
    <w:rsid w:val="4D7C9956"/>
    <w:rsid w:val="4D8307E5"/>
    <w:rsid w:val="4D924BF2"/>
    <w:rsid w:val="4D9C018D"/>
    <w:rsid w:val="4DBA1DAB"/>
    <w:rsid w:val="4DBE468A"/>
    <w:rsid w:val="4DC45A6E"/>
    <w:rsid w:val="4DC929B8"/>
    <w:rsid w:val="4DE37D2A"/>
    <w:rsid w:val="4DE58FAC"/>
    <w:rsid w:val="4DF16BBE"/>
    <w:rsid w:val="4DF4131A"/>
    <w:rsid w:val="4DF5253C"/>
    <w:rsid w:val="4DF52B93"/>
    <w:rsid w:val="4E0FA16C"/>
    <w:rsid w:val="4E11216A"/>
    <w:rsid w:val="4E13B3AB"/>
    <w:rsid w:val="4E17A1A1"/>
    <w:rsid w:val="4E235214"/>
    <w:rsid w:val="4E2AC77E"/>
    <w:rsid w:val="4E34966F"/>
    <w:rsid w:val="4E34A03D"/>
    <w:rsid w:val="4E442809"/>
    <w:rsid w:val="4E5BC7D6"/>
    <w:rsid w:val="4E5C6D45"/>
    <w:rsid w:val="4E7DE8D0"/>
    <w:rsid w:val="4E8C1CDF"/>
    <w:rsid w:val="4E930B43"/>
    <w:rsid w:val="4E9467CB"/>
    <w:rsid w:val="4E9EBE5F"/>
    <w:rsid w:val="4E9FDEE7"/>
    <w:rsid w:val="4EC7F299"/>
    <w:rsid w:val="4EC9ED5A"/>
    <w:rsid w:val="4EE44680"/>
    <w:rsid w:val="4EEA50B1"/>
    <w:rsid w:val="4EEC8DFB"/>
    <w:rsid w:val="4EEE0295"/>
    <w:rsid w:val="4EFB36AB"/>
    <w:rsid w:val="4F03858F"/>
    <w:rsid w:val="4F0567B0"/>
    <w:rsid w:val="4F093FAA"/>
    <w:rsid w:val="4F0B9CC4"/>
    <w:rsid w:val="4F259F21"/>
    <w:rsid w:val="4F264B4D"/>
    <w:rsid w:val="4F2725A9"/>
    <w:rsid w:val="4F2790C5"/>
    <w:rsid w:val="4F296E74"/>
    <w:rsid w:val="4F29CBEF"/>
    <w:rsid w:val="4F5FC7F3"/>
    <w:rsid w:val="4F625C2F"/>
    <w:rsid w:val="4F67F21D"/>
    <w:rsid w:val="4F6A34D5"/>
    <w:rsid w:val="4F780FB7"/>
    <w:rsid w:val="4F7C7076"/>
    <w:rsid w:val="4F884AA6"/>
    <w:rsid w:val="4F8CAA46"/>
    <w:rsid w:val="4F9AFEB0"/>
    <w:rsid w:val="4FA89508"/>
    <w:rsid w:val="4FB761D6"/>
    <w:rsid w:val="4FB95B98"/>
    <w:rsid w:val="4FBC11F6"/>
    <w:rsid w:val="4FC4C197"/>
    <w:rsid w:val="4FCBAB44"/>
    <w:rsid w:val="4FE4E600"/>
    <w:rsid w:val="4FE78B88"/>
    <w:rsid w:val="4FEA5ED9"/>
    <w:rsid w:val="4FF1B63C"/>
    <w:rsid w:val="4FFD2D55"/>
    <w:rsid w:val="50019595"/>
    <w:rsid w:val="5014E86D"/>
    <w:rsid w:val="5017AA7C"/>
    <w:rsid w:val="501BB821"/>
    <w:rsid w:val="50303D21"/>
    <w:rsid w:val="50438D3B"/>
    <w:rsid w:val="5046BDA3"/>
    <w:rsid w:val="5047D43D"/>
    <w:rsid w:val="508FAC4D"/>
    <w:rsid w:val="50A8C234"/>
    <w:rsid w:val="50C0C48C"/>
    <w:rsid w:val="50C467A2"/>
    <w:rsid w:val="50CA9C85"/>
    <w:rsid w:val="50E7057E"/>
    <w:rsid w:val="50EBF9D9"/>
    <w:rsid w:val="50ECA833"/>
    <w:rsid w:val="50F6FC37"/>
    <w:rsid w:val="51088FA0"/>
    <w:rsid w:val="5114E335"/>
    <w:rsid w:val="5120E05D"/>
    <w:rsid w:val="515B4EF3"/>
    <w:rsid w:val="515EDDE5"/>
    <w:rsid w:val="5162B4F4"/>
    <w:rsid w:val="517BD67D"/>
    <w:rsid w:val="517F0331"/>
    <w:rsid w:val="51861165"/>
    <w:rsid w:val="51896D36"/>
    <w:rsid w:val="518E2031"/>
    <w:rsid w:val="519305C1"/>
    <w:rsid w:val="51969433"/>
    <w:rsid w:val="51A00774"/>
    <w:rsid w:val="51A50838"/>
    <w:rsid w:val="51B9B8FF"/>
    <w:rsid w:val="51C4FB81"/>
    <w:rsid w:val="51CC9363"/>
    <w:rsid w:val="51D318CF"/>
    <w:rsid w:val="51F1D527"/>
    <w:rsid w:val="51F835BE"/>
    <w:rsid w:val="521DEA46"/>
    <w:rsid w:val="52279907"/>
    <w:rsid w:val="5230A90B"/>
    <w:rsid w:val="52341130"/>
    <w:rsid w:val="52637793"/>
    <w:rsid w:val="526DCF52"/>
    <w:rsid w:val="5275A469"/>
    <w:rsid w:val="52813C83"/>
    <w:rsid w:val="52940EA3"/>
    <w:rsid w:val="529C7F4B"/>
    <w:rsid w:val="52B1C4D9"/>
    <w:rsid w:val="52C9FCD7"/>
    <w:rsid w:val="52CED494"/>
    <w:rsid w:val="52D17AB8"/>
    <w:rsid w:val="52D88B96"/>
    <w:rsid w:val="530476D3"/>
    <w:rsid w:val="53086E8A"/>
    <w:rsid w:val="53105B62"/>
    <w:rsid w:val="5329C037"/>
    <w:rsid w:val="53343E39"/>
    <w:rsid w:val="5334BBC8"/>
    <w:rsid w:val="53454ECD"/>
    <w:rsid w:val="5373F837"/>
    <w:rsid w:val="5381C9EF"/>
    <w:rsid w:val="5386D77E"/>
    <w:rsid w:val="539264DF"/>
    <w:rsid w:val="53972D53"/>
    <w:rsid w:val="5397D304"/>
    <w:rsid w:val="53B12AD6"/>
    <w:rsid w:val="53B46579"/>
    <w:rsid w:val="53B8BF41"/>
    <w:rsid w:val="53BB7354"/>
    <w:rsid w:val="53C4D1AC"/>
    <w:rsid w:val="53DD8808"/>
    <w:rsid w:val="53F50FD4"/>
    <w:rsid w:val="53F60B31"/>
    <w:rsid w:val="5410846E"/>
    <w:rsid w:val="541E83BE"/>
    <w:rsid w:val="544797AB"/>
    <w:rsid w:val="544B2AAC"/>
    <w:rsid w:val="5450EA61"/>
    <w:rsid w:val="5451F752"/>
    <w:rsid w:val="5458B541"/>
    <w:rsid w:val="545FE2A6"/>
    <w:rsid w:val="546B4BD1"/>
    <w:rsid w:val="546C078F"/>
    <w:rsid w:val="546C3438"/>
    <w:rsid w:val="548B18AB"/>
    <w:rsid w:val="548E3C3C"/>
    <w:rsid w:val="549D8C45"/>
    <w:rsid w:val="54A3FCB6"/>
    <w:rsid w:val="54BD5928"/>
    <w:rsid w:val="54CA960C"/>
    <w:rsid w:val="54CC379B"/>
    <w:rsid w:val="54DB32C7"/>
    <w:rsid w:val="54E5588D"/>
    <w:rsid w:val="5518FE39"/>
    <w:rsid w:val="551A6B7C"/>
    <w:rsid w:val="551BB074"/>
    <w:rsid w:val="551FCA31"/>
    <w:rsid w:val="5521BB76"/>
    <w:rsid w:val="552B7BCC"/>
    <w:rsid w:val="5542E62C"/>
    <w:rsid w:val="55451C33"/>
    <w:rsid w:val="55579516"/>
    <w:rsid w:val="55586851"/>
    <w:rsid w:val="555C92C2"/>
    <w:rsid w:val="555EF24E"/>
    <w:rsid w:val="55612830"/>
    <w:rsid w:val="556F5290"/>
    <w:rsid w:val="557863DB"/>
    <w:rsid w:val="55816911"/>
    <w:rsid w:val="559FCFB3"/>
    <w:rsid w:val="55A670FA"/>
    <w:rsid w:val="55D900AB"/>
    <w:rsid w:val="55E08395"/>
    <w:rsid w:val="55E5C00D"/>
    <w:rsid w:val="5604575E"/>
    <w:rsid w:val="561055FF"/>
    <w:rsid w:val="56105FF8"/>
    <w:rsid w:val="5625F4AD"/>
    <w:rsid w:val="5643D3B5"/>
    <w:rsid w:val="567F4BB4"/>
    <w:rsid w:val="5685DB35"/>
    <w:rsid w:val="5695D511"/>
    <w:rsid w:val="56AA3E90"/>
    <w:rsid w:val="56B96793"/>
    <w:rsid w:val="570F47F8"/>
    <w:rsid w:val="5720C9F8"/>
    <w:rsid w:val="5727BBC3"/>
    <w:rsid w:val="572E9A47"/>
    <w:rsid w:val="572F12EA"/>
    <w:rsid w:val="573DC7C2"/>
    <w:rsid w:val="575CD015"/>
    <w:rsid w:val="57637AE3"/>
    <w:rsid w:val="5766CF80"/>
    <w:rsid w:val="578E4C37"/>
    <w:rsid w:val="579304F7"/>
    <w:rsid w:val="579816DE"/>
    <w:rsid w:val="579C3077"/>
    <w:rsid w:val="57A1588E"/>
    <w:rsid w:val="57A23F85"/>
    <w:rsid w:val="57A5613E"/>
    <w:rsid w:val="57B1D54A"/>
    <w:rsid w:val="57D7D594"/>
    <w:rsid w:val="57DBB0C3"/>
    <w:rsid w:val="57DD9CAA"/>
    <w:rsid w:val="57E76A51"/>
    <w:rsid w:val="57E8AF65"/>
    <w:rsid w:val="57F79DA9"/>
    <w:rsid w:val="5813406F"/>
    <w:rsid w:val="58163977"/>
    <w:rsid w:val="581EC4AA"/>
    <w:rsid w:val="58201169"/>
    <w:rsid w:val="58290E06"/>
    <w:rsid w:val="583D8281"/>
    <w:rsid w:val="584248A6"/>
    <w:rsid w:val="584338D9"/>
    <w:rsid w:val="58511B7B"/>
    <w:rsid w:val="585E6FFE"/>
    <w:rsid w:val="58767A40"/>
    <w:rsid w:val="5879D758"/>
    <w:rsid w:val="58839474"/>
    <w:rsid w:val="5885BEE7"/>
    <w:rsid w:val="5894851D"/>
    <w:rsid w:val="58DC2951"/>
    <w:rsid w:val="58E018CA"/>
    <w:rsid w:val="58F2CFA7"/>
    <w:rsid w:val="58FD0557"/>
    <w:rsid w:val="59032FFA"/>
    <w:rsid w:val="59038BAA"/>
    <w:rsid w:val="590F6634"/>
    <w:rsid w:val="59132109"/>
    <w:rsid w:val="591ADEAD"/>
    <w:rsid w:val="591F3125"/>
    <w:rsid w:val="5931BAD0"/>
    <w:rsid w:val="5937FDF0"/>
    <w:rsid w:val="594E0D11"/>
    <w:rsid w:val="59620D18"/>
    <w:rsid w:val="596C98E6"/>
    <w:rsid w:val="5973AED3"/>
    <w:rsid w:val="597CC8EF"/>
    <w:rsid w:val="5987985A"/>
    <w:rsid w:val="5993F18E"/>
    <w:rsid w:val="59B0A26D"/>
    <w:rsid w:val="59B9097E"/>
    <w:rsid w:val="59BB7F04"/>
    <w:rsid w:val="59BEE01F"/>
    <w:rsid w:val="59C8A9E4"/>
    <w:rsid w:val="59E117CA"/>
    <w:rsid w:val="59E80ABF"/>
    <w:rsid w:val="59E9B032"/>
    <w:rsid w:val="59FA9690"/>
    <w:rsid w:val="59FB0718"/>
    <w:rsid w:val="59FD6B71"/>
    <w:rsid w:val="5A11064D"/>
    <w:rsid w:val="5A1EEACD"/>
    <w:rsid w:val="5A275FD1"/>
    <w:rsid w:val="5A28A64B"/>
    <w:rsid w:val="5A3B0B45"/>
    <w:rsid w:val="5A7A711F"/>
    <w:rsid w:val="5A843FBA"/>
    <w:rsid w:val="5A925C03"/>
    <w:rsid w:val="5A938220"/>
    <w:rsid w:val="5A9F2371"/>
    <w:rsid w:val="5AA27499"/>
    <w:rsid w:val="5AA53097"/>
    <w:rsid w:val="5AA97198"/>
    <w:rsid w:val="5AAF4B96"/>
    <w:rsid w:val="5AB3379A"/>
    <w:rsid w:val="5AC3E629"/>
    <w:rsid w:val="5ADB9162"/>
    <w:rsid w:val="5ADDFE8C"/>
    <w:rsid w:val="5AE6CACA"/>
    <w:rsid w:val="5AE98456"/>
    <w:rsid w:val="5AF81C82"/>
    <w:rsid w:val="5AFB26E8"/>
    <w:rsid w:val="5AFC3F90"/>
    <w:rsid w:val="5B0826C9"/>
    <w:rsid w:val="5B4E48E2"/>
    <w:rsid w:val="5B5C0EAC"/>
    <w:rsid w:val="5B71A4D0"/>
    <w:rsid w:val="5B7257E3"/>
    <w:rsid w:val="5B7E3983"/>
    <w:rsid w:val="5B7F9477"/>
    <w:rsid w:val="5B868DC0"/>
    <w:rsid w:val="5B94E10C"/>
    <w:rsid w:val="5B9C3E47"/>
    <w:rsid w:val="5B9C82F6"/>
    <w:rsid w:val="5B9CBC73"/>
    <w:rsid w:val="5B9D796E"/>
    <w:rsid w:val="5BADB9C7"/>
    <w:rsid w:val="5BAED532"/>
    <w:rsid w:val="5BAF4D6B"/>
    <w:rsid w:val="5BB1A4EA"/>
    <w:rsid w:val="5BBC823B"/>
    <w:rsid w:val="5BC229B2"/>
    <w:rsid w:val="5BE34F67"/>
    <w:rsid w:val="5BF1BEC5"/>
    <w:rsid w:val="5BF4ED99"/>
    <w:rsid w:val="5C237018"/>
    <w:rsid w:val="5C24BD88"/>
    <w:rsid w:val="5C316DE3"/>
    <w:rsid w:val="5C41D0A3"/>
    <w:rsid w:val="5C495284"/>
    <w:rsid w:val="5C4BA268"/>
    <w:rsid w:val="5C7992E4"/>
    <w:rsid w:val="5C8A643F"/>
    <w:rsid w:val="5C8E701E"/>
    <w:rsid w:val="5C91C3BA"/>
    <w:rsid w:val="5C9C9078"/>
    <w:rsid w:val="5CB80F39"/>
    <w:rsid w:val="5CBEA3A8"/>
    <w:rsid w:val="5CBF9D59"/>
    <w:rsid w:val="5CD2120C"/>
    <w:rsid w:val="5CD28735"/>
    <w:rsid w:val="5CD6818F"/>
    <w:rsid w:val="5CD6B1E4"/>
    <w:rsid w:val="5CDCE825"/>
    <w:rsid w:val="5CE55F0A"/>
    <w:rsid w:val="5CE76C83"/>
    <w:rsid w:val="5D037F01"/>
    <w:rsid w:val="5D07FC03"/>
    <w:rsid w:val="5D094280"/>
    <w:rsid w:val="5D10EFC0"/>
    <w:rsid w:val="5D14B489"/>
    <w:rsid w:val="5D2137CB"/>
    <w:rsid w:val="5D259E2B"/>
    <w:rsid w:val="5D573920"/>
    <w:rsid w:val="5D6AAE4F"/>
    <w:rsid w:val="5D6CABD1"/>
    <w:rsid w:val="5D9AB48A"/>
    <w:rsid w:val="5DA00A73"/>
    <w:rsid w:val="5DCBE2E3"/>
    <w:rsid w:val="5DD4A34F"/>
    <w:rsid w:val="5DEE380B"/>
    <w:rsid w:val="5DF27FE4"/>
    <w:rsid w:val="5DF55599"/>
    <w:rsid w:val="5DFB3797"/>
    <w:rsid w:val="5E00FD89"/>
    <w:rsid w:val="5E01608A"/>
    <w:rsid w:val="5E033909"/>
    <w:rsid w:val="5E24B964"/>
    <w:rsid w:val="5E2ADC3C"/>
    <w:rsid w:val="5E2DB529"/>
    <w:rsid w:val="5E49A840"/>
    <w:rsid w:val="5E4BB6C6"/>
    <w:rsid w:val="5E600B94"/>
    <w:rsid w:val="5E6FCFC4"/>
    <w:rsid w:val="5E74776C"/>
    <w:rsid w:val="5E7B98FD"/>
    <w:rsid w:val="5E82E490"/>
    <w:rsid w:val="5E901306"/>
    <w:rsid w:val="5E9FF329"/>
    <w:rsid w:val="5EAD0D1C"/>
    <w:rsid w:val="5EADF4F1"/>
    <w:rsid w:val="5EBCB33F"/>
    <w:rsid w:val="5ECBDD28"/>
    <w:rsid w:val="5ED20DD1"/>
    <w:rsid w:val="5ED380E4"/>
    <w:rsid w:val="5EF0EB7D"/>
    <w:rsid w:val="5EF916B1"/>
    <w:rsid w:val="5EFFC1A0"/>
    <w:rsid w:val="5F0C4348"/>
    <w:rsid w:val="5F1020B3"/>
    <w:rsid w:val="5F173A80"/>
    <w:rsid w:val="5F18BE2E"/>
    <w:rsid w:val="5F21BCCB"/>
    <w:rsid w:val="5F2239BF"/>
    <w:rsid w:val="5F3EDB08"/>
    <w:rsid w:val="5F47ED15"/>
    <w:rsid w:val="5F5132E7"/>
    <w:rsid w:val="5F64409C"/>
    <w:rsid w:val="5F661675"/>
    <w:rsid w:val="5F6AEB6F"/>
    <w:rsid w:val="5F6B66B6"/>
    <w:rsid w:val="5F735587"/>
    <w:rsid w:val="5F957D5B"/>
    <w:rsid w:val="5FAAE2EA"/>
    <w:rsid w:val="5FB5DED3"/>
    <w:rsid w:val="5FBA0C48"/>
    <w:rsid w:val="5FBC1B1A"/>
    <w:rsid w:val="5FD9B5CB"/>
    <w:rsid w:val="5FEDC864"/>
    <w:rsid w:val="5FEE929F"/>
    <w:rsid w:val="6009CAC4"/>
    <w:rsid w:val="600FD896"/>
    <w:rsid w:val="6017A221"/>
    <w:rsid w:val="60346F9A"/>
    <w:rsid w:val="605DA713"/>
    <w:rsid w:val="605DD463"/>
    <w:rsid w:val="606D5309"/>
    <w:rsid w:val="606D7495"/>
    <w:rsid w:val="60832052"/>
    <w:rsid w:val="60844E45"/>
    <w:rsid w:val="609FCC1B"/>
    <w:rsid w:val="60C37794"/>
    <w:rsid w:val="60C9D8F9"/>
    <w:rsid w:val="60E2CA07"/>
    <w:rsid w:val="60E530B1"/>
    <w:rsid w:val="611F7415"/>
    <w:rsid w:val="61231318"/>
    <w:rsid w:val="612D8EC6"/>
    <w:rsid w:val="613DA16A"/>
    <w:rsid w:val="613E461D"/>
    <w:rsid w:val="614432FF"/>
    <w:rsid w:val="61629AB8"/>
    <w:rsid w:val="6181808B"/>
    <w:rsid w:val="618CB951"/>
    <w:rsid w:val="61B869A8"/>
    <w:rsid w:val="61BD5519"/>
    <w:rsid w:val="61BDED8A"/>
    <w:rsid w:val="61C51002"/>
    <w:rsid w:val="61C99721"/>
    <w:rsid w:val="61DD0384"/>
    <w:rsid w:val="61E90FBB"/>
    <w:rsid w:val="621936AA"/>
    <w:rsid w:val="6236A29D"/>
    <w:rsid w:val="62462829"/>
    <w:rsid w:val="62573715"/>
    <w:rsid w:val="625E0314"/>
    <w:rsid w:val="627D0ED6"/>
    <w:rsid w:val="62863259"/>
    <w:rsid w:val="628E701F"/>
    <w:rsid w:val="62962CA6"/>
    <w:rsid w:val="62965209"/>
    <w:rsid w:val="62A85405"/>
    <w:rsid w:val="62ABD417"/>
    <w:rsid w:val="62CC9BB0"/>
    <w:rsid w:val="62D473A1"/>
    <w:rsid w:val="62D7272F"/>
    <w:rsid w:val="62D8E1B1"/>
    <w:rsid w:val="62DB7266"/>
    <w:rsid w:val="62EA286D"/>
    <w:rsid w:val="62EBB4C3"/>
    <w:rsid w:val="62FB2C3B"/>
    <w:rsid w:val="63090FFB"/>
    <w:rsid w:val="63108495"/>
    <w:rsid w:val="6313EB78"/>
    <w:rsid w:val="6319547A"/>
    <w:rsid w:val="631AEFF8"/>
    <w:rsid w:val="633F0DEB"/>
    <w:rsid w:val="6347CF49"/>
    <w:rsid w:val="636A77F6"/>
    <w:rsid w:val="6374FDDA"/>
    <w:rsid w:val="63822682"/>
    <w:rsid w:val="63AE39A9"/>
    <w:rsid w:val="63B3AFFF"/>
    <w:rsid w:val="63B58214"/>
    <w:rsid w:val="63B889DD"/>
    <w:rsid w:val="63C0379B"/>
    <w:rsid w:val="63DF43B1"/>
    <w:rsid w:val="63E2B22F"/>
    <w:rsid w:val="63E55D74"/>
    <w:rsid w:val="63F50418"/>
    <w:rsid w:val="63FE32C6"/>
    <w:rsid w:val="640DE57A"/>
    <w:rsid w:val="640F19DA"/>
    <w:rsid w:val="64182B55"/>
    <w:rsid w:val="64286114"/>
    <w:rsid w:val="6431DE51"/>
    <w:rsid w:val="6436199A"/>
    <w:rsid w:val="6475DB38"/>
    <w:rsid w:val="6476B867"/>
    <w:rsid w:val="648772DB"/>
    <w:rsid w:val="6492D897"/>
    <w:rsid w:val="64A2A0AD"/>
    <w:rsid w:val="64A4FC21"/>
    <w:rsid w:val="64BD6E78"/>
    <w:rsid w:val="64BDD6AD"/>
    <w:rsid w:val="64BF99DC"/>
    <w:rsid w:val="64DCE881"/>
    <w:rsid w:val="64E9A25D"/>
    <w:rsid w:val="6500634E"/>
    <w:rsid w:val="65105866"/>
    <w:rsid w:val="65112CB9"/>
    <w:rsid w:val="652A0AEB"/>
    <w:rsid w:val="652CD2D4"/>
    <w:rsid w:val="652DAF9D"/>
    <w:rsid w:val="653D2632"/>
    <w:rsid w:val="65403426"/>
    <w:rsid w:val="65478214"/>
    <w:rsid w:val="6564BF9D"/>
    <w:rsid w:val="6570C53D"/>
    <w:rsid w:val="657399CD"/>
    <w:rsid w:val="65893860"/>
    <w:rsid w:val="658AC31C"/>
    <w:rsid w:val="65C1258E"/>
    <w:rsid w:val="65CEF441"/>
    <w:rsid w:val="65D8AD0C"/>
    <w:rsid w:val="65E77036"/>
    <w:rsid w:val="65F5007D"/>
    <w:rsid w:val="66193F33"/>
    <w:rsid w:val="662B4F18"/>
    <w:rsid w:val="663BBB40"/>
    <w:rsid w:val="664A5E99"/>
    <w:rsid w:val="66521EAD"/>
    <w:rsid w:val="66561FD6"/>
    <w:rsid w:val="666AD1F0"/>
    <w:rsid w:val="666C3830"/>
    <w:rsid w:val="667975C3"/>
    <w:rsid w:val="667F37AB"/>
    <w:rsid w:val="66815BC0"/>
    <w:rsid w:val="66880BD0"/>
    <w:rsid w:val="66962C47"/>
    <w:rsid w:val="66975EA5"/>
    <w:rsid w:val="66B20DBA"/>
    <w:rsid w:val="66B5E9F2"/>
    <w:rsid w:val="66D598C5"/>
    <w:rsid w:val="66DC6DD6"/>
    <w:rsid w:val="66DD82CC"/>
    <w:rsid w:val="6704E63C"/>
    <w:rsid w:val="6734E954"/>
    <w:rsid w:val="6738F7B3"/>
    <w:rsid w:val="67493701"/>
    <w:rsid w:val="6750E125"/>
    <w:rsid w:val="67522EAF"/>
    <w:rsid w:val="675EE1EE"/>
    <w:rsid w:val="67627A77"/>
    <w:rsid w:val="676CE401"/>
    <w:rsid w:val="678022D2"/>
    <w:rsid w:val="679AC370"/>
    <w:rsid w:val="67A49DB4"/>
    <w:rsid w:val="67A9C475"/>
    <w:rsid w:val="67AE1D54"/>
    <w:rsid w:val="67B36281"/>
    <w:rsid w:val="67B74666"/>
    <w:rsid w:val="67B88603"/>
    <w:rsid w:val="67BB6CE7"/>
    <w:rsid w:val="67D02439"/>
    <w:rsid w:val="67D5D3A6"/>
    <w:rsid w:val="67E66A7E"/>
    <w:rsid w:val="67FC491C"/>
    <w:rsid w:val="67FD5FC5"/>
    <w:rsid w:val="6800EE8B"/>
    <w:rsid w:val="6801BA3C"/>
    <w:rsid w:val="6828417F"/>
    <w:rsid w:val="683C5414"/>
    <w:rsid w:val="684D0AE8"/>
    <w:rsid w:val="686A99D4"/>
    <w:rsid w:val="6874FAA1"/>
    <w:rsid w:val="688029D2"/>
    <w:rsid w:val="688B60DA"/>
    <w:rsid w:val="688E2BC7"/>
    <w:rsid w:val="68945CC5"/>
    <w:rsid w:val="68A3B2BE"/>
    <w:rsid w:val="68B28A5C"/>
    <w:rsid w:val="68B7FCC6"/>
    <w:rsid w:val="68B9FF6A"/>
    <w:rsid w:val="68BBAEFF"/>
    <w:rsid w:val="68BBE6DE"/>
    <w:rsid w:val="68CD441B"/>
    <w:rsid w:val="68D641D0"/>
    <w:rsid w:val="68FB6133"/>
    <w:rsid w:val="690C4040"/>
    <w:rsid w:val="6933CE37"/>
    <w:rsid w:val="6947FFDB"/>
    <w:rsid w:val="694926CF"/>
    <w:rsid w:val="6977F216"/>
    <w:rsid w:val="697FA510"/>
    <w:rsid w:val="6981386F"/>
    <w:rsid w:val="699793AC"/>
    <w:rsid w:val="69B5EA5E"/>
    <w:rsid w:val="69B83869"/>
    <w:rsid w:val="69BB4EBD"/>
    <w:rsid w:val="69C7775D"/>
    <w:rsid w:val="69C862CC"/>
    <w:rsid w:val="69CCFE11"/>
    <w:rsid w:val="69DBE1E6"/>
    <w:rsid w:val="69EE0935"/>
    <w:rsid w:val="69F01B71"/>
    <w:rsid w:val="69F0FF11"/>
    <w:rsid w:val="6A0A3EE9"/>
    <w:rsid w:val="6A0DA40A"/>
    <w:rsid w:val="6A1C6293"/>
    <w:rsid w:val="6A51D55D"/>
    <w:rsid w:val="6A576F10"/>
    <w:rsid w:val="6A60F14E"/>
    <w:rsid w:val="6A664313"/>
    <w:rsid w:val="6A66E979"/>
    <w:rsid w:val="6A6A08DA"/>
    <w:rsid w:val="6A6B314C"/>
    <w:rsid w:val="6A76561D"/>
    <w:rsid w:val="6A83F2FD"/>
    <w:rsid w:val="6A84C29D"/>
    <w:rsid w:val="6A8908EE"/>
    <w:rsid w:val="6A8D29F8"/>
    <w:rsid w:val="6AA61BC6"/>
    <w:rsid w:val="6AA6A9F8"/>
    <w:rsid w:val="6AA71114"/>
    <w:rsid w:val="6ACF8434"/>
    <w:rsid w:val="6ADDBFD9"/>
    <w:rsid w:val="6AE5AEC3"/>
    <w:rsid w:val="6AE90DA9"/>
    <w:rsid w:val="6AF3B61F"/>
    <w:rsid w:val="6AF55697"/>
    <w:rsid w:val="6AF93DE1"/>
    <w:rsid w:val="6B00D3EA"/>
    <w:rsid w:val="6B029B76"/>
    <w:rsid w:val="6B0B48BA"/>
    <w:rsid w:val="6B3555A6"/>
    <w:rsid w:val="6B3948DD"/>
    <w:rsid w:val="6B4BAC35"/>
    <w:rsid w:val="6B4C9149"/>
    <w:rsid w:val="6B4CC974"/>
    <w:rsid w:val="6B4FFA10"/>
    <w:rsid w:val="6B6DB90A"/>
    <w:rsid w:val="6B8F6EAD"/>
    <w:rsid w:val="6B9117AE"/>
    <w:rsid w:val="6B94F985"/>
    <w:rsid w:val="6BA03C47"/>
    <w:rsid w:val="6BB4487B"/>
    <w:rsid w:val="6BC39A19"/>
    <w:rsid w:val="6BD3FC1E"/>
    <w:rsid w:val="6BEC8F30"/>
    <w:rsid w:val="6BEE16D3"/>
    <w:rsid w:val="6C19F871"/>
    <w:rsid w:val="6C1BFC1D"/>
    <w:rsid w:val="6C289C64"/>
    <w:rsid w:val="6C2AD5AA"/>
    <w:rsid w:val="6C2AE0F8"/>
    <w:rsid w:val="6C30BCC3"/>
    <w:rsid w:val="6C316C71"/>
    <w:rsid w:val="6C3D0502"/>
    <w:rsid w:val="6C3D9188"/>
    <w:rsid w:val="6C3FE55C"/>
    <w:rsid w:val="6C51A16A"/>
    <w:rsid w:val="6C76EA7F"/>
    <w:rsid w:val="6C859CA4"/>
    <w:rsid w:val="6C92CD03"/>
    <w:rsid w:val="6C9711B7"/>
    <w:rsid w:val="6CD8EA65"/>
    <w:rsid w:val="6CE5ED52"/>
    <w:rsid w:val="6D0E1638"/>
    <w:rsid w:val="6D23B69B"/>
    <w:rsid w:val="6D266877"/>
    <w:rsid w:val="6D3E58AA"/>
    <w:rsid w:val="6D42A93B"/>
    <w:rsid w:val="6D49B56B"/>
    <w:rsid w:val="6D6F0C60"/>
    <w:rsid w:val="6D71CB7D"/>
    <w:rsid w:val="6D928CB5"/>
    <w:rsid w:val="6DA1920B"/>
    <w:rsid w:val="6DB3E653"/>
    <w:rsid w:val="6DC8227F"/>
    <w:rsid w:val="6DD0ECB6"/>
    <w:rsid w:val="6DE56838"/>
    <w:rsid w:val="6DF1B3C2"/>
    <w:rsid w:val="6E436AF1"/>
    <w:rsid w:val="6E535F94"/>
    <w:rsid w:val="6E683A23"/>
    <w:rsid w:val="6E76FE8B"/>
    <w:rsid w:val="6E79D7BD"/>
    <w:rsid w:val="6E97834D"/>
    <w:rsid w:val="6E9A9E53"/>
    <w:rsid w:val="6EA4EEC8"/>
    <w:rsid w:val="6EA75E1F"/>
    <w:rsid w:val="6EB0D9BF"/>
    <w:rsid w:val="6EBA332B"/>
    <w:rsid w:val="6EBDB819"/>
    <w:rsid w:val="6EBF7F6B"/>
    <w:rsid w:val="6EC25D37"/>
    <w:rsid w:val="6EC57DAD"/>
    <w:rsid w:val="6EDCB3BF"/>
    <w:rsid w:val="6EDDC8C5"/>
    <w:rsid w:val="6EE72663"/>
    <w:rsid w:val="6F17DE5E"/>
    <w:rsid w:val="6F228718"/>
    <w:rsid w:val="6F257CAC"/>
    <w:rsid w:val="6F31527B"/>
    <w:rsid w:val="6F363EF6"/>
    <w:rsid w:val="6F4F3B46"/>
    <w:rsid w:val="6F4FBF45"/>
    <w:rsid w:val="6F57D5DA"/>
    <w:rsid w:val="6F5935C8"/>
    <w:rsid w:val="6F6243F3"/>
    <w:rsid w:val="6F62F006"/>
    <w:rsid w:val="6F637ED0"/>
    <w:rsid w:val="6F68FE15"/>
    <w:rsid w:val="6F6BEF16"/>
    <w:rsid w:val="6F7ACD21"/>
    <w:rsid w:val="6F80C957"/>
    <w:rsid w:val="6F897EA8"/>
    <w:rsid w:val="6FA1669A"/>
    <w:rsid w:val="6FA7EB80"/>
    <w:rsid w:val="6FBF5CBE"/>
    <w:rsid w:val="6FC36D86"/>
    <w:rsid w:val="6FC60D5D"/>
    <w:rsid w:val="6FCCC069"/>
    <w:rsid w:val="6FD81822"/>
    <w:rsid w:val="6FE19169"/>
    <w:rsid w:val="6FEA8CE3"/>
    <w:rsid w:val="6FFB10BF"/>
    <w:rsid w:val="700CADF9"/>
    <w:rsid w:val="701B8F0A"/>
    <w:rsid w:val="701F4EA6"/>
    <w:rsid w:val="7027A8EF"/>
    <w:rsid w:val="7028150C"/>
    <w:rsid w:val="702A59C1"/>
    <w:rsid w:val="704406DF"/>
    <w:rsid w:val="704675AD"/>
    <w:rsid w:val="70472CAC"/>
    <w:rsid w:val="70494C79"/>
    <w:rsid w:val="705986B6"/>
    <w:rsid w:val="7066FE20"/>
    <w:rsid w:val="706DC1C3"/>
    <w:rsid w:val="707B9434"/>
    <w:rsid w:val="707BB85F"/>
    <w:rsid w:val="7090134C"/>
    <w:rsid w:val="7092DDA8"/>
    <w:rsid w:val="70957C36"/>
    <w:rsid w:val="70B52827"/>
    <w:rsid w:val="70C7A42D"/>
    <w:rsid w:val="70CA780A"/>
    <w:rsid w:val="70E30E56"/>
    <w:rsid w:val="70E8FEAA"/>
    <w:rsid w:val="70EA1C4B"/>
    <w:rsid w:val="70ED4AD8"/>
    <w:rsid w:val="70F78EBA"/>
    <w:rsid w:val="7116F08B"/>
    <w:rsid w:val="71237FA4"/>
    <w:rsid w:val="71243BB7"/>
    <w:rsid w:val="713551CA"/>
    <w:rsid w:val="713600D9"/>
    <w:rsid w:val="71368F3B"/>
    <w:rsid w:val="714B4337"/>
    <w:rsid w:val="7155F80B"/>
    <w:rsid w:val="715F812D"/>
    <w:rsid w:val="716C2378"/>
    <w:rsid w:val="7173CB66"/>
    <w:rsid w:val="7176DC33"/>
    <w:rsid w:val="7178E993"/>
    <w:rsid w:val="71866DEC"/>
    <w:rsid w:val="718C7CFD"/>
    <w:rsid w:val="719003BE"/>
    <w:rsid w:val="719C2A61"/>
    <w:rsid w:val="71AB6DB0"/>
    <w:rsid w:val="71C250D7"/>
    <w:rsid w:val="71E7C3B2"/>
    <w:rsid w:val="71F05133"/>
    <w:rsid w:val="71FF7820"/>
    <w:rsid w:val="7226558C"/>
    <w:rsid w:val="72648C41"/>
    <w:rsid w:val="726EEE7A"/>
    <w:rsid w:val="72715A6F"/>
    <w:rsid w:val="728374CD"/>
    <w:rsid w:val="72A40D56"/>
    <w:rsid w:val="72A795DA"/>
    <w:rsid w:val="72B5F311"/>
    <w:rsid w:val="72CC9BCE"/>
    <w:rsid w:val="72CCA4E0"/>
    <w:rsid w:val="72DE2A69"/>
    <w:rsid w:val="72E48CFA"/>
    <w:rsid w:val="72E5E2C4"/>
    <w:rsid w:val="72F1F774"/>
    <w:rsid w:val="72F42ED4"/>
    <w:rsid w:val="72F7DB5B"/>
    <w:rsid w:val="72FD6595"/>
    <w:rsid w:val="72FE4B10"/>
    <w:rsid w:val="72FF8C1C"/>
    <w:rsid w:val="730513F6"/>
    <w:rsid w:val="73199F98"/>
    <w:rsid w:val="73205993"/>
    <w:rsid w:val="732BF817"/>
    <w:rsid w:val="733C3FF4"/>
    <w:rsid w:val="735C9384"/>
    <w:rsid w:val="73653FCB"/>
    <w:rsid w:val="736582F8"/>
    <w:rsid w:val="737BADA3"/>
    <w:rsid w:val="73A859BE"/>
    <w:rsid w:val="73B4D027"/>
    <w:rsid w:val="73B6887E"/>
    <w:rsid w:val="73BA521A"/>
    <w:rsid w:val="73C446A5"/>
    <w:rsid w:val="73C4D17B"/>
    <w:rsid w:val="73C75137"/>
    <w:rsid w:val="73CF5C10"/>
    <w:rsid w:val="73E41EC3"/>
    <w:rsid w:val="73EED279"/>
    <w:rsid w:val="73F174D6"/>
    <w:rsid w:val="73F24730"/>
    <w:rsid w:val="73F2E7E8"/>
    <w:rsid w:val="73F6F3FC"/>
    <w:rsid w:val="73FAB74D"/>
    <w:rsid w:val="73FB1FA0"/>
    <w:rsid w:val="7403B1A3"/>
    <w:rsid w:val="7405A689"/>
    <w:rsid w:val="744E3F51"/>
    <w:rsid w:val="7465C397"/>
    <w:rsid w:val="74898107"/>
    <w:rsid w:val="748996CA"/>
    <w:rsid w:val="74920E20"/>
    <w:rsid w:val="7498379F"/>
    <w:rsid w:val="74AA5356"/>
    <w:rsid w:val="74AA60C8"/>
    <w:rsid w:val="74AF6E6C"/>
    <w:rsid w:val="74B4CF66"/>
    <w:rsid w:val="74BDF8CB"/>
    <w:rsid w:val="74D1C81E"/>
    <w:rsid w:val="74D56A12"/>
    <w:rsid w:val="74DED7E2"/>
    <w:rsid w:val="74E32EA4"/>
    <w:rsid w:val="74E760F6"/>
    <w:rsid w:val="74F5F832"/>
    <w:rsid w:val="74FB0A78"/>
    <w:rsid w:val="74FDB93C"/>
    <w:rsid w:val="75085E0D"/>
    <w:rsid w:val="751A863F"/>
    <w:rsid w:val="751EBB9A"/>
    <w:rsid w:val="7530B30A"/>
    <w:rsid w:val="75320269"/>
    <w:rsid w:val="753CE0C8"/>
    <w:rsid w:val="753EFFBD"/>
    <w:rsid w:val="755B017B"/>
    <w:rsid w:val="75612BF4"/>
    <w:rsid w:val="757ABCA0"/>
    <w:rsid w:val="7593C106"/>
    <w:rsid w:val="7599388B"/>
    <w:rsid w:val="75D5126B"/>
    <w:rsid w:val="75E7F38C"/>
    <w:rsid w:val="75F9458F"/>
    <w:rsid w:val="75FC2B36"/>
    <w:rsid w:val="7603CB56"/>
    <w:rsid w:val="760B4C3D"/>
    <w:rsid w:val="761179C8"/>
    <w:rsid w:val="761C670C"/>
    <w:rsid w:val="76319559"/>
    <w:rsid w:val="764051AD"/>
    <w:rsid w:val="767ED292"/>
    <w:rsid w:val="76838504"/>
    <w:rsid w:val="768EFE4C"/>
    <w:rsid w:val="7691D4FC"/>
    <w:rsid w:val="76A91C52"/>
    <w:rsid w:val="76CACE9D"/>
    <w:rsid w:val="76E79E38"/>
    <w:rsid w:val="76EBB925"/>
    <w:rsid w:val="76F64459"/>
    <w:rsid w:val="76F963B6"/>
    <w:rsid w:val="76F9F145"/>
    <w:rsid w:val="76FD7443"/>
    <w:rsid w:val="77058E6D"/>
    <w:rsid w:val="7710655A"/>
    <w:rsid w:val="771C039B"/>
    <w:rsid w:val="77249010"/>
    <w:rsid w:val="772AED41"/>
    <w:rsid w:val="775BFBE4"/>
    <w:rsid w:val="775E99F3"/>
    <w:rsid w:val="7767A793"/>
    <w:rsid w:val="77850ADC"/>
    <w:rsid w:val="778A0BCB"/>
    <w:rsid w:val="778BEFC3"/>
    <w:rsid w:val="778D0AE7"/>
    <w:rsid w:val="7794EF98"/>
    <w:rsid w:val="77B19282"/>
    <w:rsid w:val="77DA41B0"/>
    <w:rsid w:val="77E9814A"/>
    <w:rsid w:val="77F50F1D"/>
    <w:rsid w:val="77F96E44"/>
    <w:rsid w:val="77FBB006"/>
    <w:rsid w:val="78042F8F"/>
    <w:rsid w:val="78053CA4"/>
    <w:rsid w:val="781DB989"/>
    <w:rsid w:val="782498AD"/>
    <w:rsid w:val="782698DB"/>
    <w:rsid w:val="785B7CF0"/>
    <w:rsid w:val="7870D65B"/>
    <w:rsid w:val="7882F3E1"/>
    <w:rsid w:val="78890F11"/>
    <w:rsid w:val="78911630"/>
    <w:rsid w:val="78924831"/>
    <w:rsid w:val="78AB9898"/>
    <w:rsid w:val="78AD2689"/>
    <w:rsid w:val="78AE755F"/>
    <w:rsid w:val="78BE2398"/>
    <w:rsid w:val="78C028C2"/>
    <w:rsid w:val="78E461C2"/>
    <w:rsid w:val="78EB3C4D"/>
    <w:rsid w:val="78ED097A"/>
    <w:rsid w:val="78FA33B0"/>
    <w:rsid w:val="79054A52"/>
    <w:rsid w:val="7917DE8B"/>
    <w:rsid w:val="792946E4"/>
    <w:rsid w:val="7929663E"/>
    <w:rsid w:val="792FA05B"/>
    <w:rsid w:val="794E519D"/>
    <w:rsid w:val="7951D4D0"/>
    <w:rsid w:val="795931C3"/>
    <w:rsid w:val="7984549E"/>
    <w:rsid w:val="7987FE23"/>
    <w:rsid w:val="79915C83"/>
    <w:rsid w:val="799D2962"/>
    <w:rsid w:val="79C119D3"/>
    <w:rsid w:val="79DEDFAA"/>
    <w:rsid w:val="79F57040"/>
    <w:rsid w:val="7A02A3E8"/>
    <w:rsid w:val="7A078234"/>
    <w:rsid w:val="7A222164"/>
    <w:rsid w:val="7A36BB5B"/>
    <w:rsid w:val="7A41D4A8"/>
    <w:rsid w:val="7A45BFF5"/>
    <w:rsid w:val="7A4EE818"/>
    <w:rsid w:val="7A5BAD45"/>
    <w:rsid w:val="7A5BBD9A"/>
    <w:rsid w:val="7A5FFCC1"/>
    <w:rsid w:val="7A605D98"/>
    <w:rsid w:val="7A60743F"/>
    <w:rsid w:val="7A6BA95B"/>
    <w:rsid w:val="7A7C60D0"/>
    <w:rsid w:val="7A83D4B6"/>
    <w:rsid w:val="7A8A7BF0"/>
    <w:rsid w:val="7A9C8AD6"/>
    <w:rsid w:val="7AB7492E"/>
    <w:rsid w:val="7AC03D96"/>
    <w:rsid w:val="7AC83B94"/>
    <w:rsid w:val="7ACE17A8"/>
    <w:rsid w:val="7AE9C065"/>
    <w:rsid w:val="7AEFA80E"/>
    <w:rsid w:val="7AF4C963"/>
    <w:rsid w:val="7B16D551"/>
    <w:rsid w:val="7B2B8FE7"/>
    <w:rsid w:val="7B2C7355"/>
    <w:rsid w:val="7B3CC19D"/>
    <w:rsid w:val="7B3FBA88"/>
    <w:rsid w:val="7B47FE60"/>
    <w:rsid w:val="7B666352"/>
    <w:rsid w:val="7B6F88EA"/>
    <w:rsid w:val="7B7F6202"/>
    <w:rsid w:val="7B8487DA"/>
    <w:rsid w:val="7B911A25"/>
    <w:rsid w:val="7BB0D316"/>
    <w:rsid w:val="7BB59C5E"/>
    <w:rsid w:val="7BBB2D51"/>
    <w:rsid w:val="7BD436FE"/>
    <w:rsid w:val="7BDEC15E"/>
    <w:rsid w:val="7BE4F5DE"/>
    <w:rsid w:val="7C0ED600"/>
    <w:rsid w:val="7C2DE491"/>
    <w:rsid w:val="7C370FE2"/>
    <w:rsid w:val="7C3EEAD0"/>
    <w:rsid w:val="7C48B26E"/>
    <w:rsid w:val="7C4E3BA4"/>
    <w:rsid w:val="7C5D1BBE"/>
    <w:rsid w:val="7C683CAA"/>
    <w:rsid w:val="7C6FC0F7"/>
    <w:rsid w:val="7C700374"/>
    <w:rsid w:val="7C84B638"/>
    <w:rsid w:val="7C965364"/>
    <w:rsid w:val="7CA0E9E9"/>
    <w:rsid w:val="7CA89F2F"/>
    <w:rsid w:val="7CB8CE55"/>
    <w:rsid w:val="7CBED48A"/>
    <w:rsid w:val="7CDB9596"/>
    <w:rsid w:val="7CDCE418"/>
    <w:rsid w:val="7CE9709C"/>
    <w:rsid w:val="7CFB266D"/>
    <w:rsid w:val="7D04724F"/>
    <w:rsid w:val="7D1AD357"/>
    <w:rsid w:val="7D264F07"/>
    <w:rsid w:val="7D31A9BD"/>
    <w:rsid w:val="7D660217"/>
    <w:rsid w:val="7D70308B"/>
    <w:rsid w:val="7D86C9B4"/>
    <w:rsid w:val="7D9BA3B8"/>
    <w:rsid w:val="7D9DF80E"/>
    <w:rsid w:val="7D9F6460"/>
    <w:rsid w:val="7DACC684"/>
    <w:rsid w:val="7DB11AF6"/>
    <w:rsid w:val="7DD25D24"/>
    <w:rsid w:val="7DD5CDCE"/>
    <w:rsid w:val="7DF15443"/>
    <w:rsid w:val="7DFDDA69"/>
    <w:rsid w:val="7E00C851"/>
    <w:rsid w:val="7E0387D9"/>
    <w:rsid w:val="7E13E08E"/>
    <w:rsid w:val="7E2022F9"/>
    <w:rsid w:val="7E2B6584"/>
    <w:rsid w:val="7E2C79FF"/>
    <w:rsid w:val="7E309247"/>
    <w:rsid w:val="7E482443"/>
    <w:rsid w:val="7E4B2B1A"/>
    <w:rsid w:val="7E4B96C5"/>
    <w:rsid w:val="7E5FCC45"/>
    <w:rsid w:val="7E6D519F"/>
    <w:rsid w:val="7E82A4D4"/>
    <w:rsid w:val="7EC4CF6A"/>
    <w:rsid w:val="7EC9CA43"/>
    <w:rsid w:val="7EEBCF59"/>
    <w:rsid w:val="7F1332F3"/>
    <w:rsid w:val="7F157D36"/>
    <w:rsid w:val="7F3237CE"/>
    <w:rsid w:val="7F3AB091"/>
    <w:rsid w:val="7F45B29A"/>
    <w:rsid w:val="7F4F0261"/>
    <w:rsid w:val="7F68A9C6"/>
    <w:rsid w:val="7F746A96"/>
    <w:rsid w:val="7F77403F"/>
    <w:rsid w:val="7F786C2D"/>
    <w:rsid w:val="7FAE62B8"/>
    <w:rsid w:val="7FB285CB"/>
    <w:rsid w:val="7FB2F51B"/>
    <w:rsid w:val="7FBBFBD4"/>
    <w:rsid w:val="7FC5D1EB"/>
    <w:rsid w:val="7FF49B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A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41"/>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013B2D"/>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802447"/>
    <w:pPr>
      <w:keepNext/>
      <w:keepLines/>
      <w:tabs>
        <w:tab w:val="left" w:pos="1134"/>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895D86"/>
    <w:pPr>
      <w:outlineLvl w:val="3"/>
    </w:pPr>
    <w:rPr>
      <w:i/>
    </w:rPr>
  </w:style>
  <w:style w:type="paragraph" w:styleId="Heading5">
    <w:name w:val="heading 5"/>
    <w:basedOn w:val="Normal"/>
    <w:next w:val="Normal"/>
    <w:link w:val="Heading5Char"/>
    <w:uiPriority w:val="9"/>
    <w:unhideWhenUsed/>
    <w:qFormat/>
    <w:rsid w:val="007E5CE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B69B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A2E60"/>
    <w:pPr>
      <w:keepNext/>
      <w:keepLines/>
      <w:spacing w:before="40" w:after="0"/>
      <w:ind w:left="7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C1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033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013B2D"/>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802447"/>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F84AA9"/>
    <w:pPr>
      <w:keepNext/>
      <w:tabs>
        <w:tab w:val="left" w:pos="993"/>
      </w:tabs>
      <w:spacing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533A61"/>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42547C"/>
    <w:pPr>
      <w:keepNext/>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895D86"/>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1B3240"/>
    <w:pPr>
      <w:tabs>
        <w:tab w:val="left" w:pos="868"/>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C02065"/>
    <w:pPr>
      <w:tabs>
        <w:tab w:val="left" w:pos="284"/>
      </w:tabs>
      <w:spacing w:before="0"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C0206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10"/>
      </w:numPr>
    </w:pPr>
  </w:style>
  <w:style w:type="paragraph" w:customStyle="1" w:styleId="2-SectionHeading">
    <w:name w:val="2-Section Heading"/>
    <w:rsid w:val="005131D3"/>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4"/>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107DCD"/>
    <w:pPr>
      <w:numPr>
        <w:numId w:val="5"/>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ilvl w:val="0"/>
        <w:numId w:val="6"/>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rsid w:val="002463A6"/>
    <w:pPr>
      <w:numPr>
        <w:numId w:val="8"/>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rsid w:val="000B6462"/>
    <w:pPr>
      <w:spacing w:after="0" w:line="240" w:lineRule="auto"/>
    </w:pPr>
    <w:rPr>
      <w:rFonts w:ascii="Franklin Gothic Book" w:hAnsi="Franklin Gothic Book"/>
    </w:rPr>
  </w:style>
  <w:style w:type="table" w:customStyle="1" w:styleId="PBACTableStyle1">
    <w:name w:val="PBAC Table Style1"/>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l2br w:val="none" w:sz="0" w:space="0" w:color="auto"/>
          <w:tr2bl w:val="none" w:sz="0" w:space="0" w:color="auto"/>
        </w:tcBorders>
      </w:tcPr>
    </w:tblStylePr>
  </w:style>
  <w:style w:type="table" w:customStyle="1" w:styleId="PBACTableStyle2">
    <w:name w:val="PBAC Table Style2"/>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l2br w:val="none" w:sz="0" w:space="0" w:color="auto"/>
          <w:tr2bl w:val="none" w:sz="0" w:space="0" w:color="auto"/>
        </w:tcBorders>
      </w:tcPr>
    </w:tblStylePr>
  </w:style>
  <w:style w:type="character" w:customStyle="1" w:styleId="UnresolvedMention4">
    <w:name w:val="Unresolved Mention4"/>
    <w:basedOn w:val="DefaultParagraphFont"/>
    <w:uiPriority w:val="99"/>
    <w:unhideWhenUsed/>
    <w:rsid w:val="00836199"/>
    <w:rPr>
      <w:color w:val="605E5C"/>
      <w:shd w:val="clear" w:color="auto" w:fill="E1DFDD"/>
    </w:rPr>
  </w:style>
  <w:style w:type="character" w:customStyle="1" w:styleId="Heading5Char">
    <w:name w:val="Heading 5 Char"/>
    <w:basedOn w:val="DefaultParagraphFont"/>
    <w:link w:val="Heading5"/>
    <w:uiPriority w:val="9"/>
    <w:rsid w:val="007E5CE0"/>
    <w:rPr>
      <w:rFonts w:asciiTheme="majorHAnsi" w:eastAsiaTheme="majorEastAsia" w:hAnsiTheme="majorHAnsi" w:cstheme="majorBidi"/>
      <w:color w:val="2E74B5" w:themeColor="accent1" w:themeShade="BF"/>
    </w:rPr>
  </w:style>
  <w:style w:type="character" w:customStyle="1" w:styleId="hgkelc">
    <w:name w:val="hgkelc"/>
    <w:basedOn w:val="DefaultParagraphFont"/>
    <w:rsid w:val="00F07B09"/>
  </w:style>
  <w:style w:type="paragraph" w:customStyle="1" w:styleId="Pa1">
    <w:name w:val="Pa1"/>
    <w:basedOn w:val="Normal"/>
    <w:next w:val="Normal"/>
    <w:uiPriority w:val="99"/>
    <w:rsid w:val="001D1DC5"/>
    <w:pPr>
      <w:autoSpaceDE w:val="0"/>
      <w:autoSpaceDN w:val="0"/>
      <w:adjustRightInd w:val="0"/>
      <w:spacing w:before="0" w:after="0" w:line="161" w:lineRule="atLeast"/>
    </w:pPr>
    <w:rPr>
      <w:rFonts w:ascii="Myriad Pro" w:hAnsi="Myriad Pro"/>
      <w:sz w:val="24"/>
      <w:szCs w:val="24"/>
    </w:rPr>
  </w:style>
  <w:style w:type="character" w:customStyle="1" w:styleId="Heading6Char">
    <w:name w:val="Heading 6 Char"/>
    <w:basedOn w:val="DefaultParagraphFont"/>
    <w:link w:val="Heading6"/>
    <w:uiPriority w:val="9"/>
    <w:rsid w:val="009B69B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A2E60"/>
    <w:rPr>
      <w:rFonts w:asciiTheme="majorHAnsi" w:eastAsiaTheme="majorEastAsia" w:hAnsiTheme="majorHAnsi" w:cstheme="majorBidi"/>
      <w:i/>
      <w:iCs/>
      <w:color w:val="1F4D78" w:themeColor="accent1" w:themeShade="7F"/>
    </w:rPr>
  </w:style>
  <w:style w:type="character" w:customStyle="1" w:styleId="Mention1">
    <w:name w:val="Mention1"/>
    <w:basedOn w:val="DefaultParagraphFont"/>
    <w:uiPriority w:val="99"/>
    <w:unhideWhenUsed/>
    <w:rsid w:val="009B69B1"/>
    <w:rPr>
      <w:color w:val="2B579A"/>
      <w:shd w:val="clear" w:color="auto" w:fill="E1DFDD"/>
    </w:rPr>
  </w:style>
  <w:style w:type="table" w:customStyle="1" w:styleId="HealthConsult1">
    <w:name w:val="HealthConsult1"/>
    <w:basedOn w:val="TableNormal"/>
    <w:next w:val="TableGrid"/>
    <w:uiPriority w:val="39"/>
    <w:rsid w:val="009B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pack-concepts-extraction-compare-comparedecision-comparedecision-modulereadonlyvalue">
    <w:name w:val="webpack-concepts-extraction-compare-comparedecision-comparedecision-module__readonlyvalue"/>
    <w:basedOn w:val="DefaultParagraphFont"/>
    <w:rsid w:val="009B69B1"/>
  </w:style>
  <w:style w:type="character" w:styleId="PlaceholderText">
    <w:name w:val="Placeholder Text"/>
    <w:basedOn w:val="DefaultParagraphFont"/>
    <w:uiPriority w:val="99"/>
    <w:semiHidden/>
    <w:rsid w:val="009B69B1"/>
    <w:rPr>
      <w:color w:val="666666"/>
    </w:rPr>
  </w:style>
  <w:style w:type="character" w:customStyle="1" w:styleId="cf01">
    <w:name w:val="cf01"/>
    <w:basedOn w:val="DefaultParagraphFont"/>
    <w:rsid w:val="009B69B1"/>
    <w:rPr>
      <w:rFonts w:ascii="Segoe UI" w:hAnsi="Segoe UI" w:cs="Segoe UI" w:hint="default"/>
      <w:sz w:val="18"/>
      <w:szCs w:val="18"/>
    </w:rPr>
  </w:style>
  <w:style w:type="paragraph" w:customStyle="1" w:styleId="pf0">
    <w:name w:val="pf0"/>
    <w:basedOn w:val="Normal"/>
    <w:rsid w:val="009B69B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next w:val="TableGrid"/>
    <w:locked/>
    <w:rsid w:val="00FB061C"/>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b w:val="0"/>
        <w:sz w:val="20"/>
      </w:rPr>
    </w:tblStylePr>
  </w:style>
  <w:style w:type="paragraph" w:customStyle="1" w:styleId="EndNoteBibliographyTitle">
    <w:name w:val="EndNote Bibliography Title"/>
    <w:basedOn w:val="Normal"/>
    <w:link w:val="EndNoteBibliographyTitleChar"/>
    <w:rsid w:val="009B69B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B69B1"/>
    <w:rPr>
      <w:rFonts w:ascii="Franklin Gothic Book" w:hAnsi="Franklin Gothic Book"/>
      <w:noProof/>
      <w:lang w:val="en-US"/>
    </w:rPr>
  </w:style>
  <w:style w:type="paragraph" w:customStyle="1" w:styleId="EndNoteBibliography">
    <w:name w:val="EndNote Bibliography"/>
    <w:basedOn w:val="Normal"/>
    <w:link w:val="EndNoteBibliographyChar"/>
    <w:rsid w:val="009B69B1"/>
    <w:pPr>
      <w:spacing w:line="240" w:lineRule="auto"/>
    </w:pPr>
    <w:rPr>
      <w:noProof/>
      <w:lang w:val="en-US"/>
    </w:rPr>
  </w:style>
  <w:style w:type="character" w:customStyle="1" w:styleId="EndNoteBibliographyChar">
    <w:name w:val="EndNote Bibliography Char"/>
    <w:basedOn w:val="DefaultParagraphFont"/>
    <w:link w:val="EndNoteBibliography"/>
    <w:rsid w:val="009B69B1"/>
    <w:rPr>
      <w:rFonts w:ascii="Franklin Gothic Book" w:hAnsi="Franklin Gothic Book"/>
      <w:noProof/>
      <w:lang w:val="en-US"/>
    </w:rPr>
  </w:style>
  <w:style w:type="paragraph" w:customStyle="1" w:styleId="Figureparagraph">
    <w:name w:val="Figure paragraph"/>
    <w:next w:val="Caption"/>
    <w:link w:val="FigureparagraphChar"/>
    <w:qFormat/>
    <w:rsid w:val="009B69B1"/>
    <w:pPr>
      <w:spacing w:after="40" w:line="240" w:lineRule="auto"/>
    </w:pPr>
    <w:rPr>
      <w:rFonts w:ascii="Arial Narrow" w:eastAsia="Times New Roman" w:hAnsi="Arial Narrow" w:cs="Arial"/>
      <w:snapToGrid w:val="0"/>
      <w:sz w:val="18"/>
      <w:lang w:eastAsia="en-AU"/>
    </w:rPr>
  </w:style>
  <w:style w:type="character" w:customStyle="1" w:styleId="FigureparagraphChar">
    <w:name w:val="Figure paragraph Char"/>
    <w:basedOn w:val="DefaultParagraphFont"/>
    <w:link w:val="Figureparagraph"/>
    <w:rsid w:val="009B69B1"/>
    <w:rPr>
      <w:rFonts w:ascii="Arial Narrow" w:eastAsia="Times New Roman" w:hAnsi="Arial Narrow" w:cs="Arial"/>
      <w:snapToGrid w:val="0"/>
      <w:sz w:val="18"/>
      <w:lang w:eastAsia="en-AU"/>
    </w:rPr>
  </w:style>
  <w:style w:type="paragraph" w:customStyle="1" w:styleId="FigureCaption">
    <w:name w:val="Figure Caption"/>
    <w:basedOn w:val="Caption"/>
    <w:next w:val="Tablenotes0"/>
    <w:link w:val="FigureCaptionChar"/>
    <w:qFormat/>
    <w:rsid w:val="009B69B1"/>
    <w:pPr>
      <w:keepLines/>
      <w:tabs>
        <w:tab w:val="left" w:pos="851"/>
      </w:tabs>
      <w:spacing w:before="40" w:after="40"/>
      <w:ind w:left="851" w:hanging="851"/>
    </w:pPr>
  </w:style>
  <w:style w:type="character" w:customStyle="1" w:styleId="FigureCaptionChar">
    <w:name w:val="Figure Caption Char"/>
    <w:basedOn w:val="CaptionChar"/>
    <w:link w:val="FigureCaption"/>
    <w:rsid w:val="009B69B1"/>
    <w:rPr>
      <w:rFonts w:ascii="Arial Narrow" w:eastAsia="Times New Roman" w:hAnsi="Arial Narrow" w:cs="Times New Roman"/>
      <w:b/>
      <w:bCs/>
      <w:sz w:val="20"/>
      <w:szCs w:val="20"/>
    </w:rPr>
  </w:style>
  <w:style w:type="paragraph" w:customStyle="1" w:styleId="Default">
    <w:name w:val="Default"/>
    <w:rsid w:val="009B69B1"/>
    <w:pPr>
      <w:autoSpaceDE w:val="0"/>
      <w:autoSpaceDN w:val="0"/>
      <w:adjustRightInd w:val="0"/>
      <w:spacing w:after="0" w:line="240" w:lineRule="auto"/>
    </w:pPr>
    <w:rPr>
      <w:rFonts w:ascii="Garamond" w:hAnsi="Garamond" w:cs="Garamond"/>
      <w:color w:val="000000"/>
      <w:sz w:val="24"/>
      <w:szCs w:val="24"/>
    </w:rPr>
  </w:style>
  <w:style w:type="character" w:customStyle="1" w:styleId="ui-provider">
    <w:name w:val="ui-provider"/>
    <w:basedOn w:val="DefaultParagraphFont"/>
    <w:rsid w:val="009B69B1"/>
  </w:style>
  <w:style w:type="character" w:customStyle="1" w:styleId="anchor-text">
    <w:name w:val="anchor-text"/>
    <w:basedOn w:val="DefaultParagraphFont"/>
    <w:rsid w:val="009B69B1"/>
  </w:style>
  <w:style w:type="character" w:customStyle="1" w:styleId="Heading8Char">
    <w:name w:val="Heading 8 Char"/>
    <w:basedOn w:val="DefaultParagraphFont"/>
    <w:link w:val="Heading8"/>
    <w:uiPriority w:val="9"/>
    <w:rsid w:val="004C16F1"/>
    <w:rPr>
      <w:rFonts w:asciiTheme="majorHAnsi" w:eastAsiaTheme="majorEastAsia" w:hAnsiTheme="majorHAnsi" w:cstheme="majorBidi"/>
      <w:color w:val="272727" w:themeColor="text1" w:themeTint="D8"/>
      <w:sz w:val="21"/>
      <w:szCs w:val="21"/>
    </w:rPr>
  </w:style>
  <w:style w:type="table" w:customStyle="1" w:styleId="HealthConsult2">
    <w:name w:val="HealthConsult2"/>
    <w:basedOn w:val="TableNormal"/>
    <w:next w:val="TableGrid"/>
    <w:uiPriority w:val="59"/>
    <w:rsid w:val="00D340A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locked/>
    <w:rsid w:val="001578B2"/>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b w:val="0"/>
        <w:sz w:val="20"/>
      </w:rPr>
    </w:tblStylePr>
  </w:style>
  <w:style w:type="paragraph" w:styleId="NormalWeb">
    <w:name w:val="Normal (Web)"/>
    <w:basedOn w:val="Normal"/>
    <w:uiPriority w:val="99"/>
    <w:semiHidden/>
    <w:unhideWhenUsed/>
    <w:rsid w:val="00417BCD"/>
    <w:rPr>
      <w:rFonts w:ascii="Times New Roman" w:hAnsi="Times New Roman" w:cs="Times New Roman"/>
      <w:sz w:val="24"/>
      <w:szCs w:val="24"/>
    </w:rPr>
  </w:style>
  <w:style w:type="character" w:customStyle="1" w:styleId="Heading9Char">
    <w:name w:val="Heading 9 Char"/>
    <w:basedOn w:val="DefaultParagraphFont"/>
    <w:link w:val="Heading9"/>
    <w:uiPriority w:val="9"/>
    <w:rsid w:val="0010337E"/>
    <w:rPr>
      <w:rFonts w:asciiTheme="majorHAnsi" w:eastAsiaTheme="majorEastAsia" w:hAnsiTheme="majorHAnsi" w:cstheme="majorBidi"/>
      <w:i/>
      <w:iCs/>
      <w:color w:val="272727" w:themeColor="text1" w:themeTint="D8"/>
      <w:sz w:val="21"/>
      <w:szCs w:val="21"/>
    </w:rPr>
  </w:style>
  <w:style w:type="paragraph" w:customStyle="1" w:styleId="TableDash">
    <w:name w:val="TableDash"/>
    <w:basedOn w:val="TableText1"/>
    <w:rsid w:val="00FF4FB7"/>
    <w:pPr>
      <w:numPr>
        <w:numId w:val="17"/>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FF4FB7"/>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FF4FB7"/>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FF4FB7"/>
    <w:pPr>
      <w:numPr>
        <w:numId w:val="20"/>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FF4FB7"/>
    <w:pPr>
      <w:numPr>
        <w:numId w:val="18"/>
      </w:numPr>
    </w:pPr>
  </w:style>
  <w:style w:type="paragraph" w:styleId="BodyText">
    <w:name w:val="Body Text"/>
    <w:basedOn w:val="Normal"/>
    <w:link w:val="BodyTextChar"/>
    <w:uiPriority w:val="99"/>
    <w:unhideWhenUsed/>
    <w:rsid w:val="00FF4FB7"/>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FF4FB7"/>
    <w:rPr>
      <w:rFonts w:ascii="Franklin Gothic Book" w:eastAsia="Times New Roman" w:hAnsi="Franklin Gothic Book" w:cs="Times New Roman"/>
      <w:color w:val="000000"/>
      <w:szCs w:val="20"/>
      <w:lang w:eastAsia="en-AU"/>
    </w:rPr>
  </w:style>
  <w:style w:type="paragraph" w:styleId="ListBullet">
    <w:name w:val="List Bullet"/>
    <w:basedOn w:val="Normal"/>
    <w:uiPriority w:val="99"/>
    <w:unhideWhenUsed/>
    <w:rsid w:val="00FF4FB7"/>
    <w:pPr>
      <w:numPr>
        <w:numId w:val="19"/>
      </w:numPr>
      <w:spacing w:before="0" w:after="240" w:line="240" w:lineRule="auto"/>
      <w:contextualSpacing/>
    </w:pPr>
    <w:rPr>
      <w:rFonts w:eastAsia="Times New Roman" w:cs="Times New Roman"/>
      <w:color w:val="000000"/>
      <w:szCs w:val="20"/>
      <w:lang w:eastAsia="en-AU"/>
    </w:rPr>
  </w:style>
  <w:style w:type="paragraph" w:customStyle="1" w:styleId="Normal2">
    <w:name w:val="Normal 2"/>
    <w:basedOn w:val="Normal"/>
    <w:link w:val="Normal2Char"/>
    <w:qFormat/>
    <w:rsid w:val="00194613"/>
    <w:pPr>
      <w:spacing w:before="0" w:after="120"/>
      <w:ind w:left="255"/>
    </w:pPr>
    <w:rPr>
      <w:color w:val="000000" w:themeColor="text1"/>
    </w:rPr>
  </w:style>
  <w:style w:type="character" w:customStyle="1" w:styleId="Normal2Char">
    <w:name w:val="Normal 2 Char"/>
    <w:basedOn w:val="DefaultParagraphFont"/>
    <w:link w:val="Normal2"/>
    <w:rsid w:val="00785CCF"/>
    <w:rPr>
      <w:rFonts w:ascii="Franklin Gothic Book" w:hAnsi="Franklin Gothic Book"/>
      <w:color w:val="000000" w:themeColor="text1"/>
    </w:rPr>
  </w:style>
  <w:style w:type="paragraph" w:customStyle="1" w:styleId="BulletBeforeDash">
    <w:name w:val="BulletBeforeDash"/>
    <w:basedOn w:val="Normal"/>
    <w:rsid w:val="006A1FA3"/>
    <w:pPr>
      <w:numPr>
        <w:numId w:val="25"/>
      </w:numPr>
      <w:spacing w:before="0" w:after="0" w:line="240" w:lineRule="auto"/>
    </w:pPr>
    <w:rPr>
      <w:rFonts w:eastAsia="Times New Roman" w:cs="Times New Roman"/>
      <w:color w:val="000000"/>
      <w:szCs w:val="20"/>
      <w:lang w:eastAsia="en-AU"/>
    </w:rPr>
  </w:style>
  <w:style w:type="table" w:customStyle="1" w:styleId="TableGrid13">
    <w:name w:val="Table Grid13"/>
    <w:basedOn w:val="TableNormal"/>
    <w:uiPriority w:val="39"/>
    <w:locked/>
    <w:rsid w:val="009D4780"/>
    <w:pPr>
      <w:spacing w:before="40" w:after="40" w:line="240" w:lineRule="auto"/>
    </w:pPr>
    <w:rPr>
      <w:rFonts w:ascii="Arial Narrow" w:eastAsia="Times New Roman" w:hAnsi="Arial Narrow"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hint="default"/>
        <w:b w:val="0"/>
        <w:sz w:val="20"/>
        <w:szCs w:val="20"/>
      </w:rPr>
    </w:tblStylePr>
  </w:style>
  <w:style w:type="table" w:customStyle="1" w:styleId="Section3-footnot1">
    <w:name w:val="Section 3- footnot1"/>
    <w:basedOn w:val="TableNormal"/>
    <w:next w:val="TableGrid"/>
    <w:uiPriority w:val="59"/>
    <w:rsid w:val="0022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B72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840">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9092211">
      <w:bodyDiv w:val="1"/>
      <w:marLeft w:val="0"/>
      <w:marRight w:val="0"/>
      <w:marTop w:val="0"/>
      <w:marBottom w:val="0"/>
      <w:divBdr>
        <w:top w:val="none" w:sz="0" w:space="0" w:color="auto"/>
        <w:left w:val="none" w:sz="0" w:space="0" w:color="auto"/>
        <w:bottom w:val="none" w:sz="0" w:space="0" w:color="auto"/>
        <w:right w:val="none" w:sz="0" w:space="0" w:color="auto"/>
      </w:divBdr>
    </w:div>
    <w:div w:id="40440891">
      <w:bodyDiv w:val="1"/>
      <w:marLeft w:val="0"/>
      <w:marRight w:val="0"/>
      <w:marTop w:val="0"/>
      <w:marBottom w:val="0"/>
      <w:divBdr>
        <w:top w:val="none" w:sz="0" w:space="0" w:color="auto"/>
        <w:left w:val="none" w:sz="0" w:space="0" w:color="auto"/>
        <w:bottom w:val="none" w:sz="0" w:space="0" w:color="auto"/>
        <w:right w:val="none" w:sz="0" w:space="0" w:color="auto"/>
      </w:divBdr>
    </w:div>
    <w:div w:id="46029501">
      <w:bodyDiv w:val="1"/>
      <w:marLeft w:val="0"/>
      <w:marRight w:val="0"/>
      <w:marTop w:val="0"/>
      <w:marBottom w:val="0"/>
      <w:divBdr>
        <w:top w:val="none" w:sz="0" w:space="0" w:color="auto"/>
        <w:left w:val="none" w:sz="0" w:space="0" w:color="auto"/>
        <w:bottom w:val="none" w:sz="0" w:space="0" w:color="auto"/>
        <w:right w:val="none" w:sz="0" w:space="0" w:color="auto"/>
      </w:divBdr>
    </w:div>
    <w:div w:id="55512600">
      <w:bodyDiv w:val="1"/>
      <w:marLeft w:val="0"/>
      <w:marRight w:val="0"/>
      <w:marTop w:val="0"/>
      <w:marBottom w:val="0"/>
      <w:divBdr>
        <w:top w:val="none" w:sz="0" w:space="0" w:color="auto"/>
        <w:left w:val="none" w:sz="0" w:space="0" w:color="auto"/>
        <w:bottom w:val="none" w:sz="0" w:space="0" w:color="auto"/>
        <w:right w:val="none" w:sz="0" w:space="0" w:color="auto"/>
      </w:divBdr>
    </w:div>
    <w:div w:id="62532484">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08201890">
      <w:bodyDiv w:val="1"/>
      <w:marLeft w:val="0"/>
      <w:marRight w:val="0"/>
      <w:marTop w:val="0"/>
      <w:marBottom w:val="0"/>
      <w:divBdr>
        <w:top w:val="none" w:sz="0" w:space="0" w:color="auto"/>
        <w:left w:val="none" w:sz="0" w:space="0" w:color="auto"/>
        <w:bottom w:val="none" w:sz="0" w:space="0" w:color="auto"/>
        <w:right w:val="none" w:sz="0" w:space="0" w:color="auto"/>
      </w:divBdr>
    </w:div>
    <w:div w:id="121312370">
      <w:bodyDiv w:val="1"/>
      <w:marLeft w:val="0"/>
      <w:marRight w:val="0"/>
      <w:marTop w:val="0"/>
      <w:marBottom w:val="0"/>
      <w:divBdr>
        <w:top w:val="none" w:sz="0" w:space="0" w:color="auto"/>
        <w:left w:val="none" w:sz="0" w:space="0" w:color="auto"/>
        <w:bottom w:val="none" w:sz="0" w:space="0" w:color="auto"/>
        <w:right w:val="none" w:sz="0" w:space="0" w:color="auto"/>
      </w:divBdr>
    </w:div>
    <w:div w:id="124471061">
      <w:bodyDiv w:val="1"/>
      <w:marLeft w:val="0"/>
      <w:marRight w:val="0"/>
      <w:marTop w:val="0"/>
      <w:marBottom w:val="0"/>
      <w:divBdr>
        <w:top w:val="none" w:sz="0" w:space="0" w:color="auto"/>
        <w:left w:val="none" w:sz="0" w:space="0" w:color="auto"/>
        <w:bottom w:val="none" w:sz="0" w:space="0" w:color="auto"/>
        <w:right w:val="none" w:sz="0" w:space="0" w:color="auto"/>
      </w:divBdr>
    </w:div>
    <w:div w:id="133261830">
      <w:bodyDiv w:val="1"/>
      <w:marLeft w:val="0"/>
      <w:marRight w:val="0"/>
      <w:marTop w:val="0"/>
      <w:marBottom w:val="0"/>
      <w:divBdr>
        <w:top w:val="none" w:sz="0" w:space="0" w:color="auto"/>
        <w:left w:val="none" w:sz="0" w:space="0" w:color="auto"/>
        <w:bottom w:val="none" w:sz="0" w:space="0" w:color="auto"/>
        <w:right w:val="none" w:sz="0" w:space="0" w:color="auto"/>
      </w:divBdr>
      <w:divsChild>
        <w:div w:id="21829997">
          <w:marLeft w:val="0"/>
          <w:marRight w:val="0"/>
          <w:marTop w:val="0"/>
          <w:marBottom w:val="0"/>
          <w:divBdr>
            <w:top w:val="none" w:sz="0" w:space="0" w:color="auto"/>
            <w:left w:val="none" w:sz="0" w:space="0" w:color="auto"/>
            <w:bottom w:val="none" w:sz="0" w:space="0" w:color="auto"/>
            <w:right w:val="none" w:sz="0" w:space="0" w:color="auto"/>
          </w:divBdr>
          <w:divsChild>
            <w:div w:id="1858689634">
              <w:marLeft w:val="-75"/>
              <w:marRight w:val="0"/>
              <w:marTop w:val="30"/>
              <w:marBottom w:val="30"/>
              <w:divBdr>
                <w:top w:val="none" w:sz="0" w:space="0" w:color="auto"/>
                <w:left w:val="none" w:sz="0" w:space="0" w:color="auto"/>
                <w:bottom w:val="none" w:sz="0" w:space="0" w:color="auto"/>
                <w:right w:val="none" w:sz="0" w:space="0" w:color="auto"/>
              </w:divBdr>
              <w:divsChild>
                <w:div w:id="113671663">
                  <w:marLeft w:val="0"/>
                  <w:marRight w:val="0"/>
                  <w:marTop w:val="0"/>
                  <w:marBottom w:val="0"/>
                  <w:divBdr>
                    <w:top w:val="none" w:sz="0" w:space="0" w:color="auto"/>
                    <w:left w:val="none" w:sz="0" w:space="0" w:color="auto"/>
                    <w:bottom w:val="none" w:sz="0" w:space="0" w:color="auto"/>
                    <w:right w:val="none" w:sz="0" w:space="0" w:color="auto"/>
                  </w:divBdr>
                  <w:divsChild>
                    <w:div w:id="482625995">
                      <w:marLeft w:val="0"/>
                      <w:marRight w:val="0"/>
                      <w:marTop w:val="0"/>
                      <w:marBottom w:val="0"/>
                      <w:divBdr>
                        <w:top w:val="none" w:sz="0" w:space="0" w:color="auto"/>
                        <w:left w:val="none" w:sz="0" w:space="0" w:color="auto"/>
                        <w:bottom w:val="none" w:sz="0" w:space="0" w:color="auto"/>
                        <w:right w:val="none" w:sz="0" w:space="0" w:color="auto"/>
                      </w:divBdr>
                    </w:div>
                  </w:divsChild>
                </w:div>
                <w:div w:id="117376746">
                  <w:marLeft w:val="0"/>
                  <w:marRight w:val="0"/>
                  <w:marTop w:val="0"/>
                  <w:marBottom w:val="0"/>
                  <w:divBdr>
                    <w:top w:val="none" w:sz="0" w:space="0" w:color="auto"/>
                    <w:left w:val="none" w:sz="0" w:space="0" w:color="auto"/>
                    <w:bottom w:val="none" w:sz="0" w:space="0" w:color="auto"/>
                    <w:right w:val="none" w:sz="0" w:space="0" w:color="auto"/>
                  </w:divBdr>
                  <w:divsChild>
                    <w:div w:id="133329111">
                      <w:marLeft w:val="0"/>
                      <w:marRight w:val="0"/>
                      <w:marTop w:val="0"/>
                      <w:marBottom w:val="0"/>
                      <w:divBdr>
                        <w:top w:val="none" w:sz="0" w:space="0" w:color="auto"/>
                        <w:left w:val="none" w:sz="0" w:space="0" w:color="auto"/>
                        <w:bottom w:val="none" w:sz="0" w:space="0" w:color="auto"/>
                        <w:right w:val="none" w:sz="0" w:space="0" w:color="auto"/>
                      </w:divBdr>
                    </w:div>
                  </w:divsChild>
                </w:div>
                <w:div w:id="281884371">
                  <w:marLeft w:val="0"/>
                  <w:marRight w:val="0"/>
                  <w:marTop w:val="0"/>
                  <w:marBottom w:val="0"/>
                  <w:divBdr>
                    <w:top w:val="none" w:sz="0" w:space="0" w:color="auto"/>
                    <w:left w:val="none" w:sz="0" w:space="0" w:color="auto"/>
                    <w:bottom w:val="none" w:sz="0" w:space="0" w:color="auto"/>
                    <w:right w:val="none" w:sz="0" w:space="0" w:color="auto"/>
                  </w:divBdr>
                  <w:divsChild>
                    <w:div w:id="96874196">
                      <w:marLeft w:val="0"/>
                      <w:marRight w:val="0"/>
                      <w:marTop w:val="0"/>
                      <w:marBottom w:val="0"/>
                      <w:divBdr>
                        <w:top w:val="none" w:sz="0" w:space="0" w:color="auto"/>
                        <w:left w:val="none" w:sz="0" w:space="0" w:color="auto"/>
                        <w:bottom w:val="none" w:sz="0" w:space="0" w:color="auto"/>
                        <w:right w:val="none" w:sz="0" w:space="0" w:color="auto"/>
                      </w:divBdr>
                    </w:div>
                  </w:divsChild>
                </w:div>
                <w:div w:id="326598427">
                  <w:marLeft w:val="0"/>
                  <w:marRight w:val="0"/>
                  <w:marTop w:val="0"/>
                  <w:marBottom w:val="0"/>
                  <w:divBdr>
                    <w:top w:val="none" w:sz="0" w:space="0" w:color="auto"/>
                    <w:left w:val="none" w:sz="0" w:space="0" w:color="auto"/>
                    <w:bottom w:val="none" w:sz="0" w:space="0" w:color="auto"/>
                    <w:right w:val="none" w:sz="0" w:space="0" w:color="auto"/>
                  </w:divBdr>
                  <w:divsChild>
                    <w:div w:id="1395347632">
                      <w:marLeft w:val="0"/>
                      <w:marRight w:val="0"/>
                      <w:marTop w:val="0"/>
                      <w:marBottom w:val="0"/>
                      <w:divBdr>
                        <w:top w:val="none" w:sz="0" w:space="0" w:color="auto"/>
                        <w:left w:val="none" w:sz="0" w:space="0" w:color="auto"/>
                        <w:bottom w:val="none" w:sz="0" w:space="0" w:color="auto"/>
                        <w:right w:val="none" w:sz="0" w:space="0" w:color="auto"/>
                      </w:divBdr>
                    </w:div>
                  </w:divsChild>
                </w:div>
                <w:div w:id="329675964">
                  <w:marLeft w:val="0"/>
                  <w:marRight w:val="0"/>
                  <w:marTop w:val="0"/>
                  <w:marBottom w:val="0"/>
                  <w:divBdr>
                    <w:top w:val="none" w:sz="0" w:space="0" w:color="auto"/>
                    <w:left w:val="none" w:sz="0" w:space="0" w:color="auto"/>
                    <w:bottom w:val="none" w:sz="0" w:space="0" w:color="auto"/>
                    <w:right w:val="none" w:sz="0" w:space="0" w:color="auto"/>
                  </w:divBdr>
                  <w:divsChild>
                    <w:div w:id="607588333">
                      <w:marLeft w:val="0"/>
                      <w:marRight w:val="0"/>
                      <w:marTop w:val="0"/>
                      <w:marBottom w:val="0"/>
                      <w:divBdr>
                        <w:top w:val="none" w:sz="0" w:space="0" w:color="auto"/>
                        <w:left w:val="none" w:sz="0" w:space="0" w:color="auto"/>
                        <w:bottom w:val="none" w:sz="0" w:space="0" w:color="auto"/>
                        <w:right w:val="none" w:sz="0" w:space="0" w:color="auto"/>
                      </w:divBdr>
                    </w:div>
                  </w:divsChild>
                </w:div>
                <w:div w:id="505563230">
                  <w:marLeft w:val="0"/>
                  <w:marRight w:val="0"/>
                  <w:marTop w:val="0"/>
                  <w:marBottom w:val="0"/>
                  <w:divBdr>
                    <w:top w:val="none" w:sz="0" w:space="0" w:color="auto"/>
                    <w:left w:val="none" w:sz="0" w:space="0" w:color="auto"/>
                    <w:bottom w:val="none" w:sz="0" w:space="0" w:color="auto"/>
                    <w:right w:val="none" w:sz="0" w:space="0" w:color="auto"/>
                  </w:divBdr>
                  <w:divsChild>
                    <w:div w:id="1555576296">
                      <w:marLeft w:val="0"/>
                      <w:marRight w:val="0"/>
                      <w:marTop w:val="0"/>
                      <w:marBottom w:val="0"/>
                      <w:divBdr>
                        <w:top w:val="none" w:sz="0" w:space="0" w:color="auto"/>
                        <w:left w:val="none" w:sz="0" w:space="0" w:color="auto"/>
                        <w:bottom w:val="none" w:sz="0" w:space="0" w:color="auto"/>
                        <w:right w:val="none" w:sz="0" w:space="0" w:color="auto"/>
                      </w:divBdr>
                    </w:div>
                  </w:divsChild>
                </w:div>
                <w:div w:id="543635123">
                  <w:marLeft w:val="0"/>
                  <w:marRight w:val="0"/>
                  <w:marTop w:val="0"/>
                  <w:marBottom w:val="0"/>
                  <w:divBdr>
                    <w:top w:val="none" w:sz="0" w:space="0" w:color="auto"/>
                    <w:left w:val="none" w:sz="0" w:space="0" w:color="auto"/>
                    <w:bottom w:val="none" w:sz="0" w:space="0" w:color="auto"/>
                    <w:right w:val="none" w:sz="0" w:space="0" w:color="auto"/>
                  </w:divBdr>
                  <w:divsChild>
                    <w:div w:id="2044937005">
                      <w:marLeft w:val="0"/>
                      <w:marRight w:val="0"/>
                      <w:marTop w:val="0"/>
                      <w:marBottom w:val="0"/>
                      <w:divBdr>
                        <w:top w:val="none" w:sz="0" w:space="0" w:color="auto"/>
                        <w:left w:val="none" w:sz="0" w:space="0" w:color="auto"/>
                        <w:bottom w:val="none" w:sz="0" w:space="0" w:color="auto"/>
                        <w:right w:val="none" w:sz="0" w:space="0" w:color="auto"/>
                      </w:divBdr>
                    </w:div>
                  </w:divsChild>
                </w:div>
                <w:div w:id="569845403">
                  <w:marLeft w:val="0"/>
                  <w:marRight w:val="0"/>
                  <w:marTop w:val="0"/>
                  <w:marBottom w:val="0"/>
                  <w:divBdr>
                    <w:top w:val="none" w:sz="0" w:space="0" w:color="auto"/>
                    <w:left w:val="none" w:sz="0" w:space="0" w:color="auto"/>
                    <w:bottom w:val="none" w:sz="0" w:space="0" w:color="auto"/>
                    <w:right w:val="none" w:sz="0" w:space="0" w:color="auto"/>
                  </w:divBdr>
                  <w:divsChild>
                    <w:div w:id="1584221424">
                      <w:marLeft w:val="0"/>
                      <w:marRight w:val="0"/>
                      <w:marTop w:val="0"/>
                      <w:marBottom w:val="0"/>
                      <w:divBdr>
                        <w:top w:val="none" w:sz="0" w:space="0" w:color="auto"/>
                        <w:left w:val="none" w:sz="0" w:space="0" w:color="auto"/>
                        <w:bottom w:val="none" w:sz="0" w:space="0" w:color="auto"/>
                        <w:right w:val="none" w:sz="0" w:space="0" w:color="auto"/>
                      </w:divBdr>
                    </w:div>
                  </w:divsChild>
                </w:div>
                <w:div w:id="603415813">
                  <w:marLeft w:val="0"/>
                  <w:marRight w:val="0"/>
                  <w:marTop w:val="0"/>
                  <w:marBottom w:val="0"/>
                  <w:divBdr>
                    <w:top w:val="none" w:sz="0" w:space="0" w:color="auto"/>
                    <w:left w:val="none" w:sz="0" w:space="0" w:color="auto"/>
                    <w:bottom w:val="none" w:sz="0" w:space="0" w:color="auto"/>
                    <w:right w:val="none" w:sz="0" w:space="0" w:color="auto"/>
                  </w:divBdr>
                  <w:divsChild>
                    <w:div w:id="149056340">
                      <w:marLeft w:val="0"/>
                      <w:marRight w:val="0"/>
                      <w:marTop w:val="0"/>
                      <w:marBottom w:val="0"/>
                      <w:divBdr>
                        <w:top w:val="none" w:sz="0" w:space="0" w:color="auto"/>
                        <w:left w:val="none" w:sz="0" w:space="0" w:color="auto"/>
                        <w:bottom w:val="none" w:sz="0" w:space="0" w:color="auto"/>
                        <w:right w:val="none" w:sz="0" w:space="0" w:color="auto"/>
                      </w:divBdr>
                    </w:div>
                  </w:divsChild>
                </w:div>
                <w:div w:id="701444743">
                  <w:marLeft w:val="0"/>
                  <w:marRight w:val="0"/>
                  <w:marTop w:val="0"/>
                  <w:marBottom w:val="0"/>
                  <w:divBdr>
                    <w:top w:val="none" w:sz="0" w:space="0" w:color="auto"/>
                    <w:left w:val="none" w:sz="0" w:space="0" w:color="auto"/>
                    <w:bottom w:val="none" w:sz="0" w:space="0" w:color="auto"/>
                    <w:right w:val="none" w:sz="0" w:space="0" w:color="auto"/>
                  </w:divBdr>
                  <w:divsChild>
                    <w:div w:id="1639414330">
                      <w:marLeft w:val="0"/>
                      <w:marRight w:val="0"/>
                      <w:marTop w:val="0"/>
                      <w:marBottom w:val="0"/>
                      <w:divBdr>
                        <w:top w:val="none" w:sz="0" w:space="0" w:color="auto"/>
                        <w:left w:val="none" w:sz="0" w:space="0" w:color="auto"/>
                        <w:bottom w:val="none" w:sz="0" w:space="0" w:color="auto"/>
                        <w:right w:val="none" w:sz="0" w:space="0" w:color="auto"/>
                      </w:divBdr>
                    </w:div>
                  </w:divsChild>
                </w:div>
                <w:div w:id="702944420">
                  <w:marLeft w:val="0"/>
                  <w:marRight w:val="0"/>
                  <w:marTop w:val="0"/>
                  <w:marBottom w:val="0"/>
                  <w:divBdr>
                    <w:top w:val="none" w:sz="0" w:space="0" w:color="auto"/>
                    <w:left w:val="none" w:sz="0" w:space="0" w:color="auto"/>
                    <w:bottom w:val="none" w:sz="0" w:space="0" w:color="auto"/>
                    <w:right w:val="none" w:sz="0" w:space="0" w:color="auto"/>
                  </w:divBdr>
                  <w:divsChild>
                    <w:div w:id="550503325">
                      <w:marLeft w:val="0"/>
                      <w:marRight w:val="0"/>
                      <w:marTop w:val="0"/>
                      <w:marBottom w:val="0"/>
                      <w:divBdr>
                        <w:top w:val="none" w:sz="0" w:space="0" w:color="auto"/>
                        <w:left w:val="none" w:sz="0" w:space="0" w:color="auto"/>
                        <w:bottom w:val="none" w:sz="0" w:space="0" w:color="auto"/>
                        <w:right w:val="none" w:sz="0" w:space="0" w:color="auto"/>
                      </w:divBdr>
                    </w:div>
                  </w:divsChild>
                </w:div>
                <w:div w:id="973408143">
                  <w:marLeft w:val="0"/>
                  <w:marRight w:val="0"/>
                  <w:marTop w:val="0"/>
                  <w:marBottom w:val="0"/>
                  <w:divBdr>
                    <w:top w:val="none" w:sz="0" w:space="0" w:color="auto"/>
                    <w:left w:val="none" w:sz="0" w:space="0" w:color="auto"/>
                    <w:bottom w:val="none" w:sz="0" w:space="0" w:color="auto"/>
                    <w:right w:val="none" w:sz="0" w:space="0" w:color="auto"/>
                  </w:divBdr>
                  <w:divsChild>
                    <w:div w:id="1827434522">
                      <w:marLeft w:val="0"/>
                      <w:marRight w:val="0"/>
                      <w:marTop w:val="0"/>
                      <w:marBottom w:val="0"/>
                      <w:divBdr>
                        <w:top w:val="none" w:sz="0" w:space="0" w:color="auto"/>
                        <w:left w:val="none" w:sz="0" w:space="0" w:color="auto"/>
                        <w:bottom w:val="none" w:sz="0" w:space="0" w:color="auto"/>
                        <w:right w:val="none" w:sz="0" w:space="0" w:color="auto"/>
                      </w:divBdr>
                    </w:div>
                  </w:divsChild>
                </w:div>
                <w:div w:id="1046682498">
                  <w:marLeft w:val="0"/>
                  <w:marRight w:val="0"/>
                  <w:marTop w:val="0"/>
                  <w:marBottom w:val="0"/>
                  <w:divBdr>
                    <w:top w:val="none" w:sz="0" w:space="0" w:color="auto"/>
                    <w:left w:val="none" w:sz="0" w:space="0" w:color="auto"/>
                    <w:bottom w:val="none" w:sz="0" w:space="0" w:color="auto"/>
                    <w:right w:val="none" w:sz="0" w:space="0" w:color="auto"/>
                  </w:divBdr>
                  <w:divsChild>
                    <w:div w:id="2104569417">
                      <w:marLeft w:val="0"/>
                      <w:marRight w:val="0"/>
                      <w:marTop w:val="0"/>
                      <w:marBottom w:val="0"/>
                      <w:divBdr>
                        <w:top w:val="none" w:sz="0" w:space="0" w:color="auto"/>
                        <w:left w:val="none" w:sz="0" w:space="0" w:color="auto"/>
                        <w:bottom w:val="none" w:sz="0" w:space="0" w:color="auto"/>
                        <w:right w:val="none" w:sz="0" w:space="0" w:color="auto"/>
                      </w:divBdr>
                    </w:div>
                  </w:divsChild>
                </w:div>
                <w:div w:id="1235899511">
                  <w:marLeft w:val="0"/>
                  <w:marRight w:val="0"/>
                  <w:marTop w:val="0"/>
                  <w:marBottom w:val="0"/>
                  <w:divBdr>
                    <w:top w:val="none" w:sz="0" w:space="0" w:color="auto"/>
                    <w:left w:val="none" w:sz="0" w:space="0" w:color="auto"/>
                    <w:bottom w:val="none" w:sz="0" w:space="0" w:color="auto"/>
                    <w:right w:val="none" w:sz="0" w:space="0" w:color="auto"/>
                  </w:divBdr>
                  <w:divsChild>
                    <w:div w:id="2036925750">
                      <w:marLeft w:val="0"/>
                      <w:marRight w:val="0"/>
                      <w:marTop w:val="0"/>
                      <w:marBottom w:val="0"/>
                      <w:divBdr>
                        <w:top w:val="none" w:sz="0" w:space="0" w:color="auto"/>
                        <w:left w:val="none" w:sz="0" w:space="0" w:color="auto"/>
                        <w:bottom w:val="none" w:sz="0" w:space="0" w:color="auto"/>
                        <w:right w:val="none" w:sz="0" w:space="0" w:color="auto"/>
                      </w:divBdr>
                    </w:div>
                    <w:div w:id="2099130176">
                      <w:marLeft w:val="0"/>
                      <w:marRight w:val="0"/>
                      <w:marTop w:val="0"/>
                      <w:marBottom w:val="0"/>
                      <w:divBdr>
                        <w:top w:val="none" w:sz="0" w:space="0" w:color="auto"/>
                        <w:left w:val="none" w:sz="0" w:space="0" w:color="auto"/>
                        <w:bottom w:val="none" w:sz="0" w:space="0" w:color="auto"/>
                        <w:right w:val="none" w:sz="0" w:space="0" w:color="auto"/>
                      </w:divBdr>
                    </w:div>
                  </w:divsChild>
                </w:div>
                <w:div w:id="1319311990">
                  <w:marLeft w:val="0"/>
                  <w:marRight w:val="0"/>
                  <w:marTop w:val="0"/>
                  <w:marBottom w:val="0"/>
                  <w:divBdr>
                    <w:top w:val="none" w:sz="0" w:space="0" w:color="auto"/>
                    <w:left w:val="none" w:sz="0" w:space="0" w:color="auto"/>
                    <w:bottom w:val="none" w:sz="0" w:space="0" w:color="auto"/>
                    <w:right w:val="none" w:sz="0" w:space="0" w:color="auto"/>
                  </w:divBdr>
                  <w:divsChild>
                    <w:div w:id="1356420040">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219052083">
                      <w:marLeft w:val="0"/>
                      <w:marRight w:val="0"/>
                      <w:marTop w:val="0"/>
                      <w:marBottom w:val="0"/>
                      <w:divBdr>
                        <w:top w:val="none" w:sz="0" w:space="0" w:color="auto"/>
                        <w:left w:val="none" w:sz="0" w:space="0" w:color="auto"/>
                        <w:bottom w:val="none" w:sz="0" w:space="0" w:color="auto"/>
                        <w:right w:val="none" w:sz="0" w:space="0" w:color="auto"/>
                      </w:divBdr>
                    </w:div>
                  </w:divsChild>
                </w:div>
                <w:div w:id="1728189444">
                  <w:marLeft w:val="0"/>
                  <w:marRight w:val="0"/>
                  <w:marTop w:val="0"/>
                  <w:marBottom w:val="0"/>
                  <w:divBdr>
                    <w:top w:val="none" w:sz="0" w:space="0" w:color="auto"/>
                    <w:left w:val="none" w:sz="0" w:space="0" w:color="auto"/>
                    <w:bottom w:val="none" w:sz="0" w:space="0" w:color="auto"/>
                    <w:right w:val="none" w:sz="0" w:space="0" w:color="auto"/>
                  </w:divBdr>
                  <w:divsChild>
                    <w:div w:id="523595426">
                      <w:marLeft w:val="0"/>
                      <w:marRight w:val="0"/>
                      <w:marTop w:val="0"/>
                      <w:marBottom w:val="0"/>
                      <w:divBdr>
                        <w:top w:val="none" w:sz="0" w:space="0" w:color="auto"/>
                        <w:left w:val="none" w:sz="0" w:space="0" w:color="auto"/>
                        <w:bottom w:val="none" w:sz="0" w:space="0" w:color="auto"/>
                        <w:right w:val="none" w:sz="0" w:space="0" w:color="auto"/>
                      </w:divBdr>
                    </w:div>
                  </w:divsChild>
                </w:div>
                <w:div w:id="2018002461">
                  <w:marLeft w:val="0"/>
                  <w:marRight w:val="0"/>
                  <w:marTop w:val="0"/>
                  <w:marBottom w:val="0"/>
                  <w:divBdr>
                    <w:top w:val="none" w:sz="0" w:space="0" w:color="auto"/>
                    <w:left w:val="none" w:sz="0" w:space="0" w:color="auto"/>
                    <w:bottom w:val="none" w:sz="0" w:space="0" w:color="auto"/>
                    <w:right w:val="none" w:sz="0" w:space="0" w:color="auto"/>
                  </w:divBdr>
                  <w:divsChild>
                    <w:div w:id="1250625233">
                      <w:marLeft w:val="0"/>
                      <w:marRight w:val="0"/>
                      <w:marTop w:val="0"/>
                      <w:marBottom w:val="0"/>
                      <w:divBdr>
                        <w:top w:val="none" w:sz="0" w:space="0" w:color="auto"/>
                        <w:left w:val="none" w:sz="0" w:space="0" w:color="auto"/>
                        <w:bottom w:val="none" w:sz="0" w:space="0" w:color="auto"/>
                        <w:right w:val="none" w:sz="0" w:space="0" w:color="auto"/>
                      </w:divBdr>
                    </w:div>
                  </w:divsChild>
                </w:div>
                <w:div w:id="2073191646">
                  <w:marLeft w:val="0"/>
                  <w:marRight w:val="0"/>
                  <w:marTop w:val="0"/>
                  <w:marBottom w:val="0"/>
                  <w:divBdr>
                    <w:top w:val="none" w:sz="0" w:space="0" w:color="auto"/>
                    <w:left w:val="none" w:sz="0" w:space="0" w:color="auto"/>
                    <w:bottom w:val="none" w:sz="0" w:space="0" w:color="auto"/>
                    <w:right w:val="none" w:sz="0" w:space="0" w:color="auto"/>
                  </w:divBdr>
                  <w:divsChild>
                    <w:div w:id="541867569">
                      <w:marLeft w:val="0"/>
                      <w:marRight w:val="0"/>
                      <w:marTop w:val="0"/>
                      <w:marBottom w:val="0"/>
                      <w:divBdr>
                        <w:top w:val="none" w:sz="0" w:space="0" w:color="auto"/>
                        <w:left w:val="none" w:sz="0" w:space="0" w:color="auto"/>
                        <w:bottom w:val="none" w:sz="0" w:space="0" w:color="auto"/>
                        <w:right w:val="none" w:sz="0" w:space="0" w:color="auto"/>
                      </w:divBdr>
                    </w:div>
                  </w:divsChild>
                </w:div>
                <w:div w:id="2113891494">
                  <w:marLeft w:val="0"/>
                  <w:marRight w:val="0"/>
                  <w:marTop w:val="0"/>
                  <w:marBottom w:val="0"/>
                  <w:divBdr>
                    <w:top w:val="none" w:sz="0" w:space="0" w:color="auto"/>
                    <w:left w:val="none" w:sz="0" w:space="0" w:color="auto"/>
                    <w:bottom w:val="none" w:sz="0" w:space="0" w:color="auto"/>
                    <w:right w:val="none" w:sz="0" w:space="0" w:color="auto"/>
                  </w:divBdr>
                  <w:divsChild>
                    <w:div w:id="1486972968">
                      <w:marLeft w:val="0"/>
                      <w:marRight w:val="0"/>
                      <w:marTop w:val="0"/>
                      <w:marBottom w:val="0"/>
                      <w:divBdr>
                        <w:top w:val="none" w:sz="0" w:space="0" w:color="auto"/>
                        <w:left w:val="none" w:sz="0" w:space="0" w:color="auto"/>
                        <w:bottom w:val="none" w:sz="0" w:space="0" w:color="auto"/>
                        <w:right w:val="none" w:sz="0" w:space="0" w:color="auto"/>
                      </w:divBdr>
                    </w:div>
                  </w:divsChild>
                </w:div>
                <w:div w:id="2132896663">
                  <w:marLeft w:val="0"/>
                  <w:marRight w:val="0"/>
                  <w:marTop w:val="0"/>
                  <w:marBottom w:val="0"/>
                  <w:divBdr>
                    <w:top w:val="none" w:sz="0" w:space="0" w:color="auto"/>
                    <w:left w:val="none" w:sz="0" w:space="0" w:color="auto"/>
                    <w:bottom w:val="none" w:sz="0" w:space="0" w:color="auto"/>
                    <w:right w:val="none" w:sz="0" w:space="0" w:color="auto"/>
                  </w:divBdr>
                  <w:divsChild>
                    <w:div w:id="1478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6442">
          <w:marLeft w:val="0"/>
          <w:marRight w:val="0"/>
          <w:marTop w:val="0"/>
          <w:marBottom w:val="0"/>
          <w:divBdr>
            <w:top w:val="none" w:sz="0" w:space="0" w:color="auto"/>
            <w:left w:val="none" w:sz="0" w:space="0" w:color="auto"/>
            <w:bottom w:val="none" w:sz="0" w:space="0" w:color="auto"/>
            <w:right w:val="none" w:sz="0" w:space="0" w:color="auto"/>
          </w:divBdr>
        </w:div>
        <w:div w:id="523902318">
          <w:marLeft w:val="0"/>
          <w:marRight w:val="0"/>
          <w:marTop w:val="0"/>
          <w:marBottom w:val="0"/>
          <w:divBdr>
            <w:top w:val="none" w:sz="0" w:space="0" w:color="auto"/>
            <w:left w:val="none" w:sz="0" w:space="0" w:color="auto"/>
            <w:bottom w:val="none" w:sz="0" w:space="0" w:color="auto"/>
            <w:right w:val="none" w:sz="0" w:space="0" w:color="auto"/>
          </w:divBdr>
        </w:div>
        <w:div w:id="1616139083">
          <w:marLeft w:val="0"/>
          <w:marRight w:val="0"/>
          <w:marTop w:val="0"/>
          <w:marBottom w:val="0"/>
          <w:divBdr>
            <w:top w:val="none" w:sz="0" w:space="0" w:color="auto"/>
            <w:left w:val="none" w:sz="0" w:space="0" w:color="auto"/>
            <w:bottom w:val="none" w:sz="0" w:space="0" w:color="auto"/>
            <w:right w:val="none" w:sz="0" w:space="0" w:color="auto"/>
          </w:divBdr>
        </w:div>
        <w:div w:id="1970938364">
          <w:marLeft w:val="0"/>
          <w:marRight w:val="0"/>
          <w:marTop w:val="0"/>
          <w:marBottom w:val="0"/>
          <w:divBdr>
            <w:top w:val="none" w:sz="0" w:space="0" w:color="auto"/>
            <w:left w:val="none" w:sz="0" w:space="0" w:color="auto"/>
            <w:bottom w:val="none" w:sz="0" w:space="0" w:color="auto"/>
            <w:right w:val="none" w:sz="0" w:space="0" w:color="auto"/>
          </w:divBdr>
        </w:div>
      </w:divsChild>
    </w:div>
    <w:div w:id="13638727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531815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09534592">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2198842">
      <w:bodyDiv w:val="1"/>
      <w:marLeft w:val="0"/>
      <w:marRight w:val="0"/>
      <w:marTop w:val="0"/>
      <w:marBottom w:val="0"/>
      <w:divBdr>
        <w:top w:val="none" w:sz="0" w:space="0" w:color="auto"/>
        <w:left w:val="none" w:sz="0" w:space="0" w:color="auto"/>
        <w:bottom w:val="none" w:sz="0" w:space="0" w:color="auto"/>
        <w:right w:val="none" w:sz="0" w:space="0" w:color="auto"/>
      </w:divBdr>
    </w:div>
    <w:div w:id="361630294">
      <w:bodyDiv w:val="1"/>
      <w:marLeft w:val="0"/>
      <w:marRight w:val="0"/>
      <w:marTop w:val="0"/>
      <w:marBottom w:val="0"/>
      <w:divBdr>
        <w:top w:val="none" w:sz="0" w:space="0" w:color="auto"/>
        <w:left w:val="none" w:sz="0" w:space="0" w:color="auto"/>
        <w:bottom w:val="none" w:sz="0" w:space="0" w:color="auto"/>
        <w:right w:val="none" w:sz="0" w:space="0" w:color="auto"/>
      </w:divBdr>
    </w:div>
    <w:div w:id="367605659">
      <w:bodyDiv w:val="1"/>
      <w:marLeft w:val="0"/>
      <w:marRight w:val="0"/>
      <w:marTop w:val="0"/>
      <w:marBottom w:val="0"/>
      <w:divBdr>
        <w:top w:val="none" w:sz="0" w:space="0" w:color="auto"/>
        <w:left w:val="none" w:sz="0" w:space="0" w:color="auto"/>
        <w:bottom w:val="none" w:sz="0" w:space="0" w:color="auto"/>
        <w:right w:val="none" w:sz="0" w:space="0" w:color="auto"/>
      </w:divBdr>
    </w:div>
    <w:div w:id="3784774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4592807">
      <w:bodyDiv w:val="1"/>
      <w:marLeft w:val="0"/>
      <w:marRight w:val="0"/>
      <w:marTop w:val="0"/>
      <w:marBottom w:val="0"/>
      <w:divBdr>
        <w:top w:val="none" w:sz="0" w:space="0" w:color="auto"/>
        <w:left w:val="none" w:sz="0" w:space="0" w:color="auto"/>
        <w:bottom w:val="none" w:sz="0" w:space="0" w:color="auto"/>
        <w:right w:val="none" w:sz="0" w:space="0" w:color="auto"/>
      </w:divBdr>
    </w:div>
    <w:div w:id="402416909">
      <w:bodyDiv w:val="1"/>
      <w:marLeft w:val="0"/>
      <w:marRight w:val="0"/>
      <w:marTop w:val="0"/>
      <w:marBottom w:val="0"/>
      <w:divBdr>
        <w:top w:val="none" w:sz="0" w:space="0" w:color="auto"/>
        <w:left w:val="none" w:sz="0" w:space="0" w:color="auto"/>
        <w:bottom w:val="none" w:sz="0" w:space="0" w:color="auto"/>
        <w:right w:val="none" w:sz="0" w:space="0" w:color="auto"/>
      </w:divBdr>
    </w:div>
    <w:div w:id="408770237">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496453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28620881">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0851665">
      <w:bodyDiv w:val="1"/>
      <w:marLeft w:val="0"/>
      <w:marRight w:val="0"/>
      <w:marTop w:val="0"/>
      <w:marBottom w:val="0"/>
      <w:divBdr>
        <w:top w:val="none" w:sz="0" w:space="0" w:color="auto"/>
        <w:left w:val="none" w:sz="0" w:space="0" w:color="auto"/>
        <w:bottom w:val="none" w:sz="0" w:space="0" w:color="auto"/>
        <w:right w:val="none" w:sz="0" w:space="0" w:color="auto"/>
      </w:divBdr>
    </w:div>
    <w:div w:id="461270734">
      <w:bodyDiv w:val="1"/>
      <w:marLeft w:val="0"/>
      <w:marRight w:val="0"/>
      <w:marTop w:val="0"/>
      <w:marBottom w:val="0"/>
      <w:divBdr>
        <w:top w:val="none" w:sz="0" w:space="0" w:color="auto"/>
        <w:left w:val="none" w:sz="0" w:space="0" w:color="auto"/>
        <w:bottom w:val="none" w:sz="0" w:space="0" w:color="auto"/>
        <w:right w:val="none" w:sz="0" w:space="0" w:color="auto"/>
      </w:divBdr>
      <w:divsChild>
        <w:div w:id="102842123">
          <w:marLeft w:val="0"/>
          <w:marRight w:val="0"/>
          <w:marTop w:val="0"/>
          <w:marBottom w:val="0"/>
          <w:divBdr>
            <w:top w:val="none" w:sz="0" w:space="0" w:color="auto"/>
            <w:left w:val="none" w:sz="0" w:space="0" w:color="auto"/>
            <w:bottom w:val="none" w:sz="0" w:space="0" w:color="auto"/>
            <w:right w:val="none" w:sz="0" w:space="0" w:color="auto"/>
          </w:divBdr>
        </w:div>
        <w:div w:id="121122710">
          <w:marLeft w:val="0"/>
          <w:marRight w:val="0"/>
          <w:marTop w:val="0"/>
          <w:marBottom w:val="0"/>
          <w:divBdr>
            <w:top w:val="none" w:sz="0" w:space="0" w:color="auto"/>
            <w:left w:val="none" w:sz="0" w:space="0" w:color="auto"/>
            <w:bottom w:val="none" w:sz="0" w:space="0" w:color="auto"/>
            <w:right w:val="none" w:sz="0" w:space="0" w:color="auto"/>
          </w:divBdr>
        </w:div>
        <w:div w:id="261187326">
          <w:marLeft w:val="0"/>
          <w:marRight w:val="0"/>
          <w:marTop w:val="0"/>
          <w:marBottom w:val="0"/>
          <w:divBdr>
            <w:top w:val="none" w:sz="0" w:space="0" w:color="auto"/>
            <w:left w:val="none" w:sz="0" w:space="0" w:color="auto"/>
            <w:bottom w:val="none" w:sz="0" w:space="0" w:color="auto"/>
            <w:right w:val="none" w:sz="0" w:space="0" w:color="auto"/>
          </w:divBdr>
          <w:divsChild>
            <w:div w:id="1031959107">
              <w:marLeft w:val="-75"/>
              <w:marRight w:val="0"/>
              <w:marTop w:val="30"/>
              <w:marBottom w:val="30"/>
              <w:divBdr>
                <w:top w:val="none" w:sz="0" w:space="0" w:color="auto"/>
                <w:left w:val="none" w:sz="0" w:space="0" w:color="auto"/>
                <w:bottom w:val="none" w:sz="0" w:space="0" w:color="auto"/>
                <w:right w:val="none" w:sz="0" w:space="0" w:color="auto"/>
              </w:divBdr>
              <w:divsChild>
                <w:div w:id="29499474">
                  <w:marLeft w:val="0"/>
                  <w:marRight w:val="0"/>
                  <w:marTop w:val="0"/>
                  <w:marBottom w:val="0"/>
                  <w:divBdr>
                    <w:top w:val="none" w:sz="0" w:space="0" w:color="auto"/>
                    <w:left w:val="none" w:sz="0" w:space="0" w:color="auto"/>
                    <w:bottom w:val="none" w:sz="0" w:space="0" w:color="auto"/>
                    <w:right w:val="none" w:sz="0" w:space="0" w:color="auto"/>
                  </w:divBdr>
                  <w:divsChild>
                    <w:div w:id="1889606641">
                      <w:marLeft w:val="0"/>
                      <w:marRight w:val="0"/>
                      <w:marTop w:val="0"/>
                      <w:marBottom w:val="0"/>
                      <w:divBdr>
                        <w:top w:val="none" w:sz="0" w:space="0" w:color="auto"/>
                        <w:left w:val="none" w:sz="0" w:space="0" w:color="auto"/>
                        <w:bottom w:val="none" w:sz="0" w:space="0" w:color="auto"/>
                        <w:right w:val="none" w:sz="0" w:space="0" w:color="auto"/>
                      </w:divBdr>
                    </w:div>
                  </w:divsChild>
                </w:div>
                <w:div w:id="32507003">
                  <w:marLeft w:val="0"/>
                  <w:marRight w:val="0"/>
                  <w:marTop w:val="0"/>
                  <w:marBottom w:val="0"/>
                  <w:divBdr>
                    <w:top w:val="none" w:sz="0" w:space="0" w:color="auto"/>
                    <w:left w:val="none" w:sz="0" w:space="0" w:color="auto"/>
                    <w:bottom w:val="none" w:sz="0" w:space="0" w:color="auto"/>
                    <w:right w:val="none" w:sz="0" w:space="0" w:color="auto"/>
                  </w:divBdr>
                  <w:divsChild>
                    <w:div w:id="1206262015">
                      <w:marLeft w:val="0"/>
                      <w:marRight w:val="0"/>
                      <w:marTop w:val="0"/>
                      <w:marBottom w:val="0"/>
                      <w:divBdr>
                        <w:top w:val="none" w:sz="0" w:space="0" w:color="auto"/>
                        <w:left w:val="none" w:sz="0" w:space="0" w:color="auto"/>
                        <w:bottom w:val="none" w:sz="0" w:space="0" w:color="auto"/>
                        <w:right w:val="none" w:sz="0" w:space="0" w:color="auto"/>
                      </w:divBdr>
                    </w:div>
                  </w:divsChild>
                </w:div>
                <w:div w:id="101582661">
                  <w:marLeft w:val="0"/>
                  <w:marRight w:val="0"/>
                  <w:marTop w:val="0"/>
                  <w:marBottom w:val="0"/>
                  <w:divBdr>
                    <w:top w:val="none" w:sz="0" w:space="0" w:color="auto"/>
                    <w:left w:val="none" w:sz="0" w:space="0" w:color="auto"/>
                    <w:bottom w:val="none" w:sz="0" w:space="0" w:color="auto"/>
                    <w:right w:val="none" w:sz="0" w:space="0" w:color="auto"/>
                  </w:divBdr>
                  <w:divsChild>
                    <w:div w:id="692608437">
                      <w:marLeft w:val="0"/>
                      <w:marRight w:val="0"/>
                      <w:marTop w:val="0"/>
                      <w:marBottom w:val="0"/>
                      <w:divBdr>
                        <w:top w:val="none" w:sz="0" w:space="0" w:color="auto"/>
                        <w:left w:val="none" w:sz="0" w:space="0" w:color="auto"/>
                        <w:bottom w:val="none" w:sz="0" w:space="0" w:color="auto"/>
                        <w:right w:val="none" w:sz="0" w:space="0" w:color="auto"/>
                      </w:divBdr>
                    </w:div>
                  </w:divsChild>
                </w:div>
                <w:div w:id="149103528">
                  <w:marLeft w:val="0"/>
                  <w:marRight w:val="0"/>
                  <w:marTop w:val="0"/>
                  <w:marBottom w:val="0"/>
                  <w:divBdr>
                    <w:top w:val="none" w:sz="0" w:space="0" w:color="auto"/>
                    <w:left w:val="none" w:sz="0" w:space="0" w:color="auto"/>
                    <w:bottom w:val="none" w:sz="0" w:space="0" w:color="auto"/>
                    <w:right w:val="none" w:sz="0" w:space="0" w:color="auto"/>
                  </w:divBdr>
                  <w:divsChild>
                    <w:div w:id="716516178">
                      <w:marLeft w:val="0"/>
                      <w:marRight w:val="0"/>
                      <w:marTop w:val="0"/>
                      <w:marBottom w:val="0"/>
                      <w:divBdr>
                        <w:top w:val="none" w:sz="0" w:space="0" w:color="auto"/>
                        <w:left w:val="none" w:sz="0" w:space="0" w:color="auto"/>
                        <w:bottom w:val="none" w:sz="0" w:space="0" w:color="auto"/>
                        <w:right w:val="none" w:sz="0" w:space="0" w:color="auto"/>
                      </w:divBdr>
                    </w:div>
                  </w:divsChild>
                </w:div>
                <w:div w:id="240801836">
                  <w:marLeft w:val="0"/>
                  <w:marRight w:val="0"/>
                  <w:marTop w:val="0"/>
                  <w:marBottom w:val="0"/>
                  <w:divBdr>
                    <w:top w:val="none" w:sz="0" w:space="0" w:color="auto"/>
                    <w:left w:val="none" w:sz="0" w:space="0" w:color="auto"/>
                    <w:bottom w:val="none" w:sz="0" w:space="0" w:color="auto"/>
                    <w:right w:val="none" w:sz="0" w:space="0" w:color="auto"/>
                  </w:divBdr>
                  <w:divsChild>
                    <w:div w:id="343478433">
                      <w:marLeft w:val="0"/>
                      <w:marRight w:val="0"/>
                      <w:marTop w:val="0"/>
                      <w:marBottom w:val="0"/>
                      <w:divBdr>
                        <w:top w:val="none" w:sz="0" w:space="0" w:color="auto"/>
                        <w:left w:val="none" w:sz="0" w:space="0" w:color="auto"/>
                        <w:bottom w:val="none" w:sz="0" w:space="0" w:color="auto"/>
                        <w:right w:val="none" w:sz="0" w:space="0" w:color="auto"/>
                      </w:divBdr>
                    </w:div>
                  </w:divsChild>
                </w:div>
                <w:div w:id="319701795">
                  <w:marLeft w:val="0"/>
                  <w:marRight w:val="0"/>
                  <w:marTop w:val="0"/>
                  <w:marBottom w:val="0"/>
                  <w:divBdr>
                    <w:top w:val="none" w:sz="0" w:space="0" w:color="auto"/>
                    <w:left w:val="none" w:sz="0" w:space="0" w:color="auto"/>
                    <w:bottom w:val="none" w:sz="0" w:space="0" w:color="auto"/>
                    <w:right w:val="none" w:sz="0" w:space="0" w:color="auto"/>
                  </w:divBdr>
                  <w:divsChild>
                    <w:div w:id="669217026">
                      <w:marLeft w:val="0"/>
                      <w:marRight w:val="0"/>
                      <w:marTop w:val="0"/>
                      <w:marBottom w:val="0"/>
                      <w:divBdr>
                        <w:top w:val="none" w:sz="0" w:space="0" w:color="auto"/>
                        <w:left w:val="none" w:sz="0" w:space="0" w:color="auto"/>
                        <w:bottom w:val="none" w:sz="0" w:space="0" w:color="auto"/>
                        <w:right w:val="none" w:sz="0" w:space="0" w:color="auto"/>
                      </w:divBdr>
                    </w:div>
                  </w:divsChild>
                </w:div>
                <w:div w:id="383793013">
                  <w:marLeft w:val="0"/>
                  <w:marRight w:val="0"/>
                  <w:marTop w:val="0"/>
                  <w:marBottom w:val="0"/>
                  <w:divBdr>
                    <w:top w:val="none" w:sz="0" w:space="0" w:color="auto"/>
                    <w:left w:val="none" w:sz="0" w:space="0" w:color="auto"/>
                    <w:bottom w:val="none" w:sz="0" w:space="0" w:color="auto"/>
                    <w:right w:val="none" w:sz="0" w:space="0" w:color="auto"/>
                  </w:divBdr>
                  <w:divsChild>
                    <w:div w:id="2082290879">
                      <w:marLeft w:val="0"/>
                      <w:marRight w:val="0"/>
                      <w:marTop w:val="0"/>
                      <w:marBottom w:val="0"/>
                      <w:divBdr>
                        <w:top w:val="none" w:sz="0" w:space="0" w:color="auto"/>
                        <w:left w:val="none" w:sz="0" w:space="0" w:color="auto"/>
                        <w:bottom w:val="none" w:sz="0" w:space="0" w:color="auto"/>
                        <w:right w:val="none" w:sz="0" w:space="0" w:color="auto"/>
                      </w:divBdr>
                    </w:div>
                  </w:divsChild>
                </w:div>
                <w:div w:id="410155935">
                  <w:marLeft w:val="0"/>
                  <w:marRight w:val="0"/>
                  <w:marTop w:val="0"/>
                  <w:marBottom w:val="0"/>
                  <w:divBdr>
                    <w:top w:val="none" w:sz="0" w:space="0" w:color="auto"/>
                    <w:left w:val="none" w:sz="0" w:space="0" w:color="auto"/>
                    <w:bottom w:val="none" w:sz="0" w:space="0" w:color="auto"/>
                    <w:right w:val="none" w:sz="0" w:space="0" w:color="auto"/>
                  </w:divBdr>
                  <w:divsChild>
                    <w:div w:id="1995529660">
                      <w:marLeft w:val="0"/>
                      <w:marRight w:val="0"/>
                      <w:marTop w:val="0"/>
                      <w:marBottom w:val="0"/>
                      <w:divBdr>
                        <w:top w:val="none" w:sz="0" w:space="0" w:color="auto"/>
                        <w:left w:val="none" w:sz="0" w:space="0" w:color="auto"/>
                        <w:bottom w:val="none" w:sz="0" w:space="0" w:color="auto"/>
                        <w:right w:val="none" w:sz="0" w:space="0" w:color="auto"/>
                      </w:divBdr>
                    </w:div>
                  </w:divsChild>
                </w:div>
                <w:div w:id="561185114">
                  <w:marLeft w:val="0"/>
                  <w:marRight w:val="0"/>
                  <w:marTop w:val="0"/>
                  <w:marBottom w:val="0"/>
                  <w:divBdr>
                    <w:top w:val="none" w:sz="0" w:space="0" w:color="auto"/>
                    <w:left w:val="none" w:sz="0" w:space="0" w:color="auto"/>
                    <w:bottom w:val="none" w:sz="0" w:space="0" w:color="auto"/>
                    <w:right w:val="none" w:sz="0" w:space="0" w:color="auto"/>
                  </w:divBdr>
                  <w:divsChild>
                    <w:div w:id="1789471294">
                      <w:marLeft w:val="0"/>
                      <w:marRight w:val="0"/>
                      <w:marTop w:val="0"/>
                      <w:marBottom w:val="0"/>
                      <w:divBdr>
                        <w:top w:val="none" w:sz="0" w:space="0" w:color="auto"/>
                        <w:left w:val="none" w:sz="0" w:space="0" w:color="auto"/>
                        <w:bottom w:val="none" w:sz="0" w:space="0" w:color="auto"/>
                        <w:right w:val="none" w:sz="0" w:space="0" w:color="auto"/>
                      </w:divBdr>
                    </w:div>
                  </w:divsChild>
                </w:div>
                <w:div w:id="579675370">
                  <w:marLeft w:val="0"/>
                  <w:marRight w:val="0"/>
                  <w:marTop w:val="0"/>
                  <w:marBottom w:val="0"/>
                  <w:divBdr>
                    <w:top w:val="none" w:sz="0" w:space="0" w:color="auto"/>
                    <w:left w:val="none" w:sz="0" w:space="0" w:color="auto"/>
                    <w:bottom w:val="none" w:sz="0" w:space="0" w:color="auto"/>
                    <w:right w:val="none" w:sz="0" w:space="0" w:color="auto"/>
                  </w:divBdr>
                  <w:divsChild>
                    <w:div w:id="398476190">
                      <w:marLeft w:val="0"/>
                      <w:marRight w:val="0"/>
                      <w:marTop w:val="0"/>
                      <w:marBottom w:val="0"/>
                      <w:divBdr>
                        <w:top w:val="none" w:sz="0" w:space="0" w:color="auto"/>
                        <w:left w:val="none" w:sz="0" w:space="0" w:color="auto"/>
                        <w:bottom w:val="none" w:sz="0" w:space="0" w:color="auto"/>
                        <w:right w:val="none" w:sz="0" w:space="0" w:color="auto"/>
                      </w:divBdr>
                    </w:div>
                  </w:divsChild>
                </w:div>
                <w:div w:id="594436189">
                  <w:marLeft w:val="0"/>
                  <w:marRight w:val="0"/>
                  <w:marTop w:val="0"/>
                  <w:marBottom w:val="0"/>
                  <w:divBdr>
                    <w:top w:val="none" w:sz="0" w:space="0" w:color="auto"/>
                    <w:left w:val="none" w:sz="0" w:space="0" w:color="auto"/>
                    <w:bottom w:val="none" w:sz="0" w:space="0" w:color="auto"/>
                    <w:right w:val="none" w:sz="0" w:space="0" w:color="auto"/>
                  </w:divBdr>
                  <w:divsChild>
                    <w:div w:id="817188410">
                      <w:marLeft w:val="0"/>
                      <w:marRight w:val="0"/>
                      <w:marTop w:val="0"/>
                      <w:marBottom w:val="0"/>
                      <w:divBdr>
                        <w:top w:val="none" w:sz="0" w:space="0" w:color="auto"/>
                        <w:left w:val="none" w:sz="0" w:space="0" w:color="auto"/>
                        <w:bottom w:val="none" w:sz="0" w:space="0" w:color="auto"/>
                        <w:right w:val="none" w:sz="0" w:space="0" w:color="auto"/>
                      </w:divBdr>
                    </w:div>
                  </w:divsChild>
                </w:div>
                <w:div w:id="597759991">
                  <w:marLeft w:val="0"/>
                  <w:marRight w:val="0"/>
                  <w:marTop w:val="0"/>
                  <w:marBottom w:val="0"/>
                  <w:divBdr>
                    <w:top w:val="none" w:sz="0" w:space="0" w:color="auto"/>
                    <w:left w:val="none" w:sz="0" w:space="0" w:color="auto"/>
                    <w:bottom w:val="none" w:sz="0" w:space="0" w:color="auto"/>
                    <w:right w:val="none" w:sz="0" w:space="0" w:color="auto"/>
                  </w:divBdr>
                  <w:divsChild>
                    <w:div w:id="1686904722">
                      <w:marLeft w:val="0"/>
                      <w:marRight w:val="0"/>
                      <w:marTop w:val="0"/>
                      <w:marBottom w:val="0"/>
                      <w:divBdr>
                        <w:top w:val="none" w:sz="0" w:space="0" w:color="auto"/>
                        <w:left w:val="none" w:sz="0" w:space="0" w:color="auto"/>
                        <w:bottom w:val="none" w:sz="0" w:space="0" w:color="auto"/>
                        <w:right w:val="none" w:sz="0" w:space="0" w:color="auto"/>
                      </w:divBdr>
                    </w:div>
                  </w:divsChild>
                </w:div>
                <w:div w:id="598218085">
                  <w:marLeft w:val="0"/>
                  <w:marRight w:val="0"/>
                  <w:marTop w:val="0"/>
                  <w:marBottom w:val="0"/>
                  <w:divBdr>
                    <w:top w:val="none" w:sz="0" w:space="0" w:color="auto"/>
                    <w:left w:val="none" w:sz="0" w:space="0" w:color="auto"/>
                    <w:bottom w:val="none" w:sz="0" w:space="0" w:color="auto"/>
                    <w:right w:val="none" w:sz="0" w:space="0" w:color="auto"/>
                  </w:divBdr>
                  <w:divsChild>
                    <w:div w:id="262229255">
                      <w:marLeft w:val="0"/>
                      <w:marRight w:val="0"/>
                      <w:marTop w:val="0"/>
                      <w:marBottom w:val="0"/>
                      <w:divBdr>
                        <w:top w:val="none" w:sz="0" w:space="0" w:color="auto"/>
                        <w:left w:val="none" w:sz="0" w:space="0" w:color="auto"/>
                        <w:bottom w:val="none" w:sz="0" w:space="0" w:color="auto"/>
                        <w:right w:val="none" w:sz="0" w:space="0" w:color="auto"/>
                      </w:divBdr>
                    </w:div>
                  </w:divsChild>
                </w:div>
                <w:div w:id="645083967">
                  <w:marLeft w:val="0"/>
                  <w:marRight w:val="0"/>
                  <w:marTop w:val="0"/>
                  <w:marBottom w:val="0"/>
                  <w:divBdr>
                    <w:top w:val="none" w:sz="0" w:space="0" w:color="auto"/>
                    <w:left w:val="none" w:sz="0" w:space="0" w:color="auto"/>
                    <w:bottom w:val="none" w:sz="0" w:space="0" w:color="auto"/>
                    <w:right w:val="none" w:sz="0" w:space="0" w:color="auto"/>
                  </w:divBdr>
                  <w:divsChild>
                    <w:div w:id="1801149838">
                      <w:marLeft w:val="0"/>
                      <w:marRight w:val="0"/>
                      <w:marTop w:val="0"/>
                      <w:marBottom w:val="0"/>
                      <w:divBdr>
                        <w:top w:val="none" w:sz="0" w:space="0" w:color="auto"/>
                        <w:left w:val="none" w:sz="0" w:space="0" w:color="auto"/>
                        <w:bottom w:val="none" w:sz="0" w:space="0" w:color="auto"/>
                        <w:right w:val="none" w:sz="0" w:space="0" w:color="auto"/>
                      </w:divBdr>
                    </w:div>
                  </w:divsChild>
                </w:div>
                <w:div w:id="670723178">
                  <w:marLeft w:val="0"/>
                  <w:marRight w:val="0"/>
                  <w:marTop w:val="0"/>
                  <w:marBottom w:val="0"/>
                  <w:divBdr>
                    <w:top w:val="none" w:sz="0" w:space="0" w:color="auto"/>
                    <w:left w:val="none" w:sz="0" w:space="0" w:color="auto"/>
                    <w:bottom w:val="none" w:sz="0" w:space="0" w:color="auto"/>
                    <w:right w:val="none" w:sz="0" w:space="0" w:color="auto"/>
                  </w:divBdr>
                  <w:divsChild>
                    <w:div w:id="1688409030">
                      <w:marLeft w:val="0"/>
                      <w:marRight w:val="0"/>
                      <w:marTop w:val="0"/>
                      <w:marBottom w:val="0"/>
                      <w:divBdr>
                        <w:top w:val="none" w:sz="0" w:space="0" w:color="auto"/>
                        <w:left w:val="none" w:sz="0" w:space="0" w:color="auto"/>
                        <w:bottom w:val="none" w:sz="0" w:space="0" w:color="auto"/>
                        <w:right w:val="none" w:sz="0" w:space="0" w:color="auto"/>
                      </w:divBdr>
                    </w:div>
                  </w:divsChild>
                </w:div>
                <w:div w:id="795296054">
                  <w:marLeft w:val="0"/>
                  <w:marRight w:val="0"/>
                  <w:marTop w:val="0"/>
                  <w:marBottom w:val="0"/>
                  <w:divBdr>
                    <w:top w:val="none" w:sz="0" w:space="0" w:color="auto"/>
                    <w:left w:val="none" w:sz="0" w:space="0" w:color="auto"/>
                    <w:bottom w:val="none" w:sz="0" w:space="0" w:color="auto"/>
                    <w:right w:val="none" w:sz="0" w:space="0" w:color="auto"/>
                  </w:divBdr>
                  <w:divsChild>
                    <w:div w:id="1969045917">
                      <w:marLeft w:val="0"/>
                      <w:marRight w:val="0"/>
                      <w:marTop w:val="0"/>
                      <w:marBottom w:val="0"/>
                      <w:divBdr>
                        <w:top w:val="none" w:sz="0" w:space="0" w:color="auto"/>
                        <w:left w:val="none" w:sz="0" w:space="0" w:color="auto"/>
                        <w:bottom w:val="none" w:sz="0" w:space="0" w:color="auto"/>
                        <w:right w:val="none" w:sz="0" w:space="0" w:color="auto"/>
                      </w:divBdr>
                    </w:div>
                  </w:divsChild>
                </w:div>
                <w:div w:id="962731133">
                  <w:marLeft w:val="0"/>
                  <w:marRight w:val="0"/>
                  <w:marTop w:val="0"/>
                  <w:marBottom w:val="0"/>
                  <w:divBdr>
                    <w:top w:val="none" w:sz="0" w:space="0" w:color="auto"/>
                    <w:left w:val="none" w:sz="0" w:space="0" w:color="auto"/>
                    <w:bottom w:val="none" w:sz="0" w:space="0" w:color="auto"/>
                    <w:right w:val="none" w:sz="0" w:space="0" w:color="auto"/>
                  </w:divBdr>
                  <w:divsChild>
                    <w:div w:id="371811740">
                      <w:marLeft w:val="0"/>
                      <w:marRight w:val="0"/>
                      <w:marTop w:val="0"/>
                      <w:marBottom w:val="0"/>
                      <w:divBdr>
                        <w:top w:val="none" w:sz="0" w:space="0" w:color="auto"/>
                        <w:left w:val="none" w:sz="0" w:space="0" w:color="auto"/>
                        <w:bottom w:val="none" w:sz="0" w:space="0" w:color="auto"/>
                        <w:right w:val="none" w:sz="0" w:space="0" w:color="auto"/>
                      </w:divBdr>
                    </w:div>
                  </w:divsChild>
                </w:div>
                <w:div w:id="968126258">
                  <w:marLeft w:val="0"/>
                  <w:marRight w:val="0"/>
                  <w:marTop w:val="0"/>
                  <w:marBottom w:val="0"/>
                  <w:divBdr>
                    <w:top w:val="none" w:sz="0" w:space="0" w:color="auto"/>
                    <w:left w:val="none" w:sz="0" w:space="0" w:color="auto"/>
                    <w:bottom w:val="none" w:sz="0" w:space="0" w:color="auto"/>
                    <w:right w:val="none" w:sz="0" w:space="0" w:color="auto"/>
                  </w:divBdr>
                  <w:divsChild>
                    <w:div w:id="975338232">
                      <w:marLeft w:val="0"/>
                      <w:marRight w:val="0"/>
                      <w:marTop w:val="0"/>
                      <w:marBottom w:val="0"/>
                      <w:divBdr>
                        <w:top w:val="none" w:sz="0" w:space="0" w:color="auto"/>
                        <w:left w:val="none" w:sz="0" w:space="0" w:color="auto"/>
                        <w:bottom w:val="none" w:sz="0" w:space="0" w:color="auto"/>
                        <w:right w:val="none" w:sz="0" w:space="0" w:color="auto"/>
                      </w:divBdr>
                    </w:div>
                  </w:divsChild>
                </w:div>
                <w:div w:id="982392221">
                  <w:marLeft w:val="0"/>
                  <w:marRight w:val="0"/>
                  <w:marTop w:val="0"/>
                  <w:marBottom w:val="0"/>
                  <w:divBdr>
                    <w:top w:val="none" w:sz="0" w:space="0" w:color="auto"/>
                    <w:left w:val="none" w:sz="0" w:space="0" w:color="auto"/>
                    <w:bottom w:val="none" w:sz="0" w:space="0" w:color="auto"/>
                    <w:right w:val="none" w:sz="0" w:space="0" w:color="auto"/>
                  </w:divBdr>
                  <w:divsChild>
                    <w:div w:id="2049332278">
                      <w:marLeft w:val="0"/>
                      <w:marRight w:val="0"/>
                      <w:marTop w:val="0"/>
                      <w:marBottom w:val="0"/>
                      <w:divBdr>
                        <w:top w:val="none" w:sz="0" w:space="0" w:color="auto"/>
                        <w:left w:val="none" w:sz="0" w:space="0" w:color="auto"/>
                        <w:bottom w:val="none" w:sz="0" w:space="0" w:color="auto"/>
                        <w:right w:val="none" w:sz="0" w:space="0" w:color="auto"/>
                      </w:divBdr>
                    </w:div>
                  </w:divsChild>
                </w:div>
                <w:div w:id="1011417311">
                  <w:marLeft w:val="0"/>
                  <w:marRight w:val="0"/>
                  <w:marTop w:val="0"/>
                  <w:marBottom w:val="0"/>
                  <w:divBdr>
                    <w:top w:val="none" w:sz="0" w:space="0" w:color="auto"/>
                    <w:left w:val="none" w:sz="0" w:space="0" w:color="auto"/>
                    <w:bottom w:val="none" w:sz="0" w:space="0" w:color="auto"/>
                    <w:right w:val="none" w:sz="0" w:space="0" w:color="auto"/>
                  </w:divBdr>
                  <w:divsChild>
                    <w:div w:id="288904279">
                      <w:marLeft w:val="0"/>
                      <w:marRight w:val="0"/>
                      <w:marTop w:val="0"/>
                      <w:marBottom w:val="0"/>
                      <w:divBdr>
                        <w:top w:val="none" w:sz="0" w:space="0" w:color="auto"/>
                        <w:left w:val="none" w:sz="0" w:space="0" w:color="auto"/>
                        <w:bottom w:val="none" w:sz="0" w:space="0" w:color="auto"/>
                        <w:right w:val="none" w:sz="0" w:space="0" w:color="auto"/>
                      </w:divBdr>
                    </w:div>
                  </w:divsChild>
                </w:div>
                <w:div w:id="1026949854">
                  <w:marLeft w:val="0"/>
                  <w:marRight w:val="0"/>
                  <w:marTop w:val="0"/>
                  <w:marBottom w:val="0"/>
                  <w:divBdr>
                    <w:top w:val="none" w:sz="0" w:space="0" w:color="auto"/>
                    <w:left w:val="none" w:sz="0" w:space="0" w:color="auto"/>
                    <w:bottom w:val="none" w:sz="0" w:space="0" w:color="auto"/>
                    <w:right w:val="none" w:sz="0" w:space="0" w:color="auto"/>
                  </w:divBdr>
                  <w:divsChild>
                    <w:div w:id="829179560">
                      <w:marLeft w:val="0"/>
                      <w:marRight w:val="0"/>
                      <w:marTop w:val="0"/>
                      <w:marBottom w:val="0"/>
                      <w:divBdr>
                        <w:top w:val="none" w:sz="0" w:space="0" w:color="auto"/>
                        <w:left w:val="none" w:sz="0" w:space="0" w:color="auto"/>
                        <w:bottom w:val="none" w:sz="0" w:space="0" w:color="auto"/>
                        <w:right w:val="none" w:sz="0" w:space="0" w:color="auto"/>
                      </w:divBdr>
                    </w:div>
                  </w:divsChild>
                </w:div>
                <w:div w:id="1031607408">
                  <w:marLeft w:val="0"/>
                  <w:marRight w:val="0"/>
                  <w:marTop w:val="0"/>
                  <w:marBottom w:val="0"/>
                  <w:divBdr>
                    <w:top w:val="none" w:sz="0" w:space="0" w:color="auto"/>
                    <w:left w:val="none" w:sz="0" w:space="0" w:color="auto"/>
                    <w:bottom w:val="none" w:sz="0" w:space="0" w:color="auto"/>
                    <w:right w:val="none" w:sz="0" w:space="0" w:color="auto"/>
                  </w:divBdr>
                  <w:divsChild>
                    <w:div w:id="1518543332">
                      <w:marLeft w:val="0"/>
                      <w:marRight w:val="0"/>
                      <w:marTop w:val="0"/>
                      <w:marBottom w:val="0"/>
                      <w:divBdr>
                        <w:top w:val="none" w:sz="0" w:space="0" w:color="auto"/>
                        <w:left w:val="none" w:sz="0" w:space="0" w:color="auto"/>
                        <w:bottom w:val="none" w:sz="0" w:space="0" w:color="auto"/>
                        <w:right w:val="none" w:sz="0" w:space="0" w:color="auto"/>
                      </w:divBdr>
                    </w:div>
                  </w:divsChild>
                </w:div>
                <w:div w:id="1053963308">
                  <w:marLeft w:val="0"/>
                  <w:marRight w:val="0"/>
                  <w:marTop w:val="0"/>
                  <w:marBottom w:val="0"/>
                  <w:divBdr>
                    <w:top w:val="none" w:sz="0" w:space="0" w:color="auto"/>
                    <w:left w:val="none" w:sz="0" w:space="0" w:color="auto"/>
                    <w:bottom w:val="none" w:sz="0" w:space="0" w:color="auto"/>
                    <w:right w:val="none" w:sz="0" w:space="0" w:color="auto"/>
                  </w:divBdr>
                  <w:divsChild>
                    <w:div w:id="1672752773">
                      <w:marLeft w:val="0"/>
                      <w:marRight w:val="0"/>
                      <w:marTop w:val="0"/>
                      <w:marBottom w:val="0"/>
                      <w:divBdr>
                        <w:top w:val="none" w:sz="0" w:space="0" w:color="auto"/>
                        <w:left w:val="none" w:sz="0" w:space="0" w:color="auto"/>
                        <w:bottom w:val="none" w:sz="0" w:space="0" w:color="auto"/>
                        <w:right w:val="none" w:sz="0" w:space="0" w:color="auto"/>
                      </w:divBdr>
                    </w:div>
                  </w:divsChild>
                </w:div>
                <w:div w:id="1183595876">
                  <w:marLeft w:val="0"/>
                  <w:marRight w:val="0"/>
                  <w:marTop w:val="0"/>
                  <w:marBottom w:val="0"/>
                  <w:divBdr>
                    <w:top w:val="none" w:sz="0" w:space="0" w:color="auto"/>
                    <w:left w:val="none" w:sz="0" w:space="0" w:color="auto"/>
                    <w:bottom w:val="none" w:sz="0" w:space="0" w:color="auto"/>
                    <w:right w:val="none" w:sz="0" w:space="0" w:color="auto"/>
                  </w:divBdr>
                  <w:divsChild>
                    <w:div w:id="1302267009">
                      <w:marLeft w:val="0"/>
                      <w:marRight w:val="0"/>
                      <w:marTop w:val="0"/>
                      <w:marBottom w:val="0"/>
                      <w:divBdr>
                        <w:top w:val="none" w:sz="0" w:space="0" w:color="auto"/>
                        <w:left w:val="none" w:sz="0" w:space="0" w:color="auto"/>
                        <w:bottom w:val="none" w:sz="0" w:space="0" w:color="auto"/>
                        <w:right w:val="none" w:sz="0" w:space="0" w:color="auto"/>
                      </w:divBdr>
                    </w:div>
                  </w:divsChild>
                </w:div>
                <w:div w:id="1205023817">
                  <w:marLeft w:val="0"/>
                  <w:marRight w:val="0"/>
                  <w:marTop w:val="0"/>
                  <w:marBottom w:val="0"/>
                  <w:divBdr>
                    <w:top w:val="none" w:sz="0" w:space="0" w:color="auto"/>
                    <w:left w:val="none" w:sz="0" w:space="0" w:color="auto"/>
                    <w:bottom w:val="none" w:sz="0" w:space="0" w:color="auto"/>
                    <w:right w:val="none" w:sz="0" w:space="0" w:color="auto"/>
                  </w:divBdr>
                  <w:divsChild>
                    <w:div w:id="118762781">
                      <w:marLeft w:val="0"/>
                      <w:marRight w:val="0"/>
                      <w:marTop w:val="0"/>
                      <w:marBottom w:val="0"/>
                      <w:divBdr>
                        <w:top w:val="none" w:sz="0" w:space="0" w:color="auto"/>
                        <w:left w:val="none" w:sz="0" w:space="0" w:color="auto"/>
                        <w:bottom w:val="none" w:sz="0" w:space="0" w:color="auto"/>
                        <w:right w:val="none" w:sz="0" w:space="0" w:color="auto"/>
                      </w:divBdr>
                    </w:div>
                  </w:divsChild>
                </w:div>
                <w:div w:id="1205799708">
                  <w:marLeft w:val="0"/>
                  <w:marRight w:val="0"/>
                  <w:marTop w:val="0"/>
                  <w:marBottom w:val="0"/>
                  <w:divBdr>
                    <w:top w:val="none" w:sz="0" w:space="0" w:color="auto"/>
                    <w:left w:val="none" w:sz="0" w:space="0" w:color="auto"/>
                    <w:bottom w:val="none" w:sz="0" w:space="0" w:color="auto"/>
                    <w:right w:val="none" w:sz="0" w:space="0" w:color="auto"/>
                  </w:divBdr>
                  <w:divsChild>
                    <w:div w:id="5601844">
                      <w:marLeft w:val="0"/>
                      <w:marRight w:val="0"/>
                      <w:marTop w:val="0"/>
                      <w:marBottom w:val="0"/>
                      <w:divBdr>
                        <w:top w:val="none" w:sz="0" w:space="0" w:color="auto"/>
                        <w:left w:val="none" w:sz="0" w:space="0" w:color="auto"/>
                        <w:bottom w:val="none" w:sz="0" w:space="0" w:color="auto"/>
                        <w:right w:val="none" w:sz="0" w:space="0" w:color="auto"/>
                      </w:divBdr>
                    </w:div>
                  </w:divsChild>
                </w:div>
                <w:div w:id="1225529468">
                  <w:marLeft w:val="0"/>
                  <w:marRight w:val="0"/>
                  <w:marTop w:val="0"/>
                  <w:marBottom w:val="0"/>
                  <w:divBdr>
                    <w:top w:val="none" w:sz="0" w:space="0" w:color="auto"/>
                    <w:left w:val="none" w:sz="0" w:space="0" w:color="auto"/>
                    <w:bottom w:val="none" w:sz="0" w:space="0" w:color="auto"/>
                    <w:right w:val="none" w:sz="0" w:space="0" w:color="auto"/>
                  </w:divBdr>
                  <w:divsChild>
                    <w:div w:id="713895230">
                      <w:marLeft w:val="0"/>
                      <w:marRight w:val="0"/>
                      <w:marTop w:val="0"/>
                      <w:marBottom w:val="0"/>
                      <w:divBdr>
                        <w:top w:val="none" w:sz="0" w:space="0" w:color="auto"/>
                        <w:left w:val="none" w:sz="0" w:space="0" w:color="auto"/>
                        <w:bottom w:val="none" w:sz="0" w:space="0" w:color="auto"/>
                        <w:right w:val="none" w:sz="0" w:space="0" w:color="auto"/>
                      </w:divBdr>
                    </w:div>
                  </w:divsChild>
                </w:div>
                <w:div w:id="1256396968">
                  <w:marLeft w:val="0"/>
                  <w:marRight w:val="0"/>
                  <w:marTop w:val="0"/>
                  <w:marBottom w:val="0"/>
                  <w:divBdr>
                    <w:top w:val="none" w:sz="0" w:space="0" w:color="auto"/>
                    <w:left w:val="none" w:sz="0" w:space="0" w:color="auto"/>
                    <w:bottom w:val="none" w:sz="0" w:space="0" w:color="auto"/>
                    <w:right w:val="none" w:sz="0" w:space="0" w:color="auto"/>
                  </w:divBdr>
                  <w:divsChild>
                    <w:div w:id="1604994809">
                      <w:marLeft w:val="0"/>
                      <w:marRight w:val="0"/>
                      <w:marTop w:val="0"/>
                      <w:marBottom w:val="0"/>
                      <w:divBdr>
                        <w:top w:val="none" w:sz="0" w:space="0" w:color="auto"/>
                        <w:left w:val="none" w:sz="0" w:space="0" w:color="auto"/>
                        <w:bottom w:val="none" w:sz="0" w:space="0" w:color="auto"/>
                        <w:right w:val="none" w:sz="0" w:space="0" w:color="auto"/>
                      </w:divBdr>
                    </w:div>
                  </w:divsChild>
                </w:div>
                <w:div w:id="1333138786">
                  <w:marLeft w:val="0"/>
                  <w:marRight w:val="0"/>
                  <w:marTop w:val="0"/>
                  <w:marBottom w:val="0"/>
                  <w:divBdr>
                    <w:top w:val="none" w:sz="0" w:space="0" w:color="auto"/>
                    <w:left w:val="none" w:sz="0" w:space="0" w:color="auto"/>
                    <w:bottom w:val="none" w:sz="0" w:space="0" w:color="auto"/>
                    <w:right w:val="none" w:sz="0" w:space="0" w:color="auto"/>
                  </w:divBdr>
                  <w:divsChild>
                    <w:div w:id="514151652">
                      <w:marLeft w:val="0"/>
                      <w:marRight w:val="0"/>
                      <w:marTop w:val="0"/>
                      <w:marBottom w:val="0"/>
                      <w:divBdr>
                        <w:top w:val="none" w:sz="0" w:space="0" w:color="auto"/>
                        <w:left w:val="none" w:sz="0" w:space="0" w:color="auto"/>
                        <w:bottom w:val="none" w:sz="0" w:space="0" w:color="auto"/>
                        <w:right w:val="none" w:sz="0" w:space="0" w:color="auto"/>
                      </w:divBdr>
                    </w:div>
                  </w:divsChild>
                </w:div>
                <w:div w:id="1337076401">
                  <w:marLeft w:val="0"/>
                  <w:marRight w:val="0"/>
                  <w:marTop w:val="0"/>
                  <w:marBottom w:val="0"/>
                  <w:divBdr>
                    <w:top w:val="none" w:sz="0" w:space="0" w:color="auto"/>
                    <w:left w:val="none" w:sz="0" w:space="0" w:color="auto"/>
                    <w:bottom w:val="none" w:sz="0" w:space="0" w:color="auto"/>
                    <w:right w:val="none" w:sz="0" w:space="0" w:color="auto"/>
                  </w:divBdr>
                  <w:divsChild>
                    <w:div w:id="1688171633">
                      <w:marLeft w:val="0"/>
                      <w:marRight w:val="0"/>
                      <w:marTop w:val="0"/>
                      <w:marBottom w:val="0"/>
                      <w:divBdr>
                        <w:top w:val="none" w:sz="0" w:space="0" w:color="auto"/>
                        <w:left w:val="none" w:sz="0" w:space="0" w:color="auto"/>
                        <w:bottom w:val="none" w:sz="0" w:space="0" w:color="auto"/>
                        <w:right w:val="none" w:sz="0" w:space="0" w:color="auto"/>
                      </w:divBdr>
                    </w:div>
                  </w:divsChild>
                </w:div>
                <w:div w:id="1362707785">
                  <w:marLeft w:val="0"/>
                  <w:marRight w:val="0"/>
                  <w:marTop w:val="0"/>
                  <w:marBottom w:val="0"/>
                  <w:divBdr>
                    <w:top w:val="none" w:sz="0" w:space="0" w:color="auto"/>
                    <w:left w:val="none" w:sz="0" w:space="0" w:color="auto"/>
                    <w:bottom w:val="none" w:sz="0" w:space="0" w:color="auto"/>
                    <w:right w:val="none" w:sz="0" w:space="0" w:color="auto"/>
                  </w:divBdr>
                  <w:divsChild>
                    <w:div w:id="274488742">
                      <w:marLeft w:val="0"/>
                      <w:marRight w:val="0"/>
                      <w:marTop w:val="0"/>
                      <w:marBottom w:val="0"/>
                      <w:divBdr>
                        <w:top w:val="none" w:sz="0" w:space="0" w:color="auto"/>
                        <w:left w:val="none" w:sz="0" w:space="0" w:color="auto"/>
                        <w:bottom w:val="none" w:sz="0" w:space="0" w:color="auto"/>
                        <w:right w:val="none" w:sz="0" w:space="0" w:color="auto"/>
                      </w:divBdr>
                    </w:div>
                  </w:divsChild>
                </w:div>
                <w:div w:id="1369140055">
                  <w:marLeft w:val="0"/>
                  <w:marRight w:val="0"/>
                  <w:marTop w:val="0"/>
                  <w:marBottom w:val="0"/>
                  <w:divBdr>
                    <w:top w:val="none" w:sz="0" w:space="0" w:color="auto"/>
                    <w:left w:val="none" w:sz="0" w:space="0" w:color="auto"/>
                    <w:bottom w:val="none" w:sz="0" w:space="0" w:color="auto"/>
                    <w:right w:val="none" w:sz="0" w:space="0" w:color="auto"/>
                  </w:divBdr>
                  <w:divsChild>
                    <w:div w:id="229539411">
                      <w:marLeft w:val="0"/>
                      <w:marRight w:val="0"/>
                      <w:marTop w:val="0"/>
                      <w:marBottom w:val="0"/>
                      <w:divBdr>
                        <w:top w:val="none" w:sz="0" w:space="0" w:color="auto"/>
                        <w:left w:val="none" w:sz="0" w:space="0" w:color="auto"/>
                        <w:bottom w:val="none" w:sz="0" w:space="0" w:color="auto"/>
                        <w:right w:val="none" w:sz="0" w:space="0" w:color="auto"/>
                      </w:divBdr>
                    </w:div>
                  </w:divsChild>
                </w:div>
                <w:div w:id="1377048009">
                  <w:marLeft w:val="0"/>
                  <w:marRight w:val="0"/>
                  <w:marTop w:val="0"/>
                  <w:marBottom w:val="0"/>
                  <w:divBdr>
                    <w:top w:val="none" w:sz="0" w:space="0" w:color="auto"/>
                    <w:left w:val="none" w:sz="0" w:space="0" w:color="auto"/>
                    <w:bottom w:val="none" w:sz="0" w:space="0" w:color="auto"/>
                    <w:right w:val="none" w:sz="0" w:space="0" w:color="auto"/>
                  </w:divBdr>
                  <w:divsChild>
                    <w:div w:id="51276279">
                      <w:marLeft w:val="0"/>
                      <w:marRight w:val="0"/>
                      <w:marTop w:val="0"/>
                      <w:marBottom w:val="0"/>
                      <w:divBdr>
                        <w:top w:val="none" w:sz="0" w:space="0" w:color="auto"/>
                        <w:left w:val="none" w:sz="0" w:space="0" w:color="auto"/>
                        <w:bottom w:val="none" w:sz="0" w:space="0" w:color="auto"/>
                        <w:right w:val="none" w:sz="0" w:space="0" w:color="auto"/>
                      </w:divBdr>
                    </w:div>
                  </w:divsChild>
                </w:div>
                <w:div w:id="1442260167">
                  <w:marLeft w:val="0"/>
                  <w:marRight w:val="0"/>
                  <w:marTop w:val="0"/>
                  <w:marBottom w:val="0"/>
                  <w:divBdr>
                    <w:top w:val="none" w:sz="0" w:space="0" w:color="auto"/>
                    <w:left w:val="none" w:sz="0" w:space="0" w:color="auto"/>
                    <w:bottom w:val="none" w:sz="0" w:space="0" w:color="auto"/>
                    <w:right w:val="none" w:sz="0" w:space="0" w:color="auto"/>
                  </w:divBdr>
                  <w:divsChild>
                    <w:div w:id="297229651">
                      <w:marLeft w:val="0"/>
                      <w:marRight w:val="0"/>
                      <w:marTop w:val="0"/>
                      <w:marBottom w:val="0"/>
                      <w:divBdr>
                        <w:top w:val="none" w:sz="0" w:space="0" w:color="auto"/>
                        <w:left w:val="none" w:sz="0" w:space="0" w:color="auto"/>
                        <w:bottom w:val="none" w:sz="0" w:space="0" w:color="auto"/>
                        <w:right w:val="none" w:sz="0" w:space="0" w:color="auto"/>
                      </w:divBdr>
                    </w:div>
                  </w:divsChild>
                </w:div>
                <w:div w:id="1463570206">
                  <w:marLeft w:val="0"/>
                  <w:marRight w:val="0"/>
                  <w:marTop w:val="0"/>
                  <w:marBottom w:val="0"/>
                  <w:divBdr>
                    <w:top w:val="none" w:sz="0" w:space="0" w:color="auto"/>
                    <w:left w:val="none" w:sz="0" w:space="0" w:color="auto"/>
                    <w:bottom w:val="none" w:sz="0" w:space="0" w:color="auto"/>
                    <w:right w:val="none" w:sz="0" w:space="0" w:color="auto"/>
                  </w:divBdr>
                  <w:divsChild>
                    <w:div w:id="1576889387">
                      <w:marLeft w:val="0"/>
                      <w:marRight w:val="0"/>
                      <w:marTop w:val="0"/>
                      <w:marBottom w:val="0"/>
                      <w:divBdr>
                        <w:top w:val="none" w:sz="0" w:space="0" w:color="auto"/>
                        <w:left w:val="none" w:sz="0" w:space="0" w:color="auto"/>
                        <w:bottom w:val="none" w:sz="0" w:space="0" w:color="auto"/>
                        <w:right w:val="none" w:sz="0" w:space="0" w:color="auto"/>
                      </w:divBdr>
                    </w:div>
                  </w:divsChild>
                </w:div>
                <w:div w:id="1475836374">
                  <w:marLeft w:val="0"/>
                  <w:marRight w:val="0"/>
                  <w:marTop w:val="0"/>
                  <w:marBottom w:val="0"/>
                  <w:divBdr>
                    <w:top w:val="none" w:sz="0" w:space="0" w:color="auto"/>
                    <w:left w:val="none" w:sz="0" w:space="0" w:color="auto"/>
                    <w:bottom w:val="none" w:sz="0" w:space="0" w:color="auto"/>
                    <w:right w:val="none" w:sz="0" w:space="0" w:color="auto"/>
                  </w:divBdr>
                  <w:divsChild>
                    <w:div w:id="495847113">
                      <w:marLeft w:val="0"/>
                      <w:marRight w:val="0"/>
                      <w:marTop w:val="0"/>
                      <w:marBottom w:val="0"/>
                      <w:divBdr>
                        <w:top w:val="none" w:sz="0" w:space="0" w:color="auto"/>
                        <w:left w:val="none" w:sz="0" w:space="0" w:color="auto"/>
                        <w:bottom w:val="none" w:sz="0" w:space="0" w:color="auto"/>
                        <w:right w:val="none" w:sz="0" w:space="0" w:color="auto"/>
                      </w:divBdr>
                    </w:div>
                  </w:divsChild>
                </w:div>
                <w:div w:id="1494948849">
                  <w:marLeft w:val="0"/>
                  <w:marRight w:val="0"/>
                  <w:marTop w:val="0"/>
                  <w:marBottom w:val="0"/>
                  <w:divBdr>
                    <w:top w:val="none" w:sz="0" w:space="0" w:color="auto"/>
                    <w:left w:val="none" w:sz="0" w:space="0" w:color="auto"/>
                    <w:bottom w:val="none" w:sz="0" w:space="0" w:color="auto"/>
                    <w:right w:val="none" w:sz="0" w:space="0" w:color="auto"/>
                  </w:divBdr>
                  <w:divsChild>
                    <w:div w:id="1210995720">
                      <w:marLeft w:val="0"/>
                      <w:marRight w:val="0"/>
                      <w:marTop w:val="0"/>
                      <w:marBottom w:val="0"/>
                      <w:divBdr>
                        <w:top w:val="none" w:sz="0" w:space="0" w:color="auto"/>
                        <w:left w:val="none" w:sz="0" w:space="0" w:color="auto"/>
                        <w:bottom w:val="none" w:sz="0" w:space="0" w:color="auto"/>
                        <w:right w:val="none" w:sz="0" w:space="0" w:color="auto"/>
                      </w:divBdr>
                    </w:div>
                  </w:divsChild>
                </w:div>
                <w:div w:id="1496260883">
                  <w:marLeft w:val="0"/>
                  <w:marRight w:val="0"/>
                  <w:marTop w:val="0"/>
                  <w:marBottom w:val="0"/>
                  <w:divBdr>
                    <w:top w:val="none" w:sz="0" w:space="0" w:color="auto"/>
                    <w:left w:val="none" w:sz="0" w:space="0" w:color="auto"/>
                    <w:bottom w:val="none" w:sz="0" w:space="0" w:color="auto"/>
                    <w:right w:val="none" w:sz="0" w:space="0" w:color="auto"/>
                  </w:divBdr>
                  <w:divsChild>
                    <w:div w:id="1099448343">
                      <w:marLeft w:val="0"/>
                      <w:marRight w:val="0"/>
                      <w:marTop w:val="0"/>
                      <w:marBottom w:val="0"/>
                      <w:divBdr>
                        <w:top w:val="none" w:sz="0" w:space="0" w:color="auto"/>
                        <w:left w:val="none" w:sz="0" w:space="0" w:color="auto"/>
                        <w:bottom w:val="none" w:sz="0" w:space="0" w:color="auto"/>
                        <w:right w:val="none" w:sz="0" w:space="0" w:color="auto"/>
                      </w:divBdr>
                    </w:div>
                  </w:divsChild>
                </w:div>
                <w:div w:id="1503008817">
                  <w:marLeft w:val="0"/>
                  <w:marRight w:val="0"/>
                  <w:marTop w:val="0"/>
                  <w:marBottom w:val="0"/>
                  <w:divBdr>
                    <w:top w:val="none" w:sz="0" w:space="0" w:color="auto"/>
                    <w:left w:val="none" w:sz="0" w:space="0" w:color="auto"/>
                    <w:bottom w:val="none" w:sz="0" w:space="0" w:color="auto"/>
                    <w:right w:val="none" w:sz="0" w:space="0" w:color="auto"/>
                  </w:divBdr>
                  <w:divsChild>
                    <w:div w:id="900142274">
                      <w:marLeft w:val="0"/>
                      <w:marRight w:val="0"/>
                      <w:marTop w:val="0"/>
                      <w:marBottom w:val="0"/>
                      <w:divBdr>
                        <w:top w:val="none" w:sz="0" w:space="0" w:color="auto"/>
                        <w:left w:val="none" w:sz="0" w:space="0" w:color="auto"/>
                        <w:bottom w:val="none" w:sz="0" w:space="0" w:color="auto"/>
                        <w:right w:val="none" w:sz="0" w:space="0" w:color="auto"/>
                      </w:divBdr>
                    </w:div>
                  </w:divsChild>
                </w:div>
                <w:div w:id="1533303420">
                  <w:marLeft w:val="0"/>
                  <w:marRight w:val="0"/>
                  <w:marTop w:val="0"/>
                  <w:marBottom w:val="0"/>
                  <w:divBdr>
                    <w:top w:val="none" w:sz="0" w:space="0" w:color="auto"/>
                    <w:left w:val="none" w:sz="0" w:space="0" w:color="auto"/>
                    <w:bottom w:val="none" w:sz="0" w:space="0" w:color="auto"/>
                    <w:right w:val="none" w:sz="0" w:space="0" w:color="auto"/>
                  </w:divBdr>
                  <w:divsChild>
                    <w:div w:id="613709348">
                      <w:marLeft w:val="0"/>
                      <w:marRight w:val="0"/>
                      <w:marTop w:val="0"/>
                      <w:marBottom w:val="0"/>
                      <w:divBdr>
                        <w:top w:val="none" w:sz="0" w:space="0" w:color="auto"/>
                        <w:left w:val="none" w:sz="0" w:space="0" w:color="auto"/>
                        <w:bottom w:val="none" w:sz="0" w:space="0" w:color="auto"/>
                        <w:right w:val="none" w:sz="0" w:space="0" w:color="auto"/>
                      </w:divBdr>
                    </w:div>
                  </w:divsChild>
                </w:div>
                <w:div w:id="1552306651">
                  <w:marLeft w:val="0"/>
                  <w:marRight w:val="0"/>
                  <w:marTop w:val="0"/>
                  <w:marBottom w:val="0"/>
                  <w:divBdr>
                    <w:top w:val="none" w:sz="0" w:space="0" w:color="auto"/>
                    <w:left w:val="none" w:sz="0" w:space="0" w:color="auto"/>
                    <w:bottom w:val="none" w:sz="0" w:space="0" w:color="auto"/>
                    <w:right w:val="none" w:sz="0" w:space="0" w:color="auto"/>
                  </w:divBdr>
                  <w:divsChild>
                    <w:div w:id="1934701861">
                      <w:marLeft w:val="0"/>
                      <w:marRight w:val="0"/>
                      <w:marTop w:val="0"/>
                      <w:marBottom w:val="0"/>
                      <w:divBdr>
                        <w:top w:val="none" w:sz="0" w:space="0" w:color="auto"/>
                        <w:left w:val="none" w:sz="0" w:space="0" w:color="auto"/>
                        <w:bottom w:val="none" w:sz="0" w:space="0" w:color="auto"/>
                        <w:right w:val="none" w:sz="0" w:space="0" w:color="auto"/>
                      </w:divBdr>
                    </w:div>
                  </w:divsChild>
                </w:div>
                <w:div w:id="1665161523">
                  <w:marLeft w:val="0"/>
                  <w:marRight w:val="0"/>
                  <w:marTop w:val="0"/>
                  <w:marBottom w:val="0"/>
                  <w:divBdr>
                    <w:top w:val="none" w:sz="0" w:space="0" w:color="auto"/>
                    <w:left w:val="none" w:sz="0" w:space="0" w:color="auto"/>
                    <w:bottom w:val="none" w:sz="0" w:space="0" w:color="auto"/>
                    <w:right w:val="none" w:sz="0" w:space="0" w:color="auto"/>
                  </w:divBdr>
                  <w:divsChild>
                    <w:div w:id="1244493061">
                      <w:marLeft w:val="0"/>
                      <w:marRight w:val="0"/>
                      <w:marTop w:val="0"/>
                      <w:marBottom w:val="0"/>
                      <w:divBdr>
                        <w:top w:val="none" w:sz="0" w:space="0" w:color="auto"/>
                        <w:left w:val="none" w:sz="0" w:space="0" w:color="auto"/>
                        <w:bottom w:val="none" w:sz="0" w:space="0" w:color="auto"/>
                        <w:right w:val="none" w:sz="0" w:space="0" w:color="auto"/>
                      </w:divBdr>
                    </w:div>
                  </w:divsChild>
                </w:div>
                <w:div w:id="1686788095">
                  <w:marLeft w:val="0"/>
                  <w:marRight w:val="0"/>
                  <w:marTop w:val="0"/>
                  <w:marBottom w:val="0"/>
                  <w:divBdr>
                    <w:top w:val="none" w:sz="0" w:space="0" w:color="auto"/>
                    <w:left w:val="none" w:sz="0" w:space="0" w:color="auto"/>
                    <w:bottom w:val="none" w:sz="0" w:space="0" w:color="auto"/>
                    <w:right w:val="none" w:sz="0" w:space="0" w:color="auto"/>
                  </w:divBdr>
                  <w:divsChild>
                    <w:div w:id="2084402574">
                      <w:marLeft w:val="0"/>
                      <w:marRight w:val="0"/>
                      <w:marTop w:val="0"/>
                      <w:marBottom w:val="0"/>
                      <w:divBdr>
                        <w:top w:val="none" w:sz="0" w:space="0" w:color="auto"/>
                        <w:left w:val="none" w:sz="0" w:space="0" w:color="auto"/>
                        <w:bottom w:val="none" w:sz="0" w:space="0" w:color="auto"/>
                        <w:right w:val="none" w:sz="0" w:space="0" w:color="auto"/>
                      </w:divBdr>
                    </w:div>
                  </w:divsChild>
                </w:div>
                <w:div w:id="1757021094">
                  <w:marLeft w:val="0"/>
                  <w:marRight w:val="0"/>
                  <w:marTop w:val="0"/>
                  <w:marBottom w:val="0"/>
                  <w:divBdr>
                    <w:top w:val="none" w:sz="0" w:space="0" w:color="auto"/>
                    <w:left w:val="none" w:sz="0" w:space="0" w:color="auto"/>
                    <w:bottom w:val="none" w:sz="0" w:space="0" w:color="auto"/>
                    <w:right w:val="none" w:sz="0" w:space="0" w:color="auto"/>
                  </w:divBdr>
                  <w:divsChild>
                    <w:div w:id="661011873">
                      <w:marLeft w:val="0"/>
                      <w:marRight w:val="0"/>
                      <w:marTop w:val="0"/>
                      <w:marBottom w:val="0"/>
                      <w:divBdr>
                        <w:top w:val="none" w:sz="0" w:space="0" w:color="auto"/>
                        <w:left w:val="none" w:sz="0" w:space="0" w:color="auto"/>
                        <w:bottom w:val="none" w:sz="0" w:space="0" w:color="auto"/>
                        <w:right w:val="none" w:sz="0" w:space="0" w:color="auto"/>
                      </w:divBdr>
                    </w:div>
                  </w:divsChild>
                </w:div>
                <w:div w:id="1804080196">
                  <w:marLeft w:val="0"/>
                  <w:marRight w:val="0"/>
                  <w:marTop w:val="0"/>
                  <w:marBottom w:val="0"/>
                  <w:divBdr>
                    <w:top w:val="none" w:sz="0" w:space="0" w:color="auto"/>
                    <w:left w:val="none" w:sz="0" w:space="0" w:color="auto"/>
                    <w:bottom w:val="none" w:sz="0" w:space="0" w:color="auto"/>
                    <w:right w:val="none" w:sz="0" w:space="0" w:color="auto"/>
                  </w:divBdr>
                  <w:divsChild>
                    <w:div w:id="215510293">
                      <w:marLeft w:val="0"/>
                      <w:marRight w:val="0"/>
                      <w:marTop w:val="0"/>
                      <w:marBottom w:val="0"/>
                      <w:divBdr>
                        <w:top w:val="none" w:sz="0" w:space="0" w:color="auto"/>
                        <w:left w:val="none" w:sz="0" w:space="0" w:color="auto"/>
                        <w:bottom w:val="none" w:sz="0" w:space="0" w:color="auto"/>
                        <w:right w:val="none" w:sz="0" w:space="0" w:color="auto"/>
                      </w:divBdr>
                    </w:div>
                  </w:divsChild>
                </w:div>
                <w:div w:id="1847665891">
                  <w:marLeft w:val="0"/>
                  <w:marRight w:val="0"/>
                  <w:marTop w:val="0"/>
                  <w:marBottom w:val="0"/>
                  <w:divBdr>
                    <w:top w:val="none" w:sz="0" w:space="0" w:color="auto"/>
                    <w:left w:val="none" w:sz="0" w:space="0" w:color="auto"/>
                    <w:bottom w:val="none" w:sz="0" w:space="0" w:color="auto"/>
                    <w:right w:val="none" w:sz="0" w:space="0" w:color="auto"/>
                  </w:divBdr>
                  <w:divsChild>
                    <w:div w:id="1917979638">
                      <w:marLeft w:val="0"/>
                      <w:marRight w:val="0"/>
                      <w:marTop w:val="0"/>
                      <w:marBottom w:val="0"/>
                      <w:divBdr>
                        <w:top w:val="none" w:sz="0" w:space="0" w:color="auto"/>
                        <w:left w:val="none" w:sz="0" w:space="0" w:color="auto"/>
                        <w:bottom w:val="none" w:sz="0" w:space="0" w:color="auto"/>
                        <w:right w:val="none" w:sz="0" w:space="0" w:color="auto"/>
                      </w:divBdr>
                    </w:div>
                  </w:divsChild>
                </w:div>
                <w:div w:id="1884055873">
                  <w:marLeft w:val="0"/>
                  <w:marRight w:val="0"/>
                  <w:marTop w:val="0"/>
                  <w:marBottom w:val="0"/>
                  <w:divBdr>
                    <w:top w:val="none" w:sz="0" w:space="0" w:color="auto"/>
                    <w:left w:val="none" w:sz="0" w:space="0" w:color="auto"/>
                    <w:bottom w:val="none" w:sz="0" w:space="0" w:color="auto"/>
                    <w:right w:val="none" w:sz="0" w:space="0" w:color="auto"/>
                  </w:divBdr>
                  <w:divsChild>
                    <w:div w:id="675428222">
                      <w:marLeft w:val="0"/>
                      <w:marRight w:val="0"/>
                      <w:marTop w:val="0"/>
                      <w:marBottom w:val="0"/>
                      <w:divBdr>
                        <w:top w:val="none" w:sz="0" w:space="0" w:color="auto"/>
                        <w:left w:val="none" w:sz="0" w:space="0" w:color="auto"/>
                        <w:bottom w:val="none" w:sz="0" w:space="0" w:color="auto"/>
                        <w:right w:val="none" w:sz="0" w:space="0" w:color="auto"/>
                      </w:divBdr>
                    </w:div>
                  </w:divsChild>
                </w:div>
                <w:div w:id="1923759059">
                  <w:marLeft w:val="0"/>
                  <w:marRight w:val="0"/>
                  <w:marTop w:val="0"/>
                  <w:marBottom w:val="0"/>
                  <w:divBdr>
                    <w:top w:val="none" w:sz="0" w:space="0" w:color="auto"/>
                    <w:left w:val="none" w:sz="0" w:space="0" w:color="auto"/>
                    <w:bottom w:val="none" w:sz="0" w:space="0" w:color="auto"/>
                    <w:right w:val="none" w:sz="0" w:space="0" w:color="auto"/>
                  </w:divBdr>
                  <w:divsChild>
                    <w:div w:id="1095901086">
                      <w:marLeft w:val="0"/>
                      <w:marRight w:val="0"/>
                      <w:marTop w:val="0"/>
                      <w:marBottom w:val="0"/>
                      <w:divBdr>
                        <w:top w:val="none" w:sz="0" w:space="0" w:color="auto"/>
                        <w:left w:val="none" w:sz="0" w:space="0" w:color="auto"/>
                        <w:bottom w:val="none" w:sz="0" w:space="0" w:color="auto"/>
                        <w:right w:val="none" w:sz="0" w:space="0" w:color="auto"/>
                      </w:divBdr>
                    </w:div>
                  </w:divsChild>
                </w:div>
                <w:div w:id="1987473170">
                  <w:marLeft w:val="0"/>
                  <w:marRight w:val="0"/>
                  <w:marTop w:val="0"/>
                  <w:marBottom w:val="0"/>
                  <w:divBdr>
                    <w:top w:val="none" w:sz="0" w:space="0" w:color="auto"/>
                    <w:left w:val="none" w:sz="0" w:space="0" w:color="auto"/>
                    <w:bottom w:val="none" w:sz="0" w:space="0" w:color="auto"/>
                    <w:right w:val="none" w:sz="0" w:space="0" w:color="auto"/>
                  </w:divBdr>
                  <w:divsChild>
                    <w:div w:id="824276082">
                      <w:marLeft w:val="0"/>
                      <w:marRight w:val="0"/>
                      <w:marTop w:val="0"/>
                      <w:marBottom w:val="0"/>
                      <w:divBdr>
                        <w:top w:val="none" w:sz="0" w:space="0" w:color="auto"/>
                        <w:left w:val="none" w:sz="0" w:space="0" w:color="auto"/>
                        <w:bottom w:val="none" w:sz="0" w:space="0" w:color="auto"/>
                        <w:right w:val="none" w:sz="0" w:space="0" w:color="auto"/>
                      </w:divBdr>
                    </w:div>
                  </w:divsChild>
                </w:div>
                <w:div w:id="2004817655">
                  <w:marLeft w:val="0"/>
                  <w:marRight w:val="0"/>
                  <w:marTop w:val="0"/>
                  <w:marBottom w:val="0"/>
                  <w:divBdr>
                    <w:top w:val="none" w:sz="0" w:space="0" w:color="auto"/>
                    <w:left w:val="none" w:sz="0" w:space="0" w:color="auto"/>
                    <w:bottom w:val="none" w:sz="0" w:space="0" w:color="auto"/>
                    <w:right w:val="none" w:sz="0" w:space="0" w:color="auto"/>
                  </w:divBdr>
                  <w:divsChild>
                    <w:div w:id="877085911">
                      <w:marLeft w:val="0"/>
                      <w:marRight w:val="0"/>
                      <w:marTop w:val="0"/>
                      <w:marBottom w:val="0"/>
                      <w:divBdr>
                        <w:top w:val="none" w:sz="0" w:space="0" w:color="auto"/>
                        <w:left w:val="none" w:sz="0" w:space="0" w:color="auto"/>
                        <w:bottom w:val="none" w:sz="0" w:space="0" w:color="auto"/>
                        <w:right w:val="none" w:sz="0" w:space="0" w:color="auto"/>
                      </w:divBdr>
                    </w:div>
                  </w:divsChild>
                </w:div>
                <w:div w:id="2024700334">
                  <w:marLeft w:val="0"/>
                  <w:marRight w:val="0"/>
                  <w:marTop w:val="0"/>
                  <w:marBottom w:val="0"/>
                  <w:divBdr>
                    <w:top w:val="none" w:sz="0" w:space="0" w:color="auto"/>
                    <w:left w:val="none" w:sz="0" w:space="0" w:color="auto"/>
                    <w:bottom w:val="none" w:sz="0" w:space="0" w:color="auto"/>
                    <w:right w:val="none" w:sz="0" w:space="0" w:color="auto"/>
                  </w:divBdr>
                  <w:divsChild>
                    <w:div w:id="1427964197">
                      <w:marLeft w:val="0"/>
                      <w:marRight w:val="0"/>
                      <w:marTop w:val="0"/>
                      <w:marBottom w:val="0"/>
                      <w:divBdr>
                        <w:top w:val="none" w:sz="0" w:space="0" w:color="auto"/>
                        <w:left w:val="none" w:sz="0" w:space="0" w:color="auto"/>
                        <w:bottom w:val="none" w:sz="0" w:space="0" w:color="auto"/>
                        <w:right w:val="none" w:sz="0" w:space="0" w:color="auto"/>
                      </w:divBdr>
                    </w:div>
                  </w:divsChild>
                </w:div>
                <w:div w:id="2088921113">
                  <w:marLeft w:val="0"/>
                  <w:marRight w:val="0"/>
                  <w:marTop w:val="0"/>
                  <w:marBottom w:val="0"/>
                  <w:divBdr>
                    <w:top w:val="none" w:sz="0" w:space="0" w:color="auto"/>
                    <w:left w:val="none" w:sz="0" w:space="0" w:color="auto"/>
                    <w:bottom w:val="none" w:sz="0" w:space="0" w:color="auto"/>
                    <w:right w:val="none" w:sz="0" w:space="0" w:color="auto"/>
                  </w:divBdr>
                  <w:divsChild>
                    <w:div w:id="1004362374">
                      <w:marLeft w:val="0"/>
                      <w:marRight w:val="0"/>
                      <w:marTop w:val="0"/>
                      <w:marBottom w:val="0"/>
                      <w:divBdr>
                        <w:top w:val="none" w:sz="0" w:space="0" w:color="auto"/>
                        <w:left w:val="none" w:sz="0" w:space="0" w:color="auto"/>
                        <w:bottom w:val="none" w:sz="0" w:space="0" w:color="auto"/>
                        <w:right w:val="none" w:sz="0" w:space="0" w:color="auto"/>
                      </w:divBdr>
                    </w:div>
                  </w:divsChild>
                </w:div>
                <w:div w:id="2101830764">
                  <w:marLeft w:val="0"/>
                  <w:marRight w:val="0"/>
                  <w:marTop w:val="0"/>
                  <w:marBottom w:val="0"/>
                  <w:divBdr>
                    <w:top w:val="none" w:sz="0" w:space="0" w:color="auto"/>
                    <w:left w:val="none" w:sz="0" w:space="0" w:color="auto"/>
                    <w:bottom w:val="none" w:sz="0" w:space="0" w:color="auto"/>
                    <w:right w:val="none" w:sz="0" w:space="0" w:color="auto"/>
                  </w:divBdr>
                  <w:divsChild>
                    <w:div w:id="1860314785">
                      <w:marLeft w:val="0"/>
                      <w:marRight w:val="0"/>
                      <w:marTop w:val="0"/>
                      <w:marBottom w:val="0"/>
                      <w:divBdr>
                        <w:top w:val="none" w:sz="0" w:space="0" w:color="auto"/>
                        <w:left w:val="none" w:sz="0" w:space="0" w:color="auto"/>
                        <w:bottom w:val="none" w:sz="0" w:space="0" w:color="auto"/>
                        <w:right w:val="none" w:sz="0" w:space="0" w:color="auto"/>
                      </w:divBdr>
                    </w:div>
                  </w:divsChild>
                </w:div>
                <w:div w:id="2118018916">
                  <w:marLeft w:val="0"/>
                  <w:marRight w:val="0"/>
                  <w:marTop w:val="0"/>
                  <w:marBottom w:val="0"/>
                  <w:divBdr>
                    <w:top w:val="none" w:sz="0" w:space="0" w:color="auto"/>
                    <w:left w:val="none" w:sz="0" w:space="0" w:color="auto"/>
                    <w:bottom w:val="none" w:sz="0" w:space="0" w:color="auto"/>
                    <w:right w:val="none" w:sz="0" w:space="0" w:color="auto"/>
                  </w:divBdr>
                  <w:divsChild>
                    <w:div w:id="1678800507">
                      <w:marLeft w:val="0"/>
                      <w:marRight w:val="0"/>
                      <w:marTop w:val="0"/>
                      <w:marBottom w:val="0"/>
                      <w:divBdr>
                        <w:top w:val="none" w:sz="0" w:space="0" w:color="auto"/>
                        <w:left w:val="none" w:sz="0" w:space="0" w:color="auto"/>
                        <w:bottom w:val="none" w:sz="0" w:space="0" w:color="auto"/>
                        <w:right w:val="none" w:sz="0" w:space="0" w:color="auto"/>
                      </w:divBdr>
                    </w:div>
                  </w:divsChild>
                </w:div>
                <w:div w:id="2127917698">
                  <w:marLeft w:val="0"/>
                  <w:marRight w:val="0"/>
                  <w:marTop w:val="0"/>
                  <w:marBottom w:val="0"/>
                  <w:divBdr>
                    <w:top w:val="none" w:sz="0" w:space="0" w:color="auto"/>
                    <w:left w:val="none" w:sz="0" w:space="0" w:color="auto"/>
                    <w:bottom w:val="none" w:sz="0" w:space="0" w:color="auto"/>
                    <w:right w:val="none" w:sz="0" w:space="0" w:color="auto"/>
                  </w:divBdr>
                  <w:divsChild>
                    <w:div w:id="546987018">
                      <w:marLeft w:val="0"/>
                      <w:marRight w:val="0"/>
                      <w:marTop w:val="0"/>
                      <w:marBottom w:val="0"/>
                      <w:divBdr>
                        <w:top w:val="none" w:sz="0" w:space="0" w:color="auto"/>
                        <w:left w:val="none" w:sz="0" w:space="0" w:color="auto"/>
                        <w:bottom w:val="none" w:sz="0" w:space="0" w:color="auto"/>
                        <w:right w:val="none" w:sz="0" w:space="0" w:color="auto"/>
                      </w:divBdr>
                    </w:div>
                  </w:divsChild>
                </w:div>
                <w:div w:id="2146392606">
                  <w:marLeft w:val="0"/>
                  <w:marRight w:val="0"/>
                  <w:marTop w:val="0"/>
                  <w:marBottom w:val="0"/>
                  <w:divBdr>
                    <w:top w:val="none" w:sz="0" w:space="0" w:color="auto"/>
                    <w:left w:val="none" w:sz="0" w:space="0" w:color="auto"/>
                    <w:bottom w:val="none" w:sz="0" w:space="0" w:color="auto"/>
                    <w:right w:val="none" w:sz="0" w:space="0" w:color="auto"/>
                  </w:divBdr>
                  <w:divsChild>
                    <w:div w:id="1935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60772">
          <w:marLeft w:val="0"/>
          <w:marRight w:val="0"/>
          <w:marTop w:val="0"/>
          <w:marBottom w:val="0"/>
          <w:divBdr>
            <w:top w:val="none" w:sz="0" w:space="0" w:color="auto"/>
            <w:left w:val="none" w:sz="0" w:space="0" w:color="auto"/>
            <w:bottom w:val="none" w:sz="0" w:space="0" w:color="auto"/>
            <w:right w:val="none" w:sz="0" w:space="0" w:color="auto"/>
          </w:divBdr>
        </w:div>
        <w:div w:id="347103384">
          <w:marLeft w:val="0"/>
          <w:marRight w:val="0"/>
          <w:marTop w:val="0"/>
          <w:marBottom w:val="0"/>
          <w:divBdr>
            <w:top w:val="none" w:sz="0" w:space="0" w:color="auto"/>
            <w:left w:val="none" w:sz="0" w:space="0" w:color="auto"/>
            <w:bottom w:val="none" w:sz="0" w:space="0" w:color="auto"/>
            <w:right w:val="none" w:sz="0" w:space="0" w:color="auto"/>
          </w:divBdr>
        </w:div>
        <w:div w:id="440421348">
          <w:marLeft w:val="0"/>
          <w:marRight w:val="0"/>
          <w:marTop w:val="0"/>
          <w:marBottom w:val="0"/>
          <w:divBdr>
            <w:top w:val="none" w:sz="0" w:space="0" w:color="auto"/>
            <w:left w:val="none" w:sz="0" w:space="0" w:color="auto"/>
            <w:bottom w:val="none" w:sz="0" w:space="0" w:color="auto"/>
            <w:right w:val="none" w:sz="0" w:space="0" w:color="auto"/>
          </w:divBdr>
        </w:div>
        <w:div w:id="502819173">
          <w:marLeft w:val="0"/>
          <w:marRight w:val="0"/>
          <w:marTop w:val="0"/>
          <w:marBottom w:val="0"/>
          <w:divBdr>
            <w:top w:val="none" w:sz="0" w:space="0" w:color="auto"/>
            <w:left w:val="none" w:sz="0" w:space="0" w:color="auto"/>
            <w:bottom w:val="none" w:sz="0" w:space="0" w:color="auto"/>
            <w:right w:val="none" w:sz="0" w:space="0" w:color="auto"/>
          </w:divBdr>
        </w:div>
        <w:div w:id="672998345">
          <w:marLeft w:val="0"/>
          <w:marRight w:val="0"/>
          <w:marTop w:val="0"/>
          <w:marBottom w:val="0"/>
          <w:divBdr>
            <w:top w:val="none" w:sz="0" w:space="0" w:color="auto"/>
            <w:left w:val="none" w:sz="0" w:space="0" w:color="auto"/>
            <w:bottom w:val="none" w:sz="0" w:space="0" w:color="auto"/>
            <w:right w:val="none" w:sz="0" w:space="0" w:color="auto"/>
          </w:divBdr>
          <w:divsChild>
            <w:div w:id="1107038283">
              <w:marLeft w:val="-75"/>
              <w:marRight w:val="0"/>
              <w:marTop w:val="30"/>
              <w:marBottom w:val="30"/>
              <w:divBdr>
                <w:top w:val="none" w:sz="0" w:space="0" w:color="auto"/>
                <w:left w:val="none" w:sz="0" w:space="0" w:color="auto"/>
                <w:bottom w:val="none" w:sz="0" w:space="0" w:color="auto"/>
                <w:right w:val="none" w:sz="0" w:space="0" w:color="auto"/>
              </w:divBdr>
              <w:divsChild>
                <w:div w:id="29113221">
                  <w:marLeft w:val="0"/>
                  <w:marRight w:val="0"/>
                  <w:marTop w:val="0"/>
                  <w:marBottom w:val="0"/>
                  <w:divBdr>
                    <w:top w:val="none" w:sz="0" w:space="0" w:color="auto"/>
                    <w:left w:val="none" w:sz="0" w:space="0" w:color="auto"/>
                    <w:bottom w:val="none" w:sz="0" w:space="0" w:color="auto"/>
                    <w:right w:val="none" w:sz="0" w:space="0" w:color="auto"/>
                  </w:divBdr>
                  <w:divsChild>
                    <w:div w:id="374741437">
                      <w:marLeft w:val="0"/>
                      <w:marRight w:val="0"/>
                      <w:marTop w:val="0"/>
                      <w:marBottom w:val="0"/>
                      <w:divBdr>
                        <w:top w:val="none" w:sz="0" w:space="0" w:color="auto"/>
                        <w:left w:val="none" w:sz="0" w:space="0" w:color="auto"/>
                        <w:bottom w:val="none" w:sz="0" w:space="0" w:color="auto"/>
                        <w:right w:val="none" w:sz="0" w:space="0" w:color="auto"/>
                      </w:divBdr>
                    </w:div>
                  </w:divsChild>
                </w:div>
                <w:div w:id="52461488">
                  <w:marLeft w:val="0"/>
                  <w:marRight w:val="0"/>
                  <w:marTop w:val="0"/>
                  <w:marBottom w:val="0"/>
                  <w:divBdr>
                    <w:top w:val="none" w:sz="0" w:space="0" w:color="auto"/>
                    <w:left w:val="none" w:sz="0" w:space="0" w:color="auto"/>
                    <w:bottom w:val="none" w:sz="0" w:space="0" w:color="auto"/>
                    <w:right w:val="none" w:sz="0" w:space="0" w:color="auto"/>
                  </w:divBdr>
                  <w:divsChild>
                    <w:div w:id="2144275724">
                      <w:marLeft w:val="0"/>
                      <w:marRight w:val="0"/>
                      <w:marTop w:val="0"/>
                      <w:marBottom w:val="0"/>
                      <w:divBdr>
                        <w:top w:val="none" w:sz="0" w:space="0" w:color="auto"/>
                        <w:left w:val="none" w:sz="0" w:space="0" w:color="auto"/>
                        <w:bottom w:val="none" w:sz="0" w:space="0" w:color="auto"/>
                        <w:right w:val="none" w:sz="0" w:space="0" w:color="auto"/>
                      </w:divBdr>
                    </w:div>
                  </w:divsChild>
                </w:div>
                <w:div w:id="104430055">
                  <w:marLeft w:val="0"/>
                  <w:marRight w:val="0"/>
                  <w:marTop w:val="0"/>
                  <w:marBottom w:val="0"/>
                  <w:divBdr>
                    <w:top w:val="none" w:sz="0" w:space="0" w:color="auto"/>
                    <w:left w:val="none" w:sz="0" w:space="0" w:color="auto"/>
                    <w:bottom w:val="none" w:sz="0" w:space="0" w:color="auto"/>
                    <w:right w:val="none" w:sz="0" w:space="0" w:color="auto"/>
                  </w:divBdr>
                  <w:divsChild>
                    <w:div w:id="1615013357">
                      <w:marLeft w:val="0"/>
                      <w:marRight w:val="0"/>
                      <w:marTop w:val="0"/>
                      <w:marBottom w:val="0"/>
                      <w:divBdr>
                        <w:top w:val="none" w:sz="0" w:space="0" w:color="auto"/>
                        <w:left w:val="none" w:sz="0" w:space="0" w:color="auto"/>
                        <w:bottom w:val="none" w:sz="0" w:space="0" w:color="auto"/>
                        <w:right w:val="none" w:sz="0" w:space="0" w:color="auto"/>
                      </w:divBdr>
                    </w:div>
                  </w:divsChild>
                </w:div>
                <w:div w:id="110901919">
                  <w:marLeft w:val="0"/>
                  <w:marRight w:val="0"/>
                  <w:marTop w:val="0"/>
                  <w:marBottom w:val="0"/>
                  <w:divBdr>
                    <w:top w:val="none" w:sz="0" w:space="0" w:color="auto"/>
                    <w:left w:val="none" w:sz="0" w:space="0" w:color="auto"/>
                    <w:bottom w:val="none" w:sz="0" w:space="0" w:color="auto"/>
                    <w:right w:val="none" w:sz="0" w:space="0" w:color="auto"/>
                  </w:divBdr>
                  <w:divsChild>
                    <w:div w:id="1669946795">
                      <w:marLeft w:val="0"/>
                      <w:marRight w:val="0"/>
                      <w:marTop w:val="0"/>
                      <w:marBottom w:val="0"/>
                      <w:divBdr>
                        <w:top w:val="none" w:sz="0" w:space="0" w:color="auto"/>
                        <w:left w:val="none" w:sz="0" w:space="0" w:color="auto"/>
                        <w:bottom w:val="none" w:sz="0" w:space="0" w:color="auto"/>
                        <w:right w:val="none" w:sz="0" w:space="0" w:color="auto"/>
                      </w:divBdr>
                    </w:div>
                  </w:divsChild>
                </w:div>
                <w:div w:id="175274901">
                  <w:marLeft w:val="0"/>
                  <w:marRight w:val="0"/>
                  <w:marTop w:val="0"/>
                  <w:marBottom w:val="0"/>
                  <w:divBdr>
                    <w:top w:val="none" w:sz="0" w:space="0" w:color="auto"/>
                    <w:left w:val="none" w:sz="0" w:space="0" w:color="auto"/>
                    <w:bottom w:val="none" w:sz="0" w:space="0" w:color="auto"/>
                    <w:right w:val="none" w:sz="0" w:space="0" w:color="auto"/>
                  </w:divBdr>
                  <w:divsChild>
                    <w:div w:id="864171779">
                      <w:marLeft w:val="0"/>
                      <w:marRight w:val="0"/>
                      <w:marTop w:val="0"/>
                      <w:marBottom w:val="0"/>
                      <w:divBdr>
                        <w:top w:val="none" w:sz="0" w:space="0" w:color="auto"/>
                        <w:left w:val="none" w:sz="0" w:space="0" w:color="auto"/>
                        <w:bottom w:val="none" w:sz="0" w:space="0" w:color="auto"/>
                        <w:right w:val="none" w:sz="0" w:space="0" w:color="auto"/>
                      </w:divBdr>
                    </w:div>
                  </w:divsChild>
                </w:div>
                <w:div w:id="200441611">
                  <w:marLeft w:val="0"/>
                  <w:marRight w:val="0"/>
                  <w:marTop w:val="0"/>
                  <w:marBottom w:val="0"/>
                  <w:divBdr>
                    <w:top w:val="none" w:sz="0" w:space="0" w:color="auto"/>
                    <w:left w:val="none" w:sz="0" w:space="0" w:color="auto"/>
                    <w:bottom w:val="none" w:sz="0" w:space="0" w:color="auto"/>
                    <w:right w:val="none" w:sz="0" w:space="0" w:color="auto"/>
                  </w:divBdr>
                  <w:divsChild>
                    <w:div w:id="1008630679">
                      <w:marLeft w:val="0"/>
                      <w:marRight w:val="0"/>
                      <w:marTop w:val="0"/>
                      <w:marBottom w:val="0"/>
                      <w:divBdr>
                        <w:top w:val="none" w:sz="0" w:space="0" w:color="auto"/>
                        <w:left w:val="none" w:sz="0" w:space="0" w:color="auto"/>
                        <w:bottom w:val="none" w:sz="0" w:space="0" w:color="auto"/>
                        <w:right w:val="none" w:sz="0" w:space="0" w:color="auto"/>
                      </w:divBdr>
                    </w:div>
                  </w:divsChild>
                </w:div>
                <w:div w:id="369578130">
                  <w:marLeft w:val="0"/>
                  <w:marRight w:val="0"/>
                  <w:marTop w:val="0"/>
                  <w:marBottom w:val="0"/>
                  <w:divBdr>
                    <w:top w:val="none" w:sz="0" w:space="0" w:color="auto"/>
                    <w:left w:val="none" w:sz="0" w:space="0" w:color="auto"/>
                    <w:bottom w:val="none" w:sz="0" w:space="0" w:color="auto"/>
                    <w:right w:val="none" w:sz="0" w:space="0" w:color="auto"/>
                  </w:divBdr>
                  <w:divsChild>
                    <w:div w:id="1875801917">
                      <w:marLeft w:val="0"/>
                      <w:marRight w:val="0"/>
                      <w:marTop w:val="0"/>
                      <w:marBottom w:val="0"/>
                      <w:divBdr>
                        <w:top w:val="none" w:sz="0" w:space="0" w:color="auto"/>
                        <w:left w:val="none" w:sz="0" w:space="0" w:color="auto"/>
                        <w:bottom w:val="none" w:sz="0" w:space="0" w:color="auto"/>
                        <w:right w:val="none" w:sz="0" w:space="0" w:color="auto"/>
                      </w:divBdr>
                    </w:div>
                  </w:divsChild>
                </w:div>
                <w:div w:id="508761495">
                  <w:marLeft w:val="0"/>
                  <w:marRight w:val="0"/>
                  <w:marTop w:val="0"/>
                  <w:marBottom w:val="0"/>
                  <w:divBdr>
                    <w:top w:val="none" w:sz="0" w:space="0" w:color="auto"/>
                    <w:left w:val="none" w:sz="0" w:space="0" w:color="auto"/>
                    <w:bottom w:val="none" w:sz="0" w:space="0" w:color="auto"/>
                    <w:right w:val="none" w:sz="0" w:space="0" w:color="auto"/>
                  </w:divBdr>
                  <w:divsChild>
                    <w:div w:id="842672418">
                      <w:marLeft w:val="0"/>
                      <w:marRight w:val="0"/>
                      <w:marTop w:val="0"/>
                      <w:marBottom w:val="0"/>
                      <w:divBdr>
                        <w:top w:val="none" w:sz="0" w:space="0" w:color="auto"/>
                        <w:left w:val="none" w:sz="0" w:space="0" w:color="auto"/>
                        <w:bottom w:val="none" w:sz="0" w:space="0" w:color="auto"/>
                        <w:right w:val="none" w:sz="0" w:space="0" w:color="auto"/>
                      </w:divBdr>
                    </w:div>
                  </w:divsChild>
                </w:div>
                <w:div w:id="688915101">
                  <w:marLeft w:val="0"/>
                  <w:marRight w:val="0"/>
                  <w:marTop w:val="0"/>
                  <w:marBottom w:val="0"/>
                  <w:divBdr>
                    <w:top w:val="none" w:sz="0" w:space="0" w:color="auto"/>
                    <w:left w:val="none" w:sz="0" w:space="0" w:color="auto"/>
                    <w:bottom w:val="none" w:sz="0" w:space="0" w:color="auto"/>
                    <w:right w:val="none" w:sz="0" w:space="0" w:color="auto"/>
                  </w:divBdr>
                  <w:divsChild>
                    <w:div w:id="1611549188">
                      <w:marLeft w:val="0"/>
                      <w:marRight w:val="0"/>
                      <w:marTop w:val="0"/>
                      <w:marBottom w:val="0"/>
                      <w:divBdr>
                        <w:top w:val="none" w:sz="0" w:space="0" w:color="auto"/>
                        <w:left w:val="none" w:sz="0" w:space="0" w:color="auto"/>
                        <w:bottom w:val="none" w:sz="0" w:space="0" w:color="auto"/>
                        <w:right w:val="none" w:sz="0" w:space="0" w:color="auto"/>
                      </w:divBdr>
                    </w:div>
                  </w:divsChild>
                </w:div>
                <w:div w:id="738525454">
                  <w:marLeft w:val="0"/>
                  <w:marRight w:val="0"/>
                  <w:marTop w:val="0"/>
                  <w:marBottom w:val="0"/>
                  <w:divBdr>
                    <w:top w:val="none" w:sz="0" w:space="0" w:color="auto"/>
                    <w:left w:val="none" w:sz="0" w:space="0" w:color="auto"/>
                    <w:bottom w:val="none" w:sz="0" w:space="0" w:color="auto"/>
                    <w:right w:val="none" w:sz="0" w:space="0" w:color="auto"/>
                  </w:divBdr>
                  <w:divsChild>
                    <w:div w:id="1142886302">
                      <w:marLeft w:val="0"/>
                      <w:marRight w:val="0"/>
                      <w:marTop w:val="0"/>
                      <w:marBottom w:val="0"/>
                      <w:divBdr>
                        <w:top w:val="none" w:sz="0" w:space="0" w:color="auto"/>
                        <w:left w:val="none" w:sz="0" w:space="0" w:color="auto"/>
                        <w:bottom w:val="none" w:sz="0" w:space="0" w:color="auto"/>
                        <w:right w:val="none" w:sz="0" w:space="0" w:color="auto"/>
                      </w:divBdr>
                    </w:div>
                  </w:divsChild>
                </w:div>
                <w:div w:id="779375054">
                  <w:marLeft w:val="0"/>
                  <w:marRight w:val="0"/>
                  <w:marTop w:val="0"/>
                  <w:marBottom w:val="0"/>
                  <w:divBdr>
                    <w:top w:val="none" w:sz="0" w:space="0" w:color="auto"/>
                    <w:left w:val="none" w:sz="0" w:space="0" w:color="auto"/>
                    <w:bottom w:val="none" w:sz="0" w:space="0" w:color="auto"/>
                    <w:right w:val="none" w:sz="0" w:space="0" w:color="auto"/>
                  </w:divBdr>
                  <w:divsChild>
                    <w:div w:id="592007381">
                      <w:marLeft w:val="0"/>
                      <w:marRight w:val="0"/>
                      <w:marTop w:val="0"/>
                      <w:marBottom w:val="0"/>
                      <w:divBdr>
                        <w:top w:val="none" w:sz="0" w:space="0" w:color="auto"/>
                        <w:left w:val="none" w:sz="0" w:space="0" w:color="auto"/>
                        <w:bottom w:val="none" w:sz="0" w:space="0" w:color="auto"/>
                        <w:right w:val="none" w:sz="0" w:space="0" w:color="auto"/>
                      </w:divBdr>
                    </w:div>
                    <w:div w:id="1896694426">
                      <w:marLeft w:val="0"/>
                      <w:marRight w:val="0"/>
                      <w:marTop w:val="0"/>
                      <w:marBottom w:val="0"/>
                      <w:divBdr>
                        <w:top w:val="none" w:sz="0" w:space="0" w:color="auto"/>
                        <w:left w:val="none" w:sz="0" w:space="0" w:color="auto"/>
                        <w:bottom w:val="none" w:sz="0" w:space="0" w:color="auto"/>
                        <w:right w:val="none" w:sz="0" w:space="0" w:color="auto"/>
                      </w:divBdr>
                    </w:div>
                  </w:divsChild>
                </w:div>
                <w:div w:id="840512800">
                  <w:marLeft w:val="0"/>
                  <w:marRight w:val="0"/>
                  <w:marTop w:val="0"/>
                  <w:marBottom w:val="0"/>
                  <w:divBdr>
                    <w:top w:val="none" w:sz="0" w:space="0" w:color="auto"/>
                    <w:left w:val="none" w:sz="0" w:space="0" w:color="auto"/>
                    <w:bottom w:val="none" w:sz="0" w:space="0" w:color="auto"/>
                    <w:right w:val="none" w:sz="0" w:space="0" w:color="auto"/>
                  </w:divBdr>
                  <w:divsChild>
                    <w:div w:id="1826699029">
                      <w:marLeft w:val="0"/>
                      <w:marRight w:val="0"/>
                      <w:marTop w:val="0"/>
                      <w:marBottom w:val="0"/>
                      <w:divBdr>
                        <w:top w:val="none" w:sz="0" w:space="0" w:color="auto"/>
                        <w:left w:val="none" w:sz="0" w:space="0" w:color="auto"/>
                        <w:bottom w:val="none" w:sz="0" w:space="0" w:color="auto"/>
                        <w:right w:val="none" w:sz="0" w:space="0" w:color="auto"/>
                      </w:divBdr>
                    </w:div>
                  </w:divsChild>
                </w:div>
                <w:div w:id="849760678">
                  <w:marLeft w:val="0"/>
                  <w:marRight w:val="0"/>
                  <w:marTop w:val="0"/>
                  <w:marBottom w:val="0"/>
                  <w:divBdr>
                    <w:top w:val="none" w:sz="0" w:space="0" w:color="auto"/>
                    <w:left w:val="none" w:sz="0" w:space="0" w:color="auto"/>
                    <w:bottom w:val="none" w:sz="0" w:space="0" w:color="auto"/>
                    <w:right w:val="none" w:sz="0" w:space="0" w:color="auto"/>
                  </w:divBdr>
                  <w:divsChild>
                    <w:div w:id="245265294">
                      <w:marLeft w:val="0"/>
                      <w:marRight w:val="0"/>
                      <w:marTop w:val="0"/>
                      <w:marBottom w:val="0"/>
                      <w:divBdr>
                        <w:top w:val="none" w:sz="0" w:space="0" w:color="auto"/>
                        <w:left w:val="none" w:sz="0" w:space="0" w:color="auto"/>
                        <w:bottom w:val="none" w:sz="0" w:space="0" w:color="auto"/>
                        <w:right w:val="none" w:sz="0" w:space="0" w:color="auto"/>
                      </w:divBdr>
                    </w:div>
                  </w:divsChild>
                </w:div>
                <w:div w:id="895093164">
                  <w:marLeft w:val="0"/>
                  <w:marRight w:val="0"/>
                  <w:marTop w:val="0"/>
                  <w:marBottom w:val="0"/>
                  <w:divBdr>
                    <w:top w:val="none" w:sz="0" w:space="0" w:color="auto"/>
                    <w:left w:val="none" w:sz="0" w:space="0" w:color="auto"/>
                    <w:bottom w:val="none" w:sz="0" w:space="0" w:color="auto"/>
                    <w:right w:val="none" w:sz="0" w:space="0" w:color="auto"/>
                  </w:divBdr>
                  <w:divsChild>
                    <w:div w:id="978806639">
                      <w:marLeft w:val="0"/>
                      <w:marRight w:val="0"/>
                      <w:marTop w:val="0"/>
                      <w:marBottom w:val="0"/>
                      <w:divBdr>
                        <w:top w:val="none" w:sz="0" w:space="0" w:color="auto"/>
                        <w:left w:val="none" w:sz="0" w:space="0" w:color="auto"/>
                        <w:bottom w:val="none" w:sz="0" w:space="0" w:color="auto"/>
                        <w:right w:val="none" w:sz="0" w:space="0" w:color="auto"/>
                      </w:divBdr>
                    </w:div>
                  </w:divsChild>
                </w:div>
                <w:div w:id="909510091">
                  <w:marLeft w:val="0"/>
                  <w:marRight w:val="0"/>
                  <w:marTop w:val="0"/>
                  <w:marBottom w:val="0"/>
                  <w:divBdr>
                    <w:top w:val="none" w:sz="0" w:space="0" w:color="auto"/>
                    <w:left w:val="none" w:sz="0" w:space="0" w:color="auto"/>
                    <w:bottom w:val="none" w:sz="0" w:space="0" w:color="auto"/>
                    <w:right w:val="none" w:sz="0" w:space="0" w:color="auto"/>
                  </w:divBdr>
                  <w:divsChild>
                    <w:div w:id="787817429">
                      <w:marLeft w:val="0"/>
                      <w:marRight w:val="0"/>
                      <w:marTop w:val="0"/>
                      <w:marBottom w:val="0"/>
                      <w:divBdr>
                        <w:top w:val="none" w:sz="0" w:space="0" w:color="auto"/>
                        <w:left w:val="none" w:sz="0" w:space="0" w:color="auto"/>
                        <w:bottom w:val="none" w:sz="0" w:space="0" w:color="auto"/>
                        <w:right w:val="none" w:sz="0" w:space="0" w:color="auto"/>
                      </w:divBdr>
                    </w:div>
                  </w:divsChild>
                </w:div>
                <w:div w:id="940141352">
                  <w:marLeft w:val="0"/>
                  <w:marRight w:val="0"/>
                  <w:marTop w:val="0"/>
                  <w:marBottom w:val="0"/>
                  <w:divBdr>
                    <w:top w:val="none" w:sz="0" w:space="0" w:color="auto"/>
                    <w:left w:val="none" w:sz="0" w:space="0" w:color="auto"/>
                    <w:bottom w:val="none" w:sz="0" w:space="0" w:color="auto"/>
                    <w:right w:val="none" w:sz="0" w:space="0" w:color="auto"/>
                  </w:divBdr>
                  <w:divsChild>
                    <w:div w:id="438988422">
                      <w:marLeft w:val="0"/>
                      <w:marRight w:val="0"/>
                      <w:marTop w:val="0"/>
                      <w:marBottom w:val="0"/>
                      <w:divBdr>
                        <w:top w:val="none" w:sz="0" w:space="0" w:color="auto"/>
                        <w:left w:val="none" w:sz="0" w:space="0" w:color="auto"/>
                        <w:bottom w:val="none" w:sz="0" w:space="0" w:color="auto"/>
                        <w:right w:val="none" w:sz="0" w:space="0" w:color="auto"/>
                      </w:divBdr>
                    </w:div>
                  </w:divsChild>
                </w:div>
                <w:div w:id="1125469831">
                  <w:marLeft w:val="0"/>
                  <w:marRight w:val="0"/>
                  <w:marTop w:val="0"/>
                  <w:marBottom w:val="0"/>
                  <w:divBdr>
                    <w:top w:val="none" w:sz="0" w:space="0" w:color="auto"/>
                    <w:left w:val="none" w:sz="0" w:space="0" w:color="auto"/>
                    <w:bottom w:val="none" w:sz="0" w:space="0" w:color="auto"/>
                    <w:right w:val="none" w:sz="0" w:space="0" w:color="auto"/>
                  </w:divBdr>
                  <w:divsChild>
                    <w:div w:id="146551606">
                      <w:marLeft w:val="0"/>
                      <w:marRight w:val="0"/>
                      <w:marTop w:val="0"/>
                      <w:marBottom w:val="0"/>
                      <w:divBdr>
                        <w:top w:val="none" w:sz="0" w:space="0" w:color="auto"/>
                        <w:left w:val="none" w:sz="0" w:space="0" w:color="auto"/>
                        <w:bottom w:val="none" w:sz="0" w:space="0" w:color="auto"/>
                        <w:right w:val="none" w:sz="0" w:space="0" w:color="auto"/>
                      </w:divBdr>
                    </w:div>
                  </w:divsChild>
                </w:div>
                <w:div w:id="1145928015">
                  <w:marLeft w:val="0"/>
                  <w:marRight w:val="0"/>
                  <w:marTop w:val="0"/>
                  <w:marBottom w:val="0"/>
                  <w:divBdr>
                    <w:top w:val="none" w:sz="0" w:space="0" w:color="auto"/>
                    <w:left w:val="none" w:sz="0" w:space="0" w:color="auto"/>
                    <w:bottom w:val="none" w:sz="0" w:space="0" w:color="auto"/>
                    <w:right w:val="none" w:sz="0" w:space="0" w:color="auto"/>
                  </w:divBdr>
                  <w:divsChild>
                    <w:div w:id="292907360">
                      <w:marLeft w:val="0"/>
                      <w:marRight w:val="0"/>
                      <w:marTop w:val="0"/>
                      <w:marBottom w:val="0"/>
                      <w:divBdr>
                        <w:top w:val="none" w:sz="0" w:space="0" w:color="auto"/>
                        <w:left w:val="none" w:sz="0" w:space="0" w:color="auto"/>
                        <w:bottom w:val="none" w:sz="0" w:space="0" w:color="auto"/>
                        <w:right w:val="none" w:sz="0" w:space="0" w:color="auto"/>
                      </w:divBdr>
                    </w:div>
                    <w:div w:id="834223357">
                      <w:marLeft w:val="0"/>
                      <w:marRight w:val="0"/>
                      <w:marTop w:val="0"/>
                      <w:marBottom w:val="0"/>
                      <w:divBdr>
                        <w:top w:val="none" w:sz="0" w:space="0" w:color="auto"/>
                        <w:left w:val="none" w:sz="0" w:space="0" w:color="auto"/>
                        <w:bottom w:val="none" w:sz="0" w:space="0" w:color="auto"/>
                        <w:right w:val="none" w:sz="0" w:space="0" w:color="auto"/>
                      </w:divBdr>
                    </w:div>
                  </w:divsChild>
                </w:div>
                <w:div w:id="1164591174">
                  <w:marLeft w:val="0"/>
                  <w:marRight w:val="0"/>
                  <w:marTop w:val="0"/>
                  <w:marBottom w:val="0"/>
                  <w:divBdr>
                    <w:top w:val="none" w:sz="0" w:space="0" w:color="auto"/>
                    <w:left w:val="none" w:sz="0" w:space="0" w:color="auto"/>
                    <w:bottom w:val="none" w:sz="0" w:space="0" w:color="auto"/>
                    <w:right w:val="none" w:sz="0" w:space="0" w:color="auto"/>
                  </w:divBdr>
                  <w:divsChild>
                    <w:div w:id="2126852358">
                      <w:marLeft w:val="0"/>
                      <w:marRight w:val="0"/>
                      <w:marTop w:val="0"/>
                      <w:marBottom w:val="0"/>
                      <w:divBdr>
                        <w:top w:val="none" w:sz="0" w:space="0" w:color="auto"/>
                        <w:left w:val="none" w:sz="0" w:space="0" w:color="auto"/>
                        <w:bottom w:val="none" w:sz="0" w:space="0" w:color="auto"/>
                        <w:right w:val="none" w:sz="0" w:space="0" w:color="auto"/>
                      </w:divBdr>
                    </w:div>
                  </w:divsChild>
                </w:div>
                <w:div w:id="1385642716">
                  <w:marLeft w:val="0"/>
                  <w:marRight w:val="0"/>
                  <w:marTop w:val="0"/>
                  <w:marBottom w:val="0"/>
                  <w:divBdr>
                    <w:top w:val="none" w:sz="0" w:space="0" w:color="auto"/>
                    <w:left w:val="none" w:sz="0" w:space="0" w:color="auto"/>
                    <w:bottom w:val="none" w:sz="0" w:space="0" w:color="auto"/>
                    <w:right w:val="none" w:sz="0" w:space="0" w:color="auto"/>
                  </w:divBdr>
                  <w:divsChild>
                    <w:div w:id="1473018584">
                      <w:marLeft w:val="0"/>
                      <w:marRight w:val="0"/>
                      <w:marTop w:val="0"/>
                      <w:marBottom w:val="0"/>
                      <w:divBdr>
                        <w:top w:val="none" w:sz="0" w:space="0" w:color="auto"/>
                        <w:left w:val="none" w:sz="0" w:space="0" w:color="auto"/>
                        <w:bottom w:val="none" w:sz="0" w:space="0" w:color="auto"/>
                        <w:right w:val="none" w:sz="0" w:space="0" w:color="auto"/>
                      </w:divBdr>
                    </w:div>
                  </w:divsChild>
                </w:div>
                <w:div w:id="1484278162">
                  <w:marLeft w:val="0"/>
                  <w:marRight w:val="0"/>
                  <w:marTop w:val="0"/>
                  <w:marBottom w:val="0"/>
                  <w:divBdr>
                    <w:top w:val="none" w:sz="0" w:space="0" w:color="auto"/>
                    <w:left w:val="none" w:sz="0" w:space="0" w:color="auto"/>
                    <w:bottom w:val="none" w:sz="0" w:space="0" w:color="auto"/>
                    <w:right w:val="none" w:sz="0" w:space="0" w:color="auto"/>
                  </w:divBdr>
                  <w:divsChild>
                    <w:div w:id="1698580894">
                      <w:marLeft w:val="0"/>
                      <w:marRight w:val="0"/>
                      <w:marTop w:val="0"/>
                      <w:marBottom w:val="0"/>
                      <w:divBdr>
                        <w:top w:val="none" w:sz="0" w:space="0" w:color="auto"/>
                        <w:left w:val="none" w:sz="0" w:space="0" w:color="auto"/>
                        <w:bottom w:val="none" w:sz="0" w:space="0" w:color="auto"/>
                        <w:right w:val="none" w:sz="0" w:space="0" w:color="auto"/>
                      </w:divBdr>
                    </w:div>
                  </w:divsChild>
                </w:div>
                <w:div w:id="1501506439">
                  <w:marLeft w:val="0"/>
                  <w:marRight w:val="0"/>
                  <w:marTop w:val="0"/>
                  <w:marBottom w:val="0"/>
                  <w:divBdr>
                    <w:top w:val="none" w:sz="0" w:space="0" w:color="auto"/>
                    <w:left w:val="none" w:sz="0" w:space="0" w:color="auto"/>
                    <w:bottom w:val="none" w:sz="0" w:space="0" w:color="auto"/>
                    <w:right w:val="none" w:sz="0" w:space="0" w:color="auto"/>
                  </w:divBdr>
                  <w:divsChild>
                    <w:div w:id="1458447825">
                      <w:marLeft w:val="0"/>
                      <w:marRight w:val="0"/>
                      <w:marTop w:val="0"/>
                      <w:marBottom w:val="0"/>
                      <w:divBdr>
                        <w:top w:val="none" w:sz="0" w:space="0" w:color="auto"/>
                        <w:left w:val="none" w:sz="0" w:space="0" w:color="auto"/>
                        <w:bottom w:val="none" w:sz="0" w:space="0" w:color="auto"/>
                        <w:right w:val="none" w:sz="0" w:space="0" w:color="auto"/>
                      </w:divBdr>
                    </w:div>
                  </w:divsChild>
                </w:div>
                <w:div w:id="1555386564">
                  <w:marLeft w:val="0"/>
                  <w:marRight w:val="0"/>
                  <w:marTop w:val="0"/>
                  <w:marBottom w:val="0"/>
                  <w:divBdr>
                    <w:top w:val="none" w:sz="0" w:space="0" w:color="auto"/>
                    <w:left w:val="none" w:sz="0" w:space="0" w:color="auto"/>
                    <w:bottom w:val="none" w:sz="0" w:space="0" w:color="auto"/>
                    <w:right w:val="none" w:sz="0" w:space="0" w:color="auto"/>
                  </w:divBdr>
                  <w:divsChild>
                    <w:div w:id="665940362">
                      <w:marLeft w:val="0"/>
                      <w:marRight w:val="0"/>
                      <w:marTop w:val="0"/>
                      <w:marBottom w:val="0"/>
                      <w:divBdr>
                        <w:top w:val="none" w:sz="0" w:space="0" w:color="auto"/>
                        <w:left w:val="none" w:sz="0" w:space="0" w:color="auto"/>
                        <w:bottom w:val="none" w:sz="0" w:space="0" w:color="auto"/>
                        <w:right w:val="none" w:sz="0" w:space="0" w:color="auto"/>
                      </w:divBdr>
                    </w:div>
                  </w:divsChild>
                </w:div>
                <w:div w:id="1752849537">
                  <w:marLeft w:val="0"/>
                  <w:marRight w:val="0"/>
                  <w:marTop w:val="0"/>
                  <w:marBottom w:val="0"/>
                  <w:divBdr>
                    <w:top w:val="none" w:sz="0" w:space="0" w:color="auto"/>
                    <w:left w:val="none" w:sz="0" w:space="0" w:color="auto"/>
                    <w:bottom w:val="none" w:sz="0" w:space="0" w:color="auto"/>
                    <w:right w:val="none" w:sz="0" w:space="0" w:color="auto"/>
                  </w:divBdr>
                  <w:divsChild>
                    <w:div w:id="1023828480">
                      <w:marLeft w:val="0"/>
                      <w:marRight w:val="0"/>
                      <w:marTop w:val="0"/>
                      <w:marBottom w:val="0"/>
                      <w:divBdr>
                        <w:top w:val="none" w:sz="0" w:space="0" w:color="auto"/>
                        <w:left w:val="none" w:sz="0" w:space="0" w:color="auto"/>
                        <w:bottom w:val="none" w:sz="0" w:space="0" w:color="auto"/>
                        <w:right w:val="none" w:sz="0" w:space="0" w:color="auto"/>
                      </w:divBdr>
                    </w:div>
                    <w:div w:id="1154376293">
                      <w:marLeft w:val="0"/>
                      <w:marRight w:val="0"/>
                      <w:marTop w:val="0"/>
                      <w:marBottom w:val="0"/>
                      <w:divBdr>
                        <w:top w:val="none" w:sz="0" w:space="0" w:color="auto"/>
                        <w:left w:val="none" w:sz="0" w:space="0" w:color="auto"/>
                        <w:bottom w:val="none" w:sz="0" w:space="0" w:color="auto"/>
                        <w:right w:val="none" w:sz="0" w:space="0" w:color="auto"/>
                      </w:divBdr>
                    </w:div>
                  </w:divsChild>
                </w:div>
                <w:div w:id="1796370867">
                  <w:marLeft w:val="0"/>
                  <w:marRight w:val="0"/>
                  <w:marTop w:val="0"/>
                  <w:marBottom w:val="0"/>
                  <w:divBdr>
                    <w:top w:val="none" w:sz="0" w:space="0" w:color="auto"/>
                    <w:left w:val="none" w:sz="0" w:space="0" w:color="auto"/>
                    <w:bottom w:val="none" w:sz="0" w:space="0" w:color="auto"/>
                    <w:right w:val="none" w:sz="0" w:space="0" w:color="auto"/>
                  </w:divBdr>
                  <w:divsChild>
                    <w:div w:id="1960598711">
                      <w:marLeft w:val="0"/>
                      <w:marRight w:val="0"/>
                      <w:marTop w:val="0"/>
                      <w:marBottom w:val="0"/>
                      <w:divBdr>
                        <w:top w:val="none" w:sz="0" w:space="0" w:color="auto"/>
                        <w:left w:val="none" w:sz="0" w:space="0" w:color="auto"/>
                        <w:bottom w:val="none" w:sz="0" w:space="0" w:color="auto"/>
                        <w:right w:val="none" w:sz="0" w:space="0" w:color="auto"/>
                      </w:divBdr>
                    </w:div>
                  </w:divsChild>
                </w:div>
                <w:div w:id="1804275789">
                  <w:marLeft w:val="0"/>
                  <w:marRight w:val="0"/>
                  <w:marTop w:val="0"/>
                  <w:marBottom w:val="0"/>
                  <w:divBdr>
                    <w:top w:val="none" w:sz="0" w:space="0" w:color="auto"/>
                    <w:left w:val="none" w:sz="0" w:space="0" w:color="auto"/>
                    <w:bottom w:val="none" w:sz="0" w:space="0" w:color="auto"/>
                    <w:right w:val="none" w:sz="0" w:space="0" w:color="auto"/>
                  </w:divBdr>
                  <w:divsChild>
                    <w:div w:id="252907754">
                      <w:marLeft w:val="0"/>
                      <w:marRight w:val="0"/>
                      <w:marTop w:val="0"/>
                      <w:marBottom w:val="0"/>
                      <w:divBdr>
                        <w:top w:val="none" w:sz="0" w:space="0" w:color="auto"/>
                        <w:left w:val="none" w:sz="0" w:space="0" w:color="auto"/>
                        <w:bottom w:val="none" w:sz="0" w:space="0" w:color="auto"/>
                        <w:right w:val="none" w:sz="0" w:space="0" w:color="auto"/>
                      </w:divBdr>
                    </w:div>
                  </w:divsChild>
                </w:div>
                <w:div w:id="2010137085">
                  <w:marLeft w:val="0"/>
                  <w:marRight w:val="0"/>
                  <w:marTop w:val="0"/>
                  <w:marBottom w:val="0"/>
                  <w:divBdr>
                    <w:top w:val="none" w:sz="0" w:space="0" w:color="auto"/>
                    <w:left w:val="none" w:sz="0" w:space="0" w:color="auto"/>
                    <w:bottom w:val="none" w:sz="0" w:space="0" w:color="auto"/>
                    <w:right w:val="none" w:sz="0" w:space="0" w:color="auto"/>
                  </w:divBdr>
                  <w:divsChild>
                    <w:div w:id="1075399385">
                      <w:marLeft w:val="0"/>
                      <w:marRight w:val="0"/>
                      <w:marTop w:val="0"/>
                      <w:marBottom w:val="0"/>
                      <w:divBdr>
                        <w:top w:val="none" w:sz="0" w:space="0" w:color="auto"/>
                        <w:left w:val="none" w:sz="0" w:space="0" w:color="auto"/>
                        <w:bottom w:val="none" w:sz="0" w:space="0" w:color="auto"/>
                        <w:right w:val="none" w:sz="0" w:space="0" w:color="auto"/>
                      </w:divBdr>
                    </w:div>
                  </w:divsChild>
                </w:div>
                <w:div w:id="2092462533">
                  <w:marLeft w:val="0"/>
                  <w:marRight w:val="0"/>
                  <w:marTop w:val="0"/>
                  <w:marBottom w:val="0"/>
                  <w:divBdr>
                    <w:top w:val="none" w:sz="0" w:space="0" w:color="auto"/>
                    <w:left w:val="none" w:sz="0" w:space="0" w:color="auto"/>
                    <w:bottom w:val="none" w:sz="0" w:space="0" w:color="auto"/>
                    <w:right w:val="none" w:sz="0" w:space="0" w:color="auto"/>
                  </w:divBdr>
                  <w:divsChild>
                    <w:div w:id="21019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60690">
          <w:marLeft w:val="0"/>
          <w:marRight w:val="0"/>
          <w:marTop w:val="0"/>
          <w:marBottom w:val="0"/>
          <w:divBdr>
            <w:top w:val="none" w:sz="0" w:space="0" w:color="auto"/>
            <w:left w:val="none" w:sz="0" w:space="0" w:color="auto"/>
            <w:bottom w:val="none" w:sz="0" w:space="0" w:color="auto"/>
            <w:right w:val="none" w:sz="0" w:space="0" w:color="auto"/>
          </w:divBdr>
        </w:div>
        <w:div w:id="784075997">
          <w:marLeft w:val="0"/>
          <w:marRight w:val="0"/>
          <w:marTop w:val="0"/>
          <w:marBottom w:val="0"/>
          <w:divBdr>
            <w:top w:val="none" w:sz="0" w:space="0" w:color="auto"/>
            <w:left w:val="none" w:sz="0" w:space="0" w:color="auto"/>
            <w:bottom w:val="none" w:sz="0" w:space="0" w:color="auto"/>
            <w:right w:val="none" w:sz="0" w:space="0" w:color="auto"/>
          </w:divBdr>
        </w:div>
        <w:div w:id="800272298">
          <w:marLeft w:val="0"/>
          <w:marRight w:val="0"/>
          <w:marTop w:val="0"/>
          <w:marBottom w:val="0"/>
          <w:divBdr>
            <w:top w:val="none" w:sz="0" w:space="0" w:color="auto"/>
            <w:left w:val="none" w:sz="0" w:space="0" w:color="auto"/>
            <w:bottom w:val="none" w:sz="0" w:space="0" w:color="auto"/>
            <w:right w:val="none" w:sz="0" w:space="0" w:color="auto"/>
          </w:divBdr>
        </w:div>
        <w:div w:id="898444823">
          <w:marLeft w:val="0"/>
          <w:marRight w:val="0"/>
          <w:marTop w:val="0"/>
          <w:marBottom w:val="0"/>
          <w:divBdr>
            <w:top w:val="none" w:sz="0" w:space="0" w:color="auto"/>
            <w:left w:val="none" w:sz="0" w:space="0" w:color="auto"/>
            <w:bottom w:val="none" w:sz="0" w:space="0" w:color="auto"/>
            <w:right w:val="none" w:sz="0" w:space="0" w:color="auto"/>
          </w:divBdr>
          <w:divsChild>
            <w:div w:id="1915890869">
              <w:marLeft w:val="-75"/>
              <w:marRight w:val="0"/>
              <w:marTop w:val="30"/>
              <w:marBottom w:val="30"/>
              <w:divBdr>
                <w:top w:val="none" w:sz="0" w:space="0" w:color="auto"/>
                <w:left w:val="none" w:sz="0" w:space="0" w:color="auto"/>
                <w:bottom w:val="none" w:sz="0" w:space="0" w:color="auto"/>
                <w:right w:val="none" w:sz="0" w:space="0" w:color="auto"/>
              </w:divBdr>
              <w:divsChild>
                <w:div w:id="14383376">
                  <w:marLeft w:val="0"/>
                  <w:marRight w:val="0"/>
                  <w:marTop w:val="0"/>
                  <w:marBottom w:val="0"/>
                  <w:divBdr>
                    <w:top w:val="none" w:sz="0" w:space="0" w:color="auto"/>
                    <w:left w:val="none" w:sz="0" w:space="0" w:color="auto"/>
                    <w:bottom w:val="none" w:sz="0" w:space="0" w:color="auto"/>
                    <w:right w:val="none" w:sz="0" w:space="0" w:color="auto"/>
                  </w:divBdr>
                  <w:divsChild>
                    <w:div w:id="1464425435">
                      <w:marLeft w:val="0"/>
                      <w:marRight w:val="0"/>
                      <w:marTop w:val="0"/>
                      <w:marBottom w:val="0"/>
                      <w:divBdr>
                        <w:top w:val="none" w:sz="0" w:space="0" w:color="auto"/>
                        <w:left w:val="none" w:sz="0" w:space="0" w:color="auto"/>
                        <w:bottom w:val="none" w:sz="0" w:space="0" w:color="auto"/>
                        <w:right w:val="none" w:sz="0" w:space="0" w:color="auto"/>
                      </w:divBdr>
                    </w:div>
                  </w:divsChild>
                </w:div>
                <w:div w:id="22944705">
                  <w:marLeft w:val="0"/>
                  <w:marRight w:val="0"/>
                  <w:marTop w:val="0"/>
                  <w:marBottom w:val="0"/>
                  <w:divBdr>
                    <w:top w:val="none" w:sz="0" w:space="0" w:color="auto"/>
                    <w:left w:val="none" w:sz="0" w:space="0" w:color="auto"/>
                    <w:bottom w:val="none" w:sz="0" w:space="0" w:color="auto"/>
                    <w:right w:val="none" w:sz="0" w:space="0" w:color="auto"/>
                  </w:divBdr>
                  <w:divsChild>
                    <w:div w:id="462699731">
                      <w:marLeft w:val="0"/>
                      <w:marRight w:val="0"/>
                      <w:marTop w:val="0"/>
                      <w:marBottom w:val="0"/>
                      <w:divBdr>
                        <w:top w:val="none" w:sz="0" w:space="0" w:color="auto"/>
                        <w:left w:val="none" w:sz="0" w:space="0" w:color="auto"/>
                        <w:bottom w:val="none" w:sz="0" w:space="0" w:color="auto"/>
                        <w:right w:val="none" w:sz="0" w:space="0" w:color="auto"/>
                      </w:divBdr>
                    </w:div>
                  </w:divsChild>
                </w:div>
                <w:div w:id="47001960">
                  <w:marLeft w:val="0"/>
                  <w:marRight w:val="0"/>
                  <w:marTop w:val="0"/>
                  <w:marBottom w:val="0"/>
                  <w:divBdr>
                    <w:top w:val="none" w:sz="0" w:space="0" w:color="auto"/>
                    <w:left w:val="none" w:sz="0" w:space="0" w:color="auto"/>
                    <w:bottom w:val="none" w:sz="0" w:space="0" w:color="auto"/>
                    <w:right w:val="none" w:sz="0" w:space="0" w:color="auto"/>
                  </w:divBdr>
                  <w:divsChild>
                    <w:div w:id="518276458">
                      <w:marLeft w:val="0"/>
                      <w:marRight w:val="0"/>
                      <w:marTop w:val="0"/>
                      <w:marBottom w:val="0"/>
                      <w:divBdr>
                        <w:top w:val="none" w:sz="0" w:space="0" w:color="auto"/>
                        <w:left w:val="none" w:sz="0" w:space="0" w:color="auto"/>
                        <w:bottom w:val="none" w:sz="0" w:space="0" w:color="auto"/>
                        <w:right w:val="none" w:sz="0" w:space="0" w:color="auto"/>
                      </w:divBdr>
                    </w:div>
                  </w:divsChild>
                </w:div>
                <w:div w:id="53092791">
                  <w:marLeft w:val="0"/>
                  <w:marRight w:val="0"/>
                  <w:marTop w:val="0"/>
                  <w:marBottom w:val="0"/>
                  <w:divBdr>
                    <w:top w:val="none" w:sz="0" w:space="0" w:color="auto"/>
                    <w:left w:val="none" w:sz="0" w:space="0" w:color="auto"/>
                    <w:bottom w:val="none" w:sz="0" w:space="0" w:color="auto"/>
                    <w:right w:val="none" w:sz="0" w:space="0" w:color="auto"/>
                  </w:divBdr>
                  <w:divsChild>
                    <w:div w:id="882444982">
                      <w:marLeft w:val="0"/>
                      <w:marRight w:val="0"/>
                      <w:marTop w:val="0"/>
                      <w:marBottom w:val="0"/>
                      <w:divBdr>
                        <w:top w:val="none" w:sz="0" w:space="0" w:color="auto"/>
                        <w:left w:val="none" w:sz="0" w:space="0" w:color="auto"/>
                        <w:bottom w:val="none" w:sz="0" w:space="0" w:color="auto"/>
                        <w:right w:val="none" w:sz="0" w:space="0" w:color="auto"/>
                      </w:divBdr>
                    </w:div>
                  </w:divsChild>
                </w:div>
                <w:div w:id="74014305">
                  <w:marLeft w:val="0"/>
                  <w:marRight w:val="0"/>
                  <w:marTop w:val="0"/>
                  <w:marBottom w:val="0"/>
                  <w:divBdr>
                    <w:top w:val="none" w:sz="0" w:space="0" w:color="auto"/>
                    <w:left w:val="none" w:sz="0" w:space="0" w:color="auto"/>
                    <w:bottom w:val="none" w:sz="0" w:space="0" w:color="auto"/>
                    <w:right w:val="none" w:sz="0" w:space="0" w:color="auto"/>
                  </w:divBdr>
                  <w:divsChild>
                    <w:div w:id="1836261412">
                      <w:marLeft w:val="0"/>
                      <w:marRight w:val="0"/>
                      <w:marTop w:val="0"/>
                      <w:marBottom w:val="0"/>
                      <w:divBdr>
                        <w:top w:val="none" w:sz="0" w:space="0" w:color="auto"/>
                        <w:left w:val="none" w:sz="0" w:space="0" w:color="auto"/>
                        <w:bottom w:val="none" w:sz="0" w:space="0" w:color="auto"/>
                        <w:right w:val="none" w:sz="0" w:space="0" w:color="auto"/>
                      </w:divBdr>
                    </w:div>
                  </w:divsChild>
                </w:div>
                <w:div w:id="144124679">
                  <w:marLeft w:val="0"/>
                  <w:marRight w:val="0"/>
                  <w:marTop w:val="0"/>
                  <w:marBottom w:val="0"/>
                  <w:divBdr>
                    <w:top w:val="none" w:sz="0" w:space="0" w:color="auto"/>
                    <w:left w:val="none" w:sz="0" w:space="0" w:color="auto"/>
                    <w:bottom w:val="none" w:sz="0" w:space="0" w:color="auto"/>
                    <w:right w:val="none" w:sz="0" w:space="0" w:color="auto"/>
                  </w:divBdr>
                  <w:divsChild>
                    <w:div w:id="633293963">
                      <w:marLeft w:val="0"/>
                      <w:marRight w:val="0"/>
                      <w:marTop w:val="0"/>
                      <w:marBottom w:val="0"/>
                      <w:divBdr>
                        <w:top w:val="none" w:sz="0" w:space="0" w:color="auto"/>
                        <w:left w:val="none" w:sz="0" w:space="0" w:color="auto"/>
                        <w:bottom w:val="none" w:sz="0" w:space="0" w:color="auto"/>
                        <w:right w:val="none" w:sz="0" w:space="0" w:color="auto"/>
                      </w:divBdr>
                    </w:div>
                  </w:divsChild>
                </w:div>
                <w:div w:id="189730253">
                  <w:marLeft w:val="0"/>
                  <w:marRight w:val="0"/>
                  <w:marTop w:val="0"/>
                  <w:marBottom w:val="0"/>
                  <w:divBdr>
                    <w:top w:val="none" w:sz="0" w:space="0" w:color="auto"/>
                    <w:left w:val="none" w:sz="0" w:space="0" w:color="auto"/>
                    <w:bottom w:val="none" w:sz="0" w:space="0" w:color="auto"/>
                    <w:right w:val="none" w:sz="0" w:space="0" w:color="auto"/>
                  </w:divBdr>
                  <w:divsChild>
                    <w:div w:id="111487106">
                      <w:marLeft w:val="0"/>
                      <w:marRight w:val="0"/>
                      <w:marTop w:val="0"/>
                      <w:marBottom w:val="0"/>
                      <w:divBdr>
                        <w:top w:val="none" w:sz="0" w:space="0" w:color="auto"/>
                        <w:left w:val="none" w:sz="0" w:space="0" w:color="auto"/>
                        <w:bottom w:val="none" w:sz="0" w:space="0" w:color="auto"/>
                        <w:right w:val="none" w:sz="0" w:space="0" w:color="auto"/>
                      </w:divBdr>
                    </w:div>
                  </w:divsChild>
                </w:div>
                <w:div w:id="192039752">
                  <w:marLeft w:val="0"/>
                  <w:marRight w:val="0"/>
                  <w:marTop w:val="0"/>
                  <w:marBottom w:val="0"/>
                  <w:divBdr>
                    <w:top w:val="none" w:sz="0" w:space="0" w:color="auto"/>
                    <w:left w:val="none" w:sz="0" w:space="0" w:color="auto"/>
                    <w:bottom w:val="none" w:sz="0" w:space="0" w:color="auto"/>
                    <w:right w:val="none" w:sz="0" w:space="0" w:color="auto"/>
                  </w:divBdr>
                  <w:divsChild>
                    <w:div w:id="1805849381">
                      <w:marLeft w:val="0"/>
                      <w:marRight w:val="0"/>
                      <w:marTop w:val="0"/>
                      <w:marBottom w:val="0"/>
                      <w:divBdr>
                        <w:top w:val="none" w:sz="0" w:space="0" w:color="auto"/>
                        <w:left w:val="none" w:sz="0" w:space="0" w:color="auto"/>
                        <w:bottom w:val="none" w:sz="0" w:space="0" w:color="auto"/>
                        <w:right w:val="none" w:sz="0" w:space="0" w:color="auto"/>
                      </w:divBdr>
                    </w:div>
                  </w:divsChild>
                </w:div>
                <w:div w:id="257296615">
                  <w:marLeft w:val="0"/>
                  <w:marRight w:val="0"/>
                  <w:marTop w:val="0"/>
                  <w:marBottom w:val="0"/>
                  <w:divBdr>
                    <w:top w:val="none" w:sz="0" w:space="0" w:color="auto"/>
                    <w:left w:val="none" w:sz="0" w:space="0" w:color="auto"/>
                    <w:bottom w:val="none" w:sz="0" w:space="0" w:color="auto"/>
                    <w:right w:val="none" w:sz="0" w:space="0" w:color="auto"/>
                  </w:divBdr>
                  <w:divsChild>
                    <w:div w:id="1103110710">
                      <w:marLeft w:val="0"/>
                      <w:marRight w:val="0"/>
                      <w:marTop w:val="0"/>
                      <w:marBottom w:val="0"/>
                      <w:divBdr>
                        <w:top w:val="none" w:sz="0" w:space="0" w:color="auto"/>
                        <w:left w:val="none" w:sz="0" w:space="0" w:color="auto"/>
                        <w:bottom w:val="none" w:sz="0" w:space="0" w:color="auto"/>
                        <w:right w:val="none" w:sz="0" w:space="0" w:color="auto"/>
                      </w:divBdr>
                    </w:div>
                  </w:divsChild>
                </w:div>
                <w:div w:id="346712797">
                  <w:marLeft w:val="0"/>
                  <w:marRight w:val="0"/>
                  <w:marTop w:val="0"/>
                  <w:marBottom w:val="0"/>
                  <w:divBdr>
                    <w:top w:val="none" w:sz="0" w:space="0" w:color="auto"/>
                    <w:left w:val="none" w:sz="0" w:space="0" w:color="auto"/>
                    <w:bottom w:val="none" w:sz="0" w:space="0" w:color="auto"/>
                    <w:right w:val="none" w:sz="0" w:space="0" w:color="auto"/>
                  </w:divBdr>
                  <w:divsChild>
                    <w:div w:id="1416315832">
                      <w:marLeft w:val="0"/>
                      <w:marRight w:val="0"/>
                      <w:marTop w:val="0"/>
                      <w:marBottom w:val="0"/>
                      <w:divBdr>
                        <w:top w:val="none" w:sz="0" w:space="0" w:color="auto"/>
                        <w:left w:val="none" w:sz="0" w:space="0" w:color="auto"/>
                        <w:bottom w:val="none" w:sz="0" w:space="0" w:color="auto"/>
                        <w:right w:val="none" w:sz="0" w:space="0" w:color="auto"/>
                      </w:divBdr>
                    </w:div>
                  </w:divsChild>
                </w:div>
                <w:div w:id="374037851">
                  <w:marLeft w:val="0"/>
                  <w:marRight w:val="0"/>
                  <w:marTop w:val="0"/>
                  <w:marBottom w:val="0"/>
                  <w:divBdr>
                    <w:top w:val="none" w:sz="0" w:space="0" w:color="auto"/>
                    <w:left w:val="none" w:sz="0" w:space="0" w:color="auto"/>
                    <w:bottom w:val="none" w:sz="0" w:space="0" w:color="auto"/>
                    <w:right w:val="none" w:sz="0" w:space="0" w:color="auto"/>
                  </w:divBdr>
                  <w:divsChild>
                    <w:div w:id="419330247">
                      <w:marLeft w:val="0"/>
                      <w:marRight w:val="0"/>
                      <w:marTop w:val="0"/>
                      <w:marBottom w:val="0"/>
                      <w:divBdr>
                        <w:top w:val="none" w:sz="0" w:space="0" w:color="auto"/>
                        <w:left w:val="none" w:sz="0" w:space="0" w:color="auto"/>
                        <w:bottom w:val="none" w:sz="0" w:space="0" w:color="auto"/>
                        <w:right w:val="none" w:sz="0" w:space="0" w:color="auto"/>
                      </w:divBdr>
                    </w:div>
                  </w:divsChild>
                </w:div>
                <w:div w:id="485390981">
                  <w:marLeft w:val="0"/>
                  <w:marRight w:val="0"/>
                  <w:marTop w:val="0"/>
                  <w:marBottom w:val="0"/>
                  <w:divBdr>
                    <w:top w:val="none" w:sz="0" w:space="0" w:color="auto"/>
                    <w:left w:val="none" w:sz="0" w:space="0" w:color="auto"/>
                    <w:bottom w:val="none" w:sz="0" w:space="0" w:color="auto"/>
                    <w:right w:val="none" w:sz="0" w:space="0" w:color="auto"/>
                  </w:divBdr>
                  <w:divsChild>
                    <w:div w:id="1448889153">
                      <w:marLeft w:val="0"/>
                      <w:marRight w:val="0"/>
                      <w:marTop w:val="0"/>
                      <w:marBottom w:val="0"/>
                      <w:divBdr>
                        <w:top w:val="none" w:sz="0" w:space="0" w:color="auto"/>
                        <w:left w:val="none" w:sz="0" w:space="0" w:color="auto"/>
                        <w:bottom w:val="none" w:sz="0" w:space="0" w:color="auto"/>
                        <w:right w:val="none" w:sz="0" w:space="0" w:color="auto"/>
                      </w:divBdr>
                    </w:div>
                  </w:divsChild>
                </w:div>
                <w:div w:id="504829796">
                  <w:marLeft w:val="0"/>
                  <w:marRight w:val="0"/>
                  <w:marTop w:val="0"/>
                  <w:marBottom w:val="0"/>
                  <w:divBdr>
                    <w:top w:val="none" w:sz="0" w:space="0" w:color="auto"/>
                    <w:left w:val="none" w:sz="0" w:space="0" w:color="auto"/>
                    <w:bottom w:val="none" w:sz="0" w:space="0" w:color="auto"/>
                    <w:right w:val="none" w:sz="0" w:space="0" w:color="auto"/>
                  </w:divBdr>
                  <w:divsChild>
                    <w:div w:id="117724130">
                      <w:marLeft w:val="0"/>
                      <w:marRight w:val="0"/>
                      <w:marTop w:val="0"/>
                      <w:marBottom w:val="0"/>
                      <w:divBdr>
                        <w:top w:val="none" w:sz="0" w:space="0" w:color="auto"/>
                        <w:left w:val="none" w:sz="0" w:space="0" w:color="auto"/>
                        <w:bottom w:val="none" w:sz="0" w:space="0" w:color="auto"/>
                        <w:right w:val="none" w:sz="0" w:space="0" w:color="auto"/>
                      </w:divBdr>
                    </w:div>
                  </w:divsChild>
                </w:div>
                <w:div w:id="506287973">
                  <w:marLeft w:val="0"/>
                  <w:marRight w:val="0"/>
                  <w:marTop w:val="0"/>
                  <w:marBottom w:val="0"/>
                  <w:divBdr>
                    <w:top w:val="none" w:sz="0" w:space="0" w:color="auto"/>
                    <w:left w:val="none" w:sz="0" w:space="0" w:color="auto"/>
                    <w:bottom w:val="none" w:sz="0" w:space="0" w:color="auto"/>
                    <w:right w:val="none" w:sz="0" w:space="0" w:color="auto"/>
                  </w:divBdr>
                  <w:divsChild>
                    <w:div w:id="895777805">
                      <w:marLeft w:val="0"/>
                      <w:marRight w:val="0"/>
                      <w:marTop w:val="0"/>
                      <w:marBottom w:val="0"/>
                      <w:divBdr>
                        <w:top w:val="none" w:sz="0" w:space="0" w:color="auto"/>
                        <w:left w:val="none" w:sz="0" w:space="0" w:color="auto"/>
                        <w:bottom w:val="none" w:sz="0" w:space="0" w:color="auto"/>
                        <w:right w:val="none" w:sz="0" w:space="0" w:color="auto"/>
                      </w:divBdr>
                    </w:div>
                  </w:divsChild>
                </w:div>
                <w:div w:id="511993187">
                  <w:marLeft w:val="0"/>
                  <w:marRight w:val="0"/>
                  <w:marTop w:val="0"/>
                  <w:marBottom w:val="0"/>
                  <w:divBdr>
                    <w:top w:val="none" w:sz="0" w:space="0" w:color="auto"/>
                    <w:left w:val="none" w:sz="0" w:space="0" w:color="auto"/>
                    <w:bottom w:val="none" w:sz="0" w:space="0" w:color="auto"/>
                    <w:right w:val="none" w:sz="0" w:space="0" w:color="auto"/>
                  </w:divBdr>
                  <w:divsChild>
                    <w:div w:id="329866277">
                      <w:marLeft w:val="0"/>
                      <w:marRight w:val="0"/>
                      <w:marTop w:val="0"/>
                      <w:marBottom w:val="0"/>
                      <w:divBdr>
                        <w:top w:val="none" w:sz="0" w:space="0" w:color="auto"/>
                        <w:left w:val="none" w:sz="0" w:space="0" w:color="auto"/>
                        <w:bottom w:val="none" w:sz="0" w:space="0" w:color="auto"/>
                        <w:right w:val="none" w:sz="0" w:space="0" w:color="auto"/>
                      </w:divBdr>
                    </w:div>
                  </w:divsChild>
                </w:div>
                <w:div w:id="519271907">
                  <w:marLeft w:val="0"/>
                  <w:marRight w:val="0"/>
                  <w:marTop w:val="0"/>
                  <w:marBottom w:val="0"/>
                  <w:divBdr>
                    <w:top w:val="none" w:sz="0" w:space="0" w:color="auto"/>
                    <w:left w:val="none" w:sz="0" w:space="0" w:color="auto"/>
                    <w:bottom w:val="none" w:sz="0" w:space="0" w:color="auto"/>
                    <w:right w:val="none" w:sz="0" w:space="0" w:color="auto"/>
                  </w:divBdr>
                  <w:divsChild>
                    <w:div w:id="1787429235">
                      <w:marLeft w:val="0"/>
                      <w:marRight w:val="0"/>
                      <w:marTop w:val="0"/>
                      <w:marBottom w:val="0"/>
                      <w:divBdr>
                        <w:top w:val="none" w:sz="0" w:space="0" w:color="auto"/>
                        <w:left w:val="none" w:sz="0" w:space="0" w:color="auto"/>
                        <w:bottom w:val="none" w:sz="0" w:space="0" w:color="auto"/>
                        <w:right w:val="none" w:sz="0" w:space="0" w:color="auto"/>
                      </w:divBdr>
                    </w:div>
                  </w:divsChild>
                </w:div>
                <w:div w:id="566844621">
                  <w:marLeft w:val="0"/>
                  <w:marRight w:val="0"/>
                  <w:marTop w:val="0"/>
                  <w:marBottom w:val="0"/>
                  <w:divBdr>
                    <w:top w:val="none" w:sz="0" w:space="0" w:color="auto"/>
                    <w:left w:val="none" w:sz="0" w:space="0" w:color="auto"/>
                    <w:bottom w:val="none" w:sz="0" w:space="0" w:color="auto"/>
                    <w:right w:val="none" w:sz="0" w:space="0" w:color="auto"/>
                  </w:divBdr>
                  <w:divsChild>
                    <w:div w:id="847906030">
                      <w:marLeft w:val="0"/>
                      <w:marRight w:val="0"/>
                      <w:marTop w:val="0"/>
                      <w:marBottom w:val="0"/>
                      <w:divBdr>
                        <w:top w:val="none" w:sz="0" w:space="0" w:color="auto"/>
                        <w:left w:val="none" w:sz="0" w:space="0" w:color="auto"/>
                        <w:bottom w:val="none" w:sz="0" w:space="0" w:color="auto"/>
                        <w:right w:val="none" w:sz="0" w:space="0" w:color="auto"/>
                      </w:divBdr>
                    </w:div>
                  </w:divsChild>
                </w:div>
                <w:div w:id="636649203">
                  <w:marLeft w:val="0"/>
                  <w:marRight w:val="0"/>
                  <w:marTop w:val="0"/>
                  <w:marBottom w:val="0"/>
                  <w:divBdr>
                    <w:top w:val="none" w:sz="0" w:space="0" w:color="auto"/>
                    <w:left w:val="none" w:sz="0" w:space="0" w:color="auto"/>
                    <w:bottom w:val="none" w:sz="0" w:space="0" w:color="auto"/>
                    <w:right w:val="none" w:sz="0" w:space="0" w:color="auto"/>
                  </w:divBdr>
                  <w:divsChild>
                    <w:div w:id="840118586">
                      <w:marLeft w:val="0"/>
                      <w:marRight w:val="0"/>
                      <w:marTop w:val="0"/>
                      <w:marBottom w:val="0"/>
                      <w:divBdr>
                        <w:top w:val="none" w:sz="0" w:space="0" w:color="auto"/>
                        <w:left w:val="none" w:sz="0" w:space="0" w:color="auto"/>
                        <w:bottom w:val="none" w:sz="0" w:space="0" w:color="auto"/>
                        <w:right w:val="none" w:sz="0" w:space="0" w:color="auto"/>
                      </w:divBdr>
                    </w:div>
                  </w:divsChild>
                </w:div>
                <w:div w:id="756294408">
                  <w:marLeft w:val="0"/>
                  <w:marRight w:val="0"/>
                  <w:marTop w:val="0"/>
                  <w:marBottom w:val="0"/>
                  <w:divBdr>
                    <w:top w:val="none" w:sz="0" w:space="0" w:color="auto"/>
                    <w:left w:val="none" w:sz="0" w:space="0" w:color="auto"/>
                    <w:bottom w:val="none" w:sz="0" w:space="0" w:color="auto"/>
                    <w:right w:val="none" w:sz="0" w:space="0" w:color="auto"/>
                  </w:divBdr>
                  <w:divsChild>
                    <w:div w:id="1722250156">
                      <w:marLeft w:val="0"/>
                      <w:marRight w:val="0"/>
                      <w:marTop w:val="0"/>
                      <w:marBottom w:val="0"/>
                      <w:divBdr>
                        <w:top w:val="none" w:sz="0" w:space="0" w:color="auto"/>
                        <w:left w:val="none" w:sz="0" w:space="0" w:color="auto"/>
                        <w:bottom w:val="none" w:sz="0" w:space="0" w:color="auto"/>
                        <w:right w:val="none" w:sz="0" w:space="0" w:color="auto"/>
                      </w:divBdr>
                    </w:div>
                  </w:divsChild>
                </w:div>
                <w:div w:id="782067345">
                  <w:marLeft w:val="0"/>
                  <w:marRight w:val="0"/>
                  <w:marTop w:val="0"/>
                  <w:marBottom w:val="0"/>
                  <w:divBdr>
                    <w:top w:val="none" w:sz="0" w:space="0" w:color="auto"/>
                    <w:left w:val="none" w:sz="0" w:space="0" w:color="auto"/>
                    <w:bottom w:val="none" w:sz="0" w:space="0" w:color="auto"/>
                    <w:right w:val="none" w:sz="0" w:space="0" w:color="auto"/>
                  </w:divBdr>
                  <w:divsChild>
                    <w:div w:id="658113427">
                      <w:marLeft w:val="0"/>
                      <w:marRight w:val="0"/>
                      <w:marTop w:val="0"/>
                      <w:marBottom w:val="0"/>
                      <w:divBdr>
                        <w:top w:val="none" w:sz="0" w:space="0" w:color="auto"/>
                        <w:left w:val="none" w:sz="0" w:space="0" w:color="auto"/>
                        <w:bottom w:val="none" w:sz="0" w:space="0" w:color="auto"/>
                        <w:right w:val="none" w:sz="0" w:space="0" w:color="auto"/>
                      </w:divBdr>
                    </w:div>
                  </w:divsChild>
                </w:div>
                <w:div w:id="845709277">
                  <w:marLeft w:val="0"/>
                  <w:marRight w:val="0"/>
                  <w:marTop w:val="0"/>
                  <w:marBottom w:val="0"/>
                  <w:divBdr>
                    <w:top w:val="none" w:sz="0" w:space="0" w:color="auto"/>
                    <w:left w:val="none" w:sz="0" w:space="0" w:color="auto"/>
                    <w:bottom w:val="none" w:sz="0" w:space="0" w:color="auto"/>
                    <w:right w:val="none" w:sz="0" w:space="0" w:color="auto"/>
                  </w:divBdr>
                  <w:divsChild>
                    <w:div w:id="1020854640">
                      <w:marLeft w:val="0"/>
                      <w:marRight w:val="0"/>
                      <w:marTop w:val="0"/>
                      <w:marBottom w:val="0"/>
                      <w:divBdr>
                        <w:top w:val="none" w:sz="0" w:space="0" w:color="auto"/>
                        <w:left w:val="none" w:sz="0" w:space="0" w:color="auto"/>
                        <w:bottom w:val="none" w:sz="0" w:space="0" w:color="auto"/>
                        <w:right w:val="none" w:sz="0" w:space="0" w:color="auto"/>
                      </w:divBdr>
                    </w:div>
                  </w:divsChild>
                </w:div>
                <w:div w:id="855581767">
                  <w:marLeft w:val="0"/>
                  <w:marRight w:val="0"/>
                  <w:marTop w:val="0"/>
                  <w:marBottom w:val="0"/>
                  <w:divBdr>
                    <w:top w:val="none" w:sz="0" w:space="0" w:color="auto"/>
                    <w:left w:val="none" w:sz="0" w:space="0" w:color="auto"/>
                    <w:bottom w:val="none" w:sz="0" w:space="0" w:color="auto"/>
                    <w:right w:val="none" w:sz="0" w:space="0" w:color="auto"/>
                  </w:divBdr>
                  <w:divsChild>
                    <w:div w:id="900943308">
                      <w:marLeft w:val="0"/>
                      <w:marRight w:val="0"/>
                      <w:marTop w:val="0"/>
                      <w:marBottom w:val="0"/>
                      <w:divBdr>
                        <w:top w:val="none" w:sz="0" w:space="0" w:color="auto"/>
                        <w:left w:val="none" w:sz="0" w:space="0" w:color="auto"/>
                        <w:bottom w:val="none" w:sz="0" w:space="0" w:color="auto"/>
                        <w:right w:val="none" w:sz="0" w:space="0" w:color="auto"/>
                      </w:divBdr>
                    </w:div>
                  </w:divsChild>
                </w:div>
                <w:div w:id="866067401">
                  <w:marLeft w:val="0"/>
                  <w:marRight w:val="0"/>
                  <w:marTop w:val="0"/>
                  <w:marBottom w:val="0"/>
                  <w:divBdr>
                    <w:top w:val="none" w:sz="0" w:space="0" w:color="auto"/>
                    <w:left w:val="none" w:sz="0" w:space="0" w:color="auto"/>
                    <w:bottom w:val="none" w:sz="0" w:space="0" w:color="auto"/>
                    <w:right w:val="none" w:sz="0" w:space="0" w:color="auto"/>
                  </w:divBdr>
                  <w:divsChild>
                    <w:div w:id="1655984318">
                      <w:marLeft w:val="0"/>
                      <w:marRight w:val="0"/>
                      <w:marTop w:val="0"/>
                      <w:marBottom w:val="0"/>
                      <w:divBdr>
                        <w:top w:val="none" w:sz="0" w:space="0" w:color="auto"/>
                        <w:left w:val="none" w:sz="0" w:space="0" w:color="auto"/>
                        <w:bottom w:val="none" w:sz="0" w:space="0" w:color="auto"/>
                        <w:right w:val="none" w:sz="0" w:space="0" w:color="auto"/>
                      </w:divBdr>
                    </w:div>
                  </w:divsChild>
                </w:div>
                <w:div w:id="888154864">
                  <w:marLeft w:val="0"/>
                  <w:marRight w:val="0"/>
                  <w:marTop w:val="0"/>
                  <w:marBottom w:val="0"/>
                  <w:divBdr>
                    <w:top w:val="none" w:sz="0" w:space="0" w:color="auto"/>
                    <w:left w:val="none" w:sz="0" w:space="0" w:color="auto"/>
                    <w:bottom w:val="none" w:sz="0" w:space="0" w:color="auto"/>
                    <w:right w:val="none" w:sz="0" w:space="0" w:color="auto"/>
                  </w:divBdr>
                  <w:divsChild>
                    <w:div w:id="1150555315">
                      <w:marLeft w:val="0"/>
                      <w:marRight w:val="0"/>
                      <w:marTop w:val="0"/>
                      <w:marBottom w:val="0"/>
                      <w:divBdr>
                        <w:top w:val="none" w:sz="0" w:space="0" w:color="auto"/>
                        <w:left w:val="none" w:sz="0" w:space="0" w:color="auto"/>
                        <w:bottom w:val="none" w:sz="0" w:space="0" w:color="auto"/>
                        <w:right w:val="none" w:sz="0" w:space="0" w:color="auto"/>
                      </w:divBdr>
                    </w:div>
                  </w:divsChild>
                </w:div>
                <w:div w:id="925650827">
                  <w:marLeft w:val="0"/>
                  <w:marRight w:val="0"/>
                  <w:marTop w:val="0"/>
                  <w:marBottom w:val="0"/>
                  <w:divBdr>
                    <w:top w:val="none" w:sz="0" w:space="0" w:color="auto"/>
                    <w:left w:val="none" w:sz="0" w:space="0" w:color="auto"/>
                    <w:bottom w:val="none" w:sz="0" w:space="0" w:color="auto"/>
                    <w:right w:val="none" w:sz="0" w:space="0" w:color="auto"/>
                  </w:divBdr>
                  <w:divsChild>
                    <w:div w:id="2017993829">
                      <w:marLeft w:val="0"/>
                      <w:marRight w:val="0"/>
                      <w:marTop w:val="0"/>
                      <w:marBottom w:val="0"/>
                      <w:divBdr>
                        <w:top w:val="none" w:sz="0" w:space="0" w:color="auto"/>
                        <w:left w:val="none" w:sz="0" w:space="0" w:color="auto"/>
                        <w:bottom w:val="none" w:sz="0" w:space="0" w:color="auto"/>
                        <w:right w:val="none" w:sz="0" w:space="0" w:color="auto"/>
                      </w:divBdr>
                    </w:div>
                  </w:divsChild>
                </w:div>
                <w:div w:id="993682298">
                  <w:marLeft w:val="0"/>
                  <w:marRight w:val="0"/>
                  <w:marTop w:val="0"/>
                  <w:marBottom w:val="0"/>
                  <w:divBdr>
                    <w:top w:val="none" w:sz="0" w:space="0" w:color="auto"/>
                    <w:left w:val="none" w:sz="0" w:space="0" w:color="auto"/>
                    <w:bottom w:val="none" w:sz="0" w:space="0" w:color="auto"/>
                    <w:right w:val="none" w:sz="0" w:space="0" w:color="auto"/>
                  </w:divBdr>
                  <w:divsChild>
                    <w:div w:id="987442127">
                      <w:marLeft w:val="0"/>
                      <w:marRight w:val="0"/>
                      <w:marTop w:val="0"/>
                      <w:marBottom w:val="0"/>
                      <w:divBdr>
                        <w:top w:val="none" w:sz="0" w:space="0" w:color="auto"/>
                        <w:left w:val="none" w:sz="0" w:space="0" w:color="auto"/>
                        <w:bottom w:val="none" w:sz="0" w:space="0" w:color="auto"/>
                        <w:right w:val="none" w:sz="0" w:space="0" w:color="auto"/>
                      </w:divBdr>
                    </w:div>
                  </w:divsChild>
                </w:div>
                <w:div w:id="1047922792">
                  <w:marLeft w:val="0"/>
                  <w:marRight w:val="0"/>
                  <w:marTop w:val="0"/>
                  <w:marBottom w:val="0"/>
                  <w:divBdr>
                    <w:top w:val="none" w:sz="0" w:space="0" w:color="auto"/>
                    <w:left w:val="none" w:sz="0" w:space="0" w:color="auto"/>
                    <w:bottom w:val="none" w:sz="0" w:space="0" w:color="auto"/>
                    <w:right w:val="none" w:sz="0" w:space="0" w:color="auto"/>
                  </w:divBdr>
                  <w:divsChild>
                    <w:div w:id="148251799">
                      <w:marLeft w:val="0"/>
                      <w:marRight w:val="0"/>
                      <w:marTop w:val="0"/>
                      <w:marBottom w:val="0"/>
                      <w:divBdr>
                        <w:top w:val="none" w:sz="0" w:space="0" w:color="auto"/>
                        <w:left w:val="none" w:sz="0" w:space="0" w:color="auto"/>
                        <w:bottom w:val="none" w:sz="0" w:space="0" w:color="auto"/>
                        <w:right w:val="none" w:sz="0" w:space="0" w:color="auto"/>
                      </w:divBdr>
                    </w:div>
                  </w:divsChild>
                </w:div>
                <w:div w:id="1100108437">
                  <w:marLeft w:val="0"/>
                  <w:marRight w:val="0"/>
                  <w:marTop w:val="0"/>
                  <w:marBottom w:val="0"/>
                  <w:divBdr>
                    <w:top w:val="none" w:sz="0" w:space="0" w:color="auto"/>
                    <w:left w:val="none" w:sz="0" w:space="0" w:color="auto"/>
                    <w:bottom w:val="none" w:sz="0" w:space="0" w:color="auto"/>
                    <w:right w:val="none" w:sz="0" w:space="0" w:color="auto"/>
                  </w:divBdr>
                  <w:divsChild>
                    <w:div w:id="839809788">
                      <w:marLeft w:val="0"/>
                      <w:marRight w:val="0"/>
                      <w:marTop w:val="0"/>
                      <w:marBottom w:val="0"/>
                      <w:divBdr>
                        <w:top w:val="none" w:sz="0" w:space="0" w:color="auto"/>
                        <w:left w:val="none" w:sz="0" w:space="0" w:color="auto"/>
                        <w:bottom w:val="none" w:sz="0" w:space="0" w:color="auto"/>
                        <w:right w:val="none" w:sz="0" w:space="0" w:color="auto"/>
                      </w:divBdr>
                    </w:div>
                  </w:divsChild>
                </w:div>
                <w:div w:id="1108819176">
                  <w:marLeft w:val="0"/>
                  <w:marRight w:val="0"/>
                  <w:marTop w:val="0"/>
                  <w:marBottom w:val="0"/>
                  <w:divBdr>
                    <w:top w:val="none" w:sz="0" w:space="0" w:color="auto"/>
                    <w:left w:val="none" w:sz="0" w:space="0" w:color="auto"/>
                    <w:bottom w:val="none" w:sz="0" w:space="0" w:color="auto"/>
                    <w:right w:val="none" w:sz="0" w:space="0" w:color="auto"/>
                  </w:divBdr>
                  <w:divsChild>
                    <w:div w:id="628098420">
                      <w:marLeft w:val="0"/>
                      <w:marRight w:val="0"/>
                      <w:marTop w:val="0"/>
                      <w:marBottom w:val="0"/>
                      <w:divBdr>
                        <w:top w:val="none" w:sz="0" w:space="0" w:color="auto"/>
                        <w:left w:val="none" w:sz="0" w:space="0" w:color="auto"/>
                        <w:bottom w:val="none" w:sz="0" w:space="0" w:color="auto"/>
                        <w:right w:val="none" w:sz="0" w:space="0" w:color="auto"/>
                      </w:divBdr>
                    </w:div>
                  </w:divsChild>
                </w:div>
                <w:div w:id="1134787110">
                  <w:marLeft w:val="0"/>
                  <w:marRight w:val="0"/>
                  <w:marTop w:val="0"/>
                  <w:marBottom w:val="0"/>
                  <w:divBdr>
                    <w:top w:val="none" w:sz="0" w:space="0" w:color="auto"/>
                    <w:left w:val="none" w:sz="0" w:space="0" w:color="auto"/>
                    <w:bottom w:val="none" w:sz="0" w:space="0" w:color="auto"/>
                    <w:right w:val="none" w:sz="0" w:space="0" w:color="auto"/>
                  </w:divBdr>
                  <w:divsChild>
                    <w:div w:id="1805543613">
                      <w:marLeft w:val="0"/>
                      <w:marRight w:val="0"/>
                      <w:marTop w:val="0"/>
                      <w:marBottom w:val="0"/>
                      <w:divBdr>
                        <w:top w:val="none" w:sz="0" w:space="0" w:color="auto"/>
                        <w:left w:val="none" w:sz="0" w:space="0" w:color="auto"/>
                        <w:bottom w:val="none" w:sz="0" w:space="0" w:color="auto"/>
                        <w:right w:val="none" w:sz="0" w:space="0" w:color="auto"/>
                      </w:divBdr>
                    </w:div>
                  </w:divsChild>
                </w:div>
                <w:div w:id="1158303786">
                  <w:marLeft w:val="0"/>
                  <w:marRight w:val="0"/>
                  <w:marTop w:val="0"/>
                  <w:marBottom w:val="0"/>
                  <w:divBdr>
                    <w:top w:val="none" w:sz="0" w:space="0" w:color="auto"/>
                    <w:left w:val="none" w:sz="0" w:space="0" w:color="auto"/>
                    <w:bottom w:val="none" w:sz="0" w:space="0" w:color="auto"/>
                    <w:right w:val="none" w:sz="0" w:space="0" w:color="auto"/>
                  </w:divBdr>
                  <w:divsChild>
                    <w:div w:id="411125003">
                      <w:marLeft w:val="0"/>
                      <w:marRight w:val="0"/>
                      <w:marTop w:val="0"/>
                      <w:marBottom w:val="0"/>
                      <w:divBdr>
                        <w:top w:val="none" w:sz="0" w:space="0" w:color="auto"/>
                        <w:left w:val="none" w:sz="0" w:space="0" w:color="auto"/>
                        <w:bottom w:val="none" w:sz="0" w:space="0" w:color="auto"/>
                        <w:right w:val="none" w:sz="0" w:space="0" w:color="auto"/>
                      </w:divBdr>
                    </w:div>
                  </w:divsChild>
                </w:div>
                <w:div w:id="1184514426">
                  <w:marLeft w:val="0"/>
                  <w:marRight w:val="0"/>
                  <w:marTop w:val="0"/>
                  <w:marBottom w:val="0"/>
                  <w:divBdr>
                    <w:top w:val="none" w:sz="0" w:space="0" w:color="auto"/>
                    <w:left w:val="none" w:sz="0" w:space="0" w:color="auto"/>
                    <w:bottom w:val="none" w:sz="0" w:space="0" w:color="auto"/>
                    <w:right w:val="none" w:sz="0" w:space="0" w:color="auto"/>
                  </w:divBdr>
                  <w:divsChild>
                    <w:div w:id="1025062170">
                      <w:marLeft w:val="0"/>
                      <w:marRight w:val="0"/>
                      <w:marTop w:val="0"/>
                      <w:marBottom w:val="0"/>
                      <w:divBdr>
                        <w:top w:val="none" w:sz="0" w:space="0" w:color="auto"/>
                        <w:left w:val="none" w:sz="0" w:space="0" w:color="auto"/>
                        <w:bottom w:val="none" w:sz="0" w:space="0" w:color="auto"/>
                        <w:right w:val="none" w:sz="0" w:space="0" w:color="auto"/>
                      </w:divBdr>
                    </w:div>
                  </w:divsChild>
                </w:div>
                <w:div w:id="1203126889">
                  <w:marLeft w:val="0"/>
                  <w:marRight w:val="0"/>
                  <w:marTop w:val="0"/>
                  <w:marBottom w:val="0"/>
                  <w:divBdr>
                    <w:top w:val="none" w:sz="0" w:space="0" w:color="auto"/>
                    <w:left w:val="none" w:sz="0" w:space="0" w:color="auto"/>
                    <w:bottom w:val="none" w:sz="0" w:space="0" w:color="auto"/>
                    <w:right w:val="none" w:sz="0" w:space="0" w:color="auto"/>
                  </w:divBdr>
                  <w:divsChild>
                    <w:div w:id="1863089389">
                      <w:marLeft w:val="0"/>
                      <w:marRight w:val="0"/>
                      <w:marTop w:val="0"/>
                      <w:marBottom w:val="0"/>
                      <w:divBdr>
                        <w:top w:val="none" w:sz="0" w:space="0" w:color="auto"/>
                        <w:left w:val="none" w:sz="0" w:space="0" w:color="auto"/>
                        <w:bottom w:val="none" w:sz="0" w:space="0" w:color="auto"/>
                        <w:right w:val="none" w:sz="0" w:space="0" w:color="auto"/>
                      </w:divBdr>
                    </w:div>
                  </w:divsChild>
                </w:div>
                <w:div w:id="1282036681">
                  <w:marLeft w:val="0"/>
                  <w:marRight w:val="0"/>
                  <w:marTop w:val="0"/>
                  <w:marBottom w:val="0"/>
                  <w:divBdr>
                    <w:top w:val="none" w:sz="0" w:space="0" w:color="auto"/>
                    <w:left w:val="none" w:sz="0" w:space="0" w:color="auto"/>
                    <w:bottom w:val="none" w:sz="0" w:space="0" w:color="auto"/>
                    <w:right w:val="none" w:sz="0" w:space="0" w:color="auto"/>
                  </w:divBdr>
                  <w:divsChild>
                    <w:div w:id="905258706">
                      <w:marLeft w:val="0"/>
                      <w:marRight w:val="0"/>
                      <w:marTop w:val="0"/>
                      <w:marBottom w:val="0"/>
                      <w:divBdr>
                        <w:top w:val="none" w:sz="0" w:space="0" w:color="auto"/>
                        <w:left w:val="none" w:sz="0" w:space="0" w:color="auto"/>
                        <w:bottom w:val="none" w:sz="0" w:space="0" w:color="auto"/>
                        <w:right w:val="none" w:sz="0" w:space="0" w:color="auto"/>
                      </w:divBdr>
                    </w:div>
                  </w:divsChild>
                </w:div>
                <w:div w:id="1297756820">
                  <w:marLeft w:val="0"/>
                  <w:marRight w:val="0"/>
                  <w:marTop w:val="0"/>
                  <w:marBottom w:val="0"/>
                  <w:divBdr>
                    <w:top w:val="none" w:sz="0" w:space="0" w:color="auto"/>
                    <w:left w:val="none" w:sz="0" w:space="0" w:color="auto"/>
                    <w:bottom w:val="none" w:sz="0" w:space="0" w:color="auto"/>
                    <w:right w:val="none" w:sz="0" w:space="0" w:color="auto"/>
                  </w:divBdr>
                  <w:divsChild>
                    <w:div w:id="88699457">
                      <w:marLeft w:val="0"/>
                      <w:marRight w:val="0"/>
                      <w:marTop w:val="0"/>
                      <w:marBottom w:val="0"/>
                      <w:divBdr>
                        <w:top w:val="none" w:sz="0" w:space="0" w:color="auto"/>
                        <w:left w:val="none" w:sz="0" w:space="0" w:color="auto"/>
                        <w:bottom w:val="none" w:sz="0" w:space="0" w:color="auto"/>
                        <w:right w:val="none" w:sz="0" w:space="0" w:color="auto"/>
                      </w:divBdr>
                    </w:div>
                  </w:divsChild>
                </w:div>
                <w:div w:id="1329284317">
                  <w:marLeft w:val="0"/>
                  <w:marRight w:val="0"/>
                  <w:marTop w:val="0"/>
                  <w:marBottom w:val="0"/>
                  <w:divBdr>
                    <w:top w:val="none" w:sz="0" w:space="0" w:color="auto"/>
                    <w:left w:val="none" w:sz="0" w:space="0" w:color="auto"/>
                    <w:bottom w:val="none" w:sz="0" w:space="0" w:color="auto"/>
                    <w:right w:val="none" w:sz="0" w:space="0" w:color="auto"/>
                  </w:divBdr>
                  <w:divsChild>
                    <w:div w:id="1672678076">
                      <w:marLeft w:val="0"/>
                      <w:marRight w:val="0"/>
                      <w:marTop w:val="0"/>
                      <w:marBottom w:val="0"/>
                      <w:divBdr>
                        <w:top w:val="none" w:sz="0" w:space="0" w:color="auto"/>
                        <w:left w:val="none" w:sz="0" w:space="0" w:color="auto"/>
                        <w:bottom w:val="none" w:sz="0" w:space="0" w:color="auto"/>
                        <w:right w:val="none" w:sz="0" w:space="0" w:color="auto"/>
                      </w:divBdr>
                    </w:div>
                  </w:divsChild>
                </w:div>
                <w:div w:id="1532262432">
                  <w:marLeft w:val="0"/>
                  <w:marRight w:val="0"/>
                  <w:marTop w:val="0"/>
                  <w:marBottom w:val="0"/>
                  <w:divBdr>
                    <w:top w:val="none" w:sz="0" w:space="0" w:color="auto"/>
                    <w:left w:val="none" w:sz="0" w:space="0" w:color="auto"/>
                    <w:bottom w:val="none" w:sz="0" w:space="0" w:color="auto"/>
                    <w:right w:val="none" w:sz="0" w:space="0" w:color="auto"/>
                  </w:divBdr>
                  <w:divsChild>
                    <w:div w:id="44263574">
                      <w:marLeft w:val="0"/>
                      <w:marRight w:val="0"/>
                      <w:marTop w:val="0"/>
                      <w:marBottom w:val="0"/>
                      <w:divBdr>
                        <w:top w:val="none" w:sz="0" w:space="0" w:color="auto"/>
                        <w:left w:val="none" w:sz="0" w:space="0" w:color="auto"/>
                        <w:bottom w:val="none" w:sz="0" w:space="0" w:color="auto"/>
                        <w:right w:val="none" w:sz="0" w:space="0" w:color="auto"/>
                      </w:divBdr>
                    </w:div>
                  </w:divsChild>
                </w:div>
                <w:div w:id="1574244708">
                  <w:marLeft w:val="0"/>
                  <w:marRight w:val="0"/>
                  <w:marTop w:val="0"/>
                  <w:marBottom w:val="0"/>
                  <w:divBdr>
                    <w:top w:val="none" w:sz="0" w:space="0" w:color="auto"/>
                    <w:left w:val="none" w:sz="0" w:space="0" w:color="auto"/>
                    <w:bottom w:val="none" w:sz="0" w:space="0" w:color="auto"/>
                    <w:right w:val="none" w:sz="0" w:space="0" w:color="auto"/>
                  </w:divBdr>
                  <w:divsChild>
                    <w:div w:id="1692610556">
                      <w:marLeft w:val="0"/>
                      <w:marRight w:val="0"/>
                      <w:marTop w:val="0"/>
                      <w:marBottom w:val="0"/>
                      <w:divBdr>
                        <w:top w:val="none" w:sz="0" w:space="0" w:color="auto"/>
                        <w:left w:val="none" w:sz="0" w:space="0" w:color="auto"/>
                        <w:bottom w:val="none" w:sz="0" w:space="0" w:color="auto"/>
                        <w:right w:val="none" w:sz="0" w:space="0" w:color="auto"/>
                      </w:divBdr>
                    </w:div>
                  </w:divsChild>
                </w:div>
                <w:div w:id="1574656049">
                  <w:marLeft w:val="0"/>
                  <w:marRight w:val="0"/>
                  <w:marTop w:val="0"/>
                  <w:marBottom w:val="0"/>
                  <w:divBdr>
                    <w:top w:val="none" w:sz="0" w:space="0" w:color="auto"/>
                    <w:left w:val="none" w:sz="0" w:space="0" w:color="auto"/>
                    <w:bottom w:val="none" w:sz="0" w:space="0" w:color="auto"/>
                    <w:right w:val="none" w:sz="0" w:space="0" w:color="auto"/>
                  </w:divBdr>
                  <w:divsChild>
                    <w:div w:id="1193155838">
                      <w:marLeft w:val="0"/>
                      <w:marRight w:val="0"/>
                      <w:marTop w:val="0"/>
                      <w:marBottom w:val="0"/>
                      <w:divBdr>
                        <w:top w:val="none" w:sz="0" w:space="0" w:color="auto"/>
                        <w:left w:val="none" w:sz="0" w:space="0" w:color="auto"/>
                        <w:bottom w:val="none" w:sz="0" w:space="0" w:color="auto"/>
                        <w:right w:val="none" w:sz="0" w:space="0" w:color="auto"/>
                      </w:divBdr>
                    </w:div>
                  </w:divsChild>
                </w:div>
                <w:div w:id="1580484327">
                  <w:marLeft w:val="0"/>
                  <w:marRight w:val="0"/>
                  <w:marTop w:val="0"/>
                  <w:marBottom w:val="0"/>
                  <w:divBdr>
                    <w:top w:val="none" w:sz="0" w:space="0" w:color="auto"/>
                    <w:left w:val="none" w:sz="0" w:space="0" w:color="auto"/>
                    <w:bottom w:val="none" w:sz="0" w:space="0" w:color="auto"/>
                    <w:right w:val="none" w:sz="0" w:space="0" w:color="auto"/>
                  </w:divBdr>
                  <w:divsChild>
                    <w:div w:id="1209414905">
                      <w:marLeft w:val="0"/>
                      <w:marRight w:val="0"/>
                      <w:marTop w:val="0"/>
                      <w:marBottom w:val="0"/>
                      <w:divBdr>
                        <w:top w:val="none" w:sz="0" w:space="0" w:color="auto"/>
                        <w:left w:val="none" w:sz="0" w:space="0" w:color="auto"/>
                        <w:bottom w:val="none" w:sz="0" w:space="0" w:color="auto"/>
                        <w:right w:val="none" w:sz="0" w:space="0" w:color="auto"/>
                      </w:divBdr>
                    </w:div>
                  </w:divsChild>
                </w:div>
                <w:div w:id="1651208211">
                  <w:marLeft w:val="0"/>
                  <w:marRight w:val="0"/>
                  <w:marTop w:val="0"/>
                  <w:marBottom w:val="0"/>
                  <w:divBdr>
                    <w:top w:val="none" w:sz="0" w:space="0" w:color="auto"/>
                    <w:left w:val="none" w:sz="0" w:space="0" w:color="auto"/>
                    <w:bottom w:val="none" w:sz="0" w:space="0" w:color="auto"/>
                    <w:right w:val="none" w:sz="0" w:space="0" w:color="auto"/>
                  </w:divBdr>
                  <w:divsChild>
                    <w:div w:id="1870025830">
                      <w:marLeft w:val="0"/>
                      <w:marRight w:val="0"/>
                      <w:marTop w:val="0"/>
                      <w:marBottom w:val="0"/>
                      <w:divBdr>
                        <w:top w:val="none" w:sz="0" w:space="0" w:color="auto"/>
                        <w:left w:val="none" w:sz="0" w:space="0" w:color="auto"/>
                        <w:bottom w:val="none" w:sz="0" w:space="0" w:color="auto"/>
                        <w:right w:val="none" w:sz="0" w:space="0" w:color="auto"/>
                      </w:divBdr>
                    </w:div>
                  </w:divsChild>
                </w:div>
                <w:div w:id="1710183631">
                  <w:marLeft w:val="0"/>
                  <w:marRight w:val="0"/>
                  <w:marTop w:val="0"/>
                  <w:marBottom w:val="0"/>
                  <w:divBdr>
                    <w:top w:val="none" w:sz="0" w:space="0" w:color="auto"/>
                    <w:left w:val="none" w:sz="0" w:space="0" w:color="auto"/>
                    <w:bottom w:val="none" w:sz="0" w:space="0" w:color="auto"/>
                    <w:right w:val="none" w:sz="0" w:space="0" w:color="auto"/>
                  </w:divBdr>
                  <w:divsChild>
                    <w:div w:id="1766686431">
                      <w:marLeft w:val="0"/>
                      <w:marRight w:val="0"/>
                      <w:marTop w:val="0"/>
                      <w:marBottom w:val="0"/>
                      <w:divBdr>
                        <w:top w:val="none" w:sz="0" w:space="0" w:color="auto"/>
                        <w:left w:val="none" w:sz="0" w:space="0" w:color="auto"/>
                        <w:bottom w:val="none" w:sz="0" w:space="0" w:color="auto"/>
                        <w:right w:val="none" w:sz="0" w:space="0" w:color="auto"/>
                      </w:divBdr>
                    </w:div>
                  </w:divsChild>
                </w:div>
                <w:div w:id="1767923779">
                  <w:marLeft w:val="0"/>
                  <w:marRight w:val="0"/>
                  <w:marTop w:val="0"/>
                  <w:marBottom w:val="0"/>
                  <w:divBdr>
                    <w:top w:val="none" w:sz="0" w:space="0" w:color="auto"/>
                    <w:left w:val="none" w:sz="0" w:space="0" w:color="auto"/>
                    <w:bottom w:val="none" w:sz="0" w:space="0" w:color="auto"/>
                    <w:right w:val="none" w:sz="0" w:space="0" w:color="auto"/>
                  </w:divBdr>
                  <w:divsChild>
                    <w:div w:id="1482306570">
                      <w:marLeft w:val="0"/>
                      <w:marRight w:val="0"/>
                      <w:marTop w:val="0"/>
                      <w:marBottom w:val="0"/>
                      <w:divBdr>
                        <w:top w:val="none" w:sz="0" w:space="0" w:color="auto"/>
                        <w:left w:val="none" w:sz="0" w:space="0" w:color="auto"/>
                        <w:bottom w:val="none" w:sz="0" w:space="0" w:color="auto"/>
                        <w:right w:val="none" w:sz="0" w:space="0" w:color="auto"/>
                      </w:divBdr>
                    </w:div>
                  </w:divsChild>
                </w:div>
                <w:div w:id="1916888940">
                  <w:marLeft w:val="0"/>
                  <w:marRight w:val="0"/>
                  <w:marTop w:val="0"/>
                  <w:marBottom w:val="0"/>
                  <w:divBdr>
                    <w:top w:val="none" w:sz="0" w:space="0" w:color="auto"/>
                    <w:left w:val="none" w:sz="0" w:space="0" w:color="auto"/>
                    <w:bottom w:val="none" w:sz="0" w:space="0" w:color="auto"/>
                    <w:right w:val="none" w:sz="0" w:space="0" w:color="auto"/>
                  </w:divBdr>
                  <w:divsChild>
                    <w:div w:id="2111394117">
                      <w:marLeft w:val="0"/>
                      <w:marRight w:val="0"/>
                      <w:marTop w:val="0"/>
                      <w:marBottom w:val="0"/>
                      <w:divBdr>
                        <w:top w:val="none" w:sz="0" w:space="0" w:color="auto"/>
                        <w:left w:val="none" w:sz="0" w:space="0" w:color="auto"/>
                        <w:bottom w:val="none" w:sz="0" w:space="0" w:color="auto"/>
                        <w:right w:val="none" w:sz="0" w:space="0" w:color="auto"/>
                      </w:divBdr>
                    </w:div>
                  </w:divsChild>
                </w:div>
                <w:div w:id="1971325227">
                  <w:marLeft w:val="0"/>
                  <w:marRight w:val="0"/>
                  <w:marTop w:val="0"/>
                  <w:marBottom w:val="0"/>
                  <w:divBdr>
                    <w:top w:val="none" w:sz="0" w:space="0" w:color="auto"/>
                    <w:left w:val="none" w:sz="0" w:space="0" w:color="auto"/>
                    <w:bottom w:val="none" w:sz="0" w:space="0" w:color="auto"/>
                    <w:right w:val="none" w:sz="0" w:space="0" w:color="auto"/>
                  </w:divBdr>
                  <w:divsChild>
                    <w:div w:id="467746937">
                      <w:marLeft w:val="0"/>
                      <w:marRight w:val="0"/>
                      <w:marTop w:val="0"/>
                      <w:marBottom w:val="0"/>
                      <w:divBdr>
                        <w:top w:val="none" w:sz="0" w:space="0" w:color="auto"/>
                        <w:left w:val="none" w:sz="0" w:space="0" w:color="auto"/>
                        <w:bottom w:val="none" w:sz="0" w:space="0" w:color="auto"/>
                        <w:right w:val="none" w:sz="0" w:space="0" w:color="auto"/>
                      </w:divBdr>
                    </w:div>
                  </w:divsChild>
                </w:div>
                <w:div w:id="1988781511">
                  <w:marLeft w:val="0"/>
                  <w:marRight w:val="0"/>
                  <w:marTop w:val="0"/>
                  <w:marBottom w:val="0"/>
                  <w:divBdr>
                    <w:top w:val="none" w:sz="0" w:space="0" w:color="auto"/>
                    <w:left w:val="none" w:sz="0" w:space="0" w:color="auto"/>
                    <w:bottom w:val="none" w:sz="0" w:space="0" w:color="auto"/>
                    <w:right w:val="none" w:sz="0" w:space="0" w:color="auto"/>
                  </w:divBdr>
                  <w:divsChild>
                    <w:div w:id="770466609">
                      <w:marLeft w:val="0"/>
                      <w:marRight w:val="0"/>
                      <w:marTop w:val="0"/>
                      <w:marBottom w:val="0"/>
                      <w:divBdr>
                        <w:top w:val="none" w:sz="0" w:space="0" w:color="auto"/>
                        <w:left w:val="none" w:sz="0" w:space="0" w:color="auto"/>
                        <w:bottom w:val="none" w:sz="0" w:space="0" w:color="auto"/>
                        <w:right w:val="none" w:sz="0" w:space="0" w:color="auto"/>
                      </w:divBdr>
                    </w:div>
                  </w:divsChild>
                </w:div>
                <w:div w:id="2049184214">
                  <w:marLeft w:val="0"/>
                  <w:marRight w:val="0"/>
                  <w:marTop w:val="0"/>
                  <w:marBottom w:val="0"/>
                  <w:divBdr>
                    <w:top w:val="none" w:sz="0" w:space="0" w:color="auto"/>
                    <w:left w:val="none" w:sz="0" w:space="0" w:color="auto"/>
                    <w:bottom w:val="none" w:sz="0" w:space="0" w:color="auto"/>
                    <w:right w:val="none" w:sz="0" w:space="0" w:color="auto"/>
                  </w:divBdr>
                  <w:divsChild>
                    <w:div w:id="1816532470">
                      <w:marLeft w:val="0"/>
                      <w:marRight w:val="0"/>
                      <w:marTop w:val="0"/>
                      <w:marBottom w:val="0"/>
                      <w:divBdr>
                        <w:top w:val="none" w:sz="0" w:space="0" w:color="auto"/>
                        <w:left w:val="none" w:sz="0" w:space="0" w:color="auto"/>
                        <w:bottom w:val="none" w:sz="0" w:space="0" w:color="auto"/>
                        <w:right w:val="none" w:sz="0" w:space="0" w:color="auto"/>
                      </w:divBdr>
                    </w:div>
                  </w:divsChild>
                </w:div>
                <w:div w:id="2061660499">
                  <w:marLeft w:val="0"/>
                  <w:marRight w:val="0"/>
                  <w:marTop w:val="0"/>
                  <w:marBottom w:val="0"/>
                  <w:divBdr>
                    <w:top w:val="none" w:sz="0" w:space="0" w:color="auto"/>
                    <w:left w:val="none" w:sz="0" w:space="0" w:color="auto"/>
                    <w:bottom w:val="none" w:sz="0" w:space="0" w:color="auto"/>
                    <w:right w:val="none" w:sz="0" w:space="0" w:color="auto"/>
                  </w:divBdr>
                  <w:divsChild>
                    <w:div w:id="1371999693">
                      <w:marLeft w:val="0"/>
                      <w:marRight w:val="0"/>
                      <w:marTop w:val="0"/>
                      <w:marBottom w:val="0"/>
                      <w:divBdr>
                        <w:top w:val="none" w:sz="0" w:space="0" w:color="auto"/>
                        <w:left w:val="none" w:sz="0" w:space="0" w:color="auto"/>
                        <w:bottom w:val="none" w:sz="0" w:space="0" w:color="auto"/>
                        <w:right w:val="none" w:sz="0" w:space="0" w:color="auto"/>
                      </w:divBdr>
                    </w:div>
                  </w:divsChild>
                </w:div>
                <w:div w:id="2142459172">
                  <w:marLeft w:val="0"/>
                  <w:marRight w:val="0"/>
                  <w:marTop w:val="0"/>
                  <w:marBottom w:val="0"/>
                  <w:divBdr>
                    <w:top w:val="none" w:sz="0" w:space="0" w:color="auto"/>
                    <w:left w:val="none" w:sz="0" w:space="0" w:color="auto"/>
                    <w:bottom w:val="none" w:sz="0" w:space="0" w:color="auto"/>
                    <w:right w:val="none" w:sz="0" w:space="0" w:color="auto"/>
                  </w:divBdr>
                  <w:divsChild>
                    <w:div w:id="11322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1749">
          <w:marLeft w:val="0"/>
          <w:marRight w:val="0"/>
          <w:marTop w:val="0"/>
          <w:marBottom w:val="0"/>
          <w:divBdr>
            <w:top w:val="none" w:sz="0" w:space="0" w:color="auto"/>
            <w:left w:val="none" w:sz="0" w:space="0" w:color="auto"/>
            <w:bottom w:val="none" w:sz="0" w:space="0" w:color="auto"/>
            <w:right w:val="none" w:sz="0" w:space="0" w:color="auto"/>
          </w:divBdr>
        </w:div>
        <w:div w:id="1215510348">
          <w:marLeft w:val="0"/>
          <w:marRight w:val="0"/>
          <w:marTop w:val="0"/>
          <w:marBottom w:val="0"/>
          <w:divBdr>
            <w:top w:val="none" w:sz="0" w:space="0" w:color="auto"/>
            <w:left w:val="none" w:sz="0" w:space="0" w:color="auto"/>
            <w:bottom w:val="none" w:sz="0" w:space="0" w:color="auto"/>
            <w:right w:val="none" w:sz="0" w:space="0" w:color="auto"/>
          </w:divBdr>
        </w:div>
        <w:div w:id="1336033024">
          <w:marLeft w:val="0"/>
          <w:marRight w:val="0"/>
          <w:marTop w:val="0"/>
          <w:marBottom w:val="0"/>
          <w:divBdr>
            <w:top w:val="none" w:sz="0" w:space="0" w:color="auto"/>
            <w:left w:val="none" w:sz="0" w:space="0" w:color="auto"/>
            <w:bottom w:val="none" w:sz="0" w:space="0" w:color="auto"/>
            <w:right w:val="none" w:sz="0" w:space="0" w:color="auto"/>
          </w:divBdr>
        </w:div>
        <w:div w:id="1354454396">
          <w:marLeft w:val="0"/>
          <w:marRight w:val="0"/>
          <w:marTop w:val="0"/>
          <w:marBottom w:val="0"/>
          <w:divBdr>
            <w:top w:val="none" w:sz="0" w:space="0" w:color="auto"/>
            <w:left w:val="none" w:sz="0" w:space="0" w:color="auto"/>
            <w:bottom w:val="none" w:sz="0" w:space="0" w:color="auto"/>
            <w:right w:val="none" w:sz="0" w:space="0" w:color="auto"/>
          </w:divBdr>
        </w:div>
        <w:div w:id="1379549605">
          <w:marLeft w:val="0"/>
          <w:marRight w:val="0"/>
          <w:marTop w:val="0"/>
          <w:marBottom w:val="0"/>
          <w:divBdr>
            <w:top w:val="none" w:sz="0" w:space="0" w:color="auto"/>
            <w:left w:val="none" w:sz="0" w:space="0" w:color="auto"/>
            <w:bottom w:val="none" w:sz="0" w:space="0" w:color="auto"/>
            <w:right w:val="none" w:sz="0" w:space="0" w:color="auto"/>
          </w:divBdr>
          <w:divsChild>
            <w:div w:id="136577570">
              <w:marLeft w:val="-75"/>
              <w:marRight w:val="0"/>
              <w:marTop w:val="30"/>
              <w:marBottom w:val="30"/>
              <w:divBdr>
                <w:top w:val="none" w:sz="0" w:space="0" w:color="auto"/>
                <w:left w:val="none" w:sz="0" w:space="0" w:color="auto"/>
                <w:bottom w:val="none" w:sz="0" w:space="0" w:color="auto"/>
                <w:right w:val="none" w:sz="0" w:space="0" w:color="auto"/>
              </w:divBdr>
              <w:divsChild>
                <w:div w:id="14814547">
                  <w:marLeft w:val="0"/>
                  <w:marRight w:val="0"/>
                  <w:marTop w:val="0"/>
                  <w:marBottom w:val="0"/>
                  <w:divBdr>
                    <w:top w:val="none" w:sz="0" w:space="0" w:color="auto"/>
                    <w:left w:val="none" w:sz="0" w:space="0" w:color="auto"/>
                    <w:bottom w:val="none" w:sz="0" w:space="0" w:color="auto"/>
                    <w:right w:val="none" w:sz="0" w:space="0" w:color="auto"/>
                  </w:divBdr>
                  <w:divsChild>
                    <w:div w:id="1091858243">
                      <w:marLeft w:val="0"/>
                      <w:marRight w:val="0"/>
                      <w:marTop w:val="0"/>
                      <w:marBottom w:val="0"/>
                      <w:divBdr>
                        <w:top w:val="none" w:sz="0" w:space="0" w:color="auto"/>
                        <w:left w:val="none" w:sz="0" w:space="0" w:color="auto"/>
                        <w:bottom w:val="none" w:sz="0" w:space="0" w:color="auto"/>
                        <w:right w:val="none" w:sz="0" w:space="0" w:color="auto"/>
                      </w:divBdr>
                    </w:div>
                  </w:divsChild>
                </w:div>
                <w:div w:id="18512604">
                  <w:marLeft w:val="0"/>
                  <w:marRight w:val="0"/>
                  <w:marTop w:val="0"/>
                  <w:marBottom w:val="0"/>
                  <w:divBdr>
                    <w:top w:val="none" w:sz="0" w:space="0" w:color="auto"/>
                    <w:left w:val="none" w:sz="0" w:space="0" w:color="auto"/>
                    <w:bottom w:val="none" w:sz="0" w:space="0" w:color="auto"/>
                    <w:right w:val="none" w:sz="0" w:space="0" w:color="auto"/>
                  </w:divBdr>
                  <w:divsChild>
                    <w:div w:id="593128345">
                      <w:marLeft w:val="0"/>
                      <w:marRight w:val="0"/>
                      <w:marTop w:val="0"/>
                      <w:marBottom w:val="0"/>
                      <w:divBdr>
                        <w:top w:val="none" w:sz="0" w:space="0" w:color="auto"/>
                        <w:left w:val="none" w:sz="0" w:space="0" w:color="auto"/>
                        <w:bottom w:val="none" w:sz="0" w:space="0" w:color="auto"/>
                        <w:right w:val="none" w:sz="0" w:space="0" w:color="auto"/>
                      </w:divBdr>
                    </w:div>
                  </w:divsChild>
                </w:div>
                <w:div w:id="95518265">
                  <w:marLeft w:val="0"/>
                  <w:marRight w:val="0"/>
                  <w:marTop w:val="0"/>
                  <w:marBottom w:val="0"/>
                  <w:divBdr>
                    <w:top w:val="none" w:sz="0" w:space="0" w:color="auto"/>
                    <w:left w:val="none" w:sz="0" w:space="0" w:color="auto"/>
                    <w:bottom w:val="none" w:sz="0" w:space="0" w:color="auto"/>
                    <w:right w:val="none" w:sz="0" w:space="0" w:color="auto"/>
                  </w:divBdr>
                  <w:divsChild>
                    <w:div w:id="1479422619">
                      <w:marLeft w:val="0"/>
                      <w:marRight w:val="0"/>
                      <w:marTop w:val="0"/>
                      <w:marBottom w:val="0"/>
                      <w:divBdr>
                        <w:top w:val="none" w:sz="0" w:space="0" w:color="auto"/>
                        <w:left w:val="none" w:sz="0" w:space="0" w:color="auto"/>
                        <w:bottom w:val="none" w:sz="0" w:space="0" w:color="auto"/>
                        <w:right w:val="none" w:sz="0" w:space="0" w:color="auto"/>
                      </w:divBdr>
                    </w:div>
                  </w:divsChild>
                </w:div>
                <w:div w:id="122309469">
                  <w:marLeft w:val="0"/>
                  <w:marRight w:val="0"/>
                  <w:marTop w:val="0"/>
                  <w:marBottom w:val="0"/>
                  <w:divBdr>
                    <w:top w:val="none" w:sz="0" w:space="0" w:color="auto"/>
                    <w:left w:val="none" w:sz="0" w:space="0" w:color="auto"/>
                    <w:bottom w:val="none" w:sz="0" w:space="0" w:color="auto"/>
                    <w:right w:val="none" w:sz="0" w:space="0" w:color="auto"/>
                  </w:divBdr>
                  <w:divsChild>
                    <w:div w:id="1743141355">
                      <w:marLeft w:val="0"/>
                      <w:marRight w:val="0"/>
                      <w:marTop w:val="0"/>
                      <w:marBottom w:val="0"/>
                      <w:divBdr>
                        <w:top w:val="none" w:sz="0" w:space="0" w:color="auto"/>
                        <w:left w:val="none" w:sz="0" w:space="0" w:color="auto"/>
                        <w:bottom w:val="none" w:sz="0" w:space="0" w:color="auto"/>
                        <w:right w:val="none" w:sz="0" w:space="0" w:color="auto"/>
                      </w:divBdr>
                    </w:div>
                  </w:divsChild>
                </w:div>
                <w:div w:id="122819688">
                  <w:marLeft w:val="0"/>
                  <w:marRight w:val="0"/>
                  <w:marTop w:val="0"/>
                  <w:marBottom w:val="0"/>
                  <w:divBdr>
                    <w:top w:val="none" w:sz="0" w:space="0" w:color="auto"/>
                    <w:left w:val="none" w:sz="0" w:space="0" w:color="auto"/>
                    <w:bottom w:val="none" w:sz="0" w:space="0" w:color="auto"/>
                    <w:right w:val="none" w:sz="0" w:space="0" w:color="auto"/>
                  </w:divBdr>
                  <w:divsChild>
                    <w:div w:id="452601922">
                      <w:marLeft w:val="0"/>
                      <w:marRight w:val="0"/>
                      <w:marTop w:val="0"/>
                      <w:marBottom w:val="0"/>
                      <w:divBdr>
                        <w:top w:val="none" w:sz="0" w:space="0" w:color="auto"/>
                        <w:left w:val="none" w:sz="0" w:space="0" w:color="auto"/>
                        <w:bottom w:val="none" w:sz="0" w:space="0" w:color="auto"/>
                        <w:right w:val="none" w:sz="0" w:space="0" w:color="auto"/>
                      </w:divBdr>
                    </w:div>
                  </w:divsChild>
                </w:div>
                <w:div w:id="165445381">
                  <w:marLeft w:val="0"/>
                  <w:marRight w:val="0"/>
                  <w:marTop w:val="0"/>
                  <w:marBottom w:val="0"/>
                  <w:divBdr>
                    <w:top w:val="none" w:sz="0" w:space="0" w:color="auto"/>
                    <w:left w:val="none" w:sz="0" w:space="0" w:color="auto"/>
                    <w:bottom w:val="none" w:sz="0" w:space="0" w:color="auto"/>
                    <w:right w:val="none" w:sz="0" w:space="0" w:color="auto"/>
                  </w:divBdr>
                  <w:divsChild>
                    <w:div w:id="666440142">
                      <w:marLeft w:val="0"/>
                      <w:marRight w:val="0"/>
                      <w:marTop w:val="0"/>
                      <w:marBottom w:val="0"/>
                      <w:divBdr>
                        <w:top w:val="none" w:sz="0" w:space="0" w:color="auto"/>
                        <w:left w:val="none" w:sz="0" w:space="0" w:color="auto"/>
                        <w:bottom w:val="none" w:sz="0" w:space="0" w:color="auto"/>
                        <w:right w:val="none" w:sz="0" w:space="0" w:color="auto"/>
                      </w:divBdr>
                    </w:div>
                  </w:divsChild>
                </w:div>
                <w:div w:id="212625172">
                  <w:marLeft w:val="0"/>
                  <w:marRight w:val="0"/>
                  <w:marTop w:val="0"/>
                  <w:marBottom w:val="0"/>
                  <w:divBdr>
                    <w:top w:val="none" w:sz="0" w:space="0" w:color="auto"/>
                    <w:left w:val="none" w:sz="0" w:space="0" w:color="auto"/>
                    <w:bottom w:val="none" w:sz="0" w:space="0" w:color="auto"/>
                    <w:right w:val="none" w:sz="0" w:space="0" w:color="auto"/>
                  </w:divBdr>
                  <w:divsChild>
                    <w:div w:id="359815631">
                      <w:marLeft w:val="0"/>
                      <w:marRight w:val="0"/>
                      <w:marTop w:val="0"/>
                      <w:marBottom w:val="0"/>
                      <w:divBdr>
                        <w:top w:val="none" w:sz="0" w:space="0" w:color="auto"/>
                        <w:left w:val="none" w:sz="0" w:space="0" w:color="auto"/>
                        <w:bottom w:val="none" w:sz="0" w:space="0" w:color="auto"/>
                        <w:right w:val="none" w:sz="0" w:space="0" w:color="auto"/>
                      </w:divBdr>
                    </w:div>
                  </w:divsChild>
                </w:div>
                <w:div w:id="221714753">
                  <w:marLeft w:val="0"/>
                  <w:marRight w:val="0"/>
                  <w:marTop w:val="0"/>
                  <w:marBottom w:val="0"/>
                  <w:divBdr>
                    <w:top w:val="none" w:sz="0" w:space="0" w:color="auto"/>
                    <w:left w:val="none" w:sz="0" w:space="0" w:color="auto"/>
                    <w:bottom w:val="none" w:sz="0" w:space="0" w:color="auto"/>
                    <w:right w:val="none" w:sz="0" w:space="0" w:color="auto"/>
                  </w:divBdr>
                  <w:divsChild>
                    <w:div w:id="615062427">
                      <w:marLeft w:val="0"/>
                      <w:marRight w:val="0"/>
                      <w:marTop w:val="0"/>
                      <w:marBottom w:val="0"/>
                      <w:divBdr>
                        <w:top w:val="none" w:sz="0" w:space="0" w:color="auto"/>
                        <w:left w:val="none" w:sz="0" w:space="0" w:color="auto"/>
                        <w:bottom w:val="none" w:sz="0" w:space="0" w:color="auto"/>
                        <w:right w:val="none" w:sz="0" w:space="0" w:color="auto"/>
                      </w:divBdr>
                    </w:div>
                  </w:divsChild>
                </w:div>
                <w:div w:id="246110415">
                  <w:marLeft w:val="0"/>
                  <w:marRight w:val="0"/>
                  <w:marTop w:val="0"/>
                  <w:marBottom w:val="0"/>
                  <w:divBdr>
                    <w:top w:val="none" w:sz="0" w:space="0" w:color="auto"/>
                    <w:left w:val="none" w:sz="0" w:space="0" w:color="auto"/>
                    <w:bottom w:val="none" w:sz="0" w:space="0" w:color="auto"/>
                    <w:right w:val="none" w:sz="0" w:space="0" w:color="auto"/>
                  </w:divBdr>
                  <w:divsChild>
                    <w:div w:id="445540189">
                      <w:marLeft w:val="0"/>
                      <w:marRight w:val="0"/>
                      <w:marTop w:val="0"/>
                      <w:marBottom w:val="0"/>
                      <w:divBdr>
                        <w:top w:val="none" w:sz="0" w:space="0" w:color="auto"/>
                        <w:left w:val="none" w:sz="0" w:space="0" w:color="auto"/>
                        <w:bottom w:val="none" w:sz="0" w:space="0" w:color="auto"/>
                        <w:right w:val="none" w:sz="0" w:space="0" w:color="auto"/>
                      </w:divBdr>
                    </w:div>
                  </w:divsChild>
                </w:div>
                <w:div w:id="260071110">
                  <w:marLeft w:val="0"/>
                  <w:marRight w:val="0"/>
                  <w:marTop w:val="0"/>
                  <w:marBottom w:val="0"/>
                  <w:divBdr>
                    <w:top w:val="none" w:sz="0" w:space="0" w:color="auto"/>
                    <w:left w:val="none" w:sz="0" w:space="0" w:color="auto"/>
                    <w:bottom w:val="none" w:sz="0" w:space="0" w:color="auto"/>
                    <w:right w:val="none" w:sz="0" w:space="0" w:color="auto"/>
                  </w:divBdr>
                  <w:divsChild>
                    <w:div w:id="293021826">
                      <w:marLeft w:val="0"/>
                      <w:marRight w:val="0"/>
                      <w:marTop w:val="0"/>
                      <w:marBottom w:val="0"/>
                      <w:divBdr>
                        <w:top w:val="none" w:sz="0" w:space="0" w:color="auto"/>
                        <w:left w:val="none" w:sz="0" w:space="0" w:color="auto"/>
                        <w:bottom w:val="none" w:sz="0" w:space="0" w:color="auto"/>
                        <w:right w:val="none" w:sz="0" w:space="0" w:color="auto"/>
                      </w:divBdr>
                    </w:div>
                  </w:divsChild>
                </w:div>
                <w:div w:id="273177959">
                  <w:marLeft w:val="0"/>
                  <w:marRight w:val="0"/>
                  <w:marTop w:val="0"/>
                  <w:marBottom w:val="0"/>
                  <w:divBdr>
                    <w:top w:val="none" w:sz="0" w:space="0" w:color="auto"/>
                    <w:left w:val="none" w:sz="0" w:space="0" w:color="auto"/>
                    <w:bottom w:val="none" w:sz="0" w:space="0" w:color="auto"/>
                    <w:right w:val="none" w:sz="0" w:space="0" w:color="auto"/>
                  </w:divBdr>
                  <w:divsChild>
                    <w:div w:id="2052143532">
                      <w:marLeft w:val="0"/>
                      <w:marRight w:val="0"/>
                      <w:marTop w:val="0"/>
                      <w:marBottom w:val="0"/>
                      <w:divBdr>
                        <w:top w:val="none" w:sz="0" w:space="0" w:color="auto"/>
                        <w:left w:val="none" w:sz="0" w:space="0" w:color="auto"/>
                        <w:bottom w:val="none" w:sz="0" w:space="0" w:color="auto"/>
                        <w:right w:val="none" w:sz="0" w:space="0" w:color="auto"/>
                      </w:divBdr>
                    </w:div>
                  </w:divsChild>
                </w:div>
                <w:div w:id="325673473">
                  <w:marLeft w:val="0"/>
                  <w:marRight w:val="0"/>
                  <w:marTop w:val="0"/>
                  <w:marBottom w:val="0"/>
                  <w:divBdr>
                    <w:top w:val="none" w:sz="0" w:space="0" w:color="auto"/>
                    <w:left w:val="none" w:sz="0" w:space="0" w:color="auto"/>
                    <w:bottom w:val="none" w:sz="0" w:space="0" w:color="auto"/>
                    <w:right w:val="none" w:sz="0" w:space="0" w:color="auto"/>
                  </w:divBdr>
                  <w:divsChild>
                    <w:div w:id="1298024477">
                      <w:marLeft w:val="0"/>
                      <w:marRight w:val="0"/>
                      <w:marTop w:val="0"/>
                      <w:marBottom w:val="0"/>
                      <w:divBdr>
                        <w:top w:val="none" w:sz="0" w:space="0" w:color="auto"/>
                        <w:left w:val="none" w:sz="0" w:space="0" w:color="auto"/>
                        <w:bottom w:val="none" w:sz="0" w:space="0" w:color="auto"/>
                        <w:right w:val="none" w:sz="0" w:space="0" w:color="auto"/>
                      </w:divBdr>
                    </w:div>
                  </w:divsChild>
                </w:div>
                <w:div w:id="360086228">
                  <w:marLeft w:val="0"/>
                  <w:marRight w:val="0"/>
                  <w:marTop w:val="0"/>
                  <w:marBottom w:val="0"/>
                  <w:divBdr>
                    <w:top w:val="none" w:sz="0" w:space="0" w:color="auto"/>
                    <w:left w:val="none" w:sz="0" w:space="0" w:color="auto"/>
                    <w:bottom w:val="none" w:sz="0" w:space="0" w:color="auto"/>
                    <w:right w:val="none" w:sz="0" w:space="0" w:color="auto"/>
                  </w:divBdr>
                  <w:divsChild>
                    <w:div w:id="1410035357">
                      <w:marLeft w:val="0"/>
                      <w:marRight w:val="0"/>
                      <w:marTop w:val="0"/>
                      <w:marBottom w:val="0"/>
                      <w:divBdr>
                        <w:top w:val="none" w:sz="0" w:space="0" w:color="auto"/>
                        <w:left w:val="none" w:sz="0" w:space="0" w:color="auto"/>
                        <w:bottom w:val="none" w:sz="0" w:space="0" w:color="auto"/>
                        <w:right w:val="none" w:sz="0" w:space="0" w:color="auto"/>
                      </w:divBdr>
                    </w:div>
                  </w:divsChild>
                </w:div>
                <w:div w:id="371734186">
                  <w:marLeft w:val="0"/>
                  <w:marRight w:val="0"/>
                  <w:marTop w:val="0"/>
                  <w:marBottom w:val="0"/>
                  <w:divBdr>
                    <w:top w:val="none" w:sz="0" w:space="0" w:color="auto"/>
                    <w:left w:val="none" w:sz="0" w:space="0" w:color="auto"/>
                    <w:bottom w:val="none" w:sz="0" w:space="0" w:color="auto"/>
                    <w:right w:val="none" w:sz="0" w:space="0" w:color="auto"/>
                  </w:divBdr>
                  <w:divsChild>
                    <w:div w:id="1700933392">
                      <w:marLeft w:val="0"/>
                      <w:marRight w:val="0"/>
                      <w:marTop w:val="0"/>
                      <w:marBottom w:val="0"/>
                      <w:divBdr>
                        <w:top w:val="none" w:sz="0" w:space="0" w:color="auto"/>
                        <w:left w:val="none" w:sz="0" w:space="0" w:color="auto"/>
                        <w:bottom w:val="none" w:sz="0" w:space="0" w:color="auto"/>
                        <w:right w:val="none" w:sz="0" w:space="0" w:color="auto"/>
                      </w:divBdr>
                    </w:div>
                  </w:divsChild>
                </w:div>
                <w:div w:id="416366139">
                  <w:marLeft w:val="0"/>
                  <w:marRight w:val="0"/>
                  <w:marTop w:val="0"/>
                  <w:marBottom w:val="0"/>
                  <w:divBdr>
                    <w:top w:val="none" w:sz="0" w:space="0" w:color="auto"/>
                    <w:left w:val="none" w:sz="0" w:space="0" w:color="auto"/>
                    <w:bottom w:val="none" w:sz="0" w:space="0" w:color="auto"/>
                    <w:right w:val="none" w:sz="0" w:space="0" w:color="auto"/>
                  </w:divBdr>
                  <w:divsChild>
                    <w:div w:id="1761871950">
                      <w:marLeft w:val="0"/>
                      <w:marRight w:val="0"/>
                      <w:marTop w:val="0"/>
                      <w:marBottom w:val="0"/>
                      <w:divBdr>
                        <w:top w:val="none" w:sz="0" w:space="0" w:color="auto"/>
                        <w:left w:val="none" w:sz="0" w:space="0" w:color="auto"/>
                        <w:bottom w:val="none" w:sz="0" w:space="0" w:color="auto"/>
                        <w:right w:val="none" w:sz="0" w:space="0" w:color="auto"/>
                      </w:divBdr>
                    </w:div>
                  </w:divsChild>
                </w:div>
                <w:div w:id="472678053">
                  <w:marLeft w:val="0"/>
                  <w:marRight w:val="0"/>
                  <w:marTop w:val="0"/>
                  <w:marBottom w:val="0"/>
                  <w:divBdr>
                    <w:top w:val="none" w:sz="0" w:space="0" w:color="auto"/>
                    <w:left w:val="none" w:sz="0" w:space="0" w:color="auto"/>
                    <w:bottom w:val="none" w:sz="0" w:space="0" w:color="auto"/>
                    <w:right w:val="none" w:sz="0" w:space="0" w:color="auto"/>
                  </w:divBdr>
                  <w:divsChild>
                    <w:div w:id="1757894669">
                      <w:marLeft w:val="0"/>
                      <w:marRight w:val="0"/>
                      <w:marTop w:val="0"/>
                      <w:marBottom w:val="0"/>
                      <w:divBdr>
                        <w:top w:val="none" w:sz="0" w:space="0" w:color="auto"/>
                        <w:left w:val="none" w:sz="0" w:space="0" w:color="auto"/>
                        <w:bottom w:val="none" w:sz="0" w:space="0" w:color="auto"/>
                        <w:right w:val="none" w:sz="0" w:space="0" w:color="auto"/>
                      </w:divBdr>
                    </w:div>
                  </w:divsChild>
                </w:div>
                <w:div w:id="481234168">
                  <w:marLeft w:val="0"/>
                  <w:marRight w:val="0"/>
                  <w:marTop w:val="0"/>
                  <w:marBottom w:val="0"/>
                  <w:divBdr>
                    <w:top w:val="none" w:sz="0" w:space="0" w:color="auto"/>
                    <w:left w:val="none" w:sz="0" w:space="0" w:color="auto"/>
                    <w:bottom w:val="none" w:sz="0" w:space="0" w:color="auto"/>
                    <w:right w:val="none" w:sz="0" w:space="0" w:color="auto"/>
                  </w:divBdr>
                  <w:divsChild>
                    <w:div w:id="1059596105">
                      <w:marLeft w:val="0"/>
                      <w:marRight w:val="0"/>
                      <w:marTop w:val="0"/>
                      <w:marBottom w:val="0"/>
                      <w:divBdr>
                        <w:top w:val="none" w:sz="0" w:space="0" w:color="auto"/>
                        <w:left w:val="none" w:sz="0" w:space="0" w:color="auto"/>
                        <w:bottom w:val="none" w:sz="0" w:space="0" w:color="auto"/>
                        <w:right w:val="none" w:sz="0" w:space="0" w:color="auto"/>
                      </w:divBdr>
                    </w:div>
                  </w:divsChild>
                </w:div>
                <w:div w:id="498467124">
                  <w:marLeft w:val="0"/>
                  <w:marRight w:val="0"/>
                  <w:marTop w:val="0"/>
                  <w:marBottom w:val="0"/>
                  <w:divBdr>
                    <w:top w:val="none" w:sz="0" w:space="0" w:color="auto"/>
                    <w:left w:val="none" w:sz="0" w:space="0" w:color="auto"/>
                    <w:bottom w:val="none" w:sz="0" w:space="0" w:color="auto"/>
                    <w:right w:val="none" w:sz="0" w:space="0" w:color="auto"/>
                  </w:divBdr>
                  <w:divsChild>
                    <w:div w:id="1317612865">
                      <w:marLeft w:val="0"/>
                      <w:marRight w:val="0"/>
                      <w:marTop w:val="0"/>
                      <w:marBottom w:val="0"/>
                      <w:divBdr>
                        <w:top w:val="none" w:sz="0" w:space="0" w:color="auto"/>
                        <w:left w:val="none" w:sz="0" w:space="0" w:color="auto"/>
                        <w:bottom w:val="none" w:sz="0" w:space="0" w:color="auto"/>
                        <w:right w:val="none" w:sz="0" w:space="0" w:color="auto"/>
                      </w:divBdr>
                    </w:div>
                  </w:divsChild>
                </w:div>
                <w:div w:id="536745851">
                  <w:marLeft w:val="0"/>
                  <w:marRight w:val="0"/>
                  <w:marTop w:val="0"/>
                  <w:marBottom w:val="0"/>
                  <w:divBdr>
                    <w:top w:val="none" w:sz="0" w:space="0" w:color="auto"/>
                    <w:left w:val="none" w:sz="0" w:space="0" w:color="auto"/>
                    <w:bottom w:val="none" w:sz="0" w:space="0" w:color="auto"/>
                    <w:right w:val="none" w:sz="0" w:space="0" w:color="auto"/>
                  </w:divBdr>
                  <w:divsChild>
                    <w:div w:id="1296333296">
                      <w:marLeft w:val="0"/>
                      <w:marRight w:val="0"/>
                      <w:marTop w:val="0"/>
                      <w:marBottom w:val="0"/>
                      <w:divBdr>
                        <w:top w:val="none" w:sz="0" w:space="0" w:color="auto"/>
                        <w:left w:val="none" w:sz="0" w:space="0" w:color="auto"/>
                        <w:bottom w:val="none" w:sz="0" w:space="0" w:color="auto"/>
                        <w:right w:val="none" w:sz="0" w:space="0" w:color="auto"/>
                      </w:divBdr>
                    </w:div>
                  </w:divsChild>
                </w:div>
                <w:div w:id="573393477">
                  <w:marLeft w:val="0"/>
                  <w:marRight w:val="0"/>
                  <w:marTop w:val="0"/>
                  <w:marBottom w:val="0"/>
                  <w:divBdr>
                    <w:top w:val="none" w:sz="0" w:space="0" w:color="auto"/>
                    <w:left w:val="none" w:sz="0" w:space="0" w:color="auto"/>
                    <w:bottom w:val="none" w:sz="0" w:space="0" w:color="auto"/>
                    <w:right w:val="none" w:sz="0" w:space="0" w:color="auto"/>
                  </w:divBdr>
                  <w:divsChild>
                    <w:div w:id="143667815">
                      <w:marLeft w:val="0"/>
                      <w:marRight w:val="0"/>
                      <w:marTop w:val="0"/>
                      <w:marBottom w:val="0"/>
                      <w:divBdr>
                        <w:top w:val="none" w:sz="0" w:space="0" w:color="auto"/>
                        <w:left w:val="none" w:sz="0" w:space="0" w:color="auto"/>
                        <w:bottom w:val="none" w:sz="0" w:space="0" w:color="auto"/>
                        <w:right w:val="none" w:sz="0" w:space="0" w:color="auto"/>
                      </w:divBdr>
                    </w:div>
                  </w:divsChild>
                </w:div>
                <w:div w:id="625742146">
                  <w:marLeft w:val="0"/>
                  <w:marRight w:val="0"/>
                  <w:marTop w:val="0"/>
                  <w:marBottom w:val="0"/>
                  <w:divBdr>
                    <w:top w:val="none" w:sz="0" w:space="0" w:color="auto"/>
                    <w:left w:val="none" w:sz="0" w:space="0" w:color="auto"/>
                    <w:bottom w:val="none" w:sz="0" w:space="0" w:color="auto"/>
                    <w:right w:val="none" w:sz="0" w:space="0" w:color="auto"/>
                  </w:divBdr>
                  <w:divsChild>
                    <w:div w:id="1172793886">
                      <w:marLeft w:val="0"/>
                      <w:marRight w:val="0"/>
                      <w:marTop w:val="0"/>
                      <w:marBottom w:val="0"/>
                      <w:divBdr>
                        <w:top w:val="none" w:sz="0" w:space="0" w:color="auto"/>
                        <w:left w:val="none" w:sz="0" w:space="0" w:color="auto"/>
                        <w:bottom w:val="none" w:sz="0" w:space="0" w:color="auto"/>
                        <w:right w:val="none" w:sz="0" w:space="0" w:color="auto"/>
                      </w:divBdr>
                    </w:div>
                  </w:divsChild>
                </w:div>
                <w:div w:id="784039891">
                  <w:marLeft w:val="0"/>
                  <w:marRight w:val="0"/>
                  <w:marTop w:val="0"/>
                  <w:marBottom w:val="0"/>
                  <w:divBdr>
                    <w:top w:val="none" w:sz="0" w:space="0" w:color="auto"/>
                    <w:left w:val="none" w:sz="0" w:space="0" w:color="auto"/>
                    <w:bottom w:val="none" w:sz="0" w:space="0" w:color="auto"/>
                    <w:right w:val="none" w:sz="0" w:space="0" w:color="auto"/>
                  </w:divBdr>
                  <w:divsChild>
                    <w:div w:id="394470831">
                      <w:marLeft w:val="0"/>
                      <w:marRight w:val="0"/>
                      <w:marTop w:val="0"/>
                      <w:marBottom w:val="0"/>
                      <w:divBdr>
                        <w:top w:val="none" w:sz="0" w:space="0" w:color="auto"/>
                        <w:left w:val="none" w:sz="0" w:space="0" w:color="auto"/>
                        <w:bottom w:val="none" w:sz="0" w:space="0" w:color="auto"/>
                        <w:right w:val="none" w:sz="0" w:space="0" w:color="auto"/>
                      </w:divBdr>
                    </w:div>
                  </w:divsChild>
                </w:div>
                <w:div w:id="795561281">
                  <w:marLeft w:val="0"/>
                  <w:marRight w:val="0"/>
                  <w:marTop w:val="0"/>
                  <w:marBottom w:val="0"/>
                  <w:divBdr>
                    <w:top w:val="none" w:sz="0" w:space="0" w:color="auto"/>
                    <w:left w:val="none" w:sz="0" w:space="0" w:color="auto"/>
                    <w:bottom w:val="none" w:sz="0" w:space="0" w:color="auto"/>
                    <w:right w:val="none" w:sz="0" w:space="0" w:color="auto"/>
                  </w:divBdr>
                  <w:divsChild>
                    <w:div w:id="1411197019">
                      <w:marLeft w:val="0"/>
                      <w:marRight w:val="0"/>
                      <w:marTop w:val="0"/>
                      <w:marBottom w:val="0"/>
                      <w:divBdr>
                        <w:top w:val="none" w:sz="0" w:space="0" w:color="auto"/>
                        <w:left w:val="none" w:sz="0" w:space="0" w:color="auto"/>
                        <w:bottom w:val="none" w:sz="0" w:space="0" w:color="auto"/>
                        <w:right w:val="none" w:sz="0" w:space="0" w:color="auto"/>
                      </w:divBdr>
                    </w:div>
                  </w:divsChild>
                </w:div>
                <w:div w:id="833376599">
                  <w:marLeft w:val="0"/>
                  <w:marRight w:val="0"/>
                  <w:marTop w:val="0"/>
                  <w:marBottom w:val="0"/>
                  <w:divBdr>
                    <w:top w:val="none" w:sz="0" w:space="0" w:color="auto"/>
                    <w:left w:val="none" w:sz="0" w:space="0" w:color="auto"/>
                    <w:bottom w:val="none" w:sz="0" w:space="0" w:color="auto"/>
                    <w:right w:val="none" w:sz="0" w:space="0" w:color="auto"/>
                  </w:divBdr>
                  <w:divsChild>
                    <w:div w:id="132455207">
                      <w:marLeft w:val="0"/>
                      <w:marRight w:val="0"/>
                      <w:marTop w:val="0"/>
                      <w:marBottom w:val="0"/>
                      <w:divBdr>
                        <w:top w:val="none" w:sz="0" w:space="0" w:color="auto"/>
                        <w:left w:val="none" w:sz="0" w:space="0" w:color="auto"/>
                        <w:bottom w:val="none" w:sz="0" w:space="0" w:color="auto"/>
                        <w:right w:val="none" w:sz="0" w:space="0" w:color="auto"/>
                      </w:divBdr>
                    </w:div>
                  </w:divsChild>
                </w:div>
                <w:div w:id="862940015">
                  <w:marLeft w:val="0"/>
                  <w:marRight w:val="0"/>
                  <w:marTop w:val="0"/>
                  <w:marBottom w:val="0"/>
                  <w:divBdr>
                    <w:top w:val="none" w:sz="0" w:space="0" w:color="auto"/>
                    <w:left w:val="none" w:sz="0" w:space="0" w:color="auto"/>
                    <w:bottom w:val="none" w:sz="0" w:space="0" w:color="auto"/>
                    <w:right w:val="none" w:sz="0" w:space="0" w:color="auto"/>
                  </w:divBdr>
                  <w:divsChild>
                    <w:div w:id="1770193771">
                      <w:marLeft w:val="0"/>
                      <w:marRight w:val="0"/>
                      <w:marTop w:val="0"/>
                      <w:marBottom w:val="0"/>
                      <w:divBdr>
                        <w:top w:val="none" w:sz="0" w:space="0" w:color="auto"/>
                        <w:left w:val="none" w:sz="0" w:space="0" w:color="auto"/>
                        <w:bottom w:val="none" w:sz="0" w:space="0" w:color="auto"/>
                        <w:right w:val="none" w:sz="0" w:space="0" w:color="auto"/>
                      </w:divBdr>
                    </w:div>
                  </w:divsChild>
                </w:div>
                <w:div w:id="894006030">
                  <w:marLeft w:val="0"/>
                  <w:marRight w:val="0"/>
                  <w:marTop w:val="0"/>
                  <w:marBottom w:val="0"/>
                  <w:divBdr>
                    <w:top w:val="none" w:sz="0" w:space="0" w:color="auto"/>
                    <w:left w:val="none" w:sz="0" w:space="0" w:color="auto"/>
                    <w:bottom w:val="none" w:sz="0" w:space="0" w:color="auto"/>
                    <w:right w:val="none" w:sz="0" w:space="0" w:color="auto"/>
                  </w:divBdr>
                  <w:divsChild>
                    <w:div w:id="466823212">
                      <w:marLeft w:val="0"/>
                      <w:marRight w:val="0"/>
                      <w:marTop w:val="0"/>
                      <w:marBottom w:val="0"/>
                      <w:divBdr>
                        <w:top w:val="none" w:sz="0" w:space="0" w:color="auto"/>
                        <w:left w:val="none" w:sz="0" w:space="0" w:color="auto"/>
                        <w:bottom w:val="none" w:sz="0" w:space="0" w:color="auto"/>
                        <w:right w:val="none" w:sz="0" w:space="0" w:color="auto"/>
                      </w:divBdr>
                    </w:div>
                  </w:divsChild>
                </w:div>
                <w:div w:id="994450272">
                  <w:marLeft w:val="0"/>
                  <w:marRight w:val="0"/>
                  <w:marTop w:val="0"/>
                  <w:marBottom w:val="0"/>
                  <w:divBdr>
                    <w:top w:val="none" w:sz="0" w:space="0" w:color="auto"/>
                    <w:left w:val="none" w:sz="0" w:space="0" w:color="auto"/>
                    <w:bottom w:val="none" w:sz="0" w:space="0" w:color="auto"/>
                    <w:right w:val="none" w:sz="0" w:space="0" w:color="auto"/>
                  </w:divBdr>
                  <w:divsChild>
                    <w:div w:id="576206229">
                      <w:marLeft w:val="0"/>
                      <w:marRight w:val="0"/>
                      <w:marTop w:val="0"/>
                      <w:marBottom w:val="0"/>
                      <w:divBdr>
                        <w:top w:val="none" w:sz="0" w:space="0" w:color="auto"/>
                        <w:left w:val="none" w:sz="0" w:space="0" w:color="auto"/>
                        <w:bottom w:val="none" w:sz="0" w:space="0" w:color="auto"/>
                        <w:right w:val="none" w:sz="0" w:space="0" w:color="auto"/>
                      </w:divBdr>
                    </w:div>
                  </w:divsChild>
                </w:div>
                <w:div w:id="1076704015">
                  <w:marLeft w:val="0"/>
                  <w:marRight w:val="0"/>
                  <w:marTop w:val="0"/>
                  <w:marBottom w:val="0"/>
                  <w:divBdr>
                    <w:top w:val="none" w:sz="0" w:space="0" w:color="auto"/>
                    <w:left w:val="none" w:sz="0" w:space="0" w:color="auto"/>
                    <w:bottom w:val="none" w:sz="0" w:space="0" w:color="auto"/>
                    <w:right w:val="none" w:sz="0" w:space="0" w:color="auto"/>
                  </w:divBdr>
                  <w:divsChild>
                    <w:div w:id="643044362">
                      <w:marLeft w:val="0"/>
                      <w:marRight w:val="0"/>
                      <w:marTop w:val="0"/>
                      <w:marBottom w:val="0"/>
                      <w:divBdr>
                        <w:top w:val="none" w:sz="0" w:space="0" w:color="auto"/>
                        <w:left w:val="none" w:sz="0" w:space="0" w:color="auto"/>
                        <w:bottom w:val="none" w:sz="0" w:space="0" w:color="auto"/>
                        <w:right w:val="none" w:sz="0" w:space="0" w:color="auto"/>
                      </w:divBdr>
                    </w:div>
                  </w:divsChild>
                </w:div>
                <w:div w:id="1077823573">
                  <w:marLeft w:val="0"/>
                  <w:marRight w:val="0"/>
                  <w:marTop w:val="0"/>
                  <w:marBottom w:val="0"/>
                  <w:divBdr>
                    <w:top w:val="none" w:sz="0" w:space="0" w:color="auto"/>
                    <w:left w:val="none" w:sz="0" w:space="0" w:color="auto"/>
                    <w:bottom w:val="none" w:sz="0" w:space="0" w:color="auto"/>
                    <w:right w:val="none" w:sz="0" w:space="0" w:color="auto"/>
                  </w:divBdr>
                  <w:divsChild>
                    <w:div w:id="71395944">
                      <w:marLeft w:val="0"/>
                      <w:marRight w:val="0"/>
                      <w:marTop w:val="0"/>
                      <w:marBottom w:val="0"/>
                      <w:divBdr>
                        <w:top w:val="none" w:sz="0" w:space="0" w:color="auto"/>
                        <w:left w:val="none" w:sz="0" w:space="0" w:color="auto"/>
                        <w:bottom w:val="none" w:sz="0" w:space="0" w:color="auto"/>
                        <w:right w:val="none" w:sz="0" w:space="0" w:color="auto"/>
                      </w:divBdr>
                    </w:div>
                  </w:divsChild>
                </w:div>
                <w:div w:id="1105880665">
                  <w:marLeft w:val="0"/>
                  <w:marRight w:val="0"/>
                  <w:marTop w:val="0"/>
                  <w:marBottom w:val="0"/>
                  <w:divBdr>
                    <w:top w:val="none" w:sz="0" w:space="0" w:color="auto"/>
                    <w:left w:val="none" w:sz="0" w:space="0" w:color="auto"/>
                    <w:bottom w:val="none" w:sz="0" w:space="0" w:color="auto"/>
                    <w:right w:val="none" w:sz="0" w:space="0" w:color="auto"/>
                  </w:divBdr>
                  <w:divsChild>
                    <w:div w:id="583148912">
                      <w:marLeft w:val="0"/>
                      <w:marRight w:val="0"/>
                      <w:marTop w:val="0"/>
                      <w:marBottom w:val="0"/>
                      <w:divBdr>
                        <w:top w:val="none" w:sz="0" w:space="0" w:color="auto"/>
                        <w:left w:val="none" w:sz="0" w:space="0" w:color="auto"/>
                        <w:bottom w:val="none" w:sz="0" w:space="0" w:color="auto"/>
                        <w:right w:val="none" w:sz="0" w:space="0" w:color="auto"/>
                      </w:divBdr>
                    </w:div>
                  </w:divsChild>
                </w:div>
                <w:div w:id="1121648843">
                  <w:marLeft w:val="0"/>
                  <w:marRight w:val="0"/>
                  <w:marTop w:val="0"/>
                  <w:marBottom w:val="0"/>
                  <w:divBdr>
                    <w:top w:val="none" w:sz="0" w:space="0" w:color="auto"/>
                    <w:left w:val="none" w:sz="0" w:space="0" w:color="auto"/>
                    <w:bottom w:val="none" w:sz="0" w:space="0" w:color="auto"/>
                    <w:right w:val="none" w:sz="0" w:space="0" w:color="auto"/>
                  </w:divBdr>
                  <w:divsChild>
                    <w:div w:id="1784884609">
                      <w:marLeft w:val="0"/>
                      <w:marRight w:val="0"/>
                      <w:marTop w:val="0"/>
                      <w:marBottom w:val="0"/>
                      <w:divBdr>
                        <w:top w:val="none" w:sz="0" w:space="0" w:color="auto"/>
                        <w:left w:val="none" w:sz="0" w:space="0" w:color="auto"/>
                        <w:bottom w:val="none" w:sz="0" w:space="0" w:color="auto"/>
                        <w:right w:val="none" w:sz="0" w:space="0" w:color="auto"/>
                      </w:divBdr>
                    </w:div>
                  </w:divsChild>
                </w:div>
                <w:div w:id="1306282341">
                  <w:marLeft w:val="0"/>
                  <w:marRight w:val="0"/>
                  <w:marTop w:val="0"/>
                  <w:marBottom w:val="0"/>
                  <w:divBdr>
                    <w:top w:val="none" w:sz="0" w:space="0" w:color="auto"/>
                    <w:left w:val="none" w:sz="0" w:space="0" w:color="auto"/>
                    <w:bottom w:val="none" w:sz="0" w:space="0" w:color="auto"/>
                    <w:right w:val="none" w:sz="0" w:space="0" w:color="auto"/>
                  </w:divBdr>
                  <w:divsChild>
                    <w:div w:id="2075156982">
                      <w:marLeft w:val="0"/>
                      <w:marRight w:val="0"/>
                      <w:marTop w:val="0"/>
                      <w:marBottom w:val="0"/>
                      <w:divBdr>
                        <w:top w:val="none" w:sz="0" w:space="0" w:color="auto"/>
                        <w:left w:val="none" w:sz="0" w:space="0" w:color="auto"/>
                        <w:bottom w:val="none" w:sz="0" w:space="0" w:color="auto"/>
                        <w:right w:val="none" w:sz="0" w:space="0" w:color="auto"/>
                      </w:divBdr>
                    </w:div>
                  </w:divsChild>
                </w:div>
                <w:div w:id="1383554720">
                  <w:marLeft w:val="0"/>
                  <w:marRight w:val="0"/>
                  <w:marTop w:val="0"/>
                  <w:marBottom w:val="0"/>
                  <w:divBdr>
                    <w:top w:val="none" w:sz="0" w:space="0" w:color="auto"/>
                    <w:left w:val="none" w:sz="0" w:space="0" w:color="auto"/>
                    <w:bottom w:val="none" w:sz="0" w:space="0" w:color="auto"/>
                    <w:right w:val="none" w:sz="0" w:space="0" w:color="auto"/>
                  </w:divBdr>
                  <w:divsChild>
                    <w:div w:id="1717504179">
                      <w:marLeft w:val="0"/>
                      <w:marRight w:val="0"/>
                      <w:marTop w:val="0"/>
                      <w:marBottom w:val="0"/>
                      <w:divBdr>
                        <w:top w:val="none" w:sz="0" w:space="0" w:color="auto"/>
                        <w:left w:val="none" w:sz="0" w:space="0" w:color="auto"/>
                        <w:bottom w:val="none" w:sz="0" w:space="0" w:color="auto"/>
                        <w:right w:val="none" w:sz="0" w:space="0" w:color="auto"/>
                      </w:divBdr>
                    </w:div>
                  </w:divsChild>
                </w:div>
                <w:div w:id="1426223374">
                  <w:marLeft w:val="0"/>
                  <w:marRight w:val="0"/>
                  <w:marTop w:val="0"/>
                  <w:marBottom w:val="0"/>
                  <w:divBdr>
                    <w:top w:val="none" w:sz="0" w:space="0" w:color="auto"/>
                    <w:left w:val="none" w:sz="0" w:space="0" w:color="auto"/>
                    <w:bottom w:val="none" w:sz="0" w:space="0" w:color="auto"/>
                    <w:right w:val="none" w:sz="0" w:space="0" w:color="auto"/>
                  </w:divBdr>
                  <w:divsChild>
                    <w:div w:id="81026450">
                      <w:marLeft w:val="0"/>
                      <w:marRight w:val="0"/>
                      <w:marTop w:val="0"/>
                      <w:marBottom w:val="0"/>
                      <w:divBdr>
                        <w:top w:val="none" w:sz="0" w:space="0" w:color="auto"/>
                        <w:left w:val="none" w:sz="0" w:space="0" w:color="auto"/>
                        <w:bottom w:val="none" w:sz="0" w:space="0" w:color="auto"/>
                        <w:right w:val="none" w:sz="0" w:space="0" w:color="auto"/>
                      </w:divBdr>
                    </w:div>
                  </w:divsChild>
                </w:div>
                <w:div w:id="1582983775">
                  <w:marLeft w:val="0"/>
                  <w:marRight w:val="0"/>
                  <w:marTop w:val="0"/>
                  <w:marBottom w:val="0"/>
                  <w:divBdr>
                    <w:top w:val="none" w:sz="0" w:space="0" w:color="auto"/>
                    <w:left w:val="none" w:sz="0" w:space="0" w:color="auto"/>
                    <w:bottom w:val="none" w:sz="0" w:space="0" w:color="auto"/>
                    <w:right w:val="none" w:sz="0" w:space="0" w:color="auto"/>
                  </w:divBdr>
                  <w:divsChild>
                    <w:div w:id="220480112">
                      <w:marLeft w:val="0"/>
                      <w:marRight w:val="0"/>
                      <w:marTop w:val="0"/>
                      <w:marBottom w:val="0"/>
                      <w:divBdr>
                        <w:top w:val="none" w:sz="0" w:space="0" w:color="auto"/>
                        <w:left w:val="none" w:sz="0" w:space="0" w:color="auto"/>
                        <w:bottom w:val="none" w:sz="0" w:space="0" w:color="auto"/>
                        <w:right w:val="none" w:sz="0" w:space="0" w:color="auto"/>
                      </w:divBdr>
                    </w:div>
                  </w:divsChild>
                </w:div>
                <w:div w:id="1641105670">
                  <w:marLeft w:val="0"/>
                  <w:marRight w:val="0"/>
                  <w:marTop w:val="0"/>
                  <w:marBottom w:val="0"/>
                  <w:divBdr>
                    <w:top w:val="none" w:sz="0" w:space="0" w:color="auto"/>
                    <w:left w:val="none" w:sz="0" w:space="0" w:color="auto"/>
                    <w:bottom w:val="none" w:sz="0" w:space="0" w:color="auto"/>
                    <w:right w:val="none" w:sz="0" w:space="0" w:color="auto"/>
                  </w:divBdr>
                  <w:divsChild>
                    <w:div w:id="255552742">
                      <w:marLeft w:val="0"/>
                      <w:marRight w:val="0"/>
                      <w:marTop w:val="0"/>
                      <w:marBottom w:val="0"/>
                      <w:divBdr>
                        <w:top w:val="none" w:sz="0" w:space="0" w:color="auto"/>
                        <w:left w:val="none" w:sz="0" w:space="0" w:color="auto"/>
                        <w:bottom w:val="none" w:sz="0" w:space="0" w:color="auto"/>
                        <w:right w:val="none" w:sz="0" w:space="0" w:color="auto"/>
                      </w:divBdr>
                    </w:div>
                  </w:divsChild>
                </w:div>
                <w:div w:id="1678341966">
                  <w:marLeft w:val="0"/>
                  <w:marRight w:val="0"/>
                  <w:marTop w:val="0"/>
                  <w:marBottom w:val="0"/>
                  <w:divBdr>
                    <w:top w:val="none" w:sz="0" w:space="0" w:color="auto"/>
                    <w:left w:val="none" w:sz="0" w:space="0" w:color="auto"/>
                    <w:bottom w:val="none" w:sz="0" w:space="0" w:color="auto"/>
                    <w:right w:val="none" w:sz="0" w:space="0" w:color="auto"/>
                  </w:divBdr>
                  <w:divsChild>
                    <w:div w:id="328564444">
                      <w:marLeft w:val="0"/>
                      <w:marRight w:val="0"/>
                      <w:marTop w:val="0"/>
                      <w:marBottom w:val="0"/>
                      <w:divBdr>
                        <w:top w:val="none" w:sz="0" w:space="0" w:color="auto"/>
                        <w:left w:val="none" w:sz="0" w:space="0" w:color="auto"/>
                        <w:bottom w:val="none" w:sz="0" w:space="0" w:color="auto"/>
                        <w:right w:val="none" w:sz="0" w:space="0" w:color="auto"/>
                      </w:divBdr>
                    </w:div>
                  </w:divsChild>
                </w:div>
                <w:div w:id="1760448710">
                  <w:marLeft w:val="0"/>
                  <w:marRight w:val="0"/>
                  <w:marTop w:val="0"/>
                  <w:marBottom w:val="0"/>
                  <w:divBdr>
                    <w:top w:val="none" w:sz="0" w:space="0" w:color="auto"/>
                    <w:left w:val="none" w:sz="0" w:space="0" w:color="auto"/>
                    <w:bottom w:val="none" w:sz="0" w:space="0" w:color="auto"/>
                    <w:right w:val="none" w:sz="0" w:space="0" w:color="auto"/>
                  </w:divBdr>
                  <w:divsChild>
                    <w:div w:id="1048801614">
                      <w:marLeft w:val="0"/>
                      <w:marRight w:val="0"/>
                      <w:marTop w:val="0"/>
                      <w:marBottom w:val="0"/>
                      <w:divBdr>
                        <w:top w:val="none" w:sz="0" w:space="0" w:color="auto"/>
                        <w:left w:val="none" w:sz="0" w:space="0" w:color="auto"/>
                        <w:bottom w:val="none" w:sz="0" w:space="0" w:color="auto"/>
                        <w:right w:val="none" w:sz="0" w:space="0" w:color="auto"/>
                      </w:divBdr>
                    </w:div>
                  </w:divsChild>
                </w:div>
                <w:div w:id="1767916760">
                  <w:marLeft w:val="0"/>
                  <w:marRight w:val="0"/>
                  <w:marTop w:val="0"/>
                  <w:marBottom w:val="0"/>
                  <w:divBdr>
                    <w:top w:val="none" w:sz="0" w:space="0" w:color="auto"/>
                    <w:left w:val="none" w:sz="0" w:space="0" w:color="auto"/>
                    <w:bottom w:val="none" w:sz="0" w:space="0" w:color="auto"/>
                    <w:right w:val="none" w:sz="0" w:space="0" w:color="auto"/>
                  </w:divBdr>
                  <w:divsChild>
                    <w:div w:id="136841149">
                      <w:marLeft w:val="0"/>
                      <w:marRight w:val="0"/>
                      <w:marTop w:val="0"/>
                      <w:marBottom w:val="0"/>
                      <w:divBdr>
                        <w:top w:val="none" w:sz="0" w:space="0" w:color="auto"/>
                        <w:left w:val="none" w:sz="0" w:space="0" w:color="auto"/>
                        <w:bottom w:val="none" w:sz="0" w:space="0" w:color="auto"/>
                        <w:right w:val="none" w:sz="0" w:space="0" w:color="auto"/>
                      </w:divBdr>
                    </w:div>
                  </w:divsChild>
                </w:div>
                <w:div w:id="1799372121">
                  <w:marLeft w:val="0"/>
                  <w:marRight w:val="0"/>
                  <w:marTop w:val="0"/>
                  <w:marBottom w:val="0"/>
                  <w:divBdr>
                    <w:top w:val="none" w:sz="0" w:space="0" w:color="auto"/>
                    <w:left w:val="none" w:sz="0" w:space="0" w:color="auto"/>
                    <w:bottom w:val="none" w:sz="0" w:space="0" w:color="auto"/>
                    <w:right w:val="none" w:sz="0" w:space="0" w:color="auto"/>
                  </w:divBdr>
                  <w:divsChild>
                    <w:div w:id="443694437">
                      <w:marLeft w:val="0"/>
                      <w:marRight w:val="0"/>
                      <w:marTop w:val="0"/>
                      <w:marBottom w:val="0"/>
                      <w:divBdr>
                        <w:top w:val="none" w:sz="0" w:space="0" w:color="auto"/>
                        <w:left w:val="none" w:sz="0" w:space="0" w:color="auto"/>
                        <w:bottom w:val="none" w:sz="0" w:space="0" w:color="auto"/>
                        <w:right w:val="none" w:sz="0" w:space="0" w:color="auto"/>
                      </w:divBdr>
                    </w:div>
                  </w:divsChild>
                </w:div>
                <w:div w:id="1882933829">
                  <w:marLeft w:val="0"/>
                  <w:marRight w:val="0"/>
                  <w:marTop w:val="0"/>
                  <w:marBottom w:val="0"/>
                  <w:divBdr>
                    <w:top w:val="none" w:sz="0" w:space="0" w:color="auto"/>
                    <w:left w:val="none" w:sz="0" w:space="0" w:color="auto"/>
                    <w:bottom w:val="none" w:sz="0" w:space="0" w:color="auto"/>
                    <w:right w:val="none" w:sz="0" w:space="0" w:color="auto"/>
                  </w:divBdr>
                  <w:divsChild>
                    <w:div w:id="2015304488">
                      <w:marLeft w:val="0"/>
                      <w:marRight w:val="0"/>
                      <w:marTop w:val="0"/>
                      <w:marBottom w:val="0"/>
                      <w:divBdr>
                        <w:top w:val="none" w:sz="0" w:space="0" w:color="auto"/>
                        <w:left w:val="none" w:sz="0" w:space="0" w:color="auto"/>
                        <w:bottom w:val="none" w:sz="0" w:space="0" w:color="auto"/>
                        <w:right w:val="none" w:sz="0" w:space="0" w:color="auto"/>
                      </w:divBdr>
                    </w:div>
                  </w:divsChild>
                </w:div>
                <w:div w:id="1892301078">
                  <w:marLeft w:val="0"/>
                  <w:marRight w:val="0"/>
                  <w:marTop w:val="0"/>
                  <w:marBottom w:val="0"/>
                  <w:divBdr>
                    <w:top w:val="none" w:sz="0" w:space="0" w:color="auto"/>
                    <w:left w:val="none" w:sz="0" w:space="0" w:color="auto"/>
                    <w:bottom w:val="none" w:sz="0" w:space="0" w:color="auto"/>
                    <w:right w:val="none" w:sz="0" w:space="0" w:color="auto"/>
                  </w:divBdr>
                  <w:divsChild>
                    <w:div w:id="747927386">
                      <w:marLeft w:val="0"/>
                      <w:marRight w:val="0"/>
                      <w:marTop w:val="0"/>
                      <w:marBottom w:val="0"/>
                      <w:divBdr>
                        <w:top w:val="none" w:sz="0" w:space="0" w:color="auto"/>
                        <w:left w:val="none" w:sz="0" w:space="0" w:color="auto"/>
                        <w:bottom w:val="none" w:sz="0" w:space="0" w:color="auto"/>
                        <w:right w:val="none" w:sz="0" w:space="0" w:color="auto"/>
                      </w:divBdr>
                    </w:div>
                  </w:divsChild>
                </w:div>
                <w:div w:id="1929852772">
                  <w:marLeft w:val="0"/>
                  <w:marRight w:val="0"/>
                  <w:marTop w:val="0"/>
                  <w:marBottom w:val="0"/>
                  <w:divBdr>
                    <w:top w:val="none" w:sz="0" w:space="0" w:color="auto"/>
                    <w:left w:val="none" w:sz="0" w:space="0" w:color="auto"/>
                    <w:bottom w:val="none" w:sz="0" w:space="0" w:color="auto"/>
                    <w:right w:val="none" w:sz="0" w:space="0" w:color="auto"/>
                  </w:divBdr>
                  <w:divsChild>
                    <w:div w:id="1155221669">
                      <w:marLeft w:val="0"/>
                      <w:marRight w:val="0"/>
                      <w:marTop w:val="0"/>
                      <w:marBottom w:val="0"/>
                      <w:divBdr>
                        <w:top w:val="none" w:sz="0" w:space="0" w:color="auto"/>
                        <w:left w:val="none" w:sz="0" w:space="0" w:color="auto"/>
                        <w:bottom w:val="none" w:sz="0" w:space="0" w:color="auto"/>
                        <w:right w:val="none" w:sz="0" w:space="0" w:color="auto"/>
                      </w:divBdr>
                    </w:div>
                  </w:divsChild>
                </w:div>
                <w:div w:id="1944874166">
                  <w:marLeft w:val="0"/>
                  <w:marRight w:val="0"/>
                  <w:marTop w:val="0"/>
                  <w:marBottom w:val="0"/>
                  <w:divBdr>
                    <w:top w:val="none" w:sz="0" w:space="0" w:color="auto"/>
                    <w:left w:val="none" w:sz="0" w:space="0" w:color="auto"/>
                    <w:bottom w:val="none" w:sz="0" w:space="0" w:color="auto"/>
                    <w:right w:val="none" w:sz="0" w:space="0" w:color="auto"/>
                  </w:divBdr>
                  <w:divsChild>
                    <w:div w:id="2070689969">
                      <w:marLeft w:val="0"/>
                      <w:marRight w:val="0"/>
                      <w:marTop w:val="0"/>
                      <w:marBottom w:val="0"/>
                      <w:divBdr>
                        <w:top w:val="none" w:sz="0" w:space="0" w:color="auto"/>
                        <w:left w:val="none" w:sz="0" w:space="0" w:color="auto"/>
                        <w:bottom w:val="none" w:sz="0" w:space="0" w:color="auto"/>
                        <w:right w:val="none" w:sz="0" w:space="0" w:color="auto"/>
                      </w:divBdr>
                    </w:div>
                  </w:divsChild>
                </w:div>
                <w:div w:id="1963337330">
                  <w:marLeft w:val="0"/>
                  <w:marRight w:val="0"/>
                  <w:marTop w:val="0"/>
                  <w:marBottom w:val="0"/>
                  <w:divBdr>
                    <w:top w:val="none" w:sz="0" w:space="0" w:color="auto"/>
                    <w:left w:val="none" w:sz="0" w:space="0" w:color="auto"/>
                    <w:bottom w:val="none" w:sz="0" w:space="0" w:color="auto"/>
                    <w:right w:val="none" w:sz="0" w:space="0" w:color="auto"/>
                  </w:divBdr>
                  <w:divsChild>
                    <w:div w:id="1310671719">
                      <w:marLeft w:val="0"/>
                      <w:marRight w:val="0"/>
                      <w:marTop w:val="0"/>
                      <w:marBottom w:val="0"/>
                      <w:divBdr>
                        <w:top w:val="none" w:sz="0" w:space="0" w:color="auto"/>
                        <w:left w:val="none" w:sz="0" w:space="0" w:color="auto"/>
                        <w:bottom w:val="none" w:sz="0" w:space="0" w:color="auto"/>
                        <w:right w:val="none" w:sz="0" w:space="0" w:color="auto"/>
                      </w:divBdr>
                    </w:div>
                  </w:divsChild>
                </w:div>
                <w:div w:id="2050765123">
                  <w:marLeft w:val="0"/>
                  <w:marRight w:val="0"/>
                  <w:marTop w:val="0"/>
                  <w:marBottom w:val="0"/>
                  <w:divBdr>
                    <w:top w:val="none" w:sz="0" w:space="0" w:color="auto"/>
                    <w:left w:val="none" w:sz="0" w:space="0" w:color="auto"/>
                    <w:bottom w:val="none" w:sz="0" w:space="0" w:color="auto"/>
                    <w:right w:val="none" w:sz="0" w:space="0" w:color="auto"/>
                  </w:divBdr>
                  <w:divsChild>
                    <w:div w:id="1531993788">
                      <w:marLeft w:val="0"/>
                      <w:marRight w:val="0"/>
                      <w:marTop w:val="0"/>
                      <w:marBottom w:val="0"/>
                      <w:divBdr>
                        <w:top w:val="none" w:sz="0" w:space="0" w:color="auto"/>
                        <w:left w:val="none" w:sz="0" w:space="0" w:color="auto"/>
                        <w:bottom w:val="none" w:sz="0" w:space="0" w:color="auto"/>
                        <w:right w:val="none" w:sz="0" w:space="0" w:color="auto"/>
                      </w:divBdr>
                    </w:div>
                  </w:divsChild>
                </w:div>
                <w:div w:id="2076853883">
                  <w:marLeft w:val="0"/>
                  <w:marRight w:val="0"/>
                  <w:marTop w:val="0"/>
                  <w:marBottom w:val="0"/>
                  <w:divBdr>
                    <w:top w:val="none" w:sz="0" w:space="0" w:color="auto"/>
                    <w:left w:val="none" w:sz="0" w:space="0" w:color="auto"/>
                    <w:bottom w:val="none" w:sz="0" w:space="0" w:color="auto"/>
                    <w:right w:val="none" w:sz="0" w:space="0" w:color="auto"/>
                  </w:divBdr>
                  <w:divsChild>
                    <w:div w:id="369064288">
                      <w:marLeft w:val="0"/>
                      <w:marRight w:val="0"/>
                      <w:marTop w:val="0"/>
                      <w:marBottom w:val="0"/>
                      <w:divBdr>
                        <w:top w:val="none" w:sz="0" w:space="0" w:color="auto"/>
                        <w:left w:val="none" w:sz="0" w:space="0" w:color="auto"/>
                        <w:bottom w:val="none" w:sz="0" w:space="0" w:color="auto"/>
                        <w:right w:val="none" w:sz="0" w:space="0" w:color="auto"/>
                      </w:divBdr>
                    </w:div>
                  </w:divsChild>
                </w:div>
                <w:div w:id="2077775238">
                  <w:marLeft w:val="0"/>
                  <w:marRight w:val="0"/>
                  <w:marTop w:val="0"/>
                  <w:marBottom w:val="0"/>
                  <w:divBdr>
                    <w:top w:val="none" w:sz="0" w:space="0" w:color="auto"/>
                    <w:left w:val="none" w:sz="0" w:space="0" w:color="auto"/>
                    <w:bottom w:val="none" w:sz="0" w:space="0" w:color="auto"/>
                    <w:right w:val="none" w:sz="0" w:space="0" w:color="auto"/>
                  </w:divBdr>
                  <w:divsChild>
                    <w:div w:id="634216071">
                      <w:marLeft w:val="0"/>
                      <w:marRight w:val="0"/>
                      <w:marTop w:val="0"/>
                      <w:marBottom w:val="0"/>
                      <w:divBdr>
                        <w:top w:val="none" w:sz="0" w:space="0" w:color="auto"/>
                        <w:left w:val="none" w:sz="0" w:space="0" w:color="auto"/>
                        <w:bottom w:val="none" w:sz="0" w:space="0" w:color="auto"/>
                        <w:right w:val="none" w:sz="0" w:space="0" w:color="auto"/>
                      </w:divBdr>
                    </w:div>
                  </w:divsChild>
                </w:div>
                <w:div w:id="2140608863">
                  <w:marLeft w:val="0"/>
                  <w:marRight w:val="0"/>
                  <w:marTop w:val="0"/>
                  <w:marBottom w:val="0"/>
                  <w:divBdr>
                    <w:top w:val="none" w:sz="0" w:space="0" w:color="auto"/>
                    <w:left w:val="none" w:sz="0" w:space="0" w:color="auto"/>
                    <w:bottom w:val="none" w:sz="0" w:space="0" w:color="auto"/>
                    <w:right w:val="none" w:sz="0" w:space="0" w:color="auto"/>
                  </w:divBdr>
                  <w:divsChild>
                    <w:div w:id="1676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390">
          <w:marLeft w:val="0"/>
          <w:marRight w:val="0"/>
          <w:marTop w:val="0"/>
          <w:marBottom w:val="0"/>
          <w:divBdr>
            <w:top w:val="none" w:sz="0" w:space="0" w:color="auto"/>
            <w:left w:val="none" w:sz="0" w:space="0" w:color="auto"/>
            <w:bottom w:val="none" w:sz="0" w:space="0" w:color="auto"/>
            <w:right w:val="none" w:sz="0" w:space="0" w:color="auto"/>
          </w:divBdr>
        </w:div>
        <w:div w:id="1651131094">
          <w:marLeft w:val="0"/>
          <w:marRight w:val="0"/>
          <w:marTop w:val="0"/>
          <w:marBottom w:val="0"/>
          <w:divBdr>
            <w:top w:val="none" w:sz="0" w:space="0" w:color="auto"/>
            <w:left w:val="none" w:sz="0" w:space="0" w:color="auto"/>
            <w:bottom w:val="none" w:sz="0" w:space="0" w:color="auto"/>
            <w:right w:val="none" w:sz="0" w:space="0" w:color="auto"/>
          </w:divBdr>
          <w:divsChild>
            <w:div w:id="1955284486">
              <w:marLeft w:val="-75"/>
              <w:marRight w:val="0"/>
              <w:marTop w:val="30"/>
              <w:marBottom w:val="30"/>
              <w:divBdr>
                <w:top w:val="none" w:sz="0" w:space="0" w:color="auto"/>
                <w:left w:val="none" w:sz="0" w:space="0" w:color="auto"/>
                <w:bottom w:val="none" w:sz="0" w:space="0" w:color="auto"/>
                <w:right w:val="none" w:sz="0" w:space="0" w:color="auto"/>
              </w:divBdr>
              <w:divsChild>
                <w:div w:id="51006496">
                  <w:marLeft w:val="0"/>
                  <w:marRight w:val="0"/>
                  <w:marTop w:val="0"/>
                  <w:marBottom w:val="0"/>
                  <w:divBdr>
                    <w:top w:val="none" w:sz="0" w:space="0" w:color="auto"/>
                    <w:left w:val="none" w:sz="0" w:space="0" w:color="auto"/>
                    <w:bottom w:val="none" w:sz="0" w:space="0" w:color="auto"/>
                    <w:right w:val="none" w:sz="0" w:space="0" w:color="auto"/>
                  </w:divBdr>
                  <w:divsChild>
                    <w:div w:id="934746754">
                      <w:marLeft w:val="0"/>
                      <w:marRight w:val="0"/>
                      <w:marTop w:val="0"/>
                      <w:marBottom w:val="0"/>
                      <w:divBdr>
                        <w:top w:val="none" w:sz="0" w:space="0" w:color="auto"/>
                        <w:left w:val="none" w:sz="0" w:space="0" w:color="auto"/>
                        <w:bottom w:val="none" w:sz="0" w:space="0" w:color="auto"/>
                        <w:right w:val="none" w:sz="0" w:space="0" w:color="auto"/>
                      </w:divBdr>
                    </w:div>
                  </w:divsChild>
                </w:div>
                <w:div w:id="75900534">
                  <w:marLeft w:val="0"/>
                  <w:marRight w:val="0"/>
                  <w:marTop w:val="0"/>
                  <w:marBottom w:val="0"/>
                  <w:divBdr>
                    <w:top w:val="none" w:sz="0" w:space="0" w:color="auto"/>
                    <w:left w:val="none" w:sz="0" w:space="0" w:color="auto"/>
                    <w:bottom w:val="none" w:sz="0" w:space="0" w:color="auto"/>
                    <w:right w:val="none" w:sz="0" w:space="0" w:color="auto"/>
                  </w:divBdr>
                  <w:divsChild>
                    <w:div w:id="164444231">
                      <w:marLeft w:val="0"/>
                      <w:marRight w:val="0"/>
                      <w:marTop w:val="0"/>
                      <w:marBottom w:val="0"/>
                      <w:divBdr>
                        <w:top w:val="none" w:sz="0" w:space="0" w:color="auto"/>
                        <w:left w:val="none" w:sz="0" w:space="0" w:color="auto"/>
                        <w:bottom w:val="none" w:sz="0" w:space="0" w:color="auto"/>
                        <w:right w:val="none" w:sz="0" w:space="0" w:color="auto"/>
                      </w:divBdr>
                    </w:div>
                  </w:divsChild>
                </w:div>
                <w:div w:id="223297148">
                  <w:marLeft w:val="0"/>
                  <w:marRight w:val="0"/>
                  <w:marTop w:val="0"/>
                  <w:marBottom w:val="0"/>
                  <w:divBdr>
                    <w:top w:val="none" w:sz="0" w:space="0" w:color="auto"/>
                    <w:left w:val="none" w:sz="0" w:space="0" w:color="auto"/>
                    <w:bottom w:val="none" w:sz="0" w:space="0" w:color="auto"/>
                    <w:right w:val="none" w:sz="0" w:space="0" w:color="auto"/>
                  </w:divBdr>
                  <w:divsChild>
                    <w:div w:id="655230693">
                      <w:marLeft w:val="0"/>
                      <w:marRight w:val="0"/>
                      <w:marTop w:val="0"/>
                      <w:marBottom w:val="0"/>
                      <w:divBdr>
                        <w:top w:val="none" w:sz="0" w:space="0" w:color="auto"/>
                        <w:left w:val="none" w:sz="0" w:space="0" w:color="auto"/>
                        <w:bottom w:val="none" w:sz="0" w:space="0" w:color="auto"/>
                        <w:right w:val="none" w:sz="0" w:space="0" w:color="auto"/>
                      </w:divBdr>
                    </w:div>
                  </w:divsChild>
                </w:div>
                <w:div w:id="244262798">
                  <w:marLeft w:val="0"/>
                  <w:marRight w:val="0"/>
                  <w:marTop w:val="0"/>
                  <w:marBottom w:val="0"/>
                  <w:divBdr>
                    <w:top w:val="none" w:sz="0" w:space="0" w:color="auto"/>
                    <w:left w:val="none" w:sz="0" w:space="0" w:color="auto"/>
                    <w:bottom w:val="none" w:sz="0" w:space="0" w:color="auto"/>
                    <w:right w:val="none" w:sz="0" w:space="0" w:color="auto"/>
                  </w:divBdr>
                  <w:divsChild>
                    <w:div w:id="1892498640">
                      <w:marLeft w:val="0"/>
                      <w:marRight w:val="0"/>
                      <w:marTop w:val="0"/>
                      <w:marBottom w:val="0"/>
                      <w:divBdr>
                        <w:top w:val="none" w:sz="0" w:space="0" w:color="auto"/>
                        <w:left w:val="none" w:sz="0" w:space="0" w:color="auto"/>
                        <w:bottom w:val="none" w:sz="0" w:space="0" w:color="auto"/>
                        <w:right w:val="none" w:sz="0" w:space="0" w:color="auto"/>
                      </w:divBdr>
                    </w:div>
                  </w:divsChild>
                </w:div>
                <w:div w:id="316149306">
                  <w:marLeft w:val="0"/>
                  <w:marRight w:val="0"/>
                  <w:marTop w:val="0"/>
                  <w:marBottom w:val="0"/>
                  <w:divBdr>
                    <w:top w:val="none" w:sz="0" w:space="0" w:color="auto"/>
                    <w:left w:val="none" w:sz="0" w:space="0" w:color="auto"/>
                    <w:bottom w:val="none" w:sz="0" w:space="0" w:color="auto"/>
                    <w:right w:val="none" w:sz="0" w:space="0" w:color="auto"/>
                  </w:divBdr>
                  <w:divsChild>
                    <w:div w:id="1450584664">
                      <w:marLeft w:val="0"/>
                      <w:marRight w:val="0"/>
                      <w:marTop w:val="0"/>
                      <w:marBottom w:val="0"/>
                      <w:divBdr>
                        <w:top w:val="none" w:sz="0" w:space="0" w:color="auto"/>
                        <w:left w:val="none" w:sz="0" w:space="0" w:color="auto"/>
                        <w:bottom w:val="none" w:sz="0" w:space="0" w:color="auto"/>
                        <w:right w:val="none" w:sz="0" w:space="0" w:color="auto"/>
                      </w:divBdr>
                    </w:div>
                  </w:divsChild>
                </w:div>
                <w:div w:id="318777426">
                  <w:marLeft w:val="0"/>
                  <w:marRight w:val="0"/>
                  <w:marTop w:val="0"/>
                  <w:marBottom w:val="0"/>
                  <w:divBdr>
                    <w:top w:val="none" w:sz="0" w:space="0" w:color="auto"/>
                    <w:left w:val="none" w:sz="0" w:space="0" w:color="auto"/>
                    <w:bottom w:val="none" w:sz="0" w:space="0" w:color="auto"/>
                    <w:right w:val="none" w:sz="0" w:space="0" w:color="auto"/>
                  </w:divBdr>
                  <w:divsChild>
                    <w:div w:id="1235967623">
                      <w:marLeft w:val="0"/>
                      <w:marRight w:val="0"/>
                      <w:marTop w:val="0"/>
                      <w:marBottom w:val="0"/>
                      <w:divBdr>
                        <w:top w:val="none" w:sz="0" w:space="0" w:color="auto"/>
                        <w:left w:val="none" w:sz="0" w:space="0" w:color="auto"/>
                        <w:bottom w:val="none" w:sz="0" w:space="0" w:color="auto"/>
                        <w:right w:val="none" w:sz="0" w:space="0" w:color="auto"/>
                      </w:divBdr>
                    </w:div>
                  </w:divsChild>
                </w:div>
                <w:div w:id="375158937">
                  <w:marLeft w:val="0"/>
                  <w:marRight w:val="0"/>
                  <w:marTop w:val="0"/>
                  <w:marBottom w:val="0"/>
                  <w:divBdr>
                    <w:top w:val="none" w:sz="0" w:space="0" w:color="auto"/>
                    <w:left w:val="none" w:sz="0" w:space="0" w:color="auto"/>
                    <w:bottom w:val="none" w:sz="0" w:space="0" w:color="auto"/>
                    <w:right w:val="none" w:sz="0" w:space="0" w:color="auto"/>
                  </w:divBdr>
                  <w:divsChild>
                    <w:div w:id="662247116">
                      <w:marLeft w:val="0"/>
                      <w:marRight w:val="0"/>
                      <w:marTop w:val="0"/>
                      <w:marBottom w:val="0"/>
                      <w:divBdr>
                        <w:top w:val="none" w:sz="0" w:space="0" w:color="auto"/>
                        <w:left w:val="none" w:sz="0" w:space="0" w:color="auto"/>
                        <w:bottom w:val="none" w:sz="0" w:space="0" w:color="auto"/>
                        <w:right w:val="none" w:sz="0" w:space="0" w:color="auto"/>
                      </w:divBdr>
                    </w:div>
                  </w:divsChild>
                </w:div>
                <w:div w:id="417482325">
                  <w:marLeft w:val="0"/>
                  <w:marRight w:val="0"/>
                  <w:marTop w:val="0"/>
                  <w:marBottom w:val="0"/>
                  <w:divBdr>
                    <w:top w:val="none" w:sz="0" w:space="0" w:color="auto"/>
                    <w:left w:val="none" w:sz="0" w:space="0" w:color="auto"/>
                    <w:bottom w:val="none" w:sz="0" w:space="0" w:color="auto"/>
                    <w:right w:val="none" w:sz="0" w:space="0" w:color="auto"/>
                  </w:divBdr>
                  <w:divsChild>
                    <w:div w:id="208881639">
                      <w:marLeft w:val="0"/>
                      <w:marRight w:val="0"/>
                      <w:marTop w:val="0"/>
                      <w:marBottom w:val="0"/>
                      <w:divBdr>
                        <w:top w:val="none" w:sz="0" w:space="0" w:color="auto"/>
                        <w:left w:val="none" w:sz="0" w:space="0" w:color="auto"/>
                        <w:bottom w:val="none" w:sz="0" w:space="0" w:color="auto"/>
                        <w:right w:val="none" w:sz="0" w:space="0" w:color="auto"/>
                      </w:divBdr>
                    </w:div>
                  </w:divsChild>
                </w:div>
                <w:div w:id="424889522">
                  <w:marLeft w:val="0"/>
                  <w:marRight w:val="0"/>
                  <w:marTop w:val="0"/>
                  <w:marBottom w:val="0"/>
                  <w:divBdr>
                    <w:top w:val="none" w:sz="0" w:space="0" w:color="auto"/>
                    <w:left w:val="none" w:sz="0" w:space="0" w:color="auto"/>
                    <w:bottom w:val="none" w:sz="0" w:space="0" w:color="auto"/>
                    <w:right w:val="none" w:sz="0" w:space="0" w:color="auto"/>
                  </w:divBdr>
                  <w:divsChild>
                    <w:div w:id="357052610">
                      <w:marLeft w:val="0"/>
                      <w:marRight w:val="0"/>
                      <w:marTop w:val="0"/>
                      <w:marBottom w:val="0"/>
                      <w:divBdr>
                        <w:top w:val="none" w:sz="0" w:space="0" w:color="auto"/>
                        <w:left w:val="none" w:sz="0" w:space="0" w:color="auto"/>
                        <w:bottom w:val="none" w:sz="0" w:space="0" w:color="auto"/>
                        <w:right w:val="none" w:sz="0" w:space="0" w:color="auto"/>
                      </w:divBdr>
                    </w:div>
                  </w:divsChild>
                </w:div>
                <w:div w:id="438766461">
                  <w:marLeft w:val="0"/>
                  <w:marRight w:val="0"/>
                  <w:marTop w:val="0"/>
                  <w:marBottom w:val="0"/>
                  <w:divBdr>
                    <w:top w:val="none" w:sz="0" w:space="0" w:color="auto"/>
                    <w:left w:val="none" w:sz="0" w:space="0" w:color="auto"/>
                    <w:bottom w:val="none" w:sz="0" w:space="0" w:color="auto"/>
                    <w:right w:val="none" w:sz="0" w:space="0" w:color="auto"/>
                  </w:divBdr>
                  <w:divsChild>
                    <w:div w:id="1337805893">
                      <w:marLeft w:val="0"/>
                      <w:marRight w:val="0"/>
                      <w:marTop w:val="0"/>
                      <w:marBottom w:val="0"/>
                      <w:divBdr>
                        <w:top w:val="none" w:sz="0" w:space="0" w:color="auto"/>
                        <w:left w:val="none" w:sz="0" w:space="0" w:color="auto"/>
                        <w:bottom w:val="none" w:sz="0" w:space="0" w:color="auto"/>
                        <w:right w:val="none" w:sz="0" w:space="0" w:color="auto"/>
                      </w:divBdr>
                    </w:div>
                  </w:divsChild>
                </w:div>
                <w:div w:id="489642585">
                  <w:marLeft w:val="0"/>
                  <w:marRight w:val="0"/>
                  <w:marTop w:val="0"/>
                  <w:marBottom w:val="0"/>
                  <w:divBdr>
                    <w:top w:val="none" w:sz="0" w:space="0" w:color="auto"/>
                    <w:left w:val="none" w:sz="0" w:space="0" w:color="auto"/>
                    <w:bottom w:val="none" w:sz="0" w:space="0" w:color="auto"/>
                    <w:right w:val="none" w:sz="0" w:space="0" w:color="auto"/>
                  </w:divBdr>
                  <w:divsChild>
                    <w:div w:id="663360120">
                      <w:marLeft w:val="0"/>
                      <w:marRight w:val="0"/>
                      <w:marTop w:val="0"/>
                      <w:marBottom w:val="0"/>
                      <w:divBdr>
                        <w:top w:val="none" w:sz="0" w:space="0" w:color="auto"/>
                        <w:left w:val="none" w:sz="0" w:space="0" w:color="auto"/>
                        <w:bottom w:val="none" w:sz="0" w:space="0" w:color="auto"/>
                        <w:right w:val="none" w:sz="0" w:space="0" w:color="auto"/>
                      </w:divBdr>
                    </w:div>
                  </w:divsChild>
                </w:div>
                <w:div w:id="511577943">
                  <w:marLeft w:val="0"/>
                  <w:marRight w:val="0"/>
                  <w:marTop w:val="0"/>
                  <w:marBottom w:val="0"/>
                  <w:divBdr>
                    <w:top w:val="none" w:sz="0" w:space="0" w:color="auto"/>
                    <w:left w:val="none" w:sz="0" w:space="0" w:color="auto"/>
                    <w:bottom w:val="none" w:sz="0" w:space="0" w:color="auto"/>
                    <w:right w:val="none" w:sz="0" w:space="0" w:color="auto"/>
                  </w:divBdr>
                  <w:divsChild>
                    <w:div w:id="1736658720">
                      <w:marLeft w:val="0"/>
                      <w:marRight w:val="0"/>
                      <w:marTop w:val="0"/>
                      <w:marBottom w:val="0"/>
                      <w:divBdr>
                        <w:top w:val="none" w:sz="0" w:space="0" w:color="auto"/>
                        <w:left w:val="none" w:sz="0" w:space="0" w:color="auto"/>
                        <w:bottom w:val="none" w:sz="0" w:space="0" w:color="auto"/>
                        <w:right w:val="none" w:sz="0" w:space="0" w:color="auto"/>
                      </w:divBdr>
                    </w:div>
                  </w:divsChild>
                </w:div>
                <w:div w:id="552740303">
                  <w:marLeft w:val="0"/>
                  <w:marRight w:val="0"/>
                  <w:marTop w:val="0"/>
                  <w:marBottom w:val="0"/>
                  <w:divBdr>
                    <w:top w:val="none" w:sz="0" w:space="0" w:color="auto"/>
                    <w:left w:val="none" w:sz="0" w:space="0" w:color="auto"/>
                    <w:bottom w:val="none" w:sz="0" w:space="0" w:color="auto"/>
                    <w:right w:val="none" w:sz="0" w:space="0" w:color="auto"/>
                  </w:divBdr>
                  <w:divsChild>
                    <w:div w:id="1526095653">
                      <w:marLeft w:val="0"/>
                      <w:marRight w:val="0"/>
                      <w:marTop w:val="0"/>
                      <w:marBottom w:val="0"/>
                      <w:divBdr>
                        <w:top w:val="none" w:sz="0" w:space="0" w:color="auto"/>
                        <w:left w:val="none" w:sz="0" w:space="0" w:color="auto"/>
                        <w:bottom w:val="none" w:sz="0" w:space="0" w:color="auto"/>
                        <w:right w:val="none" w:sz="0" w:space="0" w:color="auto"/>
                      </w:divBdr>
                    </w:div>
                  </w:divsChild>
                </w:div>
                <w:div w:id="597912556">
                  <w:marLeft w:val="0"/>
                  <w:marRight w:val="0"/>
                  <w:marTop w:val="0"/>
                  <w:marBottom w:val="0"/>
                  <w:divBdr>
                    <w:top w:val="none" w:sz="0" w:space="0" w:color="auto"/>
                    <w:left w:val="none" w:sz="0" w:space="0" w:color="auto"/>
                    <w:bottom w:val="none" w:sz="0" w:space="0" w:color="auto"/>
                    <w:right w:val="none" w:sz="0" w:space="0" w:color="auto"/>
                  </w:divBdr>
                  <w:divsChild>
                    <w:div w:id="866870590">
                      <w:marLeft w:val="0"/>
                      <w:marRight w:val="0"/>
                      <w:marTop w:val="0"/>
                      <w:marBottom w:val="0"/>
                      <w:divBdr>
                        <w:top w:val="none" w:sz="0" w:space="0" w:color="auto"/>
                        <w:left w:val="none" w:sz="0" w:space="0" w:color="auto"/>
                        <w:bottom w:val="none" w:sz="0" w:space="0" w:color="auto"/>
                        <w:right w:val="none" w:sz="0" w:space="0" w:color="auto"/>
                      </w:divBdr>
                    </w:div>
                  </w:divsChild>
                </w:div>
                <w:div w:id="637801186">
                  <w:marLeft w:val="0"/>
                  <w:marRight w:val="0"/>
                  <w:marTop w:val="0"/>
                  <w:marBottom w:val="0"/>
                  <w:divBdr>
                    <w:top w:val="none" w:sz="0" w:space="0" w:color="auto"/>
                    <w:left w:val="none" w:sz="0" w:space="0" w:color="auto"/>
                    <w:bottom w:val="none" w:sz="0" w:space="0" w:color="auto"/>
                    <w:right w:val="none" w:sz="0" w:space="0" w:color="auto"/>
                  </w:divBdr>
                  <w:divsChild>
                    <w:div w:id="874971204">
                      <w:marLeft w:val="0"/>
                      <w:marRight w:val="0"/>
                      <w:marTop w:val="0"/>
                      <w:marBottom w:val="0"/>
                      <w:divBdr>
                        <w:top w:val="none" w:sz="0" w:space="0" w:color="auto"/>
                        <w:left w:val="none" w:sz="0" w:space="0" w:color="auto"/>
                        <w:bottom w:val="none" w:sz="0" w:space="0" w:color="auto"/>
                        <w:right w:val="none" w:sz="0" w:space="0" w:color="auto"/>
                      </w:divBdr>
                    </w:div>
                  </w:divsChild>
                </w:div>
                <w:div w:id="658996958">
                  <w:marLeft w:val="0"/>
                  <w:marRight w:val="0"/>
                  <w:marTop w:val="0"/>
                  <w:marBottom w:val="0"/>
                  <w:divBdr>
                    <w:top w:val="none" w:sz="0" w:space="0" w:color="auto"/>
                    <w:left w:val="none" w:sz="0" w:space="0" w:color="auto"/>
                    <w:bottom w:val="none" w:sz="0" w:space="0" w:color="auto"/>
                    <w:right w:val="none" w:sz="0" w:space="0" w:color="auto"/>
                  </w:divBdr>
                  <w:divsChild>
                    <w:div w:id="1854103673">
                      <w:marLeft w:val="0"/>
                      <w:marRight w:val="0"/>
                      <w:marTop w:val="0"/>
                      <w:marBottom w:val="0"/>
                      <w:divBdr>
                        <w:top w:val="none" w:sz="0" w:space="0" w:color="auto"/>
                        <w:left w:val="none" w:sz="0" w:space="0" w:color="auto"/>
                        <w:bottom w:val="none" w:sz="0" w:space="0" w:color="auto"/>
                        <w:right w:val="none" w:sz="0" w:space="0" w:color="auto"/>
                      </w:divBdr>
                    </w:div>
                  </w:divsChild>
                </w:div>
                <w:div w:id="700395969">
                  <w:marLeft w:val="0"/>
                  <w:marRight w:val="0"/>
                  <w:marTop w:val="0"/>
                  <w:marBottom w:val="0"/>
                  <w:divBdr>
                    <w:top w:val="none" w:sz="0" w:space="0" w:color="auto"/>
                    <w:left w:val="none" w:sz="0" w:space="0" w:color="auto"/>
                    <w:bottom w:val="none" w:sz="0" w:space="0" w:color="auto"/>
                    <w:right w:val="none" w:sz="0" w:space="0" w:color="auto"/>
                  </w:divBdr>
                  <w:divsChild>
                    <w:div w:id="1553426650">
                      <w:marLeft w:val="0"/>
                      <w:marRight w:val="0"/>
                      <w:marTop w:val="0"/>
                      <w:marBottom w:val="0"/>
                      <w:divBdr>
                        <w:top w:val="none" w:sz="0" w:space="0" w:color="auto"/>
                        <w:left w:val="none" w:sz="0" w:space="0" w:color="auto"/>
                        <w:bottom w:val="none" w:sz="0" w:space="0" w:color="auto"/>
                        <w:right w:val="none" w:sz="0" w:space="0" w:color="auto"/>
                      </w:divBdr>
                    </w:div>
                  </w:divsChild>
                </w:div>
                <w:div w:id="725450386">
                  <w:marLeft w:val="0"/>
                  <w:marRight w:val="0"/>
                  <w:marTop w:val="0"/>
                  <w:marBottom w:val="0"/>
                  <w:divBdr>
                    <w:top w:val="none" w:sz="0" w:space="0" w:color="auto"/>
                    <w:left w:val="none" w:sz="0" w:space="0" w:color="auto"/>
                    <w:bottom w:val="none" w:sz="0" w:space="0" w:color="auto"/>
                    <w:right w:val="none" w:sz="0" w:space="0" w:color="auto"/>
                  </w:divBdr>
                  <w:divsChild>
                    <w:div w:id="931477235">
                      <w:marLeft w:val="0"/>
                      <w:marRight w:val="0"/>
                      <w:marTop w:val="0"/>
                      <w:marBottom w:val="0"/>
                      <w:divBdr>
                        <w:top w:val="none" w:sz="0" w:space="0" w:color="auto"/>
                        <w:left w:val="none" w:sz="0" w:space="0" w:color="auto"/>
                        <w:bottom w:val="none" w:sz="0" w:space="0" w:color="auto"/>
                        <w:right w:val="none" w:sz="0" w:space="0" w:color="auto"/>
                      </w:divBdr>
                    </w:div>
                  </w:divsChild>
                </w:div>
                <w:div w:id="731545501">
                  <w:marLeft w:val="0"/>
                  <w:marRight w:val="0"/>
                  <w:marTop w:val="0"/>
                  <w:marBottom w:val="0"/>
                  <w:divBdr>
                    <w:top w:val="none" w:sz="0" w:space="0" w:color="auto"/>
                    <w:left w:val="none" w:sz="0" w:space="0" w:color="auto"/>
                    <w:bottom w:val="none" w:sz="0" w:space="0" w:color="auto"/>
                    <w:right w:val="none" w:sz="0" w:space="0" w:color="auto"/>
                  </w:divBdr>
                  <w:divsChild>
                    <w:div w:id="2018000341">
                      <w:marLeft w:val="0"/>
                      <w:marRight w:val="0"/>
                      <w:marTop w:val="0"/>
                      <w:marBottom w:val="0"/>
                      <w:divBdr>
                        <w:top w:val="none" w:sz="0" w:space="0" w:color="auto"/>
                        <w:left w:val="none" w:sz="0" w:space="0" w:color="auto"/>
                        <w:bottom w:val="none" w:sz="0" w:space="0" w:color="auto"/>
                        <w:right w:val="none" w:sz="0" w:space="0" w:color="auto"/>
                      </w:divBdr>
                    </w:div>
                  </w:divsChild>
                </w:div>
                <w:div w:id="744037773">
                  <w:marLeft w:val="0"/>
                  <w:marRight w:val="0"/>
                  <w:marTop w:val="0"/>
                  <w:marBottom w:val="0"/>
                  <w:divBdr>
                    <w:top w:val="none" w:sz="0" w:space="0" w:color="auto"/>
                    <w:left w:val="none" w:sz="0" w:space="0" w:color="auto"/>
                    <w:bottom w:val="none" w:sz="0" w:space="0" w:color="auto"/>
                    <w:right w:val="none" w:sz="0" w:space="0" w:color="auto"/>
                  </w:divBdr>
                  <w:divsChild>
                    <w:div w:id="1940024595">
                      <w:marLeft w:val="0"/>
                      <w:marRight w:val="0"/>
                      <w:marTop w:val="0"/>
                      <w:marBottom w:val="0"/>
                      <w:divBdr>
                        <w:top w:val="none" w:sz="0" w:space="0" w:color="auto"/>
                        <w:left w:val="none" w:sz="0" w:space="0" w:color="auto"/>
                        <w:bottom w:val="none" w:sz="0" w:space="0" w:color="auto"/>
                        <w:right w:val="none" w:sz="0" w:space="0" w:color="auto"/>
                      </w:divBdr>
                    </w:div>
                  </w:divsChild>
                </w:div>
                <w:div w:id="836120209">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 w:id="841313883">
                  <w:marLeft w:val="0"/>
                  <w:marRight w:val="0"/>
                  <w:marTop w:val="0"/>
                  <w:marBottom w:val="0"/>
                  <w:divBdr>
                    <w:top w:val="none" w:sz="0" w:space="0" w:color="auto"/>
                    <w:left w:val="none" w:sz="0" w:space="0" w:color="auto"/>
                    <w:bottom w:val="none" w:sz="0" w:space="0" w:color="auto"/>
                    <w:right w:val="none" w:sz="0" w:space="0" w:color="auto"/>
                  </w:divBdr>
                  <w:divsChild>
                    <w:div w:id="610280548">
                      <w:marLeft w:val="0"/>
                      <w:marRight w:val="0"/>
                      <w:marTop w:val="0"/>
                      <w:marBottom w:val="0"/>
                      <w:divBdr>
                        <w:top w:val="none" w:sz="0" w:space="0" w:color="auto"/>
                        <w:left w:val="none" w:sz="0" w:space="0" w:color="auto"/>
                        <w:bottom w:val="none" w:sz="0" w:space="0" w:color="auto"/>
                        <w:right w:val="none" w:sz="0" w:space="0" w:color="auto"/>
                      </w:divBdr>
                    </w:div>
                  </w:divsChild>
                </w:div>
                <w:div w:id="865942826">
                  <w:marLeft w:val="0"/>
                  <w:marRight w:val="0"/>
                  <w:marTop w:val="0"/>
                  <w:marBottom w:val="0"/>
                  <w:divBdr>
                    <w:top w:val="none" w:sz="0" w:space="0" w:color="auto"/>
                    <w:left w:val="none" w:sz="0" w:space="0" w:color="auto"/>
                    <w:bottom w:val="none" w:sz="0" w:space="0" w:color="auto"/>
                    <w:right w:val="none" w:sz="0" w:space="0" w:color="auto"/>
                  </w:divBdr>
                  <w:divsChild>
                    <w:div w:id="1248610907">
                      <w:marLeft w:val="0"/>
                      <w:marRight w:val="0"/>
                      <w:marTop w:val="0"/>
                      <w:marBottom w:val="0"/>
                      <w:divBdr>
                        <w:top w:val="none" w:sz="0" w:space="0" w:color="auto"/>
                        <w:left w:val="none" w:sz="0" w:space="0" w:color="auto"/>
                        <w:bottom w:val="none" w:sz="0" w:space="0" w:color="auto"/>
                        <w:right w:val="none" w:sz="0" w:space="0" w:color="auto"/>
                      </w:divBdr>
                    </w:div>
                  </w:divsChild>
                </w:div>
                <w:div w:id="913977312">
                  <w:marLeft w:val="0"/>
                  <w:marRight w:val="0"/>
                  <w:marTop w:val="0"/>
                  <w:marBottom w:val="0"/>
                  <w:divBdr>
                    <w:top w:val="none" w:sz="0" w:space="0" w:color="auto"/>
                    <w:left w:val="none" w:sz="0" w:space="0" w:color="auto"/>
                    <w:bottom w:val="none" w:sz="0" w:space="0" w:color="auto"/>
                    <w:right w:val="none" w:sz="0" w:space="0" w:color="auto"/>
                  </w:divBdr>
                  <w:divsChild>
                    <w:div w:id="1453593616">
                      <w:marLeft w:val="0"/>
                      <w:marRight w:val="0"/>
                      <w:marTop w:val="0"/>
                      <w:marBottom w:val="0"/>
                      <w:divBdr>
                        <w:top w:val="none" w:sz="0" w:space="0" w:color="auto"/>
                        <w:left w:val="none" w:sz="0" w:space="0" w:color="auto"/>
                        <w:bottom w:val="none" w:sz="0" w:space="0" w:color="auto"/>
                        <w:right w:val="none" w:sz="0" w:space="0" w:color="auto"/>
                      </w:divBdr>
                    </w:div>
                  </w:divsChild>
                </w:div>
                <w:div w:id="962224978">
                  <w:marLeft w:val="0"/>
                  <w:marRight w:val="0"/>
                  <w:marTop w:val="0"/>
                  <w:marBottom w:val="0"/>
                  <w:divBdr>
                    <w:top w:val="none" w:sz="0" w:space="0" w:color="auto"/>
                    <w:left w:val="none" w:sz="0" w:space="0" w:color="auto"/>
                    <w:bottom w:val="none" w:sz="0" w:space="0" w:color="auto"/>
                    <w:right w:val="none" w:sz="0" w:space="0" w:color="auto"/>
                  </w:divBdr>
                  <w:divsChild>
                    <w:div w:id="1996639749">
                      <w:marLeft w:val="0"/>
                      <w:marRight w:val="0"/>
                      <w:marTop w:val="0"/>
                      <w:marBottom w:val="0"/>
                      <w:divBdr>
                        <w:top w:val="none" w:sz="0" w:space="0" w:color="auto"/>
                        <w:left w:val="none" w:sz="0" w:space="0" w:color="auto"/>
                        <w:bottom w:val="none" w:sz="0" w:space="0" w:color="auto"/>
                        <w:right w:val="none" w:sz="0" w:space="0" w:color="auto"/>
                      </w:divBdr>
                    </w:div>
                  </w:divsChild>
                </w:div>
                <w:div w:id="1001422806">
                  <w:marLeft w:val="0"/>
                  <w:marRight w:val="0"/>
                  <w:marTop w:val="0"/>
                  <w:marBottom w:val="0"/>
                  <w:divBdr>
                    <w:top w:val="none" w:sz="0" w:space="0" w:color="auto"/>
                    <w:left w:val="none" w:sz="0" w:space="0" w:color="auto"/>
                    <w:bottom w:val="none" w:sz="0" w:space="0" w:color="auto"/>
                    <w:right w:val="none" w:sz="0" w:space="0" w:color="auto"/>
                  </w:divBdr>
                  <w:divsChild>
                    <w:div w:id="2013991005">
                      <w:marLeft w:val="0"/>
                      <w:marRight w:val="0"/>
                      <w:marTop w:val="0"/>
                      <w:marBottom w:val="0"/>
                      <w:divBdr>
                        <w:top w:val="none" w:sz="0" w:space="0" w:color="auto"/>
                        <w:left w:val="none" w:sz="0" w:space="0" w:color="auto"/>
                        <w:bottom w:val="none" w:sz="0" w:space="0" w:color="auto"/>
                        <w:right w:val="none" w:sz="0" w:space="0" w:color="auto"/>
                      </w:divBdr>
                    </w:div>
                  </w:divsChild>
                </w:div>
                <w:div w:id="1066227273">
                  <w:marLeft w:val="0"/>
                  <w:marRight w:val="0"/>
                  <w:marTop w:val="0"/>
                  <w:marBottom w:val="0"/>
                  <w:divBdr>
                    <w:top w:val="none" w:sz="0" w:space="0" w:color="auto"/>
                    <w:left w:val="none" w:sz="0" w:space="0" w:color="auto"/>
                    <w:bottom w:val="none" w:sz="0" w:space="0" w:color="auto"/>
                    <w:right w:val="none" w:sz="0" w:space="0" w:color="auto"/>
                  </w:divBdr>
                  <w:divsChild>
                    <w:div w:id="1177577501">
                      <w:marLeft w:val="0"/>
                      <w:marRight w:val="0"/>
                      <w:marTop w:val="0"/>
                      <w:marBottom w:val="0"/>
                      <w:divBdr>
                        <w:top w:val="none" w:sz="0" w:space="0" w:color="auto"/>
                        <w:left w:val="none" w:sz="0" w:space="0" w:color="auto"/>
                        <w:bottom w:val="none" w:sz="0" w:space="0" w:color="auto"/>
                        <w:right w:val="none" w:sz="0" w:space="0" w:color="auto"/>
                      </w:divBdr>
                    </w:div>
                  </w:divsChild>
                </w:div>
                <w:div w:id="1077021423">
                  <w:marLeft w:val="0"/>
                  <w:marRight w:val="0"/>
                  <w:marTop w:val="0"/>
                  <w:marBottom w:val="0"/>
                  <w:divBdr>
                    <w:top w:val="none" w:sz="0" w:space="0" w:color="auto"/>
                    <w:left w:val="none" w:sz="0" w:space="0" w:color="auto"/>
                    <w:bottom w:val="none" w:sz="0" w:space="0" w:color="auto"/>
                    <w:right w:val="none" w:sz="0" w:space="0" w:color="auto"/>
                  </w:divBdr>
                  <w:divsChild>
                    <w:div w:id="2015329797">
                      <w:marLeft w:val="0"/>
                      <w:marRight w:val="0"/>
                      <w:marTop w:val="0"/>
                      <w:marBottom w:val="0"/>
                      <w:divBdr>
                        <w:top w:val="none" w:sz="0" w:space="0" w:color="auto"/>
                        <w:left w:val="none" w:sz="0" w:space="0" w:color="auto"/>
                        <w:bottom w:val="none" w:sz="0" w:space="0" w:color="auto"/>
                        <w:right w:val="none" w:sz="0" w:space="0" w:color="auto"/>
                      </w:divBdr>
                    </w:div>
                  </w:divsChild>
                </w:div>
                <w:div w:id="1161968601">
                  <w:marLeft w:val="0"/>
                  <w:marRight w:val="0"/>
                  <w:marTop w:val="0"/>
                  <w:marBottom w:val="0"/>
                  <w:divBdr>
                    <w:top w:val="none" w:sz="0" w:space="0" w:color="auto"/>
                    <w:left w:val="none" w:sz="0" w:space="0" w:color="auto"/>
                    <w:bottom w:val="none" w:sz="0" w:space="0" w:color="auto"/>
                    <w:right w:val="none" w:sz="0" w:space="0" w:color="auto"/>
                  </w:divBdr>
                  <w:divsChild>
                    <w:div w:id="698047830">
                      <w:marLeft w:val="0"/>
                      <w:marRight w:val="0"/>
                      <w:marTop w:val="0"/>
                      <w:marBottom w:val="0"/>
                      <w:divBdr>
                        <w:top w:val="none" w:sz="0" w:space="0" w:color="auto"/>
                        <w:left w:val="none" w:sz="0" w:space="0" w:color="auto"/>
                        <w:bottom w:val="none" w:sz="0" w:space="0" w:color="auto"/>
                        <w:right w:val="none" w:sz="0" w:space="0" w:color="auto"/>
                      </w:divBdr>
                    </w:div>
                  </w:divsChild>
                </w:div>
                <w:div w:id="1217820631">
                  <w:marLeft w:val="0"/>
                  <w:marRight w:val="0"/>
                  <w:marTop w:val="0"/>
                  <w:marBottom w:val="0"/>
                  <w:divBdr>
                    <w:top w:val="none" w:sz="0" w:space="0" w:color="auto"/>
                    <w:left w:val="none" w:sz="0" w:space="0" w:color="auto"/>
                    <w:bottom w:val="none" w:sz="0" w:space="0" w:color="auto"/>
                    <w:right w:val="none" w:sz="0" w:space="0" w:color="auto"/>
                  </w:divBdr>
                  <w:divsChild>
                    <w:div w:id="833684969">
                      <w:marLeft w:val="0"/>
                      <w:marRight w:val="0"/>
                      <w:marTop w:val="0"/>
                      <w:marBottom w:val="0"/>
                      <w:divBdr>
                        <w:top w:val="none" w:sz="0" w:space="0" w:color="auto"/>
                        <w:left w:val="none" w:sz="0" w:space="0" w:color="auto"/>
                        <w:bottom w:val="none" w:sz="0" w:space="0" w:color="auto"/>
                        <w:right w:val="none" w:sz="0" w:space="0" w:color="auto"/>
                      </w:divBdr>
                    </w:div>
                  </w:divsChild>
                </w:div>
                <w:div w:id="1222786429">
                  <w:marLeft w:val="0"/>
                  <w:marRight w:val="0"/>
                  <w:marTop w:val="0"/>
                  <w:marBottom w:val="0"/>
                  <w:divBdr>
                    <w:top w:val="none" w:sz="0" w:space="0" w:color="auto"/>
                    <w:left w:val="none" w:sz="0" w:space="0" w:color="auto"/>
                    <w:bottom w:val="none" w:sz="0" w:space="0" w:color="auto"/>
                    <w:right w:val="none" w:sz="0" w:space="0" w:color="auto"/>
                  </w:divBdr>
                  <w:divsChild>
                    <w:div w:id="322583284">
                      <w:marLeft w:val="0"/>
                      <w:marRight w:val="0"/>
                      <w:marTop w:val="0"/>
                      <w:marBottom w:val="0"/>
                      <w:divBdr>
                        <w:top w:val="none" w:sz="0" w:space="0" w:color="auto"/>
                        <w:left w:val="none" w:sz="0" w:space="0" w:color="auto"/>
                        <w:bottom w:val="none" w:sz="0" w:space="0" w:color="auto"/>
                        <w:right w:val="none" w:sz="0" w:space="0" w:color="auto"/>
                      </w:divBdr>
                    </w:div>
                  </w:divsChild>
                </w:div>
                <w:div w:id="1266186757">
                  <w:marLeft w:val="0"/>
                  <w:marRight w:val="0"/>
                  <w:marTop w:val="0"/>
                  <w:marBottom w:val="0"/>
                  <w:divBdr>
                    <w:top w:val="none" w:sz="0" w:space="0" w:color="auto"/>
                    <w:left w:val="none" w:sz="0" w:space="0" w:color="auto"/>
                    <w:bottom w:val="none" w:sz="0" w:space="0" w:color="auto"/>
                    <w:right w:val="none" w:sz="0" w:space="0" w:color="auto"/>
                  </w:divBdr>
                  <w:divsChild>
                    <w:div w:id="1478063000">
                      <w:marLeft w:val="0"/>
                      <w:marRight w:val="0"/>
                      <w:marTop w:val="0"/>
                      <w:marBottom w:val="0"/>
                      <w:divBdr>
                        <w:top w:val="none" w:sz="0" w:space="0" w:color="auto"/>
                        <w:left w:val="none" w:sz="0" w:space="0" w:color="auto"/>
                        <w:bottom w:val="none" w:sz="0" w:space="0" w:color="auto"/>
                        <w:right w:val="none" w:sz="0" w:space="0" w:color="auto"/>
                      </w:divBdr>
                    </w:div>
                  </w:divsChild>
                </w:div>
                <w:div w:id="1271813902">
                  <w:marLeft w:val="0"/>
                  <w:marRight w:val="0"/>
                  <w:marTop w:val="0"/>
                  <w:marBottom w:val="0"/>
                  <w:divBdr>
                    <w:top w:val="none" w:sz="0" w:space="0" w:color="auto"/>
                    <w:left w:val="none" w:sz="0" w:space="0" w:color="auto"/>
                    <w:bottom w:val="none" w:sz="0" w:space="0" w:color="auto"/>
                    <w:right w:val="none" w:sz="0" w:space="0" w:color="auto"/>
                  </w:divBdr>
                  <w:divsChild>
                    <w:div w:id="710224944">
                      <w:marLeft w:val="0"/>
                      <w:marRight w:val="0"/>
                      <w:marTop w:val="0"/>
                      <w:marBottom w:val="0"/>
                      <w:divBdr>
                        <w:top w:val="none" w:sz="0" w:space="0" w:color="auto"/>
                        <w:left w:val="none" w:sz="0" w:space="0" w:color="auto"/>
                        <w:bottom w:val="none" w:sz="0" w:space="0" w:color="auto"/>
                        <w:right w:val="none" w:sz="0" w:space="0" w:color="auto"/>
                      </w:divBdr>
                    </w:div>
                  </w:divsChild>
                </w:div>
                <w:div w:id="1288076083">
                  <w:marLeft w:val="0"/>
                  <w:marRight w:val="0"/>
                  <w:marTop w:val="0"/>
                  <w:marBottom w:val="0"/>
                  <w:divBdr>
                    <w:top w:val="none" w:sz="0" w:space="0" w:color="auto"/>
                    <w:left w:val="none" w:sz="0" w:space="0" w:color="auto"/>
                    <w:bottom w:val="none" w:sz="0" w:space="0" w:color="auto"/>
                    <w:right w:val="none" w:sz="0" w:space="0" w:color="auto"/>
                  </w:divBdr>
                  <w:divsChild>
                    <w:div w:id="218171358">
                      <w:marLeft w:val="0"/>
                      <w:marRight w:val="0"/>
                      <w:marTop w:val="0"/>
                      <w:marBottom w:val="0"/>
                      <w:divBdr>
                        <w:top w:val="none" w:sz="0" w:space="0" w:color="auto"/>
                        <w:left w:val="none" w:sz="0" w:space="0" w:color="auto"/>
                        <w:bottom w:val="none" w:sz="0" w:space="0" w:color="auto"/>
                        <w:right w:val="none" w:sz="0" w:space="0" w:color="auto"/>
                      </w:divBdr>
                    </w:div>
                  </w:divsChild>
                </w:div>
                <w:div w:id="1311403662">
                  <w:marLeft w:val="0"/>
                  <w:marRight w:val="0"/>
                  <w:marTop w:val="0"/>
                  <w:marBottom w:val="0"/>
                  <w:divBdr>
                    <w:top w:val="none" w:sz="0" w:space="0" w:color="auto"/>
                    <w:left w:val="none" w:sz="0" w:space="0" w:color="auto"/>
                    <w:bottom w:val="none" w:sz="0" w:space="0" w:color="auto"/>
                    <w:right w:val="none" w:sz="0" w:space="0" w:color="auto"/>
                  </w:divBdr>
                  <w:divsChild>
                    <w:div w:id="52585030">
                      <w:marLeft w:val="0"/>
                      <w:marRight w:val="0"/>
                      <w:marTop w:val="0"/>
                      <w:marBottom w:val="0"/>
                      <w:divBdr>
                        <w:top w:val="none" w:sz="0" w:space="0" w:color="auto"/>
                        <w:left w:val="none" w:sz="0" w:space="0" w:color="auto"/>
                        <w:bottom w:val="none" w:sz="0" w:space="0" w:color="auto"/>
                        <w:right w:val="none" w:sz="0" w:space="0" w:color="auto"/>
                      </w:divBdr>
                    </w:div>
                  </w:divsChild>
                </w:div>
                <w:div w:id="1384644923">
                  <w:marLeft w:val="0"/>
                  <w:marRight w:val="0"/>
                  <w:marTop w:val="0"/>
                  <w:marBottom w:val="0"/>
                  <w:divBdr>
                    <w:top w:val="none" w:sz="0" w:space="0" w:color="auto"/>
                    <w:left w:val="none" w:sz="0" w:space="0" w:color="auto"/>
                    <w:bottom w:val="none" w:sz="0" w:space="0" w:color="auto"/>
                    <w:right w:val="none" w:sz="0" w:space="0" w:color="auto"/>
                  </w:divBdr>
                  <w:divsChild>
                    <w:div w:id="1722289222">
                      <w:marLeft w:val="0"/>
                      <w:marRight w:val="0"/>
                      <w:marTop w:val="0"/>
                      <w:marBottom w:val="0"/>
                      <w:divBdr>
                        <w:top w:val="none" w:sz="0" w:space="0" w:color="auto"/>
                        <w:left w:val="none" w:sz="0" w:space="0" w:color="auto"/>
                        <w:bottom w:val="none" w:sz="0" w:space="0" w:color="auto"/>
                        <w:right w:val="none" w:sz="0" w:space="0" w:color="auto"/>
                      </w:divBdr>
                    </w:div>
                  </w:divsChild>
                </w:div>
                <w:div w:id="1397389041">
                  <w:marLeft w:val="0"/>
                  <w:marRight w:val="0"/>
                  <w:marTop w:val="0"/>
                  <w:marBottom w:val="0"/>
                  <w:divBdr>
                    <w:top w:val="none" w:sz="0" w:space="0" w:color="auto"/>
                    <w:left w:val="none" w:sz="0" w:space="0" w:color="auto"/>
                    <w:bottom w:val="none" w:sz="0" w:space="0" w:color="auto"/>
                    <w:right w:val="none" w:sz="0" w:space="0" w:color="auto"/>
                  </w:divBdr>
                  <w:divsChild>
                    <w:div w:id="398287030">
                      <w:marLeft w:val="0"/>
                      <w:marRight w:val="0"/>
                      <w:marTop w:val="0"/>
                      <w:marBottom w:val="0"/>
                      <w:divBdr>
                        <w:top w:val="none" w:sz="0" w:space="0" w:color="auto"/>
                        <w:left w:val="none" w:sz="0" w:space="0" w:color="auto"/>
                        <w:bottom w:val="none" w:sz="0" w:space="0" w:color="auto"/>
                        <w:right w:val="none" w:sz="0" w:space="0" w:color="auto"/>
                      </w:divBdr>
                    </w:div>
                  </w:divsChild>
                </w:div>
                <w:div w:id="1455637252">
                  <w:marLeft w:val="0"/>
                  <w:marRight w:val="0"/>
                  <w:marTop w:val="0"/>
                  <w:marBottom w:val="0"/>
                  <w:divBdr>
                    <w:top w:val="none" w:sz="0" w:space="0" w:color="auto"/>
                    <w:left w:val="none" w:sz="0" w:space="0" w:color="auto"/>
                    <w:bottom w:val="none" w:sz="0" w:space="0" w:color="auto"/>
                    <w:right w:val="none" w:sz="0" w:space="0" w:color="auto"/>
                  </w:divBdr>
                  <w:divsChild>
                    <w:div w:id="1199783979">
                      <w:marLeft w:val="0"/>
                      <w:marRight w:val="0"/>
                      <w:marTop w:val="0"/>
                      <w:marBottom w:val="0"/>
                      <w:divBdr>
                        <w:top w:val="none" w:sz="0" w:space="0" w:color="auto"/>
                        <w:left w:val="none" w:sz="0" w:space="0" w:color="auto"/>
                        <w:bottom w:val="none" w:sz="0" w:space="0" w:color="auto"/>
                        <w:right w:val="none" w:sz="0" w:space="0" w:color="auto"/>
                      </w:divBdr>
                    </w:div>
                  </w:divsChild>
                </w:div>
                <w:div w:id="1460489102">
                  <w:marLeft w:val="0"/>
                  <w:marRight w:val="0"/>
                  <w:marTop w:val="0"/>
                  <w:marBottom w:val="0"/>
                  <w:divBdr>
                    <w:top w:val="none" w:sz="0" w:space="0" w:color="auto"/>
                    <w:left w:val="none" w:sz="0" w:space="0" w:color="auto"/>
                    <w:bottom w:val="none" w:sz="0" w:space="0" w:color="auto"/>
                    <w:right w:val="none" w:sz="0" w:space="0" w:color="auto"/>
                  </w:divBdr>
                  <w:divsChild>
                    <w:div w:id="1429231434">
                      <w:marLeft w:val="0"/>
                      <w:marRight w:val="0"/>
                      <w:marTop w:val="0"/>
                      <w:marBottom w:val="0"/>
                      <w:divBdr>
                        <w:top w:val="none" w:sz="0" w:space="0" w:color="auto"/>
                        <w:left w:val="none" w:sz="0" w:space="0" w:color="auto"/>
                        <w:bottom w:val="none" w:sz="0" w:space="0" w:color="auto"/>
                        <w:right w:val="none" w:sz="0" w:space="0" w:color="auto"/>
                      </w:divBdr>
                    </w:div>
                  </w:divsChild>
                </w:div>
                <w:div w:id="1470050261">
                  <w:marLeft w:val="0"/>
                  <w:marRight w:val="0"/>
                  <w:marTop w:val="0"/>
                  <w:marBottom w:val="0"/>
                  <w:divBdr>
                    <w:top w:val="none" w:sz="0" w:space="0" w:color="auto"/>
                    <w:left w:val="none" w:sz="0" w:space="0" w:color="auto"/>
                    <w:bottom w:val="none" w:sz="0" w:space="0" w:color="auto"/>
                    <w:right w:val="none" w:sz="0" w:space="0" w:color="auto"/>
                  </w:divBdr>
                  <w:divsChild>
                    <w:div w:id="1596018706">
                      <w:marLeft w:val="0"/>
                      <w:marRight w:val="0"/>
                      <w:marTop w:val="0"/>
                      <w:marBottom w:val="0"/>
                      <w:divBdr>
                        <w:top w:val="none" w:sz="0" w:space="0" w:color="auto"/>
                        <w:left w:val="none" w:sz="0" w:space="0" w:color="auto"/>
                        <w:bottom w:val="none" w:sz="0" w:space="0" w:color="auto"/>
                        <w:right w:val="none" w:sz="0" w:space="0" w:color="auto"/>
                      </w:divBdr>
                    </w:div>
                  </w:divsChild>
                </w:div>
                <w:div w:id="1504665140">
                  <w:marLeft w:val="0"/>
                  <w:marRight w:val="0"/>
                  <w:marTop w:val="0"/>
                  <w:marBottom w:val="0"/>
                  <w:divBdr>
                    <w:top w:val="none" w:sz="0" w:space="0" w:color="auto"/>
                    <w:left w:val="none" w:sz="0" w:space="0" w:color="auto"/>
                    <w:bottom w:val="none" w:sz="0" w:space="0" w:color="auto"/>
                    <w:right w:val="none" w:sz="0" w:space="0" w:color="auto"/>
                  </w:divBdr>
                  <w:divsChild>
                    <w:div w:id="1296637216">
                      <w:marLeft w:val="0"/>
                      <w:marRight w:val="0"/>
                      <w:marTop w:val="0"/>
                      <w:marBottom w:val="0"/>
                      <w:divBdr>
                        <w:top w:val="none" w:sz="0" w:space="0" w:color="auto"/>
                        <w:left w:val="none" w:sz="0" w:space="0" w:color="auto"/>
                        <w:bottom w:val="none" w:sz="0" w:space="0" w:color="auto"/>
                        <w:right w:val="none" w:sz="0" w:space="0" w:color="auto"/>
                      </w:divBdr>
                    </w:div>
                  </w:divsChild>
                </w:div>
                <w:div w:id="1516142185">
                  <w:marLeft w:val="0"/>
                  <w:marRight w:val="0"/>
                  <w:marTop w:val="0"/>
                  <w:marBottom w:val="0"/>
                  <w:divBdr>
                    <w:top w:val="none" w:sz="0" w:space="0" w:color="auto"/>
                    <w:left w:val="none" w:sz="0" w:space="0" w:color="auto"/>
                    <w:bottom w:val="none" w:sz="0" w:space="0" w:color="auto"/>
                    <w:right w:val="none" w:sz="0" w:space="0" w:color="auto"/>
                  </w:divBdr>
                  <w:divsChild>
                    <w:div w:id="409354103">
                      <w:marLeft w:val="0"/>
                      <w:marRight w:val="0"/>
                      <w:marTop w:val="0"/>
                      <w:marBottom w:val="0"/>
                      <w:divBdr>
                        <w:top w:val="none" w:sz="0" w:space="0" w:color="auto"/>
                        <w:left w:val="none" w:sz="0" w:space="0" w:color="auto"/>
                        <w:bottom w:val="none" w:sz="0" w:space="0" w:color="auto"/>
                        <w:right w:val="none" w:sz="0" w:space="0" w:color="auto"/>
                      </w:divBdr>
                    </w:div>
                  </w:divsChild>
                </w:div>
                <w:div w:id="1542669064">
                  <w:marLeft w:val="0"/>
                  <w:marRight w:val="0"/>
                  <w:marTop w:val="0"/>
                  <w:marBottom w:val="0"/>
                  <w:divBdr>
                    <w:top w:val="none" w:sz="0" w:space="0" w:color="auto"/>
                    <w:left w:val="none" w:sz="0" w:space="0" w:color="auto"/>
                    <w:bottom w:val="none" w:sz="0" w:space="0" w:color="auto"/>
                    <w:right w:val="none" w:sz="0" w:space="0" w:color="auto"/>
                  </w:divBdr>
                  <w:divsChild>
                    <w:div w:id="583416335">
                      <w:marLeft w:val="0"/>
                      <w:marRight w:val="0"/>
                      <w:marTop w:val="0"/>
                      <w:marBottom w:val="0"/>
                      <w:divBdr>
                        <w:top w:val="none" w:sz="0" w:space="0" w:color="auto"/>
                        <w:left w:val="none" w:sz="0" w:space="0" w:color="auto"/>
                        <w:bottom w:val="none" w:sz="0" w:space="0" w:color="auto"/>
                        <w:right w:val="none" w:sz="0" w:space="0" w:color="auto"/>
                      </w:divBdr>
                    </w:div>
                  </w:divsChild>
                </w:div>
                <w:div w:id="1561092018">
                  <w:marLeft w:val="0"/>
                  <w:marRight w:val="0"/>
                  <w:marTop w:val="0"/>
                  <w:marBottom w:val="0"/>
                  <w:divBdr>
                    <w:top w:val="none" w:sz="0" w:space="0" w:color="auto"/>
                    <w:left w:val="none" w:sz="0" w:space="0" w:color="auto"/>
                    <w:bottom w:val="none" w:sz="0" w:space="0" w:color="auto"/>
                    <w:right w:val="none" w:sz="0" w:space="0" w:color="auto"/>
                  </w:divBdr>
                  <w:divsChild>
                    <w:div w:id="107240884">
                      <w:marLeft w:val="0"/>
                      <w:marRight w:val="0"/>
                      <w:marTop w:val="0"/>
                      <w:marBottom w:val="0"/>
                      <w:divBdr>
                        <w:top w:val="none" w:sz="0" w:space="0" w:color="auto"/>
                        <w:left w:val="none" w:sz="0" w:space="0" w:color="auto"/>
                        <w:bottom w:val="none" w:sz="0" w:space="0" w:color="auto"/>
                        <w:right w:val="none" w:sz="0" w:space="0" w:color="auto"/>
                      </w:divBdr>
                    </w:div>
                  </w:divsChild>
                </w:div>
                <w:div w:id="1563176801">
                  <w:marLeft w:val="0"/>
                  <w:marRight w:val="0"/>
                  <w:marTop w:val="0"/>
                  <w:marBottom w:val="0"/>
                  <w:divBdr>
                    <w:top w:val="none" w:sz="0" w:space="0" w:color="auto"/>
                    <w:left w:val="none" w:sz="0" w:space="0" w:color="auto"/>
                    <w:bottom w:val="none" w:sz="0" w:space="0" w:color="auto"/>
                    <w:right w:val="none" w:sz="0" w:space="0" w:color="auto"/>
                  </w:divBdr>
                  <w:divsChild>
                    <w:div w:id="143089183">
                      <w:marLeft w:val="0"/>
                      <w:marRight w:val="0"/>
                      <w:marTop w:val="0"/>
                      <w:marBottom w:val="0"/>
                      <w:divBdr>
                        <w:top w:val="none" w:sz="0" w:space="0" w:color="auto"/>
                        <w:left w:val="none" w:sz="0" w:space="0" w:color="auto"/>
                        <w:bottom w:val="none" w:sz="0" w:space="0" w:color="auto"/>
                        <w:right w:val="none" w:sz="0" w:space="0" w:color="auto"/>
                      </w:divBdr>
                    </w:div>
                  </w:divsChild>
                </w:div>
                <w:div w:id="1573151862">
                  <w:marLeft w:val="0"/>
                  <w:marRight w:val="0"/>
                  <w:marTop w:val="0"/>
                  <w:marBottom w:val="0"/>
                  <w:divBdr>
                    <w:top w:val="none" w:sz="0" w:space="0" w:color="auto"/>
                    <w:left w:val="none" w:sz="0" w:space="0" w:color="auto"/>
                    <w:bottom w:val="none" w:sz="0" w:space="0" w:color="auto"/>
                    <w:right w:val="none" w:sz="0" w:space="0" w:color="auto"/>
                  </w:divBdr>
                  <w:divsChild>
                    <w:div w:id="929390614">
                      <w:marLeft w:val="0"/>
                      <w:marRight w:val="0"/>
                      <w:marTop w:val="0"/>
                      <w:marBottom w:val="0"/>
                      <w:divBdr>
                        <w:top w:val="none" w:sz="0" w:space="0" w:color="auto"/>
                        <w:left w:val="none" w:sz="0" w:space="0" w:color="auto"/>
                        <w:bottom w:val="none" w:sz="0" w:space="0" w:color="auto"/>
                        <w:right w:val="none" w:sz="0" w:space="0" w:color="auto"/>
                      </w:divBdr>
                    </w:div>
                  </w:divsChild>
                </w:div>
                <w:div w:id="1620986884">
                  <w:marLeft w:val="0"/>
                  <w:marRight w:val="0"/>
                  <w:marTop w:val="0"/>
                  <w:marBottom w:val="0"/>
                  <w:divBdr>
                    <w:top w:val="none" w:sz="0" w:space="0" w:color="auto"/>
                    <w:left w:val="none" w:sz="0" w:space="0" w:color="auto"/>
                    <w:bottom w:val="none" w:sz="0" w:space="0" w:color="auto"/>
                    <w:right w:val="none" w:sz="0" w:space="0" w:color="auto"/>
                  </w:divBdr>
                  <w:divsChild>
                    <w:div w:id="147139373">
                      <w:marLeft w:val="0"/>
                      <w:marRight w:val="0"/>
                      <w:marTop w:val="0"/>
                      <w:marBottom w:val="0"/>
                      <w:divBdr>
                        <w:top w:val="none" w:sz="0" w:space="0" w:color="auto"/>
                        <w:left w:val="none" w:sz="0" w:space="0" w:color="auto"/>
                        <w:bottom w:val="none" w:sz="0" w:space="0" w:color="auto"/>
                        <w:right w:val="none" w:sz="0" w:space="0" w:color="auto"/>
                      </w:divBdr>
                    </w:div>
                  </w:divsChild>
                </w:div>
                <w:div w:id="1642465549">
                  <w:marLeft w:val="0"/>
                  <w:marRight w:val="0"/>
                  <w:marTop w:val="0"/>
                  <w:marBottom w:val="0"/>
                  <w:divBdr>
                    <w:top w:val="none" w:sz="0" w:space="0" w:color="auto"/>
                    <w:left w:val="none" w:sz="0" w:space="0" w:color="auto"/>
                    <w:bottom w:val="none" w:sz="0" w:space="0" w:color="auto"/>
                    <w:right w:val="none" w:sz="0" w:space="0" w:color="auto"/>
                  </w:divBdr>
                  <w:divsChild>
                    <w:div w:id="918750654">
                      <w:marLeft w:val="0"/>
                      <w:marRight w:val="0"/>
                      <w:marTop w:val="0"/>
                      <w:marBottom w:val="0"/>
                      <w:divBdr>
                        <w:top w:val="none" w:sz="0" w:space="0" w:color="auto"/>
                        <w:left w:val="none" w:sz="0" w:space="0" w:color="auto"/>
                        <w:bottom w:val="none" w:sz="0" w:space="0" w:color="auto"/>
                        <w:right w:val="none" w:sz="0" w:space="0" w:color="auto"/>
                      </w:divBdr>
                    </w:div>
                  </w:divsChild>
                </w:div>
                <w:div w:id="1756245639">
                  <w:marLeft w:val="0"/>
                  <w:marRight w:val="0"/>
                  <w:marTop w:val="0"/>
                  <w:marBottom w:val="0"/>
                  <w:divBdr>
                    <w:top w:val="none" w:sz="0" w:space="0" w:color="auto"/>
                    <w:left w:val="none" w:sz="0" w:space="0" w:color="auto"/>
                    <w:bottom w:val="none" w:sz="0" w:space="0" w:color="auto"/>
                    <w:right w:val="none" w:sz="0" w:space="0" w:color="auto"/>
                  </w:divBdr>
                  <w:divsChild>
                    <w:div w:id="1764566962">
                      <w:marLeft w:val="0"/>
                      <w:marRight w:val="0"/>
                      <w:marTop w:val="0"/>
                      <w:marBottom w:val="0"/>
                      <w:divBdr>
                        <w:top w:val="none" w:sz="0" w:space="0" w:color="auto"/>
                        <w:left w:val="none" w:sz="0" w:space="0" w:color="auto"/>
                        <w:bottom w:val="none" w:sz="0" w:space="0" w:color="auto"/>
                        <w:right w:val="none" w:sz="0" w:space="0" w:color="auto"/>
                      </w:divBdr>
                    </w:div>
                  </w:divsChild>
                </w:div>
                <w:div w:id="1760367437">
                  <w:marLeft w:val="0"/>
                  <w:marRight w:val="0"/>
                  <w:marTop w:val="0"/>
                  <w:marBottom w:val="0"/>
                  <w:divBdr>
                    <w:top w:val="none" w:sz="0" w:space="0" w:color="auto"/>
                    <w:left w:val="none" w:sz="0" w:space="0" w:color="auto"/>
                    <w:bottom w:val="none" w:sz="0" w:space="0" w:color="auto"/>
                    <w:right w:val="none" w:sz="0" w:space="0" w:color="auto"/>
                  </w:divBdr>
                  <w:divsChild>
                    <w:div w:id="2094471186">
                      <w:marLeft w:val="0"/>
                      <w:marRight w:val="0"/>
                      <w:marTop w:val="0"/>
                      <w:marBottom w:val="0"/>
                      <w:divBdr>
                        <w:top w:val="none" w:sz="0" w:space="0" w:color="auto"/>
                        <w:left w:val="none" w:sz="0" w:space="0" w:color="auto"/>
                        <w:bottom w:val="none" w:sz="0" w:space="0" w:color="auto"/>
                        <w:right w:val="none" w:sz="0" w:space="0" w:color="auto"/>
                      </w:divBdr>
                    </w:div>
                  </w:divsChild>
                </w:div>
                <w:div w:id="1780180900">
                  <w:marLeft w:val="0"/>
                  <w:marRight w:val="0"/>
                  <w:marTop w:val="0"/>
                  <w:marBottom w:val="0"/>
                  <w:divBdr>
                    <w:top w:val="none" w:sz="0" w:space="0" w:color="auto"/>
                    <w:left w:val="none" w:sz="0" w:space="0" w:color="auto"/>
                    <w:bottom w:val="none" w:sz="0" w:space="0" w:color="auto"/>
                    <w:right w:val="none" w:sz="0" w:space="0" w:color="auto"/>
                  </w:divBdr>
                  <w:divsChild>
                    <w:div w:id="2081780423">
                      <w:marLeft w:val="0"/>
                      <w:marRight w:val="0"/>
                      <w:marTop w:val="0"/>
                      <w:marBottom w:val="0"/>
                      <w:divBdr>
                        <w:top w:val="none" w:sz="0" w:space="0" w:color="auto"/>
                        <w:left w:val="none" w:sz="0" w:space="0" w:color="auto"/>
                        <w:bottom w:val="none" w:sz="0" w:space="0" w:color="auto"/>
                        <w:right w:val="none" w:sz="0" w:space="0" w:color="auto"/>
                      </w:divBdr>
                    </w:div>
                  </w:divsChild>
                </w:div>
                <w:div w:id="1783112585">
                  <w:marLeft w:val="0"/>
                  <w:marRight w:val="0"/>
                  <w:marTop w:val="0"/>
                  <w:marBottom w:val="0"/>
                  <w:divBdr>
                    <w:top w:val="none" w:sz="0" w:space="0" w:color="auto"/>
                    <w:left w:val="none" w:sz="0" w:space="0" w:color="auto"/>
                    <w:bottom w:val="none" w:sz="0" w:space="0" w:color="auto"/>
                    <w:right w:val="none" w:sz="0" w:space="0" w:color="auto"/>
                  </w:divBdr>
                  <w:divsChild>
                    <w:div w:id="1352025459">
                      <w:marLeft w:val="0"/>
                      <w:marRight w:val="0"/>
                      <w:marTop w:val="0"/>
                      <w:marBottom w:val="0"/>
                      <w:divBdr>
                        <w:top w:val="none" w:sz="0" w:space="0" w:color="auto"/>
                        <w:left w:val="none" w:sz="0" w:space="0" w:color="auto"/>
                        <w:bottom w:val="none" w:sz="0" w:space="0" w:color="auto"/>
                        <w:right w:val="none" w:sz="0" w:space="0" w:color="auto"/>
                      </w:divBdr>
                    </w:div>
                  </w:divsChild>
                </w:div>
                <w:div w:id="1795827084">
                  <w:marLeft w:val="0"/>
                  <w:marRight w:val="0"/>
                  <w:marTop w:val="0"/>
                  <w:marBottom w:val="0"/>
                  <w:divBdr>
                    <w:top w:val="none" w:sz="0" w:space="0" w:color="auto"/>
                    <w:left w:val="none" w:sz="0" w:space="0" w:color="auto"/>
                    <w:bottom w:val="none" w:sz="0" w:space="0" w:color="auto"/>
                    <w:right w:val="none" w:sz="0" w:space="0" w:color="auto"/>
                  </w:divBdr>
                  <w:divsChild>
                    <w:div w:id="921529054">
                      <w:marLeft w:val="0"/>
                      <w:marRight w:val="0"/>
                      <w:marTop w:val="0"/>
                      <w:marBottom w:val="0"/>
                      <w:divBdr>
                        <w:top w:val="none" w:sz="0" w:space="0" w:color="auto"/>
                        <w:left w:val="none" w:sz="0" w:space="0" w:color="auto"/>
                        <w:bottom w:val="none" w:sz="0" w:space="0" w:color="auto"/>
                        <w:right w:val="none" w:sz="0" w:space="0" w:color="auto"/>
                      </w:divBdr>
                    </w:div>
                  </w:divsChild>
                </w:div>
                <w:div w:id="1826169173">
                  <w:marLeft w:val="0"/>
                  <w:marRight w:val="0"/>
                  <w:marTop w:val="0"/>
                  <w:marBottom w:val="0"/>
                  <w:divBdr>
                    <w:top w:val="none" w:sz="0" w:space="0" w:color="auto"/>
                    <w:left w:val="none" w:sz="0" w:space="0" w:color="auto"/>
                    <w:bottom w:val="none" w:sz="0" w:space="0" w:color="auto"/>
                    <w:right w:val="none" w:sz="0" w:space="0" w:color="auto"/>
                  </w:divBdr>
                  <w:divsChild>
                    <w:div w:id="1769080208">
                      <w:marLeft w:val="0"/>
                      <w:marRight w:val="0"/>
                      <w:marTop w:val="0"/>
                      <w:marBottom w:val="0"/>
                      <w:divBdr>
                        <w:top w:val="none" w:sz="0" w:space="0" w:color="auto"/>
                        <w:left w:val="none" w:sz="0" w:space="0" w:color="auto"/>
                        <w:bottom w:val="none" w:sz="0" w:space="0" w:color="auto"/>
                        <w:right w:val="none" w:sz="0" w:space="0" w:color="auto"/>
                      </w:divBdr>
                    </w:div>
                  </w:divsChild>
                </w:div>
                <w:div w:id="1875190038">
                  <w:marLeft w:val="0"/>
                  <w:marRight w:val="0"/>
                  <w:marTop w:val="0"/>
                  <w:marBottom w:val="0"/>
                  <w:divBdr>
                    <w:top w:val="none" w:sz="0" w:space="0" w:color="auto"/>
                    <w:left w:val="none" w:sz="0" w:space="0" w:color="auto"/>
                    <w:bottom w:val="none" w:sz="0" w:space="0" w:color="auto"/>
                    <w:right w:val="none" w:sz="0" w:space="0" w:color="auto"/>
                  </w:divBdr>
                  <w:divsChild>
                    <w:div w:id="648751927">
                      <w:marLeft w:val="0"/>
                      <w:marRight w:val="0"/>
                      <w:marTop w:val="0"/>
                      <w:marBottom w:val="0"/>
                      <w:divBdr>
                        <w:top w:val="none" w:sz="0" w:space="0" w:color="auto"/>
                        <w:left w:val="none" w:sz="0" w:space="0" w:color="auto"/>
                        <w:bottom w:val="none" w:sz="0" w:space="0" w:color="auto"/>
                        <w:right w:val="none" w:sz="0" w:space="0" w:color="auto"/>
                      </w:divBdr>
                    </w:div>
                  </w:divsChild>
                </w:div>
                <w:div w:id="1903827993">
                  <w:marLeft w:val="0"/>
                  <w:marRight w:val="0"/>
                  <w:marTop w:val="0"/>
                  <w:marBottom w:val="0"/>
                  <w:divBdr>
                    <w:top w:val="none" w:sz="0" w:space="0" w:color="auto"/>
                    <w:left w:val="none" w:sz="0" w:space="0" w:color="auto"/>
                    <w:bottom w:val="none" w:sz="0" w:space="0" w:color="auto"/>
                    <w:right w:val="none" w:sz="0" w:space="0" w:color="auto"/>
                  </w:divBdr>
                  <w:divsChild>
                    <w:div w:id="2014530958">
                      <w:marLeft w:val="0"/>
                      <w:marRight w:val="0"/>
                      <w:marTop w:val="0"/>
                      <w:marBottom w:val="0"/>
                      <w:divBdr>
                        <w:top w:val="none" w:sz="0" w:space="0" w:color="auto"/>
                        <w:left w:val="none" w:sz="0" w:space="0" w:color="auto"/>
                        <w:bottom w:val="none" w:sz="0" w:space="0" w:color="auto"/>
                        <w:right w:val="none" w:sz="0" w:space="0" w:color="auto"/>
                      </w:divBdr>
                    </w:div>
                  </w:divsChild>
                </w:div>
                <w:div w:id="1907570077">
                  <w:marLeft w:val="0"/>
                  <w:marRight w:val="0"/>
                  <w:marTop w:val="0"/>
                  <w:marBottom w:val="0"/>
                  <w:divBdr>
                    <w:top w:val="none" w:sz="0" w:space="0" w:color="auto"/>
                    <w:left w:val="none" w:sz="0" w:space="0" w:color="auto"/>
                    <w:bottom w:val="none" w:sz="0" w:space="0" w:color="auto"/>
                    <w:right w:val="none" w:sz="0" w:space="0" w:color="auto"/>
                  </w:divBdr>
                  <w:divsChild>
                    <w:div w:id="574172970">
                      <w:marLeft w:val="0"/>
                      <w:marRight w:val="0"/>
                      <w:marTop w:val="0"/>
                      <w:marBottom w:val="0"/>
                      <w:divBdr>
                        <w:top w:val="none" w:sz="0" w:space="0" w:color="auto"/>
                        <w:left w:val="none" w:sz="0" w:space="0" w:color="auto"/>
                        <w:bottom w:val="none" w:sz="0" w:space="0" w:color="auto"/>
                        <w:right w:val="none" w:sz="0" w:space="0" w:color="auto"/>
                      </w:divBdr>
                    </w:div>
                  </w:divsChild>
                </w:div>
                <w:div w:id="1936474664">
                  <w:marLeft w:val="0"/>
                  <w:marRight w:val="0"/>
                  <w:marTop w:val="0"/>
                  <w:marBottom w:val="0"/>
                  <w:divBdr>
                    <w:top w:val="none" w:sz="0" w:space="0" w:color="auto"/>
                    <w:left w:val="none" w:sz="0" w:space="0" w:color="auto"/>
                    <w:bottom w:val="none" w:sz="0" w:space="0" w:color="auto"/>
                    <w:right w:val="none" w:sz="0" w:space="0" w:color="auto"/>
                  </w:divBdr>
                  <w:divsChild>
                    <w:div w:id="1388071957">
                      <w:marLeft w:val="0"/>
                      <w:marRight w:val="0"/>
                      <w:marTop w:val="0"/>
                      <w:marBottom w:val="0"/>
                      <w:divBdr>
                        <w:top w:val="none" w:sz="0" w:space="0" w:color="auto"/>
                        <w:left w:val="none" w:sz="0" w:space="0" w:color="auto"/>
                        <w:bottom w:val="none" w:sz="0" w:space="0" w:color="auto"/>
                        <w:right w:val="none" w:sz="0" w:space="0" w:color="auto"/>
                      </w:divBdr>
                    </w:div>
                  </w:divsChild>
                </w:div>
                <w:div w:id="2024820159">
                  <w:marLeft w:val="0"/>
                  <w:marRight w:val="0"/>
                  <w:marTop w:val="0"/>
                  <w:marBottom w:val="0"/>
                  <w:divBdr>
                    <w:top w:val="none" w:sz="0" w:space="0" w:color="auto"/>
                    <w:left w:val="none" w:sz="0" w:space="0" w:color="auto"/>
                    <w:bottom w:val="none" w:sz="0" w:space="0" w:color="auto"/>
                    <w:right w:val="none" w:sz="0" w:space="0" w:color="auto"/>
                  </w:divBdr>
                  <w:divsChild>
                    <w:div w:id="1628390418">
                      <w:marLeft w:val="0"/>
                      <w:marRight w:val="0"/>
                      <w:marTop w:val="0"/>
                      <w:marBottom w:val="0"/>
                      <w:divBdr>
                        <w:top w:val="none" w:sz="0" w:space="0" w:color="auto"/>
                        <w:left w:val="none" w:sz="0" w:space="0" w:color="auto"/>
                        <w:bottom w:val="none" w:sz="0" w:space="0" w:color="auto"/>
                        <w:right w:val="none" w:sz="0" w:space="0" w:color="auto"/>
                      </w:divBdr>
                    </w:div>
                  </w:divsChild>
                </w:div>
                <w:div w:id="2098944816">
                  <w:marLeft w:val="0"/>
                  <w:marRight w:val="0"/>
                  <w:marTop w:val="0"/>
                  <w:marBottom w:val="0"/>
                  <w:divBdr>
                    <w:top w:val="none" w:sz="0" w:space="0" w:color="auto"/>
                    <w:left w:val="none" w:sz="0" w:space="0" w:color="auto"/>
                    <w:bottom w:val="none" w:sz="0" w:space="0" w:color="auto"/>
                    <w:right w:val="none" w:sz="0" w:space="0" w:color="auto"/>
                  </w:divBdr>
                  <w:divsChild>
                    <w:div w:id="265311024">
                      <w:marLeft w:val="0"/>
                      <w:marRight w:val="0"/>
                      <w:marTop w:val="0"/>
                      <w:marBottom w:val="0"/>
                      <w:divBdr>
                        <w:top w:val="none" w:sz="0" w:space="0" w:color="auto"/>
                        <w:left w:val="none" w:sz="0" w:space="0" w:color="auto"/>
                        <w:bottom w:val="none" w:sz="0" w:space="0" w:color="auto"/>
                        <w:right w:val="none" w:sz="0" w:space="0" w:color="auto"/>
                      </w:divBdr>
                    </w:div>
                  </w:divsChild>
                </w:div>
                <w:div w:id="2122336334">
                  <w:marLeft w:val="0"/>
                  <w:marRight w:val="0"/>
                  <w:marTop w:val="0"/>
                  <w:marBottom w:val="0"/>
                  <w:divBdr>
                    <w:top w:val="none" w:sz="0" w:space="0" w:color="auto"/>
                    <w:left w:val="none" w:sz="0" w:space="0" w:color="auto"/>
                    <w:bottom w:val="none" w:sz="0" w:space="0" w:color="auto"/>
                    <w:right w:val="none" w:sz="0" w:space="0" w:color="auto"/>
                  </w:divBdr>
                  <w:divsChild>
                    <w:div w:id="584998475">
                      <w:marLeft w:val="0"/>
                      <w:marRight w:val="0"/>
                      <w:marTop w:val="0"/>
                      <w:marBottom w:val="0"/>
                      <w:divBdr>
                        <w:top w:val="none" w:sz="0" w:space="0" w:color="auto"/>
                        <w:left w:val="none" w:sz="0" w:space="0" w:color="auto"/>
                        <w:bottom w:val="none" w:sz="0" w:space="0" w:color="auto"/>
                        <w:right w:val="none" w:sz="0" w:space="0" w:color="auto"/>
                      </w:divBdr>
                    </w:div>
                  </w:divsChild>
                </w:div>
                <w:div w:id="2136636994">
                  <w:marLeft w:val="0"/>
                  <w:marRight w:val="0"/>
                  <w:marTop w:val="0"/>
                  <w:marBottom w:val="0"/>
                  <w:divBdr>
                    <w:top w:val="none" w:sz="0" w:space="0" w:color="auto"/>
                    <w:left w:val="none" w:sz="0" w:space="0" w:color="auto"/>
                    <w:bottom w:val="none" w:sz="0" w:space="0" w:color="auto"/>
                    <w:right w:val="none" w:sz="0" w:space="0" w:color="auto"/>
                  </w:divBdr>
                  <w:divsChild>
                    <w:div w:id="1222712996">
                      <w:marLeft w:val="0"/>
                      <w:marRight w:val="0"/>
                      <w:marTop w:val="0"/>
                      <w:marBottom w:val="0"/>
                      <w:divBdr>
                        <w:top w:val="none" w:sz="0" w:space="0" w:color="auto"/>
                        <w:left w:val="none" w:sz="0" w:space="0" w:color="auto"/>
                        <w:bottom w:val="none" w:sz="0" w:space="0" w:color="auto"/>
                        <w:right w:val="none" w:sz="0" w:space="0" w:color="auto"/>
                      </w:divBdr>
                    </w:div>
                  </w:divsChild>
                </w:div>
                <w:div w:id="2140150086">
                  <w:marLeft w:val="0"/>
                  <w:marRight w:val="0"/>
                  <w:marTop w:val="0"/>
                  <w:marBottom w:val="0"/>
                  <w:divBdr>
                    <w:top w:val="none" w:sz="0" w:space="0" w:color="auto"/>
                    <w:left w:val="none" w:sz="0" w:space="0" w:color="auto"/>
                    <w:bottom w:val="none" w:sz="0" w:space="0" w:color="auto"/>
                    <w:right w:val="none" w:sz="0" w:space="0" w:color="auto"/>
                  </w:divBdr>
                  <w:divsChild>
                    <w:div w:id="14211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6810">
          <w:marLeft w:val="0"/>
          <w:marRight w:val="0"/>
          <w:marTop w:val="0"/>
          <w:marBottom w:val="0"/>
          <w:divBdr>
            <w:top w:val="none" w:sz="0" w:space="0" w:color="auto"/>
            <w:left w:val="none" w:sz="0" w:space="0" w:color="auto"/>
            <w:bottom w:val="none" w:sz="0" w:space="0" w:color="auto"/>
            <w:right w:val="none" w:sz="0" w:space="0" w:color="auto"/>
          </w:divBdr>
          <w:divsChild>
            <w:div w:id="189151544">
              <w:marLeft w:val="0"/>
              <w:marRight w:val="0"/>
              <w:marTop w:val="0"/>
              <w:marBottom w:val="0"/>
              <w:divBdr>
                <w:top w:val="none" w:sz="0" w:space="0" w:color="auto"/>
                <w:left w:val="none" w:sz="0" w:space="0" w:color="auto"/>
                <w:bottom w:val="none" w:sz="0" w:space="0" w:color="auto"/>
                <w:right w:val="none" w:sz="0" w:space="0" w:color="auto"/>
              </w:divBdr>
            </w:div>
            <w:div w:id="523640177">
              <w:marLeft w:val="0"/>
              <w:marRight w:val="0"/>
              <w:marTop w:val="0"/>
              <w:marBottom w:val="0"/>
              <w:divBdr>
                <w:top w:val="none" w:sz="0" w:space="0" w:color="auto"/>
                <w:left w:val="none" w:sz="0" w:space="0" w:color="auto"/>
                <w:bottom w:val="none" w:sz="0" w:space="0" w:color="auto"/>
                <w:right w:val="none" w:sz="0" w:space="0" w:color="auto"/>
              </w:divBdr>
            </w:div>
            <w:div w:id="569383732">
              <w:marLeft w:val="0"/>
              <w:marRight w:val="0"/>
              <w:marTop w:val="0"/>
              <w:marBottom w:val="0"/>
              <w:divBdr>
                <w:top w:val="none" w:sz="0" w:space="0" w:color="auto"/>
                <w:left w:val="none" w:sz="0" w:space="0" w:color="auto"/>
                <w:bottom w:val="none" w:sz="0" w:space="0" w:color="auto"/>
                <w:right w:val="none" w:sz="0" w:space="0" w:color="auto"/>
              </w:divBdr>
            </w:div>
            <w:div w:id="580874896">
              <w:marLeft w:val="0"/>
              <w:marRight w:val="0"/>
              <w:marTop w:val="0"/>
              <w:marBottom w:val="0"/>
              <w:divBdr>
                <w:top w:val="none" w:sz="0" w:space="0" w:color="auto"/>
                <w:left w:val="none" w:sz="0" w:space="0" w:color="auto"/>
                <w:bottom w:val="none" w:sz="0" w:space="0" w:color="auto"/>
                <w:right w:val="none" w:sz="0" w:space="0" w:color="auto"/>
              </w:divBdr>
            </w:div>
            <w:div w:id="906381853">
              <w:marLeft w:val="0"/>
              <w:marRight w:val="0"/>
              <w:marTop w:val="0"/>
              <w:marBottom w:val="0"/>
              <w:divBdr>
                <w:top w:val="none" w:sz="0" w:space="0" w:color="auto"/>
                <w:left w:val="none" w:sz="0" w:space="0" w:color="auto"/>
                <w:bottom w:val="none" w:sz="0" w:space="0" w:color="auto"/>
                <w:right w:val="none" w:sz="0" w:space="0" w:color="auto"/>
              </w:divBdr>
            </w:div>
            <w:div w:id="912353293">
              <w:marLeft w:val="0"/>
              <w:marRight w:val="0"/>
              <w:marTop w:val="0"/>
              <w:marBottom w:val="0"/>
              <w:divBdr>
                <w:top w:val="none" w:sz="0" w:space="0" w:color="auto"/>
                <w:left w:val="none" w:sz="0" w:space="0" w:color="auto"/>
                <w:bottom w:val="none" w:sz="0" w:space="0" w:color="auto"/>
                <w:right w:val="none" w:sz="0" w:space="0" w:color="auto"/>
              </w:divBdr>
            </w:div>
            <w:div w:id="1399085133">
              <w:marLeft w:val="0"/>
              <w:marRight w:val="0"/>
              <w:marTop w:val="0"/>
              <w:marBottom w:val="0"/>
              <w:divBdr>
                <w:top w:val="none" w:sz="0" w:space="0" w:color="auto"/>
                <w:left w:val="none" w:sz="0" w:space="0" w:color="auto"/>
                <w:bottom w:val="none" w:sz="0" w:space="0" w:color="auto"/>
                <w:right w:val="none" w:sz="0" w:space="0" w:color="auto"/>
              </w:divBdr>
            </w:div>
            <w:div w:id="1771775294">
              <w:marLeft w:val="0"/>
              <w:marRight w:val="0"/>
              <w:marTop w:val="0"/>
              <w:marBottom w:val="0"/>
              <w:divBdr>
                <w:top w:val="none" w:sz="0" w:space="0" w:color="auto"/>
                <w:left w:val="none" w:sz="0" w:space="0" w:color="auto"/>
                <w:bottom w:val="none" w:sz="0" w:space="0" w:color="auto"/>
                <w:right w:val="none" w:sz="0" w:space="0" w:color="auto"/>
              </w:divBdr>
            </w:div>
            <w:div w:id="1801651693">
              <w:marLeft w:val="0"/>
              <w:marRight w:val="0"/>
              <w:marTop w:val="0"/>
              <w:marBottom w:val="0"/>
              <w:divBdr>
                <w:top w:val="none" w:sz="0" w:space="0" w:color="auto"/>
                <w:left w:val="none" w:sz="0" w:space="0" w:color="auto"/>
                <w:bottom w:val="none" w:sz="0" w:space="0" w:color="auto"/>
                <w:right w:val="none" w:sz="0" w:space="0" w:color="auto"/>
              </w:divBdr>
            </w:div>
            <w:div w:id="1884709357">
              <w:marLeft w:val="0"/>
              <w:marRight w:val="0"/>
              <w:marTop w:val="0"/>
              <w:marBottom w:val="0"/>
              <w:divBdr>
                <w:top w:val="none" w:sz="0" w:space="0" w:color="auto"/>
                <w:left w:val="none" w:sz="0" w:space="0" w:color="auto"/>
                <w:bottom w:val="none" w:sz="0" w:space="0" w:color="auto"/>
                <w:right w:val="none" w:sz="0" w:space="0" w:color="auto"/>
              </w:divBdr>
            </w:div>
          </w:divsChild>
        </w:div>
        <w:div w:id="1750032708">
          <w:marLeft w:val="0"/>
          <w:marRight w:val="0"/>
          <w:marTop w:val="0"/>
          <w:marBottom w:val="0"/>
          <w:divBdr>
            <w:top w:val="none" w:sz="0" w:space="0" w:color="auto"/>
            <w:left w:val="none" w:sz="0" w:space="0" w:color="auto"/>
            <w:bottom w:val="none" w:sz="0" w:space="0" w:color="auto"/>
            <w:right w:val="none" w:sz="0" w:space="0" w:color="auto"/>
          </w:divBdr>
        </w:div>
        <w:div w:id="1765343379">
          <w:marLeft w:val="0"/>
          <w:marRight w:val="0"/>
          <w:marTop w:val="0"/>
          <w:marBottom w:val="0"/>
          <w:divBdr>
            <w:top w:val="none" w:sz="0" w:space="0" w:color="auto"/>
            <w:left w:val="none" w:sz="0" w:space="0" w:color="auto"/>
            <w:bottom w:val="none" w:sz="0" w:space="0" w:color="auto"/>
            <w:right w:val="none" w:sz="0" w:space="0" w:color="auto"/>
          </w:divBdr>
        </w:div>
        <w:div w:id="1911768661">
          <w:marLeft w:val="0"/>
          <w:marRight w:val="0"/>
          <w:marTop w:val="0"/>
          <w:marBottom w:val="0"/>
          <w:divBdr>
            <w:top w:val="none" w:sz="0" w:space="0" w:color="auto"/>
            <w:left w:val="none" w:sz="0" w:space="0" w:color="auto"/>
            <w:bottom w:val="none" w:sz="0" w:space="0" w:color="auto"/>
            <w:right w:val="none" w:sz="0" w:space="0" w:color="auto"/>
          </w:divBdr>
        </w:div>
        <w:div w:id="1971012364">
          <w:marLeft w:val="0"/>
          <w:marRight w:val="0"/>
          <w:marTop w:val="0"/>
          <w:marBottom w:val="0"/>
          <w:divBdr>
            <w:top w:val="none" w:sz="0" w:space="0" w:color="auto"/>
            <w:left w:val="none" w:sz="0" w:space="0" w:color="auto"/>
            <w:bottom w:val="none" w:sz="0" w:space="0" w:color="auto"/>
            <w:right w:val="none" w:sz="0" w:space="0" w:color="auto"/>
          </w:divBdr>
        </w:div>
        <w:div w:id="2092040456">
          <w:marLeft w:val="0"/>
          <w:marRight w:val="0"/>
          <w:marTop w:val="0"/>
          <w:marBottom w:val="0"/>
          <w:divBdr>
            <w:top w:val="none" w:sz="0" w:space="0" w:color="auto"/>
            <w:left w:val="none" w:sz="0" w:space="0" w:color="auto"/>
            <w:bottom w:val="none" w:sz="0" w:space="0" w:color="auto"/>
            <w:right w:val="none" w:sz="0" w:space="0" w:color="auto"/>
          </w:divBdr>
        </w:div>
      </w:divsChild>
    </w:div>
    <w:div w:id="495615126">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22937932">
      <w:bodyDiv w:val="1"/>
      <w:marLeft w:val="0"/>
      <w:marRight w:val="0"/>
      <w:marTop w:val="0"/>
      <w:marBottom w:val="0"/>
      <w:divBdr>
        <w:top w:val="none" w:sz="0" w:space="0" w:color="auto"/>
        <w:left w:val="none" w:sz="0" w:space="0" w:color="auto"/>
        <w:bottom w:val="none" w:sz="0" w:space="0" w:color="auto"/>
        <w:right w:val="none" w:sz="0" w:space="0" w:color="auto"/>
      </w:divBdr>
    </w:div>
    <w:div w:id="530144579">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0234948">
      <w:bodyDiv w:val="1"/>
      <w:marLeft w:val="0"/>
      <w:marRight w:val="0"/>
      <w:marTop w:val="0"/>
      <w:marBottom w:val="0"/>
      <w:divBdr>
        <w:top w:val="none" w:sz="0" w:space="0" w:color="auto"/>
        <w:left w:val="none" w:sz="0" w:space="0" w:color="auto"/>
        <w:bottom w:val="none" w:sz="0" w:space="0" w:color="auto"/>
        <w:right w:val="none" w:sz="0" w:space="0" w:color="auto"/>
      </w:divBdr>
    </w:div>
    <w:div w:id="605887813">
      <w:bodyDiv w:val="1"/>
      <w:marLeft w:val="0"/>
      <w:marRight w:val="0"/>
      <w:marTop w:val="0"/>
      <w:marBottom w:val="0"/>
      <w:divBdr>
        <w:top w:val="none" w:sz="0" w:space="0" w:color="auto"/>
        <w:left w:val="none" w:sz="0" w:space="0" w:color="auto"/>
        <w:bottom w:val="none" w:sz="0" w:space="0" w:color="auto"/>
        <w:right w:val="none" w:sz="0" w:space="0" w:color="auto"/>
      </w:divBdr>
    </w:div>
    <w:div w:id="613875735">
      <w:bodyDiv w:val="1"/>
      <w:marLeft w:val="0"/>
      <w:marRight w:val="0"/>
      <w:marTop w:val="0"/>
      <w:marBottom w:val="0"/>
      <w:divBdr>
        <w:top w:val="none" w:sz="0" w:space="0" w:color="auto"/>
        <w:left w:val="none" w:sz="0" w:space="0" w:color="auto"/>
        <w:bottom w:val="none" w:sz="0" w:space="0" w:color="auto"/>
        <w:right w:val="none" w:sz="0" w:space="0" w:color="auto"/>
      </w:divBdr>
    </w:div>
    <w:div w:id="615019366">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6398844">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0140146">
      <w:bodyDiv w:val="1"/>
      <w:marLeft w:val="0"/>
      <w:marRight w:val="0"/>
      <w:marTop w:val="0"/>
      <w:marBottom w:val="0"/>
      <w:divBdr>
        <w:top w:val="none" w:sz="0" w:space="0" w:color="auto"/>
        <w:left w:val="none" w:sz="0" w:space="0" w:color="auto"/>
        <w:bottom w:val="none" w:sz="0" w:space="0" w:color="auto"/>
        <w:right w:val="none" w:sz="0" w:space="0" w:color="auto"/>
      </w:divBdr>
      <w:divsChild>
        <w:div w:id="82991364">
          <w:marLeft w:val="0"/>
          <w:marRight w:val="0"/>
          <w:marTop w:val="0"/>
          <w:marBottom w:val="0"/>
          <w:divBdr>
            <w:top w:val="none" w:sz="0" w:space="0" w:color="auto"/>
            <w:left w:val="none" w:sz="0" w:space="0" w:color="auto"/>
            <w:bottom w:val="none" w:sz="0" w:space="0" w:color="auto"/>
            <w:right w:val="none" w:sz="0" w:space="0" w:color="auto"/>
          </w:divBdr>
        </w:div>
        <w:div w:id="255868279">
          <w:marLeft w:val="0"/>
          <w:marRight w:val="0"/>
          <w:marTop w:val="0"/>
          <w:marBottom w:val="0"/>
          <w:divBdr>
            <w:top w:val="none" w:sz="0" w:space="0" w:color="auto"/>
            <w:left w:val="none" w:sz="0" w:space="0" w:color="auto"/>
            <w:bottom w:val="none" w:sz="0" w:space="0" w:color="auto"/>
            <w:right w:val="none" w:sz="0" w:space="0" w:color="auto"/>
          </w:divBdr>
        </w:div>
        <w:div w:id="274142406">
          <w:marLeft w:val="0"/>
          <w:marRight w:val="0"/>
          <w:marTop w:val="0"/>
          <w:marBottom w:val="0"/>
          <w:divBdr>
            <w:top w:val="none" w:sz="0" w:space="0" w:color="auto"/>
            <w:left w:val="none" w:sz="0" w:space="0" w:color="auto"/>
            <w:bottom w:val="none" w:sz="0" w:space="0" w:color="auto"/>
            <w:right w:val="none" w:sz="0" w:space="0" w:color="auto"/>
          </w:divBdr>
        </w:div>
        <w:div w:id="404650679">
          <w:marLeft w:val="0"/>
          <w:marRight w:val="0"/>
          <w:marTop w:val="0"/>
          <w:marBottom w:val="0"/>
          <w:divBdr>
            <w:top w:val="none" w:sz="0" w:space="0" w:color="auto"/>
            <w:left w:val="none" w:sz="0" w:space="0" w:color="auto"/>
            <w:bottom w:val="none" w:sz="0" w:space="0" w:color="auto"/>
            <w:right w:val="none" w:sz="0" w:space="0" w:color="auto"/>
          </w:divBdr>
        </w:div>
        <w:div w:id="429399964">
          <w:marLeft w:val="0"/>
          <w:marRight w:val="0"/>
          <w:marTop w:val="0"/>
          <w:marBottom w:val="0"/>
          <w:divBdr>
            <w:top w:val="none" w:sz="0" w:space="0" w:color="auto"/>
            <w:left w:val="none" w:sz="0" w:space="0" w:color="auto"/>
            <w:bottom w:val="none" w:sz="0" w:space="0" w:color="auto"/>
            <w:right w:val="none" w:sz="0" w:space="0" w:color="auto"/>
          </w:divBdr>
        </w:div>
        <w:div w:id="438717145">
          <w:marLeft w:val="0"/>
          <w:marRight w:val="0"/>
          <w:marTop w:val="0"/>
          <w:marBottom w:val="0"/>
          <w:divBdr>
            <w:top w:val="none" w:sz="0" w:space="0" w:color="auto"/>
            <w:left w:val="none" w:sz="0" w:space="0" w:color="auto"/>
            <w:bottom w:val="none" w:sz="0" w:space="0" w:color="auto"/>
            <w:right w:val="none" w:sz="0" w:space="0" w:color="auto"/>
          </w:divBdr>
        </w:div>
        <w:div w:id="564537027">
          <w:marLeft w:val="0"/>
          <w:marRight w:val="0"/>
          <w:marTop w:val="0"/>
          <w:marBottom w:val="0"/>
          <w:divBdr>
            <w:top w:val="none" w:sz="0" w:space="0" w:color="auto"/>
            <w:left w:val="none" w:sz="0" w:space="0" w:color="auto"/>
            <w:bottom w:val="none" w:sz="0" w:space="0" w:color="auto"/>
            <w:right w:val="none" w:sz="0" w:space="0" w:color="auto"/>
          </w:divBdr>
        </w:div>
        <w:div w:id="583341913">
          <w:marLeft w:val="0"/>
          <w:marRight w:val="0"/>
          <w:marTop w:val="0"/>
          <w:marBottom w:val="0"/>
          <w:divBdr>
            <w:top w:val="none" w:sz="0" w:space="0" w:color="auto"/>
            <w:left w:val="none" w:sz="0" w:space="0" w:color="auto"/>
            <w:bottom w:val="none" w:sz="0" w:space="0" w:color="auto"/>
            <w:right w:val="none" w:sz="0" w:space="0" w:color="auto"/>
          </w:divBdr>
        </w:div>
        <w:div w:id="636766187">
          <w:marLeft w:val="0"/>
          <w:marRight w:val="0"/>
          <w:marTop w:val="0"/>
          <w:marBottom w:val="0"/>
          <w:divBdr>
            <w:top w:val="none" w:sz="0" w:space="0" w:color="auto"/>
            <w:left w:val="none" w:sz="0" w:space="0" w:color="auto"/>
            <w:bottom w:val="none" w:sz="0" w:space="0" w:color="auto"/>
            <w:right w:val="none" w:sz="0" w:space="0" w:color="auto"/>
          </w:divBdr>
          <w:divsChild>
            <w:div w:id="180515082">
              <w:marLeft w:val="-75"/>
              <w:marRight w:val="0"/>
              <w:marTop w:val="30"/>
              <w:marBottom w:val="30"/>
              <w:divBdr>
                <w:top w:val="none" w:sz="0" w:space="0" w:color="auto"/>
                <w:left w:val="none" w:sz="0" w:space="0" w:color="auto"/>
                <w:bottom w:val="none" w:sz="0" w:space="0" w:color="auto"/>
                <w:right w:val="none" w:sz="0" w:space="0" w:color="auto"/>
              </w:divBdr>
              <w:divsChild>
                <w:div w:id="22290603">
                  <w:marLeft w:val="0"/>
                  <w:marRight w:val="0"/>
                  <w:marTop w:val="0"/>
                  <w:marBottom w:val="0"/>
                  <w:divBdr>
                    <w:top w:val="none" w:sz="0" w:space="0" w:color="auto"/>
                    <w:left w:val="none" w:sz="0" w:space="0" w:color="auto"/>
                    <w:bottom w:val="none" w:sz="0" w:space="0" w:color="auto"/>
                    <w:right w:val="none" w:sz="0" w:space="0" w:color="auto"/>
                  </w:divBdr>
                  <w:divsChild>
                    <w:div w:id="1591548953">
                      <w:marLeft w:val="0"/>
                      <w:marRight w:val="0"/>
                      <w:marTop w:val="0"/>
                      <w:marBottom w:val="0"/>
                      <w:divBdr>
                        <w:top w:val="none" w:sz="0" w:space="0" w:color="auto"/>
                        <w:left w:val="none" w:sz="0" w:space="0" w:color="auto"/>
                        <w:bottom w:val="none" w:sz="0" w:space="0" w:color="auto"/>
                        <w:right w:val="none" w:sz="0" w:space="0" w:color="auto"/>
                      </w:divBdr>
                    </w:div>
                  </w:divsChild>
                </w:div>
                <w:div w:id="38944297">
                  <w:marLeft w:val="0"/>
                  <w:marRight w:val="0"/>
                  <w:marTop w:val="0"/>
                  <w:marBottom w:val="0"/>
                  <w:divBdr>
                    <w:top w:val="none" w:sz="0" w:space="0" w:color="auto"/>
                    <w:left w:val="none" w:sz="0" w:space="0" w:color="auto"/>
                    <w:bottom w:val="none" w:sz="0" w:space="0" w:color="auto"/>
                    <w:right w:val="none" w:sz="0" w:space="0" w:color="auto"/>
                  </w:divBdr>
                  <w:divsChild>
                    <w:div w:id="1545217644">
                      <w:marLeft w:val="0"/>
                      <w:marRight w:val="0"/>
                      <w:marTop w:val="0"/>
                      <w:marBottom w:val="0"/>
                      <w:divBdr>
                        <w:top w:val="none" w:sz="0" w:space="0" w:color="auto"/>
                        <w:left w:val="none" w:sz="0" w:space="0" w:color="auto"/>
                        <w:bottom w:val="none" w:sz="0" w:space="0" w:color="auto"/>
                        <w:right w:val="none" w:sz="0" w:space="0" w:color="auto"/>
                      </w:divBdr>
                    </w:div>
                  </w:divsChild>
                </w:div>
                <w:div w:id="191379707">
                  <w:marLeft w:val="0"/>
                  <w:marRight w:val="0"/>
                  <w:marTop w:val="0"/>
                  <w:marBottom w:val="0"/>
                  <w:divBdr>
                    <w:top w:val="none" w:sz="0" w:space="0" w:color="auto"/>
                    <w:left w:val="none" w:sz="0" w:space="0" w:color="auto"/>
                    <w:bottom w:val="none" w:sz="0" w:space="0" w:color="auto"/>
                    <w:right w:val="none" w:sz="0" w:space="0" w:color="auto"/>
                  </w:divBdr>
                  <w:divsChild>
                    <w:div w:id="1894926191">
                      <w:marLeft w:val="0"/>
                      <w:marRight w:val="0"/>
                      <w:marTop w:val="0"/>
                      <w:marBottom w:val="0"/>
                      <w:divBdr>
                        <w:top w:val="none" w:sz="0" w:space="0" w:color="auto"/>
                        <w:left w:val="none" w:sz="0" w:space="0" w:color="auto"/>
                        <w:bottom w:val="none" w:sz="0" w:space="0" w:color="auto"/>
                        <w:right w:val="none" w:sz="0" w:space="0" w:color="auto"/>
                      </w:divBdr>
                    </w:div>
                  </w:divsChild>
                </w:div>
                <w:div w:id="231084305">
                  <w:marLeft w:val="0"/>
                  <w:marRight w:val="0"/>
                  <w:marTop w:val="0"/>
                  <w:marBottom w:val="0"/>
                  <w:divBdr>
                    <w:top w:val="none" w:sz="0" w:space="0" w:color="auto"/>
                    <w:left w:val="none" w:sz="0" w:space="0" w:color="auto"/>
                    <w:bottom w:val="none" w:sz="0" w:space="0" w:color="auto"/>
                    <w:right w:val="none" w:sz="0" w:space="0" w:color="auto"/>
                  </w:divBdr>
                  <w:divsChild>
                    <w:div w:id="1463764160">
                      <w:marLeft w:val="0"/>
                      <w:marRight w:val="0"/>
                      <w:marTop w:val="0"/>
                      <w:marBottom w:val="0"/>
                      <w:divBdr>
                        <w:top w:val="none" w:sz="0" w:space="0" w:color="auto"/>
                        <w:left w:val="none" w:sz="0" w:space="0" w:color="auto"/>
                        <w:bottom w:val="none" w:sz="0" w:space="0" w:color="auto"/>
                        <w:right w:val="none" w:sz="0" w:space="0" w:color="auto"/>
                      </w:divBdr>
                    </w:div>
                  </w:divsChild>
                </w:div>
                <w:div w:id="259411910">
                  <w:marLeft w:val="0"/>
                  <w:marRight w:val="0"/>
                  <w:marTop w:val="0"/>
                  <w:marBottom w:val="0"/>
                  <w:divBdr>
                    <w:top w:val="none" w:sz="0" w:space="0" w:color="auto"/>
                    <w:left w:val="none" w:sz="0" w:space="0" w:color="auto"/>
                    <w:bottom w:val="none" w:sz="0" w:space="0" w:color="auto"/>
                    <w:right w:val="none" w:sz="0" w:space="0" w:color="auto"/>
                  </w:divBdr>
                  <w:divsChild>
                    <w:div w:id="533082749">
                      <w:marLeft w:val="0"/>
                      <w:marRight w:val="0"/>
                      <w:marTop w:val="0"/>
                      <w:marBottom w:val="0"/>
                      <w:divBdr>
                        <w:top w:val="none" w:sz="0" w:space="0" w:color="auto"/>
                        <w:left w:val="none" w:sz="0" w:space="0" w:color="auto"/>
                        <w:bottom w:val="none" w:sz="0" w:space="0" w:color="auto"/>
                        <w:right w:val="none" w:sz="0" w:space="0" w:color="auto"/>
                      </w:divBdr>
                    </w:div>
                  </w:divsChild>
                </w:div>
                <w:div w:id="274338088">
                  <w:marLeft w:val="0"/>
                  <w:marRight w:val="0"/>
                  <w:marTop w:val="0"/>
                  <w:marBottom w:val="0"/>
                  <w:divBdr>
                    <w:top w:val="none" w:sz="0" w:space="0" w:color="auto"/>
                    <w:left w:val="none" w:sz="0" w:space="0" w:color="auto"/>
                    <w:bottom w:val="none" w:sz="0" w:space="0" w:color="auto"/>
                    <w:right w:val="none" w:sz="0" w:space="0" w:color="auto"/>
                  </w:divBdr>
                  <w:divsChild>
                    <w:div w:id="1816870800">
                      <w:marLeft w:val="0"/>
                      <w:marRight w:val="0"/>
                      <w:marTop w:val="0"/>
                      <w:marBottom w:val="0"/>
                      <w:divBdr>
                        <w:top w:val="none" w:sz="0" w:space="0" w:color="auto"/>
                        <w:left w:val="none" w:sz="0" w:space="0" w:color="auto"/>
                        <w:bottom w:val="none" w:sz="0" w:space="0" w:color="auto"/>
                        <w:right w:val="none" w:sz="0" w:space="0" w:color="auto"/>
                      </w:divBdr>
                    </w:div>
                  </w:divsChild>
                </w:div>
                <w:div w:id="382220213">
                  <w:marLeft w:val="0"/>
                  <w:marRight w:val="0"/>
                  <w:marTop w:val="0"/>
                  <w:marBottom w:val="0"/>
                  <w:divBdr>
                    <w:top w:val="none" w:sz="0" w:space="0" w:color="auto"/>
                    <w:left w:val="none" w:sz="0" w:space="0" w:color="auto"/>
                    <w:bottom w:val="none" w:sz="0" w:space="0" w:color="auto"/>
                    <w:right w:val="none" w:sz="0" w:space="0" w:color="auto"/>
                  </w:divBdr>
                  <w:divsChild>
                    <w:div w:id="1269464664">
                      <w:marLeft w:val="0"/>
                      <w:marRight w:val="0"/>
                      <w:marTop w:val="0"/>
                      <w:marBottom w:val="0"/>
                      <w:divBdr>
                        <w:top w:val="none" w:sz="0" w:space="0" w:color="auto"/>
                        <w:left w:val="none" w:sz="0" w:space="0" w:color="auto"/>
                        <w:bottom w:val="none" w:sz="0" w:space="0" w:color="auto"/>
                        <w:right w:val="none" w:sz="0" w:space="0" w:color="auto"/>
                      </w:divBdr>
                    </w:div>
                  </w:divsChild>
                </w:div>
                <w:div w:id="386420414">
                  <w:marLeft w:val="0"/>
                  <w:marRight w:val="0"/>
                  <w:marTop w:val="0"/>
                  <w:marBottom w:val="0"/>
                  <w:divBdr>
                    <w:top w:val="none" w:sz="0" w:space="0" w:color="auto"/>
                    <w:left w:val="none" w:sz="0" w:space="0" w:color="auto"/>
                    <w:bottom w:val="none" w:sz="0" w:space="0" w:color="auto"/>
                    <w:right w:val="none" w:sz="0" w:space="0" w:color="auto"/>
                  </w:divBdr>
                  <w:divsChild>
                    <w:div w:id="955868161">
                      <w:marLeft w:val="0"/>
                      <w:marRight w:val="0"/>
                      <w:marTop w:val="0"/>
                      <w:marBottom w:val="0"/>
                      <w:divBdr>
                        <w:top w:val="none" w:sz="0" w:space="0" w:color="auto"/>
                        <w:left w:val="none" w:sz="0" w:space="0" w:color="auto"/>
                        <w:bottom w:val="none" w:sz="0" w:space="0" w:color="auto"/>
                        <w:right w:val="none" w:sz="0" w:space="0" w:color="auto"/>
                      </w:divBdr>
                    </w:div>
                  </w:divsChild>
                </w:div>
                <w:div w:id="420378154">
                  <w:marLeft w:val="0"/>
                  <w:marRight w:val="0"/>
                  <w:marTop w:val="0"/>
                  <w:marBottom w:val="0"/>
                  <w:divBdr>
                    <w:top w:val="none" w:sz="0" w:space="0" w:color="auto"/>
                    <w:left w:val="none" w:sz="0" w:space="0" w:color="auto"/>
                    <w:bottom w:val="none" w:sz="0" w:space="0" w:color="auto"/>
                    <w:right w:val="none" w:sz="0" w:space="0" w:color="auto"/>
                  </w:divBdr>
                  <w:divsChild>
                    <w:div w:id="472141089">
                      <w:marLeft w:val="0"/>
                      <w:marRight w:val="0"/>
                      <w:marTop w:val="0"/>
                      <w:marBottom w:val="0"/>
                      <w:divBdr>
                        <w:top w:val="none" w:sz="0" w:space="0" w:color="auto"/>
                        <w:left w:val="none" w:sz="0" w:space="0" w:color="auto"/>
                        <w:bottom w:val="none" w:sz="0" w:space="0" w:color="auto"/>
                        <w:right w:val="none" w:sz="0" w:space="0" w:color="auto"/>
                      </w:divBdr>
                    </w:div>
                  </w:divsChild>
                </w:div>
                <w:div w:id="461071125">
                  <w:marLeft w:val="0"/>
                  <w:marRight w:val="0"/>
                  <w:marTop w:val="0"/>
                  <w:marBottom w:val="0"/>
                  <w:divBdr>
                    <w:top w:val="none" w:sz="0" w:space="0" w:color="auto"/>
                    <w:left w:val="none" w:sz="0" w:space="0" w:color="auto"/>
                    <w:bottom w:val="none" w:sz="0" w:space="0" w:color="auto"/>
                    <w:right w:val="none" w:sz="0" w:space="0" w:color="auto"/>
                  </w:divBdr>
                  <w:divsChild>
                    <w:div w:id="2112777594">
                      <w:marLeft w:val="0"/>
                      <w:marRight w:val="0"/>
                      <w:marTop w:val="0"/>
                      <w:marBottom w:val="0"/>
                      <w:divBdr>
                        <w:top w:val="none" w:sz="0" w:space="0" w:color="auto"/>
                        <w:left w:val="none" w:sz="0" w:space="0" w:color="auto"/>
                        <w:bottom w:val="none" w:sz="0" w:space="0" w:color="auto"/>
                        <w:right w:val="none" w:sz="0" w:space="0" w:color="auto"/>
                      </w:divBdr>
                    </w:div>
                  </w:divsChild>
                </w:div>
                <w:div w:id="505704532">
                  <w:marLeft w:val="0"/>
                  <w:marRight w:val="0"/>
                  <w:marTop w:val="0"/>
                  <w:marBottom w:val="0"/>
                  <w:divBdr>
                    <w:top w:val="none" w:sz="0" w:space="0" w:color="auto"/>
                    <w:left w:val="none" w:sz="0" w:space="0" w:color="auto"/>
                    <w:bottom w:val="none" w:sz="0" w:space="0" w:color="auto"/>
                    <w:right w:val="none" w:sz="0" w:space="0" w:color="auto"/>
                  </w:divBdr>
                  <w:divsChild>
                    <w:div w:id="1937134732">
                      <w:marLeft w:val="0"/>
                      <w:marRight w:val="0"/>
                      <w:marTop w:val="0"/>
                      <w:marBottom w:val="0"/>
                      <w:divBdr>
                        <w:top w:val="none" w:sz="0" w:space="0" w:color="auto"/>
                        <w:left w:val="none" w:sz="0" w:space="0" w:color="auto"/>
                        <w:bottom w:val="none" w:sz="0" w:space="0" w:color="auto"/>
                        <w:right w:val="none" w:sz="0" w:space="0" w:color="auto"/>
                      </w:divBdr>
                    </w:div>
                  </w:divsChild>
                </w:div>
                <w:div w:id="509023232">
                  <w:marLeft w:val="0"/>
                  <w:marRight w:val="0"/>
                  <w:marTop w:val="0"/>
                  <w:marBottom w:val="0"/>
                  <w:divBdr>
                    <w:top w:val="none" w:sz="0" w:space="0" w:color="auto"/>
                    <w:left w:val="none" w:sz="0" w:space="0" w:color="auto"/>
                    <w:bottom w:val="none" w:sz="0" w:space="0" w:color="auto"/>
                    <w:right w:val="none" w:sz="0" w:space="0" w:color="auto"/>
                  </w:divBdr>
                  <w:divsChild>
                    <w:div w:id="1425029365">
                      <w:marLeft w:val="0"/>
                      <w:marRight w:val="0"/>
                      <w:marTop w:val="0"/>
                      <w:marBottom w:val="0"/>
                      <w:divBdr>
                        <w:top w:val="none" w:sz="0" w:space="0" w:color="auto"/>
                        <w:left w:val="none" w:sz="0" w:space="0" w:color="auto"/>
                        <w:bottom w:val="none" w:sz="0" w:space="0" w:color="auto"/>
                        <w:right w:val="none" w:sz="0" w:space="0" w:color="auto"/>
                      </w:divBdr>
                    </w:div>
                  </w:divsChild>
                </w:div>
                <w:div w:id="528489533">
                  <w:marLeft w:val="0"/>
                  <w:marRight w:val="0"/>
                  <w:marTop w:val="0"/>
                  <w:marBottom w:val="0"/>
                  <w:divBdr>
                    <w:top w:val="none" w:sz="0" w:space="0" w:color="auto"/>
                    <w:left w:val="none" w:sz="0" w:space="0" w:color="auto"/>
                    <w:bottom w:val="none" w:sz="0" w:space="0" w:color="auto"/>
                    <w:right w:val="none" w:sz="0" w:space="0" w:color="auto"/>
                  </w:divBdr>
                  <w:divsChild>
                    <w:div w:id="1253471498">
                      <w:marLeft w:val="0"/>
                      <w:marRight w:val="0"/>
                      <w:marTop w:val="0"/>
                      <w:marBottom w:val="0"/>
                      <w:divBdr>
                        <w:top w:val="none" w:sz="0" w:space="0" w:color="auto"/>
                        <w:left w:val="none" w:sz="0" w:space="0" w:color="auto"/>
                        <w:bottom w:val="none" w:sz="0" w:space="0" w:color="auto"/>
                        <w:right w:val="none" w:sz="0" w:space="0" w:color="auto"/>
                      </w:divBdr>
                    </w:div>
                  </w:divsChild>
                </w:div>
                <w:div w:id="536890006">
                  <w:marLeft w:val="0"/>
                  <w:marRight w:val="0"/>
                  <w:marTop w:val="0"/>
                  <w:marBottom w:val="0"/>
                  <w:divBdr>
                    <w:top w:val="none" w:sz="0" w:space="0" w:color="auto"/>
                    <w:left w:val="none" w:sz="0" w:space="0" w:color="auto"/>
                    <w:bottom w:val="none" w:sz="0" w:space="0" w:color="auto"/>
                    <w:right w:val="none" w:sz="0" w:space="0" w:color="auto"/>
                  </w:divBdr>
                  <w:divsChild>
                    <w:div w:id="361370723">
                      <w:marLeft w:val="0"/>
                      <w:marRight w:val="0"/>
                      <w:marTop w:val="0"/>
                      <w:marBottom w:val="0"/>
                      <w:divBdr>
                        <w:top w:val="none" w:sz="0" w:space="0" w:color="auto"/>
                        <w:left w:val="none" w:sz="0" w:space="0" w:color="auto"/>
                        <w:bottom w:val="none" w:sz="0" w:space="0" w:color="auto"/>
                        <w:right w:val="none" w:sz="0" w:space="0" w:color="auto"/>
                      </w:divBdr>
                    </w:div>
                  </w:divsChild>
                </w:div>
                <w:div w:id="539366029">
                  <w:marLeft w:val="0"/>
                  <w:marRight w:val="0"/>
                  <w:marTop w:val="0"/>
                  <w:marBottom w:val="0"/>
                  <w:divBdr>
                    <w:top w:val="none" w:sz="0" w:space="0" w:color="auto"/>
                    <w:left w:val="none" w:sz="0" w:space="0" w:color="auto"/>
                    <w:bottom w:val="none" w:sz="0" w:space="0" w:color="auto"/>
                    <w:right w:val="none" w:sz="0" w:space="0" w:color="auto"/>
                  </w:divBdr>
                  <w:divsChild>
                    <w:div w:id="1717244026">
                      <w:marLeft w:val="0"/>
                      <w:marRight w:val="0"/>
                      <w:marTop w:val="0"/>
                      <w:marBottom w:val="0"/>
                      <w:divBdr>
                        <w:top w:val="none" w:sz="0" w:space="0" w:color="auto"/>
                        <w:left w:val="none" w:sz="0" w:space="0" w:color="auto"/>
                        <w:bottom w:val="none" w:sz="0" w:space="0" w:color="auto"/>
                        <w:right w:val="none" w:sz="0" w:space="0" w:color="auto"/>
                      </w:divBdr>
                    </w:div>
                  </w:divsChild>
                </w:div>
                <w:div w:id="581572435">
                  <w:marLeft w:val="0"/>
                  <w:marRight w:val="0"/>
                  <w:marTop w:val="0"/>
                  <w:marBottom w:val="0"/>
                  <w:divBdr>
                    <w:top w:val="none" w:sz="0" w:space="0" w:color="auto"/>
                    <w:left w:val="none" w:sz="0" w:space="0" w:color="auto"/>
                    <w:bottom w:val="none" w:sz="0" w:space="0" w:color="auto"/>
                    <w:right w:val="none" w:sz="0" w:space="0" w:color="auto"/>
                  </w:divBdr>
                  <w:divsChild>
                    <w:div w:id="1238054980">
                      <w:marLeft w:val="0"/>
                      <w:marRight w:val="0"/>
                      <w:marTop w:val="0"/>
                      <w:marBottom w:val="0"/>
                      <w:divBdr>
                        <w:top w:val="none" w:sz="0" w:space="0" w:color="auto"/>
                        <w:left w:val="none" w:sz="0" w:space="0" w:color="auto"/>
                        <w:bottom w:val="none" w:sz="0" w:space="0" w:color="auto"/>
                        <w:right w:val="none" w:sz="0" w:space="0" w:color="auto"/>
                      </w:divBdr>
                    </w:div>
                  </w:divsChild>
                </w:div>
                <w:div w:id="627055761">
                  <w:marLeft w:val="0"/>
                  <w:marRight w:val="0"/>
                  <w:marTop w:val="0"/>
                  <w:marBottom w:val="0"/>
                  <w:divBdr>
                    <w:top w:val="none" w:sz="0" w:space="0" w:color="auto"/>
                    <w:left w:val="none" w:sz="0" w:space="0" w:color="auto"/>
                    <w:bottom w:val="none" w:sz="0" w:space="0" w:color="auto"/>
                    <w:right w:val="none" w:sz="0" w:space="0" w:color="auto"/>
                  </w:divBdr>
                  <w:divsChild>
                    <w:div w:id="653753540">
                      <w:marLeft w:val="0"/>
                      <w:marRight w:val="0"/>
                      <w:marTop w:val="0"/>
                      <w:marBottom w:val="0"/>
                      <w:divBdr>
                        <w:top w:val="none" w:sz="0" w:space="0" w:color="auto"/>
                        <w:left w:val="none" w:sz="0" w:space="0" w:color="auto"/>
                        <w:bottom w:val="none" w:sz="0" w:space="0" w:color="auto"/>
                        <w:right w:val="none" w:sz="0" w:space="0" w:color="auto"/>
                      </w:divBdr>
                    </w:div>
                  </w:divsChild>
                </w:div>
                <w:div w:id="681012814">
                  <w:marLeft w:val="0"/>
                  <w:marRight w:val="0"/>
                  <w:marTop w:val="0"/>
                  <w:marBottom w:val="0"/>
                  <w:divBdr>
                    <w:top w:val="none" w:sz="0" w:space="0" w:color="auto"/>
                    <w:left w:val="none" w:sz="0" w:space="0" w:color="auto"/>
                    <w:bottom w:val="none" w:sz="0" w:space="0" w:color="auto"/>
                    <w:right w:val="none" w:sz="0" w:space="0" w:color="auto"/>
                  </w:divBdr>
                  <w:divsChild>
                    <w:div w:id="950816784">
                      <w:marLeft w:val="0"/>
                      <w:marRight w:val="0"/>
                      <w:marTop w:val="0"/>
                      <w:marBottom w:val="0"/>
                      <w:divBdr>
                        <w:top w:val="none" w:sz="0" w:space="0" w:color="auto"/>
                        <w:left w:val="none" w:sz="0" w:space="0" w:color="auto"/>
                        <w:bottom w:val="none" w:sz="0" w:space="0" w:color="auto"/>
                        <w:right w:val="none" w:sz="0" w:space="0" w:color="auto"/>
                      </w:divBdr>
                    </w:div>
                  </w:divsChild>
                </w:div>
                <w:div w:id="683483816">
                  <w:marLeft w:val="0"/>
                  <w:marRight w:val="0"/>
                  <w:marTop w:val="0"/>
                  <w:marBottom w:val="0"/>
                  <w:divBdr>
                    <w:top w:val="none" w:sz="0" w:space="0" w:color="auto"/>
                    <w:left w:val="none" w:sz="0" w:space="0" w:color="auto"/>
                    <w:bottom w:val="none" w:sz="0" w:space="0" w:color="auto"/>
                    <w:right w:val="none" w:sz="0" w:space="0" w:color="auto"/>
                  </w:divBdr>
                  <w:divsChild>
                    <w:div w:id="365908275">
                      <w:marLeft w:val="0"/>
                      <w:marRight w:val="0"/>
                      <w:marTop w:val="0"/>
                      <w:marBottom w:val="0"/>
                      <w:divBdr>
                        <w:top w:val="none" w:sz="0" w:space="0" w:color="auto"/>
                        <w:left w:val="none" w:sz="0" w:space="0" w:color="auto"/>
                        <w:bottom w:val="none" w:sz="0" w:space="0" w:color="auto"/>
                        <w:right w:val="none" w:sz="0" w:space="0" w:color="auto"/>
                      </w:divBdr>
                    </w:div>
                  </w:divsChild>
                </w:div>
                <w:div w:id="766465889">
                  <w:marLeft w:val="0"/>
                  <w:marRight w:val="0"/>
                  <w:marTop w:val="0"/>
                  <w:marBottom w:val="0"/>
                  <w:divBdr>
                    <w:top w:val="none" w:sz="0" w:space="0" w:color="auto"/>
                    <w:left w:val="none" w:sz="0" w:space="0" w:color="auto"/>
                    <w:bottom w:val="none" w:sz="0" w:space="0" w:color="auto"/>
                    <w:right w:val="none" w:sz="0" w:space="0" w:color="auto"/>
                  </w:divBdr>
                  <w:divsChild>
                    <w:div w:id="700402798">
                      <w:marLeft w:val="0"/>
                      <w:marRight w:val="0"/>
                      <w:marTop w:val="0"/>
                      <w:marBottom w:val="0"/>
                      <w:divBdr>
                        <w:top w:val="none" w:sz="0" w:space="0" w:color="auto"/>
                        <w:left w:val="none" w:sz="0" w:space="0" w:color="auto"/>
                        <w:bottom w:val="none" w:sz="0" w:space="0" w:color="auto"/>
                        <w:right w:val="none" w:sz="0" w:space="0" w:color="auto"/>
                      </w:divBdr>
                    </w:div>
                  </w:divsChild>
                </w:div>
                <w:div w:id="774787102">
                  <w:marLeft w:val="0"/>
                  <w:marRight w:val="0"/>
                  <w:marTop w:val="0"/>
                  <w:marBottom w:val="0"/>
                  <w:divBdr>
                    <w:top w:val="none" w:sz="0" w:space="0" w:color="auto"/>
                    <w:left w:val="none" w:sz="0" w:space="0" w:color="auto"/>
                    <w:bottom w:val="none" w:sz="0" w:space="0" w:color="auto"/>
                    <w:right w:val="none" w:sz="0" w:space="0" w:color="auto"/>
                  </w:divBdr>
                  <w:divsChild>
                    <w:div w:id="1132594758">
                      <w:marLeft w:val="0"/>
                      <w:marRight w:val="0"/>
                      <w:marTop w:val="0"/>
                      <w:marBottom w:val="0"/>
                      <w:divBdr>
                        <w:top w:val="none" w:sz="0" w:space="0" w:color="auto"/>
                        <w:left w:val="none" w:sz="0" w:space="0" w:color="auto"/>
                        <w:bottom w:val="none" w:sz="0" w:space="0" w:color="auto"/>
                        <w:right w:val="none" w:sz="0" w:space="0" w:color="auto"/>
                      </w:divBdr>
                    </w:div>
                  </w:divsChild>
                </w:div>
                <w:div w:id="887179902">
                  <w:marLeft w:val="0"/>
                  <w:marRight w:val="0"/>
                  <w:marTop w:val="0"/>
                  <w:marBottom w:val="0"/>
                  <w:divBdr>
                    <w:top w:val="none" w:sz="0" w:space="0" w:color="auto"/>
                    <w:left w:val="none" w:sz="0" w:space="0" w:color="auto"/>
                    <w:bottom w:val="none" w:sz="0" w:space="0" w:color="auto"/>
                    <w:right w:val="none" w:sz="0" w:space="0" w:color="auto"/>
                  </w:divBdr>
                  <w:divsChild>
                    <w:div w:id="626861870">
                      <w:marLeft w:val="0"/>
                      <w:marRight w:val="0"/>
                      <w:marTop w:val="0"/>
                      <w:marBottom w:val="0"/>
                      <w:divBdr>
                        <w:top w:val="none" w:sz="0" w:space="0" w:color="auto"/>
                        <w:left w:val="none" w:sz="0" w:space="0" w:color="auto"/>
                        <w:bottom w:val="none" w:sz="0" w:space="0" w:color="auto"/>
                        <w:right w:val="none" w:sz="0" w:space="0" w:color="auto"/>
                      </w:divBdr>
                    </w:div>
                  </w:divsChild>
                </w:div>
                <w:div w:id="1004943761">
                  <w:marLeft w:val="0"/>
                  <w:marRight w:val="0"/>
                  <w:marTop w:val="0"/>
                  <w:marBottom w:val="0"/>
                  <w:divBdr>
                    <w:top w:val="none" w:sz="0" w:space="0" w:color="auto"/>
                    <w:left w:val="none" w:sz="0" w:space="0" w:color="auto"/>
                    <w:bottom w:val="none" w:sz="0" w:space="0" w:color="auto"/>
                    <w:right w:val="none" w:sz="0" w:space="0" w:color="auto"/>
                  </w:divBdr>
                  <w:divsChild>
                    <w:div w:id="2131168255">
                      <w:marLeft w:val="0"/>
                      <w:marRight w:val="0"/>
                      <w:marTop w:val="0"/>
                      <w:marBottom w:val="0"/>
                      <w:divBdr>
                        <w:top w:val="none" w:sz="0" w:space="0" w:color="auto"/>
                        <w:left w:val="none" w:sz="0" w:space="0" w:color="auto"/>
                        <w:bottom w:val="none" w:sz="0" w:space="0" w:color="auto"/>
                        <w:right w:val="none" w:sz="0" w:space="0" w:color="auto"/>
                      </w:divBdr>
                    </w:div>
                  </w:divsChild>
                </w:div>
                <w:div w:id="1012416140">
                  <w:marLeft w:val="0"/>
                  <w:marRight w:val="0"/>
                  <w:marTop w:val="0"/>
                  <w:marBottom w:val="0"/>
                  <w:divBdr>
                    <w:top w:val="none" w:sz="0" w:space="0" w:color="auto"/>
                    <w:left w:val="none" w:sz="0" w:space="0" w:color="auto"/>
                    <w:bottom w:val="none" w:sz="0" w:space="0" w:color="auto"/>
                    <w:right w:val="none" w:sz="0" w:space="0" w:color="auto"/>
                  </w:divBdr>
                  <w:divsChild>
                    <w:div w:id="222763985">
                      <w:marLeft w:val="0"/>
                      <w:marRight w:val="0"/>
                      <w:marTop w:val="0"/>
                      <w:marBottom w:val="0"/>
                      <w:divBdr>
                        <w:top w:val="none" w:sz="0" w:space="0" w:color="auto"/>
                        <w:left w:val="none" w:sz="0" w:space="0" w:color="auto"/>
                        <w:bottom w:val="none" w:sz="0" w:space="0" w:color="auto"/>
                        <w:right w:val="none" w:sz="0" w:space="0" w:color="auto"/>
                      </w:divBdr>
                    </w:div>
                  </w:divsChild>
                </w:div>
                <w:div w:id="1018582505">
                  <w:marLeft w:val="0"/>
                  <w:marRight w:val="0"/>
                  <w:marTop w:val="0"/>
                  <w:marBottom w:val="0"/>
                  <w:divBdr>
                    <w:top w:val="none" w:sz="0" w:space="0" w:color="auto"/>
                    <w:left w:val="none" w:sz="0" w:space="0" w:color="auto"/>
                    <w:bottom w:val="none" w:sz="0" w:space="0" w:color="auto"/>
                    <w:right w:val="none" w:sz="0" w:space="0" w:color="auto"/>
                  </w:divBdr>
                  <w:divsChild>
                    <w:div w:id="342900739">
                      <w:marLeft w:val="0"/>
                      <w:marRight w:val="0"/>
                      <w:marTop w:val="0"/>
                      <w:marBottom w:val="0"/>
                      <w:divBdr>
                        <w:top w:val="none" w:sz="0" w:space="0" w:color="auto"/>
                        <w:left w:val="none" w:sz="0" w:space="0" w:color="auto"/>
                        <w:bottom w:val="none" w:sz="0" w:space="0" w:color="auto"/>
                        <w:right w:val="none" w:sz="0" w:space="0" w:color="auto"/>
                      </w:divBdr>
                    </w:div>
                  </w:divsChild>
                </w:div>
                <w:div w:id="1075979120">
                  <w:marLeft w:val="0"/>
                  <w:marRight w:val="0"/>
                  <w:marTop w:val="0"/>
                  <w:marBottom w:val="0"/>
                  <w:divBdr>
                    <w:top w:val="none" w:sz="0" w:space="0" w:color="auto"/>
                    <w:left w:val="none" w:sz="0" w:space="0" w:color="auto"/>
                    <w:bottom w:val="none" w:sz="0" w:space="0" w:color="auto"/>
                    <w:right w:val="none" w:sz="0" w:space="0" w:color="auto"/>
                  </w:divBdr>
                  <w:divsChild>
                    <w:div w:id="568001614">
                      <w:marLeft w:val="0"/>
                      <w:marRight w:val="0"/>
                      <w:marTop w:val="0"/>
                      <w:marBottom w:val="0"/>
                      <w:divBdr>
                        <w:top w:val="none" w:sz="0" w:space="0" w:color="auto"/>
                        <w:left w:val="none" w:sz="0" w:space="0" w:color="auto"/>
                        <w:bottom w:val="none" w:sz="0" w:space="0" w:color="auto"/>
                        <w:right w:val="none" w:sz="0" w:space="0" w:color="auto"/>
                      </w:divBdr>
                    </w:div>
                  </w:divsChild>
                </w:div>
                <w:div w:id="1085423788">
                  <w:marLeft w:val="0"/>
                  <w:marRight w:val="0"/>
                  <w:marTop w:val="0"/>
                  <w:marBottom w:val="0"/>
                  <w:divBdr>
                    <w:top w:val="none" w:sz="0" w:space="0" w:color="auto"/>
                    <w:left w:val="none" w:sz="0" w:space="0" w:color="auto"/>
                    <w:bottom w:val="none" w:sz="0" w:space="0" w:color="auto"/>
                    <w:right w:val="none" w:sz="0" w:space="0" w:color="auto"/>
                  </w:divBdr>
                  <w:divsChild>
                    <w:div w:id="1435399548">
                      <w:marLeft w:val="0"/>
                      <w:marRight w:val="0"/>
                      <w:marTop w:val="0"/>
                      <w:marBottom w:val="0"/>
                      <w:divBdr>
                        <w:top w:val="none" w:sz="0" w:space="0" w:color="auto"/>
                        <w:left w:val="none" w:sz="0" w:space="0" w:color="auto"/>
                        <w:bottom w:val="none" w:sz="0" w:space="0" w:color="auto"/>
                        <w:right w:val="none" w:sz="0" w:space="0" w:color="auto"/>
                      </w:divBdr>
                    </w:div>
                  </w:divsChild>
                </w:div>
                <w:div w:id="1139615927">
                  <w:marLeft w:val="0"/>
                  <w:marRight w:val="0"/>
                  <w:marTop w:val="0"/>
                  <w:marBottom w:val="0"/>
                  <w:divBdr>
                    <w:top w:val="none" w:sz="0" w:space="0" w:color="auto"/>
                    <w:left w:val="none" w:sz="0" w:space="0" w:color="auto"/>
                    <w:bottom w:val="none" w:sz="0" w:space="0" w:color="auto"/>
                    <w:right w:val="none" w:sz="0" w:space="0" w:color="auto"/>
                  </w:divBdr>
                  <w:divsChild>
                    <w:div w:id="1605963018">
                      <w:marLeft w:val="0"/>
                      <w:marRight w:val="0"/>
                      <w:marTop w:val="0"/>
                      <w:marBottom w:val="0"/>
                      <w:divBdr>
                        <w:top w:val="none" w:sz="0" w:space="0" w:color="auto"/>
                        <w:left w:val="none" w:sz="0" w:space="0" w:color="auto"/>
                        <w:bottom w:val="none" w:sz="0" w:space="0" w:color="auto"/>
                        <w:right w:val="none" w:sz="0" w:space="0" w:color="auto"/>
                      </w:divBdr>
                    </w:div>
                  </w:divsChild>
                </w:div>
                <w:div w:id="1173572741">
                  <w:marLeft w:val="0"/>
                  <w:marRight w:val="0"/>
                  <w:marTop w:val="0"/>
                  <w:marBottom w:val="0"/>
                  <w:divBdr>
                    <w:top w:val="none" w:sz="0" w:space="0" w:color="auto"/>
                    <w:left w:val="none" w:sz="0" w:space="0" w:color="auto"/>
                    <w:bottom w:val="none" w:sz="0" w:space="0" w:color="auto"/>
                    <w:right w:val="none" w:sz="0" w:space="0" w:color="auto"/>
                  </w:divBdr>
                  <w:divsChild>
                    <w:div w:id="1122263976">
                      <w:marLeft w:val="0"/>
                      <w:marRight w:val="0"/>
                      <w:marTop w:val="0"/>
                      <w:marBottom w:val="0"/>
                      <w:divBdr>
                        <w:top w:val="none" w:sz="0" w:space="0" w:color="auto"/>
                        <w:left w:val="none" w:sz="0" w:space="0" w:color="auto"/>
                        <w:bottom w:val="none" w:sz="0" w:space="0" w:color="auto"/>
                        <w:right w:val="none" w:sz="0" w:space="0" w:color="auto"/>
                      </w:divBdr>
                    </w:div>
                  </w:divsChild>
                </w:div>
                <w:div w:id="1226792938">
                  <w:marLeft w:val="0"/>
                  <w:marRight w:val="0"/>
                  <w:marTop w:val="0"/>
                  <w:marBottom w:val="0"/>
                  <w:divBdr>
                    <w:top w:val="none" w:sz="0" w:space="0" w:color="auto"/>
                    <w:left w:val="none" w:sz="0" w:space="0" w:color="auto"/>
                    <w:bottom w:val="none" w:sz="0" w:space="0" w:color="auto"/>
                    <w:right w:val="none" w:sz="0" w:space="0" w:color="auto"/>
                  </w:divBdr>
                  <w:divsChild>
                    <w:div w:id="349839507">
                      <w:marLeft w:val="0"/>
                      <w:marRight w:val="0"/>
                      <w:marTop w:val="0"/>
                      <w:marBottom w:val="0"/>
                      <w:divBdr>
                        <w:top w:val="none" w:sz="0" w:space="0" w:color="auto"/>
                        <w:left w:val="none" w:sz="0" w:space="0" w:color="auto"/>
                        <w:bottom w:val="none" w:sz="0" w:space="0" w:color="auto"/>
                        <w:right w:val="none" w:sz="0" w:space="0" w:color="auto"/>
                      </w:divBdr>
                    </w:div>
                  </w:divsChild>
                </w:div>
                <w:div w:id="1230461156">
                  <w:marLeft w:val="0"/>
                  <w:marRight w:val="0"/>
                  <w:marTop w:val="0"/>
                  <w:marBottom w:val="0"/>
                  <w:divBdr>
                    <w:top w:val="none" w:sz="0" w:space="0" w:color="auto"/>
                    <w:left w:val="none" w:sz="0" w:space="0" w:color="auto"/>
                    <w:bottom w:val="none" w:sz="0" w:space="0" w:color="auto"/>
                    <w:right w:val="none" w:sz="0" w:space="0" w:color="auto"/>
                  </w:divBdr>
                  <w:divsChild>
                    <w:div w:id="418870262">
                      <w:marLeft w:val="0"/>
                      <w:marRight w:val="0"/>
                      <w:marTop w:val="0"/>
                      <w:marBottom w:val="0"/>
                      <w:divBdr>
                        <w:top w:val="none" w:sz="0" w:space="0" w:color="auto"/>
                        <w:left w:val="none" w:sz="0" w:space="0" w:color="auto"/>
                        <w:bottom w:val="none" w:sz="0" w:space="0" w:color="auto"/>
                        <w:right w:val="none" w:sz="0" w:space="0" w:color="auto"/>
                      </w:divBdr>
                    </w:div>
                  </w:divsChild>
                </w:div>
                <w:div w:id="1307203096">
                  <w:marLeft w:val="0"/>
                  <w:marRight w:val="0"/>
                  <w:marTop w:val="0"/>
                  <w:marBottom w:val="0"/>
                  <w:divBdr>
                    <w:top w:val="none" w:sz="0" w:space="0" w:color="auto"/>
                    <w:left w:val="none" w:sz="0" w:space="0" w:color="auto"/>
                    <w:bottom w:val="none" w:sz="0" w:space="0" w:color="auto"/>
                    <w:right w:val="none" w:sz="0" w:space="0" w:color="auto"/>
                  </w:divBdr>
                  <w:divsChild>
                    <w:div w:id="1242836590">
                      <w:marLeft w:val="0"/>
                      <w:marRight w:val="0"/>
                      <w:marTop w:val="0"/>
                      <w:marBottom w:val="0"/>
                      <w:divBdr>
                        <w:top w:val="none" w:sz="0" w:space="0" w:color="auto"/>
                        <w:left w:val="none" w:sz="0" w:space="0" w:color="auto"/>
                        <w:bottom w:val="none" w:sz="0" w:space="0" w:color="auto"/>
                        <w:right w:val="none" w:sz="0" w:space="0" w:color="auto"/>
                      </w:divBdr>
                    </w:div>
                  </w:divsChild>
                </w:div>
                <w:div w:id="1355616945">
                  <w:marLeft w:val="0"/>
                  <w:marRight w:val="0"/>
                  <w:marTop w:val="0"/>
                  <w:marBottom w:val="0"/>
                  <w:divBdr>
                    <w:top w:val="none" w:sz="0" w:space="0" w:color="auto"/>
                    <w:left w:val="none" w:sz="0" w:space="0" w:color="auto"/>
                    <w:bottom w:val="none" w:sz="0" w:space="0" w:color="auto"/>
                    <w:right w:val="none" w:sz="0" w:space="0" w:color="auto"/>
                  </w:divBdr>
                  <w:divsChild>
                    <w:div w:id="1483615961">
                      <w:marLeft w:val="0"/>
                      <w:marRight w:val="0"/>
                      <w:marTop w:val="0"/>
                      <w:marBottom w:val="0"/>
                      <w:divBdr>
                        <w:top w:val="none" w:sz="0" w:space="0" w:color="auto"/>
                        <w:left w:val="none" w:sz="0" w:space="0" w:color="auto"/>
                        <w:bottom w:val="none" w:sz="0" w:space="0" w:color="auto"/>
                        <w:right w:val="none" w:sz="0" w:space="0" w:color="auto"/>
                      </w:divBdr>
                    </w:div>
                  </w:divsChild>
                </w:div>
                <w:div w:id="1509757331">
                  <w:marLeft w:val="0"/>
                  <w:marRight w:val="0"/>
                  <w:marTop w:val="0"/>
                  <w:marBottom w:val="0"/>
                  <w:divBdr>
                    <w:top w:val="none" w:sz="0" w:space="0" w:color="auto"/>
                    <w:left w:val="none" w:sz="0" w:space="0" w:color="auto"/>
                    <w:bottom w:val="none" w:sz="0" w:space="0" w:color="auto"/>
                    <w:right w:val="none" w:sz="0" w:space="0" w:color="auto"/>
                  </w:divBdr>
                  <w:divsChild>
                    <w:div w:id="150680875">
                      <w:marLeft w:val="0"/>
                      <w:marRight w:val="0"/>
                      <w:marTop w:val="0"/>
                      <w:marBottom w:val="0"/>
                      <w:divBdr>
                        <w:top w:val="none" w:sz="0" w:space="0" w:color="auto"/>
                        <w:left w:val="none" w:sz="0" w:space="0" w:color="auto"/>
                        <w:bottom w:val="none" w:sz="0" w:space="0" w:color="auto"/>
                        <w:right w:val="none" w:sz="0" w:space="0" w:color="auto"/>
                      </w:divBdr>
                    </w:div>
                  </w:divsChild>
                </w:div>
                <w:div w:id="1562248826">
                  <w:marLeft w:val="0"/>
                  <w:marRight w:val="0"/>
                  <w:marTop w:val="0"/>
                  <w:marBottom w:val="0"/>
                  <w:divBdr>
                    <w:top w:val="none" w:sz="0" w:space="0" w:color="auto"/>
                    <w:left w:val="none" w:sz="0" w:space="0" w:color="auto"/>
                    <w:bottom w:val="none" w:sz="0" w:space="0" w:color="auto"/>
                    <w:right w:val="none" w:sz="0" w:space="0" w:color="auto"/>
                  </w:divBdr>
                  <w:divsChild>
                    <w:div w:id="1788741021">
                      <w:marLeft w:val="0"/>
                      <w:marRight w:val="0"/>
                      <w:marTop w:val="0"/>
                      <w:marBottom w:val="0"/>
                      <w:divBdr>
                        <w:top w:val="none" w:sz="0" w:space="0" w:color="auto"/>
                        <w:left w:val="none" w:sz="0" w:space="0" w:color="auto"/>
                        <w:bottom w:val="none" w:sz="0" w:space="0" w:color="auto"/>
                        <w:right w:val="none" w:sz="0" w:space="0" w:color="auto"/>
                      </w:divBdr>
                    </w:div>
                  </w:divsChild>
                </w:div>
                <w:div w:id="1589001840">
                  <w:marLeft w:val="0"/>
                  <w:marRight w:val="0"/>
                  <w:marTop w:val="0"/>
                  <w:marBottom w:val="0"/>
                  <w:divBdr>
                    <w:top w:val="none" w:sz="0" w:space="0" w:color="auto"/>
                    <w:left w:val="none" w:sz="0" w:space="0" w:color="auto"/>
                    <w:bottom w:val="none" w:sz="0" w:space="0" w:color="auto"/>
                    <w:right w:val="none" w:sz="0" w:space="0" w:color="auto"/>
                  </w:divBdr>
                  <w:divsChild>
                    <w:div w:id="1797218857">
                      <w:marLeft w:val="0"/>
                      <w:marRight w:val="0"/>
                      <w:marTop w:val="0"/>
                      <w:marBottom w:val="0"/>
                      <w:divBdr>
                        <w:top w:val="none" w:sz="0" w:space="0" w:color="auto"/>
                        <w:left w:val="none" w:sz="0" w:space="0" w:color="auto"/>
                        <w:bottom w:val="none" w:sz="0" w:space="0" w:color="auto"/>
                        <w:right w:val="none" w:sz="0" w:space="0" w:color="auto"/>
                      </w:divBdr>
                    </w:div>
                  </w:divsChild>
                </w:div>
                <w:div w:id="1631399560">
                  <w:marLeft w:val="0"/>
                  <w:marRight w:val="0"/>
                  <w:marTop w:val="0"/>
                  <w:marBottom w:val="0"/>
                  <w:divBdr>
                    <w:top w:val="none" w:sz="0" w:space="0" w:color="auto"/>
                    <w:left w:val="none" w:sz="0" w:space="0" w:color="auto"/>
                    <w:bottom w:val="none" w:sz="0" w:space="0" w:color="auto"/>
                    <w:right w:val="none" w:sz="0" w:space="0" w:color="auto"/>
                  </w:divBdr>
                  <w:divsChild>
                    <w:div w:id="106243908">
                      <w:marLeft w:val="0"/>
                      <w:marRight w:val="0"/>
                      <w:marTop w:val="0"/>
                      <w:marBottom w:val="0"/>
                      <w:divBdr>
                        <w:top w:val="none" w:sz="0" w:space="0" w:color="auto"/>
                        <w:left w:val="none" w:sz="0" w:space="0" w:color="auto"/>
                        <w:bottom w:val="none" w:sz="0" w:space="0" w:color="auto"/>
                        <w:right w:val="none" w:sz="0" w:space="0" w:color="auto"/>
                      </w:divBdr>
                    </w:div>
                  </w:divsChild>
                </w:div>
                <w:div w:id="1633710528">
                  <w:marLeft w:val="0"/>
                  <w:marRight w:val="0"/>
                  <w:marTop w:val="0"/>
                  <w:marBottom w:val="0"/>
                  <w:divBdr>
                    <w:top w:val="none" w:sz="0" w:space="0" w:color="auto"/>
                    <w:left w:val="none" w:sz="0" w:space="0" w:color="auto"/>
                    <w:bottom w:val="none" w:sz="0" w:space="0" w:color="auto"/>
                    <w:right w:val="none" w:sz="0" w:space="0" w:color="auto"/>
                  </w:divBdr>
                  <w:divsChild>
                    <w:div w:id="976179752">
                      <w:marLeft w:val="0"/>
                      <w:marRight w:val="0"/>
                      <w:marTop w:val="0"/>
                      <w:marBottom w:val="0"/>
                      <w:divBdr>
                        <w:top w:val="none" w:sz="0" w:space="0" w:color="auto"/>
                        <w:left w:val="none" w:sz="0" w:space="0" w:color="auto"/>
                        <w:bottom w:val="none" w:sz="0" w:space="0" w:color="auto"/>
                        <w:right w:val="none" w:sz="0" w:space="0" w:color="auto"/>
                      </w:divBdr>
                    </w:div>
                  </w:divsChild>
                </w:div>
                <w:div w:id="1672563800">
                  <w:marLeft w:val="0"/>
                  <w:marRight w:val="0"/>
                  <w:marTop w:val="0"/>
                  <w:marBottom w:val="0"/>
                  <w:divBdr>
                    <w:top w:val="none" w:sz="0" w:space="0" w:color="auto"/>
                    <w:left w:val="none" w:sz="0" w:space="0" w:color="auto"/>
                    <w:bottom w:val="none" w:sz="0" w:space="0" w:color="auto"/>
                    <w:right w:val="none" w:sz="0" w:space="0" w:color="auto"/>
                  </w:divBdr>
                  <w:divsChild>
                    <w:div w:id="1086028487">
                      <w:marLeft w:val="0"/>
                      <w:marRight w:val="0"/>
                      <w:marTop w:val="0"/>
                      <w:marBottom w:val="0"/>
                      <w:divBdr>
                        <w:top w:val="none" w:sz="0" w:space="0" w:color="auto"/>
                        <w:left w:val="none" w:sz="0" w:space="0" w:color="auto"/>
                        <w:bottom w:val="none" w:sz="0" w:space="0" w:color="auto"/>
                        <w:right w:val="none" w:sz="0" w:space="0" w:color="auto"/>
                      </w:divBdr>
                    </w:div>
                  </w:divsChild>
                </w:div>
                <w:div w:id="1752894081">
                  <w:marLeft w:val="0"/>
                  <w:marRight w:val="0"/>
                  <w:marTop w:val="0"/>
                  <w:marBottom w:val="0"/>
                  <w:divBdr>
                    <w:top w:val="none" w:sz="0" w:space="0" w:color="auto"/>
                    <w:left w:val="none" w:sz="0" w:space="0" w:color="auto"/>
                    <w:bottom w:val="none" w:sz="0" w:space="0" w:color="auto"/>
                    <w:right w:val="none" w:sz="0" w:space="0" w:color="auto"/>
                  </w:divBdr>
                  <w:divsChild>
                    <w:div w:id="2064980279">
                      <w:marLeft w:val="0"/>
                      <w:marRight w:val="0"/>
                      <w:marTop w:val="0"/>
                      <w:marBottom w:val="0"/>
                      <w:divBdr>
                        <w:top w:val="none" w:sz="0" w:space="0" w:color="auto"/>
                        <w:left w:val="none" w:sz="0" w:space="0" w:color="auto"/>
                        <w:bottom w:val="none" w:sz="0" w:space="0" w:color="auto"/>
                        <w:right w:val="none" w:sz="0" w:space="0" w:color="auto"/>
                      </w:divBdr>
                    </w:div>
                  </w:divsChild>
                </w:div>
                <w:div w:id="1814176094">
                  <w:marLeft w:val="0"/>
                  <w:marRight w:val="0"/>
                  <w:marTop w:val="0"/>
                  <w:marBottom w:val="0"/>
                  <w:divBdr>
                    <w:top w:val="none" w:sz="0" w:space="0" w:color="auto"/>
                    <w:left w:val="none" w:sz="0" w:space="0" w:color="auto"/>
                    <w:bottom w:val="none" w:sz="0" w:space="0" w:color="auto"/>
                    <w:right w:val="none" w:sz="0" w:space="0" w:color="auto"/>
                  </w:divBdr>
                  <w:divsChild>
                    <w:div w:id="882868216">
                      <w:marLeft w:val="0"/>
                      <w:marRight w:val="0"/>
                      <w:marTop w:val="0"/>
                      <w:marBottom w:val="0"/>
                      <w:divBdr>
                        <w:top w:val="none" w:sz="0" w:space="0" w:color="auto"/>
                        <w:left w:val="none" w:sz="0" w:space="0" w:color="auto"/>
                        <w:bottom w:val="none" w:sz="0" w:space="0" w:color="auto"/>
                        <w:right w:val="none" w:sz="0" w:space="0" w:color="auto"/>
                      </w:divBdr>
                    </w:div>
                  </w:divsChild>
                </w:div>
                <w:div w:id="1837575932">
                  <w:marLeft w:val="0"/>
                  <w:marRight w:val="0"/>
                  <w:marTop w:val="0"/>
                  <w:marBottom w:val="0"/>
                  <w:divBdr>
                    <w:top w:val="none" w:sz="0" w:space="0" w:color="auto"/>
                    <w:left w:val="none" w:sz="0" w:space="0" w:color="auto"/>
                    <w:bottom w:val="none" w:sz="0" w:space="0" w:color="auto"/>
                    <w:right w:val="none" w:sz="0" w:space="0" w:color="auto"/>
                  </w:divBdr>
                  <w:divsChild>
                    <w:div w:id="323096346">
                      <w:marLeft w:val="0"/>
                      <w:marRight w:val="0"/>
                      <w:marTop w:val="0"/>
                      <w:marBottom w:val="0"/>
                      <w:divBdr>
                        <w:top w:val="none" w:sz="0" w:space="0" w:color="auto"/>
                        <w:left w:val="none" w:sz="0" w:space="0" w:color="auto"/>
                        <w:bottom w:val="none" w:sz="0" w:space="0" w:color="auto"/>
                        <w:right w:val="none" w:sz="0" w:space="0" w:color="auto"/>
                      </w:divBdr>
                    </w:div>
                  </w:divsChild>
                </w:div>
                <w:div w:id="2018846084">
                  <w:marLeft w:val="0"/>
                  <w:marRight w:val="0"/>
                  <w:marTop w:val="0"/>
                  <w:marBottom w:val="0"/>
                  <w:divBdr>
                    <w:top w:val="none" w:sz="0" w:space="0" w:color="auto"/>
                    <w:left w:val="none" w:sz="0" w:space="0" w:color="auto"/>
                    <w:bottom w:val="none" w:sz="0" w:space="0" w:color="auto"/>
                    <w:right w:val="none" w:sz="0" w:space="0" w:color="auto"/>
                  </w:divBdr>
                  <w:divsChild>
                    <w:div w:id="218789235">
                      <w:marLeft w:val="0"/>
                      <w:marRight w:val="0"/>
                      <w:marTop w:val="0"/>
                      <w:marBottom w:val="0"/>
                      <w:divBdr>
                        <w:top w:val="none" w:sz="0" w:space="0" w:color="auto"/>
                        <w:left w:val="none" w:sz="0" w:space="0" w:color="auto"/>
                        <w:bottom w:val="none" w:sz="0" w:space="0" w:color="auto"/>
                        <w:right w:val="none" w:sz="0" w:space="0" w:color="auto"/>
                      </w:divBdr>
                    </w:div>
                  </w:divsChild>
                </w:div>
                <w:div w:id="2022125691">
                  <w:marLeft w:val="0"/>
                  <w:marRight w:val="0"/>
                  <w:marTop w:val="0"/>
                  <w:marBottom w:val="0"/>
                  <w:divBdr>
                    <w:top w:val="none" w:sz="0" w:space="0" w:color="auto"/>
                    <w:left w:val="none" w:sz="0" w:space="0" w:color="auto"/>
                    <w:bottom w:val="none" w:sz="0" w:space="0" w:color="auto"/>
                    <w:right w:val="none" w:sz="0" w:space="0" w:color="auto"/>
                  </w:divBdr>
                  <w:divsChild>
                    <w:div w:id="22873502">
                      <w:marLeft w:val="0"/>
                      <w:marRight w:val="0"/>
                      <w:marTop w:val="0"/>
                      <w:marBottom w:val="0"/>
                      <w:divBdr>
                        <w:top w:val="none" w:sz="0" w:space="0" w:color="auto"/>
                        <w:left w:val="none" w:sz="0" w:space="0" w:color="auto"/>
                        <w:bottom w:val="none" w:sz="0" w:space="0" w:color="auto"/>
                        <w:right w:val="none" w:sz="0" w:space="0" w:color="auto"/>
                      </w:divBdr>
                    </w:div>
                  </w:divsChild>
                </w:div>
                <w:div w:id="2058354939">
                  <w:marLeft w:val="0"/>
                  <w:marRight w:val="0"/>
                  <w:marTop w:val="0"/>
                  <w:marBottom w:val="0"/>
                  <w:divBdr>
                    <w:top w:val="none" w:sz="0" w:space="0" w:color="auto"/>
                    <w:left w:val="none" w:sz="0" w:space="0" w:color="auto"/>
                    <w:bottom w:val="none" w:sz="0" w:space="0" w:color="auto"/>
                    <w:right w:val="none" w:sz="0" w:space="0" w:color="auto"/>
                  </w:divBdr>
                  <w:divsChild>
                    <w:div w:id="1401250496">
                      <w:marLeft w:val="0"/>
                      <w:marRight w:val="0"/>
                      <w:marTop w:val="0"/>
                      <w:marBottom w:val="0"/>
                      <w:divBdr>
                        <w:top w:val="none" w:sz="0" w:space="0" w:color="auto"/>
                        <w:left w:val="none" w:sz="0" w:space="0" w:color="auto"/>
                        <w:bottom w:val="none" w:sz="0" w:space="0" w:color="auto"/>
                        <w:right w:val="none" w:sz="0" w:space="0" w:color="auto"/>
                      </w:divBdr>
                    </w:div>
                  </w:divsChild>
                </w:div>
                <w:div w:id="2058704410">
                  <w:marLeft w:val="0"/>
                  <w:marRight w:val="0"/>
                  <w:marTop w:val="0"/>
                  <w:marBottom w:val="0"/>
                  <w:divBdr>
                    <w:top w:val="none" w:sz="0" w:space="0" w:color="auto"/>
                    <w:left w:val="none" w:sz="0" w:space="0" w:color="auto"/>
                    <w:bottom w:val="none" w:sz="0" w:space="0" w:color="auto"/>
                    <w:right w:val="none" w:sz="0" w:space="0" w:color="auto"/>
                  </w:divBdr>
                  <w:divsChild>
                    <w:div w:id="1764060204">
                      <w:marLeft w:val="0"/>
                      <w:marRight w:val="0"/>
                      <w:marTop w:val="0"/>
                      <w:marBottom w:val="0"/>
                      <w:divBdr>
                        <w:top w:val="none" w:sz="0" w:space="0" w:color="auto"/>
                        <w:left w:val="none" w:sz="0" w:space="0" w:color="auto"/>
                        <w:bottom w:val="none" w:sz="0" w:space="0" w:color="auto"/>
                        <w:right w:val="none" w:sz="0" w:space="0" w:color="auto"/>
                      </w:divBdr>
                    </w:div>
                  </w:divsChild>
                </w:div>
                <w:div w:id="2060663561">
                  <w:marLeft w:val="0"/>
                  <w:marRight w:val="0"/>
                  <w:marTop w:val="0"/>
                  <w:marBottom w:val="0"/>
                  <w:divBdr>
                    <w:top w:val="none" w:sz="0" w:space="0" w:color="auto"/>
                    <w:left w:val="none" w:sz="0" w:space="0" w:color="auto"/>
                    <w:bottom w:val="none" w:sz="0" w:space="0" w:color="auto"/>
                    <w:right w:val="none" w:sz="0" w:space="0" w:color="auto"/>
                  </w:divBdr>
                  <w:divsChild>
                    <w:div w:id="1155798688">
                      <w:marLeft w:val="0"/>
                      <w:marRight w:val="0"/>
                      <w:marTop w:val="0"/>
                      <w:marBottom w:val="0"/>
                      <w:divBdr>
                        <w:top w:val="none" w:sz="0" w:space="0" w:color="auto"/>
                        <w:left w:val="none" w:sz="0" w:space="0" w:color="auto"/>
                        <w:bottom w:val="none" w:sz="0" w:space="0" w:color="auto"/>
                        <w:right w:val="none" w:sz="0" w:space="0" w:color="auto"/>
                      </w:divBdr>
                    </w:div>
                  </w:divsChild>
                </w:div>
                <w:div w:id="2064479234">
                  <w:marLeft w:val="0"/>
                  <w:marRight w:val="0"/>
                  <w:marTop w:val="0"/>
                  <w:marBottom w:val="0"/>
                  <w:divBdr>
                    <w:top w:val="none" w:sz="0" w:space="0" w:color="auto"/>
                    <w:left w:val="none" w:sz="0" w:space="0" w:color="auto"/>
                    <w:bottom w:val="none" w:sz="0" w:space="0" w:color="auto"/>
                    <w:right w:val="none" w:sz="0" w:space="0" w:color="auto"/>
                  </w:divBdr>
                  <w:divsChild>
                    <w:div w:id="818883947">
                      <w:marLeft w:val="0"/>
                      <w:marRight w:val="0"/>
                      <w:marTop w:val="0"/>
                      <w:marBottom w:val="0"/>
                      <w:divBdr>
                        <w:top w:val="none" w:sz="0" w:space="0" w:color="auto"/>
                        <w:left w:val="none" w:sz="0" w:space="0" w:color="auto"/>
                        <w:bottom w:val="none" w:sz="0" w:space="0" w:color="auto"/>
                        <w:right w:val="none" w:sz="0" w:space="0" w:color="auto"/>
                      </w:divBdr>
                    </w:div>
                  </w:divsChild>
                </w:div>
                <w:div w:id="2139058799">
                  <w:marLeft w:val="0"/>
                  <w:marRight w:val="0"/>
                  <w:marTop w:val="0"/>
                  <w:marBottom w:val="0"/>
                  <w:divBdr>
                    <w:top w:val="none" w:sz="0" w:space="0" w:color="auto"/>
                    <w:left w:val="none" w:sz="0" w:space="0" w:color="auto"/>
                    <w:bottom w:val="none" w:sz="0" w:space="0" w:color="auto"/>
                    <w:right w:val="none" w:sz="0" w:space="0" w:color="auto"/>
                  </w:divBdr>
                  <w:divsChild>
                    <w:div w:id="14525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8326">
          <w:marLeft w:val="0"/>
          <w:marRight w:val="0"/>
          <w:marTop w:val="0"/>
          <w:marBottom w:val="0"/>
          <w:divBdr>
            <w:top w:val="none" w:sz="0" w:space="0" w:color="auto"/>
            <w:left w:val="none" w:sz="0" w:space="0" w:color="auto"/>
            <w:bottom w:val="none" w:sz="0" w:space="0" w:color="auto"/>
            <w:right w:val="none" w:sz="0" w:space="0" w:color="auto"/>
          </w:divBdr>
        </w:div>
        <w:div w:id="968128118">
          <w:marLeft w:val="0"/>
          <w:marRight w:val="0"/>
          <w:marTop w:val="0"/>
          <w:marBottom w:val="0"/>
          <w:divBdr>
            <w:top w:val="none" w:sz="0" w:space="0" w:color="auto"/>
            <w:left w:val="none" w:sz="0" w:space="0" w:color="auto"/>
            <w:bottom w:val="none" w:sz="0" w:space="0" w:color="auto"/>
            <w:right w:val="none" w:sz="0" w:space="0" w:color="auto"/>
          </w:divBdr>
        </w:div>
        <w:div w:id="1021668497">
          <w:marLeft w:val="0"/>
          <w:marRight w:val="0"/>
          <w:marTop w:val="0"/>
          <w:marBottom w:val="0"/>
          <w:divBdr>
            <w:top w:val="none" w:sz="0" w:space="0" w:color="auto"/>
            <w:left w:val="none" w:sz="0" w:space="0" w:color="auto"/>
            <w:bottom w:val="none" w:sz="0" w:space="0" w:color="auto"/>
            <w:right w:val="none" w:sz="0" w:space="0" w:color="auto"/>
          </w:divBdr>
        </w:div>
        <w:div w:id="1137455293">
          <w:marLeft w:val="0"/>
          <w:marRight w:val="0"/>
          <w:marTop w:val="0"/>
          <w:marBottom w:val="0"/>
          <w:divBdr>
            <w:top w:val="none" w:sz="0" w:space="0" w:color="auto"/>
            <w:left w:val="none" w:sz="0" w:space="0" w:color="auto"/>
            <w:bottom w:val="none" w:sz="0" w:space="0" w:color="auto"/>
            <w:right w:val="none" w:sz="0" w:space="0" w:color="auto"/>
          </w:divBdr>
          <w:divsChild>
            <w:div w:id="831481087">
              <w:marLeft w:val="-75"/>
              <w:marRight w:val="0"/>
              <w:marTop w:val="30"/>
              <w:marBottom w:val="30"/>
              <w:divBdr>
                <w:top w:val="none" w:sz="0" w:space="0" w:color="auto"/>
                <w:left w:val="none" w:sz="0" w:space="0" w:color="auto"/>
                <w:bottom w:val="none" w:sz="0" w:space="0" w:color="auto"/>
                <w:right w:val="none" w:sz="0" w:space="0" w:color="auto"/>
              </w:divBdr>
              <w:divsChild>
                <w:div w:id="4721327">
                  <w:marLeft w:val="0"/>
                  <w:marRight w:val="0"/>
                  <w:marTop w:val="0"/>
                  <w:marBottom w:val="0"/>
                  <w:divBdr>
                    <w:top w:val="none" w:sz="0" w:space="0" w:color="auto"/>
                    <w:left w:val="none" w:sz="0" w:space="0" w:color="auto"/>
                    <w:bottom w:val="none" w:sz="0" w:space="0" w:color="auto"/>
                    <w:right w:val="none" w:sz="0" w:space="0" w:color="auto"/>
                  </w:divBdr>
                  <w:divsChild>
                    <w:div w:id="1994555101">
                      <w:marLeft w:val="0"/>
                      <w:marRight w:val="0"/>
                      <w:marTop w:val="0"/>
                      <w:marBottom w:val="0"/>
                      <w:divBdr>
                        <w:top w:val="none" w:sz="0" w:space="0" w:color="auto"/>
                        <w:left w:val="none" w:sz="0" w:space="0" w:color="auto"/>
                        <w:bottom w:val="none" w:sz="0" w:space="0" w:color="auto"/>
                        <w:right w:val="none" w:sz="0" w:space="0" w:color="auto"/>
                      </w:divBdr>
                    </w:div>
                  </w:divsChild>
                </w:div>
                <w:div w:id="48001778">
                  <w:marLeft w:val="0"/>
                  <w:marRight w:val="0"/>
                  <w:marTop w:val="0"/>
                  <w:marBottom w:val="0"/>
                  <w:divBdr>
                    <w:top w:val="none" w:sz="0" w:space="0" w:color="auto"/>
                    <w:left w:val="none" w:sz="0" w:space="0" w:color="auto"/>
                    <w:bottom w:val="none" w:sz="0" w:space="0" w:color="auto"/>
                    <w:right w:val="none" w:sz="0" w:space="0" w:color="auto"/>
                  </w:divBdr>
                  <w:divsChild>
                    <w:div w:id="459031026">
                      <w:marLeft w:val="0"/>
                      <w:marRight w:val="0"/>
                      <w:marTop w:val="0"/>
                      <w:marBottom w:val="0"/>
                      <w:divBdr>
                        <w:top w:val="none" w:sz="0" w:space="0" w:color="auto"/>
                        <w:left w:val="none" w:sz="0" w:space="0" w:color="auto"/>
                        <w:bottom w:val="none" w:sz="0" w:space="0" w:color="auto"/>
                        <w:right w:val="none" w:sz="0" w:space="0" w:color="auto"/>
                      </w:divBdr>
                    </w:div>
                  </w:divsChild>
                </w:div>
                <w:div w:id="49229784">
                  <w:marLeft w:val="0"/>
                  <w:marRight w:val="0"/>
                  <w:marTop w:val="0"/>
                  <w:marBottom w:val="0"/>
                  <w:divBdr>
                    <w:top w:val="none" w:sz="0" w:space="0" w:color="auto"/>
                    <w:left w:val="none" w:sz="0" w:space="0" w:color="auto"/>
                    <w:bottom w:val="none" w:sz="0" w:space="0" w:color="auto"/>
                    <w:right w:val="none" w:sz="0" w:space="0" w:color="auto"/>
                  </w:divBdr>
                  <w:divsChild>
                    <w:div w:id="1827700398">
                      <w:marLeft w:val="0"/>
                      <w:marRight w:val="0"/>
                      <w:marTop w:val="0"/>
                      <w:marBottom w:val="0"/>
                      <w:divBdr>
                        <w:top w:val="none" w:sz="0" w:space="0" w:color="auto"/>
                        <w:left w:val="none" w:sz="0" w:space="0" w:color="auto"/>
                        <w:bottom w:val="none" w:sz="0" w:space="0" w:color="auto"/>
                        <w:right w:val="none" w:sz="0" w:space="0" w:color="auto"/>
                      </w:divBdr>
                    </w:div>
                  </w:divsChild>
                </w:div>
                <w:div w:id="82074946">
                  <w:marLeft w:val="0"/>
                  <w:marRight w:val="0"/>
                  <w:marTop w:val="0"/>
                  <w:marBottom w:val="0"/>
                  <w:divBdr>
                    <w:top w:val="none" w:sz="0" w:space="0" w:color="auto"/>
                    <w:left w:val="none" w:sz="0" w:space="0" w:color="auto"/>
                    <w:bottom w:val="none" w:sz="0" w:space="0" w:color="auto"/>
                    <w:right w:val="none" w:sz="0" w:space="0" w:color="auto"/>
                  </w:divBdr>
                  <w:divsChild>
                    <w:div w:id="906843539">
                      <w:marLeft w:val="0"/>
                      <w:marRight w:val="0"/>
                      <w:marTop w:val="0"/>
                      <w:marBottom w:val="0"/>
                      <w:divBdr>
                        <w:top w:val="none" w:sz="0" w:space="0" w:color="auto"/>
                        <w:left w:val="none" w:sz="0" w:space="0" w:color="auto"/>
                        <w:bottom w:val="none" w:sz="0" w:space="0" w:color="auto"/>
                        <w:right w:val="none" w:sz="0" w:space="0" w:color="auto"/>
                      </w:divBdr>
                    </w:div>
                  </w:divsChild>
                </w:div>
                <w:div w:id="125007253">
                  <w:marLeft w:val="0"/>
                  <w:marRight w:val="0"/>
                  <w:marTop w:val="0"/>
                  <w:marBottom w:val="0"/>
                  <w:divBdr>
                    <w:top w:val="none" w:sz="0" w:space="0" w:color="auto"/>
                    <w:left w:val="none" w:sz="0" w:space="0" w:color="auto"/>
                    <w:bottom w:val="none" w:sz="0" w:space="0" w:color="auto"/>
                    <w:right w:val="none" w:sz="0" w:space="0" w:color="auto"/>
                  </w:divBdr>
                  <w:divsChild>
                    <w:div w:id="508375130">
                      <w:marLeft w:val="0"/>
                      <w:marRight w:val="0"/>
                      <w:marTop w:val="0"/>
                      <w:marBottom w:val="0"/>
                      <w:divBdr>
                        <w:top w:val="none" w:sz="0" w:space="0" w:color="auto"/>
                        <w:left w:val="none" w:sz="0" w:space="0" w:color="auto"/>
                        <w:bottom w:val="none" w:sz="0" w:space="0" w:color="auto"/>
                        <w:right w:val="none" w:sz="0" w:space="0" w:color="auto"/>
                      </w:divBdr>
                    </w:div>
                  </w:divsChild>
                </w:div>
                <w:div w:id="146289185">
                  <w:marLeft w:val="0"/>
                  <w:marRight w:val="0"/>
                  <w:marTop w:val="0"/>
                  <w:marBottom w:val="0"/>
                  <w:divBdr>
                    <w:top w:val="none" w:sz="0" w:space="0" w:color="auto"/>
                    <w:left w:val="none" w:sz="0" w:space="0" w:color="auto"/>
                    <w:bottom w:val="none" w:sz="0" w:space="0" w:color="auto"/>
                    <w:right w:val="none" w:sz="0" w:space="0" w:color="auto"/>
                  </w:divBdr>
                  <w:divsChild>
                    <w:div w:id="1246527314">
                      <w:marLeft w:val="0"/>
                      <w:marRight w:val="0"/>
                      <w:marTop w:val="0"/>
                      <w:marBottom w:val="0"/>
                      <w:divBdr>
                        <w:top w:val="none" w:sz="0" w:space="0" w:color="auto"/>
                        <w:left w:val="none" w:sz="0" w:space="0" w:color="auto"/>
                        <w:bottom w:val="none" w:sz="0" w:space="0" w:color="auto"/>
                        <w:right w:val="none" w:sz="0" w:space="0" w:color="auto"/>
                      </w:divBdr>
                    </w:div>
                  </w:divsChild>
                </w:div>
                <w:div w:id="154731614">
                  <w:marLeft w:val="0"/>
                  <w:marRight w:val="0"/>
                  <w:marTop w:val="0"/>
                  <w:marBottom w:val="0"/>
                  <w:divBdr>
                    <w:top w:val="none" w:sz="0" w:space="0" w:color="auto"/>
                    <w:left w:val="none" w:sz="0" w:space="0" w:color="auto"/>
                    <w:bottom w:val="none" w:sz="0" w:space="0" w:color="auto"/>
                    <w:right w:val="none" w:sz="0" w:space="0" w:color="auto"/>
                  </w:divBdr>
                  <w:divsChild>
                    <w:div w:id="1091466468">
                      <w:marLeft w:val="0"/>
                      <w:marRight w:val="0"/>
                      <w:marTop w:val="0"/>
                      <w:marBottom w:val="0"/>
                      <w:divBdr>
                        <w:top w:val="none" w:sz="0" w:space="0" w:color="auto"/>
                        <w:left w:val="none" w:sz="0" w:space="0" w:color="auto"/>
                        <w:bottom w:val="none" w:sz="0" w:space="0" w:color="auto"/>
                        <w:right w:val="none" w:sz="0" w:space="0" w:color="auto"/>
                      </w:divBdr>
                    </w:div>
                  </w:divsChild>
                </w:div>
                <w:div w:id="170024805">
                  <w:marLeft w:val="0"/>
                  <w:marRight w:val="0"/>
                  <w:marTop w:val="0"/>
                  <w:marBottom w:val="0"/>
                  <w:divBdr>
                    <w:top w:val="none" w:sz="0" w:space="0" w:color="auto"/>
                    <w:left w:val="none" w:sz="0" w:space="0" w:color="auto"/>
                    <w:bottom w:val="none" w:sz="0" w:space="0" w:color="auto"/>
                    <w:right w:val="none" w:sz="0" w:space="0" w:color="auto"/>
                  </w:divBdr>
                  <w:divsChild>
                    <w:div w:id="108357406">
                      <w:marLeft w:val="0"/>
                      <w:marRight w:val="0"/>
                      <w:marTop w:val="0"/>
                      <w:marBottom w:val="0"/>
                      <w:divBdr>
                        <w:top w:val="none" w:sz="0" w:space="0" w:color="auto"/>
                        <w:left w:val="none" w:sz="0" w:space="0" w:color="auto"/>
                        <w:bottom w:val="none" w:sz="0" w:space="0" w:color="auto"/>
                        <w:right w:val="none" w:sz="0" w:space="0" w:color="auto"/>
                      </w:divBdr>
                    </w:div>
                  </w:divsChild>
                </w:div>
                <w:div w:id="199902973">
                  <w:marLeft w:val="0"/>
                  <w:marRight w:val="0"/>
                  <w:marTop w:val="0"/>
                  <w:marBottom w:val="0"/>
                  <w:divBdr>
                    <w:top w:val="none" w:sz="0" w:space="0" w:color="auto"/>
                    <w:left w:val="none" w:sz="0" w:space="0" w:color="auto"/>
                    <w:bottom w:val="none" w:sz="0" w:space="0" w:color="auto"/>
                    <w:right w:val="none" w:sz="0" w:space="0" w:color="auto"/>
                  </w:divBdr>
                  <w:divsChild>
                    <w:div w:id="2042390689">
                      <w:marLeft w:val="0"/>
                      <w:marRight w:val="0"/>
                      <w:marTop w:val="0"/>
                      <w:marBottom w:val="0"/>
                      <w:divBdr>
                        <w:top w:val="none" w:sz="0" w:space="0" w:color="auto"/>
                        <w:left w:val="none" w:sz="0" w:space="0" w:color="auto"/>
                        <w:bottom w:val="none" w:sz="0" w:space="0" w:color="auto"/>
                        <w:right w:val="none" w:sz="0" w:space="0" w:color="auto"/>
                      </w:divBdr>
                    </w:div>
                  </w:divsChild>
                </w:div>
                <w:div w:id="208759653">
                  <w:marLeft w:val="0"/>
                  <w:marRight w:val="0"/>
                  <w:marTop w:val="0"/>
                  <w:marBottom w:val="0"/>
                  <w:divBdr>
                    <w:top w:val="none" w:sz="0" w:space="0" w:color="auto"/>
                    <w:left w:val="none" w:sz="0" w:space="0" w:color="auto"/>
                    <w:bottom w:val="none" w:sz="0" w:space="0" w:color="auto"/>
                    <w:right w:val="none" w:sz="0" w:space="0" w:color="auto"/>
                  </w:divBdr>
                  <w:divsChild>
                    <w:div w:id="1034574381">
                      <w:marLeft w:val="0"/>
                      <w:marRight w:val="0"/>
                      <w:marTop w:val="0"/>
                      <w:marBottom w:val="0"/>
                      <w:divBdr>
                        <w:top w:val="none" w:sz="0" w:space="0" w:color="auto"/>
                        <w:left w:val="none" w:sz="0" w:space="0" w:color="auto"/>
                        <w:bottom w:val="none" w:sz="0" w:space="0" w:color="auto"/>
                        <w:right w:val="none" w:sz="0" w:space="0" w:color="auto"/>
                      </w:divBdr>
                    </w:div>
                  </w:divsChild>
                </w:div>
                <w:div w:id="224338556">
                  <w:marLeft w:val="0"/>
                  <w:marRight w:val="0"/>
                  <w:marTop w:val="0"/>
                  <w:marBottom w:val="0"/>
                  <w:divBdr>
                    <w:top w:val="none" w:sz="0" w:space="0" w:color="auto"/>
                    <w:left w:val="none" w:sz="0" w:space="0" w:color="auto"/>
                    <w:bottom w:val="none" w:sz="0" w:space="0" w:color="auto"/>
                    <w:right w:val="none" w:sz="0" w:space="0" w:color="auto"/>
                  </w:divBdr>
                  <w:divsChild>
                    <w:div w:id="1231579197">
                      <w:marLeft w:val="0"/>
                      <w:marRight w:val="0"/>
                      <w:marTop w:val="0"/>
                      <w:marBottom w:val="0"/>
                      <w:divBdr>
                        <w:top w:val="none" w:sz="0" w:space="0" w:color="auto"/>
                        <w:left w:val="none" w:sz="0" w:space="0" w:color="auto"/>
                        <w:bottom w:val="none" w:sz="0" w:space="0" w:color="auto"/>
                        <w:right w:val="none" w:sz="0" w:space="0" w:color="auto"/>
                      </w:divBdr>
                    </w:div>
                  </w:divsChild>
                </w:div>
                <w:div w:id="263927848">
                  <w:marLeft w:val="0"/>
                  <w:marRight w:val="0"/>
                  <w:marTop w:val="0"/>
                  <w:marBottom w:val="0"/>
                  <w:divBdr>
                    <w:top w:val="none" w:sz="0" w:space="0" w:color="auto"/>
                    <w:left w:val="none" w:sz="0" w:space="0" w:color="auto"/>
                    <w:bottom w:val="none" w:sz="0" w:space="0" w:color="auto"/>
                    <w:right w:val="none" w:sz="0" w:space="0" w:color="auto"/>
                  </w:divBdr>
                  <w:divsChild>
                    <w:div w:id="1686975712">
                      <w:marLeft w:val="0"/>
                      <w:marRight w:val="0"/>
                      <w:marTop w:val="0"/>
                      <w:marBottom w:val="0"/>
                      <w:divBdr>
                        <w:top w:val="none" w:sz="0" w:space="0" w:color="auto"/>
                        <w:left w:val="none" w:sz="0" w:space="0" w:color="auto"/>
                        <w:bottom w:val="none" w:sz="0" w:space="0" w:color="auto"/>
                        <w:right w:val="none" w:sz="0" w:space="0" w:color="auto"/>
                      </w:divBdr>
                    </w:div>
                  </w:divsChild>
                </w:div>
                <w:div w:id="310209611">
                  <w:marLeft w:val="0"/>
                  <w:marRight w:val="0"/>
                  <w:marTop w:val="0"/>
                  <w:marBottom w:val="0"/>
                  <w:divBdr>
                    <w:top w:val="none" w:sz="0" w:space="0" w:color="auto"/>
                    <w:left w:val="none" w:sz="0" w:space="0" w:color="auto"/>
                    <w:bottom w:val="none" w:sz="0" w:space="0" w:color="auto"/>
                    <w:right w:val="none" w:sz="0" w:space="0" w:color="auto"/>
                  </w:divBdr>
                  <w:divsChild>
                    <w:div w:id="107506803">
                      <w:marLeft w:val="0"/>
                      <w:marRight w:val="0"/>
                      <w:marTop w:val="0"/>
                      <w:marBottom w:val="0"/>
                      <w:divBdr>
                        <w:top w:val="none" w:sz="0" w:space="0" w:color="auto"/>
                        <w:left w:val="none" w:sz="0" w:space="0" w:color="auto"/>
                        <w:bottom w:val="none" w:sz="0" w:space="0" w:color="auto"/>
                        <w:right w:val="none" w:sz="0" w:space="0" w:color="auto"/>
                      </w:divBdr>
                    </w:div>
                  </w:divsChild>
                </w:div>
                <w:div w:id="394209851">
                  <w:marLeft w:val="0"/>
                  <w:marRight w:val="0"/>
                  <w:marTop w:val="0"/>
                  <w:marBottom w:val="0"/>
                  <w:divBdr>
                    <w:top w:val="none" w:sz="0" w:space="0" w:color="auto"/>
                    <w:left w:val="none" w:sz="0" w:space="0" w:color="auto"/>
                    <w:bottom w:val="none" w:sz="0" w:space="0" w:color="auto"/>
                    <w:right w:val="none" w:sz="0" w:space="0" w:color="auto"/>
                  </w:divBdr>
                  <w:divsChild>
                    <w:div w:id="109204073">
                      <w:marLeft w:val="0"/>
                      <w:marRight w:val="0"/>
                      <w:marTop w:val="0"/>
                      <w:marBottom w:val="0"/>
                      <w:divBdr>
                        <w:top w:val="none" w:sz="0" w:space="0" w:color="auto"/>
                        <w:left w:val="none" w:sz="0" w:space="0" w:color="auto"/>
                        <w:bottom w:val="none" w:sz="0" w:space="0" w:color="auto"/>
                        <w:right w:val="none" w:sz="0" w:space="0" w:color="auto"/>
                      </w:divBdr>
                    </w:div>
                  </w:divsChild>
                </w:div>
                <w:div w:id="395471181">
                  <w:marLeft w:val="0"/>
                  <w:marRight w:val="0"/>
                  <w:marTop w:val="0"/>
                  <w:marBottom w:val="0"/>
                  <w:divBdr>
                    <w:top w:val="none" w:sz="0" w:space="0" w:color="auto"/>
                    <w:left w:val="none" w:sz="0" w:space="0" w:color="auto"/>
                    <w:bottom w:val="none" w:sz="0" w:space="0" w:color="auto"/>
                    <w:right w:val="none" w:sz="0" w:space="0" w:color="auto"/>
                  </w:divBdr>
                  <w:divsChild>
                    <w:div w:id="1388338123">
                      <w:marLeft w:val="0"/>
                      <w:marRight w:val="0"/>
                      <w:marTop w:val="0"/>
                      <w:marBottom w:val="0"/>
                      <w:divBdr>
                        <w:top w:val="none" w:sz="0" w:space="0" w:color="auto"/>
                        <w:left w:val="none" w:sz="0" w:space="0" w:color="auto"/>
                        <w:bottom w:val="none" w:sz="0" w:space="0" w:color="auto"/>
                        <w:right w:val="none" w:sz="0" w:space="0" w:color="auto"/>
                      </w:divBdr>
                    </w:div>
                  </w:divsChild>
                </w:div>
                <w:div w:id="401947917">
                  <w:marLeft w:val="0"/>
                  <w:marRight w:val="0"/>
                  <w:marTop w:val="0"/>
                  <w:marBottom w:val="0"/>
                  <w:divBdr>
                    <w:top w:val="none" w:sz="0" w:space="0" w:color="auto"/>
                    <w:left w:val="none" w:sz="0" w:space="0" w:color="auto"/>
                    <w:bottom w:val="none" w:sz="0" w:space="0" w:color="auto"/>
                    <w:right w:val="none" w:sz="0" w:space="0" w:color="auto"/>
                  </w:divBdr>
                  <w:divsChild>
                    <w:div w:id="1891762810">
                      <w:marLeft w:val="0"/>
                      <w:marRight w:val="0"/>
                      <w:marTop w:val="0"/>
                      <w:marBottom w:val="0"/>
                      <w:divBdr>
                        <w:top w:val="none" w:sz="0" w:space="0" w:color="auto"/>
                        <w:left w:val="none" w:sz="0" w:space="0" w:color="auto"/>
                        <w:bottom w:val="none" w:sz="0" w:space="0" w:color="auto"/>
                        <w:right w:val="none" w:sz="0" w:space="0" w:color="auto"/>
                      </w:divBdr>
                    </w:div>
                  </w:divsChild>
                </w:div>
                <w:div w:id="464277089">
                  <w:marLeft w:val="0"/>
                  <w:marRight w:val="0"/>
                  <w:marTop w:val="0"/>
                  <w:marBottom w:val="0"/>
                  <w:divBdr>
                    <w:top w:val="none" w:sz="0" w:space="0" w:color="auto"/>
                    <w:left w:val="none" w:sz="0" w:space="0" w:color="auto"/>
                    <w:bottom w:val="none" w:sz="0" w:space="0" w:color="auto"/>
                    <w:right w:val="none" w:sz="0" w:space="0" w:color="auto"/>
                  </w:divBdr>
                  <w:divsChild>
                    <w:div w:id="725446431">
                      <w:marLeft w:val="0"/>
                      <w:marRight w:val="0"/>
                      <w:marTop w:val="0"/>
                      <w:marBottom w:val="0"/>
                      <w:divBdr>
                        <w:top w:val="none" w:sz="0" w:space="0" w:color="auto"/>
                        <w:left w:val="none" w:sz="0" w:space="0" w:color="auto"/>
                        <w:bottom w:val="none" w:sz="0" w:space="0" w:color="auto"/>
                        <w:right w:val="none" w:sz="0" w:space="0" w:color="auto"/>
                      </w:divBdr>
                    </w:div>
                  </w:divsChild>
                </w:div>
                <w:div w:id="565147410">
                  <w:marLeft w:val="0"/>
                  <w:marRight w:val="0"/>
                  <w:marTop w:val="0"/>
                  <w:marBottom w:val="0"/>
                  <w:divBdr>
                    <w:top w:val="none" w:sz="0" w:space="0" w:color="auto"/>
                    <w:left w:val="none" w:sz="0" w:space="0" w:color="auto"/>
                    <w:bottom w:val="none" w:sz="0" w:space="0" w:color="auto"/>
                    <w:right w:val="none" w:sz="0" w:space="0" w:color="auto"/>
                  </w:divBdr>
                  <w:divsChild>
                    <w:div w:id="680468463">
                      <w:marLeft w:val="0"/>
                      <w:marRight w:val="0"/>
                      <w:marTop w:val="0"/>
                      <w:marBottom w:val="0"/>
                      <w:divBdr>
                        <w:top w:val="none" w:sz="0" w:space="0" w:color="auto"/>
                        <w:left w:val="none" w:sz="0" w:space="0" w:color="auto"/>
                        <w:bottom w:val="none" w:sz="0" w:space="0" w:color="auto"/>
                        <w:right w:val="none" w:sz="0" w:space="0" w:color="auto"/>
                      </w:divBdr>
                    </w:div>
                  </w:divsChild>
                </w:div>
                <w:div w:id="575165965">
                  <w:marLeft w:val="0"/>
                  <w:marRight w:val="0"/>
                  <w:marTop w:val="0"/>
                  <w:marBottom w:val="0"/>
                  <w:divBdr>
                    <w:top w:val="none" w:sz="0" w:space="0" w:color="auto"/>
                    <w:left w:val="none" w:sz="0" w:space="0" w:color="auto"/>
                    <w:bottom w:val="none" w:sz="0" w:space="0" w:color="auto"/>
                    <w:right w:val="none" w:sz="0" w:space="0" w:color="auto"/>
                  </w:divBdr>
                  <w:divsChild>
                    <w:div w:id="1968856048">
                      <w:marLeft w:val="0"/>
                      <w:marRight w:val="0"/>
                      <w:marTop w:val="0"/>
                      <w:marBottom w:val="0"/>
                      <w:divBdr>
                        <w:top w:val="none" w:sz="0" w:space="0" w:color="auto"/>
                        <w:left w:val="none" w:sz="0" w:space="0" w:color="auto"/>
                        <w:bottom w:val="none" w:sz="0" w:space="0" w:color="auto"/>
                        <w:right w:val="none" w:sz="0" w:space="0" w:color="auto"/>
                      </w:divBdr>
                    </w:div>
                  </w:divsChild>
                </w:div>
                <w:div w:id="605619269">
                  <w:marLeft w:val="0"/>
                  <w:marRight w:val="0"/>
                  <w:marTop w:val="0"/>
                  <w:marBottom w:val="0"/>
                  <w:divBdr>
                    <w:top w:val="none" w:sz="0" w:space="0" w:color="auto"/>
                    <w:left w:val="none" w:sz="0" w:space="0" w:color="auto"/>
                    <w:bottom w:val="none" w:sz="0" w:space="0" w:color="auto"/>
                    <w:right w:val="none" w:sz="0" w:space="0" w:color="auto"/>
                  </w:divBdr>
                  <w:divsChild>
                    <w:div w:id="1258293076">
                      <w:marLeft w:val="0"/>
                      <w:marRight w:val="0"/>
                      <w:marTop w:val="0"/>
                      <w:marBottom w:val="0"/>
                      <w:divBdr>
                        <w:top w:val="none" w:sz="0" w:space="0" w:color="auto"/>
                        <w:left w:val="none" w:sz="0" w:space="0" w:color="auto"/>
                        <w:bottom w:val="none" w:sz="0" w:space="0" w:color="auto"/>
                        <w:right w:val="none" w:sz="0" w:space="0" w:color="auto"/>
                      </w:divBdr>
                    </w:div>
                  </w:divsChild>
                </w:div>
                <w:div w:id="672495542">
                  <w:marLeft w:val="0"/>
                  <w:marRight w:val="0"/>
                  <w:marTop w:val="0"/>
                  <w:marBottom w:val="0"/>
                  <w:divBdr>
                    <w:top w:val="none" w:sz="0" w:space="0" w:color="auto"/>
                    <w:left w:val="none" w:sz="0" w:space="0" w:color="auto"/>
                    <w:bottom w:val="none" w:sz="0" w:space="0" w:color="auto"/>
                    <w:right w:val="none" w:sz="0" w:space="0" w:color="auto"/>
                  </w:divBdr>
                  <w:divsChild>
                    <w:div w:id="1938371118">
                      <w:marLeft w:val="0"/>
                      <w:marRight w:val="0"/>
                      <w:marTop w:val="0"/>
                      <w:marBottom w:val="0"/>
                      <w:divBdr>
                        <w:top w:val="none" w:sz="0" w:space="0" w:color="auto"/>
                        <w:left w:val="none" w:sz="0" w:space="0" w:color="auto"/>
                        <w:bottom w:val="none" w:sz="0" w:space="0" w:color="auto"/>
                        <w:right w:val="none" w:sz="0" w:space="0" w:color="auto"/>
                      </w:divBdr>
                    </w:div>
                  </w:divsChild>
                </w:div>
                <w:div w:id="673193416">
                  <w:marLeft w:val="0"/>
                  <w:marRight w:val="0"/>
                  <w:marTop w:val="0"/>
                  <w:marBottom w:val="0"/>
                  <w:divBdr>
                    <w:top w:val="none" w:sz="0" w:space="0" w:color="auto"/>
                    <w:left w:val="none" w:sz="0" w:space="0" w:color="auto"/>
                    <w:bottom w:val="none" w:sz="0" w:space="0" w:color="auto"/>
                    <w:right w:val="none" w:sz="0" w:space="0" w:color="auto"/>
                  </w:divBdr>
                  <w:divsChild>
                    <w:div w:id="1414473238">
                      <w:marLeft w:val="0"/>
                      <w:marRight w:val="0"/>
                      <w:marTop w:val="0"/>
                      <w:marBottom w:val="0"/>
                      <w:divBdr>
                        <w:top w:val="none" w:sz="0" w:space="0" w:color="auto"/>
                        <w:left w:val="none" w:sz="0" w:space="0" w:color="auto"/>
                        <w:bottom w:val="none" w:sz="0" w:space="0" w:color="auto"/>
                        <w:right w:val="none" w:sz="0" w:space="0" w:color="auto"/>
                      </w:divBdr>
                    </w:div>
                  </w:divsChild>
                </w:div>
                <w:div w:id="756901137">
                  <w:marLeft w:val="0"/>
                  <w:marRight w:val="0"/>
                  <w:marTop w:val="0"/>
                  <w:marBottom w:val="0"/>
                  <w:divBdr>
                    <w:top w:val="none" w:sz="0" w:space="0" w:color="auto"/>
                    <w:left w:val="none" w:sz="0" w:space="0" w:color="auto"/>
                    <w:bottom w:val="none" w:sz="0" w:space="0" w:color="auto"/>
                    <w:right w:val="none" w:sz="0" w:space="0" w:color="auto"/>
                  </w:divBdr>
                  <w:divsChild>
                    <w:div w:id="585765847">
                      <w:marLeft w:val="0"/>
                      <w:marRight w:val="0"/>
                      <w:marTop w:val="0"/>
                      <w:marBottom w:val="0"/>
                      <w:divBdr>
                        <w:top w:val="none" w:sz="0" w:space="0" w:color="auto"/>
                        <w:left w:val="none" w:sz="0" w:space="0" w:color="auto"/>
                        <w:bottom w:val="none" w:sz="0" w:space="0" w:color="auto"/>
                        <w:right w:val="none" w:sz="0" w:space="0" w:color="auto"/>
                      </w:divBdr>
                    </w:div>
                  </w:divsChild>
                </w:div>
                <w:div w:id="765228069">
                  <w:marLeft w:val="0"/>
                  <w:marRight w:val="0"/>
                  <w:marTop w:val="0"/>
                  <w:marBottom w:val="0"/>
                  <w:divBdr>
                    <w:top w:val="none" w:sz="0" w:space="0" w:color="auto"/>
                    <w:left w:val="none" w:sz="0" w:space="0" w:color="auto"/>
                    <w:bottom w:val="none" w:sz="0" w:space="0" w:color="auto"/>
                    <w:right w:val="none" w:sz="0" w:space="0" w:color="auto"/>
                  </w:divBdr>
                  <w:divsChild>
                    <w:div w:id="610473186">
                      <w:marLeft w:val="0"/>
                      <w:marRight w:val="0"/>
                      <w:marTop w:val="0"/>
                      <w:marBottom w:val="0"/>
                      <w:divBdr>
                        <w:top w:val="none" w:sz="0" w:space="0" w:color="auto"/>
                        <w:left w:val="none" w:sz="0" w:space="0" w:color="auto"/>
                        <w:bottom w:val="none" w:sz="0" w:space="0" w:color="auto"/>
                        <w:right w:val="none" w:sz="0" w:space="0" w:color="auto"/>
                      </w:divBdr>
                    </w:div>
                  </w:divsChild>
                </w:div>
                <w:div w:id="811865737">
                  <w:marLeft w:val="0"/>
                  <w:marRight w:val="0"/>
                  <w:marTop w:val="0"/>
                  <w:marBottom w:val="0"/>
                  <w:divBdr>
                    <w:top w:val="none" w:sz="0" w:space="0" w:color="auto"/>
                    <w:left w:val="none" w:sz="0" w:space="0" w:color="auto"/>
                    <w:bottom w:val="none" w:sz="0" w:space="0" w:color="auto"/>
                    <w:right w:val="none" w:sz="0" w:space="0" w:color="auto"/>
                  </w:divBdr>
                  <w:divsChild>
                    <w:div w:id="1259364894">
                      <w:marLeft w:val="0"/>
                      <w:marRight w:val="0"/>
                      <w:marTop w:val="0"/>
                      <w:marBottom w:val="0"/>
                      <w:divBdr>
                        <w:top w:val="none" w:sz="0" w:space="0" w:color="auto"/>
                        <w:left w:val="none" w:sz="0" w:space="0" w:color="auto"/>
                        <w:bottom w:val="none" w:sz="0" w:space="0" w:color="auto"/>
                        <w:right w:val="none" w:sz="0" w:space="0" w:color="auto"/>
                      </w:divBdr>
                    </w:div>
                  </w:divsChild>
                </w:div>
                <w:div w:id="816606814">
                  <w:marLeft w:val="0"/>
                  <w:marRight w:val="0"/>
                  <w:marTop w:val="0"/>
                  <w:marBottom w:val="0"/>
                  <w:divBdr>
                    <w:top w:val="none" w:sz="0" w:space="0" w:color="auto"/>
                    <w:left w:val="none" w:sz="0" w:space="0" w:color="auto"/>
                    <w:bottom w:val="none" w:sz="0" w:space="0" w:color="auto"/>
                    <w:right w:val="none" w:sz="0" w:space="0" w:color="auto"/>
                  </w:divBdr>
                  <w:divsChild>
                    <w:div w:id="1897933761">
                      <w:marLeft w:val="0"/>
                      <w:marRight w:val="0"/>
                      <w:marTop w:val="0"/>
                      <w:marBottom w:val="0"/>
                      <w:divBdr>
                        <w:top w:val="none" w:sz="0" w:space="0" w:color="auto"/>
                        <w:left w:val="none" w:sz="0" w:space="0" w:color="auto"/>
                        <w:bottom w:val="none" w:sz="0" w:space="0" w:color="auto"/>
                        <w:right w:val="none" w:sz="0" w:space="0" w:color="auto"/>
                      </w:divBdr>
                    </w:div>
                  </w:divsChild>
                </w:div>
                <w:div w:id="833690897">
                  <w:marLeft w:val="0"/>
                  <w:marRight w:val="0"/>
                  <w:marTop w:val="0"/>
                  <w:marBottom w:val="0"/>
                  <w:divBdr>
                    <w:top w:val="none" w:sz="0" w:space="0" w:color="auto"/>
                    <w:left w:val="none" w:sz="0" w:space="0" w:color="auto"/>
                    <w:bottom w:val="none" w:sz="0" w:space="0" w:color="auto"/>
                    <w:right w:val="none" w:sz="0" w:space="0" w:color="auto"/>
                  </w:divBdr>
                  <w:divsChild>
                    <w:div w:id="1640917624">
                      <w:marLeft w:val="0"/>
                      <w:marRight w:val="0"/>
                      <w:marTop w:val="0"/>
                      <w:marBottom w:val="0"/>
                      <w:divBdr>
                        <w:top w:val="none" w:sz="0" w:space="0" w:color="auto"/>
                        <w:left w:val="none" w:sz="0" w:space="0" w:color="auto"/>
                        <w:bottom w:val="none" w:sz="0" w:space="0" w:color="auto"/>
                        <w:right w:val="none" w:sz="0" w:space="0" w:color="auto"/>
                      </w:divBdr>
                    </w:div>
                  </w:divsChild>
                </w:div>
                <w:div w:id="842670277">
                  <w:marLeft w:val="0"/>
                  <w:marRight w:val="0"/>
                  <w:marTop w:val="0"/>
                  <w:marBottom w:val="0"/>
                  <w:divBdr>
                    <w:top w:val="none" w:sz="0" w:space="0" w:color="auto"/>
                    <w:left w:val="none" w:sz="0" w:space="0" w:color="auto"/>
                    <w:bottom w:val="none" w:sz="0" w:space="0" w:color="auto"/>
                    <w:right w:val="none" w:sz="0" w:space="0" w:color="auto"/>
                  </w:divBdr>
                  <w:divsChild>
                    <w:div w:id="1106732130">
                      <w:marLeft w:val="0"/>
                      <w:marRight w:val="0"/>
                      <w:marTop w:val="0"/>
                      <w:marBottom w:val="0"/>
                      <w:divBdr>
                        <w:top w:val="none" w:sz="0" w:space="0" w:color="auto"/>
                        <w:left w:val="none" w:sz="0" w:space="0" w:color="auto"/>
                        <w:bottom w:val="none" w:sz="0" w:space="0" w:color="auto"/>
                        <w:right w:val="none" w:sz="0" w:space="0" w:color="auto"/>
                      </w:divBdr>
                    </w:div>
                  </w:divsChild>
                </w:div>
                <w:div w:id="926814644">
                  <w:marLeft w:val="0"/>
                  <w:marRight w:val="0"/>
                  <w:marTop w:val="0"/>
                  <w:marBottom w:val="0"/>
                  <w:divBdr>
                    <w:top w:val="none" w:sz="0" w:space="0" w:color="auto"/>
                    <w:left w:val="none" w:sz="0" w:space="0" w:color="auto"/>
                    <w:bottom w:val="none" w:sz="0" w:space="0" w:color="auto"/>
                    <w:right w:val="none" w:sz="0" w:space="0" w:color="auto"/>
                  </w:divBdr>
                  <w:divsChild>
                    <w:div w:id="1859808905">
                      <w:marLeft w:val="0"/>
                      <w:marRight w:val="0"/>
                      <w:marTop w:val="0"/>
                      <w:marBottom w:val="0"/>
                      <w:divBdr>
                        <w:top w:val="none" w:sz="0" w:space="0" w:color="auto"/>
                        <w:left w:val="none" w:sz="0" w:space="0" w:color="auto"/>
                        <w:bottom w:val="none" w:sz="0" w:space="0" w:color="auto"/>
                        <w:right w:val="none" w:sz="0" w:space="0" w:color="auto"/>
                      </w:divBdr>
                    </w:div>
                  </w:divsChild>
                </w:div>
                <w:div w:id="932781283">
                  <w:marLeft w:val="0"/>
                  <w:marRight w:val="0"/>
                  <w:marTop w:val="0"/>
                  <w:marBottom w:val="0"/>
                  <w:divBdr>
                    <w:top w:val="none" w:sz="0" w:space="0" w:color="auto"/>
                    <w:left w:val="none" w:sz="0" w:space="0" w:color="auto"/>
                    <w:bottom w:val="none" w:sz="0" w:space="0" w:color="auto"/>
                    <w:right w:val="none" w:sz="0" w:space="0" w:color="auto"/>
                  </w:divBdr>
                  <w:divsChild>
                    <w:div w:id="563224376">
                      <w:marLeft w:val="0"/>
                      <w:marRight w:val="0"/>
                      <w:marTop w:val="0"/>
                      <w:marBottom w:val="0"/>
                      <w:divBdr>
                        <w:top w:val="none" w:sz="0" w:space="0" w:color="auto"/>
                        <w:left w:val="none" w:sz="0" w:space="0" w:color="auto"/>
                        <w:bottom w:val="none" w:sz="0" w:space="0" w:color="auto"/>
                        <w:right w:val="none" w:sz="0" w:space="0" w:color="auto"/>
                      </w:divBdr>
                    </w:div>
                  </w:divsChild>
                </w:div>
                <w:div w:id="1004091424">
                  <w:marLeft w:val="0"/>
                  <w:marRight w:val="0"/>
                  <w:marTop w:val="0"/>
                  <w:marBottom w:val="0"/>
                  <w:divBdr>
                    <w:top w:val="none" w:sz="0" w:space="0" w:color="auto"/>
                    <w:left w:val="none" w:sz="0" w:space="0" w:color="auto"/>
                    <w:bottom w:val="none" w:sz="0" w:space="0" w:color="auto"/>
                    <w:right w:val="none" w:sz="0" w:space="0" w:color="auto"/>
                  </w:divBdr>
                  <w:divsChild>
                    <w:div w:id="2136364353">
                      <w:marLeft w:val="0"/>
                      <w:marRight w:val="0"/>
                      <w:marTop w:val="0"/>
                      <w:marBottom w:val="0"/>
                      <w:divBdr>
                        <w:top w:val="none" w:sz="0" w:space="0" w:color="auto"/>
                        <w:left w:val="none" w:sz="0" w:space="0" w:color="auto"/>
                        <w:bottom w:val="none" w:sz="0" w:space="0" w:color="auto"/>
                        <w:right w:val="none" w:sz="0" w:space="0" w:color="auto"/>
                      </w:divBdr>
                    </w:div>
                  </w:divsChild>
                </w:div>
                <w:div w:id="1012487440">
                  <w:marLeft w:val="0"/>
                  <w:marRight w:val="0"/>
                  <w:marTop w:val="0"/>
                  <w:marBottom w:val="0"/>
                  <w:divBdr>
                    <w:top w:val="none" w:sz="0" w:space="0" w:color="auto"/>
                    <w:left w:val="none" w:sz="0" w:space="0" w:color="auto"/>
                    <w:bottom w:val="none" w:sz="0" w:space="0" w:color="auto"/>
                    <w:right w:val="none" w:sz="0" w:space="0" w:color="auto"/>
                  </w:divBdr>
                  <w:divsChild>
                    <w:div w:id="1072696796">
                      <w:marLeft w:val="0"/>
                      <w:marRight w:val="0"/>
                      <w:marTop w:val="0"/>
                      <w:marBottom w:val="0"/>
                      <w:divBdr>
                        <w:top w:val="none" w:sz="0" w:space="0" w:color="auto"/>
                        <w:left w:val="none" w:sz="0" w:space="0" w:color="auto"/>
                        <w:bottom w:val="none" w:sz="0" w:space="0" w:color="auto"/>
                        <w:right w:val="none" w:sz="0" w:space="0" w:color="auto"/>
                      </w:divBdr>
                    </w:div>
                  </w:divsChild>
                </w:div>
                <w:div w:id="1017468876">
                  <w:marLeft w:val="0"/>
                  <w:marRight w:val="0"/>
                  <w:marTop w:val="0"/>
                  <w:marBottom w:val="0"/>
                  <w:divBdr>
                    <w:top w:val="none" w:sz="0" w:space="0" w:color="auto"/>
                    <w:left w:val="none" w:sz="0" w:space="0" w:color="auto"/>
                    <w:bottom w:val="none" w:sz="0" w:space="0" w:color="auto"/>
                    <w:right w:val="none" w:sz="0" w:space="0" w:color="auto"/>
                  </w:divBdr>
                  <w:divsChild>
                    <w:div w:id="98255932">
                      <w:marLeft w:val="0"/>
                      <w:marRight w:val="0"/>
                      <w:marTop w:val="0"/>
                      <w:marBottom w:val="0"/>
                      <w:divBdr>
                        <w:top w:val="none" w:sz="0" w:space="0" w:color="auto"/>
                        <w:left w:val="none" w:sz="0" w:space="0" w:color="auto"/>
                        <w:bottom w:val="none" w:sz="0" w:space="0" w:color="auto"/>
                        <w:right w:val="none" w:sz="0" w:space="0" w:color="auto"/>
                      </w:divBdr>
                    </w:div>
                  </w:divsChild>
                </w:div>
                <w:div w:id="1071922913">
                  <w:marLeft w:val="0"/>
                  <w:marRight w:val="0"/>
                  <w:marTop w:val="0"/>
                  <w:marBottom w:val="0"/>
                  <w:divBdr>
                    <w:top w:val="none" w:sz="0" w:space="0" w:color="auto"/>
                    <w:left w:val="none" w:sz="0" w:space="0" w:color="auto"/>
                    <w:bottom w:val="none" w:sz="0" w:space="0" w:color="auto"/>
                    <w:right w:val="none" w:sz="0" w:space="0" w:color="auto"/>
                  </w:divBdr>
                  <w:divsChild>
                    <w:div w:id="1164707448">
                      <w:marLeft w:val="0"/>
                      <w:marRight w:val="0"/>
                      <w:marTop w:val="0"/>
                      <w:marBottom w:val="0"/>
                      <w:divBdr>
                        <w:top w:val="none" w:sz="0" w:space="0" w:color="auto"/>
                        <w:left w:val="none" w:sz="0" w:space="0" w:color="auto"/>
                        <w:bottom w:val="none" w:sz="0" w:space="0" w:color="auto"/>
                        <w:right w:val="none" w:sz="0" w:space="0" w:color="auto"/>
                      </w:divBdr>
                    </w:div>
                  </w:divsChild>
                </w:div>
                <w:div w:id="1178041969">
                  <w:marLeft w:val="0"/>
                  <w:marRight w:val="0"/>
                  <w:marTop w:val="0"/>
                  <w:marBottom w:val="0"/>
                  <w:divBdr>
                    <w:top w:val="none" w:sz="0" w:space="0" w:color="auto"/>
                    <w:left w:val="none" w:sz="0" w:space="0" w:color="auto"/>
                    <w:bottom w:val="none" w:sz="0" w:space="0" w:color="auto"/>
                    <w:right w:val="none" w:sz="0" w:space="0" w:color="auto"/>
                  </w:divBdr>
                  <w:divsChild>
                    <w:div w:id="290399663">
                      <w:marLeft w:val="0"/>
                      <w:marRight w:val="0"/>
                      <w:marTop w:val="0"/>
                      <w:marBottom w:val="0"/>
                      <w:divBdr>
                        <w:top w:val="none" w:sz="0" w:space="0" w:color="auto"/>
                        <w:left w:val="none" w:sz="0" w:space="0" w:color="auto"/>
                        <w:bottom w:val="none" w:sz="0" w:space="0" w:color="auto"/>
                        <w:right w:val="none" w:sz="0" w:space="0" w:color="auto"/>
                      </w:divBdr>
                    </w:div>
                  </w:divsChild>
                </w:div>
                <w:div w:id="1183209343">
                  <w:marLeft w:val="0"/>
                  <w:marRight w:val="0"/>
                  <w:marTop w:val="0"/>
                  <w:marBottom w:val="0"/>
                  <w:divBdr>
                    <w:top w:val="none" w:sz="0" w:space="0" w:color="auto"/>
                    <w:left w:val="none" w:sz="0" w:space="0" w:color="auto"/>
                    <w:bottom w:val="none" w:sz="0" w:space="0" w:color="auto"/>
                    <w:right w:val="none" w:sz="0" w:space="0" w:color="auto"/>
                  </w:divBdr>
                  <w:divsChild>
                    <w:div w:id="1742561228">
                      <w:marLeft w:val="0"/>
                      <w:marRight w:val="0"/>
                      <w:marTop w:val="0"/>
                      <w:marBottom w:val="0"/>
                      <w:divBdr>
                        <w:top w:val="none" w:sz="0" w:space="0" w:color="auto"/>
                        <w:left w:val="none" w:sz="0" w:space="0" w:color="auto"/>
                        <w:bottom w:val="none" w:sz="0" w:space="0" w:color="auto"/>
                        <w:right w:val="none" w:sz="0" w:space="0" w:color="auto"/>
                      </w:divBdr>
                    </w:div>
                  </w:divsChild>
                </w:div>
                <w:div w:id="1207596563">
                  <w:marLeft w:val="0"/>
                  <w:marRight w:val="0"/>
                  <w:marTop w:val="0"/>
                  <w:marBottom w:val="0"/>
                  <w:divBdr>
                    <w:top w:val="none" w:sz="0" w:space="0" w:color="auto"/>
                    <w:left w:val="none" w:sz="0" w:space="0" w:color="auto"/>
                    <w:bottom w:val="none" w:sz="0" w:space="0" w:color="auto"/>
                    <w:right w:val="none" w:sz="0" w:space="0" w:color="auto"/>
                  </w:divBdr>
                  <w:divsChild>
                    <w:div w:id="1431242267">
                      <w:marLeft w:val="0"/>
                      <w:marRight w:val="0"/>
                      <w:marTop w:val="0"/>
                      <w:marBottom w:val="0"/>
                      <w:divBdr>
                        <w:top w:val="none" w:sz="0" w:space="0" w:color="auto"/>
                        <w:left w:val="none" w:sz="0" w:space="0" w:color="auto"/>
                        <w:bottom w:val="none" w:sz="0" w:space="0" w:color="auto"/>
                        <w:right w:val="none" w:sz="0" w:space="0" w:color="auto"/>
                      </w:divBdr>
                    </w:div>
                  </w:divsChild>
                </w:div>
                <w:div w:id="1252853842">
                  <w:marLeft w:val="0"/>
                  <w:marRight w:val="0"/>
                  <w:marTop w:val="0"/>
                  <w:marBottom w:val="0"/>
                  <w:divBdr>
                    <w:top w:val="none" w:sz="0" w:space="0" w:color="auto"/>
                    <w:left w:val="none" w:sz="0" w:space="0" w:color="auto"/>
                    <w:bottom w:val="none" w:sz="0" w:space="0" w:color="auto"/>
                    <w:right w:val="none" w:sz="0" w:space="0" w:color="auto"/>
                  </w:divBdr>
                  <w:divsChild>
                    <w:div w:id="1498615671">
                      <w:marLeft w:val="0"/>
                      <w:marRight w:val="0"/>
                      <w:marTop w:val="0"/>
                      <w:marBottom w:val="0"/>
                      <w:divBdr>
                        <w:top w:val="none" w:sz="0" w:space="0" w:color="auto"/>
                        <w:left w:val="none" w:sz="0" w:space="0" w:color="auto"/>
                        <w:bottom w:val="none" w:sz="0" w:space="0" w:color="auto"/>
                        <w:right w:val="none" w:sz="0" w:space="0" w:color="auto"/>
                      </w:divBdr>
                    </w:div>
                  </w:divsChild>
                </w:div>
                <w:div w:id="1277760377">
                  <w:marLeft w:val="0"/>
                  <w:marRight w:val="0"/>
                  <w:marTop w:val="0"/>
                  <w:marBottom w:val="0"/>
                  <w:divBdr>
                    <w:top w:val="none" w:sz="0" w:space="0" w:color="auto"/>
                    <w:left w:val="none" w:sz="0" w:space="0" w:color="auto"/>
                    <w:bottom w:val="none" w:sz="0" w:space="0" w:color="auto"/>
                    <w:right w:val="none" w:sz="0" w:space="0" w:color="auto"/>
                  </w:divBdr>
                  <w:divsChild>
                    <w:div w:id="219824431">
                      <w:marLeft w:val="0"/>
                      <w:marRight w:val="0"/>
                      <w:marTop w:val="0"/>
                      <w:marBottom w:val="0"/>
                      <w:divBdr>
                        <w:top w:val="none" w:sz="0" w:space="0" w:color="auto"/>
                        <w:left w:val="none" w:sz="0" w:space="0" w:color="auto"/>
                        <w:bottom w:val="none" w:sz="0" w:space="0" w:color="auto"/>
                        <w:right w:val="none" w:sz="0" w:space="0" w:color="auto"/>
                      </w:divBdr>
                    </w:div>
                  </w:divsChild>
                </w:div>
                <w:div w:id="1337341898">
                  <w:marLeft w:val="0"/>
                  <w:marRight w:val="0"/>
                  <w:marTop w:val="0"/>
                  <w:marBottom w:val="0"/>
                  <w:divBdr>
                    <w:top w:val="none" w:sz="0" w:space="0" w:color="auto"/>
                    <w:left w:val="none" w:sz="0" w:space="0" w:color="auto"/>
                    <w:bottom w:val="none" w:sz="0" w:space="0" w:color="auto"/>
                    <w:right w:val="none" w:sz="0" w:space="0" w:color="auto"/>
                  </w:divBdr>
                  <w:divsChild>
                    <w:div w:id="891380895">
                      <w:marLeft w:val="0"/>
                      <w:marRight w:val="0"/>
                      <w:marTop w:val="0"/>
                      <w:marBottom w:val="0"/>
                      <w:divBdr>
                        <w:top w:val="none" w:sz="0" w:space="0" w:color="auto"/>
                        <w:left w:val="none" w:sz="0" w:space="0" w:color="auto"/>
                        <w:bottom w:val="none" w:sz="0" w:space="0" w:color="auto"/>
                        <w:right w:val="none" w:sz="0" w:space="0" w:color="auto"/>
                      </w:divBdr>
                    </w:div>
                  </w:divsChild>
                </w:div>
                <w:div w:id="1368287394">
                  <w:marLeft w:val="0"/>
                  <w:marRight w:val="0"/>
                  <w:marTop w:val="0"/>
                  <w:marBottom w:val="0"/>
                  <w:divBdr>
                    <w:top w:val="none" w:sz="0" w:space="0" w:color="auto"/>
                    <w:left w:val="none" w:sz="0" w:space="0" w:color="auto"/>
                    <w:bottom w:val="none" w:sz="0" w:space="0" w:color="auto"/>
                    <w:right w:val="none" w:sz="0" w:space="0" w:color="auto"/>
                  </w:divBdr>
                  <w:divsChild>
                    <w:div w:id="2000620894">
                      <w:marLeft w:val="0"/>
                      <w:marRight w:val="0"/>
                      <w:marTop w:val="0"/>
                      <w:marBottom w:val="0"/>
                      <w:divBdr>
                        <w:top w:val="none" w:sz="0" w:space="0" w:color="auto"/>
                        <w:left w:val="none" w:sz="0" w:space="0" w:color="auto"/>
                        <w:bottom w:val="none" w:sz="0" w:space="0" w:color="auto"/>
                        <w:right w:val="none" w:sz="0" w:space="0" w:color="auto"/>
                      </w:divBdr>
                    </w:div>
                  </w:divsChild>
                </w:div>
                <w:div w:id="1401169113">
                  <w:marLeft w:val="0"/>
                  <w:marRight w:val="0"/>
                  <w:marTop w:val="0"/>
                  <w:marBottom w:val="0"/>
                  <w:divBdr>
                    <w:top w:val="none" w:sz="0" w:space="0" w:color="auto"/>
                    <w:left w:val="none" w:sz="0" w:space="0" w:color="auto"/>
                    <w:bottom w:val="none" w:sz="0" w:space="0" w:color="auto"/>
                    <w:right w:val="none" w:sz="0" w:space="0" w:color="auto"/>
                  </w:divBdr>
                  <w:divsChild>
                    <w:div w:id="540678111">
                      <w:marLeft w:val="0"/>
                      <w:marRight w:val="0"/>
                      <w:marTop w:val="0"/>
                      <w:marBottom w:val="0"/>
                      <w:divBdr>
                        <w:top w:val="none" w:sz="0" w:space="0" w:color="auto"/>
                        <w:left w:val="none" w:sz="0" w:space="0" w:color="auto"/>
                        <w:bottom w:val="none" w:sz="0" w:space="0" w:color="auto"/>
                        <w:right w:val="none" w:sz="0" w:space="0" w:color="auto"/>
                      </w:divBdr>
                    </w:div>
                  </w:divsChild>
                </w:div>
                <w:div w:id="1406105531">
                  <w:marLeft w:val="0"/>
                  <w:marRight w:val="0"/>
                  <w:marTop w:val="0"/>
                  <w:marBottom w:val="0"/>
                  <w:divBdr>
                    <w:top w:val="none" w:sz="0" w:space="0" w:color="auto"/>
                    <w:left w:val="none" w:sz="0" w:space="0" w:color="auto"/>
                    <w:bottom w:val="none" w:sz="0" w:space="0" w:color="auto"/>
                    <w:right w:val="none" w:sz="0" w:space="0" w:color="auto"/>
                  </w:divBdr>
                  <w:divsChild>
                    <w:div w:id="810486857">
                      <w:marLeft w:val="0"/>
                      <w:marRight w:val="0"/>
                      <w:marTop w:val="0"/>
                      <w:marBottom w:val="0"/>
                      <w:divBdr>
                        <w:top w:val="none" w:sz="0" w:space="0" w:color="auto"/>
                        <w:left w:val="none" w:sz="0" w:space="0" w:color="auto"/>
                        <w:bottom w:val="none" w:sz="0" w:space="0" w:color="auto"/>
                        <w:right w:val="none" w:sz="0" w:space="0" w:color="auto"/>
                      </w:divBdr>
                    </w:div>
                  </w:divsChild>
                </w:div>
                <w:div w:id="1441679601">
                  <w:marLeft w:val="0"/>
                  <w:marRight w:val="0"/>
                  <w:marTop w:val="0"/>
                  <w:marBottom w:val="0"/>
                  <w:divBdr>
                    <w:top w:val="none" w:sz="0" w:space="0" w:color="auto"/>
                    <w:left w:val="none" w:sz="0" w:space="0" w:color="auto"/>
                    <w:bottom w:val="none" w:sz="0" w:space="0" w:color="auto"/>
                    <w:right w:val="none" w:sz="0" w:space="0" w:color="auto"/>
                  </w:divBdr>
                  <w:divsChild>
                    <w:div w:id="657003961">
                      <w:marLeft w:val="0"/>
                      <w:marRight w:val="0"/>
                      <w:marTop w:val="0"/>
                      <w:marBottom w:val="0"/>
                      <w:divBdr>
                        <w:top w:val="none" w:sz="0" w:space="0" w:color="auto"/>
                        <w:left w:val="none" w:sz="0" w:space="0" w:color="auto"/>
                        <w:bottom w:val="none" w:sz="0" w:space="0" w:color="auto"/>
                        <w:right w:val="none" w:sz="0" w:space="0" w:color="auto"/>
                      </w:divBdr>
                    </w:div>
                  </w:divsChild>
                </w:div>
                <w:div w:id="1442533572">
                  <w:marLeft w:val="0"/>
                  <w:marRight w:val="0"/>
                  <w:marTop w:val="0"/>
                  <w:marBottom w:val="0"/>
                  <w:divBdr>
                    <w:top w:val="none" w:sz="0" w:space="0" w:color="auto"/>
                    <w:left w:val="none" w:sz="0" w:space="0" w:color="auto"/>
                    <w:bottom w:val="none" w:sz="0" w:space="0" w:color="auto"/>
                    <w:right w:val="none" w:sz="0" w:space="0" w:color="auto"/>
                  </w:divBdr>
                  <w:divsChild>
                    <w:div w:id="1470397571">
                      <w:marLeft w:val="0"/>
                      <w:marRight w:val="0"/>
                      <w:marTop w:val="0"/>
                      <w:marBottom w:val="0"/>
                      <w:divBdr>
                        <w:top w:val="none" w:sz="0" w:space="0" w:color="auto"/>
                        <w:left w:val="none" w:sz="0" w:space="0" w:color="auto"/>
                        <w:bottom w:val="none" w:sz="0" w:space="0" w:color="auto"/>
                        <w:right w:val="none" w:sz="0" w:space="0" w:color="auto"/>
                      </w:divBdr>
                    </w:div>
                  </w:divsChild>
                </w:div>
                <w:div w:id="1489711469">
                  <w:marLeft w:val="0"/>
                  <w:marRight w:val="0"/>
                  <w:marTop w:val="0"/>
                  <w:marBottom w:val="0"/>
                  <w:divBdr>
                    <w:top w:val="none" w:sz="0" w:space="0" w:color="auto"/>
                    <w:left w:val="none" w:sz="0" w:space="0" w:color="auto"/>
                    <w:bottom w:val="none" w:sz="0" w:space="0" w:color="auto"/>
                    <w:right w:val="none" w:sz="0" w:space="0" w:color="auto"/>
                  </w:divBdr>
                  <w:divsChild>
                    <w:div w:id="2136095307">
                      <w:marLeft w:val="0"/>
                      <w:marRight w:val="0"/>
                      <w:marTop w:val="0"/>
                      <w:marBottom w:val="0"/>
                      <w:divBdr>
                        <w:top w:val="none" w:sz="0" w:space="0" w:color="auto"/>
                        <w:left w:val="none" w:sz="0" w:space="0" w:color="auto"/>
                        <w:bottom w:val="none" w:sz="0" w:space="0" w:color="auto"/>
                        <w:right w:val="none" w:sz="0" w:space="0" w:color="auto"/>
                      </w:divBdr>
                    </w:div>
                  </w:divsChild>
                </w:div>
                <w:div w:id="1587300388">
                  <w:marLeft w:val="0"/>
                  <w:marRight w:val="0"/>
                  <w:marTop w:val="0"/>
                  <w:marBottom w:val="0"/>
                  <w:divBdr>
                    <w:top w:val="none" w:sz="0" w:space="0" w:color="auto"/>
                    <w:left w:val="none" w:sz="0" w:space="0" w:color="auto"/>
                    <w:bottom w:val="none" w:sz="0" w:space="0" w:color="auto"/>
                    <w:right w:val="none" w:sz="0" w:space="0" w:color="auto"/>
                  </w:divBdr>
                  <w:divsChild>
                    <w:div w:id="577135132">
                      <w:marLeft w:val="0"/>
                      <w:marRight w:val="0"/>
                      <w:marTop w:val="0"/>
                      <w:marBottom w:val="0"/>
                      <w:divBdr>
                        <w:top w:val="none" w:sz="0" w:space="0" w:color="auto"/>
                        <w:left w:val="none" w:sz="0" w:space="0" w:color="auto"/>
                        <w:bottom w:val="none" w:sz="0" w:space="0" w:color="auto"/>
                        <w:right w:val="none" w:sz="0" w:space="0" w:color="auto"/>
                      </w:divBdr>
                    </w:div>
                  </w:divsChild>
                </w:div>
                <w:div w:id="1604069467">
                  <w:marLeft w:val="0"/>
                  <w:marRight w:val="0"/>
                  <w:marTop w:val="0"/>
                  <w:marBottom w:val="0"/>
                  <w:divBdr>
                    <w:top w:val="none" w:sz="0" w:space="0" w:color="auto"/>
                    <w:left w:val="none" w:sz="0" w:space="0" w:color="auto"/>
                    <w:bottom w:val="none" w:sz="0" w:space="0" w:color="auto"/>
                    <w:right w:val="none" w:sz="0" w:space="0" w:color="auto"/>
                  </w:divBdr>
                  <w:divsChild>
                    <w:div w:id="1288045501">
                      <w:marLeft w:val="0"/>
                      <w:marRight w:val="0"/>
                      <w:marTop w:val="0"/>
                      <w:marBottom w:val="0"/>
                      <w:divBdr>
                        <w:top w:val="none" w:sz="0" w:space="0" w:color="auto"/>
                        <w:left w:val="none" w:sz="0" w:space="0" w:color="auto"/>
                        <w:bottom w:val="none" w:sz="0" w:space="0" w:color="auto"/>
                        <w:right w:val="none" w:sz="0" w:space="0" w:color="auto"/>
                      </w:divBdr>
                    </w:div>
                  </w:divsChild>
                </w:div>
                <w:div w:id="1657371347">
                  <w:marLeft w:val="0"/>
                  <w:marRight w:val="0"/>
                  <w:marTop w:val="0"/>
                  <w:marBottom w:val="0"/>
                  <w:divBdr>
                    <w:top w:val="none" w:sz="0" w:space="0" w:color="auto"/>
                    <w:left w:val="none" w:sz="0" w:space="0" w:color="auto"/>
                    <w:bottom w:val="none" w:sz="0" w:space="0" w:color="auto"/>
                    <w:right w:val="none" w:sz="0" w:space="0" w:color="auto"/>
                  </w:divBdr>
                  <w:divsChild>
                    <w:div w:id="1107775686">
                      <w:marLeft w:val="0"/>
                      <w:marRight w:val="0"/>
                      <w:marTop w:val="0"/>
                      <w:marBottom w:val="0"/>
                      <w:divBdr>
                        <w:top w:val="none" w:sz="0" w:space="0" w:color="auto"/>
                        <w:left w:val="none" w:sz="0" w:space="0" w:color="auto"/>
                        <w:bottom w:val="none" w:sz="0" w:space="0" w:color="auto"/>
                        <w:right w:val="none" w:sz="0" w:space="0" w:color="auto"/>
                      </w:divBdr>
                    </w:div>
                  </w:divsChild>
                </w:div>
                <w:div w:id="1689671916">
                  <w:marLeft w:val="0"/>
                  <w:marRight w:val="0"/>
                  <w:marTop w:val="0"/>
                  <w:marBottom w:val="0"/>
                  <w:divBdr>
                    <w:top w:val="none" w:sz="0" w:space="0" w:color="auto"/>
                    <w:left w:val="none" w:sz="0" w:space="0" w:color="auto"/>
                    <w:bottom w:val="none" w:sz="0" w:space="0" w:color="auto"/>
                    <w:right w:val="none" w:sz="0" w:space="0" w:color="auto"/>
                  </w:divBdr>
                  <w:divsChild>
                    <w:div w:id="423648322">
                      <w:marLeft w:val="0"/>
                      <w:marRight w:val="0"/>
                      <w:marTop w:val="0"/>
                      <w:marBottom w:val="0"/>
                      <w:divBdr>
                        <w:top w:val="none" w:sz="0" w:space="0" w:color="auto"/>
                        <w:left w:val="none" w:sz="0" w:space="0" w:color="auto"/>
                        <w:bottom w:val="none" w:sz="0" w:space="0" w:color="auto"/>
                        <w:right w:val="none" w:sz="0" w:space="0" w:color="auto"/>
                      </w:divBdr>
                    </w:div>
                  </w:divsChild>
                </w:div>
                <w:div w:id="1695954710">
                  <w:marLeft w:val="0"/>
                  <w:marRight w:val="0"/>
                  <w:marTop w:val="0"/>
                  <w:marBottom w:val="0"/>
                  <w:divBdr>
                    <w:top w:val="none" w:sz="0" w:space="0" w:color="auto"/>
                    <w:left w:val="none" w:sz="0" w:space="0" w:color="auto"/>
                    <w:bottom w:val="none" w:sz="0" w:space="0" w:color="auto"/>
                    <w:right w:val="none" w:sz="0" w:space="0" w:color="auto"/>
                  </w:divBdr>
                  <w:divsChild>
                    <w:div w:id="1233079177">
                      <w:marLeft w:val="0"/>
                      <w:marRight w:val="0"/>
                      <w:marTop w:val="0"/>
                      <w:marBottom w:val="0"/>
                      <w:divBdr>
                        <w:top w:val="none" w:sz="0" w:space="0" w:color="auto"/>
                        <w:left w:val="none" w:sz="0" w:space="0" w:color="auto"/>
                        <w:bottom w:val="none" w:sz="0" w:space="0" w:color="auto"/>
                        <w:right w:val="none" w:sz="0" w:space="0" w:color="auto"/>
                      </w:divBdr>
                    </w:div>
                  </w:divsChild>
                </w:div>
                <w:div w:id="1799446736">
                  <w:marLeft w:val="0"/>
                  <w:marRight w:val="0"/>
                  <w:marTop w:val="0"/>
                  <w:marBottom w:val="0"/>
                  <w:divBdr>
                    <w:top w:val="none" w:sz="0" w:space="0" w:color="auto"/>
                    <w:left w:val="none" w:sz="0" w:space="0" w:color="auto"/>
                    <w:bottom w:val="none" w:sz="0" w:space="0" w:color="auto"/>
                    <w:right w:val="none" w:sz="0" w:space="0" w:color="auto"/>
                  </w:divBdr>
                  <w:divsChild>
                    <w:div w:id="1901666856">
                      <w:marLeft w:val="0"/>
                      <w:marRight w:val="0"/>
                      <w:marTop w:val="0"/>
                      <w:marBottom w:val="0"/>
                      <w:divBdr>
                        <w:top w:val="none" w:sz="0" w:space="0" w:color="auto"/>
                        <w:left w:val="none" w:sz="0" w:space="0" w:color="auto"/>
                        <w:bottom w:val="none" w:sz="0" w:space="0" w:color="auto"/>
                        <w:right w:val="none" w:sz="0" w:space="0" w:color="auto"/>
                      </w:divBdr>
                    </w:div>
                  </w:divsChild>
                </w:div>
                <w:div w:id="1820342219">
                  <w:marLeft w:val="0"/>
                  <w:marRight w:val="0"/>
                  <w:marTop w:val="0"/>
                  <w:marBottom w:val="0"/>
                  <w:divBdr>
                    <w:top w:val="none" w:sz="0" w:space="0" w:color="auto"/>
                    <w:left w:val="none" w:sz="0" w:space="0" w:color="auto"/>
                    <w:bottom w:val="none" w:sz="0" w:space="0" w:color="auto"/>
                    <w:right w:val="none" w:sz="0" w:space="0" w:color="auto"/>
                  </w:divBdr>
                  <w:divsChild>
                    <w:div w:id="1158766071">
                      <w:marLeft w:val="0"/>
                      <w:marRight w:val="0"/>
                      <w:marTop w:val="0"/>
                      <w:marBottom w:val="0"/>
                      <w:divBdr>
                        <w:top w:val="none" w:sz="0" w:space="0" w:color="auto"/>
                        <w:left w:val="none" w:sz="0" w:space="0" w:color="auto"/>
                        <w:bottom w:val="none" w:sz="0" w:space="0" w:color="auto"/>
                        <w:right w:val="none" w:sz="0" w:space="0" w:color="auto"/>
                      </w:divBdr>
                    </w:div>
                  </w:divsChild>
                </w:div>
                <w:div w:id="1870141188">
                  <w:marLeft w:val="0"/>
                  <w:marRight w:val="0"/>
                  <w:marTop w:val="0"/>
                  <w:marBottom w:val="0"/>
                  <w:divBdr>
                    <w:top w:val="none" w:sz="0" w:space="0" w:color="auto"/>
                    <w:left w:val="none" w:sz="0" w:space="0" w:color="auto"/>
                    <w:bottom w:val="none" w:sz="0" w:space="0" w:color="auto"/>
                    <w:right w:val="none" w:sz="0" w:space="0" w:color="auto"/>
                  </w:divBdr>
                  <w:divsChild>
                    <w:div w:id="150223118">
                      <w:marLeft w:val="0"/>
                      <w:marRight w:val="0"/>
                      <w:marTop w:val="0"/>
                      <w:marBottom w:val="0"/>
                      <w:divBdr>
                        <w:top w:val="none" w:sz="0" w:space="0" w:color="auto"/>
                        <w:left w:val="none" w:sz="0" w:space="0" w:color="auto"/>
                        <w:bottom w:val="none" w:sz="0" w:space="0" w:color="auto"/>
                        <w:right w:val="none" w:sz="0" w:space="0" w:color="auto"/>
                      </w:divBdr>
                    </w:div>
                  </w:divsChild>
                </w:div>
                <w:div w:id="1942183485">
                  <w:marLeft w:val="0"/>
                  <w:marRight w:val="0"/>
                  <w:marTop w:val="0"/>
                  <w:marBottom w:val="0"/>
                  <w:divBdr>
                    <w:top w:val="none" w:sz="0" w:space="0" w:color="auto"/>
                    <w:left w:val="none" w:sz="0" w:space="0" w:color="auto"/>
                    <w:bottom w:val="none" w:sz="0" w:space="0" w:color="auto"/>
                    <w:right w:val="none" w:sz="0" w:space="0" w:color="auto"/>
                  </w:divBdr>
                  <w:divsChild>
                    <w:div w:id="522205978">
                      <w:marLeft w:val="0"/>
                      <w:marRight w:val="0"/>
                      <w:marTop w:val="0"/>
                      <w:marBottom w:val="0"/>
                      <w:divBdr>
                        <w:top w:val="none" w:sz="0" w:space="0" w:color="auto"/>
                        <w:left w:val="none" w:sz="0" w:space="0" w:color="auto"/>
                        <w:bottom w:val="none" w:sz="0" w:space="0" w:color="auto"/>
                        <w:right w:val="none" w:sz="0" w:space="0" w:color="auto"/>
                      </w:divBdr>
                    </w:div>
                  </w:divsChild>
                </w:div>
                <w:div w:id="2003004231">
                  <w:marLeft w:val="0"/>
                  <w:marRight w:val="0"/>
                  <w:marTop w:val="0"/>
                  <w:marBottom w:val="0"/>
                  <w:divBdr>
                    <w:top w:val="none" w:sz="0" w:space="0" w:color="auto"/>
                    <w:left w:val="none" w:sz="0" w:space="0" w:color="auto"/>
                    <w:bottom w:val="none" w:sz="0" w:space="0" w:color="auto"/>
                    <w:right w:val="none" w:sz="0" w:space="0" w:color="auto"/>
                  </w:divBdr>
                  <w:divsChild>
                    <w:div w:id="21419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6859">
          <w:marLeft w:val="0"/>
          <w:marRight w:val="0"/>
          <w:marTop w:val="0"/>
          <w:marBottom w:val="0"/>
          <w:divBdr>
            <w:top w:val="none" w:sz="0" w:space="0" w:color="auto"/>
            <w:left w:val="none" w:sz="0" w:space="0" w:color="auto"/>
            <w:bottom w:val="none" w:sz="0" w:space="0" w:color="auto"/>
            <w:right w:val="none" w:sz="0" w:space="0" w:color="auto"/>
          </w:divBdr>
          <w:divsChild>
            <w:div w:id="316157163">
              <w:marLeft w:val="-75"/>
              <w:marRight w:val="0"/>
              <w:marTop w:val="30"/>
              <w:marBottom w:val="30"/>
              <w:divBdr>
                <w:top w:val="none" w:sz="0" w:space="0" w:color="auto"/>
                <w:left w:val="none" w:sz="0" w:space="0" w:color="auto"/>
                <w:bottom w:val="none" w:sz="0" w:space="0" w:color="auto"/>
                <w:right w:val="none" w:sz="0" w:space="0" w:color="auto"/>
              </w:divBdr>
              <w:divsChild>
                <w:div w:id="47339657">
                  <w:marLeft w:val="0"/>
                  <w:marRight w:val="0"/>
                  <w:marTop w:val="0"/>
                  <w:marBottom w:val="0"/>
                  <w:divBdr>
                    <w:top w:val="none" w:sz="0" w:space="0" w:color="auto"/>
                    <w:left w:val="none" w:sz="0" w:space="0" w:color="auto"/>
                    <w:bottom w:val="none" w:sz="0" w:space="0" w:color="auto"/>
                    <w:right w:val="none" w:sz="0" w:space="0" w:color="auto"/>
                  </w:divBdr>
                  <w:divsChild>
                    <w:div w:id="1069882500">
                      <w:marLeft w:val="0"/>
                      <w:marRight w:val="0"/>
                      <w:marTop w:val="0"/>
                      <w:marBottom w:val="0"/>
                      <w:divBdr>
                        <w:top w:val="none" w:sz="0" w:space="0" w:color="auto"/>
                        <w:left w:val="none" w:sz="0" w:space="0" w:color="auto"/>
                        <w:bottom w:val="none" w:sz="0" w:space="0" w:color="auto"/>
                        <w:right w:val="none" w:sz="0" w:space="0" w:color="auto"/>
                      </w:divBdr>
                    </w:div>
                  </w:divsChild>
                </w:div>
                <w:div w:id="100494772">
                  <w:marLeft w:val="0"/>
                  <w:marRight w:val="0"/>
                  <w:marTop w:val="0"/>
                  <w:marBottom w:val="0"/>
                  <w:divBdr>
                    <w:top w:val="none" w:sz="0" w:space="0" w:color="auto"/>
                    <w:left w:val="none" w:sz="0" w:space="0" w:color="auto"/>
                    <w:bottom w:val="none" w:sz="0" w:space="0" w:color="auto"/>
                    <w:right w:val="none" w:sz="0" w:space="0" w:color="auto"/>
                  </w:divBdr>
                  <w:divsChild>
                    <w:div w:id="174151445">
                      <w:marLeft w:val="0"/>
                      <w:marRight w:val="0"/>
                      <w:marTop w:val="0"/>
                      <w:marBottom w:val="0"/>
                      <w:divBdr>
                        <w:top w:val="none" w:sz="0" w:space="0" w:color="auto"/>
                        <w:left w:val="none" w:sz="0" w:space="0" w:color="auto"/>
                        <w:bottom w:val="none" w:sz="0" w:space="0" w:color="auto"/>
                        <w:right w:val="none" w:sz="0" w:space="0" w:color="auto"/>
                      </w:divBdr>
                    </w:div>
                    <w:div w:id="1939604781">
                      <w:marLeft w:val="0"/>
                      <w:marRight w:val="0"/>
                      <w:marTop w:val="0"/>
                      <w:marBottom w:val="0"/>
                      <w:divBdr>
                        <w:top w:val="none" w:sz="0" w:space="0" w:color="auto"/>
                        <w:left w:val="none" w:sz="0" w:space="0" w:color="auto"/>
                        <w:bottom w:val="none" w:sz="0" w:space="0" w:color="auto"/>
                        <w:right w:val="none" w:sz="0" w:space="0" w:color="auto"/>
                      </w:divBdr>
                    </w:div>
                  </w:divsChild>
                </w:div>
                <w:div w:id="143662886">
                  <w:marLeft w:val="0"/>
                  <w:marRight w:val="0"/>
                  <w:marTop w:val="0"/>
                  <w:marBottom w:val="0"/>
                  <w:divBdr>
                    <w:top w:val="none" w:sz="0" w:space="0" w:color="auto"/>
                    <w:left w:val="none" w:sz="0" w:space="0" w:color="auto"/>
                    <w:bottom w:val="none" w:sz="0" w:space="0" w:color="auto"/>
                    <w:right w:val="none" w:sz="0" w:space="0" w:color="auto"/>
                  </w:divBdr>
                  <w:divsChild>
                    <w:div w:id="175965037">
                      <w:marLeft w:val="0"/>
                      <w:marRight w:val="0"/>
                      <w:marTop w:val="0"/>
                      <w:marBottom w:val="0"/>
                      <w:divBdr>
                        <w:top w:val="none" w:sz="0" w:space="0" w:color="auto"/>
                        <w:left w:val="none" w:sz="0" w:space="0" w:color="auto"/>
                        <w:bottom w:val="none" w:sz="0" w:space="0" w:color="auto"/>
                        <w:right w:val="none" w:sz="0" w:space="0" w:color="auto"/>
                      </w:divBdr>
                    </w:div>
                  </w:divsChild>
                </w:div>
                <w:div w:id="255792587">
                  <w:marLeft w:val="0"/>
                  <w:marRight w:val="0"/>
                  <w:marTop w:val="0"/>
                  <w:marBottom w:val="0"/>
                  <w:divBdr>
                    <w:top w:val="none" w:sz="0" w:space="0" w:color="auto"/>
                    <w:left w:val="none" w:sz="0" w:space="0" w:color="auto"/>
                    <w:bottom w:val="none" w:sz="0" w:space="0" w:color="auto"/>
                    <w:right w:val="none" w:sz="0" w:space="0" w:color="auto"/>
                  </w:divBdr>
                  <w:divsChild>
                    <w:div w:id="476262113">
                      <w:marLeft w:val="0"/>
                      <w:marRight w:val="0"/>
                      <w:marTop w:val="0"/>
                      <w:marBottom w:val="0"/>
                      <w:divBdr>
                        <w:top w:val="none" w:sz="0" w:space="0" w:color="auto"/>
                        <w:left w:val="none" w:sz="0" w:space="0" w:color="auto"/>
                        <w:bottom w:val="none" w:sz="0" w:space="0" w:color="auto"/>
                        <w:right w:val="none" w:sz="0" w:space="0" w:color="auto"/>
                      </w:divBdr>
                    </w:div>
                  </w:divsChild>
                </w:div>
                <w:div w:id="273101516">
                  <w:marLeft w:val="0"/>
                  <w:marRight w:val="0"/>
                  <w:marTop w:val="0"/>
                  <w:marBottom w:val="0"/>
                  <w:divBdr>
                    <w:top w:val="none" w:sz="0" w:space="0" w:color="auto"/>
                    <w:left w:val="none" w:sz="0" w:space="0" w:color="auto"/>
                    <w:bottom w:val="none" w:sz="0" w:space="0" w:color="auto"/>
                    <w:right w:val="none" w:sz="0" w:space="0" w:color="auto"/>
                  </w:divBdr>
                  <w:divsChild>
                    <w:div w:id="1885946702">
                      <w:marLeft w:val="0"/>
                      <w:marRight w:val="0"/>
                      <w:marTop w:val="0"/>
                      <w:marBottom w:val="0"/>
                      <w:divBdr>
                        <w:top w:val="none" w:sz="0" w:space="0" w:color="auto"/>
                        <w:left w:val="none" w:sz="0" w:space="0" w:color="auto"/>
                        <w:bottom w:val="none" w:sz="0" w:space="0" w:color="auto"/>
                        <w:right w:val="none" w:sz="0" w:space="0" w:color="auto"/>
                      </w:divBdr>
                    </w:div>
                  </w:divsChild>
                </w:div>
                <w:div w:id="375815725">
                  <w:marLeft w:val="0"/>
                  <w:marRight w:val="0"/>
                  <w:marTop w:val="0"/>
                  <w:marBottom w:val="0"/>
                  <w:divBdr>
                    <w:top w:val="none" w:sz="0" w:space="0" w:color="auto"/>
                    <w:left w:val="none" w:sz="0" w:space="0" w:color="auto"/>
                    <w:bottom w:val="none" w:sz="0" w:space="0" w:color="auto"/>
                    <w:right w:val="none" w:sz="0" w:space="0" w:color="auto"/>
                  </w:divBdr>
                  <w:divsChild>
                    <w:div w:id="2094667685">
                      <w:marLeft w:val="0"/>
                      <w:marRight w:val="0"/>
                      <w:marTop w:val="0"/>
                      <w:marBottom w:val="0"/>
                      <w:divBdr>
                        <w:top w:val="none" w:sz="0" w:space="0" w:color="auto"/>
                        <w:left w:val="none" w:sz="0" w:space="0" w:color="auto"/>
                        <w:bottom w:val="none" w:sz="0" w:space="0" w:color="auto"/>
                        <w:right w:val="none" w:sz="0" w:space="0" w:color="auto"/>
                      </w:divBdr>
                    </w:div>
                  </w:divsChild>
                </w:div>
                <w:div w:id="396706284">
                  <w:marLeft w:val="0"/>
                  <w:marRight w:val="0"/>
                  <w:marTop w:val="0"/>
                  <w:marBottom w:val="0"/>
                  <w:divBdr>
                    <w:top w:val="none" w:sz="0" w:space="0" w:color="auto"/>
                    <w:left w:val="none" w:sz="0" w:space="0" w:color="auto"/>
                    <w:bottom w:val="none" w:sz="0" w:space="0" w:color="auto"/>
                    <w:right w:val="none" w:sz="0" w:space="0" w:color="auto"/>
                  </w:divBdr>
                  <w:divsChild>
                    <w:div w:id="792600866">
                      <w:marLeft w:val="0"/>
                      <w:marRight w:val="0"/>
                      <w:marTop w:val="0"/>
                      <w:marBottom w:val="0"/>
                      <w:divBdr>
                        <w:top w:val="none" w:sz="0" w:space="0" w:color="auto"/>
                        <w:left w:val="none" w:sz="0" w:space="0" w:color="auto"/>
                        <w:bottom w:val="none" w:sz="0" w:space="0" w:color="auto"/>
                        <w:right w:val="none" w:sz="0" w:space="0" w:color="auto"/>
                      </w:divBdr>
                    </w:div>
                  </w:divsChild>
                </w:div>
                <w:div w:id="470757440">
                  <w:marLeft w:val="0"/>
                  <w:marRight w:val="0"/>
                  <w:marTop w:val="0"/>
                  <w:marBottom w:val="0"/>
                  <w:divBdr>
                    <w:top w:val="none" w:sz="0" w:space="0" w:color="auto"/>
                    <w:left w:val="none" w:sz="0" w:space="0" w:color="auto"/>
                    <w:bottom w:val="none" w:sz="0" w:space="0" w:color="auto"/>
                    <w:right w:val="none" w:sz="0" w:space="0" w:color="auto"/>
                  </w:divBdr>
                  <w:divsChild>
                    <w:div w:id="1381519840">
                      <w:marLeft w:val="0"/>
                      <w:marRight w:val="0"/>
                      <w:marTop w:val="0"/>
                      <w:marBottom w:val="0"/>
                      <w:divBdr>
                        <w:top w:val="none" w:sz="0" w:space="0" w:color="auto"/>
                        <w:left w:val="none" w:sz="0" w:space="0" w:color="auto"/>
                        <w:bottom w:val="none" w:sz="0" w:space="0" w:color="auto"/>
                        <w:right w:val="none" w:sz="0" w:space="0" w:color="auto"/>
                      </w:divBdr>
                    </w:div>
                  </w:divsChild>
                </w:div>
                <w:div w:id="649138992">
                  <w:marLeft w:val="0"/>
                  <w:marRight w:val="0"/>
                  <w:marTop w:val="0"/>
                  <w:marBottom w:val="0"/>
                  <w:divBdr>
                    <w:top w:val="none" w:sz="0" w:space="0" w:color="auto"/>
                    <w:left w:val="none" w:sz="0" w:space="0" w:color="auto"/>
                    <w:bottom w:val="none" w:sz="0" w:space="0" w:color="auto"/>
                    <w:right w:val="none" w:sz="0" w:space="0" w:color="auto"/>
                  </w:divBdr>
                  <w:divsChild>
                    <w:div w:id="198131300">
                      <w:marLeft w:val="0"/>
                      <w:marRight w:val="0"/>
                      <w:marTop w:val="0"/>
                      <w:marBottom w:val="0"/>
                      <w:divBdr>
                        <w:top w:val="none" w:sz="0" w:space="0" w:color="auto"/>
                        <w:left w:val="none" w:sz="0" w:space="0" w:color="auto"/>
                        <w:bottom w:val="none" w:sz="0" w:space="0" w:color="auto"/>
                        <w:right w:val="none" w:sz="0" w:space="0" w:color="auto"/>
                      </w:divBdr>
                    </w:div>
                  </w:divsChild>
                </w:div>
                <w:div w:id="698707022">
                  <w:marLeft w:val="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 w:id="734471023">
                  <w:marLeft w:val="0"/>
                  <w:marRight w:val="0"/>
                  <w:marTop w:val="0"/>
                  <w:marBottom w:val="0"/>
                  <w:divBdr>
                    <w:top w:val="none" w:sz="0" w:space="0" w:color="auto"/>
                    <w:left w:val="none" w:sz="0" w:space="0" w:color="auto"/>
                    <w:bottom w:val="none" w:sz="0" w:space="0" w:color="auto"/>
                    <w:right w:val="none" w:sz="0" w:space="0" w:color="auto"/>
                  </w:divBdr>
                  <w:divsChild>
                    <w:div w:id="688605593">
                      <w:marLeft w:val="0"/>
                      <w:marRight w:val="0"/>
                      <w:marTop w:val="0"/>
                      <w:marBottom w:val="0"/>
                      <w:divBdr>
                        <w:top w:val="none" w:sz="0" w:space="0" w:color="auto"/>
                        <w:left w:val="none" w:sz="0" w:space="0" w:color="auto"/>
                        <w:bottom w:val="none" w:sz="0" w:space="0" w:color="auto"/>
                        <w:right w:val="none" w:sz="0" w:space="0" w:color="auto"/>
                      </w:divBdr>
                    </w:div>
                    <w:div w:id="2102532145">
                      <w:marLeft w:val="0"/>
                      <w:marRight w:val="0"/>
                      <w:marTop w:val="0"/>
                      <w:marBottom w:val="0"/>
                      <w:divBdr>
                        <w:top w:val="none" w:sz="0" w:space="0" w:color="auto"/>
                        <w:left w:val="none" w:sz="0" w:space="0" w:color="auto"/>
                        <w:bottom w:val="none" w:sz="0" w:space="0" w:color="auto"/>
                        <w:right w:val="none" w:sz="0" w:space="0" w:color="auto"/>
                      </w:divBdr>
                    </w:div>
                  </w:divsChild>
                </w:div>
                <w:div w:id="1054162737">
                  <w:marLeft w:val="0"/>
                  <w:marRight w:val="0"/>
                  <w:marTop w:val="0"/>
                  <w:marBottom w:val="0"/>
                  <w:divBdr>
                    <w:top w:val="none" w:sz="0" w:space="0" w:color="auto"/>
                    <w:left w:val="none" w:sz="0" w:space="0" w:color="auto"/>
                    <w:bottom w:val="none" w:sz="0" w:space="0" w:color="auto"/>
                    <w:right w:val="none" w:sz="0" w:space="0" w:color="auto"/>
                  </w:divBdr>
                  <w:divsChild>
                    <w:div w:id="1275400418">
                      <w:marLeft w:val="0"/>
                      <w:marRight w:val="0"/>
                      <w:marTop w:val="0"/>
                      <w:marBottom w:val="0"/>
                      <w:divBdr>
                        <w:top w:val="none" w:sz="0" w:space="0" w:color="auto"/>
                        <w:left w:val="none" w:sz="0" w:space="0" w:color="auto"/>
                        <w:bottom w:val="none" w:sz="0" w:space="0" w:color="auto"/>
                        <w:right w:val="none" w:sz="0" w:space="0" w:color="auto"/>
                      </w:divBdr>
                    </w:div>
                  </w:divsChild>
                </w:div>
                <w:div w:id="1091197081">
                  <w:marLeft w:val="0"/>
                  <w:marRight w:val="0"/>
                  <w:marTop w:val="0"/>
                  <w:marBottom w:val="0"/>
                  <w:divBdr>
                    <w:top w:val="none" w:sz="0" w:space="0" w:color="auto"/>
                    <w:left w:val="none" w:sz="0" w:space="0" w:color="auto"/>
                    <w:bottom w:val="none" w:sz="0" w:space="0" w:color="auto"/>
                    <w:right w:val="none" w:sz="0" w:space="0" w:color="auto"/>
                  </w:divBdr>
                  <w:divsChild>
                    <w:div w:id="564951744">
                      <w:marLeft w:val="0"/>
                      <w:marRight w:val="0"/>
                      <w:marTop w:val="0"/>
                      <w:marBottom w:val="0"/>
                      <w:divBdr>
                        <w:top w:val="none" w:sz="0" w:space="0" w:color="auto"/>
                        <w:left w:val="none" w:sz="0" w:space="0" w:color="auto"/>
                        <w:bottom w:val="none" w:sz="0" w:space="0" w:color="auto"/>
                        <w:right w:val="none" w:sz="0" w:space="0" w:color="auto"/>
                      </w:divBdr>
                    </w:div>
                  </w:divsChild>
                </w:div>
                <w:div w:id="1238056364">
                  <w:marLeft w:val="0"/>
                  <w:marRight w:val="0"/>
                  <w:marTop w:val="0"/>
                  <w:marBottom w:val="0"/>
                  <w:divBdr>
                    <w:top w:val="none" w:sz="0" w:space="0" w:color="auto"/>
                    <w:left w:val="none" w:sz="0" w:space="0" w:color="auto"/>
                    <w:bottom w:val="none" w:sz="0" w:space="0" w:color="auto"/>
                    <w:right w:val="none" w:sz="0" w:space="0" w:color="auto"/>
                  </w:divBdr>
                  <w:divsChild>
                    <w:div w:id="340133206">
                      <w:marLeft w:val="0"/>
                      <w:marRight w:val="0"/>
                      <w:marTop w:val="0"/>
                      <w:marBottom w:val="0"/>
                      <w:divBdr>
                        <w:top w:val="none" w:sz="0" w:space="0" w:color="auto"/>
                        <w:left w:val="none" w:sz="0" w:space="0" w:color="auto"/>
                        <w:bottom w:val="none" w:sz="0" w:space="0" w:color="auto"/>
                        <w:right w:val="none" w:sz="0" w:space="0" w:color="auto"/>
                      </w:divBdr>
                    </w:div>
                  </w:divsChild>
                </w:div>
                <w:div w:id="1301687079">
                  <w:marLeft w:val="0"/>
                  <w:marRight w:val="0"/>
                  <w:marTop w:val="0"/>
                  <w:marBottom w:val="0"/>
                  <w:divBdr>
                    <w:top w:val="none" w:sz="0" w:space="0" w:color="auto"/>
                    <w:left w:val="none" w:sz="0" w:space="0" w:color="auto"/>
                    <w:bottom w:val="none" w:sz="0" w:space="0" w:color="auto"/>
                    <w:right w:val="none" w:sz="0" w:space="0" w:color="auto"/>
                  </w:divBdr>
                  <w:divsChild>
                    <w:div w:id="1885171365">
                      <w:marLeft w:val="0"/>
                      <w:marRight w:val="0"/>
                      <w:marTop w:val="0"/>
                      <w:marBottom w:val="0"/>
                      <w:divBdr>
                        <w:top w:val="none" w:sz="0" w:space="0" w:color="auto"/>
                        <w:left w:val="none" w:sz="0" w:space="0" w:color="auto"/>
                        <w:bottom w:val="none" w:sz="0" w:space="0" w:color="auto"/>
                        <w:right w:val="none" w:sz="0" w:space="0" w:color="auto"/>
                      </w:divBdr>
                    </w:div>
                  </w:divsChild>
                </w:div>
                <w:div w:id="1401902632">
                  <w:marLeft w:val="0"/>
                  <w:marRight w:val="0"/>
                  <w:marTop w:val="0"/>
                  <w:marBottom w:val="0"/>
                  <w:divBdr>
                    <w:top w:val="none" w:sz="0" w:space="0" w:color="auto"/>
                    <w:left w:val="none" w:sz="0" w:space="0" w:color="auto"/>
                    <w:bottom w:val="none" w:sz="0" w:space="0" w:color="auto"/>
                    <w:right w:val="none" w:sz="0" w:space="0" w:color="auto"/>
                  </w:divBdr>
                  <w:divsChild>
                    <w:div w:id="1959027884">
                      <w:marLeft w:val="0"/>
                      <w:marRight w:val="0"/>
                      <w:marTop w:val="0"/>
                      <w:marBottom w:val="0"/>
                      <w:divBdr>
                        <w:top w:val="none" w:sz="0" w:space="0" w:color="auto"/>
                        <w:left w:val="none" w:sz="0" w:space="0" w:color="auto"/>
                        <w:bottom w:val="none" w:sz="0" w:space="0" w:color="auto"/>
                        <w:right w:val="none" w:sz="0" w:space="0" w:color="auto"/>
                      </w:divBdr>
                    </w:div>
                  </w:divsChild>
                </w:div>
                <w:div w:id="1485974901">
                  <w:marLeft w:val="0"/>
                  <w:marRight w:val="0"/>
                  <w:marTop w:val="0"/>
                  <w:marBottom w:val="0"/>
                  <w:divBdr>
                    <w:top w:val="none" w:sz="0" w:space="0" w:color="auto"/>
                    <w:left w:val="none" w:sz="0" w:space="0" w:color="auto"/>
                    <w:bottom w:val="none" w:sz="0" w:space="0" w:color="auto"/>
                    <w:right w:val="none" w:sz="0" w:space="0" w:color="auto"/>
                  </w:divBdr>
                  <w:divsChild>
                    <w:div w:id="512573924">
                      <w:marLeft w:val="0"/>
                      <w:marRight w:val="0"/>
                      <w:marTop w:val="0"/>
                      <w:marBottom w:val="0"/>
                      <w:divBdr>
                        <w:top w:val="none" w:sz="0" w:space="0" w:color="auto"/>
                        <w:left w:val="none" w:sz="0" w:space="0" w:color="auto"/>
                        <w:bottom w:val="none" w:sz="0" w:space="0" w:color="auto"/>
                        <w:right w:val="none" w:sz="0" w:space="0" w:color="auto"/>
                      </w:divBdr>
                    </w:div>
                  </w:divsChild>
                </w:div>
                <w:div w:id="1512183459">
                  <w:marLeft w:val="0"/>
                  <w:marRight w:val="0"/>
                  <w:marTop w:val="0"/>
                  <w:marBottom w:val="0"/>
                  <w:divBdr>
                    <w:top w:val="none" w:sz="0" w:space="0" w:color="auto"/>
                    <w:left w:val="none" w:sz="0" w:space="0" w:color="auto"/>
                    <w:bottom w:val="none" w:sz="0" w:space="0" w:color="auto"/>
                    <w:right w:val="none" w:sz="0" w:space="0" w:color="auto"/>
                  </w:divBdr>
                  <w:divsChild>
                    <w:div w:id="382874853">
                      <w:marLeft w:val="0"/>
                      <w:marRight w:val="0"/>
                      <w:marTop w:val="0"/>
                      <w:marBottom w:val="0"/>
                      <w:divBdr>
                        <w:top w:val="none" w:sz="0" w:space="0" w:color="auto"/>
                        <w:left w:val="none" w:sz="0" w:space="0" w:color="auto"/>
                        <w:bottom w:val="none" w:sz="0" w:space="0" w:color="auto"/>
                        <w:right w:val="none" w:sz="0" w:space="0" w:color="auto"/>
                      </w:divBdr>
                    </w:div>
                  </w:divsChild>
                </w:div>
                <w:div w:id="1526401151">
                  <w:marLeft w:val="0"/>
                  <w:marRight w:val="0"/>
                  <w:marTop w:val="0"/>
                  <w:marBottom w:val="0"/>
                  <w:divBdr>
                    <w:top w:val="none" w:sz="0" w:space="0" w:color="auto"/>
                    <w:left w:val="none" w:sz="0" w:space="0" w:color="auto"/>
                    <w:bottom w:val="none" w:sz="0" w:space="0" w:color="auto"/>
                    <w:right w:val="none" w:sz="0" w:space="0" w:color="auto"/>
                  </w:divBdr>
                  <w:divsChild>
                    <w:div w:id="894390146">
                      <w:marLeft w:val="0"/>
                      <w:marRight w:val="0"/>
                      <w:marTop w:val="0"/>
                      <w:marBottom w:val="0"/>
                      <w:divBdr>
                        <w:top w:val="none" w:sz="0" w:space="0" w:color="auto"/>
                        <w:left w:val="none" w:sz="0" w:space="0" w:color="auto"/>
                        <w:bottom w:val="none" w:sz="0" w:space="0" w:color="auto"/>
                        <w:right w:val="none" w:sz="0" w:space="0" w:color="auto"/>
                      </w:divBdr>
                    </w:div>
                  </w:divsChild>
                </w:div>
                <w:div w:id="1528567688">
                  <w:marLeft w:val="0"/>
                  <w:marRight w:val="0"/>
                  <w:marTop w:val="0"/>
                  <w:marBottom w:val="0"/>
                  <w:divBdr>
                    <w:top w:val="none" w:sz="0" w:space="0" w:color="auto"/>
                    <w:left w:val="none" w:sz="0" w:space="0" w:color="auto"/>
                    <w:bottom w:val="none" w:sz="0" w:space="0" w:color="auto"/>
                    <w:right w:val="none" w:sz="0" w:space="0" w:color="auto"/>
                  </w:divBdr>
                  <w:divsChild>
                    <w:div w:id="69159657">
                      <w:marLeft w:val="0"/>
                      <w:marRight w:val="0"/>
                      <w:marTop w:val="0"/>
                      <w:marBottom w:val="0"/>
                      <w:divBdr>
                        <w:top w:val="none" w:sz="0" w:space="0" w:color="auto"/>
                        <w:left w:val="none" w:sz="0" w:space="0" w:color="auto"/>
                        <w:bottom w:val="none" w:sz="0" w:space="0" w:color="auto"/>
                        <w:right w:val="none" w:sz="0" w:space="0" w:color="auto"/>
                      </w:divBdr>
                    </w:div>
                  </w:divsChild>
                </w:div>
                <w:div w:id="1593854194">
                  <w:marLeft w:val="0"/>
                  <w:marRight w:val="0"/>
                  <w:marTop w:val="0"/>
                  <w:marBottom w:val="0"/>
                  <w:divBdr>
                    <w:top w:val="none" w:sz="0" w:space="0" w:color="auto"/>
                    <w:left w:val="none" w:sz="0" w:space="0" w:color="auto"/>
                    <w:bottom w:val="none" w:sz="0" w:space="0" w:color="auto"/>
                    <w:right w:val="none" w:sz="0" w:space="0" w:color="auto"/>
                  </w:divBdr>
                  <w:divsChild>
                    <w:div w:id="1452088197">
                      <w:marLeft w:val="0"/>
                      <w:marRight w:val="0"/>
                      <w:marTop w:val="0"/>
                      <w:marBottom w:val="0"/>
                      <w:divBdr>
                        <w:top w:val="none" w:sz="0" w:space="0" w:color="auto"/>
                        <w:left w:val="none" w:sz="0" w:space="0" w:color="auto"/>
                        <w:bottom w:val="none" w:sz="0" w:space="0" w:color="auto"/>
                        <w:right w:val="none" w:sz="0" w:space="0" w:color="auto"/>
                      </w:divBdr>
                    </w:div>
                  </w:divsChild>
                </w:div>
                <w:div w:id="1602637906">
                  <w:marLeft w:val="0"/>
                  <w:marRight w:val="0"/>
                  <w:marTop w:val="0"/>
                  <w:marBottom w:val="0"/>
                  <w:divBdr>
                    <w:top w:val="none" w:sz="0" w:space="0" w:color="auto"/>
                    <w:left w:val="none" w:sz="0" w:space="0" w:color="auto"/>
                    <w:bottom w:val="none" w:sz="0" w:space="0" w:color="auto"/>
                    <w:right w:val="none" w:sz="0" w:space="0" w:color="auto"/>
                  </w:divBdr>
                  <w:divsChild>
                    <w:div w:id="274680029">
                      <w:marLeft w:val="0"/>
                      <w:marRight w:val="0"/>
                      <w:marTop w:val="0"/>
                      <w:marBottom w:val="0"/>
                      <w:divBdr>
                        <w:top w:val="none" w:sz="0" w:space="0" w:color="auto"/>
                        <w:left w:val="none" w:sz="0" w:space="0" w:color="auto"/>
                        <w:bottom w:val="none" w:sz="0" w:space="0" w:color="auto"/>
                        <w:right w:val="none" w:sz="0" w:space="0" w:color="auto"/>
                      </w:divBdr>
                    </w:div>
                    <w:div w:id="1976328515">
                      <w:marLeft w:val="0"/>
                      <w:marRight w:val="0"/>
                      <w:marTop w:val="0"/>
                      <w:marBottom w:val="0"/>
                      <w:divBdr>
                        <w:top w:val="none" w:sz="0" w:space="0" w:color="auto"/>
                        <w:left w:val="none" w:sz="0" w:space="0" w:color="auto"/>
                        <w:bottom w:val="none" w:sz="0" w:space="0" w:color="auto"/>
                        <w:right w:val="none" w:sz="0" w:space="0" w:color="auto"/>
                      </w:divBdr>
                    </w:div>
                  </w:divsChild>
                </w:div>
                <w:div w:id="1656492697">
                  <w:marLeft w:val="0"/>
                  <w:marRight w:val="0"/>
                  <w:marTop w:val="0"/>
                  <w:marBottom w:val="0"/>
                  <w:divBdr>
                    <w:top w:val="none" w:sz="0" w:space="0" w:color="auto"/>
                    <w:left w:val="none" w:sz="0" w:space="0" w:color="auto"/>
                    <w:bottom w:val="none" w:sz="0" w:space="0" w:color="auto"/>
                    <w:right w:val="none" w:sz="0" w:space="0" w:color="auto"/>
                  </w:divBdr>
                  <w:divsChild>
                    <w:div w:id="1399669143">
                      <w:marLeft w:val="0"/>
                      <w:marRight w:val="0"/>
                      <w:marTop w:val="0"/>
                      <w:marBottom w:val="0"/>
                      <w:divBdr>
                        <w:top w:val="none" w:sz="0" w:space="0" w:color="auto"/>
                        <w:left w:val="none" w:sz="0" w:space="0" w:color="auto"/>
                        <w:bottom w:val="none" w:sz="0" w:space="0" w:color="auto"/>
                        <w:right w:val="none" w:sz="0" w:space="0" w:color="auto"/>
                      </w:divBdr>
                    </w:div>
                  </w:divsChild>
                </w:div>
                <w:div w:id="1847790648">
                  <w:marLeft w:val="0"/>
                  <w:marRight w:val="0"/>
                  <w:marTop w:val="0"/>
                  <w:marBottom w:val="0"/>
                  <w:divBdr>
                    <w:top w:val="none" w:sz="0" w:space="0" w:color="auto"/>
                    <w:left w:val="none" w:sz="0" w:space="0" w:color="auto"/>
                    <w:bottom w:val="none" w:sz="0" w:space="0" w:color="auto"/>
                    <w:right w:val="none" w:sz="0" w:space="0" w:color="auto"/>
                  </w:divBdr>
                  <w:divsChild>
                    <w:div w:id="1960838267">
                      <w:marLeft w:val="0"/>
                      <w:marRight w:val="0"/>
                      <w:marTop w:val="0"/>
                      <w:marBottom w:val="0"/>
                      <w:divBdr>
                        <w:top w:val="none" w:sz="0" w:space="0" w:color="auto"/>
                        <w:left w:val="none" w:sz="0" w:space="0" w:color="auto"/>
                        <w:bottom w:val="none" w:sz="0" w:space="0" w:color="auto"/>
                        <w:right w:val="none" w:sz="0" w:space="0" w:color="auto"/>
                      </w:divBdr>
                    </w:div>
                  </w:divsChild>
                </w:div>
                <w:div w:id="1878080357">
                  <w:marLeft w:val="0"/>
                  <w:marRight w:val="0"/>
                  <w:marTop w:val="0"/>
                  <w:marBottom w:val="0"/>
                  <w:divBdr>
                    <w:top w:val="none" w:sz="0" w:space="0" w:color="auto"/>
                    <w:left w:val="none" w:sz="0" w:space="0" w:color="auto"/>
                    <w:bottom w:val="none" w:sz="0" w:space="0" w:color="auto"/>
                    <w:right w:val="none" w:sz="0" w:space="0" w:color="auto"/>
                  </w:divBdr>
                  <w:divsChild>
                    <w:div w:id="2064522842">
                      <w:marLeft w:val="0"/>
                      <w:marRight w:val="0"/>
                      <w:marTop w:val="0"/>
                      <w:marBottom w:val="0"/>
                      <w:divBdr>
                        <w:top w:val="none" w:sz="0" w:space="0" w:color="auto"/>
                        <w:left w:val="none" w:sz="0" w:space="0" w:color="auto"/>
                        <w:bottom w:val="none" w:sz="0" w:space="0" w:color="auto"/>
                        <w:right w:val="none" w:sz="0" w:space="0" w:color="auto"/>
                      </w:divBdr>
                    </w:div>
                  </w:divsChild>
                </w:div>
                <w:div w:id="2017414616">
                  <w:marLeft w:val="0"/>
                  <w:marRight w:val="0"/>
                  <w:marTop w:val="0"/>
                  <w:marBottom w:val="0"/>
                  <w:divBdr>
                    <w:top w:val="none" w:sz="0" w:space="0" w:color="auto"/>
                    <w:left w:val="none" w:sz="0" w:space="0" w:color="auto"/>
                    <w:bottom w:val="none" w:sz="0" w:space="0" w:color="auto"/>
                    <w:right w:val="none" w:sz="0" w:space="0" w:color="auto"/>
                  </w:divBdr>
                  <w:divsChild>
                    <w:div w:id="321468073">
                      <w:marLeft w:val="0"/>
                      <w:marRight w:val="0"/>
                      <w:marTop w:val="0"/>
                      <w:marBottom w:val="0"/>
                      <w:divBdr>
                        <w:top w:val="none" w:sz="0" w:space="0" w:color="auto"/>
                        <w:left w:val="none" w:sz="0" w:space="0" w:color="auto"/>
                        <w:bottom w:val="none" w:sz="0" w:space="0" w:color="auto"/>
                        <w:right w:val="none" w:sz="0" w:space="0" w:color="auto"/>
                      </w:divBdr>
                    </w:div>
                  </w:divsChild>
                </w:div>
                <w:div w:id="2045934217">
                  <w:marLeft w:val="0"/>
                  <w:marRight w:val="0"/>
                  <w:marTop w:val="0"/>
                  <w:marBottom w:val="0"/>
                  <w:divBdr>
                    <w:top w:val="none" w:sz="0" w:space="0" w:color="auto"/>
                    <w:left w:val="none" w:sz="0" w:space="0" w:color="auto"/>
                    <w:bottom w:val="none" w:sz="0" w:space="0" w:color="auto"/>
                    <w:right w:val="none" w:sz="0" w:space="0" w:color="auto"/>
                  </w:divBdr>
                  <w:divsChild>
                    <w:div w:id="678116990">
                      <w:marLeft w:val="0"/>
                      <w:marRight w:val="0"/>
                      <w:marTop w:val="0"/>
                      <w:marBottom w:val="0"/>
                      <w:divBdr>
                        <w:top w:val="none" w:sz="0" w:space="0" w:color="auto"/>
                        <w:left w:val="none" w:sz="0" w:space="0" w:color="auto"/>
                        <w:bottom w:val="none" w:sz="0" w:space="0" w:color="auto"/>
                        <w:right w:val="none" w:sz="0" w:space="0" w:color="auto"/>
                      </w:divBdr>
                    </w:div>
                  </w:divsChild>
                </w:div>
                <w:div w:id="2127503270">
                  <w:marLeft w:val="0"/>
                  <w:marRight w:val="0"/>
                  <w:marTop w:val="0"/>
                  <w:marBottom w:val="0"/>
                  <w:divBdr>
                    <w:top w:val="none" w:sz="0" w:space="0" w:color="auto"/>
                    <w:left w:val="none" w:sz="0" w:space="0" w:color="auto"/>
                    <w:bottom w:val="none" w:sz="0" w:space="0" w:color="auto"/>
                    <w:right w:val="none" w:sz="0" w:space="0" w:color="auto"/>
                  </w:divBdr>
                  <w:divsChild>
                    <w:div w:id="17437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10">
          <w:marLeft w:val="0"/>
          <w:marRight w:val="0"/>
          <w:marTop w:val="0"/>
          <w:marBottom w:val="0"/>
          <w:divBdr>
            <w:top w:val="none" w:sz="0" w:space="0" w:color="auto"/>
            <w:left w:val="none" w:sz="0" w:space="0" w:color="auto"/>
            <w:bottom w:val="none" w:sz="0" w:space="0" w:color="auto"/>
            <w:right w:val="none" w:sz="0" w:space="0" w:color="auto"/>
          </w:divBdr>
        </w:div>
        <w:div w:id="1257905332">
          <w:marLeft w:val="0"/>
          <w:marRight w:val="0"/>
          <w:marTop w:val="0"/>
          <w:marBottom w:val="0"/>
          <w:divBdr>
            <w:top w:val="none" w:sz="0" w:space="0" w:color="auto"/>
            <w:left w:val="none" w:sz="0" w:space="0" w:color="auto"/>
            <w:bottom w:val="none" w:sz="0" w:space="0" w:color="auto"/>
            <w:right w:val="none" w:sz="0" w:space="0" w:color="auto"/>
          </w:divBdr>
        </w:div>
        <w:div w:id="1417435289">
          <w:marLeft w:val="0"/>
          <w:marRight w:val="0"/>
          <w:marTop w:val="0"/>
          <w:marBottom w:val="0"/>
          <w:divBdr>
            <w:top w:val="none" w:sz="0" w:space="0" w:color="auto"/>
            <w:left w:val="none" w:sz="0" w:space="0" w:color="auto"/>
            <w:bottom w:val="none" w:sz="0" w:space="0" w:color="auto"/>
            <w:right w:val="none" w:sz="0" w:space="0" w:color="auto"/>
          </w:divBdr>
          <w:divsChild>
            <w:div w:id="1429691884">
              <w:marLeft w:val="-75"/>
              <w:marRight w:val="0"/>
              <w:marTop w:val="30"/>
              <w:marBottom w:val="30"/>
              <w:divBdr>
                <w:top w:val="none" w:sz="0" w:space="0" w:color="auto"/>
                <w:left w:val="none" w:sz="0" w:space="0" w:color="auto"/>
                <w:bottom w:val="none" w:sz="0" w:space="0" w:color="auto"/>
                <w:right w:val="none" w:sz="0" w:space="0" w:color="auto"/>
              </w:divBdr>
              <w:divsChild>
                <w:div w:id="18972208">
                  <w:marLeft w:val="0"/>
                  <w:marRight w:val="0"/>
                  <w:marTop w:val="0"/>
                  <w:marBottom w:val="0"/>
                  <w:divBdr>
                    <w:top w:val="none" w:sz="0" w:space="0" w:color="auto"/>
                    <w:left w:val="none" w:sz="0" w:space="0" w:color="auto"/>
                    <w:bottom w:val="none" w:sz="0" w:space="0" w:color="auto"/>
                    <w:right w:val="none" w:sz="0" w:space="0" w:color="auto"/>
                  </w:divBdr>
                  <w:divsChild>
                    <w:div w:id="154303517">
                      <w:marLeft w:val="0"/>
                      <w:marRight w:val="0"/>
                      <w:marTop w:val="0"/>
                      <w:marBottom w:val="0"/>
                      <w:divBdr>
                        <w:top w:val="none" w:sz="0" w:space="0" w:color="auto"/>
                        <w:left w:val="none" w:sz="0" w:space="0" w:color="auto"/>
                        <w:bottom w:val="none" w:sz="0" w:space="0" w:color="auto"/>
                        <w:right w:val="none" w:sz="0" w:space="0" w:color="auto"/>
                      </w:divBdr>
                    </w:div>
                  </w:divsChild>
                </w:div>
                <w:div w:id="139855694">
                  <w:marLeft w:val="0"/>
                  <w:marRight w:val="0"/>
                  <w:marTop w:val="0"/>
                  <w:marBottom w:val="0"/>
                  <w:divBdr>
                    <w:top w:val="none" w:sz="0" w:space="0" w:color="auto"/>
                    <w:left w:val="none" w:sz="0" w:space="0" w:color="auto"/>
                    <w:bottom w:val="none" w:sz="0" w:space="0" w:color="auto"/>
                    <w:right w:val="none" w:sz="0" w:space="0" w:color="auto"/>
                  </w:divBdr>
                  <w:divsChild>
                    <w:div w:id="1501848663">
                      <w:marLeft w:val="0"/>
                      <w:marRight w:val="0"/>
                      <w:marTop w:val="0"/>
                      <w:marBottom w:val="0"/>
                      <w:divBdr>
                        <w:top w:val="none" w:sz="0" w:space="0" w:color="auto"/>
                        <w:left w:val="none" w:sz="0" w:space="0" w:color="auto"/>
                        <w:bottom w:val="none" w:sz="0" w:space="0" w:color="auto"/>
                        <w:right w:val="none" w:sz="0" w:space="0" w:color="auto"/>
                      </w:divBdr>
                    </w:div>
                  </w:divsChild>
                </w:div>
                <w:div w:id="173345784">
                  <w:marLeft w:val="0"/>
                  <w:marRight w:val="0"/>
                  <w:marTop w:val="0"/>
                  <w:marBottom w:val="0"/>
                  <w:divBdr>
                    <w:top w:val="none" w:sz="0" w:space="0" w:color="auto"/>
                    <w:left w:val="none" w:sz="0" w:space="0" w:color="auto"/>
                    <w:bottom w:val="none" w:sz="0" w:space="0" w:color="auto"/>
                    <w:right w:val="none" w:sz="0" w:space="0" w:color="auto"/>
                  </w:divBdr>
                  <w:divsChild>
                    <w:div w:id="572202610">
                      <w:marLeft w:val="0"/>
                      <w:marRight w:val="0"/>
                      <w:marTop w:val="0"/>
                      <w:marBottom w:val="0"/>
                      <w:divBdr>
                        <w:top w:val="none" w:sz="0" w:space="0" w:color="auto"/>
                        <w:left w:val="none" w:sz="0" w:space="0" w:color="auto"/>
                        <w:bottom w:val="none" w:sz="0" w:space="0" w:color="auto"/>
                        <w:right w:val="none" w:sz="0" w:space="0" w:color="auto"/>
                      </w:divBdr>
                    </w:div>
                  </w:divsChild>
                </w:div>
                <w:div w:id="272052680">
                  <w:marLeft w:val="0"/>
                  <w:marRight w:val="0"/>
                  <w:marTop w:val="0"/>
                  <w:marBottom w:val="0"/>
                  <w:divBdr>
                    <w:top w:val="none" w:sz="0" w:space="0" w:color="auto"/>
                    <w:left w:val="none" w:sz="0" w:space="0" w:color="auto"/>
                    <w:bottom w:val="none" w:sz="0" w:space="0" w:color="auto"/>
                    <w:right w:val="none" w:sz="0" w:space="0" w:color="auto"/>
                  </w:divBdr>
                  <w:divsChild>
                    <w:div w:id="833499180">
                      <w:marLeft w:val="0"/>
                      <w:marRight w:val="0"/>
                      <w:marTop w:val="0"/>
                      <w:marBottom w:val="0"/>
                      <w:divBdr>
                        <w:top w:val="none" w:sz="0" w:space="0" w:color="auto"/>
                        <w:left w:val="none" w:sz="0" w:space="0" w:color="auto"/>
                        <w:bottom w:val="none" w:sz="0" w:space="0" w:color="auto"/>
                        <w:right w:val="none" w:sz="0" w:space="0" w:color="auto"/>
                      </w:divBdr>
                    </w:div>
                  </w:divsChild>
                </w:div>
                <w:div w:id="318312012">
                  <w:marLeft w:val="0"/>
                  <w:marRight w:val="0"/>
                  <w:marTop w:val="0"/>
                  <w:marBottom w:val="0"/>
                  <w:divBdr>
                    <w:top w:val="none" w:sz="0" w:space="0" w:color="auto"/>
                    <w:left w:val="none" w:sz="0" w:space="0" w:color="auto"/>
                    <w:bottom w:val="none" w:sz="0" w:space="0" w:color="auto"/>
                    <w:right w:val="none" w:sz="0" w:space="0" w:color="auto"/>
                  </w:divBdr>
                  <w:divsChild>
                    <w:div w:id="1670253079">
                      <w:marLeft w:val="0"/>
                      <w:marRight w:val="0"/>
                      <w:marTop w:val="0"/>
                      <w:marBottom w:val="0"/>
                      <w:divBdr>
                        <w:top w:val="none" w:sz="0" w:space="0" w:color="auto"/>
                        <w:left w:val="none" w:sz="0" w:space="0" w:color="auto"/>
                        <w:bottom w:val="none" w:sz="0" w:space="0" w:color="auto"/>
                        <w:right w:val="none" w:sz="0" w:space="0" w:color="auto"/>
                      </w:divBdr>
                    </w:div>
                  </w:divsChild>
                </w:div>
                <w:div w:id="328216591">
                  <w:marLeft w:val="0"/>
                  <w:marRight w:val="0"/>
                  <w:marTop w:val="0"/>
                  <w:marBottom w:val="0"/>
                  <w:divBdr>
                    <w:top w:val="none" w:sz="0" w:space="0" w:color="auto"/>
                    <w:left w:val="none" w:sz="0" w:space="0" w:color="auto"/>
                    <w:bottom w:val="none" w:sz="0" w:space="0" w:color="auto"/>
                    <w:right w:val="none" w:sz="0" w:space="0" w:color="auto"/>
                  </w:divBdr>
                  <w:divsChild>
                    <w:div w:id="1425028347">
                      <w:marLeft w:val="0"/>
                      <w:marRight w:val="0"/>
                      <w:marTop w:val="0"/>
                      <w:marBottom w:val="0"/>
                      <w:divBdr>
                        <w:top w:val="none" w:sz="0" w:space="0" w:color="auto"/>
                        <w:left w:val="none" w:sz="0" w:space="0" w:color="auto"/>
                        <w:bottom w:val="none" w:sz="0" w:space="0" w:color="auto"/>
                        <w:right w:val="none" w:sz="0" w:space="0" w:color="auto"/>
                      </w:divBdr>
                    </w:div>
                  </w:divsChild>
                </w:div>
                <w:div w:id="339159463">
                  <w:marLeft w:val="0"/>
                  <w:marRight w:val="0"/>
                  <w:marTop w:val="0"/>
                  <w:marBottom w:val="0"/>
                  <w:divBdr>
                    <w:top w:val="none" w:sz="0" w:space="0" w:color="auto"/>
                    <w:left w:val="none" w:sz="0" w:space="0" w:color="auto"/>
                    <w:bottom w:val="none" w:sz="0" w:space="0" w:color="auto"/>
                    <w:right w:val="none" w:sz="0" w:space="0" w:color="auto"/>
                  </w:divBdr>
                  <w:divsChild>
                    <w:div w:id="258291152">
                      <w:marLeft w:val="0"/>
                      <w:marRight w:val="0"/>
                      <w:marTop w:val="0"/>
                      <w:marBottom w:val="0"/>
                      <w:divBdr>
                        <w:top w:val="none" w:sz="0" w:space="0" w:color="auto"/>
                        <w:left w:val="none" w:sz="0" w:space="0" w:color="auto"/>
                        <w:bottom w:val="none" w:sz="0" w:space="0" w:color="auto"/>
                        <w:right w:val="none" w:sz="0" w:space="0" w:color="auto"/>
                      </w:divBdr>
                    </w:div>
                  </w:divsChild>
                </w:div>
                <w:div w:id="341248234">
                  <w:marLeft w:val="0"/>
                  <w:marRight w:val="0"/>
                  <w:marTop w:val="0"/>
                  <w:marBottom w:val="0"/>
                  <w:divBdr>
                    <w:top w:val="none" w:sz="0" w:space="0" w:color="auto"/>
                    <w:left w:val="none" w:sz="0" w:space="0" w:color="auto"/>
                    <w:bottom w:val="none" w:sz="0" w:space="0" w:color="auto"/>
                    <w:right w:val="none" w:sz="0" w:space="0" w:color="auto"/>
                  </w:divBdr>
                  <w:divsChild>
                    <w:div w:id="1596936452">
                      <w:marLeft w:val="0"/>
                      <w:marRight w:val="0"/>
                      <w:marTop w:val="0"/>
                      <w:marBottom w:val="0"/>
                      <w:divBdr>
                        <w:top w:val="none" w:sz="0" w:space="0" w:color="auto"/>
                        <w:left w:val="none" w:sz="0" w:space="0" w:color="auto"/>
                        <w:bottom w:val="none" w:sz="0" w:space="0" w:color="auto"/>
                        <w:right w:val="none" w:sz="0" w:space="0" w:color="auto"/>
                      </w:divBdr>
                    </w:div>
                  </w:divsChild>
                </w:div>
                <w:div w:id="401804416">
                  <w:marLeft w:val="0"/>
                  <w:marRight w:val="0"/>
                  <w:marTop w:val="0"/>
                  <w:marBottom w:val="0"/>
                  <w:divBdr>
                    <w:top w:val="none" w:sz="0" w:space="0" w:color="auto"/>
                    <w:left w:val="none" w:sz="0" w:space="0" w:color="auto"/>
                    <w:bottom w:val="none" w:sz="0" w:space="0" w:color="auto"/>
                    <w:right w:val="none" w:sz="0" w:space="0" w:color="auto"/>
                  </w:divBdr>
                  <w:divsChild>
                    <w:div w:id="1499418847">
                      <w:marLeft w:val="0"/>
                      <w:marRight w:val="0"/>
                      <w:marTop w:val="0"/>
                      <w:marBottom w:val="0"/>
                      <w:divBdr>
                        <w:top w:val="none" w:sz="0" w:space="0" w:color="auto"/>
                        <w:left w:val="none" w:sz="0" w:space="0" w:color="auto"/>
                        <w:bottom w:val="none" w:sz="0" w:space="0" w:color="auto"/>
                        <w:right w:val="none" w:sz="0" w:space="0" w:color="auto"/>
                      </w:divBdr>
                    </w:div>
                  </w:divsChild>
                </w:div>
                <w:div w:id="409541549">
                  <w:marLeft w:val="0"/>
                  <w:marRight w:val="0"/>
                  <w:marTop w:val="0"/>
                  <w:marBottom w:val="0"/>
                  <w:divBdr>
                    <w:top w:val="none" w:sz="0" w:space="0" w:color="auto"/>
                    <w:left w:val="none" w:sz="0" w:space="0" w:color="auto"/>
                    <w:bottom w:val="none" w:sz="0" w:space="0" w:color="auto"/>
                    <w:right w:val="none" w:sz="0" w:space="0" w:color="auto"/>
                  </w:divBdr>
                  <w:divsChild>
                    <w:div w:id="4669208">
                      <w:marLeft w:val="0"/>
                      <w:marRight w:val="0"/>
                      <w:marTop w:val="0"/>
                      <w:marBottom w:val="0"/>
                      <w:divBdr>
                        <w:top w:val="none" w:sz="0" w:space="0" w:color="auto"/>
                        <w:left w:val="none" w:sz="0" w:space="0" w:color="auto"/>
                        <w:bottom w:val="none" w:sz="0" w:space="0" w:color="auto"/>
                        <w:right w:val="none" w:sz="0" w:space="0" w:color="auto"/>
                      </w:divBdr>
                    </w:div>
                  </w:divsChild>
                </w:div>
                <w:div w:id="417485212">
                  <w:marLeft w:val="0"/>
                  <w:marRight w:val="0"/>
                  <w:marTop w:val="0"/>
                  <w:marBottom w:val="0"/>
                  <w:divBdr>
                    <w:top w:val="none" w:sz="0" w:space="0" w:color="auto"/>
                    <w:left w:val="none" w:sz="0" w:space="0" w:color="auto"/>
                    <w:bottom w:val="none" w:sz="0" w:space="0" w:color="auto"/>
                    <w:right w:val="none" w:sz="0" w:space="0" w:color="auto"/>
                  </w:divBdr>
                  <w:divsChild>
                    <w:div w:id="1609123672">
                      <w:marLeft w:val="0"/>
                      <w:marRight w:val="0"/>
                      <w:marTop w:val="0"/>
                      <w:marBottom w:val="0"/>
                      <w:divBdr>
                        <w:top w:val="none" w:sz="0" w:space="0" w:color="auto"/>
                        <w:left w:val="none" w:sz="0" w:space="0" w:color="auto"/>
                        <w:bottom w:val="none" w:sz="0" w:space="0" w:color="auto"/>
                        <w:right w:val="none" w:sz="0" w:space="0" w:color="auto"/>
                      </w:divBdr>
                    </w:div>
                  </w:divsChild>
                </w:div>
                <w:div w:id="462307185">
                  <w:marLeft w:val="0"/>
                  <w:marRight w:val="0"/>
                  <w:marTop w:val="0"/>
                  <w:marBottom w:val="0"/>
                  <w:divBdr>
                    <w:top w:val="none" w:sz="0" w:space="0" w:color="auto"/>
                    <w:left w:val="none" w:sz="0" w:space="0" w:color="auto"/>
                    <w:bottom w:val="none" w:sz="0" w:space="0" w:color="auto"/>
                    <w:right w:val="none" w:sz="0" w:space="0" w:color="auto"/>
                  </w:divBdr>
                  <w:divsChild>
                    <w:div w:id="744687277">
                      <w:marLeft w:val="0"/>
                      <w:marRight w:val="0"/>
                      <w:marTop w:val="0"/>
                      <w:marBottom w:val="0"/>
                      <w:divBdr>
                        <w:top w:val="none" w:sz="0" w:space="0" w:color="auto"/>
                        <w:left w:val="none" w:sz="0" w:space="0" w:color="auto"/>
                        <w:bottom w:val="none" w:sz="0" w:space="0" w:color="auto"/>
                        <w:right w:val="none" w:sz="0" w:space="0" w:color="auto"/>
                      </w:divBdr>
                    </w:div>
                  </w:divsChild>
                </w:div>
                <w:div w:id="488790233">
                  <w:marLeft w:val="0"/>
                  <w:marRight w:val="0"/>
                  <w:marTop w:val="0"/>
                  <w:marBottom w:val="0"/>
                  <w:divBdr>
                    <w:top w:val="none" w:sz="0" w:space="0" w:color="auto"/>
                    <w:left w:val="none" w:sz="0" w:space="0" w:color="auto"/>
                    <w:bottom w:val="none" w:sz="0" w:space="0" w:color="auto"/>
                    <w:right w:val="none" w:sz="0" w:space="0" w:color="auto"/>
                  </w:divBdr>
                  <w:divsChild>
                    <w:div w:id="2089038428">
                      <w:marLeft w:val="0"/>
                      <w:marRight w:val="0"/>
                      <w:marTop w:val="0"/>
                      <w:marBottom w:val="0"/>
                      <w:divBdr>
                        <w:top w:val="none" w:sz="0" w:space="0" w:color="auto"/>
                        <w:left w:val="none" w:sz="0" w:space="0" w:color="auto"/>
                        <w:bottom w:val="none" w:sz="0" w:space="0" w:color="auto"/>
                        <w:right w:val="none" w:sz="0" w:space="0" w:color="auto"/>
                      </w:divBdr>
                    </w:div>
                  </w:divsChild>
                </w:div>
                <w:div w:id="518158185">
                  <w:marLeft w:val="0"/>
                  <w:marRight w:val="0"/>
                  <w:marTop w:val="0"/>
                  <w:marBottom w:val="0"/>
                  <w:divBdr>
                    <w:top w:val="none" w:sz="0" w:space="0" w:color="auto"/>
                    <w:left w:val="none" w:sz="0" w:space="0" w:color="auto"/>
                    <w:bottom w:val="none" w:sz="0" w:space="0" w:color="auto"/>
                    <w:right w:val="none" w:sz="0" w:space="0" w:color="auto"/>
                  </w:divBdr>
                  <w:divsChild>
                    <w:div w:id="1911692277">
                      <w:marLeft w:val="0"/>
                      <w:marRight w:val="0"/>
                      <w:marTop w:val="0"/>
                      <w:marBottom w:val="0"/>
                      <w:divBdr>
                        <w:top w:val="none" w:sz="0" w:space="0" w:color="auto"/>
                        <w:left w:val="none" w:sz="0" w:space="0" w:color="auto"/>
                        <w:bottom w:val="none" w:sz="0" w:space="0" w:color="auto"/>
                        <w:right w:val="none" w:sz="0" w:space="0" w:color="auto"/>
                      </w:divBdr>
                    </w:div>
                  </w:divsChild>
                </w:div>
                <w:div w:id="528375805">
                  <w:marLeft w:val="0"/>
                  <w:marRight w:val="0"/>
                  <w:marTop w:val="0"/>
                  <w:marBottom w:val="0"/>
                  <w:divBdr>
                    <w:top w:val="none" w:sz="0" w:space="0" w:color="auto"/>
                    <w:left w:val="none" w:sz="0" w:space="0" w:color="auto"/>
                    <w:bottom w:val="none" w:sz="0" w:space="0" w:color="auto"/>
                    <w:right w:val="none" w:sz="0" w:space="0" w:color="auto"/>
                  </w:divBdr>
                  <w:divsChild>
                    <w:div w:id="1600406927">
                      <w:marLeft w:val="0"/>
                      <w:marRight w:val="0"/>
                      <w:marTop w:val="0"/>
                      <w:marBottom w:val="0"/>
                      <w:divBdr>
                        <w:top w:val="none" w:sz="0" w:space="0" w:color="auto"/>
                        <w:left w:val="none" w:sz="0" w:space="0" w:color="auto"/>
                        <w:bottom w:val="none" w:sz="0" w:space="0" w:color="auto"/>
                        <w:right w:val="none" w:sz="0" w:space="0" w:color="auto"/>
                      </w:divBdr>
                    </w:div>
                  </w:divsChild>
                </w:div>
                <w:div w:id="529145581">
                  <w:marLeft w:val="0"/>
                  <w:marRight w:val="0"/>
                  <w:marTop w:val="0"/>
                  <w:marBottom w:val="0"/>
                  <w:divBdr>
                    <w:top w:val="none" w:sz="0" w:space="0" w:color="auto"/>
                    <w:left w:val="none" w:sz="0" w:space="0" w:color="auto"/>
                    <w:bottom w:val="none" w:sz="0" w:space="0" w:color="auto"/>
                    <w:right w:val="none" w:sz="0" w:space="0" w:color="auto"/>
                  </w:divBdr>
                  <w:divsChild>
                    <w:div w:id="359821491">
                      <w:marLeft w:val="0"/>
                      <w:marRight w:val="0"/>
                      <w:marTop w:val="0"/>
                      <w:marBottom w:val="0"/>
                      <w:divBdr>
                        <w:top w:val="none" w:sz="0" w:space="0" w:color="auto"/>
                        <w:left w:val="none" w:sz="0" w:space="0" w:color="auto"/>
                        <w:bottom w:val="none" w:sz="0" w:space="0" w:color="auto"/>
                        <w:right w:val="none" w:sz="0" w:space="0" w:color="auto"/>
                      </w:divBdr>
                    </w:div>
                  </w:divsChild>
                </w:div>
                <w:div w:id="575944691">
                  <w:marLeft w:val="0"/>
                  <w:marRight w:val="0"/>
                  <w:marTop w:val="0"/>
                  <w:marBottom w:val="0"/>
                  <w:divBdr>
                    <w:top w:val="none" w:sz="0" w:space="0" w:color="auto"/>
                    <w:left w:val="none" w:sz="0" w:space="0" w:color="auto"/>
                    <w:bottom w:val="none" w:sz="0" w:space="0" w:color="auto"/>
                    <w:right w:val="none" w:sz="0" w:space="0" w:color="auto"/>
                  </w:divBdr>
                  <w:divsChild>
                    <w:div w:id="873543198">
                      <w:marLeft w:val="0"/>
                      <w:marRight w:val="0"/>
                      <w:marTop w:val="0"/>
                      <w:marBottom w:val="0"/>
                      <w:divBdr>
                        <w:top w:val="none" w:sz="0" w:space="0" w:color="auto"/>
                        <w:left w:val="none" w:sz="0" w:space="0" w:color="auto"/>
                        <w:bottom w:val="none" w:sz="0" w:space="0" w:color="auto"/>
                        <w:right w:val="none" w:sz="0" w:space="0" w:color="auto"/>
                      </w:divBdr>
                    </w:div>
                  </w:divsChild>
                </w:div>
                <w:div w:id="589003352">
                  <w:marLeft w:val="0"/>
                  <w:marRight w:val="0"/>
                  <w:marTop w:val="0"/>
                  <w:marBottom w:val="0"/>
                  <w:divBdr>
                    <w:top w:val="none" w:sz="0" w:space="0" w:color="auto"/>
                    <w:left w:val="none" w:sz="0" w:space="0" w:color="auto"/>
                    <w:bottom w:val="none" w:sz="0" w:space="0" w:color="auto"/>
                    <w:right w:val="none" w:sz="0" w:space="0" w:color="auto"/>
                  </w:divBdr>
                  <w:divsChild>
                    <w:div w:id="266236083">
                      <w:marLeft w:val="0"/>
                      <w:marRight w:val="0"/>
                      <w:marTop w:val="0"/>
                      <w:marBottom w:val="0"/>
                      <w:divBdr>
                        <w:top w:val="none" w:sz="0" w:space="0" w:color="auto"/>
                        <w:left w:val="none" w:sz="0" w:space="0" w:color="auto"/>
                        <w:bottom w:val="none" w:sz="0" w:space="0" w:color="auto"/>
                        <w:right w:val="none" w:sz="0" w:space="0" w:color="auto"/>
                      </w:divBdr>
                    </w:div>
                  </w:divsChild>
                </w:div>
                <w:div w:id="590551721">
                  <w:marLeft w:val="0"/>
                  <w:marRight w:val="0"/>
                  <w:marTop w:val="0"/>
                  <w:marBottom w:val="0"/>
                  <w:divBdr>
                    <w:top w:val="none" w:sz="0" w:space="0" w:color="auto"/>
                    <w:left w:val="none" w:sz="0" w:space="0" w:color="auto"/>
                    <w:bottom w:val="none" w:sz="0" w:space="0" w:color="auto"/>
                    <w:right w:val="none" w:sz="0" w:space="0" w:color="auto"/>
                  </w:divBdr>
                  <w:divsChild>
                    <w:div w:id="1463814502">
                      <w:marLeft w:val="0"/>
                      <w:marRight w:val="0"/>
                      <w:marTop w:val="0"/>
                      <w:marBottom w:val="0"/>
                      <w:divBdr>
                        <w:top w:val="none" w:sz="0" w:space="0" w:color="auto"/>
                        <w:left w:val="none" w:sz="0" w:space="0" w:color="auto"/>
                        <w:bottom w:val="none" w:sz="0" w:space="0" w:color="auto"/>
                        <w:right w:val="none" w:sz="0" w:space="0" w:color="auto"/>
                      </w:divBdr>
                    </w:div>
                  </w:divsChild>
                </w:div>
                <w:div w:id="593368862">
                  <w:marLeft w:val="0"/>
                  <w:marRight w:val="0"/>
                  <w:marTop w:val="0"/>
                  <w:marBottom w:val="0"/>
                  <w:divBdr>
                    <w:top w:val="none" w:sz="0" w:space="0" w:color="auto"/>
                    <w:left w:val="none" w:sz="0" w:space="0" w:color="auto"/>
                    <w:bottom w:val="none" w:sz="0" w:space="0" w:color="auto"/>
                    <w:right w:val="none" w:sz="0" w:space="0" w:color="auto"/>
                  </w:divBdr>
                  <w:divsChild>
                    <w:div w:id="793671582">
                      <w:marLeft w:val="0"/>
                      <w:marRight w:val="0"/>
                      <w:marTop w:val="0"/>
                      <w:marBottom w:val="0"/>
                      <w:divBdr>
                        <w:top w:val="none" w:sz="0" w:space="0" w:color="auto"/>
                        <w:left w:val="none" w:sz="0" w:space="0" w:color="auto"/>
                        <w:bottom w:val="none" w:sz="0" w:space="0" w:color="auto"/>
                        <w:right w:val="none" w:sz="0" w:space="0" w:color="auto"/>
                      </w:divBdr>
                    </w:div>
                  </w:divsChild>
                </w:div>
                <w:div w:id="687029364">
                  <w:marLeft w:val="0"/>
                  <w:marRight w:val="0"/>
                  <w:marTop w:val="0"/>
                  <w:marBottom w:val="0"/>
                  <w:divBdr>
                    <w:top w:val="none" w:sz="0" w:space="0" w:color="auto"/>
                    <w:left w:val="none" w:sz="0" w:space="0" w:color="auto"/>
                    <w:bottom w:val="none" w:sz="0" w:space="0" w:color="auto"/>
                    <w:right w:val="none" w:sz="0" w:space="0" w:color="auto"/>
                  </w:divBdr>
                  <w:divsChild>
                    <w:div w:id="240606072">
                      <w:marLeft w:val="0"/>
                      <w:marRight w:val="0"/>
                      <w:marTop w:val="0"/>
                      <w:marBottom w:val="0"/>
                      <w:divBdr>
                        <w:top w:val="none" w:sz="0" w:space="0" w:color="auto"/>
                        <w:left w:val="none" w:sz="0" w:space="0" w:color="auto"/>
                        <w:bottom w:val="none" w:sz="0" w:space="0" w:color="auto"/>
                        <w:right w:val="none" w:sz="0" w:space="0" w:color="auto"/>
                      </w:divBdr>
                    </w:div>
                  </w:divsChild>
                </w:div>
                <w:div w:id="706218453">
                  <w:marLeft w:val="0"/>
                  <w:marRight w:val="0"/>
                  <w:marTop w:val="0"/>
                  <w:marBottom w:val="0"/>
                  <w:divBdr>
                    <w:top w:val="none" w:sz="0" w:space="0" w:color="auto"/>
                    <w:left w:val="none" w:sz="0" w:space="0" w:color="auto"/>
                    <w:bottom w:val="none" w:sz="0" w:space="0" w:color="auto"/>
                    <w:right w:val="none" w:sz="0" w:space="0" w:color="auto"/>
                  </w:divBdr>
                  <w:divsChild>
                    <w:div w:id="1950383764">
                      <w:marLeft w:val="0"/>
                      <w:marRight w:val="0"/>
                      <w:marTop w:val="0"/>
                      <w:marBottom w:val="0"/>
                      <w:divBdr>
                        <w:top w:val="none" w:sz="0" w:space="0" w:color="auto"/>
                        <w:left w:val="none" w:sz="0" w:space="0" w:color="auto"/>
                        <w:bottom w:val="none" w:sz="0" w:space="0" w:color="auto"/>
                        <w:right w:val="none" w:sz="0" w:space="0" w:color="auto"/>
                      </w:divBdr>
                    </w:div>
                  </w:divsChild>
                </w:div>
                <w:div w:id="729040588">
                  <w:marLeft w:val="0"/>
                  <w:marRight w:val="0"/>
                  <w:marTop w:val="0"/>
                  <w:marBottom w:val="0"/>
                  <w:divBdr>
                    <w:top w:val="none" w:sz="0" w:space="0" w:color="auto"/>
                    <w:left w:val="none" w:sz="0" w:space="0" w:color="auto"/>
                    <w:bottom w:val="none" w:sz="0" w:space="0" w:color="auto"/>
                    <w:right w:val="none" w:sz="0" w:space="0" w:color="auto"/>
                  </w:divBdr>
                  <w:divsChild>
                    <w:div w:id="350953732">
                      <w:marLeft w:val="0"/>
                      <w:marRight w:val="0"/>
                      <w:marTop w:val="0"/>
                      <w:marBottom w:val="0"/>
                      <w:divBdr>
                        <w:top w:val="none" w:sz="0" w:space="0" w:color="auto"/>
                        <w:left w:val="none" w:sz="0" w:space="0" w:color="auto"/>
                        <w:bottom w:val="none" w:sz="0" w:space="0" w:color="auto"/>
                        <w:right w:val="none" w:sz="0" w:space="0" w:color="auto"/>
                      </w:divBdr>
                    </w:div>
                  </w:divsChild>
                </w:div>
                <w:div w:id="804394070">
                  <w:marLeft w:val="0"/>
                  <w:marRight w:val="0"/>
                  <w:marTop w:val="0"/>
                  <w:marBottom w:val="0"/>
                  <w:divBdr>
                    <w:top w:val="none" w:sz="0" w:space="0" w:color="auto"/>
                    <w:left w:val="none" w:sz="0" w:space="0" w:color="auto"/>
                    <w:bottom w:val="none" w:sz="0" w:space="0" w:color="auto"/>
                    <w:right w:val="none" w:sz="0" w:space="0" w:color="auto"/>
                  </w:divBdr>
                  <w:divsChild>
                    <w:div w:id="838736609">
                      <w:marLeft w:val="0"/>
                      <w:marRight w:val="0"/>
                      <w:marTop w:val="0"/>
                      <w:marBottom w:val="0"/>
                      <w:divBdr>
                        <w:top w:val="none" w:sz="0" w:space="0" w:color="auto"/>
                        <w:left w:val="none" w:sz="0" w:space="0" w:color="auto"/>
                        <w:bottom w:val="none" w:sz="0" w:space="0" w:color="auto"/>
                        <w:right w:val="none" w:sz="0" w:space="0" w:color="auto"/>
                      </w:divBdr>
                    </w:div>
                  </w:divsChild>
                </w:div>
                <w:div w:id="840202061">
                  <w:marLeft w:val="0"/>
                  <w:marRight w:val="0"/>
                  <w:marTop w:val="0"/>
                  <w:marBottom w:val="0"/>
                  <w:divBdr>
                    <w:top w:val="none" w:sz="0" w:space="0" w:color="auto"/>
                    <w:left w:val="none" w:sz="0" w:space="0" w:color="auto"/>
                    <w:bottom w:val="none" w:sz="0" w:space="0" w:color="auto"/>
                    <w:right w:val="none" w:sz="0" w:space="0" w:color="auto"/>
                  </w:divBdr>
                  <w:divsChild>
                    <w:div w:id="1491824292">
                      <w:marLeft w:val="0"/>
                      <w:marRight w:val="0"/>
                      <w:marTop w:val="0"/>
                      <w:marBottom w:val="0"/>
                      <w:divBdr>
                        <w:top w:val="none" w:sz="0" w:space="0" w:color="auto"/>
                        <w:left w:val="none" w:sz="0" w:space="0" w:color="auto"/>
                        <w:bottom w:val="none" w:sz="0" w:space="0" w:color="auto"/>
                        <w:right w:val="none" w:sz="0" w:space="0" w:color="auto"/>
                      </w:divBdr>
                    </w:div>
                  </w:divsChild>
                </w:div>
                <w:div w:id="843395000">
                  <w:marLeft w:val="0"/>
                  <w:marRight w:val="0"/>
                  <w:marTop w:val="0"/>
                  <w:marBottom w:val="0"/>
                  <w:divBdr>
                    <w:top w:val="none" w:sz="0" w:space="0" w:color="auto"/>
                    <w:left w:val="none" w:sz="0" w:space="0" w:color="auto"/>
                    <w:bottom w:val="none" w:sz="0" w:space="0" w:color="auto"/>
                    <w:right w:val="none" w:sz="0" w:space="0" w:color="auto"/>
                  </w:divBdr>
                  <w:divsChild>
                    <w:div w:id="1196692903">
                      <w:marLeft w:val="0"/>
                      <w:marRight w:val="0"/>
                      <w:marTop w:val="0"/>
                      <w:marBottom w:val="0"/>
                      <w:divBdr>
                        <w:top w:val="none" w:sz="0" w:space="0" w:color="auto"/>
                        <w:left w:val="none" w:sz="0" w:space="0" w:color="auto"/>
                        <w:bottom w:val="none" w:sz="0" w:space="0" w:color="auto"/>
                        <w:right w:val="none" w:sz="0" w:space="0" w:color="auto"/>
                      </w:divBdr>
                    </w:div>
                  </w:divsChild>
                </w:div>
                <w:div w:id="887690757">
                  <w:marLeft w:val="0"/>
                  <w:marRight w:val="0"/>
                  <w:marTop w:val="0"/>
                  <w:marBottom w:val="0"/>
                  <w:divBdr>
                    <w:top w:val="none" w:sz="0" w:space="0" w:color="auto"/>
                    <w:left w:val="none" w:sz="0" w:space="0" w:color="auto"/>
                    <w:bottom w:val="none" w:sz="0" w:space="0" w:color="auto"/>
                    <w:right w:val="none" w:sz="0" w:space="0" w:color="auto"/>
                  </w:divBdr>
                  <w:divsChild>
                    <w:div w:id="957566396">
                      <w:marLeft w:val="0"/>
                      <w:marRight w:val="0"/>
                      <w:marTop w:val="0"/>
                      <w:marBottom w:val="0"/>
                      <w:divBdr>
                        <w:top w:val="none" w:sz="0" w:space="0" w:color="auto"/>
                        <w:left w:val="none" w:sz="0" w:space="0" w:color="auto"/>
                        <w:bottom w:val="none" w:sz="0" w:space="0" w:color="auto"/>
                        <w:right w:val="none" w:sz="0" w:space="0" w:color="auto"/>
                      </w:divBdr>
                    </w:div>
                  </w:divsChild>
                </w:div>
                <w:div w:id="896549036">
                  <w:marLeft w:val="0"/>
                  <w:marRight w:val="0"/>
                  <w:marTop w:val="0"/>
                  <w:marBottom w:val="0"/>
                  <w:divBdr>
                    <w:top w:val="none" w:sz="0" w:space="0" w:color="auto"/>
                    <w:left w:val="none" w:sz="0" w:space="0" w:color="auto"/>
                    <w:bottom w:val="none" w:sz="0" w:space="0" w:color="auto"/>
                    <w:right w:val="none" w:sz="0" w:space="0" w:color="auto"/>
                  </w:divBdr>
                  <w:divsChild>
                    <w:div w:id="736363485">
                      <w:marLeft w:val="0"/>
                      <w:marRight w:val="0"/>
                      <w:marTop w:val="0"/>
                      <w:marBottom w:val="0"/>
                      <w:divBdr>
                        <w:top w:val="none" w:sz="0" w:space="0" w:color="auto"/>
                        <w:left w:val="none" w:sz="0" w:space="0" w:color="auto"/>
                        <w:bottom w:val="none" w:sz="0" w:space="0" w:color="auto"/>
                        <w:right w:val="none" w:sz="0" w:space="0" w:color="auto"/>
                      </w:divBdr>
                    </w:div>
                  </w:divsChild>
                </w:div>
                <w:div w:id="959147607">
                  <w:marLeft w:val="0"/>
                  <w:marRight w:val="0"/>
                  <w:marTop w:val="0"/>
                  <w:marBottom w:val="0"/>
                  <w:divBdr>
                    <w:top w:val="none" w:sz="0" w:space="0" w:color="auto"/>
                    <w:left w:val="none" w:sz="0" w:space="0" w:color="auto"/>
                    <w:bottom w:val="none" w:sz="0" w:space="0" w:color="auto"/>
                    <w:right w:val="none" w:sz="0" w:space="0" w:color="auto"/>
                  </w:divBdr>
                  <w:divsChild>
                    <w:div w:id="643046704">
                      <w:marLeft w:val="0"/>
                      <w:marRight w:val="0"/>
                      <w:marTop w:val="0"/>
                      <w:marBottom w:val="0"/>
                      <w:divBdr>
                        <w:top w:val="none" w:sz="0" w:space="0" w:color="auto"/>
                        <w:left w:val="none" w:sz="0" w:space="0" w:color="auto"/>
                        <w:bottom w:val="none" w:sz="0" w:space="0" w:color="auto"/>
                        <w:right w:val="none" w:sz="0" w:space="0" w:color="auto"/>
                      </w:divBdr>
                    </w:div>
                  </w:divsChild>
                </w:div>
                <w:div w:id="1145200728">
                  <w:marLeft w:val="0"/>
                  <w:marRight w:val="0"/>
                  <w:marTop w:val="0"/>
                  <w:marBottom w:val="0"/>
                  <w:divBdr>
                    <w:top w:val="none" w:sz="0" w:space="0" w:color="auto"/>
                    <w:left w:val="none" w:sz="0" w:space="0" w:color="auto"/>
                    <w:bottom w:val="none" w:sz="0" w:space="0" w:color="auto"/>
                    <w:right w:val="none" w:sz="0" w:space="0" w:color="auto"/>
                  </w:divBdr>
                  <w:divsChild>
                    <w:div w:id="116534317">
                      <w:marLeft w:val="0"/>
                      <w:marRight w:val="0"/>
                      <w:marTop w:val="0"/>
                      <w:marBottom w:val="0"/>
                      <w:divBdr>
                        <w:top w:val="none" w:sz="0" w:space="0" w:color="auto"/>
                        <w:left w:val="none" w:sz="0" w:space="0" w:color="auto"/>
                        <w:bottom w:val="none" w:sz="0" w:space="0" w:color="auto"/>
                        <w:right w:val="none" w:sz="0" w:space="0" w:color="auto"/>
                      </w:divBdr>
                    </w:div>
                  </w:divsChild>
                </w:div>
                <w:div w:id="1282150747">
                  <w:marLeft w:val="0"/>
                  <w:marRight w:val="0"/>
                  <w:marTop w:val="0"/>
                  <w:marBottom w:val="0"/>
                  <w:divBdr>
                    <w:top w:val="none" w:sz="0" w:space="0" w:color="auto"/>
                    <w:left w:val="none" w:sz="0" w:space="0" w:color="auto"/>
                    <w:bottom w:val="none" w:sz="0" w:space="0" w:color="auto"/>
                    <w:right w:val="none" w:sz="0" w:space="0" w:color="auto"/>
                  </w:divBdr>
                  <w:divsChild>
                    <w:div w:id="1342243262">
                      <w:marLeft w:val="0"/>
                      <w:marRight w:val="0"/>
                      <w:marTop w:val="0"/>
                      <w:marBottom w:val="0"/>
                      <w:divBdr>
                        <w:top w:val="none" w:sz="0" w:space="0" w:color="auto"/>
                        <w:left w:val="none" w:sz="0" w:space="0" w:color="auto"/>
                        <w:bottom w:val="none" w:sz="0" w:space="0" w:color="auto"/>
                        <w:right w:val="none" w:sz="0" w:space="0" w:color="auto"/>
                      </w:divBdr>
                    </w:div>
                  </w:divsChild>
                </w:div>
                <w:div w:id="1292398121">
                  <w:marLeft w:val="0"/>
                  <w:marRight w:val="0"/>
                  <w:marTop w:val="0"/>
                  <w:marBottom w:val="0"/>
                  <w:divBdr>
                    <w:top w:val="none" w:sz="0" w:space="0" w:color="auto"/>
                    <w:left w:val="none" w:sz="0" w:space="0" w:color="auto"/>
                    <w:bottom w:val="none" w:sz="0" w:space="0" w:color="auto"/>
                    <w:right w:val="none" w:sz="0" w:space="0" w:color="auto"/>
                  </w:divBdr>
                  <w:divsChild>
                    <w:div w:id="1058750247">
                      <w:marLeft w:val="0"/>
                      <w:marRight w:val="0"/>
                      <w:marTop w:val="0"/>
                      <w:marBottom w:val="0"/>
                      <w:divBdr>
                        <w:top w:val="none" w:sz="0" w:space="0" w:color="auto"/>
                        <w:left w:val="none" w:sz="0" w:space="0" w:color="auto"/>
                        <w:bottom w:val="none" w:sz="0" w:space="0" w:color="auto"/>
                        <w:right w:val="none" w:sz="0" w:space="0" w:color="auto"/>
                      </w:divBdr>
                    </w:div>
                  </w:divsChild>
                </w:div>
                <w:div w:id="1408571320">
                  <w:marLeft w:val="0"/>
                  <w:marRight w:val="0"/>
                  <w:marTop w:val="0"/>
                  <w:marBottom w:val="0"/>
                  <w:divBdr>
                    <w:top w:val="none" w:sz="0" w:space="0" w:color="auto"/>
                    <w:left w:val="none" w:sz="0" w:space="0" w:color="auto"/>
                    <w:bottom w:val="none" w:sz="0" w:space="0" w:color="auto"/>
                    <w:right w:val="none" w:sz="0" w:space="0" w:color="auto"/>
                  </w:divBdr>
                  <w:divsChild>
                    <w:div w:id="1319306232">
                      <w:marLeft w:val="0"/>
                      <w:marRight w:val="0"/>
                      <w:marTop w:val="0"/>
                      <w:marBottom w:val="0"/>
                      <w:divBdr>
                        <w:top w:val="none" w:sz="0" w:space="0" w:color="auto"/>
                        <w:left w:val="none" w:sz="0" w:space="0" w:color="auto"/>
                        <w:bottom w:val="none" w:sz="0" w:space="0" w:color="auto"/>
                        <w:right w:val="none" w:sz="0" w:space="0" w:color="auto"/>
                      </w:divBdr>
                    </w:div>
                  </w:divsChild>
                </w:div>
                <w:div w:id="1441533521">
                  <w:marLeft w:val="0"/>
                  <w:marRight w:val="0"/>
                  <w:marTop w:val="0"/>
                  <w:marBottom w:val="0"/>
                  <w:divBdr>
                    <w:top w:val="none" w:sz="0" w:space="0" w:color="auto"/>
                    <w:left w:val="none" w:sz="0" w:space="0" w:color="auto"/>
                    <w:bottom w:val="none" w:sz="0" w:space="0" w:color="auto"/>
                    <w:right w:val="none" w:sz="0" w:space="0" w:color="auto"/>
                  </w:divBdr>
                  <w:divsChild>
                    <w:div w:id="676811324">
                      <w:marLeft w:val="0"/>
                      <w:marRight w:val="0"/>
                      <w:marTop w:val="0"/>
                      <w:marBottom w:val="0"/>
                      <w:divBdr>
                        <w:top w:val="none" w:sz="0" w:space="0" w:color="auto"/>
                        <w:left w:val="none" w:sz="0" w:space="0" w:color="auto"/>
                        <w:bottom w:val="none" w:sz="0" w:space="0" w:color="auto"/>
                        <w:right w:val="none" w:sz="0" w:space="0" w:color="auto"/>
                      </w:divBdr>
                    </w:div>
                  </w:divsChild>
                </w:div>
                <w:div w:id="1484934139">
                  <w:marLeft w:val="0"/>
                  <w:marRight w:val="0"/>
                  <w:marTop w:val="0"/>
                  <w:marBottom w:val="0"/>
                  <w:divBdr>
                    <w:top w:val="none" w:sz="0" w:space="0" w:color="auto"/>
                    <w:left w:val="none" w:sz="0" w:space="0" w:color="auto"/>
                    <w:bottom w:val="none" w:sz="0" w:space="0" w:color="auto"/>
                    <w:right w:val="none" w:sz="0" w:space="0" w:color="auto"/>
                  </w:divBdr>
                  <w:divsChild>
                    <w:div w:id="1755660618">
                      <w:marLeft w:val="0"/>
                      <w:marRight w:val="0"/>
                      <w:marTop w:val="0"/>
                      <w:marBottom w:val="0"/>
                      <w:divBdr>
                        <w:top w:val="none" w:sz="0" w:space="0" w:color="auto"/>
                        <w:left w:val="none" w:sz="0" w:space="0" w:color="auto"/>
                        <w:bottom w:val="none" w:sz="0" w:space="0" w:color="auto"/>
                        <w:right w:val="none" w:sz="0" w:space="0" w:color="auto"/>
                      </w:divBdr>
                    </w:div>
                  </w:divsChild>
                </w:div>
                <w:div w:id="1572305199">
                  <w:marLeft w:val="0"/>
                  <w:marRight w:val="0"/>
                  <w:marTop w:val="0"/>
                  <w:marBottom w:val="0"/>
                  <w:divBdr>
                    <w:top w:val="none" w:sz="0" w:space="0" w:color="auto"/>
                    <w:left w:val="none" w:sz="0" w:space="0" w:color="auto"/>
                    <w:bottom w:val="none" w:sz="0" w:space="0" w:color="auto"/>
                    <w:right w:val="none" w:sz="0" w:space="0" w:color="auto"/>
                  </w:divBdr>
                  <w:divsChild>
                    <w:div w:id="576213143">
                      <w:marLeft w:val="0"/>
                      <w:marRight w:val="0"/>
                      <w:marTop w:val="0"/>
                      <w:marBottom w:val="0"/>
                      <w:divBdr>
                        <w:top w:val="none" w:sz="0" w:space="0" w:color="auto"/>
                        <w:left w:val="none" w:sz="0" w:space="0" w:color="auto"/>
                        <w:bottom w:val="none" w:sz="0" w:space="0" w:color="auto"/>
                        <w:right w:val="none" w:sz="0" w:space="0" w:color="auto"/>
                      </w:divBdr>
                    </w:div>
                  </w:divsChild>
                </w:div>
                <w:div w:id="1621692379">
                  <w:marLeft w:val="0"/>
                  <w:marRight w:val="0"/>
                  <w:marTop w:val="0"/>
                  <w:marBottom w:val="0"/>
                  <w:divBdr>
                    <w:top w:val="none" w:sz="0" w:space="0" w:color="auto"/>
                    <w:left w:val="none" w:sz="0" w:space="0" w:color="auto"/>
                    <w:bottom w:val="none" w:sz="0" w:space="0" w:color="auto"/>
                    <w:right w:val="none" w:sz="0" w:space="0" w:color="auto"/>
                  </w:divBdr>
                  <w:divsChild>
                    <w:div w:id="1103066459">
                      <w:marLeft w:val="0"/>
                      <w:marRight w:val="0"/>
                      <w:marTop w:val="0"/>
                      <w:marBottom w:val="0"/>
                      <w:divBdr>
                        <w:top w:val="none" w:sz="0" w:space="0" w:color="auto"/>
                        <w:left w:val="none" w:sz="0" w:space="0" w:color="auto"/>
                        <w:bottom w:val="none" w:sz="0" w:space="0" w:color="auto"/>
                        <w:right w:val="none" w:sz="0" w:space="0" w:color="auto"/>
                      </w:divBdr>
                    </w:div>
                  </w:divsChild>
                </w:div>
                <w:div w:id="1628661093">
                  <w:marLeft w:val="0"/>
                  <w:marRight w:val="0"/>
                  <w:marTop w:val="0"/>
                  <w:marBottom w:val="0"/>
                  <w:divBdr>
                    <w:top w:val="none" w:sz="0" w:space="0" w:color="auto"/>
                    <w:left w:val="none" w:sz="0" w:space="0" w:color="auto"/>
                    <w:bottom w:val="none" w:sz="0" w:space="0" w:color="auto"/>
                    <w:right w:val="none" w:sz="0" w:space="0" w:color="auto"/>
                  </w:divBdr>
                  <w:divsChild>
                    <w:div w:id="208345686">
                      <w:marLeft w:val="0"/>
                      <w:marRight w:val="0"/>
                      <w:marTop w:val="0"/>
                      <w:marBottom w:val="0"/>
                      <w:divBdr>
                        <w:top w:val="none" w:sz="0" w:space="0" w:color="auto"/>
                        <w:left w:val="none" w:sz="0" w:space="0" w:color="auto"/>
                        <w:bottom w:val="none" w:sz="0" w:space="0" w:color="auto"/>
                        <w:right w:val="none" w:sz="0" w:space="0" w:color="auto"/>
                      </w:divBdr>
                    </w:div>
                  </w:divsChild>
                </w:div>
                <w:div w:id="1673411568">
                  <w:marLeft w:val="0"/>
                  <w:marRight w:val="0"/>
                  <w:marTop w:val="0"/>
                  <w:marBottom w:val="0"/>
                  <w:divBdr>
                    <w:top w:val="none" w:sz="0" w:space="0" w:color="auto"/>
                    <w:left w:val="none" w:sz="0" w:space="0" w:color="auto"/>
                    <w:bottom w:val="none" w:sz="0" w:space="0" w:color="auto"/>
                    <w:right w:val="none" w:sz="0" w:space="0" w:color="auto"/>
                  </w:divBdr>
                  <w:divsChild>
                    <w:div w:id="417793113">
                      <w:marLeft w:val="0"/>
                      <w:marRight w:val="0"/>
                      <w:marTop w:val="0"/>
                      <w:marBottom w:val="0"/>
                      <w:divBdr>
                        <w:top w:val="none" w:sz="0" w:space="0" w:color="auto"/>
                        <w:left w:val="none" w:sz="0" w:space="0" w:color="auto"/>
                        <w:bottom w:val="none" w:sz="0" w:space="0" w:color="auto"/>
                        <w:right w:val="none" w:sz="0" w:space="0" w:color="auto"/>
                      </w:divBdr>
                    </w:div>
                  </w:divsChild>
                </w:div>
                <w:div w:id="1685476527">
                  <w:marLeft w:val="0"/>
                  <w:marRight w:val="0"/>
                  <w:marTop w:val="0"/>
                  <w:marBottom w:val="0"/>
                  <w:divBdr>
                    <w:top w:val="none" w:sz="0" w:space="0" w:color="auto"/>
                    <w:left w:val="none" w:sz="0" w:space="0" w:color="auto"/>
                    <w:bottom w:val="none" w:sz="0" w:space="0" w:color="auto"/>
                    <w:right w:val="none" w:sz="0" w:space="0" w:color="auto"/>
                  </w:divBdr>
                  <w:divsChild>
                    <w:div w:id="785587371">
                      <w:marLeft w:val="0"/>
                      <w:marRight w:val="0"/>
                      <w:marTop w:val="0"/>
                      <w:marBottom w:val="0"/>
                      <w:divBdr>
                        <w:top w:val="none" w:sz="0" w:space="0" w:color="auto"/>
                        <w:left w:val="none" w:sz="0" w:space="0" w:color="auto"/>
                        <w:bottom w:val="none" w:sz="0" w:space="0" w:color="auto"/>
                        <w:right w:val="none" w:sz="0" w:space="0" w:color="auto"/>
                      </w:divBdr>
                    </w:div>
                  </w:divsChild>
                </w:div>
                <w:div w:id="1733698820">
                  <w:marLeft w:val="0"/>
                  <w:marRight w:val="0"/>
                  <w:marTop w:val="0"/>
                  <w:marBottom w:val="0"/>
                  <w:divBdr>
                    <w:top w:val="none" w:sz="0" w:space="0" w:color="auto"/>
                    <w:left w:val="none" w:sz="0" w:space="0" w:color="auto"/>
                    <w:bottom w:val="none" w:sz="0" w:space="0" w:color="auto"/>
                    <w:right w:val="none" w:sz="0" w:space="0" w:color="auto"/>
                  </w:divBdr>
                  <w:divsChild>
                    <w:div w:id="2075930273">
                      <w:marLeft w:val="0"/>
                      <w:marRight w:val="0"/>
                      <w:marTop w:val="0"/>
                      <w:marBottom w:val="0"/>
                      <w:divBdr>
                        <w:top w:val="none" w:sz="0" w:space="0" w:color="auto"/>
                        <w:left w:val="none" w:sz="0" w:space="0" w:color="auto"/>
                        <w:bottom w:val="none" w:sz="0" w:space="0" w:color="auto"/>
                        <w:right w:val="none" w:sz="0" w:space="0" w:color="auto"/>
                      </w:divBdr>
                    </w:div>
                  </w:divsChild>
                </w:div>
                <w:div w:id="1750149654">
                  <w:marLeft w:val="0"/>
                  <w:marRight w:val="0"/>
                  <w:marTop w:val="0"/>
                  <w:marBottom w:val="0"/>
                  <w:divBdr>
                    <w:top w:val="none" w:sz="0" w:space="0" w:color="auto"/>
                    <w:left w:val="none" w:sz="0" w:space="0" w:color="auto"/>
                    <w:bottom w:val="none" w:sz="0" w:space="0" w:color="auto"/>
                    <w:right w:val="none" w:sz="0" w:space="0" w:color="auto"/>
                  </w:divBdr>
                  <w:divsChild>
                    <w:div w:id="100607421">
                      <w:marLeft w:val="0"/>
                      <w:marRight w:val="0"/>
                      <w:marTop w:val="0"/>
                      <w:marBottom w:val="0"/>
                      <w:divBdr>
                        <w:top w:val="none" w:sz="0" w:space="0" w:color="auto"/>
                        <w:left w:val="none" w:sz="0" w:space="0" w:color="auto"/>
                        <w:bottom w:val="none" w:sz="0" w:space="0" w:color="auto"/>
                        <w:right w:val="none" w:sz="0" w:space="0" w:color="auto"/>
                      </w:divBdr>
                    </w:div>
                  </w:divsChild>
                </w:div>
                <w:div w:id="1767072639">
                  <w:marLeft w:val="0"/>
                  <w:marRight w:val="0"/>
                  <w:marTop w:val="0"/>
                  <w:marBottom w:val="0"/>
                  <w:divBdr>
                    <w:top w:val="none" w:sz="0" w:space="0" w:color="auto"/>
                    <w:left w:val="none" w:sz="0" w:space="0" w:color="auto"/>
                    <w:bottom w:val="none" w:sz="0" w:space="0" w:color="auto"/>
                    <w:right w:val="none" w:sz="0" w:space="0" w:color="auto"/>
                  </w:divBdr>
                  <w:divsChild>
                    <w:div w:id="1178152145">
                      <w:marLeft w:val="0"/>
                      <w:marRight w:val="0"/>
                      <w:marTop w:val="0"/>
                      <w:marBottom w:val="0"/>
                      <w:divBdr>
                        <w:top w:val="none" w:sz="0" w:space="0" w:color="auto"/>
                        <w:left w:val="none" w:sz="0" w:space="0" w:color="auto"/>
                        <w:bottom w:val="none" w:sz="0" w:space="0" w:color="auto"/>
                        <w:right w:val="none" w:sz="0" w:space="0" w:color="auto"/>
                      </w:divBdr>
                    </w:div>
                  </w:divsChild>
                </w:div>
                <w:div w:id="1834448475">
                  <w:marLeft w:val="0"/>
                  <w:marRight w:val="0"/>
                  <w:marTop w:val="0"/>
                  <w:marBottom w:val="0"/>
                  <w:divBdr>
                    <w:top w:val="none" w:sz="0" w:space="0" w:color="auto"/>
                    <w:left w:val="none" w:sz="0" w:space="0" w:color="auto"/>
                    <w:bottom w:val="none" w:sz="0" w:space="0" w:color="auto"/>
                    <w:right w:val="none" w:sz="0" w:space="0" w:color="auto"/>
                  </w:divBdr>
                  <w:divsChild>
                    <w:div w:id="452672569">
                      <w:marLeft w:val="0"/>
                      <w:marRight w:val="0"/>
                      <w:marTop w:val="0"/>
                      <w:marBottom w:val="0"/>
                      <w:divBdr>
                        <w:top w:val="none" w:sz="0" w:space="0" w:color="auto"/>
                        <w:left w:val="none" w:sz="0" w:space="0" w:color="auto"/>
                        <w:bottom w:val="none" w:sz="0" w:space="0" w:color="auto"/>
                        <w:right w:val="none" w:sz="0" w:space="0" w:color="auto"/>
                      </w:divBdr>
                    </w:div>
                  </w:divsChild>
                </w:div>
                <w:div w:id="1847548109">
                  <w:marLeft w:val="0"/>
                  <w:marRight w:val="0"/>
                  <w:marTop w:val="0"/>
                  <w:marBottom w:val="0"/>
                  <w:divBdr>
                    <w:top w:val="none" w:sz="0" w:space="0" w:color="auto"/>
                    <w:left w:val="none" w:sz="0" w:space="0" w:color="auto"/>
                    <w:bottom w:val="none" w:sz="0" w:space="0" w:color="auto"/>
                    <w:right w:val="none" w:sz="0" w:space="0" w:color="auto"/>
                  </w:divBdr>
                  <w:divsChild>
                    <w:div w:id="511725987">
                      <w:marLeft w:val="0"/>
                      <w:marRight w:val="0"/>
                      <w:marTop w:val="0"/>
                      <w:marBottom w:val="0"/>
                      <w:divBdr>
                        <w:top w:val="none" w:sz="0" w:space="0" w:color="auto"/>
                        <w:left w:val="none" w:sz="0" w:space="0" w:color="auto"/>
                        <w:bottom w:val="none" w:sz="0" w:space="0" w:color="auto"/>
                        <w:right w:val="none" w:sz="0" w:space="0" w:color="auto"/>
                      </w:divBdr>
                    </w:div>
                  </w:divsChild>
                </w:div>
                <w:div w:id="1898395708">
                  <w:marLeft w:val="0"/>
                  <w:marRight w:val="0"/>
                  <w:marTop w:val="0"/>
                  <w:marBottom w:val="0"/>
                  <w:divBdr>
                    <w:top w:val="none" w:sz="0" w:space="0" w:color="auto"/>
                    <w:left w:val="none" w:sz="0" w:space="0" w:color="auto"/>
                    <w:bottom w:val="none" w:sz="0" w:space="0" w:color="auto"/>
                    <w:right w:val="none" w:sz="0" w:space="0" w:color="auto"/>
                  </w:divBdr>
                  <w:divsChild>
                    <w:div w:id="1276520260">
                      <w:marLeft w:val="0"/>
                      <w:marRight w:val="0"/>
                      <w:marTop w:val="0"/>
                      <w:marBottom w:val="0"/>
                      <w:divBdr>
                        <w:top w:val="none" w:sz="0" w:space="0" w:color="auto"/>
                        <w:left w:val="none" w:sz="0" w:space="0" w:color="auto"/>
                        <w:bottom w:val="none" w:sz="0" w:space="0" w:color="auto"/>
                        <w:right w:val="none" w:sz="0" w:space="0" w:color="auto"/>
                      </w:divBdr>
                    </w:div>
                  </w:divsChild>
                </w:div>
                <w:div w:id="1999769284">
                  <w:marLeft w:val="0"/>
                  <w:marRight w:val="0"/>
                  <w:marTop w:val="0"/>
                  <w:marBottom w:val="0"/>
                  <w:divBdr>
                    <w:top w:val="none" w:sz="0" w:space="0" w:color="auto"/>
                    <w:left w:val="none" w:sz="0" w:space="0" w:color="auto"/>
                    <w:bottom w:val="none" w:sz="0" w:space="0" w:color="auto"/>
                    <w:right w:val="none" w:sz="0" w:space="0" w:color="auto"/>
                  </w:divBdr>
                  <w:divsChild>
                    <w:div w:id="1736513337">
                      <w:marLeft w:val="0"/>
                      <w:marRight w:val="0"/>
                      <w:marTop w:val="0"/>
                      <w:marBottom w:val="0"/>
                      <w:divBdr>
                        <w:top w:val="none" w:sz="0" w:space="0" w:color="auto"/>
                        <w:left w:val="none" w:sz="0" w:space="0" w:color="auto"/>
                        <w:bottom w:val="none" w:sz="0" w:space="0" w:color="auto"/>
                        <w:right w:val="none" w:sz="0" w:space="0" w:color="auto"/>
                      </w:divBdr>
                    </w:div>
                  </w:divsChild>
                </w:div>
                <w:div w:id="2028825114">
                  <w:marLeft w:val="0"/>
                  <w:marRight w:val="0"/>
                  <w:marTop w:val="0"/>
                  <w:marBottom w:val="0"/>
                  <w:divBdr>
                    <w:top w:val="none" w:sz="0" w:space="0" w:color="auto"/>
                    <w:left w:val="none" w:sz="0" w:space="0" w:color="auto"/>
                    <w:bottom w:val="none" w:sz="0" w:space="0" w:color="auto"/>
                    <w:right w:val="none" w:sz="0" w:space="0" w:color="auto"/>
                  </w:divBdr>
                  <w:divsChild>
                    <w:div w:id="938755974">
                      <w:marLeft w:val="0"/>
                      <w:marRight w:val="0"/>
                      <w:marTop w:val="0"/>
                      <w:marBottom w:val="0"/>
                      <w:divBdr>
                        <w:top w:val="none" w:sz="0" w:space="0" w:color="auto"/>
                        <w:left w:val="none" w:sz="0" w:space="0" w:color="auto"/>
                        <w:bottom w:val="none" w:sz="0" w:space="0" w:color="auto"/>
                        <w:right w:val="none" w:sz="0" w:space="0" w:color="auto"/>
                      </w:divBdr>
                    </w:div>
                  </w:divsChild>
                </w:div>
                <w:div w:id="2086877596">
                  <w:marLeft w:val="0"/>
                  <w:marRight w:val="0"/>
                  <w:marTop w:val="0"/>
                  <w:marBottom w:val="0"/>
                  <w:divBdr>
                    <w:top w:val="none" w:sz="0" w:space="0" w:color="auto"/>
                    <w:left w:val="none" w:sz="0" w:space="0" w:color="auto"/>
                    <w:bottom w:val="none" w:sz="0" w:space="0" w:color="auto"/>
                    <w:right w:val="none" w:sz="0" w:space="0" w:color="auto"/>
                  </w:divBdr>
                  <w:divsChild>
                    <w:div w:id="2133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909">
          <w:marLeft w:val="0"/>
          <w:marRight w:val="0"/>
          <w:marTop w:val="0"/>
          <w:marBottom w:val="0"/>
          <w:divBdr>
            <w:top w:val="none" w:sz="0" w:space="0" w:color="auto"/>
            <w:left w:val="none" w:sz="0" w:space="0" w:color="auto"/>
            <w:bottom w:val="none" w:sz="0" w:space="0" w:color="auto"/>
            <w:right w:val="none" w:sz="0" w:space="0" w:color="auto"/>
          </w:divBdr>
        </w:div>
        <w:div w:id="1517691871">
          <w:marLeft w:val="0"/>
          <w:marRight w:val="0"/>
          <w:marTop w:val="0"/>
          <w:marBottom w:val="0"/>
          <w:divBdr>
            <w:top w:val="none" w:sz="0" w:space="0" w:color="auto"/>
            <w:left w:val="none" w:sz="0" w:space="0" w:color="auto"/>
            <w:bottom w:val="none" w:sz="0" w:space="0" w:color="auto"/>
            <w:right w:val="none" w:sz="0" w:space="0" w:color="auto"/>
          </w:divBdr>
        </w:div>
        <w:div w:id="1689063122">
          <w:marLeft w:val="0"/>
          <w:marRight w:val="0"/>
          <w:marTop w:val="0"/>
          <w:marBottom w:val="0"/>
          <w:divBdr>
            <w:top w:val="none" w:sz="0" w:space="0" w:color="auto"/>
            <w:left w:val="none" w:sz="0" w:space="0" w:color="auto"/>
            <w:bottom w:val="none" w:sz="0" w:space="0" w:color="auto"/>
            <w:right w:val="none" w:sz="0" w:space="0" w:color="auto"/>
          </w:divBdr>
        </w:div>
        <w:div w:id="1739740036">
          <w:marLeft w:val="0"/>
          <w:marRight w:val="0"/>
          <w:marTop w:val="0"/>
          <w:marBottom w:val="0"/>
          <w:divBdr>
            <w:top w:val="none" w:sz="0" w:space="0" w:color="auto"/>
            <w:left w:val="none" w:sz="0" w:space="0" w:color="auto"/>
            <w:bottom w:val="none" w:sz="0" w:space="0" w:color="auto"/>
            <w:right w:val="none" w:sz="0" w:space="0" w:color="auto"/>
          </w:divBdr>
        </w:div>
        <w:div w:id="1923565290">
          <w:marLeft w:val="0"/>
          <w:marRight w:val="0"/>
          <w:marTop w:val="0"/>
          <w:marBottom w:val="0"/>
          <w:divBdr>
            <w:top w:val="none" w:sz="0" w:space="0" w:color="auto"/>
            <w:left w:val="none" w:sz="0" w:space="0" w:color="auto"/>
            <w:bottom w:val="none" w:sz="0" w:space="0" w:color="auto"/>
            <w:right w:val="none" w:sz="0" w:space="0" w:color="auto"/>
          </w:divBdr>
          <w:divsChild>
            <w:div w:id="215627461">
              <w:marLeft w:val="0"/>
              <w:marRight w:val="0"/>
              <w:marTop w:val="0"/>
              <w:marBottom w:val="0"/>
              <w:divBdr>
                <w:top w:val="none" w:sz="0" w:space="0" w:color="auto"/>
                <w:left w:val="none" w:sz="0" w:space="0" w:color="auto"/>
                <w:bottom w:val="none" w:sz="0" w:space="0" w:color="auto"/>
                <w:right w:val="none" w:sz="0" w:space="0" w:color="auto"/>
              </w:divBdr>
            </w:div>
            <w:div w:id="240721288">
              <w:marLeft w:val="0"/>
              <w:marRight w:val="0"/>
              <w:marTop w:val="0"/>
              <w:marBottom w:val="0"/>
              <w:divBdr>
                <w:top w:val="none" w:sz="0" w:space="0" w:color="auto"/>
                <w:left w:val="none" w:sz="0" w:space="0" w:color="auto"/>
                <w:bottom w:val="none" w:sz="0" w:space="0" w:color="auto"/>
                <w:right w:val="none" w:sz="0" w:space="0" w:color="auto"/>
              </w:divBdr>
            </w:div>
            <w:div w:id="338853345">
              <w:marLeft w:val="0"/>
              <w:marRight w:val="0"/>
              <w:marTop w:val="0"/>
              <w:marBottom w:val="0"/>
              <w:divBdr>
                <w:top w:val="none" w:sz="0" w:space="0" w:color="auto"/>
                <w:left w:val="none" w:sz="0" w:space="0" w:color="auto"/>
                <w:bottom w:val="none" w:sz="0" w:space="0" w:color="auto"/>
                <w:right w:val="none" w:sz="0" w:space="0" w:color="auto"/>
              </w:divBdr>
            </w:div>
            <w:div w:id="1200045286">
              <w:marLeft w:val="0"/>
              <w:marRight w:val="0"/>
              <w:marTop w:val="0"/>
              <w:marBottom w:val="0"/>
              <w:divBdr>
                <w:top w:val="none" w:sz="0" w:space="0" w:color="auto"/>
                <w:left w:val="none" w:sz="0" w:space="0" w:color="auto"/>
                <w:bottom w:val="none" w:sz="0" w:space="0" w:color="auto"/>
                <w:right w:val="none" w:sz="0" w:space="0" w:color="auto"/>
              </w:divBdr>
            </w:div>
            <w:div w:id="1607078463">
              <w:marLeft w:val="0"/>
              <w:marRight w:val="0"/>
              <w:marTop w:val="0"/>
              <w:marBottom w:val="0"/>
              <w:divBdr>
                <w:top w:val="none" w:sz="0" w:space="0" w:color="auto"/>
                <w:left w:val="none" w:sz="0" w:space="0" w:color="auto"/>
                <w:bottom w:val="none" w:sz="0" w:space="0" w:color="auto"/>
                <w:right w:val="none" w:sz="0" w:space="0" w:color="auto"/>
              </w:divBdr>
            </w:div>
            <w:div w:id="1703247643">
              <w:marLeft w:val="0"/>
              <w:marRight w:val="0"/>
              <w:marTop w:val="0"/>
              <w:marBottom w:val="0"/>
              <w:divBdr>
                <w:top w:val="none" w:sz="0" w:space="0" w:color="auto"/>
                <w:left w:val="none" w:sz="0" w:space="0" w:color="auto"/>
                <w:bottom w:val="none" w:sz="0" w:space="0" w:color="auto"/>
                <w:right w:val="none" w:sz="0" w:space="0" w:color="auto"/>
              </w:divBdr>
            </w:div>
            <w:div w:id="1727289827">
              <w:marLeft w:val="0"/>
              <w:marRight w:val="0"/>
              <w:marTop w:val="0"/>
              <w:marBottom w:val="0"/>
              <w:divBdr>
                <w:top w:val="none" w:sz="0" w:space="0" w:color="auto"/>
                <w:left w:val="none" w:sz="0" w:space="0" w:color="auto"/>
                <w:bottom w:val="none" w:sz="0" w:space="0" w:color="auto"/>
                <w:right w:val="none" w:sz="0" w:space="0" w:color="auto"/>
              </w:divBdr>
            </w:div>
            <w:div w:id="1969125361">
              <w:marLeft w:val="0"/>
              <w:marRight w:val="0"/>
              <w:marTop w:val="0"/>
              <w:marBottom w:val="0"/>
              <w:divBdr>
                <w:top w:val="none" w:sz="0" w:space="0" w:color="auto"/>
                <w:left w:val="none" w:sz="0" w:space="0" w:color="auto"/>
                <w:bottom w:val="none" w:sz="0" w:space="0" w:color="auto"/>
                <w:right w:val="none" w:sz="0" w:space="0" w:color="auto"/>
              </w:divBdr>
            </w:div>
            <w:div w:id="2103262299">
              <w:marLeft w:val="0"/>
              <w:marRight w:val="0"/>
              <w:marTop w:val="0"/>
              <w:marBottom w:val="0"/>
              <w:divBdr>
                <w:top w:val="none" w:sz="0" w:space="0" w:color="auto"/>
                <w:left w:val="none" w:sz="0" w:space="0" w:color="auto"/>
                <w:bottom w:val="none" w:sz="0" w:space="0" w:color="auto"/>
                <w:right w:val="none" w:sz="0" w:space="0" w:color="auto"/>
              </w:divBdr>
            </w:div>
            <w:div w:id="2131507880">
              <w:marLeft w:val="0"/>
              <w:marRight w:val="0"/>
              <w:marTop w:val="0"/>
              <w:marBottom w:val="0"/>
              <w:divBdr>
                <w:top w:val="none" w:sz="0" w:space="0" w:color="auto"/>
                <w:left w:val="none" w:sz="0" w:space="0" w:color="auto"/>
                <w:bottom w:val="none" w:sz="0" w:space="0" w:color="auto"/>
                <w:right w:val="none" w:sz="0" w:space="0" w:color="auto"/>
              </w:divBdr>
            </w:div>
          </w:divsChild>
        </w:div>
        <w:div w:id="1999456258">
          <w:marLeft w:val="0"/>
          <w:marRight w:val="0"/>
          <w:marTop w:val="0"/>
          <w:marBottom w:val="0"/>
          <w:divBdr>
            <w:top w:val="none" w:sz="0" w:space="0" w:color="auto"/>
            <w:left w:val="none" w:sz="0" w:space="0" w:color="auto"/>
            <w:bottom w:val="none" w:sz="0" w:space="0" w:color="auto"/>
            <w:right w:val="none" w:sz="0" w:space="0" w:color="auto"/>
          </w:divBdr>
          <w:divsChild>
            <w:div w:id="1475634746">
              <w:marLeft w:val="-75"/>
              <w:marRight w:val="0"/>
              <w:marTop w:val="30"/>
              <w:marBottom w:val="30"/>
              <w:divBdr>
                <w:top w:val="none" w:sz="0" w:space="0" w:color="auto"/>
                <w:left w:val="none" w:sz="0" w:space="0" w:color="auto"/>
                <w:bottom w:val="none" w:sz="0" w:space="0" w:color="auto"/>
                <w:right w:val="none" w:sz="0" w:space="0" w:color="auto"/>
              </w:divBdr>
              <w:divsChild>
                <w:div w:id="82144109">
                  <w:marLeft w:val="0"/>
                  <w:marRight w:val="0"/>
                  <w:marTop w:val="0"/>
                  <w:marBottom w:val="0"/>
                  <w:divBdr>
                    <w:top w:val="none" w:sz="0" w:space="0" w:color="auto"/>
                    <w:left w:val="none" w:sz="0" w:space="0" w:color="auto"/>
                    <w:bottom w:val="none" w:sz="0" w:space="0" w:color="auto"/>
                    <w:right w:val="none" w:sz="0" w:space="0" w:color="auto"/>
                  </w:divBdr>
                  <w:divsChild>
                    <w:div w:id="83764630">
                      <w:marLeft w:val="0"/>
                      <w:marRight w:val="0"/>
                      <w:marTop w:val="0"/>
                      <w:marBottom w:val="0"/>
                      <w:divBdr>
                        <w:top w:val="none" w:sz="0" w:space="0" w:color="auto"/>
                        <w:left w:val="none" w:sz="0" w:space="0" w:color="auto"/>
                        <w:bottom w:val="none" w:sz="0" w:space="0" w:color="auto"/>
                        <w:right w:val="none" w:sz="0" w:space="0" w:color="auto"/>
                      </w:divBdr>
                    </w:div>
                  </w:divsChild>
                </w:div>
                <w:div w:id="109398526">
                  <w:marLeft w:val="0"/>
                  <w:marRight w:val="0"/>
                  <w:marTop w:val="0"/>
                  <w:marBottom w:val="0"/>
                  <w:divBdr>
                    <w:top w:val="none" w:sz="0" w:space="0" w:color="auto"/>
                    <w:left w:val="none" w:sz="0" w:space="0" w:color="auto"/>
                    <w:bottom w:val="none" w:sz="0" w:space="0" w:color="auto"/>
                    <w:right w:val="none" w:sz="0" w:space="0" w:color="auto"/>
                  </w:divBdr>
                  <w:divsChild>
                    <w:div w:id="736825742">
                      <w:marLeft w:val="0"/>
                      <w:marRight w:val="0"/>
                      <w:marTop w:val="0"/>
                      <w:marBottom w:val="0"/>
                      <w:divBdr>
                        <w:top w:val="none" w:sz="0" w:space="0" w:color="auto"/>
                        <w:left w:val="none" w:sz="0" w:space="0" w:color="auto"/>
                        <w:bottom w:val="none" w:sz="0" w:space="0" w:color="auto"/>
                        <w:right w:val="none" w:sz="0" w:space="0" w:color="auto"/>
                      </w:divBdr>
                    </w:div>
                  </w:divsChild>
                </w:div>
                <w:div w:id="205026283">
                  <w:marLeft w:val="0"/>
                  <w:marRight w:val="0"/>
                  <w:marTop w:val="0"/>
                  <w:marBottom w:val="0"/>
                  <w:divBdr>
                    <w:top w:val="none" w:sz="0" w:space="0" w:color="auto"/>
                    <w:left w:val="none" w:sz="0" w:space="0" w:color="auto"/>
                    <w:bottom w:val="none" w:sz="0" w:space="0" w:color="auto"/>
                    <w:right w:val="none" w:sz="0" w:space="0" w:color="auto"/>
                  </w:divBdr>
                  <w:divsChild>
                    <w:div w:id="1060783399">
                      <w:marLeft w:val="0"/>
                      <w:marRight w:val="0"/>
                      <w:marTop w:val="0"/>
                      <w:marBottom w:val="0"/>
                      <w:divBdr>
                        <w:top w:val="none" w:sz="0" w:space="0" w:color="auto"/>
                        <w:left w:val="none" w:sz="0" w:space="0" w:color="auto"/>
                        <w:bottom w:val="none" w:sz="0" w:space="0" w:color="auto"/>
                        <w:right w:val="none" w:sz="0" w:space="0" w:color="auto"/>
                      </w:divBdr>
                    </w:div>
                  </w:divsChild>
                </w:div>
                <w:div w:id="234321044">
                  <w:marLeft w:val="0"/>
                  <w:marRight w:val="0"/>
                  <w:marTop w:val="0"/>
                  <w:marBottom w:val="0"/>
                  <w:divBdr>
                    <w:top w:val="none" w:sz="0" w:space="0" w:color="auto"/>
                    <w:left w:val="none" w:sz="0" w:space="0" w:color="auto"/>
                    <w:bottom w:val="none" w:sz="0" w:space="0" w:color="auto"/>
                    <w:right w:val="none" w:sz="0" w:space="0" w:color="auto"/>
                  </w:divBdr>
                  <w:divsChild>
                    <w:div w:id="623077597">
                      <w:marLeft w:val="0"/>
                      <w:marRight w:val="0"/>
                      <w:marTop w:val="0"/>
                      <w:marBottom w:val="0"/>
                      <w:divBdr>
                        <w:top w:val="none" w:sz="0" w:space="0" w:color="auto"/>
                        <w:left w:val="none" w:sz="0" w:space="0" w:color="auto"/>
                        <w:bottom w:val="none" w:sz="0" w:space="0" w:color="auto"/>
                        <w:right w:val="none" w:sz="0" w:space="0" w:color="auto"/>
                      </w:divBdr>
                    </w:div>
                  </w:divsChild>
                </w:div>
                <w:div w:id="244652783">
                  <w:marLeft w:val="0"/>
                  <w:marRight w:val="0"/>
                  <w:marTop w:val="0"/>
                  <w:marBottom w:val="0"/>
                  <w:divBdr>
                    <w:top w:val="none" w:sz="0" w:space="0" w:color="auto"/>
                    <w:left w:val="none" w:sz="0" w:space="0" w:color="auto"/>
                    <w:bottom w:val="none" w:sz="0" w:space="0" w:color="auto"/>
                    <w:right w:val="none" w:sz="0" w:space="0" w:color="auto"/>
                  </w:divBdr>
                  <w:divsChild>
                    <w:div w:id="736244633">
                      <w:marLeft w:val="0"/>
                      <w:marRight w:val="0"/>
                      <w:marTop w:val="0"/>
                      <w:marBottom w:val="0"/>
                      <w:divBdr>
                        <w:top w:val="none" w:sz="0" w:space="0" w:color="auto"/>
                        <w:left w:val="none" w:sz="0" w:space="0" w:color="auto"/>
                        <w:bottom w:val="none" w:sz="0" w:space="0" w:color="auto"/>
                        <w:right w:val="none" w:sz="0" w:space="0" w:color="auto"/>
                      </w:divBdr>
                    </w:div>
                  </w:divsChild>
                </w:div>
                <w:div w:id="345599884">
                  <w:marLeft w:val="0"/>
                  <w:marRight w:val="0"/>
                  <w:marTop w:val="0"/>
                  <w:marBottom w:val="0"/>
                  <w:divBdr>
                    <w:top w:val="none" w:sz="0" w:space="0" w:color="auto"/>
                    <w:left w:val="none" w:sz="0" w:space="0" w:color="auto"/>
                    <w:bottom w:val="none" w:sz="0" w:space="0" w:color="auto"/>
                    <w:right w:val="none" w:sz="0" w:space="0" w:color="auto"/>
                  </w:divBdr>
                  <w:divsChild>
                    <w:div w:id="1572737416">
                      <w:marLeft w:val="0"/>
                      <w:marRight w:val="0"/>
                      <w:marTop w:val="0"/>
                      <w:marBottom w:val="0"/>
                      <w:divBdr>
                        <w:top w:val="none" w:sz="0" w:space="0" w:color="auto"/>
                        <w:left w:val="none" w:sz="0" w:space="0" w:color="auto"/>
                        <w:bottom w:val="none" w:sz="0" w:space="0" w:color="auto"/>
                        <w:right w:val="none" w:sz="0" w:space="0" w:color="auto"/>
                      </w:divBdr>
                    </w:div>
                  </w:divsChild>
                </w:div>
                <w:div w:id="363337180">
                  <w:marLeft w:val="0"/>
                  <w:marRight w:val="0"/>
                  <w:marTop w:val="0"/>
                  <w:marBottom w:val="0"/>
                  <w:divBdr>
                    <w:top w:val="none" w:sz="0" w:space="0" w:color="auto"/>
                    <w:left w:val="none" w:sz="0" w:space="0" w:color="auto"/>
                    <w:bottom w:val="none" w:sz="0" w:space="0" w:color="auto"/>
                    <w:right w:val="none" w:sz="0" w:space="0" w:color="auto"/>
                  </w:divBdr>
                  <w:divsChild>
                    <w:div w:id="2121143545">
                      <w:marLeft w:val="0"/>
                      <w:marRight w:val="0"/>
                      <w:marTop w:val="0"/>
                      <w:marBottom w:val="0"/>
                      <w:divBdr>
                        <w:top w:val="none" w:sz="0" w:space="0" w:color="auto"/>
                        <w:left w:val="none" w:sz="0" w:space="0" w:color="auto"/>
                        <w:bottom w:val="none" w:sz="0" w:space="0" w:color="auto"/>
                        <w:right w:val="none" w:sz="0" w:space="0" w:color="auto"/>
                      </w:divBdr>
                    </w:div>
                  </w:divsChild>
                </w:div>
                <w:div w:id="397439039">
                  <w:marLeft w:val="0"/>
                  <w:marRight w:val="0"/>
                  <w:marTop w:val="0"/>
                  <w:marBottom w:val="0"/>
                  <w:divBdr>
                    <w:top w:val="none" w:sz="0" w:space="0" w:color="auto"/>
                    <w:left w:val="none" w:sz="0" w:space="0" w:color="auto"/>
                    <w:bottom w:val="none" w:sz="0" w:space="0" w:color="auto"/>
                    <w:right w:val="none" w:sz="0" w:space="0" w:color="auto"/>
                  </w:divBdr>
                  <w:divsChild>
                    <w:div w:id="786974338">
                      <w:marLeft w:val="0"/>
                      <w:marRight w:val="0"/>
                      <w:marTop w:val="0"/>
                      <w:marBottom w:val="0"/>
                      <w:divBdr>
                        <w:top w:val="none" w:sz="0" w:space="0" w:color="auto"/>
                        <w:left w:val="none" w:sz="0" w:space="0" w:color="auto"/>
                        <w:bottom w:val="none" w:sz="0" w:space="0" w:color="auto"/>
                        <w:right w:val="none" w:sz="0" w:space="0" w:color="auto"/>
                      </w:divBdr>
                    </w:div>
                  </w:divsChild>
                </w:div>
                <w:div w:id="420562201">
                  <w:marLeft w:val="0"/>
                  <w:marRight w:val="0"/>
                  <w:marTop w:val="0"/>
                  <w:marBottom w:val="0"/>
                  <w:divBdr>
                    <w:top w:val="none" w:sz="0" w:space="0" w:color="auto"/>
                    <w:left w:val="none" w:sz="0" w:space="0" w:color="auto"/>
                    <w:bottom w:val="none" w:sz="0" w:space="0" w:color="auto"/>
                    <w:right w:val="none" w:sz="0" w:space="0" w:color="auto"/>
                  </w:divBdr>
                  <w:divsChild>
                    <w:div w:id="1930043385">
                      <w:marLeft w:val="0"/>
                      <w:marRight w:val="0"/>
                      <w:marTop w:val="0"/>
                      <w:marBottom w:val="0"/>
                      <w:divBdr>
                        <w:top w:val="none" w:sz="0" w:space="0" w:color="auto"/>
                        <w:left w:val="none" w:sz="0" w:space="0" w:color="auto"/>
                        <w:bottom w:val="none" w:sz="0" w:space="0" w:color="auto"/>
                        <w:right w:val="none" w:sz="0" w:space="0" w:color="auto"/>
                      </w:divBdr>
                    </w:div>
                  </w:divsChild>
                </w:div>
                <w:div w:id="479612299">
                  <w:marLeft w:val="0"/>
                  <w:marRight w:val="0"/>
                  <w:marTop w:val="0"/>
                  <w:marBottom w:val="0"/>
                  <w:divBdr>
                    <w:top w:val="none" w:sz="0" w:space="0" w:color="auto"/>
                    <w:left w:val="none" w:sz="0" w:space="0" w:color="auto"/>
                    <w:bottom w:val="none" w:sz="0" w:space="0" w:color="auto"/>
                    <w:right w:val="none" w:sz="0" w:space="0" w:color="auto"/>
                  </w:divBdr>
                  <w:divsChild>
                    <w:div w:id="701594770">
                      <w:marLeft w:val="0"/>
                      <w:marRight w:val="0"/>
                      <w:marTop w:val="0"/>
                      <w:marBottom w:val="0"/>
                      <w:divBdr>
                        <w:top w:val="none" w:sz="0" w:space="0" w:color="auto"/>
                        <w:left w:val="none" w:sz="0" w:space="0" w:color="auto"/>
                        <w:bottom w:val="none" w:sz="0" w:space="0" w:color="auto"/>
                        <w:right w:val="none" w:sz="0" w:space="0" w:color="auto"/>
                      </w:divBdr>
                    </w:div>
                  </w:divsChild>
                </w:div>
                <w:div w:id="516583680">
                  <w:marLeft w:val="0"/>
                  <w:marRight w:val="0"/>
                  <w:marTop w:val="0"/>
                  <w:marBottom w:val="0"/>
                  <w:divBdr>
                    <w:top w:val="none" w:sz="0" w:space="0" w:color="auto"/>
                    <w:left w:val="none" w:sz="0" w:space="0" w:color="auto"/>
                    <w:bottom w:val="none" w:sz="0" w:space="0" w:color="auto"/>
                    <w:right w:val="none" w:sz="0" w:space="0" w:color="auto"/>
                  </w:divBdr>
                  <w:divsChild>
                    <w:div w:id="1093671782">
                      <w:marLeft w:val="0"/>
                      <w:marRight w:val="0"/>
                      <w:marTop w:val="0"/>
                      <w:marBottom w:val="0"/>
                      <w:divBdr>
                        <w:top w:val="none" w:sz="0" w:space="0" w:color="auto"/>
                        <w:left w:val="none" w:sz="0" w:space="0" w:color="auto"/>
                        <w:bottom w:val="none" w:sz="0" w:space="0" w:color="auto"/>
                        <w:right w:val="none" w:sz="0" w:space="0" w:color="auto"/>
                      </w:divBdr>
                    </w:div>
                  </w:divsChild>
                </w:div>
                <w:div w:id="562446187">
                  <w:marLeft w:val="0"/>
                  <w:marRight w:val="0"/>
                  <w:marTop w:val="0"/>
                  <w:marBottom w:val="0"/>
                  <w:divBdr>
                    <w:top w:val="none" w:sz="0" w:space="0" w:color="auto"/>
                    <w:left w:val="none" w:sz="0" w:space="0" w:color="auto"/>
                    <w:bottom w:val="none" w:sz="0" w:space="0" w:color="auto"/>
                    <w:right w:val="none" w:sz="0" w:space="0" w:color="auto"/>
                  </w:divBdr>
                  <w:divsChild>
                    <w:div w:id="33624890">
                      <w:marLeft w:val="0"/>
                      <w:marRight w:val="0"/>
                      <w:marTop w:val="0"/>
                      <w:marBottom w:val="0"/>
                      <w:divBdr>
                        <w:top w:val="none" w:sz="0" w:space="0" w:color="auto"/>
                        <w:left w:val="none" w:sz="0" w:space="0" w:color="auto"/>
                        <w:bottom w:val="none" w:sz="0" w:space="0" w:color="auto"/>
                        <w:right w:val="none" w:sz="0" w:space="0" w:color="auto"/>
                      </w:divBdr>
                    </w:div>
                  </w:divsChild>
                </w:div>
                <w:div w:id="592786605">
                  <w:marLeft w:val="0"/>
                  <w:marRight w:val="0"/>
                  <w:marTop w:val="0"/>
                  <w:marBottom w:val="0"/>
                  <w:divBdr>
                    <w:top w:val="none" w:sz="0" w:space="0" w:color="auto"/>
                    <w:left w:val="none" w:sz="0" w:space="0" w:color="auto"/>
                    <w:bottom w:val="none" w:sz="0" w:space="0" w:color="auto"/>
                    <w:right w:val="none" w:sz="0" w:space="0" w:color="auto"/>
                  </w:divBdr>
                  <w:divsChild>
                    <w:div w:id="1802266108">
                      <w:marLeft w:val="0"/>
                      <w:marRight w:val="0"/>
                      <w:marTop w:val="0"/>
                      <w:marBottom w:val="0"/>
                      <w:divBdr>
                        <w:top w:val="none" w:sz="0" w:space="0" w:color="auto"/>
                        <w:left w:val="none" w:sz="0" w:space="0" w:color="auto"/>
                        <w:bottom w:val="none" w:sz="0" w:space="0" w:color="auto"/>
                        <w:right w:val="none" w:sz="0" w:space="0" w:color="auto"/>
                      </w:divBdr>
                    </w:div>
                  </w:divsChild>
                </w:div>
                <w:div w:id="607586359">
                  <w:marLeft w:val="0"/>
                  <w:marRight w:val="0"/>
                  <w:marTop w:val="0"/>
                  <w:marBottom w:val="0"/>
                  <w:divBdr>
                    <w:top w:val="none" w:sz="0" w:space="0" w:color="auto"/>
                    <w:left w:val="none" w:sz="0" w:space="0" w:color="auto"/>
                    <w:bottom w:val="none" w:sz="0" w:space="0" w:color="auto"/>
                    <w:right w:val="none" w:sz="0" w:space="0" w:color="auto"/>
                  </w:divBdr>
                  <w:divsChild>
                    <w:div w:id="913466880">
                      <w:marLeft w:val="0"/>
                      <w:marRight w:val="0"/>
                      <w:marTop w:val="0"/>
                      <w:marBottom w:val="0"/>
                      <w:divBdr>
                        <w:top w:val="none" w:sz="0" w:space="0" w:color="auto"/>
                        <w:left w:val="none" w:sz="0" w:space="0" w:color="auto"/>
                        <w:bottom w:val="none" w:sz="0" w:space="0" w:color="auto"/>
                        <w:right w:val="none" w:sz="0" w:space="0" w:color="auto"/>
                      </w:divBdr>
                    </w:div>
                  </w:divsChild>
                </w:div>
                <w:div w:id="623735200">
                  <w:marLeft w:val="0"/>
                  <w:marRight w:val="0"/>
                  <w:marTop w:val="0"/>
                  <w:marBottom w:val="0"/>
                  <w:divBdr>
                    <w:top w:val="none" w:sz="0" w:space="0" w:color="auto"/>
                    <w:left w:val="none" w:sz="0" w:space="0" w:color="auto"/>
                    <w:bottom w:val="none" w:sz="0" w:space="0" w:color="auto"/>
                    <w:right w:val="none" w:sz="0" w:space="0" w:color="auto"/>
                  </w:divBdr>
                  <w:divsChild>
                    <w:div w:id="240482293">
                      <w:marLeft w:val="0"/>
                      <w:marRight w:val="0"/>
                      <w:marTop w:val="0"/>
                      <w:marBottom w:val="0"/>
                      <w:divBdr>
                        <w:top w:val="none" w:sz="0" w:space="0" w:color="auto"/>
                        <w:left w:val="none" w:sz="0" w:space="0" w:color="auto"/>
                        <w:bottom w:val="none" w:sz="0" w:space="0" w:color="auto"/>
                        <w:right w:val="none" w:sz="0" w:space="0" w:color="auto"/>
                      </w:divBdr>
                    </w:div>
                  </w:divsChild>
                </w:div>
                <w:div w:id="639073391">
                  <w:marLeft w:val="0"/>
                  <w:marRight w:val="0"/>
                  <w:marTop w:val="0"/>
                  <w:marBottom w:val="0"/>
                  <w:divBdr>
                    <w:top w:val="none" w:sz="0" w:space="0" w:color="auto"/>
                    <w:left w:val="none" w:sz="0" w:space="0" w:color="auto"/>
                    <w:bottom w:val="none" w:sz="0" w:space="0" w:color="auto"/>
                    <w:right w:val="none" w:sz="0" w:space="0" w:color="auto"/>
                  </w:divBdr>
                  <w:divsChild>
                    <w:div w:id="447284208">
                      <w:marLeft w:val="0"/>
                      <w:marRight w:val="0"/>
                      <w:marTop w:val="0"/>
                      <w:marBottom w:val="0"/>
                      <w:divBdr>
                        <w:top w:val="none" w:sz="0" w:space="0" w:color="auto"/>
                        <w:left w:val="none" w:sz="0" w:space="0" w:color="auto"/>
                        <w:bottom w:val="none" w:sz="0" w:space="0" w:color="auto"/>
                        <w:right w:val="none" w:sz="0" w:space="0" w:color="auto"/>
                      </w:divBdr>
                    </w:div>
                  </w:divsChild>
                </w:div>
                <w:div w:id="669792529">
                  <w:marLeft w:val="0"/>
                  <w:marRight w:val="0"/>
                  <w:marTop w:val="0"/>
                  <w:marBottom w:val="0"/>
                  <w:divBdr>
                    <w:top w:val="none" w:sz="0" w:space="0" w:color="auto"/>
                    <w:left w:val="none" w:sz="0" w:space="0" w:color="auto"/>
                    <w:bottom w:val="none" w:sz="0" w:space="0" w:color="auto"/>
                    <w:right w:val="none" w:sz="0" w:space="0" w:color="auto"/>
                  </w:divBdr>
                  <w:divsChild>
                    <w:div w:id="1345858687">
                      <w:marLeft w:val="0"/>
                      <w:marRight w:val="0"/>
                      <w:marTop w:val="0"/>
                      <w:marBottom w:val="0"/>
                      <w:divBdr>
                        <w:top w:val="none" w:sz="0" w:space="0" w:color="auto"/>
                        <w:left w:val="none" w:sz="0" w:space="0" w:color="auto"/>
                        <w:bottom w:val="none" w:sz="0" w:space="0" w:color="auto"/>
                        <w:right w:val="none" w:sz="0" w:space="0" w:color="auto"/>
                      </w:divBdr>
                    </w:div>
                  </w:divsChild>
                </w:div>
                <w:div w:id="687023379">
                  <w:marLeft w:val="0"/>
                  <w:marRight w:val="0"/>
                  <w:marTop w:val="0"/>
                  <w:marBottom w:val="0"/>
                  <w:divBdr>
                    <w:top w:val="none" w:sz="0" w:space="0" w:color="auto"/>
                    <w:left w:val="none" w:sz="0" w:space="0" w:color="auto"/>
                    <w:bottom w:val="none" w:sz="0" w:space="0" w:color="auto"/>
                    <w:right w:val="none" w:sz="0" w:space="0" w:color="auto"/>
                  </w:divBdr>
                  <w:divsChild>
                    <w:div w:id="1050762081">
                      <w:marLeft w:val="0"/>
                      <w:marRight w:val="0"/>
                      <w:marTop w:val="0"/>
                      <w:marBottom w:val="0"/>
                      <w:divBdr>
                        <w:top w:val="none" w:sz="0" w:space="0" w:color="auto"/>
                        <w:left w:val="none" w:sz="0" w:space="0" w:color="auto"/>
                        <w:bottom w:val="none" w:sz="0" w:space="0" w:color="auto"/>
                        <w:right w:val="none" w:sz="0" w:space="0" w:color="auto"/>
                      </w:divBdr>
                    </w:div>
                  </w:divsChild>
                </w:div>
                <w:div w:id="708148710">
                  <w:marLeft w:val="0"/>
                  <w:marRight w:val="0"/>
                  <w:marTop w:val="0"/>
                  <w:marBottom w:val="0"/>
                  <w:divBdr>
                    <w:top w:val="none" w:sz="0" w:space="0" w:color="auto"/>
                    <w:left w:val="none" w:sz="0" w:space="0" w:color="auto"/>
                    <w:bottom w:val="none" w:sz="0" w:space="0" w:color="auto"/>
                    <w:right w:val="none" w:sz="0" w:space="0" w:color="auto"/>
                  </w:divBdr>
                  <w:divsChild>
                    <w:div w:id="1242134901">
                      <w:marLeft w:val="0"/>
                      <w:marRight w:val="0"/>
                      <w:marTop w:val="0"/>
                      <w:marBottom w:val="0"/>
                      <w:divBdr>
                        <w:top w:val="none" w:sz="0" w:space="0" w:color="auto"/>
                        <w:left w:val="none" w:sz="0" w:space="0" w:color="auto"/>
                        <w:bottom w:val="none" w:sz="0" w:space="0" w:color="auto"/>
                        <w:right w:val="none" w:sz="0" w:space="0" w:color="auto"/>
                      </w:divBdr>
                    </w:div>
                  </w:divsChild>
                </w:div>
                <w:div w:id="753937277">
                  <w:marLeft w:val="0"/>
                  <w:marRight w:val="0"/>
                  <w:marTop w:val="0"/>
                  <w:marBottom w:val="0"/>
                  <w:divBdr>
                    <w:top w:val="none" w:sz="0" w:space="0" w:color="auto"/>
                    <w:left w:val="none" w:sz="0" w:space="0" w:color="auto"/>
                    <w:bottom w:val="none" w:sz="0" w:space="0" w:color="auto"/>
                    <w:right w:val="none" w:sz="0" w:space="0" w:color="auto"/>
                  </w:divBdr>
                  <w:divsChild>
                    <w:div w:id="509683329">
                      <w:marLeft w:val="0"/>
                      <w:marRight w:val="0"/>
                      <w:marTop w:val="0"/>
                      <w:marBottom w:val="0"/>
                      <w:divBdr>
                        <w:top w:val="none" w:sz="0" w:space="0" w:color="auto"/>
                        <w:left w:val="none" w:sz="0" w:space="0" w:color="auto"/>
                        <w:bottom w:val="none" w:sz="0" w:space="0" w:color="auto"/>
                        <w:right w:val="none" w:sz="0" w:space="0" w:color="auto"/>
                      </w:divBdr>
                    </w:div>
                  </w:divsChild>
                </w:div>
                <w:div w:id="758404027">
                  <w:marLeft w:val="0"/>
                  <w:marRight w:val="0"/>
                  <w:marTop w:val="0"/>
                  <w:marBottom w:val="0"/>
                  <w:divBdr>
                    <w:top w:val="none" w:sz="0" w:space="0" w:color="auto"/>
                    <w:left w:val="none" w:sz="0" w:space="0" w:color="auto"/>
                    <w:bottom w:val="none" w:sz="0" w:space="0" w:color="auto"/>
                    <w:right w:val="none" w:sz="0" w:space="0" w:color="auto"/>
                  </w:divBdr>
                  <w:divsChild>
                    <w:div w:id="679624132">
                      <w:marLeft w:val="0"/>
                      <w:marRight w:val="0"/>
                      <w:marTop w:val="0"/>
                      <w:marBottom w:val="0"/>
                      <w:divBdr>
                        <w:top w:val="none" w:sz="0" w:space="0" w:color="auto"/>
                        <w:left w:val="none" w:sz="0" w:space="0" w:color="auto"/>
                        <w:bottom w:val="none" w:sz="0" w:space="0" w:color="auto"/>
                        <w:right w:val="none" w:sz="0" w:space="0" w:color="auto"/>
                      </w:divBdr>
                    </w:div>
                  </w:divsChild>
                </w:div>
                <w:div w:id="765804479">
                  <w:marLeft w:val="0"/>
                  <w:marRight w:val="0"/>
                  <w:marTop w:val="0"/>
                  <w:marBottom w:val="0"/>
                  <w:divBdr>
                    <w:top w:val="none" w:sz="0" w:space="0" w:color="auto"/>
                    <w:left w:val="none" w:sz="0" w:space="0" w:color="auto"/>
                    <w:bottom w:val="none" w:sz="0" w:space="0" w:color="auto"/>
                    <w:right w:val="none" w:sz="0" w:space="0" w:color="auto"/>
                  </w:divBdr>
                  <w:divsChild>
                    <w:div w:id="820344631">
                      <w:marLeft w:val="0"/>
                      <w:marRight w:val="0"/>
                      <w:marTop w:val="0"/>
                      <w:marBottom w:val="0"/>
                      <w:divBdr>
                        <w:top w:val="none" w:sz="0" w:space="0" w:color="auto"/>
                        <w:left w:val="none" w:sz="0" w:space="0" w:color="auto"/>
                        <w:bottom w:val="none" w:sz="0" w:space="0" w:color="auto"/>
                        <w:right w:val="none" w:sz="0" w:space="0" w:color="auto"/>
                      </w:divBdr>
                    </w:div>
                  </w:divsChild>
                </w:div>
                <w:div w:id="767698267">
                  <w:marLeft w:val="0"/>
                  <w:marRight w:val="0"/>
                  <w:marTop w:val="0"/>
                  <w:marBottom w:val="0"/>
                  <w:divBdr>
                    <w:top w:val="none" w:sz="0" w:space="0" w:color="auto"/>
                    <w:left w:val="none" w:sz="0" w:space="0" w:color="auto"/>
                    <w:bottom w:val="none" w:sz="0" w:space="0" w:color="auto"/>
                    <w:right w:val="none" w:sz="0" w:space="0" w:color="auto"/>
                  </w:divBdr>
                  <w:divsChild>
                    <w:div w:id="16934166">
                      <w:marLeft w:val="0"/>
                      <w:marRight w:val="0"/>
                      <w:marTop w:val="0"/>
                      <w:marBottom w:val="0"/>
                      <w:divBdr>
                        <w:top w:val="none" w:sz="0" w:space="0" w:color="auto"/>
                        <w:left w:val="none" w:sz="0" w:space="0" w:color="auto"/>
                        <w:bottom w:val="none" w:sz="0" w:space="0" w:color="auto"/>
                        <w:right w:val="none" w:sz="0" w:space="0" w:color="auto"/>
                      </w:divBdr>
                    </w:div>
                  </w:divsChild>
                </w:div>
                <w:div w:id="890309004">
                  <w:marLeft w:val="0"/>
                  <w:marRight w:val="0"/>
                  <w:marTop w:val="0"/>
                  <w:marBottom w:val="0"/>
                  <w:divBdr>
                    <w:top w:val="none" w:sz="0" w:space="0" w:color="auto"/>
                    <w:left w:val="none" w:sz="0" w:space="0" w:color="auto"/>
                    <w:bottom w:val="none" w:sz="0" w:space="0" w:color="auto"/>
                    <w:right w:val="none" w:sz="0" w:space="0" w:color="auto"/>
                  </w:divBdr>
                  <w:divsChild>
                    <w:div w:id="1020665789">
                      <w:marLeft w:val="0"/>
                      <w:marRight w:val="0"/>
                      <w:marTop w:val="0"/>
                      <w:marBottom w:val="0"/>
                      <w:divBdr>
                        <w:top w:val="none" w:sz="0" w:space="0" w:color="auto"/>
                        <w:left w:val="none" w:sz="0" w:space="0" w:color="auto"/>
                        <w:bottom w:val="none" w:sz="0" w:space="0" w:color="auto"/>
                        <w:right w:val="none" w:sz="0" w:space="0" w:color="auto"/>
                      </w:divBdr>
                    </w:div>
                  </w:divsChild>
                </w:div>
                <w:div w:id="914509373">
                  <w:marLeft w:val="0"/>
                  <w:marRight w:val="0"/>
                  <w:marTop w:val="0"/>
                  <w:marBottom w:val="0"/>
                  <w:divBdr>
                    <w:top w:val="none" w:sz="0" w:space="0" w:color="auto"/>
                    <w:left w:val="none" w:sz="0" w:space="0" w:color="auto"/>
                    <w:bottom w:val="none" w:sz="0" w:space="0" w:color="auto"/>
                    <w:right w:val="none" w:sz="0" w:space="0" w:color="auto"/>
                  </w:divBdr>
                  <w:divsChild>
                    <w:div w:id="1384213479">
                      <w:marLeft w:val="0"/>
                      <w:marRight w:val="0"/>
                      <w:marTop w:val="0"/>
                      <w:marBottom w:val="0"/>
                      <w:divBdr>
                        <w:top w:val="none" w:sz="0" w:space="0" w:color="auto"/>
                        <w:left w:val="none" w:sz="0" w:space="0" w:color="auto"/>
                        <w:bottom w:val="none" w:sz="0" w:space="0" w:color="auto"/>
                        <w:right w:val="none" w:sz="0" w:space="0" w:color="auto"/>
                      </w:divBdr>
                    </w:div>
                  </w:divsChild>
                </w:div>
                <w:div w:id="930434225">
                  <w:marLeft w:val="0"/>
                  <w:marRight w:val="0"/>
                  <w:marTop w:val="0"/>
                  <w:marBottom w:val="0"/>
                  <w:divBdr>
                    <w:top w:val="none" w:sz="0" w:space="0" w:color="auto"/>
                    <w:left w:val="none" w:sz="0" w:space="0" w:color="auto"/>
                    <w:bottom w:val="none" w:sz="0" w:space="0" w:color="auto"/>
                    <w:right w:val="none" w:sz="0" w:space="0" w:color="auto"/>
                  </w:divBdr>
                  <w:divsChild>
                    <w:div w:id="1763068614">
                      <w:marLeft w:val="0"/>
                      <w:marRight w:val="0"/>
                      <w:marTop w:val="0"/>
                      <w:marBottom w:val="0"/>
                      <w:divBdr>
                        <w:top w:val="none" w:sz="0" w:space="0" w:color="auto"/>
                        <w:left w:val="none" w:sz="0" w:space="0" w:color="auto"/>
                        <w:bottom w:val="none" w:sz="0" w:space="0" w:color="auto"/>
                        <w:right w:val="none" w:sz="0" w:space="0" w:color="auto"/>
                      </w:divBdr>
                    </w:div>
                  </w:divsChild>
                </w:div>
                <w:div w:id="943733360">
                  <w:marLeft w:val="0"/>
                  <w:marRight w:val="0"/>
                  <w:marTop w:val="0"/>
                  <w:marBottom w:val="0"/>
                  <w:divBdr>
                    <w:top w:val="none" w:sz="0" w:space="0" w:color="auto"/>
                    <w:left w:val="none" w:sz="0" w:space="0" w:color="auto"/>
                    <w:bottom w:val="none" w:sz="0" w:space="0" w:color="auto"/>
                    <w:right w:val="none" w:sz="0" w:space="0" w:color="auto"/>
                  </w:divBdr>
                  <w:divsChild>
                    <w:div w:id="550767621">
                      <w:marLeft w:val="0"/>
                      <w:marRight w:val="0"/>
                      <w:marTop w:val="0"/>
                      <w:marBottom w:val="0"/>
                      <w:divBdr>
                        <w:top w:val="none" w:sz="0" w:space="0" w:color="auto"/>
                        <w:left w:val="none" w:sz="0" w:space="0" w:color="auto"/>
                        <w:bottom w:val="none" w:sz="0" w:space="0" w:color="auto"/>
                        <w:right w:val="none" w:sz="0" w:space="0" w:color="auto"/>
                      </w:divBdr>
                    </w:div>
                  </w:divsChild>
                </w:div>
                <w:div w:id="948974119">
                  <w:marLeft w:val="0"/>
                  <w:marRight w:val="0"/>
                  <w:marTop w:val="0"/>
                  <w:marBottom w:val="0"/>
                  <w:divBdr>
                    <w:top w:val="none" w:sz="0" w:space="0" w:color="auto"/>
                    <w:left w:val="none" w:sz="0" w:space="0" w:color="auto"/>
                    <w:bottom w:val="none" w:sz="0" w:space="0" w:color="auto"/>
                    <w:right w:val="none" w:sz="0" w:space="0" w:color="auto"/>
                  </w:divBdr>
                  <w:divsChild>
                    <w:div w:id="1125544105">
                      <w:marLeft w:val="0"/>
                      <w:marRight w:val="0"/>
                      <w:marTop w:val="0"/>
                      <w:marBottom w:val="0"/>
                      <w:divBdr>
                        <w:top w:val="none" w:sz="0" w:space="0" w:color="auto"/>
                        <w:left w:val="none" w:sz="0" w:space="0" w:color="auto"/>
                        <w:bottom w:val="none" w:sz="0" w:space="0" w:color="auto"/>
                        <w:right w:val="none" w:sz="0" w:space="0" w:color="auto"/>
                      </w:divBdr>
                    </w:div>
                  </w:divsChild>
                </w:div>
                <w:div w:id="978996611">
                  <w:marLeft w:val="0"/>
                  <w:marRight w:val="0"/>
                  <w:marTop w:val="0"/>
                  <w:marBottom w:val="0"/>
                  <w:divBdr>
                    <w:top w:val="none" w:sz="0" w:space="0" w:color="auto"/>
                    <w:left w:val="none" w:sz="0" w:space="0" w:color="auto"/>
                    <w:bottom w:val="none" w:sz="0" w:space="0" w:color="auto"/>
                    <w:right w:val="none" w:sz="0" w:space="0" w:color="auto"/>
                  </w:divBdr>
                  <w:divsChild>
                    <w:div w:id="617032128">
                      <w:marLeft w:val="0"/>
                      <w:marRight w:val="0"/>
                      <w:marTop w:val="0"/>
                      <w:marBottom w:val="0"/>
                      <w:divBdr>
                        <w:top w:val="none" w:sz="0" w:space="0" w:color="auto"/>
                        <w:left w:val="none" w:sz="0" w:space="0" w:color="auto"/>
                        <w:bottom w:val="none" w:sz="0" w:space="0" w:color="auto"/>
                        <w:right w:val="none" w:sz="0" w:space="0" w:color="auto"/>
                      </w:divBdr>
                    </w:div>
                  </w:divsChild>
                </w:div>
                <w:div w:id="1022784922">
                  <w:marLeft w:val="0"/>
                  <w:marRight w:val="0"/>
                  <w:marTop w:val="0"/>
                  <w:marBottom w:val="0"/>
                  <w:divBdr>
                    <w:top w:val="none" w:sz="0" w:space="0" w:color="auto"/>
                    <w:left w:val="none" w:sz="0" w:space="0" w:color="auto"/>
                    <w:bottom w:val="none" w:sz="0" w:space="0" w:color="auto"/>
                    <w:right w:val="none" w:sz="0" w:space="0" w:color="auto"/>
                  </w:divBdr>
                  <w:divsChild>
                    <w:div w:id="1615865834">
                      <w:marLeft w:val="0"/>
                      <w:marRight w:val="0"/>
                      <w:marTop w:val="0"/>
                      <w:marBottom w:val="0"/>
                      <w:divBdr>
                        <w:top w:val="none" w:sz="0" w:space="0" w:color="auto"/>
                        <w:left w:val="none" w:sz="0" w:space="0" w:color="auto"/>
                        <w:bottom w:val="none" w:sz="0" w:space="0" w:color="auto"/>
                        <w:right w:val="none" w:sz="0" w:space="0" w:color="auto"/>
                      </w:divBdr>
                    </w:div>
                  </w:divsChild>
                </w:div>
                <w:div w:id="1033573552">
                  <w:marLeft w:val="0"/>
                  <w:marRight w:val="0"/>
                  <w:marTop w:val="0"/>
                  <w:marBottom w:val="0"/>
                  <w:divBdr>
                    <w:top w:val="none" w:sz="0" w:space="0" w:color="auto"/>
                    <w:left w:val="none" w:sz="0" w:space="0" w:color="auto"/>
                    <w:bottom w:val="none" w:sz="0" w:space="0" w:color="auto"/>
                    <w:right w:val="none" w:sz="0" w:space="0" w:color="auto"/>
                  </w:divBdr>
                  <w:divsChild>
                    <w:div w:id="228079942">
                      <w:marLeft w:val="0"/>
                      <w:marRight w:val="0"/>
                      <w:marTop w:val="0"/>
                      <w:marBottom w:val="0"/>
                      <w:divBdr>
                        <w:top w:val="none" w:sz="0" w:space="0" w:color="auto"/>
                        <w:left w:val="none" w:sz="0" w:space="0" w:color="auto"/>
                        <w:bottom w:val="none" w:sz="0" w:space="0" w:color="auto"/>
                        <w:right w:val="none" w:sz="0" w:space="0" w:color="auto"/>
                      </w:divBdr>
                    </w:div>
                  </w:divsChild>
                </w:div>
                <w:div w:id="1124150615">
                  <w:marLeft w:val="0"/>
                  <w:marRight w:val="0"/>
                  <w:marTop w:val="0"/>
                  <w:marBottom w:val="0"/>
                  <w:divBdr>
                    <w:top w:val="none" w:sz="0" w:space="0" w:color="auto"/>
                    <w:left w:val="none" w:sz="0" w:space="0" w:color="auto"/>
                    <w:bottom w:val="none" w:sz="0" w:space="0" w:color="auto"/>
                    <w:right w:val="none" w:sz="0" w:space="0" w:color="auto"/>
                  </w:divBdr>
                  <w:divsChild>
                    <w:div w:id="1323197846">
                      <w:marLeft w:val="0"/>
                      <w:marRight w:val="0"/>
                      <w:marTop w:val="0"/>
                      <w:marBottom w:val="0"/>
                      <w:divBdr>
                        <w:top w:val="none" w:sz="0" w:space="0" w:color="auto"/>
                        <w:left w:val="none" w:sz="0" w:space="0" w:color="auto"/>
                        <w:bottom w:val="none" w:sz="0" w:space="0" w:color="auto"/>
                        <w:right w:val="none" w:sz="0" w:space="0" w:color="auto"/>
                      </w:divBdr>
                    </w:div>
                  </w:divsChild>
                </w:div>
                <w:div w:id="1148203137">
                  <w:marLeft w:val="0"/>
                  <w:marRight w:val="0"/>
                  <w:marTop w:val="0"/>
                  <w:marBottom w:val="0"/>
                  <w:divBdr>
                    <w:top w:val="none" w:sz="0" w:space="0" w:color="auto"/>
                    <w:left w:val="none" w:sz="0" w:space="0" w:color="auto"/>
                    <w:bottom w:val="none" w:sz="0" w:space="0" w:color="auto"/>
                    <w:right w:val="none" w:sz="0" w:space="0" w:color="auto"/>
                  </w:divBdr>
                  <w:divsChild>
                    <w:div w:id="811603090">
                      <w:marLeft w:val="0"/>
                      <w:marRight w:val="0"/>
                      <w:marTop w:val="0"/>
                      <w:marBottom w:val="0"/>
                      <w:divBdr>
                        <w:top w:val="none" w:sz="0" w:space="0" w:color="auto"/>
                        <w:left w:val="none" w:sz="0" w:space="0" w:color="auto"/>
                        <w:bottom w:val="none" w:sz="0" w:space="0" w:color="auto"/>
                        <w:right w:val="none" w:sz="0" w:space="0" w:color="auto"/>
                      </w:divBdr>
                    </w:div>
                  </w:divsChild>
                </w:div>
                <w:div w:id="1158956992">
                  <w:marLeft w:val="0"/>
                  <w:marRight w:val="0"/>
                  <w:marTop w:val="0"/>
                  <w:marBottom w:val="0"/>
                  <w:divBdr>
                    <w:top w:val="none" w:sz="0" w:space="0" w:color="auto"/>
                    <w:left w:val="none" w:sz="0" w:space="0" w:color="auto"/>
                    <w:bottom w:val="none" w:sz="0" w:space="0" w:color="auto"/>
                    <w:right w:val="none" w:sz="0" w:space="0" w:color="auto"/>
                  </w:divBdr>
                  <w:divsChild>
                    <w:div w:id="1491092990">
                      <w:marLeft w:val="0"/>
                      <w:marRight w:val="0"/>
                      <w:marTop w:val="0"/>
                      <w:marBottom w:val="0"/>
                      <w:divBdr>
                        <w:top w:val="none" w:sz="0" w:space="0" w:color="auto"/>
                        <w:left w:val="none" w:sz="0" w:space="0" w:color="auto"/>
                        <w:bottom w:val="none" w:sz="0" w:space="0" w:color="auto"/>
                        <w:right w:val="none" w:sz="0" w:space="0" w:color="auto"/>
                      </w:divBdr>
                    </w:div>
                  </w:divsChild>
                </w:div>
                <w:div w:id="1173453950">
                  <w:marLeft w:val="0"/>
                  <w:marRight w:val="0"/>
                  <w:marTop w:val="0"/>
                  <w:marBottom w:val="0"/>
                  <w:divBdr>
                    <w:top w:val="none" w:sz="0" w:space="0" w:color="auto"/>
                    <w:left w:val="none" w:sz="0" w:space="0" w:color="auto"/>
                    <w:bottom w:val="none" w:sz="0" w:space="0" w:color="auto"/>
                    <w:right w:val="none" w:sz="0" w:space="0" w:color="auto"/>
                  </w:divBdr>
                  <w:divsChild>
                    <w:div w:id="1803226522">
                      <w:marLeft w:val="0"/>
                      <w:marRight w:val="0"/>
                      <w:marTop w:val="0"/>
                      <w:marBottom w:val="0"/>
                      <w:divBdr>
                        <w:top w:val="none" w:sz="0" w:space="0" w:color="auto"/>
                        <w:left w:val="none" w:sz="0" w:space="0" w:color="auto"/>
                        <w:bottom w:val="none" w:sz="0" w:space="0" w:color="auto"/>
                        <w:right w:val="none" w:sz="0" w:space="0" w:color="auto"/>
                      </w:divBdr>
                    </w:div>
                  </w:divsChild>
                </w:div>
                <w:div w:id="1186603348">
                  <w:marLeft w:val="0"/>
                  <w:marRight w:val="0"/>
                  <w:marTop w:val="0"/>
                  <w:marBottom w:val="0"/>
                  <w:divBdr>
                    <w:top w:val="none" w:sz="0" w:space="0" w:color="auto"/>
                    <w:left w:val="none" w:sz="0" w:space="0" w:color="auto"/>
                    <w:bottom w:val="none" w:sz="0" w:space="0" w:color="auto"/>
                    <w:right w:val="none" w:sz="0" w:space="0" w:color="auto"/>
                  </w:divBdr>
                  <w:divsChild>
                    <w:div w:id="247542499">
                      <w:marLeft w:val="0"/>
                      <w:marRight w:val="0"/>
                      <w:marTop w:val="0"/>
                      <w:marBottom w:val="0"/>
                      <w:divBdr>
                        <w:top w:val="none" w:sz="0" w:space="0" w:color="auto"/>
                        <w:left w:val="none" w:sz="0" w:space="0" w:color="auto"/>
                        <w:bottom w:val="none" w:sz="0" w:space="0" w:color="auto"/>
                        <w:right w:val="none" w:sz="0" w:space="0" w:color="auto"/>
                      </w:divBdr>
                    </w:div>
                  </w:divsChild>
                </w:div>
                <w:div w:id="1208301524">
                  <w:marLeft w:val="0"/>
                  <w:marRight w:val="0"/>
                  <w:marTop w:val="0"/>
                  <w:marBottom w:val="0"/>
                  <w:divBdr>
                    <w:top w:val="none" w:sz="0" w:space="0" w:color="auto"/>
                    <w:left w:val="none" w:sz="0" w:space="0" w:color="auto"/>
                    <w:bottom w:val="none" w:sz="0" w:space="0" w:color="auto"/>
                    <w:right w:val="none" w:sz="0" w:space="0" w:color="auto"/>
                  </w:divBdr>
                  <w:divsChild>
                    <w:div w:id="983004934">
                      <w:marLeft w:val="0"/>
                      <w:marRight w:val="0"/>
                      <w:marTop w:val="0"/>
                      <w:marBottom w:val="0"/>
                      <w:divBdr>
                        <w:top w:val="none" w:sz="0" w:space="0" w:color="auto"/>
                        <w:left w:val="none" w:sz="0" w:space="0" w:color="auto"/>
                        <w:bottom w:val="none" w:sz="0" w:space="0" w:color="auto"/>
                        <w:right w:val="none" w:sz="0" w:space="0" w:color="auto"/>
                      </w:divBdr>
                    </w:div>
                  </w:divsChild>
                </w:div>
                <w:div w:id="1208492914">
                  <w:marLeft w:val="0"/>
                  <w:marRight w:val="0"/>
                  <w:marTop w:val="0"/>
                  <w:marBottom w:val="0"/>
                  <w:divBdr>
                    <w:top w:val="none" w:sz="0" w:space="0" w:color="auto"/>
                    <w:left w:val="none" w:sz="0" w:space="0" w:color="auto"/>
                    <w:bottom w:val="none" w:sz="0" w:space="0" w:color="auto"/>
                    <w:right w:val="none" w:sz="0" w:space="0" w:color="auto"/>
                  </w:divBdr>
                  <w:divsChild>
                    <w:div w:id="930159039">
                      <w:marLeft w:val="0"/>
                      <w:marRight w:val="0"/>
                      <w:marTop w:val="0"/>
                      <w:marBottom w:val="0"/>
                      <w:divBdr>
                        <w:top w:val="none" w:sz="0" w:space="0" w:color="auto"/>
                        <w:left w:val="none" w:sz="0" w:space="0" w:color="auto"/>
                        <w:bottom w:val="none" w:sz="0" w:space="0" w:color="auto"/>
                        <w:right w:val="none" w:sz="0" w:space="0" w:color="auto"/>
                      </w:divBdr>
                    </w:div>
                  </w:divsChild>
                </w:div>
                <w:div w:id="1283465463">
                  <w:marLeft w:val="0"/>
                  <w:marRight w:val="0"/>
                  <w:marTop w:val="0"/>
                  <w:marBottom w:val="0"/>
                  <w:divBdr>
                    <w:top w:val="none" w:sz="0" w:space="0" w:color="auto"/>
                    <w:left w:val="none" w:sz="0" w:space="0" w:color="auto"/>
                    <w:bottom w:val="none" w:sz="0" w:space="0" w:color="auto"/>
                    <w:right w:val="none" w:sz="0" w:space="0" w:color="auto"/>
                  </w:divBdr>
                  <w:divsChild>
                    <w:div w:id="896747110">
                      <w:marLeft w:val="0"/>
                      <w:marRight w:val="0"/>
                      <w:marTop w:val="0"/>
                      <w:marBottom w:val="0"/>
                      <w:divBdr>
                        <w:top w:val="none" w:sz="0" w:space="0" w:color="auto"/>
                        <w:left w:val="none" w:sz="0" w:space="0" w:color="auto"/>
                        <w:bottom w:val="none" w:sz="0" w:space="0" w:color="auto"/>
                        <w:right w:val="none" w:sz="0" w:space="0" w:color="auto"/>
                      </w:divBdr>
                    </w:div>
                  </w:divsChild>
                </w:div>
                <w:div w:id="1297568456">
                  <w:marLeft w:val="0"/>
                  <w:marRight w:val="0"/>
                  <w:marTop w:val="0"/>
                  <w:marBottom w:val="0"/>
                  <w:divBdr>
                    <w:top w:val="none" w:sz="0" w:space="0" w:color="auto"/>
                    <w:left w:val="none" w:sz="0" w:space="0" w:color="auto"/>
                    <w:bottom w:val="none" w:sz="0" w:space="0" w:color="auto"/>
                    <w:right w:val="none" w:sz="0" w:space="0" w:color="auto"/>
                  </w:divBdr>
                  <w:divsChild>
                    <w:div w:id="1605577539">
                      <w:marLeft w:val="0"/>
                      <w:marRight w:val="0"/>
                      <w:marTop w:val="0"/>
                      <w:marBottom w:val="0"/>
                      <w:divBdr>
                        <w:top w:val="none" w:sz="0" w:space="0" w:color="auto"/>
                        <w:left w:val="none" w:sz="0" w:space="0" w:color="auto"/>
                        <w:bottom w:val="none" w:sz="0" w:space="0" w:color="auto"/>
                        <w:right w:val="none" w:sz="0" w:space="0" w:color="auto"/>
                      </w:divBdr>
                    </w:div>
                  </w:divsChild>
                </w:div>
                <w:div w:id="1307784843">
                  <w:marLeft w:val="0"/>
                  <w:marRight w:val="0"/>
                  <w:marTop w:val="0"/>
                  <w:marBottom w:val="0"/>
                  <w:divBdr>
                    <w:top w:val="none" w:sz="0" w:space="0" w:color="auto"/>
                    <w:left w:val="none" w:sz="0" w:space="0" w:color="auto"/>
                    <w:bottom w:val="none" w:sz="0" w:space="0" w:color="auto"/>
                    <w:right w:val="none" w:sz="0" w:space="0" w:color="auto"/>
                  </w:divBdr>
                  <w:divsChild>
                    <w:div w:id="1909344934">
                      <w:marLeft w:val="0"/>
                      <w:marRight w:val="0"/>
                      <w:marTop w:val="0"/>
                      <w:marBottom w:val="0"/>
                      <w:divBdr>
                        <w:top w:val="none" w:sz="0" w:space="0" w:color="auto"/>
                        <w:left w:val="none" w:sz="0" w:space="0" w:color="auto"/>
                        <w:bottom w:val="none" w:sz="0" w:space="0" w:color="auto"/>
                        <w:right w:val="none" w:sz="0" w:space="0" w:color="auto"/>
                      </w:divBdr>
                    </w:div>
                  </w:divsChild>
                </w:div>
                <w:div w:id="1422139697">
                  <w:marLeft w:val="0"/>
                  <w:marRight w:val="0"/>
                  <w:marTop w:val="0"/>
                  <w:marBottom w:val="0"/>
                  <w:divBdr>
                    <w:top w:val="none" w:sz="0" w:space="0" w:color="auto"/>
                    <w:left w:val="none" w:sz="0" w:space="0" w:color="auto"/>
                    <w:bottom w:val="none" w:sz="0" w:space="0" w:color="auto"/>
                    <w:right w:val="none" w:sz="0" w:space="0" w:color="auto"/>
                  </w:divBdr>
                  <w:divsChild>
                    <w:div w:id="939721610">
                      <w:marLeft w:val="0"/>
                      <w:marRight w:val="0"/>
                      <w:marTop w:val="0"/>
                      <w:marBottom w:val="0"/>
                      <w:divBdr>
                        <w:top w:val="none" w:sz="0" w:space="0" w:color="auto"/>
                        <w:left w:val="none" w:sz="0" w:space="0" w:color="auto"/>
                        <w:bottom w:val="none" w:sz="0" w:space="0" w:color="auto"/>
                        <w:right w:val="none" w:sz="0" w:space="0" w:color="auto"/>
                      </w:divBdr>
                    </w:div>
                  </w:divsChild>
                </w:div>
                <w:div w:id="1478566500">
                  <w:marLeft w:val="0"/>
                  <w:marRight w:val="0"/>
                  <w:marTop w:val="0"/>
                  <w:marBottom w:val="0"/>
                  <w:divBdr>
                    <w:top w:val="none" w:sz="0" w:space="0" w:color="auto"/>
                    <w:left w:val="none" w:sz="0" w:space="0" w:color="auto"/>
                    <w:bottom w:val="none" w:sz="0" w:space="0" w:color="auto"/>
                    <w:right w:val="none" w:sz="0" w:space="0" w:color="auto"/>
                  </w:divBdr>
                  <w:divsChild>
                    <w:div w:id="1609699742">
                      <w:marLeft w:val="0"/>
                      <w:marRight w:val="0"/>
                      <w:marTop w:val="0"/>
                      <w:marBottom w:val="0"/>
                      <w:divBdr>
                        <w:top w:val="none" w:sz="0" w:space="0" w:color="auto"/>
                        <w:left w:val="none" w:sz="0" w:space="0" w:color="auto"/>
                        <w:bottom w:val="none" w:sz="0" w:space="0" w:color="auto"/>
                        <w:right w:val="none" w:sz="0" w:space="0" w:color="auto"/>
                      </w:divBdr>
                    </w:div>
                  </w:divsChild>
                </w:div>
                <w:div w:id="1489705745">
                  <w:marLeft w:val="0"/>
                  <w:marRight w:val="0"/>
                  <w:marTop w:val="0"/>
                  <w:marBottom w:val="0"/>
                  <w:divBdr>
                    <w:top w:val="none" w:sz="0" w:space="0" w:color="auto"/>
                    <w:left w:val="none" w:sz="0" w:space="0" w:color="auto"/>
                    <w:bottom w:val="none" w:sz="0" w:space="0" w:color="auto"/>
                    <w:right w:val="none" w:sz="0" w:space="0" w:color="auto"/>
                  </w:divBdr>
                  <w:divsChild>
                    <w:div w:id="1663504524">
                      <w:marLeft w:val="0"/>
                      <w:marRight w:val="0"/>
                      <w:marTop w:val="0"/>
                      <w:marBottom w:val="0"/>
                      <w:divBdr>
                        <w:top w:val="none" w:sz="0" w:space="0" w:color="auto"/>
                        <w:left w:val="none" w:sz="0" w:space="0" w:color="auto"/>
                        <w:bottom w:val="none" w:sz="0" w:space="0" w:color="auto"/>
                        <w:right w:val="none" w:sz="0" w:space="0" w:color="auto"/>
                      </w:divBdr>
                    </w:div>
                  </w:divsChild>
                </w:div>
                <w:div w:id="1513952810">
                  <w:marLeft w:val="0"/>
                  <w:marRight w:val="0"/>
                  <w:marTop w:val="0"/>
                  <w:marBottom w:val="0"/>
                  <w:divBdr>
                    <w:top w:val="none" w:sz="0" w:space="0" w:color="auto"/>
                    <w:left w:val="none" w:sz="0" w:space="0" w:color="auto"/>
                    <w:bottom w:val="none" w:sz="0" w:space="0" w:color="auto"/>
                    <w:right w:val="none" w:sz="0" w:space="0" w:color="auto"/>
                  </w:divBdr>
                  <w:divsChild>
                    <w:div w:id="960451729">
                      <w:marLeft w:val="0"/>
                      <w:marRight w:val="0"/>
                      <w:marTop w:val="0"/>
                      <w:marBottom w:val="0"/>
                      <w:divBdr>
                        <w:top w:val="none" w:sz="0" w:space="0" w:color="auto"/>
                        <w:left w:val="none" w:sz="0" w:space="0" w:color="auto"/>
                        <w:bottom w:val="none" w:sz="0" w:space="0" w:color="auto"/>
                        <w:right w:val="none" w:sz="0" w:space="0" w:color="auto"/>
                      </w:divBdr>
                    </w:div>
                  </w:divsChild>
                </w:div>
                <w:div w:id="1521890864">
                  <w:marLeft w:val="0"/>
                  <w:marRight w:val="0"/>
                  <w:marTop w:val="0"/>
                  <w:marBottom w:val="0"/>
                  <w:divBdr>
                    <w:top w:val="none" w:sz="0" w:space="0" w:color="auto"/>
                    <w:left w:val="none" w:sz="0" w:space="0" w:color="auto"/>
                    <w:bottom w:val="none" w:sz="0" w:space="0" w:color="auto"/>
                    <w:right w:val="none" w:sz="0" w:space="0" w:color="auto"/>
                  </w:divBdr>
                  <w:divsChild>
                    <w:div w:id="1518230927">
                      <w:marLeft w:val="0"/>
                      <w:marRight w:val="0"/>
                      <w:marTop w:val="0"/>
                      <w:marBottom w:val="0"/>
                      <w:divBdr>
                        <w:top w:val="none" w:sz="0" w:space="0" w:color="auto"/>
                        <w:left w:val="none" w:sz="0" w:space="0" w:color="auto"/>
                        <w:bottom w:val="none" w:sz="0" w:space="0" w:color="auto"/>
                        <w:right w:val="none" w:sz="0" w:space="0" w:color="auto"/>
                      </w:divBdr>
                    </w:div>
                  </w:divsChild>
                </w:div>
                <w:div w:id="1525249558">
                  <w:marLeft w:val="0"/>
                  <w:marRight w:val="0"/>
                  <w:marTop w:val="0"/>
                  <w:marBottom w:val="0"/>
                  <w:divBdr>
                    <w:top w:val="none" w:sz="0" w:space="0" w:color="auto"/>
                    <w:left w:val="none" w:sz="0" w:space="0" w:color="auto"/>
                    <w:bottom w:val="none" w:sz="0" w:space="0" w:color="auto"/>
                    <w:right w:val="none" w:sz="0" w:space="0" w:color="auto"/>
                  </w:divBdr>
                  <w:divsChild>
                    <w:div w:id="65491285">
                      <w:marLeft w:val="0"/>
                      <w:marRight w:val="0"/>
                      <w:marTop w:val="0"/>
                      <w:marBottom w:val="0"/>
                      <w:divBdr>
                        <w:top w:val="none" w:sz="0" w:space="0" w:color="auto"/>
                        <w:left w:val="none" w:sz="0" w:space="0" w:color="auto"/>
                        <w:bottom w:val="none" w:sz="0" w:space="0" w:color="auto"/>
                        <w:right w:val="none" w:sz="0" w:space="0" w:color="auto"/>
                      </w:divBdr>
                    </w:div>
                  </w:divsChild>
                </w:div>
                <w:div w:id="1530223385">
                  <w:marLeft w:val="0"/>
                  <w:marRight w:val="0"/>
                  <w:marTop w:val="0"/>
                  <w:marBottom w:val="0"/>
                  <w:divBdr>
                    <w:top w:val="none" w:sz="0" w:space="0" w:color="auto"/>
                    <w:left w:val="none" w:sz="0" w:space="0" w:color="auto"/>
                    <w:bottom w:val="none" w:sz="0" w:space="0" w:color="auto"/>
                    <w:right w:val="none" w:sz="0" w:space="0" w:color="auto"/>
                  </w:divBdr>
                  <w:divsChild>
                    <w:div w:id="646594567">
                      <w:marLeft w:val="0"/>
                      <w:marRight w:val="0"/>
                      <w:marTop w:val="0"/>
                      <w:marBottom w:val="0"/>
                      <w:divBdr>
                        <w:top w:val="none" w:sz="0" w:space="0" w:color="auto"/>
                        <w:left w:val="none" w:sz="0" w:space="0" w:color="auto"/>
                        <w:bottom w:val="none" w:sz="0" w:space="0" w:color="auto"/>
                        <w:right w:val="none" w:sz="0" w:space="0" w:color="auto"/>
                      </w:divBdr>
                    </w:div>
                  </w:divsChild>
                </w:div>
                <w:div w:id="1581602099">
                  <w:marLeft w:val="0"/>
                  <w:marRight w:val="0"/>
                  <w:marTop w:val="0"/>
                  <w:marBottom w:val="0"/>
                  <w:divBdr>
                    <w:top w:val="none" w:sz="0" w:space="0" w:color="auto"/>
                    <w:left w:val="none" w:sz="0" w:space="0" w:color="auto"/>
                    <w:bottom w:val="none" w:sz="0" w:space="0" w:color="auto"/>
                    <w:right w:val="none" w:sz="0" w:space="0" w:color="auto"/>
                  </w:divBdr>
                  <w:divsChild>
                    <w:div w:id="925382412">
                      <w:marLeft w:val="0"/>
                      <w:marRight w:val="0"/>
                      <w:marTop w:val="0"/>
                      <w:marBottom w:val="0"/>
                      <w:divBdr>
                        <w:top w:val="none" w:sz="0" w:space="0" w:color="auto"/>
                        <w:left w:val="none" w:sz="0" w:space="0" w:color="auto"/>
                        <w:bottom w:val="none" w:sz="0" w:space="0" w:color="auto"/>
                        <w:right w:val="none" w:sz="0" w:space="0" w:color="auto"/>
                      </w:divBdr>
                    </w:div>
                  </w:divsChild>
                </w:div>
                <w:div w:id="1651670190">
                  <w:marLeft w:val="0"/>
                  <w:marRight w:val="0"/>
                  <w:marTop w:val="0"/>
                  <w:marBottom w:val="0"/>
                  <w:divBdr>
                    <w:top w:val="none" w:sz="0" w:space="0" w:color="auto"/>
                    <w:left w:val="none" w:sz="0" w:space="0" w:color="auto"/>
                    <w:bottom w:val="none" w:sz="0" w:space="0" w:color="auto"/>
                    <w:right w:val="none" w:sz="0" w:space="0" w:color="auto"/>
                  </w:divBdr>
                  <w:divsChild>
                    <w:div w:id="364719777">
                      <w:marLeft w:val="0"/>
                      <w:marRight w:val="0"/>
                      <w:marTop w:val="0"/>
                      <w:marBottom w:val="0"/>
                      <w:divBdr>
                        <w:top w:val="none" w:sz="0" w:space="0" w:color="auto"/>
                        <w:left w:val="none" w:sz="0" w:space="0" w:color="auto"/>
                        <w:bottom w:val="none" w:sz="0" w:space="0" w:color="auto"/>
                        <w:right w:val="none" w:sz="0" w:space="0" w:color="auto"/>
                      </w:divBdr>
                    </w:div>
                  </w:divsChild>
                </w:div>
                <w:div w:id="1689062861">
                  <w:marLeft w:val="0"/>
                  <w:marRight w:val="0"/>
                  <w:marTop w:val="0"/>
                  <w:marBottom w:val="0"/>
                  <w:divBdr>
                    <w:top w:val="none" w:sz="0" w:space="0" w:color="auto"/>
                    <w:left w:val="none" w:sz="0" w:space="0" w:color="auto"/>
                    <w:bottom w:val="none" w:sz="0" w:space="0" w:color="auto"/>
                    <w:right w:val="none" w:sz="0" w:space="0" w:color="auto"/>
                  </w:divBdr>
                  <w:divsChild>
                    <w:div w:id="1796286666">
                      <w:marLeft w:val="0"/>
                      <w:marRight w:val="0"/>
                      <w:marTop w:val="0"/>
                      <w:marBottom w:val="0"/>
                      <w:divBdr>
                        <w:top w:val="none" w:sz="0" w:space="0" w:color="auto"/>
                        <w:left w:val="none" w:sz="0" w:space="0" w:color="auto"/>
                        <w:bottom w:val="none" w:sz="0" w:space="0" w:color="auto"/>
                        <w:right w:val="none" w:sz="0" w:space="0" w:color="auto"/>
                      </w:divBdr>
                    </w:div>
                  </w:divsChild>
                </w:div>
                <w:div w:id="1733969739">
                  <w:marLeft w:val="0"/>
                  <w:marRight w:val="0"/>
                  <w:marTop w:val="0"/>
                  <w:marBottom w:val="0"/>
                  <w:divBdr>
                    <w:top w:val="none" w:sz="0" w:space="0" w:color="auto"/>
                    <w:left w:val="none" w:sz="0" w:space="0" w:color="auto"/>
                    <w:bottom w:val="none" w:sz="0" w:space="0" w:color="auto"/>
                    <w:right w:val="none" w:sz="0" w:space="0" w:color="auto"/>
                  </w:divBdr>
                  <w:divsChild>
                    <w:div w:id="1287547043">
                      <w:marLeft w:val="0"/>
                      <w:marRight w:val="0"/>
                      <w:marTop w:val="0"/>
                      <w:marBottom w:val="0"/>
                      <w:divBdr>
                        <w:top w:val="none" w:sz="0" w:space="0" w:color="auto"/>
                        <w:left w:val="none" w:sz="0" w:space="0" w:color="auto"/>
                        <w:bottom w:val="none" w:sz="0" w:space="0" w:color="auto"/>
                        <w:right w:val="none" w:sz="0" w:space="0" w:color="auto"/>
                      </w:divBdr>
                    </w:div>
                  </w:divsChild>
                </w:div>
                <w:div w:id="1785420323">
                  <w:marLeft w:val="0"/>
                  <w:marRight w:val="0"/>
                  <w:marTop w:val="0"/>
                  <w:marBottom w:val="0"/>
                  <w:divBdr>
                    <w:top w:val="none" w:sz="0" w:space="0" w:color="auto"/>
                    <w:left w:val="none" w:sz="0" w:space="0" w:color="auto"/>
                    <w:bottom w:val="none" w:sz="0" w:space="0" w:color="auto"/>
                    <w:right w:val="none" w:sz="0" w:space="0" w:color="auto"/>
                  </w:divBdr>
                  <w:divsChild>
                    <w:div w:id="168905959">
                      <w:marLeft w:val="0"/>
                      <w:marRight w:val="0"/>
                      <w:marTop w:val="0"/>
                      <w:marBottom w:val="0"/>
                      <w:divBdr>
                        <w:top w:val="none" w:sz="0" w:space="0" w:color="auto"/>
                        <w:left w:val="none" w:sz="0" w:space="0" w:color="auto"/>
                        <w:bottom w:val="none" w:sz="0" w:space="0" w:color="auto"/>
                        <w:right w:val="none" w:sz="0" w:space="0" w:color="auto"/>
                      </w:divBdr>
                    </w:div>
                  </w:divsChild>
                </w:div>
                <w:div w:id="1787196871">
                  <w:marLeft w:val="0"/>
                  <w:marRight w:val="0"/>
                  <w:marTop w:val="0"/>
                  <w:marBottom w:val="0"/>
                  <w:divBdr>
                    <w:top w:val="none" w:sz="0" w:space="0" w:color="auto"/>
                    <w:left w:val="none" w:sz="0" w:space="0" w:color="auto"/>
                    <w:bottom w:val="none" w:sz="0" w:space="0" w:color="auto"/>
                    <w:right w:val="none" w:sz="0" w:space="0" w:color="auto"/>
                  </w:divBdr>
                  <w:divsChild>
                    <w:div w:id="1524129635">
                      <w:marLeft w:val="0"/>
                      <w:marRight w:val="0"/>
                      <w:marTop w:val="0"/>
                      <w:marBottom w:val="0"/>
                      <w:divBdr>
                        <w:top w:val="none" w:sz="0" w:space="0" w:color="auto"/>
                        <w:left w:val="none" w:sz="0" w:space="0" w:color="auto"/>
                        <w:bottom w:val="none" w:sz="0" w:space="0" w:color="auto"/>
                        <w:right w:val="none" w:sz="0" w:space="0" w:color="auto"/>
                      </w:divBdr>
                    </w:div>
                  </w:divsChild>
                </w:div>
                <w:div w:id="1873611982">
                  <w:marLeft w:val="0"/>
                  <w:marRight w:val="0"/>
                  <w:marTop w:val="0"/>
                  <w:marBottom w:val="0"/>
                  <w:divBdr>
                    <w:top w:val="none" w:sz="0" w:space="0" w:color="auto"/>
                    <w:left w:val="none" w:sz="0" w:space="0" w:color="auto"/>
                    <w:bottom w:val="none" w:sz="0" w:space="0" w:color="auto"/>
                    <w:right w:val="none" w:sz="0" w:space="0" w:color="auto"/>
                  </w:divBdr>
                  <w:divsChild>
                    <w:div w:id="1910572409">
                      <w:marLeft w:val="0"/>
                      <w:marRight w:val="0"/>
                      <w:marTop w:val="0"/>
                      <w:marBottom w:val="0"/>
                      <w:divBdr>
                        <w:top w:val="none" w:sz="0" w:space="0" w:color="auto"/>
                        <w:left w:val="none" w:sz="0" w:space="0" w:color="auto"/>
                        <w:bottom w:val="none" w:sz="0" w:space="0" w:color="auto"/>
                        <w:right w:val="none" w:sz="0" w:space="0" w:color="auto"/>
                      </w:divBdr>
                    </w:div>
                  </w:divsChild>
                </w:div>
                <w:div w:id="1935243811">
                  <w:marLeft w:val="0"/>
                  <w:marRight w:val="0"/>
                  <w:marTop w:val="0"/>
                  <w:marBottom w:val="0"/>
                  <w:divBdr>
                    <w:top w:val="none" w:sz="0" w:space="0" w:color="auto"/>
                    <w:left w:val="none" w:sz="0" w:space="0" w:color="auto"/>
                    <w:bottom w:val="none" w:sz="0" w:space="0" w:color="auto"/>
                    <w:right w:val="none" w:sz="0" w:space="0" w:color="auto"/>
                  </w:divBdr>
                  <w:divsChild>
                    <w:div w:id="1125661366">
                      <w:marLeft w:val="0"/>
                      <w:marRight w:val="0"/>
                      <w:marTop w:val="0"/>
                      <w:marBottom w:val="0"/>
                      <w:divBdr>
                        <w:top w:val="none" w:sz="0" w:space="0" w:color="auto"/>
                        <w:left w:val="none" w:sz="0" w:space="0" w:color="auto"/>
                        <w:bottom w:val="none" w:sz="0" w:space="0" w:color="auto"/>
                        <w:right w:val="none" w:sz="0" w:space="0" w:color="auto"/>
                      </w:divBdr>
                    </w:div>
                  </w:divsChild>
                </w:div>
                <w:div w:id="1973362221">
                  <w:marLeft w:val="0"/>
                  <w:marRight w:val="0"/>
                  <w:marTop w:val="0"/>
                  <w:marBottom w:val="0"/>
                  <w:divBdr>
                    <w:top w:val="none" w:sz="0" w:space="0" w:color="auto"/>
                    <w:left w:val="none" w:sz="0" w:space="0" w:color="auto"/>
                    <w:bottom w:val="none" w:sz="0" w:space="0" w:color="auto"/>
                    <w:right w:val="none" w:sz="0" w:space="0" w:color="auto"/>
                  </w:divBdr>
                  <w:divsChild>
                    <w:div w:id="2018265309">
                      <w:marLeft w:val="0"/>
                      <w:marRight w:val="0"/>
                      <w:marTop w:val="0"/>
                      <w:marBottom w:val="0"/>
                      <w:divBdr>
                        <w:top w:val="none" w:sz="0" w:space="0" w:color="auto"/>
                        <w:left w:val="none" w:sz="0" w:space="0" w:color="auto"/>
                        <w:bottom w:val="none" w:sz="0" w:space="0" w:color="auto"/>
                        <w:right w:val="none" w:sz="0" w:space="0" w:color="auto"/>
                      </w:divBdr>
                    </w:div>
                  </w:divsChild>
                </w:div>
                <w:div w:id="2032411551">
                  <w:marLeft w:val="0"/>
                  <w:marRight w:val="0"/>
                  <w:marTop w:val="0"/>
                  <w:marBottom w:val="0"/>
                  <w:divBdr>
                    <w:top w:val="none" w:sz="0" w:space="0" w:color="auto"/>
                    <w:left w:val="none" w:sz="0" w:space="0" w:color="auto"/>
                    <w:bottom w:val="none" w:sz="0" w:space="0" w:color="auto"/>
                    <w:right w:val="none" w:sz="0" w:space="0" w:color="auto"/>
                  </w:divBdr>
                  <w:divsChild>
                    <w:div w:id="1551183008">
                      <w:marLeft w:val="0"/>
                      <w:marRight w:val="0"/>
                      <w:marTop w:val="0"/>
                      <w:marBottom w:val="0"/>
                      <w:divBdr>
                        <w:top w:val="none" w:sz="0" w:space="0" w:color="auto"/>
                        <w:left w:val="none" w:sz="0" w:space="0" w:color="auto"/>
                        <w:bottom w:val="none" w:sz="0" w:space="0" w:color="auto"/>
                        <w:right w:val="none" w:sz="0" w:space="0" w:color="auto"/>
                      </w:divBdr>
                    </w:div>
                  </w:divsChild>
                </w:div>
                <w:div w:id="2034186995">
                  <w:marLeft w:val="0"/>
                  <w:marRight w:val="0"/>
                  <w:marTop w:val="0"/>
                  <w:marBottom w:val="0"/>
                  <w:divBdr>
                    <w:top w:val="none" w:sz="0" w:space="0" w:color="auto"/>
                    <w:left w:val="none" w:sz="0" w:space="0" w:color="auto"/>
                    <w:bottom w:val="none" w:sz="0" w:space="0" w:color="auto"/>
                    <w:right w:val="none" w:sz="0" w:space="0" w:color="auto"/>
                  </w:divBdr>
                  <w:divsChild>
                    <w:div w:id="444616232">
                      <w:marLeft w:val="0"/>
                      <w:marRight w:val="0"/>
                      <w:marTop w:val="0"/>
                      <w:marBottom w:val="0"/>
                      <w:divBdr>
                        <w:top w:val="none" w:sz="0" w:space="0" w:color="auto"/>
                        <w:left w:val="none" w:sz="0" w:space="0" w:color="auto"/>
                        <w:bottom w:val="none" w:sz="0" w:space="0" w:color="auto"/>
                        <w:right w:val="none" w:sz="0" w:space="0" w:color="auto"/>
                      </w:divBdr>
                    </w:div>
                  </w:divsChild>
                </w:div>
                <w:div w:id="2036810411">
                  <w:marLeft w:val="0"/>
                  <w:marRight w:val="0"/>
                  <w:marTop w:val="0"/>
                  <w:marBottom w:val="0"/>
                  <w:divBdr>
                    <w:top w:val="none" w:sz="0" w:space="0" w:color="auto"/>
                    <w:left w:val="none" w:sz="0" w:space="0" w:color="auto"/>
                    <w:bottom w:val="none" w:sz="0" w:space="0" w:color="auto"/>
                    <w:right w:val="none" w:sz="0" w:space="0" w:color="auto"/>
                  </w:divBdr>
                  <w:divsChild>
                    <w:div w:id="502209548">
                      <w:marLeft w:val="0"/>
                      <w:marRight w:val="0"/>
                      <w:marTop w:val="0"/>
                      <w:marBottom w:val="0"/>
                      <w:divBdr>
                        <w:top w:val="none" w:sz="0" w:space="0" w:color="auto"/>
                        <w:left w:val="none" w:sz="0" w:space="0" w:color="auto"/>
                        <w:bottom w:val="none" w:sz="0" w:space="0" w:color="auto"/>
                        <w:right w:val="none" w:sz="0" w:space="0" w:color="auto"/>
                      </w:divBdr>
                    </w:div>
                  </w:divsChild>
                </w:div>
                <w:div w:id="2060125615">
                  <w:marLeft w:val="0"/>
                  <w:marRight w:val="0"/>
                  <w:marTop w:val="0"/>
                  <w:marBottom w:val="0"/>
                  <w:divBdr>
                    <w:top w:val="none" w:sz="0" w:space="0" w:color="auto"/>
                    <w:left w:val="none" w:sz="0" w:space="0" w:color="auto"/>
                    <w:bottom w:val="none" w:sz="0" w:space="0" w:color="auto"/>
                    <w:right w:val="none" w:sz="0" w:space="0" w:color="auto"/>
                  </w:divBdr>
                  <w:divsChild>
                    <w:div w:id="1550728196">
                      <w:marLeft w:val="0"/>
                      <w:marRight w:val="0"/>
                      <w:marTop w:val="0"/>
                      <w:marBottom w:val="0"/>
                      <w:divBdr>
                        <w:top w:val="none" w:sz="0" w:space="0" w:color="auto"/>
                        <w:left w:val="none" w:sz="0" w:space="0" w:color="auto"/>
                        <w:bottom w:val="none" w:sz="0" w:space="0" w:color="auto"/>
                        <w:right w:val="none" w:sz="0" w:space="0" w:color="auto"/>
                      </w:divBdr>
                    </w:div>
                  </w:divsChild>
                </w:div>
                <w:div w:id="2075155988">
                  <w:marLeft w:val="0"/>
                  <w:marRight w:val="0"/>
                  <w:marTop w:val="0"/>
                  <w:marBottom w:val="0"/>
                  <w:divBdr>
                    <w:top w:val="none" w:sz="0" w:space="0" w:color="auto"/>
                    <w:left w:val="none" w:sz="0" w:space="0" w:color="auto"/>
                    <w:bottom w:val="none" w:sz="0" w:space="0" w:color="auto"/>
                    <w:right w:val="none" w:sz="0" w:space="0" w:color="auto"/>
                  </w:divBdr>
                  <w:divsChild>
                    <w:div w:id="1411997319">
                      <w:marLeft w:val="0"/>
                      <w:marRight w:val="0"/>
                      <w:marTop w:val="0"/>
                      <w:marBottom w:val="0"/>
                      <w:divBdr>
                        <w:top w:val="none" w:sz="0" w:space="0" w:color="auto"/>
                        <w:left w:val="none" w:sz="0" w:space="0" w:color="auto"/>
                        <w:bottom w:val="none" w:sz="0" w:space="0" w:color="auto"/>
                        <w:right w:val="none" w:sz="0" w:space="0" w:color="auto"/>
                      </w:divBdr>
                    </w:div>
                  </w:divsChild>
                </w:div>
                <w:div w:id="2116899685">
                  <w:marLeft w:val="0"/>
                  <w:marRight w:val="0"/>
                  <w:marTop w:val="0"/>
                  <w:marBottom w:val="0"/>
                  <w:divBdr>
                    <w:top w:val="none" w:sz="0" w:space="0" w:color="auto"/>
                    <w:left w:val="none" w:sz="0" w:space="0" w:color="auto"/>
                    <w:bottom w:val="none" w:sz="0" w:space="0" w:color="auto"/>
                    <w:right w:val="none" w:sz="0" w:space="0" w:color="auto"/>
                  </w:divBdr>
                  <w:divsChild>
                    <w:div w:id="1978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674">
          <w:marLeft w:val="0"/>
          <w:marRight w:val="0"/>
          <w:marTop w:val="0"/>
          <w:marBottom w:val="0"/>
          <w:divBdr>
            <w:top w:val="none" w:sz="0" w:space="0" w:color="auto"/>
            <w:left w:val="none" w:sz="0" w:space="0" w:color="auto"/>
            <w:bottom w:val="none" w:sz="0" w:space="0" w:color="auto"/>
            <w:right w:val="none" w:sz="0" w:space="0" w:color="auto"/>
          </w:divBdr>
        </w:div>
        <w:div w:id="2107188405">
          <w:marLeft w:val="0"/>
          <w:marRight w:val="0"/>
          <w:marTop w:val="0"/>
          <w:marBottom w:val="0"/>
          <w:divBdr>
            <w:top w:val="none" w:sz="0" w:space="0" w:color="auto"/>
            <w:left w:val="none" w:sz="0" w:space="0" w:color="auto"/>
            <w:bottom w:val="none" w:sz="0" w:space="0" w:color="auto"/>
            <w:right w:val="none" w:sz="0" w:space="0" w:color="auto"/>
          </w:divBdr>
        </w:div>
      </w:divsChild>
    </w:div>
    <w:div w:id="683633281">
      <w:bodyDiv w:val="1"/>
      <w:marLeft w:val="0"/>
      <w:marRight w:val="0"/>
      <w:marTop w:val="0"/>
      <w:marBottom w:val="0"/>
      <w:divBdr>
        <w:top w:val="none" w:sz="0" w:space="0" w:color="auto"/>
        <w:left w:val="none" w:sz="0" w:space="0" w:color="auto"/>
        <w:bottom w:val="none" w:sz="0" w:space="0" w:color="auto"/>
        <w:right w:val="none" w:sz="0" w:space="0" w:color="auto"/>
      </w:divBdr>
      <w:divsChild>
        <w:div w:id="661204925">
          <w:marLeft w:val="0"/>
          <w:marRight w:val="0"/>
          <w:marTop w:val="0"/>
          <w:marBottom w:val="0"/>
          <w:divBdr>
            <w:top w:val="none" w:sz="0" w:space="0" w:color="auto"/>
            <w:left w:val="none" w:sz="0" w:space="0" w:color="auto"/>
            <w:bottom w:val="none" w:sz="0" w:space="0" w:color="auto"/>
            <w:right w:val="none" w:sz="0" w:space="0" w:color="auto"/>
          </w:divBdr>
        </w:div>
        <w:div w:id="986712257">
          <w:marLeft w:val="0"/>
          <w:marRight w:val="0"/>
          <w:marTop w:val="0"/>
          <w:marBottom w:val="0"/>
          <w:divBdr>
            <w:top w:val="none" w:sz="0" w:space="0" w:color="auto"/>
            <w:left w:val="none" w:sz="0" w:space="0" w:color="auto"/>
            <w:bottom w:val="none" w:sz="0" w:space="0" w:color="auto"/>
            <w:right w:val="none" w:sz="0" w:space="0" w:color="auto"/>
          </w:divBdr>
          <w:divsChild>
            <w:div w:id="231086950">
              <w:marLeft w:val="-75"/>
              <w:marRight w:val="0"/>
              <w:marTop w:val="30"/>
              <w:marBottom w:val="30"/>
              <w:divBdr>
                <w:top w:val="none" w:sz="0" w:space="0" w:color="auto"/>
                <w:left w:val="none" w:sz="0" w:space="0" w:color="auto"/>
                <w:bottom w:val="none" w:sz="0" w:space="0" w:color="auto"/>
                <w:right w:val="none" w:sz="0" w:space="0" w:color="auto"/>
              </w:divBdr>
              <w:divsChild>
                <w:div w:id="1008320">
                  <w:marLeft w:val="0"/>
                  <w:marRight w:val="0"/>
                  <w:marTop w:val="0"/>
                  <w:marBottom w:val="0"/>
                  <w:divBdr>
                    <w:top w:val="none" w:sz="0" w:space="0" w:color="auto"/>
                    <w:left w:val="none" w:sz="0" w:space="0" w:color="auto"/>
                    <w:bottom w:val="none" w:sz="0" w:space="0" w:color="auto"/>
                    <w:right w:val="none" w:sz="0" w:space="0" w:color="auto"/>
                  </w:divBdr>
                  <w:divsChild>
                    <w:div w:id="1973824405">
                      <w:marLeft w:val="0"/>
                      <w:marRight w:val="0"/>
                      <w:marTop w:val="0"/>
                      <w:marBottom w:val="0"/>
                      <w:divBdr>
                        <w:top w:val="none" w:sz="0" w:space="0" w:color="auto"/>
                        <w:left w:val="none" w:sz="0" w:space="0" w:color="auto"/>
                        <w:bottom w:val="none" w:sz="0" w:space="0" w:color="auto"/>
                        <w:right w:val="none" w:sz="0" w:space="0" w:color="auto"/>
                      </w:divBdr>
                    </w:div>
                  </w:divsChild>
                </w:div>
                <w:div w:id="73943331">
                  <w:marLeft w:val="0"/>
                  <w:marRight w:val="0"/>
                  <w:marTop w:val="0"/>
                  <w:marBottom w:val="0"/>
                  <w:divBdr>
                    <w:top w:val="none" w:sz="0" w:space="0" w:color="auto"/>
                    <w:left w:val="none" w:sz="0" w:space="0" w:color="auto"/>
                    <w:bottom w:val="none" w:sz="0" w:space="0" w:color="auto"/>
                    <w:right w:val="none" w:sz="0" w:space="0" w:color="auto"/>
                  </w:divBdr>
                  <w:divsChild>
                    <w:div w:id="644698171">
                      <w:marLeft w:val="0"/>
                      <w:marRight w:val="0"/>
                      <w:marTop w:val="0"/>
                      <w:marBottom w:val="0"/>
                      <w:divBdr>
                        <w:top w:val="none" w:sz="0" w:space="0" w:color="auto"/>
                        <w:left w:val="none" w:sz="0" w:space="0" w:color="auto"/>
                        <w:bottom w:val="none" w:sz="0" w:space="0" w:color="auto"/>
                        <w:right w:val="none" w:sz="0" w:space="0" w:color="auto"/>
                      </w:divBdr>
                    </w:div>
                  </w:divsChild>
                </w:div>
                <w:div w:id="173499213">
                  <w:marLeft w:val="0"/>
                  <w:marRight w:val="0"/>
                  <w:marTop w:val="0"/>
                  <w:marBottom w:val="0"/>
                  <w:divBdr>
                    <w:top w:val="none" w:sz="0" w:space="0" w:color="auto"/>
                    <w:left w:val="none" w:sz="0" w:space="0" w:color="auto"/>
                    <w:bottom w:val="none" w:sz="0" w:space="0" w:color="auto"/>
                    <w:right w:val="none" w:sz="0" w:space="0" w:color="auto"/>
                  </w:divBdr>
                  <w:divsChild>
                    <w:div w:id="1167208468">
                      <w:marLeft w:val="0"/>
                      <w:marRight w:val="0"/>
                      <w:marTop w:val="0"/>
                      <w:marBottom w:val="0"/>
                      <w:divBdr>
                        <w:top w:val="none" w:sz="0" w:space="0" w:color="auto"/>
                        <w:left w:val="none" w:sz="0" w:space="0" w:color="auto"/>
                        <w:bottom w:val="none" w:sz="0" w:space="0" w:color="auto"/>
                        <w:right w:val="none" w:sz="0" w:space="0" w:color="auto"/>
                      </w:divBdr>
                    </w:div>
                  </w:divsChild>
                </w:div>
                <w:div w:id="198204061">
                  <w:marLeft w:val="0"/>
                  <w:marRight w:val="0"/>
                  <w:marTop w:val="0"/>
                  <w:marBottom w:val="0"/>
                  <w:divBdr>
                    <w:top w:val="none" w:sz="0" w:space="0" w:color="auto"/>
                    <w:left w:val="none" w:sz="0" w:space="0" w:color="auto"/>
                    <w:bottom w:val="none" w:sz="0" w:space="0" w:color="auto"/>
                    <w:right w:val="none" w:sz="0" w:space="0" w:color="auto"/>
                  </w:divBdr>
                  <w:divsChild>
                    <w:div w:id="1598516792">
                      <w:marLeft w:val="0"/>
                      <w:marRight w:val="0"/>
                      <w:marTop w:val="0"/>
                      <w:marBottom w:val="0"/>
                      <w:divBdr>
                        <w:top w:val="none" w:sz="0" w:space="0" w:color="auto"/>
                        <w:left w:val="none" w:sz="0" w:space="0" w:color="auto"/>
                        <w:bottom w:val="none" w:sz="0" w:space="0" w:color="auto"/>
                        <w:right w:val="none" w:sz="0" w:space="0" w:color="auto"/>
                      </w:divBdr>
                    </w:div>
                  </w:divsChild>
                </w:div>
                <w:div w:id="199518284">
                  <w:marLeft w:val="0"/>
                  <w:marRight w:val="0"/>
                  <w:marTop w:val="0"/>
                  <w:marBottom w:val="0"/>
                  <w:divBdr>
                    <w:top w:val="none" w:sz="0" w:space="0" w:color="auto"/>
                    <w:left w:val="none" w:sz="0" w:space="0" w:color="auto"/>
                    <w:bottom w:val="none" w:sz="0" w:space="0" w:color="auto"/>
                    <w:right w:val="none" w:sz="0" w:space="0" w:color="auto"/>
                  </w:divBdr>
                  <w:divsChild>
                    <w:div w:id="474957749">
                      <w:marLeft w:val="0"/>
                      <w:marRight w:val="0"/>
                      <w:marTop w:val="0"/>
                      <w:marBottom w:val="0"/>
                      <w:divBdr>
                        <w:top w:val="none" w:sz="0" w:space="0" w:color="auto"/>
                        <w:left w:val="none" w:sz="0" w:space="0" w:color="auto"/>
                        <w:bottom w:val="none" w:sz="0" w:space="0" w:color="auto"/>
                        <w:right w:val="none" w:sz="0" w:space="0" w:color="auto"/>
                      </w:divBdr>
                    </w:div>
                  </w:divsChild>
                </w:div>
                <w:div w:id="217014286">
                  <w:marLeft w:val="0"/>
                  <w:marRight w:val="0"/>
                  <w:marTop w:val="0"/>
                  <w:marBottom w:val="0"/>
                  <w:divBdr>
                    <w:top w:val="none" w:sz="0" w:space="0" w:color="auto"/>
                    <w:left w:val="none" w:sz="0" w:space="0" w:color="auto"/>
                    <w:bottom w:val="none" w:sz="0" w:space="0" w:color="auto"/>
                    <w:right w:val="none" w:sz="0" w:space="0" w:color="auto"/>
                  </w:divBdr>
                  <w:divsChild>
                    <w:div w:id="756906733">
                      <w:marLeft w:val="0"/>
                      <w:marRight w:val="0"/>
                      <w:marTop w:val="0"/>
                      <w:marBottom w:val="0"/>
                      <w:divBdr>
                        <w:top w:val="none" w:sz="0" w:space="0" w:color="auto"/>
                        <w:left w:val="none" w:sz="0" w:space="0" w:color="auto"/>
                        <w:bottom w:val="none" w:sz="0" w:space="0" w:color="auto"/>
                        <w:right w:val="none" w:sz="0" w:space="0" w:color="auto"/>
                      </w:divBdr>
                    </w:div>
                  </w:divsChild>
                </w:div>
                <w:div w:id="288975275">
                  <w:marLeft w:val="0"/>
                  <w:marRight w:val="0"/>
                  <w:marTop w:val="0"/>
                  <w:marBottom w:val="0"/>
                  <w:divBdr>
                    <w:top w:val="none" w:sz="0" w:space="0" w:color="auto"/>
                    <w:left w:val="none" w:sz="0" w:space="0" w:color="auto"/>
                    <w:bottom w:val="none" w:sz="0" w:space="0" w:color="auto"/>
                    <w:right w:val="none" w:sz="0" w:space="0" w:color="auto"/>
                  </w:divBdr>
                  <w:divsChild>
                    <w:div w:id="733552676">
                      <w:marLeft w:val="0"/>
                      <w:marRight w:val="0"/>
                      <w:marTop w:val="0"/>
                      <w:marBottom w:val="0"/>
                      <w:divBdr>
                        <w:top w:val="none" w:sz="0" w:space="0" w:color="auto"/>
                        <w:left w:val="none" w:sz="0" w:space="0" w:color="auto"/>
                        <w:bottom w:val="none" w:sz="0" w:space="0" w:color="auto"/>
                        <w:right w:val="none" w:sz="0" w:space="0" w:color="auto"/>
                      </w:divBdr>
                    </w:div>
                  </w:divsChild>
                </w:div>
                <w:div w:id="341323878">
                  <w:marLeft w:val="0"/>
                  <w:marRight w:val="0"/>
                  <w:marTop w:val="0"/>
                  <w:marBottom w:val="0"/>
                  <w:divBdr>
                    <w:top w:val="none" w:sz="0" w:space="0" w:color="auto"/>
                    <w:left w:val="none" w:sz="0" w:space="0" w:color="auto"/>
                    <w:bottom w:val="none" w:sz="0" w:space="0" w:color="auto"/>
                    <w:right w:val="none" w:sz="0" w:space="0" w:color="auto"/>
                  </w:divBdr>
                  <w:divsChild>
                    <w:div w:id="2006662953">
                      <w:marLeft w:val="0"/>
                      <w:marRight w:val="0"/>
                      <w:marTop w:val="0"/>
                      <w:marBottom w:val="0"/>
                      <w:divBdr>
                        <w:top w:val="none" w:sz="0" w:space="0" w:color="auto"/>
                        <w:left w:val="none" w:sz="0" w:space="0" w:color="auto"/>
                        <w:bottom w:val="none" w:sz="0" w:space="0" w:color="auto"/>
                        <w:right w:val="none" w:sz="0" w:space="0" w:color="auto"/>
                      </w:divBdr>
                    </w:div>
                  </w:divsChild>
                </w:div>
                <w:div w:id="354890510">
                  <w:marLeft w:val="0"/>
                  <w:marRight w:val="0"/>
                  <w:marTop w:val="0"/>
                  <w:marBottom w:val="0"/>
                  <w:divBdr>
                    <w:top w:val="none" w:sz="0" w:space="0" w:color="auto"/>
                    <w:left w:val="none" w:sz="0" w:space="0" w:color="auto"/>
                    <w:bottom w:val="none" w:sz="0" w:space="0" w:color="auto"/>
                    <w:right w:val="none" w:sz="0" w:space="0" w:color="auto"/>
                  </w:divBdr>
                  <w:divsChild>
                    <w:div w:id="411859767">
                      <w:marLeft w:val="0"/>
                      <w:marRight w:val="0"/>
                      <w:marTop w:val="0"/>
                      <w:marBottom w:val="0"/>
                      <w:divBdr>
                        <w:top w:val="none" w:sz="0" w:space="0" w:color="auto"/>
                        <w:left w:val="none" w:sz="0" w:space="0" w:color="auto"/>
                        <w:bottom w:val="none" w:sz="0" w:space="0" w:color="auto"/>
                        <w:right w:val="none" w:sz="0" w:space="0" w:color="auto"/>
                      </w:divBdr>
                    </w:div>
                  </w:divsChild>
                </w:div>
                <w:div w:id="382876904">
                  <w:marLeft w:val="0"/>
                  <w:marRight w:val="0"/>
                  <w:marTop w:val="0"/>
                  <w:marBottom w:val="0"/>
                  <w:divBdr>
                    <w:top w:val="none" w:sz="0" w:space="0" w:color="auto"/>
                    <w:left w:val="none" w:sz="0" w:space="0" w:color="auto"/>
                    <w:bottom w:val="none" w:sz="0" w:space="0" w:color="auto"/>
                    <w:right w:val="none" w:sz="0" w:space="0" w:color="auto"/>
                  </w:divBdr>
                  <w:divsChild>
                    <w:div w:id="1485849498">
                      <w:marLeft w:val="0"/>
                      <w:marRight w:val="0"/>
                      <w:marTop w:val="0"/>
                      <w:marBottom w:val="0"/>
                      <w:divBdr>
                        <w:top w:val="none" w:sz="0" w:space="0" w:color="auto"/>
                        <w:left w:val="none" w:sz="0" w:space="0" w:color="auto"/>
                        <w:bottom w:val="none" w:sz="0" w:space="0" w:color="auto"/>
                        <w:right w:val="none" w:sz="0" w:space="0" w:color="auto"/>
                      </w:divBdr>
                    </w:div>
                  </w:divsChild>
                </w:div>
                <w:div w:id="441994571">
                  <w:marLeft w:val="0"/>
                  <w:marRight w:val="0"/>
                  <w:marTop w:val="0"/>
                  <w:marBottom w:val="0"/>
                  <w:divBdr>
                    <w:top w:val="none" w:sz="0" w:space="0" w:color="auto"/>
                    <w:left w:val="none" w:sz="0" w:space="0" w:color="auto"/>
                    <w:bottom w:val="none" w:sz="0" w:space="0" w:color="auto"/>
                    <w:right w:val="none" w:sz="0" w:space="0" w:color="auto"/>
                  </w:divBdr>
                  <w:divsChild>
                    <w:div w:id="338699651">
                      <w:marLeft w:val="0"/>
                      <w:marRight w:val="0"/>
                      <w:marTop w:val="0"/>
                      <w:marBottom w:val="0"/>
                      <w:divBdr>
                        <w:top w:val="none" w:sz="0" w:space="0" w:color="auto"/>
                        <w:left w:val="none" w:sz="0" w:space="0" w:color="auto"/>
                        <w:bottom w:val="none" w:sz="0" w:space="0" w:color="auto"/>
                        <w:right w:val="none" w:sz="0" w:space="0" w:color="auto"/>
                      </w:divBdr>
                    </w:div>
                  </w:divsChild>
                </w:div>
                <w:div w:id="453597452">
                  <w:marLeft w:val="0"/>
                  <w:marRight w:val="0"/>
                  <w:marTop w:val="0"/>
                  <w:marBottom w:val="0"/>
                  <w:divBdr>
                    <w:top w:val="none" w:sz="0" w:space="0" w:color="auto"/>
                    <w:left w:val="none" w:sz="0" w:space="0" w:color="auto"/>
                    <w:bottom w:val="none" w:sz="0" w:space="0" w:color="auto"/>
                    <w:right w:val="none" w:sz="0" w:space="0" w:color="auto"/>
                  </w:divBdr>
                  <w:divsChild>
                    <w:div w:id="1567110141">
                      <w:marLeft w:val="0"/>
                      <w:marRight w:val="0"/>
                      <w:marTop w:val="0"/>
                      <w:marBottom w:val="0"/>
                      <w:divBdr>
                        <w:top w:val="none" w:sz="0" w:space="0" w:color="auto"/>
                        <w:left w:val="none" w:sz="0" w:space="0" w:color="auto"/>
                        <w:bottom w:val="none" w:sz="0" w:space="0" w:color="auto"/>
                        <w:right w:val="none" w:sz="0" w:space="0" w:color="auto"/>
                      </w:divBdr>
                    </w:div>
                  </w:divsChild>
                </w:div>
                <w:div w:id="732390684">
                  <w:marLeft w:val="0"/>
                  <w:marRight w:val="0"/>
                  <w:marTop w:val="0"/>
                  <w:marBottom w:val="0"/>
                  <w:divBdr>
                    <w:top w:val="none" w:sz="0" w:space="0" w:color="auto"/>
                    <w:left w:val="none" w:sz="0" w:space="0" w:color="auto"/>
                    <w:bottom w:val="none" w:sz="0" w:space="0" w:color="auto"/>
                    <w:right w:val="none" w:sz="0" w:space="0" w:color="auto"/>
                  </w:divBdr>
                  <w:divsChild>
                    <w:div w:id="2097627368">
                      <w:marLeft w:val="0"/>
                      <w:marRight w:val="0"/>
                      <w:marTop w:val="0"/>
                      <w:marBottom w:val="0"/>
                      <w:divBdr>
                        <w:top w:val="none" w:sz="0" w:space="0" w:color="auto"/>
                        <w:left w:val="none" w:sz="0" w:space="0" w:color="auto"/>
                        <w:bottom w:val="none" w:sz="0" w:space="0" w:color="auto"/>
                        <w:right w:val="none" w:sz="0" w:space="0" w:color="auto"/>
                      </w:divBdr>
                    </w:div>
                  </w:divsChild>
                </w:div>
                <w:div w:id="808519065">
                  <w:marLeft w:val="0"/>
                  <w:marRight w:val="0"/>
                  <w:marTop w:val="0"/>
                  <w:marBottom w:val="0"/>
                  <w:divBdr>
                    <w:top w:val="none" w:sz="0" w:space="0" w:color="auto"/>
                    <w:left w:val="none" w:sz="0" w:space="0" w:color="auto"/>
                    <w:bottom w:val="none" w:sz="0" w:space="0" w:color="auto"/>
                    <w:right w:val="none" w:sz="0" w:space="0" w:color="auto"/>
                  </w:divBdr>
                  <w:divsChild>
                    <w:div w:id="2049378092">
                      <w:marLeft w:val="0"/>
                      <w:marRight w:val="0"/>
                      <w:marTop w:val="0"/>
                      <w:marBottom w:val="0"/>
                      <w:divBdr>
                        <w:top w:val="none" w:sz="0" w:space="0" w:color="auto"/>
                        <w:left w:val="none" w:sz="0" w:space="0" w:color="auto"/>
                        <w:bottom w:val="none" w:sz="0" w:space="0" w:color="auto"/>
                        <w:right w:val="none" w:sz="0" w:space="0" w:color="auto"/>
                      </w:divBdr>
                    </w:div>
                  </w:divsChild>
                </w:div>
                <w:div w:id="817453644">
                  <w:marLeft w:val="0"/>
                  <w:marRight w:val="0"/>
                  <w:marTop w:val="0"/>
                  <w:marBottom w:val="0"/>
                  <w:divBdr>
                    <w:top w:val="none" w:sz="0" w:space="0" w:color="auto"/>
                    <w:left w:val="none" w:sz="0" w:space="0" w:color="auto"/>
                    <w:bottom w:val="none" w:sz="0" w:space="0" w:color="auto"/>
                    <w:right w:val="none" w:sz="0" w:space="0" w:color="auto"/>
                  </w:divBdr>
                  <w:divsChild>
                    <w:div w:id="632640466">
                      <w:marLeft w:val="0"/>
                      <w:marRight w:val="0"/>
                      <w:marTop w:val="0"/>
                      <w:marBottom w:val="0"/>
                      <w:divBdr>
                        <w:top w:val="none" w:sz="0" w:space="0" w:color="auto"/>
                        <w:left w:val="none" w:sz="0" w:space="0" w:color="auto"/>
                        <w:bottom w:val="none" w:sz="0" w:space="0" w:color="auto"/>
                        <w:right w:val="none" w:sz="0" w:space="0" w:color="auto"/>
                      </w:divBdr>
                    </w:div>
                  </w:divsChild>
                </w:div>
                <w:div w:id="899369472">
                  <w:marLeft w:val="0"/>
                  <w:marRight w:val="0"/>
                  <w:marTop w:val="0"/>
                  <w:marBottom w:val="0"/>
                  <w:divBdr>
                    <w:top w:val="none" w:sz="0" w:space="0" w:color="auto"/>
                    <w:left w:val="none" w:sz="0" w:space="0" w:color="auto"/>
                    <w:bottom w:val="none" w:sz="0" w:space="0" w:color="auto"/>
                    <w:right w:val="none" w:sz="0" w:space="0" w:color="auto"/>
                  </w:divBdr>
                  <w:divsChild>
                    <w:div w:id="669521526">
                      <w:marLeft w:val="0"/>
                      <w:marRight w:val="0"/>
                      <w:marTop w:val="0"/>
                      <w:marBottom w:val="0"/>
                      <w:divBdr>
                        <w:top w:val="none" w:sz="0" w:space="0" w:color="auto"/>
                        <w:left w:val="none" w:sz="0" w:space="0" w:color="auto"/>
                        <w:bottom w:val="none" w:sz="0" w:space="0" w:color="auto"/>
                        <w:right w:val="none" w:sz="0" w:space="0" w:color="auto"/>
                      </w:divBdr>
                    </w:div>
                  </w:divsChild>
                </w:div>
                <w:div w:id="903445235">
                  <w:marLeft w:val="0"/>
                  <w:marRight w:val="0"/>
                  <w:marTop w:val="0"/>
                  <w:marBottom w:val="0"/>
                  <w:divBdr>
                    <w:top w:val="none" w:sz="0" w:space="0" w:color="auto"/>
                    <w:left w:val="none" w:sz="0" w:space="0" w:color="auto"/>
                    <w:bottom w:val="none" w:sz="0" w:space="0" w:color="auto"/>
                    <w:right w:val="none" w:sz="0" w:space="0" w:color="auto"/>
                  </w:divBdr>
                  <w:divsChild>
                    <w:div w:id="985090978">
                      <w:marLeft w:val="0"/>
                      <w:marRight w:val="0"/>
                      <w:marTop w:val="0"/>
                      <w:marBottom w:val="0"/>
                      <w:divBdr>
                        <w:top w:val="none" w:sz="0" w:space="0" w:color="auto"/>
                        <w:left w:val="none" w:sz="0" w:space="0" w:color="auto"/>
                        <w:bottom w:val="none" w:sz="0" w:space="0" w:color="auto"/>
                        <w:right w:val="none" w:sz="0" w:space="0" w:color="auto"/>
                      </w:divBdr>
                    </w:div>
                  </w:divsChild>
                </w:div>
                <w:div w:id="942689763">
                  <w:marLeft w:val="0"/>
                  <w:marRight w:val="0"/>
                  <w:marTop w:val="0"/>
                  <w:marBottom w:val="0"/>
                  <w:divBdr>
                    <w:top w:val="none" w:sz="0" w:space="0" w:color="auto"/>
                    <w:left w:val="none" w:sz="0" w:space="0" w:color="auto"/>
                    <w:bottom w:val="none" w:sz="0" w:space="0" w:color="auto"/>
                    <w:right w:val="none" w:sz="0" w:space="0" w:color="auto"/>
                  </w:divBdr>
                  <w:divsChild>
                    <w:div w:id="999574898">
                      <w:marLeft w:val="0"/>
                      <w:marRight w:val="0"/>
                      <w:marTop w:val="0"/>
                      <w:marBottom w:val="0"/>
                      <w:divBdr>
                        <w:top w:val="none" w:sz="0" w:space="0" w:color="auto"/>
                        <w:left w:val="none" w:sz="0" w:space="0" w:color="auto"/>
                        <w:bottom w:val="none" w:sz="0" w:space="0" w:color="auto"/>
                        <w:right w:val="none" w:sz="0" w:space="0" w:color="auto"/>
                      </w:divBdr>
                    </w:div>
                  </w:divsChild>
                </w:div>
                <w:div w:id="950472752">
                  <w:marLeft w:val="0"/>
                  <w:marRight w:val="0"/>
                  <w:marTop w:val="0"/>
                  <w:marBottom w:val="0"/>
                  <w:divBdr>
                    <w:top w:val="none" w:sz="0" w:space="0" w:color="auto"/>
                    <w:left w:val="none" w:sz="0" w:space="0" w:color="auto"/>
                    <w:bottom w:val="none" w:sz="0" w:space="0" w:color="auto"/>
                    <w:right w:val="none" w:sz="0" w:space="0" w:color="auto"/>
                  </w:divBdr>
                  <w:divsChild>
                    <w:div w:id="672879753">
                      <w:marLeft w:val="0"/>
                      <w:marRight w:val="0"/>
                      <w:marTop w:val="0"/>
                      <w:marBottom w:val="0"/>
                      <w:divBdr>
                        <w:top w:val="none" w:sz="0" w:space="0" w:color="auto"/>
                        <w:left w:val="none" w:sz="0" w:space="0" w:color="auto"/>
                        <w:bottom w:val="none" w:sz="0" w:space="0" w:color="auto"/>
                        <w:right w:val="none" w:sz="0" w:space="0" w:color="auto"/>
                      </w:divBdr>
                    </w:div>
                  </w:divsChild>
                </w:div>
                <w:div w:id="972441938">
                  <w:marLeft w:val="0"/>
                  <w:marRight w:val="0"/>
                  <w:marTop w:val="0"/>
                  <w:marBottom w:val="0"/>
                  <w:divBdr>
                    <w:top w:val="none" w:sz="0" w:space="0" w:color="auto"/>
                    <w:left w:val="none" w:sz="0" w:space="0" w:color="auto"/>
                    <w:bottom w:val="none" w:sz="0" w:space="0" w:color="auto"/>
                    <w:right w:val="none" w:sz="0" w:space="0" w:color="auto"/>
                  </w:divBdr>
                  <w:divsChild>
                    <w:div w:id="1642536336">
                      <w:marLeft w:val="0"/>
                      <w:marRight w:val="0"/>
                      <w:marTop w:val="0"/>
                      <w:marBottom w:val="0"/>
                      <w:divBdr>
                        <w:top w:val="none" w:sz="0" w:space="0" w:color="auto"/>
                        <w:left w:val="none" w:sz="0" w:space="0" w:color="auto"/>
                        <w:bottom w:val="none" w:sz="0" w:space="0" w:color="auto"/>
                        <w:right w:val="none" w:sz="0" w:space="0" w:color="auto"/>
                      </w:divBdr>
                    </w:div>
                  </w:divsChild>
                </w:div>
                <w:div w:id="1037583858">
                  <w:marLeft w:val="0"/>
                  <w:marRight w:val="0"/>
                  <w:marTop w:val="0"/>
                  <w:marBottom w:val="0"/>
                  <w:divBdr>
                    <w:top w:val="none" w:sz="0" w:space="0" w:color="auto"/>
                    <w:left w:val="none" w:sz="0" w:space="0" w:color="auto"/>
                    <w:bottom w:val="none" w:sz="0" w:space="0" w:color="auto"/>
                    <w:right w:val="none" w:sz="0" w:space="0" w:color="auto"/>
                  </w:divBdr>
                  <w:divsChild>
                    <w:div w:id="1213541761">
                      <w:marLeft w:val="0"/>
                      <w:marRight w:val="0"/>
                      <w:marTop w:val="0"/>
                      <w:marBottom w:val="0"/>
                      <w:divBdr>
                        <w:top w:val="none" w:sz="0" w:space="0" w:color="auto"/>
                        <w:left w:val="none" w:sz="0" w:space="0" w:color="auto"/>
                        <w:bottom w:val="none" w:sz="0" w:space="0" w:color="auto"/>
                        <w:right w:val="none" w:sz="0" w:space="0" w:color="auto"/>
                      </w:divBdr>
                    </w:div>
                  </w:divsChild>
                </w:div>
                <w:div w:id="1075011349">
                  <w:marLeft w:val="0"/>
                  <w:marRight w:val="0"/>
                  <w:marTop w:val="0"/>
                  <w:marBottom w:val="0"/>
                  <w:divBdr>
                    <w:top w:val="none" w:sz="0" w:space="0" w:color="auto"/>
                    <w:left w:val="none" w:sz="0" w:space="0" w:color="auto"/>
                    <w:bottom w:val="none" w:sz="0" w:space="0" w:color="auto"/>
                    <w:right w:val="none" w:sz="0" w:space="0" w:color="auto"/>
                  </w:divBdr>
                  <w:divsChild>
                    <w:div w:id="945576834">
                      <w:marLeft w:val="0"/>
                      <w:marRight w:val="0"/>
                      <w:marTop w:val="0"/>
                      <w:marBottom w:val="0"/>
                      <w:divBdr>
                        <w:top w:val="none" w:sz="0" w:space="0" w:color="auto"/>
                        <w:left w:val="none" w:sz="0" w:space="0" w:color="auto"/>
                        <w:bottom w:val="none" w:sz="0" w:space="0" w:color="auto"/>
                        <w:right w:val="none" w:sz="0" w:space="0" w:color="auto"/>
                      </w:divBdr>
                    </w:div>
                  </w:divsChild>
                </w:div>
                <w:div w:id="1163592495">
                  <w:marLeft w:val="0"/>
                  <w:marRight w:val="0"/>
                  <w:marTop w:val="0"/>
                  <w:marBottom w:val="0"/>
                  <w:divBdr>
                    <w:top w:val="none" w:sz="0" w:space="0" w:color="auto"/>
                    <w:left w:val="none" w:sz="0" w:space="0" w:color="auto"/>
                    <w:bottom w:val="none" w:sz="0" w:space="0" w:color="auto"/>
                    <w:right w:val="none" w:sz="0" w:space="0" w:color="auto"/>
                  </w:divBdr>
                  <w:divsChild>
                    <w:div w:id="2101489115">
                      <w:marLeft w:val="0"/>
                      <w:marRight w:val="0"/>
                      <w:marTop w:val="0"/>
                      <w:marBottom w:val="0"/>
                      <w:divBdr>
                        <w:top w:val="none" w:sz="0" w:space="0" w:color="auto"/>
                        <w:left w:val="none" w:sz="0" w:space="0" w:color="auto"/>
                        <w:bottom w:val="none" w:sz="0" w:space="0" w:color="auto"/>
                        <w:right w:val="none" w:sz="0" w:space="0" w:color="auto"/>
                      </w:divBdr>
                    </w:div>
                  </w:divsChild>
                </w:div>
                <w:div w:id="1195925120">
                  <w:marLeft w:val="0"/>
                  <w:marRight w:val="0"/>
                  <w:marTop w:val="0"/>
                  <w:marBottom w:val="0"/>
                  <w:divBdr>
                    <w:top w:val="none" w:sz="0" w:space="0" w:color="auto"/>
                    <w:left w:val="none" w:sz="0" w:space="0" w:color="auto"/>
                    <w:bottom w:val="none" w:sz="0" w:space="0" w:color="auto"/>
                    <w:right w:val="none" w:sz="0" w:space="0" w:color="auto"/>
                  </w:divBdr>
                  <w:divsChild>
                    <w:div w:id="378480194">
                      <w:marLeft w:val="0"/>
                      <w:marRight w:val="0"/>
                      <w:marTop w:val="0"/>
                      <w:marBottom w:val="0"/>
                      <w:divBdr>
                        <w:top w:val="none" w:sz="0" w:space="0" w:color="auto"/>
                        <w:left w:val="none" w:sz="0" w:space="0" w:color="auto"/>
                        <w:bottom w:val="none" w:sz="0" w:space="0" w:color="auto"/>
                        <w:right w:val="none" w:sz="0" w:space="0" w:color="auto"/>
                      </w:divBdr>
                    </w:div>
                  </w:divsChild>
                </w:div>
                <w:div w:id="1243023470">
                  <w:marLeft w:val="0"/>
                  <w:marRight w:val="0"/>
                  <w:marTop w:val="0"/>
                  <w:marBottom w:val="0"/>
                  <w:divBdr>
                    <w:top w:val="none" w:sz="0" w:space="0" w:color="auto"/>
                    <w:left w:val="none" w:sz="0" w:space="0" w:color="auto"/>
                    <w:bottom w:val="none" w:sz="0" w:space="0" w:color="auto"/>
                    <w:right w:val="none" w:sz="0" w:space="0" w:color="auto"/>
                  </w:divBdr>
                  <w:divsChild>
                    <w:div w:id="1771200230">
                      <w:marLeft w:val="0"/>
                      <w:marRight w:val="0"/>
                      <w:marTop w:val="0"/>
                      <w:marBottom w:val="0"/>
                      <w:divBdr>
                        <w:top w:val="none" w:sz="0" w:space="0" w:color="auto"/>
                        <w:left w:val="none" w:sz="0" w:space="0" w:color="auto"/>
                        <w:bottom w:val="none" w:sz="0" w:space="0" w:color="auto"/>
                        <w:right w:val="none" w:sz="0" w:space="0" w:color="auto"/>
                      </w:divBdr>
                    </w:div>
                  </w:divsChild>
                </w:div>
                <w:div w:id="1270503936">
                  <w:marLeft w:val="0"/>
                  <w:marRight w:val="0"/>
                  <w:marTop w:val="0"/>
                  <w:marBottom w:val="0"/>
                  <w:divBdr>
                    <w:top w:val="none" w:sz="0" w:space="0" w:color="auto"/>
                    <w:left w:val="none" w:sz="0" w:space="0" w:color="auto"/>
                    <w:bottom w:val="none" w:sz="0" w:space="0" w:color="auto"/>
                    <w:right w:val="none" w:sz="0" w:space="0" w:color="auto"/>
                  </w:divBdr>
                  <w:divsChild>
                    <w:div w:id="1514950520">
                      <w:marLeft w:val="0"/>
                      <w:marRight w:val="0"/>
                      <w:marTop w:val="0"/>
                      <w:marBottom w:val="0"/>
                      <w:divBdr>
                        <w:top w:val="none" w:sz="0" w:space="0" w:color="auto"/>
                        <w:left w:val="none" w:sz="0" w:space="0" w:color="auto"/>
                        <w:bottom w:val="none" w:sz="0" w:space="0" w:color="auto"/>
                        <w:right w:val="none" w:sz="0" w:space="0" w:color="auto"/>
                      </w:divBdr>
                    </w:div>
                  </w:divsChild>
                </w:div>
                <w:div w:id="1279800922">
                  <w:marLeft w:val="0"/>
                  <w:marRight w:val="0"/>
                  <w:marTop w:val="0"/>
                  <w:marBottom w:val="0"/>
                  <w:divBdr>
                    <w:top w:val="none" w:sz="0" w:space="0" w:color="auto"/>
                    <w:left w:val="none" w:sz="0" w:space="0" w:color="auto"/>
                    <w:bottom w:val="none" w:sz="0" w:space="0" w:color="auto"/>
                    <w:right w:val="none" w:sz="0" w:space="0" w:color="auto"/>
                  </w:divBdr>
                  <w:divsChild>
                    <w:div w:id="1803308516">
                      <w:marLeft w:val="0"/>
                      <w:marRight w:val="0"/>
                      <w:marTop w:val="0"/>
                      <w:marBottom w:val="0"/>
                      <w:divBdr>
                        <w:top w:val="none" w:sz="0" w:space="0" w:color="auto"/>
                        <w:left w:val="none" w:sz="0" w:space="0" w:color="auto"/>
                        <w:bottom w:val="none" w:sz="0" w:space="0" w:color="auto"/>
                        <w:right w:val="none" w:sz="0" w:space="0" w:color="auto"/>
                      </w:divBdr>
                    </w:div>
                  </w:divsChild>
                </w:div>
                <w:div w:id="1282805186">
                  <w:marLeft w:val="0"/>
                  <w:marRight w:val="0"/>
                  <w:marTop w:val="0"/>
                  <w:marBottom w:val="0"/>
                  <w:divBdr>
                    <w:top w:val="none" w:sz="0" w:space="0" w:color="auto"/>
                    <w:left w:val="none" w:sz="0" w:space="0" w:color="auto"/>
                    <w:bottom w:val="none" w:sz="0" w:space="0" w:color="auto"/>
                    <w:right w:val="none" w:sz="0" w:space="0" w:color="auto"/>
                  </w:divBdr>
                  <w:divsChild>
                    <w:div w:id="2068524731">
                      <w:marLeft w:val="0"/>
                      <w:marRight w:val="0"/>
                      <w:marTop w:val="0"/>
                      <w:marBottom w:val="0"/>
                      <w:divBdr>
                        <w:top w:val="none" w:sz="0" w:space="0" w:color="auto"/>
                        <w:left w:val="none" w:sz="0" w:space="0" w:color="auto"/>
                        <w:bottom w:val="none" w:sz="0" w:space="0" w:color="auto"/>
                        <w:right w:val="none" w:sz="0" w:space="0" w:color="auto"/>
                      </w:divBdr>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24410272">
                      <w:marLeft w:val="0"/>
                      <w:marRight w:val="0"/>
                      <w:marTop w:val="0"/>
                      <w:marBottom w:val="0"/>
                      <w:divBdr>
                        <w:top w:val="none" w:sz="0" w:space="0" w:color="auto"/>
                        <w:left w:val="none" w:sz="0" w:space="0" w:color="auto"/>
                        <w:bottom w:val="none" w:sz="0" w:space="0" w:color="auto"/>
                        <w:right w:val="none" w:sz="0" w:space="0" w:color="auto"/>
                      </w:divBdr>
                    </w:div>
                  </w:divsChild>
                </w:div>
                <w:div w:id="1362779628">
                  <w:marLeft w:val="0"/>
                  <w:marRight w:val="0"/>
                  <w:marTop w:val="0"/>
                  <w:marBottom w:val="0"/>
                  <w:divBdr>
                    <w:top w:val="none" w:sz="0" w:space="0" w:color="auto"/>
                    <w:left w:val="none" w:sz="0" w:space="0" w:color="auto"/>
                    <w:bottom w:val="none" w:sz="0" w:space="0" w:color="auto"/>
                    <w:right w:val="none" w:sz="0" w:space="0" w:color="auto"/>
                  </w:divBdr>
                  <w:divsChild>
                    <w:div w:id="1724526751">
                      <w:marLeft w:val="0"/>
                      <w:marRight w:val="0"/>
                      <w:marTop w:val="0"/>
                      <w:marBottom w:val="0"/>
                      <w:divBdr>
                        <w:top w:val="none" w:sz="0" w:space="0" w:color="auto"/>
                        <w:left w:val="none" w:sz="0" w:space="0" w:color="auto"/>
                        <w:bottom w:val="none" w:sz="0" w:space="0" w:color="auto"/>
                        <w:right w:val="none" w:sz="0" w:space="0" w:color="auto"/>
                      </w:divBdr>
                    </w:div>
                  </w:divsChild>
                </w:div>
                <w:div w:id="1383597520">
                  <w:marLeft w:val="0"/>
                  <w:marRight w:val="0"/>
                  <w:marTop w:val="0"/>
                  <w:marBottom w:val="0"/>
                  <w:divBdr>
                    <w:top w:val="none" w:sz="0" w:space="0" w:color="auto"/>
                    <w:left w:val="none" w:sz="0" w:space="0" w:color="auto"/>
                    <w:bottom w:val="none" w:sz="0" w:space="0" w:color="auto"/>
                    <w:right w:val="none" w:sz="0" w:space="0" w:color="auto"/>
                  </w:divBdr>
                  <w:divsChild>
                    <w:div w:id="398134729">
                      <w:marLeft w:val="0"/>
                      <w:marRight w:val="0"/>
                      <w:marTop w:val="0"/>
                      <w:marBottom w:val="0"/>
                      <w:divBdr>
                        <w:top w:val="none" w:sz="0" w:space="0" w:color="auto"/>
                        <w:left w:val="none" w:sz="0" w:space="0" w:color="auto"/>
                        <w:bottom w:val="none" w:sz="0" w:space="0" w:color="auto"/>
                        <w:right w:val="none" w:sz="0" w:space="0" w:color="auto"/>
                      </w:divBdr>
                    </w:div>
                  </w:divsChild>
                </w:div>
                <w:div w:id="1408845217">
                  <w:marLeft w:val="0"/>
                  <w:marRight w:val="0"/>
                  <w:marTop w:val="0"/>
                  <w:marBottom w:val="0"/>
                  <w:divBdr>
                    <w:top w:val="none" w:sz="0" w:space="0" w:color="auto"/>
                    <w:left w:val="none" w:sz="0" w:space="0" w:color="auto"/>
                    <w:bottom w:val="none" w:sz="0" w:space="0" w:color="auto"/>
                    <w:right w:val="none" w:sz="0" w:space="0" w:color="auto"/>
                  </w:divBdr>
                  <w:divsChild>
                    <w:div w:id="270475005">
                      <w:marLeft w:val="0"/>
                      <w:marRight w:val="0"/>
                      <w:marTop w:val="0"/>
                      <w:marBottom w:val="0"/>
                      <w:divBdr>
                        <w:top w:val="none" w:sz="0" w:space="0" w:color="auto"/>
                        <w:left w:val="none" w:sz="0" w:space="0" w:color="auto"/>
                        <w:bottom w:val="none" w:sz="0" w:space="0" w:color="auto"/>
                        <w:right w:val="none" w:sz="0" w:space="0" w:color="auto"/>
                      </w:divBdr>
                    </w:div>
                  </w:divsChild>
                </w:div>
                <w:div w:id="1462378083">
                  <w:marLeft w:val="0"/>
                  <w:marRight w:val="0"/>
                  <w:marTop w:val="0"/>
                  <w:marBottom w:val="0"/>
                  <w:divBdr>
                    <w:top w:val="none" w:sz="0" w:space="0" w:color="auto"/>
                    <w:left w:val="none" w:sz="0" w:space="0" w:color="auto"/>
                    <w:bottom w:val="none" w:sz="0" w:space="0" w:color="auto"/>
                    <w:right w:val="none" w:sz="0" w:space="0" w:color="auto"/>
                  </w:divBdr>
                  <w:divsChild>
                    <w:div w:id="1341346677">
                      <w:marLeft w:val="0"/>
                      <w:marRight w:val="0"/>
                      <w:marTop w:val="0"/>
                      <w:marBottom w:val="0"/>
                      <w:divBdr>
                        <w:top w:val="none" w:sz="0" w:space="0" w:color="auto"/>
                        <w:left w:val="none" w:sz="0" w:space="0" w:color="auto"/>
                        <w:bottom w:val="none" w:sz="0" w:space="0" w:color="auto"/>
                        <w:right w:val="none" w:sz="0" w:space="0" w:color="auto"/>
                      </w:divBdr>
                    </w:div>
                  </w:divsChild>
                </w:div>
                <w:div w:id="1467892284">
                  <w:marLeft w:val="0"/>
                  <w:marRight w:val="0"/>
                  <w:marTop w:val="0"/>
                  <w:marBottom w:val="0"/>
                  <w:divBdr>
                    <w:top w:val="none" w:sz="0" w:space="0" w:color="auto"/>
                    <w:left w:val="none" w:sz="0" w:space="0" w:color="auto"/>
                    <w:bottom w:val="none" w:sz="0" w:space="0" w:color="auto"/>
                    <w:right w:val="none" w:sz="0" w:space="0" w:color="auto"/>
                  </w:divBdr>
                  <w:divsChild>
                    <w:div w:id="1474979446">
                      <w:marLeft w:val="0"/>
                      <w:marRight w:val="0"/>
                      <w:marTop w:val="0"/>
                      <w:marBottom w:val="0"/>
                      <w:divBdr>
                        <w:top w:val="none" w:sz="0" w:space="0" w:color="auto"/>
                        <w:left w:val="none" w:sz="0" w:space="0" w:color="auto"/>
                        <w:bottom w:val="none" w:sz="0" w:space="0" w:color="auto"/>
                        <w:right w:val="none" w:sz="0" w:space="0" w:color="auto"/>
                      </w:divBdr>
                    </w:div>
                  </w:divsChild>
                </w:div>
                <w:div w:id="1517575951">
                  <w:marLeft w:val="0"/>
                  <w:marRight w:val="0"/>
                  <w:marTop w:val="0"/>
                  <w:marBottom w:val="0"/>
                  <w:divBdr>
                    <w:top w:val="none" w:sz="0" w:space="0" w:color="auto"/>
                    <w:left w:val="none" w:sz="0" w:space="0" w:color="auto"/>
                    <w:bottom w:val="none" w:sz="0" w:space="0" w:color="auto"/>
                    <w:right w:val="none" w:sz="0" w:space="0" w:color="auto"/>
                  </w:divBdr>
                  <w:divsChild>
                    <w:div w:id="453447203">
                      <w:marLeft w:val="0"/>
                      <w:marRight w:val="0"/>
                      <w:marTop w:val="0"/>
                      <w:marBottom w:val="0"/>
                      <w:divBdr>
                        <w:top w:val="none" w:sz="0" w:space="0" w:color="auto"/>
                        <w:left w:val="none" w:sz="0" w:space="0" w:color="auto"/>
                        <w:bottom w:val="none" w:sz="0" w:space="0" w:color="auto"/>
                        <w:right w:val="none" w:sz="0" w:space="0" w:color="auto"/>
                      </w:divBdr>
                    </w:div>
                  </w:divsChild>
                </w:div>
                <w:div w:id="1533373082">
                  <w:marLeft w:val="0"/>
                  <w:marRight w:val="0"/>
                  <w:marTop w:val="0"/>
                  <w:marBottom w:val="0"/>
                  <w:divBdr>
                    <w:top w:val="none" w:sz="0" w:space="0" w:color="auto"/>
                    <w:left w:val="none" w:sz="0" w:space="0" w:color="auto"/>
                    <w:bottom w:val="none" w:sz="0" w:space="0" w:color="auto"/>
                    <w:right w:val="none" w:sz="0" w:space="0" w:color="auto"/>
                  </w:divBdr>
                  <w:divsChild>
                    <w:div w:id="1952274827">
                      <w:marLeft w:val="0"/>
                      <w:marRight w:val="0"/>
                      <w:marTop w:val="0"/>
                      <w:marBottom w:val="0"/>
                      <w:divBdr>
                        <w:top w:val="none" w:sz="0" w:space="0" w:color="auto"/>
                        <w:left w:val="none" w:sz="0" w:space="0" w:color="auto"/>
                        <w:bottom w:val="none" w:sz="0" w:space="0" w:color="auto"/>
                        <w:right w:val="none" w:sz="0" w:space="0" w:color="auto"/>
                      </w:divBdr>
                    </w:div>
                  </w:divsChild>
                </w:div>
                <w:div w:id="1587495093">
                  <w:marLeft w:val="0"/>
                  <w:marRight w:val="0"/>
                  <w:marTop w:val="0"/>
                  <w:marBottom w:val="0"/>
                  <w:divBdr>
                    <w:top w:val="none" w:sz="0" w:space="0" w:color="auto"/>
                    <w:left w:val="none" w:sz="0" w:space="0" w:color="auto"/>
                    <w:bottom w:val="none" w:sz="0" w:space="0" w:color="auto"/>
                    <w:right w:val="none" w:sz="0" w:space="0" w:color="auto"/>
                  </w:divBdr>
                  <w:divsChild>
                    <w:div w:id="1615476996">
                      <w:marLeft w:val="0"/>
                      <w:marRight w:val="0"/>
                      <w:marTop w:val="0"/>
                      <w:marBottom w:val="0"/>
                      <w:divBdr>
                        <w:top w:val="none" w:sz="0" w:space="0" w:color="auto"/>
                        <w:left w:val="none" w:sz="0" w:space="0" w:color="auto"/>
                        <w:bottom w:val="none" w:sz="0" w:space="0" w:color="auto"/>
                        <w:right w:val="none" w:sz="0" w:space="0" w:color="auto"/>
                      </w:divBdr>
                    </w:div>
                  </w:divsChild>
                </w:div>
                <w:div w:id="1642156478">
                  <w:marLeft w:val="0"/>
                  <w:marRight w:val="0"/>
                  <w:marTop w:val="0"/>
                  <w:marBottom w:val="0"/>
                  <w:divBdr>
                    <w:top w:val="none" w:sz="0" w:space="0" w:color="auto"/>
                    <w:left w:val="none" w:sz="0" w:space="0" w:color="auto"/>
                    <w:bottom w:val="none" w:sz="0" w:space="0" w:color="auto"/>
                    <w:right w:val="none" w:sz="0" w:space="0" w:color="auto"/>
                  </w:divBdr>
                  <w:divsChild>
                    <w:div w:id="1446659630">
                      <w:marLeft w:val="0"/>
                      <w:marRight w:val="0"/>
                      <w:marTop w:val="0"/>
                      <w:marBottom w:val="0"/>
                      <w:divBdr>
                        <w:top w:val="none" w:sz="0" w:space="0" w:color="auto"/>
                        <w:left w:val="none" w:sz="0" w:space="0" w:color="auto"/>
                        <w:bottom w:val="none" w:sz="0" w:space="0" w:color="auto"/>
                        <w:right w:val="none" w:sz="0" w:space="0" w:color="auto"/>
                      </w:divBdr>
                    </w:div>
                  </w:divsChild>
                </w:div>
                <w:div w:id="1690793103">
                  <w:marLeft w:val="0"/>
                  <w:marRight w:val="0"/>
                  <w:marTop w:val="0"/>
                  <w:marBottom w:val="0"/>
                  <w:divBdr>
                    <w:top w:val="none" w:sz="0" w:space="0" w:color="auto"/>
                    <w:left w:val="none" w:sz="0" w:space="0" w:color="auto"/>
                    <w:bottom w:val="none" w:sz="0" w:space="0" w:color="auto"/>
                    <w:right w:val="none" w:sz="0" w:space="0" w:color="auto"/>
                  </w:divBdr>
                  <w:divsChild>
                    <w:div w:id="449665883">
                      <w:marLeft w:val="0"/>
                      <w:marRight w:val="0"/>
                      <w:marTop w:val="0"/>
                      <w:marBottom w:val="0"/>
                      <w:divBdr>
                        <w:top w:val="none" w:sz="0" w:space="0" w:color="auto"/>
                        <w:left w:val="none" w:sz="0" w:space="0" w:color="auto"/>
                        <w:bottom w:val="none" w:sz="0" w:space="0" w:color="auto"/>
                        <w:right w:val="none" w:sz="0" w:space="0" w:color="auto"/>
                      </w:divBdr>
                    </w:div>
                  </w:divsChild>
                </w:div>
                <w:div w:id="1694960831">
                  <w:marLeft w:val="0"/>
                  <w:marRight w:val="0"/>
                  <w:marTop w:val="0"/>
                  <w:marBottom w:val="0"/>
                  <w:divBdr>
                    <w:top w:val="none" w:sz="0" w:space="0" w:color="auto"/>
                    <w:left w:val="none" w:sz="0" w:space="0" w:color="auto"/>
                    <w:bottom w:val="none" w:sz="0" w:space="0" w:color="auto"/>
                    <w:right w:val="none" w:sz="0" w:space="0" w:color="auto"/>
                  </w:divBdr>
                  <w:divsChild>
                    <w:div w:id="515534221">
                      <w:marLeft w:val="0"/>
                      <w:marRight w:val="0"/>
                      <w:marTop w:val="0"/>
                      <w:marBottom w:val="0"/>
                      <w:divBdr>
                        <w:top w:val="none" w:sz="0" w:space="0" w:color="auto"/>
                        <w:left w:val="none" w:sz="0" w:space="0" w:color="auto"/>
                        <w:bottom w:val="none" w:sz="0" w:space="0" w:color="auto"/>
                        <w:right w:val="none" w:sz="0" w:space="0" w:color="auto"/>
                      </w:divBdr>
                    </w:div>
                  </w:divsChild>
                </w:div>
                <w:div w:id="1703630607">
                  <w:marLeft w:val="0"/>
                  <w:marRight w:val="0"/>
                  <w:marTop w:val="0"/>
                  <w:marBottom w:val="0"/>
                  <w:divBdr>
                    <w:top w:val="none" w:sz="0" w:space="0" w:color="auto"/>
                    <w:left w:val="none" w:sz="0" w:space="0" w:color="auto"/>
                    <w:bottom w:val="none" w:sz="0" w:space="0" w:color="auto"/>
                    <w:right w:val="none" w:sz="0" w:space="0" w:color="auto"/>
                  </w:divBdr>
                  <w:divsChild>
                    <w:div w:id="1384672870">
                      <w:marLeft w:val="0"/>
                      <w:marRight w:val="0"/>
                      <w:marTop w:val="0"/>
                      <w:marBottom w:val="0"/>
                      <w:divBdr>
                        <w:top w:val="none" w:sz="0" w:space="0" w:color="auto"/>
                        <w:left w:val="none" w:sz="0" w:space="0" w:color="auto"/>
                        <w:bottom w:val="none" w:sz="0" w:space="0" w:color="auto"/>
                        <w:right w:val="none" w:sz="0" w:space="0" w:color="auto"/>
                      </w:divBdr>
                    </w:div>
                  </w:divsChild>
                </w:div>
                <w:div w:id="1733040254">
                  <w:marLeft w:val="0"/>
                  <w:marRight w:val="0"/>
                  <w:marTop w:val="0"/>
                  <w:marBottom w:val="0"/>
                  <w:divBdr>
                    <w:top w:val="none" w:sz="0" w:space="0" w:color="auto"/>
                    <w:left w:val="none" w:sz="0" w:space="0" w:color="auto"/>
                    <w:bottom w:val="none" w:sz="0" w:space="0" w:color="auto"/>
                    <w:right w:val="none" w:sz="0" w:space="0" w:color="auto"/>
                  </w:divBdr>
                  <w:divsChild>
                    <w:div w:id="1071927898">
                      <w:marLeft w:val="0"/>
                      <w:marRight w:val="0"/>
                      <w:marTop w:val="0"/>
                      <w:marBottom w:val="0"/>
                      <w:divBdr>
                        <w:top w:val="none" w:sz="0" w:space="0" w:color="auto"/>
                        <w:left w:val="none" w:sz="0" w:space="0" w:color="auto"/>
                        <w:bottom w:val="none" w:sz="0" w:space="0" w:color="auto"/>
                        <w:right w:val="none" w:sz="0" w:space="0" w:color="auto"/>
                      </w:divBdr>
                    </w:div>
                  </w:divsChild>
                </w:div>
                <w:div w:id="1734888649">
                  <w:marLeft w:val="0"/>
                  <w:marRight w:val="0"/>
                  <w:marTop w:val="0"/>
                  <w:marBottom w:val="0"/>
                  <w:divBdr>
                    <w:top w:val="none" w:sz="0" w:space="0" w:color="auto"/>
                    <w:left w:val="none" w:sz="0" w:space="0" w:color="auto"/>
                    <w:bottom w:val="none" w:sz="0" w:space="0" w:color="auto"/>
                    <w:right w:val="none" w:sz="0" w:space="0" w:color="auto"/>
                  </w:divBdr>
                  <w:divsChild>
                    <w:div w:id="1495996380">
                      <w:marLeft w:val="0"/>
                      <w:marRight w:val="0"/>
                      <w:marTop w:val="0"/>
                      <w:marBottom w:val="0"/>
                      <w:divBdr>
                        <w:top w:val="none" w:sz="0" w:space="0" w:color="auto"/>
                        <w:left w:val="none" w:sz="0" w:space="0" w:color="auto"/>
                        <w:bottom w:val="none" w:sz="0" w:space="0" w:color="auto"/>
                        <w:right w:val="none" w:sz="0" w:space="0" w:color="auto"/>
                      </w:divBdr>
                    </w:div>
                  </w:divsChild>
                </w:div>
                <w:div w:id="1742557135">
                  <w:marLeft w:val="0"/>
                  <w:marRight w:val="0"/>
                  <w:marTop w:val="0"/>
                  <w:marBottom w:val="0"/>
                  <w:divBdr>
                    <w:top w:val="none" w:sz="0" w:space="0" w:color="auto"/>
                    <w:left w:val="none" w:sz="0" w:space="0" w:color="auto"/>
                    <w:bottom w:val="none" w:sz="0" w:space="0" w:color="auto"/>
                    <w:right w:val="none" w:sz="0" w:space="0" w:color="auto"/>
                  </w:divBdr>
                  <w:divsChild>
                    <w:div w:id="2002925995">
                      <w:marLeft w:val="0"/>
                      <w:marRight w:val="0"/>
                      <w:marTop w:val="0"/>
                      <w:marBottom w:val="0"/>
                      <w:divBdr>
                        <w:top w:val="none" w:sz="0" w:space="0" w:color="auto"/>
                        <w:left w:val="none" w:sz="0" w:space="0" w:color="auto"/>
                        <w:bottom w:val="none" w:sz="0" w:space="0" w:color="auto"/>
                        <w:right w:val="none" w:sz="0" w:space="0" w:color="auto"/>
                      </w:divBdr>
                    </w:div>
                  </w:divsChild>
                </w:div>
                <w:div w:id="1752581524">
                  <w:marLeft w:val="0"/>
                  <w:marRight w:val="0"/>
                  <w:marTop w:val="0"/>
                  <w:marBottom w:val="0"/>
                  <w:divBdr>
                    <w:top w:val="none" w:sz="0" w:space="0" w:color="auto"/>
                    <w:left w:val="none" w:sz="0" w:space="0" w:color="auto"/>
                    <w:bottom w:val="none" w:sz="0" w:space="0" w:color="auto"/>
                    <w:right w:val="none" w:sz="0" w:space="0" w:color="auto"/>
                  </w:divBdr>
                  <w:divsChild>
                    <w:div w:id="2067298705">
                      <w:marLeft w:val="0"/>
                      <w:marRight w:val="0"/>
                      <w:marTop w:val="0"/>
                      <w:marBottom w:val="0"/>
                      <w:divBdr>
                        <w:top w:val="none" w:sz="0" w:space="0" w:color="auto"/>
                        <w:left w:val="none" w:sz="0" w:space="0" w:color="auto"/>
                        <w:bottom w:val="none" w:sz="0" w:space="0" w:color="auto"/>
                        <w:right w:val="none" w:sz="0" w:space="0" w:color="auto"/>
                      </w:divBdr>
                    </w:div>
                  </w:divsChild>
                </w:div>
                <w:div w:id="1774280417">
                  <w:marLeft w:val="0"/>
                  <w:marRight w:val="0"/>
                  <w:marTop w:val="0"/>
                  <w:marBottom w:val="0"/>
                  <w:divBdr>
                    <w:top w:val="none" w:sz="0" w:space="0" w:color="auto"/>
                    <w:left w:val="none" w:sz="0" w:space="0" w:color="auto"/>
                    <w:bottom w:val="none" w:sz="0" w:space="0" w:color="auto"/>
                    <w:right w:val="none" w:sz="0" w:space="0" w:color="auto"/>
                  </w:divBdr>
                  <w:divsChild>
                    <w:div w:id="772361067">
                      <w:marLeft w:val="0"/>
                      <w:marRight w:val="0"/>
                      <w:marTop w:val="0"/>
                      <w:marBottom w:val="0"/>
                      <w:divBdr>
                        <w:top w:val="none" w:sz="0" w:space="0" w:color="auto"/>
                        <w:left w:val="none" w:sz="0" w:space="0" w:color="auto"/>
                        <w:bottom w:val="none" w:sz="0" w:space="0" w:color="auto"/>
                        <w:right w:val="none" w:sz="0" w:space="0" w:color="auto"/>
                      </w:divBdr>
                    </w:div>
                  </w:divsChild>
                </w:div>
                <w:div w:id="1848400776">
                  <w:marLeft w:val="0"/>
                  <w:marRight w:val="0"/>
                  <w:marTop w:val="0"/>
                  <w:marBottom w:val="0"/>
                  <w:divBdr>
                    <w:top w:val="none" w:sz="0" w:space="0" w:color="auto"/>
                    <w:left w:val="none" w:sz="0" w:space="0" w:color="auto"/>
                    <w:bottom w:val="none" w:sz="0" w:space="0" w:color="auto"/>
                    <w:right w:val="none" w:sz="0" w:space="0" w:color="auto"/>
                  </w:divBdr>
                  <w:divsChild>
                    <w:div w:id="739596984">
                      <w:marLeft w:val="0"/>
                      <w:marRight w:val="0"/>
                      <w:marTop w:val="0"/>
                      <w:marBottom w:val="0"/>
                      <w:divBdr>
                        <w:top w:val="none" w:sz="0" w:space="0" w:color="auto"/>
                        <w:left w:val="none" w:sz="0" w:space="0" w:color="auto"/>
                        <w:bottom w:val="none" w:sz="0" w:space="0" w:color="auto"/>
                        <w:right w:val="none" w:sz="0" w:space="0" w:color="auto"/>
                      </w:divBdr>
                    </w:div>
                  </w:divsChild>
                </w:div>
                <w:div w:id="1994140487">
                  <w:marLeft w:val="0"/>
                  <w:marRight w:val="0"/>
                  <w:marTop w:val="0"/>
                  <w:marBottom w:val="0"/>
                  <w:divBdr>
                    <w:top w:val="none" w:sz="0" w:space="0" w:color="auto"/>
                    <w:left w:val="none" w:sz="0" w:space="0" w:color="auto"/>
                    <w:bottom w:val="none" w:sz="0" w:space="0" w:color="auto"/>
                    <w:right w:val="none" w:sz="0" w:space="0" w:color="auto"/>
                  </w:divBdr>
                  <w:divsChild>
                    <w:div w:id="1299529458">
                      <w:marLeft w:val="0"/>
                      <w:marRight w:val="0"/>
                      <w:marTop w:val="0"/>
                      <w:marBottom w:val="0"/>
                      <w:divBdr>
                        <w:top w:val="none" w:sz="0" w:space="0" w:color="auto"/>
                        <w:left w:val="none" w:sz="0" w:space="0" w:color="auto"/>
                        <w:bottom w:val="none" w:sz="0" w:space="0" w:color="auto"/>
                        <w:right w:val="none" w:sz="0" w:space="0" w:color="auto"/>
                      </w:divBdr>
                    </w:div>
                  </w:divsChild>
                </w:div>
                <w:div w:id="2120754450">
                  <w:marLeft w:val="0"/>
                  <w:marRight w:val="0"/>
                  <w:marTop w:val="0"/>
                  <w:marBottom w:val="0"/>
                  <w:divBdr>
                    <w:top w:val="none" w:sz="0" w:space="0" w:color="auto"/>
                    <w:left w:val="none" w:sz="0" w:space="0" w:color="auto"/>
                    <w:bottom w:val="none" w:sz="0" w:space="0" w:color="auto"/>
                    <w:right w:val="none" w:sz="0" w:space="0" w:color="auto"/>
                  </w:divBdr>
                  <w:divsChild>
                    <w:div w:id="2118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7202">
          <w:marLeft w:val="0"/>
          <w:marRight w:val="0"/>
          <w:marTop w:val="0"/>
          <w:marBottom w:val="0"/>
          <w:divBdr>
            <w:top w:val="none" w:sz="0" w:space="0" w:color="auto"/>
            <w:left w:val="none" w:sz="0" w:space="0" w:color="auto"/>
            <w:bottom w:val="none" w:sz="0" w:space="0" w:color="auto"/>
            <w:right w:val="none" w:sz="0" w:space="0" w:color="auto"/>
          </w:divBdr>
        </w:div>
      </w:divsChild>
    </w:div>
    <w:div w:id="714551321">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7851193">
      <w:bodyDiv w:val="1"/>
      <w:marLeft w:val="0"/>
      <w:marRight w:val="0"/>
      <w:marTop w:val="0"/>
      <w:marBottom w:val="0"/>
      <w:divBdr>
        <w:top w:val="none" w:sz="0" w:space="0" w:color="auto"/>
        <w:left w:val="none" w:sz="0" w:space="0" w:color="auto"/>
        <w:bottom w:val="none" w:sz="0" w:space="0" w:color="auto"/>
        <w:right w:val="none" w:sz="0" w:space="0" w:color="auto"/>
      </w:divBdr>
    </w:div>
    <w:div w:id="752968775">
      <w:bodyDiv w:val="1"/>
      <w:marLeft w:val="0"/>
      <w:marRight w:val="0"/>
      <w:marTop w:val="0"/>
      <w:marBottom w:val="0"/>
      <w:divBdr>
        <w:top w:val="none" w:sz="0" w:space="0" w:color="auto"/>
        <w:left w:val="none" w:sz="0" w:space="0" w:color="auto"/>
        <w:bottom w:val="none" w:sz="0" w:space="0" w:color="auto"/>
        <w:right w:val="none" w:sz="0" w:space="0" w:color="auto"/>
      </w:divBdr>
    </w:div>
    <w:div w:id="768698428">
      <w:bodyDiv w:val="1"/>
      <w:marLeft w:val="0"/>
      <w:marRight w:val="0"/>
      <w:marTop w:val="0"/>
      <w:marBottom w:val="0"/>
      <w:divBdr>
        <w:top w:val="none" w:sz="0" w:space="0" w:color="auto"/>
        <w:left w:val="none" w:sz="0" w:space="0" w:color="auto"/>
        <w:bottom w:val="none" w:sz="0" w:space="0" w:color="auto"/>
        <w:right w:val="none" w:sz="0" w:space="0" w:color="auto"/>
      </w:divBdr>
    </w:div>
    <w:div w:id="785658698">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49563395">
      <w:bodyDiv w:val="1"/>
      <w:marLeft w:val="0"/>
      <w:marRight w:val="0"/>
      <w:marTop w:val="0"/>
      <w:marBottom w:val="0"/>
      <w:divBdr>
        <w:top w:val="none" w:sz="0" w:space="0" w:color="auto"/>
        <w:left w:val="none" w:sz="0" w:space="0" w:color="auto"/>
        <w:bottom w:val="none" w:sz="0" w:space="0" w:color="auto"/>
        <w:right w:val="none" w:sz="0" w:space="0" w:color="auto"/>
      </w:divBdr>
      <w:divsChild>
        <w:div w:id="775565306">
          <w:marLeft w:val="0"/>
          <w:marRight w:val="0"/>
          <w:marTop w:val="0"/>
          <w:marBottom w:val="0"/>
          <w:divBdr>
            <w:top w:val="none" w:sz="0" w:space="0" w:color="auto"/>
            <w:left w:val="none" w:sz="0" w:space="0" w:color="auto"/>
            <w:bottom w:val="none" w:sz="0" w:space="0" w:color="auto"/>
            <w:right w:val="none" w:sz="0" w:space="0" w:color="auto"/>
          </w:divBdr>
          <w:divsChild>
            <w:div w:id="2094858972">
              <w:marLeft w:val="0"/>
              <w:marRight w:val="0"/>
              <w:marTop w:val="0"/>
              <w:marBottom w:val="0"/>
              <w:divBdr>
                <w:top w:val="none" w:sz="0" w:space="0" w:color="auto"/>
                <w:left w:val="none" w:sz="0" w:space="0" w:color="auto"/>
                <w:bottom w:val="none" w:sz="0" w:space="0" w:color="auto"/>
                <w:right w:val="none" w:sz="0" w:space="0" w:color="auto"/>
              </w:divBdr>
              <w:divsChild>
                <w:div w:id="483931596">
                  <w:marLeft w:val="0"/>
                  <w:marRight w:val="0"/>
                  <w:marTop w:val="0"/>
                  <w:marBottom w:val="0"/>
                  <w:divBdr>
                    <w:top w:val="none" w:sz="0" w:space="0" w:color="auto"/>
                    <w:left w:val="none" w:sz="0" w:space="0" w:color="auto"/>
                    <w:bottom w:val="none" w:sz="0" w:space="0" w:color="auto"/>
                    <w:right w:val="none" w:sz="0" w:space="0" w:color="auto"/>
                  </w:divBdr>
                  <w:divsChild>
                    <w:div w:id="16688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4507303">
      <w:bodyDiv w:val="1"/>
      <w:marLeft w:val="0"/>
      <w:marRight w:val="0"/>
      <w:marTop w:val="0"/>
      <w:marBottom w:val="0"/>
      <w:divBdr>
        <w:top w:val="none" w:sz="0" w:space="0" w:color="auto"/>
        <w:left w:val="none" w:sz="0" w:space="0" w:color="auto"/>
        <w:bottom w:val="none" w:sz="0" w:space="0" w:color="auto"/>
        <w:right w:val="none" w:sz="0" w:space="0" w:color="auto"/>
      </w:divBdr>
    </w:div>
    <w:div w:id="903561460">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45388074">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8656579">
      <w:bodyDiv w:val="1"/>
      <w:marLeft w:val="0"/>
      <w:marRight w:val="0"/>
      <w:marTop w:val="0"/>
      <w:marBottom w:val="0"/>
      <w:divBdr>
        <w:top w:val="none" w:sz="0" w:space="0" w:color="auto"/>
        <w:left w:val="none" w:sz="0" w:space="0" w:color="auto"/>
        <w:bottom w:val="none" w:sz="0" w:space="0" w:color="auto"/>
        <w:right w:val="none" w:sz="0" w:space="0" w:color="auto"/>
      </w:divBdr>
    </w:div>
    <w:div w:id="1005210948">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30567601">
      <w:bodyDiv w:val="1"/>
      <w:marLeft w:val="0"/>
      <w:marRight w:val="0"/>
      <w:marTop w:val="0"/>
      <w:marBottom w:val="0"/>
      <w:divBdr>
        <w:top w:val="none" w:sz="0" w:space="0" w:color="auto"/>
        <w:left w:val="none" w:sz="0" w:space="0" w:color="auto"/>
        <w:bottom w:val="none" w:sz="0" w:space="0" w:color="auto"/>
        <w:right w:val="none" w:sz="0" w:space="0" w:color="auto"/>
      </w:divBdr>
    </w:div>
    <w:div w:id="1036464449">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90008370">
      <w:bodyDiv w:val="1"/>
      <w:marLeft w:val="0"/>
      <w:marRight w:val="0"/>
      <w:marTop w:val="0"/>
      <w:marBottom w:val="0"/>
      <w:divBdr>
        <w:top w:val="none" w:sz="0" w:space="0" w:color="auto"/>
        <w:left w:val="none" w:sz="0" w:space="0" w:color="auto"/>
        <w:bottom w:val="none" w:sz="0" w:space="0" w:color="auto"/>
        <w:right w:val="none" w:sz="0" w:space="0" w:color="auto"/>
      </w:divBdr>
      <w:divsChild>
        <w:div w:id="340669706">
          <w:marLeft w:val="0"/>
          <w:marRight w:val="0"/>
          <w:marTop w:val="0"/>
          <w:marBottom w:val="0"/>
          <w:divBdr>
            <w:top w:val="none" w:sz="0" w:space="0" w:color="auto"/>
            <w:left w:val="none" w:sz="0" w:space="0" w:color="auto"/>
            <w:bottom w:val="none" w:sz="0" w:space="0" w:color="auto"/>
            <w:right w:val="none" w:sz="0" w:space="0" w:color="auto"/>
          </w:divBdr>
        </w:div>
        <w:div w:id="1147893245">
          <w:marLeft w:val="0"/>
          <w:marRight w:val="0"/>
          <w:marTop w:val="0"/>
          <w:marBottom w:val="0"/>
          <w:divBdr>
            <w:top w:val="none" w:sz="0" w:space="0" w:color="auto"/>
            <w:left w:val="none" w:sz="0" w:space="0" w:color="auto"/>
            <w:bottom w:val="none" w:sz="0" w:space="0" w:color="auto"/>
            <w:right w:val="none" w:sz="0" w:space="0" w:color="auto"/>
          </w:divBdr>
        </w:div>
        <w:div w:id="1338457664">
          <w:marLeft w:val="0"/>
          <w:marRight w:val="0"/>
          <w:marTop w:val="0"/>
          <w:marBottom w:val="0"/>
          <w:divBdr>
            <w:top w:val="none" w:sz="0" w:space="0" w:color="auto"/>
            <w:left w:val="none" w:sz="0" w:space="0" w:color="auto"/>
            <w:bottom w:val="none" w:sz="0" w:space="0" w:color="auto"/>
            <w:right w:val="none" w:sz="0" w:space="0" w:color="auto"/>
          </w:divBdr>
        </w:div>
        <w:div w:id="1686446224">
          <w:marLeft w:val="0"/>
          <w:marRight w:val="0"/>
          <w:marTop w:val="0"/>
          <w:marBottom w:val="0"/>
          <w:divBdr>
            <w:top w:val="none" w:sz="0" w:space="0" w:color="auto"/>
            <w:left w:val="none" w:sz="0" w:space="0" w:color="auto"/>
            <w:bottom w:val="none" w:sz="0" w:space="0" w:color="auto"/>
            <w:right w:val="none" w:sz="0" w:space="0" w:color="auto"/>
          </w:divBdr>
          <w:divsChild>
            <w:div w:id="263850301">
              <w:marLeft w:val="-75"/>
              <w:marRight w:val="0"/>
              <w:marTop w:val="30"/>
              <w:marBottom w:val="30"/>
              <w:divBdr>
                <w:top w:val="none" w:sz="0" w:space="0" w:color="auto"/>
                <w:left w:val="none" w:sz="0" w:space="0" w:color="auto"/>
                <w:bottom w:val="none" w:sz="0" w:space="0" w:color="auto"/>
                <w:right w:val="none" w:sz="0" w:space="0" w:color="auto"/>
              </w:divBdr>
              <w:divsChild>
                <w:div w:id="65032836">
                  <w:marLeft w:val="0"/>
                  <w:marRight w:val="0"/>
                  <w:marTop w:val="0"/>
                  <w:marBottom w:val="0"/>
                  <w:divBdr>
                    <w:top w:val="none" w:sz="0" w:space="0" w:color="auto"/>
                    <w:left w:val="none" w:sz="0" w:space="0" w:color="auto"/>
                    <w:bottom w:val="none" w:sz="0" w:space="0" w:color="auto"/>
                    <w:right w:val="none" w:sz="0" w:space="0" w:color="auto"/>
                  </w:divBdr>
                  <w:divsChild>
                    <w:div w:id="682902790">
                      <w:marLeft w:val="0"/>
                      <w:marRight w:val="0"/>
                      <w:marTop w:val="0"/>
                      <w:marBottom w:val="0"/>
                      <w:divBdr>
                        <w:top w:val="none" w:sz="0" w:space="0" w:color="auto"/>
                        <w:left w:val="none" w:sz="0" w:space="0" w:color="auto"/>
                        <w:bottom w:val="none" w:sz="0" w:space="0" w:color="auto"/>
                        <w:right w:val="none" w:sz="0" w:space="0" w:color="auto"/>
                      </w:divBdr>
                    </w:div>
                  </w:divsChild>
                </w:div>
                <w:div w:id="188496147">
                  <w:marLeft w:val="0"/>
                  <w:marRight w:val="0"/>
                  <w:marTop w:val="0"/>
                  <w:marBottom w:val="0"/>
                  <w:divBdr>
                    <w:top w:val="none" w:sz="0" w:space="0" w:color="auto"/>
                    <w:left w:val="none" w:sz="0" w:space="0" w:color="auto"/>
                    <w:bottom w:val="none" w:sz="0" w:space="0" w:color="auto"/>
                    <w:right w:val="none" w:sz="0" w:space="0" w:color="auto"/>
                  </w:divBdr>
                  <w:divsChild>
                    <w:div w:id="876700372">
                      <w:marLeft w:val="0"/>
                      <w:marRight w:val="0"/>
                      <w:marTop w:val="0"/>
                      <w:marBottom w:val="0"/>
                      <w:divBdr>
                        <w:top w:val="none" w:sz="0" w:space="0" w:color="auto"/>
                        <w:left w:val="none" w:sz="0" w:space="0" w:color="auto"/>
                        <w:bottom w:val="none" w:sz="0" w:space="0" w:color="auto"/>
                        <w:right w:val="none" w:sz="0" w:space="0" w:color="auto"/>
                      </w:divBdr>
                    </w:div>
                  </w:divsChild>
                </w:div>
                <w:div w:id="323512753">
                  <w:marLeft w:val="0"/>
                  <w:marRight w:val="0"/>
                  <w:marTop w:val="0"/>
                  <w:marBottom w:val="0"/>
                  <w:divBdr>
                    <w:top w:val="none" w:sz="0" w:space="0" w:color="auto"/>
                    <w:left w:val="none" w:sz="0" w:space="0" w:color="auto"/>
                    <w:bottom w:val="none" w:sz="0" w:space="0" w:color="auto"/>
                    <w:right w:val="none" w:sz="0" w:space="0" w:color="auto"/>
                  </w:divBdr>
                  <w:divsChild>
                    <w:div w:id="1565020803">
                      <w:marLeft w:val="0"/>
                      <w:marRight w:val="0"/>
                      <w:marTop w:val="0"/>
                      <w:marBottom w:val="0"/>
                      <w:divBdr>
                        <w:top w:val="none" w:sz="0" w:space="0" w:color="auto"/>
                        <w:left w:val="none" w:sz="0" w:space="0" w:color="auto"/>
                        <w:bottom w:val="none" w:sz="0" w:space="0" w:color="auto"/>
                        <w:right w:val="none" w:sz="0" w:space="0" w:color="auto"/>
                      </w:divBdr>
                    </w:div>
                  </w:divsChild>
                </w:div>
                <w:div w:id="338120143">
                  <w:marLeft w:val="0"/>
                  <w:marRight w:val="0"/>
                  <w:marTop w:val="0"/>
                  <w:marBottom w:val="0"/>
                  <w:divBdr>
                    <w:top w:val="none" w:sz="0" w:space="0" w:color="auto"/>
                    <w:left w:val="none" w:sz="0" w:space="0" w:color="auto"/>
                    <w:bottom w:val="none" w:sz="0" w:space="0" w:color="auto"/>
                    <w:right w:val="none" w:sz="0" w:space="0" w:color="auto"/>
                  </w:divBdr>
                  <w:divsChild>
                    <w:div w:id="319313096">
                      <w:marLeft w:val="0"/>
                      <w:marRight w:val="0"/>
                      <w:marTop w:val="0"/>
                      <w:marBottom w:val="0"/>
                      <w:divBdr>
                        <w:top w:val="none" w:sz="0" w:space="0" w:color="auto"/>
                        <w:left w:val="none" w:sz="0" w:space="0" w:color="auto"/>
                        <w:bottom w:val="none" w:sz="0" w:space="0" w:color="auto"/>
                        <w:right w:val="none" w:sz="0" w:space="0" w:color="auto"/>
                      </w:divBdr>
                    </w:div>
                  </w:divsChild>
                </w:div>
                <w:div w:id="587812416">
                  <w:marLeft w:val="0"/>
                  <w:marRight w:val="0"/>
                  <w:marTop w:val="0"/>
                  <w:marBottom w:val="0"/>
                  <w:divBdr>
                    <w:top w:val="none" w:sz="0" w:space="0" w:color="auto"/>
                    <w:left w:val="none" w:sz="0" w:space="0" w:color="auto"/>
                    <w:bottom w:val="none" w:sz="0" w:space="0" w:color="auto"/>
                    <w:right w:val="none" w:sz="0" w:space="0" w:color="auto"/>
                  </w:divBdr>
                  <w:divsChild>
                    <w:div w:id="577137312">
                      <w:marLeft w:val="0"/>
                      <w:marRight w:val="0"/>
                      <w:marTop w:val="0"/>
                      <w:marBottom w:val="0"/>
                      <w:divBdr>
                        <w:top w:val="none" w:sz="0" w:space="0" w:color="auto"/>
                        <w:left w:val="none" w:sz="0" w:space="0" w:color="auto"/>
                        <w:bottom w:val="none" w:sz="0" w:space="0" w:color="auto"/>
                        <w:right w:val="none" w:sz="0" w:space="0" w:color="auto"/>
                      </w:divBdr>
                    </w:div>
                  </w:divsChild>
                </w:div>
                <w:div w:id="613441073">
                  <w:marLeft w:val="0"/>
                  <w:marRight w:val="0"/>
                  <w:marTop w:val="0"/>
                  <w:marBottom w:val="0"/>
                  <w:divBdr>
                    <w:top w:val="none" w:sz="0" w:space="0" w:color="auto"/>
                    <w:left w:val="none" w:sz="0" w:space="0" w:color="auto"/>
                    <w:bottom w:val="none" w:sz="0" w:space="0" w:color="auto"/>
                    <w:right w:val="none" w:sz="0" w:space="0" w:color="auto"/>
                  </w:divBdr>
                  <w:divsChild>
                    <w:div w:id="1318922774">
                      <w:marLeft w:val="0"/>
                      <w:marRight w:val="0"/>
                      <w:marTop w:val="0"/>
                      <w:marBottom w:val="0"/>
                      <w:divBdr>
                        <w:top w:val="none" w:sz="0" w:space="0" w:color="auto"/>
                        <w:left w:val="none" w:sz="0" w:space="0" w:color="auto"/>
                        <w:bottom w:val="none" w:sz="0" w:space="0" w:color="auto"/>
                        <w:right w:val="none" w:sz="0" w:space="0" w:color="auto"/>
                      </w:divBdr>
                    </w:div>
                  </w:divsChild>
                </w:div>
                <w:div w:id="642467683">
                  <w:marLeft w:val="0"/>
                  <w:marRight w:val="0"/>
                  <w:marTop w:val="0"/>
                  <w:marBottom w:val="0"/>
                  <w:divBdr>
                    <w:top w:val="none" w:sz="0" w:space="0" w:color="auto"/>
                    <w:left w:val="none" w:sz="0" w:space="0" w:color="auto"/>
                    <w:bottom w:val="none" w:sz="0" w:space="0" w:color="auto"/>
                    <w:right w:val="none" w:sz="0" w:space="0" w:color="auto"/>
                  </w:divBdr>
                  <w:divsChild>
                    <w:div w:id="666400474">
                      <w:marLeft w:val="0"/>
                      <w:marRight w:val="0"/>
                      <w:marTop w:val="0"/>
                      <w:marBottom w:val="0"/>
                      <w:divBdr>
                        <w:top w:val="none" w:sz="0" w:space="0" w:color="auto"/>
                        <w:left w:val="none" w:sz="0" w:space="0" w:color="auto"/>
                        <w:bottom w:val="none" w:sz="0" w:space="0" w:color="auto"/>
                        <w:right w:val="none" w:sz="0" w:space="0" w:color="auto"/>
                      </w:divBdr>
                    </w:div>
                  </w:divsChild>
                </w:div>
                <w:div w:id="938413778">
                  <w:marLeft w:val="0"/>
                  <w:marRight w:val="0"/>
                  <w:marTop w:val="0"/>
                  <w:marBottom w:val="0"/>
                  <w:divBdr>
                    <w:top w:val="none" w:sz="0" w:space="0" w:color="auto"/>
                    <w:left w:val="none" w:sz="0" w:space="0" w:color="auto"/>
                    <w:bottom w:val="none" w:sz="0" w:space="0" w:color="auto"/>
                    <w:right w:val="none" w:sz="0" w:space="0" w:color="auto"/>
                  </w:divBdr>
                  <w:divsChild>
                    <w:div w:id="869799258">
                      <w:marLeft w:val="0"/>
                      <w:marRight w:val="0"/>
                      <w:marTop w:val="0"/>
                      <w:marBottom w:val="0"/>
                      <w:divBdr>
                        <w:top w:val="none" w:sz="0" w:space="0" w:color="auto"/>
                        <w:left w:val="none" w:sz="0" w:space="0" w:color="auto"/>
                        <w:bottom w:val="none" w:sz="0" w:space="0" w:color="auto"/>
                        <w:right w:val="none" w:sz="0" w:space="0" w:color="auto"/>
                      </w:divBdr>
                    </w:div>
                  </w:divsChild>
                </w:div>
                <w:div w:id="1002666647">
                  <w:marLeft w:val="0"/>
                  <w:marRight w:val="0"/>
                  <w:marTop w:val="0"/>
                  <w:marBottom w:val="0"/>
                  <w:divBdr>
                    <w:top w:val="none" w:sz="0" w:space="0" w:color="auto"/>
                    <w:left w:val="none" w:sz="0" w:space="0" w:color="auto"/>
                    <w:bottom w:val="none" w:sz="0" w:space="0" w:color="auto"/>
                    <w:right w:val="none" w:sz="0" w:space="0" w:color="auto"/>
                  </w:divBdr>
                  <w:divsChild>
                    <w:div w:id="1457791804">
                      <w:marLeft w:val="0"/>
                      <w:marRight w:val="0"/>
                      <w:marTop w:val="0"/>
                      <w:marBottom w:val="0"/>
                      <w:divBdr>
                        <w:top w:val="none" w:sz="0" w:space="0" w:color="auto"/>
                        <w:left w:val="none" w:sz="0" w:space="0" w:color="auto"/>
                        <w:bottom w:val="none" w:sz="0" w:space="0" w:color="auto"/>
                        <w:right w:val="none" w:sz="0" w:space="0" w:color="auto"/>
                      </w:divBdr>
                    </w:div>
                  </w:divsChild>
                </w:div>
                <w:div w:id="1006984289">
                  <w:marLeft w:val="0"/>
                  <w:marRight w:val="0"/>
                  <w:marTop w:val="0"/>
                  <w:marBottom w:val="0"/>
                  <w:divBdr>
                    <w:top w:val="none" w:sz="0" w:space="0" w:color="auto"/>
                    <w:left w:val="none" w:sz="0" w:space="0" w:color="auto"/>
                    <w:bottom w:val="none" w:sz="0" w:space="0" w:color="auto"/>
                    <w:right w:val="none" w:sz="0" w:space="0" w:color="auto"/>
                  </w:divBdr>
                  <w:divsChild>
                    <w:div w:id="426267735">
                      <w:marLeft w:val="0"/>
                      <w:marRight w:val="0"/>
                      <w:marTop w:val="0"/>
                      <w:marBottom w:val="0"/>
                      <w:divBdr>
                        <w:top w:val="none" w:sz="0" w:space="0" w:color="auto"/>
                        <w:left w:val="none" w:sz="0" w:space="0" w:color="auto"/>
                        <w:bottom w:val="none" w:sz="0" w:space="0" w:color="auto"/>
                        <w:right w:val="none" w:sz="0" w:space="0" w:color="auto"/>
                      </w:divBdr>
                    </w:div>
                  </w:divsChild>
                </w:div>
                <w:div w:id="1033726859">
                  <w:marLeft w:val="0"/>
                  <w:marRight w:val="0"/>
                  <w:marTop w:val="0"/>
                  <w:marBottom w:val="0"/>
                  <w:divBdr>
                    <w:top w:val="none" w:sz="0" w:space="0" w:color="auto"/>
                    <w:left w:val="none" w:sz="0" w:space="0" w:color="auto"/>
                    <w:bottom w:val="none" w:sz="0" w:space="0" w:color="auto"/>
                    <w:right w:val="none" w:sz="0" w:space="0" w:color="auto"/>
                  </w:divBdr>
                  <w:divsChild>
                    <w:div w:id="334848559">
                      <w:marLeft w:val="0"/>
                      <w:marRight w:val="0"/>
                      <w:marTop w:val="0"/>
                      <w:marBottom w:val="0"/>
                      <w:divBdr>
                        <w:top w:val="none" w:sz="0" w:space="0" w:color="auto"/>
                        <w:left w:val="none" w:sz="0" w:space="0" w:color="auto"/>
                        <w:bottom w:val="none" w:sz="0" w:space="0" w:color="auto"/>
                        <w:right w:val="none" w:sz="0" w:space="0" w:color="auto"/>
                      </w:divBdr>
                    </w:div>
                  </w:divsChild>
                </w:div>
                <w:div w:id="1167788651">
                  <w:marLeft w:val="0"/>
                  <w:marRight w:val="0"/>
                  <w:marTop w:val="0"/>
                  <w:marBottom w:val="0"/>
                  <w:divBdr>
                    <w:top w:val="none" w:sz="0" w:space="0" w:color="auto"/>
                    <w:left w:val="none" w:sz="0" w:space="0" w:color="auto"/>
                    <w:bottom w:val="none" w:sz="0" w:space="0" w:color="auto"/>
                    <w:right w:val="none" w:sz="0" w:space="0" w:color="auto"/>
                  </w:divBdr>
                  <w:divsChild>
                    <w:div w:id="1246064786">
                      <w:marLeft w:val="0"/>
                      <w:marRight w:val="0"/>
                      <w:marTop w:val="0"/>
                      <w:marBottom w:val="0"/>
                      <w:divBdr>
                        <w:top w:val="none" w:sz="0" w:space="0" w:color="auto"/>
                        <w:left w:val="none" w:sz="0" w:space="0" w:color="auto"/>
                        <w:bottom w:val="none" w:sz="0" w:space="0" w:color="auto"/>
                        <w:right w:val="none" w:sz="0" w:space="0" w:color="auto"/>
                      </w:divBdr>
                    </w:div>
                  </w:divsChild>
                </w:div>
                <w:div w:id="1206211183">
                  <w:marLeft w:val="0"/>
                  <w:marRight w:val="0"/>
                  <w:marTop w:val="0"/>
                  <w:marBottom w:val="0"/>
                  <w:divBdr>
                    <w:top w:val="none" w:sz="0" w:space="0" w:color="auto"/>
                    <w:left w:val="none" w:sz="0" w:space="0" w:color="auto"/>
                    <w:bottom w:val="none" w:sz="0" w:space="0" w:color="auto"/>
                    <w:right w:val="none" w:sz="0" w:space="0" w:color="auto"/>
                  </w:divBdr>
                  <w:divsChild>
                    <w:div w:id="1218080654">
                      <w:marLeft w:val="0"/>
                      <w:marRight w:val="0"/>
                      <w:marTop w:val="0"/>
                      <w:marBottom w:val="0"/>
                      <w:divBdr>
                        <w:top w:val="none" w:sz="0" w:space="0" w:color="auto"/>
                        <w:left w:val="none" w:sz="0" w:space="0" w:color="auto"/>
                        <w:bottom w:val="none" w:sz="0" w:space="0" w:color="auto"/>
                        <w:right w:val="none" w:sz="0" w:space="0" w:color="auto"/>
                      </w:divBdr>
                    </w:div>
                  </w:divsChild>
                </w:div>
                <w:div w:id="1285648975">
                  <w:marLeft w:val="0"/>
                  <w:marRight w:val="0"/>
                  <w:marTop w:val="0"/>
                  <w:marBottom w:val="0"/>
                  <w:divBdr>
                    <w:top w:val="none" w:sz="0" w:space="0" w:color="auto"/>
                    <w:left w:val="none" w:sz="0" w:space="0" w:color="auto"/>
                    <w:bottom w:val="none" w:sz="0" w:space="0" w:color="auto"/>
                    <w:right w:val="none" w:sz="0" w:space="0" w:color="auto"/>
                  </w:divBdr>
                  <w:divsChild>
                    <w:div w:id="99499471">
                      <w:marLeft w:val="0"/>
                      <w:marRight w:val="0"/>
                      <w:marTop w:val="0"/>
                      <w:marBottom w:val="0"/>
                      <w:divBdr>
                        <w:top w:val="none" w:sz="0" w:space="0" w:color="auto"/>
                        <w:left w:val="none" w:sz="0" w:space="0" w:color="auto"/>
                        <w:bottom w:val="none" w:sz="0" w:space="0" w:color="auto"/>
                        <w:right w:val="none" w:sz="0" w:space="0" w:color="auto"/>
                      </w:divBdr>
                    </w:div>
                  </w:divsChild>
                </w:div>
                <w:div w:id="1306548591">
                  <w:marLeft w:val="0"/>
                  <w:marRight w:val="0"/>
                  <w:marTop w:val="0"/>
                  <w:marBottom w:val="0"/>
                  <w:divBdr>
                    <w:top w:val="none" w:sz="0" w:space="0" w:color="auto"/>
                    <w:left w:val="none" w:sz="0" w:space="0" w:color="auto"/>
                    <w:bottom w:val="none" w:sz="0" w:space="0" w:color="auto"/>
                    <w:right w:val="none" w:sz="0" w:space="0" w:color="auto"/>
                  </w:divBdr>
                  <w:divsChild>
                    <w:div w:id="740300253">
                      <w:marLeft w:val="0"/>
                      <w:marRight w:val="0"/>
                      <w:marTop w:val="0"/>
                      <w:marBottom w:val="0"/>
                      <w:divBdr>
                        <w:top w:val="none" w:sz="0" w:space="0" w:color="auto"/>
                        <w:left w:val="none" w:sz="0" w:space="0" w:color="auto"/>
                        <w:bottom w:val="none" w:sz="0" w:space="0" w:color="auto"/>
                        <w:right w:val="none" w:sz="0" w:space="0" w:color="auto"/>
                      </w:divBdr>
                    </w:div>
                  </w:divsChild>
                </w:div>
                <w:div w:id="1471631740">
                  <w:marLeft w:val="0"/>
                  <w:marRight w:val="0"/>
                  <w:marTop w:val="0"/>
                  <w:marBottom w:val="0"/>
                  <w:divBdr>
                    <w:top w:val="none" w:sz="0" w:space="0" w:color="auto"/>
                    <w:left w:val="none" w:sz="0" w:space="0" w:color="auto"/>
                    <w:bottom w:val="none" w:sz="0" w:space="0" w:color="auto"/>
                    <w:right w:val="none" w:sz="0" w:space="0" w:color="auto"/>
                  </w:divBdr>
                  <w:divsChild>
                    <w:div w:id="1099520999">
                      <w:marLeft w:val="0"/>
                      <w:marRight w:val="0"/>
                      <w:marTop w:val="0"/>
                      <w:marBottom w:val="0"/>
                      <w:divBdr>
                        <w:top w:val="none" w:sz="0" w:space="0" w:color="auto"/>
                        <w:left w:val="none" w:sz="0" w:space="0" w:color="auto"/>
                        <w:bottom w:val="none" w:sz="0" w:space="0" w:color="auto"/>
                        <w:right w:val="none" w:sz="0" w:space="0" w:color="auto"/>
                      </w:divBdr>
                    </w:div>
                  </w:divsChild>
                </w:div>
                <w:div w:id="1672247376">
                  <w:marLeft w:val="0"/>
                  <w:marRight w:val="0"/>
                  <w:marTop w:val="0"/>
                  <w:marBottom w:val="0"/>
                  <w:divBdr>
                    <w:top w:val="none" w:sz="0" w:space="0" w:color="auto"/>
                    <w:left w:val="none" w:sz="0" w:space="0" w:color="auto"/>
                    <w:bottom w:val="none" w:sz="0" w:space="0" w:color="auto"/>
                    <w:right w:val="none" w:sz="0" w:space="0" w:color="auto"/>
                  </w:divBdr>
                  <w:divsChild>
                    <w:div w:id="274866534">
                      <w:marLeft w:val="0"/>
                      <w:marRight w:val="0"/>
                      <w:marTop w:val="0"/>
                      <w:marBottom w:val="0"/>
                      <w:divBdr>
                        <w:top w:val="none" w:sz="0" w:space="0" w:color="auto"/>
                        <w:left w:val="none" w:sz="0" w:space="0" w:color="auto"/>
                        <w:bottom w:val="none" w:sz="0" w:space="0" w:color="auto"/>
                        <w:right w:val="none" w:sz="0" w:space="0" w:color="auto"/>
                      </w:divBdr>
                    </w:div>
                  </w:divsChild>
                </w:div>
                <w:div w:id="1943879483">
                  <w:marLeft w:val="0"/>
                  <w:marRight w:val="0"/>
                  <w:marTop w:val="0"/>
                  <w:marBottom w:val="0"/>
                  <w:divBdr>
                    <w:top w:val="none" w:sz="0" w:space="0" w:color="auto"/>
                    <w:left w:val="none" w:sz="0" w:space="0" w:color="auto"/>
                    <w:bottom w:val="none" w:sz="0" w:space="0" w:color="auto"/>
                    <w:right w:val="none" w:sz="0" w:space="0" w:color="auto"/>
                  </w:divBdr>
                  <w:divsChild>
                    <w:div w:id="1077821487">
                      <w:marLeft w:val="0"/>
                      <w:marRight w:val="0"/>
                      <w:marTop w:val="0"/>
                      <w:marBottom w:val="0"/>
                      <w:divBdr>
                        <w:top w:val="none" w:sz="0" w:space="0" w:color="auto"/>
                        <w:left w:val="none" w:sz="0" w:space="0" w:color="auto"/>
                        <w:bottom w:val="none" w:sz="0" w:space="0" w:color="auto"/>
                        <w:right w:val="none" w:sz="0" w:space="0" w:color="auto"/>
                      </w:divBdr>
                    </w:div>
                    <w:div w:id="2052458875">
                      <w:marLeft w:val="0"/>
                      <w:marRight w:val="0"/>
                      <w:marTop w:val="0"/>
                      <w:marBottom w:val="0"/>
                      <w:divBdr>
                        <w:top w:val="none" w:sz="0" w:space="0" w:color="auto"/>
                        <w:left w:val="none" w:sz="0" w:space="0" w:color="auto"/>
                        <w:bottom w:val="none" w:sz="0" w:space="0" w:color="auto"/>
                        <w:right w:val="none" w:sz="0" w:space="0" w:color="auto"/>
                      </w:divBdr>
                    </w:div>
                  </w:divsChild>
                </w:div>
                <w:div w:id="2034842317">
                  <w:marLeft w:val="0"/>
                  <w:marRight w:val="0"/>
                  <w:marTop w:val="0"/>
                  <w:marBottom w:val="0"/>
                  <w:divBdr>
                    <w:top w:val="none" w:sz="0" w:space="0" w:color="auto"/>
                    <w:left w:val="none" w:sz="0" w:space="0" w:color="auto"/>
                    <w:bottom w:val="none" w:sz="0" w:space="0" w:color="auto"/>
                    <w:right w:val="none" w:sz="0" w:space="0" w:color="auto"/>
                  </w:divBdr>
                  <w:divsChild>
                    <w:div w:id="220988876">
                      <w:marLeft w:val="0"/>
                      <w:marRight w:val="0"/>
                      <w:marTop w:val="0"/>
                      <w:marBottom w:val="0"/>
                      <w:divBdr>
                        <w:top w:val="none" w:sz="0" w:space="0" w:color="auto"/>
                        <w:left w:val="none" w:sz="0" w:space="0" w:color="auto"/>
                        <w:bottom w:val="none" w:sz="0" w:space="0" w:color="auto"/>
                        <w:right w:val="none" w:sz="0" w:space="0" w:color="auto"/>
                      </w:divBdr>
                    </w:div>
                  </w:divsChild>
                </w:div>
                <w:div w:id="2039313622">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
                  </w:divsChild>
                </w:div>
                <w:div w:id="2088917452">
                  <w:marLeft w:val="0"/>
                  <w:marRight w:val="0"/>
                  <w:marTop w:val="0"/>
                  <w:marBottom w:val="0"/>
                  <w:divBdr>
                    <w:top w:val="none" w:sz="0" w:space="0" w:color="auto"/>
                    <w:left w:val="none" w:sz="0" w:space="0" w:color="auto"/>
                    <w:bottom w:val="none" w:sz="0" w:space="0" w:color="auto"/>
                    <w:right w:val="none" w:sz="0" w:space="0" w:color="auto"/>
                  </w:divBdr>
                  <w:divsChild>
                    <w:div w:id="1808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5773">
          <w:marLeft w:val="0"/>
          <w:marRight w:val="0"/>
          <w:marTop w:val="0"/>
          <w:marBottom w:val="0"/>
          <w:divBdr>
            <w:top w:val="none" w:sz="0" w:space="0" w:color="auto"/>
            <w:left w:val="none" w:sz="0" w:space="0" w:color="auto"/>
            <w:bottom w:val="none" w:sz="0" w:space="0" w:color="auto"/>
            <w:right w:val="none" w:sz="0" w:space="0" w:color="auto"/>
          </w:divBdr>
        </w:div>
      </w:divsChild>
    </w:div>
    <w:div w:id="111024805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8353717">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0554849">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58126716">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0796373">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1294869">
      <w:bodyDiv w:val="1"/>
      <w:marLeft w:val="0"/>
      <w:marRight w:val="0"/>
      <w:marTop w:val="0"/>
      <w:marBottom w:val="0"/>
      <w:divBdr>
        <w:top w:val="none" w:sz="0" w:space="0" w:color="auto"/>
        <w:left w:val="none" w:sz="0" w:space="0" w:color="auto"/>
        <w:bottom w:val="none" w:sz="0" w:space="0" w:color="auto"/>
        <w:right w:val="none" w:sz="0" w:space="0" w:color="auto"/>
      </w:divBdr>
    </w:div>
    <w:div w:id="1381630656">
      <w:bodyDiv w:val="1"/>
      <w:marLeft w:val="0"/>
      <w:marRight w:val="0"/>
      <w:marTop w:val="0"/>
      <w:marBottom w:val="0"/>
      <w:divBdr>
        <w:top w:val="none" w:sz="0" w:space="0" w:color="auto"/>
        <w:left w:val="none" w:sz="0" w:space="0" w:color="auto"/>
        <w:bottom w:val="none" w:sz="0" w:space="0" w:color="auto"/>
        <w:right w:val="none" w:sz="0" w:space="0" w:color="auto"/>
      </w:divBdr>
    </w:div>
    <w:div w:id="1387148314">
      <w:bodyDiv w:val="1"/>
      <w:marLeft w:val="0"/>
      <w:marRight w:val="0"/>
      <w:marTop w:val="0"/>
      <w:marBottom w:val="0"/>
      <w:divBdr>
        <w:top w:val="none" w:sz="0" w:space="0" w:color="auto"/>
        <w:left w:val="none" w:sz="0" w:space="0" w:color="auto"/>
        <w:bottom w:val="none" w:sz="0" w:space="0" w:color="auto"/>
        <w:right w:val="none" w:sz="0" w:space="0" w:color="auto"/>
      </w:divBdr>
    </w:div>
    <w:div w:id="1393844482">
      <w:bodyDiv w:val="1"/>
      <w:marLeft w:val="0"/>
      <w:marRight w:val="0"/>
      <w:marTop w:val="0"/>
      <w:marBottom w:val="0"/>
      <w:divBdr>
        <w:top w:val="none" w:sz="0" w:space="0" w:color="auto"/>
        <w:left w:val="none" w:sz="0" w:space="0" w:color="auto"/>
        <w:bottom w:val="none" w:sz="0" w:space="0" w:color="auto"/>
        <w:right w:val="none" w:sz="0" w:space="0" w:color="auto"/>
      </w:divBdr>
    </w:div>
    <w:div w:id="13958543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19711950">
      <w:bodyDiv w:val="1"/>
      <w:marLeft w:val="0"/>
      <w:marRight w:val="0"/>
      <w:marTop w:val="0"/>
      <w:marBottom w:val="0"/>
      <w:divBdr>
        <w:top w:val="none" w:sz="0" w:space="0" w:color="auto"/>
        <w:left w:val="none" w:sz="0" w:space="0" w:color="auto"/>
        <w:bottom w:val="none" w:sz="0" w:space="0" w:color="auto"/>
        <w:right w:val="none" w:sz="0" w:space="0" w:color="auto"/>
      </w:divBdr>
    </w:div>
    <w:div w:id="1427576908">
      <w:bodyDiv w:val="1"/>
      <w:marLeft w:val="0"/>
      <w:marRight w:val="0"/>
      <w:marTop w:val="0"/>
      <w:marBottom w:val="0"/>
      <w:divBdr>
        <w:top w:val="none" w:sz="0" w:space="0" w:color="auto"/>
        <w:left w:val="none" w:sz="0" w:space="0" w:color="auto"/>
        <w:bottom w:val="none" w:sz="0" w:space="0" w:color="auto"/>
        <w:right w:val="none" w:sz="0" w:space="0" w:color="auto"/>
      </w:divBdr>
      <w:divsChild>
        <w:div w:id="575361500">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sChild>
            <w:div w:id="1228757799">
              <w:marLeft w:val="-75"/>
              <w:marRight w:val="0"/>
              <w:marTop w:val="30"/>
              <w:marBottom w:val="30"/>
              <w:divBdr>
                <w:top w:val="none" w:sz="0" w:space="0" w:color="auto"/>
                <w:left w:val="none" w:sz="0" w:space="0" w:color="auto"/>
                <w:bottom w:val="none" w:sz="0" w:space="0" w:color="auto"/>
                <w:right w:val="none" w:sz="0" w:space="0" w:color="auto"/>
              </w:divBdr>
              <w:divsChild>
                <w:div w:id="121769176">
                  <w:marLeft w:val="0"/>
                  <w:marRight w:val="0"/>
                  <w:marTop w:val="0"/>
                  <w:marBottom w:val="0"/>
                  <w:divBdr>
                    <w:top w:val="none" w:sz="0" w:space="0" w:color="auto"/>
                    <w:left w:val="none" w:sz="0" w:space="0" w:color="auto"/>
                    <w:bottom w:val="none" w:sz="0" w:space="0" w:color="auto"/>
                    <w:right w:val="none" w:sz="0" w:space="0" w:color="auto"/>
                  </w:divBdr>
                  <w:divsChild>
                    <w:div w:id="1844003087">
                      <w:marLeft w:val="0"/>
                      <w:marRight w:val="0"/>
                      <w:marTop w:val="0"/>
                      <w:marBottom w:val="0"/>
                      <w:divBdr>
                        <w:top w:val="none" w:sz="0" w:space="0" w:color="auto"/>
                        <w:left w:val="none" w:sz="0" w:space="0" w:color="auto"/>
                        <w:bottom w:val="none" w:sz="0" w:space="0" w:color="auto"/>
                        <w:right w:val="none" w:sz="0" w:space="0" w:color="auto"/>
                      </w:divBdr>
                    </w:div>
                  </w:divsChild>
                </w:div>
                <w:div w:id="123736582">
                  <w:marLeft w:val="0"/>
                  <w:marRight w:val="0"/>
                  <w:marTop w:val="0"/>
                  <w:marBottom w:val="0"/>
                  <w:divBdr>
                    <w:top w:val="none" w:sz="0" w:space="0" w:color="auto"/>
                    <w:left w:val="none" w:sz="0" w:space="0" w:color="auto"/>
                    <w:bottom w:val="none" w:sz="0" w:space="0" w:color="auto"/>
                    <w:right w:val="none" w:sz="0" w:space="0" w:color="auto"/>
                  </w:divBdr>
                  <w:divsChild>
                    <w:div w:id="1528444074">
                      <w:marLeft w:val="0"/>
                      <w:marRight w:val="0"/>
                      <w:marTop w:val="0"/>
                      <w:marBottom w:val="0"/>
                      <w:divBdr>
                        <w:top w:val="none" w:sz="0" w:space="0" w:color="auto"/>
                        <w:left w:val="none" w:sz="0" w:space="0" w:color="auto"/>
                        <w:bottom w:val="none" w:sz="0" w:space="0" w:color="auto"/>
                        <w:right w:val="none" w:sz="0" w:space="0" w:color="auto"/>
                      </w:divBdr>
                    </w:div>
                  </w:divsChild>
                </w:div>
                <w:div w:id="134689872">
                  <w:marLeft w:val="0"/>
                  <w:marRight w:val="0"/>
                  <w:marTop w:val="0"/>
                  <w:marBottom w:val="0"/>
                  <w:divBdr>
                    <w:top w:val="none" w:sz="0" w:space="0" w:color="auto"/>
                    <w:left w:val="none" w:sz="0" w:space="0" w:color="auto"/>
                    <w:bottom w:val="none" w:sz="0" w:space="0" w:color="auto"/>
                    <w:right w:val="none" w:sz="0" w:space="0" w:color="auto"/>
                  </w:divBdr>
                  <w:divsChild>
                    <w:div w:id="462385020">
                      <w:marLeft w:val="0"/>
                      <w:marRight w:val="0"/>
                      <w:marTop w:val="0"/>
                      <w:marBottom w:val="0"/>
                      <w:divBdr>
                        <w:top w:val="none" w:sz="0" w:space="0" w:color="auto"/>
                        <w:left w:val="none" w:sz="0" w:space="0" w:color="auto"/>
                        <w:bottom w:val="none" w:sz="0" w:space="0" w:color="auto"/>
                        <w:right w:val="none" w:sz="0" w:space="0" w:color="auto"/>
                      </w:divBdr>
                    </w:div>
                  </w:divsChild>
                </w:div>
                <w:div w:id="154341557">
                  <w:marLeft w:val="0"/>
                  <w:marRight w:val="0"/>
                  <w:marTop w:val="0"/>
                  <w:marBottom w:val="0"/>
                  <w:divBdr>
                    <w:top w:val="none" w:sz="0" w:space="0" w:color="auto"/>
                    <w:left w:val="none" w:sz="0" w:space="0" w:color="auto"/>
                    <w:bottom w:val="none" w:sz="0" w:space="0" w:color="auto"/>
                    <w:right w:val="none" w:sz="0" w:space="0" w:color="auto"/>
                  </w:divBdr>
                  <w:divsChild>
                    <w:div w:id="1327243383">
                      <w:marLeft w:val="0"/>
                      <w:marRight w:val="0"/>
                      <w:marTop w:val="0"/>
                      <w:marBottom w:val="0"/>
                      <w:divBdr>
                        <w:top w:val="none" w:sz="0" w:space="0" w:color="auto"/>
                        <w:left w:val="none" w:sz="0" w:space="0" w:color="auto"/>
                        <w:bottom w:val="none" w:sz="0" w:space="0" w:color="auto"/>
                        <w:right w:val="none" w:sz="0" w:space="0" w:color="auto"/>
                      </w:divBdr>
                    </w:div>
                  </w:divsChild>
                </w:div>
                <w:div w:id="154876854">
                  <w:marLeft w:val="0"/>
                  <w:marRight w:val="0"/>
                  <w:marTop w:val="0"/>
                  <w:marBottom w:val="0"/>
                  <w:divBdr>
                    <w:top w:val="none" w:sz="0" w:space="0" w:color="auto"/>
                    <w:left w:val="none" w:sz="0" w:space="0" w:color="auto"/>
                    <w:bottom w:val="none" w:sz="0" w:space="0" w:color="auto"/>
                    <w:right w:val="none" w:sz="0" w:space="0" w:color="auto"/>
                  </w:divBdr>
                  <w:divsChild>
                    <w:div w:id="354114737">
                      <w:marLeft w:val="0"/>
                      <w:marRight w:val="0"/>
                      <w:marTop w:val="0"/>
                      <w:marBottom w:val="0"/>
                      <w:divBdr>
                        <w:top w:val="none" w:sz="0" w:space="0" w:color="auto"/>
                        <w:left w:val="none" w:sz="0" w:space="0" w:color="auto"/>
                        <w:bottom w:val="none" w:sz="0" w:space="0" w:color="auto"/>
                        <w:right w:val="none" w:sz="0" w:space="0" w:color="auto"/>
                      </w:divBdr>
                    </w:div>
                  </w:divsChild>
                </w:div>
                <w:div w:id="180583444">
                  <w:marLeft w:val="0"/>
                  <w:marRight w:val="0"/>
                  <w:marTop w:val="0"/>
                  <w:marBottom w:val="0"/>
                  <w:divBdr>
                    <w:top w:val="none" w:sz="0" w:space="0" w:color="auto"/>
                    <w:left w:val="none" w:sz="0" w:space="0" w:color="auto"/>
                    <w:bottom w:val="none" w:sz="0" w:space="0" w:color="auto"/>
                    <w:right w:val="none" w:sz="0" w:space="0" w:color="auto"/>
                  </w:divBdr>
                  <w:divsChild>
                    <w:div w:id="544951158">
                      <w:marLeft w:val="0"/>
                      <w:marRight w:val="0"/>
                      <w:marTop w:val="0"/>
                      <w:marBottom w:val="0"/>
                      <w:divBdr>
                        <w:top w:val="none" w:sz="0" w:space="0" w:color="auto"/>
                        <w:left w:val="none" w:sz="0" w:space="0" w:color="auto"/>
                        <w:bottom w:val="none" w:sz="0" w:space="0" w:color="auto"/>
                        <w:right w:val="none" w:sz="0" w:space="0" w:color="auto"/>
                      </w:divBdr>
                    </w:div>
                  </w:divsChild>
                </w:div>
                <w:div w:id="195238052">
                  <w:marLeft w:val="0"/>
                  <w:marRight w:val="0"/>
                  <w:marTop w:val="0"/>
                  <w:marBottom w:val="0"/>
                  <w:divBdr>
                    <w:top w:val="none" w:sz="0" w:space="0" w:color="auto"/>
                    <w:left w:val="none" w:sz="0" w:space="0" w:color="auto"/>
                    <w:bottom w:val="none" w:sz="0" w:space="0" w:color="auto"/>
                    <w:right w:val="none" w:sz="0" w:space="0" w:color="auto"/>
                  </w:divBdr>
                  <w:divsChild>
                    <w:div w:id="2111849197">
                      <w:marLeft w:val="0"/>
                      <w:marRight w:val="0"/>
                      <w:marTop w:val="0"/>
                      <w:marBottom w:val="0"/>
                      <w:divBdr>
                        <w:top w:val="none" w:sz="0" w:space="0" w:color="auto"/>
                        <w:left w:val="none" w:sz="0" w:space="0" w:color="auto"/>
                        <w:bottom w:val="none" w:sz="0" w:space="0" w:color="auto"/>
                        <w:right w:val="none" w:sz="0" w:space="0" w:color="auto"/>
                      </w:divBdr>
                    </w:div>
                  </w:divsChild>
                </w:div>
                <w:div w:id="323290283">
                  <w:marLeft w:val="0"/>
                  <w:marRight w:val="0"/>
                  <w:marTop w:val="0"/>
                  <w:marBottom w:val="0"/>
                  <w:divBdr>
                    <w:top w:val="none" w:sz="0" w:space="0" w:color="auto"/>
                    <w:left w:val="none" w:sz="0" w:space="0" w:color="auto"/>
                    <w:bottom w:val="none" w:sz="0" w:space="0" w:color="auto"/>
                    <w:right w:val="none" w:sz="0" w:space="0" w:color="auto"/>
                  </w:divBdr>
                  <w:divsChild>
                    <w:div w:id="1526166290">
                      <w:marLeft w:val="0"/>
                      <w:marRight w:val="0"/>
                      <w:marTop w:val="0"/>
                      <w:marBottom w:val="0"/>
                      <w:divBdr>
                        <w:top w:val="none" w:sz="0" w:space="0" w:color="auto"/>
                        <w:left w:val="none" w:sz="0" w:space="0" w:color="auto"/>
                        <w:bottom w:val="none" w:sz="0" w:space="0" w:color="auto"/>
                        <w:right w:val="none" w:sz="0" w:space="0" w:color="auto"/>
                      </w:divBdr>
                    </w:div>
                  </w:divsChild>
                </w:div>
                <w:div w:id="412746253">
                  <w:marLeft w:val="0"/>
                  <w:marRight w:val="0"/>
                  <w:marTop w:val="0"/>
                  <w:marBottom w:val="0"/>
                  <w:divBdr>
                    <w:top w:val="none" w:sz="0" w:space="0" w:color="auto"/>
                    <w:left w:val="none" w:sz="0" w:space="0" w:color="auto"/>
                    <w:bottom w:val="none" w:sz="0" w:space="0" w:color="auto"/>
                    <w:right w:val="none" w:sz="0" w:space="0" w:color="auto"/>
                  </w:divBdr>
                  <w:divsChild>
                    <w:div w:id="1697584237">
                      <w:marLeft w:val="0"/>
                      <w:marRight w:val="0"/>
                      <w:marTop w:val="0"/>
                      <w:marBottom w:val="0"/>
                      <w:divBdr>
                        <w:top w:val="none" w:sz="0" w:space="0" w:color="auto"/>
                        <w:left w:val="none" w:sz="0" w:space="0" w:color="auto"/>
                        <w:bottom w:val="none" w:sz="0" w:space="0" w:color="auto"/>
                        <w:right w:val="none" w:sz="0" w:space="0" w:color="auto"/>
                      </w:divBdr>
                    </w:div>
                  </w:divsChild>
                </w:div>
                <w:div w:id="439034782">
                  <w:marLeft w:val="0"/>
                  <w:marRight w:val="0"/>
                  <w:marTop w:val="0"/>
                  <w:marBottom w:val="0"/>
                  <w:divBdr>
                    <w:top w:val="none" w:sz="0" w:space="0" w:color="auto"/>
                    <w:left w:val="none" w:sz="0" w:space="0" w:color="auto"/>
                    <w:bottom w:val="none" w:sz="0" w:space="0" w:color="auto"/>
                    <w:right w:val="none" w:sz="0" w:space="0" w:color="auto"/>
                  </w:divBdr>
                  <w:divsChild>
                    <w:div w:id="1901165110">
                      <w:marLeft w:val="0"/>
                      <w:marRight w:val="0"/>
                      <w:marTop w:val="0"/>
                      <w:marBottom w:val="0"/>
                      <w:divBdr>
                        <w:top w:val="none" w:sz="0" w:space="0" w:color="auto"/>
                        <w:left w:val="none" w:sz="0" w:space="0" w:color="auto"/>
                        <w:bottom w:val="none" w:sz="0" w:space="0" w:color="auto"/>
                        <w:right w:val="none" w:sz="0" w:space="0" w:color="auto"/>
                      </w:divBdr>
                    </w:div>
                  </w:divsChild>
                </w:div>
                <w:div w:id="454716358">
                  <w:marLeft w:val="0"/>
                  <w:marRight w:val="0"/>
                  <w:marTop w:val="0"/>
                  <w:marBottom w:val="0"/>
                  <w:divBdr>
                    <w:top w:val="none" w:sz="0" w:space="0" w:color="auto"/>
                    <w:left w:val="none" w:sz="0" w:space="0" w:color="auto"/>
                    <w:bottom w:val="none" w:sz="0" w:space="0" w:color="auto"/>
                    <w:right w:val="none" w:sz="0" w:space="0" w:color="auto"/>
                  </w:divBdr>
                  <w:divsChild>
                    <w:div w:id="950236259">
                      <w:marLeft w:val="0"/>
                      <w:marRight w:val="0"/>
                      <w:marTop w:val="0"/>
                      <w:marBottom w:val="0"/>
                      <w:divBdr>
                        <w:top w:val="none" w:sz="0" w:space="0" w:color="auto"/>
                        <w:left w:val="none" w:sz="0" w:space="0" w:color="auto"/>
                        <w:bottom w:val="none" w:sz="0" w:space="0" w:color="auto"/>
                        <w:right w:val="none" w:sz="0" w:space="0" w:color="auto"/>
                      </w:divBdr>
                    </w:div>
                  </w:divsChild>
                </w:div>
                <w:div w:id="455223451">
                  <w:marLeft w:val="0"/>
                  <w:marRight w:val="0"/>
                  <w:marTop w:val="0"/>
                  <w:marBottom w:val="0"/>
                  <w:divBdr>
                    <w:top w:val="none" w:sz="0" w:space="0" w:color="auto"/>
                    <w:left w:val="none" w:sz="0" w:space="0" w:color="auto"/>
                    <w:bottom w:val="none" w:sz="0" w:space="0" w:color="auto"/>
                    <w:right w:val="none" w:sz="0" w:space="0" w:color="auto"/>
                  </w:divBdr>
                  <w:divsChild>
                    <w:div w:id="1070542335">
                      <w:marLeft w:val="0"/>
                      <w:marRight w:val="0"/>
                      <w:marTop w:val="0"/>
                      <w:marBottom w:val="0"/>
                      <w:divBdr>
                        <w:top w:val="none" w:sz="0" w:space="0" w:color="auto"/>
                        <w:left w:val="none" w:sz="0" w:space="0" w:color="auto"/>
                        <w:bottom w:val="none" w:sz="0" w:space="0" w:color="auto"/>
                        <w:right w:val="none" w:sz="0" w:space="0" w:color="auto"/>
                      </w:divBdr>
                    </w:div>
                  </w:divsChild>
                </w:div>
                <w:div w:id="523174085">
                  <w:marLeft w:val="0"/>
                  <w:marRight w:val="0"/>
                  <w:marTop w:val="0"/>
                  <w:marBottom w:val="0"/>
                  <w:divBdr>
                    <w:top w:val="none" w:sz="0" w:space="0" w:color="auto"/>
                    <w:left w:val="none" w:sz="0" w:space="0" w:color="auto"/>
                    <w:bottom w:val="none" w:sz="0" w:space="0" w:color="auto"/>
                    <w:right w:val="none" w:sz="0" w:space="0" w:color="auto"/>
                  </w:divBdr>
                  <w:divsChild>
                    <w:div w:id="1652363820">
                      <w:marLeft w:val="0"/>
                      <w:marRight w:val="0"/>
                      <w:marTop w:val="0"/>
                      <w:marBottom w:val="0"/>
                      <w:divBdr>
                        <w:top w:val="none" w:sz="0" w:space="0" w:color="auto"/>
                        <w:left w:val="none" w:sz="0" w:space="0" w:color="auto"/>
                        <w:bottom w:val="none" w:sz="0" w:space="0" w:color="auto"/>
                        <w:right w:val="none" w:sz="0" w:space="0" w:color="auto"/>
                      </w:divBdr>
                    </w:div>
                  </w:divsChild>
                </w:div>
                <w:div w:id="560404765">
                  <w:marLeft w:val="0"/>
                  <w:marRight w:val="0"/>
                  <w:marTop w:val="0"/>
                  <w:marBottom w:val="0"/>
                  <w:divBdr>
                    <w:top w:val="none" w:sz="0" w:space="0" w:color="auto"/>
                    <w:left w:val="none" w:sz="0" w:space="0" w:color="auto"/>
                    <w:bottom w:val="none" w:sz="0" w:space="0" w:color="auto"/>
                    <w:right w:val="none" w:sz="0" w:space="0" w:color="auto"/>
                  </w:divBdr>
                  <w:divsChild>
                    <w:div w:id="655916942">
                      <w:marLeft w:val="0"/>
                      <w:marRight w:val="0"/>
                      <w:marTop w:val="0"/>
                      <w:marBottom w:val="0"/>
                      <w:divBdr>
                        <w:top w:val="none" w:sz="0" w:space="0" w:color="auto"/>
                        <w:left w:val="none" w:sz="0" w:space="0" w:color="auto"/>
                        <w:bottom w:val="none" w:sz="0" w:space="0" w:color="auto"/>
                        <w:right w:val="none" w:sz="0" w:space="0" w:color="auto"/>
                      </w:divBdr>
                    </w:div>
                  </w:divsChild>
                </w:div>
                <w:div w:id="683674248">
                  <w:marLeft w:val="0"/>
                  <w:marRight w:val="0"/>
                  <w:marTop w:val="0"/>
                  <w:marBottom w:val="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none" w:sz="0" w:space="0" w:color="auto"/>
                        <w:left w:val="none" w:sz="0" w:space="0" w:color="auto"/>
                        <w:bottom w:val="none" w:sz="0" w:space="0" w:color="auto"/>
                        <w:right w:val="none" w:sz="0" w:space="0" w:color="auto"/>
                      </w:divBdr>
                    </w:div>
                  </w:divsChild>
                </w:div>
                <w:div w:id="721563395">
                  <w:marLeft w:val="0"/>
                  <w:marRight w:val="0"/>
                  <w:marTop w:val="0"/>
                  <w:marBottom w:val="0"/>
                  <w:divBdr>
                    <w:top w:val="none" w:sz="0" w:space="0" w:color="auto"/>
                    <w:left w:val="none" w:sz="0" w:space="0" w:color="auto"/>
                    <w:bottom w:val="none" w:sz="0" w:space="0" w:color="auto"/>
                    <w:right w:val="none" w:sz="0" w:space="0" w:color="auto"/>
                  </w:divBdr>
                  <w:divsChild>
                    <w:div w:id="1361930739">
                      <w:marLeft w:val="0"/>
                      <w:marRight w:val="0"/>
                      <w:marTop w:val="0"/>
                      <w:marBottom w:val="0"/>
                      <w:divBdr>
                        <w:top w:val="none" w:sz="0" w:space="0" w:color="auto"/>
                        <w:left w:val="none" w:sz="0" w:space="0" w:color="auto"/>
                        <w:bottom w:val="none" w:sz="0" w:space="0" w:color="auto"/>
                        <w:right w:val="none" w:sz="0" w:space="0" w:color="auto"/>
                      </w:divBdr>
                    </w:div>
                  </w:divsChild>
                </w:div>
                <w:div w:id="723875449">
                  <w:marLeft w:val="0"/>
                  <w:marRight w:val="0"/>
                  <w:marTop w:val="0"/>
                  <w:marBottom w:val="0"/>
                  <w:divBdr>
                    <w:top w:val="none" w:sz="0" w:space="0" w:color="auto"/>
                    <w:left w:val="none" w:sz="0" w:space="0" w:color="auto"/>
                    <w:bottom w:val="none" w:sz="0" w:space="0" w:color="auto"/>
                    <w:right w:val="none" w:sz="0" w:space="0" w:color="auto"/>
                  </w:divBdr>
                  <w:divsChild>
                    <w:div w:id="239295906">
                      <w:marLeft w:val="0"/>
                      <w:marRight w:val="0"/>
                      <w:marTop w:val="0"/>
                      <w:marBottom w:val="0"/>
                      <w:divBdr>
                        <w:top w:val="none" w:sz="0" w:space="0" w:color="auto"/>
                        <w:left w:val="none" w:sz="0" w:space="0" w:color="auto"/>
                        <w:bottom w:val="none" w:sz="0" w:space="0" w:color="auto"/>
                        <w:right w:val="none" w:sz="0" w:space="0" w:color="auto"/>
                      </w:divBdr>
                    </w:div>
                  </w:divsChild>
                </w:div>
                <w:div w:id="748385631">
                  <w:marLeft w:val="0"/>
                  <w:marRight w:val="0"/>
                  <w:marTop w:val="0"/>
                  <w:marBottom w:val="0"/>
                  <w:divBdr>
                    <w:top w:val="none" w:sz="0" w:space="0" w:color="auto"/>
                    <w:left w:val="none" w:sz="0" w:space="0" w:color="auto"/>
                    <w:bottom w:val="none" w:sz="0" w:space="0" w:color="auto"/>
                    <w:right w:val="none" w:sz="0" w:space="0" w:color="auto"/>
                  </w:divBdr>
                  <w:divsChild>
                    <w:div w:id="515004133">
                      <w:marLeft w:val="0"/>
                      <w:marRight w:val="0"/>
                      <w:marTop w:val="0"/>
                      <w:marBottom w:val="0"/>
                      <w:divBdr>
                        <w:top w:val="none" w:sz="0" w:space="0" w:color="auto"/>
                        <w:left w:val="none" w:sz="0" w:space="0" w:color="auto"/>
                        <w:bottom w:val="none" w:sz="0" w:space="0" w:color="auto"/>
                        <w:right w:val="none" w:sz="0" w:space="0" w:color="auto"/>
                      </w:divBdr>
                    </w:div>
                  </w:divsChild>
                </w:div>
                <w:div w:id="806434961">
                  <w:marLeft w:val="0"/>
                  <w:marRight w:val="0"/>
                  <w:marTop w:val="0"/>
                  <w:marBottom w:val="0"/>
                  <w:divBdr>
                    <w:top w:val="none" w:sz="0" w:space="0" w:color="auto"/>
                    <w:left w:val="none" w:sz="0" w:space="0" w:color="auto"/>
                    <w:bottom w:val="none" w:sz="0" w:space="0" w:color="auto"/>
                    <w:right w:val="none" w:sz="0" w:space="0" w:color="auto"/>
                  </w:divBdr>
                  <w:divsChild>
                    <w:div w:id="1123185069">
                      <w:marLeft w:val="0"/>
                      <w:marRight w:val="0"/>
                      <w:marTop w:val="0"/>
                      <w:marBottom w:val="0"/>
                      <w:divBdr>
                        <w:top w:val="none" w:sz="0" w:space="0" w:color="auto"/>
                        <w:left w:val="none" w:sz="0" w:space="0" w:color="auto"/>
                        <w:bottom w:val="none" w:sz="0" w:space="0" w:color="auto"/>
                        <w:right w:val="none" w:sz="0" w:space="0" w:color="auto"/>
                      </w:divBdr>
                    </w:div>
                  </w:divsChild>
                </w:div>
                <w:div w:id="897057898">
                  <w:marLeft w:val="0"/>
                  <w:marRight w:val="0"/>
                  <w:marTop w:val="0"/>
                  <w:marBottom w:val="0"/>
                  <w:divBdr>
                    <w:top w:val="none" w:sz="0" w:space="0" w:color="auto"/>
                    <w:left w:val="none" w:sz="0" w:space="0" w:color="auto"/>
                    <w:bottom w:val="none" w:sz="0" w:space="0" w:color="auto"/>
                    <w:right w:val="none" w:sz="0" w:space="0" w:color="auto"/>
                  </w:divBdr>
                  <w:divsChild>
                    <w:div w:id="123082385">
                      <w:marLeft w:val="0"/>
                      <w:marRight w:val="0"/>
                      <w:marTop w:val="0"/>
                      <w:marBottom w:val="0"/>
                      <w:divBdr>
                        <w:top w:val="none" w:sz="0" w:space="0" w:color="auto"/>
                        <w:left w:val="none" w:sz="0" w:space="0" w:color="auto"/>
                        <w:bottom w:val="none" w:sz="0" w:space="0" w:color="auto"/>
                        <w:right w:val="none" w:sz="0" w:space="0" w:color="auto"/>
                      </w:divBdr>
                    </w:div>
                  </w:divsChild>
                </w:div>
                <w:div w:id="999426905">
                  <w:marLeft w:val="0"/>
                  <w:marRight w:val="0"/>
                  <w:marTop w:val="0"/>
                  <w:marBottom w:val="0"/>
                  <w:divBdr>
                    <w:top w:val="none" w:sz="0" w:space="0" w:color="auto"/>
                    <w:left w:val="none" w:sz="0" w:space="0" w:color="auto"/>
                    <w:bottom w:val="none" w:sz="0" w:space="0" w:color="auto"/>
                    <w:right w:val="none" w:sz="0" w:space="0" w:color="auto"/>
                  </w:divBdr>
                  <w:divsChild>
                    <w:div w:id="249628968">
                      <w:marLeft w:val="0"/>
                      <w:marRight w:val="0"/>
                      <w:marTop w:val="0"/>
                      <w:marBottom w:val="0"/>
                      <w:divBdr>
                        <w:top w:val="none" w:sz="0" w:space="0" w:color="auto"/>
                        <w:left w:val="none" w:sz="0" w:space="0" w:color="auto"/>
                        <w:bottom w:val="none" w:sz="0" w:space="0" w:color="auto"/>
                        <w:right w:val="none" w:sz="0" w:space="0" w:color="auto"/>
                      </w:divBdr>
                    </w:div>
                  </w:divsChild>
                </w:div>
                <w:div w:id="1004473387">
                  <w:marLeft w:val="0"/>
                  <w:marRight w:val="0"/>
                  <w:marTop w:val="0"/>
                  <w:marBottom w:val="0"/>
                  <w:divBdr>
                    <w:top w:val="none" w:sz="0" w:space="0" w:color="auto"/>
                    <w:left w:val="none" w:sz="0" w:space="0" w:color="auto"/>
                    <w:bottom w:val="none" w:sz="0" w:space="0" w:color="auto"/>
                    <w:right w:val="none" w:sz="0" w:space="0" w:color="auto"/>
                  </w:divBdr>
                  <w:divsChild>
                    <w:div w:id="44070481">
                      <w:marLeft w:val="0"/>
                      <w:marRight w:val="0"/>
                      <w:marTop w:val="0"/>
                      <w:marBottom w:val="0"/>
                      <w:divBdr>
                        <w:top w:val="none" w:sz="0" w:space="0" w:color="auto"/>
                        <w:left w:val="none" w:sz="0" w:space="0" w:color="auto"/>
                        <w:bottom w:val="none" w:sz="0" w:space="0" w:color="auto"/>
                        <w:right w:val="none" w:sz="0" w:space="0" w:color="auto"/>
                      </w:divBdr>
                    </w:div>
                  </w:divsChild>
                </w:div>
                <w:div w:id="1090542892">
                  <w:marLeft w:val="0"/>
                  <w:marRight w:val="0"/>
                  <w:marTop w:val="0"/>
                  <w:marBottom w:val="0"/>
                  <w:divBdr>
                    <w:top w:val="none" w:sz="0" w:space="0" w:color="auto"/>
                    <w:left w:val="none" w:sz="0" w:space="0" w:color="auto"/>
                    <w:bottom w:val="none" w:sz="0" w:space="0" w:color="auto"/>
                    <w:right w:val="none" w:sz="0" w:space="0" w:color="auto"/>
                  </w:divBdr>
                  <w:divsChild>
                    <w:div w:id="305284142">
                      <w:marLeft w:val="0"/>
                      <w:marRight w:val="0"/>
                      <w:marTop w:val="0"/>
                      <w:marBottom w:val="0"/>
                      <w:divBdr>
                        <w:top w:val="none" w:sz="0" w:space="0" w:color="auto"/>
                        <w:left w:val="none" w:sz="0" w:space="0" w:color="auto"/>
                        <w:bottom w:val="none" w:sz="0" w:space="0" w:color="auto"/>
                        <w:right w:val="none" w:sz="0" w:space="0" w:color="auto"/>
                      </w:divBdr>
                    </w:div>
                  </w:divsChild>
                </w:div>
                <w:div w:id="1158305782">
                  <w:marLeft w:val="0"/>
                  <w:marRight w:val="0"/>
                  <w:marTop w:val="0"/>
                  <w:marBottom w:val="0"/>
                  <w:divBdr>
                    <w:top w:val="none" w:sz="0" w:space="0" w:color="auto"/>
                    <w:left w:val="none" w:sz="0" w:space="0" w:color="auto"/>
                    <w:bottom w:val="none" w:sz="0" w:space="0" w:color="auto"/>
                    <w:right w:val="none" w:sz="0" w:space="0" w:color="auto"/>
                  </w:divBdr>
                  <w:divsChild>
                    <w:div w:id="1832015980">
                      <w:marLeft w:val="0"/>
                      <w:marRight w:val="0"/>
                      <w:marTop w:val="0"/>
                      <w:marBottom w:val="0"/>
                      <w:divBdr>
                        <w:top w:val="none" w:sz="0" w:space="0" w:color="auto"/>
                        <w:left w:val="none" w:sz="0" w:space="0" w:color="auto"/>
                        <w:bottom w:val="none" w:sz="0" w:space="0" w:color="auto"/>
                        <w:right w:val="none" w:sz="0" w:space="0" w:color="auto"/>
                      </w:divBdr>
                    </w:div>
                  </w:divsChild>
                </w:div>
                <w:div w:id="1161118550">
                  <w:marLeft w:val="0"/>
                  <w:marRight w:val="0"/>
                  <w:marTop w:val="0"/>
                  <w:marBottom w:val="0"/>
                  <w:divBdr>
                    <w:top w:val="none" w:sz="0" w:space="0" w:color="auto"/>
                    <w:left w:val="none" w:sz="0" w:space="0" w:color="auto"/>
                    <w:bottom w:val="none" w:sz="0" w:space="0" w:color="auto"/>
                    <w:right w:val="none" w:sz="0" w:space="0" w:color="auto"/>
                  </w:divBdr>
                  <w:divsChild>
                    <w:div w:id="1480458488">
                      <w:marLeft w:val="0"/>
                      <w:marRight w:val="0"/>
                      <w:marTop w:val="0"/>
                      <w:marBottom w:val="0"/>
                      <w:divBdr>
                        <w:top w:val="none" w:sz="0" w:space="0" w:color="auto"/>
                        <w:left w:val="none" w:sz="0" w:space="0" w:color="auto"/>
                        <w:bottom w:val="none" w:sz="0" w:space="0" w:color="auto"/>
                        <w:right w:val="none" w:sz="0" w:space="0" w:color="auto"/>
                      </w:divBdr>
                    </w:div>
                  </w:divsChild>
                </w:div>
                <w:div w:id="1229801037">
                  <w:marLeft w:val="0"/>
                  <w:marRight w:val="0"/>
                  <w:marTop w:val="0"/>
                  <w:marBottom w:val="0"/>
                  <w:divBdr>
                    <w:top w:val="none" w:sz="0" w:space="0" w:color="auto"/>
                    <w:left w:val="none" w:sz="0" w:space="0" w:color="auto"/>
                    <w:bottom w:val="none" w:sz="0" w:space="0" w:color="auto"/>
                    <w:right w:val="none" w:sz="0" w:space="0" w:color="auto"/>
                  </w:divBdr>
                  <w:divsChild>
                    <w:div w:id="1431510440">
                      <w:marLeft w:val="0"/>
                      <w:marRight w:val="0"/>
                      <w:marTop w:val="0"/>
                      <w:marBottom w:val="0"/>
                      <w:divBdr>
                        <w:top w:val="none" w:sz="0" w:space="0" w:color="auto"/>
                        <w:left w:val="none" w:sz="0" w:space="0" w:color="auto"/>
                        <w:bottom w:val="none" w:sz="0" w:space="0" w:color="auto"/>
                        <w:right w:val="none" w:sz="0" w:space="0" w:color="auto"/>
                      </w:divBdr>
                    </w:div>
                  </w:divsChild>
                </w:div>
                <w:div w:id="1238515162">
                  <w:marLeft w:val="0"/>
                  <w:marRight w:val="0"/>
                  <w:marTop w:val="0"/>
                  <w:marBottom w:val="0"/>
                  <w:divBdr>
                    <w:top w:val="none" w:sz="0" w:space="0" w:color="auto"/>
                    <w:left w:val="none" w:sz="0" w:space="0" w:color="auto"/>
                    <w:bottom w:val="none" w:sz="0" w:space="0" w:color="auto"/>
                    <w:right w:val="none" w:sz="0" w:space="0" w:color="auto"/>
                  </w:divBdr>
                  <w:divsChild>
                    <w:div w:id="37555533">
                      <w:marLeft w:val="0"/>
                      <w:marRight w:val="0"/>
                      <w:marTop w:val="0"/>
                      <w:marBottom w:val="0"/>
                      <w:divBdr>
                        <w:top w:val="none" w:sz="0" w:space="0" w:color="auto"/>
                        <w:left w:val="none" w:sz="0" w:space="0" w:color="auto"/>
                        <w:bottom w:val="none" w:sz="0" w:space="0" w:color="auto"/>
                        <w:right w:val="none" w:sz="0" w:space="0" w:color="auto"/>
                      </w:divBdr>
                    </w:div>
                  </w:divsChild>
                </w:div>
                <w:div w:id="1282372927">
                  <w:marLeft w:val="0"/>
                  <w:marRight w:val="0"/>
                  <w:marTop w:val="0"/>
                  <w:marBottom w:val="0"/>
                  <w:divBdr>
                    <w:top w:val="none" w:sz="0" w:space="0" w:color="auto"/>
                    <w:left w:val="none" w:sz="0" w:space="0" w:color="auto"/>
                    <w:bottom w:val="none" w:sz="0" w:space="0" w:color="auto"/>
                    <w:right w:val="none" w:sz="0" w:space="0" w:color="auto"/>
                  </w:divBdr>
                  <w:divsChild>
                    <w:div w:id="975569312">
                      <w:marLeft w:val="0"/>
                      <w:marRight w:val="0"/>
                      <w:marTop w:val="0"/>
                      <w:marBottom w:val="0"/>
                      <w:divBdr>
                        <w:top w:val="none" w:sz="0" w:space="0" w:color="auto"/>
                        <w:left w:val="none" w:sz="0" w:space="0" w:color="auto"/>
                        <w:bottom w:val="none" w:sz="0" w:space="0" w:color="auto"/>
                        <w:right w:val="none" w:sz="0" w:space="0" w:color="auto"/>
                      </w:divBdr>
                    </w:div>
                  </w:divsChild>
                </w:div>
                <w:div w:id="1390422776">
                  <w:marLeft w:val="0"/>
                  <w:marRight w:val="0"/>
                  <w:marTop w:val="0"/>
                  <w:marBottom w:val="0"/>
                  <w:divBdr>
                    <w:top w:val="none" w:sz="0" w:space="0" w:color="auto"/>
                    <w:left w:val="none" w:sz="0" w:space="0" w:color="auto"/>
                    <w:bottom w:val="none" w:sz="0" w:space="0" w:color="auto"/>
                    <w:right w:val="none" w:sz="0" w:space="0" w:color="auto"/>
                  </w:divBdr>
                  <w:divsChild>
                    <w:div w:id="550506793">
                      <w:marLeft w:val="0"/>
                      <w:marRight w:val="0"/>
                      <w:marTop w:val="0"/>
                      <w:marBottom w:val="0"/>
                      <w:divBdr>
                        <w:top w:val="none" w:sz="0" w:space="0" w:color="auto"/>
                        <w:left w:val="none" w:sz="0" w:space="0" w:color="auto"/>
                        <w:bottom w:val="none" w:sz="0" w:space="0" w:color="auto"/>
                        <w:right w:val="none" w:sz="0" w:space="0" w:color="auto"/>
                      </w:divBdr>
                    </w:div>
                  </w:divsChild>
                </w:div>
                <w:div w:id="1440223083">
                  <w:marLeft w:val="0"/>
                  <w:marRight w:val="0"/>
                  <w:marTop w:val="0"/>
                  <w:marBottom w:val="0"/>
                  <w:divBdr>
                    <w:top w:val="none" w:sz="0" w:space="0" w:color="auto"/>
                    <w:left w:val="none" w:sz="0" w:space="0" w:color="auto"/>
                    <w:bottom w:val="none" w:sz="0" w:space="0" w:color="auto"/>
                    <w:right w:val="none" w:sz="0" w:space="0" w:color="auto"/>
                  </w:divBdr>
                  <w:divsChild>
                    <w:div w:id="596521216">
                      <w:marLeft w:val="0"/>
                      <w:marRight w:val="0"/>
                      <w:marTop w:val="0"/>
                      <w:marBottom w:val="0"/>
                      <w:divBdr>
                        <w:top w:val="none" w:sz="0" w:space="0" w:color="auto"/>
                        <w:left w:val="none" w:sz="0" w:space="0" w:color="auto"/>
                        <w:bottom w:val="none" w:sz="0" w:space="0" w:color="auto"/>
                        <w:right w:val="none" w:sz="0" w:space="0" w:color="auto"/>
                      </w:divBdr>
                    </w:div>
                  </w:divsChild>
                </w:div>
                <w:div w:id="149225759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sChild>
                </w:div>
                <w:div w:id="1501702715">
                  <w:marLeft w:val="0"/>
                  <w:marRight w:val="0"/>
                  <w:marTop w:val="0"/>
                  <w:marBottom w:val="0"/>
                  <w:divBdr>
                    <w:top w:val="none" w:sz="0" w:space="0" w:color="auto"/>
                    <w:left w:val="none" w:sz="0" w:space="0" w:color="auto"/>
                    <w:bottom w:val="none" w:sz="0" w:space="0" w:color="auto"/>
                    <w:right w:val="none" w:sz="0" w:space="0" w:color="auto"/>
                  </w:divBdr>
                  <w:divsChild>
                    <w:div w:id="1524436215">
                      <w:marLeft w:val="0"/>
                      <w:marRight w:val="0"/>
                      <w:marTop w:val="0"/>
                      <w:marBottom w:val="0"/>
                      <w:divBdr>
                        <w:top w:val="none" w:sz="0" w:space="0" w:color="auto"/>
                        <w:left w:val="none" w:sz="0" w:space="0" w:color="auto"/>
                        <w:bottom w:val="none" w:sz="0" w:space="0" w:color="auto"/>
                        <w:right w:val="none" w:sz="0" w:space="0" w:color="auto"/>
                      </w:divBdr>
                    </w:div>
                  </w:divsChild>
                </w:div>
                <w:div w:id="1590773568">
                  <w:marLeft w:val="0"/>
                  <w:marRight w:val="0"/>
                  <w:marTop w:val="0"/>
                  <w:marBottom w:val="0"/>
                  <w:divBdr>
                    <w:top w:val="none" w:sz="0" w:space="0" w:color="auto"/>
                    <w:left w:val="none" w:sz="0" w:space="0" w:color="auto"/>
                    <w:bottom w:val="none" w:sz="0" w:space="0" w:color="auto"/>
                    <w:right w:val="none" w:sz="0" w:space="0" w:color="auto"/>
                  </w:divBdr>
                  <w:divsChild>
                    <w:div w:id="1684094129">
                      <w:marLeft w:val="0"/>
                      <w:marRight w:val="0"/>
                      <w:marTop w:val="0"/>
                      <w:marBottom w:val="0"/>
                      <w:divBdr>
                        <w:top w:val="none" w:sz="0" w:space="0" w:color="auto"/>
                        <w:left w:val="none" w:sz="0" w:space="0" w:color="auto"/>
                        <w:bottom w:val="none" w:sz="0" w:space="0" w:color="auto"/>
                        <w:right w:val="none" w:sz="0" w:space="0" w:color="auto"/>
                      </w:divBdr>
                    </w:div>
                  </w:divsChild>
                </w:div>
                <w:div w:id="1640498765">
                  <w:marLeft w:val="0"/>
                  <w:marRight w:val="0"/>
                  <w:marTop w:val="0"/>
                  <w:marBottom w:val="0"/>
                  <w:divBdr>
                    <w:top w:val="none" w:sz="0" w:space="0" w:color="auto"/>
                    <w:left w:val="none" w:sz="0" w:space="0" w:color="auto"/>
                    <w:bottom w:val="none" w:sz="0" w:space="0" w:color="auto"/>
                    <w:right w:val="none" w:sz="0" w:space="0" w:color="auto"/>
                  </w:divBdr>
                  <w:divsChild>
                    <w:div w:id="2133207245">
                      <w:marLeft w:val="0"/>
                      <w:marRight w:val="0"/>
                      <w:marTop w:val="0"/>
                      <w:marBottom w:val="0"/>
                      <w:divBdr>
                        <w:top w:val="none" w:sz="0" w:space="0" w:color="auto"/>
                        <w:left w:val="none" w:sz="0" w:space="0" w:color="auto"/>
                        <w:bottom w:val="none" w:sz="0" w:space="0" w:color="auto"/>
                        <w:right w:val="none" w:sz="0" w:space="0" w:color="auto"/>
                      </w:divBdr>
                    </w:div>
                  </w:divsChild>
                </w:div>
                <w:div w:id="1664549191">
                  <w:marLeft w:val="0"/>
                  <w:marRight w:val="0"/>
                  <w:marTop w:val="0"/>
                  <w:marBottom w:val="0"/>
                  <w:divBdr>
                    <w:top w:val="none" w:sz="0" w:space="0" w:color="auto"/>
                    <w:left w:val="none" w:sz="0" w:space="0" w:color="auto"/>
                    <w:bottom w:val="none" w:sz="0" w:space="0" w:color="auto"/>
                    <w:right w:val="none" w:sz="0" w:space="0" w:color="auto"/>
                  </w:divBdr>
                  <w:divsChild>
                    <w:div w:id="1454052166">
                      <w:marLeft w:val="0"/>
                      <w:marRight w:val="0"/>
                      <w:marTop w:val="0"/>
                      <w:marBottom w:val="0"/>
                      <w:divBdr>
                        <w:top w:val="none" w:sz="0" w:space="0" w:color="auto"/>
                        <w:left w:val="none" w:sz="0" w:space="0" w:color="auto"/>
                        <w:bottom w:val="none" w:sz="0" w:space="0" w:color="auto"/>
                        <w:right w:val="none" w:sz="0" w:space="0" w:color="auto"/>
                      </w:divBdr>
                    </w:div>
                  </w:divsChild>
                </w:div>
                <w:div w:id="1676568707">
                  <w:marLeft w:val="0"/>
                  <w:marRight w:val="0"/>
                  <w:marTop w:val="0"/>
                  <w:marBottom w:val="0"/>
                  <w:divBdr>
                    <w:top w:val="none" w:sz="0" w:space="0" w:color="auto"/>
                    <w:left w:val="none" w:sz="0" w:space="0" w:color="auto"/>
                    <w:bottom w:val="none" w:sz="0" w:space="0" w:color="auto"/>
                    <w:right w:val="none" w:sz="0" w:space="0" w:color="auto"/>
                  </w:divBdr>
                  <w:divsChild>
                    <w:div w:id="1978408664">
                      <w:marLeft w:val="0"/>
                      <w:marRight w:val="0"/>
                      <w:marTop w:val="0"/>
                      <w:marBottom w:val="0"/>
                      <w:divBdr>
                        <w:top w:val="none" w:sz="0" w:space="0" w:color="auto"/>
                        <w:left w:val="none" w:sz="0" w:space="0" w:color="auto"/>
                        <w:bottom w:val="none" w:sz="0" w:space="0" w:color="auto"/>
                        <w:right w:val="none" w:sz="0" w:space="0" w:color="auto"/>
                      </w:divBdr>
                    </w:div>
                  </w:divsChild>
                </w:div>
                <w:div w:id="1779593219">
                  <w:marLeft w:val="0"/>
                  <w:marRight w:val="0"/>
                  <w:marTop w:val="0"/>
                  <w:marBottom w:val="0"/>
                  <w:divBdr>
                    <w:top w:val="none" w:sz="0" w:space="0" w:color="auto"/>
                    <w:left w:val="none" w:sz="0" w:space="0" w:color="auto"/>
                    <w:bottom w:val="none" w:sz="0" w:space="0" w:color="auto"/>
                    <w:right w:val="none" w:sz="0" w:space="0" w:color="auto"/>
                  </w:divBdr>
                  <w:divsChild>
                    <w:div w:id="1380668778">
                      <w:marLeft w:val="0"/>
                      <w:marRight w:val="0"/>
                      <w:marTop w:val="0"/>
                      <w:marBottom w:val="0"/>
                      <w:divBdr>
                        <w:top w:val="none" w:sz="0" w:space="0" w:color="auto"/>
                        <w:left w:val="none" w:sz="0" w:space="0" w:color="auto"/>
                        <w:bottom w:val="none" w:sz="0" w:space="0" w:color="auto"/>
                        <w:right w:val="none" w:sz="0" w:space="0" w:color="auto"/>
                      </w:divBdr>
                    </w:div>
                  </w:divsChild>
                </w:div>
                <w:div w:id="1789204651">
                  <w:marLeft w:val="0"/>
                  <w:marRight w:val="0"/>
                  <w:marTop w:val="0"/>
                  <w:marBottom w:val="0"/>
                  <w:divBdr>
                    <w:top w:val="none" w:sz="0" w:space="0" w:color="auto"/>
                    <w:left w:val="none" w:sz="0" w:space="0" w:color="auto"/>
                    <w:bottom w:val="none" w:sz="0" w:space="0" w:color="auto"/>
                    <w:right w:val="none" w:sz="0" w:space="0" w:color="auto"/>
                  </w:divBdr>
                  <w:divsChild>
                    <w:div w:id="51926024">
                      <w:marLeft w:val="0"/>
                      <w:marRight w:val="0"/>
                      <w:marTop w:val="0"/>
                      <w:marBottom w:val="0"/>
                      <w:divBdr>
                        <w:top w:val="none" w:sz="0" w:space="0" w:color="auto"/>
                        <w:left w:val="none" w:sz="0" w:space="0" w:color="auto"/>
                        <w:bottom w:val="none" w:sz="0" w:space="0" w:color="auto"/>
                        <w:right w:val="none" w:sz="0" w:space="0" w:color="auto"/>
                      </w:divBdr>
                    </w:div>
                  </w:divsChild>
                </w:div>
                <w:div w:id="1815677157">
                  <w:marLeft w:val="0"/>
                  <w:marRight w:val="0"/>
                  <w:marTop w:val="0"/>
                  <w:marBottom w:val="0"/>
                  <w:divBdr>
                    <w:top w:val="none" w:sz="0" w:space="0" w:color="auto"/>
                    <w:left w:val="none" w:sz="0" w:space="0" w:color="auto"/>
                    <w:bottom w:val="none" w:sz="0" w:space="0" w:color="auto"/>
                    <w:right w:val="none" w:sz="0" w:space="0" w:color="auto"/>
                  </w:divBdr>
                  <w:divsChild>
                    <w:div w:id="587691886">
                      <w:marLeft w:val="0"/>
                      <w:marRight w:val="0"/>
                      <w:marTop w:val="0"/>
                      <w:marBottom w:val="0"/>
                      <w:divBdr>
                        <w:top w:val="none" w:sz="0" w:space="0" w:color="auto"/>
                        <w:left w:val="none" w:sz="0" w:space="0" w:color="auto"/>
                        <w:bottom w:val="none" w:sz="0" w:space="0" w:color="auto"/>
                        <w:right w:val="none" w:sz="0" w:space="0" w:color="auto"/>
                      </w:divBdr>
                    </w:div>
                  </w:divsChild>
                </w:div>
                <w:div w:id="1911885489">
                  <w:marLeft w:val="0"/>
                  <w:marRight w:val="0"/>
                  <w:marTop w:val="0"/>
                  <w:marBottom w:val="0"/>
                  <w:divBdr>
                    <w:top w:val="none" w:sz="0" w:space="0" w:color="auto"/>
                    <w:left w:val="none" w:sz="0" w:space="0" w:color="auto"/>
                    <w:bottom w:val="none" w:sz="0" w:space="0" w:color="auto"/>
                    <w:right w:val="none" w:sz="0" w:space="0" w:color="auto"/>
                  </w:divBdr>
                  <w:divsChild>
                    <w:div w:id="550655108">
                      <w:marLeft w:val="0"/>
                      <w:marRight w:val="0"/>
                      <w:marTop w:val="0"/>
                      <w:marBottom w:val="0"/>
                      <w:divBdr>
                        <w:top w:val="none" w:sz="0" w:space="0" w:color="auto"/>
                        <w:left w:val="none" w:sz="0" w:space="0" w:color="auto"/>
                        <w:bottom w:val="none" w:sz="0" w:space="0" w:color="auto"/>
                        <w:right w:val="none" w:sz="0" w:space="0" w:color="auto"/>
                      </w:divBdr>
                    </w:div>
                  </w:divsChild>
                </w:div>
                <w:div w:id="1918049825">
                  <w:marLeft w:val="0"/>
                  <w:marRight w:val="0"/>
                  <w:marTop w:val="0"/>
                  <w:marBottom w:val="0"/>
                  <w:divBdr>
                    <w:top w:val="none" w:sz="0" w:space="0" w:color="auto"/>
                    <w:left w:val="none" w:sz="0" w:space="0" w:color="auto"/>
                    <w:bottom w:val="none" w:sz="0" w:space="0" w:color="auto"/>
                    <w:right w:val="none" w:sz="0" w:space="0" w:color="auto"/>
                  </w:divBdr>
                  <w:divsChild>
                    <w:div w:id="809442732">
                      <w:marLeft w:val="0"/>
                      <w:marRight w:val="0"/>
                      <w:marTop w:val="0"/>
                      <w:marBottom w:val="0"/>
                      <w:divBdr>
                        <w:top w:val="none" w:sz="0" w:space="0" w:color="auto"/>
                        <w:left w:val="none" w:sz="0" w:space="0" w:color="auto"/>
                        <w:bottom w:val="none" w:sz="0" w:space="0" w:color="auto"/>
                        <w:right w:val="none" w:sz="0" w:space="0" w:color="auto"/>
                      </w:divBdr>
                    </w:div>
                  </w:divsChild>
                </w:div>
                <w:div w:id="1956869417">
                  <w:marLeft w:val="0"/>
                  <w:marRight w:val="0"/>
                  <w:marTop w:val="0"/>
                  <w:marBottom w:val="0"/>
                  <w:divBdr>
                    <w:top w:val="none" w:sz="0" w:space="0" w:color="auto"/>
                    <w:left w:val="none" w:sz="0" w:space="0" w:color="auto"/>
                    <w:bottom w:val="none" w:sz="0" w:space="0" w:color="auto"/>
                    <w:right w:val="none" w:sz="0" w:space="0" w:color="auto"/>
                  </w:divBdr>
                  <w:divsChild>
                    <w:div w:id="157158227">
                      <w:marLeft w:val="0"/>
                      <w:marRight w:val="0"/>
                      <w:marTop w:val="0"/>
                      <w:marBottom w:val="0"/>
                      <w:divBdr>
                        <w:top w:val="none" w:sz="0" w:space="0" w:color="auto"/>
                        <w:left w:val="none" w:sz="0" w:space="0" w:color="auto"/>
                        <w:bottom w:val="none" w:sz="0" w:space="0" w:color="auto"/>
                        <w:right w:val="none" w:sz="0" w:space="0" w:color="auto"/>
                      </w:divBdr>
                    </w:div>
                  </w:divsChild>
                </w:div>
                <w:div w:id="1994674886">
                  <w:marLeft w:val="0"/>
                  <w:marRight w:val="0"/>
                  <w:marTop w:val="0"/>
                  <w:marBottom w:val="0"/>
                  <w:divBdr>
                    <w:top w:val="none" w:sz="0" w:space="0" w:color="auto"/>
                    <w:left w:val="none" w:sz="0" w:space="0" w:color="auto"/>
                    <w:bottom w:val="none" w:sz="0" w:space="0" w:color="auto"/>
                    <w:right w:val="none" w:sz="0" w:space="0" w:color="auto"/>
                  </w:divBdr>
                  <w:divsChild>
                    <w:div w:id="1521355796">
                      <w:marLeft w:val="0"/>
                      <w:marRight w:val="0"/>
                      <w:marTop w:val="0"/>
                      <w:marBottom w:val="0"/>
                      <w:divBdr>
                        <w:top w:val="none" w:sz="0" w:space="0" w:color="auto"/>
                        <w:left w:val="none" w:sz="0" w:space="0" w:color="auto"/>
                        <w:bottom w:val="none" w:sz="0" w:space="0" w:color="auto"/>
                        <w:right w:val="none" w:sz="0" w:space="0" w:color="auto"/>
                      </w:divBdr>
                    </w:div>
                  </w:divsChild>
                </w:div>
                <w:div w:id="2023041947">
                  <w:marLeft w:val="0"/>
                  <w:marRight w:val="0"/>
                  <w:marTop w:val="0"/>
                  <w:marBottom w:val="0"/>
                  <w:divBdr>
                    <w:top w:val="none" w:sz="0" w:space="0" w:color="auto"/>
                    <w:left w:val="none" w:sz="0" w:space="0" w:color="auto"/>
                    <w:bottom w:val="none" w:sz="0" w:space="0" w:color="auto"/>
                    <w:right w:val="none" w:sz="0" w:space="0" w:color="auto"/>
                  </w:divBdr>
                  <w:divsChild>
                    <w:div w:id="828131826">
                      <w:marLeft w:val="0"/>
                      <w:marRight w:val="0"/>
                      <w:marTop w:val="0"/>
                      <w:marBottom w:val="0"/>
                      <w:divBdr>
                        <w:top w:val="none" w:sz="0" w:space="0" w:color="auto"/>
                        <w:left w:val="none" w:sz="0" w:space="0" w:color="auto"/>
                        <w:bottom w:val="none" w:sz="0" w:space="0" w:color="auto"/>
                        <w:right w:val="none" w:sz="0" w:space="0" w:color="auto"/>
                      </w:divBdr>
                    </w:div>
                  </w:divsChild>
                </w:div>
                <w:div w:id="2042319783">
                  <w:marLeft w:val="0"/>
                  <w:marRight w:val="0"/>
                  <w:marTop w:val="0"/>
                  <w:marBottom w:val="0"/>
                  <w:divBdr>
                    <w:top w:val="none" w:sz="0" w:space="0" w:color="auto"/>
                    <w:left w:val="none" w:sz="0" w:space="0" w:color="auto"/>
                    <w:bottom w:val="none" w:sz="0" w:space="0" w:color="auto"/>
                    <w:right w:val="none" w:sz="0" w:space="0" w:color="auto"/>
                  </w:divBdr>
                  <w:divsChild>
                    <w:div w:id="1749109171">
                      <w:marLeft w:val="0"/>
                      <w:marRight w:val="0"/>
                      <w:marTop w:val="0"/>
                      <w:marBottom w:val="0"/>
                      <w:divBdr>
                        <w:top w:val="none" w:sz="0" w:space="0" w:color="auto"/>
                        <w:left w:val="none" w:sz="0" w:space="0" w:color="auto"/>
                        <w:bottom w:val="none" w:sz="0" w:space="0" w:color="auto"/>
                        <w:right w:val="none" w:sz="0" w:space="0" w:color="auto"/>
                      </w:divBdr>
                    </w:div>
                  </w:divsChild>
                </w:div>
                <w:div w:id="2055621115">
                  <w:marLeft w:val="0"/>
                  <w:marRight w:val="0"/>
                  <w:marTop w:val="0"/>
                  <w:marBottom w:val="0"/>
                  <w:divBdr>
                    <w:top w:val="none" w:sz="0" w:space="0" w:color="auto"/>
                    <w:left w:val="none" w:sz="0" w:space="0" w:color="auto"/>
                    <w:bottom w:val="none" w:sz="0" w:space="0" w:color="auto"/>
                    <w:right w:val="none" w:sz="0" w:space="0" w:color="auto"/>
                  </w:divBdr>
                  <w:divsChild>
                    <w:div w:id="736630478">
                      <w:marLeft w:val="0"/>
                      <w:marRight w:val="0"/>
                      <w:marTop w:val="0"/>
                      <w:marBottom w:val="0"/>
                      <w:divBdr>
                        <w:top w:val="none" w:sz="0" w:space="0" w:color="auto"/>
                        <w:left w:val="none" w:sz="0" w:space="0" w:color="auto"/>
                        <w:bottom w:val="none" w:sz="0" w:space="0" w:color="auto"/>
                        <w:right w:val="none" w:sz="0" w:space="0" w:color="auto"/>
                      </w:divBdr>
                    </w:div>
                  </w:divsChild>
                </w:div>
                <w:div w:id="2055733913">
                  <w:marLeft w:val="0"/>
                  <w:marRight w:val="0"/>
                  <w:marTop w:val="0"/>
                  <w:marBottom w:val="0"/>
                  <w:divBdr>
                    <w:top w:val="none" w:sz="0" w:space="0" w:color="auto"/>
                    <w:left w:val="none" w:sz="0" w:space="0" w:color="auto"/>
                    <w:bottom w:val="none" w:sz="0" w:space="0" w:color="auto"/>
                    <w:right w:val="none" w:sz="0" w:space="0" w:color="auto"/>
                  </w:divBdr>
                  <w:divsChild>
                    <w:div w:id="1172254953">
                      <w:marLeft w:val="0"/>
                      <w:marRight w:val="0"/>
                      <w:marTop w:val="0"/>
                      <w:marBottom w:val="0"/>
                      <w:divBdr>
                        <w:top w:val="none" w:sz="0" w:space="0" w:color="auto"/>
                        <w:left w:val="none" w:sz="0" w:space="0" w:color="auto"/>
                        <w:bottom w:val="none" w:sz="0" w:space="0" w:color="auto"/>
                        <w:right w:val="none" w:sz="0" w:space="0" w:color="auto"/>
                      </w:divBdr>
                    </w:div>
                  </w:divsChild>
                </w:div>
                <w:div w:id="2074425228">
                  <w:marLeft w:val="0"/>
                  <w:marRight w:val="0"/>
                  <w:marTop w:val="0"/>
                  <w:marBottom w:val="0"/>
                  <w:divBdr>
                    <w:top w:val="none" w:sz="0" w:space="0" w:color="auto"/>
                    <w:left w:val="none" w:sz="0" w:space="0" w:color="auto"/>
                    <w:bottom w:val="none" w:sz="0" w:space="0" w:color="auto"/>
                    <w:right w:val="none" w:sz="0" w:space="0" w:color="auto"/>
                  </w:divBdr>
                  <w:divsChild>
                    <w:div w:id="108398282">
                      <w:marLeft w:val="0"/>
                      <w:marRight w:val="0"/>
                      <w:marTop w:val="0"/>
                      <w:marBottom w:val="0"/>
                      <w:divBdr>
                        <w:top w:val="none" w:sz="0" w:space="0" w:color="auto"/>
                        <w:left w:val="none" w:sz="0" w:space="0" w:color="auto"/>
                        <w:bottom w:val="none" w:sz="0" w:space="0" w:color="auto"/>
                        <w:right w:val="none" w:sz="0" w:space="0" w:color="auto"/>
                      </w:divBdr>
                    </w:div>
                  </w:divsChild>
                </w:div>
                <w:div w:id="2082632751">
                  <w:marLeft w:val="0"/>
                  <w:marRight w:val="0"/>
                  <w:marTop w:val="0"/>
                  <w:marBottom w:val="0"/>
                  <w:divBdr>
                    <w:top w:val="none" w:sz="0" w:space="0" w:color="auto"/>
                    <w:left w:val="none" w:sz="0" w:space="0" w:color="auto"/>
                    <w:bottom w:val="none" w:sz="0" w:space="0" w:color="auto"/>
                    <w:right w:val="none" w:sz="0" w:space="0" w:color="auto"/>
                  </w:divBdr>
                  <w:divsChild>
                    <w:div w:id="7863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0921">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40557156">
      <w:bodyDiv w:val="1"/>
      <w:marLeft w:val="0"/>
      <w:marRight w:val="0"/>
      <w:marTop w:val="0"/>
      <w:marBottom w:val="0"/>
      <w:divBdr>
        <w:top w:val="none" w:sz="0" w:space="0" w:color="auto"/>
        <w:left w:val="none" w:sz="0" w:space="0" w:color="auto"/>
        <w:bottom w:val="none" w:sz="0" w:space="0" w:color="auto"/>
        <w:right w:val="none" w:sz="0" w:space="0" w:color="auto"/>
      </w:divBdr>
    </w:div>
    <w:div w:id="1557005407">
      <w:bodyDiv w:val="1"/>
      <w:marLeft w:val="0"/>
      <w:marRight w:val="0"/>
      <w:marTop w:val="0"/>
      <w:marBottom w:val="0"/>
      <w:divBdr>
        <w:top w:val="none" w:sz="0" w:space="0" w:color="auto"/>
        <w:left w:val="none" w:sz="0" w:space="0" w:color="auto"/>
        <w:bottom w:val="none" w:sz="0" w:space="0" w:color="auto"/>
        <w:right w:val="none" w:sz="0" w:space="0" w:color="auto"/>
      </w:divBdr>
    </w:div>
    <w:div w:id="157077036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12281989">
      <w:bodyDiv w:val="1"/>
      <w:marLeft w:val="0"/>
      <w:marRight w:val="0"/>
      <w:marTop w:val="0"/>
      <w:marBottom w:val="0"/>
      <w:divBdr>
        <w:top w:val="none" w:sz="0" w:space="0" w:color="auto"/>
        <w:left w:val="none" w:sz="0" w:space="0" w:color="auto"/>
        <w:bottom w:val="none" w:sz="0" w:space="0" w:color="auto"/>
        <w:right w:val="none" w:sz="0" w:space="0" w:color="auto"/>
      </w:divBdr>
      <w:divsChild>
        <w:div w:id="300236784">
          <w:marLeft w:val="0"/>
          <w:marRight w:val="0"/>
          <w:marTop w:val="0"/>
          <w:marBottom w:val="0"/>
          <w:divBdr>
            <w:top w:val="none" w:sz="0" w:space="0" w:color="auto"/>
            <w:left w:val="none" w:sz="0" w:space="0" w:color="auto"/>
            <w:bottom w:val="none" w:sz="0" w:space="0" w:color="auto"/>
            <w:right w:val="none" w:sz="0" w:space="0" w:color="auto"/>
          </w:divBdr>
        </w:div>
        <w:div w:id="1106122269">
          <w:marLeft w:val="0"/>
          <w:marRight w:val="0"/>
          <w:marTop w:val="0"/>
          <w:marBottom w:val="0"/>
          <w:divBdr>
            <w:top w:val="none" w:sz="0" w:space="0" w:color="auto"/>
            <w:left w:val="none" w:sz="0" w:space="0" w:color="auto"/>
            <w:bottom w:val="none" w:sz="0" w:space="0" w:color="auto"/>
            <w:right w:val="none" w:sz="0" w:space="0" w:color="auto"/>
          </w:divBdr>
        </w:div>
        <w:div w:id="1262759863">
          <w:marLeft w:val="0"/>
          <w:marRight w:val="0"/>
          <w:marTop w:val="0"/>
          <w:marBottom w:val="0"/>
          <w:divBdr>
            <w:top w:val="none" w:sz="0" w:space="0" w:color="auto"/>
            <w:left w:val="none" w:sz="0" w:space="0" w:color="auto"/>
            <w:bottom w:val="none" w:sz="0" w:space="0" w:color="auto"/>
            <w:right w:val="none" w:sz="0" w:space="0" w:color="auto"/>
          </w:divBdr>
          <w:divsChild>
            <w:div w:id="532882079">
              <w:marLeft w:val="-75"/>
              <w:marRight w:val="0"/>
              <w:marTop w:val="30"/>
              <w:marBottom w:val="30"/>
              <w:divBdr>
                <w:top w:val="none" w:sz="0" w:space="0" w:color="auto"/>
                <w:left w:val="none" w:sz="0" w:space="0" w:color="auto"/>
                <w:bottom w:val="none" w:sz="0" w:space="0" w:color="auto"/>
                <w:right w:val="none" w:sz="0" w:space="0" w:color="auto"/>
              </w:divBdr>
              <w:divsChild>
                <w:div w:id="68307479">
                  <w:marLeft w:val="0"/>
                  <w:marRight w:val="0"/>
                  <w:marTop w:val="0"/>
                  <w:marBottom w:val="0"/>
                  <w:divBdr>
                    <w:top w:val="none" w:sz="0" w:space="0" w:color="auto"/>
                    <w:left w:val="none" w:sz="0" w:space="0" w:color="auto"/>
                    <w:bottom w:val="none" w:sz="0" w:space="0" w:color="auto"/>
                    <w:right w:val="none" w:sz="0" w:space="0" w:color="auto"/>
                  </w:divBdr>
                  <w:divsChild>
                    <w:div w:id="1205799743">
                      <w:marLeft w:val="0"/>
                      <w:marRight w:val="0"/>
                      <w:marTop w:val="0"/>
                      <w:marBottom w:val="0"/>
                      <w:divBdr>
                        <w:top w:val="none" w:sz="0" w:space="0" w:color="auto"/>
                        <w:left w:val="none" w:sz="0" w:space="0" w:color="auto"/>
                        <w:bottom w:val="none" w:sz="0" w:space="0" w:color="auto"/>
                        <w:right w:val="none" w:sz="0" w:space="0" w:color="auto"/>
                      </w:divBdr>
                    </w:div>
                  </w:divsChild>
                </w:div>
                <w:div w:id="118035870">
                  <w:marLeft w:val="0"/>
                  <w:marRight w:val="0"/>
                  <w:marTop w:val="0"/>
                  <w:marBottom w:val="0"/>
                  <w:divBdr>
                    <w:top w:val="none" w:sz="0" w:space="0" w:color="auto"/>
                    <w:left w:val="none" w:sz="0" w:space="0" w:color="auto"/>
                    <w:bottom w:val="none" w:sz="0" w:space="0" w:color="auto"/>
                    <w:right w:val="none" w:sz="0" w:space="0" w:color="auto"/>
                  </w:divBdr>
                  <w:divsChild>
                    <w:div w:id="718166473">
                      <w:marLeft w:val="0"/>
                      <w:marRight w:val="0"/>
                      <w:marTop w:val="0"/>
                      <w:marBottom w:val="0"/>
                      <w:divBdr>
                        <w:top w:val="none" w:sz="0" w:space="0" w:color="auto"/>
                        <w:left w:val="none" w:sz="0" w:space="0" w:color="auto"/>
                        <w:bottom w:val="none" w:sz="0" w:space="0" w:color="auto"/>
                        <w:right w:val="none" w:sz="0" w:space="0" w:color="auto"/>
                      </w:divBdr>
                    </w:div>
                  </w:divsChild>
                </w:div>
                <w:div w:id="187841900">
                  <w:marLeft w:val="0"/>
                  <w:marRight w:val="0"/>
                  <w:marTop w:val="0"/>
                  <w:marBottom w:val="0"/>
                  <w:divBdr>
                    <w:top w:val="none" w:sz="0" w:space="0" w:color="auto"/>
                    <w:left w:val="none" w:sz="0" w:space="0" w:color="auto"/>
                    <w:bottom w:val="none" w:sz="0" w:space="0" w:color="auto"/>
                    <w:right w:val="none" w:sz="0" w:space="0" w:color="auto"/>
                  </w:divBdr>
                  <w:divsChild>
                    <w:div w:id="682902636">
                      <w:marLeft w:val="0"/>
                      <w:marRight w:val="0"/>
                      <w:marTop w:val="0"/>
                      <w:marBottom w:val="0"/>
                      <w:divBdr>
                        <w:top w:val="none" w:sz="0" w:space="0" w:color="auto"/>
                        <w:left w:val="none" w:sz="0" w:space="0" w:color="auto"/>
                        <w:bottom w:val="none" w:sz="0" w:space="0" w:color="auto"/>
                        <w:right w:val="none" w:sz="0" w:space="0" w:color="auto"/>
                      </w:divBdr>
                    </w:div>
                  </w:divsChild>
                </w:div>
                <w:div w:id="344132090">
                  <w:marLeft w:val="0"/>
                  <w:marRight w:val="0"/>
                  <w:marTop w:val="0"/>
                  <w:marBottom w:val="0"/>
                  <w:divBdr>
                    <w:top w:val="none" w:sz="0" w:space="0" w:color="auto"/>
                    <w:left w:val="none" w:sz="0" w:space="0" w:color="auto"/>
                    <w:bottom w:val="none" w:sz="0" w:space="0" w:color="auto"/>
                    <w:right w:val="none" w:sz="0" w:space="0" w:color="auto"/>
                  </w:divBdr>
                  <w:divsChild>
                    <w:div w:id="154608873">
                      <w:marLeft w:val="0"/>
                      <w:marRight w:val="0"/>
                      <w:marTop w:val="0"/>
                      <w:marBottom w:val="0"/>
                      <w:divBdr>
                        <w:top w:val="none" w:sz="0" w:space="0" w:color="auto"/>
                        <w:left w:val="none" w:sz="0" w:space="0" w:color="auto"/>
                        <w:bottom w:val="none" w:sz="0" w:space="0" w:color="auto"/>
                        <w:right w:val="none" w:sz="0" w:space="0" w:color="auto"/>
                      </w:divBdr>
                    </w:div>
                  </w:divsChild>
                </w:div>
                <w:div w:id="461702218">
                  <w:marLeft w:val="0"/>
                  <w:marRight w:val="0"/>
                  <w:marTop w:val="0"/>
                  <w:marBottom w:val="0"/>
                  <w:divBdr>
                    <w:top w:val="none" w:sz="0" w:space="0" w:color="auto"/>
                    <w:left w:val="none" w:sz="0" w:space="0" w:color="auto"/>
                    <w:bottom w:val="none" w:sz="0" w:space="0" w:color="auto"/>
                    <w:right w:val="none" w:sz="0" w:space="0" w:color="auto"/>
                  </w:divBdr>
                  <w:divsChild>
                    <w:div w:id="1259674750">
                      <w:marLeft w:val="0"/>
                      <w:marRight w:val="0"/>
                      <w:marTop w:val="0"/>
                      <w:marBottom w:val="0"/>
                      <w:divBdr>
                        <w:top w:val="none" w:sz="0" w:space="0" w:color="auto"/>
                        <w:left w:val="none" w:sz="0" w:space="0" w:color="auto"/>
                        <w:bottom w:val="none" w:sz="0" w:space="0" w:color="auto"/>
                        <w:right w:val="none" w:sz="0" w:space="0" w:color="auto"/>
                      </w:divBdr>
                    </w:div>
                  </w:divsChild>
                </w:div>
                <w:div w:id="471602988">
                  <w:marLeft w:val="0"/>
                  <w:marRight w:val="0"/>
                  <w:marTop w:val="0"/>
                  <w:marBottom w:val="0"/>
                  <w:divBdr>
                    <w:top w:val="none" w:sz="0" w:space="0" w:color="auto"/>
                    <w:left w:val="none" w:sz="0" w:space="0" w:color="auto"/>
                    <w:bottom w:val="none" w:sz="0" w:space="0" w:color="auto"/>
                    <w:right w:val="none" w:sz="0" w:space="0" w:color="auto"/>
                  </w:divBdr>
                  <w:divsChild>
                    <w:div w:id="1251279843">
                      <w:marLeft w:val="0"/>
                      <w:marRight w:val="0"/>
                      <w:marTop w:val="0"/>
                      <w:marBottom w:val="0"/>
                      <w:divBdr>
                        <w:top w:val="none" w:sz="0" w:space="0" w:color="auto"/>
                        <w:left w:val="none" w:sz="0" w:space="0" w:color="auto"/>
                        <w:bottom w:val="none" w:sz="0" w:space="0" w:color="auto"/>
                        <w:right w:val="none" w:sz="0" w:space="0" w:color="auto"/>
                      </w:divBdr>
                    </w:div>
                    <w:div w:id="1954821369">
                      <w:marLeft w:val="0"/>
                      <w:marRight w:val="0"/>
                      <w:marTop w:val="0"/>
                      <w:marBottom w:val="0"/>
                      <w:divBdr>
                        <w:top w:val="none" w:sz="0" w:space="0" w:color="auto"/>
                        <w:left w:val="none" w:sz="0" w:space="0" w:color="auto"/>
                        <w:bottom w:val="none" w:sz="0" w:space="0" w:color="auto"/>
                        <w:right w:val="none" w:sz="0" w:space="0" w:color="auto"/>
                      </w:divBdr>
                    </w:div>
                  </w:divsChild>
                </w:div>
                <w:div w:id="510491636">
                  <w:marLeft w:val="0"/>
                  <w:marRight w:val="0"/>
                  <w:marTop w:val="0"/>
                  <w:marBottom w:val="0"/>
                  <w:divBdr>
                    <w:top w:val="none" w:sz="0" w:space="0" w:color="auto"/>
                    <w:left w:val="none" w:sz="0" w:space="0" w:color="auto"/>
                    <w:bottom w:val="none" w:sz="0" w:space="0" w:color="auto"/>
                    <w:right w:val="none" w:sz="0" w:space="0" w:color="auto"/>
                  </w:divBdr>
                  <w:divsChild>
                    <w:div w:id="1512910118">
                      <w:marLeft w:val="0"/>
                      <w:marRight w:val="0"/>
                      <w:marTop w:val="0"/>
                      <w:marBottom w:val="0"/>
                      <w:divBdr>
                        <w:top w:val="none" w:sz="0" w:space="0" w:color="auto"/>
                        <w:left w:val="none" w:sz="0" w:space="0" w:color="auto"/>
                        <w:bottom w:val="none" w:sz="0" w:space="0" w:color="auto"/>
                        <w:right w:val="none" w:sz="0" w:space="0" w:color="auto"/>
                      </w:divBdr>
                    </w:div>
                  </w:divsChild>
                </w:div>
                <w:div w:id="703555933">
                  <w:marLeft w:val="0"/>
                  <w:marRight w:val="0"/>
                  <w:marTop w:val="0"/>
                  <w:marBottom w:val="0"/>
                  <w:divBdr>
                    <w:top w:val="none" w:sz="0" w:space="0" w:color="auto"/>
                    <w:left w:val="none" w:sz="0" w:space="0" w:color="auto"/>
                    <w:bottom w:val="none" w:sz="0" w:space="0" w:color="auto"/>
                    <w:right w:val="none" w:sz="0" w:space="0" w:color="auto"/>
                  </w:divBdr>
                  <w:divsChild>
                    <w:div w:id="130710631">
                      <w:marLeft w:val="0"/>
                      <w:marRight w:val="0"/>
                      <w:marTop w:val="0"/>
                      <w:marBottom w:val="0"/>
                      <w:divBdr>
                        <w:top w:val="none" w:sz="0" w:space="0" w:color="auto"/>
                        <w:left w:val="none" w:sz="0" w:space="0" w:color="auto"/>
                        <w:bottom w:val="none" w:sz="0" w:space="0" w:color="auto"/>
                        <w:right w:val="none" w:sz="0" w:space="0" w:color="auto"/>
                      </w:divBdr>
                    </w:div>
                  </w:divsChild>
                </w:div>
                <w:div w:id="937643033">
                  <w:marLeft w:val="0"/>
                  <w:marRight w:val="0"/>
                  <w:marTop w:val="0"/>
                  <w:marBottom w:val="0"/>
                  <w:divBdr>
                    <w:top w:val="none" w:sz="0" w:space="0" w:color="auto"/>
                    <w:left w:val="none" w:sz="0" w:space="0" w:color="auto"/>
                    <w:bottom w:val="none" w:sz="0" w:space="0" w:color="auto"/>
                    <w:right w:val="none" w:sz="0" w:space="0" w:color="auto"/>
                  </w:divBdr>
                  <w:divsChild>
                    <w:div w:id="1435789601">
                      <w:marLeft w:val="0"/>
                      <w:marRight w:val="0"/>
                      <w:marTop w:val="0"/>
                      <w:marBottom w:val="0"/>
                      <w:divBdr>
                        <w:top w:val="none" w:sz="0" w:space="0" w:color="auto"/>
                        <w:left w:val="none" w:sz="0" w:space="0" w:color="auto"/>
                        <w:bottom w:val="none" w:sz="0" w:space="0" w:color="auto"/>
                        <w:right w:val="none" w:sz="0" w:space="0" w:color="auto"/>
                      </w:divBdr>
                    </w:div>
                  </w:divsChild>
                </w:div>
                <w:div w:id="1453749870">
                  <w:marLeft w:val="0"/>
                  <w:marRight w:val="0"/>
                  <w:marTop w:val="0"/>
                  <w:marBottom w:val="0"/>
                  <w:divBdr>
                    <w:top w:val="none" w:sz="0" w:space="0" w:color="auto"/>
                    <w:left w:val="none" w:sz="0" w:space="0" w:color="auto"/>
                    <w:bottom w:val="none" w:sz="0" w:space="0" w:color="auto"/>
                    <w:right w:val="none" w:sz="0" w:space="0" w:color="auto"/>
                  </w:divBdr>
                  <w:divsChild>
                    <w:div w:id="1045525221">
                      <w:marLeft w:val="0"/>
                      <w:marRight w:val="0"/>
                      <w:marTop w:val="0"/>
                      <w:marBottom w:val="0"/>
                      <w:divBdr>
                        <w:top w:val="none" w:sz="0" w:space="0" w:color="auto"/>
                        <w:left w:val="none" w:sz="0" w:space="0" w:color="auto"/>
                        <w:bottom w:val="none" w:sz="0" w:space="0" w:color="auto"/>
                        <w:right w:val="none" w:sz="0" w:space="0" w:color="auto"/>
                      </w:divBdr>
                    </w:div>
                  </w:divsChild>
                </w:div>
                <w:div w:id="1591739161">
                  <w:marLeft w:val="0"/>
                  <w:marRight w:val="0"/>
                  <w:marTop w:val="0"/>
                  <w:marBottom w:val="0"/>
                  <w:divBdr>
                    <w:top w:val="none" w:sz="0" w:space="0" w:color="auto"/>
                    <w:left w:val="none" w:sz="0" w:space="0" w:color="auto"/>
                    <w:bottom w:val="none" w:sz="0" w:space="0" w:color="auto"/>
                    <w:right w:val="none" w:sz="0" w:space="0" w:color="auto"/>
                  </w:divBdr>
                  <w:divsChild>
                    <w:div w:id="1708485555">
                      <w:marLeft w:val="0"/>
                      <w:marRight w:val="0"/>
                      <w:marTop w:val="0"/>
                      <w:marBottom w:val="0"/>
                      <w:divBdr>
                        <w:top w:val="none" w:sz="0" w:space="0" w:color="auto"/>
                        <w:left w:val="none" w:sz="0" w:space="0" w:color="auto"/>
                        <w:bottom w:val="none" w:sz="0" w:space="0" w:color="auto"/>
                        <w:right w:val="none" w:sz="0" w:space="0" w:color="auto"/>
                      </w:divBdr>
                    </w:div>
                  </w:divsChild>
                </w:div>
                <w:div w:id="1606695600">
                  <w:marLeft w:val="0"/>
                  <w:marRight w:val="0"/>
                  <w:marTop w:val="0"/>
                  <w:marBottom w:val="0"/>
                  <w:divBdr>
                    <w:top w:val="none" w:sz="0" w:space="0" w:color="auto"/>
                    <w:left w:val="none" w:sz="0" w:space="0" w:color="auto"/>
                    <w:bottom w:val="none" w:sz="0" w:space="0" w:color="auto"/>
                    <w:right w:val="none" w:sz="0" w:space="0" w:color="auto"/>
                  </w:divBdr>
                  <w:divsChild>
                    <w:div w:id="1896237851">
                      <w:marLeft w:val="0"/>
                      <w:marRight w:val="0"/>
                      <w:marTop w:val="0"/>
                      <w:marBottom w:val="0"/>
                      <w:divBdr>
                        <w:top w:val="none" w:sz="0" w:space="0" w:color="auto"/>
                        <w:left w:val="none" w:sz="0" w:space="0" w:color="auto"/>
                        <w:bottom w:val="none" w:sz="0" w:space="0" w:color="auto"/>
                        <w:right w:val="none" w:sz="0" w:space="0" w:color="auto"/>
                      </w:divBdr>
                    </w:div>
                  </w:divsChild>
                </w:div>
                <w:div w:id="1608659894">
                  <w:marLeft w:val="0"/>
                  <w:marRight w:val="0"/>
                  <w:marTop w:val="0"/>
                  <w:marBottom w:val="0"/>
                  <w:divBdr>
                    <w:top w:val="none" w:sz="0" w:space="0" w:color="auto"/>
                    <w:left w:val="none" w:sz="0" w:space="0" w:color="auto"/>
                    <w:bottom w:val="none" w:sz="0" w:space="0" w:color="auto"/>
                    <w:right w:val="none" w:sz="0" w:space="0" w:color="auto"/>
                  </w:divBdr>
                  <w:divsChild>
                    <w:div w:id="235433080">
                      <w:marLeft w:val="0"/>
                      <w:marRight w:val="0"/>
                      <w:marTop w:val="0"/>
                      <w:marBottom w:val="0"/>
                      <w:divBdr>
                        <w:top w:val="none" w:sz="0" w:space="0" w:color="auto"/>
                        <w:left w:val="none" w:sz="0" w:space="0" w:color="auto"/>
                        <w:bottom w:val="none" w:sz="0" w:space="0" w:color="auto"/>
                        <w:right w:val="none" w:sz="0" w:space="0" w:color="auto"/>
                      </w:divBdr>
                    </w:div>
                  </w:divsChild>
                </w:div>
                <w:div w:id="1618365167">
                  <w:marLeft w:val="0"/>
                  <w:marRight w:val="0"/>
                  <w:marTop w:val="0"/>
                  <w:marBottom w:val="0"/>
                  <w:divBdr>
                    <w:top w:val="none" w:sz="0" w:space="0" w:color="auto"/>
                    <w:left w:val="none" w:sz="0" w:space="0" w:color="auto"/>
                    <w:bottom w:val="none" w:sz="0" w:space="0" w:color="auto"/>
                    <w:right w:val="none" w:sz="0" w:space="0" w:color="auto"/>
                  </w:divBdr>
                  <w:divsChild>
                    <w:div w:id="1860973744">
                      <w:marLeft w:val="0"/>
                      <w:marRight w:val="0"/>
                      <w:marTop w:val="0"/>
                      <w:marBottom w:val="0"/>
                      <w:divBdr>
                        <w:top w:val="none" w:sz="0" w:space="0" w:color="auto"/>
                        <w:left w:val="none" w:sz="0" w:space="0" w:color="auto"/>
                        <w:bottom w:val="none" w:sz="0" w:space="0" w:color="auto"/>
                        <w:right w:val="none" w:sz="0" w:space="0" w:color="auto"/>
                      </w:divBdr>
                    </w:div>
                  </w:divsChild>
                </w:div>
                <w:div w:id="1626110512">
                  <w:marLeft w:val="0"/>
                  <w:marRight w:val="0"/>
                  <w:marTop w:val="0"/>
                  <w:marBottom w:val="0"/>
                  <w:divBdr>
                    <w:top w:val="none" w:sz="0" w:space="0" w:color="auto"/>
                    <w:left w:val="none" w:sz="0" w:space="0" w:color="auto"/>
                    <w:bottom w:val="none" w:sz="0" w:space="0" w:color="auto"/>
                    <w:right w:val="none" w:sz="0" w:space="0" w:color="auto"/>
                  </w:divBdr>
                  <w:divsChild>
                    <w:div w:id="1886213819">
                      <w:marLeft w:val="0"/>
                      <w:marRight w:val="0"/>
                      <w:marTop w:val="0"/>
                      <w:marBottom w:val="0"/>
                      <w:divBdr>
                        <w:top w:val="none" w:sz="0" w:space="0" w:color="auto"/>
                        <w:left w:val="none" w:sz="0" w:space="0" w:color="auto"/>
                        <w:bottom w:val="none" w:sz="0" w:space="0" w:color="auto"/>
                        <w:right w:val="none" w:sz="0" w:space="0" w:color="auto"/>
                      </w:divBdr>
                    </w:div>
                  </w:divsChild>
                </w:div>
                <w:div w:id="1788499464">
                  <w:marLeft w:val="0"/>
                  <w:marRight w:val="0"/>
                  <w:marTop w:val="0"/>
                  <w:marBottom w:val="0"/>
                  <w:divBdr>
                    <w:top w:val="none" w:sz="0" w:space="0" w:color="auto"/>
                    <w:left w:val="none" w:sz="0" w:space="0" w:color="auto"/>
                    <w:bottom w:val="none" w:sz="0" w:space="0" w:color="auto"/>
                    <w:right w:val="none" w:sz="0" w:space="0" w:color="auto"/>
                  </w:divBdr>
                  <w:divsChild>
                    <w:div w:id="1968927258">
                      <w:marLeft w:val="0"/>
                      <w:marRight w:val="0"/>
                      <w:marTop w:val="0"/>
                      <w:marBottom w:val="0"/>
                      <w:divBdr>
                        <w:top w:val="none" w:sz="0" w:space="0" w:color="auto"/>
                        <w:left w:val="none" w:sz="0" w:space="0" w:color="auto"/>
                        <w:bottom w:val="none" w:sz="0" w:space="0" w:color="auto"/>
                        <w:right w:val="none" w:sz="0" w:space="0" w:color="auto"/>
                      </w:divBdr>
                    </w:div>
                  </w:divsChild>
                </w:div>
                <w:div w:id="1938832810">
                  <w:marLeft w:val="0"/>
                  <w:marRight w:val="0"/>
                  <w:marTop w:val="0"/>
                  <w:marBottom w:val="0"/>
                  <w:divBdr>
                    <w:top w:val="none" w:sz="0" w:space="0" w:color="auto"/>
                    <w:left w:val="none" w:sz="0" w:space="0" w:color="auto"/>
                    <w:bottom w:val="none" w:sz="0" w:space="0" w:color="auto"/>
                    <w:right w:val="none" w:sz="0" w:space="0" w:color="auto"/>
                  </w:divBdr>
                  <w:divsChild>
                    <w:div w:id="1192720339">
                      <w:marLeft w:val="0"/>
                      <w:marRight w:val="0"/>
                      <w:marTop w:val="0"/>
                      <w:marBottom w:val="0"/>
                      <w:divBdr>
                        <w:top w:val="none" w:sz="0" w:space="0" w:color="auto"/>
                        <w:left w:val="none" w:sz="0" w:space="0" w:color="auto"/>
                        <w:bottom w:val="none" w:sz="0" w:space="0" w:color="auto"/>
                        <w:right w:val="none" w:sz="0" w:space="0" w:color="auto"/>
                      </w:divBdr>
                    </w:div>
                  </w:divsChild>
                </w:div>
                <w:div w:id="2001229223">
                  <w:marLeft w:val="0"/>
                  <w:marRight w:val="0"/>
                  <w:marTop w:val="0"/>
                  <w:marBottom w:val="0"/>
                  <w:divBdr>
                    <w:top w:val="none" w:sz="0" w:space="0" w:color="auto"/>
                    <w:left w:val="none" w:sz="0" w:space="0" w:color="auto"/>
                    <w:bottom w:val="none" w:sz="0" w:space="0" w:color="auto"/>
                    <w:right w:val="none" w:sz="0" w:space="0" w:color="auto"/>
                  </w:divBdr>
                  <w:divsChild>
                    <w:div w:id="768425895">
                      <w:marLeft w:val="0"/>
                      <w:marRight w:val="0"/>
                      <w:marTop w:val="0"/>
                      <w:marBottom w:val="0"/>
                      <w:divBdr>
                        <w:top w:val="none" w:sz="0" w:space="0" w:color="auto"/>
                        <w:left w:val="none" w:sz="0" w:space="0" w:color="auto"/>
                        <w:bottom w:val="none" w:sz="0" w:space="0" w:color="auto"/>
                        <w:right w:val="none" w:sz="0" w:space="0" w:color="auto"/>
                      </w:divBdr>
                    </w:div>
                  </w:divsChild>
                </w:div>
                <w:div w:id="2015373706">
                  <w:marLeft w:val="0"/>
                  <w:marRight w:val="0"/>
                  <w:marTop w:val="0"/>
                  <w:marBottom w:val="0"/>
                  <w:divBdr>
                    <w:top w:val="none" w:sz="0" w:space="0" w:color="auto"/>
                    <w:left w:val="none" w:sz="0" w:space="0" w:color="auto"/>
                    <w:bottom w:val="none" w:sz="0" w:space="0" w:color="auto"/>
                    <w:right w:val="none" w:sz="0" w:space="0" w:color="auto"/>
                  </w:divBdr>
                  <w:divsChild>
                    <w:div w:id="1520894622">
                      <w:marLeft w:val="0"/>
                      <w:marRight w:val="0"/>
                      <w:marTop w:val="0"/>
                      <w:marBottom w:val="0"/>
                      <w:divBdr>
                        <w:top w:val="none" w:sz="0" w:space="0" w:color="auto"/>
                        <w:left w:val="none" w:sz="0" w:space="0" w:color="auto"/>
                        <w:bottom w:val="none" w:sz="0" w:space="0" w:color="auto"/>
                        <w:right w:val="none" w:sz="0" w:space="0" w:color="auto"/>
                      </w:divBdr>
                    </w:div>
                  </w:divsChild>
                </w:div>
                <w:div w:id="2078239977">
                  <w:marLeft w:val="0"/>
                  <w:marRight w:val="0"/>
                  <w:marTop w:val="0"/>
                  <w:marBottom w:val="0"/>
                  <w:divBdr>
                    <w:top w:val="none" w:sz="0" w:space="0" w:color="auto"/>
                    <w:left w:val="none" w:sz="0" w:space="0" w:color="auto"/>
                    <w:bottom w:val="none" w:sz="0" w:space="0" w:color="auto"/>
                    <w:right w:val="none" w:sz="0" w:space="0" w:color="auto"/>
                  </w:divBdr>
                  <w:divsChild>
                    <w:div w:id="422647169">
                      <w:marLeft w:val="0"/>
                      <w:marRight w:val="0"/>
                      <w:marTop w:val="0"/>
                      <w:marBottom w:val="0"/>
                      <w:divBdr>
                        <w:top w:val="none" w:sz="0" w:space="0" w:color="auto"/>
                        <w:left w:val="none" w:sz="0" w:space="0" w:color="auto"/>
                        <w:bottom w:val="none" w:sz="0" w:space="0" w:color="auto"/>
                        <w:right w:val="none" w:sz="0" w:space="0" w:color="auto"/>
                      </w:divBdr>
                    </w:div>
                  </w:divsChild>
                </w:div>
                <w:div w:id="2125616456">
                  <w:marLeft w:val="0"/>
                  <w:marRight w:val="0"/>
                  <w:marTop w:val="0"/>
                  <w:marBottom w:val="0"/>
                  <w:divBdr>
                    <w:top w:val="none" w:sz="0" w:space="0" w:color="auto"/>
                    <w:left w:val="none" w:sz="0" w:space="0" w:color="auto"/>
                    <w:bottom w:val="none" w:sz="0" w:space="0" w:color="auto"/>
                    <w:right w:val="none" w:sz="0" w:space="0" w:color="auto"/>
                  </w:divBdr>
                  <w:divsChild>
                    <w:div w:id="1994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3260">
          <w:marLeft w:val="0"/>
          <w:marRight w:val="0"/>
          <w:marTop w:val="0"/>
          <w:marBottom w:val="0"/>
          <w:divBdr>
            <w:top w:val="none" w:sz="0" w:space="0" w:color="auto"/>
            <w:left w:val="none" w:sz="0" w:space="0" w:color="auto"/>
            <w:bottom w:val="none" w:sz="0" w:space="0" w:color="auto"/>
            <w:right w:val="none" w:sz="0" w:space="0" w:color="auto"/>
          </w:divBdr>
        </w:div>
        <w:div w:id="1675759408">
          <w:marLeft w:val="0"/>
          <w:marRight w:val="0"/>
          <w:marTop w:val="0"/>
          <w:marBottom w:val="0"/>
          <w:divBdr>
            <w:top w:val="none" w:sz="0" w:space="0" w:color="auto"/>
            <w:left w:val="none" w:sz="0" w:space="0" w:color="auto"/>
            <w:bottom w:val="none" w:sz="0" w:space="0" w:color="auto"/>
            <w:right w:val="none" w:sz="0" w:space="0" w:color="auto"/>
          </w:divBdr>
        </w:div>
      </w:divsChild>
    </w:div>
    <w:div w:id="1617904460">
      <w:bodyDiv w:val="1"/>
      <w:marLeft w:val="0"/>
      <w:marRight w:val="0"/>
      <w:marTop w:val="0"/>
      <w:marBottom w:val="0"/>
      <w:divBdr>
        <w:top w:val="none" w:sz="0" w:space="0" w:color="auto"/>
        <w:left w:val="none" w:sz="0" w:space="0" w:color="auto"/>
        <w:bottom w:val="none" w:sz="0" w:space="0" w:color="auto"/>
        <w:right w:val="none" w:sz="0" w:space="0" w:color="auto"/>
      </w:divBdr>
    </w:div>
    <w:div w:id="162079575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0642867">
      <w:bodyDiv w:val="1"/>
      <w:marLeft w:val="0"/>
      <w:marRight w:val="0"/>
      <w:marTop w:val="0"/>
      <w:marBottom w:val="0"/>
      <w:divBdr>
        <w:top w:val="none" w:sz="0" w:space="0" w:color="auto"/>
        <w:left w:val="none" w:sz="0" w:space="0" w:color="auto"/>
        <w:bottom w:val="none" w:sz="0" w:space="0" w:color="auto"/>
        <w:right w:val="none" w:sz="0" w:space="0" w:color="auto"/>
      </w:divBdr>
    </w:div>
    <w:div w:id="1694187287">
      <w:bodyDiv w:val="1"/>
      <w:marLeft w:val="0"/>
      <w:marRight w:val="0"/>
      <w:marTop w:val="0"/>
      <w:marBottom w:val="0"/>
      <w:divBdr>
        <w:top w:val="none" w:sz="0" w:space="0" w:color="auto"/>
        <w:left w:val="none" w:sz="0" w:space="0" w:color="auto"/>
        <w:bottom w:val="none" w:sz="0" w:space="0" w:color="auto"/>
        <w:right w:val="none" w:sz="0" w:space="0" w:color="auto"/>
      </w:divBdr>
    </w:div>
    <w:div w:id="1707900264">
      <w:bodyDiv w:val="1"/>
      <w:marLeft w:val="0"/>
      <w:marRight w:val="0"/>
      <w:marTop w:val="0"/>
      <w:marBottom w:val="0"/>
      <w:divBdr>
        <w:top w:val="none" w:sz="0" w:space="0" w:color="auto"/>
        <w:left w:val="none" w:sz="0" w:space="0" w:color="auto"/>
        <w:bottom w:val="none" w:sz="0" w:space="0" w:color="auto"/>
        <w:right w:val="none" w:sz="0" w:space="0" w:color="auto"/>
      </w:divBdr>
      <w:divsChild>
        <w:div w:id="387143175">
          <w:marLeft w:val="0"/>
          <w:marRight w:val="0"/>
          <w:marTop w:val="0"/>
          <w:marBottom w:val="0"/>
          <w:divBdr>
            <w:top w:val="none" w:sz="0" w:space="0" w:color="auto"/>
            <w:left w:val="none" w:sz="0" w:space="0" w:color="auto"/>
            <w:bottom w:val="none" w:sz="0" w:space="0" w:color="auto"/>
            <w:right w:val="none" w:sz="0" w:space="0" w:color="auto"/>
          </w:divBdr>
        </w:div>
        <w:div w:id="812596925">
          <w:marLeft w:val="0"/>
          <w:marRight w:val="0"/>
          <w:marTop w:val="0"/>
          <w:marBottom w:val="0"/>
          <w:divBdr>
            <w:top w:val="none" w:sz="0" w:space="0" w:color="auto"/>
            <w:left w:val="none" w:sz="0" w:space="0" w:color="auto"/>
            <w:bottom w:val="none" w:sz="0" w:space="0" w:color="auto"/>
            <w:right w:val="none" w:sz="0" w:space="0" w:color="auto"/>
          </w:divBdr>
        </w:div>
        <w:div w:id="1255824241">
          <w:marLeft w:val="0"/>
          <w:marRight w:val="0"/>
          <w:marTop w:val="0"/>
          <w:marBottom w:val="0"/>
          <w:divBdr>
            <w:top w:val="none" w:sz="0" w:space="0" w:color="auto"/>
            <w:left w:val="none" w:sz="0" w:space="0" w:color="auto"/>
            <w:bottom w:val="none" w:sz="0" w:space="0" w:color="auto"/>
            <w:right w:val="none" w:sz="0" w:space="0" w:color="auto"/>
          </w:divBdr>
          <w:divsChild>
            <w:div w:id="810563199">
              <w:marLeft w:val="-75"/>
              <w:marRight w:val="0"/>
              <w:marTop w:val="30"/>
              <w:marBottom w:val="30"/>
              <w:divBdr>
                <w:top w:val="none" w:sz="0" w:space="0" w:color="auto"/>
                <w:left w:val="none" w:sz="0" w:space="0" w:color="auto"/>
                <w:bottom w:val="none" w:sz="0" w:space="0" w:color="auto"/>
                <w:right w:val="none" w:sz="0" w:space="0" w:color="auto"/>
              </w:divBdr>
              <w:divsChild>
                <w:div w:id="10765567">
                  <w:marLeft w:val="0"/>
                  <w:marRight w:val="0"/>
                  <w:marTop w:val="0"/>
                  <w:marBottom w:val="0"/>
                  <w:divBdr>
                    <w:top w:val="none" w:sz="0" w:space="0" w:color="auto"/>
                    <w:left w:val="none" w:sz="0" w:space="0" w:color="auto"/>
                    <w:bottom w:val="none" w:sz="0" w:space="0" w:color="auto"/>
                    <w:right w:val="none" w:sz="0" w:space="0" w:color="auto"/>
                  </w:divBdr>
                  <w:divsChild>
                    <w:div w:id="262882612">
                      <w:marLeft w:val="0"/>
                      <w:marRight w:val="0"/>
                      <w:marTop w:val="0"/>
                      <w:marBottom w:val="0"/>
                      <w:divBdr>
                        <w:top w:val="none" w:sz="0" w:space="0" w:color="auto"/>
                        <w:left w:val="none" w:sz="0" w:space="0" w:color="auto"/>
                        <w:bottom w:val="none" w:sz="0" w:space="0" w:color="auto"/>
                        <w:right w:val="none" w:sz="0" w:space="0" w:color="auto"/>
                      </w:divBdr>
                    </w:div>
                    <w:div w:id="1062602065">
                      <w:marLeft w:val="0"/>
                      <w:marRight w:val="0"/>
                      <w:marTop w:val="0"/>
                      <w:marBottom w:val="0"/>
                      <w:divBdr>
                        <w:top w:val="none" w:sz="0" w:space="0" w:color="auto"/>
                        <w:left w:val="none" w:sz="0" w:space="0" w:color="auto"/>
                        <w:bottom w:val="none" w:sz="0" w:space="0" w:color="auto"/>
                        <w:right w:val="none" w:sz="0" w:space="0" w:color="auto"/>
                      </w:divBdr>
                    </w:div>
                  </w:divsChild>
                </w:div>
                <w:div w:id="84887296">
                  <w:marLeft w:val="0"/>
                  <w:marRight w:val="0"/>
                  <w:marTop w:val="0"/>
                  <w:marBottom w:val="0"/>
                  <w:divBdr>
                    <w:top w:val="none" w:sz="0" w:space="0" w:color="auto"/>
                    <w:left w:val="none" w:sz="0" w:space="0" w:color="auto"/>
                    <w:bottom w:val="none" w:sz="0" w:space="0" w:color="auto"/>
                    <w:right w:val="none" w:sz="0" w:space="0" w:color="auto"/>
                  </w:divBdr>
                  <w:divsChild>
                    <w:div w:id="91827630">
                      <w:marLeft w:val="0"/>
                      <w:marRight w:val="0"/>
                      <w:marTop w:val="0"/>
                      <w:marBottom w:val="0"/>
                      <w:divBdr>
                        <w:top w:val="none" w:sz="0" w:space="0" w:color="auto"/>
                        <w:left w:val="none" w:sz="0" w:space="0" w:color="auto"/>
                        <w:bottom w:val="none" w:sz="0" w:space="0" w:color="auto"/>
                        <w:right w:val="none" w:sz="0" w:space="0" w:color="auto"/>
                      </w:divBdr>
                    </w:div>
                  </w:divsChild>
                </w:div>
                <w:div w:id="321782759">
                  <w:marLeft w:val="0"/>
                  <w:marRight w:val="0"/>
                  <w:marTop w:val="0"/>
                  <w:marBottom w:val="0"/>
                  <w:divBdr>
                    <w:top w:val="none" w:sz="0" w:space="0" w:color="auto"/>
                    <w:left w:val="none" w:sz="0" w:space="0" w:color="auto"/>
                    <w:bottom w:val="none" w:sz="0" w:space="0" w:color="auto"/>
                    <w:right w:val="none" w:sz="0" w:space="0" w:color="auto"/>
                  </w:divBdr>
                  <w:divsChild>
                    <w:div w:id="67043525">
                      <w:marLeft w:val="0"/>
                      <w:marRight w:val="0"/>
                      <w:marTop w:val="0"/>
                      <w:marBottom w:val="0"/>
                      <w:divBdr>
                        <w:top w:val="none" w:sz="0" w:space="0" w:color="auto"/>
                        <w:left w:val="none" w:sz="0" w:space="0" w:color="auto"/>
                        <w:bottom w:val="none" w:sz="0" w:space="0" w:color="auto"/>
                        <w:right w:val="none" w:sz="0" w:space="0" w:color="auto"/>
                      </w:divBdr>
                    </w:div>
                  </w:divsChild>
                </w:div>
                <w:div w:id="654913969">
                  <w:marLeft w:val="0"/>
                  <w:marRight w:val="0"/>
                  <w:marTop w:val="0"/>
                  <w:marBottom w:val="0"/>
                  <w:divBdr>
                    <w:top w:val="none" w:sz="0" w:space="0" w:color="auto"/>
                    <w:left w:val="none" w:sz="0" w:space="0" w:color="auto"/>
                    <w:bottom w:val="none" w:sz="0" w:space="0" w:color="auto"/>
                    <w:right w:val="none" w:sz="0" w:space="0" w:color="auto"/>
                  </w:divBdr>
                  <w:divsChild>
                    <w:div w:id="970866570">
                      <w:marLeft w:val="0"/>
                      <w:marRight w:val="0"/>
                      <w:marTop w:val="0"/>
                      <w:marBottom w:val="0"/>
                      <w:divBdr>
                        <w:top w:val="none" w:sz="0" w:space="0" w:color="auto"/>
                        <w:left w:val="none" w:sz="0" w:space="0" w:color="auto"/>
                        <w:bottom w:val="none" w:sz="0" w:space="0" w:color="auto"/>
                        <w:right w:val="none" w:sz="0" w:space="0" w:color="auto"/>
                      </w:divBdr>
                    </w:div>
                  </w:divsChild>
                </w:div>
                <w:div w:id="699204521">
                  <w:marLeft w:val="0"/>
                  <w:marRight w:val="0"/>
                  <w:marTop w:val="0"/>
                  <w:marBottom w:val="0"/>
                  <w:divBdr>
                    <w:top w:val="none" w:sz="0" w:space="0" w:color="auto"/>
                    <w:left w:val="none" w:sz="0" w:space="0" w:color="auto"/>
                    <w:bottom w:val="none" w:sz="0" w:space="0" w:color="auto"/>
                    <w:right w:val="none" w:sz="0" w:space="0" w:color="auto"/>
                  </w:divBdr>
                  <w:divsChild>
                    <w:div w:id="1214388607">
                      <w:marLeft w:val="0"/>
                      <w:marRight w:val="0"/>
                      <w:marTop w:val="0"/>
                      <w:marBottom w:val="0"/>
                      <w:divBdr>
                        <w:top w:val="none" w:sz="0" w:space="0" w:color="auto"/>
                        <w:left w:val="none" w:sz="0" w:space="0" w:color="auto"/>
                        <w:bottom w:val="none" w:sz="0" w:space="0" w:color="auto"/>
                        <w:right w:val="none" w:sz="0" w:space="0" w:color="auto"/>
                      </w:divBdr>
                    </w:div>
                  </w:divsChild>
                </w:div>
                <w:div w:id="901330342">
                  <w:marLeft w:val="0"/>
                  <w:marRight w:val="0"/>
                  <w:marTop w:val="0"/>
                  <w:marBottom w:val="0"/>
                  <w:divBdr>
                    <w:top w:val="none" w:sz="0" w:space="0" w:color="auto"/>
                    <w:left w:val="none" w:sz="0" w:space="0" w:color="auto"/>
                    <w:bottom w:val="none" w:sz="0" w:space="0" w:color="auto"/>
                    <w:right w:val="none" w:sz="0" w:space="0" w:color="auto"/>
                  </w:divBdr>
                  <w:divsChild>
                    <w:div w:id="69811666">
                      <w:marLeft w:val="0"/>
                      <w:marRight w:val="0"/>
                      <w:marTop w:val="0"/>
                      <w:marBottom w:val="0"/>
                      <w:divBdr>
                        <w:top w:val="none" w:sz="0" w:space="0" w:color="auto"/>
                        <w:left w:val="none" w:sz="0" w:space="0" w:color="auto"/>
                        <w:bottom w:val="none" w:sz="0" w:space="0" w:color="auto"/>
                        <w:right w:val="none" w:sz="0" w:space="0" w:color="auto"/>
                      </w:divBdr>
                    </w:div>
                  </w:divsChild>
                </w:div>
                <w:div w:id="956257218">
                  <w:marLeft w:val="0"/>
                  <w:marRight w:val="0"/>
                  <w:marTop w:val="0"/>
                  <w:marBottom w:val="0"/>
                  <w:divBdr>
                    <w:top w:val="none" w:sz="0" w:space="0" w:color="auto"/>
                    <w:left w:val="none" w:sz="0" w:space="0" w:color="auto"/>
                    <w:bottom w:val="none" w:sz="0" w:space="0" w:color="auto"/>
                    <w:right w:val="none" w:sz="0" w:space="0" w:color="auto"/>
                  </w:divBdr>
                  <w:divsChild>
                    <w:div w:id="1243753797">
                      <w:marLeft w:val="0"/>
                      <w:marRight w:val="0"/>
                      <w:marTop w:val="0"/>
                      <w:marBottom w:val="0"/>
                      <w:divBdr>
                        <w:top w:val="none" w:sz="0" w:space="0" w:color="auto"/>
                        <w:left w:val="none" w:sz="0" w:space="0" w:color="auto"/>
                        <w:bottom w:val="none" w:sz="0" w:space="0" w:color="auto"/>
                        <w:right w:val="none" w:sz="0" w:space="0" w:color="auto"/>
                      </w:divBdr>
                    </w:div>
                  </w:divsChild>
                </w:div>
                <w:div w:id="1119687149">
                  <w:marLeft w:val="0"/>
                  <w:marRight w:val="0"/>
                  <w:marTop w:val="0"/>
                  <w:marBottom w:val="0"/>
                  <w:divBdr>
                    <w:top w:val="none" w:sz="0" w:space="0" w:color="auto"/>
                    <w:left w:val="none" w:sz="0" w:space="0" w:color="auto"/>
                    <w:bottom w:val="none" w:sz="0" w:space="0" w:color="auto"/>
                    <w:right w:val="none" w:sz="0" w:space="0" w:color="auto"/>
                  </w:divBdr>
                  <w:divsChild>
                    <w:div w:id="1269773944">
                      <w:marLeft w:val="0"/>
                      <w:marRight w:val="0"/>
                      <w:marTop w:val="0"/>
                      <w:marBottom w:val="0"/>
                      <w:divBdr>
                        <w:top w:val="none" w:sz="0" w:space="0" w:color="auto"/>
                        <w:left w:val="none" w:sz="0" w:space="0" w:color="auto"/>
                        <w:bottom w:val="none" w:sz="0" w:space="0" w:color="auto"/>
                        <w:right w:val="none" w:sz="0" w:space="0" w:color="auto"/>
                      </w:divBdr>
                    </w:div>
                  </w:divsChild>
                </w:div>
                <w:div w:id="1401975781">
                  <w:marLeft w:val="0"/>
                  <w:marRight w:val="0"/>
                  <w:marTop w:val="0"/>
                  <w:marBottom w:val="0"/>
                  <w:divBdr>
                    <w:top w:val="none" w:sz="0" w:space="0" w:color="auto"/>
                    <w:left w:val="none" w:sz="0" w:space="0" w:color="auto"/>
                    <w:bottom w:val="none" w:sz="0" w:space="0" w:color="auto"/>
                    <w:right w:val="none" w:sz="0" w:space="0" w:color="auto"/>
                  </w:divBdr>
                  <w:divsChild>
                    <w:div w:id="1464008826">
                      <w:marLeft w:val="0"/>
                      <w:marRight w:val="0"/>
                      <w:marTop w:val="0"/>
                      <w:marBottom w:val="0"/>
                      <w:divBdr>
                        <w:top w:val="none" w:sz="0" w:space="0" w:color="auto"/>
                        <w:left w:val="none" w:sz="0" w:space="0" w:color="auto"/>
                        <w:bottom w:val="none" w:sz="0" w:space="0" w:color="auto"/>
                        <w:right w:val="none" w:sz="0" w:space="0" w:color="auto"/>
                      </w:divBdr>
                    </w:div>
                  </w:divsChild>
                </w:div>
                <w:div w:id="1409575628">
                  <w:marLeft w:val="0"/>
                  <w:marRight w:val="0"/>
                  <w:marTop w:val="0"/>
                  <w:marBottom w:val="0"/>
                  <w:divBdr>
                    <w:top w:val="none" w:sz="0" w:space="0" w:color="auto"/>
                    <w:left w:val="none" w:sz="0" w:space="0" w:color="auto"/>
                    <w:bottom w:val="none" w:sz="0" w:space="0" w:color="auto"/>
                    <w:right w:val="none" w:sz="0" w:space="0" w:color="auto"/>
                  </w:divBdr>
                  <w:divsChild>
                    <w:div w:id="926768217">
                      <w:marLeft w:val="0"/>
                      <w:marRight w:val="0"/>
                      <w:marTop w:val="0"/>
                      <w:marBottom w:val="0"/>
                      <w:divBdr>
                        <w:top w:val="none" w:sz="0" w:space="0" w:color="auto"/>
                        <w:left w:val="none" w:sz="0" w:space="0" w:color="auto"/>
                        <w:bottom w:val="none" w:sz="0" w:space="0" w:color="auto"/>
                        <w:right w:val="none" w:sz="0" w:space="0" w:color="auto"/>
                      </w:divBdr>
                    </w:div>
                  </w:divsChild>
                </w:div>
                <w:div w:id="1474517867">
                  <w:marLeft w:val="0"/>
                  <w:marRight w:val="0"/>
                  <w:marTop w:val="0"/>
                  <w:marBottom w:val="0"/>
                  <w:divBdr>
                    <w:top w:val="none" w:sz="0" w:space="0" w:color="auto"/>
                    <w:left w:val="none" w:sz="0" w:space="0" w:color="auto"/>
                    <w:bottom w:val="none" w:sz="0" w:space="0" w:color="auto"/>
                    <w:right w:val="none" w:sz="0" w:space="0" w:color="auto"/>
                  </w:divBdr>
                  <w:divsChild>
                    <w:div w:id="1063914586">
                      <w:marLeft w:val="0"/>
                      <w:marRight w:val="0"/>
                      <w:marTop w:val="0"/>
                      <w:marBottom w:val="0"/>
                      <w:divBdr>
                        <w:top w:val="none" w:sz="0" w:space="0" w:color="auto"/>
                        <w:left w:val="none" w:sz="0" w:space="0" w:color="auto"/>
                        <w:bottom w:val="none" w:sz="0" w:space="0" w:color="auto"/>
                        <w:right w:val="none" w:sz="0" w:space="0" w:color="auto"/>
                      </w:divBdr>
                    </w:div>
                  </w:divsChild>
                </w:div>
                <w:div w:id="1487355704">
                  <w:marLeft w:val="0"/>
                  <w:marRight w:val="0"/>
                  <w:marTop w:val="0"/>
                  <w:marBottom w:val="0"/>
                  <w:divBdr>
                    <w:top w:val="none" w:sz="0" w:space="0" w:color="auto"/>
                    <w:left w:val="none" w:sz="0" w:space="0" w:color="auto"/>
                    <w:bottom w:val="none" w:sz="0" w:space="0" w:color="auto"/>
                    <w:right w:val="none" w:sz="0" w:space="0" w:color="auto"/>
                  </w:divBdr>
                  <w:divsChild>
                    <w:div w:id="888615064">
                      <w:marLeft w:val="0"/>
                      <w:marRight w:val="0"/>
                      <w:marTop w:val="0"/>
                      <w:marBottom w:val="0"/>
                      <w:divBdr>
                        <w:top w:val="none" w:sz="0" w:space="0" w:color="auto"/>
                        <w:left w:val="none" w:sz="0" w:space="0" w:color="auto"/>
                        <w:bottom w:val="none" w:sz="0" w:space="0" w:color="auto"/>
                        <w:right w:val="none" w:sz="0" w:space="0" w:color="auto"/>
                      </w:divBdr>
                    </w:div>
                  </w:divsChild>
                </w:div>
                <w:div w:id="1556432002">
                  <w:marLeft w:val="0"/>
                  <w:marRight w:val="0"/>
                  <w:marTop w:val="0"/>
                  <w:marBottom w:val="0"/>
                  <w:divBdr>
                    <w:top w:val="none" w:sz="0" w:space="0" w:color="auto"/>
                    <w:left w:val="none" w:sz="0" w:space="0" w:color="auto"/>
                    <w:bottom w:val="none" w:sz="0" w:space="0" w:color="auto"/>
                    <w:right w:val="none" w:sz="0" w:space="0" w:color="auto"/>
                  </w:divBdr>
                  <w:divsChild>
                    <w:div w:id="922297732">
                      <w:marLeft w:val="0"/>
                      <w:marRight w:val="0"/>
                      <w:marTop w:val="0"/>
                      <w:marBottom w:val="0"/>
                      <w:divBdr>
                        <w:top w:val="none" w:sz="0" w:space="0" w:color="auto"/>
                        <w:left w:val="none" w:sz="0" w:space="0" w:color="auto"/>
                        <w:bottom w:val="none" w:sz="0" w:space="0" w:color="auto"/>
                        <w:right w:val="none" w:sz="0" w:space="0" w:color="auto"/>
                      </w:divBdr>
                    </w:div>
                  </w:divsChild>
                </w:div>
                <w:div w:id="1567883271">
                  <w:marLeft w:val="0"/>
                  <w:marRight w:val="0"/>
                  <w:marTop w:val="0"/>
                  <w:marBottom w:val="0"/>
                  <w:divBdr>
                    <w:top w:val="none" w:sz="0" w:space="0" w:color="auto"/>
                    <w:left w:val="none" w:sz="0" w:space="0" w:color="auto"/>
                    <w:bottom w:val="none" w:sz="0" w:space="0" w:color="auto"/>
                    <w:right w:val="none" w:sz="0" w:space="0" w:color="auto"/>
                  </w:divBdr>
                  <w:divsChild>
                    <w:div w:id="1860005331">
                      <w:marLeft w:val="0"/>
                      <w:marRight w:val="0"/>
                      <w:marTop w:val="0"/>
                      <w:marBottom w:val="0"/>
                      <w:divBdr>
                        <w:top w:val="none" w:sz="0" w:space="0" w:color="auto"/>
                        <w:left w:val="none" w:sz="0" w:space="0" w:color="auto"/>
                        <w:bottom w:val="none" w:sz="0" w:space="0" w:color="auto"/>
                        <w:right w:val="none" w:sz="0" w:space="0" w:color="auto"/>
                      </w:divBdr>
                    </w:div>
                  </w:divsChild>
                </w:div>
                <w:div w:id="1603607312">
                  <w:marLeft w:val="0"/>
                  <w:marRight w:val="0"/>
                  <w:marTop w:val="0"/>
                  <w:marBottom w:val="0"/>
                  <w:divBdr>
                    <w:top w:val="none" w:sz="0" w:space="0" w:color="auto"/>
                    <w:left w:val="none" w:sz="0" w:space="0" w:color="auto"/>
                    <w:bottom w:val="none" w:sz="0" w:space="0" w:color="auto"/>
                    <w:right w:val="none" w:sz="0" w:space="0" w:color="auto"/>
                  </w:divBdr>
                  <w:divsChild>
                    <w:div w:id="559677796">
                      <w:marLeft w:val="0"/>
                      <w:marRight w:val="0"/>
                      <w:marTop w:val="0"/>
                      <w:marBottom w:val="0"/>
                      <w:divBdr>
                        <w:top w:val="none" w:sz="0" w:space="0" w:color="auto"/>
                        <w:left w:val="none" w:sz="0" w:space="0" w:color="auto"/>
                        <w:bottom w:val="none" w:sz="0" w:space="0" w:color="auto"/>
                        <w:right w:val="none" w:sz="0" w:space="0" w:color="auto"/>
                      </w:divBdr>
                    </w:div>
                  </w:divsChild>
                </w:div>
                <w:div w:id="1884054063">
                  <w:marLeft w:val="0"/>
                  <w:marRight w:val="0"/>
                  <w:marTop w:val="0"/>
                  <w:marBottom w:val="0"/>
                  <w:divBdr>
                    <w:top w:val="none" w:sz="0" w:space="0" w:color="auto"/>
                    <w:left w:val="none" w:sz="0" w:space="0" w:color="auto"/>
                    <w:bottom w:val="none" w:sz="0" w:space="0" w:color="auto"/>
                    <w:right w:val="none" w:sz="0" w:space="0" w:color="auto"/>
                  </w:divBdr>
                  <w:divsChild>
                    <w:div w:id="1585990888">
                      <w:marLeft w:val="0"/>
                      <w:marRight w:val="0"/>
                      <w:marTop w:val="0"/>
                      <w:marBottom w:val="0"/>
                      <w:divBdr>
                        <w:top w:val="none" w:sz="0" w:space="0" w:color="auto"/>
                        <w:left w:val="none" w:sz="0" w:space="0" w:color="auto"/>
                        <w:bottom w:val="none" w:sz="0" w:space="0" w:color="auto"/>
                        <w:right w:val="none" w:sz="0" w:space="0" w:color="auto"/>
                      </w:divBdr>
                    </w:div>
                  </w:divsChild>
                </w:div>
                <w:div w:id="1889535431">
                  <w:marLeft w:val="0"/>
                  <w:marRight w:val="0"/>
                  <w:marTop w:val="0"/>
                  <w:marBottom w:val="0"/>
                  <w:divBdr>
                    <w:top w:val="none" w:sz="0" w:space="0" w:color="auto"/>
                    <w:left w:val="none" w:sz="0" w:space="0" w:color="auto"/>
                    <w:bottom w:val="none" w:sz="0" w:space="0" w:color="auto"/>
                    <w:right w:val="none" w:sz="0" w:space="0" w:color="auto"/>
                  </w:divBdr>
                  <w:divsChild>
                    <w:div w:id="1928921498">
                      <w:marLeft w:val="0"/>
                      <w:marRight w:val="0"/>
                      <w:marTop w:val="0"/>
                      <w:marBottom w:val="0"/>
                      <w:divBdr>
                        <w:top w:val="none" w:sz="0" w:space="0" w:color="auto"/>
                        <w:left w:val="none" w:sz="0" w:space="0" w:color="auto"/>
                        <w:bottom w:val="none" w:sz="0" w:space="0" w:color="auto"/>
                        <w:right w:val="none" w:sz="0" w:space="0" w:color="auto"/>
                      </w:divBdr>
                    </w:div>
                  </w:divsChild>
                </w:div>
                <w:div w:id="1892377147">
                  <w:marLeft w:val="0"/>
                  <w:marRight w:val="0"/>
                  <w:marTop w:val="0"/>
                  <w:marBottom w:val="0"/>
                  <w:divBdr>
                    <w:top w:val="none" w:sz="0" w:space="0" w:color="auto"/>
                    <w:left w:val="none" w:sz="0" w:space="0" w:color="auto"/>
                    <w:bottom w:val="none" w:sz="0" w:space="0" w:color="auto"/>
                    <w:right w:val="none" w:sz="0" w:space="0" w:color="auto"/>
                  </w:divBdr>
                  <w:divsChild>
                    <w:div w:id="1064597001">
                      <w:marLeft w:val="0"/>
                      <w:marRight w:val="0"/>
                      <w:marTop w:val="0"/>
                      <w:marBottom w:val="0"/>
                      <w:divBdr>
                        <w:top w:val="none" w:sz="0" w:space="0" w:color="auto"/>
                        <w:left w:val="none" w:sz="0" w:space="0" w:color="auto"/>
                        <w:bottom w:val="none" w:sz="0" w:space="0" w:color="auto"/>
                        <w:right w:val="none" w:sz="0" w:space="0" w:color="auto"/>
                      </w:divBdr>
                    </w:div>
                  </w:divsChild>
                </w:div>
                <w:div w:id="1951818635">
                  <w:marLeft w:val="0"/>
                  <w:marRight w:val="0"/>
                  <w:marTop w:val="0"/>
                  <w:marBottom w:val="0"/>
                  <w:divBdr>
                    <w:top w:val="none" w:sz="0" w:space="0" w:color="auto"/>
                    <w:left w:val="none" w:sz="0" w:space="0" w:color="auto"/>
                    <w:bottom w:val="none" w:sz="0" w:space="0" w:color="auto"/>
                    <w:right w:val="none" w:sz="0" w:space="0" w:color="auto"/>
                  </w:divBdr>
                  <w:divsChild>
                    <w:div w:id="1217158110">
                      <w:marLeft w:val="0"/>
                      <w:marRight w:val="0"/>
                      <w:marTop w:val="0"/>
                      <w:marBottom w:val="0"/>
                      <w:divBdr>
                        <w:top w:val="none" w:sz="0" w:space="0" w:color="auto"/>
                        <w:left w:val="none" w:sz="0" w:space="0" w:color="auto"/>
                        <w:bottom w:val="none" w:sz="0" w:space="0" w:color="auto"/>
                        <w:right w:val="none" w:sz="0" w:space="0" w:color="auto"/>
                      </w:divBdr>
                    </w:div>
                  </w:divsChild>
                </w:div>
                <w:div w:id="1962613650">
                  <w:marLeft w:val="0"/>
                  <w:marRight w:val="0"/>
                  <w:marTop w:val="0"/>
                  <w:marBottom w:val="0"/>
                  <w:divBdr>
                    <w:top w:val="none" w:sz="0" w:space="0" w:color="auto"/>
                    <w:left w:val="none" w:sz="0" w:space="0" w:color="auto"/>
                    <w:bottom w:val="none" w:sz="0" w:space="0" w:color="auto"/>
                    <w:right w:val="none" w:sz="0" w:space="0" w:color="auto"/>
                  </w:divBdr>
                  <w:divsChild>
                    <w:div w:id="1249078396">
                      <w:marLeft w:val="0"/>
                      <w:marRight w:val="0"/>
                      <w:marTop w:val="0"/>
                      <w:marBottom w:val="0"/>
                      <w:divBdr>
                        <w:top w:val="none" w:sz="0" w:space="0" w:color="auto"/>
                        <w:left w:val="none" w:sz="0" w:space="0" w:color="auto"/>
                        <w:bottom w:val="none" w:sz="0" w:space="0" w:color="auto"/>
                        <w:right w:val="none" w:sz="0" w:space="0" w:color="auto"/>
                      </w:divBdr>
                    </w:div>
                  </w:divsChild>
                </w:div>
                <w:div w:id="2050181115">
                  <w:marLeft w:val="0"/>
                  <w:marRight w:val="0"/>
                  <w:marTop w:val="0"/>
                  <w:marBottom w:val="0"/>
                  <w:divBdr>
                    <w:top w:val="none" w:sz="0" w:space="0" w:color="auto"/>
                    <w:left w:val="none" w:sz="0" w:space="0" w:color="auto"/>
                    <w:bottom w:val="none" w:sz="0" w:space="0" w:color="auto"/>
                    <w:right w:val="none" w:sz="0" w:space="0" w:color="auto"/>
                  </w:divBdr>
                  <w:divsChild>
                    <w:div w:id="11613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3738">
          <w:marLeft w:val="0"/>
          <w:marRight w:val="0"/>
          <w:marTop w:val="0"/>
          <w:marBottom w:val="0"/>
          <w:divBdr>
            <w:top w:val="none" w:sz="0" w:space="0" w:color="auto"/>
            <w:left w:val="none" w:sz="0" w:space="0" w:color="auto"/>
            <w:bottom w:val="none" w:sz="0" w:space="0" w:color="auto"/>
            <w:right w:val="none" w:sz="0" w:space="0" w:color="auto"/>
          </w:divBdr>
        </w:div>
        <w:div w:id="2092657240">
          <w:marLeft w:val="0"/>
          <w:marRight w:val="0"/>
          <w:marTop w:val="0"/>
          <w:marBottom w:val="0"/>
          <w:divBdr>
            <w:top w:val="none" w:sz="0" w:space="0" w:color="auto"/>
            <w:left w:val="none" w:sz="0" w:space="0" w:color="auto"/>
            <w:bottom w:val="none" w:sz="0" w:space="0" w:color="auto"/>
            <w:right w:val="none" w:sz="0" w:space="0" w:color="auto"/>
          </w:divBdr>
        </w:div>
      </w:divsChild>
    </w:div>
    <w:div w:id="1747994380">
      <w:bodyDiv w:val="1"/>
      <w:marLeft w:val="0"/>
      <w:marRight w:val="0"/>
      <w:marTop w:val="0"/>
      <w:marBottom w:val="0"/>
      <w:divBdr>
        <w:top w:val="none" w:sz="0" w:space="0" w:color="auto"/>
        <w:left w:val="none" w:sz="0" w:space="0" w:color="auto"/>
        <w:bottom w:val="none" w:sz="0" w:space="0" w:color="auto"/>
        <w:right w:val="none" w:sz="0" w:space="0" w:color="auto"/>
      </w:divBdr>
    </w:div>
    <w:div w:id="178221633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3033260">
      <w:bodyDiv w:val="1"/>
      <w:marLeft w:val="0"/>
      <w:marRight w:val="0"/>
      <w:marTop w:val="0"/>
      <w:marBottom w:val="0"/>
      <w:divBdr>
        <w:top w:val="none" w:sz="0" w:space="0" w:color="auto"/>
        <w:left w:val="none" w:sz="0" w:space="0" w:color="auto"/>
        <w:bottom w:val="none" w:sz="0" w:space="0" w:color="auto"/>
        <w:right w:val="none" w:sz="0" w:space="0" w:color="auto"/>
      </w:divBdr>
    </w:div>
    <w:div w:id="1807047265">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4547430">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3470647">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45991149">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40735078">
      <w:bodyDiv w:val="1"/>
      <w:marLeft w:val="0"/>
      <w:marRight w:val="0"/>
      <w:marTop w:val="0"/>
      <w:marBottom w:val="0"/>
      <w:divBdr>
        <w:top w:val="none" w:sz="0" w:space="0" w:color="auto"/>
        <w:left w:val="none" w:sz="0" w:space="0" w:color="auto"/>
        <w:bottom w:val="none" w:sz="0" w:space="0" w:color="auto"/>
        <w:right w:val="none" w:sz="0" w:space="0" w:color="auto"/>
      </w:divBdr>
    </w:div>
    <w:div w:id="2045908256">
      <w:bodyDiv w:val="1"/>
      <w:marLeft w:val="0"/>
      <w:marRight w:val="0"/>
      <w:marTop w:val="0"/>
      <w:marBottom w:val="0"/>
      <w:divBdr>
        <w:top w:val="none" w:sz="0" w:space="0" w:color="auto"/>
        <w:left w:val="none" w:sz="0" w:space="0" w:color="auto"/>
        <w:bottom w:val="none" w:sz="0" w:space="0" w:color="auto"/>
        <w:right w:val="none" w:sz="0" w:space="0" w:color="auto"/>
      </w:divBdr>
      <w:divsChild>
        <w:div w:id="1995790105">
          <w:marLeft w:val="0"/>
          <w:marRight w:val="0"/>
          <w:marTop w:val="0"/>
          <w:marBottom w:val="0"/>
          <w:divBdr>
            <w:top w:val="none" w:sz="0" w:space="0" w:color="auto"/>
            <w:left w:val="none" w:sz="0" w:space="0" w:color="auto"/>
            <w:bottom w:val="none" w:sz="0" w:space="0" w:color="auto"/>
            <w:right w:val="none" w:sz="0" w:space="0" w:color="auto"/>
          </w:divBdr>
          <w:divsChild>
            <w:div w:id="1968513363">
              <w:marLeft w:val="0"/>
              <w:marRight w:val="0"/>
              <w:marTop w:val="0"/>
              <w:marBottom w:val="0"/>
              <w:divBdr>
                <w:top w:val="none" w:sz="0" w:space="0" w:color="auto"/>
                <w:left w:val="none" w:sz="0" w:space="0" w:color="auto"/>
                <w:bottom w:val="none" w:sz="0" w:space="0" w:color="auto"/>
                <w:right w:val="none" w:sz="0" w:space="0" w:color="auto"/>
              </w:divBdr>
              <w:divsChild>
                <w:div w:id="1499806293">
                  <w:marLeft w:val="0"/>
                  <w:marRight w:val="0"/>
                  <w:marTop w:val="0"/>
                  <w:marBottom w:val="0"/>
                  <w:divBdr>
                    <w:top w:val="none" w:sz="0" w:space="0" w:color="auto"/>
                    <w:left w:val="none" w:sz="0" w:space="0" w:color="auto"/>
                    <w:bottom w:val="none" w:sz="0" w:space="0" w:color="auto"/>
                    <w:right w:val="none" w:sz="0" w:space="0" w:color="auto"/>
                  </w:divBdr>
                  <w:divsChild>
                    <w:div w:id="7493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89975">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0566177">
      <w:bodyDiv w:val="1"/>
      <w:marLeft w:val="0"/>
      <w:marRight w:val="0"/>
      <w:marTop w:val="0"/>
      <w:marBottom w:val="0"/>
      <w:divBdr>
        <w:top w:val="none" w:sz="0" w:space="0" w:color="auto"/>
        <w:left w:val="none" w:sz="0" w:space="0" w:color="auto"/>
        <w:bottom w:val="none" w:sz="0" w:space="0" w:color="auto"/>
        <w:right w:val="none" w:sz="0" w:space="0" w:color="auto"/>
      </w:divBdr>
    </w:div>
    <w:div w:id="2071032080">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6538107">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5101971">
      <w:bodyDiv w:val="1"/>
      <w:marLeft w:val="0"/>
      <w:marRight w:val="0"/>
      <w:marTop w:val="0"/>
      <w:marBottom w:val="0"/>
      <w:divBdr>
        <w:top w:val="none" w:sz="0" w:space="0" w:color="auto"/>
        <w:left w:val="none" w:sz="0" w:space="0" w:color="auto"/>
        <w:bottom w:val="none" w:sz="0" w:space="0" w:color="auto"/>
        <w:right w:val="none" w:sz="0" w:space="0" w:color="auto"/>
      </w:divBdr>
    </w:div>
    <w:div w:id="21355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msac.gov.au/applications/1774" TargetMode="External"/><Relationship Id="rId18"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msac.gov.au/applications/17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ac.gov.au/applications/1774" TargetMode="External"/><Relationship Id="rId5" Type="http://schemas.openxmlformats.org/officeDocument/2006/relationships/webSettings" Target="webSettings.xml"/><Relationship Id="rId15" Type="http://schemas.openxmlformats.org/officeDocument/2006/relationships/hyperlink" Target="https://www.msac.gov.au/applications/1774" TargetMode="External"/><Relationship Id="rId23" Type="http://schemas.openxmlformats.org/officeDocument/2006/relationships/customXml" Target="../customXml/item4.xml"/><Relationship Id="rId10" Type="http://schemas.openxmlformats.org/officeDocument/2006/relationships/hyperlink" Target="https://www.sapathology.sa.gov.au/clinicians/testing-screening/search-test-catalog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sac.gov.au/applications/1775"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msac.gov.au/applications/1775" TargetMode="External"/><Relationship Id="rId3" Type="http://schemas.openxmlformats.org/officeDocument/2006/relationships/hyperlink" Target="https://www.health.gov.au/resources/publications/newborn-bloodspot-screening-national-policyframework?language=en" TargetMode="External"/><Relationship Id="rId7" Type="http://schemas.openxmlformats.org/officeDocument/2006/relationships/hyperlink" Target="https://www.msac.gov.au/applications/1774" TargetMode="External"/><Relationship Id="rId12" Type="http://schemas.openxmlformats.org/officeDocument/2006/relationships/hyperlink" Target="https://www.msac.gov.au/applications/1737-1" TargetMode="External"/><Relationship Id="rId2" Type="http://schemas.openxmlformats.org/officeDocument/2006/relationships/hyperlink" Target="https://www.msac.gov.au/about-us/what-we-do/terms-reference" TargetMode="External"/><Relationship Id="rId1" Type="http://schemas.openxmlformats.org/officeDocument/2006/relationships/hyperlink" Target="https://www.health.gov.au/resources/publications/newborn-bloodspot-screening-national-policy-framework?language=en" TargetMode="External"/><Relationship Id="rId6" Type="http://schemas.openxmlformats.org/officeDocument/2006/relationships/hyperlink" Target="https://www.health.gov.au/resources/publications/newborn-bloodspot-screening-national-policyframework?language=en" TargetMode="External"/><Relationship Id="rId11" Type="http://schemas.openxmlformats.org/officeDocument/2006/relationships/hyperlink" Target="https://apps-omics.revvity.com/test/test-pdf/?test-code=B2041" TargetMode="External"/><Relationship Id="rId5" Type="http://schemas.openxmlformats.org/officeDocument/2006/relationships/hyperlink" Target="https://www.health.gov.au/sites/default/files/2024-06/newborn-bloodspot-screening-expansion-readiness-assessment-executive-summary_0.pdf" TargetMode="External"/><Relationship Id="rId10" Type="http://schemas.openxmlformats.org/officeDocument/2006/relationships/hyperlink" Target="https://www.health.gov.au/our-work/newborn-bloodspot-screening/what-is-screened" TargetMode="External"/><Relationship Id="rId4" Type="http://schemas.openxmlformats.org/officeDocument/2006/relationships/hyperlink" Target="https://www.pbs.gov.au/industry/listing/elements/pbac-meetings/psd/2007-11/Idursulfase%20rhu%20ELAPRASE%20Genzyme%205%203%20PSD%20Nov%2008%20FINAL.pdf" TargetMode="External"/><Relationship Id="rId9" Type="http://schemas.openxmlformats.org/officeDocument/2006/relationships/hyperlink" Target="https://www.msac.gov.au/applications/1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103925E2-2E4F-4FF0-A718-AF6268C32C5E}">
  <ds:schemaRefs>
    <ds:schemaRef ds:uri="http://schemas.openxmlformats.org/officeDocument/2006/bibliography"/>
  </ds:schemaRefs>
</ds:datastoreItem>
</file>

<file path=customXml/itemProps2.xml><?xml version="1.0" encoding="utf-8"?>
<ds:datastoreItem xmlns:ds="http://schemas.openxmlformats.org/officeDocument/2006/customXml" ds:itemID="{3EBD1B6B-59E4-402F-AEC5-E64BB586B872}"/>
</file>

<file path=customXml/itemProps3.xml><?xml version="1.0" encoding="utf-8"?>
<ds:datastoreItem xmlns:ds="http://schemas.openxmlformats.org/officeDocument/2006/customXml" ds:itemID="{762B418C-BCE3-46A9-8F0E-34DCB55BAA9F}"/>
</file>

<file path=customXml/itemProps4.xml><?xml version="1.0" encoding="utf-8"?>
<ds:datastoreItem xmlns:ds="http://schemas.openxmlformats.org/officeDocument/2006/customXml" ds:itemID="{FEFE1F14-80BC-4C70-A16E-055A1875C148}"/>
</file>

<file path=docProps/app.xml><?xml version="1.0" encoding="utf-8"?>
<Properties xmlns="http://schemas.openxmlformats.org/officeDocument/2006/extended-properties" xmlns:vt="http://schemas.openxmlformats.org/officeDocument/2006/docPropsVTypes">
  <Template>Normal.dotm</Template>
  <TotalTime>0</TotalTime>
  <Pages>71</Pages>
  <Words>33848</Words>
  <Characters>192936</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2025-09-09T06:40:00Z</dcterms:created>
  <dcterms:modified xsi:type="dcterms:W3CDTF">2025-09-09T06:40:00Z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