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B7B6" w14:textId="77777777" w:rsidR="00B53D0C" w:rsidRDefault="00640736" w:rsidP="00B53D0C">
      <w:pPr>
        <w:keepNext/>
        <w:keepLines/>
        <w:spacing w:before="0" w:after="360"/>
        <w:ind w:left="788"/>
        <w:jc w:val="center"/>
        <w:outlineLvl w:val="0"/>
        <w:rPr>
          <w:rFonts w:ascii="Arial" w:eastAsia="Arial" w:hAnsi="Arial" w:cs="Arial"/>
          <w:b/>
          <w:bCs/>
          <w:i/>
          <w:iCs/>
          <w:color w:val="000080"/>
          <w:sz w:val="28"/>
          <w:szCs w:val="28"/>
        </w:rPr>
      </w:pPr>
      <w:r w:rsidRPr="000A7BB0">
        <w:rPr>
          <w:rFonts w:ascii="Arial" w:eastAsiaTheme="majorEastAsia" w:hAnsi="Arial" w:cs="Arial"/>
          <w:b/>
          <w:bCs/>
          <w:color w:val="000080"/>
          <w:sz w:val="36"/>
          <w:szCs w:val="36"/>
        </w:rPr>
        <w:t>Medical Services Advisory Committee (MSAC)</w:t>
      </w:r>
      <w:r w:rsidRPr="000A7BB0">
        <w:rPr>
          <w:rFonts w:ascii="Arial" w:eastAsiaTheme="majorEastAsia" w:hAnsi="Arial" w:cs="Arial"/>
          <w:b/>
          <w:bCs/>
          <w:color w:val="000080"/>
          <w:sz w:val="36"/>
          <w:szCs w:val="36"/>
        </w:rPr>
        <w:br/>
      </w:r>
      <w:r w:rsidR="00B53D0C" w:rsidRPr="00F76D74">
        <w:rPr>
          <w:rFonts w:ascii="Arial" w:hAnsi="Arial" w:cs="Arial"/>
          <w:b/>
          <w:bCs/>
          <w:color w:val="000080"/>
          <w:sz w:val="36"/>
          <w:szCs w:val="36"/>
        </w:rPr>
        <w:t>Public Summary Document</w:t>
      </w:r>
      <w:r w:rsidR="00B53D0C" w:rsidRPr="000A7BB0">
        <w:rPr>
          <w:rFonts w:ascii="Arial" w:eastAsia="Arial" w:hAnsi="Arial" w:cs="Arial"/>
          <w:b/>
          <w:bCs/>
          <w:i/>
          <w:iCs/>
          <w:color w:val="000080"/>
          <w:sz w:val="28"/>
          <w:szCs w:val="28"/>
        </w:rPr>
        <w:t xml:space="preserve"> </w:t>
      </w:r>
    </w:p>
    <w:p w14:paraId="0F5F0A3B" w14:textId="63E21B36" w:rsidR="6279B532" w:rsidRPr="00B53D0C" w:rsidRDefault="6279B532" w:rsidP="00B53D0C">
      <w:pPr>
        <w:pStyle w:val="Subtitle"/>
        <w:spacing w:before="120" w:after="240"/>
        <w:jc w:val="center"/>
        <w:rPr>
          <w:rFonts w:ascii="Arial" w:hAnsi="Arial" w:cs="Arial"/>
          <w:b/>
          <w:bCs/>
          <w:i/>
          <w:snapToGrid/>
          <w:color w:val="000080"/>
          <w:sz w:val="28"/>
          <w:szCs w:val="28"/>
        </w:rPr>
      </w:pPr>
      <w:r w:rsidRPr="00B53D0C">
        <w:rPr>
          <w:rFonts w:ascii="Arial" w:hAnsi="Arial" w:cs="Arial"/>
          <w:b/>
          <w:bCs/>
          <w:i/>
          <w:snapToGrid/>
          <w:color w:val="000080"/>
          <w:sz w:val="28"/>
          <w:szCs w:val="28"/>
        </w:rPr>
        <w:t xml:space="preserve">Application No. 1782 – </w:t>
      </w:r>
      <w:bookmarkStart w:id="0" w:name="_Toc184670473"/>
      <w:r w:rsidR="00B53D0C" w:rsidRPr="00B53D0C">
        <w:rPr>
          <w:rFonts w:ascii="Arial" w:hAnsi="Arial" w:cs="Arial"/>
          <w:b/>
          <w:bCs/>
          <w:i/>
          <w:snapToGrid/>
          <w:color w:val="000080"/>
          <w:sz w:val="28"/>
          <w:szCs w:val="28"/>
        </w:rPr>
        <w:t xml:space="preserve">Genetic testing to detect estrogen receptor 1 (ESR1) variants in patients with estrogen receptor (ER)-positive, HER2-negative, locally advanced or metastatic breast cancer, to determine eligibility for treatment with PBS subsidised </w:t>
      </w:r>
      <w:proofErr w:type="spellStart"/>
      <w:r w:rsidR="00B53D0C" w:rsidRPr="00B53D0C">
        <w:rPr>
          <w:rFonts w:ascii="Arial" w:hAnsi="Arial" w:cs="Arial"/>
          <w:b/>
          <w:bCs/>
          <w:i/>
          <w:snapToGrid/>
          <w:color w:val="000080"/>
          <w:sz w:val="28"/>
          <w:szCs w:val="28"/>
        </w:rPr>
        <w:t>elacestrant</w:t>
      </w:r>
      <w:proofErr w:type="spellEnd"/>
    </w:p>
    <w:p w14:paraId="062E6847" w14:textId="26EBEF7A" w:rsidR="702535DF" w:rsidRPr="00B53D0C" w:rsidRDefault="702535DF" w:rsidP="00B53D0C">
      <w:pPr>
        <w:tabs>
          <w:tab w:val="left" w:pos="3686"/>
        </w:tabs>
        <w:rPr>
          <w:rFonts w:ascii="Arial" w:eastAsia="Arial" w:hAnsi="Arial" w:cs="Arial"/>
          <w:b/>
          <w:bCs/>
        </w:rPr>
      </w:pPr>
      <w:r w:rsidRPr="00B53D0C">
        <w:rPr>
          <w:rFonts w:ascii="Arial" w:eastAsia="Arial" w:hAnsi="Arial" w:cs="Arial"/>
          <w:b/>
          <w:bCs/>
        </w:rPr>
        <w:t>Applicant:</w:t>
      </w:r>
      <w:r w:rsidR="00B53D0C">
        <w:tab/>
      </w:r>
      <w:r w:rsidR="4E935207" w:rsidRPr="00B53D0C">
        <w:rPr>
          <w:rFonts w:ascii="Arial" w:eastAsia="Arial" w:hAnsi="Arial" w:cs="Arial"/>
          <w:b/>
          <w:bCs/>
        </w:rPr>
        <w:t>A. Menarini Pty Ltd.</w:t>
      </w:r>
    </w:p>
    <w:p w14:paraId="2CB90864" w14:textId="5C67B084" w:rsidR="702535DF" w:rsidRPr="00B53D0C" w:rsidRDefault="702535DF" w:rsidP="00F47562">
      <w:pPr>
        <w:tabs>
          <w:tab w:val="left" w:pos="3686"/>
        </w:tabs>
        <w:spacing w:after="240"/>
        <w:rPr>
          <w:rFonts w:ascii="Arial" w:eastAsia="Arial" w:hAnsi="Arial" w:cs="Arial"/>
          <w:b/>
          <w:bCs/>
        </w:rPr>
      </w:pPr>
      <w:r w:rsidRPr="00B53D0C">
        <w:rPr>
          <w:rFonts w:ascii="Arial" w:eastAsia="Arial" w:hAnsi="Arial" w:cs="Arial"/>
          <w:b/>
          <w:bCs/>
        </w:rPr>
        <w:t xml:space="preserve">Date of </w:t>
      </w:r>
      <w:r w:rsidR="00B53D0C">
        <w:rPr>
          <w:rFonts w:ascii="Arial" w:eastAsia="Arial" w:hAnsi="Arial" w:cs="Arial"/>
          <w:b/>
          <w:bCs/>
        </w:rPr>
        <w:t>MSAC</w:t>
      </w:r>
      <w:r w:rsidRPr="00B53D0C">
        <w:rPr>
          <w:rFonts w:ascii="Arial" w:eastAsia="Arial" w:hAnsi="Arial" w:cs="Arial"/>
          <w:b/>
          <w:bCs/>
        </w:rPr>
        <w:t xml:space="preserve"> consideration:</w:t>
      </w:r>
      <w:r w:rsidRPr="00B53D0C">
        <w:tab/>
      </w:r>
      <w:r w:rsidR="00B53D0C">
        <w:rPr>
          <w:rFonts w:ascii="Arial" w:eastAsia="Arial" w:hAnsi="Arial" w:cs="Arial"/>
          <w:b/>
          <w:bCs/>
        </w:rPr>
        <w:t>3-4 April</w:t>
      </w:r>
      <w:r w:rsidRPr="00B53D0C">
        <w:rPr>
          <w:rFonts w:ascii="Arial" w:eastAsia="Arial" w:hAnsi="Arial" w:cs="Arial"/>
          <w:b/>
          <w:bCs/>
        </w:rPr>
        <w:t xml:space="preserve"> 2025</w:t>
      </w:r>
    </w:p>
    <w:p w14:paraId="7A73AD5D" w14:textId="405FF0EC" w:rsidR="7830179E" w:rsidRPr="00F47562" w:rsidRDefault="00F47562" w:rsidP="00F47562">
      <w:pPr>
        <w:spacing w:after="360"/>
        <w:rPr>
          <w:color w:val="0000FF"/>
          <w:u w:val="single"/>
        </w:rPr>
      </w:pPr>
      <w:r w:rsidRPr="00333EDF">
        <w:t xml:space="preserve">Context for decision: MSAC makes its advice in accordance with its Terms of Reference, </w:t>
      </w:r>
      <w:hyperlink r:id="rId11" w:tooltip="Link to Medical Services Advisory Committee website" w:history="1">
        <w:r w:rsidRPr="000D2098">
          <w:rPr>
            <w:rStyle w:val="Hyperlink"/>
            <w:color w:val="007BB8"/>
          </w:rPr>
          <w:t>visit the MSAC website</w:t>
        </w:r>
      </w:hyperlink>
    </w:p>
    <w:p w14:paraId="7A74AE4D" w14:textId="3E8B5A59" w:rsidR="00F65B90" w:rsidRPr="00F47562" w:rsidRDefault="00F65B90" w:rsidP="00252706">
      <w:pPr>
        <w:pStyle w:val="Heading2"/>
        <w:numPr>
          <w:ilvl w:val="0"/>
          <w:numId w:val="48"/>
        </w:numPr>
        <w:spacing w:after="240"/>
        <w:ind w:hanging="720"/>
        <w:rPr>
          <w:rFonts w:ascii="Franklin Gothic Medium" w:hAnsi="Franklin Gothic Medium"/>
          <w:b w:val="0"/>
          <w:i w:val="0"/>
          <w:snapToGrid/>
          <w:sz w:val="32"/>
          <w:szCs w:val="26"/>
        </w:rPr>
      </w:pPr>
      <w:bookmarkStart w:id="1" w:name="_Toc188374340"/>
      <w:r w:rsidRPr="00F47562">
        <w:rPr>
          <w:rFonts w:ascii="Franklin Gothic Medium" w:hAnsi="Franklin Gothic Medium"/>
          <w:b w:val="0"/>
          <w:i w:val="0"/>
          <w:snapToGrid/>
          <w:sz w:val="32"/>
          <w:szCs w:val="26"/>
        </w:rPr>
        <w:t>Purpose of the application</w:t>
      </w:r>
      <w:bookmarkEnd w:id="0"/>
      <w:bookmarkEnd w:id="1"/>
      <w:r w:rsidRPr="00F47562">
        <w:rPr>
          <w:rFonts w:ascii="Franklin Gothic Medium" w:hAnsi="Franklin Gothic Medium"/>
          <w:b w:val="0"/>
          <w:i w:val="0"/>
          <w:snapToGrid/>
          <w:sz w:val="32"/>
          <w:szCs w:val="26"/>
        </w:rPr>
        <w:t xml:space="preserve"> </w:t>
      </w:r>
    </w:p>
    <w:p w14:paraId="694FAD4A" w14:textId="43A67145" w:rsidR="00F65B90" w:rsidRPr="00F47562" w:rsidRDefault="00950AE3" w:rsidP="005A3674">
      <w:pPr>
        <w:spacing w:after="120"/>
      </w:pPr>
      <w:r>
        <w:t>An</w:t>
      </w:r>
      <w:r w:rsidRPr="00F47562">
        <w:t xml:space="preserve"> </w:t>
      </w:r>
      <w:r w:rsidR="00F65B90" w:rsidRPr="00F47562">
        <w:t xml:space="preserve">integrated codependent application </w:t>
      </w:r>
      <w:r>
        <w:t>was received from A. Menarini Pty Ltd</w:t>
      </w:r>
      <w:r w:rsidR="00F7514B">
        <w:t xml:space="preserve"> b</w:t>
      </w:r>
      <w:r>
        <w:t>y the Department of Health and Aged Care. The application</w:t>
      </w:r>
      <w:r w:rsidR="00F65B90" w:rsidRPr="00F47562">
        <w:t xml:space="preserve"> requested: </w:t>
      </w:r>
    </w:p>
    <w:p w14:paraId="30B7F0B0" w14:textId="122C25F2" w:rsidR="00F65B90" w:rsidRPr="00F47562" w:rsidRDefault="00F65B90" w:rsidP="00605C90">
      <w:pPr>
        <w:pStyle w:val="MSACESBulletPoint"/>
        <w:spacing w:before="0" w:line="259" w:lineRule="auto"/>
        <w:ind w:left="714" w:hanging="357"/>
        <w:rPr>
          <w:rFonts w:ascii="Franklin Gothic Book" w:hAnsi="Franklin Gothic Book"/>
          <w:color w:val="000000" w:themeColor="text1"/>
          <w:sz w:val="22"/>
        </w:rPr>
      </w:pPr>
      <w:r w:rsidRPr="00F47562">
        <w:rPr>
          <w:rFonts w:ascii="Franklin Gothic Book" w:hAnsi="Franklin Gothic Book"/>
          <w:color w:val="000000" w:themeColor="text1"/>
          <w:sz w:val="22"/>
        </w:rPr>
        <w:t xml:space="preserve">Medicare Benefits Schedule (MBS) listing of next generation sequencing (NGS) testing for activating </w:t>
      </w:r>
      <w:r w:rsidR="0105447D" w:rsidRPr="00F47562">
        <w:rPr>
          <w:rFonts w:ascii="Franklin Gothic Book" w:hAnsi="Franklin Gothic Book"/>
          <w:sz w:val="22"/>
        </w:rPr>
        <w:t>estrogen receptor 1 (</w:t>
      </w:r>
      <w:r w:rsidRPr="00F47562">
        <w:rPr>
          <w:rFonts w:ascii="Franklin Gothic Book" w:hAnsi="Franklin Gothic Book"/>
          <w:i/>
          <w:iCs/>
          <w:color w:val="000000" w:themeColor="text1"/>
          <w:sz w:val="22"/>
        </w:rPr>
        <w:t>ESR1</w:t>
      </w:r>
      <w:r w:rsidR="0105447D" w:rsidRPr="00F47562">
        <w:rPr>
          <w:rFonts w:ascii="Franklin Gothic Book" w:hAnsi="Franklin Gothic Book"/>
          <w:color w:val="000000" w:themeColor="text1"/>
          <w:sz w:val="22"/>
        </w:rPr>
        <w:t>)</w:t>
      </w:r>
      <w:r w:rsidRPr="00F47562">
        <w:rPr>
          <w:rFonts w:ascii="Franklin Gothic Book" w:hAnsi="Franklin Gothic Book"/>
          <w:color w:val="000000" w:themeColor="text1"/>
          <w:sz w:val="22"/>
        </w:rPr>
        <w:t xml:space="preserve"> variants in circulating tumour deoxyribonucleic acid (ctDNA) extracted from blood plasma (liquid biopsy) </w:t>
      </w:r>
      <w:r w:rsidR="07CA57EA" w:rsidRPr="00F47562">
        <w:rPr>
          <w:rFonts w:ascii="Franklin Gothic Book" w:hAnsi="Franklin Gothic Book"/>
          <w:color w:val="000000" w:themeColor="text1"/>
          <w:sz w:val="22"/>
        </w:rPr>
        <w:t xml:space="preserve">to </w:t>
      </w:r>
      <w:r w:rsidRPr="00F47562">
        <w:rPr>
          <w:rFonts w:ascii="Franklin Gothic Book" w:hAnsi="Franklin Gothic Book"/>
          <w:color w:val="000000" w:themeColor="text1"/>
          <w:sz w:val="22"/>
        </w:rPr>
        <w:t>determin</w:t>
      </w:r>
      <w:r w:rsidR="07CA57EA" w:rsidRPr="00F47562">
        <w:rPr>
          <w:rFonts w:ascii="Franklin Gothic Book" w:hAnsi="Franklin Gothic Book"/>
          <w:color w:val="000000" w:themeColor="text1"/>
          <w:sz w:val="22"/>
        </w:rPr>
        <w:t>e</w:t>
      </w:r>
      <w:r w:rsidRPr="00F47562">
        <w:rPr>
          <w:rFonts w:ascii="Franklin Gothic Book" w:hAnsi="Franklin Gothic Book"/>
          <w:color w:val="000000" w:themeColor="text1"/>
          <w:sz w:val="22"/>
        </w:rPr>
        <w:t xml:space="preserve"> eligibility for treatment with </w:t>
      </w:r>
      <w:proofErr w:type="spellStart"/>
      <w:r w:rsidRPr="00F47562">
        <w:rPr>
          <w:rFonts w:ascii="Franklin Gothic Book" w:hAnsi="Franklin Gothic Book"/>
          <w:color w:val="000000" w:themeColor="text1"/>
          <w:sz w:val="22"/>
        </w:rPr>
        <w:t>elacestrant</w:t>
      </w:r>
      <w:proofErr w:type="spellEnd"/>
      <w:r w:rsidRPr="00F47562">
        <w:rPr>
          <w:rFonts w:ascii="Franklin Gothic Book" w:hAnsi="Franklin Gothic Book"/>
          <w:color w:val="000000" w:themeColor="text1"/>
          <w:sz w:val="22"/>
        </w:rPr>
        <w:t xml:space="preserve"> in </w:t>
      </w:r>
      <w:r w:rsidR="0850FBF9" w:rsidRPr="00F47562">
        <w:rPr>
          <w:rFonts w:ascii="Franklin Gothic Book" w:hAnsi="Franklin Gothic Book"/>
          <w:color w:val="000000" w:themeColor="text1"/>
          <w:sz w:val="22"/>
        </w:rPr>
        <w:t>postmenopausal women or men</w:t>
      </w:r>
      <w:r w:rsidRPr="00F47562">
        <w:rPr>
          <w:rFonts w:ascii="Franklin Gothic Book" w:hAnsi="Franklin Gothic Book"/>
          <w:color w:val="000000" w:themeColor="text1"/>
          <w:sz w:val="22"/>
        </w:rPr>
        <w:t xml:space="preserve"> with estrogen receptor-positive, human epidermal growth factor receptor 2-negative (ER+/HER2-), locally advanced or metastatic breast cancer (</w:t>
      </w:r>
      <w:proofErr w:type="spellStart"/>
      <w:r w:rsidRPr="00F47562">
        <w:rPr>
          <w:rFonts w:ascii="Franklin Gothic Book" w:hAnsi="Franklin Gothic Book"/>
          <w:color w:val="000000" w:themeColor="text1"/>
          <w:sz w:val="22"/>
        </w:rPr>
        <w:t>mBC</w:t>
      </w:r>
      <w:proofErr w:type="spellEnd"/>
      <w:r w:rsidRPr="00F47562">
        <w:rPr>
          <w:rFonts w:ascii="Franklin Gothic Book" w:hAnsi="Franklin Gothic Book"/>
          <w:color w:val="000000" w:themeColor="text1"/>
          <w:sz w:val="22"/>
        </w:rPr>
        <w:t>), who have disease progression following at least one line of endocrine therapy (ET), including a cyclin-dependent kinase 4/6 inhibitor (CDK4/6i); and</w:t>
      </w:r>
    </w:p>
    <w:p w14:paraId="631D9B45" w14:textId="16181E60" w:rsidR="00F65B90" w:rsidRDefault="00F65B90" w:rsidP="00F47562">
      <w:pPr>
        <w:pStyle w:val="MSACESBulletPoint"/>
        <w:spacing w:before="0" w:line="259" w:lineRule="auto"/>
        <w:rPr>
          <w:rFonts w:ascii="Franklin Gothic Book" w:hAnsi="Franklin Gothic Book"/>
          <w:sz w:val="22"/>
        </w:rPr>
      </w:pPr>
      <w:r w:rsidRPr="00F47562">
        <w:rPr>
          <w:rFonts w:ascii="Franklin Gothic Book" w:hAnsi="Franklin Gothic Book"/>
          <w:sz w:val="22"/>
        </w:rPr>
        <w:t xml:space="preserve">Pharmaceutical Benefits Scheme (PBS) </w:t>
      </w:r>
      <w:r w:rsidR="109C0A79" w:rsidRPr="00F47562">
        <w:rPr>
          <w:rFonts w:ascii="Franklin Gothic Book" w:hAnsi="Franklin Gothic Book"/>
          <w:sz w:val="22"/>
        </w:rPr>
        <w:t xml:space="preserve">General </w:t>
      </w:r>
      <w:r w:rsidRPr="00F47562">
        <w:rPr>
          <w:rFonts w:ascii="Franklin Gothic Book" w:hAnsi="Franklin Gothic Book"/>
          <w:sz w:val="22"/>
        </w:rPr>
        <w:t>Schedule Authority Required</w:t>
      </w:r>
      <w:r w:rsidR="73A7D467" w:rsidRPr="00F47562">
        <w:rPr>
          <w:rFonts w:ascii="Franklin Gothic Book" w:hAnsi="Franklin Gothic Book"/>
          <w:sz w:val="22"/>
        </w:rPr>
        <w:t xml:space="preserve"> (telephone/online)</w:t>
      </w:r>
      <w:r w:rsidRPr="00F47562">
        <w:rPr>
          <w:rFonts w:ascii="Franklin Gothic Book" w:hAnsi="Franklin Gothic Book"/>
          <w:sz w:val="22"/>
        </w:rPr>
        <w:t xml:space="preserve"> listing of </w:t>
      </w:r>
      <w:proofErr w:type="spellStart"/>
      <w:r w:rsidRPr="00F47562">
        <w:rPr>
          <w:rFonts w:ascii="Franklin Gothic Book" w:hAnsi="Franklin Gothic Book"/>
          <w:sz w:val="22"/>
        </w:rPr>
        <w:t>elacestrant</w:t>
      </w:r>
      <w:proofErr w:type="spellEnd"/>
      <w:r w:rsidRPr="00F47562">
        <w:rPr>
          <w:rFonts w:ascii="Franklin Gothic Book" w:hAnsi="Franklin Gothic Book"/>
          <w:sz w:val="22"/>
        </w:rPr>
        <w:t xml:space="preserve"> for the treatment of ER+/HER2- </w:t>
      </w:r>
      <w:r w:rsidR="6C732F94" w:rsidRPr="00F47562">
        <w:rPr>
          <w:rFonts w:ascii="Franklin Gothic Book" w:hAnsi="Franklin Gothic Book"/>
          <w:sz w:val="22"/>
        </w:rPr>
        <w:t xml:space="preserve">locally advanced or </w:t>
      </w:r>
      <w:proofErr w:type="spellStart"/>
      <w:r w:rsidRPr="00F47562">
        <w:rPr>
          <w:rFonts w:ascii="Franklin Gothic Book" w:hAnsi="Franklin Gothic Book"/>
          <w:sz w:val="22"/>
        </w:rPr>
        <w:t>mBC</w:t>
      </w:r>
      <w:proofErr w:type="spellEnd"/>
      <w:r w:rsidRPr="00F47562">
        <w:rPr>
          <w:rFonts w:ascii="Franklin Gothic Book" w:hAnsi="Franklin Gothic Book"/>
          <w:sz w:val="22"/>
        </w:rPr>
        <w:t xml:space="preserve"> </w:t>
      </w:r>
      <w:r w:rsidR="73A7D467" w:rsidRPr="00F47562">
        <w:rPr>
          <w:rFonts w:ascii="Franklin Gothic Book" w:hAnsi="Franklin Gothic Book"/>
          <w:sz w:val="22"/>
        </w:rPr>
        <w:t>with</w:t>
      </w:r>
      <w:r w:rsidRPr="00F47562">
        <w:rPr>
          <w:rFonts w:ascii="Franklin Gothic Book" w:hAnsi="Franklin Gothic Book"/>
          <w:sz w:val="22"/>
        </w:rPr>
        <w:t xml:space="preserve"> disease progression following at least one line of ET, including a CDK4/6i, in patients who</w:t>
      </w:r>
      <w:r w:rsidR="6F9EDC27" w:rsidRPr="00F47562">
        <w:rPr>
          <w:rFonts w:ascii="Franklin Gothic Book" w:hAnsi="Franklin Gothic Book"/>
          <w:sz w:val="22"/>
        </w:rPr>
        <w:t>se tumours</w:t>
      </w:r>
      <w:r w:rsidRPr="00F47562">
        <w:rPr>
          <w:rFonts w:ascii="Franklin Gothic Book" w:hAnsi="Franklin Gothic Book"/>
          <w:sz w:val="22"/>
        </w:rPr>
        <w:t xml:space="preserve"> have evidence of</w:t>
      </w:r>
      <w:r w:rsidR="5D64A7E7" w:rsidRPr="00F47562">
        <w:rPr>
          <w:rFonts w:ascii="Franklin Gothic Book" w:hAnsi="Franklin Gothic Book"/>
          <w:sz w:val="22"/>
        </w:rPr>
        <w:t xml:space="preserve"> activating</w:t>
      </w:r>
      <w:r w:rsidRPr="00F47562">
        <w:rPr>
          <w:rFonts w:ascii="Franklin Gothic Book" w:hAnsi="Franklin Gothic Book"/>
          <w:sz w:val="22"/>
        </w:rPr>
        <w:t xml:space="preserve"> </w:t>
      </w:r>
      <w:r w:rsidRPr="00F47562">
        <w:rPr>
          <w:rFonts w:ascii="Franklin Gothic Book" w:hAnsi="Franklin Gothic Book"/>
          <w:i/>
          <w:iCs/>
          <w:sz w:val="22"/>
        </w:rPr>
        <w:t xml:space="preserve">ESR1 </w:t>
      </w:r>
      <w:r w:rsidRPr="00F47562">
        <w:rPr>
          <w:rFonts w:ascii="Franklin Gothic Book" w:hAnsi="Franklin Gothic Book"/>
          <w:sz w:val="22"/>
        </w:rPr>
        <w:t>variants.</w:t>
      </w:r>
    </w:p>
    <w:p w14:paraId="7635C4DF" w14:textId="77777777" w:rsidR="00F47562" w:rsidRPr="003A793E" w:rsidRDefault="00F47562" w:rsidP="00252706">
      <w:pPr>
        <w:pStyle w:val="Heading2"/>
        <w:numPr>
          <w:ilvl w:val="0"/>
          <w:numId w:val="48"/>
        </w:numPr>
        <w:spacing w:after="240"/>
        <w:ind w:hanging="720"/>
        <w:rPr>
          <w:rFonts w:ascii="Franklin Gothic Medium" w:hAnsi="Franklin Gothic Medium"/>
          <w:b w:val="0"/>
          <w:i w:val="0"/>
          <w:snapToGrid/>
          <w:sz w:val="32"/>
          <w:szCs w:val="26"/>
        </w:rPr>
      </w:pPr>
      <w:bookmarkStart w:id="2" w:name="_Hlk184471657"/>
      <w:bookmarkStart w:id="3" w:name="_Hlk193982496"/>
      <w:r w:rsidRPr="003A793E">
        <w:rPr>
          <w:rFonts w:ascii="Franklin Gothic Medium" w:hAnsi="Franklin Gothic Medium"/>
          <w:b w:val="0"/>
          <w:i w:val="0"/>
          <w:snapToGrid/>
          <w:sz w:val="32"/>
          <w:szCs w:val="26"/>
        </w:rPr>
        <w:t>MSAC’s advice to the Minister</w:t>
      </w:r>
    </w:p>
    <w:p w14:paraId="07CE9DDE" w14:textId="061608E4" w:rsidR="00F47562" w:rsidRDefault="00F47562" w:rsidP="001D08D6">
      <w:pPr>
        <w:spacing w:after="240"/>
        <w:rPr>
          <w:rFonts w:eastAsia="Franklin Gothic Book"/>
        </w:rPr>
      </w:pPr>
      <w:r w:rsidRPr="00333EDF">
        <w:t xml:space="preserve">After considering the strength of the available evidence in relation to comparative safety, clinical effectiveness, cost-effectiveness and total cost, </w:t>
      </w:r>
      <w:r w:rsidRPr="00333EDF">
        <w:rPr>
          <w:rFonts w:eastAsia="Franklin Gothic Book"/>
        </w:rPr>
        <w:t>MSAC</w:t>
      </w:r>
      <w:r w:rsidR="0086640C">
        <w:rPr>
          <w:rFonts w:eastAsia="Franklin Gothic Book"/>
        </w:rPr>
        <w:t xml:space="preserve"> </w:t>
      </w:r>
      <w:r w:rsidR="0086640C" w:rsidRPr="0086640C">
        <w:rPr>
          <w:rFonts w:eastAsia="Franklin Gothic Book"/>
        </w:rPr>
        <w:t>did not support public funding of genetic testing to detect estrogen receptor 1 (</w:t>
      </w:r>
      <w:r w:rsidR="0086640C" w:rsidRPr="0086640C">
        <w:rPr>
          <w:rFonts w:eastAsia="Franklin Gothic Book"/>
          <w:i/>
          <w:iCs/>
        </w:rPr>
        <w:t>ESR1</w:t>
      </w:r>
      <w:r w:rsidR="0086640C" w:rsidRPr="0086640C">
        <w:rPr>
          <w:rFonts w:eastAsia="Franklin Gothic Book"/>
        </w:rPr>
        <w:t xml:space="preserve">) variants in circulating tumour DNA (ctDNA) to determine eligibility for Pharmaceutical Benefits Scheme (PBS) subsidised </w:t>
      </w:r>
      <w:proofErr w:type="spellStart"/>
      <w:r w:rsidR="0086640C" w:rsidRPr="0086640C">
        <w:rPr>
          <w:rFonts w:eastAsia="Franklin Gothic Book"/>
        </w:rPr>
        <w:t>elacestrant</w:t>
      </w:r>
      <w:proofErr w:type="spellEnd"/>
      <w:r w:rsidR="0086640C" w:rsidRPr="0086640C">
        <w:rPr>
          <w:rFonts w:eastAsia="Franklin Gothic Book"/>
        </w:rPr>
        <w:t xml:space="preserve"> treatment in patients with estrogen receptor positive (ER+), human epidermal growth factor receptor 2-negative (HER2-) locally advanced or metastatic breast cancer. MSAC noted that the PBAC did not recommend PBS listing of </w:t>
      </w:r>
      <w:proofErr w:type="spellStart"/>
      <w:r w:rsidR="0086640C" w:rsidRPr="0086640C">
        <w:rPr>
          <w:rFonts w:eastAsia="Franklin Gothic Book"/>
        </w:rPr>
        <w:t>elacestrant</w:t>
      </w:r>
      <w:proofErr w:type="spellEnd"/>
      <w:r w:rsidR="0086640C" w:rsidRPr="0086640C">
        <w:rPr>
          <w:rFonts w:eastAsia="Franklin Gothic Book"/>
        </w:rPr>
        <w:t xml:space="preserve"> at its March 2025 meeting. MSAC considered that patients whose tumours have </w:t>
      </w:r>
      <w:r w:rsidR="0086640C" w:rsidRPr="0042192E">
        <w:rPr>
          <w:rFonts w:eastAsia="Franklin Gothic Book"/>
          <w:i/>
          <w:iCs/>
        </w:rPr>
        <w:t>ESR1</w:t>
      </w:r>
      <w:r w:rsidR="0086640C" w:rsidRPr="0086640C">
        <w:rPr>
          <w:rFonts w:eastAsia="Franklin Gothic Book"/>
        </w:rPr>
        <w:t xml:space="preserve"> variants may benefit more from </w:t>
      </w:r>
      <w:proofErr w:type="spellStart"/>
      <w:r w:rsidR="0086640C" w:rsidRPr="0086640C">
        <w:rPr>
          <w:rFonts w:eastAsia="Franklin Gothic Book"/>
        </w:rPr>
        <w:t>elacestrant</w:t>
      </w:r>
      <w:proofErr w:type="spellEnd"/>
      <w:r w:rsidR="0086640C" w:rsidRPr="0086640C">
        <w:rPr>
          <w:rFonts w:eastAsia="Franklin Gothic Book"/>
        </w:rPr>
        <w:t xml:space="preserve"> treatment. However, MSAC noted that PBAC considered the clinical benefit for </w:t>
      </w:r>
      <w:proofErr w:type="spellStart"/>
      <w:r w:rsidR="0086640C" w:rsidRPr="0086640C">
        <w:rPr>
          <w:rFonts w:eastAsia="Franklin Gothic Book"/>
        </w:rPr>
        <w:t>elacestrant</w:t>
      </w:r>
      <w:proofErr w:type="spellEnd"/>
      <w:r w:rsidR="0086640C" w:rsidRPr="0086640C">
        <w:rPr>
          <w:rFonts w:eastAsia="Franklin Gothic Book"/>
        </w:rPr>
        <w:t xml:space="preserve"> in the pivotal trial was likely overestimated due to the inappropriate comparator. MSAC noted that testing would be repeated in patients who previously tested negative, and considered that the proposed MBS listing if supported would result in substantial budget impact to the MBS. MSAC noted that this </w:t>
      </w:r>
      <w:r w:rsidR="00066658" w:rsidRPr="0086640C">
        <w:rPr>
          <w:rFonts w:eastAsia="Franklin Gothic Book"/>
        </w:rPr>
        <w:lastRenderedPageBreak/>
        <w:t xml:space="preserve">was the first time it had considered </w:t>
      </w:r>
      <w:r w:rsidR="00066658" w:rsidRPr="0086640C">
        <w:rPr>
          <w:rFonts w:eastAsia="Franklin Gothic Book"/>
          <w:i/>
          <w:iCs/>
        </w:rPr>
        <w:t>ESR1</w:t>
      </w:r>
      <w:r w:rsidR="00066658" w:rsidRPr="0086640C">
        <w:rPr>
          <w:rFonts w:eastAsia="Franklin Gothic Book"/>
        </w:rPr>
        <w:t xml:space="preserve"> testing in ctDNA</w:t>
      </w:r>
      <w:r w:rsidR="00066658">
        <w:rPr>
          <w:rFonts w:eastAsia="Franklin Gothic Book"/>
        </w:rPr>
        <w:t>,</w:t>
      </w:r>
      <w:r w:rsidR="00066658" w:rsidRPr="0086640C">
        <w:rPr>
          <w:rFonts w:eastAsia="Franklin Gothic Book"/>
        </w:rPr>
        <w:t xml:space="preserve"> which is extracted from blood</w:t>
      </w:r>
      <w:r w:rsidR="00066658">
        <w:rPr>
          <w:rFonts w:eastAsia="Franklin Gothic Book"/>
        </w:rPr>
        <w:t>,</w:t>
      </w:r>
      <w:r w:rsidR="00066658" w:rsidRPr="0086640C">
        <w:rPr>
          <w:rFonts w:eastAsia="Franklin Gothic Book"/>
        </w:rPr>
        <w:t xml:space="preserve"> and </w:t>
      </w:r>
      <w:r w:rsidR="00066658">
        <w:rPr>
          <w:rFonts w:eastAsia="Franklin Gothic Book"/>
        </w:rPr>
        <w:t xml:space="preserve">policy and </w:t>
      </w:r>
      <w:r w:rsidR="00066658" w:rsidRPr="0086640C">
        <w:rPr>
          <w:rFonts w:eastAsia="Franklin Gothic Book"/>
        </w:rPr>
        <w:t>implementation issues</w:t>
      </w:r>
      <w:r w:rsidR="00066658">
        <w:rPr>
          <w:rFonts w:eastAsia="Franklin Gothic Book"/>
        </w:rPr>
        <w:t xml:space="preserve"> that need to be addressed for any future applications</w:t>
      </w:r>
      <w:r w:rsidR="00066658" w:rsidRPr="0086640C">
        <w:rPr>
          <w:rFonts w:eastAsia="Franklin Gothic Book"/>
        </w:rPr>
        <w:t>.</w:t>
      </w:r>
    </w:p>
    <w:tbl>
      <w:tblPr>
        <w:tblStyle w:val="Section3-footnot1"/>
        <w:tblW w:w="0" w:type="auto"/>
        <w:tblLook w:val="04A0" w:firstRow="1" w:lastRow="0" w:firstColumn="1" w:lastColumn="0" w:noHBand="0" w:noVBand="1"/>
        <w:tblDescription w:val="Consumer summary of MSAC consideration"/>
      </w:tblPr>
      <w:tblGrid>
        <w:gridCol w:w="9016"/>
      </w:tblGrid>
      <w:tr w:rsidR="00F47562" w:rsidRPr="00F91D6E" w14:paraId="6AD715EA" w14:textId="77777777" w:rsidTr="00470B01">
        <w:trPr>
          <w:tblHeader/>
        </w:trPr>
        <w:tc>
          <w:tcPr>
            <w:tcW w:w="9016" w:type="dxa"/>
          </w:tcPr>
          <w:p w14:paraId="1EB397E6" w14:textId="77777777" w:rsidR="00F47562" w:rsidRPr="00F91D6E" w:rsidRDefault="00F47562" w:rsidP="005B61CE">
            <w:pPr>
              <w:keepNext/>
              <w:keepLines/>
              <w:spacing w:after="120" w:line="259" w:lineRule="auto"/>
              <w:rPr>
                <w:rFonts w:eastAsia="Calibri" w:cs="Times New Roman"/>
                <w:b/>
                <w:bCs/>
              </w:rPr>
            </w:pPr>
            <w:r w:rsidRPr="00F91D6E">
              <w:rPr>
                <w:rFonts w:eastAsia="Times New Roman" w:cs="Times New Roman"/>
                <w:b/>
                <w:bCs/>
                <w:szCs w:val="24"/>
              </w:rPr>
              <w:t>Consumer summary</w:t>
            </w:r>
          </w:p>
        </w:tc>
      </w:tr>
      <w:tr w:rsidR="00F47562" w:rsidRPr="00F91D6E" w14:paraId="3C0CA163" w14:textId="77777777" w:rsidTr="00470B01">
        <w:tc>
          <w:tcPr>
            <w:tcW w:w="9016" w:type="dxa"/>
          </w:tcPr>
          <w:p w14:paraId="050D966C" w14:textId="1286098A" w:rsidR="00766124" w:rsidRDefault="00766124" w:rsidP="003279E3">
            <w:pPr>
              <w:spacing w:after="160" w:line="259" w:lineRule="auto"/>
            </w:pPr>
            <w:r w:rsidRPr="00766124">
              <w:t>This is a</w:t>
            </w:r>
            <w:r w:rsidR="001C79A2">
              <w:t xml:space="preserve"> co-dependent</w:t>
            </w:r>
            <w:r w:rsidRPr="00766124">
              <w:t xml:space="preserve"> application from A. Menarini Australia Pty Ltd requesting Medicare Benefits Schedule (MBS) listing of genetic testing to detect estrogen receptor 1 (</w:t>
            </w:r>
            <w:r w:rsidRPr="00766124">
              <w:rPr>
                <w:i/>
                <w:iCs/>
              </w:rPr>
              <w:t>ESR1</w:t>
            </w:r>
            <w:r w:rsidRPr="00766124">
              <w:t xml:space="preserve">) variants in patients with estrogen receptor (ER)-positive, </w:t>
            </w:r>
            <w:r w:rsidRPr="00766124">
              <w:rPr>
                <w:i/>
                <w:iCs/>
              </w:rPr>
              <w:t>HER2</w:t>
            </w:r>
            <w:r w:rsidRPr="00766124">
              <w:t xml:space="preserve">-negative, locally advanced or metastatic breast cancer, </w:t>
            </w:r>
            <w:r w:rsidR="00F11F93">
              <w:t>so that they can access the medication</w:t>
            </w:r>
            <w:r w:rsidRPr="00766124">
              <w:t xml:space="preserve"> </w:t>
            </w:r>
            <w:proofErr w:type="spellStart"/>
            <w:r w:rsidRPr="00766124">
              <w:t>elacestrant</w:t>
            </w:r>
            <w:proofErr w:type="spellEnd"/>
            <w:r w:rsidR="00F11F93">
              <w:t xml:space="preserve"> on the Pharmaceutical Benefits Scheme (PBS)</w:t>
            </w:r>
            <w:r w:rsidRPr="00766124">
              <w:t xml:space="preserve">. </w:t>
            </w:r>
            <w:r w:rsidR="002E3DB3">
              <w:t>While</w:t>
            </w:r>
            <w:r w:rsidRPr="00766124">
              <w:t xml:space="preserve"> MSAC consider</w:t>
            </w:r>
            <w:r w:rsidR="002E3DB3">
              <w:t>ed</w:t>
            </w:r>
            <w:r w:rsidRPr="00766124">
              <w:t xml:space="preserve"> the testing</w:t>
            </w:r>
            <w:r w:rsidR="002E3DB3">
              <w:t>,</w:t>
            </w:r>
            <w:r w:rsidRPr="00766124">
              <w:t xml:space="preserve"> the Pharmaceutical Benefits Advisory Committee (PBAC) consider</w:t>
            </w:r>
            <w:r w:rsidR="00737D59">
              <w:t>ed</w:t>
            </w:r>
            <w:r w:rsidRPr="00766124">
              <w:t xml:space="preserve"> the medicine for listing on the PBS.</w:t>
            </w:r>
          </w:p>
          <w:p w14:paraId="245377E1" w14:textId="7B7EB63B" w:rsidR="00D72939" w:rsidRDefault="00D72939" w:rsidP="00D72939">
            <w:pPr>
              <w:spacing w:after="160" w:line="259" w:lineRule="auto"/>
            </w:pPr>
            <w:r w:rsidRPr="00766124">
              <w:t xml:space="preserve">Breast cancer is the abnormal growth of cells </w:t>
            </w:r>
            <w:r>
              <w:t>in the glands, ducts or tissues of the breast</w:t>
            </w:r>
            <w:r w:rsidRPr="00766124">
              <w:t xml:space="preserve">. </w:t>
            </w:r>
            <w:r>
              <w:t>Breast cancer is referred to as ‘advanced’ once it has spread locally (</w:t>
            </w:r>
            <w:r w:rsidR="00574FBF">
              <w:t>to tissues around the</w:t>
            </w:r>
            <w:r>
              <w:t xml:space="preserve"> breast</w:t>
            </w:r>
            <w:r w:rsidR="00574FBF">
              <w:t>, such as skin</w:t>
            </w:r>
            <w:r>
              <w:t xml:space="preserve"> and nearby lymph nodes</w:t>
            </w:r>
            <w:r w:rsidR="00574FBF">
              <w:t>, called locally advanced</w:t>
            </w:r>
            <w:r>
              <w:t>) or spread from the original location to a new location in the body</w:t>
            </w:r>
            <w:r w:rsidR="00574FBF">
              <w:t xml:space="preserve"> (</w:t>
            </w:r>
            <w:r w:rsidR="00086492">
              <w:t>away from the breast, such as bones or liver, called metastatic)</w:t>
            </w:r>
            <w:r w:rsidRPr="00766124">
              <w:t xml:space="preserve">. </w:t>
            </w:r>
            <w:r>
              <w:t xml:space="preserve">Most breast cancers are ‘hormone receptor positive’. This means the cancer cells have hormone receptors on them and need hormones to grow and </w:t>
            </w:r>
            <w:commentRangeStart w:id="4"/>
            <w:r w:rsidR="00126F4D">
              <w:t>re</w:t>
            </w:r>
            <w:r>
              <w:t>produce</w:t>
            </w:r>
            <w:commentRangeEnd w:id="4"/>
            <w:r w:rsidR="00126F4D">
              <w:rPr>
                <w:rStyle w:val="CommentReference"/>
              </w:rPr>
              <w:commentReference w:id="4"/>
            </w:r>
            <w:r>
              <w:t xml:space="preserve">. </w:t>
            </w:r>
            <w:r w:rsidRPr="00766124">
              <w:t>ER</w:t>
            </w:r>
            <w:r>
              <w:t xml:space="preserve"> stands for ‘(</w:t>
            </w:r>
            <w:r w:rsidR="00B43319">
              <w:t>o</w:t>
            </w:r>
            <w:r>
              <w:t>)</w:t>
            </w:r>
            <w:r w:rsidR="00B43319">
              <w:t>e</w:t>
            </w:r>
            <w:r>
              <w:t xml:space="preserve">strogen </w:t>
            </w:r>
            <w:r w:rsidR="00B43319">
              <w:t>r</w:t>
            </w:r>
            <w:r>
              <w:t>eceptor’</w:t>
            </w:r>
            <w:r w:rsidR="00BA302E">
              <w:t xml:space="preserve"> (a type of hormone receptor)</w:t>
            </w:r>
            <w:r>
              <w:t xml:space="preserve"> and </w:t>
            </w:r>
            <w:r w:rsidRPr="00766124">
              <w:t xml:space="preserve">HER2 </w:t>
            </w:r>
            <w:r>
              <w:t xml:space="preserve">stands for ‘human epidermal growth factor receptor 2’. ER-positive and HER2-negative are receptor </w:t>
            </w:r>
            <w:r w:rsidRPr="00766124">
              <w:t>subtype</w:t>
            </w:r>
            <w:r>
              <w:t>s</w:t>
            </w:r>
            <w:r w:rsidRPr="00766124">
              <w:t xml:space="preserve"> of breast cancer</w:t>
            </w:r>
            <w:r>
              <w:t xml:space="preserve">. Finding out which subtype someone’s cancer is helps with predictions about how the </w:t>
            </w:r>
            <w:r w:rsidRPr="00766124">
              <w:t>cancer may respond to treatment.</w:t>
            </w:r>
          </w:p>
          <w:p w14:paraId="06671990" w14:textId="1DDBB68E" w:rsidR="00812330" w:rsidRPr="00766124" w:rsidRDefault="00812330" w:rsidP="00812330">
            <w:pPr>
              <w:spacing w:after="160" w:line="259" w:lineRule="auto"/>
            </w:pPr>
            <w:r>
              <w:t xml:space="preserve">Further, some people with breast cancer might have alterations in the genetic code of their cancer cells. These alterations can change how the cancer cells respond to certain medicines. One type of genetic alteration is variations in the </w:t>
            </w:r>
            <w:r>
              <w:rPr>
                <w:i/>
                <w:iCs/>
              </w:rPr>
              <w:t>ESR1</w:t>
            </w:r>
            <w:r>
              <w:t xml:space="preserve"> gene. In some people this can mean their cancer will not respond to endocrine therapy, a common treatment. They will need different treatments. T</w:t>
            </w:r>
            <w:r w:rsidRPr="00766124">
              <w:t>his application</w:t>
            </w:r>
            <w:r>
              <w:t xml:space="preserve"> to MSAC proposed using</w:t>
            </w:r>
            <w:r w:rsidRPr="00766124">
              <w:t xml:space="preserve"> genetic test</w:t>
            </w:r>
            <w:r>
              <w:t>ing</w:t>
            </w:r>
            <w:r w:rsidRPr="00766124">
              <w:t xml:space="preserve"> to detect </w:t>
            </w:r>
            <w:r>
              <w:t>variations to the</w:t>
            </w:r>
            <w:r w:rsidRPr="00766124">
              <w:t xml:space="preserve"> </w:t>
            </w:r>
            <w:r w:rsidRPr="00766124">
              <w:rPr>
                <w:i/>
                <w:iCs/>
              </w:rPr>
              <w:t>ESR1</w:t>
            </w:r>
            <w:r>
              <w:t xml:space="preserve"> gene</w:t>
            </w:r>
            <w:r w:rsidRPr="00766124">
              <w:t xml:space="preserve"> in </w:t>
            </w:r>
            <w:r>
              <w:t>breast cancer</w:t>
            </w:r>
            <w:r w:rsidRPr="00766124">
              <w:t xml:space="preserve"> using tumour DNA (ctDNA) extracted from blood plasma.</w:t>
            </w:r>
            <w:r>
              <w:t xml:space="preserve"> ctDNA is DNA that has been released from cancer cells and is circulating in the bloodstream. Using ctDNA instead of tumour tissue for genetic testing means patients can have a blood test instead of a biopsy.</w:t>
            </w:r>
            <w:r w:rsidRPr="00766124">
              <w:t xml:space="preserve"> If the person has certain </w:t>
            </w:r>
            <w:r>
              <w:t>variants</w:t>
            </w:r>
            <w:r w:rsidRPr="00766124">
              <w:t xml:space="preserve"> detected (positive test result), they would be eligible to have a treatment called </w:t>
            </w:r>
            <w:proofErr w:type="spellStart"/>
            <w:r w:rsidRPr="00766124">
              <w:t>elacestrant</w:t>
            </w:r>
            <w:proofErr w:type="spellEnd"/>
            <w:r w:rsidRPr="00766124">
              <w:t xml:space="preserve">. </w:t>
            </w:r>
          </w:p>
          <w:p w14:paraId="78614F1F" w14:textId="5D8B602C" w:rsidR="009D0F52" w:rsidRDefault="00766124" w:rsidP="003279E3">
            <w:pPr>
              <w:spacing w:after="160" w:line="259" w:lineRule="auto"/>
            </w:pPr>
            <w:r w:rsidRPr="00766124">
              <w:t xml:space="preserve">MSAC </w:t>
            </w:r>
            <w:r w:rsidR="00F77FEE">
              <w:t xml:space="preserve">did not </w:t>
            </w:r>
            <w:r w:rsidR="00F07480">
              <w:t xml:space="preserve">support </w:t>
            </w:r>
            <w:r w:rsidR="00F07480">
              <w:rPr>
                <w:i/>
                <w:iCs/>
              </w:rPr>
              <w:t>ESR1 testing</w:t>
            </w:r>
            <w:r w:rsidR="00DA45E2">
              <w:rPr>
                <w:i/>
                <w:iCs/>
              </w:rPr>
              <w:t xml:space="preserve">. </w:t>
            </w:r>
            <w:r w:rsidR="00DA45E2">
              <w:t>MSAC and PBAC had</w:t>
            </w:r>
            <w:r>
              <w:rPr>
                <w:i/>
              </w:rPr>
              <w:t xml:space="preserve"> </w:t>
            </w:r>
            <w:r w:rsidRPr="00766124">
              <w:t xml:space="preserve">considered that there was not enough evidence to be certain that </w:t>
            </w:r>
            <w:proofErr w:type="spellStart"/>
            <w:r w:rsidRPr="00766124">
              <w:t>elacestrant</w:t>
            </w:r>
            <w:proofErr w:type="spellEnd"/>
            <w:r w:rsidRPr="00766124">
              <w:t xml:space="preserve"> can benefit people who test positive</w:t>
            </w:r>
            <w:r w:rsidR="002D0A8D">
              <w:t>, over and above the interventions currently available</w:t>
            </w:r>
            <w:r w:rsidRPr="00766124">
              <w:t>.</w:t>
            </w:r>
            <w:r w:rsidR="00BD73E8" w:rsidRPr="00766124">
              <w:t xml:space="preserve"> MSAC noted that the </w:t>
            </w:r>
            <w:r w:rsidR="00BD73E8">
              <w:t xml:space="preserve">genetic </w:t>
            </w:r>
            <w:r w:rsidR="00BD73E8" w:rsidRPr="00766124">
              <w:t xml:space="preserve">test used in the clinical </w:t>
            </w:r>
            <w:r w:rsidR="00BD73E8">
              <w:t xml:space="preserve">research study of </w:t>
            </w:r>
            <w:proofErr w:type="spellStart"/>
            <w:r w:rsidR="00BD73E8" w:rsidRPr="00766124">
              <w:t>elacestrant</w:t>
            </w:r>
            <w:proofErr w:type="spellEnd"/>
            <w:r w:rsidR="00BD73E8">
              <w:t xml:space="preserve"> </w:t>
            </w:r>
            <w:r w:rsidR="00BD73E8" w:rsidRPr="00766124">
              <w:t xml:space="preserve">is not available in Australia and there are </w:t>
            </w:r>
            <w:r w:rsidR="00BD73E8">
              <w:t xml:space="preserve">currently </w:t>
            </w:r>
            <w:r w:rsidR="00BD73E8" w:rsidRPr="00766124">
              <w:t>not enough accredited laboratories to offer the test.</w:t>
            </w:r>
          </w:p>
          <w:p w14:paraId="7263E21F" w14:textId="77777777" w:rsidR="00F47562" w:rsidRPr="00F91D6E" w:rsidRDefault="00F47562" w:rsidP="005B61CE">
            <w:pPr>
              <w:keepNext/>
              <w:keepLines/>
              <w:spacing w:after="120" w:line="259" w:lineRule="auto"/>
              <w:rPr>
                <w:rFonts w:eastAsia="Times New Roman" w:cs="Times New Roman"/>
                <w:b/>
                <w:bCs/>
                <w:szCs w:val="24"/>
              </w:rPr>
            </w:pPr>
            <w:r w:rsidRPr="00F91D6E">
              <w:rPr>
                <w:rFonts w:eastAsia="Times New Roman" w:cs="Times New Roman"/>
                <w:b/>
                <w:bCs/>
                <w:szCs w:val="24"/>
              </w:rPr>
              <w:t>MSAC’s advice to the Commonwealth Minister for Health and Aged Care</w:t>
            </w:r>
          </w:p>
          <w:p w14:paraId="7CE6C47B" w14:textId="752579BD" w:rsidR="00F47562" w:rsidRPr="003514B2" w:rsidRDefault="003514B2" w:rsidP="005B61CE">
            <w:pPr>
              <w:spacing w:after="120" w:line="259" w:lineRule="auto"/>
            </w:pPr>
            <w:r w:rsidRPr="003514B2">
              <w:t xml:space="preserve">MSAC did not support MBS listing of </w:t>
            </w:r>
            <w:r w:rsidRPr="003514B2">
              <w:rPr>
                <w:i/>
                <w:iCs/>
              </w:rPr>
              <w:t>ESR1</w:t>
            </w:r>
            <w:r w:rsidRPr="003514B2">
              <w:t xml:space="preserve"> testing in patients with breast cancer to determine eligibility for </w:t>
            </w:r>
            <w:proofErr w:type="spellStart"/>
            <w:r w:rsidRPr="003514B2">
              <w:t>elacestrant</w:t>
            </w:r>
            <w:proofErr w:type="spellEnd"/>
            <w:r w:rsidRPr="003514B2">
              <w:t xml:space="preserve">. MSAC considered that, since the PBAC did not support listing </w:t>
            </w:r>
            <w:proofErr w:type="spellStart"/>
            <w:r w:rsidRPr="003514B2">
              <w:t>elacestrant</w:t>
            </w:r>
            <w:proofErr w:type="spellEnd"/>
            <w:r w:rsidRPr="003514B2">
              <w:t xml:space="preserve"> on the PBS (the medicine that would be initiated if </w:t>
            </w:r>
            <w:r w:rsidRPr="003514B2">
              <w:rPr>
                <w:i/>
                <w:iCs/>
              </w:rPr>
              <w:t>ESR1</w:t>
            </w:r>
            <w:r w:rsidRPr="003514B2">
              <w:t xml:space="preserve"> variants were detected), there was </w:t>
            </w:r>
            <w:r w:rsidR="007B20DD">
              <w:t xml:space="preserve">no need for </w:t>
            </w:r>
            <w:r w:rsidR="007B20DD">
              <w:rPr>
                <w:i/>
                <w:iCs/>
              </w:rPr>
              <w:t xml:space="preserve">ESR1 </w:t>
            </w:r>
            <w:r w:rsidR="007B20DD">
              <w:t>testing at present</w:t>
            </w:r>
            <w:r w:rsidRPr="003514B2">
              <w:t>.</w:t>
            </w:r>
          </w:p>
        </w:tc>
      </w:tr>
    </w:tbl>
    <w:p w14:paraId="4B9832CC" w14:textId="77777777" w:rsidR="00F47562" w:rsidRPr="003A793E" w:rsidRDefault="00F47562" w:rsidP="005A3674">
      <w:pPr>
        <w:pStyle w:val="Heading2"/>
        <w:numPr>
          <w:ilvl w:val="0"/>
          <w:numId w:val="48"/>
        </w:numPr>
        <w:spacing w:after="240"/>
        <w:ind w:hanging="720"/>
        <w:rPr>
          <w:rFonts w:ascii="Franklin Gothic Medium" w:hAnsi="Franklin Gothic Medium"/>
          <w:b w:val="0"/>
          <w:i w:val="0"/>
          <w:snapToGrid/>
          <w:sz w:val="32"/>
          <w:szCs w:val="26"/>
        </w:rPr>
      </w:pPr>
      <w:r w:rsidRPr="003A793E">
        <w:rPr>
          <w:rFonts w:ascii="Franklin Gothic Medium" w:hAnsi="Franklin Gothic Medium"/>
          <w:b w:val="0"/>
          <w:i w:val="0"/>
          <w:snapToGrid/>
          <w:sz w:val="32"/>
          <w:szCs w:val="26"/>
        </w:rPr>
        <w:lastRenderedPageBreak/>
        <w:t>Summary of consideration and rationale for MSAC’s advice</w:t>
      </w:r>
    </w:p>
    <w:bookmarkEnd w:id="2"/>
    <w:bookmarkEnd w:id="3"/>
    <w:p w14:paraId="19492F56" w14:textId="37EEF2B6" w:rsidR="00F73107" w:rsidRPr="00F73107" w:rsidRDefault="00BC6C05" w:rsidP="005A3674">
      <w:pPr>
        <w:keepNext/>
        <w:keepLines/>
      </w:pPr>
      <w:r w:rsidRPr="00D67754">
        <w:t>MSAC noted that this</w:t>
      </w:r>
      <w:r w:rsidR="00DB242F" w:rsidRPr="00D67754">
        <w:t xml:space="preserve"> was a co-dependent</w:t>
      </w:r>
      <w:r w:rsidRPr="00D67754">
        <w:t xml:space="preserve"> application from A. Menarini Australia Pty Ltd </w:t>
      </w:r>
      <w:r w:rsidR="00DB242F" w:rsidRPr="00D67754">
        <w:t>requesting</w:t>
      </w:r>
      <w:r w:rsidR="00474AB3" w:rsidRPr="00D67754">
        <w:t xml:space="preserve"> </w:t>
      </w:r>
      <w:r w:rsidR="00F73107" w:rsidRPr="00D67754">
        <w:t xml:space="preserve">Medicare Benefits Schedule (MBS) listing of </w:t>
      </w:r>
      <w:r w:rsidR="00474AB3" w:rsidRPr="00D67754">
        <w:t>genetic</w:t>
      </w:r>
      <w:r w:rsidR="00F73107" w:rsidRPr="00D67754">
        <w:t xml:space="preserve"> testing for activating estrogen receptor 1 (</w:t>
      </w:r>
      <w:r w:rsidR="00F73107" w:rsidRPr="00E47867">
        <w:rPr>
          <w:i/>
        </w:rPr>
        <w:t>ESR1</w:t>
      </w:r>
      <w:r w:rsidR="00F73107" w:rsidRPr="00D67754">
        <w:t>) variants in circulating tumour deoxyribonucleic acid (ctDNA) extracted from blood plasma (liquid biopsy)</w:t>
      </w:r>
      <w:r w:rsidR="00474AB3" w:rsidRPr="00D67754">
        <w:t>,</w:t>
      </w:r>
      <w:r w:rsidR="005A0367" w:rsidRPr="00D67754">
        <w:t xml:space="preserve"> to determine eligibility for treatment with </w:t>
      </w:r>
      <w:proofErr w:type="spellStart"/>
      <w:r w:rsidR="005A0367" w:rsidRPr="00D67754">
        <w:t>elacestrant</w:t>
      </w:r>
      <w:proofErr w:type="spellEnd"/>
      <w:r w:rsidR="00F73107" w:rsidRPr="00D67754">
        <w:t xml:space="preserve"> in postmenopausal women or men with estrogen receptor-positive, human epidermal growth factor receptor 2-negative (ER+/HER2-), locally advanced or metastatic breast cancer (</w:t>
      </w:r>
      <w:proofErr w:type="spellStart"/>
      <w:r w:rsidR="00F73107" w:rsidRPr="00D67754">
        <w:t>mBC</w:t>
      </w:r>
      <w:proofErr w:type="spellEnd"/>
      <w:r w:rsidR="00F73107" w:rsidRPr="00D67754">
        <w:t>), who have disease progression following at least one line of endocrine therapy (ET), including a cyclin-dependent kinase 4/6 inhibitor (CDK4/6i).</w:t>
      </w:r>
      <w:r w:rsidR="00A52190" w:rsidRPr="00D67754">
        <w:t xml:space="preserve"> </w:t>
      </w:r>
      <w:r w:rsidR="00861F5C" w:rsidRPr="00D67754">
        <w:t xml:space="preserve">The </w:t>
      </w:r>
      <w:r w:rsidR="005A0367" w:rsidRPr="00D67754">
        <w:t>application also requested Pharmaceutical Benefits Scheme</w:t>
      </w:r>
      <w:r w:rsidR="00861F5C" w:rsidRPr="00D67754">
        <w:t xml:space="preserve"> </w:t>
      </w:r>
      <w:r w:rsidR="005A0367" w:rsidRPr="00D67754">
        <w:t xml:space="preserve">(PBS) listing of </w:t>
      </w:r>
      <w:proofErr w:type="spellStart"/>
      <w:r w:rsidR="005A0367" w:rsidRPr="00D67754">
        <w:t>elacestrant</w:t>
      </w:r>
      <w:proofErr w:type="spellEnd"/>
      <w:r w:rsidR="005A0367" w:rsidRPr="00D67754">
        <w:t xml:space="preserve"> for those patients whose tumours had evidence of activating ESR1 variants</w:t>
      </w:r>
      <w:r w:rsidR="005A0367">
        <w:t>.</w:t>
      </w:r>
    </w:p>
    <w:p w14:paraId="71820C73" w14:textId="56675BCD" w:rsidR="00BC6C05" w:rsidRPr="00B6556D" w:rsidRDefault="00BC6C05" w:rsidP="00252706">
      <w:r w:rsidRPr="00B6556D">
        <w:t xml:space="preserve">MSAC noted that the </w:t>
      </w:r>
      <w:r w:rsidR="00D73D1F">
        <w:t>Pharmaceutical Benefits Advisory Committee (</w:t>
      </w:r>
      <w:r w:rsidRPr="00B6556D">
        <w:t>PBAC</w:t>
      </w:r>
      <w:r w:rsidR="00D73D1F">
        <w:t>) did not recommend</w:t>
      </w:r>
      <w:r w:rsidRPr="00B6556D">
        <w:t xml:space="preserve"> </w:t>
      </w:r>
      <w:proofErr w:type="spellStart"/>
      <w:r w:rsidRPr="00B6556D">
        <w:t>elacestrant</w:t>
      </w:r>
      <w:proofErr w:type="spellEnd"/>
      <w:r w:rsidRPr="00B6556D">
        <w:t xml:space="preserve"> </w:t>
      </w:r>
      <w:r w:rsidR="00D73D1F">
        <w:t>at its March 2025 meeting</w:t>
      </w:r>
      <w:r w:rsidRPr="00B6556D">
        <w:t xml:space="preserve">. </w:t>
      </w:r>
      <w:r w:rsidR="00AD088D">
        <w:t>MSAC noted that t</w:t>
      </w:r>
      <w:r w:rsidR="008C3F44" w:rsidRPr="008C3F44">
        <w:t xml:space="preserve">he PBAC considered that in the heavily pre-treated population included in the clinical trial for </w:t>
      </w:r>
      <w:proofErr w:type="spellStart"/>
      <w:r w:rsidR="008C3F44" w:rsidRPr="008C3F44">
        <w:t>elacestrant</w:t>
      </w:r>
      <w:proofErr w:type="spellEnd"/>
      <w:r w:rsidR="008C3F44" w:rsidRPr="008C3F44">
        <w:t xml:space="preserve">, the control arm of </w:t>
      </w:r>
      <w:proofErr w:type="spellStart"/>
      <w:r w:rsidR="008C3F44" w:rsidRPr="008C3F44">
        <w:t>fulvestrant</w:t>
      </w:r>
      <w:proofErr w:type="spellEnd"/>
      <w:r w:rsidR="008C3F44" w:rsidRPr="008C3F44">
        <w:t xml:space="preserve"> was inappropriate for many patients, and was not representative of standard of care</w:t>
      </w:r>
      <w:r w:rsidR="00864B7A">
        <w:t xml:space="preserve"> (SOC)</w:t>
      </w:r>
      <w:r w:rsidR="008C3F44" w:rsidRPr="008C3F44">
        <w:t>.</w:t>
      </w:r>
      <w:r w:rsidR="00AD088D">
        <w:t xml:space="preserve"> </w:t>
      </w:r>
      <w:r w:rsidRPr="00B6556D">
        <w:t xml:space="preserve">The PBAC considered </w:t>
      </w:r>
      <w:r w:rsidR="002C0CD9">
        <w:t xml:space="preserve">the outcomes from </w:t>
      </w:r>
      <w:r w:rsidR="00C21A0C">
        <w:t>that</w:t>
      </w:r>
      <w:r w:rsidRPr="00B6556D">
        <w:t xml:space="preserve"> the pivotal trial </w:t>
      </w:r>
      <w:r w:rsidR="007C5C24">
        <w:t xml:space="preserve">are </w:t>
      </w:r>
      <w:r w:rsidRPr="00B6556D">
        <w:t xml:space="preserve">likely to overestimate the clinical benefit for </w:t>
      </w:r>
      <w:proofErr w:type="spellStart"/>
      <w:r w:rsidRPr="00B6556D">
        <w:t>elacestrant</w:t>
      </w:r>
      <w:proofErr w:type="spellEnd"/>
      <w:r w:rsidRPr="00B6556D">
        <w:t xml:space="preserve"> due to </w:t>
      </w:r>
      <w:r w:rsidR="001B23D0">
        <w:t xml:space="preserve">the </w:t>
      </w:r>
      <w:r w:rsidRPr="00B6556D">
        <w:t>inappropriate compar</w:t>
      </w:r>
      <w:r w:rsidR="00A361B2">
        <w:t>ison</w:t>
      </w:r>
      <w:r w:rsidRPr="00B6556D">
        <w:t xml:space="preserve">. The PBAC </w:t>
      </w:r>
      <w:r w:rsidR="004953A7">
        <w:t>did not consider</w:t>
      </w:r>
      <w:r w:rsidR="00A4641C">
        <w:t xml:space="preserve"> </w:t>
      </w:r>
      <w:proofErr w:type="spellStart"/>
      <w:r w:rsidR="00A4641C">
        <w:t>elacestrant</w:t>
      </w:r>
      <w:proofErr w:type="spellEnd"/>
      <w:r w:rsidR="00A4641C">
        <w:t xml:space="preserve"> </w:t>
      </w:r>
      <w:r w:rsidRPr="00B6556D">
        <w:t>cost-effective</w:t>
      </w:r>
      <w:r w:rsidR="004953A7">
        <w:t xml:space="preserve"> at the proposed substantially higher cost and </w:t>
      </w:r>
      <w:r w:rsidR="00447963">
        <w:t xml:space="preserve">advised that </w:t>
      </w:r>
      <w:r w:rsidR="00AA0A52">
        <w:t>a</w:t>
      </w:r>
      <w:r w:rsidR="00447963">
        <w:t xml:space="preserve"> resubmission </w:t>
      </w:r>
      <w:r w:rsidR="006C5493">
        <w:t xml:space="preserve">may be lodged using </w:t>
      </w:r>
      <w:r w:rsidR="00447963">
        <w:t>the standard re-entry pathway.</w:t>
      </w:r>
    </w:p>
    <w:p w14:paraId="252495E2" w14:textId="5A96FAD4" w:rsidR="00BC6C05" w:rsidRPr="00B6556D" w:rsidRDefault="00BC6C05" w:rsidP="00252706">
      <w:r w:rsidRPr="00B6556D">
        <w:t xml:space="preserve">MSAC noted that breast cancer is the second most diagnosed cancer and the fifth most common cause of cancer-related death in Australia. Early stages of breast cancer are treated with surgery and/or systemic therapy. Around 20–30% of cases progress to </w:t>
      </w:r>
      <w:proofErr w:type="spellStart"/>
      <w:r w:rsidRPr="00B6556D">
        <w:t>mBC</w:t>
      </w:r>
      <w:proofErr w:type="spellEnd"/>
      <w:r w:rsidRPr="00B6556D">
        <w:t xml:space="preserve">, and around 5–10% of cases are </w:t>
      </w:r>
      <w:proofErr w:type="spellStart"/>
      <w:r w:rsidRPr="00B6556D">
        <w:t>mBC</w:t>
      </w:r>
      <w:proofErr w:type="spellEnd"/>
      <w:r w:rsidRPr="00B6556D">
        <w:t xml:space="preserve"> at diagnosis. Around 70% of </w:t>
      </w:r>
      <w:proofErr w:type="spellStart"/>
      <w:r w:rsidRPr="00B6556D">
        <w:t>mBCs</w:t>
      </w:r>
      <w:proofErr w:type="spellEnd"/>
      <w:r w:rsidRPr="00B6556D">
        <w:t xml:space="preserve"> are ER+/</w:t>
      </w:r>
      <w:r w:rsidRPr="00B6556D">
        <w:rPr>
          <w:i/>
          <w:iCs/>
        </w:rPr>
        <w:t>HER2</w:t>
      </w:r>
      <w:r w:rsidRPr="00B6556D">
        <w:t xml:space="preserve">– tumours. SOC for first-line treatment of </w:t>
      </w:r>
      <w:proofErr w:type="spellStart"/>
      <w:r w:rsidRPr="00B6556D">
        <w:t>mBC</w:t>
      </w:r>
      <w:proofErr w:type="spellEnd"/>
      <w:r w:rsidRPr="00B6556D">
        <w:t xml:space="preserve"> is endocrine therapy (with either aromatase inhibitors or </w:t>
      </w:r>
      <w:proofErr w:type="spellStart"/>
      <w:r w:rsidRPr="00B6556D">
        <w:t>fulvestrant</w:t>
      </w:r>
      <w:proofErr w:type="spellEnd"/>
      <w:r w:rsidRPr="00B6556D">
        <w:t xml:space="preserve">) and CDK4/6i. </w:t>
      </w:r>
      <w:r w:rsidRPr="00B6556D">
        <w:rPr>
          <w:i/>
          <w:iCs/>
        </w:rPr>
        <w:t>ESR1</w:t>
      </w:r>
      <w:r w:rsidRPr="00B6556D">
        <w:t xml:space="preserve"> variants</w:t>
      </w:r>
      <w:r w:rsidR="008C5315">
        <w:t xml:space="preserve"> are a key mechanism of endocrine therapy resistance, and</w:t>
      </w:r>
      <w:r w:rsidRPr="00B6556D">
        <w:t xml:space="preserve"> are acquired by around 40–50% of ER+/</w:t>
      </w:r>
      <w:r w:rsidRPr="00B6556D">
        <w:rPr>
          <w:i/>
          <w:iCs/>
        </w:rPr>
        <w:t>HER2</w:t>
      </w:r>
      <w:r w:rsidRPr="00B6556D">
        <w:t xml:space="preserve">– </w:t>
      </w:r>
      <w:proofErr w:type="spellStart"/>
      <w:r w:rsidRPr="00B6556D">
        <w:t>mBC</w:t>
      </w:r>
      <w:proofErr w:type="spellEnd"/>
      <w:r w:rsidRPr="00B6556D">
        <w:t xml:space="preserve"> after first-line treatment</w:t>
      </w:r>
      <w:r w:rsidR="0049173D">
        <w:t>, but can continue to emerge at each episode of disease progression</w:t>
      </w:r>
      <w:r w:rsidRPr="00B6556D">
        <w:t>.</w:t>
      </w:r>
      <w:r w:rsidR="00403CFF">
        <w:t xml:space="preserve"> </w:t>
      </w:r>
      <w:r w:rsidRPr="00B6556D">
        <w:t xml:space="preserve">More than 20 different </w:t>
      </w:r>
      <w:r w:rsidRPr="00B6556D">
        <w:rPr>
          <w:i/>
          <w:iCs/>
        </w:rPr>
        <w:t>ESR1</w:t>
      </w:r>
      <w:r w:rsidRPr="00B6556D">
        <w:t xml:space="preserve"> variants have been described.</w:t>
      </w:r>
    </w:p>
    <w:p w14:paraId="5BF17985" w14:textId="228ABF5C" w:rsidR="00DA01C7" w:rsidRDefault="00BC6C05" w:rsidP="00252706">
      <w:r w:rsidRPr="00B6556D">
        <w:t xml:space="preserve">MSAC noted that the </w:t>
      </w:r>
      <w:r w:rsidR="00481D64">
        <w:t xml:space="preserve">proposed </w:t>
      </w:r>
      <w:r w:rsidRPr="00B6556D">
        <w:t>test procedure involves testing ctDNA from a peripheral blood sample, also known as a liquid biopsy</w:t>
      </w:r>
      <w:r w:rsidR="003C2AA9">
        <w:t xml:space="preserve">. </w:t>
      </w:r>
      <w:r w:rsidR="00FF3358">
        <w:t xml:space="preserve">MSAC considered that the proposed use of ctDNA testing </w:t>
      </w:r>
      <w:r w:rsidR="00DC6F3D">
        <w:t>rather than</w:t>
      </w:r>
      <w:r w:rsidR="00FF3358">
        <w:t xml:space="preserve"> tumour tissue testing was appropriate</w:t>
      </w:r>
      <w:r w:rsidR="008A0BCC">
        <w:t>. B</w:t>
      </w:r>
      <w:r w:rsidR="00887273">
        <w:t>ecause</w:t>
      </w:r>
      <w:r w:rsidR="00FF3358">
        <w:t xml:space="preserve"> </w:t>
      </w:r>
      <w:proofErr w:type="spellStart"/>
      <w:r w:rsidR="002E3883">
        <w:t>mBC</w:t>
      </w:r>
      <w:proofErr w:type="spellEnd"/>
      <w:r w:rsidR="002E3883">
        <w:t xml:space="preserve"> is heterogenous and </w:t>
      </w:r>
      <w:r w:rsidR="00C37E5B" w:rsidRPr="00C37E5B">
        <w:rPr>
          <w:i/>
          <w:iCs/>
        </w:rPr>
        <w:t>ESR1</w:t>
      </w:r>
      <w:r w:rsidR="00C37E5B">
        <w:t xml:space="preserve"> </w:t>
      </w:r>
      <w:r w:rsidR="002E3883">
        <w:t xml:space="preserve">variants may be acquired, </w:t>
      </w:r>
      <w:r w:rsidR="008A0BCC">
        <w:t>and there may be</w:t>
      </w:r>
      <w:r w:rsidR="00887273">
        <w:t xml:space="preserve"> numerous tumour sites, multiple tissue biopsies would be required at each stage of disease progression</w:t>
      </w:r>
      <w:r w:rsidR="008109D0">
        <w:t xml:space="preserve">. MSAC considered that </w:t>
      </w:r>
      <w:r w:rsidR="00B243B5">
        <w:t>ctDNA would be more indicative of active tumour sites and would limit the impact of biopsy on patients.</w:t>
      </w:r>
      <w:r w:rsidR="00887273">
        <w:t xml:space="preserve"> </w:t>
      </w:r>
    </w:p>
    <w:p w14:paraId="36FC9331" w14:textId="10CE63DF" w:rsidR="003558F7" w:rsidRDefault="003C2AA9" w:rsidP="00252706">
      <w:r>
        <w:t xml:space="preserve">MSAC noted that </w:t>
      </w:r>
      <w:r w:rsidR="00EC4206">
        <w:t xml:space="preserve">while </w:t>
      </w:r>
      <w:r>
        <w:t>the applicant proposed</w:t>
      </w:r>
      <w:r w:rsidR="00BC6C05" w:rsidRPr="00B6556D">
        <w:t xml:space="preserve"> using NGS</w:t>
      </w:r>
      <w:r w:rsidR="00292CD9">
        <w:t xml:space="preserve"> for </w:t>
      </w:r>
      <w:r w:rsidR="002921BE">
        <w:rPr>
          <w:i/>
          <w:iCs/>
        </w:rPr>
        <w:t xml:space="preserve">ESR1 </w:t>
      </w:r>
      <w:r w:rsidR="00AB115A">
        <w:t>testing</w:t>
      </w:r>
      <w:r w:rsidR="00BE4D85">
        <w:t xml:space="preserve">, </w:t>
      </w:r>
      <w:r w:rsidR="00BC6C05" w:rsidRPr="00B6556D">
        <w:t>digital droplet</w:t>
      </w:r>
      <w:r w:rsidR="00275E71">
        <w:t xml:space="preserve"> polymerase chain reaction</w:t>
      </w:r>
      <w:r w:rsidR="00BC6C05" w:rsidRPr="00B6556D">
        <w:t xml:space="preserve"> (</w:t>
      </w:r>
      <w:proofErr w:type="spellStart"/>
      <w:r w:rsidR="00BC6C05" w:rsidRPr="00B6556D">
        <w:t>ddPCR</w:t>
      </w:r>
      <w:proofErr w:type="spellEnd"/>
      <w:r w:rsidR="00BC6C05" w:rsidRPr="00B6556D">
        <w:t>)</w:t>
      </w:r>
      <w:r w:rsidR="00BE4D85">
        <w:t xml:space="preserve"> may be appropriate as an alternative test methodology</w:t>
      </w:r>
      <w:r w:rsidR="003C1A4B">
        <w:t>. O</w:t>
      </w:r>
      <w:r w:rsidR="00BE4D85">
        <w:t xml:space="preserve">ther </w:t>
      </w:r>
      <w:r w:rsidR="001F4620">
        <w:t xml:space="preserve">suitable </w:t>
      </w:r>
      <w:r w:rsidR="00BE4D85">
        <w:t xml:space="preserve">methodologies </w:t>
      </w:r>
      <w:r w:rsidR="001F4620">
        <w:t xml:space="preserve">may </w:t>
      </w:r>
      <w:r w:rsidR="003C1A4B">
        <w:t xml:space="preserve">also </w:t>
      </w:r>
      <w:r w:rsidR="001F4620">
        <w:t>be</w:t>
      </w:r>
      <w:r w:rsidR="003C1A4B">
        <w:t>come</w:t>
      </w:r>
      <w:r w:rsidR="001F4620">
        <w:t xml:space="preserve"> available in </w:t>
      </w:r>
      <w:r w:rsidR="003C1A4B">
        <w:t xml:space="preserve">the </w:t>
      </w:r>
      <w:r w:rsidR="001F4620">
        <w:t>future</w:t>
      </w:r>
      <w:r w:rsidR="00BC6C05" w:rsidRPr="00B6556D">
        <w:t xml:space="preserve">. MSAC noted that </w:t>
      </w:r>
      <w:r w:rsidR="00210ACE">
        <w:t xml:space="preserve">while </w:t>
      </w:r>
      <w:proofErr w:type="spellStart"/>
      <w:r w:rsidR="00BC6C05" w:rsidRPr="00B6556D">
        <w:t>ddPCR</w:t>
      </w:r>
      <w:proofErr w:type="spellEnd"/>
      <w:r w:rsidR="00BC6C05" w:rsidRPr="00B6556D">
        <w:t xml:space="preserve"> has </w:t>
      </w:r>
      <w:r w:rsidR="00210ACE">
        <w:t>greater</w:t>
      </w:r>
      <w:r w:rsidR="00210ACE" w:rsidRPr="00B6556D">
        <w:t xml:space="preserve"> </w:t>
      </w:r>
      <w:r w:rsidR="00BC6C05" w:rsidRPr="00B6556D">
        <w:t xml:space="preserve">sensitivity </w:t>
      </w:r>
      <w:r w:rsidR="00210ACE">
        <w:t>than NGS</w:t>
      </w:r>
      <w:r w:rsidR="00210ACE" w:rsidRPr="00B6556D">
        <w:t xml:space="preserve"> </w:t>
      </w:r>
      <w:r w:rsidR="00BC6C05" w:rsidRPr="00B6556D">
        <w:t xml:space="preserve">and </w:t>
      </w:r>
      <w:r w:rsidR="00C51125">
        <w:t>is cheaper</w:t>
      </w:r>
      <w:r w:rsidR="00125D03">
        <w:t xml:space="preserve"> (in a high volume laboratory)</w:t>
      </w:r>
      <w:r w:rsidR="000658C8">
        <w:t xml:space="preserve">, </w:t>
      </w:r>
      <w:r w:rsidR="00BC6C05" w:rsidRPr="00B6556D">
        <w:t xml:space="preserve">multiple assays </w:t>
      </w:r>
      <w:r w:rsidR="000658C8">
        <w:t xml:space="preserve">would be required </w:t>
      </w:r>
      <w:r w:rsidR="00BC6C05" w:rsidRPr="00B6556D">
        <w:t xml:space="preserve">to cover all known </w:t>
      </w:r>
      <w:r w:rsidR="00BC6C05" w:rsidRPr="00B6556D">
        <w:rPr>
          <w:i/>
          <w:iCs/>
        </w:rPr>
        <w:t>ESR1</w:t>
      </w:r>
      <w:r w:rsidR="00BC6C05" w:rsidRPr="00B6556D">
        <w:t xml:space="preserve"> variants. MSAC considered that, in practice, laboratories would</w:t>
      </w:r>
      <w:r w:rsidR="008A0BCC">
        <w:t xml:space="preserve"> be</w:t>
      </w:r>
      <w:r w:rsidR="00BC6C05" w:rsidRPr="00B6556D">
        <w:t xml:space="preserve"> </w:t>
      </w:r>
      <w:r w:rsidR="008A17C8">
        <w:t>unlikely</w:t>
      </w:r>
      <w:r w:rsidR="008A0BCC">
        <w:t xml:space="preserve"> to</w:t>
      </w:r>
      <w:r w:rsidR="008A17C8" w:rsidRPr="00B6556D">
        <w:t xml:space="preserve"> </w:t>
      </w:r>
      <w:r w:rsidR="00BC6C05" w:rsidRPr="00B6556D">
        <w:t xml:space="preserve">develop </w:t>
      </w:r>
      <w:r w:rsidR="008A17C8">
        <w:t xml:space="preserve">a </w:t>
      </w:r>
      <w:r w:rsidR="00BC6C05" w:rsidRPr="00B6556D">
        <w:t xml:space="preserve">bespoke </w:t>
      </w:r>
      <w:proofErr w:type="spellStart"/>
      <w:r w:rsidR="00BC6C05" w:rsidRPr="00B6556D">
        <w:t>ddPCR</w:t>
      </w:r>
      <w:proofErr w:type="spellEnd"/>
      <w:r w:rsidR="00BC6C05" w:rsidRPr="00B6556D">
        <w:t xml:space="preserve"> </w:t>
      </w:r>
      <w:r w:rsidR="00CF3C5C">
        <w:t xml:space="preserve">assay </w:t>
      </w:r>
      <w:r w:rsidR="00BC6C05" w:rsidRPr="00B6556D">
        <w:t xml:space="preserve">for </w:t>
      </w:r>
      <w:r w:rsidR="000658C8">
        <w:t>every</w:t>
      </w:r>
      <w:r w:rsidR="00BC6C05" w:rsidRPr="00B6556D">
        <w:t xml:space="preserve"> variant</w:t>
      </w:r>
      <w:r w:rsidR="008A17C8">
        <w:t xml:space="preserve"> but rather</w:t>
      </w:r>
      <w:r w:rsidR="00BC6C05" w:rsidRPr="00B6556D">
        <w:t xml:space="preserve"> use an NGS approach. MSAC therefore </w:t>
      </w:r>
      <w:r w:rsidR="004B1A8F">
        <w:t>considered</w:t>
      </w:r>
      <w:r w:rsidR="004B1A8F" w:rsidRPr="00B6556D">
        <w:t xml:space="preserve"> </w:t>
      </w:r>
      <w:r w:rsidR="00BC6C05" w:rsidRPr="00B6556D">
        <w:t xml:space="preserve">that the MBS item descriptor </w:t>
      </w:r>
      <w:r w:rsidR="00E049F6">
        <w:t xml:space="preserve">for </w:t>
      </w:r>
      <w:r w:rsidR="00E049F6">
        <w:rPr>
          <w:i/>
          <w:iCs/>
        </w:rPr>
        <w:t xml:space="preserve">ESR1 </w:t>
      </w:r>
      <w:r w:rsidR="00E049F6">
        <w:t xml:space="preserve">testing </w:t>
      </w:r>
      <w:r w:rsidR="00BC6C05" w:rsidRPr="00B6556D">
        <w:t>should be method-agnostic</w:t>
      </w:r>
      <w:r w:rsidR="0020039B">
        <w:t xml:space="preserve">. </w:t>
      </w:r>
    </w:p>
    <w:p w14:paraId="05D00F2E" w14:textId="4C4C37EF" w:rsidR="00897B1B" w:rsidRDefault="52999609" w:rsidP="00252706">
      <w:r>
        <w:t xml:space="preserve">As for </w:t>
      </w:r>
      <w:r w:rsidR="49E6357F">
        <w:t>the proposed</w:t>
      </w:r>
      <w:r w:rsidR="40A85C66">
        <w:t xml:space="preserve"> </w:t>
      </w:r>
      <w:r>
        <w:t xml:space="preserve">MBS </w:t>
      </w:r>
      <w:r w:rsidR="40A85C66">
        <w:t>fee</w:t>
      </w:r>
      <w:r w:rsidR="78F6652E">
        <w:t xml:space="preserve"> </w:t>
      </w:r>
      <w:r w:rsidR="25CE9AFC">
        <w:t xml:space="preserve">of </w:t>
      </w:r>
      <w:r w:rsidR="78F6652E" w:rsidRPr="000B4283">
        <w:t>$</w:t>
      </w:r>
      <w:r w:rsidR="78F6652E" w:rsidRPr="001166A3">
        <w:t>1,500</w:t>
      </w:r>
      <w:r w:rsidRPr="000B4283">
        <w:t>,</w:t>
      </w:r>
      <w:r>
        <w:t xml:space="preserve"> MSAC considered that it</w:t>
      </w:r>
      <w:r w:rsidR="25CE9AFC">
        <w:t xml:space="preserve"> was appropriate</w:t>
      </w:r>
      <w:r w:rsidR="49E6357F">
        <w:t xml:space="preserve">, </w:t>
      </w:r>
      <w:r w:rsidR="297782C1">
        <w:t xml:space="preserve">as it is in alignment </w:t>
      </w:r>
      <w:r w:rsidR="40A85C66">
        <w:t>with an NGS approach</w:t>
      </w:r>
      <w:r w:rsidR="245988B4">
        <w:t xml:space="preserve"> and </w:t>
      </w:r>
      <w:r w:rsidR="3B930ACF">
        <w:t xml:space="preserve">laboratories would </w:t>
      </w:r>
      <w:r w:rsidR="008A0BCC">
        <w:t xml:space="preserve">be </w:t>
      </w:r>
      <w:r w:rsidR="3B930ACF">
        <w:t xml:space="preserve">unlikely </w:t>
      </w:r>
      <w:r w:rsidR="008A0BCC">
        <w:t xml:space="preserve">to </w:t>
      </w:r>
      <w:r w:rsidR="3B930ACF">
        <w:t xml:space="preserve">use </w:t>
      </w:r>
      <w:proofErr w:type="spellStart"/>
      <w:r w:rsidR="3B930ACF">
        <w:t>ddPCR</w:t>
      </w:r>
      <w:proofErr w:type="spellEnd"/>
      <w:r w:rsidR="2C78FF70">
        <w:t xml:space="preserve"> in practice</w:t>
      </w:r>
      <w:r w:rsidR="40A85C66">
        <w:t>.</w:t>
      </w:r>
      <w:r w:rsidR="0146C9D9">
        <w:t xml:space="preserve"> MSAC noted t</w:t>
      </w:r>
      <w:r w:rsidR="2311FACB">
        <w:t>he</w:t>
      </w:r>
      <w:r w:rsidR="4FDDB6B4">
        <w:t xml:space="preserve"> </w:t>
      </w:r>
      <w:r w:rsidR="74F5F6B8">
        <w:t>P</w:t>
      </w:r>
      <w:r w:rsidR="4FDDB6B4">
        <w:t>re-</w:t>
      </w:r>
      <w:r w:rsidR="0DFB5EDC">
        <w:t>C</w:t>
      </w:r>
      <w:r w:rsidR="4FDDB6B4">
        <w:t xml:space="preserve">ommittee </w:t>
      </w:r>
      <w:r w:rsidR="2311FACB">
        <w:t>R</w:t>
      </w:r>
      <w:r w:rsidR="4FDDB6B4">
        <w:t>esponse</w:t>
      </w:r>
      <w:r w:rsidR="2311FACB">
        <w:t xml:space="preserve"> </w:t>
      </w:r>
      <w:r w:rsidR="3EB531EA">
        <w:t xml:space="preserve">reported that </w:t>
      </w:r>
      <w:r w:rsidR="4FDDB6B4">
        <w:t>all</w:t>
      </w:r>
      <w:r w:rsidR="0146C9D9">
        <w:t xml:space="preserve"> laboratories</w:t>
      </w:r>
      <w:r w:rsidR="22E9CEEF">
        <w:t xml:space="preserve"> </w:t>
      </w:r>
      <w:r w:rsidR="008A0BCC">
        <w:t xml:space="preserve">contacted by </w:t>
      </w:r>
      <w:r w:rsidR="2311FACB">
        <w:t>the applicant</w:t>
      </w:r>
      <w:r w:rsidR="22E9CEEF">
        <w:t xml:space="preserve"> </w:t>
      </w:r>
      <w:r w:rsidR="0146C9D9">
        <w:t xml:space="preserve">would either not offer the test </w:t>
      </w:r>
      <w:r w:rsidR="38B2880C">
        <w:t>if the MBS rebate was inadequate</w:t>
      </w:r>
      <w:r w:rsidR="4D3611EC">
        <w:t>,</w:t>
      </w:r>
      <w:r w:rsidR="38B2880C">
        <w:t xml:space="preserve"> </w:t>
      </w:r>
      <w:r w:rsidR="0146C9D9">
        <w:t xml:space="preserve">or </w:t>
      </w:r>
      <w:r w:rsidR="7BBE8BEE">
        <w:t>would</w:t>
      </w:r>
      <w:r w:rsidR="0146C9D9">
        <w:t xml:space="preserve"> introduce a patient copayment, </w:t>
      </w:r>
      <w:r w:rsidR="27192501">
        <w:t>resulting in</w:t>
      </w:r>
      <w:r w:rsidR="0146C9D9">
        <w:t xml:space="preserve"> equity </w:t>
      </w:r>
      <w:r w:rsidR="27192501">
        <w:t>or</w:t>
      </w:r>
      <w:r w:rsidR="0146C9D9">
        <w:t xml:space="preserve"> access issues.</w:t>
      </w:r>
      <w:r w:rsidR="40A85C66">
        <w:t xml:space="preserve"> </w:t>
      </w:r>
    </w:p>
    <w:p w14:paraId="2C1BD828" w14:textId="58EE8E45" w:rsidR="00913093" w:rsidRPr="00B6556D" w:rsidRDefault="00BC6C05" w:rsidP="00252706">
      <w:r w:rsidRPr="00B6556D">
        <w:lastRenderedPageBreak/>
        <w:t>MSAC noted that the Guardant360 assay used in the pivotal trial is not available in Australia and</w:t>
      </w:r>
      <w:r w:rsidR="00CD3B5E">
        <w:t xml:space="preserve"> that</w:t>
      </w:r>
      <w:r w:rsidRPr="00B6556D">
        <w:t xml:space="preserve"> there are no ctDNA </w:t>
      </w:r>
      <w:r w:rsidRPr="00B6556D">
        <w:rPr>
          <w:i/>
          <w:iCs/>
        </w:rPr>
        <w:t>ESR1</w:t>
      </w:r>
      <w:r w:rsidRPr="00B6556D">
        <w:t xml:space="preserve"> tests listed on the Australian Register of Therapeutic Goods (ARTG). MSAC also noted </w:t>
      </w:r>
      <w:r w:rsidR="009B5A48">
        <w:t>the</w:t>
      </w:r>
      <w:r w:rsidR="001B1296">
        <w:t xml:space="preserve"> </w:t>
      </w:r>
      <w:r w:rsidR="009B5A48">
        <w:t>P</w:t>
      </w:r>
      <w:r w:rsidR="001B1296">
        <w:t>re-</w:t>
      </w:r>
      <w:r w:rsidR="007832FA">
        <w:t>C</w:t>
      </w:r>
      <w:r w:rsidR="001B1296">
        <w:t xml:space="preserve">ommittee </w:t>
      </w:r>
      <w:r w:rsidR="007832FA">
        <w:t>R</w:t>
      </w:r>
      <w:r w:rsidR="001B1296">
        <w:t>esponse</w:t>
      </w:r>
      <w:r w:rsidR="007832FA">
        <w:t xml:space="preserve"> reported</w:t>
      </w:r>
      <w:r w:rsidR="001B1296">
        <w:t xml:space="preserve"> that 2</w:t>
      </w:r>
      <w:r w:rsidRPr="00B6556D">
        <w:t xml:space="preserve"> Australian laboratories are </w:t>
      </w:r>
      <w:r w:rsidR="00C43D27">
        <w:t xml:space="preserve">in the process of obtaining </w:t>
      </w:r>
      <w:r w:rsidRPr="00B6556D">
        <w:t>accredit</w:t>
      </w:r>
      <w:r w:rsidR="00C43D27">
        <w:t>ation</w:t>
      </w:r>
      <w:r w:rsidRPr="00B6556D">
        <w:t xml:space="preserve"> with the National Association of Testing Authorities (NATA) to perform</w:t>
      </w:r>
      <w:r w:rsidR="00314600">
        <w:t xml:space="preserve"> </w:t>
      </w:r>
      <w:r w:rsidR="00314600">
        <w:rPr>
          <w:i/>
          <w:iCs/>
        </w:rPr>
        <w:t>ESR1</w:t>
      </w:r>
      <w:r w:rsidR="00314600">
        <w:t xml:space="preserve"> testing using</w:t>
      </w:r>
      <w:r w:rsidRPr="00B6556D">
        <w:t xml:space="preserve"> ctDNA</w:t>
      </w:r>
      <w:r w:rsidR="008A0BCC">
        <w:t>, but</w:t>
      </w:r>
      <w:r w:rsidR="00314600">
        <w:t xml:space="preserve"> no Australian laboratories </w:t>
      </w:r>
      <w:r w:rsidR="56C385F8">
        <w:t xml:space="preserve">are </w:t>
      </w:r>
      <w:r w:rsidR="00314600">
        <w:t>currently accredited for this testing</w:t>
      </w:r>
      <w:r w:rsidRPr="00B6556D">
        <w:t xml:space="preserve">. MSAC therefore queried </w:t>
      </w:r>
      <w:r w:rsidR="00563F2B">
        <w:t>if</w:t>
      </w:r>
      <w:r w:rsidR="00563F2B" w:rsidRPr="00B6556D">
        <w:t xml:space="preserve"> </w:t>
      </w:r>
      <w:r w:rsidR="0037033B">
        <w:t>the</w:t>
      </w:r>
      <w:r w:rsidRPr="00B6556D">
        <w:t xml:space="preserve"> </w:t>
      </w:r>
      <w:r w:rsidR="00273C83">
        <w:t>current</w:t>
      </w:r>
      <w:r w:rsidRPr="00B6556D">
        <w:t xml:space="preserve"> capacity to offer </w:t>
      </w:r>
      <w:r w:rsidR="00DE4DC5" w:rsidRPr="00DE4DC5">
        <w:rPr>
          <w:i/>
          <w:iCs/>
        </w:rPr>
        <w:t>ESR1</w:t>
      </w:r>
      <w:r w:rsidR="00DE4DC5" w:rsidRPr="00B6556D">
        <w:t xml:space="preserve"> </w:t>
      </w:r>
      <w:r w:rsidRPr="00B6556D">
        <w:t>test</w:t>
      </w:r>
      <w:r w:rsidR="00DE4DC5">
        <w:t>ing is adequate</w:t>
      </w:r>
      <w:r w:rsidR="00DE4DC5" w:rsidRPr="00DE4DC5">
        <w:t xml:space="preserve"> </w:t>
      </w:r>
      <w:r w:rsidR="00DE4DC5" w:rsidRPr="00B6556D">
        <w:t>in Australia</w:t>
      </w:r>
      <w:r w:rsidRPr="00B6556D">
        <w:t xml:space="preserve">. </w:t>
      </w:r>
    </w:p>
    <w:p w14:paraId="3F587AE1" w14:textId="2BD90BD8" w:rsidR="00BC6C05" w:rsidRPr="00B6556D" w:rsidRDefault="00BC6C05" w:rsidP="008C1003">
      <w:pPr>
        <w:tabs>
          <w:tab w:val="left" w:pos="3686"/>
        </w:tabs>
        <w:spacing w:line="256" w:lineRule="auto"/>
      </w:pPr>
      <w:r w:rsidRPr="00B6556D">
        <w:t xml:space="preserve">MSAC </w:t>
      </w:r>
      <w:r w:rsidR="00273C83">
        <w:t>welcomed</w:t>
      </w:r>
      <w:r w:rsidR="00273C83" w:rsidRPr="00B6556D">
        <w:t xml:space="preserve"> </w:t>
      </w:r>
      <w:r w:rsidRPr="00B6556D">
        <w:t>consultation input</w:t>
      </w:r>
      <w:r w:rsidR="00273C83">
        <w:t xml:space="preserve"> from </w:t>
      </w:r>
      <w:r w:rsidR="007740F8">
        <w:rPr>
          <w:rFonts w:eastAsia="Franklin Gothic Book" w:cs="Franklin Gothic Book"/>
        </w:rPr>
        <w:t>2</w:t>
      </w:r>
      <w:r w:rsidR="007740F8" w:rsidRPr="1052C515">
        <w:rPr>
          <w:rFonts w:eastAsia="Franklin Gothic Book" w:cs="Franklin Gothic Book"/>
        </w:rPr>
        <w:t xml:space="preserve"> </w:t>
      </w:r>
      <w:r w:rsidR="008C1003" w:rsidRPr="1052C515">
        <w:rPr>
          <w:rFonts w:eastAsia="Franklin Gothic Book" w:cs="Franklin Gothic Book"/>
        </w:rPr>
        <w:t xml:space="preserve">non-consumer organisation and </w:t>
      </w:r>
      <w:r w:rsidR="008C1003">
        <w:rPr>
          <w:rFonts w:eastAsia="Franklin Gothic Book" w:cs="Franklin Gothic Book"/>
        </w:rPr>
        <w:t>4</w:t>
      </w:r>
      <w:r w:rsidR="008C1003" w:rsidRPr="1052C515">
        <w:rPr>
          <w:rFonts w:eastAsia="Franklin Gothic Book" w:cs="Franklin Gothic Book"/>
        </w:rPr>
        <w:t xml:space="preserve"> consumer organisations</w:t>
      </w:r>
      <w:r w:rsidRPr="00B6556D">
        <w:t xml:space="preserve">, </w:t>
      </w:r>
      <w:r w:rsidR="008C1003">
        <w:t xml:space="preserve">and noted that the feedback </w:t>
      </w:r>
      <w:r w:rsidRPr="00B6556D">
        <w:t>was broadly supportive of the application. MSAC noted that</w:t>
      </w:r>
      <w:r w:rsidR="00AF06BF">
        <w:t xml:space="preserve"> some feedback raised concerns around equity and access because</w:t>
      </w:r>
      <w:r w:rsidRPr="00B6556D">
        <w:t xml:space="preserve"> genetic testing services </w:t>
      </w:r>
      <w:proofErr w:type="gramStart"/>
      <w:r w:rsidRPr="00B6556D">
        <w:t>are located in</w:t>
      </w:r>
      <w:proofErr w:type="gramEnd"/>
      <w:r w:rsidRPr="00B6556D">
        <w:t xml:space="preserve"> metropolitan areas</w:t>
      </w:r>
      <w:r w:rsidR="00AB3E68">
        <w:t>.</w:t>
      </w:r>
      <w:r w:rsidR="00A32121">
        <w:t xml:space="preserve"> </w:t>
      </w:r>
      <w:r w:rsidR="00AB3E68">
        <w:t>H</w:t>
      </w:r>
      <w:r w:rsidR="00A32121">
        <w:t xml:space="preserve">owever, MSAC </w:t>
      </w:r>
      <w:r w:rsidR="00160A1D">
        <w:t>considered</w:t>
      </w:r>
      <w:r w:rsidR="00A32121">
        <w:t xml:space="preserve"> that</w:t>
      </w:r>
      <w:r w:rsidRPr="00B6556D">
        <w:t xml:space="preserve"> </w:t>
      </w:r>
      <w:r w:rsidR="00055801">
        <w:t>ctDNA</w:t>
      </w:r>
      <w:r w:rsidRPr="00B6556D">
        <w:t xml:space="preserve"> specimens are easier to collect and transport than tissue specimens in rural and remote areas, which may </w:t>
      </w:r>
      <w:r w:rsidR="00A32121">
        <w:t>help to increase</w:t>
      </w:r>
      <w:r w:rsidRPr="00B6556D">
        <w:t xml:space="preserve"> access for rural and remote patients. </w:t>
      </w:r>
    </w:p>
    <w:p w14:paraId="764AF560" w14:textId="18AB9887" w:rsidR="00A63A04" w:rsidRDefault="00913093" w:rsidP="00252706">
      <w:r>
        <w:t xml:space="preserve">MSAC noted the </w:t>
      </w:r>
      <w:r w:rsidR="0069366F">
        <w:t>applicant</w:t>
      </w:r>
      <w:r w:rsidR="00CF390B">
        <w:t xml:space="preserve"> </w:t>
      </w:r>
      <w:r>
        <w:t>claim</w:t>
      </w:r>
      <w:r w:rsidR="00CF390B">
        <w:t>ed</w:t>
      </w:r>
      <w:r>
        <w:t xml:space="preserve"> that</w:t>
      </w:r>
      <w:r w:rsidR="00021B65">
        <w:t xml:space="preserve">, </w:t>
      </w:r>
      <w:r w:rsidR="00BD6FBC">
        <w:t xml:space="preserve">for those who </w:t>
      </w:r>
      <w:r w:rsidR="00BD6FBC" w:rsidRPr="00BD6FBC">
        <w:t xml:space="preserve">test positive for an </w:t>
      </w:r>
      <w:r w:rsidR="00BD6FBC" w:rsidRPr="008A5637">
        <w:rPr>
          <w:i/>
          <w:iCs/>
        </w:rPr>
        <w:t>ESR1</w:t>
      </w:r>
      <w:r w:rsidR="00BD6FBC" w:rsidRPr="00BD6FBC">
        <w:t xml:space="preserve"> variant, </w:t>
      </w:r>
      <w:proofErr w:type="spellStart"/>
      <w:r w:rsidR="00BD6FBC" w:rsidRPr="00BD6FBC">
        <w:t>elacestrant</w:t>
      </w:r>
      <w:proofErr w:type="spellEnd"/>
      <w:r w:rsidR="00BD6FBC" w:rsidRPr="00BD6FBC">
        <w:t xml:space="preserve"> is superior to SOC in terms of </w:t>
      </w:r>
      <w:r w:rsidR="00BA63AA">
        <w:t xml:space="preserve">clinical </w:t>
      </w:r>
      <w:r w:rsidR="00BD6FBC" w:rsidRPr="00BD6FBC">
        <w:t xml:space="preserve">effectiveness </w:t>
      </w:r>
      <w:r w:rsidR="00D21A81">
        <w:t xml:space="preserve">and </w:t>
      </w:r>
      <w:r w:rsidR="00BD6FBC" w:rsidRPr="00BD6FBC">
        <w:t>with a different</w:t>
      </w:r>
      <w:r w:rsidR="00685F6D">
        <w:t>,</w:t>
      </w:r>
      <w:r w:rsidR="00BD6FBC" w:rsidRPr="00BD6FBC">
        <w:t xml:space="preserve"> </w:t>
      </w:r>
      <w:r w:rsidR="00D21A81">
        <w:t>but</w:t>
      </w:r>
      <w:r w:rsidR="00D21A81" w:rsidRPr="00BD6FBC">
        <w:t xml:space="preserve"> </w:t>
      </w:r>
      <w:r w:rsidR="00BD6FBC" w:rsidRPr="00BD6FBC">
        <w:t>manageable</w:t>
      </w:r>
      <w:r w:rsidR="00685F6D">
        <w:t>,</w:t>
      </w:r>
      <w:r w:rsidR="00BD6FBC" w:rsidRPr="00BD6FBC">
        <w:t xml:space="preserve"> safety profile.</w:t>
      </w:r>
      <w:r>
        <w:t xml:space="preserve"> </w:t>
      </w:r>
    </w:p>
    <w:p w14:paraId="42E4825D" w14:textId="5894E8BB" w:rsidR="00BC6C05" w:rsidRPr="00B6556D" w:rsidRDefault="00BC6C05" w:rsidP="00252706">
      <w:r w:rsidRPr="00B6556D">
        <w:t xml:space="preserve">MSAC agreed with the </w:t>
      </w:r>
      <w:r w:rsidR="001745BD">
        <w:t xml:space="preserve">ESCs </w:t>
      </w:r>
      <w:r w:rsidRPr="00B6556D">
        <w:t xml:space="preserve">that the </w:t>
      </w:r>
      <w:r w:rsidR="00BD6FBC">
        <w:t xml:space="preserve">safety claim was not appropriate, and that </w:t>
      </w:r>
      <w:proofErr w:type="spellStart"/>
      <w:r w:rsidR="00D21A81">
        <w:t>elacestrant</w:t>
      </w:r>
      <w:proofErr w:type="spellEnd"/>
      <w:r w:rsidR="00D21A81">
        <w:t xml:space="preserve"> treatment</w:t>
      </w:r>
      <w:r w:rsidRPr="00B6556D">
        <w:t xml:space="preserve"> has inferior safety compared </w:t>
      </w:r>
      <w:r w:rsidR="001140B3">
        <w:t>to</w:t>
      </w:r>
      <w:r w:rsidR="001140B3" w:rsidRPr="00B6556D">
        <w:t xml:space="preserve"> </w:t>
      </w:r>
      <w:r w:rsidRPr="00B6556D">
        <w:t xml:space="preserve">the comparator (SOC). </w:t>
      </w:r>
      <w:r w:rsidR="00AA0ED2">
        <w:t>While t</w:t>
      </w:r>
      <w:r w:rsidRPr="00B6556D">
        <w:t xml:space="preserve">he test itself is </w:t>
      </w:r>
      <w:r w:rsidR="001140B3">
        <w:t xml:space="preserve">of </w:t>
      </w:r>
      <w:r w:rsidRPr="00B6556D">
        <w:t>low</w:t>
      </w:r>
      <w:r w:rsidR="001140B3">
        <w:t>-</w:t>
      </w:r>
      <w:r w:rsidRPr="00B6556D">
        <w:t xml:space="preserve">risk and minimally invasive, treatment-related adverse events </w:t>
      </w:r>
      <w:r w:rsidR="00941B18">
        <w:t xml:space="preserve">arising </w:t>
      </w:r>
      <w:r w:rsidRPr="00B6556D">
        <w:t xml:space="preserve">from a change in management to </w:t>
      </w:r>
      <w:proofErr w:type="spellStart"/>
      <w:r w:rsidRPr="00B6556D">
        <w:t>elacestrant</w:t>
      </w:r>
      <w:proofErr w:type="spellEnd"/>
      <w:r w:rsidRPr="00B6556D">
        <w:t xml:space="preserve"> involve a greater risk than SOC for all adverse events ≥Grade 3, including those </w:t>
      </w:r>
      <w:r w:rsidR="00941B18">
        <w:t>resulting in</w:t>
      </w:r>
      <w:r w:rsidRPr="00B6556D">
        <w:t xml:space="preserve"> treatment interruption.</w:t>
      </w:r>
      <w:r w:rsidR="00406910">
        <w:t xml:space="preserve"> In terms of clinical effectiveness, </w:t>
      </w:r>
      <w:r w:rsidRPr="00B6556D">
        <w:t xml:space="preserve">MSAC noted </w:t>
      </w:r>
      <w:r w:rsidR="00406910">
        <w:t xml:space="preserve">that </w:t>
      </w:r>
      <w:r w:rsidRPr="00B6556D">
        <w:t>PBAC</w:t>
      </w:r>
      <w:r w:rsidR="00406910">
        <w:t xml:space="preserve"> </w:t>
      </w:r>
      <w:r w:rsidR="00F20987">
        <w:t xml:space="preserve">did not </w:t>
      </w:r>
      <w:r w:rsidR="00D13F32">
        <w:t>consider</w:t>
      </w:r>
      <w:r w:rsidR="003561B9">
        <w:t xml:space="preserve"> </w:t>
      </w:r>
      <w:r w:rsidR="0021217F">
        <w:t xml:space="preserve">the evidence presented supported </w:t>
      </w:r>
      <w:r w:rsidR="00AE162C">
        <w:t>clear survival benefit</w:t>
      </w:r>
      <w:r w:rsidR="00023A39">
        <w:t>s</w:t>
      </w:r>
      <w:r w:rsidR="00AE162C">
        <w:t xml:space="preserve"> with</w:t>
      </w:r>
      <w:r w:rsidR="001F377A">
        <w:t xml:space="preserve"> </w:t>
      </w:r>
      <w:proofErr w:type="spellStart"/>
      <w:r w:rsidR="001F377A">
        <w:t>elacestrant</w:t>
      </w:r>
      <w:proofErr w:type="spellEnd"/>
      <w:r w:rsidR="001F377A">
        <w:t xml:space="preserve"> treatment </w:t>
      </w:r>
      <w:r w:rsidR="00685F6D">
        <w:t xml:space="preserve">over </w:t>
      </w:r>
      <w:r w:rsidR="001F377A">
        <w:t>SOC</w:t>
      </w:r>
      <w:r w:rsidR="00FE7801">
        <w:t xml:space="preserve">. </w:t>
      </w:r>
      <w:r w:rsidR="0080150F">
        <w:t xml:space="preserve">MSAC agreed with </w:t>
      </w:r>
      <w:r w:rsidR="00946C5E">
        <w:t xml:space="preserve">PBAC’s </w:t>
      </w:r>
      <w:r w:rsidR="0080150F">
        <w:t>concerns</w:t>
      </w:r>
      <w:r w:rsidR="006E1C3F">
        <w:t xml:space="preserve"> and considered </w:t>
      </w:r>
      <w:r w:rsidR="00C5632E">
        <w:t xml:space="preserve">that the </w:t>
      </w:r>
      <w:r w:rsidR="006A66D6">
        <w:t xml:space="preserve">clinical </w:t>
      </w:r>
      <w:r w:rsidR="00C5632E">
        <w:t>claim of superior effectiveness</w:t>
      </w:r>
      <w:r w:rsidR="006A66D6">
        <w:t xml:space="preserve"> was not supported</w:t>
      </w:r>
      <w:r w:rsidR="0080150F">
        <w:t>.</w:t>
      </w:r>
    </w:p>
    <w:p w14:paraId="536A0E6A" w14:textId="7A85A9BF" w:rsidR="00BC6C05" w:rsidRPr="00B6556D" w:rsidRDefault="00BC6C05" w:rsidP="00252706">
      <w:r w:rsidRPr="00B6556D">
        <w:t>MSAC noted the ESCs</w:t>
      </w:r>
      <w:r w:rsidR="006A66D6">
        <w:t>’</w:t>
      </w:r>
      <w:r w:rsidRPr="00B6556D">
        <w:t xml:space="preserve"> concerns about the claim of co-dependency, as the predictive value of </w:t>
      </w:r>
      <w:r w:rsidRPr="00B6556D">
        <w:rPr>
          <w:i/>
          <w:iCs/>
        </w:rPr>
        <w:t>ESR1</w:t>
      </w:r>
      <w:r w:rsidRPr="00B6556D">
        <w:t xml:space="preserve"> as a biomarker was uncertain. MSAC considered that there was biological plausibility for co-dependence, but noted that the test for interaction between </w:t>
      </w:r>
      <w:r w:rsidRPr="00B6556D">
        <w:rPr>
          <w:i/>
          <w:iCs/>
        </w:rPr>
        <w:t>ESR1</w:t>
      </w:r>
      <w:r w:rsidRPr="00B6556D">
        <w:t xml:space="preserve"> and non-</w:t>
      </w:r>
      <w:r w:rsidRPr="00B6556D">
        <w:rPr>
          <w:i/>
          <w:iCs/>
        </w:rPr>
        <w:t>ESR1</w:t>
      </w:r>
      <w:r w:rsidRPr="00B6556D">
        <w:t xml:space="preserve"> variant subgroups in the pivotal trial was not significant for </w:t>
      </w:r>
      <w:r w:rsidRPr="00B6556D">
        <w:rPr>
          <w:i/>
          <w:iCs/>
        </w:rPr>
        <w:t>ESR1</w:t>
      </w:r>
      <w:r w:rsidRPr="00B6556D">
        <w:t xml:space="preserve"> variant </w:t>
      </w:r>
      <w:r w:rsidR="00077B51">
        <w:t>status</w:t>
      </w:r>
      <w:r w:rsidRPr="00B6556D">
        <w:t xml:space="preserve">. </w:t>
      </w:r>
      <w:r w:rsidR="00007FCE">
        <w:t>MSAC considered that, overall, the claim of co-dependency was reasonable, but that</w:t>
      </w:r>
      <w:r w:rsidR="00007FCE" w:rsidRPr="00B6556D">
        <w:t xml:space="preserve"> </w:t>
      </w:r>
      <w:r w:rsidR="00714338">
        <w:t xml:space="preserve">the </w:t>
      </w:r>
      <w:r w:rsidRPr="00B6556D">
        <w:t xml:space="preserve">extent of treatment </w:t>
      </w:r>
      <w:r w:rsidR="00B261C1">
        <w:t>benefit</w:t>
      </w:r>
      <w:r w:rsidRPr="00B6556D">
        <w:t xml:space="preserve"> was uncertain</w:t>
      </w:r>
      <w:r w:rsidR="007C34F2">
        <w:t>.</w:t>
      </w:r>
    </w:p>
    <w:p w14:paraId="26B7D02D" w14:textId="5FDAAEBB" w:rsidR="00BC6C05" w:rsidRPr="00B6556D" w:rsidRDefault="00BC6C05" w:rsidP="00252706">
      <w:r w:rsidRPr="00B6556D">
        <w:t xml:space="preserve">MSAC noted </w:t>
      </w:r>
      <w:r w:rsidR="009F7CA0">
        <w:t xml:space="preserve">that </w:t>
      </w:r>
      <w:r w:rsidRPr="00B6556D">
        <w:t xml:space="preserve">the </w:t>
      </w:r>
      <w:r w:rsidR="005B2A8D">
        <w:t xml:space="preserve">applicant presented </w:t>
      </w:r>
      <w:r w:rsidRPr="00B6556D">
        <w:t>a cost-utility analysis. MSAC noted concerns raised by the ESCs,</w:t>
      </w:r>
      <w:r w:rsidR="001B1546">
        <w:t xml:space="preserve"> and agreed that the </w:t>
      </w:r>
      <w:r w:rsidR="00127D17">
        <w:t>incremental cost-effectiveness ratio (ICER)</w:t>
      </w:r>
      <w:r w:rsidR="00565C58">
        <w:t xml:space="preserve"> had likely been </w:t>
      </w:r>
      <w:r w:rsidR="00127D17">
        <w:t xml:space="preserve">underestimated </w:t>
      </w:r>
      <w:r w:rsidR="00565C58">
        <w:t xml:space="preserve">due to several inappropriate assumptions. </w:t>
      </w:r>
      <w:r w:rsidR="00C220E3">
        <w:t>MSAC considered that the</w:t>
      </w:r>
      <w:r w:rsidRPr="00B6556D">
        <w:t xml:space="preserve"> </w:t>
      </w:r>
      <w:r w:rsidR="00C220E3" w:rsidRPr="00B6556D">
        <w:t xml:space="preserve">assumptions regarding 100% test accuracy and 0% test failure rate were </w:t>
      </w:r>
      <w:r w:rsidR="00C220E3">
        <w:t>not reasonable</w:t>
      </w:r>
      <w:r w:rsidR="009042A4">
        <w:t>.</w:t>
      </w:r>
      <w:r w:rsidR="00C220E3">
        <w:t xml:space="preserve"> </w:t>
      </w:r>
      <w:r w:rsidR="00CE365F">
        <w:t>W</w:t>
      </w:r>
      <w:r w:rsidR="00C220E3">
        <w:t xml:space="preserve">hile MSAC noted the applicant’s </w:t>
      </w:r>
      <w:r w:rsidR="0053752D">
        <w:t>P</w:t>
      </w:r>
      <w:r w:rsidR="00C220E3">
        <w:t>re-</w:t>
      </w:r>
      <w:r w:rsidR="00836226">
        <w:t xml:space="preserve">Committee </w:t>
      </w:r>
      <w:r w:rsidR="0053752D">
        <w:t>R</w:t>
      </w:r>
      <w:r w:rsidR="00C220E3">
        <w:t xml:space="preserve">esponse stated these assumptions were in line with the pivotal trial, </w:t>
      </w:r>
      <w:r w:rsidR="00472FEE">
        <w:t>MSAC</w:t>
      </w:r>
      <w:r w:rsidR="00C220E3">
        <w:t xml:space="preserve"> considered th</w:t>
      </w:r>
      <w:r w:rsidR="008F4591">
        <w:t xml:space="preserve">e assumptions </w:t>
      </w:r>
      <w:r w:rsidR="00C220E3">
        <w:t xml:space="preserve">unlikely to reflect </w:t>
      </w:r>
      <w:r w:rsidR="002D3F76">
        <w:t>rates in practice with real-world populations</w:t>
      </w:r>
      <w:r w:rsidR="00C220E3">
        <w:t xml:space="preserve">. MSAC </w:t>
      </w:r>
      <w:r w:rsidR="002D3F76">
        <w:t xml:space="preserve">also noted that the economic analysis assumed that patients were only tested once per lifetime, despite the proposed </w:t>
      </w:r>
      <w:r w:rsidR="00466EED">
        <w:t xml:space="preserve">MBS </w:t>
      </w:r>
      <w:r w:rsidR="00F55977">
        <w:t>item descriptor allowing for testing at each stage of disease progression.</w:t>
      </w:r>
      <w:r w:rsidR="00C220E3" w:rsidRPr="00B6556D">
        <w:t xml:space="preserve"> </w:t>
      </w:r>
      <w:r w:rsidR="00F55977">
        <w:t>MSAC further noted</w:t>
      </w:r>
      <w:r w:rsidR="00F55977" w:rsidRPr="00B6556D">
        <w:t xml:space="preserve"> </w:t>
      </w:r>
      <w:r w:rsidRPr="00B6556D">
        <w:t xml:space="preserve">that the economic analysis included the </w:t>
      </w:r>
      <w:r w:rsidRPr="00B6556D">
        <w:rPr>
          <w:i/>
          <w:iCs/>
        </w:rPr>
        <w:t>ESR1</w:t>
      </w:r>
      <w:r w:rsidRPr="00B6556D">
        <w:t xml:space="preserve">-positive group only (not the overall </w:t>
      </w:r>
      <w:r w:rsidR="00D1308B">
        <w:t>test</w:t>
      </w:r>
      <w:r w:rsidRPr="00B6556D">
        <w:t xml:space="preserve"> population</w:t>
      </w:r>
      <w:r w:rsidR="00F55977">
        <w:t>).</w:t>
      </w:r>
      <w:r w:rsidRPr="00B6556D">
        <w:t xml:space="preserve"> MSAC noted that additional sensitivity analys</w:t>
      </w:r>
      <w:r w:rsidR="00F55977">
        <w:t>e</w:t>
      </w:r>
      <w:r w:rsidRPr="00B6556D">
        <w:t xml:space="preserve">s had been performed </w:t>
      </w:r>
      <w:r w:rsidR="00F55977">
        <w:t>to factor in potential</w:t>
      </w:r>
      <w:r w:rsidR="00F55977" w:rsidRPr="00B6556D">
        <w:t xml:space="preserve"> </w:t>
      </w:r>
      <w:r w:rsidRPr="00B6556D">
        <w:t xml:space="preserve">retesting rates, </w:t>
      </w:r>
      <w:r w:rsidR="00956729">
        <w:t>with</w:t>
      </w:r>
      <w:r w:rsidRPr="00B6556D">
        <w:t xml:space="preserve"> minimal impact on the ICER</w:t>
      </w:r>
      <w:r w:rsidR="00B01BFA">
        <w:t>,</w:t>
      </w:r>
      <w:r w:rsidRPr="00B6556D">
        <w:t xml:space="preserve"> as the ICER</w:t>
      </w:r>
      <w:r w:rsidR="00A7253D">
        <w:t>s</w:t>
      </w:r>
      <w:r w:rsidRPr="00B6556D">
        <w:t xml:space="preserve"> w</w:t>
      </w:r>
      <w:r w:rsidR="00A7253D">
        <w:t>ere</w:t>
      </w:r>
      <w:r w:rsidRPr="00B6556D">
        <w:t xml:space="preserve"> primarily driven by the cost of </w:t>
      </w:r>
      <w:proofErr w:type="spellStart"/>
      <w:r w:rsidRPr="00B6556D">
        <w:t>elacestrant</w:t>
      </w:r>
      <w:proofErr w:type="spellEnd"/>
      <w:r w:rsidRPr="00B6556D">
        <w:t xml:space="preserve">. MSAC noted that PBAC </w:t>
      </w:r>
      <w:r w:rsidR="00424952">
        <w:t xml:space="preserve">did not </w:t>
      </w:r>
      <w:r w:rsidRPr="00B6556D">
        <w:t xml:space="preserve">consider </w:t>
      </w:r>
      <w:proofErr w:type="spellStart"/>
      <w:r w:rsidRPr="00B6556D">
        <w:t>elacestrant</w:t>
      </w:r>
      <w:proofErr w:type="spellEnd"/>
      <w:r w:rsidRPr="00B6556D">
        <w:t xml:space="preserve"> </w:t>
      </w:r>
      <w:r w:rsidR="006951CF">
        <w:t xml:space="preserve">treatment </w:t>
      </w:r>
      <w:r w:rsidR="00424952">
        <w:t>to be</w:t>
      </w:r>
      <w:r w:rsidRPr="00B6556D">
        <w:t xml:space="preserve"> cost-effective.</w:t>
      </w:r>
    </w:p>
    <w:p w14:paraId="74BA15C0" w14:textId="2ED2510B" w:rsidR="00BC6C05" w:rsidRPr="00B6556D" w:rsidRDefault="40A85C66" w:rsidP="00252706">
      <w:r>
        <w:t>MSAC noted the financial and budgetary impacts, including the additional sensitivity analys</w:t>
      </w:r>
      <w:r w:rsidR="3328C16A">
        <w:t>e</w:t>
      </w:r>
      <w:r>
        <w:t>s requested by the ESCs using alternative test costs</w:t>
      </w:r>
      <w:r w:rsidR="375F9A21">
        <w:t xml:space="preserve"> </w:t>
      </w:r>
      <w:r w:rsidR="10A0DFF0">
        <w:t xml:space="preserve">(e.g. in line with </w:t>
      </w:r>
      <w:proofErr w:type="spellStart"/>
      <w:r w:rsidR="10A0DFF0">
        <w:t>ddPCR</w:t>
      </w:r>
      <w:proofErr w:type="spellEnd"/>
      <w:r w:rsidR="10A0DFF0">
        <w:t xml:space="preserve"> costs)</w:t>
      </w:r>
      <w:r>
        <w:t xml:space="preserve">. The net cost to the MBS was estimated at between </w:t>
      </w:r>
      <w:r w:rsidRPr="001166A3">
        <w:t>$</w:t>
      </w:r>
      <w:r w:rsidR="00782E90" w:rsidRPr="001166A3">
        <w:t>0 to &lt; $10 million</w:t>
      </w:r>
      <w:r w:rsidRPr="001166A3">
        <w:t xml:space="preserve"> and $</w:t>
      </w:r>
      <w:r w:rsidR="00272834" w:rsidRPr="001166A3">
        <w:t>20</w:t>
      </w:r>
      <w:r w:rsidRPr="001166A3">
        <w:t xml:space="preserve"> million</w:t>
      </w:r>
      <w:r w:rsidR="00272834">
        <w:t xml:space="preserve"> to &lt; $30 million</w:t>
      </w:r>
      <w:r>
        <w:t xml:space="preserve">, depending on the cost of the test and the prevalence of </w:t>
      </w:r>
      <w:r w:rsidR="4D367DC1">
        <w:t xml:space="preserve">activating </w:t>
      </w:r>
      <w:r w:rsidRPr="56F9DD4F">
        <w:rPr>
          <w:i/>
          <w:iCs/>
        </w:rPr>
        <w:t>ESR1</w:t>
      </w:r>
      <w:r w:rsidR="7064D803" w:rsidRPr="56F9DD4F">
        <w:rPr>
          <w:i/>
          <w:iCs/>
        </w:rPr>
        <w:t xml:space="preserve"> </w:t>
      </w:r>
      <w:r w:rsidR="7064D803">
        <w:t>variants</w:t>
      </w:r>
      <w:r>
        <w:t>. MSAC noted the ESCs</w:t>
      </w:r>
      <w:r w:rsidR="4D367DC1">
        <w:t>’</w:t>
      </w:r>
      <w:r>
        <w:t xml:space="preserve"> </w:t>
      </w:r>
      <w:r w:rsidR="10A0DFF0">
        <w:t>advi</w:t>
      </w:r>
      <w:r w:rsidR="4D367DC1">
        <w:t>ce</w:t>
      </w:r>
      <w:r w:rsidR="10A0DFF0">
        <w:t xml:space="preserve"> </w:t>
      </w:r>
      <w:r>
        <w:t xml:space="preserve">that testing should be restricted to once every 6 months in patients with a </w:t>
      </w:r>
      <w:r>
        <w:lastRenderedPageBreak/>
        <w:t xml:space="preserve">previous negative result. However, MSAC considered that testing every 3 months </w:t>
      </w:r>
      <w:r w:rsidR="33B185AE">
        <w:t>might</w:t>
      </w:r>
      <w:r>
        <w:t xml:space="preserve"> be</w:t>
      </w:r>
      <w:r w:rsidR="60653155">
        <w:t xml:space="preserve"> a</w:t>
      </w:r>
      <w:r>
        <w:t xml:space="preserve"> more appropriate </w:t>
      </w:r>
      <w:r w:rsidR="60653155">
        <w:t xml:space="preserve">timepoint for </w:t>
      </w:r>
      <w:r w:rsidR="00758975">
        <w:t>retesting</w:t>
      </w:r>
      <w:r w:rsidR="021CA5DF">
        <w:t>,</w:t>
      </w:r>
      <w:r w:rsidR="3A167BEC">
        <w:t xml:space="preserve"> </w:t>
      </w:r>
      <w:r w:rsidR="60653155">
        <w:t>not</w:t>
      </w:r>
      <w:r w:rsidR="021CA5DF">
        <w:t>ing</w:t>
      </w:r>
      <w:r>
        <w:t xml:space="preserve"> that this would increase the financial </w:t>
      </w:r>
      <w:r w:rsidR="4A4C94B0">
        <w:t>estimates</w:t>
      </w:r>
      <w:r>
        <w:t xml:space="preserve">. MSAC </w:t>
      </w:r>
      <w:r w:rsidR="60653155">
        <w:t xml:space="preserve">advised that </w:t>
      </w:r>
      <w:r>
        <w:t xml:space="preserve">there should be no further </w:t>
      </w:r>
      <w:r w:rsidR="33B185AE" w:rsidRPr="56F9DD4F">
        <w:rPr>
          <w:i/>
          <w:iCs/>
        </w:rPr>
        <w:t xml:space="preserve">ESR1 </w:t>
      </w:r>
      <w:r>
        <w:t>testing following a positive result.</w:t>
      </w:r>
    </w:p>
    <w:p w14:paraId="21E16AED" w14:textId="3F405957" w:rsidR="00BC6C05" w:rsidRPr="00B6556D" w:rsidRDefault="00BC6C05" w:rsidP="00252706">
      <w:r w:rsidRPr="00B6556D">
        <w:t>MSAC considered that</w:t>
      </w:r>
      <w:r w:rsidR="009865FE">
        <w:t xml:space="preserve"> there </w:t>
      </w:r>
      <w:r w:rsidR="00734EF5">
        <w:t xml:space="preserve">is no </w:t>
      </w:r>
      <w:r w:rsidR="008F7F7A">
        <w:t>basis to support</w:t>
      </w:r>
      <w:r w:rsidR="009865FE">
        <w:t xml:space="preserve"> </w:t>
      </w:r>
      <w:r w:rsidR="009865FE">
        <w:rPr>
          <w:i/>
          <w:iCs/>
        </w:rPr>
        <w:t xml:space="preserve">ESR1 </w:t>
      </w:r>
      <w:r w:rsidR="009865FE">
        <w:t>variant testing, as the PBAC did not recommend the proposed PBS listing of</w:t>
      </w:r>
      <w:r w:rsidRPr="00B6556D">
        <w:t xml:space="preserve"> </w:t>
      </w:r>
      <w:proofErr w:type="spellStart"/>
      <w:r w:rsidRPr="00B6556D">
        <w:t>elacestrant</w:t>
      </w:r>
      <w:proofErr w:type="spellEnd"/>
      <w:r w:rsidRPr="00B6556D">
        <w:t>.</w:t>
      </w:r>
      <w:r w:rsidR="009865FE">
        <w:t xml:space="preserve"> MSAC advised that a resubmission should address</w:t>
      </w:r>
      <w:r w:rsidR="0083462B">
        <w:t xml:space="preserve"> the magnitude of clinical benefit with an appropriate comparator</w:t>
      </w:r>
      <w:r w:rsidR="007C3F57">
        <w:t xml:space="preserve"> and </w:t>
      </w:r>
      <w:r w:rsidR="00E06612">
        <w:t>the implementation issues related</w:t>
      </w:r>
      <w:r w:rsidR="00806453">
        <w:t xml:space="preserve"> to the provision of ESR1 testing. MSAC considered the resubmission </w:t>
      </w:r>
      <w:r w:rsidR="007C3F57">
        <w:t xml:space="preserve">would need to be </w:t>
      </w:r>
      <w:r w:rsidR="00655ADA">
        <w:t xml:space="preserve">an integrated codependent submission and be </w:t>
      </w:r>
      <w:r w:rsidR="000D7333">
        <w:t>re-</w:t>
      </w:r>
      <w:r w:rsidR="007C3F57">
        <w:t>considered by the ESCs</w:t>
      </w:r>
      <w:r w:rsidR="00B47E81">
        <w:t xml:space="preserve">. </w:t>
      </w:r>
    </w:p>
    <w:p w14:paraId="16B0C07A" w14:textId="77777777" w:rsidR="001E1827" w:rsidRPr="00F47562" w:rsidRDefault="001E1827" w:rsidP="00252706">
      <w:pPr>
        <w:pStyle w:val="Heading2"/>
        <w:numPr>
          <w:ilvl w:val="0"/>
          <w:numId w:val="48"/>
        </w:numPr>
        <w:spacing w:after="240"/>
        <w:ind w:hanging="720"/>
        <w:rPr>
          <w:rFonts w:ascii="Franklin Gothic Medium" w:hAnsi="Franklin Gothic Medium"/>
          <w:b w:val="0"/>
          <w:i w:val="0"/>
          <w:snapToGrid/>
          <w:sz w:val="32"/>
          <w:szCs w:val="26"/>
        </w:rPr>
      </w:pPr>
      <w:bookmarkStart w:id="5" w:name="_Toc188374341"/>
      <w:r w:rsidRPr="00F47562">
        <w:rPr>
          <w:rFonts w:ascii="Franklin Gothic Medium" w:hAnsi="Franklin Gothic Medium"/>
          <w:b w:val="0"/>
          <w:i w:val="0"/>
          <w:snapToGrid/>
          <w:sz w:val="32"/>
          <w:szCs w:val="26"/>
        </w:rPr>
        <w:t>Background</w:t>
      </w:r>
      <w:bookmarkEnd w:id="5"/>
    </w:p>
    <w:p w14:paraId="05E1B1CB" w14:textId="75339DA5" w:rsidR="00C905D6" w:rsidRPr="00F47562" w:rsidRDefault="00C905D6" w:rsidP="00F47562">
      <w:pPr>
        <w:pStyle w:val="3-BodyText"/>
        <w:ind w:left="0" w:firstLine="0"/>
        <w:rPr>
          <w:szCs w:val="22"/>
        </w:rPr>
      </w:pPr>
      <w:bookmarkStart w:id="6" w:name="_Ref92978566"/>
      <w:r w:rsidRPr="00F47562">
        <w:rPr>
          <w:szCs w:val="22"/>
        </w:rPr>
        <w:t>This is the first time</w:t>
      </w:r>
      <w:r w:rsidR="00FA75FE" w:rsidRPr="00F47562">
        <w:rPr>
          <w:szCs w:val="22"/>
        </w:rPr>
        <w:t xml:space="preserve"> the</w:t>
      </w:r>
      <w:r w:rsidRPr="00F47562">
        <w:rPr>
          <w:szCs w:val="22"/>
        </w:rPr>
        <w:t xml:space="preserve"> </w:t>
      </w:r>
      <w:r w:rsidR="00735640" w:rsidRPr="00F47562">
        <w:rPr>
          <w:szCs w:val="22"/>
        </w:rPr>
        <w:t>Medical Services Advisory Committee (MSAC)</w:t>
      </w:r>
      <w:r w:rsidR="00FC64B6" w:rsidRPr="00F47562">
        <w:rPr>
          <w:szCs w:val="22"/>
        </w:rPr>
        <w:t xml:space="preserve"> </w:t>
      </w:r>
      <w:r w:rsidR="00FA75FE" w:rsidRPr="00F47562">
        <w:rPr>
          <w:szCs w:val="22"/>
        </w:rPr>
        <w:t xml:space="preserve">has been requested to </w:t>
      </w:r>
      <w:r w:rsidR="00A228D4" w:rsidRPr="00F47562">
        <w:rPr>
          <w:szCs w:val="22"/>
        </w:rPr>
        <w:t xml:space="preserve">consider </w:t>
      </w:r>
      <w:r w:rsidRPr="00F47562">
        <w:rPr>
          <w:szCs w:val="22"/>
        </w:rPr>
        <w:t xml:space="preserve">the proposed </w:t>
      </w:r>
      <w:r w:rsidR="00A228D4" w:rsidRPr="00F47562">
        <w:rPr>
          <w:szCs w:val="22"/>
        </w:rPr>
        <w:t>testing</w:t>
      </w:r>
      <w:r w:rsidRPr="00F47562">
        <w:rPr>
          <w:szCs w:val="22"/>
        </w:rPr>
        <w:t xml:space="preserve"> </w:t>
      </w:r>
      <w:r w:rsidR="00177334" w:rsidRPr="00F47562">
        <w:rPr>
          <w:szCs w:val="22"/>
        </w:rPr>
        <w:t xml:space="preserve">for </w:t>
      </w:r>
      <w:r w:rsidR="00177334" w:rsidRPr="00F47562">
        <w:rPr>
          <w:i/>
          <w:iCs/>
          <w:szCs w:val="22"/>
        </w:rPr>
        <w:t>ESR1</w:t>
      </w:r>
      <w:r w:rsidR="00177334" w:rsidRPr="00F47562">
        <w:rPr>
          <w:szCs w:val="22"/>
        </w:rPr>
        <w:t xml:space="preserve"> variants in ctDNA extracted from blood (liquid biopsy) </w:t>
      </w:r>
      <w:r w:rsidRPr="00F47562">
        <w:rPr>
          <w:szCs w:val="22"/>
        </w:rPr>
        <w:t>(either alone or as part of a co-dependent submission).</w:t>
      </w:r>
      <w:r w:rsidR="00711C82" w:rsidRPr="00F47562">
        <w:rPr>
          <w:szCs w:val="22"/>
        </w:rPr>
        <w:t xml:space="preserve"> </w:t>
      </w:r>
    </w:p>
    <w:p w14:paraId="5B9DC33E" w14:textId="12557AFE" w:rsidR="006B66C3" w:rsidRPr="00F47562" w:rsidRDefault="7317B403" w:rsidP="00F47562">
      <w:pPr>
        <w:pStyle w:val="3-BodyText"/>
        <w:ind w:left="0" w:firstLine="0"/>
        <w:rPr>
          <w:rFonts w:cstheme="minorBidi"/>
          <w:szCs w:val="22"/>
        </w:rPr>
      </w:pPr>
      <w:r w:rsidRPr="00F47562">
        <w:rPr>
          <w:szCs w:val="22"/>
        </w:rPr>
        <w:t>MSAC’s PICO Advisory Subcommittee (PASC) considered</w:t>
      </w:r>
      <w:r w:rsidR="0CEE8999" w:rsidRPr="00F47562">
        <w:rPr>
          <w:szCs w:val="22"/>
        </w:rPr>
        <w:t>, in August 2024,</w:t>
      </w:r>
      <w:r w:rsidRPr="00F47562">
        <w:rPr>
          <w:szCs w:val="22"/>
        </w:rPr>
        <w:t xml:space="preserve"> another application </w:t>
      </w:r>
      <w:r w:rsidR="7D90D719" w:rsidRPr="00F47562">
        <w:rPr>
          <w:szCs w:val="22"/>
        </w:rPr>
        <w:t xml:space="preserve">(MSAC application 1783) </w:t>
      </w:r>
      <w:r w:rsidR="5FE9E50C" w:rsidRPr="00F47562">
        <w:rPr>
          <w:szCs w:val="22"/>
        </w:rPr>
        <w:t xml:space="preserve">that </w:t>
      </w:r>
      <w:r w:rsidR="50135C4C" w:rsidRPr="00F47562">
        <w:rPr>
          <w:szCs w:val="22"/>
        </w:rPr>
        <w:t>request</w:t>
      </w:r>
      <w:r w:rsidR="5FE9E50C" w:rsidRPr="00F47562">
        <w:rPr>
          <w:szCs w:val="22"/>
        </w:rPr>
        <w:t>ed</w:t>
      </w:r>
      <w:r w:rsidR="50135C4C" w:rsidRPr="00F47562">
        <w:rPr>
          <w:szCs w:val="22"/>
        </w:rPr>
        <w:t xml:space="preserve"> </w:t>
      </w:r>
      <w:r w:rsidR="5FE9E50C" w:rsidRPr="00F47562">
        <w:rPr>
          <w:szCs w:val="22"/>
        </w:rPr>
        <w:t xml:space="preserve">public funding for </w:t>
      </w:r>
      <w:r w:rsidR="47F33C33" w:rsidRPr="00F47562">
        <w:rPr>
          <w:szCs w:val="22"/>
        </w:rPr>
        <w:t xml:space="preserve">ctDNA or tumour </w:t>
      </w:r>
      <w:r w:rsidR="50135C4C" w:rsidRPr="00F47562">
        <w:rPr>
          <w:szCs w:val="22"/>
        </w:rPr>
        <w:t xml:space="preserve">testing </w:t>
      </w:r>
      <w:r w:rsidR="5FD8121D" w:rsidRPr="00F47562">
        <w:rPr>
          <w:szCs w:val="22"/>
        </w:rPr>
        <w:t>(</w:t>
      </w:r>
      <w:r w:rsidR="0A6604ED" w:rsidRPr="00F47562">
        <w:rPr>
          <w:szCs w:val="22"/>
        </w:rPr>
        <w:t xml:space="preserve">using </w:t>
      </w:r>
      <w:r w:rsidR="5FD8121D" w:rsidRPr="00F47562">
        <w:rPr>
          <w:szCs w:val="22"/>
        </w:rPr>
        <w:t xml:space="preserve">NGS) </w:t>
      </w:r>
      <w:r w:rsidR="50135C4C" w:rsidRPr="00F47562">
        <w:rPr>
          <w:szCs w:val="22"/>
        </w:rPr>
        <w:t xml:space="preserve">to detect </w:t>
      </w:r>
      <w:r w:rsidR="50135C4C" w:rsidRPr="00F47562">
        <w:rPr>
          <w:i/>
          <w:iCs/>
          <w:szCs w:val="22"/>
        </w:rPr>
        <w:t>PIK3CA</w:t>
      </w:r>
      <w:r w:rsidR="7D90D719" w:rsidRPr="00F47562">
        <w:rPr>
          <w:szCs w:val="22"/>
        </w:rPr>
        <w:t xml:space="preserve"> variants in patients with HR+</w:t>
      </w:r>
      <w:r w:rsidR="4026029B" w:rsidRPr="00F47562">
        <w:rPr>
          <w:szCs w:val="22"/>
        </w:rPr>
        <w:t>/</w:t>
      </w:r>
      <w:r w:rsidR="7D90D719" w:rsidRPr="00F47562">
        <w:rPr>
          <w:szCs w:val="22"/>
        </w:rPr>
        <w:t>HER2</w:t>
      </w:r>
      <w:r w:rsidR="7D90D719" w:rsidRPr="00F47562">
        <w:rPr>
          <w:rFonts w:cstheme="minorBidi"/>
          <w:szCs w:val="22"/>
        </w:rPr>
        <w:t>–</w:t>
      </w:r>
      <w:r w:rsidR="4026029B" w:rsidRPr="00F47562">
        <w:rPr>
          <w:rFonts w:cstheme="minorBidi"/>
          <w:szCs w:val="22"/>
        </w:rPr>
        <w:t xml:space="preserve"> </w:t>
      </w:r>
      <w:r w:rsidR="53CAE858" w:rsidRPr="00F47562">
        <w:rPr>
          <w:rFonts w:cstheme="minorBidi"/>
          <w:szCs w:val="22"/>
        </w:rPr>
        <w:t>locally advance</w:t>
      </w:r>
      <w:r w:rsidR="006D4A3E">
        <w:rPr>
          <w:rFonts w:cstheme="minorBidi"/>
          <w:szCs w:val="22"/>
        </w:rPr>
        <w:t>d</w:t>
      </w:r>
      <w:r w:rsidR="53CAE858" w:rsidRPr="00F47562">
        <w:rPr>
          <w:rFonts w:cstheme="minorBidi"/>
          <w:szCs w:val="22"/>
        </w:rPr>
        <w:t xml:space="preserve"> or </w:t>
      </w:r>
      <w:proofErr w:type="spellStart"/>
      <w:r w:rsidR="69B2D093" w:rsidRPr="00F47562">
        <w:rPr>
          <w:rFonts w:cstheme="minorBidi"/>
          <w:szCs w:val="22"/>
        </w:rPr>
        <w:t>mBC</w:t>
      </w:r>
      <w:proofErr w:type="spellEnd"/>
      <w:r w:rsidR="0FC06CF8" w:rsidRPr="00F47562">
        <w:rPr>
          <w:rFonts w:cstheme="minorBidi"/>
          <w:szCs w:val="22"/>
        </w:rPr>
        <w:t xml:space="preserve"> </w:t>
      </w:r>
      <w:r w:rsidR="4EC00443" w:rsidRPr="00F47562">
        <w:rPr>
          <w:rFonts w:cstheme="minorBidi"/>
          <w:szCs w:val="22"/>
        </w:rPr>
        <w:t xml:space="preserve">whose disease progressed during or within 12 months of completing adjuvant </w:t>
      </w:r>
      <w:r w:rsidR="69B2D093" w:rsidRPr="00F47562">
        <w:rPr>
          <w:rFonts w:cstheme="minorBidi"/>
          <w:szCs w:val="22"/>
        </w:rPr>
        <w:t>ET</w:t>
      </w:r>
      <w:r w:rsidR="5F75FB0D" w:rsidRPr="00F47562">
        <w:rPr>
          <w:rFonts w:cstheme="minorBidi"/>
          <w:szCs w:val="22"/>
        </w:rPr>
        <w:t xml:space="preserve">, </w:t>
      </w:r>
      <w:r w:rsidR="0FC06CF8" w:rsidRPr="00F47562">
        <w:rPr>
          <w:rFonts w:cstheme="minorBidi"/>
          <w:szCs w:val="22"/>
        </w:rPr>
        <w:t xml:space="preserve">to determine eligibility for treatment with PBS subsidised </w:t>
      </w:r>
      <w:proofErr w:type="spellStart"/>
      <w:r w:rsidR="0FC06CF8" w:rsidRPr="00F47562">
        <w:rPr>
          <w:rFonts w:cstheme="minorBidi"/>
          <w:szCs w:val="22"/>
        </w:rPr>
        <w:t>inavolisib</w:t>
      </w:r>
      <w:proofErr w:type="spellEnd"/>
      <w:r w:rsidR="0FC06CF8" w:rsidRPr="00F47562">
        <w:rPr>
          <w:rFonts w:cstheme="minorBidi"/>
          <w:szCs w:val="22"/>
        </w:rPr>
        <w:t>.</w:t>
      </w:r>
      <w:r w:rsidR="4026029B" w:rsidRPr="00F47562">
        <w:rPr>
          <w:rFonts w:cstheme="minorBidi"/>
          <w:szCs w:val="22"/>
        </w:rPr>
        <w:t xml:space="preserve"> </w:t>
      </w:r>
    </w:p>
    <w:p w14:paraId="6CFE4A9C" w14:textId="77777777" w:rsidR="00BE3D49" w:rsidRPr="00F47562" w:rsidRDefault="00BE3D49" w:rsidP="00252706">
      <w:pPr>
        <w:pStyle w:val="Heading2"/>
        <w:numPr>
          <w:ilvl w:val="0"/>
          <w:numId w:val="48"/>
        </w:numPr>
        <w:spacing w:after="240"/>
        <w:ind w:hanging="720"/>
        <w:rPr>
          <w:rFonts w:ascii="Franklin Gothic Medium" w:hAnsi="Franklin Gothic Medium"/>
          <w:b w:val="0"/>
          <w:i w:val="0"/>
          <w:snapToGrid/>
          <w:sz w:val="32"/>
          <w:szCs w:val="26"/>
        </w:rPr>
      </w:pPr>
      <w:bookmarkStart w:id="7" w:name="_Toc188374342"/>
      <w:bookmarkEnd w:id="6"/>
      <w:r w:rsidRPr="00F47562">
        <w:rPr>
          <w:rFonts w:ascii="Franklin Gothic Medium" w:hAnsi="Franklin Gothic Medium"/>
          <w:b w:val="0"/>
          <w:i w:val="0"/>
          <w:snapToGrid/>
          <w:sz w:val="32"/>
          <w:szCs w:val="26"/>
        </w:rPr>
        <w:t>Prerequisites to implementation of any funding advice</w:t>
      </w:r>
      <w:bookmarkEnd w:id="7"/>
    </w:p>
    <w:p w14:paraId="59ED88DF" w14:textId="000A0331" w:rsidR="001A4792" w:rsidRPr="00F47562" w:rsidRDefault="001A4792" w:rsidP="005525E8">
      <w:pPr>
        <w:pStyle w:val="MSACS2Heading2"/>
        <w:pageBreakBefore w:val="0"/>
        <w:rPr>
          <w:rFonts w:ascii="Franklin Gothic Book" w:hAnsi="Franklin Gothic Book"/>
          <w:snapToGrid w:val="0"/>
          <w:sz w:val="24"/>
          <w:szCs w:val="24"/>
          <w:lang w:eastAsia="en-AU"/>
        </w:rPr>
      </w:pPr>
      <w:r w:rsidRPr="00F47562">
        <w:rPr>
          <w:rFonts w:ascii="Franklin Gothic Book" w:hAnsi="Franklin Gothic Book"/>
          <w:snapToGrid w:val="0"/>
          <w:sz w:val="24"/>
          <w:szCs w:val="24"/>
          <w:lang w:eastAsia="en-AU"/>
        </w:rPr>
        <w:t>Test</w:t>
      </w:r>
    </w:p>
    <w:p w14:paraId="37884A2C" w14:textId="004AED13" w:rsidR="00C905D6" w:rsidRPr="00F47562" w:rsidRDefault="00C905D6" w:rsidP="00F47562">
      <w:r w:rsidRPr="00F47562">
        <w:t xml:space="preserve">The submission provided a list of assays available in Australia that could potentially be used to detect </w:t>
      </w:r>
      <w:r w:rsidRPr="00F47562">
        <w:rPr>
          <w:i/>
          <w:iCs/>
        </w:rPr>
        <w:t>ESR1</w:t>
      </w:r>
      <w:r w:rsidRPr="00F47562">
        <w:t xml:space="preserve"> variants in liquid biopsy samples</w:t>
      </w:r>
      <w:r w:rsidR="00B3211C" w:rsidRPr="00F47562">
        <w:t xml:space="preserve"> (</w:t>
      </w:r>
      <w:r w:rsidR="002A3DC6" w:rsidRPr="00F47562">
        <w:fldChar w:fldCharType="begin"/>
      </w:r>
      <w:r w:rsidR="002A3DC6" w:rsidRPr="00F47562">
        <w:instrText xml:space="preserve"> REF _Ref188370126 \h </w:instrText>
      </w:r>
      <w:r w:rsidR="00F47562" w:rsidRPr="00F47562">
        <w:instrText xml:space="preserve"> \* MERGEFORMAT </w:instrText>
      </w:r>
      <w:r w:rsidR="002A3DC6" w:rsidRPr="00F47562">
        <w:fldChar w:fldCharType="separate"/>
      </w:r>
      <w:r w:rsidR="00783158" w:rsidRPr="00783158">
        <w:t xml:space="preserve">Table </w:t>
      </w:r>
      <w:r w:rsidR="001F3154">
        <w:t>1</w:t>
      </w:r>
      <w:r w:rsidR="002A3DC6" w:rsidRPr="00F47562">
        <w:fldChar w:fldCharType="end"/>
      </w:r>
      <w:r w:rsidR="00B3211C" w:rsidRPr="00F47562">
        <w:t>)</w:t>
      </w:r>
      <w:r w:rsidR="000377FC" w:rsidRPr="00F47562">
        <w:t>.</w:t>
      </w:r>
      <w:r w:rsidRPr="00F47562">
        <w:t xml:space="preserve"> However, </w:t>
      </w:r>
      <w:r w:rsidR="006412B6" w:rsidRPr="00F47562">
        <w:t>none</w:t>
      </w:r>
      <w:r w:rsidRPr="00F47562">
        <w:t xml:space="preserve"> of these assays </w:t>
      </w:r>
      <w:r w:rsidR="00685F6D">
        <w:t>were</w:t>
      </w:r>
      <w:r w:rsidR="00685F6D" w:rsidRPr="00F47562">
        <w:t xml:space="preserve"> </w:t>
      </w:r>
      <w:r w:rsidRPr="00F47562">
        <w:t>TGA</w:t>
      </w:r>
      <w:r w:rsidR="00D40F2F" w:rsidRPr="00F47562">
        <w:t>-</w:t>
      </w:r>
      <w:r w:rsidRPr="00F47562">
        <w:t>registered</w:t>
      </w:r>
      <w:r w:rsidR="00660D7B" w:rsidRPr="00F47562">
        <w:t xml:space="preserve"> at the time of evaluation</w:t>
      </w:r>
      <w:r w:rsidRPr="00F47562">
        <w:t>.</w:t>
      </w:r>
    </w:p>
    <w:p w14:paraId="24BBA2EF" w14:textId="25F82F74" w:rsidR="002A3DC6" w:rsidRPr="003E7F66" w:rsidRDefault="002A3DC6" w:rsidP="003E7F66">
      <w:pPr>
        <w:pStyle w:val="Caption"/>
        <w:keepLines/>
      </w:pPr>
      <w:bookmarkStart w:id="8" w:name="_Ref188370126"/>
      <w:r w:rsidRPr="000A7BB0">
        <w:lastRenderedPageBreak/>
        <w:t>Table</w:t>
      </w:r>
      <w:r w:rsidRPr="003E7F66">
        <w:t xml:space="preserve"> </w:t>
      </w:r>
      <w:r w:rsidRPr="003E7F66">
        <w:fldChar w:fldCharType="begin"/>
      </w:r>
      <w:r w:rsidRPr="003E7F66">
        <w:instrText>SEQ Table_MSAC. \* ARABIC</w:instrText>
      </w:r>
      <w:r w:rsidRPr="003E7F66">
        <w:fldChar w:fldCharType="separate"/>
      </w:r>
      <w:r w:rsidR="001F3154">
        <w:rPr>
          <w:noProof/>
        </w:rPr>
        <w:t>1</w:t>
      </w:r>
      <w:r w:rsidRPr="003E7F66">
        <w:fldChar w:fldCharType="end"/>
      </w:r>
      <w:bookmarkEnd w:id="8"/>
      <w:r w:rsidRPr="003E7F66">
        <w:t>: Analytic specifications of assays available in Australia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2"/>
        <w:gridCol w:w="1558"/>
        <w:gridCol w:w="1702"/>
        <w:gridCol w:w="2126"/>
        <w:gridCol w:w="1134"/>
        <w:gridCol w:w="1224"/>
      </w:tblGrid>
      <w:tr w:rsidR="003E7F66" w:rsidRPr="003E7F66" w14:paraId="599D40F9" w14:textId="77777777" w:rsidTr="00470B01">
        <w:trPr>
          <w:trHeight w:val="20"/>
          <w:tblHeader/>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39CA243" w14:textId="77777777" w:rsidR="00C86E21" w:rsidRPr="003E7F66" w:rsidRDefault="00C86E21" w:rsidP="003E7F66">
            <w:pPr>
              <w:keepNext/>
              <w:keepLines/>
              <w:spacing w:before="0" w:after="0" w:line="256" w:lineRule="auto"/>
              <w:rPr>
                <w:rFonts w:ascii="Arial Narrow" w:eastAsia="SimSun" w:hAnsi="Arial Narrow" w:cs="Times New Roman"/>
                <w:b/>
                <w:sz w:val="20"/>
                <w:szCs w:val="24"/>
                <w:lang w:eastAsia="en-AU"/>
              </w:rPr>
            </w:pPr>
            <w:bookmarkStart w:id="9" w:name="_bookmark1"/>
            <w:bookmarkStart w:id="10" w:name="_bookmark2"/>
            <w:bookmarkStart w:id="11" w:name="_bookmark3"/>
            <w:bookmarkEnd w:id="9"/>
            <w:bookmarkEnd w:id="10"/>
            <w:bookmarkEnd w:id="11"/>
            <w:r w:rsidRPr="003E7F66">
              <w:rPr>
                <w:rFonts w:ascii="Arial Narrow" w:eastAsia="SimSun" w:hAnsi="Arial Narrow" w:cs="Times New Roman"/>
                <w:b/>
                <w:sz w:val="20"/>
                <w:szCs w:val="24"/>
                <w:lang w:eastAsia="en-AU"/>
              </w:rPr>
              <w:t>Company</w:t>
            </w:r>
          </w:p>
        </w:tc>
        <w:tc>
          <w:tcPr>
            <w:tcW w:w="8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B09D27C" w14:textId="77777777" w:rsidR="00C86E21" w:rsidRPr="003E7F66" w:rsidRDefault="00C86E21" w:rsidP="003E7F66">
            <w:pPr>
              <w:keepNext/>
              <w:keepLines/>
              <w:spacing w:before="0" w:after="0" w:line="256" w:lineRule="auto"/>
              <w:rPr>
                <w:rFonts w:ascii="Arial Narrow" w:eastAsia="SimSun" w:hAnsi="Arial Narrow" w:cs="Times New Roman"/>
                <w:b/>
                <w:sz w:val="20"/>
                <w:szCs w:val="24"/>
                <w:lang w:eastAsia="en-AU"/>
              </w:rPr>
            </w:pPr>
            <w:r w:rsidRPr="003E7F66">
              <w:rPr>
                <w:rFonts w:ascii="Arial Narrow" w:eastAsia="SimSun" w:hAnsi="Arial Narrow" w:cs="Times New Roman"/>
                <w:b/>
                <w:sz w:val="20"/>
                <w:szCs w:val="24"/>
                <w:lang w:eastAsia="en-AU"/>
              </w:rPr>
              <w:t>Assay</w:t>
            </w:r>
            <w:r w:rsidRPr="003E7F66">
              <w:rPr>
                <w:rFonts w:ascii="Arial Narrow" w:eastAsia="SimSun" w:hAnsi="Arial Narrow" w:cs="Times New Roman"/>
                <w:b/>
                <w:spacing w:val="-7"/>
                <w:sz w:val="20"/>
                <w:szCs w:val="24"/>
                <w:lang w:eastAsia="en-AU"/>
              </w:rPr>
              <w:t xml:space="preserve"> </w:t>
            </w:r>
            <w:r w:rsidRPr="003E7F66">
              <w:rPr>
                <w:rFonts w:ascii="Arial Narrow" w:eastAsia="SimSun" w:hAnsi="Arial Narrow" w:cs="Times New Roman"/>
                <w:b/>
                <w:spacing w:val="-4"/>
                <w:sz w:val="20"/>
                <w:szCs w:val="24"/>
                <w:lang w:eastAsia="en-AU"/>
              </w:rPr>
              <w:t>Name</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2DCB957" w14:textId="77777777" w:rsidR="00C86E21" w:rsidRPr="003E7F66" w:rsidRDefault="00C86E21" w:rsidP="003E7F66">
            <w:pPr>
              <w:keepNext/>
              <w:keepLines/>
              <w:spacing w:before="0" w:after="0" w:line="256" w:lineRule="auto"/>
              <w:rPr>
                <w:rFonts w:ascii="Arial Narrow" w:eastAsia="SimSun" w:hAnsi="Arial Narrow" w:cs="Times New Roman"/>
                <w:b/>
                <w:sz w:val="20"/>
                <w:szCs w:val="24"/>
                <w:lang w:eastAsia="en-AU"/>
              </w:rPr>
            </w:pPr>
            <w:r w:rsidRPr="003E7F66">
              <w:rPr>
                <w:rFonts w:ascii="Arial Narrow" w:eastAsia="SimSun" w:hAnsi="Arial Narrow" w:cs="Times New Roman"/>
                <w:b/>
                <w:sz w:val="20"/>
                <w:szCs w:val="24"/>
                <w:lang w:eastAsia="en-AU"/>
              </w:rPr>
              <w:t>Type</w:t>
            </w:r>
            <w:r w:rsidRPr="003E7F66">
              <w:rPr>
                <w:rFonts w:ascii="Arial Narrow" w:eastAsia="SimSun" w:hAnsi="Arial Narrow" w:cs="Times New Roman"/>
                <w:b/>
                <w:spacing w:val="-5"/>
                <w:sz w:val="20"/>
                <w:szCs w:val="24"/>
                <w:lang w:eastAsia="en-AU"/>
              </w:rPr>
              <w:t xml:space="preserve"> </w:t>
            </w:r>
            <w:r w:rsidRPr="003E7F66">
              <w:rPr>
                <w:rFonts w:ascii="Arial Narrow" w:eastAsia="SimSun" w:hAnsi="Arial Narrow" w:cs="Times New Roman"/>
                <w:b/>
                <w:sz w:val="20"/>
                <w:szCs w:val="24"/>
                <w:lang w:eastAsia="en-AU"/>
              </w:rPr>
              <w:t>of</w:t>
            </w:r>
            <w:r w:rsidRPr="003E7F66">
              <w:rPr>
                <w:rFonts w:ascii="Arial Narrow" w:eastAsia="SimSun" w:hAnsi="Arial Narrow" w:cs="Times New Roman"/>
                <w:b/>
                <w:spacing w:val="-4"/>
                <w:sz w:val="20"/>
                <w:szCs w:val="24"/>
                <w:lang w:eastAsia="en-AU"/>
              </w:rPr>
              <w:t xml:space="preserve"> </w:t>
            </w:r>
            <w:r w:rsidRPr="003E7F66">
              <w:rPr>
                <w:rFonts w:ascii="Arial Narrow" w:eastAsia="SimSun" w:hAnsi="Arial Narrow" w:cs="Times New Roman"/>
                <w:b/>
                <w:sz w:val="20"/>
                <w:szCs w:val="24"/>
                <w:lang w:eastAsia="en-AU"/>
              </w:rPr>
              <w:t>assay</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8BEED5C" w14:textId="77777777" w:rsidR="00C86E21" w:rsidRPr="003E7F66" w:rsidRDefault="4DD4263B" w:rsidP="003E7F66">
            <w:pPr>
              <w:keepNext/>
              <w:keepLines/>
              <w:spacing w:before="0" w:after="0" w:line="256" w:lineRule="auto"/>
              <w:rPr>
                <w:rFonts w:ascii="Arial Narrow" w:eastAsia="SimSun" w:hAnsi="Arial Narrow" w:cs="Times New Roman"/>
                <w:b/>
                <w:bCs/>
                <w:sz w:val="20"/>
                <w:szCs w:val="20"/>
                <w:lang w:eastAsia="en-AU"/>
              </w:rPr>
            </w:pPr>
            <w:proofErr w:type="spellStart"/>
            <w:r w:rsidRPr="003E7F66">
              <w:rPr>
                <w:rFonts w:ascii="Arial Narrow" w:eastAsia="SimSun" w:hAnsi="Arial Narrow" w:cs="Times New Roman"/>
                <w:b/>
                <w:bCs/>
                <w:sz w:val="20"/>
                <w:szCs w:val="20"/>
                <w:lang w:eastAsia="en-AU"/>
              </w:rPr>
              <w:t>LoD</w:t>
            </w:r>
            <w:r w:rsidRPr="003E7F66">
              <w:rPr>
                <w:rFonts w:ascii="Arial Narrow" w:eastAsia="SimSun" w:hAnsi="Arial Narrow" w:cs="Times New Roman"/>
                <w:b/>
                <w:bCs/>
                <w:sz w:val="20"/>
                <w:szCs w:val="20"/>
                <w:vertAlign w:val="superscript"/>
                <w:lang w:eastAsia="en-AU"/>
              </w:rPr>
              <w:t>a</w:t>
            </w:r>
            <w:proofErr w:type="spellEnd"/>
            <w:r w:rsidRPr="003E7F66">
              <w:rPr>
                <w:rFonts w:ascii="Arial Narrow" w:eastAsia="SimSun" w:hAnsi="Arial Narrow" w:cs="Times New Roman"/>
                <w:b/>
                <w:bCs/>
                <w:spacing w:val="-6"/>
                <w:sz w:val="20"/>
                <w:szCs w:val="20"/>
                <w:lang w:eastAsia="en-AU"/>
              </w:rPr>
              <w:t xml:space="preserve"> </w:t>
            </w:r>
            <w:r w:rsidRPr="003E7F66">
              <w:rPr>
                <w:rFonts w:ascii="Arial Narrow" w:eastAsia="SimSun" w:hAnsi="Arial Narrow" w:cs="Times New Roman"/>
                <w:b/>
                <w:bCs/>
                <w:sz w:val="20"/>
                <w:szCs w:val="20"/>
                <w:lang w:eastAsia="en-AU"/>
              </w:rPr>
              <w:t>(%</w:t>
            </w:r>
            <w:r w:rsidRPr="003E7F66">
              <w:rPr>
                <w:rFonts w:ascii="Arial Narrow" w:eastAsia="SimSun" w:hAnsi="Arial Narrow" w:cs="Times New Roman"/>
                <w:b/>
                <w:bCs/>
                <w:spacing w:val="-4"/>
                <w:sz w:val="20"/>
                <w:szCs w:val="20"/>
                <w:lang w:eastAsia="en-AU"/>
              </w:rPr>
              <w:t xml:space="preserve"> VAF)</w:t>
            </w:r>
          </w:p>
          <w:p w14:paraId="7FA4C972" w14:textId="77777777" w:rsidR="00C86E21" w:rsidRPr="003E7F66" w:rsidRDefault="00C86E21" w:rsidP="003E7F66">
            <w:pPr>
              <w:keepNext/>
              <w:keepLines/>
              <w:spacing w:before="0" w:after="0" w:line="256" w:lineRule="auto"/>
              <w:rPr>
                <w:rFonts w:ascii="Arial Narrow" w:eastAsia="SimSun" w:hAnsi="Arial Narrow" w:cs="Times New Roman"/>
                <w:b/>
                <w:sz w:val="20"/>
                <w:szCs w:val="24"/>
                <w:lang w:eastAsia="en-AU"/>
              </w:rPr>
            </w:pPr>
            <w:r w:rsidRPr="003E7F66">
              <w:rPr>
                <w:rFonts w:ascii="Arial Narrow" w:eastAsia="SimSun" w:hAnsi="Arial Narrow" w:cs="Times New Roman"/>
                <w:b/>
                <w:sz w:val="20"/>
                <w:szCs w:val="24"/>
                <w:lang w:eastAsia="en-AU"/>
              </w:rPr>
              <w:t>(limit of detection)</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FD12840" w14:textId="77777777" w:rsidR="00C86E21" w:rsidRPr="003E7F66" w:rsidRDefault="00C86E21" w:rsidP="003E7F66">
            <w:pPr>
              <w:keepNext/>
              <w:keepLines/>
              <w:spacing w:before="0" w:after="0" w:line="256" w:lineRule="auto"/>
              <w:jc w:val="center"/>
              <w:rPr>
                <w:rFonts w:ascii="Arial Narrow" w:eastAsia="SimSun" w:hAnsi="Arial Narrow" w:cs="Times New Roman"/>
                <w:b/>
                <w:sz w:val="20"/>
                <w:szCs w:val="24"/>
                <w:lang w:eastAsia="en-AU"/>
              </w:rPr>
            </w:pPr>
            <w:r w:rsidRPr="003E7F66">
              <w:rPr>
                <w:rFonts w:ascii="Arial Narrow" w:eastAsia="SimSun" w:hAnsi="Arial Narrow" w:cs="Times New Roman"/>
                <w:b/>
                <w:sz w:val="20"/>
                <w:szCs w:val="24"/>
                <w:lang w:eastAsia="en-AU"/>
              </w:rPr>
              <w:t>Sensitivity</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602199C" w14:textId="77777777" w:rsidR="00C86E21" w:rsidRPr="003E7F66" w:rsidRDefault="00C86E21" w:rsidP="003E7F66">
            <w:pPr>
              <w:keepNext/>
              <w:keepLines/>
              <w:spacing w:before="0" w:after="0" w:line="256" w:lineRule="auto"/>
              <w:jc w:val="center"/>
              <w:rPr>
                <w:rFonts w:ascii="Arial Narrow" w:eastAsia="SimSun" w:hAnsi="Arial Narrow" w:cs="Times New Roman"/>
                <w:b/>
                <w:sz w:val="20"/>
                <w:szCs w:val="24"/>
                <w:lang w:eastAsia="en-AU"/>
              </w:rPr>
            </w:pPr>
            <w:r w:rsidRPr="003E7F66">
              <w:rPr>
                <w:rFonts w:ascii="Arial Narrow" w:eastAsia="SimSun" w:hAnsi="Arial Narrow" w:cs="Times New Roman"/>
                <w:b/>
                <w:sz w:val="20"/>
                <w:szCs w:val="24"/>
                <w:lang w:eastAsia="en-AU"/>
              </w:rPr>
              <w:t>Specificity</w:t>
            </w:r>
          </w:p>
        </w:tc>
      </w:tr>
      <w:tr w:rsidR="003E7F66" w:rsidRPr="003E7F66" w14:paraId="54422C3B" w14:textId="77777777" w:rsidTr="00470B01">
        <w:trPr>
          <w:trHeight w:val="20"/>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0D27F5B" w14:textId="3DC825A0" w:rsidR="00C86E21" w:rsidRPr="00416C75" w:rsidRDefault="01CBF3CD" w:rsidP="003E7F66">
            <w:pPr>
              <w:keepNext/>
              <w:keepLines/>
              <w:widowControl w:val="0"/>
              <w:spacing w:before="0" w:after="0" w:line="256" w:lineRule="auto"/>
              <w:ind w:left="57"/>
              <w:rPr>
                <w:rFonts w:ascii="Arial Narrow" w:eastAsia="Calibri" w:hAnsi="Arial Narrow" w:cs="Arial"/>
                <w:sz w:val="20"/>
                <w:szCs w:val="20"/>
              </w:rPr>
            </w:pPr>
            <w:proofErr w:type="spellStart"/>
            <w:r w:rsidRPr="00416C75">
              <w:rPr>
                <w:rFonts w:ascii="Arial Narrow" w:eastAsia="Calibri" w:hAnsi="Arial Narrow" w:cs="Arial"/>
                <w:sz w:val="20"/>
                <w:szCs w:val="20"/>
              </w:rPr>
              <w:t>Thermofisher</w:t>
            </w:r>
            <w:proofErr w:type="spellEnd"/>
          </w:p>
        </w:tc>
        <w:tc>
          <w:tcPr>
            <w:tcW w:w="8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66C72F1" w14:textId="7765F45D" w:rsidR="00C86E21" w:rsidRPr="00416C75" w:rsidRDefault="00C86E21" w:rsidP="003E7F66">
            <w:pPr>
              <w:keepNext/>
              <w:keepLines/>
              <w:widowControl w:val="0"/>
              <w:spacing w:before="0" w:after="0" w:line="256" w:lineRule="auto"/>
              <w:ind w:left="57"/>
              <w:rPr>
                <w:rFonts w:ascii="Arial Narrow" w:eastAsia="Calibri" w:hAnsi="Arial Narrow" w:cs="Arial"/>
                <w:sz w:val="20"/>
              </w:rPr>
            </w:pPr>
            <w:r w:rsidRPr="00416C75">
              <w:rPr>
                <w:rFonts w:ascii="Arial Narrow" w:eastAsia="Calibri" w:hAnsi="Arial Narrow" w:cs="Arial"/>
                <w:sz w:val="20"/>
              </w:rPr>
              <w:t>Oncomine Breast</w:t>
            </w:r>
            <w:r w:rsidRPr="00416C75">
              <w:rPr>
                <w:rFonts w:ascii="Arial Narrow" w:eastAsia="Calibri" w:hAnsi="Arial Narrow" w:cs="Arial"/>
                <w:spacing w:val="-14"/>
                <w:sz w:val="20"/>
              </w:rPr>
              <w:t xml:space="preserve"> </w:t>
            </w:r>
            <w:r w:rsidRPr="00416C75">
              <w:rPr>
                <w:rFonts w:ascii="Arial Narrow" w:eastAsia="Calibri" w:hAnsi="Arial Narrow" w:cs="Arial"/>
                <w:sz w:val="20"/>
              </w:rPr>
              <w:t>cfDNA</w:t>
            </w:r>
            <w:r w:rsidRPr="00416C75">
              <w:rPr>
                <w:rFonts w:ascii="Arial Narrow" w:eastAsia="Calibri" w:hAnsi="Arial Narrow" w:cs="Arial"/>
                <w:spacing w:val="-13"/>
                <w:sz w:val="20"/>
              </w:rPr>
              <w:t xml:space="preserve"> </w:t>
            </w:r>
            <w:hyperlink r:id="rId15" w:anchor="_bookmark0" w:history="1">
              <w:r w:rsidRPr="00416C75">
                <w:rPr>
                  <w:rFonts w:ascii="Arial Narrow" w:eastAsia="Calibri" w:hAnsi="Arial Narrow" w:cs="Arial"/>
                  <w:position w:val="6"/>
                  <w:sz w:val="20"/>
                  <w:u w:val="single"/>
                  <w:vertAlign w:val="superscript"/>
                </w:rPr>
                <w:t>b</w:t>
              </w:r>
            </w:hyperlink>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98259D3" w14:textId="77777777" w:rsidR="00C86E21" w:rsidRPr="003E7F66" w:rsidRDefault="00C86E21" w:rsidP="003E7F66">
            <w:pPr>
              <w:keepNext/>
              <w:keepLines/>
              <w:widowControl w:val="0"/>
              <w:spacing w:before="0" w:after="0" w:line="256" w:lineRule="auto"/>
              <w:ind w:left="57"/>
              <w:rPr>
                <w:rFonts w:ascii="Arial Narrow" w:eastAsia="Calibri" w:hAnsi="Arial Narrow" w:cs="Arial"/>
                <w:sz w:val="20"/>
              </w:rPr>
            </w:pPr>
            <w:r w:rsidRPr="003E7F66">
              <w:rPr>
                <w:rFonts w:ascii="Arial Narrow" w:eastAsia="Calibri" w:hAnsi="Arial Narrow" w:cs="Arial"/>
                <w:sz w:val="20"/>
              </w:rPr>
              <w:t>NGS to detect mutations in 20</w:t>
            </w:r>
            <w:r w:rsidRPr="003E7F66">
              <w:rPr>
                <w:rFonts w:ascii="Arial Narrow" w:eastAsia="Calibri" w:hAnsi="Arial Narrow" w:cs="Arial"/>
                <w:spacing w:val="-14"/>
                <w:sz w:val="20"/>
              </w:rPr>
              <w:t xml:space="preserve"> </w:t>
            </w:r>
            <w:r w:rsidRPr="003E7F66">
              <w:rPr>
                <w:rFonts w:ascii="Arial Narrow" w:eastAsia="Calibri" w:hAnsi="Arial Narrow" w:cs="Arial"/>
                <w:sz w:val="20"/>
              </w:rPr>
              <w:t>genes</w:t>
            </w:r>
            <w:r w:rsidRPr="003E7F66">
              <w:rPr>
                <w:rFonts w:ascii="Arial Narrow" w:eastAsia="Calibri" w:hAnsi="Arial Narrow" w:cs="Arial"/>
                <w:spacing w:val="-14"/>
                <w:sz w:val="20"/>
              </w:rPr>
              <w:t xml:space="preserve"> </w:t>
            </w:r>
            <w:r w:rsidRPr="003E7F66">
              <w:rPr>
                <w:rFonts w:ascii="Arial Narrow" w:eastAsia="Calibri" w:hAnsi="Arial Narrow" w:cs="Arial"/>
                <w:sz w:val="20"/>
              </w:rPr>
              <w:t xml:space="preserve">(incl. </w:t>
            </w:r>
            <w:r w:rsidRPr="003E7F66">
              <w:rPr>
                <w:rFonts w:ascii="Arial Narrow" w:eastAsia="Calibri" w:hAnsi="Arial Narrow" w:cs="Arial"/>
                <w:i/>
                <w:sz w:val="20"/>
              </w:rPr>
              <w:t>ESR1</w:t>
            </w:r>
            <w:r w:rsidRPr="003E7F66">
              <w:rPr>
                <w:rFonts w:ascii="Arial Narrow" w:eastAsia="Calibri" w:hAnsi="Arial Narrow" w:cs="Arial"/>
                <w:sz w:val="20"/>
              </w:rPr>
              <w:t>)</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8BCC391" w14:textId="77777777" w:rsidR="00C86E21" w:rsidRPr="003E7F66" w:rsidRDefault="00C86E21" w:rsidP="003E7F66">
            <w:pPr>
              <w:keepNext/>
              <w:keepLines/>
              <w:widowControl w:val="0"/>
              <w:spacing w:before="0" w:after="0" w:line="256" w:lineRule="auto"/>
              <w:ind w:left="57"/>
              <w:rPr>
                <w:rFonts w:ascii="Arial Narrow" w:eastAsia="Calibri" w:hAnsi="Arial Narrow" w:cs="Arial"/>
                <w:sz w:val="20"/>
              </w:rPr>
            </w:pPr>
            <w:r w:rsidRPr="003E7F66">
              <w:rPr>
                <w:rFonts w:ascii="Arial Narrow" w:eastAsia="Calibri" w:hAnsi="Arial Narrow" w:cs="Arial"/>
                <w:sz w:val="20"/>
              </w:rPr>
              <w:t>0.1%</w:t>
            </w:r>
            <w:r w:rsidRPr="003E7F66">
              <w:rPr>
                <w:rFonts w:ascii="Arial Narrow" w:eastAsia="Calibri" w:hAnsi="Arial Narrow" w:cs="Arial"/>
                <w:spacing w:val="-14"/>
                <w:sz w:val="20"/>
              </w:rPr>
              <w:t xml:space="preserve"> </w:t>
            </w:r>
            <w:r w:rsidRPr="003E7F66">
              <w:rPr>
                <w:rFonts w:ascii="Arial Narrow" w:eastAsia="Calibri" w:hAnsi="Arial Narrow" w:cs="Arial"/>
                <w:sz w:val="20"/>
              </w:rPr>
              <w:t>(1</w:t>
            </w:r>
            <w:r w:rsidRPr="003E7F66">
              <w:rPr>
                <w:rFonts w:ascii="Arial Narrow" w:eastAsia="Calibri" w:hAnsi="Arial Narrow" w:cs="Arial"/>
                <w:spacing w:val="-14"/>
                <w:sz w:val="20"/>
              </w:rPr>
              <w:t xml:space="preserve"> </w:t>
            </w:r>
            <w:r w:rsidRPr="003E7F66">
              <w:rPr>
                <w:rFonts w:ascii="Arial Narrow" w:eastAsia="Calibri" w:hAnsi="Arial Narrow" w:cs="Arial"/>
                <w:sz w:val="20"/>
              </w:rPr>
              <w:t>mutant copy in a background of 1000 wildtype copies)</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CA74D95" w14:textId="77777777" w:rsidR="00C86E21" w:rsidRPr="003E7F66" w:rsidRDefault="00C86E21" w:rsidP="003E7F66">
            <w:pPr>
              <w:keepNext/>
              <w:keepLines/>
              <w:widowControl w:val="0"/>
              <w:spacing w:before="0" w:after="0" w:line="256" w:lineRule="auto"/>
              <w:jc w:val="center"/>
              <w:rPr>
                <w:rFonts w:ascii="Arial Narrow" w:eastAsia="Calibri" w:hAnsi="Arial Narrow" w:cs="Arial"/>
                <w:sz w:val="20"/>
              </w:rPr>
            </w:pPr>
            <w:r w:rsidRPr="003E7F66">
              <w:rPr>
                <w:rFonts w:ascii="Cambria Math" w:eastAsia="Calibri" w:hAnsi="Cambria Math" w:cs="Arial"/>
                <w:spacing w:val="-4"/>
                <w:sz w:val="20"/>
              </w:rPr>
              <w:t>∼</w:t>
            </w:r>
            <w:r w:rsidRPr="003E7F66">
              <w:rPr>
                <w:rFonts w:ascii="Arial Narrow" w:eastAsia="Calibri" w:hAnsi="Arial Narrow" w:cs="Arial"/>
                <w:spacing w:val="-4"/>
                <w:sz w:val="20"/>
              </w:rPr>
              <w:t>80%</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9581C4A" w14:textId="77777777" w:rsidR="00C86E21" w:rsidRPr="003E7F66" w:rsidRDefault="00C86E21" w:rsidP="003E7F66">
            <w:pPr>
              <w:keepNext/>
              <w:keepLines/>
              <w:widowControl w:val="0"/>
              <w:spacing w:before="0" w:after="0" w:line="256" w:lineRule="auto"/>
              <w:jc w:val="center"/>
              <w:rPr>
                <w:rFonts w:ascii="Arial Narrow" w:eastAsia="Calibri" w:hAnsi="Arial Narrow" w:cs="Arial"/>
                <w:sz w:val="20"/>
              </w:rPr>
            </w:pPr>
            <w:r w:rsidRPr="003E7F66">
              <w:rPr>
                <w:rFonts w:ascii="Arial Narrow" w:eastAsia="Calibri" w:hAnsi="Arial Narrow" w:cs="Arial"/>
                <w:spacing w:val="-4"/>
                <w:sz w:val="20"/>
              </w:rPr>
              <w:t>&gt;99%</w:t>
            </w:r>
          </w:p>
        </w:tc>
      </w:tr>
      <w:tr w:rsidR="003E7F66" w:rsidRPr="003E7F66" w14:paraId="17D76F2D" w14:textId="77777777" w:rsidTr="00470B01">
        <w:trPr>
          <w:trHeight w:val="20"/>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9A7BC1D" w14:textId="5B76BB40" w:rsidR="00C86E21" w:rsidRPr="00416C75" w:rsidRDefault="4DD4263B" w:rsidP="003E7F66">
            <w:pPr>
              <w:keepNext/>
              <w:keepLines/>
              <w:widowControl w:val="0"/>
              <w:spacing w:before="0" w:after="0" w:line="256" w:lineRule="auto"/>
              <w:ind w:left="57"/>
              <w:rPr>
                <w:rFonts w:ascii="Arial Narrow" w:eastAsia="Calibri" w:hAnsi="Arial Narrow" w:cs="Arial"/>
                <w:sz w:val="20"/>
                <w:szCs w:val="20"/>
              </w:rPr>
            </w:pPr>
            <w:proofErr w:type="spellStart"/>
            <w:r w:rsidRPr="00416C75">
              <w:rPr>
                <w:rFonts w:ascii="Arial Narrow" w:eastAsia="Calibri" w:hAnsi="Arial Narrow" w:cs="Arial"/>
                <w:sz w:val="20"/>
                <w:szCs w:val="20"/>
              </w:rPr>
              <w:t>Thermofisher</w:t>
            </w:r>
            <w:proofErr w:type="spellEnd"/>
          </w:p>
        </w:tc>
        <w:tc>
          <w:tcPr>
            <w:tcW w:w="8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2E84E80" w14:textId="01CBD813" w:rsidR="00C86E21" w:rsidRPr="00416C75" w:rsidRDefault="00C86E21" w:rsidP="003E7F66">
            <w:pPr>
              <w:keepNext/>
              <w:keepLines/>
              <w:widowControl w:val="0"/>
              <w:spacing w:before="0" w:after="0" w:line="256" w:lineRule="auto"/>
              <w:ind w:left="57"/>
              <w:rPr>
                <w:rFonts w:ascii="Arial Narrow" w:eastAsia="Calibri" w:hAnsi="Arial Narrow" w:cs="Arial"/>
                <w:sz w:val="20"/>
              </w:rPr>
            </w:pPr>
            <w:r w:rsidRPr="00416C75">
              <w:rPr>
                <w:rFonts w:ascii="Arial Narrow" w:eastAsia="Calibri" w:hAnsi="Arial Narrow" w:cs="Arial"/>
                <w:sz w:val="20"/>
              </w:rPr>
              <w:t>Oncomine Precision</w:t>
            </w:r>
            <w:r w:rsidRPr="00416C75">
              <w:rPr>
                <w:rFonts w:ascii="Arial Narrow" w:eastAsia="Calibri" w:hAnsi="Arial Narrow" w:cs="Arial"/>
                <w:spacing w:val="-14"/>
                <w:sz w:val="20"/>
              </w:rPr>
              <w:t xml:space="preserve"> </w:t>
            </w:r>
            <w:r w:rsidRPr="00416C75">
              <w:rPr>
                <w:rFonts w:ascii="Arial Narrow" w:eastAsia="Calibri" w:hAnsi="Arial Narrow" w:cs="Arial"/>
                <w:sz w:val="20"/>
              </w:rPr>
              <w:t>GX</w:t>
            </w:r>
            <w:r w:rsidRPr="00416C75">
              <w:rPr>
                <w:rFonts w:ascii="Arial Narrow" w:eastAsia="Calibri" w:hAnsi="Arial Narrow" w:cs="Arial"/>
                <w:spacing w:val="-11"/>
                <w:sz w:val="20"/>
                <w:vertAlign w:val="superscript"/>
              </w:rPr>
              <w:t xml:space="preserve"> </w:t>
            </w:r>
            <w:hyperlink r:id="rId16" w:anchor="_bookmark1" w:history="1">
              <w:r w:rsidRPr="00416C75">
                <w:rPr>
                  <w:rFonts w:ascii="Arial Narrow" w:eastAsia="Calibri" w:hAnsi="Arial Narrow" w:cs="Arial"/>
                  <w:position w:val="6"/>
                  <w:sz w:val="20"/>
                  <w:u w:val="single"/>
                  <w:vertAlign w:val="superscript"/>
                </w:rPr>
                <w:t>c</w:t>
              </w:r>
            </w:hyperlink>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5182D30" w14:textId="77777777" w:rsidR="00C86E21" w:rsidRPr="003E7F66" w:rsidRDefault="00C86E21" w:rsidP="003E7F66">
            <w:pPr>
              <w:keepNext/>
              <w:keepLines/>
              <w:widowControl w:val="0"/>
              <w:spacing w:before="0" w:after="0" w:line="256" w:lineRule="auto"/>
              <w:ind w:left="57"/>
              <w:rPr>
                <w:rFonts w:ascii="Arial Narrow" w:eastAsia="Calibri" w:hAnsi="Arial Narrow" w:cs="Arial"/>
                <w:sz w:val="20"/>
              </w:rPr>
            </w:pPr>
            <w:r w:rsidRPr="003E7F66">
              <w:rPr>
                <w:rFonts w:ascii="Arial Narrow" w:eastAsia="Calibri" w:hAnsi="Arial Narrow" w:cs="Arial"/>
                <w:sz w:val="20"/>
              </w:rPr>
              <w:t>NGS to detect mutations in 45</w:t>
            </w:r>
            <w:r w:rsidRPr="003E7F66">
              <w:rPr>
                <w:rFonts w:ascii="Arial Narrow" w:eastAsia="Calibri" w:hAnsi="Arial Narrow" w:cs="Arial"/>
                <w:spacing w:val="-14"/>
                <w:sz w:val="20"/>
              </w:rPr>
              <w:t xml:space="preserve"> </w:t>
            </w:r>
            <w:r w:rsidRPr="003E7F66">
              <w:rPr>
                <w:rFonts w:ascii="Arial Narrow" w:eastAsia="Calibri" w:hAnsi="Arial Narrow" w:cs="Arial"/>
                <w:sz w:val="20"/>
              </w:rPr>
              <w:t>genes</w:t>
            </w:r>
            <w:r w:rsidRPr="003E7F66">
              <w:rPr>
                <w:rFonts w:ascii="Arial Narrow" w:eastAsia="Calibri" w:hAnsi="Arial Narrow" w:cs="Arial"/>
                <w:spacing w:val="-14"/>
                <w:sz w:val="20"/>
              </w:rPr>
              <w:t xml:space="preserve"> </w:t>
            </w:r>
            <w:r w:rsidRPr="003E7F66">
              <w:rPr>
                <w:rFonts w:ascii="Arial Narrow" w:eastAsia="Calibri" w:hAnsi="Arial Narrow" w:cs="Arial"/>
                <w:sz w:val="20"/>
              </w:rPr>
              <w:t xml:space="preserve">(incl. </w:t>
            </w:r>
            <w:r w:rsidRPr="003E7F66">
              <w:rPr>
                <w:rFonts w:ascii="Arial Narrow" w:eastAsia="Calibri" w:hAnsi="Arial Narrow" w:cs="Arial"/>
                <w:i/>
                <w:sz w:val="20"/>
              </w:rPr>
              <w:t>ESR1</w:t>
            </w:r>
            <w:r w:rsidRPr="003E7F66">
              <w:rPr>
                <w:rFonts w:ascii="Arial Narrow" w:eastAsia="Calibri" w:hAnsi="Arial Narrow" w:cs="Arial"/>
                <w:sz w:val="20"/>
              </w:rPr>
              <w:t>)</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B8A561E" w14:textId="77777777" w:rsidR="00C86E21" w:rsidRPr="003E7F66" w:rsidRDefault="00C86E21" w:rsidP="003E7F66">
            <w:pPr>
              <w:keepNext/>
              <w:keepLines/>
              <w:widowControl w:val="0"/>
              <w:spacing w:before="0" w:after="0" w:line="256" w:lineRule="auto"/>
              <w:ind w:left="57"/>
              <w:rPr>
                <w:rFonts w:ascii="Arial Narrow" w:eastAsia="Calibri" w:hAnsi="Arial Narrow" w:cs="Arial"/>
                <w:sz w:val="20"/>
              </w:rPr>
            </w:pPr>
            <w:r w:rsidRPr="003E7F66">
              <w:rPr>
                <w:rFonts w:ascii="Arial Narrow" w:eastAsia="Calibri" w:hAnsi="Arial Narrow" w:cs="Arial"/>
                <w:sz w:val="20"/>
              </w:rPr>
              <w:t>0.33%</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51698E8" w14:textId="77777777" w:rsidR="00C86E21" w:rsidRPr="003E7F66" w:rsidRDefault="00C86E21" w:rsidP="003E7F66">
            <w:pPr>
              <w:keepNext/>
              <w:keepLines/>
              <w:widowControl w:val="0"/>
              <w:spacing w:before="0" w:after="0" w:line="256" w:lineRule="auto"/>
              <w:jc w:val="center"/>
              <w:rPr>
                <w:rFonts w:ascii="Arial Narrow" w:eastAsia="Calibri" w:hAnsi="Arial Narrow" w:cs="Arial"/>
                <w:sz w:val="20"/>
              </w:rPr>
            </w:pPr>
            <w:r w:rsidRPr="003E7F66">
              <w:rPr>
                <w:rFonts w:ascii="Arial Narrow" w:eastAsia="Calibri" w:hAnsi="Arial Narrow" w:cs="Arial"/>
                <w:sz w:val="20"/>
              </w:rPr>
              <w:t>89.2%</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EF4FE94" w14:textId="77777777" w:rsidR="00C86E21" w:rsidRPr="003E7F66" w:rsidRDefault="00C86E21" w:rsidP="003E7F66">
            <w:pPr>
              <w:keepNext/>
              <w:keepLines/>
              <w:widowControl w:val="0"/>
              <w:spacing w:before="0" w:after="0" w:line="256" w:lineRule="auto"/>
              <w:jc w:val="center"/>
              <w:rPr>
                <w:rFonts w:ascii="Arial Narrow" w:eastAsia="Calibri" w:hAnsi="Arial Narrow" w:cs="Arial"/>
                <w:sz w:val="20"/>
              </w:rPr>
            </w:pPr>
            <w:r w:rsidRPr="003E7F66">
              <w:rPr>
                <w:rFonts w:ascii="Arial Narrow" w:eastAsia="Calibri" w:hAnsi="Arial Narrow" w:cs="Arial"/>
                <w:spacing w:val="-4"/>
                <w:sz w:val="20"/>
              </w:rPr>
              <w:t>&gt;99%</w:t>
            </w:r>
          </w:p>
        </w:tc>
      </w:tr>
      <w:tr w:rsidR="003E7F66" w:rsidRPr="003E7F66" w14:paraId="282277EC" w14:textId="77777777" w:rsidTr="00470B01">
        <w:trPr>
          <w:trHeight w:val="20"/>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ED0CB1E" w14:textId="77777777" w:rsidR="00C86E21" w:rsidRPr="00416C75" w:rsidRDefault="00C86E21" w:rsidP="003E7F66">
            <w:pPr>
              <w:keepNext/>
              <w:keepLines/>
              <w:widowControl w:val="0"/>
              <w:spacing w:before="0" w:after="0" w:line="256" w:lineRule="auto"/>
              <w:ind w:left="57"/>
              <w:rPr>
                <w:rFonts w:ascii="Arial Narrow" w:eastAsia="Calibri" w:hAnsi="Arial Narrow" w:cs="Arial"/>
                <w:sz w:val="20"/>
              </w:rPr>
            </w:pPr>
            <w:r w:rsidRPr="00416C75">
              <w:rPr>
                <w:rFonts w:ascii="Arial Narrow" w:eastAsia="Calibri" w:hAnsi="Arial Narrow" w:cs="Arial"/>
                <w:spacing w:val="-4"/>
                <w:sz w:val="20"/>
              </w:rPr>
              <w:t>Roche</w:t>
            </w:r>
          </w:p>
        </w:tc>
        <w:tc>
          <w:tcPr>
            <w:tcW w:w="8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B0D1975" w14:textId="4E7DE9DE" w:rsidR="00C86E21" w:rsidRPr="00416C75" w:rsidRDefault="4DD4263B" w:rsidP="003E7F66">
            <w:pPr>
              <w:keepNext/>
              <w:keepLines/>
              <w:widowControl w:val="0"/>
              <w:spacing w:before="0" w:after="0" w:line="256" w:lineRule="auto"/>
              <w:ind w:left="57"/>
              <w:rPr>
                <w:rFonts w:ascii="Arial Narrow" w:eastAsia="Calibri" w:hAnsi="Arial Narrow" w:cs="Arial"/>
                <w:sz w:val="20"/>
                <w:szCs w:val="20"/>
              </w:rPr>
            </w:pPr>
            <w:proofErr w:type="spellStart"/>
            <w:r w:rsidRPr="00416C75">
              <w:rPr>
                <w:rFonts w:ascii="Arial Narrow" w:eastAsia="Calibri" w:hAnsi="Arial Narrow" w:cs="Arial"/>
                <w:sz w:val="20"/>
                <w:szCs w:val="20"/>
              </w:rPr>
              <w:t>Avenio</w:t>
            </w:r>
            <w:proofErr w:type="spellEnd"/>
            <w:r w:rsidRPr="00416C75">
              <w:rPr>
                <w:rFonts w:ascii="Arial Narrow" w:eastAsia="Calibri" w:hAnsi="Arial Narrow" w:cs="Arial"/>
                <w:sz w:val="20"/>
                <w:szCs w:val="20"/>
              </w:rPr>
              <w:t xml:space="preserve"> ctDNA expanded</w:t>
            </w:r>
            <w:r w:rsidRPr="00416C75">
              <w:rPr>
                <w:rFonts w:ascii="Arial Narrow" w:eastAsia="Calibri" w:hAnsi="Arial Narrow" w:cs="Arial"/>
                <w:spacing w:val="-7"/>
                <w:sz w:val="20"/>
                <w:szCs w:val="20"/>
              </w:rPr>
              <w:t xml:space="preserve"> </w:t>
            </w:r>
            <w:r w:rsidRPr="00416C75">
              <w:rPr>
                <w:rFonts w:ascii="Arial Narrow" w:eastAsia="Calibri" w:hAnsi="Arial Narrow" w:cs="Arial"/>
                <w:sz w:val="20"/>
                <w:szCs w:val="20"/>
              </w:rPr>
              <w:t>v2</w:t>
            </w:r>
            <w:r w:rsidRPr="00416C75">
              <w:rPr>
                <w:rFonts w:ascii="Arial Narrow" w:eastAsia="Calibri" w:hAnsi="Arial Narrow" w:cs="Arial"/>
                <w:spacing w:val="7"/>
                <w:sz w:val="20"/>
                <w:szCs w:val="20"/>
                <w:vertAlign w:val="superscript"/>
              </w:rPr>
              <w:t xml:space="preserve"> </w:t>
            </w:r>
            <w:hyperlink r:id="rId17" w:anchor="_bookmark2" w:history="1">
              <w:r w:rsidRPr="00416C75">
                <w:rPr>
                  <w:rFonts w:ascii="Arial Narrow" w:eastAsia="Calibri" w:hAnsi="Arial Narrow" w:cs="Arial"/>
                  <w:spacing w:val="-10"/>
                  <w:position w:val="6"/>
                  <w:sz w:val="20"/>
                  <w:szCs w:val="20"/>
                  <w:u w:val="single"/>
                  <w:vertAlign w:val="superscript"/>
                </w:rPr>
                <w:t>d</w:t>
              </w:r>
            </w:hyperlink>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0969C5B" w14:textId="77777777" w:rsidR="00C86E21" w:rsidRPr="003E7F66" w:rsidRDefault="00C86E21" w:rsidP="003E7F66">
            <w:pPr>
              <w:keepNext/>
              <w:keepLines/>
              <w:widowControl w:val="0"/>
              <w:spacing w:before="0" w:after="0" w:line="256" w:lineRule="auto"/>
              <w:ind w:left="57"/>
              <w:rPr>
                <w:rFonts w:ascii="Arial Narrow" w:eastAsia="Calibri" w:hAnsi="Arial Narrow" w:cs="Arial"/>
                <w:sz w:val="20"/>
              </w:rPr>
            </w:pPr>
            <w:r w:rsidRPr="003E7F66">
              <w:rPr>
                <w:rFonts w:ascii="Arial Narrow" w:eastAsia="Calibri" w:hAnsi="Arial Narrow" w:cs="Arial"/>
                <w:sz w:val="20"/>
              </w:rPr>
              <w:t>NGS to detect mutations in 77</w:t>
            </w:r>
            <w:r w:rsidRPr="003E7F66">
              <w:rPr>
                <w:rFonts w:ascii="Arial Narrow" w:eastAsia="Calibri" w:hAnsi="Arial Narrow" w:cs="Arial"/>
                <w:spacing w:val="-14"/>
                <w:sz w:val="20"/>
              </w:rPr>
              <w:t xml:space="preserve"> </w:t>
            </w:r>
            <w:r w:rsidRPr="003E7F66">
              <w:rPr>
                <w:rFonts w:ascii="Arial Narrow" w:eastAsia="Calibri" w:hAnsi="Arial Narrow" w:cs="Arial"/>
                <w:sz w:val="20"/>
              </w:rPr>
              <w:t>genes</w:t>
            </w:r>
            <w:r w:rsidRPr="003E7F66">
              <w:rPr>
                <w:rFonts w:ascii="Arial Narrow" w:eastAsia="Calibri" w:hAnsi="Arial Narrow" w:cs="Arial"/>
                <w:spacing w:val="-14"/>
                <w:sz w:val="20"/>
              </w:rPr>
              <w:t xml:space="preserve"> </w:t>
            </w:r>
            <w:r w:rsidRPr="003E7F66">
              <w:rPr>
                <w:rFonts w:ascii="Arial Narrow" w:eastAsia="Calibri" w:hAnsi="Arial Narrow" w:cs="Arial"/>
                <w:sz w:val="20"/>
              </w:rPr>
              <w:t xml:space="preserve">(incl. </w:t>
            </w:r>
            <w:r w:rsidRPr="003E7F66">
              <w:rPr>
                <w:rFonts w:ascii="Arial Narrow" w:eastAsia="Calibri" w:hAnsi="Arial Narrow" w:cs="Arial"/>
                <w:i/>
                <w:sz w:val="20"/>
              </w:rPr>
              <w:t>ESR1</w:t>
            </w:r>
            <w:r w:rsidRPr="003E7F66">
              <w:rPr>
                <w:rFonts w:ascii="Arial Narrow" w:eastAsia="Calibri" w:hAnsi="Arial Narrow" w:cs="Arial"/>
                <w:sz w:val="20"/>
              </w:rPr>
              <w:t>)</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CF93CD4" w14:textId="77777777" w:rsidR="00C86E21" w:rsidRPr="003E7F66" w:rsidRDefault="00C86E21" w:rsidP="003E7F66">
            <w:pPr>
              <w:keepNext/>
              <w:keepLines/>
              <w:widowControl w:val="0"/>
              <w:spacing w:before="0" w:after="0" w:line="256" w:lineRule="auto"/>
              <w:ind w:left="57"/>
              <w:rPr>
                <w:rFonts w:ascii="Arial Narrow" w:eastAsia="Calibri" w:hAnsi="Arial Narrow" w:cs="Arial"/>
                <w:sz w:val="20"/>
              </w:rPr>
            </w:pPr>
            <w:r w:rsidRPr="003E7F66">
              <w:rPr>
                <w:rFonts w:ascii="Arial Narrow" w:eastAsia="Calibri" w:hAnsi="Arial Narrow" w:cs="Arial"/>
                <w:sz w:val="20"/>
              </w:rPr>
              <w:t>0.5% at 50 ng DNA</w:t>
            </w:r>
            <w:r w:rsidRPr="003E7F66">
              <w:rPr>
                <w:rFonts w:ascii="Arial Narrow" w:eastAsia="Calibri" w:hAnsi="Arial Narrow" w:cs="Arial"/>
                <w:spacing w:val="-14"/>
                <w:sz w:val="20"/>
              </w:rPr>
              <w:t xml:space="preserve"> </w:t>
            </w:r>
            <w:r w:rsidRPr="003E7F66">
              <w:rPr>
                <w:rFonts w:ascii="Arial Narrow" w:eastAsia="Calibri" w:hAnsi="Arial Narrow" w:cs="Arial"/>
                <w:sz w:val="20"/>
              </w:rPr>
              <w:t>input.</w:t>
            </w:r>
            <w:r w:rsidRPr="003E7F66">
              <w:rPr>
                <w:rFonts w:ascii="Arial Narrow" w:eastAsia="Calibri" w:hAnsi="Arial Narrow" w:cs="Arial"/>
                <w:spacing w:val="-14"/>
                <w:sz w:val="20"/>
              </w:rPr>
              <w:t xml:space="preserve"> </w:t>
            </w:r>
            <w:r w:rsidRPr="003E7F66">
              <w:rPr>
                <w:rFonts w:ascii="Arial Narrow" w:eastAsia="Calibri" w:hAnsi="Arial Narrow" w:cs="Arial"/>
                <w:sz w:val="20"/>
              </w:rPr>
              <w:t>Can report down to 0.1%</w:t>
            </w:r>
            <w:r w:rsidRPr="003E7F66">
              <w:rPr>
                <w:rFonts w:ascii="Arial Narrow" w:eastAsia="Calibri" w:hAnsi="Arial Narrow" w:cs="Arial"/>
                <w:spacing w:val="-14"/>
                <w:sz w:val="20"/>
              </w:rPr>
              <w:t xml:space="preserve"> </w:t>
            </w:r>
            <w:r w:rsidRPr="003E7F66">
              <w:rPr>
                <w:rFonts w:ascii="Arial Narrow" w:eastAsia="Calibri" w:hAnsi="Arial Narrow" w:cs="Arial"/>
                <w:sz w:val="20"/>
              </w:rPr>
              <w:t>with</w:t>
            </w:r>
            <w:r w:rsidRPr="003E7F66">
              <w:rPr>
                <w:rFonts w:ascii="Arial Narrow" w:eastAsia="Calibri" w:hAnsi="Arial Narrow" w:cs="Arial"/>
                <w:spacing w:val="-14"/>
                <w:sz w:val="20"/>
              </w:rPr>
              <w:t xml:space="preserve"> </w:t>
            </w:r>
            <w:r w:rsidRPr="003E7F66">
              <w:rPr>
                <w:rFonts w:ascii="Arial Narrow" w:eastAsia="Calibri" w:hAnsi="Arial Narrow" w:cs="Arial"/>
                <w:sz w:val="20"/>
              </w:rPr>
              <w:t>lower sensitivity</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09F6EE6" w14:textId="77777777" w:rsidR="00C86E21" w:rsidRPr="003E7F66" w:rsidRDefault="00C86E21" w:rsidP="003E7F66">
            <w:pPr>
              <w:keepNext/>
              <w:keepLines/>
              <w:widowControl w:val="0"/>
              <w:spacing w:before="0" w:after="0" w:line="256" w:lineRule="auto"/>
              <w:jc w:val="center"/>
              <w:rPr>
                <w:rFonts w:ascii="Arial Narrow" w:eastAsia="Calibri" w:hAnsi="Arial Narrow" w:cs="Arial"/>
                <w:sz w:val="20"/>
              </w:rPr>
            </w:pPr>
            <w:r w:rsidRPr="003E7F66">
              <w:rPr>
                <w:rFonts w:ascii="Arial Narrow" w:eastAsia="Calibri" w:hAnsi="Arial Narrow" w:cs="Arial"/>
                <w:sz w:val="20"/>
              </w:rPr>
              <w:t xml:space="preserve">&gt; </w:t>
            </w:r>
            <w:r w:rsidRPr="003E7F66">
              <w:rPr>
                <w:rFonts w:ascii="Arial Narrow" w:eastAsia="Calibri" w:hAnsi="Arial Narrow" w:cs="Arial"/>
                <w:spacing w:val="-5"/>
                <w:sz w:val="20"/>
              </w:rPr>
              <w:t>99%</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F6E5E3F" w14:textId="77777777" w:rsidR="00C86E21" w:rsidRPr="003E7F66" w:rsidRDefault="00C86E21" w:rsidP="003E7F66">
            <w:pPr>
              <w:keepNext/>
              <w:keepLines/>
              <w:widowControl w:val="0"/>
              <w:spacing w:before="0" w:after="0" w:line="256" w:lineRule="auto"/>
              <w:jc w:val="center"/>
              <w:rPr>
                <w:rFonts w:ascii="Arial Narrow" w:eastAsia="Calibri" w:hAnsi="Arial Narrow" w:cs="Arial"/>
                <w:sz w:val="20"/>
              </w:rPr>
            </w:pPr>
            <w:r w:rsidRPr="003E7F66">
              <w:rPr>
                <w:rFonts w:ascii="Arial Narrow" w:eastAsia="Calibri" w:hAnsi="Arial Narrow" w:cs="Arial"/>
                <w:spacing w:val="-4"/>
                <w:sz w:val="20"/>
              </w:rPr>
              <w:t>&gt;99%</w:t>
            </w:r>
          </w:p>
        </w:tc>
      </w:tr>
      <w:tr w:rsidR="003E7F66" w:rsidRPr="003E7F66" w14:paraId="126DAB49" w14:textId="77777777" w:rsidTr="00470B01">
        <w:trPr>
          <w:trHeight w:val="20"/>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D5F54D4" w14:textId="77777777" w:rsidR="00C86E21" w:rsidRPr="00416C75" w:rsidRDefault="0325FCF3" w:rsidP="56F9DD4F">
            <w:pPr>
              <w:keepNext/>
              <w:keepLines/>
              <w:widowControl w:val="0"/>
              <w:spacing w:before="0" w:after="0" w:line="256" w:lineRule="auto"/>
              <w:ind w:left="57"/>
              <w:rPr>
                <w:rFonts w:ascii="Arial Narrow" w:eastAsia="Calibri" w:hAnsi="Arial Narrow" w:cs="Arial"/>
                <w:spacing w:val="-4"/>
                <w:sz w:val="20"/>
                <w:szCs w:val="20"/>
              </w:rPr>
            </w:pPr>
            <w:r w:rsidRPr="00416C75">
              <w:rPr>
                <w:rFonts w:ascii="Arial Narrow" w:eastAsia="Calibri" w:hAnsi="Arial Narrow" w:cs="Arial"/>
                <w:spacing w:val="-4"/>
                <w:sz w:val="20"/>
                <w:szCs w:val="20"/>
              </w:rPr>
              <w:t>Illumina</w:t>
            </w:r>
          </w:p>
        </w:tc>
        <w:tc>
          <w:tcPr>
            <w:tcW w:w="8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D46166A" w14:textId="427F6DB0" w:rsidR="00C86E21" w:rsidRPr="00416C75" w:rsidRDefault="01CBF3CD" w:rsidP="003E7F66">
            <w:pPr>
              <w:keepNext/>
              <w:keepLines/>
              <w:widowControl w:val="0"/>
              <w:spacing w:before="0" w:after="0" w:line="256" w:lineRule="auto"/>
              <w:ind w:left="57"/>
              <w:rPr>
                <w:rFonts w:ascii="Arial Narrow" w:eastAsia="Calibri" w:hAnsi="Arial Narrow" w:cs="Arial"/>
                <w:sz w:val="20"/>
                <w:szCs w:val="20"/>
              </w:rPr>
            </w:pPr>
            <w:r w:rsidRPr="00416C75">
              <w:rPr>
                <w:rFonts w:ascii="Arial Narrow" w:eastAsia="Calibri" w:hAnsi="Arial Narrow" w:cs="Arial"/>
                <w:sz w:val="20"/>
                <w:szCs w:val="20"/>
              </w:rPr>
              <w:t xml:space="preserve">Illumina </w:t>
            </w:r>
            <w:proofErr w:type="spellStart"/>
            <w:r w:rsidRPr="00416C75">
              <w:rPr>
                <w:rFonts w:ascii="Arial Narrow" w:eastAsia="Calibri" w:hAnsi="Arial Narrow" w:cs="Arial"/>
                <w:sz w:val="20"/>
                <w:szCs w:val="20"/>
              </w:rPr>
              <w:t>TruSight</w:t>
            </w:r>
            <w:proofErr w:type="spellEnd"/>
            <w:r w:rsidRPr="00416C75">
              <w:rPr>
                <w:rFonts w:ascii="Arial Narrow" w:eastAsia="Calibri" w:hAnsi="Arial Narrow" w:cs="Arial"/>
                <w:sz w:val="20"/>
                <w:szCs w:val="20"/>
              </w:rPr>
              <w:t xml:space="preserve"> 500 Oncology ctDNA </w:t>
            </w:r>
            <w:hyperlink r:id="rId18" w:anchor="_bookmark2" w:history="1">
              <w:r w:rsidRPr="00416C75">
                <w:rPr>
                  <w:rFonts w:ascii="Arial Narrow" w:eastAsia="Calibri" w:hAnsi="Arial Narrow" w:cs="Arial"/>
                  <w:spacing w:val="-10"/>
                  <w:position w:val="6"/>
                  <w:sz w:val="20"/>
                  <w:szCs w:val="20"/>
                  <w:u w:val="single"/>
                  <w:vertAlign w:val="superscript"/>
                </w:rPr>
                <w:t>e</w:t>
              </w:r>
            </w:hyperlink>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4D6D2B2" w14:textId="77777777" w:rsidR="00C86E21" w:rsidRPr="003E7F66" w:rsidRDefault="00C86E21" w:rsidP="003E7F66">
            <w:pPr>
              <w:keepNext/>
              <w:keepLines/>
              <w:widowControl w:val="0"/>
              <w:spacing w:before="0" w:after="0" w:line="256" w:lineRule="auto"/>
              <w:ind w:left="57"/>
              <w:rPr>
                <w:rFonts w:ascii="Arial Narrow" w:eastAsia="Calibri" w:hAnsi="Arial Narrow" w:cs="Arial"/>
                <w:sz w:val="20"/>
              </w:rPr>
            </w:pPr>
            <w:r w:rsidRPr="003E7F66">
              <w:rPr>
                <w:rFonts w:ascii="Arial Narrow" w:eastAsia="Calibri" w:hAnsi="Arial Narrow" w:cs="Arial"/>
                <w:sz w:val="20"/>
              </w:rPr>
              <w:t xml:space="preserve">NGS to detect mutations in 523 cancer genes incl. </w:t>
            </w:r>
            <w:r w:rsidRPr="003E7F66">
              <w:rPr>
                <w:rFonts w:ascii="Arial Narrow" w:eastAsia="Calibri" w:hAnsi="Arial Narrow" w:cs="Arial"/>
                <w:i/>
                <w:sz w:val="20"/>
              </w:rPr>
              <w:t>ESR1</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05DEFFA" w14:textId="77777777" w:rsidR="00C86E21" w:rsidRPr="003E7F66" w:rsidRDefault="00C86E21" w:rsidP="003E7F66">
            <w:pPr>
              <w:keepNext/>
              <w:keepLines/>
              <w:widowControl w:val="0"/>
              <w:spacing w:before="0" w:after="0" w:line="256" w:lineRule="auto"/>
              <w:ind w:left="57"/>
              <w:rPr>
                <w:rFonts w:ascii="Arial Narrow" w:eastAsia="Calibri" w:hAnsi="Arial Narrow" w:cs="Arial"/>
                <w:sz w:val="20"/>
              </w:rPr>
            </w:pPr>
            <w:r w:rsidRPr="003E7F66">
              <w:rPr>
                <w:rFonts w:ascii="Arial Narrow" w:eastAsia="Calibri" w:hAnsi="Arial Narrow" w:cs="Arial"/>
                <w:sz w:val="20"/>
              </w:rPr>
              <w:t>Detecting SNVs at or above 0.5% VAF at input of 30 ng ctDNA.</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ECC0038" w14:textId="77777777" w:rsidR="00C86E21" w:rsidRPr="003E7F66" w:rsidRDefault="00C86E21" w:rsidP="003E7F66">
            <w:pPr>
              <w:keepNext/>
              <w:keepLines/>
              <w:widowControl w:val="0"/>
              <w:spacing w:before="0" w:after="0" w:line="256" w:lineRule="auto"/>
              <w:jc w:val="center"/>
              <w:rPr>
                <w:rFonts w:ascii="Arial Narrow" w:eastAsia="Calibri" w:hAnsi="Arial Narrow" w:cs="Arial"/>
                <w:sz w:val="20"/>
              </w:rPr>
            </w:pPr>
            <w:r w:rsidRPr="003E7F66">
              <w:rPr>
                <w:rFonts w:ascii="Arial Narrow" w:eastAsia="Calibri" w:hAnsi="Arial Narrow" w:cs="Arial"/>
                <w:sz w:val="20"/>
              </w:rPr>
              <w:t>&gt;99%</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331393E" w14:textId="77777777" w:rsidR="00C86E21" w:rsidRPr="003E7F66" w:rsidRDefault="00C86E21" w:rsidP="003E7F66">
            <w:pPr>
              <w:keepNext/>
              <w:keepLines/>
              <w:widowControl w:val="0"/>
              <w:spacing w:before="0" w:after="0" w:line="256" w:lineRule="auto"/>
              <w:jc w:val="center"/>
              <w:rPr>
                <w:rFonts w:ascii="Arial Narrow" w:eastAsia="Calibri" w:hAnsi="Arial Narrow" w:cs="Arial"/>
                <w:spacing w:val="-4"/>
                <w:sz w:val="20"/>
              </w:rPr>
            </w:pPr>
            <w:r w:rsidRPr="003E7F66">
              <w:rPr>
                <w:rFonts w:ascii="Arial Narrow" w:eastAsia="Calibri" w:hAnsi="Arial Narrow" w:cs="Arial"/>
                <w:spacing w:val="-4"/>
                <w:sz w:val="20"/>
              </w:rPr>
              <w:t>&gt;99%</w:t>
            </w:r>
          </w:p>
        </w:tc>
      </w:tr>
      <w:tr w:rsidR="003E7F66" w:rsidRPr="003E7F66" w14:paraId="1B95318A" w14:textId="77777777" w:rsidTr="00470B01">
        <w:trPr>
          <w:trHeight w:val="20"/>
        </w:trPr>
        <w:tc>
          <w:tcPr>
            <w:tcW w:w="7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vAlign w:val="center"/>
            <w:hideMark/>
          </w:tcPr>
          <w:p w14:paraId="1450C5FF" w14:textId="77777777" w:rsidR="00C86E21" w:rsidRPr="003E7F66" w:rsidRDefault="0325FCF3" w:rsidP="56F9DD4F">
            <w:pPr>
              <w:keepNext/>
              <w:keepLines/>
              <w:widowControl w:val="0"/>
              <w:spacing w:before="0" w:after="0" w:line="256" w:lineRule="auto"/>
              <w:ind w:left="57"/>
              <w:rPr>
                <w:rFonts w:ascii="Arial Narrow" w:eastAsia="Calibri" w:hAnsi="Arial Narrow" w:cs="Arial"/>
                <w:spacing w:val="-4"/>
                <w:sz w:val="20"/>
                <w:szCs w:val="20"/>
              </w:rPr>
            </w:pPr>
            <w:r w:rsidRPr="56F9DD4F">
              <w:rPr>
                <w:rFonts w:ascii="Arial Narrow" w:eastAsia="Calibri" w:hAnsi="Arial Narrow" w:cs="Arial"/>
                <w:spacing w:val="-4"/>
                <w:sz w:val="20"/>
                <w:szCs w:val="20"/>
              </w:rPr>
              <w:t>Guardant Health Inc (US)</w:t>
            </w:r>
          </w:p>
        </w:tc>
        <w:tc>
          <w:tcPr>
            <w:tcW w:w="8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vAlign w:val="center"/>
            <w:hideMark/>
          </w:tcPr>
          <w:p w14:paraId="79C89423" w14:textId="2E198902" w:rsidR="00C86E21" w:rsidRPr="003E7F66" w:rsidRDefault="4DD4263B" w:rsidP="003E7F66">
            <w:pPr>
              <w:keepNext/>
              <w:keepLines/>
              <w:widowControl w:val="0"/>
              <w:spacing w:before="0" w:after="0" w:line="256" w:lineRule="auto"/>
              <w:rPr>
                <w:rFonts w:ascii="Arial Narrow" w:eastAsia="Calibri" w:hAnsi="Arial Narrow" w:cs="Arial"/>
                <w:sz w:val="20"/>
                <w:szCs w:val="20"/>
                <w:vertAlign w:val="superscript"/>
              </w:rPr>
            </w:pPr>
            <w:r w:rsidRPr="003E7F66">
              <w:rPr>
                <w:rFonts w:ascii="Arial Narrow" w:eastAsia="Calibri" w:hAnsi="Arial Narrow" w:cs="Arial"/>
                <w:sz w:val="20"/>
                <w:szCs w:val="20"/>
              </w:rPr>
              <w:t xml:space="preserve">Guardant360® </w:t>
            </w:r>
            <w:proofErr w:type="spellStart"/>
            <w:r w:rsidRPr="003E7F66">
              <w:rPr>
                <w:rFonts w:ascii="Arial Narrow" w:eastAsia="Calibri" w:hAnsi="Arial Narrow" w:cs="Arial"/>
                <w:sz w:val="20"/>
                <w:szCs w:val="20"/>
              </w:rPr>
              <w:t>CDx</w:t>
            </w:r>
            <w:proofErr w:type="spellEnd"/>
            <w:r w:rsidRPr="003E7F66">
              <w:rPr>
                <w:rFonts w:ascii="Arial Narrow" w:eastAsia="Calibri" w:hAnsi="Arial Narrow" w:cs="Arial"/>
                <w:sz w:val="20"/>
                <w:szCs w:val="20"/>
              </w:rPr>
              <w:t xml:space="preserve"> </w:t>
            </w:r>
            <w:r w:rsidRPr="003E7F66">
              <w:rPr>
                <w:rFonts w:ascii="Arial Narrow" w:eastAsia="Calibri" w:hAnsi="Arial Narrow" w:cs="Arial"/>
                <w:sz w:val="20"/>
                <w:szCs w:val="20"/>
                <w:vertAlign w:val="superscript"/>
              </w:rPr>
              <w:t>f</w:t>
            </w:r>
          </w:p>
        </w:tc>
        <w:tc>
          <w:tcPr>
            <w:tcW w:w="94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vAlign w:val="center"/>
            <w:hideMark/>
          </w:tcPr>
          <w:p w14:paraId="1EE7EE04" w14:textId="77777777" w:rsidR="00C86E21" w:rsidRPr="003E7F66" w:rsidRDefault="00C86E21" w:rsidP="003E7F66">
            <w:pPr>
              <w:keepNext/>
              <w:keepLines/>
              <w:widowControl w:val="0"/>
              <w:spacing w:before="0" w:after="0" w:line="256" w:lineRule="auto"/>
              <w:ind w:left="57"/>
              <w:rPr>
                <w:rFonts w:ascii="Arial Narrow" w:eastAsia="Calibri" w:hAnsi="Arial Narrow" w:cs="Arial"/>
                <w:sz w:val="20"/>
              </w:rPr>
            </w:pPr>
            <w:r w:rsidRPr="003E7F66">
              <w:rPr>
                <w:rFonts w:ascii="Arial Narrow" w:eastAsia="Calibri" w:hAnsi="Arial Narrow" w:cs="Arial"/>
                <w:sz w:val="20"/>
              </w:rPr>
              <w:t xml:space="preserve">NGS to detect mutations in tumour genes including </w:t>
            </w:r>
            <w:r w:rsidRPr="003E7F66">
              <w:rPr>
                <w:rFonts w:ascii="Arial Narrow" w:eastAsia="Calibri" w:hAnsi="Arial Narrow" w:cs="Arial"/>
                <w:i/>
                <w:sz w:val="20"/>
              </w:rPr>
              <w:t>ESR1</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vAlign w:val="center"/>
            <w:hideMark/>
          </w:tcPr>
          <w:p w14:paraId="42A2C720" w14:textId="77777777" w:rsidR="00C86E21" w:rsidRPr="003E7F66" w:rsidRDefault="00C86E21" w:rsidP="003E7F66">
            <w:pPr>
              <w:keepNext/>
              <w:keepLines/>
              <w:widowControl w:val="0"/>
              <w:spacing w:before="0" w:after="0" w:line="256" w:lineRule="auto"/>
              <w:rPr>
                <w:rFonts w:ascii="Arial Narrow" w:eastAsia="Calibri" w:hAnsi="Arial Narrow" w:cs="Arial"/>
                <w:sz w:val="20"/>
              </w:rPr>
            </w:pPr>
            <w:r w:rsidRPr="003E7F66">
              <w:rPr>
                <w:rFonts w:ascii="Arial Narrow" w:eastAsia="Calibri" w:hAnsi="Arial Narrow" w:cs="Arial"/>
                <w:sz w:val="20"/>
              </w:rPr>
              <w:t xml:space="preserve">≥1.8%; </w:t>
            </w:r>
            <w:r w:rsidRPr="003E7F66">
              <w:rPr>
                <w:rFonts w:ascii="Arial Narrow" w:eastAsia="Calibri" w:hAnsi="Arial Narrow" w:cs="Arial"/>
                <w:i/>
                <w:sz w:val="20"/>
              </w:rPr>
              <w:t>1.1% MAF</w:t>
            </w:r>
            <w:r w:rsidRPr="003E7F66">
              <w:rPr>
                <w:rFonts w:ascii="Arial Narrow" w:eastAsia="Calibri" w:hAnsi="Arial Narrow" w:cs="Arial"/>
                <w:sz w:val="20"/>
              </w:rPr>
              <w:t xml:space="preserve"> (50 ng cfDNA)</w:t>
            </w:r>
          </w:p>
          <w:p w14:paraId="79BDEEE3" w14:textId="77777777" w:rsidR="00C86E21" w:rsidRPr="003E7F66" w:rsidRDefault="00C86E21" w:rsidP="003E7F66">
            <w:pPr>
              <w:keepNext/>
              <w:keepLines/>
              <w:widowControl w:val="0"/>
              <w:spacing w:before="0" w:after="0" w:line="256" w:lineRule="auto"/>
              <w:rPr>
                <w:rFonts w:ascii="Arial Narrow" w:eastAsia="Calibri" w:hAnsi="Arial Narrow" w:cs="Arial"/>
                <w:sz w:val="20"/>
              </w:rPr>
            </w:pPr>
            <w:r w:rsidRPr="003E7F66">
              <w:rPr>
                <w:rFonts w:ascii="Arial Narrow" w:eastAsia="Calibri" w:hAnsi="Arial Narrow" w:cs="Arial"/>
                <w:sz w:val="20"/>
              </w:rPr>
              <w:t xml:space="preserve">≥0.2%; </w:t>
            </w:r>
            <w:r w:rsidRPr="003E7F66">
              <w:rPr>
                <w:rFonts w:ascii="Arial Narrow" w:eastAsia="Calibri" w:hAnsi="Arial Narrow" w:cs="Arial"/>
                <w:i/>
                <w:sz w:val="20"/>
              </w:rPr>
              <w:t xml:space="preserve">0.3% MAF </w:t>
            </w:r>
            <w:r w:rsidRPr="003E7F66">
              <w:rPr>
                <w:rFonts w:ascii="Arial Narrow" w:eastAsia="Calibri" w:hAnsi="Arial Narrow" w:cs="Arial"/>
                <w:sz w:val="20"/>
              </w:rPr>
              <w:t>(30 ng cfDNA)</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vAlign w:val="center"/>
            <w:hideMark/>
          </w:tcPr>
          <w:p w14:paraId="0682799F" w14:textId="77777777" w:rsidR="00C86E21" w:rsidRPr="003E7F66" w:rsidRDefault="00C86E21" w:rsidP="003E7F66">
            <w:pPr>
              <w:keepNext/>
              <w:keepLines/>
              <w:widowControl w:val="0"/>
              <w:spacing w:before="0" w:after="0" w:line="256" w:lineRule="auto"/>
              <w:jc w:val="center"/>
              <w:rPr>
                <w:rFonts w:ascii="Arial Narrow" w:eastAsia="Calibri" w:hAnsi="Arial Narrow" w:cs="Arial"/>
                <w:sz w:val="20"/>
              </w:rPr>
            </w:pPr>
            <w:r w:rsidRPr="003E7F66">
              <w:rPr>
                <w:rFonts w:ascii="Arial Narrow" w:eastAsia="Calibri" w:hAnsi="Arial Narrow" w:cs="Arial"/>
                <w:sz w:val="20"/>
              </w:rPr>
              <w:t>98% (PPA)</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Mar>
              <w:top w:w="0" w:type="dxa"/>
              <w:left w:w="108" w:type="dxa"/>
              <w:bottom w:w="0" w:type="dxa"/>
              <w:right w:w="108" w:type="dxa"/>
            </w:tcMar>
            <w:vAlign w:val="center"/>
            <w:hideMark/>
          </w:tcPr>
          <w:p w14:paraId="568085AD" w14:textId="77777777" w:rsidR="00C86E21" w:rsidRPr="003E7F66" w:rsidRDefault="00C86E21" w:rsidP="003E7F66">
            <w:pPr>
              <w:keepNext/>
              <w:keepLines/>
              <w:widowControl w:val="0"/>
              <w:spacing w:before="0" w:after="0" w:line="256" w:lineRule="auto"/>
              <w:jc w:val="center"/>
              <w:rPr>
                <w:rFonts w:ascii="Arial Narrow" w:eastAsia="Calibri" w:hAnsi="Arial Narrow" w:cs="Arial"/>
                <w:spacing w:val="-4"/>
                <w:sz w:val="20"/>
              </w:rPr>
            </w:pPr>
            <w:r w:rsidRPr="003E7F66">
              <w:rPr>
                <w:rFonts w:ascii="Arial Narrow" w:eastAsia="Calibri" w:hAnsi="Arial Narrow" w:cs="Arial"/>
                <w:spacing w:val="-4"/>
                <w:sz w:val="20"/>
              </w:rPr>
              <w:t>85% (NPA)</w:t>
            </w:r>
          </w:p>
        </w:tc>
      </w:tr>
    </w:tbl>
    <w:p w14:paraId="459A3FFE" w14:textId="39B25B57" w:rsidR="00C86E21" w:rsidRPr="003E7F66" w:rsidRDefault="4DD4263B" w:rsidP="003E7F66">
      <w:pPr>
        <w:keepNext/>
        <w:keepLines/>
        <w:tabs>
          <w:tab w:val="left" w:pos="284"/>
        </w:tabs>
        <w:spacing w:before="0" w:after="0"/>
        <w:rPr>
          <w:rFonts w:ascii="Arial Narrow" w:eastAsia="Times New Roman" w:hAnsi="Arial Narrow" w:cs="Arial"/>
          <w:snapToGrid w:val="0"/>
          <w:sz w:val="18"/>
          <w:szCs w:val="18"/>
          <w:lang w:eastAsia="en-AU"/>
        </w:rPr>
      </w:pPr>
      <w:r w:rsidRPr="003E7F66">
        <w:rPr>
          <w:rFonts w:ascii="Arial Narrow" w:eastAsia="Times New Roman" w:hAnsi="Arial Narrow" w:cs="Arial"/>
          <w:snapToGrid w:val="0"/>
          <w:sz w:val="18"/>
          <w:szCs w:val="18"/>
          <w:lang w:eastAsia="en-AU"/>
        </w:rPr>
        <w:t xml:space="preserve">Source: Table 1.6: Analytic specifications of assays available in Australia </w:t>
      </w:r>
      <w:r w:rsidRPr="003E7F66">
        <w:rPr>
          <w:rFonts w:ascii="Arial Narrow" w:eastAsia="Times New Roman" w:hAnsi="Arial Narrow" w:cs="Arial"/>
          <w:snapToGrid w:val="0"/>
          <w:sz w:val="18"/>
          <w:szCs w:val="18"/>
          <w:highlight w:val="lightGray"/>
          <w:lang w:eastAsia="en-AU"/>
        </w:rPr>
        <w:t>and added to during the evaluation using data from the submission</w:t>
      </w:r>
      <w:r w:rsidR="00DE4CA2">
        <w:rPr>
          <w:rFonts w:ascii="Arial Narrow" w:eastAsia="Times New Roman" w:hAnsi="Arial Narrow" w:cs="Arial"/>
          <w:snapToGrid w:val="0"/>
          <w:sz w:val="18"/>
          <w:szCs w:val="18"/>
          <w:lang w:eastAsia="en-AU"/>
        </w:rPr>
        <w:t>.</w:t>
      </w:r>
    </w:p>
    <w:p w14:paraId="4995CA57" w14:textId="32CB880D" w:rsidR="00C86E21" w:rsidRPr="003E7F66" w:rsidRDefault="4DD4263B" w:rsidP="003E7F66">
      <w:pPr>
        <w:keepNext/>
        <w:keepLines/>
        <w:tabs>
          <w:tab w:val="left" w:pos="284"/>
        </w:tabs>
        <w:spacing w:before="0" w:after="0"/>
        <w:rPr>
          <w:rFonts w:ascii="Arial Narrow" w:eastAsia="Times New Roman" w:hAnsi="Arial Narrow" w:cs="Arial"/>
          <w:snapToGrid w:val="0"/>
          <w:sz w:val="18"/>
          <w:szCs w:val="18"/>
          <w:lang w:eastAsia="en-AU"/>
        </w:rPr>
      </w:pPr>
      <w:r w:rsidRPr="003E7F66">
        <w:rPr>
          <w:rFonts w:ascii="Arial Narrow" w:eastAsia="Times New Roman" w:hAnsi="Arial Narrow" w:cs="Arial"/>
          <w:sz w:val="18"/>
          <w:szCs w:val="18"/>
          <w:lang w:eastAsia="en-AU"/>
        </w:rPr>
        <w:t xml:space="preserve">ctDNA = circulating tumour DNA; DNA = deoxynucleic acid; </w:t>
      </w:r>
      <w:r w:rsidRPr="003E7F66">
        <w:rPr>
          <w:rFonts w:ascii="Arial Narrow" w:eastAsia="Times New Roman" w:hAnsi="Arial Narrow" w:cs="Arial"/>
          <w:i/>
          <w:iCs/>
          <w:sz w:val="18"/>
          <w:szCs w:val="18"/>
          <w:lang w:eastAsia="en-AU"/>
        </w:rPr>
        <w:t>ESR1</w:t>
      </w:r>
      <w:r w:rsidRPr="003E7F66">
        <w:rPr>
          <w:rFonts w:ascii="Arial Narrow" w:eastAsia="Times New Roman" w:hAnsi="Arial Narrow" w:cs="Arial"/>
          <w:sz w:val="18"/>
          <w:szCs w:val="18"/>
          <w:lang w:eastAsia="en-AU"/>
        </w:rPr>
        <w:t xml:space="preserve"> = estrogen receptor 1; GX =gene assay ; </w:t>
      </w:r>
      <w:proofErr w:type="spellStart"/>
      <w:r w:rsidRPr="003E7F66">
        <w:rPr>
          <w:rFonts w:ascii="Arial Narrow" w:eastAsia="Times New Roman" w:hAnsi="Arial Narrow" w:cs="Arial"/>
          <w:sz w:val="18"/>
          <w:szCs w:val="18"/>
          <w:lang w:eastAsia="en-AU"/>
        </w:rPr>
        <w:t>LoD</w:t>
      </w:r>
      <w:proofErr w:type="spellEnd"/>
      <w:r w:rsidRPr="003E7F66">
        <w:rPr>
          <w:rFonts w:ascii="Arial Narrow" w:eastAsia="Times New Roman" w:hAnsi="Arial Narrow" w:cs="Arial"/>
          <w:sz w:val="18"/>
          <w:szCs w:val="18"/>
          <w:lang w:eastAsia="en-AU"/>
        </w:rPr>
        <w:t xml:space="preserve"> = limit of </w:t>
      </w:r>
      <w:r w:rsidR="00345D61" w:rsidRPr="003E7F66">
        <w:rPr>
          <w:rFonts w:ascii="Arial Narrow" w:eastAsia="Times New Roman" w:hAnsi="Arial Narrow" w:cs="Arial"/>
          <w:sz w:val="18"/>
          <w:szCs w:val="18"/>
          <w:lang w:eastAsia="en-AU"/>
        </w:rPr>
        <w:t>detection</w:t>
      </w:r>
      <w:r w:rsidRPr="003E7F66">
        <w:rPr>
          <w:rFonts w:ascii="Arial Narrow" w:eastAsia="Times New Roman" w:hAnsi="Arial Narrow" w:cs="Arial"/>
          <w:sz w:val="18"/>
          <w:szCs w:val="18"/>
          <w:lang w:eastAsia="en-AU"/>
        </w:rPr>
        <w:t>; ng =nanograms; MAF = mutant allele fraction ;NGS = next generation sequencing; NPA = negative percent agreement; PPA = positive percent agreement; SNV = single nucleotide variant; VAF = variant allele fraction.</w:t>
      </w:r>
      <w:r w:rsidR="00C86E21" w:rsidRPr="003E7F66">
        <w:rPr>
          <w:rFonts w:ascii="Arial Narrow" w:eastAsia="Times New Roman" w:hAnsi="Arial Narrow" w:cs="Arial"/>
          <w:snapToGrid w:val="0"/>
          <w:sz w:val="18"/>
          <w:lang w:eastAsia="en-AU"/>
        </w:rPr>
        <w:br/>
      </w:r>
      <w:r w:rsidRPr="003E7F66">
        <w:rPr>
          <w:rFonts w:ascii="Arial Narrow" w:eastAsia="Times New Roman" w:hAnsi="Arial Narrow" w:cs="Arial"/>
          <w:snapToGrid w:val="0"/>
          <w:sz w:val="18"/>
          <w:szCs w:val="18"/>
          <w:vertAlign w:val="superscript"/>
          <w:lang w:eastAsia="en-AU"/>
        </w:rPr>
        <w:t>a</w:t>
      </w:r>
      <w:r w:rsidRPr="003E7F66">
        <w:rPr>
          <w:rFonts w:ascii="Arial Narrow" w:eastAsia="Times New Roman" w:hAnsi="Arial Narrow" w:cs="Arial"/>
          <w:snapToGrid w:val="0"/>
          <w:sz w:val="18"/>
          <w:szCs w:val="18"/>
          <w:lang w:eastAsia="en-AU"/>
        </w:rPr>
        <w:t xml:space="preserve"> </w:t>
      </w:r>
      <w:proofErr w:type="spellStart"/>
      <w:r w:rsidRPr="003E7F66">
        <w:rPr>
          <w:rFonts w:ascii="Arial Narrow" w:eastAsia="Times New Roman" w:hAnsi="Arial Narrow" w:cs="Arial"/>
          <w:snapToGrid w:val="0"/>
          <w:sz w:val="18"/>
          <w:szCs w:val="18"/>
          <w:lang w:eastAsia="en-AU"/>
        </w:rPr>
        <w:t>LoD</w:t>
      </w:r>
      <w:proofErr w:type="spellEnd"/>
      <w:r w:rsidRPr="003E7F66">
        <w:rPr>
          <w:rFonts w:ascii="Arial Narrow" w:eastAsia="Times New Roman" w:hAnsi="Arial Narrow" w:cs="Arial"/>
          <w:snapToGrid w:val="0"/>
          <w:sz w:val="18"/>
          <w:szCs w:val="18"/>
          <w:lang w:eastAsia="en-AU"/>
        </w:rPr>
        <w:t xml:space="preserve"> is defined as the lowest variant level that can be detected at least 95% of the time. The VAF for </w:t>
      </w:r>
      <w:r w:rsidRPr="003E7F66">
        <w:rPr>
          <w:rFonts w:ascii="Arial Narrow" w:eastAsia="Times New Roman" w:hAnsi="Arial Narrow" w:cs="Arial"/>
          <w:i/>
          <w:iCs/>
          <w:snapToGrid w:val="0"/>
          <w:sz w:val="18"/>
          <w:szCs w:val="18"/>
          <w:lang w:eastAsia="en-AU"/>
        </w:rPr>
        <w:t>ESR1</w:t>
      </w:r>
      <w:r w:rsidRPr="003E7F66">
        <w:rPr>
          <w:rFonts w:ascii="Arial Narrow" w:eastAsia="Times New Roman" w:hAnsi="Arial Narrow" w:cs="Arial"/>
          <w:snapToGrid w:val="0"/>
          <w:sz w:val="18"/>
          <w:szCs w:val="18"/>
          <w:lang w:eastAsia="en-AU"/>
        </w:rPr>
        <w:t xml:space="preserve"> mutations was measured using sample pools from </w:t>
      </w:r>
      <w:r w:rsidRPr="003E7F66">
        <w:rPr>
          <w:rFonts w:ascii="Arial Narrow" w:eastAsia="Times New Roman" w:hAnsi="Arial Narrow" w:cs="Arial"/>
          <w:i/>
          <w:iCs/>
          <w:snapToGrid w:val="0"/>
          <w:sz w:val="18"/>
          <w:szCs w:val="18"/>
          <w:lang w:eastAsia="en-AU"/>
        </w:rPr>
        <w:t>ESR1</w:t>
      </w:r>
      <w:r w:rsidRPr="003E7F66">
        <w:rPr>
          <w:rFonts w:ascii="Arial Narrow" w:eastAsia="Times New Roman" w:hAnsi="Arial Narrow" w:cs="Arial"/>
          <w:snapToGrid w:val="0"/>
          <w:sz w:val="18"/>
          <w:szCs w:val="18"/>
          <w:lang w:eastAsia="en-AU"/>
        </w:rPr>
        <w:t xml:space="preserve">m positive breast cancer samples and was established for the following </w:t>
      </w:r>
      <w:r w:rsidRPr="003E7F66">
        <w:rPr>
          <w:rFonts w:ascii="Arial Narrow" w:eastAsia="Times New Roman" w:hAnsi="Arial Narrow" w:cs="Arial"/>
          <w:i/>
          <w:iCs/>
          <w:snapToGrid w:val="0"/>
          <w:sz w:val="18"/>
          <w:szCs w:val="18"/>
          <w:lang w:eastAsia="en-AU"/>
        </w:rPr>
        <w:t>ESR1</w:t>
      </w:r>
      <w:r w:rsidRPr="003E7F66">
        <w:rPr>
          <w:rFonts w:ascii="Arial Narrow" w:eastAsia="Times New Roman" w:hAnsi="Arial Narrow" w:cs="Arial"/>
          <w:snapToGrid w:val="0"/>
          <w:sz w:val="18"/>
          <w:szCs w:val="18"/>
          <w:lang w:eastAsia="en-AU"/>
        </w:rPr>
        <w:t xml:space="preserve"> mutations: E380Q, Y537S, D538G. </w:t>
      </w:r>
    </w:p>
    <w:p w14:paraId="128047FF" w14:textId="6782ACAB" w:rsidR="00C86E21" w:rsidRPr="003E7F66" w:rsidRDefault="00C86E21" w:rsidP="003E7F66">
      <w:pPr>
        <w:keepNext/>
        <w:keepLines/>
        <w:tabs>
          <w:tab w:val="left" w:pos="284"/>
        </w:tabs>
        <w:spacing w:before="0" w:after="0"/>
        <w:rPr>
          <w:rFonts w:ascii="Arial Narrow" w:eastAsia="Times New Roman" w:hAnsi="Arial Narrow" w:cs="Arial"/>
          <w:snapToGrid w:val="0"/>
          <w:sz w:val="18"/>
          <w:lang w:eastAsia="en-AU"/>
        </w:rPr>
      </w:pPr>
      <w:r w:rsidRPr="003E7F66">
        <w:rPr>
          <w:rFonts w:ascii="Arial Narrow" w:eastAsia="Times New Roman" w:hAnsi="Arial Narrow" w:cs="Arial"/>
          <w:snapToGrid w:val="0"/>
          <w:sz w:val="18"/>
          <w:vertAlign w:val="superscript"/>
          <w:lang w:eastAsia="en-AU"/>
        </w:rPr>
        <w:t xml:space="preserve">b </w:t>
      </w:r>
      <w:r w:rsidRPr="003E7F66">
        <w:rPr>
          <w:rFonts w:ascii="Arial Narrow" w:eastAsia="Times New Roman" w:hAnsi="Arial Narrow" w:cs="Arial"/>
          <w:snapToGrid w:val="0"/>
          <w:sz w:val="18"/>
          <w:lang w:eastAsia="en-AU"/>
        </w:rPr>
        <w:t>https://</w:t>
      </w:r>
      <w:hyperlink r:id="rId19" w:history="1">
        <w:r w:rsidRPr="003E7F66">
          <w:rPr>
            <w:rFonts w:ascii="Arial Narrow" w:eastAsia="Times New Roman" w:hAnsi="Arial Narrow" w:cs="Arial"/>
            <w:snapToGrid w:val="0"/>
            <w:sz w:val="18"/>
            <w:u w:val="single"/>
            <w:lang w:eastAsia="en-AU"/>
          </w:rPr>
          <w:t>www.thermofisher.com/order/catalog/product/A35865</w:t>
        </w:r>
      </w:hyperlink>
    </w:p>
    <w:p w14:paraId="5E56B3B0" w14:textId="45F7F384" w:rsidR="00C86E21" w:rsidRPr="003E7F66" w:rsidRDefault="00C86E21" w:rsidP="003E7F66">
      <w:pPr>
        <w:keepNext/>
        <w:keepLines/>
        <w:tabs>
          <w:tab w:val="left" w:pos="284"/>
        </w:tabs>
        <w:spacing w:before="0" w:after="0"/>
        <w:rPr>
          <w:rFonts w:ascii="Arial Narrow" w:eastAsia="Times New Roman" w:hAnsi="Arial Narrow" w:cs="Arial"/>
          <w:snapToGrid w:val="0"/>
          <w:sz w:val="18"/>
          <w:szCs w:val="18"/>
          <w:lang w:eastAsia="en-AU"/>
        </w:rPr>
      </w:pPr>
      <w:r w:rsidRPr="003E7F66">
        <w:rPr>
          <w:rFonts w:ascii="Arial Narrow" w:eastAsia="Times New Roman" w:hAnsi="Arial Narrow" w:cs="Arial"/>
          <w:snapToGrid w:val="0"/>
          <w:sz w:val="18"/>
          <w:szCs w:val="18"/>
          <w:vertAlign w:val="superscript"/>
          <w:lang w:eastAsia="en-AU"/>
        </w:rPr>
        <w:t>c</w:t>
      </w:r>
      <w:r w:rsidRPr="003E7F66">
        <w:rPr>
          <w:rFonts w:ascii="Arial Narrow" w:eastAsia="Times New Roman" w:hAnsi="Arial Narrow" w:cs="Arial"/>
          <w:snapToGrid w:val="0"/>
          <w:sz w:val="18"/>
          <w:szCs w:val="18"/>
          <w:lang w:eastAsia="en-AU"/>
        </w:rPr>
        <w:t xml:space="preserve"> </w:t>
      </w:r>
      <w:hyperlink r:id="rId20" w:history="1">
        <w:r w:rsidRPr="003E7F66">
          <w:rPr>
            <w:rFonts w:ascii="Arial Narrow" w:eastAsia="Times New Roman" w:hAnsi="Arial Narrow" w:cs="Arial"/>
            <w:snapToGrid w:val="0"/>
            <w:sz w:val="18"/>
            <w:szCs w:val="18"/>
            <w:lang w:eastAsia="en-AU"/>
          </w:rPr>
          <w:t>https://</w:t>
        </w:r>
        <w:r w:rsidRPr="003E7F66">
          <w:rPr>
            <w:rFonts w:ascii="Arial Narrow" w:eastAsia="Times New Roman" w:hAnsi="Arial Narrow" w:cs="Arial"/>
            <w:snapToGrid w:val="0"/>
            <w:sz w:val="18"/>
            <w:szCs w:val="18"/>
            <w:u w:val="single"/>
            <w:lang w:eastAsia="en-AU"/>
          </w:rPr>
          <w:t>www.thermofisher.com/ch/en/home/clinical/preclinical-companion-diagnostic-development/oncomine-</w:t>
        </w:r>
        <w:r w:rsidRPr="003E7F66">
          <w:rPr>
            <w:rStyle w:val="Hyperlink"/>
            <w:rFonts w:ascii="Arial Narrow" w:eastAsia="Times New Roman" w:hAnsi="Arial Narrow" w:cs="Arial"/>
            <w:color w:val="auto"/>
            <w:sz w:val="18"/>
            <w:szCs w:val="18"/>
            <w:lang w:eastAsia="en-AU"/>
          </w:rPr>
          <w:t>oncology/oncomine-precision-assay.html</w:t>
        </w:r>
      </w:hyperlink>
      <w:r w:rsidRPr="003E7F66">
        <w:rPr>
          <w:rFonts w:ascii="Arial Narrow" w:eastAsia="Times New Roman" w:hAnsi="Arial Narrow" w:cs="Arial"/>
          <w:snapToGrid w:val="0"/>
          <w:sz w:val="18"/>
          <w:szCs w:val="18"/>
          <w:lang w:eastAsia="en-AU"/>
        </w:rPr>
        <w:t xml:space="preserve"> </w:t>
      </w:r>
    </w:p>
    <w:p w14:paraId="3F384DAA" w14:textId="175CD84D" w:rsidR="00C86E21" w:rsidRPr="003E7F66" w:rsidRDefault="00C86E21" w:rsidP="003E7F66">
      <w:pPr>
        <w:keepNext/>
        <w:keepLines/>
        <w:tabs>
          <w:tab w:val="left" w:pos="284"/>
        </w:tabs>
        <w:spacing w:before="0" w:after="0"/>
        <w:rPr>
          <w:rFonts w:ascii="Arial Narrow" w:eastAsia="Times New Roman" w:hAnsi="Arial Narrow" w:cs="Arial"/>
          <w:snapToGrid w:val="0"/>
          <w:sz w:val="18"/>
          <w:lang w:eastAsia="en-AU"/>
        </w:rPr>
      </w:pPr>
      <w:r w:rsidRPr="003E7F66">
        <w:rPr>
          <w:rFonts w:ascii="Arial Narrow" w:eastAsia="Times New Roman" w:hAnsi="Arial Narrow" w:cs="Arial"/>
          <w:snapToGrid w:val="0"/>
          <w:sz w:val="18"/>
          <w:vertAlign w:val="superscript"/>
          <w:lang w:eastAsia="en-AU"/>
        </w:rPr>
        <w:t>d</w:t>
      </w:r>
      <w:r w:rsidRPr="003E7F66">
        <w:rPr>
          <w:rFonts w:ascii="Arial Narrow" w:eastAsia="Times New Roman" w:hAnsi="Arial Narrow" w:cs="Arial"/>
          <w:snapToGrid w:val="0"/>
          <w:sz w:val="18"/>
          <w:lang w:eastAsia="en-AU"/>
        </w:rPr>
        <w:t xml:space="preserve"> </w:t>
      </w:r>
      <w:hyperlink r:id="rId21" w:history="1">
        <w:r w:rsidRPr="003E7F66">
          <w:rPr>
            <w:rFonts w:ascii="Arial Narrow" w:eastAsia="Times New Roman" w:hAnsi="Arial Narrow" w:cs="Arial"/>
            <w:snapToGrid w:val="0"/>
            <w:sz w:val="18"/>
            <w:u w:val="single"/>
            <w:lang w:eastAsia="en-AU"/>
          </w:rPr>
          <w:t>https://sequencing.roche.com/global/en/products/group/avenio-ctdna-expanded-kits.html</w:t>
        </w:r>
      </w:hyperlink>
      <w:r w:rsidRPr="003E7F66">
        <w:rPr>
          <w:rFonts w:ascii="Arial Narrow" w:eastAsia="Times New Roman" w:hAnsi="Arial Narrow" w:cs="Arial"/>
          <w:snapToGrid w:val="0"/>
          <w:sz w:val="18"/>
          <w:lang w:eastAsia="en-AU"/>
        </w:rPr>
        <w:t xml:space="preserve"> </w:t>
      </w:r>
    </w:p>
    <w:p w14:paraId="6E084DB8" w14:textId="1B34A1F7" w:rsidR="00C86E21" w:rsidRPr="00E75F9A" w:rsidRDefault="00C86E21" w:rsidP="003E7F66">
      <w:pPr>
        <w:keepNext/>
        <w:keepLines/>
        <w:tabs>
          <w:tab w:val="left" w:pos="284"/>
        </w:tabs>
        <w:spacing w:before="0" w:after="0"/>
        <w:rPr>
          <w:rFonts w:ascii="Arial Narrow" w:eastAsia="Times New Roman" w:hAnsi="Arial Narrow" w:cs="Arial"/>
          <w:snapToGrid w:val="0"/>
          <w:sz w:val="18"/>
          <w:lang w:val="it-IT" w:eastAsia="en-AU"/>
        </w:rPr>
      </w:pPr>
      <w:r w:rsidRPr="00E75F9A">
        <w:rPr>
          <w:rFonts w:ascii="Arial Narrow" w:eastAsia="Times New Roman" w:hAnsi="Arial Narrow" w:cs="Arial"/>
          <w:snapToGrid w:val="0"/>
          <w:sz w:val="18"/>
          <w:vertAlign w:val="superscript"/>
          <w:lang w:val="it-IT" w:eastAsia="en-AU"/>
        </w:rPr>
        <w:t>e</w:t>
      </w:r>
      <w:r w:rsidRPr="00E75F9A">
        <w:rPr>
          <w:rFonts w:ascii="Arial Narrow" w:eastAsia="Times New Roman" w:hAnsi="Arial Narrow" w:cs="Arial"/>
          <w:snapToGrid w:val="0"/>
          <w:sz w:val="18"/>
          <w:lang w:val="it-IT" w:eastAsia="en-AU"/>
        </w:rPr>
        <w:t xml:space="preserve"> </w:t>
      </w:r>
      <w:hyperlink r:id="rId22" w:history="1">
        <w:r w:rsidRPr="00E75F9A">
          <w:rPr>
            <w:rFonts w:ascii="Arial Narrow" w:eastAsia="Times New Roman" w:hAnsi="Arial Narrow" w:cs="Arial"/>
            <w:snapToGrid w:val="0"/>
            <w:sz w:val="18"/>
            <w:u w:val="single"/>
            <w:lang w:val="it-IT" w:eastAsia="en-AU"/>
          </w:rPr>
          <w:t>https://aacrjournals.org/cancerres/article/80/16_Supplement/3114/642448/Abstract-3114-Analytical-validation-of-Illumina-s</w:t>
        </w:r>
      </w:hyperlink>
    </w:p>
    <w:p w14:paraId="4F9A7950" w14:textId="77777777" w:rsidR="00C86E21" w:rsidRPr="000A7BB0" w:rsidRDefault="4DD4263B" w:rsidP="003E7F66">
      <w:pPr>
        <w:keepNext/>
        <w:keepLines/>
        <w:widowControl w:val="0"/>
        <w:spacing w:before="0" w:after="0"/>
        <w:contextualSpacing/>
        <w:rPr>
          <w:rFonts w:ascii="Arial Narrow" w:eastAsia="Times New Roman" w:hAnsi="Arial Narrow" w:cs="Arial"/>
          <w:snapToGrid w:val="0"/>
          <w:sz w:val="18"/>
          <w:szCs w:val="18"/>
        </w:rPr>
      </w:pPr>
      <w:r w:rsidRPr="003E7F66">
        <w:rPr>
          <w:rFonts w:ascii="Arial Narrow" w:eastAsia="Times New Roman" w:hAnsi="Arial Narrow" w:cs="Arial"/>
          <w:snapToGrid w:val="0"/>
          <w:sz w:val="18"/>
          <w:szCs w:val="18"/>
          <w:vertAlign w:val="superscript"/>
        </w:rPr>
        <w:t xml:space="preserve">f </w:t>
      </w:r>
      <w:r w:rsidRPr="003E7F66">
        <w:rPr>
          <w:rFonts w:ascii="Arial Narrow" w:eastAsia="Times New Roman" w:hAnsi="Arial Narrow" w:cs="Calibri"/>
          <w:snapToGrid w:val="0"/>
          <w:sz w:val="18"/>
          <w:szCs w:val="18"/>
        </w:rPr>
        <w:t xml:space="preserve">Guardant Health </w:t>
      </w:r>
      <w:r w:rsidRPr="000A7BB0">
        <w:rPr>
          <w:rFonts w:ascii="Arial Narrow" w:eastAsia="Times New Roman" w:hAnsi="Arial Narrow" w:cs="Calibri"/>
          <w:snapToGrid w:val="0"/>
          <w:sz w:val="18"/>
          <w:szCs w:val="18"/>
        </w:rPr>
        <w:t>does not explicitly state sensitivity and specificity, but PPA and NPA to their comparator method “Agena Ultra Seek” from Agena Bioscience</w:t>
      </w:r>
    </w:p>
    <w:p w14:paraId="029243CB" w14:textId="19719DD5" w:rsidR="00C905D6" w:rsidRPr="00F47562" w:rsidRDefault="00C905D6" w:rsidP="00F47562">
      <w:r w:rsidRPr="00F47562">
        <w:t xml:space="preserve">The submission stated that testing is expected to be conducted in specialist laboratories with the appropriate accreditation and registration and as part of the Royal College of </w:t>
      </w:r>
      <w:r>
        <w:t>Pathologist</w:t>
      </w:r>
      <w:r w:rsidR="1D9F5CBE">
        <w:t>s</w:t>
      </w:r>
      <w:r w:rsidRPr="00F47562">
        <w:t xml:space="preserve"> of Australasia (RCPA) Quality Assurance Program </w:t>
      </w:r>
      <w:r w:rsidR="00685F6D" w:rsidRPr="00F47562">
        <w:t xml:space="preserve">(RCPAQAP) </w:t>
      </w:r>
      <w:r w:rsidRPr="00F47562">
        <w:t xml:space="preserve"> or a similar external quality assurance program. Results would need to be interpreted and reported by suitably qualified and trained molecular pathologists. </w:t>
      </w:r>
    </w:p>
    <w:p w14:paraId="403F7300" w14:textId="7FE263D3" w:rsidR="00C905D6" w:rsidRPr="00F47562" w:rsidRDefault="3E5DAEBD" w:rsidP="00F47562">
      <w:r w:rsidRPr="00F47562">
        <w:t xml:space="preserve">The </w:t>
      </w:r>
      <w:r w:rsidR="00C905D6" w:rsidRPr="00F47562">
        <w:t>PASC</w:t>
      </w:r>
      <w:r w:rsidRPr="00F47562">
        <w:t>-ratified PICO Confirmation</w:t>
      </w:r>
      <w:r w:rsidR="00C905D6" w:rsidRPr="00F47562">
        <w:t xml:space="preserve"> noted the lack of RCPAQAP for ctDNA testing and queried how this would affect the proposed ctDNA testing. PASC noted the RCPAQAP partnered with the European Molecular Genetics Quality Network (EMQN) for the provision of </w:t>
      </w:r>
      <w:r w:rsidR="685E60DA" w:rsidRPr="00F47562">
        <w:t xml:space="preserve">its </w:t>
      </w:r>
      <w:r w:rsidR="00C905D6" w:rsidRPr="00F47562">
        <w:t xml:space="preserve">External Quality Assessments (EQA). Additionally, PASC noted that the EMQN ran a pilot EQA scheme in early 2024 for breast cancer </w:t>
      </w:r>
      <w:r w:rsidR="00C905D6" w:rsidRPr="00F47562">
        <w:rPr>
          <w:i/>
          <w:iCs/>
        </w:rPr>
        <w:t>ESR1</w:t>
      </w:r>
      <w:r w:rsidR="00C905D6" w:rsidRPr="00F47562">
        <w:t xml:space="preserve"> testing in plasma. PASC noted that multiple Australian diagnostic laboratories participate in the EMQN EQA scheme. The </w:t>
      </w:r>
      <w:r w:rsidR="5E8E01EB" w:rsidRPr="00F47562">
        <w:t xml:space="preserve">submission </w:t>
      </w:r>
      <w:r w:rsidR="00C905D6" w:rsidRPr="00F47562">
        <w:t xml:space="preserve">advised that </w:t>
      </w:r>
      <w:r w:rsidR="6E8DDE6F" w:rsidRPr="00F47562">
        <w:t>it has</w:t>
      </w:r>
      <w:r w:rsidR="00C905D6" w:rsidRPr="00F47562">
        <w:t xml:space="preserve"> initiated contact with the RCPA to discuss details of a potential QAP in Australia (p7, 1782 Ratified PICO Confirmation, August 2024 PASC meeting).</w:t>
      </w:r>
    </w:p>
    <w:p w14:paraId="5D2B9FF1" w14:textId="54D17651" w:rsidR="00C905D6" w:rsidRPr="00F47562" w:rsidRDefault="00C905D6" w:rsidP="00F47562">
      <w:r w:rsidRPr="00F47562">
        <w:t xml:space="preserve">The </w:t>
      </w:r>
      <w:r w:rsidR="1E2D2BCD" w:rsidRPr="00F47562">
        <w:t>submission</w:t>
      </w:r>
      <w:r w:rsidR="381C2426" w:rsidRPr="00F47562">
        <w:t xml:space="preserve"> </w:t>
      </w:r>
      <w:r w:rsidRPr="00F47562">
        <w:t xml:space="preserve">stated </w:t>
      </w:r>
      <w:r w:rsidR="2FD592D6" w:rsidRPr="00F47562">
        <w:t>that it is</w:t>
      </w:r>
      <w:r w:rsidRPr="00F47562">
        <w:t xml:space="preserve"> striving to facilitate </w:t>
      </w:r>
      <w:r w:rsidRPr="00F47562">
        <w:rPr>
          <w:i/>
          <w:iCs/>
        </w:rPr>
        <w:t>ESR1</w:t>
      </w:r>
      <w:r w:rsidRPr="00F47562">
        <w:t xml:space="preserve"> testing in ctDNA extracted from blood (liquid biopsy) by leveraging established pathology laboratories (National Association of Testing Authorities [NATA] accredited) across the country as reference labs for genomic testing. To achieve this goal, the </w:t>
      </w:r>
      <w:r w:rsidR="29DD116D" w:rsidRPr="00F47562">
        <w:t xml:space="preserve">submission reported the initiation of </w:t>
      </w:r>
      <w:r w:rsidRPr="00F47562">
        <w:t>the following activities:</w:t>
      </w:r>
    </w:p>
    <w:p w14:paraId="6DA3C254" w14:textId="09C1AD6D" w:rsidR="00C905D6" w:rsidRPr="00F47562" w:rsidRDefault="00C905D6" w:rsidP="00252706">
      <w:pPr>
        <w:numPr>
          <w:ilvl w:val="0"/>
          <w:numId w:val="18"/>
        </w:numPr>
        <w:spacing w:before="0" w:after="120"/>
        <w:ind w:left="714" w:hanging="357"/>
        <w:rPr>
          <w:rFonts w:cstheme="minorHAnsi"/>
        </w:rPr>
      </w:pPr>
      <w:r w:rsidRPr="00F47562">
        <w:rPr>
          <w:rFonts w:cstheme="minorHAnsi"/>
        </w:rPr>
        <w:lastRenderedPageBreak/>
        <w:t xml:space="preserve">Building infrastructure and ensuring technical readiness for </w:t>
      </w:r>
      <w:r w:rsidRPr="00F47562">
        <w:rPr>
          <w:rFonts w:cstheme="minorHAnsi"/>
          <w:i/>
          <w:iCs/>
        </w:rPr>
        <w:t>ESR1</w:t>
      </w:r>
      <w:r w:rsidRPr="00F47562">
        <w:rPr>
          <w:rFonts w:cstheme="minorHAnsi"/>
        </w:rPr>
        <w:t xml:space="preserve"> variant testing in liquid biopsy</w:t>
      </w:r>
      <w:r w:rsidR="00686208" w:rsidRPr="00F47562">
        <w:rPr>
          <w:rFonts w:cstheme="minorHAnsi"/>
        </w:rPr>
        <w:t>.</w:t>
      </w:r>
    </w:p>
    <w:p w14:paraId="3E63124B" w14:textId="0815FC36" w:rsidR="00C905D6" w:rsidRPr="00F47562" w:rsidRDefault="00C905D6" w:rsidP="00252706">
      <w:pPr>
        <w:numPr>
          <w:ilvl w:val="0"/>
          <w:numId w:val="18"/>
        </w:numPr>
        <w:spacing w:before="0" w:after="120"/>
        <w:ind w:left="714" w:hanging="357"/>
        <w:rPr>
          <w:rFonts w:cstheme="minorHAnsi"/>
        </w:rPr>
      </w:pPr>
      <w:r w:rsidRPr="00F47562">
        <w:rPr>
          <w:rFonts w:cstheme="minorHAnsi"/>
        </w:rPr>
        <w:t xml:space="preserve">Implementing an External Quality Program (EQP) for </w:t>
      </w:r>
      <w:r w:rsidRPr="00F47562">
        <w:rPr>
          <w:rFonts w:cstheme="minorHAnsi"/>
          <w:i/>
          <w:iCs/>
        </w:rPr>
        <w:t>ESR1</w:t>
      </w:r>
      <w:r w:rsidRPr="00F47562">
        <w:rPr>
          <w:rFonts w:cstheme="minorHAnsi"/>
        </w:rPr>
        <w:t xml:space="preserve"> variant testing in liquid biopsy</w:t>
      </w:r>
      <w:r w:rsidR="00686208" w:rsidRPr="00F47562">
        <w:rPr>
          <w:rFonts w:cstheme="minorHAnsi"/>
        </w:rPr>
        <w:t>.</w:t>
      </w:r>
    </w:p>
    <w:p w14:paraId="79C191CC" w14:textId="26F3CF06" w:rsidR="00C905D6" w:rsidRPr="00F47562" w:rsidRDefault="00C905D6" w:rsidP="00252706">
      <w:pPr>
        <w:numPr>
          <w:ilvl w:val="0"/>
          <w:numId w:val="18"/>
        </w:numPr>
        <w:spacing w:before="0" w:after="120"/>
        <w:ind w:left="714" w:hanging="357"/>
        <w:rPr>
          <w:rFonts w:cstheme="minorHAnsi"/>
        </w:rPr>
      </w:pPr>
      <w:r w:rsidRPr="00F47562">
        <w:rPr>
          <w:rFonts w:cstheme="minorHAnsi"/>
        </w:rPr>
        <w:t xml:space="preserve">Raising awareness about </w:t>
      </w:r>
      <w:r w:rsidRPr="00F47562">
        <w:rPr>
          <w:rFonts w:cstheme="minorHAnsi"/>
          <w:i/>
          <w:iCs/>
        </w:rPr>
        <w:t>ESR1</w:t>
      </w:r>
      <w:r w:rsidRPr="00F47562">
        <w:rPr>
          <w:rFonts w:cstheme="minorHAnsi"/>
        </w:rPr>
        <w:t xml:space="preserve"> variant testing in liquid biopsy</w:t>
      </w:r>
      <w:r w:rsidR="00686208" w:rsidRPr="00F47562">
        <w:rPr>
          <w:rFonts w:cstheme="minorHAnsi"/>
        </w:rPr>
        <w:t>.</w:t>
      </w:r>
    </w:p>
    <w:p w14:paraId="1203350D" w14:textId="7BC1DB91" w:rsidR="00C905D6" w:rsidRPr="00F47562" w:rsidRDefault="00C905D6" w:rsidP="00F47562">
      <w:r w:rsidRPr="00F47562">
        <w:t xml:space="preserve">The </w:t>
      </w:r>
      <w:r w:rsidR="29DD116D" w:rsidRPr="00F47562">
        <w:t>submission</w:t>
      </w:r>
      <w:r w:rsidR="381C2426" w:rsidRPr="00F47562">
        <w:t xml:space="preserve"> </w:t>
      </w:r>
      <w:r w:rsidRPr="00F47562">
        <w:t xml:space="preserve">stated </w:t>
      </w:r>
      <w:r w:rsidR="3C8CF225" w:rsidRPr="00F47562">
        <w:t xml:space="preserve">that </w:t>
      </w:r>
      <w:r w:rsidR="24A6647E" w:rsidRPr="00F47562">
        <w:t>the</w:t>
      </w:r>
      <w:r w:rsidRPr="00F47562">
        <w:t xml:space="preserve"> support </w:t>
      </w:r>
      <w:r w:rsidR="24A6647E" w:rsidRPr="00F47562">
        <w:t xml:space="preserve">for </w:t>
      </w:r>
      <w:r w:rsidRPr="00F47562">
        <w:t xml:space="preserve">testing implementation in Australia </w:t>
      </w:r>
      <w:r w:rsidR="2A829892" w:rsidRPr="00F47562">
        <w:t xml:space="preserve">is continual, </w:t>
      </w:r>
      <w:r w:rsidRPr="00F47562">
        <w:t xml:space="preserve">through the provision of </w:t>
      </w:r>
      <w:r w:rsidRPr="00F47562">
        <w:rPr>
          <w:i/>
          <w:iCs/>
        </w:rPr>
        <w:t>ESR1</w:t>
      </w:r>
      <w:r w:rsidRPr="00F47562">
        <w:t xml:space="preserve"> variant commercial positive reference controls and enrolment into an international EQA program to aid Quality Assurance and Testing Validation.</w:t>
      </w:r>
    </w:p>
    <w:p w14:paraId="2016E39B" w14:textId="3C4244AC" w:rsidR="00C905D6" w:rsidRPr="00F47562" w:rsidRDefault="00C905D6" w:rsidP="00F47562">
      <w:r w:rsidRPr="00832CBE">
        <w:t xml:space="preserve">To ensure equitable access, a semi-centralised approach has been initiated </w:t>
      </w:r>
      <w:r w:rsidR="00A145EE">
        <w:rPr>
          <w:b/>
          <w:bCs/>
        </w:rPr>
        <w:t>redacted</w:t>
      </w:r>
      <w:r w:rsidR="00754F3E" w:rsidRPr="003878F9">
        <w:rPr>
          <w:rStyle w:val="FootnoteReference"/>
        </w:rPr>
        <w:footnoteReference w:id="2"/>
      </w:r>
      <w:r w:rsidR="00A145EE" w:rsidRPr="003878F9">
        <w:t>.</w:t>
      </w:r>
    </w:p>
    <w:p w14:paraId="29266769" w14:textId="25933A8F" w:rsidR="00C905D6" w:rsidRPr="00F47562" w:rsidRDefault="00C905D6" w:rsidP="00F47562">
      <w:pPr>
        <w:rPr>
          <w:i/>
          <w:iCs/>
        </w:rPr>
      </w:pPr>
      <w:r w:rsidRPr="00F47562">
        <w:t xml:space="preserve">PASC noted that liquid biopsy was the preferred specimen type for </w:t>
      </w:r>
      <w:r w:rsidRPr="00F47562">
        <w:rPr>
          <w:i/>
          <w:iCs/>
        </w:rPr>
        <w:t>ESR1</w:t>
      </w:r>
      <w:r w:rsidRPr="00F47562">
        <w:t xml:space="preserve"> variant testing </w:t>
      </w:r>
      <w:r w:rsidR="62FBE5F0" w:rsidRPr="00F47562">
        <w:t xml:space="preserve">but </w:t>
      </w:r>
      <w:r w:rsidRPr="00F47562">
        <w:t xml:space="preserve">queried whether tissue biopsy would also need to be considered given many labs in Australia are not yet established for testing ctDNA from liquid biopsy. The </w:t>
      </w:r>
      <w:r w:rsidR="0A7E2C80" w:rsidRPr="00F47562">
        <w:t xml:space="preserve">submission </w:t>
      </w:r>
      <w:r w:rsidRPr="00F47562">
        <w:t xml:space="preserve">advised </w:t>
      </w:r>
      <w:r w:rsidR="0234D0E3" w:rsidRPr="00F47562">
        <w:t xml:space="preserve">that </w:t>
      </w:r>
      <w:r w:rsidR="464D2A61" w:rsidRPr="00F47562">
        <w:t xml:space="preserve">it </w:t>
      </w:r>
      <w:r w:rsidR="0234D0E3" w:rsidRPr="00F47562">
        <w:t>wa</w:t>
      </w:r>
      <w:r w:rsidR="464D2A61" w:rsidRPr="00F47562">
        <w:t>s</w:t>
      </w:r>
      <w:r w:rsidRPr="00F47562">
        <w:t xml:space="preserve"> working closely with several laboratories in Australia to ensure they are appropriately equipped for testing of ctDNA from liquid biopsy, with </w:t>
      </w:r>
      <w:r>
        <w:t>t</w:t>
      </w:r>
      <w:r w:rsidRPr="005557D8">
        <w:t>wo</w:t>
      </w:r>
      <w:r w:rsidRPr="00F47562">
        <w:t xml:space="preserve"> laboratories currently ready for testing and a further </w:t>
      </w:r>
      <w:r>
        <w:t>3</w:t>
      </w:r>
      <w:r w:rsidRPr="00F47562">
        <w:t xml:space="preserve"> laboratories expected to be ready by </w:t>
      </w:r>
      <w:r>
        <w:t>Q1/Q2 2025</w:t>
      </w:r>
      <w:r w:rsidRPr="00F47562">
        <w:t xml:space="preserve"> (p7, 1782 Ratified PICO Confirmation, August 2024 PASC meeting).</w:t>
      </w:r>
    </w:p>
    <w:p w14:paraId="4159E02A" w14:textId="2AE05F6E" w:rsidR="00C45F91" w:rsidRPr="00F47562" w:rsidRDefault="00C905D6" w:rsidP="77DB4701">
      <w:pPr>
        <w:rPr>
          <w:i/>
          <w:iCs/>
        </w:rPr>
      </w:pPr>
      <w:r>
        <w:t xml:space="preserve">A summary of current Australian laboratories with potential </w:t>
      </w:r>
      <w:r w:rsidRPr="77DB4701">
        <w:rPr>
          <w:i/>
          <w:iCs/>
        </w:rPr>
        <w:t>ESR1</w:t>
      </w:r>
      <w:r>
        <w:t xml:space="preserve"> testing capabilities is presented in </w:t>
      </w:r>
      <w:r>
        <w:fldChar w:fldCharType="begin"/>
      </w:r>
      <w:r>
        <w:instrText xml:space="preserve"> REF _Ref188370265 \h  \* MERGEFORMAT </w:instrText>
      </w:r>
      <w:r>
        <w:fldChar w:fldCharType="separate"/>
      </w:r>
      <w:r w:rsidR="00783158">
        <w:t xml:space="preserve">Table </w:t>
      </w:r>
      <w:r w:rsidR="001F3154">
        <w:t>2</w:t>
      </w:r>
      <w:r>
        <w:fldChar w:fldCharType="end"/>
      </w:r>
      <w:r w:rsidR="009C4CD3">
        <w:t>.</w:t>
      </w:r>
      <w:r w:rsidR="00A145EE">
        <w:t xml:space="preserve"> </w:t>
      </w:r>
      <w:r w:rsidR="00A145EE" w:rsidRPr="00A145EE">
        <w:rPr>
          <w:b/>
          <w:bCs/>
        </w:rPr>
        <w:t>Redacted</w:t>
      </w:r>
      <w:r w:rsidR="00754F3E" w:rsidRPr="003878F9">
        <w:rPr>
          <w:vertAlign w:val="superscript"/>
        </w:rPr>
        <w:t>1</w:t>
      </w:r>
      <w:r w:rsidR="0007139D" w:rsidRPr="003878F9">
        <w:t>.</w:t>
      </w:r>
      <w:r w:rsidR="0007139D" w:rsidRPr="77DB4701">
        <w:rPr>
          <w:i/>
          <w:iCs/>
        </w:rPr>
        <w:t xml:space="preserve"> </w:t>
      </w:r>
    </w:p>
    <w:p w14:paraId="44FE0D1E" w14:textId="70124C48" w:rsidR="00ED3599" w:rsidRPr="000A7BB0" w:rsidRDefault="00ED3599" w:rsidP="0039629C">
      <w:pPr>
        <w:pStyle w:val="Caption"/>
        <w:keepLines/>
      </w:pPr>
      <w:bookmarkStart w:id="12" w:name="_Ref188370265"/>
      <w:r w:rsidRPr="000A7BB0">
        <w:t xml:space="preserve">Table </w:t>
      </w:r>
      <w:r w:rsidRPr="000A7BB0">
        <w:fldChar w:fldCharType="begin"/>
      </w:r>
      <w:r w:rsidRPr="000A7BB0">
        <w:instrText>SEQ Table_MSAC. \* ARABIC</w:instrText>
      </w:r>
      <w:r w:rsidRPr="000A7BB0">
        <w:fldChar w:fldCharType="separate"/>
      </w:r>
      <w:r w:rsidR="001F3154">
        <w:rPr>
          <w:noProof/>
        </w:rPr>
        <w:t>2</w:t>
      </w:r>
      <w:r w:rsidRPr="000A7BB0">
        <w:fldChar w:fldCharType="end"/>
      </w:r>
      <w:bookmarkEnd w:id="12"/>
      <w:r w:rsidRPr="000A7BB0">
        <w:t>: Australian laboratories with potential ESR1 testing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1842"/>
        <w:gridCol w:w="1134"/>
        <w:gridCol w:w="1134"/>
        <w:gridCol w:w="993"/>
        <w:gridCol w:w="992"/>
        <w:gridCol w:w="992"/>
        <w:gridCol w:w="941"/>
      </w:tblGrid>
      <w:tr w:rsidR="00652137" w:rsidRPr="003878F9" w14:paraId="73F41945" w14:textId="77777777" w:rsidTr="003878F9">
        <w:trPr>
          <w:trHeight w:val="233"/>
          <w:tblHeader/>
        </w:trPr>
        <w:tc>
          <w:tcPr>
            <w:tcW w:w="988" w:type="dxa"/>
            <w:vMerge w:val="restart"/>
            <w:tcMar>
              <w:top w:w="15" w:type="dxa"/>
              <w:left w:w="108" w:type="dxa"/>
              <w:bottom w:w="0" w:type="dxa"/>
              <w:right w:w="108" w:type="dxa"/>
            </w:tcMar>
            <w:vAlign w:val="center"/>
            <w:hideMark/>
          </w:tcPr>
          <w:p w14:paraId="6149FF14" w14:textId="77777777" w:rsidR="00ED3599" w:rsidRPr="003878F9" w:rsidRDefault="00ED3599" w:rsidP="0039629C">
            <w:pPr>
              <w:keepNext/>
              <w:keepLines/>
              <w:spacing w:before="0" w:after="0"/>
              <w:rPr>
                <w:rFonts w:ascii="Arial Narrow" w:eastAsiaTheme="majorEastAsia" w:hAnsi="Arial Narrow" w:cstheme="majorBidi"/>
                <w:b/>
                <w:sz w:val="20"/>
                <w:szCs w:val="20"/>
                <w:lang w:eastAsia="en-AU"/>
              </w:rPr>
            </w:pPr>
            <w:r w:rsidRPr="003878F9">
              <w:rPr>
                <w:rFonts w:ascii="Arial Narrow" w:eastAsiaTheme="majorEastAsia" w:hAnsi="Arial Narrow" w:cstheme="majorBidi"/>
                <w:b/>
                <w:sz w:val="20"/>
                <w:szCs w:val="20"/>
                <w:lang w:eastAsia="en-AU"/>
              </w:rPr>
              <w:t>State</w:t>
            </w:r>
          </w:p>
        </w:tc>
        <w:tc>
          <w:tcPr>
            <w:tcW w:w="1842" w:type="dxa"/>
            <w:vMerge w:val="restart"/>
            <w:tcMar>
              <w:top w:w="10" w:type="dxa"/>
              <w:left w:w="108" w:type="dxa"/>
              <w:bottom w:w="0" w:type="dxa"/>
              <w:right w:w="108" w:type="dxa"/>
            </w:tcMar>
            <w:vAlign w:val="center"/>
            <w:hideMark/>
          </w:tcPr>
          <w:p w14:paraId="6ECB9188" w14:textId="77777777" w:rsidR="00ED3599" w:rsidRPr="003878F9" w:rsidRDefault="00ED3599" w:rsidP="0039629C">
            <w:pPr>
              <w:keepNext/>
              <w:keepLines/>
              <w:spacing w:before="0" w:after="0"/>
              <w:rPr>
                <w:rFonts w:ascii="Arial Narrow" w:eastAsiaTheme="majorEastAsia" w:hAnsi="Arial Narrow" w:cstheme="majorBidi"/>
                <w:b/>
                <w:sz w:val="20"/>
                <w:szCs w:val="20"/>
                <w:lang w:eastAsia="en-AU"/>
              </w:rPr>
            </w:pPr>
            <w:r w:rsidRPr="003878F9">
              <w:rPr>
                <w:rFonts w:ascii="Arial Narrow" w:eastAsiaTheme="majorEastAsia" w:hAnsi="Arial Narrow" w:cstheme="majorBidi"/>
                <w:b/>
                <w:sz w:val="20"/>
                <w:szCs w:val="20"/>
                <w:lang w:eastAsia="en-AU"/>
              </w:rPr>
              <w:t>Institution</w:t>
            </w:r>
          </w:p>
        </w:tc>
        <w:tc>
          <w:tcPr>
            <w:tcW w:w="2268" w:type="dxa"/>
            <w:gridSpan w:val="2"/>
            <w:tcMar>
              <w:top w:w="10" w:type="dxa"/>
              <w:left w:w="108" w:type="dxa"/>
              <w:bottom w:w="0" w:type="dxa"/>
              <w:right w:w="108" w:type="dxa"/>
            </w:tcMar>
            <w:vAlign w:val="center"/>
            <w:hideMark/>
          </w:tcPr>
          <w:p w14:paraId="129B047F" w14:textId="77777777" w:rsidR="00ED3599" w:rsidRPr="003878F9" w:rsidRDefault="35A94513" w:rsidP="0039629C">
            <w:pPr>
              <w:keepNext/>
              <w:keepLines/>
              <w:spacing w:before="0" w:after="0"/>
              <w:jc w:val="center"/>
              <w:rPr>
                <w:rFonts w:ascii="Arial Narrow" w:eastAsiaTheme="majorEastAsia" w:hAnsi="Arial Narrow" w:cstheme="majorBidi"/>
                <w:b/>
                <w:sz w:val="20"/>
                <w:szCs w:val="20"/>
                <w:lang w:eastAsia="en-AU"/>
              </w:rPr>
            </w:pPr>
            <w:r w:rsidRPr="003878F9">
              <w:rPr>
                <w:rFonts w:ascii="Arial Narrow" w:eastAsiaTheme="majorEastAsia" w:hAnsi="Arial Narrow" w:cstheme="majorBidi"/>
                <w:b/>
                <w:sz w:val="20"/>
                <w:szCs w:val="20"/>
                <w:lang w:eastAsia="en-AU"/>
              </w:rPr>
              <w:t xml:space="preserve">Current </w:t>
            </w:r>
            <w:r w:rsidRPr="003878F9">
              <w:rPr>
                <w:rFonts w:ascii="Arial Narrow" w:eastAsiaTheme="majorEastAsia" w:hAnsi="Arial Narrow" w:cstheme="majorBidi"/>
                <w:b/>
                <w:i/>
                <w:sz w:val="20"/>
                <w:szCs w:val="20"/>
                <w:lang w:eastAsia="en-AU"/>
              </w:rPr>
              <w:t>ESR1</w:t>
            </w:r>
            <w:r w:rsidRPr="003878F9">
              <w:rPr>
                <w:rFonts w:ascii="Arial Narrow" w:eastAsiaTheme="majorEastAsia" w:hAnsi="Arial Narrow" w:cstheme="majorBidi"/>
                <w:b/>
                <w:sz w:val="20"/>
                <w:szCs w:val="20"/>
                <w:lang w:eastAsia="en-AU"/>
              </w:rPr>
              <w:t xml:space="preserve"> testing in </w:t>
            </w:r>
            <w:proofErr w:type="spellStart"/>
            <w:r w:rsidRPr="003878F9">
              <w:rPr>
                <w:rFonts w:ascii="Arial Narrow" w:eastAsiaTheme="majorEastAsia" w:hAnsi="Arial Narrow" w:cstheme="majorBidi"/>
                <w:b/>
                <w:sz w:val="20"/>
                <w:szCs w:val="20"/>
                <w:lang w:eastAsia="en-AU"/>
              </w:rPr>
              <w:t>LBx</w:t>
            </w:r>
            <w:proofErr w:type="spellEnd"/>
          </w:p>
        </w:tc>
        <w:tc>
          <w:tcPr>
            <w:tcW w:w="1985" w:type="dxa"/>
            <w:gridSpan w:val="2"/>
            <w:tcBorders>
              <w:bottom w:val="single" w:sz="4" w:space="0" w:color="auto"/>
            </w:tcBorders>
            <w:tcMar>
              <w:top w:w="10" w:type="dxa"/>
              <w:left w:w="108" w:type="dxa"/>
              <w:bottom w:w="0" w:type="dxa"/>
              <w:right w:w="108" w:type="dxa"/>
            </w:tcMar>
            <w:vAlign w:val="center"/>
            <w:hideMark/>
          </w:tcPr>
          <w:p w14:paraId="600839CD" w14:textId="77777777" w:rsidR="00ED3599" w:rsidRPr="003878F9" w:rsidRDefault="00ED3599" w:rsidP="0039629C">
            <w:pPr>
              <w:keepNext/>
              <w:keepLines/>
              <w:spacing w:before="0" w:after="0"/>
              <w:jc w:val="center"/>
              <w:rPr>
                <w:rFonts w:ascii="Arial Narrow" w:eastAsiaTheme="majorEastAsia" w:hAnsi="Arial Narrow" w:cstheme="majorBidi"/>
                <w:b/>
                <w:sz w:val="20"/>
                <w:szCs w:val="20"/>
                <w:lang w:eastAsia="en-AU"/>
              </w:rPr>
            </w:pPr>
            <w:r w:rsidRPr="003878F9">
              <w:rPr>
                <w:rFonts w:ascii="Arial Narrow" w:eastAsiaTheme="majorEastAsia" w:hAnsi="Arial Narrow" w:cstheme="majorBidi"/>
                <w:b/>
                <w:sz w:val="20"/>
                <w:szCs w:val="20"/>
                <w:lang w:eastAsia="en-AU"/>
              </w:rPr>
              <w:t>Capability (NGS)</w:t>
            </w:r>
          </w:p>
        </w:tc>
        <w:tc>
          <w:tcPr>
            <w:tcW w:w="1933" w:type="dxa"/>
            <w:gridSpan w:val="2"/>
            <w:tcBorders>
              <w:bottom w:val="single" w:sz="4" w:space="0" w:color="auto"/>
            </w:tcBorders>
            <w:tcMar>
              <w:top w:w="10" w:type="dxa"/>
              <w:left w:w="108" w:type="dxa"/>
              <w:bottom w:w="0" w:type="dxa"/>
              <w:right w:w="108" w:type="dxa"/>
            </w:tcMar>
            <w:vAlign w:val="center"/>
            <w:hideMark/>
          </w:tcPr>
          <w:p w14:paraId="369E5A1F" w14:textId="77777777" w:rsidR="00ED3599" w:rsidRPr="003878F9" w:rsidRDefault="35A94513" w:rsidP="0039629C">
            <w:pPr>
              <w:keepNext/>
              <w:keepLines/>
              <w:spacing w:before="0" w:after="0"/>
              <w:jc w:val="center"/>
              <w:rPr>
                <w:rFonts w:ascii="Arial Narrow" w:eastAsiaTheme="majorEastAsia" w:hAnsi="Arial Narrow" w:cstheme="majorBidi"/>
                <w:b/>
                <w:sz w:val="20"/>
                <w:szCs w:val="20"/>
                <w:lang w:eastAsia="en-AU"/>
              </w:rPr>
            </w:pPr>
            <w:proofErr w:type="spellStart"/>
            <w:r w:rsidRPr="003878F9">
              <w:rPr>
                <w:rFonts w:ascii="Arial Narrow" w:eastAsiaTheme="majorEastAsia" w:hAnsi="Arial Narrow" w:cstheme="majorBidi"/>
                <w:b/>
                <w:sz w:val="20"/>
                <w:szCs w:val="20"/>
                <w:lang w:eastAsia="en-AU"/>
              </w:rPr>
              <w:t>LBx</w:t>
            </w:r>
            <w:proofErr w:type="spellEnd"/>
            <w:r w:rsidRPr="003878F9">
              <w:rPr>
                <w:rFonts w:ascii="Arial Narrow" w:eastAsiaTheme="majorEastAsia" w:hAnsi="Arial Narrow" w:cstheme="majorBidi"/>
                <w:b/>
                <w:sz w:val="20"/>
                <w:szCs w:val="20"/>
                <w:lang w:eastAsia="en-AU"/>
              </w:rPr>
              <w:t xml:space="preserve"> expertise</w:t>
            </w:r>
          </w:p>
        </w:tc>
      </w:tr>
      <w:tr w:rsidR="00652137" w:rsidRPr="003878F9" w14:paraId="03BA7E4A" w14:textId="77777777" w:rsidTr="003878F9">
        <w:trPr>
          <w:trHeight w:val="232"/>
          <w:tblHeader/>
        </w:trPr>
        <w:tc>
          <w:tcPr>
            <w:tcW w:w="988" w:type="dxa"/>
            <w:vMerge/>
            <w:tcMar>
              <w:top w:w="15" w:type="dxa"/>
              <w:left w:w="108" w:type="dxa"/>
              <w:bottom w:w="0" w:type="dxa"/>
              <w:right w:w="108" w:type="dxa"/>
            </w:tcMar>
            <w:vAlign w:val="center"/>
          </w:tcPr>
          <w:p w14:paraId="767A6D3D" w14:textId="77777777" w:rsidR="00ED3599" w:rsidRPr="003878F9" w:rsidRDefault="00ED3599" w:rsidP="0039629C">
            <w:pPr>
              <w:keepNext/>
              <w:keepLines/>
              <w:spacing w:before="0" w:after="0"/>
              <w:rPr>
                <w:rFonts w:ascii="Arial Narrow" w:eastAsiaTheme="majorEastAsia" w:hAnsi="Arial Narrow" w:cstheme="majorBidi"/>
                <w:b/>
                <w:bCs/>
                <w:sz w:val="20"/>
                <w:szCs w:val="24"/>
                <w:lang w:eastAsia="en-AU"/>
              </w:rPr>
            </w:pPr>
          </w:p>
        </w:tc>
        <w:tc>
          <w:tcPr>
            <w:tcW w:w="1842" w:type="dxa"/>
            <w:vMerge/>
            <w:tcMar>
              <w:top w:w="10" w:type="dxa"/>
              <w:left w:w="108" w:type="dxa"/>
              <w:bottom w:w="0" w:type="dxa"/>
              <w:right w:w="108" w:type="dxa"/>
            </w:tcMar>
            <w:vAlign w:val="center"/>
          </w:tcPr>
          <w:p w14:paraId="51BDC30E" w14:textId="77777777" w:rsidR="00ED3599" w:rsidRPr="003878F9" w:rsidRDefault="00ED3599" w:rsidP="0039629C">
            <w:pPr>
              <w:keepNext/>
              <w:keepLines/>
              <w:spacing w:before="0" w:after="0"/>
              <w:rPr>
                <w:rFonts w:ascii="Arial Narrow" w:eastAsiaTheme="majorEastAsia" w:hAnsi="Arial Narrow" w:cstheme="majorBidi"/>
                <w:b/>
                <w:bCs/>
                <w:sz w:val="20"/>
                <w:szCs w:val="24"/>
                <w:lang w:eastAsia="en-AU"/>
              </w:rPr>
            </w:pPr>
          </w:p>
        </w:tc>
        <w:tc>
          <w:tcPr>
            <w:tcW w:w="1134" w:type="dxa"/>
            <w:tcBorders>
              <w:bottom w:val="single" w:sz="4" w:space="0" w:color="auto"/>
              <w:right w:val="nil"/>
            </w:tcBorders>
            <w:tcMar>
              <w:top w:w="10" w:type="dxa"/>
              <w:left w:w="108" w:type="dxa"/>
              <w:bottom w:w="0" w:type="dxa"/>
              <w:right w:w="108" w:type="dxa"/>
            </w:tcMar>
            <w:vAlign w:val="center"/>
          </w:tcPr>
          <w:p w14:paraId="77F0E0B3" w14:textId="77777777" w:rsidR="00ED3599" w:rsidRPr="003878F9" w:rsidRDefault="00ED3599" w:rsidP="0039629C">
            <w:pPr>
              <w:keepNext/>
              <w:keepLines/>
              <w:spacing w:before="0" w:after="0"/>
              <w:jc w:val="center"/>
              <w:rPr>
                <w:rFonts w:ascii="Arial Narrow" w:eastAsiaTheme="majorEastAsia" w:hAnsi="Arial Narrow" w:cstheme="majorBidi"/>
                <w:b/>
                <w:sz w:val="20"/>
                <w:szCs w:val="20"/>
                <w:lang w:eastAsia="en-AU"/>
              </w:rPr>
            </w:pPr>
            <w:r w:rsidRPr="003878F9">
              <w:rPr>
                <w:rFonts w:ascii="Arial Narrow" w:eastAsia="Times New Roman" w:hAnsi="Arial Narrow" w:cs="Times New Roman"/>
                <w:b/>
                <w:snapToGrid w:val="0"/>
                <w:sz w:val="20"/>
                <w:szCs w:val="20"/>
                <w:lang w:eastAsia="en-AU"/>
              </w:rPr>
              <w:t>Yes</w:t>
            </w:r>
          </w:p>
        </w:tc>
        <w:tc>
          <w:tcPr>
            <w:tcW w:w="1134" w:type="dxa"/>
            <w:tcBorders>
              <w:left w:val="nil"/>
              <w:bottom w:val="single" w:sz="4" w:space="0" w:color="auto"/>
            </w:tcBorders>
            <w:vAlign w:val="center"/>
          </w:tcPr>
          <w:p w14:paraId="6EE93374" w14:textId="77777777" w:rsidR="00ED3599" w:rsidRPr="003878F9" w:rsidRDefault="00ED3599" w:rsidP="0039629C">
            <w:pPr>
              <w:keepNext/>
              <w:keepLines/>
              <w:spacing w:before="0" w:after="0"/>
              <w:jc w:val="center"/>
              <w:rPr>
                <w:rFonts w:ascii="Arial Narrow" w:eastAsiaTheme="majorEastAsia" w:hAnsi="Arial Narrow" w:cstheme="majorBidi"/>
                <w:b/>
                <w:sz w:val="20"/>
                <w:szCs w:val="20"/>
                <w:lang w:eastAsia="en-AU"/>
              </w:rPr>
            </w:pPr>
            <w:r w:rsidRPr="003878F9">
              <w:rPr>
                <w:rFonts w:ascii="Arial Narrow" w:eastAsia="Times New Roman" w:hAnsi="Arial Narrow" w:cs="Times New Roman"/>
                <w:b/>
                <w:snapToGrid w:val="0"/>
                <w:sz w:val="20"/>
                <w:szCs w:val="20"/>
                <w:lang w:eastAsia="en-AU"/>
              </w:rPr>
              <w:t>No</w:t>
            </w:r>
          </w:p>
        </w:tc>
        <w:tc>
          <w:tcPr>
            <w:tcW w:w="993" w:type="dxa"/>
            <w:tcBorders>
              <w:right w:val="nil"/>
            </w:tcBorders>
            <w:tcMar>
              <w:top w:w="10" w:type="dxa"/>
              <w:left w:w="108" w:type="dxa"/>
              <w:bottom w:w="0" w:type="dxa"/>
              <w:right w:w="108" w:type="dxa"/>
            </w:tcMar>
            <w:vAlign w:val="center"/>
          </w:tcPr>
          <w:p w14:paraId="0367CFDF" w14:textId="77777777" w:rsidR="00ED3599" w:rsidRPr="003878F9" w:rsidRDefault="00ED3599" w:rsidP="0039629C">
            <w:pPr>
              <w:keepNext/>
              <w:keepLines/>
              <w:spacing w:before="0" w:after="0"/>
              <w:jc w:val="center"/>
              <w:rPr>
                <w:rFonts w:ascii="Arial Narrow" w:eastAsiaTheme="majorEastAsia" w:hAnsi="Arial Narrow" w:cstheme="majorBidi"/>
                <w:b/>
                <w:sz w:val="20"/>
                <w:szCs w:val="20"/>
                <w:lang w:eastAsia="en-AU"/>
              </w:rPr>
            </w:pPr>
            <w:r w:rsidRPr="003878F9">
              <w:rPr>
                <w:rFonts w:ascii="Arial Narrow" w:eastAsia="Times New Roman" w:hAnsi="Arial Narrow" w:cs="Times New Roman"/>
                <w:b/>
                <w:snapToGrid w:val="0"/>
                <w:sz w:val="20"/>
                <w:szCs w:val="20"/>
                <w:lang w:eastAsia="en-AU"/>
              </w:rPr>
              <w:t>Yes</w:t>
            </w:r>
          </w:p>
        </w:tc>
        <w:tc>
          <w:tcPr>
            <w:tcW w:w="992" w:type="dxa"/>
            <w:tcBorders>
              <w:left w:val="nil"/>
            </w:tcBorders>
            <w:vAlign w:val="center"/>
          </w:tcPr>
          <w:p w14:paraId="409E52B0" w14:textId="77777777" w:rsidR="00ED3599" w:rsidRPr="003878F9" w:rsidRDefault="00ED3599" w:rsidP="0039629C">
            <w:pPr>
              <w:keepNext/>
              <w:keepLines/>
              <w:spacing w:before="0" w:after="0"/>
              <w:jc w:val="center"/>
              <w:rPr>
                <w:rFonts w:ascii="Arial Narrow" w:eastAsiaTheme="majorEastAsia" w:hAnsi="Arial Narrow" w:cstheme="majorBidi"/>
                <w:b/>
                <w:sz w:val="20"/>
                <w:szCs w:val="20"/>
                <w:lang w:eastAsia="en-AU"/>
              </w:rPr>
            </w:pPr>
            <w:r w:rsidRPr="003878F9">
              <w:rPr>
                <w:rFonts w:ascii="Arial Narrow" w:eastAsia="Times New Roman" w:hAnsi="Arial Narrow" w:cs="Times New Roman"/>
                <w:b/>
                <w:snapToGrid w:val="0"/>
                <w:sz w:val="20"/>
                <w:szCs w:val="20"/>
                <w:lang w:eastAsia="en-AU"/>
              </w:rPr>
              <w:t>No</w:t>
            </w:r>
          </w:p>
        </w:tc>
        <w:tc>
          <w:tcPr>
            <w:tcW w:w="992" w:type="dxa"/>
            <w:tcBorders>
              <w:right w:val="nil"/>
            </w:tcBorders>
            <w:tcMar>
              <w:top w:w="10" w:type="dxa"/>
              <w:left w:w="108" w:type="dxa"/>
              <w:bottom w:w="0" w:type="dxa"/>
              <w:right w:w="108" w:type="dxa"/>
            </w:tcMar>
            <w:vAlign w:val="center"/>
          </w:tcPr>
          <w:p w14:paraId="14D6F804" w14:textId="77777777" w:rsidR="00ED3599" w:rsidRPr="003878F9" w:rsidRDefault="00ED3599" w:rsidP="0039629C">
            <w:pPr>
              <w:keepNext/>
              <w:keepLines/>
              <w:spacing w:before="0" w:after="0"/>
              <w:jc w:val="center"/>
              <w:rPr>
                <w:rFonts w:ascii="Arial Narrow" w:eastAsiaTheme="majorEastAsia" w:hAnsi="Arial Narrow" w:cstheme="majorBidi"/>
                <w:b/>
                <w:sz w:val="20"/>
                <w:szCs w:val="20"/>
                <w:lang w:eastAsia="en-AU"/>
              </w:rPr>
            </w:pPr>
            <w:r w:rsidRPr="003878F9">
              <w:rPr>
                <w:rFonts w:ascii="Arial Narrow" w:eastAsia="Times New Roman" w:hAnsi="Arial Narrow" w:cs="Times New Roman"/>
                <w:b/>
                <w:snapToGrid w:val="0"/>
                <w:sz w:val="20"/>
                <w:szCs w:val="20"/>
                <w:lang w:eastAsia="en-AU"/>
              </w:rPr>
              <w:t>Yes</w:t>
            </w:r>
          </w:p>
        </w:tc>
        <w:tc>
          <w:tcPr>
            <w:tcW w:w="941" w:type="dxa"/>
            <w:tcBorders>
              <w:left w:val="nil"/>
            </w:tcBorders>
            <w:vAlign w:val="center"/>
          </w:tcPr>
          <w:p w14:paraId="15F56F46" w14:textId="77777777" w:rsidR="00ED3599" w:rsidRPr="003878F9" w:rsidRDefault="00ED3599" w:rsidP="0039629C">
            <w:pPr>
              <w:keepNext/>
              <w:keepLines/>
              <w:spacing w:before="0" w:after="0"/>
              <w:jc w:val="center"/>
              <w:rPr>
                <w:rFonts w:ascii="Arial Narrow" w:eastAsiaTheme="majorEastAsia" w:hAnsi="Arial Narrow" w:cstheme="majorBidi"/>
                <w:b/>
                <w:sz w:val="20"/>
                <w:szCs w:val="20"/>
                <w:lang w:eastAsia="en-AU"/>
              </w:rPr>
            </w:pPr>
            <w:r w:rsidRPr="003878F9">
              <w:rPr>
                <w:rFonts w:ascii="Arial Narrow" w:eastAsia="Times New Roman" w:hAnsi="Arial Narrow" w:cs="Times New Roman"/>
                <w:b/>
                <w:snapToGrid w:val="0"/>
                <w:sz w:val="20"/>
                <w:szCs w:val="20"/>
                <w:lang w:eastAsia="en-AU"/>
              </w:rPr>
              <w:t>No</w:t>
            </w:r>
          </w:p>
        </w:tc>
      </w:tr>
      <w:tr w:rsidR="003878F9" w:rsidRPr="003878F9" w14:paraId="0167A540" w14:textId="77777777" w:rsidTr="003878F9">
        <w:trPr>
          <w:trHeight w:val="20"/>
        </w:trPr>
        <w:tc>
          <w:tcPr>
            <w:tcW w:w="988" w:type="dxa"/>
            <w:tcMar>
              <w:top w:w="15" w:type="dxa"/>
              <w:left w:w="108" w:type="dxa"/>
              <w:bottom w:w="0" w:type="dxa"/>
              <w:right w:w="108" w:type="dxa"/>
            </w:tcMar>
            <w:hideMark/>
          </w:tcPr>
          <w:p w14:paraId="248B96A8" w14:textId="46345FF0"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842" w:type="dxa"/>
            <w:tcBorders>
              <w:bottom w:val="single" w:sz="4" w:space="0" w:color="auto"/>
            </w:tcBorders>
            <w:tcMar>
              <w:top w:w="10" w:type="dxa"/>
              <w:left w:w="108" w:type="dxa"/>
              <w:bottom w:w="0" w:type="dxa"/>
              <w:right w:w="108" w:type="dxa"/>
            </w:tcMar>
            <w:vAlign w:val="center"/>
            <w:hideMark/>
          </w:tcPr>
          <w:p w14:paraId="1A1F603C" w14:textId="62514B68"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bottom w:val="single" w:sz="4" w:space="0" w:color="auto"/>
              <w:right w:val="nil"/>
            </w:tcBorders>
            <w:tcMar>
              <w:top w:w="10" w:type="dxa"/>
              <w:left w:w="108" w:type="dxa"/>
              <w:bottom w:w="0" w:type="dxa"/>
              <w:right w:w="108" w:type="dxa"/>
            </w:tcMar>
            <w:vAlign w:val="center"/>
          </w:tcPr>
          <w:p w14:paraId="40BB8FED" w14:textId="726CB387" w:rsidR="00652137" w:rsidRPr="003878F9" w:rsidRDefault="00652137" w:rsidP="00652137">
            <w:pPr>
              <w:keepNext/>
              <w:keepLines/>
              <w:spacing w:before="0" w:after="0"/>
              <w:jc w:val="center"/>
              <w:rPr>
                <w:rFonts w:ascii="Arial Narrow" w:eastAsia="Times New Roman" w:hAnsi="Arial Narrow" w:cs="Times New Roman"/>
                <w:b/>
                <w:bCs/>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left w:val="nil"/>
              <w:bottom w:val="single" w:sz="4" w:space="0" w:color="auto"/>
            </w:tcBorders>
          </w:tcPr>
          <w:p w14:paraId="768D3E6D" w14:textId="63C6D116"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r w:rsidRPr="003878F9">
              <w:rPr>
                <w:rFonts w:ascii="Arial Narrow" w:eastAsia="Times New Roman" w:hAnsi="Arial Narrow" w:cs="Times New Roman"/>
                <w:snapToGrid w:val="0"/>
                <w:sz w:val="18"/>
                <w:szCs w:val="18"/>
                <w:lang w:eastAsia="en-AU"/>
              </w:rPr>
              <w:t xml:space="preserve"> </w:t>
            </w:r>
          </w:p>
        </w:tc>
        <w:tc>
          <w:tcPr>
            <w:tcW w:w="993" w:type="dxa"/>
            <w:tcBorders>
              <w:bottom w:val="single" w:sz="4" w:space="0" w:color="auto"/>
              <w:right w:val="nil"/>
            </w:tcBorders>
            <w:tcMar>
              <w:top w:w="10" w:type="dxa"/>
              <w:left w:w="108" w:type="dxa"/>
              <w:bottom w:w="0" w:type="dxa"/>
              <w:right w:w="108" w:type="dxa"/>
            </w:tcMar>
            <w:vAlign w:val="center"/>
            <w:hideMark/>
          </w:tcPr>
          <w:p w14:paraId="23A0D8CE" w14:textId="40F73B7A"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left w:val="nil"/>
              <w:bottom w:val="single" w:sz="4" w:space="0" w:color="auto"/>
            </w:tcBorders>
            <w:vAlign w:val="center"/>
          </w:tcPr>
          <w:p w14:paraId="6CAA1E64" w14:textId="5D501FF1"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 xml:space="preserve"> Redacted</w:t>
            </w:r>
          </w:p>
        </w:tc>
        <w:tc>
          <w:tcPr>
            <w:tcW w:w="992" w:type="dxa"/>
            <w:tcBorders>
              <w:bottom w:val="single" w:sz="4" w:space="0" w:color="auto"/>
              <w:right w:val="nil"/>
            </w:tcBorders>
            <w:tcMar>
              <w:top w:w="10" w:type="dxa"/>
              <w:left w:w="108" w:type="dxa"/>
              <w:bottom w:w="0" w:type="dxa"/>
              <w:right w:w="108" w:type="dxa"/>
            </w:tcMar>
            <w:vAlign w:val="center"/>
          </w:tcPr>
          <w:p w14:paraId="555CCE13" w14:textId="3AD0DB12"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left w:val="nil"/>
              <w:bottom w:val="single" w:sz="4" w:space="0" w:color="auto"/>
            </w:tcBorders>
            <w:vAlign w:val="center"/>
          </w:tcPr>
          <w:p w14:paraId="645A9088" w14:textId="65E6506B"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498EC61B" w14:textId="77777777" w:rsidTr="003878F9">
        <w:trPr>
          <w:trHeight w:val="20"/>
        </w:trPr>
        <w:tc>
          <w:tcPr>
            <w:tcW w:w="988" w:type="dxa"/>
            <w:vMerge w:val="restart"/>
            <w:tcMar>
              <w:top w:w="15" w:type="dxa"/>
              <w:left w:w="108" w:type="dxa"/>
              <w:bottom w:w="0" w:type="dxa"/>
              <w:right w:w="108" w:type="dxa"/>
            </w:tcMar>
            <w:hideMark/>
          </w:tcPr>
          <w:p w14:paraId="003B34B0" w14:textId="4FA7F9FA"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842" w:type="dxa"/>
            <w:tcBorders>
              <w:bottom w:val="nil"/>
            </w:tcBorders>
            <w:tcMar>
              <w:top w:w="10" w:type="dxa"/>
              <w:left w:w="108" w:type="dxa"/>
              <w:bottom w:w="0" w:type="dxa"/>
              <w:right w:w="108" w:type="dxa"/>
            </w:tcMar>
            <w:hideMark/>
          </w:tcPr>
          <w:p w14:paraId="7A60EC66" w14:textId="7A2DD53E"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bottom w:val="nil"/>
              <w:right w:val="nil"/>
            </w:tcBorders>
            <w:tcMar>
              <w:top w:w="10" w:type="dxa"/>
              <w:left w:w="108" w:type="dxa"/>
              <w:bottom w:w="0" w:type="dxa"/>
              <w:right w:w="108" w:type="dxa"/>
            </w:tcMar>
          </w:tcPr>
          <w:p w14:paraId="7359EDB0" w14:textId="36477338"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left w:val="nil"/>
              <w:bottom w:val="nil"/>
            </w:tcBorders>
          </w:tcPr>
          <w:p w14:paraId="5C006B34" w14:textId="4B5A9B2B"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bottom w:val="nil"/>
              <w:right w:val="nil"/>
            </w:tcBorders>
            <w:tcMar>
              <w:top w:w="10" w:type="dxa"/>
              <w:left w:w="108" w:type="dxa"/>
              <w:bottom w:w="0" w:type="dxa"/>
              <w:right w:w="108" w:type="dxa"/>
            </w:tcMar>
            <w:hideMark/>
          </w:tcPr>
          <w:p w14:paraId="171D83E2" w14:textId="6DFF8CF8"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left w:val="nil"/>
              <w:bottom w:val="nil"/>
            </w:tcBorders>
          </w:tcPr>
          <w:p w14:paraId="62592E58" w14:textId="10B919AB"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bottom w:val="nil"/>
              <w:right w:val="nil"/>
            </w:tcBorders>
            <w:tcMar>
              <w:top w:w="10" w:type="dxa"/>
              <w:left w:w="108" w:type="dxa"/>
              <w:bottom w:w="0" w:type="dxa"/>
              <w:right w:w="108" w:type="dxa"/>
            </w:tcMar>
            <w:hideMark/>
          </w:tcPr>
          <w:p w14:paraId="1253DD7C" w14:textId="7FD009D0"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left w:val="nil"/>
              <w:bottom w:val="nil"/>
            </w:tcBorders>
          </w:tcPr>
          <w:p w14:paraId="366486A9" w14:textId="4396849B"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07950C2F" w14:textId="77777777" w:rsidTr="003878F9">
        <w:trPr>
          <w:trHeight w:val="20"/>
        </w:trPr>
        <w:tc>
          <w:tcPr>
            <w:tcW w:w="988" w:type="dxa"/>
            <w:vMerge/>
            <w:tcMar>
              <w:left w:w="108" w:type="dxa"/>
              <w:right w:w="108" w:type="dxa"/>
            </w:tcMar>
            <w:hideMark/>
          </w:tcPr>
          <w:p w14:paraId="0552C2F1" w14:textId="77777777"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p>
        </w:tc>
        <w:tc>
          <w:tcPr>
            <w:tcW w:w="1842" w:type="dxa"/>
            <w:tcBorders>
              <w:top w:val="nil"/>
              <w:bottom w:val="single" w:sz="4" w:space="0" w:color="auto"/>
            </w:tcBorders>
            <w:tcMar>
              <w:top w:w="10" w:type="dxa"/>
              <w:left w:w="108" w:type="dxa"/>
              <w:bottom w:w="0" w:type="dxa"/>
              <w:right w:w="108" w:type="dxa"/>
            </w:tcMar>
            <w:hideMark/>
          </w:tcPr>
          <w:p w14:paraId="530D55D1" w14:textId="3276CB39"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bottom w:val="single" w:sz="4" w:space="0" w:color="auto"/>
              <w:right w:val="nil"/>
            </w:tcBorders>
            <w:tcMar>
              <w:top w:w="10" w:type="dxa"/>
              <w:left w:w="108" w:type="dxa"/>
              <w:bottom w:w="0" w:type="dxa"/>
              <w:right w:w="108" w:type="dxa"/>
            </w:tcMar>
          </w:tcPr>
          <w:p w14:paraId="41A20A98" w14:textId="6E1BF91E"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left w:val="nil"/>
              <w:bottom w:val="single" w:sz="4" w:space="0" w:color="auto"/>
            </w:tcBorders>
          </w:tcPr>
          <w:p w14:paraId="007D30A1" w14:textId="125F2858"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top w:val="nil"/>
              <w:bottom w:val="single" w:sz="4" w:space="0" w:color="auto"/>
              <w:right w:val="nil"/>
            </w:tcBorders>
            <w:tcMar>
              <w:top w:w="10" w:type="dxa"/>
              <w:left w:w="108" w:type="dxa"/>
              <w:bottom w:w="0" w:type="dxa"/>
              <w:right w:w="108" w:type="dxa"/>
            </w:tcMar>
            <w:hideMark/>
          </w:tcPr>
          <w:p w14:paraId="5DBF47EF" w14:textId="679B7B41"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left w:val="nil"/>
              <w:bottom w:val="single" w:sz="4" w:space="0" w:color="auto"/>
            </w:tcBorders>
          </w:tcPr>
          <w:p w14:paraId="0E37858D" w14:textId="281A7749"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bottom w:val="single" w:sz="4" w:space="0" w:color="auto"/>
              <w:right w:val="nil"/>
            </w:tcBorders>
            <w:tcMar>
              <w:top w:w="10" w:type="dxa"/>
              <w:left w:w="108" w:type="dxa"/>
              <w:bottom w:w="0" w:type="dxa"/>
              <w:right w:w="108" w:type="dxa"/>
            </w:tcMar>
          </w:tcPr>
          <w:p w14:paraId="030B3C7B" w14:textId="744B47E9"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top w:val="nil"/>
              <w:left w:val="nil"/>
              <w:bottom w:val="single" w:sz="4" w:space="0" w:color="auto"/>
            </w:tcBorders>
          </w:tcPr>
          <w:p w14:paraId="611BEE62" w14:textId="52D44ACC"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1063D021" w14:textId="77777777" w:rsidTr="003878F9">
        <w:trPr>
          <w:trHeight w:val="20"/>
        </w:trPr>
        <w:tc>
          <w:tcPr>
            <w:tcW w:w="988" w:type="dxa"/>
            <w:vMerge w:val="restart"/>
            <w:tcMar>
              <w:top w:w="15" w:type="dxa"/>
              <w:left w:w="108" w:type="dxa"/>
              <w:bottom w:w="0" w:type="dxa"/>
              <w:right w:w="108" w:type="dxa"/>
            </w:tcMar>
            <w:hideMark/>
          </w:tcPr>
          <w:p w14:paraId="7C0124BD" w14:textId="35465A50"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842" w:type="dxa"/>
            <w:tcBorders>
              <w:bottom w:val="nil"/>
            </w:tcBorders>
            <w:tcMar>
              <w:top w:w="10" w:type="dxa"/>
              <w:left w:w="108" w:type="dxa"/>
              <w:bottom w:w="0" w:type="dxa"/>
              <w:right w:w="108" w:type="dxa"/>
            </w:tcMar>
            <w:hideMark/>
          </w:tcPr>
          <w:p w14:paraId="52EB534E" w14:textId="67037F9C"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bottom w:val="nil"/>
              <w:right w:val="nil"/>
            </w:tcBorders>
            <w:tcMar>
              <w:top w:w="10" w:type="dxa"/>
              <w:left w:w="108" w:type="dxa"/>
              <w:bottom w:w="0" w:type="dxa"/>
              <w:right w:w="108" w:type="dxa"/>
            </w:tcMar>
            <w:hideMark/>
          </w:tcPr>
          <w:p w14:paraId="28E7BFDD" w14:textId="10EB4ACE"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left w:val="nil"/>
              <w:bottom w:val="nil"/>
            </w:tcBorders>
          </w:tcPr>
          <w:p w14:paraId="5DB843AC" w14:textId="6D125B82"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bottom w:val="nil"/>
              <w:right w:val="nil"/>
            </w:tcBorders>
            <w:tcMar>
              <w:top w:w="10" w:type="dxa"/>
              <w:left w:w="108" w:type="dxa"/>
              <w:bottom w:w="0" w:type="dxa"/>
              <w:right w:w="108" w:type="dxa"/>
            </w:tcMar>
            <w:hideMark/>
          </w:tcPr>
          <w:p w14:paraId="0108F4C8" w14:textId="2DA186F8"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left w:val="nil"/>
              <w:bottom w:val="nil"/>
            </w:tcBorders>
          </w:tcPr>
          <w:p w14:paraId="4FA34138" w14:textId="1A5EEDE9"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bottom w:val="nil"/>
              <w:right w:val="nil"/>
            </w:tcBorders>
            <w:tcMar>
              <w:top w:w="10" w:type="dxa"/>
              <w:left w:w="108" w:type="dxa"/>
              <w:bottom w:w="0" w:type="dxa"/>
              <w:right w:w="108" w:type="dxa"/>
            </w:tcMar>
            <w:hideMark/>
          </w:tcPr>
          <w:p w14:paraId="4509F3C3" w14:textId="28C3B289"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left w:val="nil"/>
              <w:bottom w:val="nil"/>
            </w:tcBorders>
          </w:tcPr>
          <w:p w14:paraId="29D94CCB" w14:textId="7E738C56"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21B97026" w14:textId="77777777" w:rsidTr="003878F9">
        <w:trPr>
          <w:trHeight w:val="20"/>
        </w:trPr>
        <w:tc>
          <w:tcPr>
            <w:tcW w:w="988" w:type="dxa"/>
            <w:vMerge/>
            <w:tcMar>
              <w:left w:w="108" w:type="dxa"/>
              <w:right w:w="108" w:type="dxa"/>
            </w:tcMar>
            <w:hideMark/>
          </w:tcPr>
          <w:p w14:paraId="6034474C" w14:textId="77777777"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p>
        </w:tc>
        <w:tc>
          <w:tcPr>
            <w:tcW w:w="1842" w:type="dxa"/>
            <w:tcBorders>
              <w:top w:val="nil"/>
              <w:bottom w:val="nil"/>
            </w:tcBorders>
            <w:tcMar>
              <w:top w:w="10" w:type="dxa"/>
              <w:left w:w="108" w:type="dxa"/>
              <w:bottom w:w="0" w:type="dxa"/>
              <w:right w:w="108" w:type="dxa"/>
            </w:tcMar>
            <w:hideMark/>
          </w:tcPr>
          <w:p w14:paraId="50A0091F" w14:textId="76A4EE75" w:rsidR="00652137" w:rsidRPr="003878F9" w:rsidRDefault="00652137" w:rsidP="00652137">
            <w:pPr>
              <w:keepNext/>
              <w:keepLines/>
              <w:spacing w:before="0" w:after="0"/>
              <w:rPr>
                <w:rFonts w:ascii="Arial Narrow" w:eastAsia="Times New Roman" w:hAnsi="Arial Narrow" w:cs="Times New Roman"/>
                <w:snapToGrid w:val="0"/>
                <w:sz w:val="20"/>
                <w:szCs w:val="20"/>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bottom w:val="nil"/>
              <w:right w:val="nil"/>
            </w:tcBorders>
            <w:tcMar>
              <w:top w:w="10" w:type="dxa"/>
              <w:left w:w="108" w:type="dxa"/>
              <w:bottom w:w="0" w:type="dxa"/>
              <w:right w:w="108" w:type="dxa"/>
            </w:tcMar>
          </w:tcPr>
          <w:p w14:paraId="268AD44A" w14:textId="33C96A8D"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left w:val="nil"/>
              <w:bottom w:val="nil"/>
            </w:tcBorders>
          </w:tcPr>
          <w:p w14:paraId="36FECF2F" w14:textId="305D03A7"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top w:val="nil"/>
              <w:bottom w:val="nil"/>
              <w:right w:val="nil"/>
            </w:tcBorders>
            <w:tcMar>
              <w:top w:w="10" w:type="dxa"/>
              <w:left w:w="108" w:type="dxa"/>
              <w:bottom w:w="0" w:type="dxa"/>
              <w:right w:w="108" w:type="dxa"/>
            </w:tcMar>
            <w:hideMark/>
          </w:tcPr>
          <w:p w14:paraId="685F0FAB" w14:textId="7B61EEF6"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left w:val="nil"/>
              <w:bottom w:val="nil"/>
            </w:tcBorders>
          </w:tcPr>
          <w:p w14:paraId="21E90BE8" w14:textId="46D9B493"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bottom w:val="nil"/>
              <w:right w:val="nil"/>
            </w:tcBorders>
            <w:tcMar>
              <w:top w:w="10" w:type="dxa"/>
              <w:left w:w="108" w:type="dxa"/>
              <w:bottom w:w="0" w:type="dxa"/>
              <w:right w:w="108" w:type="dxa"/>
            </w:tcMar>
            <w:hideMark/>
          </w:tcPr>
          <w:p w14:paraId="047A95A2" w14:textId="771956A3"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top w:val="nil"/>
              <w:left w:val="nil"/>
              <w:bottom w:val="nil"/>
            </w:tcBorders>
          </w:tcPr>
          <w:p w14:paraId="6DCB0CDD" w14:textId="31DBAAEA"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03B5581C" w14:textId="77777777" w:rsidTr="003878F9">
        <w:trPr>
          <w:trHeight w:val="20"/>
        </w:trPr>
        <w:tc>
          <w:tcPr>
            <w:tcW w:w="988" w:type="dxa"/>
            <w:vMerge/>
            <w:tcMar>
              <w:left w:w="108" w:type="dxa"/>
              <w:right w:w="108" w:type="dxa"/>
            </w:tcMar>
            <w:hideMark/>
          </w:tcPr>
          <w:p w14:paraId="62103101" w14:textId="77777777"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p>
        </w:tc>
        <w:tc>
          <w:tcPr>
            <w:tcW w:w="1842" w:type="dxa"/>
            <w:tcBorders>
              <w:top w:val="nil"/>
            </w:tcBorders>
            <w:tcMar>
              <w:top w:w="10" w:type="dxa"/>
              <w:left w:w="108" w:type="dxa"/>
              <w:bottom w:w="0" w:type="dxa"/>
              <w:right w:w="108" w:type="dxa"/>
            </w:tcMar>
            <w:hideMark/>
          </w:tcPr>
          <w:p w14:paraId="2234CCFB" w14:textId="221DB469"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right w:val="nil"/>
            </w:tcBorders>
            <w:tcMar>
              <w:top w:w="10" w:type="dxa"/>
              <w:left w:w="108" w:type="dxa"/>
              <w:bottom w:w="0" w:type="dxa"/>
              <w:right w:w="108" w:type="dxa"/>
            </w:tcMar>
          </w:tcPr>
          <w:p w14:paraId="5EA875F3" w14:textId="510981C8"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left w:val="nil"/>
            </w:tcBorders>
          </w:tcPr>
          <w:p w14:paraId="7FC1D107" w14:textId="689EEA19"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top w:val="nil"/>
              <w:right w:val="nil"/>
            </w:tcBorders>
            <w:tcMar>
              <w:top w:w="10" w:type="dxa"/>
              <w:left w:w="108" w:type="dxa"/>
              <w:bottom w:w="0" w:type="dxa"/>
              <w:right w:w="108" w:type="dxa"/>
            </w:tcMar>
            <w:hideMark/>
          </w:tcPr>
          <w:p w14:paraId="497CED02" w14:textId="3387A5A3"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left w:val="nil"/>
            </w:tcBorders>
          </w:tcPr>
          <w:p w14:paraId="589D3C1E" w14:textId="28F13655"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right w:val="nil"/>
            </w:tcBorders>
            <w:tcMar>
              <w:top w:w="10" w:type="dxa"/>
              <w:left w:w="108" w:type="dxa"/>
              <w:bottom w:w="0" w:type="dxa"/>
              <w:right w:w="108" w:type="dxa"/>
            </w:tcMar>
          </w:tcPr>
          <w:p w14:paraId="2318354C" w14:textId="07046363"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top w:val="nil"/>
              <w:left w:val="nil"/>
            </w:tcBorders>
          </w:tcPr>
          <w:p w14:paraId="72C17BC0" w14:textId="75EA2EE9"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3878F9" w:rsidRPr="003878F9" w14:paraId="0FD09862" w14:textId="77777777" w:rsidTr="003878F9">
        <w:trPr>
          <w:trHeight w:val="20"/>
        </w:trPr>
        <w:tc>
          <w:tcPr>
            <w:tcW w:w="988" w:type="dxa"/>
            <w:tcBorders>
              <w:bottom w:val="single" w:sz="4" w:space="0" w:color="auto"/>
            </w:tcBorders>
            <w:tcMar>
              <w:top w:w="15" w:type="dxa"/>
              <w:left w:w="108" w:type="dxa"/>
              <w:bottom w:w="0" w:type="dxa"/>
              <w:right w:w="108" w:type="dxa"/>
            </w:tcMar>
            <w:hideMark/>
          </w:tcPr>
          <w:p w14:paraId="5F01D840" w14:textId="34169289"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842" w:type="dxa"/>
            <w:tcBorders>
              <w:bottom w:val="single" w:sz="4" w:space="0" w:color="auto"/>
            </w:tcBorders>
            <w:tcMar>
              <w:top w:w="10" w:type="dxa"/>
              <w:left w:w="108" w:type="dxa"/>
              <w:bottom w:w="0" w:type="dxa"/>
              <w:right w:w="108" w:type="dxa"/>
            </w:tcMar>
            <w:vAlign w:val="center"/>
            <w:hideMark/>
          </w:tcPr>
          <w:p w14:paraId="64D20449" w14:textId="61006F34"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bottom w:val="single" w:sz="4" w:space="0" w:color="auto"/>
              <w:right w:val="nil"/>
            </w:tcBorders>
            <w:tcMar>
              <w:top w:w="10" w:type="dxa"/>
              <w:left w:w="108" w:type="dxa"/>
              <w:bottom w:w="0" w:type="dxa"/>
              <w:right w:w="108" w:type="dxa"/>
            </w:tcMar>
          </w:tcPr>
          <w:p w14:paraId="67FB5A14" w14:textId="74C4B855"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left w:val="nil"/>
              <w:bottom w:val="single" w:sz="4" w:space="0" w:color="auto"/>
            </w:tcBorders>
          </w:tcPr>
          <w:p w14:paraId="30BBB13F" w14:textId="68B70B22"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bottom w:val="single" w:sz="4" w:space="0" w:color="auto"/>
              <w:right w:val="nil"/>
            </w:tcBorders>
            <w:tcMar>
              <w:top w:w="10" w:type="dxa"/>
              <w:left w:w="108" w:type="dxa"/>
              <w:bottom w:w="0" w:type="dxa"/>
              <w:right w:w="108" w:type="dxa"/>
            </w:tcMar>
            <w:hideMark/>
          </w:tcPr>
          <w:p w14:paraId="2B8B7AA8" w14:textId="5133111C"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left w:val="nil"/>
              <w:bottom w:val="single" w:sz="4" w:space="0" w:color="auto"/>
            </w:tcBorders>
          </w:tcPr>
          <w:p w14:paraId="20ED3E6C" w14:textId="48BE26EE"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bottom w:val="single" w:sz="4" w:space="0" w:color="auto"/>
              <w:right w:val="nil"/>
            </w:tcBorders>
            <w:tcMar>
              <w:top w:w="10" w:type="dxa"/>
              <w:left w:w="108" w:type="dxa"/>
              <w:bottom w:w="0" w:type="dxa"/>
              <w:right w:w="108" w:type="dxa"/>
            </w:tcMar>
            <w:hideMark/>
          </w:tcPr>
          <w:p w14:paraId="48808256" w14:textId="2F243F62"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left w:val="nil"/>
              <w:bottom w:val="single" w:sz="4" w:space="0" w:color="auto"/>
            </w:tcBorders>
          </w:tcPr>
          <w:p w14:paraId="0514F390" w14:textId="06979B2A"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6468DA91" w14:textId="77777777" w:rsidTr="003878F9">
        <w:trPr>
          <w:trHeight w:val="255"/>
        </w:trPr>
        <w:tc>
          <w:tcPr>
            <w:tcW w:w="988" w:type="dxa"/>
            <w:vMerge w:val="restart"/>
            <w:tcMar>
              <w:top w:w="15" w:type="dxa"/>
              <w:left w:w="108" w:type="dxa"/>
              <w:bottom w:w="0" w:type="dxa"/>
              <w:right w:w="108" w:type="dxa"/>
            </w:tcMar>
          </w:tcPr>
          <w:p w14:paraId="50729C80" w14:textId="1CA04EC5"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842" w:type="dxa"/>
            <w:tcBorders>
              <w:bottom w:val="nil"/>
            </w:tcBorders>
            <w:tcMar>
              <w:top w:w="10" w:type="dxa"/>
              <w:left w:w="108" w:type="dxa"/>
              <w:bottom w:w="0" w:type="dxa"/>
              <w:right w:w="108" w:type="dxa"/>
            </w:tcMar>
          </w:tcPr>
          <w:p w14:paraId="57EABD7B" w14:textId="4CFAAFEF"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bottom w:val="nil"/>
              <w:right w:val="nil"/>
            </w:tcBorders>
            <w:tcMar>
              <w:top w:w="10" w:type="dxa"/>
              <w:left w:w="108" w:type="dxa"/>
              <w:bottom w:w="0" w:type="dxa"/>
              <w:right w:w="108" w:type="dxa"/>
            </w:tcMar>
          </w:tcPr>
          <w:p w14:paraId="6373EF7F" w14:textId="4D1E9183" w:rsidR="00652137" w:rsidRPr="003878F9" w:rsidDel="00E3103C"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left w:val="nil"/>
              <w:bottom w:val="nil"/>
            </w:tcBorders>
          </w:tcPr>
          <w:p w14:paraId="71B7D6D7" w14:textId="05F2CA1A"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bottom w:val="nil"/>
              <w:right w:val="nil"/>
            </w:tcBorders>
            <w:tcMar>
              <w:top w:w="10" w:type="dxa"/>
              <w:left w:w="108" w:type="dxa"/>
              <w:bottom w:w="0" w:type="dxa"/>
              <w:right w:w="108" w:type="dxa"/>
            </w:tcMar>
          </w:tcPr>
          <w:p w14:paraId="34B9F20A" w14:textId="28C127D5"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left w:val="nil"/>
              <w:bottom w:val="nil"/>
            </w:tcBorders>
          </w:tcPr>
          <w:p w14:paraId="5C872DE4" w14:textId="41E86050" w:rsidR="00652137" w:rsidRPr="003878F9" w:rsidRDefault="00652137" w:rsidP="00652137">
            <w:pPr>
              <w:keepNext/>
              <w:keepLines/>
              <w:spacing w:before="0" w:after="0"/>
              <w:jc w:val="center"/>
              <w:rPr>
                <w:rFonts w:ascii="Arial Narrow" w:eastAsia="Times New Roman" w:hAnsi="Arial Narrow" w:cs="Times New Roman"/>
                <w:strike/>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bottom w:val="nil"/>
              <w:right w:val="nil"/>
            </w:tcBorders>
            <w:tcMar>
              <w:top w:w="10" w:type="dxa"/>
              <w:left w:w="108" w:type="dxa"/>
              <w:bottom w:w="0" w:type="dxa"/>
              <w:right w:w="108" w:type="dxa"/>
            </w:tcMar>
          </w:tcPr>
          <w:p w14:paraId="48F86FE0" w14:textId="1521D6AC" w:rsidR="00652137" w:rsidRPr="003878F9" w:rsidDel="00E73851"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left w:val="nil"/>
              <w:bottom w:val="nil"/>
            </w:tcBorders>
          </w:tcPr>
          <w:p w14:paraId="7DE8BB5D" w14:textId="012845DF"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145CFAF6" w14:textId="77777777" w:rsidTr="003878F9">
        <w:trPr>
          <w:trHeight w:val="255"/>
        </w:trPr>
        <w:tc>
          <w:tcPr>
            <w:tcW w:w="988" w:type="dxa"/>
            <w:vMerge/>
            <w:tcMar>
              <w:top w:w="15" w:type="dxa"/>
              <w:left w:w="108" w:type="dxa"/>
              <w:bottom w:w="0" w:type="dxa"/>
              <w:right w:w="108" w:type="dxa"/>
            </w:tcMar>
            <w:hideMark/>
          </w:tcPr>
          <w:p w14:paraId="2595C937" w14:textId="77777777"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p>
        </w:tc>
        <w:tc>
          <w:tcPr>
            <w:tcW w:w="1842" w:type="dxa"/>
            <w:tcBorders>
              <w:top w:val="nil"/>
              <w:bottom w:val="nil"/>
            </w:tcBorders>
            <w:tcMar>
              <w:top w:w="10" w:type="dxa"/>
              <w:left w:w="108" w:type="dxa"/>
              <w:bottom w:w="0" w:type="dxa"/>
              <w:right w:w="108" w:type="dxa"/>
            </w:tcMar>
            <w:hideMark/>
          </w:tcPr>
          <w:p w14:paraId="7E5502F7" w14:textId="4E35321D" w:rsidR="00652137" w:rsidRPr="003878F9" w:rsidRDefault="00652137" w:rsidP="00652137">
            <w:pPr>
              <w:keepNext/>
              <w:keepLines/>
              <w:spacing w:before="0" w:after="0"/>
              <w:rPr>
                <w:rFonts w:ascii="Arial Narrow" w:eastAsia="Times New Roman" w:hAnsi="Arial Narrow" w:cs="Times New Roman"/>
                <w:strike/>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bottom w:val="nil"/>
              <w:right w:val="nil"/>
            </w:tcBorders>
            <w:tcMar>
              <w:top w:w="10" w:type="dxa"/>
              <w:left w:w="108" w:type="dxa"/>
              <w:bottom w:w="0" w:type="dxa"/>
              <w:right w:w="108" w:type="dxa"/>
            </w:tcMar>
          </w:tcPr>
          <w:p w14:paraId="1E5FC295" w14:textId="3D06F413" w:rsidR="00652137" w:rsidRPr="003878F9" w:rsidRDefault="00652137" w:rsidP="00652137">
            <w:pPr>
              <w:keepNext/>
              <w:keepLines/>
              <w:spacing w:before="0" w:after="0"/>
              <w:jc w:val="center"/>
              <w:rPr>
                <w:rFonts w:ascii="Arial Narrow" w:eastAsia="Times New Roman" w:hAnsi="Arial Narrow" w:cs="Times New Roman"/>
                <w:strike/>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left w:val="nil"/>
              <w:bottom w:val="nil"/>
            </w:tcBorders>
          </w:tcPr>
          <w:p w14:paraId="5AB8838D" w14:textId="69D07420" w:rsidR="00652137" w:rsidRPr="003878F9" w:rsidRDefault="00652137" w:rsidP="00652137">
            <w:pPr>
              <w:keepNext/>
              <w:keepLines/>
              <w:spacing w:before="0" w:after="0"/>
              <w:jc w:val="center"/>
              <w:rPr>
                <w:rFonts w:ascii="Arial Narrow" w:eastAsia="Times New Roman" w:hAnsi="Arial Narrow" w:cs="Times New Roman"/>
                <w:strike/>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top w:val="nil"/>
              <w:bottom w:val="nil"/>
              <w:right w:val="nil"/>
            </w:tcBorders>
            <w:tcMar>
              <w:top w:w="10" w:type="dxa"/>
              <w:left w:w="108" w:type="dxa"/>
              <w:bottom w:w="0" w:type="dxa"/>
              <w:right w:w="108" w:type="dxa"/>
            </w:tcMar>
            <w:hideMark/>
          </w:tcPr>
          <w:p w14:paraId="739BA59D" w14:textId="7D03D78C" w:rsidR="00652137" w:rsidRPr="003878F9" w:rsidRDefault="00652137" w:rsidP="00652137">
            <w:pPr>
              <w:keepNext/>
              <w:keepLines/>
              <w:spacing w:before="0" w:after="0"/>
              <w:jc w:val="center"/>
              <w:rPr>
                <w:rFonts w:ascii="Arial Narrow" w:eastAsia="Times New Roman" w:hAnsi="Arial Narrow" w:cs="Times New Roman"/>
                <w:strike/>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left w:val="nil"/>
              <w:bottom w:val="nil"/>
            </w:tcBorders>
          </w:tcPr>
          <w:p w14:paraId="352D7FBB" w14:textId="0AC3AD77" w:rsidR="00652137" w:rsidRPr="003878F9" w:rsidRDefault="00652137" w:rsidP="00652137">
            <w:pPr>
              <w:keepNext/>
              <w:keepLines/>
              <w:spacing w:before="0" w:after="0"/>
              <w:jc w:val="center"/>
              <w:rPr>
                <w:rFonts w:ascii="Arial Narrow" w:eastAsia="Times New Roman" w:hAnsi="Arial Narrow" w:cs="Times New Roman"/>
                <w:strike/>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bottom w:val="nil"/>
              <w:right w:val="nil"/>
            </w:tcBorders>
            <w:tcMar>
              <w:top w:w="10" w:type="dxa"/>
              <w:left w:w="108" w:type="dxa"/>
              <w:bottom w:w="0" w:type="dxa"/>
              <w:right w:w="108" w:type="dxa"/>
            </w:tcMar>
          </w:tcPr>
          <w:p w14:paraId="2D8A00FA" w14:textId="5D9144B9" w:rsidR="00652137" w:rsidRPr="003878F9" w:rsidRDefault="00652137" w:rsidP="00652137">
            <w:pPr>
              <w:keepNext/>
              <w:keepLines/>
              <w:spacing w:before="0" w:after="0"/>
              <w:jc w:val="center"/>
              <w:rPr>
                <w:rFonts w:ascii="Arial Narrow" w:eastAsia="Times New Roman" w:hAnsi="Arial Narrow" w:cs="Times New Roman"/>
                <w:strike/>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top w:val="nil"/>
              <w:left w:val="nil"/>
              <w:bottom w:val="nil"/>
            </w:tcBorders>
          </w:tcPr>
          <w:p w14:paraId="22543AB5" w14:textId="17711398" w:rsidR="00652137" w:rsidRPr="003878F9" w:rsidRDefault="00652137" w:rsidP="00652137">
            <w:pPr>
              <w:keepNext/>
              <w:keepLines/>
              <w:spacing w:before="0" w:after="0"/>
              <w:jc w:val="center"/>
              <w:rPr>
                <w:rFonts w:ascii="Arial Narrow" w:eastAsia="Times New Roman" w:hAnsi="Arial Narrow" w:cs="Times New Roman"/>
                <w:strike/>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458A82D6" w14:textId="77777777" w:rsidTr="003878F9">
        <w:trPr>
          <w:trHeight w:val="20"/>
        </w:trPr>
        <w:tc>
          <w:tcPr>
            <w:tcW w:w="988" w:type="dxa"/>
            <w:vMerge/>
            <w:tcMar>
              <w:left w:w="108" w:type="dxa"/>
              <w:right w:w="108" w:type="dxa"/>
            </w:tcMar>
            <w:hideMark/>
          </w:tcPr>
          <w:p w14:paraId="4E14749A" w14:textId="77777777"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p>
        </w:tc>
        <w:tc>
          <w:tcPr>
            <w:tcW w:w="1842" w:type="dxa"/>
            <w:tcBorders>
              <w:top w:val="nil"/>
              <w:bottom w:val="nil"/>
            </w:tcBorders>
            <w:tcMar>
              <w:top w:w="10" w:type="dxa"/>
              <w:left w:w="108" w:type="dxa"/>
              <w:bottom w:w="0" w:type="dxa"/>
              <w:right w:w="108" w:type="dxa"/>
            </w:tcMar>
            <w:hideMark/>
          </w:tcPr>
          <w:p w14:paraId="01CA0B7F" w14:textId="680959E6"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bottom w:val="nil"/>
              <w:right w:val="nil"/>
            </w:tcBorders>
            <w:tcMar>
              <w:top w:w="10" w:type="dxa"/>
              <w:left w:w="108" w:type="dxa"/>
              <w:bottom w:w="0" w:type="dxa"/>
              <w:right w:w="108" w:type="dxa"/>
            </w:tcMar>
          </w:tcPr>
          <w:p w14:paraId="3F27A88E" w14:textId="4ECE4848"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left w:val="nil"/>
              <w:bottom w:val="nil"/>
            </w:tcBorders>
          </w:tcPr>
          <w:p w14:paraId="6F7A29E0" w14:textId="49CAC8C9"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top w:val="nil"/>
              <w:bottom w:val="nil"/>
              <w:right w:val="nil"/>
            </w:tcBorders>
            <w:tcMar>
              <w:top w:w="10" w:type="dxa"/>
              <w:left w:w="108" w:type="dxa"/>
              <w:bottom w:w="0" w:type="dxa"/>
              <w:right w:w="108" w:type="dxa"/>
            </w:tcMar>
            <w:hideMark/>
          </w:tcPr>
          <w:p w14:paraId="3CA5627F" w14:textId="0385A702"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left w:val="nil"/>
              <w:bottom w:val="nil"/>
            </w:tcBorders>
          </w:tcPr>
          <w:p w14:paraId="2FC0802C" w14:textId="0FE25DE3"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bottom w:val="nil"/>
              <w:right w:val="nil"/>
            </w:tcBorders>
            <w:tcMar>
              <w:top w:w="10" w:type="dxa"/>
              <w:left w:w="108" w:type="dxa"/>
              <w:bottom w:w="0" w:type="dxa"/>
              <w:right w:w="108" w:type="dxa"/>
            </w:tcMar>
          </w:tcPr>
          <w:p w14:paraId="0701F041" w14:textId="2906451A"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top w:val="nil"/>
              <w:left w:val="nil"/>
              <w:bottom w:val="nil"/>
            </w:tcBorders>
          </w:tcPr>
          <w:p w14:paraId="706AA00A" w14:textId="39649EFD"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787384AA" w14:textId="77777777" w:rsidTr="003878F9">
        <w:trPr>
          <w:trHeight w:val="20"/>
        </w:trPr>
        <w:tc>
          <w:tcPr>
            <w:tcW w:w="988" w:type="dxa"/>
            <w:vMerge/>
            <w:tcMar>
              <w:left w:w="108" w:type="dxa"/>
              <w:right w:w="108" w:type="dxa"/>
            </w:tcMar>
            <w:hideMark/>
          </w:tcPr>
          <w:p w14:paraId="6DCA3876" w14:textId="77777777"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p>
        </w:tc>
        <w:tc>
          <w:tcPr>
            <w:tcW w:w="1842" w:type="dxa"/>
            <w:tcBorders>
              <w:top w:val="nil"/>
              <w:bottom w:val="nil"/>
            </w:tcBorders>
            <w:tcMar>
              <w:top w:w="10" w:type="dxa"/>
              <w:left w:w="108" w:type="dxa"/>
              <w:bottom w:w="0" w:type="dxa"/>
              <w:right w:w="108" w:type="dxa"/>
            </w:tcMar>
            <w:hideMark/>
          </w:tcPr>
          <w:p w14:paraId="01E4F637" w14:textId="643430A4" w:rsidR="00652137" w:rsidRPr="003878F9" w:rsidRDefault="00652137" w:rsidP="00652137">
            <w:pPr>
              <w:keepNext/>
              <w:keepLines/>
              <w:spacing w:before="0" w:after="0"/>
              <w:rPr>
                <w:rFonts w:ascii="Arial Narrow" w:eastAsia="Times New Roman" w:hAnsi="Arial Narrow" w:cs="Times New Roman"/>
                <w:snapToGrid w:val="0"/>
                <w:sz w:val="20"/>
                <w:szCs w:val="20"/>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bottom w:val="nil"/>
              <w:right w:val="nil"/>
            </w:tcBorders>
            <w:tcMar>
              <w:top w:w="10" w:type="dxa"/>
              <w:left w:w="108" w:type="dxa"/>
              <w:bottom w:w="0" w:type="dxa"/>
              <w:right w:w="108" w:type="dxa"/>
            </w:tcMar>
          </w:tcPr>
          <w:p w14:paraId="47C64C75" w14:textId="5AB7C1A7"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left w:val="nil"/>
              <w:bottom w:val="nil"/>
            </w:tcBorders>
          </w:tcPr>
          <w:p w14:paraId="1D70125B" w14:textId="413AF086"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top w:val="nil"/>
              <w:bottom w:val="nil"/>
              <w:right w:val="nil"/>
            </w:tcBorders>
            <w:tcMar>
              <w:top w:w="10" w:type="dxa"/>
              <w:left w:w="108" w:type="dxa"/>
              <w:bottom w:w="0" w:type="dxa"/>
              <w:right w:w="108" w:type="dxa"/>
            </w:tcMar>
            <w:hideMark/>
          </w:tcPr>
          <w:p w14:paraId="6F7CDC1C" w14:textId="0D2A2291"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left w:val="nil"/>
              <w:bottom w:val="nil"/>
            </w:tcBorders>
          </w:tcPr>
          <w:p w14:paraId="24152113" w14:textId="7A389505"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bottom w:val="nil"/>
              <w:right w:val="nil"/>
            </w:tcBorders>
            <w:tcMar>
              <w:top w:w="10" w:type="dxa"/>
              <w:left w:w="108" w:type="dxa"/>
              <w:bottom w:w="0" w:type="dxa"/>
              <w:right w:w="108" w:type="dxa"/>
            </w:tcMar>
            <w:hideMark/>
          </w:tcPr>
          <w:p w14:paraId="59A295F7" w14:textId="247CDF02"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top w:val="nil"/>
              <w:left w:val="nil"/>
              <w:bottom w:val="nil"/>
            </w:tcBorders>
          </w:tcPr>
          <w:p w14:paraId="4D600A2F" w14:textId="046000BC"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4A5359" w:rsidRPr="003878F9" w14:paraId="6F2B26ED" w14:textId="77777777" w:rsidTr="003878F9">
        <w:trPr>
          <w:trHeight w:val="20"/>
        </w:trPr>
        <w:tc>
          <w:tcPr>
            <w:tcW w:w="988" w:type="dxa"/>
            <w:vMerge/>
            <w:tcMar>
              <w:left w:w="108" w:type="dxa"/>
              <w:right w:w="108" w:type="dxa"/>
            </w:tcMar>
            <w:hideMark/>
          </w:tcPr>
          <w:p w14:paraId="02B55490" w14:textId="77777777"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p>
        </w:tc>
        <w:tc>
          <w:tcPr>
            <w:tcW w:w="1842" w:type="dxa"/>
            <w:tcBorders>
              <w:top w:val="nil"/>
            </w:tcBorders>
            <w:tcMar>
              <w:top w:w="10" w:type="dxa"/>
              <w:left w:w="108" w:type="dxa"/>
              <w:bottom w:w="0" w:type="dxa"/>
              <w:right w:w="108" w:type="dxa"/>
            </w:tcMar>
            <w:hideMark/>
          </w:tcPr>
          <w:p w14:paraId="0179D3E2" w14:textId="65840A65"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right w:val="nil"/>
            </w:tcBorders>
            <w:tcMar>
              <w:top w:w="10" w:type="dxa"/>
              <w:left w:w="108" w:type="dxa"/>
              <w:bottom w:w="0" w:type="dxa"/>
              <w:right w:w="108" w:type="dxa"/>
            </w:tcMar>
          </w:tcPr>
          <w:p w14:paraId="39C24817" w14:textId="568D1928"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top w:val="nil"/>
              <w:left w:val="nil"/>
            </w:tcBorders>
          </w:tcPr>
          <w:p w14:paraId="6D5473A9" w14:textId="158FA726"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top w:val="nil"/>
              <w:right w:val="nil"/>
            </w:tcBorders>
            <w:tcMar>
              <w:top w:w="10" w:type="dxa"/>
              <w:left w:w="108" w:type="dxa"/>
              <w:bottom w:w="0" w:type="dxa"/>
              <w:right w:w="108" w:type="dxa"/>
            </w:tcMar>
            <w:hideMark/>
          </w:tcPr>
          <w:p w14:paraId="5BE61B45" w14:textId="036A24A6"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left w:val="nil"/>
            </w:tcBorders>
          </w:tcPr>
          <w:p w14:paraId="25B11018" w14:textId="430C2A35"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top w:val="nil"/>
              <w:right w:val="nil"/>
            </w:tcBorders>
            <w:tcMar>
              <w:top w:w="10" w:type="dxa"/>
              <w:left w:w="108" w:type="dxa"/>
              <w:bottom w:w="0" w:type="dxa"/>
              <w:right w:w="108" w:type="dxa"/>
            </w:tcMar>
          </w:tcPr>
          <w:p w14:paraId="14C31D06" w14:textId="53F1D9A3"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top w:val="nil"/>
              <w:left w:val="nil"/>
            </w:tcBorders>
          </w:tcPr>
          <w:p w14:paraId="1C3D1A6A" w14:textId="44BBFF15"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r w:rsidR="00652137" w:rsidRPr="003878F9" w14:paraId="185B6811" w14:textId="77777777" w:rsidTr="003878F9">
        <w:trPr>
          <w:trHeight w:val="20"/>
        </w:trPr>
        <w:tc>
          <w:tcPr>
            <w:tcW w:w="988" w:type="dxa"/>
            <w:tcMar>
              <w:top w:w="15" w:type="dxa"/>
              <w:left w:w="108" w:type="dxa"/>
              <w:bottom w:w="0" w:type="dxa"/>
              <w:right w:w="108" w:type="dxa"/>
            </w:tcMar>
            <w:hideMark/>
          </w:tcPr>
          <w:p w14:paraId="65814ACE" w14:textId="7B359B92" w:rsidR="00652137" w:rsidRPr="003878F9" w:rsidRDefault="00652137" w:rsidP="00652137">
            <w:pPr>
              <w:keepNext/>
              <w:keepLines/>
              <w:spacing w:before="0" w:after="0"/>
              <w:rPr>
                <w:rFonts w:ascii="Arial Narrow" w:eastAsia="Times New Roman" w:hAnsi="Arial Narrow" w:cs="Times New Roman"/>
                <w:snapToGrid w:val="0"/>
                <w:sz w:val="20"/>
                <w:szCs w:val="24"/>
                <w:lang w:eastAsia="en-AU"/>
              </w:rPr>
            </w:pPr>
            <w:r w:rsidRPr="003878F9">
              <w:rPr>
                <w:rFonts w:ascii="Arial Narrow" w:eastAsia="Times New Roman" w:hAnsi="Arial Narrow" w:cs="Times New Roman"/>
                <w:b/>
                <w:bCs/>
                <w:snapToGrid w:val="0"/>
                <w:sz w:val="18"/>
                <w:szCs w:val="18"/>
                <w:lang w:eastAsia="en-AU"/>
              </w:rPr>
              <w:t>Redacted</w:t>
            </w:r>
          </w:p>
        </w:tc>
        <w:tc>
          <w:tcPr>
            <w:tcW w:w="1842" w:type="dxa"/>
            <w:tcMar>
              <w:top w:w="10" w:type="dxa"/>
              <w:left w:w="108" w:type="dxa"/>
              <w:bottom w:w="0" w:type="dxa"/>
              <w:right w:w="108" w:type="dxa"/>
            </w:tcMar>
            <w:hideMark/>
          </w:tcPr>
          <w:p w14:paraId="2C1FB2A7" w14:textId="529E332A" w:rsidR="00652137" w:rsidRPr="003878F9" w:rsidRDefault="00652137" w:rsidP="00652137">
            <w:pPr>
              <w:keepNext/>
              <w:keepLines/>
              <w:spacing w:before="0" w:after="0"/>
              <w:rPr>
                <w:rFonts w:ascii="Arial Narrow" w:eastAsia="Times New Roman" w:hAnsi="Arial Narrow" w:cs="Times New Roman"/>
                <w:snapToGrid w:val="0"/>
                <w:sz w:val="20"/>
                <w:szCs w:val="20"/>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right w:val="nil"/>
            </w:tcBorders>
            <w:tcMar>
              <w:top w:w="10" w:type="dxa"/>
              <w:left w:w="108" w:type="dxa"/>
              <w:bottom w:w="0" w:type="dxa"/>
              <w:right w:w="108" w:type="dxa"/>
            </w:tcMar>
          </w:tcPr>
          <w:p w14:paraId="57158722" w14:textId="7E0AE62C"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1134" w:type="dxa"/>
            <w:tcBorders>
              <w:left w:val="nil"/>
            </w:tcBorders>
          </w:tcPr>
          <w:p w14:paraId="6FEE14B7" w14:textId="1A1DA74E"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3" w:type="dxa"/>
            <w:tcBorders>
              <w:right w:val="nil"/>
            </w:tcBorders>
            <w:tcMar>
              <w:top w:w="10" w:type="dxa"/>
              <w:left w:w="108" w:type="dxa"/>
              <w:bottom w:w="0" w:type="dxa"/>
              <w:right w:w="108" w:type="dxa"/>
            </w:tcMar>
            <w:hideMark/>
          </w:tcPr>
          <w:p w14:paraId="1B9DA9DE" w14:textId="7EA81507"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left w:val="nil"/>
            </w:tcBorders>
          </w:tcPr>
          <w:p w14:paraId="0A8A6705" w14:textId="6490BE63"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92" w:type="dxa"/>
            <w:tcBorders>
              <w:right w:val="nil"/>
            </w:tcBorders>
            <w:tcMar>
              <w:top w:w="10" w:type="dxa"/>
              <w:left w:w="108" w:type="dxa"/>
              <w:bottom w:w="0" w:type="dxa"/>
              <w:right w:w="108" w:type="dxa"/>
            </w:tcMar>
            <w:hideMark/>
          </w:tcPr>
          <w:p w14:paraId="7A9ED539" w14:textId="113BA881"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c>
          <w:tcPr>
            <w:tcW w:w="941" w:type="dxa"/>
            <w:tcBorders>
              <w:left w:val="nil"/>
            </w:tcBorders>
          </w:tcPr>
          <w:p w14:paraId="3A66E491" w14:textId="6FFB4A6D" w:rsidR="00652137" w:rsidRPr="003878F9" w:rsidRDefault="00652137" w:rsidP="00652137">
            <w:pPr>
              <w:keepNext/>
              <w:keepLines/>
              <w:spacing w:before="0" w:after="0"/>
              <w:jc w:val="center"/>
              <w:rPr>
                <w:rFonts w:ascii="Arial Narrow" w:eastAsia="Times New Roman" w:hAnsi="Arial Narrow" w:cs="Times New Roman"/>
                <w:snapToGrid w:val="0"/>
                <w:sz w:val="18"/>
                <w:szCs w:val="18"/>
                <w:lang w:eastAsia="en-AU"/>
              </w:rPr>
            </w:pPr>
            <w:r w:rsidRPr="003878F9">
              <w:rPr>
                <w:rFonts w:ascii="Arial Narrow" w:eastAsia="Times New Roman" w:hAnsi="Arial Narrow" w:cs="Times New Roman"/>
                <w:b/>
                <w:bCs/>
                <w:snapToGrid w:val="0"/>
                <w:sz w:val="18"/>
                <w:szCs w:val="18"/>
                <w:lang w:eastAsia="en-AU"/>
              </w:rPr>
              <w:t>Redacted</w:t>
            </w:r>
          </w:p>
        </w:tc>
      </w:tr>
    </w:tbl>
    <w:p w14:paraId="05B42268" w14:textId="77777777" w:rsidR="00ED3599" w:rsidRPr="003878F9" w:rsidRDefault="00ED3599" w:rsidP="0039629C">
      <w:pPr>
        <w:keepNext/>
        <w:keepLines/>
        <w:tabs>
          <w:tab w:val="left" w:pos="284"/>
        </w:tabs>
        <w:spacing w:before="0" w:after="0"/>
        <w:rPr>
          <w:rFonts w:ascii="Arial Narrow" w:eastAsia="Times New Roman" w:hAnsi="Arial Narrow" w:cs="Arial"/>
          <w:snapToGrid w:val="0"/>
          <w:sz w:val="18"/>
          <w:lang w:eastAsia="en-AU"/>
        </w:rPr>
      </w:pPr>
      <w:r w:rsidRPr="003878F9">
        <w:rPr>
          <w:rFonts w:ascii="Arial Narrow" w:eastAsia="Times New Roman" w:hAnsi="Arial Narrow" w:cs="Arial"/>
          <w:snapToGrid w:val="0"/>
          <w:sz w:val="18"/>
          <w:lang w:eastAsia="en-AU"/>
        </w:rPr>
        <w:t>Source: Table 1.9, p42 of the submission</w:t>
      </w:r>
    </w:p>
    <w:p w14:paraId="6A98952B" w14:textId="08F4F1ED" w:rsidR="00ED3599" w:rsidRPr="003878F9" w:rsidRDefault="00376F1F" w:rsidP="0039629C">
      <w:pPr>
        <w:keepNext/>
        <w:keepLines/>
        <w:tabs>
          <w:tab w:val="left" w:pos="284"/>
        </w:tabs>
        <w:spacing w:before="0" w:after="0"/>
        <w:rPr>
          <w:rFonts w:ascii="Arial Narrow" w:eastAsia="Times New Roman" w:hAnsi="Arial Narrow" w:cs="Arial"/>
          <w:snapToGrid w:val="0"/>
          <w:sz w:val="18"/>
          <w:szCs w:val="18"/>
          <w:lang w:eastAsia="en-AU"/>
        </w:rPr>
      </w:pPr>
      <w:r w:rsidRPr="003878F9">
        <w:rPr>
          <w:rFonts w:ascii="Arial Narrow" w:eastAsia="Times New Roman" w:hAnsi="Arial Narrow" w:cs="Arial"/>
          <w:b/>
          <w:bCs/>
          <w:snapToGrid w:val="0"/>
          <w:sz w:val="18"/>
          <w:szCs w:val="18"/>
          <w:lang w:eastAsia="en-AU"/>
        </w:rPr>
        <w:t>Redacted</w:t>
      </w:r>
      <w:r w:rsidR="35A94513" w:rsidRPr="003878F9">
        <w:rPr>
          <w:rFonts w:ascii="Arial Narrow" w:eastAsia="Times New Roman" w:hAnsi="Arial Narrow" w:cs="Arial"/>
          <w:snapToGrid w:val="0"/>
          <w:sz w:val="18"/>
          <w:szCs w:val="18"/>
          <w:lang w:eastAsia="en-AU"/>
        </w:rPr>
        <w:t xml:space="preserve">; cfDNA = cell free deoxyribonucleic acid; </w:t>
      </w:r>
      <w:r w:rsidRPr="003878F9">
        <w:rPr>
          <w:rFonts w:ascii="Arial Narrow" w:eastAsia="Times New Roman" w:hAnsi="Arial Narrow" w:cs="Arial"/>
          <w:b/>
          <w:bCs/>
          <w:snapToGrid w:val="0"/>
          <w:sz w:val="18"/>
          <w:szCs w:val="18"/>
          <w:lang w:eastAsia="en-AU"/>
        </w:rPr>
        <w:t>Redacted</w:t>
      </w:r>
      <w:r w:rsidR="35A94513" w:rsidRPr="003878F9">
        <w:rPr>
          <w:rFonts w:ascii="Arial Narrow" w:eastAsia="Times New Roman" w:hAnsi="Arial Narrow" w:cs="Arial"/>
          <w:snapToGrid w:val="0"/>
          <w:sz w:val="18"/>
          <w:szCs w:val="18"/>
          <w:lang w:eastAsia="en-AU"/>
        </w:rPr>
        <w:t xml:space="preserve">; </w:t>
      </w:r>
      <w:r w:rsidR="35A94513" w:rsidRPr="003878F9">
        <w:rPr>
          <w:rFonts w:ascii="Arial Narrow" w:eastAsia="Times New Roman" w:hAnsi="Arial Narrow" w:cs="Arial"/>
          <w:i/>
          <w:iCs/>
          <w:snapToGrid w:val="0"/>
          <w:sz w:val="18"/>
          <w:szCs w:val="18"/>
          <w:lang w:eastAsia="en-AU"/>
        </w:rPr>
        <w:t>ESR1</w:t>
      </w:r>
      <w:r w:rsidR="35A94513" w:rsidRPr="003878F9">
        <w:rPr>
          <w:rFonts w:ascii="Arial Narrow" w:eastAsia="Times New Roman" w:hAnsi="Arial Narrow" w:cs="Arial"/>
          <w:snapToGrid w:val="0"/>
          <w:sz w:val="18"/>
          <w:szCs w:val="18"/>
          <w:lang w:eastAsia="en-AU"/>
        </w:rPr>
        <w:t xml:space="preserve"> = estrogen receptor 1; </w:t>
      </w:r>
      <w:proofErr w:type="spellStart"/>
      <w:r w:rsidR="35A94513" w:rsidRPr="003878F9">
        <w:rPr>
          <w:rFonts w:ascii="Arial Narrow" w:eastAsia="Times New Roman" w:hAnsi="Arial Narrow" w:cs="Arial"/>
          <w:snapToGrid w:val="0"/>
          <w:sz w:val="18"/>
          <w:szCs w:val="18"/>
          <w:lang w:eastAsia="en-AU"/>
        </w:rPr>
        <w:t>LBx</w:t>
      </w:r>
      <w:proofErr w:type="spellEnd"/>
      <w:r w:rsidR="35A94513" w:rsidRPr="003878F9">
        <w:rPr>
          <w:rFonts w:ascii="Arial Narrow" w:eastAsia="Times New Roman" w:hAnsi="Arial Narrow" w:cs="Arial"/>
          <w:snapToGrid w:val="0"/>
          <w:sz w:val="18"/>
          <w:szCs w:val="18"/>
          <w:lang w:eastAsia="en-AU"/>
        </w:rPr>
        <w:t xml:space="preserve"> = liquid biopsy; NGS = next generation sequencing; </w:t>
      </w:r>
      <w:r w:rsidRPr="003878F9">
        <w:rPr>
          <w:rFonts w:ascii="Arial Narrow" w:eastAsia="Times New Roman" w:hAnsi="Arial Narrow" w:cs="Arial"/>
          <w:b/>
          <w:bCs/>
          <w:snapToGrid w:val="0"/>
          <w:sz w:val="18"/>
          <w:szCs w:val="18"/>
          <w:lang w:eastAsia="en-AU"/>
        </w:rPr>
        <w:t>Redacted</w:t>
      </w:r>
    </w:p>
    <w:p w14:paraId="7A9F84F5" w14:textId="37F1C134" w:rsidR="00ED3599" w:rsidRPr="003878F9" w:rsidRDefault="35A94513" w:rsidP="0039629C">
      <w:pPr>
        <w:pStyle w:val="TableFigureFooter"/>
        <w:keepNext/>
        <w:keepLines/>
      </w:pPr>
      <w:r w:rsidRPr="003878F9">
        <w:rPr>
          <w:vertAlign w:val="superscript"/>
        </w:rPr>
        <w:t>a</w:t>
      </w:r>
      <w:r w:rsidRPr="003878F9">
        <w:t xml:space="preserve"> </w:t>
      </w:r>
      <w:proofErr w:type="spellStart"/>
      <w:r w:rsidRPr="003878F9">
        <w:t>LBx</w:t>
      </w:r>
      <w:proofErr w:type="spellEnd"/>
      <w:r w:rsidRPr="003878F9">
        <w:t xml:space="preserve"> / NGS (</w:t>
      </w:r>
      <w:r w:rsidR="00376F1F" w:rsidRPr="003878F9">
        <w:rPr>
          <w:b/>
          <w:bCs/>
          <w:szCs w:val="18"/>
        </w:rPr>
        <w:t>Redacted</w:t>
      </w:r>
      <w:r w:rsidRPr="003878F9">
        <w:t>)</w:t>
      </w:r>
    </w:p>
    <w:p w14:paraId="33101A97" w14:textId="508DB2E5" w:rsidR="00C905D6" w:rsidRPr="000A7BB0" w:rsidRDefault="35A94513" w:rsidP="00F47562">
      <w:pPr>
        <w:pStyle w:val="TableFigureFooter"/>
        <w:spacing w:after="240"/>
      </w:pPr>
      <w:r w:rsidRPr="003878F9">
        <w:rPr>
          <w:vertAlign w:val="superscript"/>
        </w:rPr>
        <w:t>b</w:t>
      </w:r>
      <w:r w:rsidRPr="003878F9">
        <w:t xml:space="preserve"> </w:t>
      </w:r>
      <w:proofErr w:type="spellStart"/>
      <w:r w:rsidRPr="003878F9">
        <w:t>LBx</w:t>
      </w:r>
      <w:proofErr w:type="spellEnd"/>
      <w:r w:rsidRPr="003878F9">
        <w:t xml:space="preserve"> / NGS (</w:t>
      </w:r>
      <w:r w:rsidR="00376F1F" w:rsidRPr="003878F9">
        <w:rPr>
          <w:b/>
          <w:bCs/>
          <w:szCs w:val="18"/>
        </w:rPr>
        <w:t>Redacted</w:t>
      </w:r>
      <w:r w:rsidRPr="003878F9">
        <w:t>)</w:t>
      </w:r>
    </w:p>
    <w:p w14:paraId="3ECE48C2" w14:textId="58F04842" w:rsidR="0063097D" w:rsidRPr="00F47562" w:rsidRDefault="00C905D6" w:rsidP="00F47562">
      <w:pPr>
        <w:tabs>
          <w:tab w:val="left" w:pos="284"/>
        </w:tabs>
        <w:spacing w:before="0"/>
        <w:rPr>
          <w:rFonts w:eastAsia="Times New Roman"/>
          <w:snapToGrid w:val="0"/>
          <w:lang w:eastAsia="en-AU"/>
        </w:rPr>
      </w:pPr>
      <w:r w:rsidRPr="00F47562">
        <w:rPr>
          <w:rFonts w:eastAsia="Times New Roman"/>
          <w:snapToGrid w:val="0"/>
          <w:lang w:eastAsia="en-AU"/>
        </w:rPr>
        <w:t xml:space="preserve">The commentary considered that, based on the information provided in the submission, it is unclear whether there is sufficient capacity in current Australian laboratories to meet testing requirements for </w:t>
      </w:r>
      <w:r w:rsidRPr="00F47562">
        <w:rPr>
          <w:rFonts w:eastAsia="Times New Roman"/>
          <w:i/>
          <w:iCs/>
          <w:snapToGrid w:val="0"/>
          <w:lang w:eastAsia="en-AU"/>
        </w:rPr>
        <w:t xml:space="preserve">ESR1 </w:t>
      </w:r>
      <w:r w:rsidRPr="00F47562">
        <w:rPr>
          <w:rFonts w:eastAsia="Times New Roman"/>
          <w:snapToGrid w:val="0"/>
          <w:lang w:eastAsia="en-AU"/>
        </w:rPr>
        <w:t>variants in ctDNA.</w:t>
      </w:r>
    </w:p>
    <w:p w14:paraId="526947A1" w14:textId="77777777" w:rsidR="007A30F5" w:rsidRPr="00F47562" w:rsidRDefault="007A30F5" w:rsidP="005A3674">
      <w:pPr>
        <w:pStyle w:val="MSACS2Heading2"/>
        <w:keepNext/>
        <w:keepLines/>
        <w:pageBreakBefore w:val="0"/>
        <w:rPr>
          <w:rFonts w:ascii="Franklin Gothic Book" w:hAnsi="Franklin Gothic Book"/>
          <w:snapToGrid w:val="0"/>
          <w:sz w:val="24"/>
          <w:szCs w:val="24"/>
          <w:lang w:eastAsia="en-AU"/>
        </w:rPr>
      </w:pPr>
      <w:r w:rsidRPr="00F47562">
        <w:rPr>
          <w:rFonts w:ascii="Franklin Gothic Book" w:hAnsi="Franklin Gothic Book"/>
          <w:snapToGrid w:val="0"/>
          <w:sz w:val="24"/>
          <w:szCs w:val="24"/>
          <w:lang w:eastAsia="en-AU"/>
        </w:rPr>
        <w:lastRenderedPageBreak/>
        <w:t>Drug</w:t>
      </w:r>
    </w:p>
    <w:p w14:paraId="2BEDC434" w14:textId="74165DD6" w:rsidR="0063097D" w:rsidRPr="00F47562" w:rsidRDefault="0063097D" w:rsidP="005A3674">
      <w:pPr>
        <w:pStyle w:val="ListParagraph"/>
        <w:keepNext/>
        <w:keepLines/>
      </w:pPr>
      <w:r>
        <w:t xml:space="preserve">The submission was made under the Therapeutic Goods Administration (TGA)/ Pharmaceutical Benefits Advisory Committee (PBAC) Parallel Process. </w:t>
      </w:r>
      <w:r w:rsidR="00106D6F" w:rsidRPr="00106D6F">
        <w:rPr>
          <w:b/>
          <w:bCs/>
        </w:rPr>
        <w:t>Redacted</w:t>
      </w:r>
      <w:r w:rsidR="00BC55C1" w:rsidRPr="00BC55C1">
        <w:rPr>
          <w:rStyle w:val="FootnoteReference"/>
        </w:rPr>
        <w:footnoteReference w:id="3"/>
      </w:r>
      <w:r w:rsidRPr="00BC55C1">
        <w:t>.</w:t>
      </w:r>
      <w:r w:rsidRPr="00106D6F">
        <w:t xml:space="preserve"> </w:t>
      </w:r>
    </w:p>
    <w:p w14:paraId="45BF4B78" w14:textId="0DAC0A91" w:rsidR="007A30F5" w:rsidRPr="00F47562" w:rsidRDefault="27E32243" w:rsidP="00BC55C1">
      <w:proofErr w:type="spellStart"/>
      <w:r w:rsidRPr="00F47562">
        <w:t>Elacestrant</w:t>
      </w:r>
      <w:proofErr w:type="spellEnd"/>
      <w:r w:rsidRPr="00F47562">
        <w:t xml:space="preserve"> was </w:t>
      </w:r>
      <w:r w:rsidR="00BC55C1">
        <w:rPr>
          <w:b/>
          <w:bCs/>
        </w:rPr>
        <w:t>redacted</w:t>
      </w:r>
      <w:r w:rsidR="00BC55C1" w:rsidRPr="00BC55C1">
        <w:rPr>
          <w:vertAlign w:val="superscript"/>
        </w:rPr>
        <w:t>2</w:t>
      </w:r>
      <w:r w:rsidR="712512CF">
        <w:t>.</w:t>
      </w:r>
    </w:p>
    <w:p w14:paraId="02C93F27" w14:textId="3CE6B5C4" w:rsidR="001E1827" w:rsidRPr="00F47562" w:rsidRDefault="00EE5014" w:rsidP="00252706">
      <w:pPr>
        <w:pStyle w:val="Heading2"/>
        <w:numPr>
          <w:ilvl w:val="0"/>
          <w:numId w:val="48"/>
        </w:numPr>
        <w:spacing w:after="240"/>
        <w:ind w:hanging="720"/>
        <w:rPr>
          <w:rFonts w:ascii="Franklin Gothic Medium" w:hAnsi="Franklin Gothic Medium"/>
          <w:b w:val="0"/>
          <w:i w:val="0"/>
          <w:snapToGrid/>
          <w:sz w:val="32"/>
          <w:szCs w:val="26"/>
        </w:rPr>
      </w:pPr>
      <w:bookmarkStart w:id="13" w:name="_Toc93044754"/>
      <w:bookmarkStart w:id="14" w:name="_Toc93322888"/>
      <w:bookmarkStart w:id="15" w:name="_Toc188374343"/>
      <w:bookmarkEnd w:id="13"/>
      <w:bookmarkEnd w:id="14"/>
      <w:r w:rsidRPr="00F47562">
        <w:rPr>
          <w:rFonts w:ascii="Franklin Gothic Medium" w:hAnsi="Franklin Gothic Medium"/>
          <w:b w:val="0"/>
          <w:i w:val="0"/>
          <w:snapToGrid/>
          <w:sz w:val="32"/>
          <w:szCs w:val="26"/>
        </w:rPr>
        <w:t>Proposal for public funding</w:t>
      </w:r>
      <w:bookmarkEnd w:id="15"/>
    </w:p>
    <w:p w14:paraId="7F9ACD87" w14:textId="77777777" w:rsidR="00C37F16" w:rsidRPr="00F47562" w:rsidRDefault="00C37F16" w:rsidP="00C37F16">
      <w:pPr>
        <w:pStyle w:val="MSACS2Heading2"/>
        <w:pageBreakBefore w:val="0"/>
        <w:rPr>
          <w:rFonts w:ascii="Franklin Gothic Book" w:hAnsi="Franklin Gothic Book"/>
          <w:snapToGrid w:val="0"/>
          <w:sz w:val="24"/>
          <w:szCs w:val="24"/>
          <w:lang w:eastAsia="en-AU"/>
        </w:rPr>
      </w:pPr>
      <w:r w:rsidRPr="00F47562">
        <w:rPr>
          <w:rFonts w:ascii="Franklin Gothic Book" w:hAnsi="Franklin Gothic Book"/>
          <w:snapToGrid w:val="0"/>
          <w:sz w:val="24"/>
          <w:szCs w:val="24"/>
          <w:lang w:eastAsia="en-AU"/>
        </w:rPr>
        <w:t>Test</w:t>
      </w:r>
    </w:p>
    <w:p w14:paraId="3E5978DF" w14:textId="5DC55A3E" w:rsidR="00C905D6" w:rsidRPr="00F47562" w:rsidRDefault="00C905D6" w:rsidP="00F47562">
      <w:pPr>
        <w:pStyle w:val="InstructionalText"/>
        <w:jc w:val="left"/>
        <w:rPr>
          <w:rFonts w:ascii="Franklin Gothic Book" w:hAnsi="Franklin Gothic Book"/>
          <w:color w:val="auto"/>
          <w:sz w:val="22"/>
        </w:rPr>
      </w:pPr>
      <w:r w:rsidRPr="00F47562">
        <w:rPr>
          <w:rFonts w:ascii="Franklin Gothic Book" w:hAnsi="Franklin Gothic Book"/>
          <w:color w:val="auto"/>
          <w:sz w:val="22"/>
        </w:rPr>
        <w:t xml:space="preserve">The proposed test was NGS testing for </w:t>
      </w:r>
      <w:r w:rsidRPr="00F47562">
        <w:rPr>
          <w:rFonts w:ascii="Franklin Gothic Book" w:hAnsi="Franklin Gothic Book"/>
          <w:i/>
          <w:iCs/>
          <w:color w:val="auto"/>
          <w:sz w:val="22"/>
        </w:rPr>
        <w:t>ESR1</w:t>
      </w:r>
      <w:r w:rsidRPr="00F47562">
        <w:rPr>
          <w:rFonts w:ascii="Franklin Gothic Book" w:hAnsi="Franklin Gothic Book"/>
          <w:color w:val="auto"/>
          <w:sz w:val="22"/>
        </w:rPr>
        <w:t xml:space="preserve"> variants in ctDNA extracted from blood plasma (liquid biopsy). The test sponsor was the submission applicant (clinical sponsor).</w:t>
      </w:r>
    </w:p>
    <w:p w14:paraId="097EDB6E" w14:textId="37E5991A" w:rsidR="00C905D6" w:rsidRPr="00F47562" w:rsidRDefault="00C905D6" w:rsidP="00F47562">
      <w:pPr>
        <w:rPr>
          <w:rFonts w:cs="Arial"/>
        </w:rPr>
      </w:pPr>
      <w:r w:rsidRPr="00F47562">
        <w:rPr>
          <w:rFonts w:cs="Arial"/>
        </w:rPr>
        <w:t>The submission stated that using NGS</w:t>
      </w:r>
      <w:r w:rsidR="7573F83D" w:rsidRPr="00F47562">
        <w:rPr>
          <w:rFonts w:cs="Arial"/>
        </w:rPr>
        <w:t>,</w:t>
      </w:r>
      <w:r w:rsidRPr="00F47562">
        <w:rPr>
          <w:rFonts w:cs="Arial"/>
        </w:rPr>
        <w:t xml:space="preserve"> the pathologist will be able to preselect the genes to identify - often referred to as a ‘testing panel’. This presents the opportunity to test for multiple tumour biomarkers at once to help inform treatment decisions, including </w:t>
      </w:r>
      <w:r w:rsidRPr="00F47562">
        <w:rPr>
          <w:rFonts w:cs="Arial"/>
          <w:i/>
          <w:iCs/>
        </w:rPr>
        <w:t>ESR1, PIK3CA</w:t>
      </w:r>
      <w:r w:rsidRPr="00F47562">
        <w:rPr>
          <w:rFonts w:cs="Arial"/>
        </w:rPr>
        <w:t xml:space="preserve">, </w:t>
      </w:r>
      <w:r w:rsidRPr="00F47562">
        <w:rPr>
          <w:rFonts w:cs="Arial"/>
          <w:i/>
          <w:iCs/>
        </w:rPr>
        <w:t>BRCA1/2</w:t>
      </w:r>
      <w:r w:rsidRPr="00F47562">
        <w:rPr>
          <w:rFonts w:cs="Arial"/>
        </w:rPr>
        <w:t xml:space="preserve"> and </w:t>
      </w:r>
      <w:r w:rsidRPr="00F47562">
        <w:rPr>
          <w:rFonts w:cs="Arial"/>
          <w:i/>
          <w:iCs/>
        </w:rPr>
        <w:t>PALB2</w:t>
      </w:r>
      <w:r w:rsidRPr="00F47562">
        <w:rPr>
          <w:rFonts w:cs="Arial"/>
        </w:rPr>
        <w:t xml:space="preserve">. Genetic testing for </w:t>
      </w:r>
      <w:r w:rsidRPr="00F47562">
        <w:rPr>
          <w:rFonts w:cs="Arial"/>
          <w:i/>
          <w:iCs/>
        </w:rPr>
        <w:t>BRCA1/2</w:t>
      </w:r>
      <w:r w:rsidRPr="00F47562">
        <w:rPr>
          <w:rFonts w:cs="Arial"/>
        </w:rPr>
        <w:t xml:space="preserve"> and </w:t>
      </w:r>
      <w:r w:rsidRPr="00F47562">
        <w:rPr>
          <w:rFonts w:cs="Arial"/>
          <w:i/>
          <w:iCs/>
        </w:rPr>
        <w:t>PALB2</w:t>
      </w:r>
      <w:r w:rsidRPr="00F47562">
        <w:rPr>
          <w:rFonts w:cs="Arial"/>
        </w:rPr>
        <w:t xml:space="preserve"> is currently listed on MBS (item 73297) while </w:t>
      </w:r>
      <w:r w:rsidR="2BCB6BB2" w:rsidRPr="00F47562">
        <w:rPr>
          <w:rFonts w:cs="Arial"/>
        </w:rPr>
        <w:t>PASC</w:t>
      </w:r>
      <w:r w:rsidRPr="00F47562">
        <w:rPr>
          <w:rFonts w:cs="Arial"/>
        </w:rPr>
        <w:t xml:space="preserve"> has previously considered</w:t>
      </w:r>
      <w:r w:rsidR="2EC11590" w:rsidRPr="00F47562">
        <w:rPr>
          <w:rFonts w:cs="Arial"/>
        </w:rPr>
        <w:t xml:space="preserve"> two applications for</w:t>
      </w:r>
      <w:r w:rsidRPr="00F47562">
        <w:rPr>
          <w:rFonts w:cs="Arial"/>
        </w:rPr>
        <w:t xml:space="preserve"> </w:t>
      </w:r>
      <w:r w:rsidRPr="00F47562">
        <w:rPr>
          <w:rFonts w:cs="Arial"/>
          <w:i/>
          <w:iCs/>
        </w:rPr>
        <w:t>PIK3CA</w:t>
      </w:r>
      <w:r w:rsidRPr="00F47562">
        <w:rPr>
          <w:rFonts w:cs="Arial"/>
        </w:rPr>
        <w:t xml:space="preserve"> variant testing</w:t>
      </w:r>
      <w:r w:rsidR="1DB6DD64" w:rsidRPr="00F47562">
        <w:rPr>
          <w:rFonts w:cs="Arial"/>
        </w:rPr>
        <w:t xml:space="preserve"> (application 1604 in </w:t>
      </w:r>
      <w:r w:rsidR="461749FA" w:rsidRPr="00F47562">
        <w:rPr>
          <w:rFonts w:cs="Arial"/>
        </w:rPr>
        <w:t>December 2019</w:t>
      </w:r>
      <w:r w:rsidR="00005751" w:rsidRPr="00F47562">
        <w:rPr>
          <w:rFonts w:cs="Arial"/>
          <w:vertAlign w:val="superscript"/>
        </w:rPr>
        <w:footnoteReference w:id="4"/>
      </w:r>
      <w:r w:rsidR="461749FA" w:rsidRPr="00F47562">
        <w:rPr>
          <w:rFonts w:cs="Arial"/>
        </w:rPr>
        <w:t xml:space="preserve"> and </w:t>
      </w:r>
      <w:r w:rsidR="363540E7" w:rsidRPr="00F47562">
        <w:rPr>
          <w:rFonts w:cs="Arial"/>
        </w:rPr>
        <w:t>application 1783 in A</w:t>
      </w:r>
      <w:r w:rsidR="3AED9407" w:rsidRPr="00F47562">
        <w:rPr>
          <w:rFonts w:cs="Arial"/>
        </w:rPr>
        <w:t>ugust</w:t>
      </w:r>
      <w:r w:rsidR="363540E7" w:rsidRPr="00F47562">
        <w:rPr>
          <w:rFonts w:cs="Arial"/>
        </w:rPr>
        <w:t xml:space="preserve"> 2024</w:t>
      </w:r>
      <w:r w:rsidR="00005751" w:rsidRPr="00F47562">
        <w:rPr>
          <w:rStyle w:val="FootnoteReference"/>
          <w:rFonts w:cs="Arial"/>
        </w:rPr>
        <w:footnoteReference w:id="5"/>
      </w:r>
      <w:r w:rsidR="363540E7" w:rsidRPr="00F47562">
        <w:rPr>
          <w:rFonts w:cs="Arial"/>
        </w:rPr>
        <w:t>)</w:t>
      </w:r>
      <w:r w:rsidR="3AED9407" w:rsidRPr="00F47562">
        <w:rPr>
          <w:rFonts w:cs="Arial"/>
        </w:rPr>
        <w:t>, although these applications have not yet progressed to or been considered by MSAC</w:t>
      </w:r>
      <w:r w:rsidRPr="00F47562">
        <w:rPr>
          <w:rFonts w:cs="Arial"/>
        </w:rPr>
        <w:t xml:space="preserve">. </w:t>
      </w:r>
    </w:p>
    <w:p w14:paraId="62B4CB53" w14:textId="1C1F35A9" w:rsidR="00C905D6" w:rsidRPr="00F47562" w:rsidRDefault="00C905D6" w:rsidP="00F47562">
      <w:pPr>
        <w:rPr>
          <w:rFonts w:eastAsia="Segoe UI"/>
        </w:rPr>
      </w:pPr>
      <w:r w:rsidRPr="00F47562">
        <w:t xml:space="preserve">Oncologists would assess eligibility of patients for </w:t>
      </w:r>
      <w:r w:rsidRPr="00F47562">
        <w:rPr>
          <w:i/>
          <w:iCs/>
        </w:rPr>
        <w:t>ESR1</w:t>
      </w:r>
      <w:r w:rsidRPr="00F47562">
        <w:t xml:space="preserve"> variant testing, draw a blood sample from the patient and send the sample to a clinical laboratory, or refer the patient to a clinical laboratory or collection point where a blood sample is drawn and samples are then sent to the clinical laboratory. </w:t>
      </w:r>
      <w:r w:rsidRPr="00F47562">
        <w:rPr>
          <w:rFonts w:eastAsia="Segoe UI"/>
        </w:rPr>
        <w:t>A registered molecular pathologist and/or a registered anatomical pathologist are responsible for conducting the detection, diagnosis and reporting of the pathology results which guide and determine treatment.</w:t>
      </w:r>
    </w:p>
    <w:p w14:paraId="4CE90A1D" w14:textId="473D03A1" w:rsidR="00C905D6" w:rsidRPr="00F47562" w:rsidRDefault="00C905D6" w:rsidP="00F47562">
      <w:pPr>
        <w:rPr>
          <w:rFonts w:cstheme="minorHAnsi"/>
        </w:rPr>
      </w:pPr>
      <w:r w:rsidRPr="00F47562">
        <w:rPr>
          <w:rFonts w:cstheme="minorHAnsi"/>
        </w:rPr>
        <w:t>The requested MBS item descriptor is presented in</w:t>
      </w:r>
      <w:r w:rsidR="0066326D" w:rsidRPr="00F47562">
        <w:rPr>
          <w:rFonts w:cstheme="minorHAnsi"/>
        </w:rPr>
        <w:t xml:space="preserve"> </w:t>
      </w:r>
      <w:r w:rsidR="0066326D" w:rsidRPr="00F47562">
        <w:rPr>
          <w:rFonts w:cstheme="minorHAnsi"/>
        </w:rPr>
        <w:fldChar w:fldCharType="begin"/>
      </w:r>
      <w:r w:rsidR="0066326D" w:rsidRPr="00F47562">
        <w:rPr>
          <w:rFonts w:cstheme="minorHAnsi"/>
        </w:rPr>
        <w:instrText xml:space="preserve"> REF _Ref188370449 \h </w:instrText>
      </w:r>
      <w:r w:rsidR="00F47562" w:rsidRPr="00F47562">
        <w:rPr>
          <w:rFonts w:cstheme="minorHAnsi"/>
        </w:rPr>
        <w:instrText xml:space="preserve"> \* MERGEFORMAT </w:instrText>
      </w:r>
      <w:r w:rsidR="0066326D" w:rsidRPr="00F47562">
        <w:rPr>
          <w:rFonts w:cstheme="minorHAnsi"/>
        </w:rPr>
      </w:r>
      <w:r w:rsidR="0066326D" w:rsidRPr="00F47562">
        <w:rPr>
          <w:rFonts w:cstheme="minorHAnsi"/>
        </w:rPr>
        <w:fldChar w:fldCharType="separate"/>
      </w:r>
      <w:r w:rsidR="00783158" w:rsidRPr="00783158">
        <w:t xml:space="preserve">Table </w:t>
      </w:r>
      <w:r w:rsidR="001F3154">
        <w:t>3</w:t>
      </w:r>
      <w:r w:rsidR="0066326D" w:rsidRPr="00F47562">
        <w:rPr>
          <w:rFonts w:cstheme="minorHAnsi"/>
        </w:rPr>
        <w:fldChar w:fldCharType="end"/>
      </w:r>
      <w:r w:rsidRPr="00F47562">
        <w:rPr>
          <w:rFonts w:cstheme="minorHAnsi"/>
        </w:rPr>
        <w:t>.</w:t>
      </w:r>
    </w:p>
    <w:p w14:paraId="2335E802" w14:textId="0EE084CD" w:rsidR="00C905D6" w:rsidRPr="000A7BB0" w:rsidRDefault="0066326D" w:rsidP="00FA75FE">
      <w:pPr>
        <w:pStyle w:val="Caption"/>
      </w:pPr>
      <w:bookmarkStart w:id="16" w:name="_Ref188370449"/>
      <w:r w:rsidRPr="000A7BB0">
        <w:t xml:space="preserve">Table </w:t>
      </w:r>
      <w:r w:rsidRPr="000A7BB0">
        <w:fldChar w:fldCharType="begin"/>
      </w:r>
      <w:r w:rsidRPr="000A7BB0">
        <w:instrText>SEQ Table_MSAC. \* ARABIC</w:instrText>
      </w:r>
      <w:r w:rsidRPr="000A7BB0">
        <w:fldChar w:fldCharType="separate"/>
      </w:r>
      <w:r w:rsidR="001F3154">
        <w:rPr>
          <w:noProof/>
        </w:rPr>
        <w:t>3</w:t>
      </w:r>
      <w:r w:rsidRPr="000A7BB0">
        <w:fldChar w:fldCharType="end"/>
      </w:r>
      <w:bookmarkEnd w:id="16"/>
      <w:r w:rsidRPr="000A7BB0">
        <w:t>: Proposed MBS item descriptor in the submission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905D6" w:rsidRPr="000A7BB0" w14:paraId="68938B9A" w14:textId="77777777" w:rsidTr="00470B01">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CFFBD" w14:textId="77777777" w:rsidR="00C905D6" w:rsidRPr="000A7BB0" w:rsidRDefault="00C905D6" w:rsidP="00D62AE5">
            <w:pPr>
              <w:widowControl w:val="0"/>
              <w:spacing w:before="40" w:after="120"/>
              <w:contextualSpacing/>
              <w:rPr>
                <w:rFonts w:ascii="Arial Narrow" w:eastAsia="Times New Roman" w:hAnsi="Arial Narrow" w:cs="Tahoma"/>
                <w:bCs/>
                <w:sz w:val="20"/>
                <w:szCs w:val="20"/>
              </w:rPr>
            </w:pPr>
            <w:r w:rsidRPr="000A7BB0">
              <w:rPr>
                <w:rFonts w:ascii="Arial Narrow" w:eastAsia="Times New Roman" w:hAnsi="Arial Narrow" w:cs="Tahoma"/>
                <w:bCs/>
                <w:sz w:val="20"/>
                <w:szCs w:val="20"/>
              </w:rPr>
              <w:t>Category 6 – Pathology Services</w:t>
            </w:r>
          </w:p>
          <w:p w14:paraId="661256A9" w14:textId="37CE6F9F" w:rsidR="00D62AE5" w:rsidRPr="000A7BB0" w:rsidRDefault="00D62AE5" w:rsidP="00D62AE5">
            <w:pPr>
              <w:widowControl w:val="0"/>
              <w:spacing w:before="40" w:after="120"/>
              <w:jc w:val="right"/>
              <w:rPr>
                <w:rFonts w:ascii="Arial Narrow" w:hAnsi="Arial Narrow"/>
                <w:bCs/>
              </w:rPr>
            </w:pPr>
            <w:r w:rsidRPr="000A7BB0">
              <w:rPr>
                <w:rFonts w:ascii="Arial Narrow" w:eastAsia="Times New Roman" w:hAnsi="Arial Narrow" w:cs="Tahoma"/>
                <w:bCs/>
                <w:sz w:val="20"/>
                <w:szCs w:val="20"/>
              </w:rPr>
              <w:t>Group P7 - Genetics</w:t>
            </w:r>
          </w:p>
        </w:tc>
      </w:tr>
      <w:tr w:rsidR="00C905D6" w:rsidRPr="000A7BB0" w14:paraId="25C24DF6" w14:textId="77777777" w:rsidTr="00470B01">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F7699" w14:textId="2ADA4378" w:rsidR="00C905D6" w:rsidRPr="000A7BB0" w:rsidRDefault="00C905D6" w:rsidP="00052B77">
            <w:pPr>
              <w:tabs>
                <w:tab w:val="left" w:pos="7346"/>
              </w:tabs>
              <w:spacing w:before="40" w:after="120"/>
              <w:rPr>
                <w:rFonts w:ascii="Arial Narrow" w:eastAsia="Times New Roman" w:hAnsi="Arial Narrow" w:cs="Tahoma"/>
                <w:bCs/>
                <w:sz w:val="20"/>
                <w:szCs w:val="20"/>
                <w:lang w:eastAsia="en-AU"/>
              </w:rPr>
            </w:pPr>
            <w:r w:rsidRPr="000A7BB0">
              <w:rPr>
                <w:rFonts w:ascii="Arial Narrow" w:eastAsia="Times New Roman" w:hAnsi="Arial Narrow" w:cs="Tahoma"/>
                <w:bCs/>
                <w:sz w:val="20"/>
                <w:szCs w:val="20"/>
              </w:rPr>
              <w:t xml:space="preserve">Proposed item descriptor XXXXX  </w:t>
            </w:r>
          </w:p>
          <w:p w14:paraId="0C55BBC1" w14:textId="282BB3E8" w:rsidR="00C905D6" w:rsidRPr="000A7BB0" w:rsidRDefault="00C905D6" w:rsidP="00052B77">
            <w:pPr>
              <w:keepNext/>
              <w:keepLines/>
              <w:spacing w:before="40" w:after="120"/>
              <w:rPr>
                <w:rFonts w:ascii="Arial Narrow" w:eastAsia="Times New Roman" w:hAnsi="Arial Narrow" w:cs="Arial"/>
                <w:sz w:val="20"/>
                <w:szCs w:val="20"/>
                <w:lang w:eastAsia="en-AU"/>
              </w:rPr>
            </w:pPr>
            <w:r w:rsidRPr="000A7BB0">
              <w:rPr>
                <w:rFonts w:ascii="Arial Narrow" w:eastAsia="Times New Roman" w:hAnsi="Arial Narrow" w:cs="Tahoma"/>
                <w:sz w:val="20"/>
                <w:szCs w:val="20"/>
                <w:lang w:eastAsia="en-AU"/>
              </w:rPr>
              <w:t xml:space="preserve">Next generation sequencing (NGS) test for </w:t>
            </w:r>
            <w:r w:rsidRPr="000A7BB0">
              <w:rPr>
                <w:rFonts w:ascii="Arial Narrow" w:eastAsia="Times New Roman" w:hAnsi="Arial Narrow" w:cs="Arial"/>
                <w:i/>
                <w:iCs/>
                <w:sz w:val="20"/>
                <w:szCs w:val="20"/>
                <w:lang w:eastAsia="en-AU"/>
              </w:rPr>
              <w:t>ESR1</w:t>
            </w:r>
            <w:r w:rsidRPr="000A7BB0">
              <w:rPr>
                <w:rFonts w:ascii="Arial Narrow" w:eastAsia="Times New Roman" w:hAnsi="Arial Narrow" w:cs="Arial"/>
                <w:sz w:val="20"/>
                <w:szCs w:val="20"/>
                <w:lang w:eastAsia="en-AU"/>
              </w:rPr>
              <w:t xml:space="preserve"> variants by</w:t>
            </w:r>
            <w:r w:rsidRPr="000A7BB0">
              <w:rPr>
                <w:rFonts w:ascii="Arial Narrow" w:eastAsia="Times New Roman" w:hAnsi="Arial Narrow" w:cs="Tahoma"/>
                <w:sz w:val="20"/>
                <w:szCs w:val="20"/>
                <w:lang w:eastAsia="en-AU"/>
              </w:rPr>
              <w:t xml:space="preserve"> </w:t>
            </w:r>
            <w:r w:rsidRPr="000A7BB0">
              <w:rPr>
                <w:rFonts w:ascii="Arial Narrow" w:eastAsia="Times New Roman" w:hAnsi="Arial Narrow" w:cs="Arial"/>
                <w:sz w:val="20"/>
                <w:szCs w:val="20"/>
                <w:lang w:eastAsia="en-AU"/>
              </w:rPr>
              <w:t xml:space="preserve">ctDNA extracted from blood plasma from a patient with locally advanced or metastatic ER-positive, HER2-negative breast cancer. </w:t>
            </w:r>
          </w:p>
          <w:p w14:paraId="50108B71" w14:textId="26E3B9D1" w:rsidR="00C905D6" w:rsidRPr="000A7BB0" w:rsidRDefault="00C905D6" w:rsidP="74877A7E">
            <w:pPr>
              <w:keepNext/>
              <w:keepLines/>
              <w:spacing w:before="40" w:after="120"/>
              <w:rPr>
                <w:rFonts w:ascii="Arial Narrow" w:eastAsia="Times New Roman" w:hAnsi="Arial Narrow" w:cs="Tahoma"/>
                <w:b/>
                <w:bCs/>
                <w:sz w:val="20"/>
                <w:szCs w:val="20"/>
                <w:lang w:eastAsia="en-AU"/>
              </w:rPr>
            </w:pPr>
            <w:r w:rsidRPr="000A7BB0">
              <w:rPr>
                <w:rFonts w:ascii="Arial Narrow" w:eastAsia="Times New Roman" w:hAnsi="Arial Narrow" w:cs="Arial"/>
                <w:sz w:val="20"/>
                <w:szCs w:val="20"/>
                <w:lang w:eastAsia="en-AU"/>
              </w:rPr>
              <w:t xml:space="preserve">As requested by a specialist or consultant physician, to determine </w:t>
            </w:r>
            <w:r w:rsidRPr="000A7BB0">
              <w:rPr>
                <w:rFonts w:ascii="Arial Narrow" w:eastAsia="Times New Roman" w:hAnsi="Arial Narrow" w:cs="Tahoma"/>
                <w:sz w:val="20"/>
                <w:szCs w:val="20"/>
                <w:lang w:eastAsia="en-AU"/>
              </w:rPr>
              <w:t xml:space="preserve">if requirements relating to </w:t>
            </w:r>
            <w:r w:rsidRPr="000A7BB0">
              <w:rPr>
                <w:rFonts w:ascii="Arial Narrow" w:eastAsia="Times New Roman" w:hAnsi="Arial Narrow" w:cs="Tahoma"/>
                <w:i/>
                <w:iCs/>
                <w:sz w:val="20"/>
                <w:szCs w:val="20"/>
                <w:lang w:eastAsia="en-AU"/>
              </w:rPr>
              <w:t>ESR1</w:t>
            </w:r>
            <w:r w:rsidRPr="000A7BB0">
              <w:rPr>
                <w:rFonts w:ascii="Arial Narrow" w:eastAsia="Times New Roman" w:hAnsi="Arial Narrow" w:cs="Tahoma"/>
                <w:sz w:val="20"/>
                <w:szCs w:val="20"/>
                <w:lang w:eastAsia="en-AU"/>
              </w:rPr>
              <w:t xml:space="preserve"> variant status for access to estrogen receptor inhibitors under the Pharmaceutical Benefits Scheme are fulfilled.</w:t>
            </w:r>
          </w:p>
        </w:tc>
      </w:tr>
      <w:tr w:rsidR="00C905D6" w:rsidRPr="000A7BB0" w14:paraId="65D5D408" w14:textId="77777777" w:rsidTr="00470B01">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359D07" w14:textId="344F43D4" w:rsidR="00C905D6" w:rsidRPr="000A7BB0" w:rsidRDefault="258752C8" w:rsidP="74877A7E">
            <w:pPr>
              <w:widowControl w:val="0"/>
              <w:spacing w:before="40" w:after="120"/>
              <w:rPr>
                <w:rFonts w:ascii="Arial Narrow" w:hAnsi="Arial Narrow"/>
                <w:sz w:val="20"/>
                <w:szCs w:val="20"/>
              </w:rPr>
            </w:pPr>
            <w:r w:rsidRPr="00416C75">
              <w:rPr>
                <w:rFonts w:ascii="Arial Narrow" w:eastAsia="Times New Roman" w:hAnsi="Arial Narrow" w:cs="Tahoma"/>
                <w:sz w:val="20"/>
                <w:szCs w:val="20"/>
              </w:rPr>
              <w:t>Fee: $1,500.00  Benefit: 75% = $1,125  85% = $1,</w:t>
            </w:r>
            <w:r w:rsidR="1B9559B4" w:rsidRPr="00416C75">
              <w:rPr>
                <w:rFonts w:ascii="Arial Narrow" w:eastAsia="Times New Roman" w:hAnsi="Arial Narrow" w:cs="Tahoma"/>
                <w:sz w:val="20"/>
                <w:szCs w:val="20"/>
              </w:rPr>
              <w:t>397.60</w:t>
            </w:r>
          </w:p>
        </w:tc>
      </w:tr>
    </w:tbl>
    <w:p w14:paraId="5734237A" w14:textId="486E9F55" w:rsidR="00C905D6" w:rsidRPr="00F47562" w:rsidRDefault="00FA6B1D" w:rsidP="00F47562">
      <w:pPr>
        <w:tabs>
          <w:tab w:val="left" w:pos="284"/>
        </w:tabs>
        <w:spacing w:before="0"/>
        <w:rPr>
          <w:rFonts w:ascii="Arial Narrow" w:eastAsia="Times New Roman" w:hAnsi="Arial Narrow" w:cs="Arial"/>
          <w:snapToGrid w:val="0"/>
          <w:sz w:val="18"/>
          <w:lang w:eastAsia="en-AU"/>
        </w:rPr>
      </w:pPr>
      <w:r w:rsidRPr="000A7BB0">
        <w:rPr>
          <w:rFonts w:ascii="Arial Narrow" w:eastAsia="Times New Roman" w:hAnsi="Arial Narrow" w:cs="Arial"/>
          <w:snapToGrid w:val="0"/>
          <w:sz w:val="18"/>
          <w:lang w:eastAsia="en-AU"/>
        </w:rPr>
        <w:t>Source: Table 1.14, p</w:t>
      </w:r>
      <w:r w:rsidR="002F5E65" w:rsidRPr="000A7BB0">
        <w:rPr>
          <w:rFonts w:ascii="Arial Narrow" w:eastAsia="Times New Roman" w:hAnsi="Arial Narrow" w:cs="Arial"/>
          <w:snapToGrid w:val="0"/>
          <w:sz w:val="18"/>
          <w:lang w:eastAsia="en-AU"/>
        </w:rPr>
        <w:t>57</w:t>
      </w:r>
      <w:r w:rsidRPr="000A7BB0">
        <w:rPr>
          <w:rFonts w:ascii="Arial Narrow" w:eastAsia="Times New Roman" w:hAnsi="Arial Narrow" w:cs="Arial"/>
          <w:snapToGrid w:val="0"/>
          <w:sz w:val="18"/>
          <w:lang w:eastAsia="en-AU"/>
        </w:rPr>
        <w:t xml:space="preserve"> of the submission</w:t>
      </w:r>
    </w:p>
    <w:p w14:paraId="0641E0BB" w14:textId="77777777" w:rsidR="00C905D6" w:rsidRPr="00F47562" w:rsidRDefault="00C905D6" w:rsidP="00F47562">
      <w:pPr>
        <w:spacing w:before="0" w:after="120"/>
        <w:rPr>
          <w:rFonts w:eastAsia="Times New Roman"/>
          <w:snapToGrid w:val="0"/>
          <w:lang w:eastAsia="en-AU"/>
        </w:rPr>
      </w:pPr>
      <w:r w:rsidRPr="00F47562">
        <w:rPr>
          <w:rFonts w:eastAsia="Times New Roman"/>
          <w:snapToGrid w:val="0"/>
          <w:lang w:eastAsia="en-AU"/>
        </w:rPr>
        <w:lastRenderedPageBreak/>
        <w:t>The commentary noted the proposed MBS item descriptor differed from the agreed descriptor in the MSAC PICO confirmation (Table 3, p17, 1782 Ratified PICO Confirmation, August 2024 PASC Meeting).</w:t>
      </w:r>
    </w:p>
    <w:p w14:paraId="28571E82" w14:textId="6A142D3E" w:rsidR="00C905D6" w:rsidRPr="00F47562" w:rsidRDefault="00C905D6" w:rsidP="00F47562">
      <w:pPr>
        <w:spacing w:before="0" w:after="120"/>
        <w:rPr>
          <w:rFonts w:eastAsia="Times New Roman"/>
          <w:snapToGrid w:val="0"/>
          <w:lang w:eastAsia="en-AU"/>
        </w:rPr>
      </w:pPr>
      <w:r w:rsidRPr="00F47562">
        <w:rPr>
          <w:rFonts w:eastAsia="Times New Roman"/>
          <w:snapToGrid w:val="0"/>
          <w:lang w:eastAsia="en-AU"/>
        </w:rPr>
        <w:t>Firstly, the commentary noted that while the agreed descriptor was method</w:t>
      </w:r>
      <w:r w:rsidR="66BC232F" w:rsidRPr="00F47562">
        <w:rPr>
          <w:rFonts w:eastAsia="Times New Roman"/>
          <w:snapToGrid w:val="0"/>
          <w:lang w:eastAsia="en-AU"/>
        </w:rPr>
        <w:t>-</w:t>
      </w:r>
      <w:r w:rsidRPr="00F47562">
        <w:rPr>
          <w:rFonts w:eastAsia="Times New Roman"/>
          <w:snapToGrid w:val="0"/>
          <w:lang w:eastAsia="en-AU"/>
        </w:rPr>
        <w:t xml:space="preserve">agnostic, the </w:t>
      </w:r>
      <w:r w:rsidR="4DF7BB13" w:rsidRPr="00F47562">
        <w:rPr>
          <w:rFonts w:eastAsia="Times New Roman"/>
          <w:snapToGrid w:val="0"/>
          <w:lang w:eastAsia="en-AU"/>
        </w:rPr>
        <w:t>current</w:t>
      </w:r>
      <w:r w:rsidR="0CF9B9AF" w:rsidRPr="00F47562">
        <w:rPr>
          <w:rFonts w:eastAsia="Times New Roman"/>
          <w:snapToGrid w:val="0"/>
          <w:lang w:eastAsia="en-AU"/>
        </w:rPr>
        <w:t xml:space="preserve"> </w:t>
      </w:r>
      <w:r w:rsidRPr="00F47562">
        <w:rPr>
          <w:rFonts w:eastAsia="Times New Roman"/>
          <w:snapToGrid w:val="0"/>
          <w:lang w:eastAsia="en-AU"/>
        </w:rPr>
        <w:t>proposed descriptor specifies that testing must use NGS. PASC noted the department preference for method agnostic items but considered that justification for test methodology specific items should be included in the assessment (p17, 1782 Ratified PICO Confirmation, August 2024 PASC Meeting). The commentary considered that the performance of NGS over alternative test methodologies (digital droplet polymerase chain reaction [</w:t>
      </w:r>
      <w:proofErr w:type="spellStart"/>
      <w:r w:rsidRPr="00F47562">
        <w:rPr>
          <w:rFonts w:eastAsia="Times New Roman"/>
          <w:snapToGrid w:val="0"/>
          <w:lang w:eastAsia="en-AU"/>
        </w:rPr>
        <w:t>ddPCR</w:t>
      </w:r>
      <w:proofErr w:type="spellEnd"/>
      <w:r w:rsidRPr="00F47562">
        <w:rPr>
          <w:rFonts w:eastAsia="Times New Roman"/>
          <w:snapToGrid w:val="0"/>
          <w:lang w:eastAsia="en-AU"/>
        </w:rPr>
        <w:t>], quantitative polymerase chain reaction [qPCR]) was not adequately demonstrated in the submission</w:t>
      </w:r>
      <w:r w:rsidR="192ABD13" w:rsidRPr="00F47562">
        <w:rPr>
          <w:rFonts w:eastAsia="Times New Roman"/>
          <w:snapToGrid w:val="0"/>
          <w:lang w:eastAsia="en-AU"/>
        </w:rPr>
        <w:t xml:space="preserve"> (</w:t>
      </w:r>
      <w:r w:rsidR="4D8EA40E" w:rsidRPr="00F47562">
        <w:rPr>
          <w:rFonts w:eastAsia="Times New Roman"/>
          <w:snapToGrid w:val="0"/>
          <w:lang w:eastAsia="en-AU"/>
        </w:rPr>
        <w:t>very limited</w:t>
      </w:r>
      <w:r w:rsidR="192ABD13" w:rsidRPr="00F47562">
        <w:rPr>
          <w:rFonts w:eastAsia="Times New Roman"/>
          <w:snapToGrid w:val="0"/>
          <w:lang w:eastAsia="en-AU"/>
        </w:rPr>
        <w:t xml:space="preserve"> evidence extraction, summary or synthesis was presented in the submission based on the identified literature</w:t>
      </w:r>
      <w:r w:rsidR="6525A659" w:rsidRPr="00F47562">
        <w:rPr>
          <w:rFonts w:eastAsia="Times New Roman"/>
          <w:snapToGrid w:val="0"/>
          <w:lang w:eastAsia="en-AU"/>
        </w:rPr>
        <w:t xml:space="preserve"> such that it was unclear what</w:t>
      </w:r>
      <w:r w:rsidR="0EA8656E" w:rsidRPr="00F47562">
        <w:rPr>
          <w:rFonts w:eastAsia="Times New Roman"/>
          <w:snapToGrid w:val="0"/>
          <w:lang w:eastAsia="en-AU"/>
        </w:rPr>
        <w:t xml:space="preserve"> conclusions could be drawn</w:t>
      </w:r>
      <w:r w:rsidR="192ABD13" w:rsidRPr="00F47562">
        <w:rPr>
          <w:rFonts w:eastAsia="Times New Roman"/>
          <w:snapToGrid w:val="0"/>
          <w:lang w:eastAsia="en-AU"/>
        </w:rPr>
        <w:t>)</w:t>
      </w:r>
      <w:r w:rsidRPr="00F47562">
        <w:rPr>
          <w:rFonts w:eastAsia="Times New Roman"/>
          <w:snapToGrid w:val="0"/>
          <w:lang w:eastAsia="en-AU"/>
        </w:rPr>
        <w:t xml:space="preserve">. </w:t>
      </w:r>
      <w:r w:rsidR="77B6AB7F" w:rsidRPr="00F47562">
        <w:rPr>
          <w:rFonts w:eastAsia="Times New Roman"/>
          <w:snapToGrid w:val="0"/>
          <w:lang w:eastAsia="en-AU"/>
        </w:rPr>
        <w:t xml:space="preserve">In </w:t>
      </w:r>
      <w:r w:rsidR="0FF2E1B8" w:rsidRPr="00F47562">
        <w:rPr>
          <w:rFonts w:eastAsia="Times New Roman"/>
          <w:snapToGrid w:val="0"/>
          <w:lang w:eastAsia="en-AU"/>
        </w:rPr>
        <w:t>contrast,</w:t>
      </w:r>
      <w:r w:rsidR="46078545" w:rsidRPr="00F47562">
        <w:rPr>
          <w:rFonts w:eastAsia="Times New Roman"/>
          <w:snapToGrid w:val="0"/>
          <w:lang w:eastAsia="en-AU"/>
        </w:rPr>
        <w:t xml:space="preserve"> one of the </w:t>
      </w:r>
      <w:r w:rsidR="70C8F232" w:rsidRPr="00F47562">
        <w:rPr>
          <w:rFonts w:eastAsia="Times New Roman"/>
          <w:snapToGrid w:val="0"/>
          <w:lang w:eastAsia="en-AU"/>
        </w:rPr>
        <w:t>few studies</w:t>
      </w:r>
      <w:r w:rsidR="46078545" w:rsidRPr="00F47562">
        <w:rPr>
          <w:rFonts w:eastAsia="Times New Roman"/>
          <w:snapToGrid w:val="0"/>
          <w:lang w:eastAsia="en-AU"/>
        </w:rPr>
        <w:t xml:space="preserve"> presented </w:t>
      </w:r>
      <w:r w:rsidR="70C8F232" w:rsidRPr="00F47562">
        <w:rPr>
          <w:rFonts w:eastAsia="Times New Roman"/>
          <w:snapToGrid w:val="0"/>
          <w:lang w:eastAsia="en-AU"/>
        </w:rPr>
        <w:t xml:space="preserve">in any detail </w:t>
      </w:r>
      <w:r w:rsidR="46078545" w:rsidRPr="00F47562">
        <w:rPr>
          <w:rFonts w:eastAsia="Times New Roman"/>
          <w:snapToGrid w:val="0"/>
          <w:lang w:eastAsia="en-AU"/>
        </w:rPr>
        <w:t>for this assessment</w:t>
      </w:r>
      <w:r w:rsidR="70C8F232" w:rsidRPr="00F47562">
        <w:rPr>
          <w:rFonts w:eastAsia="Times New Roman"/>
          <w:snapToGrid w:val="0"/>
          <w:lang w:eastAsia="en-AU"/>
        </w:rPr>
        <w:t>,</w:t>
      </w:r>
      <w:r w:rsidR="46078545" w:rsidRPr="00F47562">
        <w:rPr>
          <w:rFonts w:eastAsia="Times New Roman"/>
          <w:snapToGrid w:val="0"/>
          <w:lang w:eastAsia="en-AU"/>
        </w:rPr>
        <w:t xml:space="preserve"> noted that </w:t>
      </w:r>
      <w:r w:rsidR="56E9EEBC" w:rsidRPr="00F47562">
        <w:rPr>
          <w:rFonts w:eastAsia="Times New Roman"/>
          <w:snapToGrid w:val="0"/>
          <w:lang w:eastAsia="en-AU"/>
        </w:rPr>
        <w:t xml:space="preserve">while both </w:t>
      </w:r>
      <w:proofErr w:type="spellStart"/>
      <w:r w:rsidR="14A6F932" w:rsidRPr="00F47562">
        <w:rPr>
          <w:rFonts w:eastAsia="Times New Roman"/>
          <w:snapToGrid w:val="0"/>
          <w:lang w:eastAsia="en-AU"/>
        </w:rPr>
        <w:t>ddPCR</w:t>
      </w:r>
      <w:proofErr w:type="spellEnd"/>
      <w:r w:rsidR="14A6F932" w:rsidRPr="00F47562">
        <w:rPr>
          <w:rFonts w:eastAsia="Times New Roman"/>
          <w:snapToGrid w:val="0"/>
          <w:lang w:eastAsia="en-AU"/>
        </w:rPr>
        <w:t xml:space="preserve"> </w:t>
      </w:r>
      <w:r w:rsidR="56E9EEBC" w:rsidRPr="00F47562">
        <w:rPr>
          <w:rFonts w:eastAsia="Times New Roman"/>
          <w:snapToGrid w:val="0"/>
          <w:lang w:eastAsia="en-AU"/>
        </w:rPr>
        <w:t xml:space="preserve">and </w:t>
      </w:r>
      <w:r w:rsidR="14A6F932" w:rsidRPr="00F47562">
        <w:rPr>
          <w:rFonts w:eastAsia="Times New Roman"/>
          <w:snapToGrid w:val="0"/>
          <w:lang w:eastAsia="en-AU"/>
        </w:rPr>
        <w:t xml:space="preserve">NGS </w:t>
      </w:r>
      <w:r w:rsidR="56E9EEBC" w:rsidRPr="00F47562">
        <w:rPr>
          <w:rFonts w:eastAsia="Times New Roman"/>
          <w:snapToGrid w:val="0"/>
          <w:lang w:eastAsia="en-AU"/>
        </w:rPr>
        <w:t>demonstrated high specificity (90.44%</w:t>
      </w:r>
      <w:r w:rsidR="14A6F932" w:rsidRPr="00F47562">
        <w:rPr>
          <w:rFonts w:eastAsia="Times New Roman"/>
          <w:snapToGrid w:val="0"/>
          <w:lang w:eastAsia="en-AU"/>
        </w:rPr>
        <w:t xml:space="preserve"> vs 90.14%, respectively</w:t>
      </w:r>
      <w:r w:rsidR="56E9EEBC" w:rsidRPr="00F47562">
        <w:rPr>
          <w:rFonts w:eastAsia="Times New Roman"/>
          <w:snapToGrid w:val="0"/>
          <w:lang w:eastAsia="en-AU"/>
        </w:rPr>
        <w:t xml:space="preserve">), </w:t>
      </w:r>
      <w:proofErr w:type="spellStart"/>
      <w:r w:rsidR="56E9EEBC" w:rsidRPr="00F47562">
        <w:rPr>
          <w:rFonts w:eastAsia="Times New Roman"/>
          <w:snapToGrid w:val="0"/>
          <w:lang w:eastAsia="en-AU"/>
        </w:rPr>
        <w:t>d</w:t>
      </w:r>
      <w:r w:rsidR="734CC4BA" w:rsidRPr="00F47562">
        <w:rPr>
          <w:rFonts w:eastAsia="Times New Roman"/>
          <w:snapToGrid w:val="0"/>
          <w:lang w:eastAsia="en-AU"/>
        </w:rPr>
        <w:t>d</w:t>
      </w:r>
      <w:r w:rsidR="56E9EEBC" w:rsidRPr="00F47562">
        <w:rPr>
          <w:rFonts w:eastAsia="Times New Roman"/>
          <w:snapToGrid w:val="0"/>
          <w:lang w:eastAsia="en-AU"/>
        </w:rPr>
        <w:t>PCR</w:t>
      </w:r>
      <w:proofErr w:type="spellEnd"/>
      <w:r w:rsidR="56E9EEBC" w:rsidRPr="00F47562">
        <w:rPr>
          <w:rFonts w:eastAsia="Times New Roman"/>
          <w:snapToGrid w:val="0"/>
          <w:lang w:eastAsia="en-AU"/>
        </w:rPr>
        <w:t xml:space="preserve"> outperformed NGS in terms of sensitivity (81.01% vs 56.78%)</w:t>
      </w:r>
      <w:r w:rsidR="6B8964DA" w:rsidRPr="00F47562">
        <w:rPr>
          <w:rFonts w:eastAsia="Times New Roman"/>
          <w:snapToGrid w:val="0"/>
          <w:lang w:eastAsia="en-AU"/>
        </w:rPr>
        <w:t>(Raei et al, 2024)</w:t>
      </w:r>
      <w:r w:rsidR="56E9EEBC" w:rsidRPr="00F47562">
        <w:rPr>
          <w:rFonts w:eastAsia="Times New Roman"/>
          <w:snapToGrid w:val="0"/>
          <w:lang w:eastAsia="en-AU"/>
        </w:rPr>
        <w:t>.</w:t>
      </w:r>
    </w:p>
    <w:p w14:paraId="313A1A06" w14:textId="74054C41" w:rsidR="00C905D6" w:rsidRPr="00F47562" w:rsidRDefault="00C905D6" w:rsidP="00F47562">
      <w:pPr>
        <w:spacing w:before="0" w:after="120"/>
        <w:rPr>
          <w:rFonts w:eastAsia="Times New Roman"/>
          <w:snapToGrid w:val="0"/>
          <w:lang w:eastAsia="en-AU"/>
        </w:rPr>
      </w:pPr>
      <w:r w:rsidRPr="00F47562">
        <w:rPr>
          <w:rFonts w:eastAsia="Times New Roman"/>
          <w:lang w:eastAsia="en-AU"/>
        </w:rPr>
        <w:t xml:space="preserve">Secondly, the commentary noted that the agreed item descriptor specified that patients must have “locally advanced or metastatic ER-positive, HER2-negative breast cancer who has disease progression following at least one line of endocrine therapy, including a CDK 4/6 inhibitor”. The commentary noted the </w:t>
      </w:r>
      <w:r w:rsidR="4DF7BB13" w:rsidRPr="00F47562">
        <w:rPr>
          <w:rFonts w:eastAsia="Times New Roman"/>
          <w:lang w:eastAsia="en-AU"/>
        </w:rPr>
        <w:t xml:space="preserve">current </w:t>
      </w:r>
      <w:r w:rsidRPr="00F47562">
        <w:rPr>
          <w:rFonts w:eastAsia="Times New Roman"/>
          <w:lang w:eastAsia="en-AU"/>
        </w:rPr>
        <w:t xml:space="preserve">proposed MBS item descriptor does not specify “at least one line of endocrine therapy, including a CDK 4/6 inhibitor”. </w:t>
      </w:r>
      <w:r w:rsidR="0807D5D7" w:rsidRPr="00282CCE">
        <w:rPr>
          <w:rFonts w:eastAsia="Times New Roman"/>
          <w:lang w:eastAsia="en-AU"/>
        </w:rPr>
        <w:t xml:space="preserve">However, the </w:t>
      </w:r>
      <w:r w:rsidR="4E11FDE1" w:rsidRPr="00282CCE">
        <w:rPr>
          <w:rFonts w:eastAsia="Times New Roman"/>
          <w:lang w:eastAsia="en-AU"/>
        </w:rPr>
        <w:t>d</w:t>
      </w:r>
      <w:r w:rsidR="0807D5D7" w:rsidRPr="00282CCE">
        <w:rPr>
          <w:rFonts w:eastAsia="Times New Roman"/>
          <w:lang w:eastAsia="en-AU"/>
        </w:rPr>
        <w:t>epartment</w:t>
      </w:r>
      <w:r w:rsidR="00282CCE" w:rsidRPr="00282CCE">
        <w:rPr>
          <w:rFonts w:eastAsia="Times New Roman"/>
          <w:lang w:eastAsia="en-AU"/>
        </w:rPr>
        <w:t xml:space="preserve"> advised</w:t>
      </w:r>
      <w:r w:rsidR="0807D5D7" w:rsidRPr="00282CCE">
        <w:rPr>
          <w:rFonts w:eastAsia="Times New Roman"/>
          <w:lang w:eastAsia="en-AU"/>
        </w:rPr>
        <w:t xml:space="preserve"> that this information is not required for the MBS item descriptor, </w:t>
      </w:r>
      <w:proofErr w:type="gramStart"/>
      <w:r w:rsidR="0807D5D7" w:rsidRPr="00282CCE">
        <w:rPr>
          <w:rFonts w:eastAsia="Times New Roman"/>
          <w:lang w:eastAsia="en-AU"/>
        </w:rPr>
        <w:t>as long as</w:t>
      </w:r>
      <w:proofErr w:type="gramEnd"/>
      <w:r w:rsidR="0807D5D7" w:rsidRPr="00282CCE">
        <w:rPr>
          <w:rFonts w:eastAsia="Times New Roman"/>
          <w:lang w:eastAsia="en-AU"/>
        </w:rPr>
        <w:t xml:space="preserve"> it is specified in the PBS restriction.</w:t>
      </w:r>
      <w:r w:rsidR="0807D5D7" w:rsidRPr="00F47562">
        <w:rPr>
          <w:rFonts w:eastAsia="Times New Roman"/>
          <w:i/>
          <w:iCs/>
          <w:lang w:eastAsia="en-AU"/>
        </w:rPr>
        <w:t xml:space="preserve"> </w:t>
      </w:r>
    </w:p>
    <w:p w14:paraId="1D0525E2" w14:textId="19CD1225" w:rsidR="00C905D6" w:rsidRPr="00F47562" w:rsidRDefault="00C905D6" w:rsidP="00F47562">
      <w:pPr>
        <w:spacing w:before="0" w:after="120"/>
        <w:rPr>
          <w:rFonts w:eastAsia="Times New Roman"/>
          <w:snapToGrid w:val="0"/>
          <w:lang w:eastAsia="en-AU"/>
        </w:rPr>
      </w:pPr>
      <w:r w:rsidRPr="00F47562">
        <w:rPr>
          <w:rFonts w:eastAsia="Times New Roman"/>
          <w:snapToGrid w:val="0"/>
          <w:lang w:eastAsia="en-AU"/>
        </w:rPr>
        <w:t xml:space="preserve">Additionally, given testing is relevant at each episode of disease progression during the metastatic course, PASC considered it was appropriate to include a restriction for the limit/frequency of testing to be once every 6 months (p17, 1782 Ratified PICO Confirmation, August 2024 PASC Meeting). The commentary noted this has not been included in the proposed MBS item descriptor. </w:t>
      </w:r>
    </w:p>
    <w:p w14:paraId="698B1070" w14:textId="77777777" w:rsidR="00C905D6" w:rsidRPr="00F47562" w:rsidRDefault="00C905D6" w:rsidP="00F47562">
      <w:pPr>
        <w:autoSpaceDE w:val="0"/>
        <w:autoSpaceDN w:val="0"/>
        <w:adjustRightInd w:val="0"/>
        <w:spacing w:line="23" w:lineRule="atLeast"/>
        <w:rPr>
          <w:rFonts w:cstheme="minorHAnsi"/>
        </w:rPr>
      </w:pPr>
      <w:r w:rsidRPr="00F47562">
        <w:rPr>
          <w:rFonts w:cstheme="minorHAnsi"/>
        </w:rPr>
        <w:t>As a result of these differences, the commentary considered that the proposed MBS item descriptor may result in an eligible test population that is broader than that specified in the PICO confirmation.</w:t>
      </w:r>
    </w:p>
    <w:p w14:paraId="17028184" w14:textId="28D5FE6E" w:rsidR="00C905D6" w:rsidRPr="00F47562" w:rsidRDefault="00C905D6" w:rsidP="00F47562">
      <w:r w:rsidRPr="00F47562">
        <w:t xml:space="preserve">In estimating the proposed MBS fee, the </w:t>
      </w:r>
      <w:r w:rsidR="72273207" w:rsidRPr="00F47562">
        <w:t xml:space="preserve">submission </w:t>
      </w:r>
      <w:r w:rsidRPr="00F47562">
        <w:t xml:space="preserve">identified the following MBS listed NGS tests: </w:t>
      </w:r>
    </w:p>
    <w:p w14:paraId="562F5CD9" w14:textId="77777777" w:rsidR="00C905D6" w:rsidRPr="00F47562" w:rsidRDefault="00C905D6" w:rsidP="00252706">
      <w:pPr>
        <w:numPr>
          <w:ilvl w:val="0"/>
          <w:numId w:val="18"/>
        </w:numPr>
        <w:spacing w:before="0" w:after="120"/>
        <w:ind w:left="714" w:hanging="357"/>
        <w:rPr>
          <w:rFonts w:cstheme="minorHAnsi"/>
        </w:rPr>
      </w:pPr>
      <w:r w:rsidRPr="00F47562">
        <w:rPr>
          <w:rFonts w:cstheme="minorHAnsi"/>
        </w:rPr>
        <w:t xml:space="preserve">Item 73437 for a nucleic acid-based multi-gene panel test of tumour tissue from a patient with a new diagnosis of non-small cell lung cancer has a fee of $1,247.00. </w:t>
      </w:r>
    </w:p>
    <w:p w14:paraId="7209DE00" w14:textId="735CF0E6" w:rsidR="00C905D6" w:rsidRPr="00F47562" w:rsidRDefault="00C905D6" w:rsidP="00252706">
      <w:pPr>
        <w:numPr>
          <w:ilvl w:val="0"/>
          <w:numId w:val="18"/>
        </w:numPr>
        <w:spacing w:before="0" w:after="120"/>
        <w:ind w:left="714" w:hanging="357"/>
      </w:pPr>
      <w:r w:rsidRPr="00F47562">
        <w:t>Item 73438 for a DNA-based multi-gene panel test of tumour tissue from a patient with a new diagnosis of non-small cell lung cancer has a fee of $682.</w:t>
      </w:r>
      <w:r w:rsidR="236B1E36" w:rsidRPr="00F47562">
        <w:t>3</w:t>
      </w:r>
      <w:r w:rsidRPr="00F47562">
        <w:t xml:space="preserve">5.  </w:t>
      </w:r>
    </w:p>
    <w:p w14:paraId="7F9698C9" w14:textId="77777777" w:rsidR="00C905D6" w:rsidRPr="00F47562" w:rsidRDefault="00C905D6" w:rsidP="00252706">
      <w:pPr>
        <w:numPr>
          <w:ilvl w:val="0"/>
          <w:numId w:val="18"/>
        </w:numPr>
        <w:spacing w:before="0" w:after="120"/>
        <w:ind w:left="714" w:hanging="357"/>
        <w:rPr>
          <w:rFonts w:cstheme="minorHAnsi"/>
        </w:rPr>
      </w:pPr>
      <w:r w:rsidRPr="00F47562">
        <w:rPr>
          <w:rFonts w:cstheme="minorHAnsi"/>
        </w:rPr>
        <w:t xml:space="preserve">Item 73433 for an NGS test for Neurotrophic Tyrosine Receptor Kinase (NTRK) fusions by DNA or ribonucleic acid (RNA) in tumour tissue from a patient with a locally advanced or metastatic solid tumour has a fee of $1,000.00. </w:t>
      </w:r>
    </w:p>
    <w:p w14:paraId="37B7BABD" w14:textId="7A883A08" w:rsidR="00D22BA6" w:rsidRPr="00F47562" w:rsidRDefault="00D22BA6" w:rsidP="00252706">
      <w:pPr>
        <w:numPr>
          <w:ilvl w:val="0"/>
          <w:numId w:val="18"/>
        </w:numPr>
        <w:spacing w:before="0" w:after="120"/>
        <w:ind w:left="714" w:hanging="357"/>
        <w:rPr>
          <w:rFonts w:cstheme="minorHAnsi"/>
        </w:rPr>
      </w:pPr>
      <w:r w:rsidRPr="00F47562">
        <w:rPr>
          <w:rFonts w:cstheme="minorHAnsi"/>
        </w:rPr>
        <w:t xml:space="preserve">Item 73310 for NGS testing of bone marrow or peripheral blood for the assessment of measurable residual disease in </w:t>
      </w:r>
      <w:r w:rsidR="00613F9B" w:rsidRPr="00F47562">
        <w:rPr>
          <w:rFonts w:cstheme="minorHAnsi"/>
        </w:rPr>
        <w:t xml:space="preserve">acute lymphoblastic leukaemia </w:t>
      </w:r>
      <w:r w:rsidRPr="00F47562">
        <w:rPr>
          <w:rFonts w:cstheme="minorHAnsi"/>
        </w:rPr>
        <w:t>has a fee of $1</w:t>
      </w:r>
      <w:r w:rsidR="00384868" w:rsidRPr="00F47562">
        <w:rPr>
          <w:rFonts w:cstheme="minorHAnsi"/>
        </w:rPr>
        <w:t>,</w:t>
      </w:r>
      <w:r w:rsidRPr="00F47562">
        <w:rPr>
          <w:rFonts w:cstheme="minorHAnsi"/>
        </w:rPr>
        <w:t xml:space="preserve">550. (NOTE: this is a test </w:t>
      </w:r>
      <w:r w:rsidR="00F703C8" w:rsidRPr="00F47562">
        <w:rPr>
          <w:rFonts w:cstheme="minorHAnsi"/>
        </w:rPr>
        <w:t xml:space="preserve">of </w:t>
      </w:r>
      <w:r w:rsidRPr="00F47562">
        <w:rPr>
          <w:rFonts w:cstheme="minorHAnsi"/>
        </w:rPr>
        <w:t>cellular DNA, not cell-free DNA)</w:t>
      </w:r>
    </w:p>
    <w:p w14:paraId="4F7061B6" w14:textId="090ECF66" w:rsidR="00C905D6" w:rsidRPr="00F47562" w:rsidRDefault="008E4205" w:rsidP="00F47562">
      <w:r w:rsidRPr="00F47562">
        <w:t>T</w:t>
      </w:r>
      <w:r w:rsidR="00C905D6" w:rsidRPr="00F47562">
        <w:t xml:space="preserve">hese items </w:t>
      </w:r>
      <w:r w:rsidRPr="00F47562">
        <w:t xml:space="preserve">mostly </w:t>
      </w:r>
      <w:r w:rsidR="00C905D6" w:rsidRPr="00F47562">
        <w:t>use NGS from tissue biopsy</w:t>
      </w:r>
      <w:r w:rsidRPr="00F47562">
        <w:t>.</w:t>
      </w:r>
      <w:r w:rsidR="00C905D6" w:rsidRPr="00F47562">
        <w:t xml:space="preserve"> </w:t>
      </w:r>
      <w:r w:rsidRPr="00F47562">
        <w:t>T</w:t>
      </w:r>
      <w:r w:rsidR="00C905D6" w:rsidRPr="00F47562">
        <w:t xml:space="preserve">he </w:t>
      </w:r>
      <w:r w:rsidR="006C7AB7" w:rsidRPr="00F47562">
        <w:t xml:space="preserve">submission </w:t>
      </w:r>
      <w:r w:rsidR="00C905D6" w:rsidRPr="00F47562">
        <w:t xml:space="preserve">noted that currently there is no MBS-listed item for NGS testing using ctDNA extracted from blood plasma (liquid biopsy). </w:t>
      </w:r>
    </w:p>
    <w:p w14:paraId="2561655A" w14:textId="4F9296D3" w:rsidR="00C905D6" w:rsidRPr="00F47562" w:rsidRDefault="258752C8" w:rsidP="00F47562">
      <w:r>
        <w:t xml:space="preserve">The </w:t>
      </w:r>
      <w:r w:rsidR="4C3023D7">
        <w:t xml:space="preserve">submission </w:t>
      </w:r>
      <w:r>
        <w:t xml:space="preserve">stated </w:t>
      </w:r>
      <w:r w:rsidR="79F20909">
        <w:t xml:space="preserve">it </w:t>
      </w:r>
      <w:r>
        <w:t>also sought input from a pathologist on the cost of performing NGS test</w:t>
      </w:r>
      <w:r w:rsidR="19EFFC34">
        <w:t>ing</w:t>
      </w:r>
      <w:r>
        <w:t xml:space="preserve"> for </w:t>
      </w:r>
      <w:r w:rsidRPr="56F9DD4F">
        <w:rPr>
          <w:i/>
          <w:iCs/>
        </w:rPr>
        <w:t>ESR1</w:t>
      </w:r>
      <w:r>
        <w:t xml:space="preserve"> variants by ctDNA extracted from blood plasma. </w:t>
      </w:r>
      <w:r w:rsidR="79F20909">
        <w:t xml:space="preserve">The </w:t>
      </w:r>
      <w:r w:rsidR="4C3023D7">
        <w:t xml:space="preserve">submission </w:t>
      </w:r>
      <w:r>
        <w:t xml:space="preserve">stated </w:t>
      </w:r>
      <w:r w:rsidR="79F20909">
        <w:t>t</w:t>
      </w:r>
      <w:r w:rsidR="14465657">
        <w:t>he</w:t>
      </w:r>
      <w:r>
        <w:t xml:space="preserve"> </w:t>
      </w:r>
      <w:r>
        <w:lastRenderedPageBreak/>
        <w:t>advi</w:t>
      </w:r>
      <w:r w:rsidR="14465657">
        <w:t>ce received was</w:t>
      </w:r>
      <w:r>
        <w:t xml:space="preserve"> that the depth of sequencing required for ctDNA is significantly higher than tissue testing to reach the required test performance characteristics to make it fit for purpose</w:t>
      </w:r>
      <w:r w:rsidR="14465657">
        <w:t>,</w:t>
      </w:r>
      <w:r>
        <w:t xml:space="preserve"> and that the sequencing costs are higher to get to the desired outcome. Special collection tubes are also required to ensure stability of the ctDNA after the blood draw. Further, extraction of ctDNA is also more expensive</w:t>
      </w:r>
      <w:r w:rsidR="20814322">
        <w:t>; the cost is</w:t>
      </w:r>
      <w:r>
        <w:t xml:space="preserve"> over twice that for tissue testing </w:t>
      </w:r>
      <w:r w:rsidR="20814322">
        <w:t xml:space="preserve">since </w:t>
      </w:r>
      <w:r>
        <w:t xml:space="preserve">different procedures and reagents are needed. Based on this information, the MBS fee proposed in the submission was </w:t>
      </w:r>
      <w:r w:rsidRPr="006B1E9B">
        <w:t>$</w:t>
      </w:r>
      <w:r w:rsidRPr="00D218B1">
        <w:t>1,500.00</w:t>
      </w:r>
      <w:r>
        <w:t xml:space="preserve">. The commentary noted that this is higher than similar tests currently listed on the MBS, including testing for germline gene variants </w:t>
      </w:r>
      <w:r w:rsidRPr="56F9DD4F">
        <w:rPr>
          <w:i/>
          <w:iCs/>
        </w:rPr>
        <w:t>BRCA1/2</w:t>
      </w:r>
      <w:r>
        <w:t xml:space="preserve"> and </w:t>
      </w:r>
      <w:r w:rsidRPr="56F9DD4F">
        <w:rPr>
          <w:i/>
          <w:iCs/>
        </w:rPr>
        <w:t>PALB2</w:t>
      </w:r>
      <w:r>
        <w:t xml:space="preserve"> (MBS item 73296) and testing for variants known to be causative of childhood hearing loss using NGS (MBS items 73440</w:t>
      </w:r>
      <w:r w:rsidR="434F5B8C">
        <w:t xml:space="preserve">, </w:t>
      </w:r>
      <w:r>
        <w:t>73444)</w:t>
      </w:r>
      <w:r w:rsidR="20814322">
        <w:t>,</w:t>
      </w:r>
      <w:r>
        <w:t xml:space="preserve"> which are priced at $1</w:t>
      </w:r>
      <w:r w:rsidR="547A1A9D">
        <w:t>,</w:t>
      </w:r>
      <w:r>
        <w:t>200</w:t>
      </w:r>
      <w:r w:rsidR="36F29B88">
        <w:t>.00</w:t>
      </w:r>
      <w:r>
        <w:t xml:space="preserve"> (page 17, 1782 Ratified PICO Confirmation, August 2024 PASC meeting).</w:t>
      </w:r>
    </w:p>
    <w:p w14:paraId="7BB979D8" w14:textId="3140E27A" w:rsidR="00C37F16" w:rsidRPr="00F47562" w:rsidRDefault="00C37F16" w:rsidP="00C37F16">
      <w:pPr>
        <w:pStyle w:val="MSACS2Heading2"/>
        <w:pageBreakBefore w:val="0"/>
        <w:rPr>
          <w:rFonts w:ascii="Franklin Gothic Book" w:hAnsi="Franklin Gothic Book"/>
          <w:snapToGrid w:val="0"/>
          <w:sz w:val="24"/>
          <w:szCs w:val="24"/>
          <w:lang w:eastAsia="en-AU"/>
        </w:rPr>
      </w:pPr>
      <w:r w:rsidRPr="00F47562">
        <w:rPr>
          <w:rFonts w:ascii="Franklin Gothic Book" w:hAnsi="Franklin Gothic Book"/>
          <w:snapToGrid w:val="0"/>
          <w:sz w:val="24"/>
          <w:szCs w:val="24"/>
          <w:lang w:eastAsia="en-AU"/>
        </w:rPr>
        <w:t>Drug</w:t>
      </w:r>
    </w:p>
    <w:p w14:paraId="6261C490" w14:textId="4CC3754E" w:rsidR="00C37F16" w:rsidRPr="00F47562" w:rsidRDefault="1372032D" w:rsidP="00F47562">
      <w:r w:rsidRPr="00F47562">
        <w:t xml:space="preserve">The proposed drug was </w:t>
      </w:r>
      <w:proofErr w:type="spellStart"/>
      <w:r w:rsidRPr="00F47562">
        <w:t>elacestrant</w:t>
      </w:r>
      <w:proofErr w:type="spellEnd"/>
      <w:r w:rsidR="73EBE1C8" w:rsidRPr="00F47562">
        <w:t xml:space="preserve"> indicated for the treatment of locally advanced or metastatic breast cancer</w:t>
      </w:r>
      <w:r w:rsidR="14FD4945" w:rsidRPr="00F47562">
        <w:t xml:space="preserve"> with </w:t>
      </w:r>
      <w:r w:rsidR="1FD42EC4" w:rsidRPr="00F47562">
        <w:t>the proposed clinical crit</w:t>
      </w:r>
      <w:r w:rsidR="2275026A" w:rsidRPr="00F47562">
        <w:t>e</w:t>
      </w:r>
      <w:r w:rsidR="1FD42EC4" w:rsidRPr="00F47562">
        <w:t xml:space="preserve">ria of HR+, HER2-, evidence of </w:t>
      </w:r>
      <w:r w:rsidR="1FD42EC4" w:rsidRPr="00F47562">
        <w:rPr>
          <w:i/>
          <w:iCs/>
        </w:rPr>
        <w:t>ESR1</w:t>
      </w:r>
      <w:r w:rsidR="1FD42EC4" w:rsidRPr="00F47562">
        <w:t xml:space="preserve"> variant</w:t>
      </w:r>
      <w:r w:rsidR="59886CBB" w:rsidRPr="00F47562">
        <w:t xml:space="preserve"> and patients must have received at least one </w:t>
      </w:r>
      <w:r w:rsidR="37A6C432" w:rsidRPr="00F47562">
        <w:t>prior line of endocrine therapy including a CDK4/6 inhibitor</w:t>
      </w:r>
      <w:r w:rsidR="73CAE885" w:rsidRPr="00F47562">
        <w:t>.</w:t>
      </w:r>
      <w:r w:rsidR="35225C38" w:rsidRPr="00F47562">
        <w:t xml:space="preserve"> </w:t>
      </w:r>
      <w:r w:rsidR="34D9F39D" w:rsidRPr="00F47562">
        <w:t>The requested PBS restriction states that ‘the condition must be hormone receptor positive’, however the proposed TGA indication, the inclusion criteria for the key clinical trial, EMERALD, and the estimation of use in clinical practice for the financial impact specified that patients must be ‘estrogen receptor positive’.</w:t>
      </w:r>
    </w:p>
    <w:p w14:paraId="53A84B46" w14:textId="2E9ECAAF" w:rsidR="00F61A18" w:rsidRPr="000A7BB0" w:rsidRDefault="00F61A18" w:rsidP="00F61A18">
      <w:pPr>
        <w:pStyle w:val="Caption"/>
        <w:keepLines/>
      </w:pPr>
      <w:r w:rsidRPr="000A7BB0">
        <w:lastRenderedPageBreak/>
        <w:t xml:space="preserve">Table </w:t>
      </w:r>
      <w:r w:rsidRPr="000A7BB0">
        <w:fldChar w:fldCharType="begin"/>
      </w:r>
      <w:r w:rsidRPr="000A7BB0">
        <w:instrText>SEQ Table_MSAC. \* ARABIC</w:instrText>
      </w:r>
      <w:r w:rsidRPr="000A7BB0">
        <w:fldChar w:fldCharType="separate"/>
      </w:r>
      <w:r w:rsidR="001F3154">
        <w:rPr>
          <w:noProof/>
        </w:rPr>
        <w:t>4</w:t>
      </w:r>
      <w:r w:rsidRPr="000A7BB0">
        <w:fldChar w:fldCharType="end"/>
      </w:r>
      <w:r w:rsidRPr="000A7BB0">
        <w:t>: Key components of the clinical issue addressed by the submission</w:t>
      </w:r>
    </w:p>
    <w:tbl>
      <w:tblPr>
        <w:tblStyle w:val="PBACTableStyle5"/>
        <w:tblW w:w="0" w:type="auto"/>
        <w:tblLook w:val="04A0" w:firstRow="1" w:lastRow="0" w:firstColumn="1" w:lastColumn="0" w:noHBand="0" w:noVBand="1"/>
      </w:tblPr>
      <w:tblGrid>
        <w:gridCol w:w="1413"/>
        <w:gridCol w:w="7603"/>
      </w:tblGrid>
      <w:tr w:rsidR="00F61A18" w:rsidRPr="000A7BB0" w14:paraId="672654F3" w14:textId="77777777" w:rsidTr="0047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5C99DD" w14:textId="77777777" w:rsidR="00F61A18" w:rsidRPr="000A7BB0" w:rsidRDefault="00F61A18">
            <w:pPr>
              <w:keepNext/>
              <w:keepLines/>
              <w:spacing w:before="0"/>
              <w:jc w:val="left"/>
              <w:rPr>
                <w:rFonts w:ascii="Arial Narrow" w:hAnsi="Arial Narrow"/>
                <w:lang w:val="en-AU"/>
              </w:rPr>
            </w:pPr>
            <w:r w:rsidRPr="000A7BB0">
              <w:rPr>
                <w:rFonts w:ascii="Arial Narrow" w:hAnsi="Arial Narrow"/>
                <w:lang w:val="en-AU"/>
              </w:rPr>
              <w:t>Component</w:t>
            </w:r>
          </w:p>
        </w:tc>
        <w:tc>
          <w:tcPr>
            <w:tcW w:w="7603" w:type="dxa"/>
          </w:tcPr>
          <w:p w14:paraId="4D87A088" w14:textId="77777777" w:rsidR="00F61A18" w:rsidRPr="000A7BB0" w:rsidRDefault="00F61A18">
            <w:pPr>
              <w:keepNext/>
              <w:keepLines/>
              <w:spacing w:before="0"/>
              <w:jc w:val="left"/>
              <w:cnfStyle w:val="100000000000" w:firstRow="1" w:lastRow="0" w:firstColumn="0" w:lastColumn="0" w:oddVBand="0" w:evenVBand="0" w:oddHBand="0" w:evenHBand="0" w:firstRowFirstColumn="0" w:firstRowLastColumn="0" w:lastRowFirstColumn="0" w:lastRowLastColumn="0"/>
              <w:rPr>
                <w:rFonts w:ascii="Arial Narrow" w:hAnsi="Arial Narrow"/>
                <w:lang w:val="en-AU"/>
              </w:rPr>
            </w:pPr>
            <w:r w:rsidRPr="000A7BB0">
              <w:rPr>
                <w:rFonts w:ascii="Arial Narrow" w:hAnsi="Arial Narrow"/>
                <w:lang w:val="en-AU"/>
              </w:rPr>
              <w:t>Description</w:t>
            </w:r>
          </w:p>
        </w:tc>
      </w:tr>
      <w:tr w:rsidR="00F61A18" w:rsidRPr="000A7BB0" w14:paraId="07F47B24" w14:textId="77777777" w:rsidTr="00470B01">
        <w:tc>
          <w:tcPr>
            <w:cnfStyle w:val="001000000000" w:firstRow="0" w:lastRow="0" w:firstColumn="1" w:lastColumn="0" w:oddVBand="0" w:evenVBand="0" w:oddHBand="0" w:evenHBand="0" w:firstRowFirstColumn="0" w:firstRowLastColumn="0" w:lastRowFirstColumn="0" w:lastRowLastColumn="0"/>
            <w:tcW w:w="1413" w:type="dxa"/>
          </w:tcPr>
          <w:p w14:paraId="4495DC6C" w14:textId="77777777" w:rsidR="00F61A18" w:rsidRPr="000A7BB0" w:rsidRDefault="00F61A18">
            <w:pPr>
              <w:keepNext/>
              <w:keepLines/>
              <w:spacing w:before="0"/>
              <w:rPr>
                <w:rFonts w:ascii="Arial Narrow" w:hAnsi="Arial Narrow"/>
                <w:lang w:val="en-AU"/>
              </w:rPr>
            </w:pPr>
            <w:r w:rsidRPr="000A7BB0">
              <w:rPr>
                <w:rFonts w:ascii="Arial Narrow" w:hAnsi="Arial Narrow"/>
                <w:lang w:val="en-AU"/>
              </w:rPr>
              <w:t>Population</w:t>
            </w:r>
          </w:p>
        </w:tc>
        <w:tc>
          <w:tcPr>
            <w:tcW w:w="7603" w:type="dxa"/>
          </w:tcPr>
          <w:p w14:paraId="4435F586" w14:textId="77777777" w:rsidR="00F61A18" w:rsidRPr="000A7BB0" w:rsidRDefault="00F61A18">
            <w:pPr>
              <w:keepNext/>
              <w:keepLines/>
              <w:spacing w:before="0" w:after="40"/>
              <w:contextualSpacing w:val="0"/>
              <w:jc w:val="left"/>
              <w:cnfStyle w:val="000000000000" w:firstRow="0" w:lastRow="0" w:firstColumn="0" w:lastColumn="0" w:oddVBand="0" w:evenVBand="0" w:oddHBand="0" w:evenHBand="0" w:firstRowFirstColumn="0" w:firstRowLastColumn="0" w:lastRowFirstColumn="0" w:lastRowLastColumn="0"/>
              <w:rPr>
                <w:lang w:val="en-AU"/>
              </w:rPr>
            </w:pPr>
            <w:r w:rsidRPr="000A7BB0">
              <w:rPr>
                <w:u w:val="single"/>
                <w:lang w:val="en-AU"/>
              </w:rPr>
              <w:t>Test:</w:t>
            </w:r>
            <w:r w:rsidRPr="000A7BB0">
              <w:rPr>
                <w:lang w:val="en-AU"/>
              </w:rPr>
              <w:t xml:space="preserve"> Men and postmenopausal women with ER+/HER2- locally advanced or </w:t>
            </w:r>
            <w:proofErr w:type="spellStart"/>
            <w:r w:rsidRPr="000A7BB0">
              <w:rPr>
                <w:lang w:val="en-AU"/>
              </w:rPr>
              <w:t>mBC</w:t>
            </w:r>
            <w:proofErr w:type="spellEnd"/>
            <w:r w:rsidRPr="000A7BB0">
              <w:rPr>
                <w:lang w:val="en-AU"/>
              </w:rPr>
              <w:t>, who have disease progression following at least one line of ET, including a CDK4/6i.</w:t>
            </w:r>
          </w:p>
          <w:p w14:paraId="6518EACC" w14:textId="37473B94"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u w:val="single"/>
                <w:lang w:val="en-AU"/>
              </w:rPr>
              <w:t>Drug</w:t>
            </w:r>
            <w:r w:rsidRPr="000A7BB0">
              <w:rPr>
                <w:lang w:val="en-AU"/>
              </w:rPr>
              <w:t xml:space="preserve">: Men and postmenopausal women with ER+/HER2- locally advanced or </w:t>
            </w:r>
            <w:proofErr w:type="spellStart"/>
            <w:r w:rsidRPr="000A7BB0">
              <w:rPr>
                <w:lang w:val="en-AU"/>
              </w:rPr>
              <w:t>mBC</w:t>
            </w:r>
            <w:proofErr w:type="spellEnd"/>
            <w:r w:rsidRPr="000A7BB0">
              <w:rPr>
                <w:lang w:val="en-AU"/>
              </w:rPr>
              <w:t>, who have disease progression following at least one line of ET, including a CDK4/6i</w:t>
            </w:r>
            <w:r w:rsidR="00695236">
              <w:rPr>
                <w:lang w:val="en-AU"/>
              </w:rPr>
              <w:t>,</w:t>
            </w:r>
            <w:r w:rsidRPr="000A7BB0">
              <w:rPr>
                <w:lang w:val="en-AU"/>
              </w:rPr>
              <w:t xml:space="preserve"> and test positive for an </w:t>
            </w:r>
            <w:r w:rsidRPr="000A7BB0">
              <w:rPr>
                <w:i/>
                <w:lang w:val="en-AU"/>
              </w:rPr>
              <w:t>ESR1</w:t>
            </w:r>
            <w:r w:rsidRPr="000A7BB0">
              <w:rPr>
                <w:lang w:val="en-AU"/>
              </w:rPr>
              <w:t xml:space="preserve"> variant.</w:t>
            </w:r>
          </w:p>
        </w:tc>
      </w:tr>
      <w:tr w:rsidR="00F61A18" w:rsidRPr="000A7BB0" w14:paraId="0592E808" w14:textId="77777777" w:rsidTr="00470B01">
        <w:tc>
          <w:tcPr>
            <w:cnfStyle w:val="001000000000" w:firstRow="0" w:lastRow="0" w:firstColumn="1" w:lastColumn="0" w:oddVBand="0" w:evenVBand="0" w:oddHBand="0" w:evenHBand="0" w:firstRowFirstColumn="0" w:firstRowLastColumn="0" w:lastRowFirstColumn="0" w:lastRowLastColumn="0"/>
            <w:tcW w:w="1413" w:type="dxa"/>
          </w:tcPr>
          <w:p w14:paraId="4924BE30" w14:textId="77777777" w:rsidR="00F61A18" w:rsidRPr="000A7BB0" w:rsidRDefault="00F61A18">
            <w:pPr>
              <w:keepNext/>
              <w:keepLines/>
              <w:spacing w:before="0"/>
              <w:rPr>
                <w:rFonts w:ascii="Arial Narrow" w:hAnsi="Arial Narrow"/>
                <w:lang w:val="en-AU"/>
              </w:rPr>
            </w:pPr>
            <w:r w:rsidRPr="000A7BB0">
              <w:rPr>
                <w:rFonts w:ascii="Arial Narrow" w:hAnsi="Arial Narrow"/>
                <w:lang w:val="en-AU"/>
              </w:rPr>
              <w:t>Intervention</w:t>
            </w:r>
          </w:p>
        </w:tc>
        <w:tc>
          <w:tcPr>
            <w:tcW w:w="7603" w:type="dxa"/>
          </w:tcPr>
          <w:p w14:paraId="21A1146D" w14:textId="77777777" w:rsidR="00F61A18" w:rsidRPr="000A7BB0" w:rsidRDefault="00F61A18">
            <w:pPr>
              <w:keepNext/>
              <w:keepLines/>
              <w:spacing w:before="0" w:after="40"/>
              <w:contextualSpacing w:val="0"/>
              <w:jc w:val="left"/>
              <w:cnfStyle w:val="000000000000" w:firstRow="0" w:lastRow="0" w:firstColumn="0" w:lastColumn="0" w:oddVBand="0" w:evenVBand="0" w:oddHBand="0" w:evenHBand="0" w:firstRowFirstColumn="0" w:firstRowLastColumn="0" w:lastRowFirstColumn="0" w:lastRowLastColumn="0"/>
              <w:rPr>
                <w:lang w:val="en-AU"/>
              </w:rPr>
            </w:pPr>
            <w:r w:rsidRPr="000A7BB0">
              <w:rPr>
                <w:u w:val="single"/>
                <w:lang w:val="en-AU"/>
              </w:rPr>
              <w:t>Test</w:t>
            </w:r>
            <w:r w:rsidRPr="000A7BB0">
              <w:rPr>
                <w:lang w:val="en-AU"/>
              </w:rPr>
              <w:t xml:space="preserve">: Testing for </w:t>
            </w:r>
            <w:r w:rsidRPr="000A7BB0">
              <w:rPr>
                <w:i/>
                <w:lang w:val="en-AU"/>
              </w:rPr>
              <w:t>ESR1</w:t>
            </w:r>
            <w:r w:rsidRPr="000A7BB0">
              <w:rPr>
                <w:lang w:val="en-AU"/>
              </w:rPr>
              <w:t xml:space="preserve"> variants in ctDNA extracted from blood (liquid biopsy) through NGS</w:t>
            </w:r>
          </w:p>
          <w:p w14:paraId="3B995D09"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u w:val="single"/>
                <w:lang w:val="en-AU"/>
              </w:rPr>
              <w:t>Drug</w:t>
            </w:r>
            <w:r w:rsidRPr="000A7BB0">
              <w:rPr>
                <w:lang w:val="en-AU"/>
              </w:rPr>
              <w:t xml:space="preserve">: </w:t>
            </w:r>
            <w:proofErr w:type="spellStart"/>
            <w:r w:rsidRPr="000A7BB0">
              <w:rPr>
                <w:lang w:val="en-AU"/>
              </w:rPr>
              <w:t>Elacestrant</w:t>
            </w:r>
            <w:proofErr w:type="spellEnd"/>
            <w:r w:rsidRPr="000A7BB0">
              <w:rPr>
                <w:lang w:val="en-AU"/>
              </w:rPr>
              <w:t xml:space="preserve"> 345 mg po daily until disease progression or unacceptable toxicity </w:t>
            </w:r>
          </w:p>
        </w:tc>
      </w:tr>
      <w:tr w:rsidR="00F61A18" w:rsidRPr="000A7BB0" w14:paraId="12C9D95F" w14:textId="77777777" w:rsidTr="00470B01">
        <w:tc>
          <w:tcPr>
            <w:cnfStyle w:val="001000000000" w:firstRow="0" w:lastRow="0" w:firstColumn="1" w:lastColumn="0" w:oddVBand="0" w:evenVBand="0" w:oddHBand="0" w:evenHBand="0" w:firstRowFirstColumn="0" w:firstRowLastColumn="0" w:lastRowFirstColumn="0" w:lastRowLastColumn="0"/>
            <w:tcW w:w="1413" w:type="dxa"/>
          </w:tcPr>
          <w:p w14:paraId="6FDC3280" w14:textId="77777777" w:rsidR="00F61A18" w:rsidRPr="000A7BB0" w:rsidRDefault="00F61A18">
            <w:pPr>
              <w:keepNext/>
              <w:keepLines/>
              <w:spacing w:before="0"/>
              <w:rPr>
                <w:rFonts w:ascii="Arial Narrow" w:hAnsi="Arial Narrow"/>
                <w:lang w:val="en-AU"/>
              </w:rPr>
            </w:pPr>
            <w:r w:rsidRPr="000A7BB0">
              <w:rPr>
                <w:rFonts w:ascii="Arial Narrow" w:hAnsi="Arial Narrow"/>
                <w:lang w:val="en-AU"/>
              </w:rPr>
              <w:t>Comparator</w:t>
            </w:r>
          </w:p>
        </w:tc>
        <w:tc>
          <w:tcPr>
            <w:tcW w:w="7603" w:type="dxa"/>
          </w:tcPr>
          <w:p w14:paraId="6D8A5028" w14:textId="77777777" w:rsidR="00F61A18" w:rsidRPr="000A7BB0" w:rsidRDefault="00F61A18">
            <w:pPr>
              <w:keepNext/>
              <w:keepLines/>
              <w:spacing w:before="0" w:after="40"/>
              <w:contextualSpacing w:val="0"/>
              <w:jc w:val="left"/>
              <w:cnfStyle w:val="000000000000" w:firstRow="0" w:lastRow="0" w:firstColumn="0" w:lastColumn="0" w:oddVBand="0" w:evenVBand="0" w:oddHBand="0" w:evenHBand="0" w:firstRowFirstColumn="0" w:firstRowLastColumn="0" w:lastRowFirstColumn="0" w:lastRowLastColumn="0"/>
              <w:rPr>
                <w:lang w:val="en-AU"/>
              </w:rPr>
            </w:pPr>
            <w:r w:rsidRPr="000A7BB0">
              <w:rPr>
                <w:u w:val="single"/>
                <w:lang w:val="en-AU"/>
              </w:rPr>
              <w:t>Test:</w:t>
            </w:r>
            <w:r w:rsidRPr="000A7BB0">
              <w:rPr>
                <w:lang w:val="en-AU"/>
              </w:rPr>
              <w:t xml:space="preserve"> No testing</w:t>
            </w:r>
          </w:p>
          <w:p w14:paraId="6E3211E1"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u w:val="single"/>
                <w:lang w:val="en-AU"/>
              </w:rPr>
              <w:t>Drug</w:t>
            </w:r>
            <w:r w:rsidRPr="000A7BB0">
              <w:rPr>
                <w:lang w:val="en-AU"/>
              </w:rPr>
              <w:t>: SOC, consisting of conventional ET (monotherapy):</w:t>
            </w:r>
          </w:p>
          <w:p w14:paraId="11E4CE9D" w14:textId="77777777" w:rsidR="00F61A18" w:rsidRPr="000A7BB0" w:rsidRDefault="00F61A18">
            <w:pPr>
              <w:keepNext/>
              <w:keepLines/>
              <w:numPr>
                <w:ilvl w:val="0"/>
                <w:numId w:val="19"/>
              </w:numPr>
              <w:spacing w:before="0"/>
              <w:jc w:val="left"/>
              <w:cnfStyle w:val="000000000000" w:firstRow="0" w:lastRow="0" w:firstColumn="0" w:lastColumn="0" w:oddVBand="0" w:evenVBand="0" w:oddHBand="0" w:evenHBand="0" w:firstRowFirstColumn="0" w:firstRowLastColumn="0" w:lastRowFirstColumn="0" w:lastRowLastColumn="0"/>
              <w:rPr>
                <w:lang w:val="en-AU"/>
              </w:rPr>
            </w:pPr>
            <w:proofErr w:type="spellStart"/>
            <w:r w:rsidRPr="000A7BB0">
              <w:rPr>
                <w:lang w:val="en-AU"/>
              </w:rPr>
              <w:t>Fulvestrant</w:t>
            </w:r>
            <w:proofErr w:type="spellEnd"/>
            <w:r w:rsidRPr="000A7BB0">
              <w:rPr>
                <w:lang w:val="en-AU"/>
              </w:rPr>
              <w:t xml:space="preserve"> 500 mg IM days 1 and 15 (cycle 1), then day 1 in subsequent cycles (frequency: 28 days),</w:t>
            </w:r>
          </w:p>
          <w:p w14:paraId="11D729D7" w14:textId="77777777" w:rsidR="00F61A18" w:rsidRPr="000A7BB0" w:rsidRDefault="00F61A18">
            <w:pPr>
              <w:keepNext/>
              <w:keepLines/>
              <w:numPr>
                <w:ilvl w:val="0"/>
                <w:numId w:val="19"/>
              </w:numPr>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lang w:val="en-AU"/>
              </w:rPr>
              <w:t>Anastrozole 1 mg po daily,</w:t>
            </w:r>
          </w:p>
          <w:p w14:paraId="066CD78E" w14:textId="77777777" w:rsidR="00F61A18" w:rsidRPr="000A7BB0" w:rsidRDefault="00F61A18">
            <w:pPr>
              <w:keepNext/>
              <w:keepLines/>
              <w:numPr>
                <w:ilvl w:val="0"/>
                <w:numId w:val="19"/>
              </w:numPr>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lang w:val="en-AU"/>
              </w:rPr>
              <w:t>Letrozole 2.5 mg po daily, or</w:t>
            </w:r>
          </w:p>
          <w:p w14:paraId="189609C7" w14:textId="77777777" w:rsidR="00F61A18" w:rsidRPr="000A7BB0" w:rsidRDefault="00F61A18">
            <w:pPr>
              <w:keepNext/>
              <w:keepLines/>
              <w:numPr>
                <w:ilvl w:val="0"/>
                <w:numId w:val="19"/>
              </w:numPr>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lang w:val="en-AU"/>
              </w:rPr>
              <w:t>Exemestane 25 mg po daily</w:t>
            </w:r>
          </w:p>
          <w:p w14:paraId="4F01CAB1"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lang w:val="en-AU"/>
              </w:rPr>
              <w:t>until disease progression or unacceptable toxicity.</w:t>
            </w:r>
          </w:p>
        </w:tc>
      </w:tr>
      <w:tr w:rsidR="00F61A18" w:rsidRPr="000A7BB0" w14:paraId="3034F86D" w14:textId="77777777" w:rsidTr="00470B01">
        <w:tc>
          <w:tcPr>
            <w:cnfStyle w:val="001000000000" w:firstRow="0" w:lastRow="0" w:firstColumn="1" w:lastColumn="0" w:oddVBand="0" w:evenVBand="0" w:oddHBand="0" w:evenHBand="0" w:firstRowFirstColumn="0" w:firstRowLastColumn="0" w:lastRowFirstColumn="0" w:lastRowLastColumn="0"/>
            <w:tcW w:w="1413" w:type="dxa"/>
          </w:tcPr>
          <w:p w14:paraId="64A4C8A8" w14:textId="77777777" w:rsidR="00F61A18" w:rsidRPr="000A7BB0" w:rsidRDefault="00F61A18">
            <w:pPr>
              <w:keepNext/>
              <w:keepLines/>
              <w:spacing w:before="0"/>
              <w:rPr>
                <w:rFonts w:ascii="Arial Narrow" w:hAnsi="Arial Narrow"/>
                <w:lang w:val="en-AU"/>
              </w:rPr>
            </w:pPr>
            <w:r w:rsidRPr="000A7BB0">
              <w:rPr>
                <w:rFonts w:ascii="Arial Narrow" w:hAnsi="Arial Narrow"/>
                <w:lang w:val="en-AU"/>
              </w:rPr>
              <w:t>Outcomes</w:t>
            </w:r>
          </w:p>
        </w:tc>
        <w:tc>
          <w:tcPr>
            <w:tcW w:w="7603" w:type="dxa"/>
          </w:tcPr>
          <w:p w14:paraId="20B2C93F"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u w:val="single"/>
                <w:lang w:val="en-AU"/>
              </w:rPr>
              <w:t>Test:</w:t>
            </w:r>
            <w:r w:rsidRPr="000A7BB0">
              <w:rPr>
                <w:lang w:val="en-AU"/>
              </w:rPr>
              <w:t xml:space="preserve"> </w:t>
            </w:r>
          </w:p>
          <w:p w14:paraId="05DF452A"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lang w:val="en-AU"/>
              </w:rPr>
            </w:pPr>
            <w:r w:rsidRPr="000A7BB0">
              <w:rPr>
                <w:lang w:val="en-AU"/>
              </w:rPr>
              <w:t>Diagnostic accuracy (</w:t>
            </w:r>
            <w:r w:rsidRPr="000A7BB0">
              <w:rPr>
                <w:rFonts w:eastAsia="Arial Narrow" w:cs="Arial Narrow"/>
                <w:lang w:val="en-AU"/>
              </w:rPr>
              <w:t>Sensitivity, Specificity, PPV, NPV), test-retest reliability.</w:t>
            </w:r>
          </w:p>
          <w:p w14:paraId="616D167A"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lang w:val="en-AU"/>
              </w:rPr>
              <w:t xml:space="preserve">Predictive validity of the test (distinguished from </w:t>
            </w:r>
            <w:r w:rsidRPr="000A7BB0">
              <w:rPr>
                <w:i/>
                <w:lang w:val="en-AU"/>
              </w:rPr>
              <w:t>ESR1</w:t>
            </w:r>
            <w:r w:rsidRPr="000A7BB0">
              <w:rPr>
                <w:lang w:val="en-AU"/>
              </w:rPr>
              <w:t xml:space="preserve"> as a prognostic biomarker) </w:t>
            </w:r>
          </w:p>
          <w:p w14:paraId="31042555"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lang w:val="en-AU"/>
              </w:rPr>
            </w:pPr>
            <w:r w:rsidRPr="000A7BB0">
              <w:rPr>
                <w:rFonts w:eastAsia="Arial Narrow" w:cs="Arial Narrow"/>
                <w:lang w:val="en-AU"/>
              </w:rPr>
              <w:t xml:space="preserve">Comparative performance of </w:t>
            </w:r>
            <w:r w:rsidRPr="000A7BB0">
              <w:rPr>
                <w:rFonts w:eastAsia="Arial Narrow" w:cs="Arial Narrow"/>
                <w:i/>
                <w:lang w:val="en-AU"/>
              </w:rPr>
              <w:t>ESR1</w:t>
            </w:r>
            <w:r w:rsidRPr="000A7BB0">
              <w:rPr>
                <w:rFonts w:eastAsia="Arial Narrow" w:cs="Arial Narrow"/>
                <w:lang w:val="en-AU"/>
              </w:rPr>
              <w:t xml:space="preserve"> variant testing methods </w:t>
            </w:r>
          </w:p>
          <w:p w14:paraId="0718EDA6" w14:textId="77777777" w:rsidR="00F61A18" w:rsidRPr="000A7BB0" w:rsidRDefault="00F61A18">
            <w:pPr>
              <w:keepNext/>
              <w:keepLines/>
              <w:numPr>
                <w:ilvl w:val="0"/>
                <w:numId w:val="24"/>
              </w:numPr>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lang w:val="en-AU"/>
              </w:rPr>
            </w:pPr>
            <w:r w:rsidRPr="000A7BB0">
              <w:rPr>
                <w:rFonts w:eastAsia="Arial Narrow" w:cs="Arial Narrow"/>
                <w:lang w:val="en-AU"/>
              </w:rPr>
              <w:t xml:space="preserve">Incremental benefits and risks of ctDNA testing compared to tumour testing for </w:t>
            </w:r>
            <w:r w:rsidRPr="000A7BB0">
              <w:rPr>
                <w:rFonts w:eastAsia="Arial Narrow" w:cs="Arial Narrow"/>
                <w:i/>
                <w:lang w:val="en-AU"/>
              </w:rPr>
              <w:t>ESR1</w:t>
            </w:r>
            <w:r w:rsidRPr="000A7BB0">
              <w:rPr>
                <w:rFonts w:eastAsia="Arial Narrow" w:cs="Arial Narrow"/>
                <w:lang w:val="en-AU"/>
              </w:rPr>
              <w:t xml:space="preserve"> variants</w:t>
            </w:r>
          </w:p>
          <w:p w14:paraId="62619C85" w14:textId="77777777" w:rsidR="00F61A18" w:rsidRPr="000A7BB0" w:rsidRDefault="00F61A18">
            <w:pPr>
              <w:keepNext/>
              <w:keepLines/>
              <w:numPr>
                <w:ilvl w:val="0"/>
                <w:numId w:val="24"/>
              </w:numPr>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lang w:val="en-AU"/>
              </w:rPr>
            </w:pPr>
            <w:r w:rsidRPr="000A7BB0">
              <w:rPr>
                <w:rFonts w:eastAsia="Arial Narrow" w:cs="Arial Narrow"/>
                <w:lang w:val="en-AU"/>
              </w:rPr>
              <w:t xml:space="preserve">Concordance between </w:t>
            </w:r>
            <w:r w:rsidRPr="000A7BB0">
              <w:rPr>
                <w:rFonts w:eastAsia="Arial Narrow" w:cs="Arial Narrow"/>
                <w:i/>
                <w:lang w:val="en-AU"/>
              </w:rPr>
              <w:t>ESR1</w:t>
            </w:r>
            <w:r w:rsidRPr="000A7BB0">
              <w:rPr>
                <w:rFonts w:eastAsia="Arial Narrow" w:cs="Arial Narrow"/>
                <w:lang w:val="en-AU"/>
              </w:rPr>
              <w:t xml:space="preserve"> variant testing assays: </w:t>
            </w:r>
          </w:p>
          <w:p w14:paraId="55BE8264" w14:textId="77777777" w:rsidR="00F61A18" w:rsidRPr="000A7BB0" w:rsidRDefault="00F61A18">
            <w:pPr>
              <w:keepNext/>
              <w:keepLines/>
              <w:numPr>
                <w:ilvl w:val="1"/>
                <w:numId w:val="24"/>
              </w:numPr>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sz w:val="16"/>
                <w:szCs w:val="16"/>
                <w:lang w:val="en-AU"/>
              </w:rPr>
            </w:pPr>
            <w:r w:rsidRPr="000A7BB0">
              <w:rPr>
                <w:rFonts w:eastAsia="Arial Narrow" w:cs="Arial Narrow"/>
                <w:lang w:val="en-AU"/>
              </w:rPr>
              <w:t xml:space="preserve">NGS vs </w:t>
            </w:r>
            <w:proofErr w:type="spellStart"/>
            <w:r w:rsidRPr="000A7BB0">
              <w:rPr>
                <w:rFonts w:eastAsia="Arial Narrow" w:cs="Arial Narrow"/>
                <w:lang w:val="en-AU"/>
              </w:rPr>
              <w:t>ddPCR</w:t>
            </w:r>
            <w:proofErr w:type="spellEnd"/>
          </w:p>
          <w:p w14:paraId="089D1BA3" w14:textId="77777777" w:rsidR="00F61A18" w:rsidRPr="000A7BB0" w:rsidRDefault="00F61A18">
            <w:pPr>
              <w:keepNext/>
              <w:keepLines/>
              <w:numPr>
                <w:ilvl w:val="1"/>
                <w:numId w:val="24"/>
              </w:numPr>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sz w:val="16"/>
                <w:szCs w:val="16"/>
                <w:lang w:val="en-AU"/>
              </w:rPr>
            </w:pPr>
            <w:r w:rsidRPr="000A7BB0">
              <w:rPr>
                <w:rFonts w:eastAsia="Arial Narrow" w:cs="Arial Narrow"/>
                <w:lang w:val="en-AU"/>
              </w:rPr>
              <w:t>NGS vs qPCR</w:t>
            </w:r>
          </w:p>
          <w:p w14:paraId="0E39DF82"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sz w:val="16"/>
                <w:szCs w:val="16"/>
                <w:lang w:val="en-AU"/>
              </w:rPr>
            </w:pPr>
            <w:r w:rsidRPr="000A7BB0">
              <w:rPr>
                <w:rFonts w:eastAsia="Arial Narrow" w:cs="Arial Narrow"/>
                <w:lang w:val="en-AU"/>
              </w:rPr>
              <w:t>Change in clinical management from testing</w:t>
            </w:r>
          </w:p>
          <w:p w14:paraId="5D4046E8" w14:textId="77777777" w:rsidR="00F61A18" w:rsidRPr="000A7BB0" w:rsidRDefault="00F61A18">
            <w:pPr>
              <w:keepNext/>
              <w:keepLines/>
              <w:numPr>
                <w:ilvl w:val="0"/>
                <w:numId w:val="23"/>
              </w:numPr>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sz w:val="16"/>
                <w:szCs w:val="16"/>
                <w:lang w:val="en-AU"/>
              </w:rPr>
            </w:pPr>
            <w:r w:rsidRPr="000A7BB0">
              <w:rPr>
                <w:rFonts w:eastAsia="Arial Narrow" w:cs="Arial Narrow"/>
                <w:lang w:val="en-AU"/>
              </w:rPr>
              <w:t xml:space="preserve">Percentage of patients changing treatment plan </w:t>
            </w:r>
          </w:p>
          <w:p w14:paraId="05ED1378" w14:textId="77777777" w:rsidR="00F61A18" w:rsidRPr="000A7BB0" w:rsidRDefault="00F61A18">
            <w:pPr>
              <w:keepNext/>
              <w:keepLines/>
              <w:numPr>
                <w:ilvl w:val="0"/>
                <w:numId w:val="23"/>
              </w:numPr>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lang w:val="en-AU"/>
              </w:rPr>
            </w:pPr>
            <w:r w:rsidRPr="000A7BB0">
              <w:rPr>
                <w:rFonts w:eastAsia="Arial Narrow" w:cs="Arial Narrow"/>
                <w:lang w:val="en-AU"/>
              </w:rPr>
              <w:t xml:space="preserve">Impact of discordance between test methods on treatment selection and effect. </w:t>
            </w:r>
          </w:p>
          <w:p w14:paraId="73108642"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lang w:val="en-AU"/>
              </w:rPr>
            </w:pPr>
            <w:r w:rsidRPr="000A7BB0">
              <w:rPr>
                <w:rFonts w:eastAsia="Arial Narrow" w:cs="Arial Narrow"/>
                <w:lang w:val="en-AU"/>
              </w:rPr>
              <w:t xml:space="preserve">Testing Safety outcomes </w:t>
            </w:r>
          </w:p>
          <w:p w14:paraId="5BFB7D7F" w14:textId="77777777" w:rsidR="00F61A18" w:rsidRPr="000A7BB0" w:rsidRDefault="00F61A18">
            <w:pPr>
              <w:keepNext/>
              <w:keepLines/>
              <w:numPr>
                <w:ilvl w:val="0"/>
                <w:numId w:val="22"/>
              </w:numPr>
              <w:spacing w:before="0"/>
              <w:jc w:val="left"/>
              <w:cnfStyle w:val="000000000000" w:firstRow="0" w:lastRow="0" w:firstColumn="0" w:lastColumn="0" w:oddVBand="0" w:evenVBand="0" w:oddHBand="0" w:evenHBand="0" w:firstRowFirstColumn="0" w:firstRowLastColumn="0" w:lastRowFirstColumn="0" w:lastRowLastColumn="0"/>
              <w:rPr>
                <w:rFonts w:eastAsia="Arial Narrow" w:cs="Arial Narrow"/>
                <w:lang w:val="en-AU"/>
              </w:rPr>
            </w:pPr>
            <w:r w:rsidRPr="000A7BB0">
              <w:rPr>
                <w:rFonts w:eastAsia="Arial Narrow" w:cs="Arial Narrow"/>
                <w:lang w:val="en-AU"/>
              </w:rPr>
              <w:t>AEs related to testing</w:t>
            </w:r>
          </w:p>
          <w:p w14:paraId="5A0A6426"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lang w:val="en-AU"/>
              </w:rPr>
            </w:pPr>
          </w:p>
          <w:p w14:paraId="5BB0FF0A"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u w:val="single"/>
                <w:lang w:val="en-AU"/>
              </w:rPr>
              <w:t>Drug</w:t>
            </w:r>
            <w:r w:rsidRPr="000A7BB0">
              <w:rPr>
                <w:lang w:val="en-AU"/>
              </w:rPr>
              <w:t xml:space="preserve">: OS, PFS, ORR, CBR, CR, PR, SD, </w:t>
            </w:r>
            <w:proofErr w:type="spellStart"/>
            <w:r w:rsidRPr="000A7BB0">
              <w:rPr>
                <w:lang w:val="en-AU"/>
              </w:rPr>
              <w:t>HRQoL</w:t>
            </w:r>
            <w:proofErr w:type="spellEnd"/>
            <w:r w:rsidRPr="000A7BB0">
              <w:rPr>
                <w:lang w:val="en-AU"/>
              </w:rPr>
              <w:t>, treatment-emergent and treatment-related AEs</w:t>
            </w:r>
          </w:p>
        </w:tc>
      </w:tr>
      <w:tr w:rsidR="00F61A18" w:rsidRPr="000A7BB0" w14:paraId="3E16C717" w14:textId="77777777" w:rsidTr="00470B01">
        <w:tc>
          <w:tcPr>
            <w:cnfStyle w:val="001000000000" w:firstRow="0" w:lastRow="0" w:firstColumn="1" w:lastColumn="0" w:oddVBand="0" w:evenVBand="0" w:oddHBand="0" w:evenHBand="0" w:firstRowFirstColumn="0" w:firstRowLastColumn="0" w:lastRowFirstColumn="0" w:lastRowLastColumn="0"/>
            <w:tcW w:w="1413" w:type="dxa"/>
          </w:tcPr>
          <w:p w14:paraId="7B2B469C" w14:textId="77777777" w:rsidR="00F61A18" w:rsidRPr="000A7BB0" w:rsidRDefault="00F61A18">
            <w:pPr>
              <w:keepNext/>
              <w:keepLines/>
              <w:spacing w:before="0"/>
              <w:rPr>
                <w:rFonts w:ascii="Arial Narrow" w:hAnsi="Arial Narrow"/>
                <w:lang w:val="en-AU"/>
              </w:rPr>
            </w:pPr>
            <w:r w:rsidRPr="000A7BB0">
              <w:rPr>
                <w:rFonts w:ascii="Arial Narrow" w:hAnsi="Arial Narrow"/>
                <w:lang w:val="en-AU"/>
              </w:rPr>
              <w:t>Clinical claim</w:t>
            </w:r>
          </w:p>
        </w:tc>
        <w:tc>
          <w:tcPr>
            <w:tcW w:w="7603" w:type="dxa"/>
          </w:tcPr>
          <w:p w14:paraId="4640C6C8" w14:textId="77777777" w:rsidR="00F61A18" w:rsidRPr="000A7BB0" w:rsidRDefault="00F61A18">
            <w:pPr>
              <w:keepNext/>
              <w:keepLines/>
              <w:spacing w:before="0"/>
              <w:jc w:val="left"/>
              <w:cnfStyle w:val="000000000000" w:firstRow="0" w:lastRow="0" w:firstColumn="0" w:lastColumn="0" w:oddVBand="0" w:evenVBand="0" w:oddHBand="0" w:evenHBand="0" w:firstRowFirstColumn="0" w:firstRowLastColumn="0" w:lastRowFirstColumn="0" w:lastRowLastColumn="0"/>
              <w:rPr>
                <w:lang w:val="en-AU"/>
              </w:rPr>
            </w:pPr>
            <w:r w:rsidRPr="000A7BB0">
              <w:rPr>
                <w:lang w:val="en-AU"/>
              </w:rPr>
              <w:t xml:space="preserve">In men and postmenopausal women with ER+/HER2- locally advanced or </w:t>
            </w:r>
            <w:proofErr w:type="spellStart"/>
            <w:r w:rsidRPr="000A7BB0">
              <w:rPr>
                <w:lang w:val="en-AU"/>
              </w:rPr>
              <w:t>mBC</w:t>
            </w:r>
            <w:proofErr w:type="spellEnd"/>
            <w:r w:rsidRPr="000A7BB0">
              <w:rPr>
                <w:lang w:val="en-AU"/>
              </w:rPr>
              <w:t xml:space="preserve">, who have disease progression following at least one line of ET, including a CDK4/6i, and who test positive for an </w:t>
            </w:r>
            <w:r w:rsidRPr="000A7BB0">
              <w:rPr>
                <w:i/>
                <w:lang w:val="en-AU"/>
              </w:rPr>
              <w:t xml:space="preserve">ESR1 </w:t>
            </w:r>
            <w:r w:rsidRPr="000A7BB0">
              <w:rPr>
                <w:lang w:val="en-AU"/>
              </w:rPr>
              <w:t xml:space="preserve">variant, </w:t>
            </w:r>
            <w:proofErr w:type="spellStart"/>
            <w:r w:rsidRPr="000A7BB0">
              <w:rPr>
                <w:lang w:val="en-AU"/>
              </w:rPr>
              <w:t>elacestrant</w:t>
            </w:r>
            <w:proofErr w:type="spellEnd"/>
            <w:r w:rsidRPr="000A7BB0">
              <w:rPr>
                <w:lang w:val="en-AU"/>
              </w:rPr>
              <w:t xml:space="preserve"> is superior to SOC in terms of effectiveness with a different and manageable safety profile.</w:t>
            </w:r>
          </w:p>
        </w:tc>
      </w:tr>
    </w:tbl>
    <w:p w14:paraId="0AE08E6E" w14:textId="77777777" w:rsidR="00F61A18" w:rsidRPr="000A7BB0" w:rsidRDefault="00F61A18" w:rsidP="00F61A18">
      <w:pPr>
        <w:keepNext/>
        <w:keepLines/>
        <w:widowControl w:val="0"/>
        <w:spacing w:before="0" w:after="0"/>
        <w:contextualSpacing/>
        <w:rPr>
          <w:rFonts w:ascii="Arial Narrow" w:eastAsia="Times New Roman" w:hAnsi="Arial Narrow" w:cs="Arial"/>
          <w:snapToGrid w:val="0"/>
          <w:sz w:val="18"/>
          <w:szCs w:val="20"/>
        </w:rPr>
      </w:pPr>
      <w:r w:rsidRPr="000A7BB0">
        <w:rPr>
          <w:rFonts w:ascii="Arial Narrow" w:eastAsia="Times New Roman" w:hAnsi="Arial Narrow" w:cs="Arial"/>
          <w:snapToGrid w:val="0"/>
          <w:sz w:val="18"/>
          <w:szCs w:val="20"/>
        </w:rPr>
        <w:t>Source: Table 1.1, p21 of the submission</w:t>
      </w:r>
    </w:p>
    <w:p w14:paraId="5B0376A3" w14:textId="758622FD" w:rsidR="00F61A18" w:rsidRPr="005A3674" w:rsidRDefault="00F61A18" w:rsidP="005A3674">
      <w:pPr>
        <w:keepNext/>
        <w:keepLines/>
        <w:widowControl w:val="0"/>
        <w:spacing w:before="0" w:after="0"/>
        <w:contextualSpacing/>
        <w:rPr>
          <w:rFonts w:ascii="Arial Narrow" w:eastAsia="Times New Roman" w:hAnsi="Arial Narrow" w:cs="Arial"/>
          <w:snapToGrid w:val="0"/>
          <w:sz w:val="18"/>
          <w:szCs w:val="18"/>
        </w:rPr>
      </w:pPr>
      <w:r w:rsidRPr="000A7BB0">
        <w:rPr>
          <w:rFonts w:ascii="Arial Narrow" w:eastAsia="Times New Roman" w:hAnsi="Arial Narrow" w:cs="Arial"/>
          <w:snapToGrid w:val="0"/>
          <w:sz w:val="18"/>
          <w:szCs w:val="18"/>
        </w:rPr>
        <w:t xml:space="preserve">AEs = adverse events; CDK4/6i = cyclin dependent kinase 4/6 inhibitors; CBR = clinical benefit rate; CR = complete response; ctDNA = circulating tumour DNA; </w:t>
      </w:r>
      <w:proofErr w:type="spellStart"/>
      <w:r w:rsidRPr="000A7BB0">
        <w:rPr>
          <w:rFonts w:ascii="Arial Narrow" w:eastAsia="Times New Roman" w:hAnsi="Arial Narrow" w:cs="Arial"/>
          <w:snapToGrid w:val="0"/>
          <w:sz w:val="18"/>
          <w:szCs w:val="18"/>
        </w:rPr>
        <w:t>ddPCR</w:t>
      </w:r>
      <w:proofErr w:type="spellEnd"/>
      <w:r w:rsidRPr="000A7BB0">
        <w:rPr>
          <w:rFonts w:ascii="Arial Narrow" w:eastAsia="Times New Roman" w:hAnsi="Arial Narrow" w:cs="Arial"/>
          <w:snapToGrid w:val="0"/>
          <w:sz w:val="18"/>
          <w:szCs w:val="18"/>
        </w:rPr>
        <w:t xml:space="preserve"> = digital droplet polymerase chain reaction; ER+/HER2- = estrogen receptor positive, human epidermal growth factor 2 negative;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 = estrogen receptor 1; ET = endocrine therapy; </w:t>
      </w:r>
      <w:proofErr w:type="spellStart"/>
      <w:r w:rsidRPr="000A7BB0">
        <w:rPr>
          <w:rFonts w:ascii="Arial Narrow" w:eastAsia="Times New Roman" w:hAnsi="Arial Narrow" w:cs="Arial"/>
          <w:snapToGrid w:val="0"/>
          <w:sz w:val="18"/>
          <w:szCs w:val="18"/>
        </w:rPr>
        <w:t>HRQoL</w:t>
      </w:r>
      <w:proofErr w:type="spellEnd"/>
      <w:r w:rsidRPr="000A7BB0">
        <w:rPr>
          <w:rFonts w:ascii="Arial Narrow" w:eastAsia="Times New Roman" w:hAnsi="Arial Narrow" w:cs="Arial"/>
          <w:snapToGrid w:val="0"/>
          <w:sz w:val="18"/>
          <w:szCs w:val="18"/>
        </w:rPr>
        <w:t xml:space="preserve"> = health-related quality of life; IM = intramuscular; </w:t>
      </w:r>
      <w:proofErr w:type="spellStart"/>
      <w:r w:rsidRPr="000A7BB0">
        <w:rPr>
          <w:rFonts w:ascii="Arial Narrow" w:eastAsia="Times New Roman" w:hAnsi="Arial Narrow" w:cs="Arial"/>
          <w:snapToGrid w:val="0"/>
          <w:sz w:val="18"/>
          <w:szCs w:val="18"/>
        </w:rPr>
        <w:t>mBC</w:t>
      </w:r>
      <w:proofErr w:type="spellEnd"/>
      <w:r w:rsidRPr="000A7BB0">
        <w:rPr>
          <w:rFonts w:ascii="Arial Narrow" w:eastAsia="Times New Roman" w:hAnsi="Arial Narrow" w:cs="Arial"/>
          <w:snapToGrid w:val="0"/>
          <w:sz w:val="18"/>
          <w:szCs w:val="18"/>
        </w:rPr>
        <w:t xml:space="preserve"> = metastatic breast cancer; mg = milligram; NGS = next-generation sequencing; ORR = overall response rate; NPV = negative predictive value; po = per oral; PPV = positive predictive value; PR = partial response; qPCR = quantitative polymerase chain reaction; OS = overall survival; PFS = progression-free survival; SD = stable disease; SOC = standard of care.</w:t>
      </w:r>
    </w:p>
    <w:p w14:paraId="793E8994" w14:textId="77777777" w:rsidR="00FD07C6" w:rsidRPr="00F47562" w:rsidRDefault="00FD07C6" w:rsidP="00252706">
      <w:pPr>
        <w:pStyle w:val="Heading2"/>
        <w:numPr>
          <w:ilvl w:val="0"/>
          <w:numId w:val="48"/>
        </w:numPr>
        <w:spacing w:after="240"/>
        <w:ind w:hanging="720"/>
        <w:rPr>
          <w:rFonts w:ascii="Franklin Gothic Medium" w:hAnsi="Franklin Gothic Medium"/>
          <w:b w:val="0"/>
          <w:i w:val="0"/>
          <w:snapToGrid/>
          <w:sz w:val="32"/>
          <w:szCs w:val="26"/>
        </w:rPr>
      </w:pPr>
      <w:bookmarkStart w:id="17" w:name="_Toc93044759"/>
      <w:bookmarkStart w:id="18" w:name="_Toc93322893"/>
      <w:bookmarkStart w:id="19" w:name="_Toc188374344"/>
      <w:bookmarkEnd w:id="17"/>
      <w:bookmarkEnd w:id="18"/>
      <w:r w:rsidRPr="00F47562">
        <w:rPr>
          <w:rFonts w:ascii="Franklin Gothic Medium" w:hAnsi="Franklin Gothic Medium"/>
          <w:b w:val="0"/>
          <w:i w:val="0"/>
          <w:snapToGrid/>
          <w:sz w:val="32"/>
          <w:szCs w:val="26"/>
        </w:rPr>
        <w:t>Population</w:t>
      </w:r>
      <w:bookmarkEnd w:id="19"/>
    </w:p>
    <w:p w14:paraId="126E7C39" w14:textId="7DC9DD35" w:rsidR="00C905D6" w:rsidRPr="00F47562" w:rsidRDefault="00C905D6" w:rsidP="00F47562">
      <w:pPr>
        <w:pStyle w:val="3-BodyText"/>
        <w:rPr>
          <w:szCs w:val="22"/>
          <w:u w:val="single"/>
        </w:rPr>
      </w:pPr>
      <w:r w:rsidRPr="00F47562">
        <w:rPr>
          <w:szCs w:val="22"/>
          <w:u w:val="single"/>
        </w:rPr>
        <w:t>Disease</w:t>
      </w:r>
    </w:p>
    <w:p w14:paraId="33A05486" w14:textId="050A82FC" w:rsidR="00C905D6" w:rsidRPr="00F47562" w:rsidRDefault="00C905D6" w:rsidP="00F47562">
      <w:r w:rsidRPr="00F47562">
        <w:t xml:space="preserve">Breast cancer is a common, molecularly heterogenous malignancy that causes high levels of disability and mortality and predominantly occurs in in postmenopausal women aged </w:t>
      </w:r>
      <w:r w:rsidRPr="00F47562">
        <w:rPr>
          <w:snapToGrid w:val="0"/>
          <w:lang w:eastAsia="en-AU"/>
        </w:rPr>
        <w:t>≥50 years</w:t>
      </w:r>
      <w:r w:rsidRPr="00F47562">
        <w:t xml:space="preserve">. </w:t>
      </w:r>
      <w:r w:rsidRPr="00F47562">
        <w:lastRenderedPageBreak/>
        <w:t>In Australia</w:t>
      </w:r>
      <w:r w:rsidR="50DD63E3" w:rsidRPr="00F47562">
        <w:t>,</w:t>
      </w:r>
      <w:r w:rsidRPr="00F47562">
        <w:t xml:space="preserve"> it is the second most diagnosed cancer and the fifth most common cause of cancer death, with an estimated 20,640 new cases diagnosed and 3,214 deaths in 2022</w:t>
      </w:r>
      <w:bookmarkStart w:id="20" w:name="_Ref184558752"/>
      <w:r w:rsidRPr="00F47562">
        <w:rPr>
          <w:vertAlign w:val="superscript"/>
        </w:rPr>
        <w:footnoteReference w:id="6"/>
      </w:r>
      <w:bookmarkEnd w:id="20"/>
      <w:r w:rsidRPr="00F47562">
        <w:t xml:space="preserve">. </w:t>
      </w:r>
    </w:p>
    <w:p w14:paraId="28D76CE7" w14:textId="7B1CF51D" w:rsidR="00C905D6" w:rsidRPr="00F47562" w:rsidRDefault="00C905D6" w:rsidP="00F47562">
      <w:r w:rsidRPr="00F47562">
        <w:t>In the early stages of breast cancer, where the cancer is confined to the breast or axillary lymph nodes, the disease can be cured using surgery, usually with neoadjuvant or adjuvant systemic therapy</w:t>
      </w:r>
      <w:bookmarkStart w:id="21" w:name="_Ref184554419"/>
      <w:r w:rsidRPr="00F47562">
        <w:rPr>
          <w:vertAlign w:val="superscript"/>
        </w:rPr>
        <w:footnoteReference w:id="7"/>
      </w:r>
      <w:bookmarkEnd w:id="21"/>
      <w:r w:rsidRPr="00F47562">
        <w:t xml:space="preserve">. However, some patients (5-10%) present with </w:t>
      </w:r>
      <w:proofErr w:type="spellStart"/>
      <w:r w:rsidRPr="00F47562">
        <w:t>mBC</w:t>
      </w:r>
      <w:proofErr w:type="spellEnd"/>
      <w:r w:rsidRPr="00F47562">
        <w:t xml:space="preserve"> at diagnosis (de novo metastatic disease), and many with early breast cancer eventually progress to </w:t>
      </w:r>
      <w:proofErr w:type="spellStart"/>
      <w:r w:rsidRPr="00F47562">
        <w:t>mBC</w:t>
      </w:r>
      <w:proofErr w:type="spellEnd"/>
      <w:r w:rsidRPr="00F47562">
        <w:t xml:space="preserve"> (20% to 30%) (recurrent metastatic disease)</w:t>
      </w:r>
      <w:r w:rsidRPr="00F47562">
        <w:fldChar w:fldCharType="begin"/>
      </w:r>
      <w:r w:rsidRPr="00F47562">
        <w:instrText xml:space="preserve"> NOTEREF _Ref184554419 \f \h </w:instrText>
      </w:r>
      <w:r w:rsidR="00F47562" w:rsidRPr="00F47562">
        <w:instrText xml:space="preserve"> \* MERGEFORMAT </w:instrText>
      </w:r>
      <w:r w:rsidRPr="00F47562">
        <w:fldChar w:fldCharType="separate"/>
      </w:r>
      <w:r w:rsidR="001F3154" w:rsidRPr="001F3154">
        <w:t>4</w:t>
      </w:r>
      <w:r w:rsidRPr="00F47562">
        <w:fldChar w:fldCharType="end"/>
      </w:r>
      <w:r w:rsidRPr="00F47562">
        <w:t xml:space="preserve">. </w:t>
      </w:r>
    </w:p>
    <w:p w14:paraId="6B7993AF" w14:textId="2E0CDF2E" w:rsidR="00C905D6" w:rsidRPr="00F47562" w:rsidRDefault="00C905D6" w:rsidP="00F47562">
      <w:r w:rsidRPr="00F47562">
        <w:t xml:space="preserve">While incurable, </w:t>
      </w:r>
      <w:proofErr w:type="spellStart"/>
      <w:r w:rsidRPr="00F47562">
        <w:t>mBC</w:t>
      </w:r>
      <w:proofErr w:type="spellEnd"/>
      <w:r w:rsidRPr="00F47562">
        <w:t xml:space="preserve"> is treatable, </w:t>
      </w:r>
      <w:r w:rsidRPr="00F47562">
        <w:rPr>
          <w:shd w:val="clear" w:color="auto" w:fill="FFFFFF"/>
        </w:rPr>
        <w:t xml:space="preserve">with the main goals of therapy </w:t>
      </w:r>
      <w:r w:rsidR="06902B67" w:rsidRPr="00F47562">
        <w:rPr>
          <w:shd w:val="clear" w:color="auto" w:fill="FFFFFF"/>
        </w:rPr>
        <w:t xml:space="preserve">being </w:t>
      </w:r>
      <w:r w:rsidRPr="00F47562">
        <w:rPr>
          <w:shd w:val="clear" w:color="auto" w:fill="FFFFFF"/>
        </w:rPr>
        <w:t>to delay disease progression and prolong survival, while minimising treatment toxicity and preserving health related quality of life (</w:t>
      </w:r>
      <w:proofErr w:type="spellStart"/>
      <w:r w:rsidRPr="00F47562">
        <w:rPr>
          <w:shd w:val="clear" w:color="auto" w:fill="FFFFFF"/>
        </w:rPr>
        <w:t>HRQoL</w:t>
      </w:r>
      <w:proofErr w:type="spellEnd"/>
      <w:r w:rsidRPr="00F47562">
        <w:rPr>
          <w:shd w:val="clear" w:color="auto" w:fill="FFFFFF"/>
        </w:rPr>
        <w:t xml:space="preserve">). </w:t>
      </w:r>
      <w:r w:rsidRPr="00F47562">
        <w:t>Treatment choice depends on the histological and molecular characteristics of the tumour which drives carcinogenesis</w:t>
      </w:r>
      <w:r w:rsidRPr="00F47562">
        <w:fldChar w:fldCharType="begin"/>
      </w:r>
      <w:r w:rsidRPr="00F47562">
        <w:instrText xml:space="preserve"> NOTEREF _Ref184554419 \f \h </w:instrText>
      </w:r>
      <w:r w:rsidR="00F47562" w:rsidRPr="00F47562">
        <w:instrText xml:space="preserve"> \* MERGEFORMAT </w:instrText>
      </w:r>
      <w:r w:rsidRPr="00F47562">
        <w:fldChar w:fldCharType="separate"/>
      </w:r>
      <w:r w:rsidR="001F3154" w:rsidRPr="001F3154">
        <w:t>4</w:t>
      </w:r>
      <w:r w:rsidRPr="00F47562">
        <w:fldChar w:fldCharType="end"/>
      </w:r>
      <w:r w:rsidRPr="00F47562">
        <w:t>. These characteristics have informed the classification of breast cancer into five subtypes, largely based on the expression of ER and HER2</w:t>
      </w:r>
      <w:r w:rsidRPr="00F47562">
        <w:fldChar w:fldCharType="begin"/>
      </w:r>
      <w:r w:rsidRPr="00F47562">
        <w:instrText xml:space="preserve"> NOTEREF _Ref184554419 \f \h </w:instrText>
      </w:r>
      <w:r w:rsidR="00F47562" w:rsidRPr="00F47562">
        <w:instrText xml:space="preserve"> \* MERGEFORMAT </w:instrText>
      </w:r>
      <w:r w:rsidRPr="00F47562">
        <w:fldChar w:fldCharType="separate"/>
      </w:r>
      <w:r w:rsidR="001F3154" w:rsidRPr="001F3154">
        <w:t>4</w:t>
      </w:r>
      <w:r w:rsidRPr="00F47562">
        <w:fldChar w:fldCharType="end"/>
      </w:r>
      <w:r w:rsidRPr="00F47562">
        <w:t xml:space="preserve"> :</w:t>
      </w:r>
    </w:p>
    <w:p w14:paraId="3223A280" w14:textId="77777777" w:rsidR="00C905D6" w:rsidRPr="00F47562" w:rsidRDefault="00C905D6" w:rsidP="00252706">
      <w:pPr>
        <w:numPr>
          <w:ilvl w:val="0"/>
          <w:numId w:val="18"/>
        </w:numPr>
        <w:spacing w:before="0" w:after="120"/>
        <w:ind w:left="714" w:hanging="357"/>
        <w:rPr>
          <w:rFonts w:cstheme="minorHAnsi"/>
        </w:rPr>
      </w:pPr>
      <w:r w:rsidRPr="00F47562">
        <w:rPr>
          <w:rFonts w:cstheme="minorHAnsi"/>
        </w:rPr>
        <w:t>Luminal A-like (</w:t>
      </w:r>
      <w:r w:rsidRPr="00F47562">
        <w:rPr>
          <w:rFonts w:cstheme="minorHAnsi"/>
          <w:b/>
          <w:bCs/>
        </w:rPr>
        <w:t>ER+/HER2-</w:t>
      </w:r>
      <w:r w:rsidRPr="00F47562">
        <w:rPr>
          <w:rFonts w:cstheme="minorHAnsi"/>
        </w:rPr>
        <w:t>): 40%-50% of invasive breast cancer</w:t>
      </w:r>
    </w:p>
    <w:p w14:paraId="1C1DE125" w14:textId="77777777" w:rsidR="00C905D6" w:rsidRPr="00F47562" w:rsidRDefault="00C905D6" w:rsidP="00252706">
      <w:pPr>
        <w:numPr>
          <w:ilvl w:val="0"/>
          <w:numId w:val="18"/>
        </w:numPr>
        <w:spacing w:before="0" w:after="120"/>
        <w:ind w:left="714" w:hanging="357"/>
        <w:rPr>
          <w:rFonts w:cstheme="minorHAnsi"/>
        </w:rPr>
      </w:pPr>
      <w:r w:rsidRPr="00F47562">
        <w:rPr>
          <w:rFonts w:cstheme="minorHAnsi"/>
        </w:rPr>
        <w:t>Luminal B-like: ~20%-30% of invasive breast cancer</w:t>
      </w:r>
    </w:p>
    <w:p w14:paraId="4152F759" w14:textId="77777777" w:rsidR="00C905D6" w:rsidRPr="00F47562" w:rsidRDefault="00C905D6" w:rsidP="00252706">
      <w:pPr>
        <w:numPr>
          <w:ilvl w:val="1"/>
          <w:numId w:val="11"/>
        </w:numPr>
        <w:spacing w:before="0" w:after="120"/>
        <w:rPr>
          <w:rFonts w:cstheme="minorHAnsi"/>
        </w:rPr>
      </w:pPr>
      <w:r w:rsidRPr="00F47562">
        <w:rPr>
          <w:rFonts w:cstheme="minorHAnsi"/>
        </w:rPr>
        <w:t>HER2- (</w:t>
      </w:r>
      <w:r w:rsidRPr="00F47562">
        <w:rPr>
          <w:rFonts w:cstheme="minorHAnsi"/>
          <w:b/>
          <w:bCs/>
        </w:rPr>
        <w:t>ER+/HER2-</w:t>
      </w:r>
      <w:r w:rsidRPr="00F47562">
        <w:rPr>
          <w:rFonts w:cstheme="minorHAnsi"/>
        </w:rPr>
        <w:t>; but ER expression lower than luminal A-like)</w:t>
      </w:r>
    </w:p>
    <w:p w14:paraId="26E7DFEF" w14:textId="77777777" w:rsidR="00C905D6" w:rsidRPr="00F47562" w:rsidRDefault="00C905D6" w:rsidP="00252706">
      <w:pPr>
        <w:numPr>
          <w:ilvl w:val="1"/>
          <w:numId w:val="11"/>
        </w:numPr>
        <w:spacing w:before="0" w:after="120"/>
        <w:rPr>
          <w:rFonts w:cstheme="minorHAnsi"/>
        </w:rPr>
      </w:pPr>
      <w:r w:rsidRPr="00F47562">
        <w:rPr>
          <w:rFonts w:cstheme="minorHAnsi"/>
        </w:rPr>
        <w:t>HER2+ (ER+/HER2+; but ER expression lower than luminal A-like)</w:t>
      </w:r>
    </w:p>
    <w:p w14:paraId="28869C0F" w14:textId="77777777" w:rsidR="00C905D6" w:rsidRPr="00F47562" w:rsidRDefault="00C905D6" w:rsidP="00252706">
      <w:pPr>
        <w:numPr>
          <w:ilvl w:val="0"/>
          <w:numId w:val="18"/>
        </w:numPr>
        <w:spacing w:before="0" w:after="120"/>
        <w:ind w:left="714" w:hanging="357"/>
        <w:rPr>
          <w:rFonts w:cstheme="minorHAnsi"/>
        </w:rPr>
      </w:pPr>
      <w:r w:rsidRPr="00F47562">
        <w:rPr>
          <w:rFonts w:cstheme="minorHAnsi"/>
        </w:rPr>
        <w:t>HER2-enriched (non-luminal; ER-/HER2+): 15%-20% of invasive breast cancer</w:t>
      </w:r>
    </w:p>
    <w:p w14:paraId="4F1DA2D2" w14:textId="77777777" w:rsidR="00C905D6" w:rsidRPr="00F47562" w:rsidRDefault="00C905D6" w:rsidP="00252706">
      <w:pPr>
        <w:numPr>
          <w:ilvl w:val="0"/>
          <w:numId w:val="18"/>
        </w:numPr>
        <w:spacing w:before="0" w:after="120"/>
        <w:ind w:left="714" w:hanging="357"/>
        <w:rPr>
          <w:rFonts w:cstheme="minorHAnsi"/>
        </w:rPr>
      </w:pPr>
      <w:r w:rsidRPr="00F47562">
        <w:rPr>
          <w:rFonts w:cstheme="minorHAnsi"/>
        </w:rPr>
        <w:t>Triple negative (ER-/HER2-): ~10%-20% of invasive breast cancer</w:t>
      </w:r>
    </w:p>
    <w:p w14:paraId="3EFC350C" w14:textId="5A3CE7AA" w:rsidR="00C905D6" w:rsidRPr="00F47562" w:rsidRDefault="00C905D6" w:rsidP="00F47562">
      <w:r w:rsidRPr="00F47562">
        <w:t xml:space="preserve">ER+/HER2- tumours comprise luminal A-like and luminal B-like HER2- tumours, which account for approximately 70% of </w:t>
      </w:r>
      <w:proofErr w:type="spellStart"/>
      <w:r w:rsidRPr="00F47562">
        <w:t>mBC</w:t>
      </w:r>
      <w:proofErr w:type="spellEnd"/>
      <w:r w:rsidRPr="00F47562">
        <w:t xml:space="preserve"> cases</w:t>
      </w:r>
      <w:bookmarkStart w:id="22" w:name="_Ref184558953"/>
      <w:r w:rsidRPr="00F47562">
        <w:rPr>
          <w:vertAlign w:val="superscript"/>
        </w:rPr>
        <w:footnoteReference w:id="8"/>
      </w:r>
      <w:bookmarkEnd w:id="22"/>
      <w:r w:rsidRPr="00F47562">
        <w:t xml:space="preserve">. </w:t>
      </w:r>
    </w:p>
    <w:p w14:paraId="6C8BD045" w14:textId="73B14CBE" w:rsidR="00C905D6" w:rsidRPr="00F47562" w:rsidRDefault="00C905D6" w:rsidP="00F47562">
      <w:r w:rsidRPr="00F47562">
        <w:t>Except for patients with visceral crisis (imminent organ failure) in whom chemotherapy is recommended, ET, with either aromatase inhibitors (A</w:t>
      </w:r>
      <w:r w:rsidR="6C882A15" w:rsidRPr="00F47562">
        <w:t>I</w:t>
      </w:r>
      <w:r w:rsidRPr="00F47562">
        <w:t xml:space="preserve">s) or </w:t>
      </w:r>
      <w:proofErr w:type="spellStart"/>
      <w:r w:rsidRPr="00F47562">
        <w:t>fulvestrant</w:t>
      </w:r>
      <w:proofErr w:type="spellEnd"/>
      <w:r w:rsidRPr="00F47562">
        <w:t xml:space="preserve">, plus a CDK4/6i is the recommended standard of care (SOC) first-line (1L) treatment for patients with ER+/HER2- </w:t>
      </w:r>
      <w:proofErr w:type="spellStart"/>
      <w:r w:rsidRPr="00F47562">
        <w:t>mBC</w:t>
      </w:r>
      <w:bookmarkStart w:id="23" w:name="_Ref184554723"/>
      <w:proofErr w:type="spellEnd"/>
      <w:r w:rsidRPr="00F47562">
        <w:rPr>
          <w:vertAlign w:val="superscript"/>
        </w:rPr>
        <w:footnoteReference w:id="9"/>
      </w:r>
      <w:bookmarkEnd w:id="23"/>
      <w:r w:rsidRPr="00F47562">
        <w:t xml:space="preserve">. </w:t>
      </w:r>
    </w:p>
    <w:p w14:paraId="4AC1C8C6" w14:textId="66015545" w:rsidR="00C905D6" w:rsidRPr="00F47562" w:rsidRDefault="00C905D6" w:rsidP="00F47562">
      <w:r w:rsidRPr="00F47562">
        <w:t xml:space="preserve">However, approximately 20% of </w:t>
      </w:r>
      <w:proofErr w:type="spellStart"/>
      <w:r w:rsidRPr="00F47562">
        <w:t>mBC</w:t>
      </w:r>
      <w:proofErr w:type="spellEnd"/>
      <w:r w:rsidRPr="00F47562">
        <w:t xml:space="preserve"> patients progress rapidly on initial ET (i.e., have </w:t>
      </w:r>
      <w:r w:rsidRPr="00F47562">
        <w:rPr>
          <w:i/>
          <w:iCs/>
        </w:rPr>
        <w:t>de novo</w:t>
      </w:r>
      <w:r w:rsidRPr="00F47562">
        <w:t xml:space="preserve"> or primary resistance, with disease progression within the first 6 months of 1L treatment with ET</w:t>
      </w:r>
      <w:r w:rsidR="4B88CF60" w:rsidRPr="00F47562">
        <w:t xml:space="preserve"> </w:t>
      </w:r>
      <w:r w:rsidRPr="00F47562">
        <w:t>+ CDK4/6i), while the remaining patient</w:t>
      </w:r>
      <w:r w:rsidR="7518422E" w:rsidRPr="00F47562">
        <w:t>s</w:t>
      </w:r>
      <w:r w:rsidRPr="00F47562">
        <w:t xml:space="preserve"> acquire resistance over time (secondary resistance, with disease progression at least 6 months after initiating ET for </w:t>
      </w:r>
      <w:proofErr w:type="spellStart"/>
      <w:r w:rsidRPr="00F47562">
        <w:t>mBC</w:t>
      </w:r>
      <w:proofErr w:type="spellEnd"/>
      <w:r w:rsidRPr="00F47562">
        <w:t>)</w:t>
      </w:r>
      <w:r w:rsidRPr="00F47562">
        <w:fldChar w:fldCharType="begin"/>
      </w:r>
      <w:r w:rsidRPr="00F47562">
        <w:instrText xml:space="preserve"> NOTEREF _Ref184554723 \f \h </w:instrText>
      </w:r>
      <w:r w:rsidR="00F47562" w:rsidRPr="00F47562">
        <w:instrText xml:space="preserve"> \* MERGEFORMAT </w:instrText>
      </w:r>
      <w:r w:rsidRPr="00F47562">
        <w:fldChar w:fldCharType="separate"/>
      </w:r>
      <w:r w:rsidR="001F3154" w:rsidRPr="001F3154">
        <w:t>6</w:t>
      </w:r>
      <w:r w:rsidRPr="00F47562">
        <w:fldChar w:fldCharType="end"/>
      </w:r>
      <w:r w:rsidRPr="00F47562">
        <w:t xml:space="preserve">. Several molecular mechanisms have been identified which underlie acquired endocrine resistance, including acquired variants in specific genes (e.g., </w:t>
      </w:r>
      <w:r w:rsidRPr="00F47562">
        <w:rPr>
          <w:i/>
          <w:iCs/>
        </w:rPr>
        <w:t>ESR1</w:t>
      </w:r>
      <w:r w:rsidRPr="00F47562">
        <w:t xml:space="preserve">, the gene </w:t>
      </w:r>
      <w:r w:rsidR="70FBB7EA" w:rsidRPr="00F47562">
        <w:t xml:space="preserve">that </w:t>
      </w:r>
      <w:r w:rsidRPr="00F47562">
        <w:t xml:space="preserve">encodes for ERα). </w:t>
      </w:r>
    </w:p>
    <w:p w14:paraId="07402861" w14:textId="77777777" w:rsidR="00C905D6" w:rsidRPr="00F47562" w:rsidRDefault="00C905D6" w:rsidP="00F47562">
      <w:pPr>
        <w:rPr>
          <w:u w:val="single"/>
        </w:rPr>
      </w:pPr>
      <w:r w:rsidRPr="00F47562">
        <w:rPr>
          <w:u w:val="single"/>
        </w:rPr>
        <w:t xml:space="preserve">Biomarker </w:t>
      </w:r>
    </w:p>
    <w:p w14:paraId="4359B98D" w14:textId="3FD609E5" w:rsidR="00C905D6" w:rsidRPr="00F47562" w:rsidRDefault="00C905D6" w:rsidP="00F47562">
      <w:pPr>
        <w:rPr>
          <w:i/>
          <w:iCs/>
        </w:rPr>
      </w:pPr>
      <w:r w:rsidRPr="00F47562">
        <w:rPr>
          <w:rFonts w:cs="Arial"/>
          <w:i/>
          <w:iCs/>
        </w:rPr>
        <w:t xml:space="preserve">ESR1 </w:t>
      </w:r>
      <w:r w:rsidRPr="00F47562">
        <w:rPr>
          <w:rFonts w:cs="Arial"/>
        </w:rPr>
        <w:t xml:space="preserve">variants are a key mechanism of acquired resistance to ET. </w:t>
      </w:r>
      <w:r w:rsidRPr="00F47562">
        <w:rPr>
          <w:i/>
          <w:iCs/>
        </w:rPr>
        <w:t>ESR1</w:t>
      </w:r>
      <w:r w:rsidRPr="00F47562">
        <w:t xml:space="preserve"> variants are somatic variants that alter the ligand-binding domain (LBD) of estrogen receptors, resulting in a ligand-independent, constitutively active conformation that enhances cancer growth, metastasis, and </w:t>
      </w:r>
      <w:r w:rsidRPr="00F47562">
        <w:lastRenderedPageBreak/>
        <w:t>resistance. This decreases the affinity of estrogen receptors for estrogen (thereby making AIs, which reduce estrogen production, ineffective), selective estrogen receptor modulators (SERMs</w:t>
      </w:r>
      <w:r w:rsidR="0F83A363" w:rsidRPr="00F47562">
        <w:t>;</w:t>
      </w:r>
      <w:r w:rsidRPr="00F47562">
        <w:t xml:space="preserve"> e</w:t>
      </w:r>
      <w:r w:rsidR="0F83A363" w:rsidRPr="00F47562">
        <w:t>.</w:t>
      </w:r>
      <w:r w:rsidRPr="00F47562">
        <w:t>g</w:t>
      </w:r>
      <w:r w:rsidR="0F83A363" w:rsidRPr="00F47562">
        <w:t>.,</w:t>
      </w:r>
      <w:r w:rsidRPr="00F47562">
        <w:t xml:space="preserve"> tamoxifen) and selective estrogen receptor degraders (SERDs</w:t>
      </w:r>
      <w:r w:rsidR="0F83A363" w:rsidRPr="00F47562">
        <w:t>;</w:t>
      </w:r>
      <w:r w:rsidRPr="00F47562">
        <w:t xml:space="preserve"> e</w:t>
      </w:r>
      <w:r w:rsidR="0F83A363" w:rsidRPr="00F47562">
        <w:t>.</w:t>
      </w:r>
      <w:r w:rsidRPr="00F47562">
        <w:t>g</w:t>
      </w:r>
      <w:r w:rsidR="0F83A363" w:rsidRPr="00F47562">
        <w:t>.,</w:t>
      </w:r>
      <w:r w:rsidRPr="00F47562">
        <w:t xml:space="preserve"> </w:t>
      </w:r>
      <w:proofErr w:type="spellStart"/>
      <w:r w:rsidRPr="00F47562">
        <w:t>fulvestrant</w:t>
      </w:r>
      <w:proofErr w:type="spellEnd"/>
      <w:r w:rsidRPr="00F47562">
        <w:t xml:space="preserve">) (see </w:t>
      </w:r>
      <w:r w:rsidRPr="00F47562">
        <w:fldChar w:fldCharType="begin"/>
      </w:r>
      <w:r w:rsidRPr="00F47562">
        <w:instrText xml:space="preserve"> REF _Ref184466443 \h </w:instrText>
      </w:r>
      <w:r w:rsidR="00F47562" w:rsidRPr="00F47562">
        <w:instrText xml:space="preserve"> \* MERGEFORMAT </w:instrText>
      </w:r>
      <w:r w:rsidRPr="00F47562">
        <w:fldChar w:fldCharType="separate"/>
      </w:r>
      <w:r w:rsidR="0070199E" w:rsidRPr="0070199E">
        <w:t>Figure 1</w:t>
      </w:r>
      <w:r w:rsidRPr="00F47562">
        <w:fldChar w:fldCharType="end"/>
      </w:r>
      <w:r w:rsidRPr="00F47562">
        <w:t xml:space="preserve">). </w:t>
      </w:r>
    </w:p>
    <w:p w14:paraId="6430256C" w14:textId="53692894" w:rsidR="00C905D6" w:rsidRPr="000A7BB0" w:rsidRDefault="00C905D6" w:rsidP="74877A7E">
      <w:pPr>
        <w:keepNext/>
        <w:tabs>
          <w:tab w:val="left" w:pos="1418"/>
        </w:tabs>
        <w:spacing w:before="240" w:after="0"/>
        <w:contextualSpacing/>
        <w:rPr>
          <w:rFonts w:ascii="Arial Narrow" w:hAnsi="Arial Narrow"/>
          <w:b/>
          <w:bCs/>
          <w:sz w:val="20"/>
          <w:szCs w:val="20"/>
        </w:rPr>
      </w:pPr>
      <w:bookmarkStart w:id="24" w:name="_Ref184466443"/>
      <w:r w:rsidRPr="000A7BB0">
        <w:rPr>
          <w:rFonts w:ascii="Arial Narrow" w:hAnsi="Arial Narrow"/>
          <w:b/>
          <w:bCs/>
          <w:sz w:val="20"/>
          <w:szCs w:val="20"/>
        </w:rPr>
        <w:t>Figure</w:t>
      </w:r>
      <w:r w:rsidR="006F7532">
        <w:rPr>
          <w:rFonts w:ascii="Arial Narrow" w:hAnsi="Arial Narrow"/>
          <w:b/>
          <w:bCs/>
          <w:sz w:val="20"/>
          <w:szCs w:val="20"/>
        </w:rPr>
        <w:t xml:space="preserve"> </w:t>
      </w:r>
      <w:r w:rsidRPr="000A7BB0">
        <w:rPr>
          <w:rFonts w:ascii="Arial Narrow" w:hAnsi="Arial Narrow"/>
          <w:b/>
          <w:bCs/>
          <w:sz w:val="20"/>
          <w:szCs w:val="20"/>
        </w:rPr>
        <w:fldChar w:fldCharType="begin"/>
      </w:r>
      <w:r w:rsidRPr="000A7BB0">
        <w:rPr>
          <w:rFonts w:ascii="Arial Narrow" w:hAnsi="Arial Narrow"/>
          <w:b/>
          <w:bCs/>
          <w:sz w:val="20"/>
          <w:szCs w:val="20"/>
        </w:rPr>
        <w:instrText xml:space="preserve"> SEQ Figure_MSAC. \* ARABIC </w:instrText>
      </w:r>
      <w:r w:rsidRPr="000A7BB0">
        <w:rPr>
          <w:rFonts w:ascii="Arial Narrow" w:hAnsi="Arial Narrow"/>
          <w:b/>
          <w:bCs/>
          <w:sz w:val="20"/>
          <w:szCs w:val="20"/>
        </w:rPr>
        <w:fldChar w:fldCharType="separate"/>
      </w:r>
      <w:r w:rsidRPr="000A7BB0">
        <w:rPr>
          <w:rFonts w:ascii="Arial Narrow" w:hAnsi="Arial Narrow"/>
          <w:b/>
          <w:bCs/>
          <w:sz w:val="20"/>
          <w:szCs w:val="20"/>
        </w:rPr>
        <w:t>1</w:t>
      </w:r>
      <w:r w:rsidRPr="000A7BB0">
        <w:rPr>
          <w:rFonts w:ascii="Arial Narrow" w:hAnsi="Arial Narrow"/>
          <w:b/>
          <w:bCs/>
          <w:sz w:val="20"/>
          <w:szCs w:val="20"/>
        </w:rPr>
        <w:fldChar w:fldCharType="end"/>
      </w:r>
      <w:bookmarkEnd w:id="24"/>
      <w:r w:rsidRPr="000A7BB0">
        <w:rPr>
          <w:rFonts w:ascii="Arial Narrow" w:hAnsi="Arial Narrow"/>
          <w:b/>
          <w:bCs/>
          <w:sz w:val="20"/>
          <w:szCs w:val="20"/>
        </w:rPr>
        <w:t xml:space="preserve">: Mechanisms of resistance in ER+/HER2- </w:t>
      </w:r>
      <w:proofErr w:type="spellStart"/>
      <w:r w:rsidRPr="000A7BB0">
        <w:rPr>
          <w:rFonts w:ascii="Arial Narrow" w:hAnsi="Arial Narrow"/>
          <w:b/>
          <w:bCs/>
          <w:sz w:val="20"/>
          <w:szCs w:val="20"/>
        </w:rPr>
        <w:t>mBC</w:t>
      </w:r>
      <w:proofErr w:type="spellEnd"/>
    </w:p>
    <w:p w14:paraId="261879DA" w14:textId="1E44DE5F" w:rsidR="00C905D6" w:rsidRPr="000A7BB0" w:rsidRDefault="00C905D6" w:rsidP="00C905D6">
      <w:pPr>
        <w:jc w:val="center"/>
        <w:rPr>
          <w:rFonts w:cs="Arial"/>
        </w:rPr>
      </w:pPr>
      <w:r>
        <w:rPr>
          <w:noProof/>
        </w:rPr>
        <w:drawing>
          <wp:inline distT="0" distB="0" distL="0" distR="0" wp14:anchorId="732DC1AE" wp14:editId="59BD075B">
            <wp:extent cx="4636976" cy="3020767"/>
            <wp:effectExtent l="19050" t="19050" r="11430" b="27305"/>
            <wp:docPr id="766746224" name="Picture 766746224" descr="A diagram showing the mechanisms of resistance in ER+/HER2- 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746224" name="Picture 766746224" descr="A diagram showing the mechanisms of resistance in ER+/HER2- mBC"/>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6558" b="11042"/>
                    <a:stretch/>
                  </pic:blipFill>
                  <pic:spPr bwMode="auto">
                    <a:xfrm>
                      <a:off x="0" y="0"/>
                      <a:ext cx="4636976" cy="3020767"/>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14075CF7" w14:textId="77777777" w:rsidR="00C905D6" w:rsidRPr="000A7BB0" w:rsidRDefault="00C905D6" w:rsidP="00C905D6">
      <w:pPr>
        <w:widowControl w:val="0"/>
        <w:spacing w:before="0" w:after="0"/>
        <w:contextualSpacing/>
        <w:rPr>
          <w:rFonts w:ascii="Arial Narrow" w:eastAsia="Times New Roman" w:hAnsi="Arial Narrow" w:cs="Arial"/>
          <w:snapToGrid w:val="0"/>
          <w:sz w:val="18"/>
          <w:szCs w:val="20"/>
        </w:rPr>
      </w:pPr>
      <w:r w:rsidRPr="000A7BB0">
        <w:rPr>
          <w:rFonts w:ascii="Arial Narrow" w:eastAsia="Times New Roman" w:hAnsi="Arial Narrow" w:cs="Arial"/>
          <w:snapToGrid w:val="0"/>
          <w:sz w:val="18"/>
          <w:szCs w:val="20"/>
        </w:rPr>
        <w:t>Source: Figure 1.3, p26 of the submission.</w:t>
      </w:r>
    </w:p>
    <w:p w14:paraId="79862F1E" w14:textId="36CE0EBC" w:rsidR="00C905D6" w:rsidRPr="000A7BB0" w:rsidRDefault="00C905D6" w:rsidP="74877A7E">
      <w:pPr>
        <w:widowControl w:val="0"/>
        <w:spacing w:before="0" w:after="0"/>
        <w:contextualSpacing/>
        <w:rPr>
          <w:rFonts w:ascii="Arial Narrow" w:eastAsia="Times New Roman" w:hAnsi="Arial Narrow" w:cs="Arial"/>
          <w:snapToGrid w:val="0"/>
          <w:sz w:val="18"/>
          <w:szCs w:val="18"/>
        </w:rPr>
      </w:pPr>
      <w:r w:rsidRPr="000A7BB0">
        <w:rPr>
          <w:rFonts w:ascii="Arial Narrow" w:eastAsia="Times New Roman" w:hAnsi="Arial Narrow" w:cs="Arial"/>
          <w:snapToGrid w:val="0"/>
          <w:sz w:val="18"/>
          <w:szCs w:val="18"/>
        </w:rPr>
        <w:t xml:space="preserve">AI = aromatase inhibitor; CCND1 = cyclin D1; </w:t>
      </w:r>
      <w:r w:rsidRPr="000A7BB0">
        <w:rPr>
          <w:rFonts w:ascii="Arial Narrow" w:eastAsia="Arial" w:hAnsi="Arial Narrow" w:cs="Arial"/>
          <w:snapToGrid w:val="0"/>
          <w:sz w:val="18"/>
          <w:szCs w:val="18"/>
        </w:rPr>
        <w:t xml:space="preserve">CDK4/6 = cyclin-dependent kinase 4 and 6; </w:t>
      </w:r>
      <w:r w:rsidRPr="000A7BB0">
        <w:rPr>
          <w:rFonts w:ascii="Arial Narrow" w:eastAsia="Times New Roman" w:hAnsi="Arial Narrow" w:cs="Arial"/>
          <w:snapToGrid w:val="0"/>
          <w:sz w:val="18"/>
          <w:szCs w:val="18"/>
        </w:rPr>
        <w:t xml:space="preserve">ER+/ HR2-mBC = estrogen receptor positive, human epidermal growth factor receptor 2 </w:t>
      </w:r>
      <w:r w:rsidR="4638EDBA" w:rsidRPr="000A7BB0">
        <w:rPr>
          <w:rFonts w:ascii="Arial Narrow" w:eastAsia="Times New Roman" w:hAnsi="Arial Narrow" w:cs="Arial"/>
          <w:snapToGrid w:val="0"/>
          <w:sz w:val="18"/>
          <w:szCs w:val="18"/>
        </w:rPr>
        <w:t>metastatic</w:t>
      </w:r>
      <w:r w:rsidRPr="000A7BB0">
        <w:rPr>
          <w:rFonts w:ascii="Arial Narrow" w:eastAsia="Times New Roman" w:hAnsi="Arial Narrow" w:cs="Arial"/>
          <w:snapToGrid w:val="0"/>
          <w:sz w:val="18"/>
          <w:szCs w:val="18"/>
        </w:rPr>
        <w:t xml:space="preserve"> breast cancer; </w:t>
      </w:r>
      <w:r w:rsidRPr="000A7BB0">
        <w:rPr>
          <w:rFonts w:ascii="Arial Narrow" w:eastAsia="Times New Roman" w:hAnsi="Arial Narrow" w:cs="Arial"/>
          <w:i/>
          <w:iCs/>
          <w:snapToGrid w:val="0"/>
          <w:sz w:val="18"/>
          <w:szCs w:val="18"/>
        </w:rPr>
        <w:t>ESR1-WT</w:t>
      </w:r>
      <w:r w:rsidRPr="000A7BB0">
        <w:rPr>
          <w:rFonts w:ascii="Arial Narrow" w:eastAsia="Times New Roman" w:hAnsi="Arial Narrow" w:cs="Arial"/>
          <w:snapToGrid w:val="0"/>
          <w:sz w:val="18"/>
          <w:szCs w:val="18"/>
        </w:rPr>
        <w:t xml:space="preserve"> = estrogen receptor 1 wild type;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mut = </w:t>
      </w:r>
      <w:r w:rsidR="3FC13861" w:rsidRPr="000A7BB0">
        <w:rPr>
          <w:rFonts w:ascii="Arial Narrow" w:eastAsia="Times New Roman" w:hAnsi="Arial Narrow" w:cs="Arial"/>
          <w:snapToGrid w:val="0"/>
          <w:sz w:val="18"/>
          <w:szCs w:val="18"/>
        </w:rPr>
        <w:t>estrogen receptor 1 variant</w:t>
      </w:r>
      <w:r w:rsidRPr="000A7BB0">
        <w:rPr>
          <w:rFonts w:ascii="Arial Narrow" w:eastAsia="Times New Roman" w:hAnsi="Arial Narrow" w:cs="Arial"/>
          <w:snapToGrid w:val="0"/>
          <w:sz w:val="18"/>
          <w:szCs w:val="18"/>
        </w:rPr>
        <w:t xml:space="preserve">; E2 = </w:t>
      </w:r>
      <w:proofErr w:type="spellStart"/>
      <w:r w:rsidRPr="000A7BB0">
        <w:rPr>
          <w:rFonts w:ascii="Arial Narrow" w:eastAsia="Times New Roman" w:hAnsi="Arial Narrow" w:cs="Arial"/>
          <w:snapToGrid w:val="0"/>
          <w:sz w:val="18"/>
          <w:szCs w:val="18"/>
        </w:rPr>
        <w:t>estradiol</w:t>
      </w:r>
      <w:proofErr w:type="spellEnd"/>
      <w:r w:rsidRPr="000A7BB0">
        <w:rPr>
          <w:rFonts w:ascii="Arial Narrow" w:eastAsia="Times New Roman" w:hAnsi="Arial Narrow" w:cs="Arial"/>
          <w:snapToGrid w:val="0"/>
          <w:sz w:val="18"/>
          <w:szCs w:val="18"/>
        </w:rPr>
        <w:t>; mTORC</w:t>
      </w:r>
      <w:r w:rsidR="07C3FA13" w:rsidRPr="000A7BB0">
        <w:rPr>
          <w:rFonts w:ascii="Arial Narrow" w:eastAsia="Times New Roman" w:hAnsi="Arial Narrow" w:cs="Arial"/>
          <w:snapToGrid w:val="0"/>
          <w:sz w:val="18"/>
          <w:szCs w:val="18"/>
        </w:rPr>
        <w:t>1</w:t>
      </w:r>
      <w:r w:rsidR="4E6E5EE8" w:rsidRPr="000A7BB0">
        <w:rPr>
          <w:rFonts w:ascii="Arial Narrow" w:eastAsia="Times New Roman" w:hAnsi="Arial Narrow" w:cs="Arial"/>
          <w:snapToGrid w:val="0"/>
          <w:sz w:val="18"/>
          <w:szCs w:val="18"/>
        </w:rPr>
        <w:t>(</w:t>
      </w:r>
      <w:proofErr w:type="spellStart"/>
      <w:r w:rsidR="4E6E5EE8" w:rsidRPr="000A7BB0">
        <w:rPr>
          <w:rFonts w:ascii="Arial Narrow" w:eastAsia="Times New Roman" w:hAnsi="Arial Narrow" w:cs="Arial"/>
          <w:snapToGrid w:val="0"/>
          <w:sz w:val="18"/>
          <w:szCs w:val="18"/>
        </w:rPr>
        <w:t>i</w:t>
      </w:r>
      <w:proofErr w:type="spellEnd"/>
      <w:r w:rsidR="4E6E5EE8" w:rsidRPr="000A7BB0">
        <w:rPr>
          <w:rFonts w:ascii="Arial Narrow" w:eastAsia="Times New Roman" w:hAnsi="Arial Narrow" w:cs="Arial"/>
          <w:snapToGrid w:val="0"/>
          <w:sz w:val="18"/>
          <w:szCs w:val="18"/>
        </w:rPr>
        <w:t>)</w:t>
      </w:r>
      <w:r w:rsidRPr="000A7BB0">
        <w:rPr>
          <w:rFonts w:ascii="Arial Narrow" w:eastAsia="Times New Roman" w:hAnsi="Arial Narrow" w:cs="Arial"/>
          <w:snapToGrid w:val="0"/>
          <w:sz w:val="18"/>
          <w:szCs w:val="18"/>
        </w:rPr>
        <w:t xml:space="preserve"> = mammalian target of rapamycin complex</w:t>
      </w:r>
      <w:r w:rsidR="25E25E07" w:rsidRPr="000A7BB0">
        <w:rPr>
          <w:rFonts w:ascii="Arial Narrow" w:eastAsia="Times New Roman" w:hAnsi="Arial Narrow" w:cs="Arial"/>
          <w:snapToGrid w:val="0"/>
          <w:sz w:val="18"/>
          <w:szCs w:val="18"/>
        </w:rPr>
        <w:t xml:space="preserve"> 1</w:t>
      </w:r>
      <w:r w:rsidR="4E6E5EE8" w:rsidRPr="000A7BB0">
        <w:rPr>
          <w:rFonts w:ascii="Arial Narrow" w:eastAsia="Times New Roman" w:hAnsi="Arial Narrow" w:cs="Arial"/>
          <w:snapToGrid w:val="0"/>
          <w:sz w:val="18"/>
          <w:szCs w:val="18"/>
        </w:rPr>
        <w:t xml:space="preserve"> (inhibitor)</w:t>
      </w:r>
      <w:r w:rsidRPr="000A7BB0">
        <w:rPr>
          <w:rFonts w:ascii="Arial Narrow" w:eastAsia="Times New Roman" w:hAnsi="Arial Narrow" w:cs="Arial"/>
          <w:snapToGrid w:val="0"/>
          <w:sz w:val="18"/>
          <w:szCs w:val="18"/>
        </w:rPr>
        <w:t>; PI3K</w:t>
      </w:r>
      <w:r w:rsidR="545B9DBB" w:rsidRPr="000A7BB0">
        <w:rPr>
          <w:rFonts w:ascii="Arial Narrow" w:eastAsia="Times New Roman" w:hAnsi="Arial Narrow" w:cs="Arial"/>
          <w:snapToGrid w:val="0"/>
          <w:sz w:val="18"/>
          <w:szCs w:val="18"/>
        </w:rPr>
        <w:t>(</w:t>
      </w:r>
      <w:proofErr w:type="spellStart"/>
      <w:r w:rsidR="545B9DBB" w:rsidRPr="000A7BB0">
        <w:rPr>
          <w:rFonts w:ascii="Arial Narrow" w:eastAsia="Times New Roman" w:hAnsi="Arial Narrow" w:cs="Arial"/>
          <w:snapToGrid w:val="0"/>
          <w:sz w:val="18"/>
          <w:szCs w:val="18"/>
        </w:rPr>
        <w:t>i</w:t>
      </w:r>
      <w:proofErr w:type="spellEnd"/>
      <w:r w:rsidR="545B9DBB" w:rsidRPr="000A7BB0">
        <w:rPr>
          <w:rFonts w:ascii="Arial Narrow" w:eastAsia="Times New Roman" w:hAnsi="Arial Narrow" w:cs="Arial"/>
          <w:snapToGrid w:val="0"/>
          <w:sz w:val="18"/>
          <w:szCs w:val="18"/>
        </w:rPr>
        <w:t>)</w:t>
      </w:r>
      <w:r w:rsidRPr="000A7BB0">
        <w:rPr>
          <w:rFonts w:ascii="Arial Narrow" w:eastAsia="Times New Roman" w:hAnsi="Arial Narrow" w:cs="Arial"/>
          <w:snapToGrid w:val="0"/>
          <w:sz w:val="18"/>
          <w:szCs w:val="18"/>
        </w:rPr>
        <w:t xml:space="preserve"> = </w:t>
      </w:r>
      <w:proofErr w:type="spellStart"/>
      <w:r w:rsidRPr="000A7BB0">
        <w:rPr>
          <w:rFonts w:ascii="Arial Narrow" w:eastAsia="Times New Roman" w:hAnsi="Arial Narrow" w:cs="Arial"/>
          <w:snapToGrid w:val="0"/>
          <w:sz w:val="18"/>
          <w:szCs w:val="18"/>
        </w:rPr>
        <w:t>phosphoinositol</w:t>
      </w:r>
      <w:proofErr w:type="spellEnd"/>
      <w:r w:rsidRPr="000A7BB0">
        <w:rPr>
          <w:rFonts w:ascii="Arial Narrow" w:eastAsia="Times New Roman" w:hAnsi="Arial Narrow" w:cs="Arial"/>
          <w:snapToGrid w:val="0"/>
          <w:sz w:val="18"/>
          <w:szCs w:val="18"/>
        </w:rPr>
        <w:t xml:space="preserve"> three kinase</w:t>
      </w:r>
      <w:r w:rsidR="545B9DBB" w:rsidRPr="000A7BB0">
        <w:rPr>
          <w:rFonts w:ascii="Arial Narrow" w:eastAsia="Times New Roman" w:hAnsi="Arial Narrow" w:cs="Arial"/>
          <w:snapToGrid w:val="0"/>
          <w:sz w:val="18"/>
          <w:szCs w:val="18"/>
        </w:rPr>
        <w:t xml:space="preserve"> (inhibitor)</w:t>
      </w:r>
      <w:r w:rsidRPr="000A7BB0">
        <w:rPr>
          <w:rFonts w:ascii="Arial Narrow" w:eastAsia="Times New Roman" w:hAnsi="Arial Narrow" w:cs="Arial"/>
          <w:snapToGrid w:val="0"/>
          <w:sz w:val="18"/>
          <w:szCs w:val="18"/>
        </w:rPr>
        <w:t xml:space="preserve">; TFs = transcription factors; </w:t>
      </w:r>
    </w:p>
    <w:p w14:paraId="2BCA855D" w14:textId="77777777" w:rsidR="00C905D6" w:rsidRPr="000A7BB0" w:rsidRDefault="00C905D6" w:rsidP="74877A7E">
      <w:pPr>
        <w:widowControl w:val="0"/>
        <w:spacing w:before="0" w:after="0"/>
        <w:contextualSpacing/>
        <w:rPr>
          <w:rFonts w:ascii="Arial Narrow" w:eastAsia="Times New Roman" w:hAnsi="Arial Narrow" w:cs="Arial"/>
          <w:snapToGrid w:val="0"/>
          <w:sz w:val="18"/>
          <w:szCs w:val="18"/>
        </w:rPr>
      </w:pPr>
      <w:r w:rsidRPr="000A7BB0">
        <w:rPr>
          <w:rFonts w:ascii="Arial Narrow" w:eastAsia="Times New Roman" w:hAnsi="Arial Narrow" w:cs="Arial"/>
          <w:snapToGrid w:val="0"/>
          <w:sz w:val="18"/>
          <w:szCs w:val="18"/>
        </w:rPr>
        <w:t xml:space="preserve">Note: In the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-WT situation, AI depletion of estrogen inhibits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 activity, SERMs such as tamoxifen alter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 binding partners and transactivation ability, and SERDs such as </w:t>
      </w:r>
      <w:proofErr w:type="spellStart"/>
      <w:r w:rsidRPr="000A7BB0">
        <w:rPr>
          <w:rFonts w:ascii="Arial Narrow" w:eastAsia="Times New Roman" w:hAnsi="Arial Narrow" w:cs="Arial"/>
          <w:snapToGrid w:val="0"/>
          <w:sz w:val="18"/>
          <w:szCs w:val="18"/>
        </w:rPr>
        <w:t>fulvestrant</w:t>
      </w:r>
      <w:proofErr w:type="spellEnd"/>
      <w:r w:rsidRPr="000A7BB0">
        <w:rPr>
          <w:rFonts w:ascii="Arial Narrow" w:eastAsia="Times New Roman" w:hAnsi="Arial Narrow" w:cs="Arial"/>
          <w:snapToGrid w:val="0"/>
          <w:sz w:val="18"/>
          <w:szCs w:val="18"/>
        </w:rPr>
        <w:t xml:space="preserve"> inhibit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 activity and proteolytic stability. In the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-mut situation, AI is ineffective since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-mut does not require estrogen, and tamoxifen and </w:t>
      </w:r>
      <w:proofErr w:type="spellStart"/>
      <w:r w:rsidRPr="000A7BB0">
        <w:rPr>
          <w:rFonts w:ascii="Arial Narrow" w:eastAsia="Times New Roman" w:hAnsi="Arial Narrow" w:cs="Arial"/>
          <w:snapToGrid w:val="0"/>
          <w:sz w:val="18"/>
          <w:szCs w:val="18"/>
        </w:rPr>
        <w:t>fulvestrant</w:t>
      </w:r>
      <w:proofErr w:type="spellEnd"/>
      <w:r w:rsidRPr="000A7BB0">
        <w:rPr>
          <w:rFonts w:ascii="Arial Narrow" w:eastAsia="Times New Roman" w:hAnsi="Arial Narrow" w:cs="Arial"/>
          <w:snapToGrid w:val="0"/>
          <w:sz w:val="18"/>
          <w:szCs w:val="18"/>
        </w:rPr>
        <w:t xml:space="preserve"> bind less strongly to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-mut. CDK4/6i is effective in both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-wt and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-mut BC.</w:t>
      </w:r>
    </w:p>
    <w:p w14:paraId="136B172E" w14:textId="3B3F7508" w:rsidR="00C905D6" w:rsidRPr="00F47562" w:rsidRDefault="00C905D6" w:rsidP="00F47562">
      <w:r w:rsidRPr="00F47562">
        <w:rPr>
          <w:i/>
          <w:iCs/>
        </w:rPr>
        <w:t>ESR1</w:t>
      </w:r>
      <w:r w:rsidRPr="00F47562">
        <w:t xml:space="preserve"> variants are rarely detected in treatment-naive primary tumours</w:t>
      </w:r>
      <w:bookmarkStart w:id="25" w:name="_Ref184559069"/>
      <w:r w:rsidRPr="00F47562">
        <w:rPr>
          <w:vertAlign w:val="superscript"/>
        </w:rPr>
        <w:footnoteReference w:id="10"/>
      </w:r>
      <w:bookmarkEnd w:id="25"/>
      <w:r w:rsidRPr="00F47562">
        <w:t xml:space="preserve">, </w:t>
      </w:r>
      <w:r w:rsidRPr="00F47562">
        <w:rPr>
          <w:rFonts w:cs="Arial"/>
          <w:color w:val="000000"/>
          <w:shd w:val="clear" w:color="auto" w:fill="FFFFFF"/>
        </w:rPr>
        <w:t xml:space="preserve">occurring more frequently with longer exposure to </w:t>
      </w:r>
      <w:r w:rsidRPr="00F47562">
        <w:rPr>
          <w:rFonts w:cs="Arial"/>
        </w:rPr>
        <w:t xml:space="preserve">conventional </w:t>
      </w:r>
      <w:r w:rsidRPr="00F47562">
        <w:rPr>
          <w:rFonts w:cs="Arial"/>
          <w:color w:val="000000"/>
        </w:rPr>
        <w:t>ET (AIs</w:t>
      </w:r>
      <w:r w:rsidRPr="00F47562">
        <w:rPr>
          <w:rFonts w:cs="Arial"/>
        </w:rPr>
        <w:t xml:space="preserve">, </w:t>
      </w:r>
      <w:proofErr w:type="spellStart"/>
      <w:r w:rsidRPr="00F47562">
        <w:rPr>
          <w:rFonts w:cs="Arial"/>
          <w:color w:val="000000"/>
        </w:rPr>
        <w:t>fulvestrant</w:t>
      </w:r>
      <w:proofErr w:type="spellEnd"/>
      <w:r w:rsidRPr="00F47562">
        <w:rPr>
          <w:rFonts w:cs="Arial"/>
          <w:color w:val="000000"/>
        </w:rPr>
        <w:t>)</w:t>
      </w:r>
      <w:r w:rsidRPr="00F47562">
        <w:rPr>
          <w:rFonts w:cs="Arial"/>
          <w:color w:val="000000"/>
          <w:shd w:val="clear" w:color="auto" w:fill="FFFFFF"/>
        </w:rPr>
        <w:t xml:space="preserve"> for </w:t>
      </w:r>
      <w:proofErr w:type="spellStart"/>
      <w:r w:rsidRPr="00F47562">
        <w:rPr>
          <w:rFonts w:cs="Arial"/>
        </w:rPr>
        <w:t>mBC</w:t>
      </w:r>
      <w:bookmarkStart w:id="26" w:name="_Ref184554894"/>
      <w:proofErr w:type="spellEnd"/>
      <w:r w:rsidRPr="00F47562">
        <w:rPr>
          <w:rFonts w:cs="Arial"/>
          <w:vertAlign w:val="superscript"/>
        </w:rPr>
        <w:footnoteReference w:id="11"/>
      </w:r>
      <w:bookmarkEnd w:id="26"/>
      <w:r w:rsidRPr="00F47562">
        <w:rPr>
          <w:rFonts w:cs="Arial"/>
        </w:rPr>
        <w:t>.</w:t>
      </w:r>
      <w:r w:rsidRPr="00F47562">
        <w:rPr>
          <w:rFonts w:cs="Arial"/>
          <w:color w:val="000000"/>
          <w:shd w:val="clear" w:color="auto" w:fill="FFFFFF"/>
        </w:rPr>
        <w:t xml:space="preserve"> </w:t>
      </w:r>
      <w:r w:rsidRPr="00F47562">
        <w:t>The duration of exposure to ET in 1L treatment has increased due to combination with CDK4/6i, with median progression-free survival (PFS) ranging from 9.5 months to 28.1 months</w:t>
      </w:r>
      <w:bookmarkStart w:id="27" w:name="_Ref184559108"/>
      <w:r w:rsidRPr="00F47562">
        <w:rPr>
          <w:vertAlign w:val="superscript"/>
        </w:rPr>
        <w:footnoteReference w:id="12"/>
      </w:r>
      <w:bookmarkEnd w:id="27"/>
      <w:r w:rsidRPr="00F47562">
        <w:t xml:space="preserve">. As such, </w:t>
      </w:r>
      <w:r w:rsidRPr="00F47562">
        <w:rPr>
          <w:i/>
          <w:iCs/>
        </w:rPr>
        <w:t xml:space="preserve">ESR1 </w:t>
      </w:r>
      <w:r w:rsidRPr="00F47562">
        <w:t xml:space="preserve">variants predominantly emerge during 1L treatment, although they may develop during any subsequent line of therapy; therefore, testing for </w:t>
      </w:r>
      <w:r w:rsidRPr="00F47562">
        <w:rPr>
          <w:i/>
          <w:iCs/>
        </w:rPr>
        <w:t>ESR1</w:t>
      </w:r>
      <w:r w:rsidRPr="00F47562">
        <w:t xml:space="preserve"> variants is relevant at each episode of disease progression</w:t>
      </w:r>
      <w:r w:rsidR="00582784" w:rsidRPr="00F47562">
        <w:rPr>
          <w:vertAlign w:val="superscript"/>
        </w:rPr>
        <w:footnoteReference w:id="13"/>
      </w:r>
      <w:r w:rsidRPr="00F47562">
        <w:t xml:space="preserve">. </w:t>
      </w:r>
    </w:p>
    <w:p w14:paraId="0E6503C0" w14:textId="4D5938F4" w:rsidR="00C905D6" w:rsidRPr="00F47562" w:rsidRDefault="00C905D6" w:rsidP="00F47562">
      <w:r w:rsidRPr="00F47562">
        <w:lastRenderedPageBreak/>
        <w:t xml:space="preserve">Patients harbouring </w:t>
      </w:r>
      <w:r w:rsidRPr="00F47562">
        <w:rPr>
          <w:i/>
          <w:iCs/>
        </w:rPr>
        <w:t xml:space="preserve">ESR1 </w:t>
      </w:r>
      <w:r w:rsidRPr="00F47562">
        <w:t>variants have a poorer prognosis, with inferior PFS and overall survival (OS) outcomes</w:t>
      </w:r>
      <w:bookmarkStart w:id="28" w:name="_Ref184559190"/>
      <w:r w:rsidRPr="00F47562">
        <w:rPr>
          <w:vertAlign w:val="superscript"/>
        </w:rPr>
        <w:footnoteReference w:id="14"/>
      </w:r>
      <w:bookmarkEnd w:id="28"/>
      <w:r w:rsidRPr="00F47562">
        <w:t xml:space="preserve">, as currently available 2L+ treatments are less effective (tamoxifen, </w:t>
      </w:r>
      <w:proofErr w:type="spellStart"/>
      <w:r w:rsidRPr="00F47562">
        <w:t>fulvestrant</w:t>
      </w:r>
      <w:proofErr w:type="spellEnd"/>
      <w:r w:rsidRPr="00F47562">
        <w:t xml:space="preserve">) or not effective (in the case of AIs). Chemotherapy is an alternative treatment option for these patients but is associated with toxicities </w:t>
      </w:r>
      <w:r w:rsidR="78ECE0FE" w:rsidRPr="00F47562">
        <w:t xml:space="preserve">that </w:t>
      </w:r>
      <w:r w:rsidRPr="00F47562">
        <w:t xml:space="preserve">impact </w:t>
      </w:r>
      <w:proofErr w:type="spellStart"/>
      <w:r w:rsidRPr="00F47562">
        <w:t>HRQoL</w:t>
      </w:r>
      <w:proofErr w:type="spellEnd"/>
      <w:r w:rsidRPr="00F47562">
        <w:t xml:space="preserve">. </w:t>
      </w:r>
    </w:p>
    <w:p w14:paraId="544D8D87" w14:textId="77777777" w:rsidR="00C905D6" w:rsidRPr="00F47562" w:rsidRDefault="00C905D6" w:rsidP="00F47562">
      <w:pPr>
        <w:rPr>
          <w:u w:val="single"/>
        </w:rPr>
      </w:pPr>
      <w:r w:rsidRPr="00F47562">
        <w:rPr>
          <w:u w:val="single"/>
        </w:rPr>
        <w:t>Prevalence of biomarker</w:t>
      </w:r>
    </w:p>
    <w:p w14:paraId="3E3B5766" w14:textId="0C797D31" w:rsidR="00C905D6" w:rsidRPr="00F47562" w:rsidRDefault="00C905D6" w:rsidP="00F47562">
      <w:r w:rsidRPr="00F47562">
        <w:t xml:space="preserve">It is estimated that up to 40-50% of patients with ER+/HER2- </w:t>
      </w:r>
      <w:proofErr w:type="spellStart"/>
      <w:r w:rsidRPr="00F47562">
        <w:t>mBC</w:t>
      </w:r>
      <w:proofErr w:type="spellEnd"/>
      <w:r w:rsidRPr="00F47562">
        <w:t xml:space="preserve"> will develop </w:t>
      </w:r>
      <w:r w:rsidRPr="00F47562">
        <w:rPr>
          <w:i/>
          <w:iCs/>
        </w:rPr>
        <w:t>ESR1</w:t>
      </w:r>
      <w:r w:rsidRPr="00F47562">
        <w:t xml:space="preserve"> variants during their treatment course, the majority of which will arise following disease progression on 1L therapy</w:t>
      </w:r>
      <w:r w:rsidR="00582784" w:rsidRPr="00F47562">
        <w:rPr>
          <w:vertAlign w:val="superscript"/>
        </w:rPr>
        <w:footnoteReference w:id="15"/>
      </w:r>
      <w:r w:rsidRPr="00F47562">
        <w:t>.</w:t>
      </w:r>
    </w:p>
    <w:p w14:paraId="0594B85A" w14:textId="186E7781" w:rsidR="00C905D6" w:rsidRPr="00F47562" w:rsidRDefault="00C905D6" w:rsidP="00F47562">
      <w:pPr>
        <w:rPr>
          <w:u w:val="single"/>
        </w:rPr>
      </w:pPr>
      <w:proofErr w:type="spellStart"/>
      <w:r w:rsidRPr="00F47562">
        <w:rPr>
          <w:u w:val="single"/>
        </w:rPr>
        <w:t>Elacestrant</w:t>
      </w:r>
      <w:proofErr w:type="spellEnd"/>
      <w:r w:rsidRPr="00F47562">
        <w:rPr>
          <w:u w:val="single"/>
        </w:rPr>
        <w:t xml:space="preserve"> treatment</w:t>
      </w:r>
    </w:p>
    <w:p w14:paraId="3571156F" w14:textId="7F8040FE" w:rsidR="00C905D6" w:rsidRPr="00F47562" w:rsidRDefault="00C905D6" w:rsidP="00F47562">
      <w:r w:rsidRPr="00F47562">
        <w:t xml:space="preserve">While the presence of </w:t>
      </w:r>
      <w:r w:rsidRPr="00F47562">
        <w:rPr>
          <w:i/>
          <w:iCs/>
        </w:rPr>
        <w:t>ESR1</w:t>
      </w:r>
      <w:r w:rsidRPr="00F47562">
        <w:t xml:space="preserve"> variants can be prognostic in that patients with these variants have poorer outcomes, they are also a </w:t>
      </w:r>
      <w:r w:rsidR="220E51C3" w:rsidRPr="00F47562">
        <w:t xml:space="preserve">likely </w:t>
      </w:r>
      <w:r w:rsidRPr="00F47562">
        <w:t xml:space="preserve">predictive biomarker for the benefit of treatment with </w:t>
      </w:r>
      <w:proofErr w:type="spellStart"/>
      <w:r w:rsidRPr="00F47562">
        <w:t>elacestrant</w:t>
      </w:r>
      <w:proofErr w:type="spellEnd"/>
      <w:r w:rsidRPr="00F47562">
        <w:t>, based on results from the key clinical trial, EMERALD.</w:t>
      </w:r>
    </w:p>
    <w:p w14:paraId="4E501AC4" w14:textId="7F11C519" w:rsidR="00C905D6" w:rsidRPr="00F47562" w:rsidRDefault="00C905D6" w:rsidP="00F47562">
      <w:pPr>
        <w:rPr>
          <w:rFonts w:cs="Arial"/>
        </w:rPr>
      </w:pPr>
      <w:proofErr w:type="spellStart"/>
      <w:r w:rsidRPr="00F47562">
        <w:t>Elacestrant</w:t>
      </w:r>
      <w:proofErr w:type="spellEnd"/>
      <w:r w:rsidRPr="00F47562">
        <w:t xml:space="preserve"> is</w:t>
      </w:r>
      <w:r w:rsidRPr="00F47562">
        <w:rPr>
          <w:spacing w:val="-8"/>
        </w:rPr>
        <w:t xml:space="preserve"> </w:t>
      </w:r>
      <w:r w:rsidRPr="00F47562">
        <w:t>a</w:t>
      </w:r>
      <w:r w:rsidRPr="00F47562">
        <w:rPr>
          <w:spacing w:val="-9"/>
        </w:rPr>
        <w:t xml:space="preserve"> </w:t>
      </w:r>
      <w:r w:rsidRPr="00F47562">
        <w:t>potent,</w:t>
      </w:r>
      <w:r w:rsidRPr="00F47562">
        <w:rPr>
          <w:spacing w:val="-7"/>
        </w:rPr>
        <w:t xml:space="preserve"> </w:t>
      </w:r>
      <w:r w:rsidRPr="00F47562">
        <w:t>selective</w:t>
      </w:r>
      <w:r w:rsidRPr="00F47562">
        <w:rPr>
          <w:spacing w:val="-8"/>
        </w:rPr>
        <w:t xml:space="preserve"> </w:t>
      </w:r>
      <w:r w:rsidRPr="00F47562">
        <w:t>and</w:t>
      </w:r>
      <w:r w:rsidRPr="00F47562">
        <w:rPr>
          <w:spacing w:val="-7"/>
        </w:rPr>
        <w:t xml:space="preserve"> </w:t>
      </w:r>
      <w:r w:rsidRPr="00F47562">
        <w:t>orally</w:t>
      </w:r>
      <w:r w:rsidRPr="00F47562">
        <w:rPr>
          <w:spacing w:val="-8"/>
        </w:rPr>
        <w:t xml:space="preserve"> </w:t>
      </w:r>
      <w:r w:rsidRPr="00F47562">
        <w:t>active</w:t>
      </w:r>
      <w:r w:rsidRPr="00F47562">
        <w:rPr>
          <w:spacing w:val="-9"/>
        </w:rPr>
        <w:t xml:space="preserve"> </w:t>
      </w:r>
      <w:r w:rsidRPr="00F47562">
        <w:t>estrogen receptor-α</w:t>
      </w:r>
      <w:r w:rsidRPr="00F47562">
        <w:rPr>
          <w:spacing w:val="-9"/>
        </w:rPr>
        <w:t xml:space="preserve"> </w:t>
      </w:r>
      <w:r w:rsidRPr="00F47562">
        <w:t>(ERα)</w:t>
      </w:r>
      <w:r w:rsidRPr="00F47562">
        <w:rPr>
          <w:spacing w:val="-9"/>
        </w:rPr>
        <w:t xml:space="preserve"> </w:t>
      </w:r>
      <w:r w:rsidRPr="00F47562">
        <w:t>antagonist</w:t>
      </w:r>
      <w:r w:rsidRPr="00F47562">
        <w:rPr>
          <w:spacing w:val="-9"/>
        </w:rPr>
        <w:t xml:space="preserve"> </w:t>
      </w:r>
      <w:r w:rsidRPr="00F47562">
        <w:t>and</w:t>
      </w:r>
      <w:r w:rsidRPr="00F47562">
        <w:rPr>
          <w:spacing w:val="-8"/>
        </w:rPr>
        <w:t xml:space="preserve"> </w:t>
      </w:r>
      <w:r w:rsidRPr="00F47562">
        <w:t xml:space="preserve">degrader (SERD). </w:t>
      </w:r>
      <w:proofErr w:type="spellStart"/>
      <w:r w:rsidRPr="00F47562">
        <w:t>Elacestrant</w:t>
      </w:r>
      <w:proofErr w:type="spellEnd"/>
      <w:r w:rsidRPr="00F47562">
        <w:rPr>
          <w:spacing w:val="-9"/>
        </w:rPr>
        <w:t xml:space="preserve"> </w:t>
      </w:r>
      <w:r w:rsidRPr="00F47562">
        <w:t>inhibits</w:t>
      </w:r>
      <w:r w:rsidRPr="00F47562">
        <w:rPr>
          <w:spacing w:val="-9"/>
        </w:rPr>
        <w:t xml:space="preserve"> </w:t>
      </w:r>
      <w:r w:rsidRPr="00F47562">
        <w:t>the</w:t>
      </w:r>
      <w:r w:rsidRPr="00F47562">
        <w:rPr>
          <w:spacing w:val="-9"/>
        </w:rPr>
        <w:t xml:space="preserve"> </w:t>
      </w:r>
      <w:r w:rsidRPr="00F47562">
        <w:t>estrogen-dependent</w:t>
      </w:r>
      <w:r w:rsidRPr="00F47562">
        <w:rPr>
          <w:spacing w:val="-8"/>
        </w:rPr>
        <w:t xml:space="preserve"> </w:t>
      </w:r>
      <w:r w:rsidRPr="00F47562">
        <w:t>and</w:t>
      </w:r>
      <w:r w:rsidRPr="00F47562">
        <w:rPr>
          <w:spacing w:val="-8"/>
        </w:rPr>
        <w:t xml:space="preserve"> </w:t>
      </w:r>
      <w:r w:rsidRPr="00F47562">
        <w:t>independent</w:t>
      </w:r>
      <w:r w:rsidRPr="00F47562">
        <w:rPr>
          <w:spacing w:val="-8"/>
        </w:rPr>
        <w:t xml:space="preserve"> </w:t>
      </w:r>
      <w:r w:rsidRPr="00F47562">
        <w:t>growth</w:t>
      </w:r>
      <w:r w:rsidRPr="00F47562">
        <w:rPr>
          <w:spacing w:val="-8"/>
        </w:rPr>
        <w:t xml:space="preserve"> </w:t>
      </w:r>
      <w:r w:rsidRPr="00F47562">
        <w:t>of</w:t>
      </w:r>
      <w:r w:rsidRPr="00F47562">
        <w:rPr>
          <w:spacing w:val="-8"/>
        </w:rPr>
        <w:t xml:space="preserve"> </w:t>
      </w:r>
      <w:r w:rsidRPr="00F47562">
        <w:t>ERα-positive</w:t>
      </w:r>
      <w:r w:rsidRPr="00F47562">
        <w:rPr>
          <w:spacing w:val="-9"/>
        </w:rPr>
        <w:t xml:space="preserve"> </w:t>
      </w:r>
      <w:r w:rsidRPr="00F47562">
        <w:t>breast</w:t>
      </w:r>
      <w:r w:rsidRPr="00F47562">
        <w:rPr>
          <w:spacing w:val="-9"/>
        </w:rPr>
        <w:t xml:space="preserve"> </w:t>
      </w:r>
      <w:r w:rsidRPr="00F47562">
        <w:t>cancer</w:t>
      </w:r>
      <w:r w:rsidRPr="00F47562">
        <w:rPr>
          <w:spacing w:val="86"/>
          <w:w w:val="99"/>
        </w:rPr>
        <w:t xml:space="preserve"> </w:t>
      </w:r>
      <w:r w:rsidRPr="00F47562">
        <w:t>cells,</w:t>
      </w:r>
      <w:r w:rsidRPr="00F47562">
        <w:rPr>
          <w:spacing w:val="-7"/>
        </w:rPr>
        <w:t xml:space="preserve"> </w:t>
      </w:r>
      <w:r w:rsidRPr="00F47562">
        <w:t>including</w:t>
      </w:r>
      <w:r w:rsidRPr="00F47562">
        <w:rPr>
          <w:spacing w:val="-6"/>
        </w:rPr>
        <w:t xml:space="preserve"> </w:t>
      </w:r>
      <w:r w:rsidRPr="00F47562">
        <w:t>those</w:t>
      </w:r>
      <w:r w:rsidRPr="00F47562">
        <w:rPr>
          <w:spacing w:val="-7"/>
        </w:rPr>
        <w:t xml:space="preserve"> </w:t>
      </w:r>
      <w:r w:rsidRPr="00F47562">
        <w:t>harbouring</w:t>
      </w:r>
      <w:r w:rsidRPr="00F47562">
        <w:rPr>
          <w:spacing w:val="-7"/>
        </w:rPr>
        <w:t xml:space="preserve"> </w:t>
      </w:r>
      <w:r w:rsidRPr="00F47562">
        <w:rPr>
          <w:i/>
          <w:iCs/>
          <w:spacing w:val="-6"/>
        </w:rPr>
        <w:t>ESR1</w:t>
      </w:r>
      <w:r w:rsidRPr="00F47562">
        <w:rPr>
          <w:spacing w:val="-6"/>
        </w:rPr>
        <w:t xml:space="preserve"> </w:t>
      </w:r>
      <w:r w:rsidRPr="00F47562">
        <w:t>gene</w:t>
      </w:r>
      <w:r w:rsidRPr="00F47562">
        <w:rPr>
          <w:spacing w:val="-8"/>
        </w:rPr>
        <w:t xml:space="preserve"> </w:t>
      </w:r>
      <w:r w:rsidRPr="00F47562">
        <w:t>variants, thus providing a promising second line plus (</w:t>
      </w:r>
      <w:r w:rsidRPr="00F47562">
        <w:rPr>
          <w:rFonts w:cs="Arial"/>
        </w:rPr>
        <w:t xml:space="preserve">2L+) treatment option for patients with ER+/HER2-mBC and </w:t>
      </w:r>
      <w:r w:rsidRPr="00F47562">
        <w:rPr>
          <w:rFonts w:cs="Arial"/>
          <w:i/>
          <w:iCs/>
        </w:rPr>
        <w:t>ESR1</w:t>
      </w:r>
      <w:r w:rsidRPr="00F47562">
        <w:rPr>
          <w:rFonts w:cs="Arial"/>
        </w:rPr>
        <w:t xml:space="preserve"> variants. As it is administered orally, it also </w:t>
      </w:r>
      <w:r w:rsidRPr="00F47562">
        <w:t>reduces healthcare resource utilisation costs associated with the toxicities and administration of other treatments</w:t>
      </w:r>
      <w:r w:rsidRPr="00F47562">
        <w:rPr>
          <w:rFonts w:cs="Arial"/>
        </w:rPr>
        <w:t xml:space="preserve"> (</w:t>
      </w:r>
      <w:proofErr w:type="spellStart"/>
      <w:r w:rsidRPr="00F47562">
        <w:rPr>
          <w:rFonts w:cs="Arial"/>
        </w:rPr>
        <w:t>fulvestrant</w:t>
      </w:r>
      <w:proofErr w:type="spellEnd"/>
      <w:r w:rsidRPr="00F47562">
        <w:rPr>
          <w:rFonts w:cs="Arial"/>
        </w:rPr>
        <w:t xml:space="preserve"> [monthly intramuscular (IM) injections] and chemotherapy) and minimises disruptions to patients</w:t>
      </w:r>
      <w:r w:rsidR="5D280403" w:rsidRPr="00F47562">
        <w:rPr>
          <w:rFonts w:cs="Arial"/>
        </w:rPr>
        <w:t>’</w:t>
      </w:r>
      <w:r w:rsidRPr="00F47562">
        <w:rPr>
          <w:rFonts w:cs="Arial"/>
        </w:rPr>
        <w:t xml:space="preserve"> lives while maintaining their </w:t>
      </w:r>
      <w:proofErr w:type="spellStart"/>
      <w:r w:rsidRPr="00F47562">
        <w:rPr>
          <w:rFonts w:cs="Arial"/>
        </w:rPr>
        <w:t>HRQoL</w:t>
      </w:r>
      <w:proofErr w:type="spellEnd"/>
      <w:r w:rsidRPr="00F47562">
        <w:rPr>
          <w:rFonts w:cs="Arial"/>
        </w:rPr>
        <w:t>.</w:t>
      </w:r>
    </w:p>
    <w:p w14:paraId="721FAA11" w14:textId="25A56D1B" w:rsidR="00C905D6" w:rsidRPr="00F47562" w:rsidRDefault="00C905D6" w:rsidP="00F47562">
      <w:pPr>
        <w:rPr>
          <w:i/>
          <w:iCs/>
        </w:rPr>
      </w:pPr>
      <w:r w:rsidRPr="00F47562">
        <w:t>Australian clinical practice is informed by international guidelines, including European Society for Medical Oncology (ESMO) and National Comprehensive Cancer Network (NCCN)</w:t>
      </w:r>
      <w:r w:rsidR="2A18DAAB" w:rsidRPr="00F47562">
        <w:t xml:space="preserve"> guidelines</w:t>
      </w:r>
      <w:r w:rsidRPr="00F47562">
        <w:t xml:space="preserve">. </w:t>
      </w:r>
      <w:r w:rsidR="2275026A" w:rsidRPr="00F47562">
        <w:t>Both</w:t>
      </w:r>
      <w:r w:rsidR="2A18DAAB" w:rsidRPr="00F47562">
        <w:t xml:space="preserve"> </w:t>
      </w:r>
      <w:r w:rsidRPr="00F47562">
        <w:t xml:space="preserve">clinical guidelines have recently been updated and have added </w:t>
      </w:r>
      <w:proofErr w:type="spellStart"/>
      <w:r w:rsidRPr="00F47562">
        <w:t>elacestrant</w:t>
      </w:r>
      <w:proofErr w:type="spellEnd"/>
      <w:r w:rsidRPr="00F47562">
        <w:t xml:space="preserve"> as a recommended treatment option for postmenopausal females and adult males with ER+/HER2- </w:t>
      </w:r>
      <w:proofErr w:type="spellStart"/>
      <w:r w:rsidRPr="00F47562">
        <w:t>mBC</w:t>
      </w:r>
      <w:proofErr w:type="spellEnd"/>
      <w:r w:rsidRPr="00F47562">
        <w:t xml:space="preserve"> who test positive for </w:t>
      </w:r>
      <w:r w:rsidRPr="00F47562">
        <w:rPr>
          <w:i/>
          <w:iCs/>
        </w:rPr>
        <w:t xml:space="preserve">ESR1 </w:t>
      </w:r>
      <w:r w:rsidRPr="00F47562">
        <w:t>variants after disease progression following at least one line of ET including a CDK4/6i</w:t>
      </w:r>
      <w:bookmarkStart w:id="29" w:name="_Ref184559250"/>
      <w:r w:rsidRPr="00F47562">
        <w:rPr>
          <w:vertAlign w:val="superscript"/>
        </w:rPr>
        <w:footnoteReference w:id="16"/>
      </w:r>
      <w:bookmarkEnd w:id="29"/>
      <w:r w:rsidRPr="00F47562">
        <w:rPr>
          <w:vertAlign w:val="superscript"/>
        </w:rPr>
        <w:t>,</w:t>
      </w:r>
      <w:bookmarkStart w:id="30" w:name="_Ref184559254"/>
      <w:r w:rsidRPr="00F47562">
        <w:rPr>
          <w:vertAlign w:val="superscript"/>
        </w:rPr>
        <w:footnoteReference w:id="17"/>
      </w:r>
      <w:bookmarkEnd w:id="30"/>
      <w:r w:rsidRPr="00F47562">
        <w:t xml:space="preserve">. </w:t>
      </w:r>
    </w:p>
    <w:p w14:paraId="43CC3859" w14:textId="77777777" w:rsidR="00C905D6" w:rsidRPr="00F47562" w:rsidRDefault="00C905D6" w:rsidP="00F47562">
      <w:pPr>
        <w:spacing w:before="0" w:after="120"/>
        <w:ind w:left="720" w:hanging="720"/>
        <w:rPr>
          <w:rFonts w:eastAsia="Times New Roman" w:cs="Arial"/>
          <w:snapToGrid w:val="0"/>
          <w:u w:val="single"/>
          <w:lang w:eastAsia="en-AU"/>
        </w:rPr>
      </w:pPr>
      <w:r w:rsidRPr="00F47562">
        <w:rPr>
          <w:rFonts w:eastAsia="Times New Roman" w:cs="Arial"/>
          <w:snapToGrid w:val="0"/>
          <w:u w:val="single"/>
          <w:lang w:eastAsia="en-AU"/>
        </w:rPr>
        <w:t>Testing population</w:t>
      </w:r>
    </w:p>
    <w:p w14:paraId="0C9A9703" w14:textId="4200BE6F" w:rsidR="00C905D6" w:rsidRPr="00F47562" w:rsidRDefault="00C905D6" w:rsidP="00F47562">
      <w:r w:rsidRPr="00F47562">
        <w:t xml:space="preserve">The proposed test population </w:t>
      </w:r>
      <w:r w:rsidR="3240AC51" w:rsidRPr="00F47562">
        <w:t xml:space="preserve">is </w:t>
      </w:r>
      <w:r w:rsidRPr="00F47562">
        <w:t xml:space="preserve">men and postmenopausal women with ER+/HER2- </w:t>
      </w:r>
      <w:r w:rsidR="4362E569" w:rsidRPr="00F47562">
        <w:t xml:space="preserve">locally advanced or </w:t>
      </w:r>
      <w:proofErr w:type="spellStart"/>
      <w:r w:rsidRPr="00F47562">
        <w:t>mBC</w:t>
      </w:r>
      <w:proofErr w:type="spellEnd"/>
      <w:r w:rsidRPr="00F47562">
        <w:t>, who have disease progression following at least one line of ET, including a CDK4/6i. Testing is relevant at each episode of disease progression during the metastatic treatment course.</w:t>
      </w:r>
    </w:p>
    <w:p w14:paraId="59F5079A" w14:textId="39B70440" w:rsidR="00D0447C" w:rsidRPr="00F47562" w:rsidRDefault="00C905D6" w:rsidP="00F47562">
      <w:r w:rsidRPr="00F47562">
        <w:t xml:space="preserve">Patients who test positive for an </w:t>
      </w:r>
      <w:r w:rsidRPr="00F47562">
        <w:rPr>
          <w:i/>
          <w:iCs/>
        </w:rPr>
        <w:t>ESR1</w:t>
      </w:r>
      <w:r w:rsidRPr="00F47562">
        <w:t xml:space="preserve"> variant would then be eligible for treatment with PBS-listed </w:t>
      </w:r>
      <w:proofErr w:type="spellStart"/>
      <w:r w:rsidRPr="00F47562">
        <w:t>elacestrant</w:t>
      </w:r>
      <w:proofErr w:type="spellEnd"/>
      <w:r w:rsidRPr="00F47562">
        <w:t>.</w:t>
      </w:r>
      <w:r w:rsidR="2E1786D1" w:rsidRPr="00F47562">
        <w:t xml:space="preserve"> </w:t>
      </w:r>
    </w:p>
    <w:p w14:paraId="19C15215" w14:textId="2BC466A4" w:rsidR="007A0C51" w:rsidRPr="00F47562" w:rsidRDefault="00B6237C" w:rsidP="00F47562">
      <w:r>
        <w:rPr>
          <w:b/>
          <w:bCs/>
        </w:rPr>
        <w:t>Redacted</w:t>
      </w:r>
      <w:r w:rsidR="78FE4FF2" w:rsidRPr="008B5656">
        <w:t xml:space="preserve"> noted that the definition, ‘Any </w:t>
      </w:r>
      <w:r w:rsidR="78FE4FF2" w:rsidRPr="008B5656">
        <w:rPr>
          <w:i/>
          <w:iCs/>
        </w:rPr>
        <w:t>ESR1</w:t>
      </w:r>
      <w:r w:rsidR="78FE4FF2" w:rsidRPr="008B5656">
        <w:t xml:space="preserve"> mutation between codons 310 and 547’ was utilised to identify a patient in the EMERALD trial as ‘</w:t>
      </w:r>
      <w:r w:rsidR="78FE4FF2" w:rsidRPr="008B5656">
        <w:rPr>
          <w:i/>
          <w:iCs/>
        </w:rPr>
        <w:t>ESR1</w:t>
      </w:r>
      <w:r w:rsidR="78FE4FF2" w:rsidRPr="008B5656">
        <w:t xml:space="preserve"> mutation positive’</w:t>
      </w:r>
      <w:r w:rsidR="0EBA8EDC" w:rsidRPr="008B5656">
        <w:t xml:space="preserve"> (that is, with an </w:t>
      </w:r>
      <w:r w:rsidR="0EBA8EDC" w:rsidRPr="008B5656">
        <w:rPr>
          <w:i/>
          <w:iCs/>
        </w:rPr>
        <w:lastRenderedPageBreak/>
        <w:t>ESR1</w:t>
      </w:r>
      <w:r w:rsidR="0EBA8EDC" w:rsidRPr="008B5656">
        <w:t xml:space="preserve"> variant)</w:t>
      </w:r>
      <w:r w:rsidR="3C11D467" w:rsidRPr="008B5656">
        <w:t xml:space="preserve">, based on the rationale that any </w:t>
      </w:r>
      <w:r w:rsidR="3C11D467" w:rsidRPr="008B5656">
        <w:rPr>
          <w:i/>
          <w:iCs/>
        </w:rPr>
        <w:t>ESR1</w:t>
      </w:r>
      <w:r w:rsidR="3C11D467" w:rsidRPr="008B5656">
        <w:t xml:space="preserve"> mutation in the ligand domain leads to resistance to endocrine therapy</w:t>
      </w:r>
      <w:r w:rsidR="78FE4FF2" w:rsidRPr="003878F9">
        <w:t>.</w:t>
      </w:r>
      <w:r w:rsidR="78FE4FF2" w:rsidRPr="00F47562">
        <w:t xml:space="preserve"> </w:t>
      </w:r>
    </w:p>
    <w:p w14:paraId="219FF80D" w14:textId="3E33ED94" w:rsidR="00C905D6" w:rsidRPr="00F47562" w:rsidRDefault="2E1786D1" w:rsidP="00F47562">
      <w:r w:rsidRPr="00F47562">
        <w:t xml:space="preserve">There is no commonly agreed definition of </w:t>
      </w:r>
      <w:r w:rsidRPr="00F47562">
        <w:rPr>
          <w:i/>
          <w:iCs/>
        </w:rPr>
        <w:t>ESR1</w:t>
      </w:r>
      <w:r w:rsidRPr="00F47562">
        <w:t xml:space="preserve"> variant test positivity.</w:t>
      </w:r>
      <w:r w:rsidR="123230AF" w:rsidRPr="00F47562">
        <w:t xml:space="preserve"> In the EMERALD trial, </w:t>
      </w:r>
      <w:r w:rsidRPr="00F47562">
        <w:t xml:space="preserve">a minor allele frequency of ≥ 0.001% was employed as cutoff for detection of </w:t>
      </w:r>
      <w:r w:rsidRPr="00F47562">
        <w:rPr>
          <w:i/>
          <w:iCs/>
        </w:rPr>
        <w:t>ESR1</w:t>
      </w:r>
      <w:r w:rsidRPr="00F47562">
        <w:t xml:space="preserve"> variants</w:t>
      </w:r>
      <w:r w:rsidR="2AF2288D" w:rsidRPr="00F47562">
        <w:t xml:space="preserve"> below which patients were defined as ‘mutation not detected’</w:t>
      </w:r>
      <w:r w:rsidRPr="00F47562">
        <w:t>.</w:t>
      </w:r>
      <w:r w:rsidR="00BC55C1">
        <w:t xml:space="preserve"> </w:t>
      </w:r>
      <w:r w:rsidR="00BC55C1" w:rsidRPr="00BC55C1">
        <w:rPr>
          <w:b/>
          <w:bCs/>
        </w:rPr>
        <w:t>Redacted</w:t>
      </w:r>
      <w:r w:rsidR="00BC55C1" w:rsidRPr="00BC55C1">
        <w:rPr>
          <w:rStyle w:val="FootnoteReference"/>
        </w:rPr>
        <w:footnoteReference w:id="18"/>
      </w:r>
      <w:r w:rsidR="31E6A2D9" w:rsidRPr="00BC55C1">
        <w:t>.</w:t>
      </w:r>
    </w:p>
    <w:p w14:paraId="10FBD9C6" w14:textId="607FC5AB" w:rsidR="00C905D6" w:rsidRPr="00F47562" w:rsidRDefault="00C905D6" w:rsidP="00F47562">
      <w:r w:rsidRPr="00F47562">
        <w:t xml:space="preserve">The commentary considered that the population targeted for testing in the submission was well described and was appropriate as it aligns with the trial population from EMERALD and current clinical management guidelines.  </w:t>
      </w:r>
    </w:p>
    <w:p w14:paraId="4ABF7510" w14:textId="77777777" w:rsidR="00FD07C6" w:rsidRPr="00F47562" w:rsidRDefault="00FD07C6" w:rsidP="00252706">
      <w:pPr>
        <w:pStyle w:val="Heading2"/>
        <w:numPr>
          <w:ilvl w:val="0"/>
          <w:numId w:val="48"/>
        </w:numPr>
        <w:spacing w:after="240"/>
        <w:ind w:hanging="720"/>
        <w:rPr>
          <w:rFonts w:ascii="Franklin Gothic Medium" w:hAnsi="Franklin Gothic Medium"/>
          <w:b w:val="0"/>
          <w:i w:val="0"/>
          <w:snapToGrid/>
          <w:sz w:val="32"/>
          <w:szCs w:val="26"/>
        </w:rPr>
      </w:pPr>
      <w:bookmarkStart w:id="31" w:name="_Toc188374345"/>
      <w:r w:rsidRPr="00F47562">
        <w:rPr>
          <w:rFonts w:ascii="Franklin Gothic Medium" w:hAnsi="Franklin Gothic Medium"/>
          <w:b w:val="0"/>
          <w:i w:val="0"/>
          <w:snapToGrid/>
          <w:sz w:val="32"/>
          <w:szCs w:val="26"/>
        </w:rPr>
        <w:t>Comparator</w:t>
      </w:r>
      <w:bookmarkEnd w:id="31"/>
    </w:p>
    <w:p w14:paraId="657EA28A" w14:textId="77777777" w:rsidR="003E4C35" w:rsidRPr="00F47562" w:rsidRDefault="003E4C35" w:rsidP="003E4C35">
      <w:pPr>
        <w:pStyle w:val="MSACS2Heading2"/>
        <w:pageBreakBefore w:val="0"/>
        <w:rPr>
          <w:rFonts w:ascii="Franklin Gothic Book" w:hAnsi="Franklin Gothic Book"/>
          <w:snapToGrid w:val="0"/>
          <w:sz w:val="24"/>
          <w:szCs w:val="24"/>
          <w:lang w:eastAsia="en-AU"/>
        </w:rPr>
      </w:pPr>
      <w:r w:rsidRPr="00F47562">
        <w:rPr>
          <w:rFonts w:ascii="Franklin Gothic Book" w:hAnsi="Franklin Gothic Book"/>
          <w:snapToGrid w:val="0"/>
          <w:sz w:val="24"/>
          <w:szCs w:val="24"/>
          <w:lang w:eastAsia="en-AU"/>
        </w:rPr>
        <w:t>Test</w:t>
      </w:r>
    </w:p>
    <w:p w14:paraId="69AFBAD5" w14:textId="6A339CA2" w:rsidR="00C905D6" w:rsidRPr="00F47562" w:rsidRDefault="00C905D6" w:rsidP="00F47562">
      <w:pPr>
        <w:pStyle w:val="InstructionalText"/>
        <w:jc w:val="left"/>
        <w:rPr>
          <w:rFonts w:ascii="Franklin Gothic Book" w:hAnsi="Franklin Gothic Book"/>
          <w:color w:val="auto"/>
          <w:sz w:val="22"/>
        </w:rPr>
      </w:pPr>
      <w:r w:rsidRPr="00F47562">
        <w:rPr>
          <w:rFonts w:ascii="Franklin Gothic Book" w:hAnsi="Franklin Gothic Book"/>
          <w:color w:val="auto"/>
          <w:sz w:val="22"/>
        </w:rPr>
        <w:t xml:space="preserve">The proposed test comparator was no testing for </w:t>
      </w:r>
      <w:r w:rsidRPr="00F47562">
        <w:rPr>
          <w:rFonts w:ascii="Franklin Gothic Book" w:hAnsi="Franklin Gothic Book"/>
          <w:i/>
          <w:iCs/>
          <w:color w:val="auto"/>
          <w:sz w:val="22"/>
        </w:rPr>
        <w:t>ESR1</w:t>
      </w:r>
      <w:r w:rsidRPr="00F47562">
        <w:rPr>
          <w:rFonts w:ascii="Franklin Gothic Book" w:hAnsi="Franklin Gothic Book"/>
          <w:color w:val="auto"/>
          <w:sz w:val="22"/>
        </w:rPr>
        <w:t xml:space="preserve"> variants. The commentary considered that this was appropriate; in the absence of testing for </w:t>
      </w:r>
      <w:r w:rsidRPr="00F47562">
        <w:rPr>
          <w:rFonts w:ascii="Franklin Gothic Book" w:hAnsi="Franklin Gothic Book"/>
          <w:i/>
          <w:iCs/>
          <w:color w:val="auto"/>
          <w:sz w:val="22"/>
        </w:rPr>
        <w:t>ESR1</w:t>
      </w:r>
      <w:r w:rsidRPr="00F47562">
        <w:rPr>
          <w:rFonts w:ascii="Franklin Gothic Book" w:hAnsi="Franklin Gothic Book"/>
          <w:color w:val="auto"/>
          <w:sz w:val="22"/>
        </w:rPr>
        <w:t xml:space="preserve"> variants (and subsequent treatment with </w:t>
      </w:r>
      <w:proofErr w:type="spellStart"/>
      <w:r w:rsidRPr="00F47562">
        <w:rPr>
          <w:rFonts w:ascii="Franklin Gothic Book" w:hAnsi="Franklin Gothic Book"/>
          <w:color w:val="auto"/>
          <w:sz w:val="22"/>
        </w:rPr>
        <w:t>elacestrant</w:t>
      </w:r>
      <w:proofErr w:type="spellEnd"/>
      <w:r w:rsidRPr="00F47562">
        <w:rPr>
          <w:rFonts w:ascii="Franklin Gothic Book" w:hAnsi="Franklin Gothic Book"/>
          <w:color w:val="auto"/>
          <w:sz w:val="22"/>
        </w:rPr>
        <w:t xml:space="preserve"> if </w:t>
      </w:r>
      <w:r w:rsidRPr="00F47562">
        <w:rPr>
          <w:rFonts w:ascii="Franklin Gothic Book" w:hAnsi="Franklin Gothic Book"/>
          <w:i/>
          <w:iCs/>
          <w:color w:val="auto"/>
          <w:sz w:val="22"/>
        </w:rPr>
        <w:t>ESR1</w:t>
      </w:r>
      <w:r w:rsidRPr="00F47562">
        <w:rPr>
          <w:rFonts w:ascii="Franklin Gothic Book" w:hAnsi="Franklin Gothic Book"/>
          <w:color w:val="auto"/>
          <w:sz w:val="22"/>
        </w:rPr>
        <w:t xml:space="preserve"> variants are detected), patients will continue with current SOC 2L+ treatments.</w:t>
      </w:r>
    </w:p>
    <w:p w14:paraId="5D9B6520" w14:textId="64A8FB60" w:rsidR="00C97258" w:rsidRPr="00F47562" w:rsidRDefault="00C97258" w:rsidP="00C97258">
      <w:pPr>
        <w:pStyle w:val="MSACS2Heading2"/>
        <w:pageBreakBefore w:val="0"/>
        <w:rPr>
          <w:rFonts w:ascii="Franklin Gothic Book" w:hAnsi="Franklin Gothic Book"/>
          <w:snapToGrid w:val="0"/>
          <w:sz w:val="24"/>
          <w:szCs w:val="24"/>
          <w:lang w:eastAsia="en-AU"/>
        </w:rPr>
      </w:pPr>
      <w:r w:rsidRPr="00F47562">
        <w:rPr>
          <w:rFonts w:ascii="Franklin Gothic Book" w:hAnsi="Franklin Gothic Book"/>
          <w:snapToGrid w:val="0"/>
          <w:sz w:val="24"/>
          <w:szCs w:val="24"/>
          <w:lang w:eastAsia="en-AU"/>
        </w:rPr>
        <w:t>Drug</w:t>
      </w:r>
    </w:p>
    <w:p w14:paraId="43416BE7" w14:textId="0819FDD1" w:rsidR="005106DB" w:rsidRDefault="22FBB3AA" w:rsidP="00F47562">
      <w:pPr>
        <w:rPr>
          <w:shd w:val="clear" w:color="auto" w:fill="FFFFFF"/>
        </w:rPr>
      </w:pPr>
      <w:r w:rsidRPr="00F47562">
        <w:t>The proposed drug comparator was</w:t>
      </w:r>
      <w:r w:rsidR="62C810A4" w:rsidRPr="00F47562">
        <w:t xml:space="preserve"> </w:t>
      </w:r>
      <w:r w:rsidR="79346F5F" w:rsidRPr="00F47562">
        <w:t xml:space="preserve">standard of care endocrine monotherapy (SOC ET). </w:t>
      </w:r>
      <w:r w:rsidR="3DCD3211" w:rsidRPr="00F47562">
        <w:t xml:space="preserve">This consisted of </w:t>
      </w:r>
      <w:proofErr w:type="spellStart"/>
      <w:r w:rsidR="3DCD3211" w:rsidRPr="00F47562">
        <w:t>fulvestrant</w:t>
      </w:r>
      <w:proofErr w:type="spellEnd"/>
      <w:r w:rsidR="3DCD3211" w:rsidRPr="00F47562">
        <w:t xml:space="preserve"> (500 mg </w:t>
      </w:r>
      <w:r w:rsidR="17C29C2F" w:rsidRPr="00F47562">
        <w:t>intramuscular [</w:t>
      </w:r>
      <w:r w:rsidR="3DCD3211" w:rsidRPr="00F47562">
        <w:t>IM</w:t>
      </w:r>
      <w:r w:rsidR="17C29C2F" w:rsidRPr="00F47562">
        <w:t>]</w:t>
      </w:r>
      <w:r w:rsidR="3DCD3211" w:rsidRPr="00F47562">
        <w:t xml:space="preserve"> days 1 and 15 [cycle 1], then day 1 in subsequent cycles [frequency: 28 days]), or an AI (anastrozole 1 mg </w:t>
      </w:r>
      <w:r w:rsidR="596201DC" w:rsidRPr="00F47562">
        <w:t>per oral [</w:t>
      </w:r>
      <w:r w:rsidR="3DCD3211" w:rsidRPr="00F47562">
        <w:t>po</w:t>
      </w:r>
      <w:r w:rsidR="596201DC" w:rsidRPr="00F47562">
        <w:t>]</w:t>
      </w:r>
      <w:r w:rsidR="3DCD3211" w:rsidRPr="00F47562">
        <w:t xml:space="preserve"> daily, letrozole 2.5 mg po daily, or exemestane 25 mg po daily) until disease progression or unacceptable toxicity.</w:t>
      </w:r>
      <w:r w:rsidR="0595A630" w:rsidRPr="00F47562">
        <w:t xml:space="preserve"> The commen</w:t>
      </w:r>
      <w:r w:rsidR="07BF5FE4" w:rsidRPr="00F47562">
        <w:t xml:space="preserve">tary considered that although the proposed comparator was </w:t>
      </w:r>
      <w:r w:rsidR="07BF5FE4" w:rsidRPr="00F47562">
        <w:rPr>
          <w:shd w:val="clear" w:color="auto" w:fill="FFFFFF"/>
        </w:rPr>
        <w:t>broadly appropriate</w:t>
      </w:r>
      <w:r w:rsidR="21C6B048" w:rsidRPr="00F47562">
        <w:rPr>
          <w:shd w:val="clear" w:color="auto" w:fill="FFFFFF"/>
        </w:rPr>
        <w:t>, it</w:t>
      </w:r>
      <w:r w:rsidR="07BF5FE4" w:rsidRPr="00F47562">
        <w:rPr>
          <w:shd w:val="clear" w:color="auto" w:fill="FFFFFF"/>
        </w:rPr>
        <w:t xml:space="preserve"> does not reflect the true extent of current therapies received by Australian patients.</w:t>
      </w:r>
    </w:p>
    <w:p w14:paraId="21563B17" w14:textId="77777777" w:rsidR="00F0062F" w:rsidRPr="003A793E" w:rsidRDefault="00F0062F" w:rsidP="00252706">
      <w:pPr>
        <w:pStyle w:val="Heading2"/>
        <w:numPr>
          <w:ilvl w:val="0"/>
          <w:numId w:val="48"/>
        </w:numPr>
        <w:spacing w:after="240"/>
        <w:ind w:hanging="720"/>
        <w:rPr>
          <w:rFonts w:ascii="Franklin Gothic Medium" w:hAnsi="Franklin Gothic Medium"/>
          <w:b w:val="0"/>
          <w:i w:val="0"/>
          <w:snapToGrid/>
          <w:sz w:val="32"/>
          <w:szCs w:val="32"/>
        </w:rPr>
      </w:pPr>
      <w:bookmarkStart w:id="32" w:name="_Toc69491421"/>
      <w:bookmarkStart w:id="33" w:name="_Hlk193982804"/>
      <w:r w:rsidRPr="1052C515">
        <w:rPr>
          <w:rFonts w:ascii="Franklin Gothic Medium" w:hAnsi="Franklin Gothic Medium"/>
          <w:b w:val="0"/>
          <w:i w:val="0"/>
          <w:snapToGrid/>
          <w:sz w:val="32"/>
          <w:szCs w:val="32"/>
        </w:rPr>
        <w:t>Summary of public consultation input</w:t>
      </w:r>
      <w:bookmarkEnd w:id="32"/>
      <w:bookmarkEnd w:id="33"/>
    </w:p>
    <w:p w14:paraId="6D9D6430" w14:textId="55A79B0E" w:rsidR="00D5C843" w:rsidRDefault="00D5C843" w:rsidP="1052C515">
      <w:pPr>
        <w:tabs>
          <w:tab w:val="left" w:pos="3686"/>
        </w:tabs>
        <w:spacing w:line="256" w:lineRule="auto"/>
        <w:rPr>
          <w:rFonts w:eastAsia="Franklin Gothic Book" w:cs="Franklin Gothic Book"/>
        </w:rPr>
      </w:pPr>
      <w:r w:rsidRPr="1052C515">
        <w:rPr>
          <w:rFonts w:eastAsia="Franklin Gothic Book" w:cs="Franklin Gothic Book"/>
        </w:rPr>
        <w:t xml:space="preserve">Consultation input was received from </w:t>
      </w:r>
      <w:r w:rsidR="000C1A49">
        <w:rPr>
          <w:rFonts w:eastAsia="Franklin Gothic Book" w:cs="Franklin Gothic Book"/>
        </w:rPr>
        <w:t>2</w:t>
      </w:r>
      <w:r w:rsidR="000C1A49" w:rsidRPr="1052C515">
        <w:rPr>
          <w:rFonts w:eastAsia="Franklin Gothic Book" w:cs="Franklin Gothic Book"/>
        </w:rPr>
        <w:t xml:space="preserve"> </w:t>
      </w:r>
      <w:r w:rsidRPr="1052C515">
        <w:rPr>
          <w:rFonts w:eastAsia="Franklin Gothic Book" w:cs="Franklin Gothic Book"/>
        </w:rPr>
        <w:t xml:space="preserve">medical, health, or other (non-consumer) organisation and </w:t>
      </w:r>
      <w:r w:rsidR="000C1A49">
        <w:rPr>
          <w:rFonts w:eastAsia="Franklin Gothic Book" w:cs="Franklin Gothic Book"/>
        </w:rPr>
        <w:t>4</w:t>
      </w:r>
      <w:r w:rsidR="000C1A49" w:rsidRPr="1052C515">
        <w:rPr>
          <w:rFonts w:eastAsia="Franklin Gothic Book" w:cs="Franklin Gothic Book"/>
        </w:rPr>
        <w:t xml:space="preserve"> </w:t>
      </w:r>
      <w:r w:rsidRPr="1052C515">
        <w:rPr>
          <w:rFonts w:eastAsia="Franklin Gothic Book" w:cs="Franklin Gothic Book"/>
        </w:rPr>
        <w:t>consumer organisations.</w:t>
      </w:r>
    </w:p>
    <w:p w14:paraId="7090CCDD" w14:textId="3EE24AF2" w:rsidR="00D5C843" w:rsidRDefault="00D5C843" w:rsidP="000F7060">
      <w:pPr>
        <w:tabs>
          <w:tab w:val="left" w:pos="3686"/>
        </w:tabs>
        <w:spacing w:after="120" w:line="257" w:lineRule="auto"/>
        <w:rPr>
          <w:rFonts w:eastAsia="Franklin Gothic Book" w:cs="Franklin Gothic Book"/>
        </w:rPr>
      </w:pPr>
      <w:r w:rsidRPr="1052C515">
        <w:rPr>
          <w:rFonts w:eastAsia="Franklin Gothic Book" w:cs="Franklin Gothic Book"/>
        </w:rPr>
        <w:t>The organisations that submitted input were:</w:t>
      </w:r>
    </w:p>
    <w:p w14:paraId="30CB7118" w14:textId="3BD8251C" w:rsidR="00D5C843" w:rsidRDefault="00D5C843" w:rsidP="000F7060">
      <w:pPr>
        <w:pStyle w:val="ListParagraph"/>
        <w:numPr>
          <w:ilvl w:val="0"/>
          <w:numId w:val="5"/>
        </w:numPr>
        <w:tabs>
          <w:tab w:val="left" w:pos="3686"/>
        </w:tabs>
        <w:spacing w:before="0" w:after="0"/>
        <w:ind w:left="714" w:hanging="357"/>
        <w:rPr>
          <w:rFonts w:eastAsia="Franklin Gothic Book" w:cs="Franklin Gothic Book"/>
        </w:rPr>
      </w:pPr>
      <w:r w:rsidRPr="1052C515">
        <w:rPr>
          <w:rFonts w:eastAsia="Franklin Gothic Book" w:cs="Franklin Gothic Book"/>
        </w:rPr>
        <w:t>Rare Cancers Australia (RCA)</w:t>
      </w:r>
    </w:p>
    <w:p w14:paraId="36286A98" w14:textId="04EE2D55" w:rsidR="00D5C843" w:rsidRDefault="00D5C843" w:rsidP="000F7060">
      <w:pPr>
        <w:pStyle w:val="ListParagraph"/>
        <w:numPr>
          <w:ilvl w:val="0"/>
          <w:numId w:val="5"/>
        </w:numPr>
        <w:tabs>
          <w:tab w:val="left" w:pos="3686"/>
        </w:tabs>
        <w:spacing w:before="0" w:after="0"/>
        <w:ind w:left="714" w:hanging="357"/>
        <w:rPr>
          <w:rFonts w:eastAsia="Franklin Gothic Book" w:cs="Franklin Gothic Book"/>
        </w:rPr>
      </w:pPr>
      <w:r w:rsidRPr="1052C515">
        <w:rPr>
          <w:rFonts w:eastAsia="Franklin Gothic Book" w:cs="Franklin Gothic Book"/>
        </w:rPr>
        <w:t>Australian Genomics</w:t>
      </w:r>
    </w:p>
    <w:p w14:paraId="1127B0EB" w14:textId="567244D6" w:rsidR="00D5C843" w:rsidRDefault="00D5C843" w:rsidP="000F7060">
      <w:pPr>
        <w:pStyle w:val="ListParagraph"/>
        <w:numPr>
          <w:ilvl w:val="0"/>
          <w:numId w:val="5"/>
        </w:numPr>
        <w:tabs>
          <w:tab w:val="left" w:pos="3686"/>
        </w:tabs>
        <w:spacing w:before="0" w:after="0"/>
        <w:ind w:left="714" w:hanging="357"/>
        <w:rPr>
          <w:rFonts w:eastAsia="Franklin Gothic Book" w:cs="Franklin Gothic Book"/>
        </w:rPr>
      </w:pPr>
      <w:r w:rsidRPr="1052C515">
        <w:rPr>
          <w:rFonts w:eastAsia="Franklin Gothic Book" w:cs="Franklin Gothic Book"/>
        </w:rPr>
        <w:t>Cancer Australia</w:t>
      </w:r>
    </w:p>
    <w:p w14:paraId="32E58570" w14:textId="205F8D22" w:rsidR="00D5C843" w:rsidRDefault="00D5C843" w:rsidP="000F7060">
      <w:pPr>
        <w:pStyle w:val="ListParagraph"/>
        <w:numPr>
          <w:ilvl w:val="0"/>
          <w:numId w:val="5"/>
        </w:numPr>
        <w:tabs>
          <w:tab w:val="left" w:pos="3686"/>
        </w:tabs>
        <w:spacing w:before="0" w:after="0"/>
        <w:ind w:left="714" w:hanging="357"/>
        <w:rPr>
          <w:rFonts w:eastAsia="Franklin Gothic Book" w:cs="Franklin Gothic Book"/>
        </w:rPr>
      </w:pPr>
      <w:r w:rsidRPr="1052C515">
        <w:rPr>
          <w:rFonts w:eastAsia="Franklin Gothic Book" w:cs="Franklin Gothic Book"/>
        </w:rPr>
        <w:t>So Brave – Australia's Young Women’s Breast Cancer Charity</w:t>
      </w:r>
      <w:r w:rsidR="2D43C218" w:rsidRPr="1052C515">
        <w:rPr>
          <w:rFonts w:eastAsia="Franklin Gothic Book" w:cs="Franklin Gothic Book"/>
        </w:rPr>
        <w:t xml:space="preserve"> (So Brave)</w:t>
      </w:r>
    </w:p>
    <w:p w14:paraId="6AF59E8D" w14:textId="561A0770" w:rsidR="00D5C843" w:rsidRDefault="00D5C843" w:rsidP="000F7060">
      <w:pPr>
        <w:pStyle w:val="ListParagraph"/>
        <w:numPr>
          <w:ilvl w:val="0"/>
          <w:numId w:val="5"/>
        </w:numPr>
        <w:tabs>
          <w:tab w:val="left" w:pos="3686"/>
        </w:tabs>
        <w:spacing w:before="0" w:after="0"/>
        <w:ind w:left="714" w:hanging="357"/>
        <w:rPr>
          <w:rFonts w:eastAsia="Franklin Gothic Book" w:cs="Franklin Gothic Book"/>
        </w:rPr>
      </w:pPr>
      <w:r w:rsidRPr="1052C515">
        <w:rPr>
          <w:rFonts w:eastAsia="Franklin Gothic Book" w:cs="Franklin Gothic Book"/>
        </w:rPr>
        <w:t>Breast Cancer Network Australia (BCNA)</w:t>
      </w:r>
    </w:p>
    <w:p w14:paraId="4CAB7414" w14:textId="075B18C7" w:rsidR="000C1A49" w:rsidRDefault="000C1A49" w:rsidP="000F7060">
      <w:pPr>
        <w:pStyle w:val="ListParagraph"/>
        <w:numPr>
          <w:ilvl w:val="0"/>
          <w:numId w:val="5"/>
        </w:numPr>
        <w:tabs>
          <w:tab w:val="left" w:pos="3686"/>
        </w:tabs>
        <w:spacing w:before="0" w:after="0"/>
        <w:ind w:left="714" w:hanging="357"/>
        <w:rPr>
          <w:rFonts w:eastAsia="Franklin Gothic Book" w:cs="Franklin Gothic Book"/>
        </w:rPr>
      </w:pPr>
      <w:r>
        <w:rPr>
          <w:rFonts w:eastAsia="Franklin Gothic Book" w:cs="Franklin Gothic Book"/>
        </w:rPr>
        <w:t>Medical Oncology Group of Australia (MOGA) Breast Cancer Special Interest Group</w:t>
      </w:r>
    </w:p>
    <w:p w14:paraId="122E9127" w14:textId="794ABA70" w:rsidR="00D5C843" w:rsidRDefault="00D5C843" w:rsidP="1052C515">
      <w:pPr>
        <w:rPr>
          <w:rFonts w:eastAsia="Franklin Gothic Book" w:cs="Franklin Gothic Book"/>
          <w:szCs w:val="24"/>
        </w:rPr>
      </w:pPr>
      <w:r w:rsidRPr="1052C515">
        <w:rPr>
          <w:rFonts w:eastAsia="Franklin Gothic Book" w:cs="Franklin Gothic Book"/>
          <w:b/>
          <w:bCs/>
          <w:szCs w:val="24"/>
        </w:rPr>
        <w:t xml:space="preserve">Level of support for public funding </w:t>
      </w:r>
    </w:p>
    <w:p w14:paraId="7796BE57" w14:textId="3FEA2A77" w:rsidR="7EF0D799" w:rsidRDefault="7EF0D799" w:rsidP="1052C515">
      <w:pPr>
        <w:rPr>
          <w:rFonts w:eastAsia="Franklin Gothic Book" w:cs="Franklin Gothic Book"/>
        </w:rPr>
      </w:pPr>
      <w:r w:rsidRPr="1052C515">
        <w:rPr>
          <w:rFonts w:eastAsia="Franklin Gothic Book" w:cs="Franklin Gothic Book"/>
        </w:rPr>
        <w:t>All organisations expressed support at the public funding of this application.</w:t>
      </w:r>
    </w:p>
    <w:p w14:paraId="4B212A40" w14:textId="5B6E185F" w:rsidR="00D5C843" w:rsidRDefault="00D5C843" w:rsidP="000F7060">
      <w:pPr>
        <w:keepNext/>
        <w:keepLines/>
        <w:rPr>
          <w:rFonts w:eastAsia="Franklin Gothic Book" w:cs="Franklin Gothic Book"/>
          <w:szCs w:val="24"/>
        </w:rPr>
      </w:pPr>
      <w:r w:rsidRPr="1052C515">
        <w:rPr>
          <w:rFonts w:eastAsia="Franklin Gothic Book" w:cs="Franklin Gothic Book"/>
          <w:b/>
          <w:bCs/>
          <w:szCs w:val="24"/>
        </w:rPr>
        <w:lastRenderedPageBreak/>
        <w:t xml:space="preserve">Comments on PICO </w:t>
      </w:r>
    </w:p>
    <w:p w14:paraId="2613B950" w14:textId="32A310B2" w:rsidR="6F850907" w:rsidRDefault="6F850907" w:rsidP="000F7060">
      <w:pPr>
        <w:pStyle w:val="ListParagraph"/>
        <w:keepNext/>
        <w:keepLines/>
        <w:numPr>
          <w:ilvl w:val="0"/>
          <w:numId w:val="4"/>
        </w:numPr>
        <w:spacing w:before="0"/>
        <w:ind w:left="709"/>
        <w:rPr>
          <w:rFonts w:eastAsia="Franklin Gothic Book" w:cs="Franklin Gothic Book"/>
        </w:rPr>
      </w:pPr>
      <w:r w:rsidRPr="1052C515">
        <w:rPr>
          <w:rFonts w:eastAsia="Franklin Gothic Book" w:cs="Franklin Gothic Book"/>
        </w:rPr>
        <w:t>So Br</w:t>
      </w:r>
      <w:r w:rsidR="51F001B5" w:rsidRPr="1052C515">
        <w:rPr>
          <w:rFonts w:eastAsia="Franklin Gothic Book" w:cs="Franklin Gothic Book"/>
        </w:rPr>
        <w:t>ave</w:t>
      </w:r>
      <w:r w:rsidRPr="1052C515">
        <w:rPr>
          <w:rFonts w:eastAsia="Franklin Gothic Book" w:cs="Franklin Gothic Book"/>
        </w:rPr>
        <w:t xml:space="preserve"> </w:t>
      </w:r>
      <w:r w:rsidR="76EC25C4" w:rsidRPr="1052C515">
        <w:rPr>
          <w:rFonts w:eastAsia="Franklin Gothic Book" w:cs="Franklin Gothic Book"/>
        </w:rPr>
        <w:t xml:space="preserve">noted that broad gene panels </w:t>
      </w:r>
      <w:r w:rsidR="24FFE311" w:rsidRPr="1052C515">
        <w:rPr>
          <w:rFonts w:eastAsia="Franklin Gothic Book" w:cs="Franklin Gothic Book"/>
        </w:rPr>
        <w:t>should apply not just to this subset of breast cancer patients but to all existing and future treatment protocols</w:t>
      </w:r>
      <w:r w:rsidR="4807C151" w:rsidRPr="1052C515">
        <w:rPr>
          <w:rFonts w:eastAsia="Franklin Gothic Book" w:cs="Franklin Gothic Book"/>
        </w:rPr>
        <w:t xml:space="preserve"> </w:t>
      </w:r>
      <w:r w:rsidR="24FFE311" w:rsidRPr="1052C515">
        <w:rPr>
          <w:rFonts w:eastAsia="Franklin Gothic Book" w:cs="Franklin Gothic Book"/>
        </w:rPr>
        <w:t>to reduce the impact of this investigation on the patient, improve efficiencies of testing processes with pathology</w:t>
      </w:r>
      <w:r w:rsidR="693EC712" w:rsidRPr="1052C515">
        <w:rPr>
          <w:rFonts w:eastAsia="Franklin Gothic Book" w:cs="Franklin Gothic Book"/>
        </w:rPr>
        <w:t>,</w:t>
      </w:r>
      <w:r w:rsidR="24FFE311" w:rsidRPr="1052C515">
        <w:rPr>
          <w:rFonts w:eastAsia="Franklin Gothic Book" w:cs="Franklin Gothic Book"/>
        </w:rPr>
        <w:t xml:space="preserve"> and ensure patients access the right treatment at the right time for their specific cancer.</w:t>
      </w:r>
      <w:r w:rsidR="10B7AE88" w:rsidRPr="1052C515">
        <w:rPr>
          <w:rFonts w:eastAsia="Franklin Gothic Book" w:cs="Franklin Gothic Book"/>
        </w:rPr>
        <w:t xml:space="preserve"> These sentiments were reflected by other organisations in their submissions. </w:t>
      </w:r>
    </w:p>
    <w:p w14:paraId="73E1A18F" w14:textId="0E70A136" w:rsidR="5C9A4660" w:rsidRDefault="5C9A4660" w:rsidP="1052C515">
      <w:pPr>
        <w:pStyle w:val="ListParagraph"/>
        <w:numPr>
          <w:ilvl w:val="0"/>
          <w:numId w:val="4"/>
        </w:numPr>
        <w:spacing w:before="0"/>
        <w:ind w:left="709"/>
        <w:rPr>
          <w:rFonts w:eastAsia="Franklin Gothic Book" w:cs="Franklin Gothic Book"/>
        </w:rPr>
      </w:pPr>
      <w:r w:rsidRPr="1052C515">
        <w:rPr>
          <w:rFonts w:eastAsia="Franklin Gothic Book" w:cs="Franklin Gothic Book"/>
        </w:rPr>
        <w:t>Australian Genomics</w:t>
      </w:r>
      <w:r w:rsidR="72217E69" w:rsidRPr="1052C515">
        <w:rPr>
          <w:rFonts w:eastAsia="Franklin Gothic Book" w:cs="Franklin Gothic Book"/>
        </w:rPr>
        <w:t xml:space="preserve"> noted the underrepresentation of Indigenous Peoples in clinical trials across various health systems, and noted it is crucial to address this issue as genetic variations can have an influence on drug response.</w:t>
      </w:r>
    </w:p>
    <w:p w14:paraId="7A1D99A6" w14:textId="759D210A" w:rsidR="2A227E2A" w:rsidRDefault="2A227E2A" w:rsidP="1052C515">
      <w:pPr>
        <w:pStyle w:val="ListParagraph"/>
        <w:numPr>
          <w:ilvl w:val="0"/>
          <w:numId w:val="4"/>
        </w:numPr>
        <w:spacing w:before="0"/>
        <w:ind w:left="709"/>
        <w:rPr>
          <w:rFonts w:eastAsia="Franklin Gothic Book" w:cs="Franklin Gothic Book"/>
        </w:rPr>
      </w:pPr>
      <w:r w:rsidRPr="1052C515">
        <w:rPr>
          <w:rFonts w:eastAsia="Franklin Gothic Book" w:cs="Franklin Gothic Book"/>
        </w:rPr>
        <w:t>Australian</w:t>
      </w:r>
      <w:r w:rsidR="4358BDDA" w:rsidRPr="1052C515">
        <w:rPr>
          <w:rFonts w:eastAsia="Franklin Gothic Book" w:cs="Franklin Gothic Book"/>
        </w:rPr>
        <w:t xml:space="preserve"> Genomics made specific comments </w:t>
      </w:r>
      <w:r w:rsidR="15824C95" w:rsidRPr="1052C515">
        <w:rPr>
          <w:rFonts w:eastAsia="Franklin Gothic Book" w:cs="Franklin Gothic Book"/>
        </w:rPr>
        <w:t xml:space="preserve">addressing </w:t>
      </w:r>
      <w:r w:rsidR="4358BDDA" w:rsidRPr="1052C515">
        <w:rPr>
          <w:rFonts w:eastAsia="Franklin Gothic Book" w:cs="Franklin Gothic Book"/>
        </w:rPr>
        <w:t>the outcomes as set out in the PICO, including the</w:t>
      </w:r>
      <w:r w:rsidR="70C43AC8" w:rsidRPr="1052C515">
        <w:rPr>
          <w:rFonts w:eastAsia="Franklin Gothic Book" w:cs="Franklin Gothic Book"/>
        </w:rPr>
        <w:t>:</w:t>
      </w:r>
      <w:r w:rsidR="4358BDDA" w:rsidRPr="1052C515">
        <w:rPr>
          <w:rFonts w:eastAsia="Franklin Gothic Book" w:cs="Franklin Gothic Book"/>
        </w:rPr>
        <w:t xml:space="preserve"> incorporation of</w:t>
      </w:r>
      <w:r w:rsidR="4358BDDA" w:rsidRPr="00E47867">
        <w:rPr>
          <w:rFonts w:eastAsia="Franklin Gothic Book" w:cs="Franklin Gothic Book"/>
          <w:i/>
        </w:rPr>
        <w:t xml:space="preserve"> ESR1</w:t>
      </w:r>
      <w:r w:rsidR="4358BDDA" w:rsidRPr="1052C515">
        <w:rPr>
          <w:rFonts w:eastAsia="Franklin Gothic Book" w:cs="Franklin Gothic Book"/>
        </w:rPr>
        <w:t xml:space="preserve"> as a biomarker into cancer care treatment guidelines; adoption of service in other countries; and approval of</w:t>
      </w:r>
      <w:r w:rsidR="07C47257" w:rsidRPr="1052C515">
        <w:rPr>
          <w:rFonts w:eastAsia="Franklin Gothic Book" w:cs="Franklin Gothic Book"/>
        </w:rPr>
        <w:t xml:space="preserve"> a</w:t>
      </w:r>
      <w:r w:rsidR="4358BDDA" w:rsidRPr="1052C515">
        <w:rPr>
          <w:rFonts w:eastAsia="Franklin Gothic Book" w:cs="Franklin Gothic Book"/>
        </w:rPr>
        <w:t xml:space="preserve"> propo</w:t>
      </w:r>
      <w:r w:rsidR="4004D3EA" w:rsidRPr="1052C515">
        <w:rPr>
          <w:rFonts w:eastAsia="Franklin Gothic Book" w:cs="Franklin Gothic Book"/>
        </w:rPr>
        <w:t xml:space="preserve">sed NGS-based assay </w:t>
      </w:r>
      <w:r w:rsidR="32460AC5" w:rsidRPr="1052C515">
        <w:rPr>
          <w:rFonts w:eastAsia="Franklin Gothic Book" w:cs="Franklin Gothic Book"/>
        </w:rPr>
        <w:t>in other countries.</w:t>
      </w:r>
    </w:p>
    <w:p w14:paraId="3E3FEB59" w14:textId="4EBE0485" w:rsidR="4A2D5A7E" w:rsidRDefault="4A2D5A7E" w:rsidP="1052C515">
      <w:pPr>
        <w:pStyle w:val="ListParagraph"/>
        <w:numPr>
          <w:ilvl w:val="0"/>
          <w:numId w:val="4"/>
        </w:numPr>
        <w:spacing w:before="0"/>
        <w:ind w:left="709"/>
        <w:rPr>
          <w:rFonts w:eastAsia="Franklin Gothic Book" w:cs="Franklin Gothic Book"/>
        </w:rPr>
      </w:pPr>
      <w:r w:rsidRPr="1052C515">
        <w:rPr>
          <w:rFonts w:eastAsia="Franklin Gothic Book" w:cs="Franklin Gothic Book"/>
        </w:rPr>
        <w:t>Australian Genomics also suggested providing clarity around the number of times the service can be accessed</w:t>
      </w:r>
      <w:r w:rsidR="5287EDDE" w:rsidRPr="1052C515">
        <w:rPr>
          <w:rFonts w:eastAsia="Franklin Gothic Book" w:cs="Franklin Gothic Book"/>
        </w:rPr>
        <w:t>.</w:t>
      </w:r>
    </w:p>
    <w:p w14:paraId="768EE195" w14:textId="18824D5A" w:rsidR="00D5C843" w:rsidRDefault="00D5C843" w:rsidP="1052C515">
      <w:pPr>
        <w:rPr>
          <w:rFonts w:eastAsia="Franklin Gothic Book" w:cs="Franklin Gothic Book"/>
          <w:szCs w:val="24"/>
        </w:rPr>
      </w:pPr>
      <w:r w:rsidRPr="1052C515">
        <w:rPr>
          <w:rFonts w:eastAsia="Franklin Gothic Book" w:cs="Franklin Gothic Book"/>
          <w:b/>
          <w:bCs/>
          <w:szCs w:val="24"/>
        </w:rPr>
        <w:t xml:space="preserve">Perceived Advantages </w:t>
      </w:r>
    </w:p>
    <w:p w14:paraId="2E444F7D" w14:textId="6BD9E258" w:rsidR="00D5C843" w:rsidRDefault="00D5C843" w:rsidP="00A0A009">
      <w:pPr>
        <w:rPr>
          <w:rFonts w:eastAsia="Franklin Gothic Book" w:cs="Franklin Gothic Book"/>
        </w:rPr>
      </w:pPr>
      <w:r w:rsidRPr="7D3C89EC">
        <w:rPr>
          <w:rFonts w:eastAsia="Franklin Gothic Book" w:cs="Franklin Gothic Book"/>
        </w:rPr>
        <w:t xml:space="preserve">Advantages of the </w:t>
      </w:r>
      <w:r w:rsidR="4CA20847" w:rsidRPr="7D3C89EC">
        <w:rPr>
          <w:rFonts w:eastAsia="Franklin Gothic Book" w:cs="Franklin Gothic Book"/>
        </w:rPr>
        <w:t xml:space="preserve">service </w:t>
      </w:r>
      <w:r w:rsidRPr="7D3C89EC">
        <w:rPr>
          <w:rFonts w:eastAsia="Franklin Gothic Book" w:cs="Franklin Gothic Book"/>
        </w:rPr>
        <w:t xml:space="preserve">noted by </w:t>
      </w:r>
      <w:r w:rsidR="0EA1E41A" w:rsidRPr="7D3C89EC">
        <w:rPr>
          <w:rFonts w:eastAsia="Franklin Gothic Book" w:cs="Franklin Gothic Book"/>
        </w:rPr>
        <w:t xml:space="preserve">organisations </w:t>
      </w:r>
      <w:r w:rsidRPr="7D3C89EC">
        <w:rPr>
          <w:rFonts w:eastAsia="Franklin Gothic Book" w:cs="Franklin Gothic Book"/>
        </w:rPr>
        <w:t>included:</w:t>
      </w:r>
    </w:p>
    <w:p w14:paraId="74C9581C" w14:textId="4CECB723" w:rsidR="4E0FC798" w:rsidRDefault="4E0FC798" w:rsidP="1052C515">
      <w:pPr>
        <w:pStyle w:val="ListParagraph"/>
        <w:numPr>
          <w:ilvl w:val="0"/>
          <w:numId w:val="3"/>
        </w:numPr>
        <w:tabs>
          <w:tab w:val="left" w:pos="3686"/>
        </w:tabs>
        <w:spacing w:line="256" w:lineRule="auto"/>
        <w:rPr>
          <w:rFonts w:eastAsia="Franklin Gothic Book" w:cs="Franklin Gothic Book"/>
        </w:rPr>
      </w:pPr>
      <w:r w:rsidRPr="1052C515">
        <w:rPr>
          <w:rFonts w:eastAsia="Franklin Gothic Book" w:cs="Franklin Gothic Book"/>
        </w:rPr>
        <w:t>Emotional and financial relief.</w:t>
      </w:r>
    </w:p>
    <w:p w14:paraId="013EAE94" w14:textId="24700276" w:rsidR="4E0FC798" w:rsidRDefault="29EBDC40" w:rsidP="7D3C89EC">
      <w:pPr>
        <w:pStyle w:val="ListParagraph"/>
        <w:numPr>
          <w:ilvl w:val="0"/>
          <w:numId w:val="3"/>
        </w:numPr>
        <w:tabs>
          <w:tab w:val="left" w:pos="3686"/>
        </w:tabs>
        <w:spacing w:line="256" w:lineRule="auto"/>
        <w:rPr>
          <w:rFonts w:eastAsia="Franklin Gothic Book" w:cs="Franklin Gothic Book"/>
        </w:rPr>
      </w:pPr>
      <w:r w:rsidRPr="7D3C89EC">
        <w:rPr>
          <w:rFonts w:eastAsia="Franklin Gothic Book" w:cs="Franklin Gothic Book"/>
        </w:rPr>
        <w:t xml:space="preserve">Facilitate </w:t>
      </w:r>
      <w:r w:rsidR="4E0FC798" w:rsidRPr="7D3C89EC">
        <w:rPr>
          <w:rFonts w:eastAsia="Franklin Gothic Book" w:cs="Franklin Gothic Book"/>
        </w:rPr>
        <w:t xml:space="preserve">more personalised and effective treatment options, improving overall quality of life. </w:t>
      </w:r>
    </w:p>
    <w:p w14:paraId="4E40EC27" w14:textId="018A8170" w:rsidR="00A0A009" w:rsidRDefault="66B3F952" w:rsidP="00302CF5">
      <w:pPr>
        <w:tabs>
          <w:tab w:val="left" w:pos="3686"/>
        </w:tabs>
        <w:spacing w:line="256" w:lineRule="auto"/>
        <w:rPr>
          <w:rFonts w:eastAsia="Franklin Gothic Book" w:cs="Franklin Gothic Book"/>
        </w:rPr>
      </w:pPr>
      <w:r w:rsidRPr="7D3C89EC">
        <w:rPr>
          <w:rFonts w:eastAsia="Franklin Gothic Book" w:cs="Franklin Gothic Book"/>
        </w:rPr>
        <w:t>Liquid biop</w:t>
      </w:r>
      <w:r w:rsidR="3F872AF2" w:rsidRPr="7D3C89EC">
        <w:rPr>
          <w:rFonts w:eastAsia="Franklin Gothic Book" w:cs="Franklin Gothic Book"/>
        </w:rPr>
        <w:t>sies</w:t>
      </w:r>
      <w:r w:rsidRPr="7D3C89EC">
        <w:rPr>
          <w:rFonts w:eastAsia="Franklin Gothic Book" w:cs="Franklin Gothic Book"/>
        </w:rPr>
        <w:t xml:space="preserve"> </w:t>
      </w:r>
      <w:r w:rsidR="05F6B167" w:rsidRPr="7D3C89EC">
        <w:rPr>
          <w:rFonts w:eastAsia="Franklin Gothic Book" w:cs="Franklin Gothic Book"/>
        </w:rPr>
        <w:t xml:space="preserve">are </w:t>
      </w:r>
      <w:r w:rsidRPr="7D3C89EC">
        <w:rPr>
          <w:rFonts w:eastAsia="Franklin Gothic Book" w:cs="Franklin Gothic Book"/>
        </w:rPr>
        <w:t>easier to collect</w:t>
      </w:r>
      <w:r w:rsidR="42BC9093" w:rsidRPr="7D3C89EC">
        <w:rPr>
          <w:rFonts w:eastAsia="Franklin Gothic Book" w:cs="Franklin Gothic Book"/>
        </w:rPr>
        <w:t xml:space="preserve"> and </w:t>
      </w:r>
      <w:r w:rsidRPr="7D3C89EC">
        <w:rPr>
          <w:rFonts w:eastAsia="Franklin Gothic Book" w:cs="Franklin Gothic Book"/>
        </w:rPr>
        <w:t xml:space="preserve">transport compared to tissue </w:t>
      </w:r>
      <w:r w:rsidR="263505E0" w:rsidRPr="7D3C89EC">
        <w:rPr>
          <w:rFonts w:eastAsia="Franklin Gothic Book" w:cs="Franklin Gothic Book"/>
        </w:rPr>
        <w:t>specimens</w:t>
      </w:r>
      <w:r w:rsidR="6AD2E0CB" w:rsidRPr="7D3C89EC">
        <w:rPr>
          <w:rFonts w:eastAsia="Franklin Gothic Book" w:cs="Franklin Gothic Book"/>
        </w:rPr>
        <w:t>,</w:t>
      </w:r>
      <w:r w:rsidR="263505E0" w:rsidRPr="7D3C89EC">
        <w:rPr>
          <w:rFonts w:eastAsia="Franklin Gothic Book" w:cs="Franklin Gothic Book"/>
        </w:rPr>
        <w:t xml:space="preserve"> </w:t>
      </w:r>
      <w:r w:rsidR="2D6F28CA" w:rsidRPr="7D3C89EC">
        <w:rPr>
          <w:rFonts w:eastAsia="Franklin Gothic Book" w:cs="Franklin Gothic Book"/>
        </w:rPr>
        <w:t xml:space="preserve">potentially </w:t>
      </w:r>
      <w:r w:rsidRPr="7D3C89EC">
        <w:rPr>
          <w:rFonts w:eastAsia="Franklin Gothic Book" w:cs="Franklin Gothic Book"/>
        </w:rPr>
        <w:t>improv</w:t>
      </w:r>
      <w:r w:rsidR="24CBDEE6" w:rsidRPr="7D3C89EC">
        <w:rPr>
          <w:rFonts w:eastAsia="Franklin Gothic Book" w:cs="Franklin Gothic Book"/>
        </w:rPr>
        <w:t>ing</w:t>
      </w:r>
      <w:r w:rsidRPr="7D3C89EC">
        <w:rPr>
          <w:rFonts w:eastAsia="Franklin Gothic Book" w:cs="Franklin Gothic Book"/>
        </w:rPr>
        <w:t xml:space="preserve"> equitable access </w:t>
      </w:r>
      <w:r w:rsidR="04E683D5" w:rsidRPr="7D3C89EC">
        <w:rPr>
          <w:rFonts w:eastAsia="Franklin Gothic Book" w:cs="Franklin Gothic Book"/>
        </w:rPr>
        <w:t>for rural</w:t>
      </w:r>
      <w:r w:rsidR="5A3C696C" w:rsidRPr="7D3C89EC">
        <w:rPr>
          <w:rFonts w:eastAsia="Franklin Gothic Book" w:cs="Franklin Gothic Book"/>
        </w:rPr>
        <w:t xml:space="preserve"> and </w:t>
      </w:r>
      <w:r w:rsidR="04E683D5" w:rsidRPr="7D3C89EC">
        <w:rPr>
          <w:rFonts w:eastAsia="Franklin Gothic Book" w:cs="Franklin Gothic Book"/>
        </w:rPr>
        <w:t xml:space="preserve">remote patients. </w:t>
      </w:r>
    </w:p>
    <w:p w14:paraId="6BD4E4EB" w14:textId="2700ACD3" w:rsidR="00D5C843" w:rsidRDefault="00D5C843" w:rsidP="1052C515">
      <w:pPr>
        <w:rPr>
          <w:rFonts w:eastAsia="Franklin Gothic Book" w:cs="Franklin Gothic Book"/>
          <w:szCs w:val="24"/>
        </w:rPr>
      </w:pPr>
      <w:r w:rsidRPr="1052C515">
        <w:rPr>
          <w:rFonts w:eastAsia="Franklin Gothic Book" w:cs="Franklin Gothic Book"/>
          <w:b/>
          <w:bCs/>
          <w:szCs w:val="24"/>
        </w:rPr>
        <w:t>Perceived Disadvantages</w:t>
      </w:r>
    </w:p>
    <w:p w14:paraId="6B6A05E8" w14:textId="186CA0AA" w:rsidR="1580CA8E" w:rsidRDefault="1580CA8E" w:rsidP="1052C515">
      <w:pPr>
        <w:rPr>
          <w:rFonts w:eastAsia="Franklin Gothic Book" w:cs="Franklin Gothic Book"/>
        </w:rPr>
      </w:pPr>
      <w:r w:rsidRPr="1052C515">
        <w:rPr>
          <w:rFonts w:eastAsia="Franklin Gothic Book" w:cs="Franklin Gothic Book"/>
        </w:rPr>
        <w:t xml:space="preserve">So Brave </w:t>
      </w:r>
      <w:r w:rsidR="363A4F96" w:rsidRPr="1052C515">
        <w:rPr>
          <w:rFonts w:eastAsia="Franklin Gothic Book" w:cs="Franklin Gothic Book"/>
        </w:rPr>
        <w:t>noted that while</w:t>
      </w:r>
      <w:r w:rsidR="6A5D8176" w:rsidRPr="1052C515">
        <w:rPr>
          <w:rFonts w:eastAsia="Franklin Gothic Book" w:cs="Franklin Gothic Book"/>
        </w:rPr>
        <w:t xml:space="preserve"> the proposed genetic liquid biopsy assay offers significant advantages, there are some potential challenges to consider</w:t>
      </w:r>
      <w:r w:rsidR="28204383" w:rsidRPr="1052C515">
        <w:rPr>
          <w:rFonts w:eastAsia="Franklin Gothic Book" w:cs="Franklin Gothic Book"/>
        </w:rPr>
        <w:t>, including:</w:t>
      </w:r>
    </w:p>
    <w:p w14:paraId="2E643DFC" w14:textId="23A0819F" w:rsidR="22296816" w:rsidRDefault="22296816" w:rsidP="1052C515">
      <w:pPr>
        <w:pStyle w:val="ListParagraph"/>
        <w:numPr>
          <w:ilvl w:val="0"/>
          <w:numId w:val="1"/>
        </w:numPr>
        <w:rPr>
          <w:rFonts w:eastAsia="Franklin Gothic Book" w:cs="Franklin Gothic Book"/>
        </w:rPr>
      </w:pPr>
      <w:r w:rsidRPr="1052C515">
        <w:rPr>
          <w:rFonts w:eastAsia="Franklin Gothic Book" w:cs="Franklin Gothic Book"/>
        </w:rPr>
        <w:t>E</w:t>
      </w:r>
      <w:r w:rsidR="6A5D8176" w:rsidRPr="1052C515">
        <w:rPr>
          <w:rFonts w:eastAsia="Franklin Gothic Book" w:cs="Franklin Gothic Book"/>
        </w:rPr>
        <w:t>quitable access to</w:t>
      </w:r>
      <w:r w:rsidR="6C6EAFAA" w:rsidRPr="1052C515">
        <w:rPr>
          <w:rFonts w:eastAsia="Franklin Gothic Book" w:cs="Franklin Gothic Book"/>
        </w:rPr>
        <w:t xml:space="preserve"> </w:t>
      </w:r>
      <w:r w:rsidR="6A5D8176" w:rsidRPr="1052C515">
        <w:rPr>
          <w:rFonts w:eastAsia="Franklin Gothic Book" w:cs="Franklin Gothic Book"/>
        </w:rPr>
        <w:t>this technology must be ensured, as disparities in healthcare availability could mean that some patients, particularly those in rural or lower-income areas,</w:t>
      </w:r>
      <w:r w:rsidR="3BF11DEC" w:rsidRPr="1052C515">
        <w:rPr>
          <w:rFonts w:eastAsia="Franklin Gothic Book" w:cs="Franklin Gothic Book"/>
        </w:rPr>
        <w:t xml:space="preserve"> </w:t>
      </w:r>
      <w:r w:rsidR="6A5D8176" w:rsidRPr="1052C515">
        <w:rPr>
          <w:rFonts w:eastAsia="Franklin Gothic Book" w:cs="Franklin Gothic Book"/>
        </w:rPr>
        <w:t>may struggle to access timely testing.</w:t>
      </w:r>
      <w:r w:rsidR="5347D10B" w:rsidRPr="1052C515">
        <w:rPr>
          <w:rFonts w:eastAsia="Franklin Gothic Book" w:cs="Franklin Gothic Book"/>
        </w:rPr>
        <w:t xml:space="preserve"> This concern was included in other submissions by organisations.</w:t>
      </w:r>
    </w:p>
    <w:p w14:paraId="393D5FB0" w14:textId="57F1CE2F" w:rsidR="7043E15B" w:rsidRDefault="7043E15B" w:rsidP="1052C515">
      <w:pPr>
        <w:pStyle w:val="ListParagraph"/>
        <w:numPr>
          <w:ilvl w:val="0"/>
          <w:numId w:val="1"/>
        </w:numPr>
        <w:rPr>
          <w:rFonts w:eastAsia="Franklin Gothic Book" w:cs="Franklin Gothic Book"/>
        </w:rPr>
      </w:pPr>
      <w:r w:rsidRPr="1052C515">
        <w:rPr>
          <w:rFonts w:eastAsia="Franklin Gothic Book" w:cs="Franklin Gothic Book"/>
        </w:rPr>
        <w:t>I</w:t>
      </w:r>
      <w:r w:rsidR="6A5D8176" w:rsidRPr="1052C515">
        <w:rPr>
          <w:rFonts w:eastAsia="Franklin Gothic Book" w:cs="Franklin Gothic Book"/>
        </w:rPr>
        <w:t>f the genetic liquid biopsy assay shows the benefit of a particular treatment that is not funded by the PBS, inequities of access could negate</w:t>
      </w:r>
      <w:r w:rsidR="32367D6D" w:rsidRPr="1052C515">
        <w:rPr>
          <w:rFonts w:eastAsia="Franklin Gothic Book" w:cs="Franklin Gothic Book"/>
        </w:rPr>
        <w:t xml:space="preserve"> </w:t>
      </w:r>
      <w:r w:rsidR="6A5D8176" w:rsidRPr="1052C515">
        <w:rPr>
          <w:rFonts w:eastAsia="Franklin Gothic Book" w:cs="Franklin Gothic Book"/>
        </w:rPr>
        <w:t>these benefits. Its effectiveness ultimately depends on the availability and reimbursement of targeted therapies—meaning that without simultaneous</w:t>
      </w:r>
      <w:r w:rsidR="5C884505" w:rsidRPr="1052C515">
        <w:rPr>
          <w:rFonts w:eastAsia="Franklin Gothic Book" w:cs="Franklin Gothic Book"/>
        </w:rPr>
        <w:t xml:space="preserve"> </w:t>
      </w:r>
      <w:r w:rsidR="6A5D8176" w:rsidRPr="1052C515">
        <w:rPr>
          <w:rFonts w:eastAsia="Franklin Gothic Book" w:cs="Franklin Gothic Book"/>
        </w:rPr>
        <w:t>access to appropriate treatments, the full benefits of the test may not be realized.</w:t>
      </w:r>
    </w:p>
    <w:p w14:paraId="253915ED" w14:textId="414E6BA8" w:rsidR="00D5C843" w:rsidRDefault="00D5C843" w:rsidP="1052C515">
      <w:pPr>
        <w:rPr>
          <w:rFonts w:eastAsia="Franklin Gothic Book" w:cs="Franklin Gothic Book"/>
          <w:szCs w:val="24"/>
        </w:rPr>
      </w:pPr>
      <w:r w:rsidRPr="1052C515">
        <w:rPr>
          <w:rFonts w:eastAsia="Franklin Gothic Book" w:cs="Franklin Gothic Book"/>
          <w:b/>
          <w:bCs/>
          <w:szCs w:val="24"/>
        </w:rPr>
        <w:t xml:space="preserve">Support for Implementation /issues </w:t>
      </w:r>
    </w:p>
    <w:p w14:paraId="4E15C8BA" w14:textId="7C133C52" w:rsidR="5B425870" w:rsidRDefault="5B425870" w:rsidP="1052C515">
      <w:pPr>
        <w:pStyle w:val="ListParagraph"/>
        <w:numPr>
          <w:ilvl w:val="0"/>
          <w:numId w:val="2"/>
        </w:numPr>
        <w:spacing w:before="0"/>
        <w:ind w:left="709"/>
        <w:rPr>
          <w:rFonts w:eastAsia="Franklin Gothic Book" w:cs="Franklin Gothic Book"/>
        </w:rPr>
      </w:pPr>
      <w:r w:rsidRPr="1052C515">
        <w:rPr>
          <w:rFonts w:eastAsia="Franklin Gothic Book" w:cs="Franklin Gothic Book"/>
        </w:rPr>
        <w:t>So Brave</w:t>
      </w:r>
      <w:r w:rsidR="0FB0FDB3" w:rsidRPr="1052C515">
        <w:rPr>
          <w:rFonts w:eastAsia="Franklin Gothic Book" w:cs="Franklin Gothic Book"/>
        </w:rPr>
        <w:t xml:space="preserve"> noted that s</w:t>
      </w:r>
      <w:r w:rsidR="40593535" w:rsidRPr="1052C515">
        <w:rPr>
          <w:rFonts w:eastAsia="Franklin Gothic Book" w:cs="Franklin Gothic Book"/>
        </w:rPr>
        <w:t>uccessive applications for therapies targeting specific mutations cannot and should not be assessed or implemented in isolation—what is required is a comprehensive, full-panel genomic</w:t>
      </w:r>
      <w:r w:rsidR="79E80A71" w:rsidRPr="1052C515">
        <w:rPr>
          <w:rFonts w:eastAsia="Franklin Gothic Book" w:cs="Franklin Gothic Book"/>
        </w:rPr>
        <w:t xml:space="preserve"> a</w:t>
      </w:r>
      <w:r w:rsidR="40593535" w:rsidRPr="1052C515">
        <w:rPr>
          <w:rFonts w:eastAsia="Franklin Gothic Book" w:cs="Franklin Gothic Book"/>
        </w:rPr>
        <w:t xml:space="preserve">ssay to identify all actionable mutations in a patient’s cancer. A targeted assay of liquid biopsy represents a crucial step toward achieving this, but without a standardised, broad-spectrum genomic testing approach, patients risk missing out on life-saving treatment. </w:t>
      </w:r>
    </w:p>
    <w:p w14:paraId="5FC1CB10" w14:textId="7BAA6F34" w:rsidR="47D465DF" w:rsidRPr="001313D4" w:rsidRDefault="47D465DF" w:rsidP="1052C515">
      <w:pPr>
        <w:pStyle w:val="ListParagraph"/>
        <w:numPr>
          <w:ilvl w:val="0"/>
          <w:numId w:val="2"/>
        </w:numPr>
        <w:spacing w:before="0"/>
        <w:ind w:left="709"/>
        <w:rPr>
          <w:rFonts w:eastAsia="Franklin Gothic Book" w:cs="Franklin Gothic Book"/>
        </w:rPr>
      </w:pPr>
      <w:r w:rsidRPr="1052C515">
        <w:rPr>
          <w:rFonts w:eastAsia="Franklin Gothic Book" w:cs="Franklin Gothic Book"/>
        </w:rPr>
        <w:lastRenderedPageBreak/>
        <w:t>A</w:t>
      </w:r>
      <w:r w:rsidR="31D47308" w:rsidRPr="1052C515">
        <w:rPr>
          <w:rFonts w:eastAsia="Franklin Gothic Book" w:cs="Franklin Gothic Book"/>
        </w:rPr>
        <w:t xml:space="preserve">ustralian Genomics </w:t>
      </w:r>
      <w:r w:rsidR="5E2BDB7B" w:rsidRPr="1052C515">
        <w:rPr>
          <w:rFonts w:eastAsia="Franklin Gothic Book" w:cs="Franklin Gothic Book"/>
        </w:rPr>
        <w:t>sta</w:t>
      </w:r>
      <w:r w:rsidRPr="1052C515">
        <w:rPr>
          <w:rFonts w:eastAsia="Franklin Gothic Book" w:cs="Franklin Gothic Book"/>
        </w:rPr>
        <w:t xml:space="preserve">ted that in the absence of public funding for </w:t>
      </w:r>
      <w:r w:rsidRPr="00E47867">
        <w:rPr>
          <w:rFonts w:eastAsia="Franklin Gothic Book" w:cs="Franklin Gothic Book"/>
          <w:i/>
        </w:rPr>
        <w:t>ESR1</w:t>
      </w:r>
      <w:r w:rsidRPr="1052C515">
        <w:rPr>
          <w:rFonts w:eastAsia="Franklin Gothic Book" w:cs="Franklin Gothic Book"/>
        </w:rPr>
        <w:t xml:space="preserve"> mutation testing or treatment, patients must pay for the test and associated treatment out-of-pocket, which is not a feasible strategy in the long-term and does not align with equity of access of healthcare services and treatments for all Australians.</w:t>
      </w:r>
    </w:p>
    <w:p w14:paraId="7251A1B4" w14:textId="4F7997E4" w:rsidR="001313D4" w:rsidRDefault="001313D4" w:rsidP="1052C515">
      <w:pPr>
        <w:pStyle w:val="ListParagraph"/>
        <w:numPr>
          <w:ilvl w:val="0"/>
          <w:numId w:val="2"/>
        </w:numPr>
        <w:spacing w:before="0"/>
        <w:ind w:left="709"/>
        <w:rPr>
          <w:rFonts w:eastAsia="Franklin Gothic Book" w:cs="Franklin Gothic Book"/>
          <w:szCs w:val="24"/>
        </w:rPr>
      </w:pPr>
      <w:r>
        <w:rPr>
          <w:rFonts w:eastAsia="Franklin Gothic Book" w:cs="Franklin Gothic Book"/>
        </w:rPr>
        <w:t>The MOGA Breast Cancer Special Interest Group stated that, because there are multiple actionable variants in the proposed population, a panel screen or full profilin</w:t>
      </w:r>
      <w:r w:rsidR="00666636">
        <w:rPr>
          <w:rFonts w:eastAsia="Franklin Gothic Book" w:cs="Franklin Gothic Book"/>
        </w:rPr>
        <w:t>g may</w:t>
      </w:r>
      <w:r w:rsidR="004A1015">
        <w:rPr>
          <w:rFonts w:eastAsia="Franklin Gothic Book" w:cs="Franklin Gothic Book"/>
        </w:rPr>
        <w:t xml:space="preserve"> be</w:t>
      </w:r>
      <w:r w:rsidR="00666636">
        <w:rPr>
          <w:rFonts w:eastAsia="Franklin Gothic Book" w:cs="Franklin Gothic Book"/>
        </w:rPr>
        <w:t xml:space="preserve"> </w:t>
      </w:r>
      <w:r w:rsidR="00E02DD8">
        <w:rPr>
          <w:rFonts w:eastAsia="Franklin Gothic Book" w:cs="Franklin Gothic Book"/>
        </w:rPr>
        <w:t xml:space="preserve">more efficient than a single gene test, to </w:t>
      </w:r>
      <w:r w:rsidR="00535FBD">
        <w:rPr>
          <w:rFonts w:eastAsia="Franklin Gothic Book" w:cs="Franklin Gothic Book"/>
        </w:rPr>
        <w:t>determine eligibility for</w:t>
      </w:r>
      <w:r w:rsidR="00CF3A1A">
        <w:rPr>
          <w:rFonts w:eastAsia="Franklin Gothic Book" w:cs="Franklin Gothic Book"/>
        </w:rPr>
        <w:t xml:space="preserve"> multiple different drugs at the same time</w:t>
      </w:r>
      <w:r w:rsidR="00535FBD">
        <w:rPr>
          <w:rFonts w:eastAsia="Franklin Gothic Book" w:cs="Franklin Gothic Book"/>
        </w:rPr>
        <w:t xml:space="preserve"> using a single biopsy sample</w:t>
      </w:r>
      <w:r w:rsidR="00CF3A1A">
        <w:rPr>
          <w:rFonts w:eastAsia="Franklin Gothic Book" w:cs="Franklin Gothic Book"/>
        </w:rPr>
        <w:t>.</w:t>
      </w:r>
      <w:r>
        <w:rPr>
          <w:rFonts w:eastAsia="Franklin Gothic Book" w:cs="Franklin Gothic Book"/>
        </w:rPr>
        <w:t xml:space="preserve"> </w:t>
      </w:r>
    </w:p>
    <w:p w14:paraId="21669E91" w14:textId="1E39E539" w:rsidR="132330DA" w:rsidRDefault="132330DA" w:rsidP="1052C515">
      <w:pPr>
        <w:pStyle w:val="ListParagraph"/>
        <w:numPr>
          <w:ilvl w:val="0"/>
          <w:numId w:val="2"/>
        </w:numPr>
        <w:spacing w:before="0"/>
        <w:ind w:left="709"/>
        <w:rPr>
          <w:rFonts w:eastAsia="Franklin Gothic Book" w:cs="Franklin Gothic Book"/>
          <w:szCs w:val="24"/>
        </w:rPr>
      </w:pPr>
      <w:r w:rsidRPr="1052C515">
        <w:rPr>
          <w:rFonts w:eastAsia="Franklin Gothic Book" w:cs="Franklin Gothic Book"/>
        </w:rPr>
        <w:t>Australian Genomics noted the following points of consideration for implementation:</w:t>
      </w:r>
    </w:p>
    <w:p w14:paraId="16A6E8F0" w14:textId="47E44C7C" w:rsidR="7756F344" w:rsidRDefault="7756F344" w:rsidP="1052C515">
      <w:pPr>
        <w:pStyle w:val="ListParagraph"/>
        <w:numPr>
          <w:ilvl w:val="1"/>
          <w:numId w:val="2"/>
        </w:numPr>
        <w:spacing w:before="0"/>
        <w:rPr>
          <w:rFonts w:eastAsia="Franklin Gothic Book" w:cs="Franklin Gothic Book"/>
        </w:rPr>
      </w:pPr>
      <w:r w:rsidRPr="1052C515">
        <w:rPr>
          <w:rFonts w:eastAsia="Franklin Gothic Book" w:cs="Franklin Gothic Book"/>
        </w:rPr>
        <w:t>Equity of access issues relating to access to specialist medical oncology and interventionalist radiologists required to aid in specimen request and test request.</w:t>
      </w:r>
    </w:p>
    <w:p w14:paraId="528EF6A7" w14:textId="0D1DB7C3" w:rsidR="7756F344" w:rsidRDefault="7756F344" w:rsidP="1052C515">
      <w:pPr>
        <w:pStyle w:val="ListParagraph"/>
        <w:numPr>
          <w:ilvl w:val="1"/>
          <w:numId w:val="2"/>
        </w:numPr>
        <w:spacing w:before="0"/>
        <w:rPr>
          <w:rFonts w:eastAsia="Franklin Gothic Book" w:cs="Franklin Gothic Book"/>
        </w:rPr>
      </w:pPr>
      <w:r w:rsidRPr="1052C515">
        <w:rPr>
          <w:rFonts w:eastAsia="Franklin Gothic Book" w:cs="Franklin Gothic Book"/>
        </w:rPr>
        <w:t>Issues regarding access to the likely private pathology services that would perform the test.</w:t>
      </w:r>
    </w:p>
    <w:p w14:paraId="0BF6E111" w14:textId="4F3453C1" w:rsidR="7756F344" w:rsidRDefault="7756F344" w:rsidP="1052C515">
      <w:pPr>
        <w:pStyle w:val="ListParagraph"/>
        <w:numPr>
          <w:ilvl w:val="1"/>
          <w:numId w:val="2"/>
        </w:numPr>
        <w:spacing w:before="0"/>
        <w:rPr>
          <w:rFonts w:eastAsia="Franklin Gothic Book" w:cs="Franklin Gothic Book"/>
        </w:rPr>
      </w:pPr>
      <w:r w:rsidRPr="1052C515">
        <w:rPr>
          <w:rFonts w:eastAsia="Franklin Gothic Book" w:cs="Franklin Gothic Book"/>
        </w:rPr>
        <w:t xml:space="preserve">A lack of prospective studies which consider the effect of including ESR1 mutation status in clinical patient management. </w:t>
      </w:r>
    </w:p>
    <w:p w14:paraId="503C4D57" w14:textId="3A6FA01D" w:rsidR="00183A87" w:rsidRPr="00F47562" w:rsidRDefault="00183A87" w:rsidP="00252706">
      <w:pPr>
        <w:pStyle w:val="Heading2"/>
        <w:numPr>
          <w:ilvl w:val="0"/>
          <w:numId w:val="48"/>
        </w:numPr>
        <w:spacing w:after="240"/>
        <w:ind w:hanging="720"/>
        <w:rPr>
          <w:rFonts w:ascii="Franklin Gothic Medium" w:hAnsi="Franklin Gothic Medium"/>
          <w:b w:val="0"/>
          <w:i w:val="0"/>
          <w:snapToGrid/>
          <w:sz w:val="32"/>
          <w:szCs w:val="26"/>
        </w:rPr>
      </w:pPr>
      <w:bookmarkStart w:id="34" w:name="_Toc188374346"/>
      <w:r w:rsidRPr="00F47562">
        <w:rPr>
          <w:rFonts w:ascii="Franklin Gothic Medium" w:hAnsi="Franklin Gothic Medium"/>
          <w:b w:val="0"/>
          <w:i w:val="0"/>
          <w:snapToGrid/>
          <w:sz w:val="32"/>
          <w:szCs w:val="26"/>
        </w:rPr>
        <w:t>Characteristics of the evidence base</w:t>
      </w:r>
      <w:bookmarkEnd w:id="34"/>
    </w:p>
    <w:p w14:paraId="2FEE6312" w14:textId="4113A462" w:rsidR="00C905D6" w:rsidRPr="00F47562" w:rsidRDefault="00C905D6" w:rsidP="00F47562">
      <w:r w:rsidRPr="00F47562">
        <w:t>The approach taken in the submission is to present:</w:t>
      </w:r>
    </w:p>
    <w:p w14:paraId="675B6DF2" w14:textId="40E0EEAD" w:rsidR="00C905D6" w:rsidRPr="00F47562" w:rsidRDefault="00C905D6" w:rsidP="00F47562">
      <w:pPr>
        <w:pStyle w:val="MainBodyBulletPoint"/>
        <w:rPr>
          <w:rFonts w:ascii="Franklin Gothic Book" w:hAnsi="Franklin Gothic Book"/>
          <w:sz w:val="22"/>
        </w:rPr>
      </w:pPr>
      <w:r w:rsidRPr="00F47562">
        <w:rPr>
          <w:rFonts w:ascii="Franklin Gothic Book" w:hAnsi="Franklin Gothic Book"/>
          <w:sz w:val="22"/>
        </w:rPr>
        <w:t xml:space="preserve">Direct evidence of the effect of targeting </w:t>
      </w:r>
      <w:r w:rsidRPr="00F47562">
        <w:rPr>
          <w:rFonts w:ascii="Franklin Gothic Book" w:hAnsi="Franklin Gothic Book"/>
          <w:i/>
          <w:iCs/>
          <w:sz w:val="22"/>
        </w:rPr>
        <w:t>ESR1</w:t>
      </w:r>
      <w:r w:rsidRPr="00F47562">
        <w:rPr>
          <w:rFonts w:ascii="Franklin Gothic Book" w:hAnsi="Franklin Gothic Book"/>
          <w:sz w:val="22"/>
        </w:rPr>
        <w:t xml:space="preserve"> missense variants using ctDNA extracted from peripheral blood plasma via NGS with </w:t>
      </w:r>
      <w:proofErr w:type="spellStart"/>
      <w:r w:rsidRPr="00F47562">
        <w:rPr>
          <w:rFonts w:ascii="Franklin Gothic Book" w:hAnsi="Franklin Gothic Book"/>
          <w:sz w:val="22"/>
        </w:rPr>
        <w:t>elacestrant</w:t>
      </w:r>
      <w:proofErr w:type="spellEnd"/>
      <w:r w:rsidRPr="00F47562">
        <w:rPr>
          <w:rFonts w:ascii="Franklin Gothic Book" w:hAnsi="Franklin Gothic Book"/>
          <w:sz w:val="22"/>
        </w:rPr>
        <w:t xml:space="preserve"> using evidence from the EMERALD trial</w:t>
      </w:r>
      <w:r w:rsidR="7BBB4AF5" w:rsidRPr="00F47562">
        <w:rPr>
          <w:rFonts w:ascii="Franklin Gothic Book" w:hAnsi="Franklin Gothic Book"/>
          <w:sz w:val="22"/>
        </w:rPr>
        <w:t>.</w:t>
      </w:r>
    </w:p>
    <w:p w14:paraId="0493E9F2" w14:textId="5E652032" w:rsidR="005003E9" w:rsidRPr="00F47562" w:rsidRDefault="7528FD52" w:rsidP="00F47562">
      <w:pPr>
        <w:pStyle w:val="MainBodyBulletPoint"/>
        <w:ind w:left="993"/>
        <w:rPr>
          <w:rFonts w:ascii="Franklin Gothic Book" w:hAnsi="Franklin Gothic Book"/>
          <w:sz w:val="22"/>
        </w:rPr>
      </w:pPr>
      <w:r w:rsidRPr="00F47562">
        <w:rPr>
          <w:rFonts w:ascii="Franklin Gothic Book" w:hAnsi="Franklin Gothic Book"/>
          <w:sz w:val="22"/>
        </w:rPr>
        <w:t xml:space="preserve">The EMERALD trial was a single, randomised, Phase 3 clinical trial of </w:t>
      </w:r>
      <w:proofErr w:type="spellStart"/>
      <w:r w:rsidRPr="00F47562">
        <w:rPr>
          <w:rFonts w:ascii="Franklin Gothic Book" w:hAnsi="Franklin Gothic Book"/>
          <w:sz w:val="22"/>
        </w:rPr>
        <w:t>elacestrant</w:t>
      </w:r>
      <w:proofErr w:type="spellEnd"/>
      <w:r w:rsidRPr="00F47562">
        <w:rPr>
          <w:rFonts w:ascii="Franklin Gothic Book" w:hAnsi="Franklin Gothic Book"/>
          <w:sz w:val="22"/>
        </w:rPr>
        <w:t xml:space="preserve"> versus SOC (choice of AI or </w:t>
      </w:r>
      <w:proofErr w:type="spellStart"/>
      <w:r w:rsidRPr="00F47562">
        <w:rPr>
          <w:rFonts w:ascii="Franklin Gothic Book" w:hAnsi="Franklin Gothic Book"/>
          <w:sz w:val="22"/>
        </w:rPr>
        <w:t>fulvestrant</w:t>
      </w:r>
      <w:proofErr w:type="spellEnd"/>
      <w:r w:rsidRPr="00F47562">
        <w:rPr>
          <w:rFonts w:ascii="Franklin Gothic Book" w:hAnsi="Franklin Gothic Book"/>
          <w:sz w:val="22"/>
        </w:rPr>
        <w:t xml:space="preserve"> monotherapy) in patients with ER+/HER2- </w:t>
      </w:r>
      <w:proofErr w:type="spellStart"/>
      <w:r w:rsidRPr="00F47562">
        <w:rPr>
          <w:rFonts w:ascii="Franklin Gothic Book" w:hAnsi="Franklin Gothic Book"/>
          <w:sz w:val="22"/>
        </w:rPr>
        <w:t>mBC</w:t>
      </w:r>
      <w:proofErr w:type="spellEnd"/>
      <w:r w:rsidRPr="00F47562">
        <w:rPr>
          <w:rFonts w:ascii="Franklin Gothic Book" w:hAnsi="Franklin Gothic Book"/>
          <w:sz w:val="22"/>
        </w:rPr>
        <w:t xml:space="preserve"> who had disease progression following 1L or 2L treatment with a CDK4/6 inhibitor and ET. </w:t>
      </w:r>
      <w:r w:rsidR="4367AC88" w:rsidRPr="00F47562">
        <w:rPr>
          <w:rFonts w:ascii="Franklin Gothic Book" w:hAnsi="Franklin Gothic Book"/>
          <w:sz w:val="22"/>
        </w:rPr>
        <w:t xml:space="preserve">Random assignment was stratified according to </w:t>
      </w:r>
      <w:r w:rsidR="4367AC88" w:rsidRPr="00F47562">
        <w:rPr>
          <w:rFonts w:ascii="Franklin Gothic Book" w:hAnsi="Franklin Gothic Book"/>
          <w:i/>
          <w:iCs/>
          <w:sz w:val="22"/>
        </w:rPr>
        <w:t>ESR1</w:t>
      </w:r>
      <w:r w:rsidR="67FD2C93" w:rsidRPr="00F47562">
        <w:rPr>
          <w:rFonts w:ascii="Franklin Gothic Book" w:hAnsi="Franklin Gothic Book"/>
          <w:sz w:val="22"/>
        </w:rPr>
        <w:t xml:space="preserve"> variant status</w:t>
      </w:r>
      <w:r w:rsidR="4367AC88" w:rsidRPr="00F47562">
        <w:rPr>
          <w:rFonts w:ascii="Franklin Gothic Book" w:hAnsi="Franklin Gothic Book"/>
          <w:sz w:val="22"/>
        </w:rPr>
        <w:t xml:space="preserve">. The trial therefore consisted of patients who displayed the </w:t>
      </w:r>
      <w:r w:rsidR="4367AC88" w:rsidRPr="00F47562">
        <w:rPr>
          <w:rFonts w:ascii="Franklin Gothic Book" w:hAnsi="Franklin Gothic Book"/>
          <w:i/>
          <w:iCs/>
          <w:sz w:val="22"/>
        </w:rPr>
        <w:t>ESR1</w:t>
      </w:r>
      <w:r w:rsidR="67FD2C93" w:rsidRPr="00F47562">
        <w:rPr>
          <w:rFonts w:ascii="Franklin Gothic Book" w:hAnsi="Franklin Gothic Book"/>
          <w:sz w:val="22"/>
        </w:rPr>
        <w:t xml:space="preserve"> variant</w:t>
      </w:r>
      <w:r w:rsidR="4367AC88" w:rsidRPr="00F47562">
        <w:rPr>
          <w:rFonts w:ascii="Franklin Gothic Book" w:hAnsi="Franklin Gothic Book"/>
          <w:sz w:val="22"/>
        </w:rPr>
        <w:t xml:space="preserve"> and those with </w:t>
      </w:r>
      <w:r w:rsidR="4367AC88" w:rsidRPr="00F47562">
        <w:rPr>
          <w:rFonts w:ascii="Franklin Gothic Book" w:hAnsi="Franklin Gothic Book"/>
          <w:i/>
          <w:iCs/>
          <w:sz w:val="22"/>
        </w:rPr>
        <w:t>ESR1</w:t>
      </w:r>
      <w:r w:rsidR="4367AC88" w:rsidRPr="00F47562">
        <w:rPr>
          <w:rFonts w:ascii="Franklin Gothic Book" w:hAnsi="Franklin Gothic Book"/>
          <w:sz w:val="22"/>
        </w:rPr>
        <w:t xml:space="preserve"> </w:t>
      </w:r>
      <w:r w:rsidR="21C6B048" w:rsidRPr="00F47562">
        <w:rPr>
          <w:rFonts w:ascii="Franklin Gothic Book" w:hAnsi="Franklin Gothic Book"/>
          <w:sz w:val="22"/>
        </w:rPr>
        <w:t>variant</w:t>
      </w:r>
      <w:r w:rsidR="4367AC88" w:rsidRPr="00F47562">
        <w:rPr>
          <w:rFonts w:ascii="Franklin Gothic Book" w:hAnsi="Franklin Gothic Book"/>
          <w:sz w:val="22"/>
        </w:rPr>
        <w:t xml:space="preserve"> not detected, and both populations were randomised to receive </w:t>
      </w:r>
      <w:proofErr w:type="spellStart"/>
      <w:r w:rsidR="4367AC88" w:rsidRPr="00F47562">
        <w:rPr>
          <w:rFonts w:ascii="Franklin Gothic Book" w:hAnsi="Franklin Gothic Book"/>
          <w:sz w:val="22"/>
        </w:rPr>
        <w:t>elacestrant</w:t>
      </w:r>
      <w:proofErr w:type="spellEnd"/>
      <w:r w:rsidR="4367AC88" w:rsidRPr="00F47562">
        <w:rPr>
          <w:rFonts w:ascii="Franklin Gothic Book" w:hAnsi="Franklin Gothic Book"/>
          <w:sz w:val="22"/>
        </w:rPr>
        <w:t xml:space="preserve"> or SOC. </w:t>
      </w:r>
      <w:r w:rsidRPr="00F47562">
        <w:rPr>
          <w:rFonts w:ascii="Franklin Gothic Book" w:hAnsi="Franklin Gothic Book"/>
          <w:sz w:val="22"/>
        </w:rPr>
        <w:t xml:space="preserve">Comparative efficacy between treatment arms was analysed in the whole trial population and in patients with a detectable </w:t>
      </w:r>
      <w:r w:rsidRPr="00F47562">
        <w:rPr>
          <w:rFonts w:ascii="Franklin Gothic Book" w:hAnsi="Franklin Gothic Book"/>
          <w:i/>
          <w:iCs/>
          <w:sz w:val="22"/>
        </w:rPr>
        <w:t>ESR1</w:t>
      </w:r>
      <w:r w:rsidRPr="00F47562">
        <w:rPr>
          <w:rFonts w:ascii="Franklin Gothic Book" w:hAnsi="Franklin Gothic Book"/>
          <w:sz w:val="22"/>
        </w:rPr>
        <w:t xml:space="preserve"> variant</w:t>
      </w:r>
      <w:r w:rsidR="355003B1" w:rsidRPr="00F47562">
        <w:rPr>
          <w:rFonts w:ascii="Franklin Gothic Book" w:hAnsi="Franklin Gothic Book"/>
          <w:sz w:val="22"/>
        </w:rPr>
        <w:t xml:space="preserve">, using the </w:t>
      </w:r>
      <w:r w:rsidR="355003B1" w:rsidRPr="00F47562">
        <w:rPr>
          <w:rFonts w:ascii="Franklin Gothic Book" w:hAnsi="Franklin Gothic Book"/>
          <w:color w:val="000000" w:themeColor="text1"/>
          <w:sz w:val="22"/>
        </w:rPr>
        <w:t>Guardant360</w:t>
      </w:r>
      <w:r w:rsidR="35EFA3F4" w:rsidRPr="00F47562">
        <w:rPr>
          <w:rFonts w:ascii="Franklin Gothic Book" w:hAnsi="Franklin Gothic Book"/>
          <w:color w:val="000000" w:themeColor="text1"/>
          <w:sz w:val="22"/>
        </w:rPr>
        <w:t xml:space="preserve">® </w:t>
      </w:r>
      <w:proofErr w:type="spellStart"/>
      <w:r w:rsidR="35EFA3F4" w:rsidRPr="00F47562">
        <w:rPr>
          <w:rFonts w:ascii="Franklin Gothic Book" w:hAnsi="Franklin Gothic Book"/>
          <w:color w:val="000000" w:themeColor="text1"/>
          <w:sz w:val="22"/>
        </w:rPr>
        <w:t>CDx</w:t>
      </w:r>
      <w:proofErr w:type="spellEnd"/>
      <w:r w:rsidR="35EFA3F4" w:rsidRPr="00F47562">
        <w:rPr>
          <w:rFonts w:ascii="Franklin Gothic Book" w:hAnsi="Franklin Gothic Book"/>
          <w:color w:val="000000" w:themeColor="text1"/>
          <w:sz w:val="22"/>
        </w:rPr>
        <w:t xml:space="preserve"> </w:t>
      </w:r>
      <w:r w:rsidR="355003B1" w:rsidRPr="00F47562">
        <w:rPr>
          <w:rFonts w:ascii="Franklin Gothic Book" w:hAnsi="Franklin Gothic Book"/>
          <w:sz w:val="22"/>
        </w:rPr>
        <w:t>NGS test method (only available in the United States)</w:t>
      </w:r>
      <w:r w:rsidRPr="00F47562">
        <w:rPr>
          <w:rFonts w:ascii="Franklin Gothic Book" w:hAnsi="Franklin Gothic Book"/>
          <w:sz w:val="22"/>
        </w:rPr>
        <w:t xml:space="preserve">. </w:t>
      </w:r>
    </w:p>
    <w:p w14:paraId="3995D6E6" w14:textId="1EB99541" w:rsidR="00C905D6" w:rsidRPr="00F47562" w:rsidRDefault="00C905D6" w:rsidP="00F47562">
      <w:pPr>
        <w:pStyle w:val="MainBodyBulletPoint"/>
        <w:rPr>
          <w:rFonts w:ascii="Franklin Gothic Book" w:hAnsi="Franklin Gothic Book"/>
          <w:sz w:val="22"/>
        </w:rPr>
      </w:pPr>
      <w:r w:rsidRPr="00F47562">
        <w:rPr>
          <w:rFonts w:ascii="Franklin Gothic Book" w:hAnsi="Franklin Gothic Book"/>
          <w:sz w:val="22"/>
        </w:rPr>
        <w:t>Linked and supplementary evidence to demonstrate the:</w:t>
      </w:r>
    </w:p>
    <w:p w14:paraId="4462044E" w14:textId="7F92EECD" w:rsidR="00C905D6" w:rsidRPr="00F47562" w:rsidRDefault="00C905D6" w:rsidP="00252706">
      <w:pPr>
        <w:numPr>
          <w:ilvl w:val="1"/>
          <w:numId w:val="39"/>
        </w:numPr>
      </w:pPr>
      <w:r w:rsidRPr="00F47562">
        <w:t xml:space="preserve">accuracy and performance of the Guardant360® </w:t>
      </w:r>
      <w:proofErr w:type="spellStart"/>
      <w:r w:rsidRPr="00F47562">
        <w:t>CDx</w:t>
      </w:r>
      <w:proofErr w:type="spellEnd"/>
      <w:r w:rsidRPr="00F47562">
        <w:t xml:space="preserve"> test (clinical utility standard)</w:t>
      </w:r>
      <w:r w:rsidR="75C66BC7" w:rsidRPr="00F47562">
        <w:t>.</w:t>
      </w:r>
    </w:p>
    <w:p w14:paraId="7F4BFA80" w14:textId="7339B7C7" w:rsidR="00C905D6" w:rsidRPr="00F47562" w:rsidRDefault="00C905D6" w:rsidP="00252706">
      <w:pPr>
        <w:numPr>
          <w:ilvl w:val="1"/>
          <w:numId w:val="39"/>
        </w:numPr>
      </w:pPr>
      <w:r w:rsidRPr="00F47562">
        <w:t xml:space="preserve">comparison of tissue and liquid biopsy test methods for detecting </w:t>
      </w:r>
      <w:r w:rsidRPr="00F47562">
        <w:rPr>
          <w:i/>
          <w:iCs/>
        </w:rPr>
        <w:t>ESR1</w:t>
      </w:r>
      <w:r w:rsidR="006E2FE2" w:rsidRPr="00F47562">
        <w:t xml:space="preserve"> variants</w:t>
      </w:r>
      <w:r w:rsidR="007215E2" w:rsidRPr="00F47562">
        <w:t>.</w:t>
      </w:r>
      <w:r w:rsidRPr="00F47562">
        <w:t xml:space="preserve"> </w:t>
      </w:r>
    </w:p>
    <w:p w14:paraId="20D5FC5C" w14:textId="6A5DA9C6" w:rsidR="00C905D6" w:rsidRPr="00F47562" w:rsidRDefault="00C905D6" w:rsidP="00252706">
      <w:pPr>
        <w:numPr>
          <w:ilvl w:val="1"/>
          <w:numId w:val="39"/>
        </w:numPr>
      </w:pPr>
      <w:r w:rsidRPr="00F47562">
        <w:t xml:space="preserve">comparison of detection of </w:t>
      </w:r>
      <w:r w:rsidRPr="00F47562">
        <w:rPr>
          <w:i/>
        </w:rPr>
        <w:t>ESR1</w:t>
      </w:r>
      <w:r w:rsidRPr="00F47562">
        <w:t xml:space="preserve"> ctDNA using NGS versus PCR</w:t>
      </w:r>
      <w:r w:rsidR="007215E2" w:rsidRPr="00F47562">
        <w:t>.</w:t>
      </w:r>
      <w:r w:rsidRPr="00F47562">
        <w:t xml:space="preserve"> </w:t>
      </w:r>
    </w:p>
    <w:p w14:paraId="4C3F12A3" w14:textId="084C36A5" w:rsidR="00C905D6" w:rsidRPr="00F47562" w:rsidRDefault="00C905D6" w:rsidP="00252706">
      <w:pPr>
        <w:numPr>
          <w:ilvl w:val="1"/>
          <w:numId w:val="39"/>
        </w:numPr>
        <w:rPr>
          <w:rFonts w:cstheme="minorHAnsi"/>
          <w:i/>
          <w:iCs/>
        </w:rPr>
      </w:pPr>
      <w:r w:rsidRPr="00F47562">
        <w:rPr>
          <w:rFonts w:cstheme="minorHAnsi"/>
        </w:rPr>
        <w:t xml:space="preserve">concordance between different tests for detection of the </w:t>
      </w:r>
      <w:r w:rsidRPr="00F47562">
        <w:rPr>
          <w:rFonts w:cstheme="minorHAnsi"/>
          <w:i/>
        </w:rPr>
        <w:t>ESR1</w:t>
      </w:r>
      <w:r w:rsidR="00A95726" w:rsidRPr="00F47562">
        <w:rPr>
          <w:rFonts w:cstheme="minorHAnsi"/>
        </w:rPr>
        <w:t xml:space="preserve"> variants</w:t>
      </w:r>
      <w:r w:rsidRPr="00F47562">
        <w:rPr>
          <w:rFonts w:cstheme="minorHAnsi"/>
        </w:rPr>
        <w:t>.</w:t>
      </w:r>
      <w:r w:rsidRPr="00F47562">
        <w:rPr>
          <w:rFonts w:cstheme="minorHAnsi"/>
          <w:i/>
          <w:iCs/>
        </w:rPr>
        <w:t xml:space="preserve"> </w:t>
      </w:r>
    </w:p>
    <w:p w14:paraId="3F0356DF" w14:textId="692E2AB8" w:rsidR="00F47562" w:rsidRDefault="00C905D6" w:rsidP="00F47562">
      <w:r w:rsidRPr="00F47562">
        <w:t>The summary of trials/studies informing the evidence base in the submission are presented in</w:t>
      </w:r>
      <w:r w:rsidR="002A7D29" w:rsidRPr="00F47562">
        <w:t xml:space="preserve"> </w:t>
      </w:r>
      <w:r w:rsidR="002A7D29" w:rsidRPr="00F47562">
        <w:fldChar w:fldCharType="begin"/>
      </w:r>
      <w:r w:rsidR="002A7D29" w:rsidRPr="00F47562">
        <w:instrText xml:space="preserve"> REF _Ref188370762 \h </w:instrText>
      </w:r>
      <w:r w:rsidR="00F47562" w:rsidRPr="00F47562">
        <w:instrText xml:space="preserve"> \* MERGEFORMAT </w:instrText>
      </w:r>
      <w:r w:rsidR="002A7D29" w:rsidRPr="00F47562">
        <w:fldChar w:fldCharType="separate"/>
      </w:r>
      <w:r w:rsidR="006D7BC5" w:rsidRPr="006D7BC5">
        <w:t>Table 5</w:t>
      </w:r>
      <w:r w:rsidR="002A7D29" w:rsidRPr="00F47562">
        <w:fldChar w:fldCharType="end"/>
      </w:r>
      <w:r w:rsidRPr="00F47562">
        <w:t>.</w:t>
      </w:r>
      <w:r w:rsidR="007224A8">
        <w:t xml:space="preserve"> </w:t>
      </w:r>
    </w:p>
    <w:p w14:paraId="5E401D3F" w14:textId="492C7438" w:rsidR="00C905D6" w:rsidRPr="000A7BB0" w:rsidRDefault="00F44618" w:rsidP="00FA75FE">
      <w:pPr>
        <w:pStyle w:val="Caption"/>
      </w:pPr>
      <w:bookmarkStart w:id="35" w:name="_Ref188370762"/>
      <w:r w:rsidRPr="000A7BB0">
        <w:lastRenderedPageBreak/>
        <w:t xml:space="preserve">Table </w:t>
      </w:r>
      <w:r w:rsidRPr="000A7BB0">
        <w:fldChar w:fldCharType="begin"/>
      </w:r>
      <w:r w:rsidRPr="000A7BB0">
        <w:instrText>SEQ Table_MSAC. \* ARABIC</w:instrText>
      </w:r>
      <w:r w:rsidRPr="000A7BB0">
        <w:fldChar w:fldCharType="separate"/>
      </w:r>
      <w:r w:rsidRPr="000A7BB0">
        <w:t>5</w:t>
      </w:r>
      <w:r w:rsidRPr="000A7BB0">
        <w:fldChar w:fldCharType="end"/>
      </w:r>
      <w:bookmarkEnd w:id="35"/>
      <w:r w:rsidRPr="000A7BB0">
        <w:t>: Summary of the evidence base used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4086"/>
        <w:gridCol w:w="1559"/>
        <w:gridCol w:w="970"/>
        <w:gridCol w:w="1105"/>
      </w:tblGrid>
      <w:tr w:rsidR="00C905D6" w:rsidRPr="000A7BB0" w14:paraId="6256FEA9" w14:textId="77777777" w:rsidTr="00470B01">
        <w:trPr>
          <w:trHeight w:val="384"/>
          <w:tblHeader/>
        </w:trPr>
        <w:tc>
          <w:tcPr>
            <w:tcW w:w="1296" w:type="dxa"/>
            <w:tcBorders>
              <w:top w:val="single" w:sz="4" w:space="0" w:color="auto"/>
              <w:left w:val="single" w:sz="4" w:space="0" w:color="auto"/>
              <w:bottom w:val="single" w:sz="4" w:space="0" w:color="auto"/>
              <w:right w:val="single" w:sz="4" w:space="0" w:color="auto"/>
            </w:tcBorders>
            <w:vAlign w:val="center"/>
            <w:hideMark/>
          </w:tcPr>
          <w:p w14:paraId="5CAED273" w14:textId="77777777" w:rsidR="00C905D6" w:rsidRPr="000A7BB0" w:rsidRDefault="00C905D6" w:rsidP="00E04D3B">
            <w:pPr>
              <w:keepNext/>
              <w:spacing w:before="0" w:after="0"/>
              <w:rPr>
                <w:rFonts w:ascii="Arial Narrow" w:hAnsi="Arial Narrow"/>
                <w:b/>
                <w:sz w:val="20"/>
              </w:rPr>
            </w:pPr>
            <w:r w:rsidRPr="000A7BB0">
              <w:rPr>
                <w:rFonts w:ascii="Arial Narrow" w:hAnsi="Arial Narrow"/>
                <w:b/>
                <w:sz w:val="20"/>
              </w:rPr>
              <w:t>Criterion</w:t>
            </w:r>
          </w:p>
        </w:tc>
        <w:tc>
          <w:tcPr>
            <w:tcW w:w="4086" w:type="dxa"/>
            <w:tcBorders>
              <w:top w:val="single" w:sz="4" w:space="0" w:color="auto"/>
              <w:left w:val="single" w:sz="4" w:space="0" w:color="auto"/>
              <w:bottom w:val="single" w:sz="4" w:space="0" w:color="auto"/>
              <w:right w:val="single" w:sz="4" w:space="0" w:color="auto"/>
            </w:tcBorders>
            <w:vAlign w:val="center"/>
          </w:tcPr>
          <w:p w14:paraId="39CC7A71" w14:textId="77777777" w:rsidR="00C905D6" w:rsidRPr="000A7BB0" w:rsidRDefault="00C905D6" w:rsidP="00E04D3B">
            <w:pPr>
              <w:keepNext/>
              <w:spacing w:before="0" w:after="0"/>
              <w:rPr>
                <w:rFonts w:ascii="Arial Narrow" w:hAnsi="Arial Narrow"/>
                <w:b/>
                <w:sz w:val="20"/>
              </w:rPr>
            </w:pPr>
            <w:r w:rsidRPr="000A7BB0">
              <w:rPr>
                <w:rFonts w:ascii="Arial Narrow" w:hAnsi="Arial Narrow"/>
                <w:b/>
                <w:sz w:val="20"/>
              </w:rPr>
              <w:t>Type of evidence supplied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8213C5" w14:textId="77777777" w:rsidR="00C905D6" w:rsidRPr="000A7BB0" w:rsidRDefault="00C905D6" w:rsidP="00E04D3B">
            <w:pPr>
              <w:keepNext/>
              <w:spacing w:before="0" w:after="0"/>
              <w:rPr>
                <w:rFonts w:ascii="Arial Narrow" w:hAnsi="Arial Narrow"/>
                <w:b/>
                <w:sz w:val="20"/>
              </w:rPr>
            </w:pPr>
            <w:r w:rsidRPr="000A7BB0">
              <w:rPr>
                <w:rFonts w:ascii="Arial Narrow" w:hAnsi="Arial Narrow"/>
                <w:b/>
                <w:sz w:val="20"/>
              </w:rPr>
              <w:t>Extent of evidence supplied</w:t>
            </w:r>
          </w:p>
        </w:tc>
        <w:tc>
          <w:tcPr>
            <w:tcW w:w="970" w:type="dxa"/>
            <w:tcBorders>
              <w:top w:val="single" w:sz="4" w:space="0" w:color="auto"/>
              <w:left w:val="single" w:sz="4" w:space="0" w:color="auto"/>
              <w:bottom w:val="single" w:sz="4" w:space="0" w:color="auto"/>
              <w:right w:val="single" w:sz="4" w:space="0" w:color="auto"/>
            </w:tcBorders>
            <w:vAlign w:val="center"/>
            <w:hideMark/>
          </w:tcPr>
          <w:p w14:paraId="3D3D5AC9" w14:textId="77777777" w:rsidR="00C905D6" w:rsidRPr="000A7BB0" w:rsidRDefault="00C905D6" w:rsidP="00E04D3B">
            <w:pPr>
              <w:keepNext/>
              <w:spacing w:before="0" w:after="0"/>
              <w:rPr>
                <w:rFonts w:ascii="Arial Narrow" w:hAnsi="Arial Narrow"/>
                <w:b/>
                <w:sz w:val="20"/>
              </w:rPr>
            </w:pPr>
            <w:r w:rsidRPr="000A7BB0">
              <w:rPr>
                <w:rFonts w:ascii="Arial Narrow" w:hAnsi="Arial Narrow"/>
                <w:b/>
                <w:sz w:val="20"/>
              </w:rPr>
              <w:t>Overall risk of bias in evidence base</w:t>
            </w:r>
          </w:p>
        </w:tc>
        <w:tc>
          <w:tcPr>
            <w:tcW w:w="1105" w:type="dxa"/>
            <w:tcBorders>
              <w:top w:val="single" w:sz="4" w:space="0" w:color="auto"/>
              <w:left w:val="single" w:sz="4" w:space="0" w:color="auto"/>
              <w:bottom w:val="single" w:sz="4" w:space="0" w:color="auto"/>
              <w:right w:val="single" w:sz="4" w:space="0" w:color="auto"/>
            </w:tcBorders>
            <w:vAlign w:val="center"/>
          </w:tcPr>
          <w:p w14:paraId="75D0B259" w14:textId="77777777" w:rsidR="00C905D6" w:rsidRPr="000A7BB0" w:rsidRDefault="00C905D6" w:rsidP="00E04D3B">
            <w:pPr>
              <w:keepNext/>
              <w:spacing w:before="0" w:after="0"/>
              <w:rPr>
                <w:rFonts w:ascii="Arial Narrow" w:hAnsi="Arial Narrow"/>
                <w:b/>
                <w:sz w:val="20"/>
              </w:rPr>
            </w:pPr>
            <w:r w:rsidRPr="000A7BB0">
              <w:rPr>
                <w:rFonts w:ascii="Arial Narrow" w:hAnsi="Arial Narrow"/>
                <w:b/>
                <w:sz w:val="20"/>
              </w:rPr>
              <w:t>Used in modelled evaluation</w:t>
            </w:r>
          </w:p>
        </w:tc>
      </w:tr>
      <w:tr w:rsidR="00C905D6" w:rsidRPr="000A7BB0" w14:paraId="214F44FE" w14:textId="77777777" w:rsidTr="00470B01">
        <w:trPr>
          <w:trHeight w:val="281"/>
        </w:trPr>
        <w:tc>
          <w:tcPr>
            <w:tcW w:w="9016" w:type="dxa"/>
            <w:gridSpan w:val="5"/>
            <w:tcBorders>
              <w:top w:val="single" w:sz="4" w:space="0" w:color="auto"/>
              <w:left w:val="single" w:sz="4" w:space="0" w:color="auto"/>
              <w:bottom w:val="single" w:sz="4" w:space="0" w:color="auto"/>
              <w:right w:val="single" w:sz="4" w:space="0" w:color="auto"/>
            </w:tcBorders>
            <w:vAlign w:val="center"/>
          </w:tcPr>
          <w:p w14:paraId="3E747CD3" w14:textId="2728F4F0" w:rsidR="00C905D6" w:rsidRPr="000A7BB0" w:rsidRDefault="00C905D6" w:rsidP="74877A7E">
            <w:pPr>
              <w:widowControl w:val="0"/>
              <w:spacing w:before="0" w:after="0" w:line="254" w:lineRule="auto"/>
              <w:rPr>
                <w:rFonts w:ascii="Arial Narrow" w:hAnsi="Arial Narrow"/>
                <w:b/>
                <w:bCs/>
                <w:sz w:val="20"/>
                <w:szCs w:val="20"/>
              </w:rPr>
            </w:pPr>
            <w:r w:rsidRPr="000A7BB0">
              <w:rPr>
                <w:rFonts w:ascii="Arial Narrow" w:hAnsi="Arial Narrow"/>
                <w:b/>
                <w:bCs/>
                <w:sz w:val="20"/>
                <w:szCs w:val="20"/>
              </w:rPr>
              <w:t xml:space="preserve">Direct evidence: Prospective biomarker stratified randomised controlled trial of </w:t>
            </w:r>
            <w:proofErr w:type="spellStart"/>
            <w:r w:rsidRPr="000A7BB0">
              <w:rPr>
                <w:rFonts w:ascii="Arial Narrow" w:hAnsi="Arial Narrow"/>
                <w:b/>
                <w:bCs/>
                <w:sz w:val="20"/>
                <w:szCs w:val="20"/>
              </w:rPr>
              <w:t>drug</w:t>
            </w:r>
            <w:r w:rsidRPr="000A7BB0">
              <w:rPr>
                <w:rFonts w:ascii="Arial Narrow" w:hAnsi="Arial Narrow"/>
                <w:b/>
                <w:bCs/>
                <w:sz w:val="20"/>
                <w:szCs w:val="20"/>
                <w:vertAlign w:val="superscript"/>
              </w:rPr>
              <w:t>a</w:t>
            </w:r>
            <w:proofErr w:type="spellEnd"/>
          </w:p>
          <w:p w14:paraId="15E585EB" w14:textId="18253054" w:rsidR="00C905D6" w:rsidRPr="000A7BB0" w:rsidRDefault="00C905D6" w:rsidP="74877A7E">
            <w:pPr>
              <w:widowControl w:val="0"/>
              <w:spacing w:before="0" w:after="0" w:line="254" w:lineRule="auto"/>
              <w:rPr>
                <w:rFonts w:ascii="Arial Narrow" w:hAnsi="Arial Narrow"/>
                <w:b/>
                <w:bCs/>
                <w:sz w:val="20"/>
                <w:szCs w:val="20"/>
              </w:rPr>
            </w:pPr>
            <w:r w:rsidRPr="000A7BB0">
              <w:rPr>
                <w:rFonts w:ascii="Arial Narrow" w:hAnsi="Arial Narrow"/>
                <w:sz w:val="20"/>
                <w:szCs w:val="20"/>
              </w:rPr>
              <w:t xml:space="preserve">EMERALD trial provided direct evidence reporting PFS and OS outcomes of patients who received </w:t>
            </w:r>
            <w:proofErr w:type="spellStart"/>
            <w:r w:rsidRPr="000A7BB0">
              <w:rPr>
                <w:rFonts w:ascii="Arial Narrow" w:hAnsi="Arial Narrow"/>
                <w:sz w:val="20"/>
                <w:szCs w:val="20"/>
              </w:rPr>
              <w:t>elacestrant</w:t>
            </w:r>
            <w:proofErr w:type="spellEnd"/>
            <w:r w:rsidRPr="000A7BB0">
              <w:rPr>
                <w:rFonts w:ascii="Arial Narrow" w:hAnsi="Arial Narrow"/>
                <w:sz w:val="20"/>
                <w:szCs w:val="20"/>
              </w:rPr>
              <w:t xml:space="preserve"> or SOC in patients with and without the </w:t>
            </w:r>
            <w:r w:rsidRPr="000A7BB0">
              <w:rPr>
                <w:rFonts w:ascii="Arial Narrow" w:hAnsi="Arial Narrow"/>
                <w:i/>
                <w:iCs/>
                <w:sz w:val="20"/>
                <w:szCs w:val="20"/>
              </w:rPr>
              <w:t>ESR1</w:t>
            </w:r>
            <w:r w:rsidRPr="000A7BB0">
              <w:rPr>
                <w:rFonts w:ascii="Arial Narrow" w:hAnsi="Arial Narrow"/>
                <w:sz w:val="20"/>
                <w:szCs w:val="20"/>
              </w:rPr>
              <w:t>-mut.</w:t>
            </w:r>
          </w:p>
        </w:tc>
      </w:tr>
      <w:tr w:rsidR="00C905D6" w:rsidRPr="000A7BB0" w14:paraId="6A665D3E" w14:textId="77777777" w:rsidTr="00470B01">
        <w:trPr>
          <w:trHeight w:val="621"/>
        </w:trPr>
        <w:tc>
          <w:tcPr>
            <w:tcW w:w="1296" w:type="dxa"/>
            <w:tcBorders>
              <w:top w:val="single" w:sz="4" w:space="0" w:color="auto"/>
              <w:left w:val="single" w:sz="4" w:space="0" w:color="auto"/>
              <w:bottom w:val="single" w:sz="4" w:space="0" w:color="auto"/>
              <w:right w:val="single" w:sz="4" w:space="0" w:color="auto"/>
            </w:tcBorders>
            <w:vAlign w:val="center"/>
          </w:tcPr>
          <w:p w14:paraId="791675B9" w14:textId="77777777" w:rsidR="00C905D6" w:rsidRPr="000A7BB0" w:rsidRDefault="00C905D6" w:rsidP="00C905D6">
            <w:pPr>
              <w:widowControl w:val="0"/>
              <w:spacing w:before="0" w:after="0"/>
              <w:rPr>
                <w:rFonts w:ascii="Arial Narrow" w:hAnsi="Arial Narrow"/>
                <w:sz w:val="20"/>
              </w:rPr>
            </w:pPr>
            <w:r w:rsidRPr="000A7BB0">
              <w:rPr>
                <w:rFonts w:ascii="Arial Narrow" w:hAnsi="Arial Narrow"/>
                <w:sz w:val="20"/>
                <w:szCs w:val="20"/>
              </w:rPr>
              <w:t xml:space="preserve">Prognostic evidence </w:t>
            </w:r>
          </w:p>
        </w:tc>
        <w:tc>
          <w:tcPr>
            <w:tcW w:w="4086" w:type="dxa"/>
            <w:tcBorders>
              <w:top w:val="single" w:sz="4" w:space="0" w:color="auto"/>
              <w:left w:val="single" w:sz="4" w:space="0" w:color="auto"/>
              <w:bottom w:val="single" w:sz="4" w:space="0" w:color="auto"/>
              <w:right w:val="single" w:sz="4" w:space="0" w:color="auto"/>
            </w:tcBorders>
          </w:tcPr>
          <w:p w14:paraId="6DAF35E9" w14:textId="2F840755"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Given the availability of direct evidence</w:t>
            </w:r>
            <w:r w:rsidR="7E27750E" w:rsidRPr="000A7BB0">
              <w:rPr>
                <w:rFonts w:ascii="Arial Narrow" w:hAnsi="Arial Narrow"/>
                <w:sz w:val="20"/>
                <w:szCs w:val="20"/>
              </w:rPr>
              <w:t xml:space="preserve"> (EMERALD)</w:t>
            </w:r>
            <w:r w:rsidRPr="000A7BB0">
              <w:rPr>
                <w:rFonts w:ascii="Arial Narrow" w:hAnsi="Arial Narrow"/>
                <w:sz w:val="20"/>
                <w:szCs w:val="20"/>
              </w:rPr>
              <w:t xml:space="preserve">, this was the focus of the evaluation. The submission identified </w:t>
            </w:r>
            <w:r w:rsidR="586A462E" w:rsidRPr="000A7BB0">
              <w:rPr>
                <w:rFonts w:ascii="Arial Narrow" w:hAnsi="Arial Narrow"/>
                <w:sz w:val="20"/>
                <w:szCs w:val="20"/>
              </w:rPr>
              <w:t>7</w:t>
            </w:r>
            <w:r w:rsidR="50DA5DEE" w:rsidRPr="000A7BB0">
              <w:rPr>
                <w:rFonts w:ascii="Arial Narrow" w:hAnsi="Arial Narrow"/>
                <w:sz w:val="20"/>
                <w:szCs w:val="20"/>
              </w:rPr>
              <w:t xml:space="preserve"> other papers as potentially relevant</w:t>
            </w:r>
            <w:r w:rsidR="51275DA2" w:rsidRPr="000A7BB0">
              <w:rPr>
                <w:rFonts w:ascii="Arial Narrow" w:hAnsi="Arial Narrow"/>
                <w:sz w:val="20"/>
                <w:szCs w:val="20"/>
              </w:rPr>
              <w:t xml:space="preserve">, of which </w:t>
            </w:r>
            <w:r w:rsidR="0B0BFD97" w:rsidRPr="000A7BB0">
              <w:rPr>
                <w:rFonts w:ascii="Arial Narrow" w:hAnsi="Arial Narrow"/>
                <w:sz w:val="20"/>
                <w:szCs w:val="20"/>
              </w:rPr>
              <w:t xml:space="preserve">2 </w:t>
            </w:r>
            <w:r w:rsidR="51275DA2" w:rsidRPr="000A7BB0">
              <w:rPr>
                <w:rFonts w:ascii="Arial Narrow" w:hAnsi="Arial Narrow"/>
                <w:sz w:val="20"/>
                <w:szCs w:val="20"/>
              </w:rPr>
              <w:t xml:space="preserve">were presented </w:t>
            </w:r>
            <w:r w:rsidR="4EEFD5AF" w:rsidRPr="000A7BB0">
              <w:rPr>
                <w:rFonts w:ascii="Arial Narrow" w:hAnsi="Arial Narrow"/>
                <w:sz w:val="20"/>
                <w:szCs w:val="20"/>
              </w:rPr>
              <w:t>(</w:t>
            </w:r>
            <w:r w:rsidR="2336978A" w:rsidRPr="000A7BB0">
              <w:rPr>
                <w:rFonts w:ascii="Arial Narrow" w:hAnsi="Arial Narrow"/>
                <w:sz w:val="20"/>
                <w:szCs w:val="20"/>
              </w:rPr>
              <w:t>Zhang et al 2018; Zhao et al 2023</w:t>
            </w:r>
            <w:r w:rsidR="4EEFD5AF" w:rsidRPr="000A7BB0">
              <w:rPr>
                <w:rFonts w:ascii="Arial Narrow" w:hAnsi="Arial Narrow"/>
                <w:sz w:val="20"/>
                <w:szCs w:val="20"/>
              </w:rPr>
              <w:t>)</w:t>
            </w:r>
            <w:r w:rsidR="0B0BFD97" w:rsidRPr="000A7BB0">
              <w:rPr>
                <w:rFonts w:ascii="Arial Narrow" w:hAnsi="Arial Narrow"/>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5B427A6" w14:textId="77777777" w:rsidR="00C905D6" w:rsidRPr="000A7BB0" w:rsidRDefault="00000000" w:rsidP="00C905D6">
            <w:pPr>
              <w:widowControl w:val="0"/>
              <w:spacing w:before="0" w:after="0" w:line="254" w:lineRule="auto"/>
              <w:rPr>
                <w:rFonts w:ascii="Arial Narrow" w:hAnsi="Arial Narrow"/>
                <w:sz w:val="20"/>
              </w:rPr>
            </w:pPr>
            <w:sdt>
              <w:sdtPr>
                <w:rPr>
                  <w:rFonts w:ascii="Arial Narrow" w:hAnsi="Arial Narrow"/>
                  <w:sz w:val="20"/>
                </w:rPr>
                <w:id w:val="1075864720"/>
                <w14:checkbox>
                  <w14:checked w14:val="1"/>
                  <w14:checkedState w14:val="2612" w14:font="MS Gothic"/>
                  <w14:uncheckedState w14:val="2610" w14:font="MS Gothic"/>
                </w14:checkbox>
              </w:sdtPr>
              <w:sdtContent>
                <w:r w:rsidR="00C905D6" w:rsidRPr="000A7BB0">
                  <w:rPr>
                    <w:rFonts w:ascii="Segoe UI Symbol" w:hAnsi="Segoe UI Symbol" w:cs="Segoe UI Symbol"/>
                    <w:sz w:val="20"/>
                  </w:rPr>
                  <w:t>☒</w:t>
                </w:r>
              </w:sdtContent>
            </w:sdt>
            <w:r w:rsidR="00C905D6" w:rsidRPr="000A7BB0">
              <w:rPr>
                <w:rFonts w:ascii="Arial Narrow" w:hAnsi="Arial Narrow"/>
                <w:sz w:val="20"/>
              </w:rPr>
              <w:tab/>
              <w:t>k=1</w:t>
            </w:r>
            <w:r w:rsidR="00C905D6" w:rsidRPr="000A7BB0">
              <w:rPr>
                <w:rFonts w:ascii="Arial Narrow" w:hAnsi="Arial Narrow"/>
                <w:sz w:val="20"/>
              </w:rPr>
              <w:tab/>
              <w:t>n=478</w:t>
            </w:r>
          </w:p>
        </w:tc>
        <w:tc>
          <w:tcPr>
            <w:tcW w:w="970" w:type="dxa"/>
            <w:tcBorders>
              <w:top w:val="single" w:sz="4" w:space="0" w:color="auto"/>
              <w:left w:val="single" w:sz="4" w:space="0" w:color="auto"/>
              <w:bottom w:val="single" w:sz="4" w:space="0" w:color="auto"/>
              <w:right w:val="single" w:sz="4" w:space="0" w:color="auto"/>
            </w:tcBorders>
            <w:vAlign w:val="center"/>
          </w:tcPr>
          <w:p w14:paraId="1B61FCD3"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Low</w:t>
            </w:r>
          </w:p>
        </w:tc>
        <w:tc>
          <w:tcPr>
            <w:tcW w:w="1105" w:type="dxa"/>
            <w:tcBorders>
              <w:top w:val="single" w:sz="4" w:space="0" w:color="auto"/>
              <w:left w:val="single" w:sz="4" w:space="0" w:color="auto"/>
              <w:bottom w:val="single" w:sz="4" w:space="0" w:color="auto"/>
              <w:right w:val="single" w:sz="4" w:space="0" w:color="auto"/>
            </w:tcBorders>
            <w:vAlign w:val="center"/>
          </w:tcPr>
          <w:p w14:paraId="192CE553" w14:textId="2CFFFDAF"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Yes (</w:t>
            </w:r>
            <w:r w:rsidRPr="000A7BB0">
              <w:rPr>
                <w:rFonts w:ascii="Arial Narrow" w:hAnsi="Arial Narrow"/>
                <w:i/>
                <w:iCs/>
                <w:sz w:val="20"/>
                <w:szCs w:val="20"/>
              </w:rPr>
              <w:t>ESR1</w:t>
            </w:r>
            <w:r w:rsidRPr="000A7BB0">
              <w:rPr>
                <w:rFonts w:ascii="Arial Narrow" w:hAnsi="Arial Narrow"/>
                <w:sz w:val="20"/>
                <w:szCs w:val="20"/>
              </w:rPr>
              <w:t xml:space="preserve"> variant population only)</w:t>
            </w:r>
            <w:r w:rsidR="20A44A67" w:rsidRPr="000A7BB0">
              <w:rPr>
                <w:rFonts w:ascii="Arial Narrow" w:hAnsi="Arial Narrow"/>
                <w:sz w:val="20"/>
                <w:szCs w:val="20"/>
                <w:vertAlign w:val="superscript"/>
              </w:rPr>
              <w:t>C</w:t>
            </w:r>
          </w:p>
        </w:tc>
      </w:tr>
      <w:tr w:rsidR="00C905D6" w:rsidRPr="000A7BB0" w14:paraId="79FD7BC4" w14:textId="77777777" w:rsidTr="00470B01">
        <w:trPr>
          <w:trHeight w:val="621"/>
        </w:trPr>
        <w:tc>
          <w:tcPr>
            <w:tcW w:w="1296" w:type="dxa"/>
            <w:tcBorders>
              <w:top w:val="single" w:sz="4" w:space="0" w:color="auto"/>
              <w:left w:val="single" w:sz="4" w:space="0" w:color="auto"/>
              <w:bottom w:val="single" w:sz="4" w:space="0" w:color="auto"/>
              <w:right w:val="single" w:sz="4" w:space="0" w:color="auto"/>
            </w:tcBorders>
            <w:vAlign w:val="center"/>
          </w:tcPr>
          <w:p w14:paraId="3F686DB6" w14:textId="30520A3A" w:rsidR="00C905D6" w:rsidRPr="000A7BB0" w:rsidRDefault="00C905D6" w:rsidP="00572060">
            <w:pPr>
              <w:widowControl w:val="0"/>
              <w:spacing w:before="0" w:after="0"/>
              <w:rPr>
                <w:rFonts w:ascii="Arial Narrow" w:hAnsi="Arial Narrow"/>
                <w:sz w:val="20"/>
              </w:rPr>
            </w:pPr>
            <w:r w:rsidRPr="000A7BB0">
              <w:rPr>
                <w:rFonts w:ascii="Arial Narrow" w:hAnsi="Arial Narrow"/>
                <w:sz w:val="20"/>
                <w:szCs w:val="20"/>
              </w:rPr>
              <w:t>Health outcomes (clinical utility)  </w:t>
            </w:r>
          </w:p>
        </w:tc>
        <w:tc>
          <w:tcPr>
            <w:tcW w:w="4086" w:type="dxa"/>
            <w:tcBorders>
              <w:top w:val="single" w:sz="4" w:space="0" w:color="auto"/>
              <w:left w:val="single" w:sz="4" w:space="0" w:color="auto"/>
              <w:bottom w:val="single" w:sz="4" w:space="0" w:color="auto"/>
              <w:right w:val="single" w:sz="4" w:space="0" w:color="auto"/>
            </w:tcBorders>
          </w:tcPr>
          <w:p w14:paraId="2445B211" w14:textId="36BF24AE"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Based on direct evidence</w:t>
            </w:r>
            <w:r w:rsidR="00C8309A" w:rsidRPr="000A7BB0">
              <w:rPr>
                <w:rFonts w:ascii="Arial Narrow" w:hAnsi="Arial Narrow"/>
                <w:sz w:val="20"/>
              </w:rPr>
              <w:t xml:space="preserve"> (EMERALD)</w:t>
            </w:r>
            <w:r w:rsidRPr="000A7BB0">
              <w:rPr>
                <w:rFonts w:ascii="Arial Narrow" w:hAnsi="Arial Narrow"/>
                <w:sz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20CCEC93" w14:textId="77777777" w:rsidR="00C905D6" w:rsidRPr="000A7BB0" w:rsidRDefault="00000000" w:rsidP="00C905D6">
            <w:pPr>
              <w:widowControl w:val="0"/>
              <w:spacing w:before="0" w:after="0" w:line="254" w:lineRule="auto"/>
              <w:rPr>
                <w:rFonts w:ascii="Arial Narrow" w:hAnsi="Arial Narrow"/>
                <w:sz w:val="20"/>
              </w:rPr>
            </w:pPr>
            <w:sdt>
              <w:sdtPr>
                <w:rPr>
                  <w:rFonts w:ascii="Arial Narrow" w:hAnsi="Arial Narrow"/>
                  <w:sz w:val="20"/>
                </w:rPr>
                <w:id w:val="1538006832"/>
                <w14:checkbox>
                  <w14:checked w14:val="1"/>
                  <w14:checkedState w14:val="2612" w14:font="MS Gothic"/>
                  <w14:uncheckedState w14:val="2610" w14:font="MS Gothic"/>
                </w14:checkbox>
              </w:sdtPr>
              <w:sdtContent>
                <w:r w:rsidR="00C905D6" w:rsidRPr="000A7BB0">
                  <w:rPr>
                    <w:rFonts w:ascii="Segoe UI Symbol" w:hAnsi="Segoe UI Symbol" w:cs="Segoe UI Symbol"/>
                    <w:sz w:val="20"/>
                  </w:rPr>
                  <w:t>☒</w:t>
                </w:r>
              </w:sdtContent>
            </w:sdt>
            <w:r w:rsidR="00C905D6" w:rsidRPr="000A7BB0">
              <w:rPr>
                <w:rFonts w:ascii="Arial Narrow" w:hAnsi="Arial Narrow"/>
                <w:sz w:val="20"/>
              </w:rPr>
              <w:tab/>
              <w:t>k=1</w:t>
            </w:r>
            <w:r w:rsidR="00C905D6" w:rsidRPr="000A7BB0">
              <w:rPr>
                <w:rFonts w:ascii="Arial Narrow" w:hAnsi="Arial Narrow"/>
                <w:sz w:val="20"/>
              </w:rPr>
              <w:tab/>
              <w:t>n=478</w:t>
            </w:r>
          </w:p>
        </w:tc>
        <w:tc>
          <w:tcPr>
            <w:tcW w:w="970" w:type="dxa"/>
            <w:tcBorders>
              <w:top w:val="single" w:sz="4" w:space="0" w:color="auto"/>
              <w:left w:val="single" w:sz="4" w:space="0" w:color="auto"/>
              <w:bottom w:val="single" w:sz="4" w:space="0" w:color="auto"/>
              <w:right w:val="single" w:sz="4" w:space="0" w:color="auto"/>
            </w:tcBorders>
            <w:vAlign w:val="center"/>
          </w:tcPr>
          <w:p w14:paraId="709C984B"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Low</w:t>
            </w:r>
          </w:p>
        </w:tc>
        <w:tc>
          <w:tcPr>
            <w:tcW w:w="1105" w:type="dxa"/>
            <w:tcBorders>
              <w:top w:val="single" w:sz="4" w:space="0" w:color="auto"/>
              <w:left w:val="single" w:sz="4" w:space="0" w:color="auto"/>
              <w:bottom w:val="single" w:sz="4" w:space="0" w:color="auto"/>
              <w:right w:val="single" w:sz="4" w:space="0" w:color="auto"/>
            </w:tcBorders>
            <w:vAlign w:val="center"/>
          </w:tcPr>
          <w:p w14:paraId="428B6DBB" w14:textId="08ABB234"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Yes (</w:t>
            </w:r>
            <w:r w:rsidRPr="000A7BB0">
              <w:rPr>
                <w:rFonts w:ascii="Arial Narrow" w:hAnsi="Arial Narrow"/>
                <w:i/>
                <w:iCs/>
                <w:sz w:val="20"/>
                <w:szCs w:val="20"/>
              </w:rPr>
              <w:t>ESR1</w:t>
            </w:r>
            <w:r w:rsidRPr="000A7BB0">
              <w:rPr>
                <w:rFonts w:ascii="Arial Narrow" w:hAnsi="Arial Narrow"/>
                <w:sz w:val="20"/>
                <w:szCs w:val="20"/>
              </w:rPr>
              <w:t xml:space="preserve"> variant population only)</w:t>
            </w:r>
            <w:r w:rsidR="20A44A67" w:rsidRPr="000A7BB0">
              <w:rPr>
                <w:rFonts w:ascii="Arial Narrow" w:hAnsi="Arial Narrow"/>
                <w:sz w:val="20"/>
                <w:szCs w:val="20"/>
                <w:vertAlign w:val="superscript"/>
              </w:rPr>
              <w:t>C</w:t>
            </w:r>
          </w:p>
        </w:tc>
      </w:tr>
      <w:tr w:rsidR="00C905D6" w:rsidRPr="000A7BB0" w14:paraId="339F3C48" w14:textId="77777777" w:rsidTr="00470B01">
        <w:trPr>
          <w:trHeight w:val="621"/>
        </w:trPr>
        <w:tc>
          <w:tcPr>
            <w:tcW w:w="1296" w:type="dxa"/>
            <w:tcBorders>
              <w:top w:val="single" w:sz="4" w:space="0" w:color="auto"/>
              <w:left w:val="single" w:sz="4" w:space="0" w:color="auto"/>
              <w:bottom w:val="single" w:sz="4" w:space="0" w:color="auto"/>
              <w:right w:val="single" w:sz="4" w:space="0" w:color="auto"/>
            </w:tcBorders>
            <w:vAlign w:val="center"/>
          </w:tcPr>
          <w:p w14:paraId="0C82106F" w14:textId="77777777" w:rsidR="00C905D6" w:rsidRPr="000A7BB0" w:rsidRDefault="00C905D6" w:rsidP="00C905D6">
            <w:pPr>
              <w:widowControl w:val="0"/>
              <w:spacing w:before="0" w:after="0"/>
              <w:rPr>
                <w:rFonts w:ascii="Arial Narrow" w:hAnsi="Arial Narrow"/>
                <w:sz w:val="20"/>
                <w:szCs w:val="20"/>
              </w:rPr>
            </w:pPr>
            <w:r w:rsidRPr="000A7BB0">
              <w:rPr>
                <w:rFonts w:ascii="Arial Narrow" w:hAnsi="Arial Narrow"/>
                <w:sz w:val="20"/>
                <w:szCs w:val="20"/>
              </w:rPr>
              <w:t>Predictive effect (treatment effect variation)  </w:t>
            </w:r>
          </w:p>
        </w:tc>
        <w:tc>
          <w:tcPr>
            <w:tcW w:w="4086" w:type="dxa"/>
            <w:tcBorders>
              <w:top w:val="single" w:sz="4" w:space="0" w:color="auto"/>
              <w:left w:val="single" w:sz="4" w:space="0" w:color="auto"/>
              <w:bottom w:val="single" w:sz="4" w:space="0" w:color="auto"/>
              <w:right w:val="single" w:sz="4" w:space="0" w:color="auto"/>
            </w:tcBorders>
          </w:tcPr>
          <w:p w14:paraId="74BD1A1C" w14:textId="56079B20"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Given the availability of direct evidence</w:t>
            </w:r>
            <w:r w:rsidR="7E27750E" w:rsidRPr="000A7BB0">
              <w:rPr>
                <w:rFonts w:ascii="Arial Narrow" w:hAnsi="Arial Narrow"/>
                <w:sz w:val="20"/>
                <w:szCs w:val="20"/>
              </w:rPr>
              <w:t xml:space="preserve"> (EMERALD)</w:t>
            </w:r>
            <w:r w:rsidRPr="000A7BB0">
              <w:rPr>
                <w:rFonts w:ascii="Arial Narrow" w:hAnsi="Arial Narrow"/>
                <w:sz w:val="20"/>
                <w:szCs w:val="20"/>
              </w:rPr>
              <w:t xml:space="preserve">, this was the focus of the evaluation. The submission identified </w:t>
            </w:r>
            <w:r w:rsidR="5B4FD38E" w:rsidRPr="000A7BB0">
              <w:rPr>
                <w:rFonts w:ascii="Arial Narrow" w:hAnsi="Arial Narrow"/>
                <w:sz w:val="20"/>
                <w:szCs w:val="20"/>
              </w:rPr>
              <w:t>8</w:t>
            </w:r>
            <w:r w:rsidR="721FF41B" w:rsidRPr="000A7BB0">
              <w:rPr>
                <w:rFonts w:ascii="Arial Narrow" w:hAnsi="Arial Narrow"/>
                <w:sz w:val="20"/>
                <w:szCs w:val="20"/>
              </w:rPr>
              <w:t xml:space="preserve"> other studies</w:t>
            </w:r>
            <w:r w:rsidRPr="000A7BB0">
              <w:rPr>
                <w:rFonts w:ascii="Arial Narrow" w:hAnsi="Arial Narrow"/>
                <w:sz w:val="20"/>
                <w:szCs w:val="20"/>
              </w:rPr>
              <w:t xml:space="preserve"> </w:t>
            </w:r>
            <w:r w:rsidR="721FF41B" w:rsidRPr="000A7BB0">
              <w:rPr>
                <w:rFonts w:ascii="Arial Narrow" w:hAnsi="Arial Narrow"/>
                <w:sz w:val="20"/>
                <w:szCs w:val="20"/>
              </w:rPr>
              <w:t xml:space="preserve">as potentially relevant but </w:t>
            </w:r>
            <w:r w:rsidR="3A9A833A" w:rsidRPr="000A7BB0">
              <w:rPr>
                <w:rFonts w:ascii="Arial Narrow" w:hAnsi="Arial Narrow"/>
                <w:sz w:val="20"/>
                <w:szCs w:val="20"/>
              </w:rPr>
              <w:t xml:space="preserve">did not </w:t>
            </w:r>
            <w:r w:rsidR="721FF41B" w:rsidRPr="000A7BB0">
              <w:rPr>
                <w:rFonts w:ascii="Arial Narrow" w:hAnsi="Arial Narrow"/>
                <w:sz w:val="20"/>
                <w:szCs w:val="20"/>
              </w:rPr>
              <w:t>present</w:t>
            </w:r>
            <w:r w:rsidR="3A9A833A" w:rsidRPr="000A7BB0">
              <w:rPr>
                <w:rFonts w:ascii="Arial Narrow" w:hAnsi="Arial Narrow"/>
                <w:sz w:val="20"/>
                <w:szCs w:val="20"/>
              </w:rPr>
              <w:t xml:space="preserve"> them</w:t>
            </w:r>
            <w:r w:rsidR="6A7B9E2B" w:rsidRPr="000A7BB0">
              <w:rPr>
                <w:rFonts w:ascii="Arial Narrow" w:hAnsi="Arial Narrow"/>
                <w:sz w:val="20"/>
                <w:szCs w:val="20"/>
              </w:rPr>
              <w:t xml:space="preserve"> in any detail</w:t>
            </w:r>
            <w:r w:rsidR="721FF41B" w:rsidRPr="000A7BB0">
              <w:rPr>
                <w:rFonts w:ascii="Arial Narrow" w:hAnsi="Arial Narrow"/>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59F8F52" w14:textId="77777777" w:rsidR="00C905D6" w:rsidRPr="000A7BB0" w:rsidRDefault="00000000" w:rsidP="00C905D6">
            <w:pPr>
              <w:widowControl w:val="0"/>
              <w:spacing w:before="0" w:after="0" w:line="254" w:lineRule="auto"/>
              <w:rPr>
                <w:rFonts w:ascii="Arial Narrow" w:hAnsi="Arial Narrow"/>
                <w:sz w:val="20"/>
              </w:rPr>
            </w:pPr>
            <w:sdt>
              <w:sdtPr>
                <w:rPr>
                  <w:rFonts w:ascii="Arial Narrow" w:hAnsi="Arial Narrow"/>
                  <w:sz w:val="20"/>
                </w:rPr>
                <w:id w:val="-816249978"/>
                <w14:checkbox>
                  <w14:checked w14:val="1"/>
                  <w14:checkedState w14:val="2612" w14:font="MS Gothic"/>
                  <w14:uncheckedState w14:val="2610" w14:font="MS Gothic"/>
                </w14:checkbox>
              </w:sdtPr>
              <w:sdtContent>
                <w:r w:rsidR="00C905D6" w:rsidRPr="000A7BB0">
                  <w:rPr>
                    <w:rFonts w:ascii="Segoe UI Symbol" w:hAnsi="Segoe UI Symbol" w:cs="Segoe UI Symbol"/>
                    <w:sz w:val="20"/>
                  </w:rPr>
                  <w:t>☒</w:t>
                </w:r>
              </w:sdtContent>
            </w:sdt>
            <w:r w:rsidR="00C905D6" w:rsidRPr="000A7BB0">
              <w:rPr>
                <w:rFonts w:ascii="Arial Narrow" w:hAnsi="Arial Narrow"/>
                <w:sz w:val="20"/>
              </w:rPr>
              <w:tab/>
              <w:t>k=1</w:t>
            </w:r>
            <w:r w:rsidR="00C905D6" w:rsidRPr="000A7BB0">
              <w:rPr>
                <w:rFonts w:ascii="Arial Narrow" w:hAnsi="Arial Narrow"/>
                <w:sz w:val="20"/>
              </w:rPr>
              <w:tab/>
              <w:t>n=478</w:t>
            </w:r>
          </w:p>
        </w:tc>
        <w:tc>
          <w:tcPr>
            <w:tcW w:w="970" w:type="dxa"/>
            <w:tcBorders>
              <w:top w:val="single" w:sz="4" w:space="0" w:color="auto"/>
              <w:left w:val="single" w:sz="4" w:space="0" w:color="auto"/>
              <w:bottom w:val="single" w:sz="4" w:space="0" w:color="auto"/>
              <w:right w:val="single" w:sz="4" w:space="0" w:color="auto"/>
            </w:tcBorders>
            <w:vAlign w:val="center"/>
          </w:tcPr>
          <w:p w14:paraId="254A0D0A"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Low</w:t>
            </w:r>
          </w:p>
        </w:tc>
        <w:tc>
          <w:tcPr>
            <w:tcW w:w="1105" w:type="dxa"/>
            <w:tcBorders>
              <w:top w:val="single" w:sz="4" w:space="0" w:color="auto"/>
              <w:left w:val="single" w:sz="4" w:space="0" w:color="auto"/>
              <w:bottom w:val="single" w:sz="4" w:space="0" w:color="auto"/>
              <w:right w:val="single" w:sz="4" w:space="0" w:color="auto"/>
            </w:tcBorders>
            <w:vAlign w:val="center"/>
          </w:tcPr>
          <w:p w14:paraId="24E300B7" w14:textId="7BB8B26F"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Yes (</w:t>
            </w:r>
            <w:r w:rsidRPr="000A7BB0">
              <w:rPr>
                <w:rFonts w:ascii="Arial Narrow" w:hAnsi="Arial Narrow"/>
                <w:i/>
                <w:iCs/>
                <w:sz w:val="20"/>
                <w:szCs w:val="20"/>
              </w:rPr>
              <w:t>ESR1</w:t>
            </w:r>
            <w:r w:rsidRPr="000A7BB0">
              <w:rPr>
                <w:rFonts w:ascii="Arial Narrow" w:hAnsi="Arial Narrow"/>
                <w:sz w:val="20"/>
                <w:szCs w:val="20"/>
              </w:rPr>
              <w:t xml:space="preserve"> variant population only)</w:t>
            </w:r>
            <w:r w:rsidR="20A44A67" w:rsidRPr="000A7BB0">
              <w:rPr>
                <w:rFonts w:ascii="Arial Narrow" w:hAnsi="Arial Narrow"/>
                <w:sz w:val="20"/>
                <w:szCs w:val="20"/>
                <w:vertAlign w:val="superscript"/>
              </w:rPr>
              <w:t>C</w:t>
            </w:r>
          </w:p>
        </w:tc>
      </w:tr>
      <w:tr w:rsidR="00C905D6" w:rsidRPr="000A7BB0" w14:paraId="168D41C3" w14:textId="77777777" w:rsidTr="00470B01">
        <w:trPr>
          <w:trHeight w:val="274"/>
        </w:trPr>
        <w:tc>
          <w:tcPr>
            <w:tcW w:w="1296" w:type="dxa"/>
            <w:tcBorders>
              <w:top w:val="single" w:sz="4" w:space="0" w:color="auto"/>
              <w:left w:val="single" w:sz="4" w:space="0" w:color="auto"/>
              <w:bottom w:val="single" w:sz="4" w:space="0" w:color="auto"/>
              <w:right w:val="single" w:sz="4" w:space="0" w:color="auto"/>
            </w:tcBorders>
            <w:vAlign w:val="center"/>
          </w:tcPr>
          <w:p w14:paraId="7ED85AC9" w14:textId="77777777" w:rsidR="00C905D6" w:rsidRPr="000A7BB0" w:rsidRDefault="00C905D6" w:rsidP="00C905D6">
            <w:pPr>
              <w:widowControl w:val="0"/>
              <w:spacing w:before="0" w:after="0"/>
              <w:rPr>
                <w:rFonts w:ascii="Arial Narrow" w:hAnsi="Arial Narrow"/>
                <w:sz w:val="20"/>
                <w:szCs w:val="20"/>
              </w:rPr>
            </w:pPr>
            <w:r w:rsidRPr="000A7BB0">
              <w:rPr>
                <w:rFonts w:ascii="Arial Narrow" w:hAnsi="Arial Narrow"/>
                <w:sz w:val="20"/>
                <w:szCs w:val="20"/>
              </w:rPr>
              <w:t>Change in patient management  </w:t>
            </w:r>
          </w:p>
        </w:tc>
        <w:tc>
          <w:tcPr>
            <w:tcW w:w="4086" w:type="dxa"/>
            <w:tcBorders>
              <w:top w:val="single" w:sz="4" w:space="0" w:color="auto"/>
              <w:left w:val="single" w:sz="4" w:space="0" w:color="auto"/>
              <w:bottom w:val="single" w:sz="4" w:space="0" w:color="auto"/>
              <w:right w:val="single" w:sz="4" w:space="0" w:color="auto"/>
            </w:tcBorders>
          </w:tcPr>
          <w:p w14:paraId="4D1FDFE8" w14:textId="61864589"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No additional information was provided to describe this. The submission stated that the information relating to change in clinical management from testing, proportions of patients changing treatment plan and the number estimated to be tested at each line of therapy &amp; diagnostic yield and number needed to test have been presented in Section 1 and 4 of the submission. Assumed by the evaluation to be also implicitly addressed by the EMERALD trial if the test and the drug were available in Australia.</w:t>
            </w:r>
          </w:p>
        </w:tc>
        <w:tc>
          <w:tcPr>
            <w:tcW w:w="1559" w:type="dxa"/>
            <w:tcBorders>
              <w:top w:val="single" w:sz="4" w:space="0" w:color="auto"/>
              <w:left w:val="single" w:sz="4" w:space="0" w:color="auto"/>
              <w:bottom w:val="single" w:sz="4" w:space="0" w:color="auto"/>
              <w:right w:val="single" w:sz="4" w:space="0" w:color="auto"/>
            </w:tcBorders>
            <w:vAlign w:val="center"/>
          </w:tcPr>
          <w:p w14:paraId="5ADDB01B" w14:textId="77777777" w:rsidR="00C905D6" w:rsidRPr="000A7BB0" w:rsidRDefault="00000000" w:rsidP="00C905D6">
            <w:pPr>
              <w:widowControl w:val="0"/>
              <w:spacing w:before="0" w:after="0" w:line="254" w:lineRule="auto"/>
              <w:rPr>
                <w:rFonts w:ascii="Arial Narrow" w:hAnsi="Arial Narrow"/>
                <w:sz w:val="20"/>
              </w:rPr>
            </w:pPr>
            <w:sdt>
              <w:sdtPr>
                <w:rPr>
                  <w:rFonts w:ascii="Arial Narrow" w:hAnsi="Arial Narrow"/>
                  <w:sz w:val="20"/>
                </w:rPr>
                <w:id w:val="1119408871"/>
                <w14:checkbox>
                  <w14:checked w14:val="0"/>
                  <w14:checkedState w14:val="2612" w14:font="MS Gothic"/>
                  <w14:uncheckedState w14:val="2610" w14:font="MS Gothic"/>
                </w14:checkbox>
              </w:sdtPr>
              <w:sdtContent>
                <w:r w:rsidR="00C905D6" w:rsidRPr="000A7BB0">
                  <w:rPr>
                    <w:rFonts w:ascii="Segoe UI Symbol" w:hAnsi="Segoe UI Symbol" w:cs="Segoe UI Symbol"/>
                    <w:sz w:val="20"/>
                  </w:rPr>
                  <w:t>☐</w:t>
                </w:r>
              </w:sdtContent>
            </w:sdt>
            <w:r w:rsidR="00C905D6" w:rsidRPr="000A7BB0">
              <w:rPr>
                <w:rFonts w:ascii="Arial Narrow" w:hAnsi="Arial Narrow"/>
                <w:sz w:val="20"/>
              </w:rPr>
              <w:tab/>
              <w:t>k=0</w:t>
            </w:r>
            <w:r w:rsidR="00C905D6" w:rsidRPr="000A7BB0">
              <w:rPr>
                <w:rFonts w:ascii="Arial Narrow" w:hAnsi="Arial Narrow"/>
                <w:sz w:val="20"/>
              </w:rPr>
              <w:tab/>
              <w:t>n=0</w:t>
            </w:r>
          </w:p>
        </w:tc>
        <w:tc>
          <w:tcPr>
            <w:tcW w:w="970" w:type="dxa"/>
            <w:tcBorders>
              <w:top w:val="single" w:sz="4" w:space="0" w:color="auto"/>
              <w:left w:val="single" w:sz="4" w:space="0" w:color="auto"/>
              <w:bottom w:val="single" w:sz="4" w:space="0" w:color="auto"/>
              <w:right w:val="single" w:sz="4" w:space="0" w:color="auto"/>
            </w:tcBorders>
            <w:vAlign w:val="center"/>
          </w:tcPr>
          <w:p w14:paraId="05B9DA13"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w:t>
            </w:r>
          </w:p>
        </w:tc>
        <w:tc>
          <w:tcPr>
            <w:tcW w:w="1105" w:type="dxa"/>
            <w:tcBorders>
              <w:top w:val="single" w:sz="4" w:space="0" w:color="auto"/>
              <w:left w:val="single" w:sz="4" w:space="0" w:color="auto"/>
              <w:bottom w:val="single" w:sz="4" w:space="0" w:color="auto"/>
              <w:right w:val="single" w:sz="4" w:space="0" w:color="auto"/>
            </w:tcBorders>
            <w:vAlign w:val="center"/>
          </w:tcPr>
          <w:p w14:paraId="45EFAB59"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Not used</w:t>
            </w:r>
          </w:p>
        </w:tc>
      </w:tr>
      <w:tr w:rsidR="00C905D6" w:rsidRPr="000A7BB0" w14:paraId="2FB2132A" w14:textId="77777777" w:rsidTr="00470B01">
        <w:trPr>
          <w:trHeight w:val="267"/>
        </w:trPr>
        <w:tc>
          <w:tcPr>
            <w:tcW w:w="7911" w:type="dxa"/>
            <w:gridSpan w:val="4"/>
            <w:tcBorders>
              <w:top w:val="single" w:sz="4" w:space="0" w:color="auto"/>
              <w:left w:val="single" w:sz="4" w:space="0" w:color="auto"/>
              <w:bottom w:val="single" w:sz="4" w:space="0" w:color="auto"/>
              <w:right w:val="single" w:sz="4" w:space="0" w:color="auto"/>
            </w:tcBorders>
            <w:vAlign w:val="center"/>
          </w:tcPr>
          <w:p w14:paraId="442093CE"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b/>
                <w:bCs/>
                <w:sz w:val="20"/>
              </w:rPr>
              <w:t>Linked evidence</w:t>
            </w:r>
          </w:p>
        </w:tc>
        <w:tc>
          <w:tcPr>
            <w:tcW w:w="1105" w:type="dxa"/>
            <w:tcBorders>
              <w:top w:val="single" w:sz="4" w:space="0" w:color="auto"/>
              <w:left w:val="single" w:sz="4" w:space="0" w:color="auto"/>
              <w:bottom w:val="single" w:sz="4" w:space="0" w:color="auto"/>
              <w:right w:val="single" w:sz="4" w:space="0" w:color="auto"/>
            </w:tcBorders>
            <w:vAlign w:val="center"/>
          </w:tcPr>
          <w:p w14:paraId="30D327FE" w14:textId="77777777" w:rsidR="00C905D6" w:rsidRPr="000A7BB0" w:rsidRDefault="00C905D6" w:rsidP="00C905D6">
            <w:pPr>
              <w:widowControl w:val="0"/>
              <w:spacing w:before="0" w:after="0" w:line="254" w:lineRule="auto"/>
              <w:rPr>
                <w:rFonts w:ascii="Arial Narrow" w:hAnsi="Arial Narrow"/>
                <w:b/>
                <w:bCs/>
                <w:sz w:val="20"/>
              </w:rPr>
            </w:pPr>
          </w:p>
        </w:tc>
      </w:tr>
      <w:tr w:rsidR="00C905D6" w:rsidRPr="000A7BB0" w14:paraId="34FDAC11" w14:textId="77777777" w:rsidTr="00470B01">
        <w:trPr>
          <w:trHeight w:val="250"/>
        </w:trPr>
        <w:tc>
          <w:tcPr>
            <w:tcW w:w="1296" w:type="dxa"/>
            <w:tcBorders>
              <w:top w:val="single" w:sz="4" w:space="0" w:color="auto"/>
              <w:left w:val="single" w:sz="4" w:space="0" w:color="auto"/>
              <w:bottom w:val="single" w:sz="4" w:space="0" w:color="auto"/>
              <w:right w:val="single" w:sz="4" w:space="0" w:color="auto"/>
            </w:tcBorders>
            <w:vAlign w:val="center"/>
          </w:tcPr>
          <w:p w14:paraId="5D960E91" w14:textId="34C97413" w:rsidR="00C905D6" w:rsidRPr="000A7BB0" w:rsidRDefault="00C905D6" w:rsidP="74877A7E">
            <w:pPr>
              <w:widowControl w:val="0"/>
              <w:spacing w:before="0" w:after="0"/>
              <w:rPr>
                <w:rFonts w:ascii="Arial Narrow" w:hAnsi="Arial Narrow"/>
                <w:sz w:val="20"/>
                <w:szCs w:val="20"/>
              </w:rPr>
            </w:pPr>
            <w:r w:rsidRPr="000A7BB0">
              <w:rPr>
                <w:rFonts w:ascii="Arial Narrow" w:hAnsi="Arial Narrow"/>
                <w:sz w:val="20"/>
                <w:szCs w:val="20"/>
              </w:rPr>
              <w:t xml:space="preserve">Accuracy and performance of the Guardant360® </w:t>
            </w:r>
            <w:proofErr w:type="spellStart"/>
            <w:r w:rsidRPr="000A7BB0">
              <w:rPr>
                <w:rFonts w:ascii="Arial Narrow" w:hAnsi="Arial Narrow"/>
                <w:sz w:val="20"/>
                <w:szCs w:val="20"/>
              </w:rPr>
              <w:t>CDx</w:t>
            </w:r>
            <w:proofErr w:type="spellEnd"/>
            <w:r w:rsidRPr="000A7BB0">
              <w:rPr>
                <w:rFonts w:ascii="Arial Narrow" w:hAnsi="Arial Narrow"/>
                <w:sz w:val="20"/>
                <w:szCs w:val="20"/>
              </w:rPr>
              <w:t xml:space="preserve"> test</w:t>
            </w:r>
          </w:p>
        </w:tc>
        <w:tc>
          <w:tcPr>
            <w:tcW w:w="4086" w:type="dxa"/>
            <w:tcBorders>
              <w:top w:val="single" w:sz="4" w:space="0" w:color="auto"/>
              <w:left w:val="single" w:sz="4" w:space="0" w:color="auto"/>
              <w:bottom w:val="single" w:sz="4" w:space="0" w:color="auto"/>
              <w:right w:val="single" w:sz="4" w:space="0" w:color="auto"/>
            </w:tcBorders>
            <w:vAlign w:val="center"/>
          </w:tcPr>
          <w:p w14:paraId="60B9C87C" w14:textId="77777777" w:rsidR="00C905D6" w:rsidRPr="000A7BB0" w:rsidRDefault="00C905D6" w:rsidP="00C905D6">
            <w:pPr>
              <w:widowControl w:val="0"/>
              <w:spacing w:before="0" w:after="0"/>
              <w:rPr>
                <w:rFonts w:ascii="Arial Narrow" w:hAnsi="Arial Narrow"/>
                <w:sz w:val="20"/>
              </w:rPr>
            </w:pPr>
            <w:r w:rsidRPr="000A7BB0">
              <w:rPr>
                <w:rFonts w:ascii="Arial Narrow" w:hAnsi="Arial Narrow"/>
                <w:sz w:val="20"/>
              </w:rPr>
              <w:t xml:space="preserve">FDA’s Summary of Safety and Effectiveness (January 2023) </w:t>
            </w:r>
          </w:p>
          <w:p w14:paraId="524D27E5" w14:textId="77777777" w:rsidR="00C905D6" w:rsidRPr="0039629C" w:rsidRDefault="00C905D6" w:rsidP="00C905D6">
            <w:pPr>
              <w:widowControl w:val="0"/>
              <w:spacing w:before="0" w:after="0"/>
              <w:rPr>
                <w:rFonts w:ascii="Arial Narrow" w:hAnsi="Arial Narrow"/>
                <w:sz w:val="16"/>
                <w:szCs w:val="16"/>
              </w:rPr>
            </w:pPr>
          </w:p>
          <w:p w14:paraId="750056C7" w14:textId="7C96FD16" w:rsidR="00C905D6" w:rsidRPr="000A7BB0" w:rsidRDefault="00C905D6" w:rsidP="74877A7E">
            <w:pPr>
              <w:widowControl w:val="0"/>
              <w:spacing w:before="0" w:after="0"/>
              <w:rPr>
                <w:rFonts w:ascii="Arial Narrow" w:hAnsi="Arial Narrow"/>
                <w:sz w:val="20"/>
                <w:szCs w:val="20"/>
              </w:rPr>
            </w:pPr>
            <w:r w:rsidRPr="000A7BB0">
              <w:rPr>
                <w:rFonts w:ascii="Arial Narrow" w:hAnsi="Arial Narrow"/>
                <w:sz w:val="20"/>
                <w:szCs w:val="20"/>
              </w:rPr>
              <w:t xml:space="preserve">Guardant360® </w:t>
            </w:r>
            <w:proofErr w:type="spellStart"/>
            <w:r w:rsidRPr="000A7BB0">
              <w:rPr>
                <w:rFonts w:ascii="Arial Narrow" w:hAnsi="Arial Narrow"/>
                <w:sz w:val="20"/>
                <w:szCs w:val="20"/>
              </w:rPr>
              <w:t>CDx</w:t>
            </w:r>
            <w:proofErr w:type="spellEnd"/>
            <w:r w:rsidRPr="000A7BB0">
              <w:rPr>
                <w:rFonts w:ascii="Arial Narrow" w:hAnsi="Arial Narrow"/>
                <w:sz w:val="20"/>
                <w:szCs w:val="20"/>
              </w:rPr>
              <w:t xml:space="preserve"> Technical Information document</w:t>
            </w:r>
          </w:p>
          <w:p w14:paraId="290E0149" w14:textId="77777777" w:rsidR="00C905D6" w:rsidRPr="0039629C" w:rsidRDefault="00C905D6" w:rsidP="00C905D6">
            <w:pPr>
              <w:widowControl w:val="0"/>
              <w:spacing w:before="0" w:after="0"/>
              <w:rPr>
                <w:rFonts w:ascii="Arial Narrow" w:hAnsi="Arial Narrow"/>
                <w:sz w:val="16"/>
                <w:szCs w:val="16"/>
              </w:rPr>
            </w:pPr>
          </w:p>
          <w:p w14:paraId="4BF84BC9" w14:textId="77777777" w:rsidR="00C905D6" w:rsidRPr="000A7BB0" w:rsidRDefault="00C905D6" w:rsidP="00C905D6">
            <w:pPr>
              <w:widowControl w:val="0"/>
              <w:spacing w:before="0" w:after="0"/>
              <w:rPr>
                <w:rFonts w:ascii="Arial Narrow" w:hAnsi="Arial Narrow"/>
                <w:sz w:val="20"/>
                <w:szCs w:val="20"/>
              </w:rPr>
            </w:pPr>
            <w:r w:rsidRPr="000A7BB0">
              <w:rPr>
                <w:rFonts w:ascii="Arial Narrow" w:hAnsi="Arial Narrow"/>
                <w:sz w:val="20"/>
                <w:szCs w:val="20"/>
              </w:rPr>
              <w:t>EMERALD trial</w:t>
            </w:r>
          </w:p>
          <w:p w14:paraId="0F802CEC" w14:textId="77777777" w:rsidR="00C905D6" w:rsidRPr="0039629C" w:rsidRDefault="00C905D6" w:rsidP="00C905D6">
            <w:pPr>
              <w:widowControl w:val="0"/>
              <w:spacing w:before="0" w:after="0" w:line="254" w:lineRule="auto"/>
              <w:rPr>
                <w:rFonts w:ascii="Arial Narrow" w:hAnsi="Arial Narrow"/>
                <w:sz w:val="16"/>
                <w:szCs w:val="16"/>
              </w:rPr>
            </w:pPr>
          </w:p>
          <w:p w14:paraId="4348177A" w14:textId="6C7D45FA"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 xml:space="preserve">These sources were used to demonstrate the analytical performance, precision and concordance of the clinical utility standard. The submission identified numerous other studies relating to Guardant360® </w:t>
            </w:r>
            <w:proofErr w:type="spellStart"/>
            <w:r w:rsidRPr="000A7BB0">
              <w:rPr>
                <w:rFonts w:ascii="Arial Narrow" w:hAnsi="Arial Narrow"/>
                <w:sz w:val="20"/>
                <w:szCs w:val="20"/>
              </w:rPr>
              <w:t>CDx</w:t>
            </w:r>
            <w:proofErr w:type="spellEnd"/>
            <w:r w:rsidRPr="000A7BB0">
              <w:rPr>
                <w:rFonts w:ascii="Arial Narrow" w:hAnsi="Arial Narrow"/>
                <w:sz w:val="20"/>
                <w:szCs w:val="20"/>
              </w:rPr>
              <w:t xml:space="preserve"> assays but were not considered during the evaluation as they were poster abstract or not relevant to the submission’s clinical claim.</w:t>
            </w:r>
          </w:p>
        </w:tc>
        <w:tc>
          <w:tcPr>
            <w:tcW w:w="1559" w:type="dxa"/>
            <w:tcBorders>
              <w:top w:val="single" w:sz="4" w:space="0" w:color="auto"/>
              <w:left w:val="single" w:sz="4" w:space="0" w:color="auto"/>
              <w:bottom w:val="single" w:sz="4" w:space="0" w:color="auto"/>
              <w:right w:val="single" w:sz="4" w:space="0" w:color="auto"/>
            </w:tcBorders>
            <w:vAlign w:val="center"/>
          </w:tcPr>
          <w:p w14:paraId="3FB97092" w14:textId="77777777" w:rsidR="00C905D6" w:rsidRPr="000A7BB0" w:rsidRDefault="00000000" w:rsidP="00C905D6">
            <w:pPr>
              <w:widowControl w:val="0"/>
              <w:spacing w:before="0" w:after="0" w:line="254" w:lineRule="auto"/>
              <w:rPr>
                <w:rFonts w:ascii="Arial Narrow" w:hAnsi="Arial Narrow"/>
                <w:sz w:val="20"/>
              </w:rPr>
            </w:pPr>
            <w:sdt>
              <w:sdtPr>
                <w:rPr>
                  <w:rFonts w:ascii="Arial Narrow" w:hAnsi="Arial Narrow"/>
                  <w:sz w:val="20"/>
                </w:rPr>
                <w:id w:val="1428999567"/>
                <w14:checkbox>
                  <w14:checked w14:val="1"/>
                  <w14:checkedState w14:val="2612" w14:font="MS Gothic"/>
                  <w14:uncheckedState w14:val="2610" w14:font="MS Gothic"/>
                </w14:checkbox>
              </w:sdtPr>
              <w:sdtContent>
                <w:r w:rsidR="00C905D6" w:rsidRPr="000A7BB0">
                  <w:rPr>
                    <w:rFonts w:ascii="Segoe UI Symbol" w:hAnsi="Segoe UI Symbol" w:cs="Segoe UI Symbol"/>
                    <w:sz w:val="20"/>
                  </w:rPr>
                  <w:t>☒</w:t>
                </w:r>
              </w:sdtContent>
            </w:sdt>
            <w:r w:rsidR="00C905D6" w:rsidRPr="000A7BB0">
              <w:rPr>
                <w:rFonts w:ascii="Arial Narrow" w:hAnsi="Arial Narrow"/>
                <w:sz w:val="20"/>
              </w:rPr>
              <w:tab/>
              <w:t>k=3</w:t>
            </w:r>
            <w:r w:rsidR="00C905D6" w:rsidRPr="000A7BB0">
              <w:rPr>
                <w:rFonts w:ascii="Arial Narrow" w:hAnsi="Arial Narrow"/>
                <w:sz w:val="20"/>
              </w:rPr>
              <w:tab/>
              <w:t xml:space="preserve">n=756  </w:t>
            </w:r>
          </w:p>
          <w:p w14:paraId="4820754B" w14:textId="77777777" w:rsidR="00C905D6" w:rsidRPr="000A7BB0" w:rsidRDefault="00C905D6" w:rsidP="00C905D6">
            <w:pPr>
              <w:widowControl w:val="0"/>
              <w:spacing w:before="0" w:after="0" w:line="254" w:lineRule="auto"/>
              <w:jc w:val="center"/>
              <w:rPr>
                <w:rFonts w:ascii="Arial Narrow" w:hAnsi="Arial Narrow"/>
                <w:sz w:val="20"/>
              </w:rPr>
            </w:pPr>
            <w:r w:rsidRPr="000A7BB0">
              <w:rPr>
                <w:rFonts w:ascii="Arial Narrow" w:hAnsi="Arial Narrow"/>
                <w:sz w:val="20"/>
              </w:rPr>
              <w:t>(24+254+478)</w:t>
            </w:r>
          </w:p>
        </w:tc>
        <w:tc>
          <w:tcPr>
            <w:tcW w:w="970" w:type="dxa"/>
            <w:tcBorders>
              <w:top w:val="single" w:sz="4" w:space="0" w:color="auto"/>
              <w:left w:val="single" w:sz="4" w:space="0" w:color="auto"/>
              <w:bottom w:val="single" w:sz="4" w:space="0" w:color="auto"/>
              <w:right w:val="single" w:sz="4" w:space="0" w:color="auto"/>
            </w:tcBorders>
            <w:vAlign w:val="center"/>
          </w:tcPr>
          <w:p w14:paraId="20409970"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w:t>
            </w:r>
          </w:p>
          <w:p w14:paraId="694B1355" w14:textId="77777777" w:rsidR="00C905D6" w:rsidRPr="000A7BB0" w:rsidRDefault="00C905D6" w:rsidP="00C905D6">
            <w:pPr>
              <w:widowControl w:val="0"/>
              <w:spacing w:before="0" w:after="0" w:line="254" w:lineRule="auto"/>
              <w:rPr>
                <w:rFonts w:ascii="Arial Narrow" w:hAnsi="Arial Narrow"/>
                <w:sz w:val="20"/>
              </w:rPr>
            </w:pPr>
          </w:p>
          <w:p w14:paraId="0031A62F" w14:textId="77777777" w:rsidR="00C905D6" w:rsidRPr="000A7BB0" w:rsidRDefault="00C905D6" w:rsidP="00C905D6">
            <w:pPr>
              <w:widowControl w:val="0"/>
              <w:spacing w:before="0" w:after="0"/>
              <w:rPr>
                <w:rFonts w:ascii="Arial Narrow" w:hAnsi="Arial Narrow"/>
                <w:sz w:val="20"/>
              </w:rPr>
            </w:pPr>
            <w:r w:rsidRPr="000A7BB0">
              <w:rPr>
                <w:rFonts w:ascii="Arial Narrow" w:hAnsi="Arial Narrow"/>
                <w:sz w:val="20"/>
              </w:rPr>
              <w:t>-</w:t>
            </w:r>
          </w:p>
          <w:p w14:paraId="0BC107AF" w14:textId="77777777" w:rsidR="00C905D6" w:rsidRPr="000A7BB0" w:rsidRDefault="00C905D6" w:rsidP="00C905D6">
            <w:pPr>
              <w:widowControl w:val="0"/>
              <w:spacing w:before="0" w:after="0" w:line="254" w:lineRule="auto"/>
              <w:rPr>
                <w:rFonts w:ascii="Arial Narrow" w:hAnsi="Arial Narrow"/>
                <w:sz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0750774E"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Not used</w:t>
            </w:r>
          </w:p>
        </w:tc>
      </w:tr>
      <w:tr w:rsidR="00C905D6" w:rsidRPr="000A7BB0" w14:paraId="1FFE1B84" w14:textId="77777777" w:rsidTr="00470B01">
        <w:trPr>
          <w:trHeight w:val="231"/>
        </w:trPr>
        <w:tc>
          <w:tcPr>
            <w:tcW w:w="7911" w:type="dxa"/>
            <w:gridSpan w:val="4"/>
            <w:tcBorders>
              <w:top w:val="single" w:sz="4" w:space="0" w:color="auto"/>
              <w:left w:val="single" w:sz="4" w:space="0" w:color="auto"/>
              <w:bottom w:val="single" w:sz="4" w:space="0" w:color="auto"/>
              <w:right w:val="single" w:sz="4" w:space="0" w:color="auto"/>
            </w:tcBorders>
            <w:vAlign w:val="center"/>
          </w:tcPr>
          <w:p w14:paraId="02BED05D" w14:textId="77777777" w:rsidR="00C905D6" w:rsidRPr="000A7BB0" w:rsidRDefault="00C905D6" w:rsidP="003D430D">
            <w:pPr>
              <w:keepNext/>
              <w:widowControl w:val="0"/>
              <w:spacing w:before="0" w:after="0" w:line="254" w:lineRule="auto"/>
              <w:rPr>
                <w:rFonts w:ascii="Arial Narrow" w:hAnsi="Arial Narrow"/>
                <w:sz w:val="20"/>
              </w:rPr>
            </w:pPr>
            <w:r w:rsidRPr="000A7BB0">
              <w:rPr>
                <w:rFonts w:ascii="Arial Narrow" w:hAnsi="Arial Narrow"/>
                <w:b/>
                <w:bCs/>
                <w:sz w:val="20"/>
              </w:rPr>
              <w:t>Others</w:t>
            </w:r>
          </w:p>
        </w:tc>
        <w:tc>
          <w:tcPr>
            <w:tcW w:w="1105" w:type="dxa"/>
            <w:tcBorders>
              <w:top w:val="single" w:sz="4" w:space="0" w:color="auto"/>
              <w:left w:val="single" w:sz="4" w:space="0" w:color="auto"/>
              <w:bottom w:val="single" w:sz="4" w:space="0" w:color="auto"/>
              <w:right w:val="single" w:sz="4" w:space="0" w:color="auto"/>
            </w:tcBorders>
            <w:vAlign w:val="center"/>
          </w:tcPr>
          <w:p w14:paraId="6D4C379B" w14:textId="77777777" w:rsidR="00C905D6" w:rsidRPr="000A7BB0" w:rsidRDefault="00C905D6" w:rsidP="00C905D6">
            <w:pPr>
              <w:widowControl w:val="0"/>
              <w:spacing w:before="0" w:after="0" w:line="254" w:lineRule="auto"/>
              <w:rPr>
                <w:rFonts w:ascii="Arial Narrow" w:hAnsi="Arial Narrow"/>
                <w:b/>
                <w:bCs/>
                <w:sz w:val="20"/>
              </w:rPr>
            </w:pPr>
          </w:p>
        </w:tc>
      </w:tr>
      <w:tr w:rsidR="00C905D6" w:rsidRPr="000A7BB0" w14:paraId="7821092C" w14:textId="77777777" w:rsidTr="00470B01">
        <w:trPr>
          <w:trHeight w:val="621"/>
        </w:trPr>
        <w:tc>
          <w:tcPr>
            <w:tcW w:w="1296" w:type="dxa"/>
            <w:tcBorders>
              <w:top w:val="single" w:sz="4" w:space="0" w:color="auto"/>
              <w:left w:val="single" w:sz="4" w:space="0" w:color="auto"/>
              <w:bottom w:val="single" w:sz="4" w:space="0" w:color="auto"/>
              <w:right w:val="single" w:sz="4" w:space="0" w:color="auto"/>
            </w:tcBorders>
            <w:vAlign w:val="center"/>
          </w:tcPr>
          <w:p w14:paraId="72725837" w14:textId="2E0756C1" w:rsidR="00C905D6" w:rsidRPr="000A7BB0" w:rsidRDefault="00C905D6" w:rsidP="00C905D6">
            <w:pPr>
              <w:widowControl w:val="0"/>
              <w:spacing w:before="0" w:after="0"/>
              <w:rPr>
                <w:rFonts w:ascii="Arial Narrow" w:hAnsi="Arial Narrow"/>
                <w:sz w:val="20"/>
              </w:rPr>
            </w:pPr>
            <w:r w:rsidRPr="000A7BB0">
              <w:rPr>
                <w:rFonts w:ascii="Arial Narrow" w:hAnsi="Arial Narrow"/>
                <w:sz w:val="20"/>
              </w:rPr>
              <w:t xml:space="preserve">Comparison of tissue and liquid biopsy test methods for detecting </w:t>
            </w:r>
            <w:r w:rsidRPr="000A7BB0">
              <w:rPr>
                <w:rFonts w:ascii="Arial Narrow" w:hAnsi="Arial Narrow"/>
                <w:i/>
                <w:sz w:val="20"/>
              </w:rPr>
              <w:t>ESR1</w:t>
            </w:r>
            <w:r w:rsidRPr="000A7BB0">
              <w:rPr>
                <w:rFonts w:ascii="Arial Narrow" w:hAnsi="Arial Narrow"/>
                <w:sz w:val="20"/>
              </w:rPr>
              <w:t>-mut</w:t>
            </w:r>
          </w:p>
        </w:tc>
        <w:tc>
          <w:tcPr>
            <w:tcW w:w="4086" w:type="dxa"/>
            <w:tcBorders>
              <w:top w:val="single" w:sz="4" w:space="0" w:color="auto"/>
              <w:left w:val="single" w:sz="4" w:space="0" w:color="auto"/>
              <w:bottom w:val="single" w:sz="4" w:space="0" w:color="auto"/>
              <w:right w:val="single" w:sz="4" w:space="0" w:color="auto"/>
            </w:tcBorders>
            <w:vAlign w:val="center"/>
          </w:tcPr>
          <w:p w14:paraId="27AF17D7"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Two meta-analyses (Najim et al, (2023) and Raei et al, (2024)).</w:t>
            </w:r>
          </w:p>
          <w:p w14:paraId="03324F47" w14:textId="77777777" w:rsidR="00C905D6" w:rsidRPr="000A7BB0" w:rsidRDefault="00C905D6" w:rsidP="00C905D6">
            <w:pPr>
              <w:widowControl w:val="0"/>
              <w:spacing w:before="0" w:after="0" w:line="254" w:lineRule="auto"/>
              <w:rPr>
                <w:rFonts w:ascii="Arial Narrow" w:hAnsi="Arial Narrow"/>
                <w:sz w:val="20"/>
              </w:rPr>
            </w:pPr>
          </w:p>
          <w:p w14:paraId="3C1804CD" w14:textId="068F9366"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 xml:space="preserve">The submission appeared to have presented 16 studies (as many were repeated across the submission). 13 of the studies may offer data for concordance of studies of tissue and liquid biopsy test methods for detecting </w:t>
            </w:r>
            <w:r w:rsidRPr="000A7BB0">
              <w:rPr>
                <w:rFonts w:ascii="Arial Narrow" w:hAnsi="Arial Narrow"/>
                <w:i/>
                <w:iCs/>
                <w:sz w:val="20"/>
                <w:szCs w:val="20"/>
              </w:rPr>
              <w:t>ESR1</w:t>
            </w:r>
            <w:r w:rsidRPr="000A7BB0">
              <w:rPr>
                <w:rFonts w:ascii="Arial Narrow" w:hAnsi="Arial Narrow"/>
                <w:sz w:val="20"/>
                <w:szCs w:val="20"/>
              </w:rPr>
              <w:t>-</w:t>
            </w:r>
            <w:r w:rsidR="374CA528" w:rsidRPr="000A7BB0">
              <w:rPr>
                <w:rFonts w:ascii="Arial Narrow" w:hAnsi="Arial Narrow"/>
                <w:sz w:val="20"/>
                <w:szCs w:val="20"/>
              </w:rPr>
              <w:t xml:space="preserve">variant </w:t>
            </w:r>
            <w:r w:rsidRPr="000A7BB0">
              <w:rPr>
                <w:rFonts w:ascii="Arial Narrow" w:hAnsi="Arial Narrow"/>
                <w:sz w:val="20"/>
                <w:szCs w:val="20"/>
              </w:rPr>
              <w:t xml:space="preserve">but were not </w:t>
            </w:r>
            <w:r w:rsidRPr="000A7BB0">
              <w:rPr>
                <w:rFonts w:ascii="Arial Narrow" w:hAnsi="Arial Narrow"/>
                <w:sz w:val="20"/>
                <w:szCs w:val="20"/>
              </w:rPr>
              <w:lastRenderedPageBreak/>
              <w:t>presented in a manner that permitted comparison across each of the methods for the key characteristics, or outcomes sensitivity, specificity, PPV, NPV.</w:t>
            </w:r>
          </w:p>
        </w:tc>
        <w:tc>
          <w:tcPr>
            <w:tcW w:w="1559" w:type="dxa"/>
            <w:tcBorders>
              <w:top w:val="single" w:sz="4" w:space="0" w:color="auto"/>
              <w:left w:val="single" w:sz="4" w:space="0" w:color="auto"/>
              <w:bottom w:val="single" w:sz="4" w:space="0" w:color="auto"/>
              <w:right w:val="single" w:sz="4" w:space="0" w:color="auto"/>
            </w:tcBorders>
            <w:vAlign w:val="center"/>
          </w:tcPr>
          <w:p w14:paraId="007CF430" w14:textId="77777777" w:rsidR="00C905D6" w:rsidRPr="000A7BB0" w:rsidRDefault="00000000" w:rsidP="00C905D6">
            <w:pPr>
              <w:widowControl w:val="0"/>
              <w:spacing w:before="0" w:after="0" w:line="254" w:lineRule="auto"/>
              <w:rPr>
                <w:rFonts w:ascii="Arial Narrow" w:hAnsi="Arial Narrow"/>
                <w:sz w:val="20"/>
              </w:rPr>
            </w:pPr>
            <w:sdt>
              <w:sdtPr>
                <w:rPr>
                  <w:rFonts w:ascii="Arial Narrow" w:hAnsi="Arial Narrow"/>
                  <w:sz w:val="20"/>
                </w:rPr>
                <w:id w:val="2032063551"/>
                <w14:checkbox>
                  <w14:checked w14:val="1"/>
                  <w14:checkedState w14:val="2612" w14:font="MS Gothic"/>
                  <w14:uncheckedState w14:val="2610" w14:font="MS Gothic"/>
                </w14:checkbox>
              </w:sdtPr>
              <w:sdtContent>
                <w:r w:rsidR="00C905D6" w:rsidRPr="000A7BB0">
                  <w:rPr>
                    <w:rFonts w:ascii="Segoe UI Symbol" w:hAnsi="Segoe UI Symbol" w:cs="Segoe UI Symbol"/>
                    <w:sz w:val="20"/>
                  </w:rPr>
                  <w:t>☒</w:t>
                </w:r>
              </w:sdtContent>
            </w:sdt>
            <w:r w:rsidR="00C905D6" w:rsidRPr="000A7BB0">
              <w:rPr>
                <w:rFonts w:ascii="Arial Narrow" w:hAnsi="Arial Narrow"/>
                <w:sz w:val="20"/>
              </w:rPr>
              <w:tab/>
              <w:t>k=2</w:t>
            </w:r>
            <w:r w:rsidR="00C905D6" w:rsidRPr="000A7BB0">
              <w:rPr>
                <w:rFonts w:ascii="Arial Narrow" w:hAnsi="Arial Narrow"/>
                <w:sz w:val="20"/>
              </w:rPr>
              <w:tab/>
              <w:t>n=3,133</w:t>
            </w:r>
          </w:p>
          <w:p w14:paraId="54B07309" w14:textId="77777777" w:rsidR="00C905D6" w:rsidRPr="000A7BB0" w:rsidRDefault="00C905D6" w:rsidP="00C905D6">
            <w:pPr>
              <w:widowControl w:val="0"/>
              <w:spacing w:before="0" w:after="0" w:line="254" w:lineRule="auto"/>
              <w:jc w:val="center"/>
              <w:rPr>
                <w:rFonts w:ascii="Arial Narrow" w:hAnsi="Arial Narrow"/>
                <w:sz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1039F072"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 xml:space="preserve">Moderate </w:t>
            </w:r>
            <w:r w:rsidRPr="000A7BB0">
              <w:rPr>
                <w:rFonts w:ascii="Arial Narrow" w:hAnsi="Arial Narrow"/>
                <w:sz w:val="20"/>
                <w:vertAlign w:val="superscript"/>
              </w:rPr>
              <w:t>b</w:t>
            </w:r>
            <w:r w:rsidRPr="000A7BB0">
              <w:rPr>
                <w:rFonts w:ascii="Arial Narrow" w:hAnsi="Arial Narrow"/>
                <w:sz w:val="20"/>
              </w:rPr>
              <w:t xml:space="preserve"> </w:t>
            </w:r>
          </w:p>
        </w:tc>
        <w:tc>
          <w:tcPr>
            <w:tcW w:w="1105" w:type="dxa"/>
            <w:tcBorders>
              <w:top w:val="single" w:sz="4" w:space="0" w:color="auto"/>
              <w:left w:val="single" w:sz="4" w:space="0" w:color="auto"/>
              <w:bottom w:val="single" w:sz="4" w:space="0" w:color="auto"/>
              <w:right w:val="single" w:sz="4" w:space="0" w:color="auto"/>
            </w:tcBorders>
            <w:vAlign w:val="center"/>
          </w:tcPr>
          <w:p w14:paraId="19CA11FE" w14:textId="77777777" w:rsidR="00C905D6" w:rsidRPr="000A7BB0" w:rsidRDefault="00C905D6" w:rsidP="00C905D6">
            <w:pPr>
              <w:widowControl w:val="0"/>
              <w:spacing w:before="0" w:after="0" w:line="254" w:lineRule="auto"/>
              <w:jc w:val="center"/>
              <w:rPr>
                <w:rFonts w:ascii="Arial Narrow" w:hAnsi="Arial Narrow"/>
                <w:sz w:val="20"/>
              </w:rPr>
            </w:pPr>
            <w:r w:rsidRPr="000A7BB0">
              <w:rPr>
                <w:rFonts w:ascii="Arial Narrow" w:hAnsi="Arial Narrow"/>
                <w:sz w:val="20"/>
              </w:rPr>
              <w:t>Not used</w:t>
            </w:r>
          </w:p>
        </w:tc>
      </w:tr>
      <w:tr w:rsidR="00C905D6" w:rsidRPr="000A7BB0" w14:paraId="609C755E" w14:textId="77777777" w:rsidTr="00470B01">
        <w:trPr>
          <w:trHeight w:val="621"/>
        </w:trPr>
        <w:tc>
          <w:tcPr>
            <w:tcW w:w="1296" w:type="dxa"/>
            <w:tcBorders>
              <w:top w:val="single" w:sz="4" w:space="0" w:color="auto"/>
              <w:left w:val="single" w:sz="4" w:space="0" w:color="auto"/>
              <w:bottom w:val="single" w:sz="4" w:space="0" w:color="auto"/>
              <w:right w:val="single" w:sz="4" w:space="0" w:color="auto"/>
            </w:tcBorders>
            <w:vAlign w:val="center"/>
          </w:tcPr>
          <w:p w14:paraId="2669DD43" w14:textId="77777777" w:rsidR="00C905D6" w:rsidRPr="000A7BB0" w:rsidRDefault="00C905D6" w:rsidP="00C905D6">
            <w:pPr>
              <w:widowControl w:val="0"/>
              <w:spacing w:before="0" w:after="0"/>
              <w:rPr>
                <w:rFonts w:ascii="Arial Narrow" w:hAnsi="Arial Narrow"/>
                <w:sz w:val="20"/>
              </w:rPr>
            </w:pPr>
            <w:r w:rsidRPr="000A7BB0">
              <w:rPr>
                <w:rFonts w:ascii="Arial Narrow" w:hAnsi="Arial Narrow"/>
                <w:sz w:val="20"/>
              </w:rPr>
              <w:t xml:space="preserve">Comparison of detection of </w:t>
            </w:r>
            <w:r w:rsidRPr="000A7BB0">
              <w:rPr>
                <w:rFonts w:ascii="Arial Narrow" w:hAnsi="Arial Narrow"/>
                <w:i/>
                <w:iCs/>
                <w:sz w:val="20"/>
              </w:rPr>
              <w:t>ESR1</w:t>
            </w:r>
            <w:r w:rsidRPr="000A7BB0">
              <w:rPr>
                <w:rFonts w:ascii="Arial Narrow" w:hAnsi="Arial Narrow"/>
                <w:sz w:val="20"/>
              </w:rPr>
              <w:t xml:space="preserve"> ctDNA using NGS versus PCR</w:t>
            </w:r>
          </w:p>
        </w:tc>
        <w:tc>
          <w:tcPr>
            <w:tcW w:w="4086" w:type="dxa"/>
            <w:tcBorders>
              <w:top w:val="single" w:sz="4" w:space="0" w:color="auto"/>
              <w:left w:val="single" w:sz="4" w:space="0" w:color="auto"/>
              <w:bottom w:val="single" w:sz="4" w:space="0" w:color="auto"/>
              <w:right w:val="single" w:sz="4" w:space="0" w:color="auto"/>
            </w:tcBorders>
          </w:tcPr>
          <w:p w14:paraId="465A2BFB"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Two meta-analyses (Najim et al, (2023) and Raei et al, (2024)) were considered the strongest evidence in support of NGS versus PCR comparison.</w:t>
            </w:r>
          </w:p>
          <w:p w14:paraId="0C561175" w14:textId="77777777" w:rsidR="00C905D6" w:rsidRPr="000A7BB0" w:rsidRDefault="00C905D6" w:rsidP="00C905D6">
            <w:pPr>
              <w:widowControl w:val="0"/>
              <w:spacing w:before="0" w:after="0" w:line="254" w:lineRule="auto"/>
              <w:rPr>
                <w:rFonts w:ascii="Arial Narrow" w:hAnsi="Arial Narrow"/>
                <w:sz w:val="20"/>
              </w:rPr>
            </w:pPr>
          </w:p>
          <w:p w14:paraId="5CE85DBD" w14:textId="7E9E77BC"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 xml:space="preserve">The submission identified </w:t>
            </w:r>
            <w:r w:rsidR="7B09051C" w:rsidRPr="000A7BB0">
              <w:rPr>
                <w:rFonts w:ascii="Arial Narrow" w:hAnsi="Arial Narrow"/>
                <w:sz w:val="20"/>
                <w:szCs w:val="20"/>
              </w:rPr>
              <w:t xml:space="preserve">4 </w:t>
            </w:r>
            <w:r w:rsidRPr="000A7BB0">
              <w:rPr>
                <w:rFonts w:ascii="Arial Narrow" w:hAnsi="Arial Narrow"/>
                <w:sz w:val="20"/>
                <w:szCs w:val="20"/>
              </w:rPr>
              <w:t xml:space="preserve">other studies that have not been described in detail. </w:t>
            </w:r>
          </w:p>
        </w:tc>
        <w:tc>
          <w:tcPr>
            <w:tcW w:w="1559" w:type="dxa"/>
            <w:tcBorders>
              <w:top w:val="single" w:sz="4" w:space="0" w:color="auto"/>
              <w:left w:val="single" w:sz="4" w:space="0" w:color="auto"/>
              <w:bottom w:val="single" w:sz="4" w:space="0" w:color="auto"/>
              <w:right w:val="single" w:sz="4" w:space="0" w:color="auto"/>
            </w:tcBorders>
            <w:vAlign w:val="center"/>
          </w:tcPr>
          <w:p w14:paraId="59610A41" w14:textId="77777777" w:rsidR="00C905D6" w:rsidRPr="000A7BB0" w:rsidRDefault="00000000" w:rsidP="00C905D6">
            <w:pPr>
              <w:widowControl w:val="0"/>
              <w:spacing w:before="0" w:after="0" w:line="254" w:lineRule="auto"/>
              <w:rPr>
                <w:rFonts w:ascii="Arial Narrow" w:hAnsi="Arial Narrow"/>
                <w:sz w:val="20"/>
              </w:rPr>
            </w:pPr>
            <w:sdt>
              <w:sdtPr>
                <w:rPr>
                  <w:rFonts w:ascii="Arial Narrow" w:hAnsi="Arial Narrow"/>
                  <w:sz w:val="20"/>
                </w:rPr>
                <w:id w:val="-635339667"/>
                <w14:checkbox>
                  <w14:checked w14:val="1"/>
                  <w14:checkedState w14:val="2612" w14:font="MS Gothic"/>
                  <w14:uncheckedState w14:val="2610" w14:font="MS Gothic"/>
                </w14:checkbox>
              </w:sdtPr>
              <w:sdtContent>
                <w:r w:rsidR="00C905D6" w:rsidRPr="000A7BB0">
                  <w:rPr>
                    <w:rFonts w:ascii="Segoe UI Symbol" w:hAnsi="Segoe UI Symbol" w:cs="Segoe UI Symbol"/>
                    <w:sz w:val="20"/>
                  </w:rPr>
                  <w:t>☒</w:t>
                </w:r>
              </w:sdtContent>
            </w:sdt>
            <w:r w:rsidR="00C905D6" w:rsidRPr="000A7BB0">
              <w:rPr>
                <w:rFonts w:ascii="Arial Narrow" w:hAnsi="Arial Narrow"/>
                <w:sz w:val="20"/>
              </w:rPr>
              <w:tab/>
              <w:t>k=2</w:t>
            </w:r>
            <w:r w:rsidR="00C905D6" w:rsidRPr="000A7BB0">
              <w:rPr>
                <w:rFonts w:ascii="Arial Narrow" w:hAnsi="Arial Narrow"/>
                <w:sz w:val="20"/>
              </w:rPr>
              <w:tab/>
              <w:t>n=2,744</w:t>
            </w:r>
          </w:p>
          <w:p w14:paraId="7AD33D58" w14:textId="77777777" w:rsidR="00C905D6" w:rsidRPr="000A7BB0" w:rsidRDefault="00C905D6" w:rsidP="00C905D6">
            <w:pPr>
              <w:widowControl w:val="0"/>
              <w:spacing w:before="0" w:after="0" w:line="254" w:lineRule="auto"/>
              <w:jc w:val="center"/>
              <w:rPr>
                <w:rFonts w:ascii="Arial Narrow" w:hAnsi="Arial Narrow"/>
                <w:sz w:val="20"/>
              </w:rPr>
            </w:pPr>
            <w:r w:rsidRPr="000A7BB0">
              <w:rPr>
                <w:rFonts w:ascii="Arial Narrow" w:hAnsi="Arial Narrow"/>
                <w:sz w:val="20"/>
              </w:rPr>
              <w:t>(1684+1060)</w:t>
            </w:r>
          </w:p>
          <w:p w14:paraId="14E56217" w14:textId="77777777" w:rsidR="00C905D6" w:rsidRPr="000A7BB0" w:rsidRDefault="00C905D6" w:rsidP="00C905D6">
            <w:pPr>
              <w:widowControl w:val="0"/>
              <w:spacing w:before="0" w:after="0" w:line="254" w:lineRule="auto"/>
              <w:jc w:val="center"/>
              <w:rPr>
                <w:rFonts w:ascii="Arial Narrow" w:hAnsi="Arial Narrow"/>
                <w:sz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3EF0CF6B"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 xml:space="preserve">Moderate </w:t>
            </w:r>
            <w:r w:rsidRPr="000A7BB0">
              <w:rPr>
                <w:rFonts w:ascii="Arial Narrow" w:hAnsi="Arial Narrow"/>
                <w:sz w:val="20"/>
                <w:vertAlign w:val="superscript"/>
              </w:rPr>
              <w:t>b</w:t>
            </w:r>
            <w:r w:rsidRPr="000A7BB0">
              <w:rPr>
                <w:rFonts w:ascii="Arial Narrow" w:hAnsi="Arial Narrow"/>
                <w:sz w:val="20"/>
              </w:rPr>
              <w:t xml:space="preserve"> </w:t>
            </w:r>
          </w:p>
        </w:tc>
        <w:tc>
          <w:tcPr>
            <w:tcW w:w="1105" w:type="dxa"/>
            <w:tcBorders>
              <w:top w:val="single" w:sz="4" w:space="0" w:color="auto"/>
              <w:left w:val="single" w:sz="4" w:space="0" w:color="auto"/>
              <w:bottom w:val="single" w:sz="4" w:space="0" w:color="auto"/>
              <w:right w:val="single" w:sz="4" w:space="0" w:color="auto"/>
            </w:tcBorders>
            <w:vAlign w:val="center"/>
          </w:tcPr>
          <w:p w14:paraId="37520527"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Not used</w:t>
            </w:r>
          </w:p>
        </w:tc>
      </w:tr>
      <w:tr w:rsidR="00C905D6" w:rsidRPr="000A7BB0" w14:paraId="70232788" w14:textId="77777777" w:rsidTr="00470B01">
        <w:trPr>
          <w:trHeight w:val="621"/>
        </w:trPr>
        <w:tc>
          <w:tcPr>
            <w:tcW w:w="1296" w:type="dxa"/>
            <w:tcBorders>
              <w:top w:val="single" w:sz="4" w:space="0" w:color="auto"/>
              <w:left w:val="single" w:sz="4" w:space="0" w:color="auto"/>
              <w:bottom w:val="single" w:sz="4" w:space="0" w:color="auto"/>
              <w:right w:val="single" w:sz="4" w:space="0" w:color="auto"/>
            </w:tcBorders>
            <w:vAlign w:val="center"/>
          </w:tcPr>
          <w:p w14:paraId="6D4F8CEF" w14:textId="77777777" w:rsidR="00C905D6" w:rsidRPr="000A7BB0" w:rsidRDefault="00C905D6" w:rsidP="00C905D6">
            <w:pPr>
              <w:widowControl w:val="0"/>
              <w:spacing w:before="0" w:after="0"/>
              <w:rPr>
                <w:rFonts w:ascii="Arial Narrow" w:hAnsi="Arial Narrow"/>
                <w:sz w:val="20"/>
              </w:rPr>
            </w:pPr>
            <w:r w:rsidRPr="000A7BB0">
              <w:rPr>
                <w:rFonts w:ascii="Arial Narrow" w:hAnsi="Arial Narrow"/>
                <w:sz w:val="20"/>
              </w:rPr>
              <w:t>Concordance data</w:t>
            </w:r>
          </w:p>
        </w:tc>
        <w:tc>
          <w:tcPr>
            <w:tcW w:w="4086" w:type="dxa"/>
            <w:tcBorders>
              <w:top w:val="single" w:sz="4" w:space="0" w:color="auto"/>
              <w:left w:val="single" w:sz="4" w:space="0" w:color="auto"/>
              <w:bottom w:val="single" w:sz="4" w:space="0" w:color="auto"/>
              <w:right w:val="single" w:sz="4" w:space="0" w:color="auto"/>
            </w:tcBorders>
          </w:tcPr>
          <w:p w14:paraId="1FDE9B59" w14:textId="5846C4CA" w:rsidR="00C905D6" w:rsidRPr="000A7BB0" w:rsidRDefault="00C905D6" w:rsidP="74877A7E">
            <w:pPr>
              <w:widowControl w:val="0"/>
              <w:spacing w:before="0" w:after="0" w:line="254" w:lineRule="auto"/>
              <w:rPr>
                <w:rFonts w:ascii="Arial Narrow" w:hAnsi="Arial Narrow"/>
                <w:sz w:val="20"/>
                <w:szCs w:val="20"/>
              </w:rPr>
            </w:pPr>
            <w:r w:rsidRPr="000A7BB0">
              <w:rPr>
                <w:rFonts w:ascii="Arial Narrow" w:hAnsi="Arial Narrow"/>
                <w:sz w:val="20"/>
                <w:szCs w:val="20"/>
              </w:rPr>
              <w:t xml:space="preserve">Two out of the nine studies identified by the submission were considered relevant but provided limited information to support the comparison of test performance as they were not specific to </w:t>
            </w:r>
            <w:r w:rsidRPr="000A7BB0">
              <w:rPr>
                <w:rFonts w:ascii="Arial Narrow" w:hAnsi="Arial Narrow"/>
                <w:i/>
                <w:iCs/>
                <w:sz w:val="20"/>
                <w:szCs w:val="20"/>
              </w:rPr>
              <w:t>ESR1</w:t>
            </w:r>
            <w:r w:rsidRPr="000A7BB0">
              <w:rPr>
                <w:rFonts w:ascii="Arial Narrow" w:hAnsi="Arial Narrow"/>
                <w:sz w:val="20"/>
                <w:szCs w:val="20"/>
              </w:rPr>
              <w:t xml:space="preserve"> </w:t>
            </w:r>
            <w:r w:rsidR="374CA528" w:rsidRPr="000A7BB0">
              <w:rPr>
                <w:rFonts w:ascii="Arial Narrow" w:hAnsi="Arial Narrow"/>
                <w:sz w:val="20"/>
                <w:szCs w:val="20"/>
              </w:rPr>
              <w:t>.</w:t>
            </w:r>
            <w:r w:rsidRPr="000A7BB0">
              <w:rPr>
                <w:rFonts w:ascii="Arial Narrow" w:hAnsi="Arial Narrow"/>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9FA55D0" w14:textId="77777777" w:rsidR="00C905D6" w:rsidRPr="000A7BB0" w:rsidRDefault="00000000" w:rsidP="00C905D6">
            <w:pPr>
              <w:widowControl w:val="0"/>
              <w:spacing w:before="0" w:after="0" w:line="254" w:lineRule="auto"/>
              <w:rPr>
                <w:rFonts w:ascii="Arial Narrow" w:hAnsi="Arial Narrow"/>
                <w:sz w:val="20"/>
              </w:rPr>
            </w:pPr>
            <w:sdt>
              <w:sdtPr>
                <w:rPr>
                  <w:rFonts w:ascii="Arial Narrow" w:hAnsi="Arial Narrow"/>
                  <w:sz w:val="20"/>
                </w:rPr>
                <w:id w:val="-1029489706"/>
                <w14:checkbox>
                  <w14:checked w14:val="0"/>
                  <w14:checkedState w14:val="2612" w14:font="MS Gothic"/>
                  <w14:uncheckedState w14:val="2610" w14:font="MS Gothic"/>
                </w14:checkbox>
              </w:sdtPr>
              <w:sdtContent>
                <w:r w:rsidR="00C905D6" w:rsidRPr="000A7BB0">
                  <w:rPr>
                    <w:rFonts w:ascii="Segoe UI Symbol" w:hAnsi="Segoe UI Symbol" w:cs="Segoe UI Symbol"/>
                    <w:sz w:val="20"/>
                  </w:rPr>
                  <w:t>☐</w:t>
                </w:r>
              </w:sdtContent>
            </w:sdt>
            <w:r w:rsidR="00C905D6" w:rsidRPr="000A7BB0">
              <w:rPr>
                <w:rFonts w:ascii="Arial Narrow" w:hAnsi="Arial Narrow"/>
                <w:sz w:val="20"/>
              </w:rPr>
              <w:tab/>
              <w:t>k=0</w:t>
            </w:r>
            <w:r w:rsidR="00C905D6" w:rsidRPr="000A7BB0">
              <w:rPr>
                <w:rFonts w:ascii="Arial Narrow" w:hAnsi="Arial Narrow"/>
                <w:sz w:val="20"/>
              </w:rPr>
              <w:tab/>
              <w:t>n=0</w:t>
            </w:r>
          </w:p>
        </w:tc>
        <w:tc>
          <w:tcPr>
            <w:tcW w:w="970" w:type="dxa"/>
            <w:tcBorders>
              <w:top w:val="single" w:sz="4" w:space="0" w:color="auto"/>
              <w:left w:val="single" w:sz="4" w:space="0" w:color="auto"/>
              <w:bottom w:val="single" w:sz="4" w:space="0" w:color="auto"/>
              <w:right w:val="single" w:sz="4" w:space="0" w:color="auto"/>
            </w:tcBorders>
            <w:vAlign w:val="center"/>
          </w:tcPr>
          <w:p w14:paraId="53BAD40B"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w:t>
            </w:r>
          </w:p>
        </w:tc>
        <w:tc>
          <w:tcPr>
            <w:tcW w:w="1105" w:type="dxa"/>
            <w:tcBorders>
              <w:top w:val="single" w:sz="4" w:space="0" w:color="auto"/>
              <w:left w:val="single" w:sz="4" w:space="0" w:color="auto"/>
              <w:bottom w:val="single" w:sz="4" w:space="0" w:color="auto"/>
              <w:right w:val="single" w:sz="4" w:space="0" w:color="auto"/>
            </w:tcBorders>
            <w:vAlign w:val="center"/>
          </w:tcPr>
          <w:p w14:paraId="41658EC6" w14:textId="77777777" w:rsidR="00C905D6" w:rsidRPr="000A7BB0" w:rsidRDefault="00C905D6" w:rsidP="00C905D6">
            <w:pPr>
              <w:widowControl w:val="0"/>
              <w:spacing w:before="0" w:after="0" w:line="254" w:lineRule="auto"/>
              <w:rPr>
                <w:rFonts w:ascii="Arial Narrow" w:hAnsi="Arial Narrow"/>
                <w:sz w:val="20"/>
              </w:rPr>
            </w:pPr>
            <w:r w:rsidRPr="000A7BB0">
              <w:rPr>
                <w:rFonts w:ascii="Arial Narrow" w:hAnsi="Arial Narrow"/>
                <w:sz w:val="20"/>
              </w:rPr>
              <w:t>Not used</w:t>
            </w:r>
          </w:p>
        </w:tc>
      </w:tr>
    </w:tbl>
    <w:p w14:paraId="0FB071F0" w14:textId="0439313A" w:rsidR="00C905D6" w:rsidRPr="000A7BB0" w:rsidRDefault="00C905D6" w:rsidP="00C905D6">
      <w:pPr>
        <w:tabs>
          <w:tab w:val="left" w:pos="284"/>
        </w:tabs>
        <w:spacing w:before="0" w:after="0"/>
        <w:rPr>
          <w:rFonts w:ascii="Arial Narrow" w:eastAsia="Times New Roman" w:hAnsi="Arial Narrow" w:cs="Arial"/>
          <w:snapToGrid w:val="0"/>
          <w:sz w:val="18"/>
          <w:lang w:eastAsia="en-AU"/>
        </w:rPr>
      </w:pPr>
      <w:r w:rsidRPr="000A7BB0">
        <w:rPr>
          <w:rFonts w:ascii="Arial Narrow" w:eastAsia="Times New Roman" w:hAnsi="Arial Narrow" w:cs="Arial"/>
          <w:snapToGrid w:val="0"/>
          <w:sz w:val="18"/>
          <w:lang w:eastAsia="en-AU"/>
        </w:rPr>
        <w:t>Source: Compiled during the evaluation from section 2B.3.1. Study design, pp171-173</w:t>
      </w:r>
      <w:r w:rsidR="009E2510" w:rsidRPr="000A7BB0">
        <w:rPr>
          <w:rFonts w:ascii="Arial Narrow" w:eastAsia="Times New Roman" w:hAnsi="Arial Narrow" w:cs="Arial"/>
          <w:snapToGrid w:val="0"/>
          <w:sz w:val="18"/>
          <w:lang w:eastAsia="en-AU"/>
        </w:rPr>
        <w:t xml:space="preserve"> of the submission</w:t>
      </w:r>
      <w:r w:rsidRPr="000A7BB0">
        <w:rPr>
          <w:rFonts w:ascii="Arial Narrow" w:eastAsia="Times New Roman" w:hAnsi="Arial Narrow" w:cs="Arial"/>
          <w:snapToGrid w:val="0"/>
          <w:sz w:val="18"/>
          <w:lang w:eastAsia="en-AU"/>
        </w:rPr>
        <w:t xml:space="preserve">. </w:t>
      </w:r>
    </w:p>
    <w:p w14:paraId="4FA945E2" w14:textId="29B2F31A" w:rsidR="00E13BFB" w:rsidRPr="000A7BB0" w:rsidRDefault="00E13BFB" w:rsidP="00C905D6">
      <w:pPr>
        <w:tabs>
          <w:tab w:val="left" w:pos="284"/>
        </w:tabs>
        <w:spacing w:before="0" w:after="0"/>
        <w:rPr>
          <w:rFonts w:ascii="Arial Narrow" w:eastAsia="Times New Roman" w:hAnsi="Arial Narrow" w:cs="Arial"/>
          <w:snapToGrid w:val="0"/>
          <w:sz w:val="18"/>
          <w:vertAlign w:val="superscript"/>
          <w:lang w:eastAsia="en-AU"/>
        </w:rPr>
      </w:pPr>
      <w:r w:rsidRPr="000A7BB0">
        <w:rPr>
          <w:rFonts w:ascii="Arial Narrow" w:eastAsia="Times New Roman" w:hAnsi="Arial Narrow" w:cs="Arial"/>
          <w:i/>
          <w:iCs/>
          <w:snapToGrid w:val="0"/>
          <w:sz w:val="18"/>
          <w:lang w:eastAsia="en-AU"/>
        </w:rPr>
        <w:t>ESR1</w:t>
      </w:r>
      <w:r w:rsidRPr="000A7BB0">
        <w:rPr>
          <w:rFonts w:ascii="Arial Narrow" w:eastAsia="Times New Roman" w:hAnsi="Arial Narrow" w:cs="Arial"/>
          <w:snapToGrid w:val="0"/>
          <w:sz w:val="18"/>
          <w:lang w:eastAsia="en-AU"/>
        </w:rPr>
        <w:t xml:space="preserve"> = estrogen receptor 1; </w:t>
      </w:r>
      <w:r w:rsidR="001C4E06" w:rsidRPr="000A7BB0">
        <w:rPr>
          <w:rFonts w:ascii="Arial Narrow" w:eastAsia="Times New Roman" w:hAnsi="Arial Narrow" w:cs="Arial"/>
          <w:snapToGrid w:val="0"/>
          <w:sz w:val="18"/>
          <w:lang w:eastAsia="en-AU"/>
        </w:rPr>
        <w:t xml:space="preserve">NPV = negative predictive value; </w:t>
      </w:r>
      <w:r w:rsidRPr="000A7BB0">
        <w:rPr>
          <w:rFonts w:ascii="Arial Narrow" w:eastAsia="Times New Roman" w:hAnsi="Arial Narrow" w:cs="Arial"/>
          <w:snapToGrid w:val="0"/>
          <w:sz w:val="18"/>
          <w:lang w:eastAsia="en-AU"/>
        </w:rPr>
        <w:t xml:space="preserve">OS = overall survival; PFS = progression-free survival; </w:t>
      </w:r>
      <w:r w:rsidR="001C4E06" w:rsidRPr="000A7BB0">
        <w:rPr>
          <w:rFonts w:ascii="Arial Narrow" w:eastAsia="Times New Roman" w:hAnsi="Arial Narrow" w:cs="Arial"/>
          <w:snapToGrid w:val="0"/>
          <w:sz w:val="18"/>
          <w:lang w:eastAsia="en-AU"/>
        </w:rPr>
        <w:t xml:space="preserve">PPV = positive predictive value; </w:t>
      </w:r>
      <w:r w:rsidRPr="000A7BB0">
        <w:rPr>
          <w:rFonts w:ascii="Arial Narrow" w:eastAsia="Times New Roman" w:hAnsi="Arial Narrow" w:cs="Arial"/>
          <w:snapToGrid w:val="0"/>
          <w:sz w:val="18"/>
          <w:lang w:eastAsia="en-AU"/>
        </w:rPr>
        <w:t>SOC = standard of care.</w:t>
      </w:r>
    </w:p>
    <w:p w14:paraId="7F0FBC75" w14:textId="5124E850" w:rsidR="00C905D6" w:rsidRPr="000A7BB0" w:rsidRDefault="00C905D6" w:rsidP="00C905D6">
      <w:pPr>
        <w:tabs>
          <w:tab w:val="left" w:pos="284"/>
        </w:tabs>
        <w:spacing w:before="0" w:after="0"/>
        <w:rPr>
          <w:rFonts w:ascii="Arial Narrow" w:eastAsia="Times New Roman" w:hAnsi="Arial Narrow" w:cs="Arial"/>
          <w:snapToGrid w:val="0"/>
          <w:sz w:val="18"/>
          <w:lang w:eastAsia="en-AU"/>
        </w:rPr>
      </w:pPr>
      <w:r w:rsidRPr="000A7BB0">
        <w:rPr>
          <w:rFonts w:ascii="Arial Narrow" w:eastAsia="Times New Roman" w:hAnsi="Arial Narrow" w:cs="Arial"/>
          <w:snapToGrid w:val="0"/>
          <w:sz w:val="18"/>
          <w:vertAlign w:val="superscript"/>
          <w:lang w:eastAsia="en-AU"/>
        </w:rPr>
        <w:t>a</w:t>
      </w:r>
      <w:r w:rsidRPr="000A7BB0">
        <w:rPr>
          <w:rFonts w:ascii="Arial Narrow" w:eastAsia="Times New Roman" w:hAnsi="Arial Narrow" w:cs="Arial"/>
          <w:snapToGrid w:val="0"/>
          <w:sz w:val="18"/>
          <w:lang w:eastAsia="en-AU"/>
        </w:rPr>
        <w:t xml:space="preserve"> </w:t>
      </w:r>
      <w:r w:rsidR="00363681" w:rsidRPr="000A7BB0">
        <w:rPr>
          <w:rFonts w:ascii="Arial Narrow" w:eastAsia="Times New Roman" w:hAnsi="Arial Narrow" w:cs="Arial"/>
          <w:snapToGrid w:val="0"/>
          <w:sz w:val="18"/>
          <w:lang w:eastAsia="en-AU"/>
        </w:rPr>
        <w:t>P</w:t>
      </w:r>
      <w:r w:rsidRPr="000A7BB0">
        <w:rPr>
          <w:rFonts w:ascii="Arial Narrow" w:eastAsia="Times New Roman" w:hAnsi="Arial Narrow" w:cs="Arial"/>
          <w:snapToGrid w:val="0"/>
          <w:sz w:val="18"/>
          <w:lang w:eastAsia="en-AU"/>
        </w:rPr>
        <w:t>opulation with and without the biomarker randomised to drug or usual care</w:t>
      </w:r>
      <w:r w:rsidR="00E913A6" w:rsidRPr="000A7BB0">
        <w:rPr>
          <w:rFonts w:ascii="Arial Narrow" w:eastAsia="Times New Roman" w:hAnsi="Arial Narrow" w:cs="Arial"/>
          <w:snapToGrid w:val="0"/>
          <w:sz w:val="18"/>
          <w:lang w:eastAsia="en-AU"/>
        </w:rPr>
        <w:t xml:space="preserve">, stratified according to </w:t>
      </w:r>
      <w:r w:rsidR="00E913A6" w:rsidRPr="000A7BB0">
        <w:rPr>
          <w:rFonts w:ascii="Arial Narrow" w:eastAsia="Times New Roman" w:hAnsi="Arial Narrow" w:cs="Arial"/>
          <w:i/>
          <w:iCs/>
          <w:snapToGrid w:val="0"/>
          <w:sz w:val="18"/>
          <w:lang w:eastAsia="en-AU"/>
        </w:rPr>
        <w:t>ESR1</w:t>
      </w:r>
      <w:r w:rsidR="00E913A6" w:rsidRPr="000A7BB0">
        <w:rPr>
          <w:rFonts w:ascii="Arial Narrow" w:eastAsia="Times New Roman" w:hAnsi="Arial Narrow" w:cs="Arial"/>
          <w:snapToGrid w:val="0"/>
          <w:sz w:val="18"/>
          <w:lang w:eastAsia="en-AU"/>
        </w:rPr>
        <w:t xml:space="preserve"> variant status.</w:t>
      </w:r>
    </w:p>
    <w:p w14:paraId="19BDBE28" w14:textId="77777777" w:rsidR="00C905D6" w:rsidRPr="000A7BB0" w:rsidRDefault="00C905D6" w:rsidP="00C905D6">
      <w:pPr>
        <w:tabs>
          <w:tab w:val="left" w:pos="284"/>
        </w:tabs>
        <w:spacing w:before="0" w:after="0"/>
        <w:rPr>
          <w:rFonts w:ascii="Arial Narrow" w:eastAsia="Times New Roman" w:hAnsi="Arial Narrow" w:cs="Arial"/>
          <w:snapToGrid w:val="0"/>
          <w:sz w:val="18"/>
          <w:lang w:eastAsia="en-AU"/>
        </w:rPr>
      </w:pPr>
      <w:r w:rsidRPr="000A7BB0">
        <w:rPr>
          <w:rFonts w:ascii="Arial Narrow" w:eastAsia="Times New Roman" w:hAnsi="Arial Narrow" w:cs="Arial"/>
          <w:snapToGrid w:val="0"/>
          <w:sz w:val="18"/>
          <w:vertAlign w:val="superscript"/>
          <w:lang w:eastAsia="en-AU"/>
        </w:rPr>
        <w:t>b</w:t>
      </w:r>
      <w:r w:rsidRPr="000A7BB0">
        <w:rPr>
          <w:rFonts w:ascii="Arial Narrow" w:eastAsia="Times New Roman" w:hAnsi="Arial Narrow" w:cs="Arial"/>
          <w:snapToGrid w:val="0"/>
          <w:sz w:val="18"/>
          <w:lang w:eastAsia="en-AU"/>
        </w:rPr>
        <w:t xml:space="preserve"> Reasons for moderate rating include lack of defined PICO, inclusion of non-randomised studies without rationale, study inclusion done by single author, data extraction done by single author, no funnel plot for publication bias.</w:t>
      </w:r>
    </w:p>
    <w:p w14:paraId="46433A76" w14:textId="452B9D85" w:rsidR="00A95726" w:rsidRPr="000A7BB0" w:rsidRDefault="00A95726" w:rsidP="00C905D6">
      <w:pPr>
        <w:tabs>
          <w:tab w:val="left" w:pos="284"/>
        </w:tabs>
        <w:spacing w:before="0" w:after="0"/>
        <w:rPr>
          <w:rFonts w:ascii="Arial Narrow" w:eastAsia="Times New Roman" w:hAnsi="Arial Narrow" w:cs="Arial"/>
          <w:snapToGrid w:val="0"/>
          <w:sz w:val="18"/>
          <w:lang w:eastAsia="en-AU"/>
        </w:rPr>
      </w:pPr>
      <w:r w:rsidRPr="000A7BB0">
        <w:rPr>
          <w:rFonts w:ascii="Arial Narrow" w:eastAsia="Times New Roman" w:hAnsi="Arial Narrow" w:cs="Arial"/>
          <w:snapToGrid w:val="0"/>
          <w:sz w:val="18"/>
          <w:vertAlign w:val="superscript"/>
          <w:lang w:eastAsia="en-AU"/>
        </w:rPr>
        <w:t>C</w:t>
      </w:r>
      <w:r w:rsidRPr="000A7BB0">
        <w:rPr>
          <w:rFonts w:ascii="Arial Narrow" w:eastAsia="Times New Roman" w:hAnsi="Arial Narrow" w:cs="Arial"/>
          <w:snapToGrid w:val="0"/>
          <w:sz w:val="18"/>
          <w:lang w:eastAsia="en-AU"/>
        </w:rPr>
        <w:t xml:space="preserve"> The </w:t>
      </w:r>
      <w:r w:rsidRPr="000A7BB0">
        <w:rPr>
          <w:rFonts w:ascii="Arial Narrow" w:eastAsia="Times New Roman" w:hAnsi="Arial Narrow" w:cs="Arial"/>
          <w:i/>
          <w:iCs/>
          <w:snapToGrid w:val="0"/>
          <w:sz w:val="18"/>
          <w:lang w:eastAsia="en-AU"/>
        </w:rPr>
        <w:t>ESR1</w:t>
      </w:r>
      <w:r w:rsidRPr="000A7BB0">
        <w:rPr>
          <w:rFonts w:ascii="Arial Narrow" w:eastAsia="Times New Roman" w:hAnsi="Arial Narrow" w:cs="Arial"/>
          <w:snapToGrid w:val="0"/>
          <w:sz w:val="18"/>
          <w:lang w:eastAsia="en-AU"/>
        </w:rPr>
        <w:t xml:space="preserve"> positive subgroup of patients from the EMERALD trial, with 6 patients who received CDK4/6i in the adjuvant setting removed from analysis (n=222).</w:t>
      </w:r>
    </w:p>
    <w:p w14:paraId="1F34BC81" w14:textId="77777777" w:rsidR="00C905D6" w:rsidRPr="000A7BB0" w:rsidRDefault="00C905D6" w:rsidP="00C905D6">
      <w:pPr>
        <w:tabs>
          <w:tab w:val="left" w:pos="284"/>
        </w:tabs>
        <w:spacing w:before="0" w:after="0"/>
        <w:rPr>
          <w:rFonts w:ascii="Arial Narrow" w:eastAsia="Times New Roman" w:hAnsi="Arial Narrow" w:cs="Arial"/>
          <w:snapToGrid w:val="0"/>
          <w:sz w:val="18"/>
          <w:lang w:eastAsia="en-AU"/>
        </w:rPr>
      </w:pPr>
      <w:r w:rsidRPr="000A7BB0">
        <w:rPr>
          <w:rFonts w:ascii="Arial Narrow" w:eastAsia="Times New Roman" w:hAnsi="Arial Narrow" w:cs="Arial"/>
          <w:snapToGrid w:val="0"/>
          <w:sz w:val="18"/>
          <w:lang w:eastAsia="en-AU"/>
        </w:rPr>
        <w:t xml:space="preserve"> k=number of studies; n=overall number of patients</w:t>
      </w:r>
    </w:p>
    <w:p w14:paraId="37194702" w14:textId="77777777" w:rsidR="00EE5014" w:rsidRPr="00F0062F" w:rsidRDefault="00EE5014" w:rsidP="00252706">
      <w:pPr>
        <w:pStyle w:val="Heading2"/>
        <w:numPr>
          <w:ilvl w:val="0"/>
          <w:numId w:val="48"/>
        </w:numPr>
        <w:spacing w:after="240"/>
        <w:ind w:hanging="720"/>
        <w:rPr>
          <w:rFonts w:ascii="Franklin Gothic Medium" w:hAnsi="Franklin Gothic Medium"/>
          <w:b w:val="0"/>
          <w:i w:val="0"/>
          <w:snapToGrid/>
          <w:sz w:val="32"/>
          <w:szCs w:val="26"/>
        </w:rPr>
      </w:pPr>
      <w:bookmarkStart w:id="36" w:name="_Toc93044767"/>
      <w:bookmarkStart w:id="37" w:name="_Toc93322901"/>
      <w:bookmarkStart w:id="38" w:name="_Toc93044770"/>
      <w:bookmarkStart w:id="39" w:name="_Toc93322904"/>
      <w:bookmarkStart w:id="40" w:name="_Toc93044771"/>
      <w:bookmarkStart w:id="41" w:name="_Toc93322905"/>
      <w:bookmarkStart w:id="42" w:name="_Toc93044772"/>
      <w:bookmarkStart w:id="43" w:name="_Toc93322906"/>
      <w:bookmarkStart w:id="44" w:name="_Toc93044775"/>
      <w:bookmarkStart w:id="45" w:name="_Toc93322909"/>
      <w:bookmarkStart w:id="46" w:name="_Toc188374347"/>
      <w:bookmarkEnd w:id="36"/>
      <w:bookmarkEnd w:id="37"/>
      <w:bookmarkEnd w:id="38"/>
      <w:bookmarkEnd w:id="39"/>
      <w:bookmarkEnd w:id="40"/>
      <w:bookmarkEnd w:id="41"/>
      <w:bookmarkEnd w:id="42"/>
      <w:bookmarkEnd w:id="43"/>
      <w:bookmarkEnd w:id="44"/>
      <w:bookmarkEnd w:id="45"/>
      <w:r w:rsidRPr="00F0062F">
        <w:rPr>
          <w:rFonts w:ascii="Franklin Gothic Medium" w:hAnsi="Franklin Gothic Medium"/>
          <w:b w:val="0"/>
          <w:i w:val="0"/>
          <w:snapToGrid/>
          <w:sz w:val="32"/>
          <w:szCs w:val="26"/>
        </w:rPr>
        <w:t>Comparative safety</w:t>
      </w:r>
      <w:bookmarkEnd w:id="46"/>
    </w:p>
    <w:p w14:paraId="08698550" w14:textId="3A435A4A" w:rsidR="00C905D6" w:rsidRPr="00F0062F" w:rsidRDefault="00C905D6" w:rsidP="00F0062F">
      <w:pPr>
        <w:pStyle w:val="MSACS2Heading2"/>
        <w:pageBreakBefore w:val="0"/>
        <w:rPr>
          <w:rFonts w:ascii="Franklin Gothic Book" w:hAnsi="Franklin Gothic Book"/>
          <w:snapToGrid w:val="0"/>
          <w:sz w:val="24"/>
          <w:szCs w:val="24"/>
          <w:lang w:eastAsia="en-AU"/>
        </w:rPr>
      </w:pPr>
      <w:r w:rsidRPr="00F0062F">
        <w:rPr>
          <w:rFonts w:ascii="Franklin Gothic Book" w:hAnsi="Franklin Gothic Book"/>
          <w:snapToGrid w:val="0"/>
          <w:sz w:val="24"/>
          <w:szCs w:val="24"/>
          <w:lang w:eastAsia="en-AU"/>
        </w:rPr>
        <w:t>Adverse events from testing</w:t>
      </w:r>
    </w:p>
    <w:p w14:paraId="532BF6BF" w14:textId="45B0EC73" w:rsidR="00C905D6" w:rsidRPr="00F0062F" w:rsidRDefault="00C905D6" w:rsidP="00F0062F">
      <w:pPr>
        <w:spacing w:before="0" w:after="240"/>
        <w:rPr>
          <w:i/>
          <w:iCs/>
        </w:rPr>
      </w:pPr>
      <w:r w:rsidRPr="00F0062F">
        <w:t xml:space="preserve">The submission claimed that there are no adverse events associated with testing for </w:t>
      </w:r>
      <w:r w:rsidRPr="00F0062F">
        <w:rPr>
          <w:i/>
          <w:iCs/>
        </w:rPr>
        <w:t>ESR1</w:t>
      </w:r>
      <w:r w:rsidRPr="00F0062F">
        <w:t xml:space="preserve"> variants compared to a no testing strategy. The commentary considered that this was reasonable as the test involves a liquid biopsy which is low risk and </w:t>
      </w:r>
      <w:r w:rsidR="316B45B4" w:rsidRPr="00F0062F">
        <w:t>minimally</w:t>
      </w:r>
      <w:r w:rsidR="053E00BC" w:rsidRPr="00F0062F">
        <w:t xml:space="preserve"> </w:t>
      </w:r>
      <w:r w:rsidRPr="00F0062F">
        <w:t>invasive</w:t>
      </w:r>
      <w:r w:rsidRPr="00F0062F">
        <w:rPr>
          <w:i/>
          <w:iCs/>
        </w:rPr>
        <w:t>.</w:t>
      </w:r>
    </w:p>
    <w:p w14:paraId="58A5EF6D" w14:textId="77777777" w:rsidR="00C905D6" w:rsidRPr="00F0062F" w:rsidRDefault="00C905D6" w:rsidP="00F0062F">
      <w:pPr>
        <w:pStyle w:val="MSACS2Heading2"/>
        <w:pageBreakBefore w:val="0"/>
        <w:rPr>
          <w:rFonts w:ascii="Franklin Gothic Book" w:hAnsi="Franklin Gothic Book"/>
          <w:snapToGrid w:val="0"/>
          <w:sz w:val="24"/>
          <w:szCs w:val="24"/>
          <w:lang w:eastAsia="en-AU"/>
        </w:rPr>
      </w:pPr>
      <w:r w:rsidRPr="00F0062F">
        <w:rPr>
          <w:rFonts w:ascii="Franklin Gothic Book" w:hAnsi="Franklin Gothic Book"/>
          <w:snapToGrid w:val="0"/>
          <w:sz w:val="24"/>
          <w:szCs w:val="24"/>
          <w:lang w:eastAsia="en-AU"/>
        </w:rPr>
        <w:t>Adverse events from changes in management</w:t>
      </w:r>
    </w:p>
    <w:p w14:paraId="70DF13F8" w14:textId="0DE47298" w:rsidR="00C905D6" w:rsidRPr="00F0062F" w:rsidRDefault="00C905D6" w:rsidP="00F0062F">
      <w:r w:rsidRPr="00F0062F">
        <w:t xml:space="preserve">In the key clinical trial, EMERALD, patients in the </w:t>
      </w:r>
      <w:proofErr w:type="spellStart"/>
      <w:r w:rsidRPr="00F0062F">
        <w:t>elacestrant</w:t>
      </w:r>
      <w:proofErr w:type="spellEnd"/>
      <w:r w:rsidRPr="00F0062F">
        <w:t xml:space="preserve"> arm had a greater risk of experiencing treatment emergent adverse events (TEAEs) related to trial therapy (63.3% vs 43.5%), Grade ≥3 </w:t>
      </w:r>
      <w:r w:rsidR="014A6074" w:rsidRPr="00F0062F">
        <w:t>TEAEs</w:t>
      </w:r>
      <w:r w:rsidRPr="00F0062F">
        <w:t xml:space="preserve"> (27.0% vs 20.9%) and </w:t>
      </w:r>
      <w:r w:rsidR="4A68BBE3" w:rsidRPr="00F0062F">
        <w:t xml:space="preserve">TEAEs </w:t>
      </w:r>
      <w:r w:rsidRPr="00F0062F">
        <w:t xml:space="preserve">leading to interruption (15.2% vs 5.2%) compared to SOC. There were </w:t>
      </w:r>
      <w:r w:rsidR="5D3C5214" w:rsidRPr="00F0062F">
        <w:t xml:space="preserve">3 </w:t>
      </w:r>
      <w:r w:rsidRPr="00F0062F">
        <w:t xml:space="preserve">patients with serious TEAEs related to treatment with </w:t>
      </w:r>
      <w:proofErr w:type="spellStart"/>
      <w:r w:rsidRPr="00F0062F">
        <w:t>elacestrant</w:t>
      </w:r>
      <w:proofErr w:type="spellEnd"/>
      <w:r w:rsidRPr="00F0062F">
        <w:t xml:space="preserve"> (2 patients had nausea, and 1 had vomiting, cholecystitis acute, decreased appetite, dehydration, and pulmonary embolism). </w:t>
      </w:r>
    </w:p>
    <w:p w14:paraId="390DF619" w14:textId="527CAB7B" w:rsidR="00C905D6" w:rsidRPr="00F0062F" w:rsidRDefault="00C905D6" w:rsidP="00F0062F">
      <w:r w:rsidRPr="00F0062F">
        <w:t xml:space="preserve">The most common Grade ≥3 TEAEs observed in the </w:t>
      </w:r>
      <w:proofErr w:type="spellStart"/>
      <w:r w:rsidRPr="00F0062F">
        <w:t>elacestrant</w:t>
      </w:r>
      <w:proofErr w:type="spellEnd"/>
      <w:r w:rsidRPr="00F0062F">
        <w:t xml:space="preserve"> arm were gastrointestinal (nausea) and musculoskeletal and connective tissue (back and bone pain) disorders. There were no deaths considered study drug related. </w:t>
      </w:r>
    </w:p>
    <w:p w14:paraId="67A6F139" w14:textId="6D17468C" w:rsidR="00C905D6" w:rsidRPr="00F0062F" w:rsidRDefault="00C905D6" w:rsidP="00F0062F">
      <w:r w:rsidRPr="00F0062F">
        <w:t xml:space="preserve">A false positive result of </w:t>
      </w:r>
      <w:r w:rsidRPr="00F0062F">
        <w:rPr>
          <w:i/>
          <w:iCs/>
        </w:rPr>
        <w:t>ESR1</w:t>
      </w:r>
      <w:r w:rsidRPr="00F0062F">
        <w:t xml:space="preserve"> variant would lead to inappropriate treatment with the targeted therapy, </w:t>
      </w:r>
      <w:proofErr w:type="spellStart"/>
      <w:r w:rsidRPr="00F0062F">
        <w:t>elacestrant</w:t>
      </w:r>
      <w:proofErr w:type="spellEnd"/>
      <w:r w:rsidRPr="00F0062F">
        <w:t xml:space="preserve">. The submission noted that the clinical impact of treating patients with a potential false positive </w:t>
      </w:r>
      <w:r w:rsidRPr="00F0062F">
        <w:rPr>
          <w:i/>
          <w:iCs/>
        </w:rPr>
        <w:t>ESR1</w:t>
      </w:r>
      <w:r w:rsidRPr="00F0062F">
        <w:t xml:space="preserve"> result was captured in the clinical effectiveness results, as patients with and without </w:t>
      </w:r>
      <w:r w:rsidRPr="00F0062F">
        <w:rPr>
          <w:i/>
          <w:iCs/>
        </w:rPr>
        <w:t xml:space="preserve">ESR1 </w:t>
      </w:r>
      <w:r w:rsidRPr="00F0062F">
        <w:t xml:space="preserve">were treated with </w:t>
      </w:r>
      <w:proofErr w:type="spellStart"/>
      <w:r w:rsidRPr="00F0062F">
        <w:t>elacestrant</w:t>
      </w:r>
      <w:proofErr w:type="spellEnd"/>
      <w:r w:rsidRPr="00F0062F">
        <w:t xml:space="preserve">. </w:t>
      </w:r>
      <w:r w:rsidR="5D41E8EF" w:rsidRPr="00F0062F">
        <w:t xml:space="preserve">This was not considered reasonable </w:t>
      </w:r>
      <w:r w:rsidR="4BD5E477" w:rsidRPr="00F0062F">
        <w:t xml:space="preserve">as </w:t>
      </w:r>
      <w:r w:rsidR="3F07C967" w:rsidRPr="00F0062F">
        <w:t xml:space="preserve">targeted treatment would only be appropriate for patients with </w:t>
      </w:r>
      <w:r w:rsidR="7356EBD8" w:rsidRPr="00F0062F">
        <w:t xml:space="preserve">the </w:t>
      </w:r>
      <w:r w:rsidR="3F07C967" w:rsidRPr="00F0062F">
        <w:rPr>
          <w:i/>
          <w:iCs/>
        </w:rPr>
        <w:t>ESR1</w:t>
      </w:r>
      <w:r w:rsidR="3F07C967" w:rsidRPr="00F0062F">
        <w:t xml:space="preserve"> variant</w:t>
      </w:r>
      <w:r w:rsidR="4BF71283" w:rsidRPr="00F0062F">
        <w:t>.</w:t>
      </w:r>
      <w:r w:rsidR="0AF17CF2" w:rsidRPr="00F0062F">
        <w:t xml:space="preserve"> </w:t>
      </w:r>
    </w:p>
    <w:p w14:paraId="600875EB" w14:textId="0E6DBF67" w:rsidR="009E4DFC" w:rsidRPr="00F0062F" w:rsidRDefault="20D1287A" w:rsidP="00F0062F">
      <w:pPr>
        <w:rPr>
          <w:i/>
          <w:iCs/>
        </w:rPr>
      </w:pPr>
      <w:r w:rsidRPr="00F0062F">
        <w:lastRenderedPageBreak/>
        <w:t xml:space="preserve">In </w:t>
      </w:r>
      <w:r w:rsidR="77069A7D" w:rsidRPr="00F0062F">
        <w:t>clinical practice, a</w:t>
      </w:r>
      <w:r w:rsidR="00C905D6" w:rsidRPr="00F0062F">
        <w:t xml:space="preserve"> false negative result of an </w:t>
      </w:r>
      <w:r w:rsidR="00C905D6" w:rsidRPr="00F0062F">
        <w:rPr>
          <w:i/>
          <w:iCs/>
        </w:rPr>
        <w:t>ESR1</w:t>
      </w:r>
      <w:r w:rsidR="00C905D6" w:rsidRPr="00F0062F">
        <w:t xml:space="preserve"> variant would lead to inappropriate treatment with SOC, with patients likely to achieve worse outcomes than if they were correctly treated with </w:t>
      </w:r>
      <w:proofErr w:type="spellStart"/>
      <w:r w:rsidR="00C905D6" w:rsidRPr="00F0062F">
        <w:t>elacestrant</w:t>
      </w:r>
      <w:proofErr w:type="spellEnd"/>
      <w:r w:rsidR="00C905D6" w:rsidRPr="00F0062F">
        <w:t xml:space="preserve"> (based on the results from the EMERALD trial)</w:t>
      </w:r>
      <w:r w:rsidR="00C905D6" w:rsidRPr="00F0062F">
        <w:rPr>
          <w:i/>
          <w:iCs/>
        </w:rPr>
        <w:t xml:space="preserve">. </w:t>
      </w:r>
    </w:p>
    <w:p w14:paraId="0A81173D" w14:textId="43AEB382" w:rsidR="00C905D6" w:rsidRPr="00F0062F" w:rsidRDefault="009E4DFC" w:rsidP="00F0062F">
      <w:pPr>
        <w:rPr>
          <w:i/>
        </w:rPr>
      </w:pPr>
      <w:r w:rsidRPr="00F0062F">
        <w:rPr>
          <w:rFonts w:cstheme="minorHAnsi"/>
        </w:rPr>
        <w:t>The submission did not report false positives or false negatives in the EMERALD trial or describe how the potential for these results were managed.</w:t>
      </w:r>
    </w:p>
    <w:p w14:paraId="4455F60B" w14:textId="77777777" w:rsidR="00EE5014" w:rsidRPr="00F0062F" w:rsidRDefault="00EE5014" w:rsidP="00E54409">
      <w:pPr>
        <w:pStyle w:val="Heading2"/>
        <w:numPr>
          <w:ilvl w:val="0"/>
          <w:numId w:val="48"/>
        </w:numPr>
        <w:spacing w:before="240" w:after="240"/>
        <w:ind w:hanging="720"/>
        <w:rPr>
          <w:rFonts w:ascii="Franklin Gothic Medium" w:hAnsi="Franklin Gothic Medium"/>
          <w:b w:val="0"/>
          <w:i w:val="0"/>
          <w:snapToGrid/>
          <w:sz w:val="32"/>
          <w:szCs w:val="26"/>
        </w:rPr>
      </w:pPr>
      <w:bookmarkStart w:id="47" w:name="_Ref496866969"/>
      <w:bookmarkStart w:id="48" w:name="_Ref496866994"/>
      <w:bookmarkStart w:id="49" w:name="_Toc188374348"/>
      <w:r w:rsidRPr="00F0062F">
        <w:rPr>
          <w:rFonts w:ascii="Franklin Gothic Medium" w:hAnsi="Franklin Gothic Medium"/>
          <w:b w:val="0"/>
          <w:i w:val="0"/>
          <w:snapToGrid/>
          <w:sz w:val="32"/>
          <w:szCs w:val="26"/>
        </w:rPr>
        <w:t>Comparative effectiveness</w:t>
      </w:r>
      <w:bookmarkEnd w:id="47"/>
      <w:bookmarkEnd w:id="48"/>
      <w:bookmarkEnd w:id="49"/>
    </w:p>
    <w:p w14:paraId="2CF50620" w14:textId="46AC313B" w:rsidR="00C905D6" w:rsidRPr="00DE49EF" w:rsidRDefault="00C905D6" w:rsidP="00DE49EF">
      <w:pPr>
        <w:pStyle w:val="MSACS2Heading2"/>
        <w:pageBreakBefore w:val="0"/>
        <w:rPr>
          <w:rFonts w:ascii="Franklin Gothic Book" w:hAnsi="Franklin Gothic Book"/>
          <w:snapToGrid w:val="0"/>
          <w:sz w:val="24"/>
          <w:szCs w:val="24"/>
          <w:lang w:eastAsia="en-AU"/>
        </w:rPr>
      </w:pPr>
      <w:r w:rsidRPr="00DE49EF">
        <w:rPr>
          <w:rFonts w:ascii="Franklin Gothic Book" w:hAnsi="Franklin Gothic Book"/>
          <w:snapToGrid w:val="0"/>
          <w:sz w:val="24"/>
          <w:szCs w:val="24"/>
          <w:lang w:eastAsia="en-AU"/>
        </w:rPr>
        <w:t>Effectiveness (based on direct evidence)</w:t>
      </w:r>
    </w:p>
    <w:p w14:paraId="5E28DA93" w14:textId="0A50220C" w:rsidR="00A51EEB" w:rsidRPr="00DE49EF" w:rsidRDefault="00A95726" w:rsidP="00DE49EF">
      <w:pPr>
        <w:spacing w:before="0" w:after="240"/>
        <w:rPr>
          <w:rFonts w:cstheme="minorHAnsi"/>
        </w:rPr>
      </w:pPr>
      <w:r w:rsidRPr="00DE49EF">
        <w:t xml:space="preserve">The EMERALD trial was the main evidence base for prognostic, health outcomes and predictive effect. </w:t>
      </w:r>
      <w:r w:rsidR="00C905D6" w:rsidRPr="00DE49EF">
        <w:rPr>
          <w:rFonts w:cstheme="minorHAnsi"/>
        </w:rPr>
        <w:t xml:space="preserve">Details of the EMERALD trial are provided in </w:t>
      </w:r>
      <w:r w:rsidR="00A5117F" w:rsidRPr="00DE49EF">
        <w:rPr>
          <w:rFonts w:cstheme="minorHAnsi"/>
        </w:rPr>
        <w:fldChar w:fldCharType="begin"/>
      </w:r>
      <w:r w:rsidR="00A5117F" w:rsidRPr="00DE49EF">
        <w:rPr>
          <w:rFonts w:cstheme="minorHAnsi"/>
        </w:rPr>
        <w:instrText xml:space="preserve"> REF _Ref188370986 \h </w:instrText>
      </w:r>
      <w:r w:rsidR="00DE49EF" w:rsidRPr="00DE49EF">
        <w:rPr>
          <w:rFonts w:cstheme="minorHAnsi"/>
        </w:rPr>
        <w:instrText xml:space="preserve"> \* MERGEFORMAT </w:instrText>
      </w:r>
      <w:r w:rsidR="00A5117F" w:rsidRPr="00DE49EF">
        <w:rPr>
          <w:rFonts w:cstheme="minorHAnsi"/>
        </w:rPr>
      </w:r>
      <w:r w:rsidR="00A5117F" w:rsidRPr="00DE49EF">
        <w:rPr>
          <w:rFonts w:cstheme="minorHAnsi"/>
        </w:rPr>
        <w:fldChar w:fldCharType="separate"/>
      </w:r>
      <w:r w:rsidR="006D7BC5" w:rsidRPr="006D7BC5">
        <w:t>Table 6</w:t>
      </w:r>
      <w:r w:rsidR="00A5117F" w:rsidRPr="00DE49EF">
        <w:rPr>
          <w:rFonts w:cstheme="minorHAnsi"/>
        </w:rPr>
        <w:fldChar w:fldCharType="end"/>
      </w:r>
      <w:r w:rsidR="00A5117F" w:rsidRPr="00DE49EF">
        <w:rPr>
          <w:rFonts w:cstheme="minorHAnsi"/>
        </w:rPr>
        <w:t xml:space="preserve"> </w:t>
      </w:r>
      <w:r w:rsidR="00C905D6" w:rsidRPr="00DE49EF">
        <w:rPr>
          <w:rFonts w:cstheme="minorHAnsi"/>
        </w:rPr>
        <w:t xml:space="preserve">and </w:t>
      </w:r>
      <w:r w:rsidR="00A5117F" w:rsidRPr="00DE49EF">
        <w:rPr>
          <w:rFonts w:cstheme="minorHAnsi"/>
        </w:rPr>
        <w:fldChar w:fldCharType="begin"/>
      </w:r>
      <w:r w:rsidR="00A5117F" w:rsidRPr="00DE49EF">
        <w:rPr>
          <w:rFonts w:cstheme="minorHAnsi"/>
        </w:rPr>
        <w:instrText xml:space="preserve"> REF _Ref188371001 \h </w:instrText>
      </w:r>
      <w:r w:rsidR="00DE49EF" w:rsidRPr="00DE49EF">
        <w:rPr>
          <w:rFonts w:cstheme="minorHAnsi"/>
        </w:rPr>
        <w:instrText xml:space="preserve"> \* MERGEFORMAT </w:instrText>
      </w:r>
      <w:r w:rsidR="00A5117F" w:rsidRPr="00DE49EF">
        <w:rPr>
          <w:rFonts w:cstheme="minorHAnsi"/>
        </w:rPr>
      </w:r>
      <w:r w:rsidR="00A5117F" w:rsidRPr="00DE49EF">
        <w:rPr>
          <w:rFonts w:cstheme="minorHAnsi"/>
        </w:rPr>
        <w:fldChar w:fldCharType="separate"/>
      </w:r>
      <w:r w:rsidR="006D7BC5" w:rsidRPr="006D7BC5">
        <w:t>Table 7</w:t>
      </w:r>
      <w:r w:rsidR="00A5117F" w:rsidRPr="00DE49EF">
        <w:rPr>
          <w:rFonts w:cstheme="minorHAnsi"/>
        </w:rPr>
        <w:fldChar w:fldCharType="end"/>
      </w:r>
      <w:r w:rsidR="00A5117F" w:rsidRPr="00DE49EF">
        <w:rPr>
          <w:rFonts w:cstheme="minorHAnsi"/>
        </w:rPr>
        <w:t xml:space="preserve"> </w:t>
      </w:r>
      <w:r w:rsidR="00C905D6" w:rsidRPr="00DE49EF">
        <w:rPr>
          <w:rFonts w:cstheme="minorHAnsi"/>
        </w:rPr>
        <w:t>below.</w:t>
      </w:r>
    </w:p>
    <w:p w14:paraId="76E6958D" w14:textId="07CA2121" w:rsidR="00C905D6" w:rsidRPr="000A7BB0" w:rsidRDefault="00230475" w:rsidP="00FA75FE">
      <w:pPr>
        <w:pStyle w:val="Caption"/>
      </w:pPr>
      <w:bookmarkStart w:id="50" w:name="_Ref188370986"/>
      <w:r w:rsidRPr="000A7BB0">
        <w:t xml:space="preserve">Table </w:t>
      </w:r>
      <w:r w:rsidRPr="000A7BB0">
        <w:fldChar w:fldCharType="begin"/>
      </w:r>
      <w:r w:rsidRPr="000A7BB0">
        <w:instrText>SEQ Table_MSAC. \* ARABIC</w:instrText>
      </w:r>
      <w:r w:rsidRPr="000A7BB0">
        <w:fldChar w:fldCharType="separate"/>
      </w:r>
      <w:r w:rsidRPr="000A7BB0">
        <w:t>6</w:t>
      </w:r>
      <w:r w:rsidRPr="000A7BB0">
        <w:fldChar w:fldCharType="end"/>
      </w:r>
      <w:bookmarkEnd w:id="50"/>
      <w:r w:rsidRPr="000A7BB0">
        <w:t>: Trials and associated reports presented in the submission</w:t>
      </w:r>
      <w:r w:rsidRPr="000A7BB0" w:rsidDel="00230475">
        <w:t xml:space="preserve"> </w:t>
      </w:r>
    </w:p>
    <w:tbl>
      <w:tblPr>
        <w:tblStyle w:val="PBACTableStyle1"/>
        <w:tblW w:w="5000" w:type="pct"/>
        <w:tblLook w:val="01E0" w:firstRow="1" w:lastRow="1" w:firstColumn="1" w:lastColumn="1" w:noHBand="0" w:noVBand="0"/>
      </w:tblPr>
      <w:tblGrid>
        <w:gridCol w:w="1783"/>
        <w:gridCol w:w="4822"/>
        <w:gridCol w:w="2411"/>
      </w:tblGrid>
      <w:tr w:rsidR="00C905D6" w:rsidRPr="00E54409" w14:paraId="2ADF5774" w14:textId="77777777" w:rsidTr="00470B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9" w:type="pct"/>
            <w:tcBorders>
              <w:top w:val="single" w:sz="4" w:space="0" w:color="auto"/>
              <w:left w:val="single" w:sz="4" w:space="0" w:color="auto"/>
              <w:bottom w:val="single" w:sz="4" w:space="0" w:color="auto"/>
              <w:right w:val="single" w:sz="4" w:space="0" w:color="auto"/>
            </w:tcBorders>
            <w:hideMark/>
          </w:tcPr>
          <w:p w14:paraId="07044B32" w14:textId="77777777" w:rsidR="00C905D6" w:rsidRPr="00E54409" w:rsidRDefault="00C905D6" w:rsidP="00FA75FE">
            <w:pPr>
              <w:pStyle w:val="TableFigureHeading"/>
              <w:rPr>
                <w:b/>
                <w:bCs w:val="0"/>
                <w:szCs w:val="20"/>
                <w:lang w:val="en-AU"/>
              </w:rPr>
            </w:pPr>
            <w:r w:rsidRPr="00E54409">
              <w:rPr>
                <w:b/>
                <w:bCs w:val="0"/>
                <w:szCs w:val="20"/>
                <w:lang w:val="en-AU"/>
              </w:rPr>
              <w:t>Trial ID</w:t>
            </w:r>
          </w:p>
        </w:tc>
        <w:tc>
          <w:tcPr>
            <w:tcW w:w="2674" w:type="pct"/>
            <w:tcBorders>
              <w:top w:val="single" w:sz="4" w:space="0" w:color="auto"/>
              <w:left w:val="single" w:sz="4" w:space="0" w:color="auto"/>
              <w:bottom w:val="single" w:sz="4" w:space="0" w:color="auto"/>
              <w:right w:val="single" w:sz="4" w:space="0" w:color="auto"/>
            </w:tcBorders>
            <w:hideMark/>
          </w:tcPr>
          <w:p w14:paraId="4AC57223" w14:textId="77777777" w:rsidR="00C905D6" w:rsidRPr="00E54409" w:rsidRDefault="00C905D6" w:rsidP="00FA75FE">
            <w:pPr>
              <w:pStyle w:val="TableFigureHeading"/>
              <w:cnfStyle w:val="100000000000" w:firstRow="1" w:lastRow="0" w:firstColumn="0" w:lastColumn="0" w:oddVBand="0" w:evenVBand="0" w:oddHBand="0" w:evenHBand="0" w:firstRowFirstColumn="0" w:firstRowLastColumn="0" w:lastRowFirstColumn="0" w:lastRowLastColumn="0"/>
              <w:rPr>
                <w:b/>
                <w:bCs w:val="0"/>
                <w:szCs w:val="20"/>
                <w:lang w:val="en-AU"/>
              </w:rPr>
            </w:pPr>
            <w:r w:rsidRPr="00E54409">
              <w:rPr>
                <w:b/>
                <w:bCs w:val="0"/>
                <w:szCs w:val="20"/>
                <w:lang w:val="en-AU"/>
              </w:rPr>
              <w:t>Protocol title/ Publication title</w:t>
            </w:r>
          </w:p>
        </w:tc>
        <w:tc>
          <w:tcPr>
            <w:cnfStyle w:val="000100000000" w:firstRow="0" w:lastRow="0" w:firstColumn="0" w:lastColumn="1" w:oddVBand="0" w:evenVBand="0" w:oddHBand="0" w:evenHBand="0" w:firstRowFirstColumn="0" w:firstRowLastColumn="0" w:lastRowFirstColumn="0" w:lastRowLastColumn="0"/>
            <w:tcW w:w="1337" w:type="pct"/>
            <w:hideMark/>
          </w:tcPr>
          <w:p w14:paraId="13B892AB" w14:textId="77777777" w:rsidR="00C905D6" w:rsidRPr="00E54409" w:rsidRDefault="00C905D6" w:rsidP="00FA75FE">
            <w:pPr>
              <w:pStyle w:val="TableFigureFooter"/>
              <w:rPr>
                <w:i w:val="0"/>
                <w:iCs w:val="0"/>
                <w:sz w:val="20"/>
                <w:lang w:val="en-AU"/>
              </w:rPr>
            </w:pPr>
            <w:r w:rsidRPr="00E54409">
              <w:rPr>
                <w:i w:val="0"/>
                <w:iCs w:val="0"/>
                <w:sz w:val="20"/>
                <w:lang w:val="en-AU"/>
              </w:rPr>
              <w:t>Publication citation</w:t>
            </w:r>
          </w:p>
        </w:tc>
      </w:tr>
      <w:tr w:rsidR="00C905D6" w:rsidRPr="00E54409" w14:paraId="7CE61826" w14:textId="77777777" w:rsidTr="00470B01">
        <w:tc>
          <w:tcPr>
            <w:cnfStyle w:val="001000000000" w:firstRow="0" w:lastRow="0" w:firstColumn="1" w:lastColumn="0" w:oddVBand="0" w:evenVBand="0" w:oddHBand="0" w:evenHBand="0" w:firstRowFirstColumn="0" w:firstRowLastColumn="0" w:lastRowFirstColumn="0" w:lastRowLastColumn="0"/>
            <w:tcW w:w="989" w:type="pct"/>
            <w:vMerge w:val="restart"/>
            <w:tcBorders>
              <w:top w:val="single" w:sz="4" w:space="0" w:color="auto"/>
              <w:left w:val="single" w:sz="4" w:space="0" w:color="auto"/>
              <w:right w:val="single" w:sz="4" w:space="0" w:color="auto"/>
            </w:tcBorders>
            <w:hideMark/>
          </w:tcPr>
          <w:p w14:paraId="552AD2DC" w14:textId="142CB51F" w:rsidR="00C905D6" w:rsidRPr="00E54409" w:rsidRDefault="00C905D6" w:rsidP="00FA75FE">
            <w:pPr>
              <w:pStyle w:val="TableFigureHeading"/>
              <w:rPr>
                <w:b w:val="0"/>
                <w:bCs w:val="0"/>
                <w:lang w:val="en-AU"/>
              </w:rPr>
            </w:pPr>
            <w:r w:rsidRPr="00E54409">
              <w:rPr>
                <w:b w:val="0"/>
                <w:bCs w:val="0"/>
                <w:lang w:val="en-AU"/>
              </w:rPr>
              <w:t>EMERALD</w:t>
            </w:r>
            <w:r w:rsidR="00505DA0" w:rsidRPr="00E54409">
              <w:rPr>
                <w:b w:val="0"/>
                <w:bCs w:val="0"/>
                <w:lang w:val="en-AU"/>
              </w:rPr>
              <w:t xml:space="preserve"> </w:t>
            </w:r>
          </w:p>
          <w:p w14:paraId="66E813F7" w14:textId="73DAB049" w:rsidR="00C905D6" w:rsidRPr="00E54409" w:rsidRDefault="00BB0AEB" w:rsidP="00FA75FE">
            <w:pPr>
              <w:pStyle w:val="TableFigureHeading"/>
              <w:rPr>
                <w:lang w:val="en-AU"/>
              </w:rPr>
            </w:pPr>
            <w:r w:rsidRPr="00E54409">
              <w:rPr>
                <w:b w:val="0"/>
                <w:bCs w:val="0"/>
                <w:lang w:val="en-AU"/>
              </w:rPr>
              <w:t>(</w:t>
            </w:r>
            <w:r w:rsidR="00505DA0" w:rsidRPr="00E54409">
              <w:rPr>
                <w:b w:val="0"/>
                <w:bCs w:val="0"/>
                <w:lang w:val="en-AU"/>
              </w:rPr>
              <w:t>NCT03778931</w:t>
            </w:r>
            <w:r w:rsidRPr="00E54409">
              <w:rPr>
                <w:b w:val="0"/>
                <w:bCs w:val="0"/>
                <w:lang w:val="en-AU"/>
              </w:rPr>
              <w:t>)</w:t>
            </w:r>
          </w:p>
        </w:tc>
        <w:tc>
          <w:tcPr>
            <w:tcW w:w="2674" w:type="pct"/>
            <w:tcBorders>
              <w:top w:val="single" w:sz="4" w:space="0" w:color="auto"/>
              <w:left w:val="single" w:sz="4" w:space="0" w:color="auto"/>
              <w:bottom w:val="nil"/>
              <w:right w:val="single" w:sz="4" w:space="0" w:color="auto"/>
            </w:tcBorders>
          </w:tcPr>
          <w:p w14:paraId="7052E6F5" w14:textId="77777777" w:rsidR="00C905D6" w:rsidRPr="00E54409" w:rsidRDefault="00C905D6" w:rsidP="00342BD2">
            <w:pPr>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
                <w:lang w:val="en-AU" w:bidi="en-US"/>
              </w:rPr>
            </w:pPr>
            <w:r w:rsidRPr="00E54409">
              <w:rPr>
                <w:rFonts w:ascii="Arial Narrow" w:eastAsiaTheme="majorEastAsia" w:hAnsi="Arial Narrow" w:cstheme="majorBidi"/>
                <w:b/>
                <w:lang w:val="en-AU" w:bidi="en-US"/>
              </w:rPr>
              <w:t>Clinical study reports:</w:t>
            </w:r>
          </w:p>
          <w:p w14:paraId="37734B5A" w14:textId="77777777" w:rsidR="00C905D6" w:rsidRPr="00E54409" w:rsidRDefault="00C905D6" w:rsidP="00342BD2">
            <w:pPr>
              <w:numPr>
                <w:ilvl w:val="0"/>
                <w:numId w:val="26"/>
              </w:numPr>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lang w:val="en-AU" w:bidi="en-US"/>
              </w:rPr>
            </w:pPr>
            <w:proofErr w:type="spellStart"/>
            <w:r w:rsidRPr="00E54409">
              <w:rPr>
                <w:rFonts w:ascii="Arial Narrow" w:eastAsiaTheme="majorEastAsia" w:hAnsi="Arial Narrow" w:cstheme="majorBidi"/>
                <w:lang w:val="en-AU" w:bidi="en-US"/>
              </w:rPr>
              <w:t>Elacestrant</w:t>
            </w:r>
            <w:proofErr w:type="spellEnd"/>
            <w:r w:rsidRPr="00E54409">
              <w:rPr>
                <w:rFonts w:ascii="Arial Narrow" w:eastAsiaTheme="majorEastAsia" w:hAnsi="Arial Narrow" w:cstheme="majorBidi"/>
                <w:lang w:val="en-AU" w:bidi="en-US"/>
              </w:rPr>
              <w:t xml:space="preserve"> Monotherapy vs Standard of Care for the Treatment of Patients with ER+/HER2- Advanced Breast Cancer Following CDK4/6 Inhibitor Therapy: A Phase 3 Randomised, Open-Label, Active-Controlled, </w:t>
            </w:r>
            <w:proofErr w:type="spellStart"/>
            <w:r w:rsidRPr="00E54409">
              <w:rPr>
                <w:rFonts w:ascii="Arial Narrow" w:eastAsiaTheme="majorEastAsia" w:hAnsi="Arial Narrow" w:cstheme="majorBidi"/>
                <w:lang w:val="en-AU" w:bidi="en-US"/>
              </w:rPr>
              <w:t>Multicenter</w:t>
            </w:r>
            <w:proofErr w:type="spellEnd"/>
            <w:r w:rsidRPr="00E54409">
              <w:rPr>
                <w:rFonts w:ascii="Arial Narrow" w:eastAsiaTheme="majorEastAsia" w:hAnsi="Arial Narrow" w:cstheme="majorBidi"/>
                <w:lang w:val="en-AU" w:bidi="en-US"/>
              </w:rPr>
              <w:t xml:space="preserve"> Trial.</w:t>
            </w:r>
          </w:p>
        </w:tc>
        <w:tc>
          <w:tcPr>
            <w:cnfStyle w:val="000100000000" w:firstRow="0" w:lastRow="0" w:firstColumn="0" w:lastColumn="1" w:oddVBand="0" w:evenVBand="0" w:oddHBand="0" w:evenHBand="0" w:firstRowFirstColumn="0" w:firstRowLastColumn="0" w:lastRowFirstColumn="0" w:lastRowLastColumn="0"/>
            <w:tcW w:w="1337" w:type="pct"/>
            <w:tcBorders>
              <w:bottom w:val="nil"/>
            </w:tcBorders>
          </w:tcPr>
          <w:p w14:paraId="5D1E8965" w14:textId="77777777" w:rsidR="00C905D6" w:rsidRPr="00E54409" w:rsidRDefault="00C905D6" w:rsidP="00342BD2">
            <w:pPr>
              <w:pStyle w:val="TableFigureFooter"/>
              <w:jc w:val="left"/>
              <w:rPr>
                <w:rFonts w:eastAsiaTheme="majorEastAsia"/>
                <w:i w:val="0"/>
                <w:iCs w:val="0"/>
                <w:sz w:val="20"/>
                <w:lang w:val="en-AU" w:bidi="en-US"/>
              </w:rPr>
            </w:pPr>
            <w:r w:rsidRPr="00E54409">
              <w:rPr>
                <w:rFonts w:eastAsiaTheme="majorEastAsia"/>
                <w:i w:val="0"/>
                <w:iCs w:val="0"/>
                <w:sz w:val="20"/>
                <w:lang w:val="en-AU" w:bidi="en-US"/>
              </w:rPr>
              <w:t>RAD1901-308</w:t>
            </w:r>
          </w:p>
          <w:p w14:paraId="7789CF64" w14:textId="77777777" w:rsidR="00C905D6" w:rsidRPr="00E54409" w:rsidRDefault="00C905D6" w:rsidP="00342BD2">
            <w:pPr>
              <w:pStyle w:val="TableFigureFooter"/>
              <w:jc w:val="left"/>
              <w:rPr>
                <w:i w:val="0"/>
                <w:iCs w:val="0"/>
                <w:sz w:val="20"/>
                <w:lang w:val="en-AU"/>
              </w:rPr>
            </w:pPr>
          </w:p>
        </w:tc>
      </w:tr>
      <w:tr w:rsidR="00C905D6" w:rsidRPr="00E54409" w14:paraId="4451169D" w14:textId="77777777" w:rsidTr="00470B01">
        <w:tc>
          <w:tcPr>
            <w:cnfStyle w:val="001000000000" w:firstRow="0" w:lastRow="0" w:firstColumn="1" w:lastColumn="0" w:oddVBand="0" w:evenVBand="0" w:oddHBand="0" w:evenHBand="0" w:firstRowFirstColumn="0" w:firstRowLastColumn="0" w:lastRowFirstColumn="0" w:lastRowLastColumn="0"/>
            <w:tcW w:w="989" w:type="pct"/>
            <w:vMerge/>
            <w:tcBorders>
              <w:left w:val="single" w:sz="4" w:space="0" w:color="auto"/>
              <w:right w:val="single" w:sz="4" w:space="0" w:color="auto"/>
            </w:tcBorders>
          </w:tcPr>
          <w:p w14:paraId="22396E81" w14:textId="77777777" w:rsidR="00C905D6" w:rsidRPr="00E54409" w:rsidRDefault="00C905D6" w:rsidP="00FA75FE">
            <w:pPr>
              <w:pStyle w:val="TableFigureHeading"/>
              <w:rPr>
                <w:lang w:val="en-AU"/>
              </w:rPr>
            </w:pPr>
          </w:p>
        </w:tc>
        <w:tc>
          <w:tcPr>
            <w:tcW w:w="2674" w:type="pct"/>
            <w:tcBorders>
              <w:top w:val="nil"/>
              <w:left w:val="single" w:sz="4" w:space="0" w:color="auto"/>
              <w:bottom w:val="nil"/>
              <w:right w:val="single" w:sz="4" w:space="0" w:color="auto"/>
            </w:tcBorders>
          </w:tcPr>
          <w:p w14:paraId="105118B8" w14:textId="77777777" w:rsidR="00C905D6" w:rsidRPr="00E54409" w:rsidRDefault="00C905D6" w:rsidP="00342BD2">
            <w:pPr>
              <w:numPr>
                <w:ilvl w:val="0"/>
                <w:numId w:val="26"/>
              </w:numPr>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lang w:val="en-AU" w:bidi="en-US"/>
              </w:rPr>
            </w:pPr>
            <w:proofErr w:type="spellStart"/>
            <w:r w:rsidRPr="00E54409">
              <w:rPr>
                <w:rFonts w:ascii="Arial Narrow" w:eastAsiaTheme="majorEastAsia" w:hAnsi="Arial Narrow" w:cstheme="majorBidi"/>
                <w:lang w:val="en-AU" w:bidi="en-US"/>
              </w:rPr>
              <w:t>Elacestrant</w:t>
            </w:r>
            <w:proofErr w:type="spellEnd"/>
            <w:r w:rsidRPr="00E54409">
              <w:rPr>
                <w:rFonts w:ascii="Arial Narrow" w:eastAsiaTheme="majorEastAsia" w:hAnsi="Arial Narrow" w:cstheme="majorBidi"/>
                <w:lang w:val="en-AU" w:bidi="en-US"/>
              </w:rPr>
              <w:t xml:space="preserve"> Monotherapy Vs. Standard Of Care For The Treatment Of Patients With ER+/HER2- Advanced Breast Cancer Following CDK4/6 Inhibitor Therapy: A Phase 3 Randomised, Open-Label, Active-Controlled, </w:t>
            </w:r>
            <w:proofErr w:type="spellStart"/>
            <w:r w:rsidRPr="00E54409">
              <w:rPr>
                <w:rFonts w:ascii="Arial Narrow" w:eastAsiaTheme="majorEastAsia" w:hAnsi="Arial Narrow" w:cstheme="majorBidi"/>
                <w:lang w:val="en-AU" w:bidi="en-US"/>
              </w:rPr>
              <w:t>Multicenter</w:t>
            </w:r>
            <w:proofErr w:type="spellEnd"/>
            <w:r w:rsidRPr="00E54409">
              <w:rPr>
                <w:rFonts w:ascii="Arial Narrow" w:eastAsiaTheme="majorEastAsia" w:hAnsi="Arial Narrow" w:cstheme="majorBidi"/>
                <w:lang w:val="en-AU" w:bidi="en-US"/>
              </w:rPr>
              <w:t xml:space="preserve"> Trial (EMERALD).</w:t>
            </w:r>
          </w:p>
          <w:p w14:paraId="122DF3C2" w14:textId="77777777" w:rsidR="00C905D6" w:rsidRPr="00E54409" w:rsidRDefault="00C905D6" w:rsidP="00342BD2">
            <w:pPr>
              <w:spacing w:before="0"/>
              <w:ind w:left="326"/>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lang w:val="en-AU" w:bidi="en-US"/>
              </w:rPr>
            </w:pPr>
            <w:r w:rsidRPr="00E54409">
              <w:rPr>
                <w:rFonts w:ascii="Arial Narrow" w:eastAsiaTheme="majorEastAsia" w:hAnsi="Arial Narrow" w:cstheme="majorBidi"/>
                <w:lang w:val="en-AU" w:bidi="en-US"/>
              </w:rPr>
              <w:t>Overall Survival Addendum As Of 02 September 2022</w:t>
            </w:r>
          </w:p>
        </w:tc>
        <w:tc>
          <w:tcPr>
            <w:cnfStyle w:val="000100000000" w:firstRow="0" w:lastRow="0" w:firstColumn="0" w:lastColumn="1" w:oddVBand="0" w:evenVBand="0" w:oddHBand="0" w:evenHBand="0" w:firstRowFirstColumn="0" w:firstRowLastColumn="0" w:lastRowFirstColumn="0" w:lastRowLastColumn="0"/>
            <w:tcW w:w="1337" w:type="pct"/>
            <w:tcBorders>
              <w:top w:val="nil"/>
              <w:bottom w:val="nil"/>
            </w:tcBorders>
          </w:tcPr>
          <w:p w14:paraId="07ED13B3" w14:textId="77777777" w:rsidR="00C905D6" w:rsidRPr="00E54409" w:rsidRDefault="00C905D6" w:rsidP="00342BD2">
            <w:pPr>
              <w:pStyle w:val="TableFigureFooter"/>
              <w:jc w:val="left"/>
              <w:rPr>
                <w:rFonts w:eastAsiaTheme="majorEastAsia"/>
                <w:i w:val="0"/>
                <w:iCs w:val="0"/>
                <w:sz w:val="20"/>
                <w:lang w:val="en-AU" w:bidi="en-US"/>
              </w:rPr>
            </w:pPr>
            <w:r w:rsidRPr="00E54409">
              <w:rPr>
                <w:rFonts w:eastAsiaTheme="majorEastAsia"/>
                <w:i w:val="0"/>
                <w:iCs w:val="0"/>
                <w:sz w:val="20"/>
                <w:lang w:val="en-AU" w:bidi="en-US"/>
              </w:rPr>
              <w:t>RAD1901-308</w:t>
            </w:r>
          </w:p>
          <w:p w14:paraId="2D1972AD" w14:textId="77777777" w:rsidR="00C905D6" w:rsidRPr="00E54409" w:rsidRDefault="00C905D6" w:rsidP="00342BD2">
            <w:pPr>
              <w:pStyle w:val="TableFigureFooter"/>
              <w:jc w:val="left"/>
              <w:rPr>
                <w:i w:val="0"/>
                <w:iCs w:val="0"/>
                <w:sz w:val="20"/>
                <w:lang w:val="en-AU"/>
              </w:rPr>
            </w:pPr>
          </w:p>
        </w:tc>
      </w:tr>
      <w:tr w:rsidR="00C905D6" w:rsidRPr="00E54409" w14:paraId="0DD6E3F7" w14:textId="77777777" w:rsidTr="00470B01">
        <w:tc>
          <w:tcPr>
            <w:cnfStyle w:val="001000000000" w:firstRow="0" w:lastRow="0" w:firstColumn="1" w:lastColumn="0" w:oddVBand="0" w:evenVBand="0" w:oddHBand="0" w:evenHBand="0" w:firstRowFirstColumn="0" w:firstRowLastColumn="0" w:lastRowFirstColumn="0" w:lastRowLastColumn="0"/>
            <w:tcW w:w="989" w:type="pct"/>
            <w:vMerge/>
            <w:tcBorders>
              <w:left w:val="single" w:sz="4" w:space="0" w:color="auto"/>
              <w:right w:val="single" w:sz="4" w:space="0" w:color="auto"/>
            </w:tcBorders>
          </w:tcPr>
          <w:p w14:paraId="75DD4E9D" w14:textId="77777777" w:rsidR="00C905D6" w:rsidRPr="00E54409" w:rsidRDefault="00C905D6" w:rsidP="00FA75FE">
            <w:pPr>
              <w:pStyle w:val="TableFigureHeading"/>
              <w:rPr>
                <w:lang w:val="en-AU"/>
              </w:rPr>
            </w:pPr>
          </w:p>
        </w:tc>
        <w:tc>
          <w:tcPr>
            <w:tcW w:w="2674" w:type="pct"/>
            <w:tcBorders>
              <w:top w:val="nil"/>
              <w:left w:val="single" w:sz="4" w:space="0" w:color="auto"/>
              <w:bottom w:val="nil"/>
              <w:right w:val="single" w:sz="4" w:space="0" w:color="auto"/>
            </w:tcBorders>
          </w:tcPr>
          <w:p w14:paraId="461DC51C" w14:textId="358F2114" w:rsidR="00C905D6" w:rsidRPr="00E54409" w:rsidRDefault="00C905D6" w:rsidP="00342BD2">
            <w:pPr>
              <w:numPr>
                <w:ilvl w:val="0"/>
                <w:numId w:val="26"/>
              </w:numPr>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lang w:val="en-AU" w:bidi="en-US"/>
              </w:rPr>
            </w:pPr>
            <w:r w:rsidRPr="00E54409">
              <w:rPr>
                <w:rFonts w:ascii="Arial Narrow" w:eastAsiaTheme="majorEastAsia" w:hAnsi="Arial Narrow" w:cstheme="majorBidi"/>
                <w:lang w:val="en-AU" w:bidi="en-US"/>
              </w:rPr>
              <w:t xml:space="preserve">Phase 3 Trial of </w:t>
            </w:r>
            <w:proofErr w:type="spellStart"/>
            <w:r w:rsidRPr="00E54409">
              <w:rPr>
                <w:rFonts w:ascii="Arial Narrow" w:eastAsiaTheme="majorEastAsia" w:hAnsi="Arial Narrow" w:cstheme="majorBidi"/>
                <w:lang w:val="en-AU" w:bidi="en-US"/>
              </w:rPr>
              <w:t>Elacestrant</w:t>
            </w:r>
            <w:proofErr w:type="spellEnd"/>
            <w:r w:rsidRPr="00E54409">
              <w:rPr>
                <w:rFonts w:ascii="Arial Narrow" w:eastAsiaTheme="majorEastAsia" w:hAnsi="Arial Narrow" w:cstheme="majorBidi"/>
                <w:lang w:val="en-AU" w:bidi="en-US"/>
              </w:rPr>
              <w:t xml:space="preserve"> vs. Standard of Care for the Treatment of Patients With ER+/HER2- Advanced Breast Cancer </w:t>
            </w:r>
            <w:hyperlink r:id="rId24" w:history="1">
              <w:r w:rsidRPr="00E54409">
                <w:rPr>
                  <w:rFonts w:ascii="Arial Narrow" w:eastAsiaTheme="majorEastAsia" w:hAnsi="Arial Narrow" w:cstheme="majorBidi"/>
                  <w:u w:val="single"/>
                  <w:lang w:val="en-AU" w:bidi="en-US"/>
                </w:rPr>
                <w:t>https://clinicaltrials.gov/study/NCT03778931</w:t>
              </w:r>
            </w:hyperlink>
          </w:p>
          <w:p w14:paraId="7F1FA88C" w14:textId="77777777" w:rsidR="00C905D6" w:rsidRPr="00E54409" w:rsidRDefault="00C905D6" w:rsidP="00342BD2">
            <w:pPr>
              <w:spacing w:before="0"/>
              <w:ind w:left="326"/>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u w:val="single"/>
                <w:lang w:val="en-AU" w:bidi="en-US"/>
              </w:rPr>
            </w:pPr>
          </w:p>
        </w:tc>
        <w:tc>
          <w:tcPr>
            <w:cnfStyle w:val="000100000000" w:firstRow="0" w:lastRow="0" w:firstColumn="0" w:lastColumn="1" w:oddVBand="0" w:evenVBand="0" w:oddHBand="0" w:evenHBand="0" w:firstRowFirstColumn="0" w:firstRowLastColumn="0" w:lastRowFirstColumn="0" w:lastRowLastColumn="0"/>
            <w:tcW w:w="1337" w:type="pct"/>
            <w:tcBorders>
              <w:top w:val="nil"/>
              <w:bottom w:val="nil"/>
            </w:tcBorders>
          </w:tcPr>
          <w:p w14:paraId="7C91F9D8" w14:textId="77777777" w:rsidR="00C905D6" w:rsidRPr="00E54409" w:rsidRDefault="00C905D6" w:rsidP="00342BD2">
            <w:pPr>
              <w:pStyle w:val="TableFigureFooter"/>
              <w:jc w:val="left"/>
              <w:rPr>
                <w:i w:val="0"/>
                <w:iCs w:val="0"/>
                <w:sz w:val="20"/>
                <w:lang w:val="en-AU"/>
              </w:rPr>
            </w:pPr>
            <w:r w:rsidRPr="00E54409">
              <w:rPr>
                <w:i w:val="0"/>
                <w:iCs w:val="0"/>
                <w:sz w:val="20"/>
                <w:lang w:val="en-AU"/>
              </w:rPr>
              <w:t>NCT03778931</w:t>
            </w:r>
          </w:p>
          <w:p w14:paraId="072ABE65" w14:textId="77777777" w:rsidR="00C905D6" w:rsidRPr="00E54409" w:rsidRDefault="00C905D6" w:rsidP="00342BD2">
            <w:pPr>
              <w:pStyle w:val="TableFigureFooter"/>
              <w:jc w:val="left"/>
              <w:rPr>
                <w:i w:val="0"/>
                <w:iCs w:val="0"/>
                <w:sz w:val="20"/>
                <w:lang w:val="en-AU"/>
              </w:rPr>
            </w:pPr>
          </w:p>
        </w:tc>
      </w:tr>
      <w:tr w:rsidR="00C905D6" w:rsidRPr="00E54409" w14:paraId="3F768882" w14:textId="77777777" w:rsidTr="00470B01">
        <w:tc>
          <w:tcPr>
            <w:cnfStyle w:val="001000000000" w:firstRow="0" w:lastRow="0" w:firstColumn="1" w:lastColumn="0" w:oddVBand="0" w:evenVBand="0" w:oddHBand="0" w:evenHBand="0" w:firstRowFirstColumn="0" w:firstRowLastColumn="0" w:lastRowFirstColumn="0" w:lastRowLastColumn="0"/>
            <w:tcW w:w="989" w:type="pct"/>
            <w:vMerge/>
            <w:tcBorders>
              <w:left w:val="single" w:sz="4" w:space="0" w:color="auto"/>
              <w:right w:val="single" w:sz="4" w:space="0" w:color="auto"/>
            </w:tcBorders>
          </w:tcPr>
          <w:p w14:paraId="07F421D9" w14:textId="77777777" w:rsidR="00C905D6" w:rsidRPr="00E54409" w:rsidRDefault="00C905D6" w:rsidP="00FA75FE">
            <w:pPr>
              <w:pStyle w:val="TableFigureHeading"/>
              <w:rPr>
                <w:lang w:val="en-AU"/>
              </w:rPr>
            </w:pPr>
          </w:p>
        </w:tc>
        <w:tc>
          <w:tcPr>
            <w:tcW w:w="2674" w:type="pct"/>
            <w:tcBorders>
              <w:top w:val="nil"/>
              <w:left w:val="single" w:sz="4" w:space="0" w:color="auto"/>
              <w:bottom w:val="nil"/>
              <w:right w:val="single" w:sz="4" w:space="0" w:color="auto"/>
            </w:tcBorders>
          </w:tcPr>
          <w:p w14:paraId="3BC32E44" w14:textId="77777777" w:rsidR="00C905D6" w:rsidRPr="00E54409" w:rsidRDefault="00C905D6" w:rsidP="00342BD2">
            <w:pPr>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
                <w:lang w:val="en-AU" w:bidi="en-US"/>
              </w:rPr>
            </w:pPr>
            <w:r w:rsidRPr="00E54409">
              <w:rPr>
                <w:rFonts w:ascii="Arial Narrow" w:eastAsiaTheme="majorEastAsia" w:hAnsi="Arial Narrow" w:cstheme="majorBidi"/>
                <w:b/>
                <w:lang w:val="en-AU" w:bidi="en-US"/>
              </w:rPr>
              <w:t>Key study publications:</w:t>
            </w:r>
          </w:p>
          <w:p w14:paraId="49D2B587" w14:textId="77777777" w:rsidR="00C905D6" w:rsidRPr="00E54409" w:rsidRDefault="00C905D6" w:rsidP="00342BD2">
            <w:pPr>
              <w:numPr>
                <w:ilvl w:val="0"/>
                <w:numId w:val="25"/>
              </w:numPr>
              <w:spacing w:before="0"/>
              <w:ind w:left="326" w:hanging="218"/>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lang w:val="en-AU" w:bidi="en-US"/>
              </w:rPr>
            </w:pPr>
            <w:r w:rsidRPr="00E54409">
              <w:rPr>
                <w:rFonts w:ascii="Arial Narrow" w:eastAsiaTheme="majorEastAsia" w:hAnsi="Arial Narrow" w:cstheme="majorBidi"/>
                <w:lang w:val="en-AU" w:bidi="en-US"/>
              </w:rPr>
              <w:t>Bidard, FC. et al.</w:t>
            </w:r>
          </w:p>
          <w:p w14:paraId="338AD92E" w14:textId="77777777" w:rsidR="00C905D6" w:rsidRPr="00E54409" w:rsidRDefault="00C905D6" w:rsidP="00342BD2">
            <w:pPr>
              <w:spacing w:before="0"/>
              <w:ind w:left="326"/>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lang w:val="en-AU" w:bidi="en-US"/>
              </w:rPr>
            </w:pPr>
            <w:proofErr w:type="spellStart"/>
            <w:r w:rsidRPr="00E54409">
              <w:rPr>
                <w:rFonts w:ascii="Arial Narrow" w:eastAsiaTheme="majorEastAsia" w:hAnsi="Arial Narrow" w:cstheme="majorBidi"/>
                <w:lang w:val="en-AU" w:bidi="en-US"/>
              </w:rPr>
              <w:t>Elacestrant</w:t>
            </w:r>
            <w:proofErr w:type="spellEnd"/>
            <w:r w:rsidRPr="00E54409">
              <w:rPr>
                <w:rFonts w:ascii="Arial Narrow" w:eastAsiaTheme="majorEastAsia" w:hAnsi="Arial Narrow" w:cstheme="majorBidi"/>
                <w:lang w:val="en-AU" w:bidi="en-US"/>
              </w:rPr>
              <w:t xml:space="preserve"> (oral selective estrogen receptor degrader) Versus Standard Endocrine Therapy for Estrogen Receptor-Positive, Human Epidermal Growth Factor Receptor 2-Negative Advanced Breast Cancer: Results From the Randomized Phase III EMERALD Trial</w:t>
            </w:r>
          </w:p>
        </w:tc>
        <w:tc>
          <w:tcPr>
            <w:cnfStyle w:val="000100000000" w:firstRow="0" w:lastRow="0" w:firstColumn="0" w:lastColumn="1" w:oddVBand="0" w:evenVBand="0" w:oddHBand="0" w:evenHBand="0" w:firstRowFirstColumn="0" w:firstRowLastColumn="0" w:lastRowFirstColumn="0" w:lastRowLastColumn="0"/>
            <w:tcW w:w="1337" w:type="pct"/>
            <w:tcBorders>
              <w:top w:val="nil"/>
              <w:bottom w:val="nil"/>
            </w:tcBorders>
          </w:tcPr>
          <w:p w14:paraId="70BA8B15" w14:textId="77777777" w:rsidR="00C905D6" w:rsidRPr="00E54409" w:rsidRDefault="00C905D6" w:rsidP="00342BD2">
            <w:pPr>
              <w:pStyle w:val="TableFigureFooter"/>
              <w:jc w:val="left"/>
              <w:rPr>
                <w:i w:val="0"/>
                <w:iCs w:val="0"/>
                <w:sz w:val="20"/>
                <w:lang w:val="en-AU"/>
              </w:rPr>
            </w:pPr>
            <w:r w:rsidRPr="00E54409">
              <w:rPr>
                <w:i w:val="0"/>
                <w:iCs w:val="0"/>
                <w:sz w:val="20"/>
                <w:lang w:val="en-AU"/>
              </w:rPr>
              <w:t>J Clin Oncol. 2022 Oct 1;40(28):3246-3256.</w:t>
            </w:r>
          </w:p>
        </w:tc>
      </w:tr>
      <w:tr w:rsidR="00C905D6" w:rsidRPr="00E54409" w14:paraId="58F8D919" w14:textId="77777777" w:rsidTr="00470B01">
        <w:tc>
          <w:tcPr>
            <w:cnfStyle w:val="001000000000" w:firstRow="0" w:lastRow="0" w:firstColumn="1" w:lastColumn="0" w:oddVBand="0" w:evenVBand="0" w:oddHBand="0" w:evenHBand="0" w:firstRowFirstColumn="0" w:firstRowLastColumn="0" w:lastRowFirstColumn="0" w:lastRowLastColumn="0"/>
            <w:tcW w:w="989" w:type="pct"/>
            <w:vMerge/>
            <w:tcBorders>
              <w:left w:val="single" w:sz="4" w:space="0" w:color="auto"/>
              <w:right w:val="single" w:sz="4" w:space="0" w:color="auto"/>
            </w:tcBorders>
          </w:tcPr>
          <w:p w14:paraId="415FC203" w14:textId="77777777" w:rsidR="00C905D6" w:rsidRPr="00E54409" w:rsidRDefault="00C905D6" w:rsidP="00FA75FE">
            <w:pPr>
              <w:pStyle w:val="TableFigureHeading"/>
              <w:rPr>
                <w:lang w:val="en-AU"/>
              </w:rPr>
            </w:pPr>
          </w:p>
        </w:tc>
        <w:tc>
          <w:tcPr>
            <w:tcW w:w="2674" w:type="pct"/>
            <w:tcBorders>
              <w:top w:val="nil"/>
              <w:left w:val="single" w:sz="4" w:space="0" w:color="auto"/>
              <w:bottom w:val="nil"/>
              <w:right w:val="single" w:sz="4" w:space="0" w:color="auto"/>
            </w:tcBorders>
          </w:tcPr>
          <w:p w14:paraId="11A2BE51" w14:textId="77777777" w:rsidR="00C905D6" w:rsidRPr="00E54409" w:rsidRDefault="00C905D6" w:rsidP="00342BD2">
            <w:pPr>
              <w:spacing w:before="0"/>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b/>
                <w:lang w:val="en-AU" w:bidi="en-US"/>
              </w:rPr>
            </w:pPr>
            <w:r w:rsidRPr="00E54409">
              <w:rPr>
                <w:rFonts w:ascii="Arial Narrow" w:eastAsiaTheme="majorEastAsia" w:hAnsi="Arial Narrow" w:cstheme="majorBidi"/>
                <w:b/>
                <w:lang w:val="en-AU" w:bidi="en-US"/>
              </w:rPr>
              <w:t>Additional publications:</w:t>
            </w:r>
          </w:p>
          <w:p w14:paraId="2B6BD902" w14:textId="77777777" w:rsidR="00C905D6" w:rsidRPr="00E54409" w:rsidRDefault="00C905D6" w:rsidP="00342BD2">
            <w:pPr>
              <w:numPr>
                <w:ilvl w:val="0"/>
                <w:numId w:val="25"/>
              </w:numPr>
              <w:spacing w:before="0"/>
              <w:ind w:left="326" w:hanging="218"/>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lang w:val="en-AU" w:bidi="en-US"/>
              </w:rPr>
            </w:pPr>
            <w:r w:rsidRPr="00E54409">
              <w:rPr>
                <w:rFonts w:ascii="Arial Narrow" w:eastAsiaTheme="majorEastAsia" w:hAnsi="Arial Narrow" w:cstheme="majorBidi"/>
                <w:lang w:val="en-AU" w:bidi="en-US"/>
              </w:rPr>
              <w:t>Anonymous</w:t>
            </w:r>
          </w:p>
          <w:p w14:paraId="6370E250" w14:textId="77777777" w:rsidR="00C905D6" w:rsidRPr="00E54409" w:rsidRDefault="00C905D6" w:rsidP="00342BD2">
            <w:pPr>
              <w:spacing w:before="0"/>
              <w:ind w:left="326"/>
              <w:jc w:val="left"/>
              <w:cnfStyle w:val="000000000000" w:firstRow="0" w:lastRow="0" w:firstColumn="0" w:lastColumn="0" w:oddVBand="0" w:evenVBand="0" w:oddHBand="0" w:evenHBand="0" w:firstRowFirstColumn="0" w:firstRowLastColumn="0" w:lastRowFirstColumn="0" w:lastRowLastColumn="0"/>
              <w:rPr>
                <w:rFonts w:ascii="Arial Narrow" w:eastAsiaTheme="majorEastAsia" w:hAnsi="Arial Narrow" w:cstheme="majorBidi"/>
                <w:lang w:val="en-AU" w:bidi="en-US"/>
              </w:rPr>
            </w:pPr>
            <w:r w:rsidRPr="00E54409">
              <w:rPr>
                <w:rFonts w:ascii="Arial Narrow" w:eastAsiaTheme="majorEastAsia" w:hAnsi="Arial Narrow" w:cstheme="majorBidi"/>
                <w:lang w:val="en-AU" w:bidi="en-US"/>
              </w:rPr>
              <w:t xml:space="preserve">Erratum: </w:t>
            </w:r>
            <w:proofErr w:type="spellStart"/>
            <w:r w:rsidRPr="00E54409">
              <w:rPr>
                <w:rFonts w:ascii="Arial Narrow" w:eastAsiaTheme="majorEastAsia" w:hAnsi="Arial Narrow" w:cstheme="majorBidi"/>
                <w:lang w:val="en-AU" w:bidi="en-US"/>
              </w:rPr>
              <w:t>Elacestrant</w:t>
            </w:r>
            <w:proofErr w:type="spellEnd"/>
            <w:r w:rsidRPr="00E54409">
              <w:rPr>
                <w:rFonts w:ascii="Arial Narrow" w:eastAsiaTheme="majorEastAsia" w:hAnsi="Arial Narrow" w:cstheme="majorBidi"/>
                <w:lang w:val="en-AU" w:bidi="en-US"/>
              </w:rPr>
              <w:t xml:space="preserve"> (oral selective estrogen receptor degrader) Versus Standard Endocrine Therapy for Estrogen Receptor-Positive, Human Epidermal Growth Factor Receptor 2-Negative Advanced Breast Cancer: Results From the Randomized Phase III EMERALD Trial</w:t>
            </w:r>
          </w:p>
        </w:tc>
        <w:tc>
          <w:tcPr>
            <w:cnfStyle w:val="000100000000" w:firstRow="0" w:lastRow="0" w:firstColumn="0" w:lastColumn="1" w:oddVBand="0" w:evenVBand="0" w:oddHBand="0" w:evenHBand="0" w:firstRowFirstColumn="0" w:firstRowLastColumn="0" w:lastRowFirstColumn="0" w:lastRowLastColumn="0"/>
            <w:tcW w:w="1337" w:type="pct"/>
            <w:tcBorders>
              <w:top w:val="nil"/>
              <w:bottom w:val="nil"/>
            </w:tcBorders>
          </w:tcPr>
          <w:p w14:paraId="7CA706ED" w14:textId="77777777" w:rsidR="00C905D6" w:rsidRPr="00E54409" w:rsidRDefault="00C905D6" w:rsidP="00342BD2">
            <w:pPr>
              <w:pStyle w:val="TableFigureFooter"/>
              <w:jc w:val="left"/>
              <w:rPr>
                <w:rFonts w:eastAsiaTheme="majorEastAsia"/>
                <w:i w:val="0"/>
                <w:iCs w:val="0"/>
                <w:sz w:val="20"/>
                <w:lang w:val="en-AU" w:bidi="en-US"/>
              </w:rPr>
            </w:pPr>
            <w:r w:rsidRPr="00E54409">
              <w:rPr>
                <w:rFonts w:eastAsiaTheme="majorEastAsia"/>
                <w:i w:val="0"/>
                <w:iCs w:val="0"/>
                <w:sz w:val="20"/>
                <w:lang w:val="en-AU" w:bidi="en-US"/>
              </w:rPr>
              <w:t>J Clin Oncol. 2023 Aug 10;41(23):3962</w:t>
            </w:r>
          </w:p>
          <w:p w14:paraId="2EC1B992" w14:textId="77777777" w:rsidR="00C905D6" w:rsidRPr="00E54409" w:rsidRDefault="00C905D6" w:rsidP="00342BD2">
            <w:pPr>
              <w:pStyle w:val="TableFigureFooter"/>
              <w:jc w:val="left"/>
              <w:rPr>
                <w:i w:val="0"/>
                <w:iCs w:val="0"/>
                <w:sz w:val="20"/>
                <w:lang w:val="en-AU"/>
              </w:rPr>
            </w:pPr>
          </w:p>
        </w:tc>
      </w:tr>
      <w:tr w:rsidR="00C905D6" w:rsidRPr="00E54409" w14:paraId="3E79D0BF" w14:textId="77777777" w:rsidTr="00470B0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vMerge/>
            <w:tcBorders>
              <w:left w:val="single" w:sz="4" w:space="0" w:color="auto"/>
              <w:bottom w:val="single" w:sz="4" w:space="0" w:color="auto"/>
              <w:right w:val="single" w:sz="4" w:space="0" w:color="auto"/>
            </w:tcBorders>
          </w:tcPr>
          <w:p w14:paraId="5DAD83B9" w14:textId="77777777" w:rsidR="00C905D6" w:rsidRPr="00E54409" w:rsidRDefault="00C905D6" w:rsidP="00FA75FE">
            <w:pPr>
              <w:pStyle w:val="TableFigureHeading"/>
              <w:rPr>
                <w:lang w:val="en-AU"/>
              </w:rPr>
            </w:pPr>
          </w:p>
        </w:tc>
        <w:tc>
          <w:tcPr>
            <w:tcW w:w="2674" w:type="pct"/>
            <w:tcBorders>
              <w:top w:val="nil"/>
              <w:left w:val="single" w:sz="4" w:space="0" w:color="auto"/>
              <w:bottom w:val="single" w:sz="4" w:space="0" w:color="auto"/>
              <w:right w:val="single" w:sz="4" w:space="0" w:color="auto"/>
            </w:tcBorders>
          </w:tcPr>
          <w:p w14:paraId="64A342C5" w14:textId="77777777" w:rsidR="00C905D6" w:rsidRPr="00E54409" w:rsidRDefault="00C905D6" w:rsidP="00342BD2">
            <w:pPr>
              <w:numPr>
                <w:ilvl w:val="0"/>
                <w:numId w:val="25"/>
              </w:numPr>
              <w:spacing w:before="0"/>
              <w:ind w:left="326" w:hanging="218"/>
              <w:jc w:val="left"/>
              <w:cnfStyle w:val="010000000000" w:firstRow="0" w:lastRow="1" w:firstColumn="0" w:lastColumn="0" w:oddVBand="0" w:evenVBand="0" w:oddHBand="0" w:evenHBand="0" w:firstRowFirstColumn="0" w:firstRowLastColumn="0" w:lastRowFirstColumn="0" w:lastRowLastColumn="0"/>
              <w:rPr>
                <w:rFonts w:ascii="Arial Narrow" w:eastAsiaTheme="majorEastAsia" w:hAnsi="Arial Narrow" w:cstheme="majorBidi"/>
                <w:i w:val="0"/>
                <w:iCs w:val="0"/>
                <w:lang w:val="en-AU" w:bidi="en-US"/>
              </w:rPr>
            </w:pPr>
            <w:r w:rsidRPr="00E54409">
              <w:rPr>
                <w:rFonts w:ascii="Arial Narrow" w:eastAsiaTheme="majorEastAsia" w:hAnsi="Arial Narrow" w:cstheme="majorBidi"/>
                <w:i w:val="0"/>
                <w:lang w:val="en-AU" w:bidi="en-US"/>
              </w:rPr>
              <w:t>Bardia, A. et al.</w:t>
            </w:r>
          </w:p>
          <w:p w14:paraId="6645755A" w14:textId="77777777" w:rsidR="00C905D6" w:rsidRPr="00E54409" w:rsidRDefault="00C905D6" w:rsidP="00342BD2">
            <w:pPr>
              <w:spacing w:before="0"/>
              <w:ind w:left="326"/>
              <w:jc w:val="left"/>
              <w:cnfStyle w:val="010000000000" w:firstRow="0" w:lastRow="1" w:firstColumn="0" w:lastColumn="0" w:oddVBand="0" w:evenVBand="0" w:oddHBand="0" w:evenHBand="0" w:firstRowFirstColumn="0" w:firstRowLastColumn="0" w:lastRowFirstColumn="0" w:lastRowLastColumn="0"/>
              <w:rPr>
                <w:rFonts w:ascii="Arial Narrow" w:eastAsiaTheme="majorEastAsia" w:hAnsi="Arial Narrow" w:cstheme="majorBidi"/>
                <w:lang w:val="en-AU" w:bidi="en-US"/>
              </w:rPr>
            </w:pPr>
            <w:proofErr w:type="spellStart"/>
            <w:r w:rsidRPr="00E54409">
              <w:rPr>
                <w:rFonts w:ascii="Arial Narrow" w:eastAsiaTheme="majorEastAsia" w:hAnsi="Arial Narrow" w:cstheme="majorBidi"/>
                <w:i w:val="0"/>
                <w:lang w:val="en-AU" w:bidi="en-US"/>
              </w:rPr>
              <w:t>Elacestrant</w:t>
            </w:r>
            <w:proofErr w:type="spellEnd"/>
            <w:r w:rsidRPr="00E54409">
              <w:rPr>
                <w:rFonts w:ascii="Arial Narrow" w:eastAsiaTheme="majorEastAsia" w:hAnsi="Arial Narrow" w:cstheme="majorBidi"/>
                <w:i w:val="0"/>
                <w:lang w:val="en-AU" w:bidi="en-US"/>
              </w:rPr>
              <w:t xml:space="preserve"> in ER+, HER2− Metastatic Breast Cancer with </w:t>
            </w:r>
            <w:r w:rsidRPr="00E54409">
              <w:rPr>
                <w:rFonts w:ascii="Arial Narrow" w:eastAsiaTheme="majorEastAsia" w:hAnsi="Arial Narrow" w:cstheme="majorBidi"/>
                <w:lang w:val="en-AU" w:bidi="en-US"/>
              </w:rPr>
              <w:t>ESR1</w:t>
            </w:r>
            <w:r w:rsidRPr="00E54409">
              <w:rPr>
                <w:rFonts w:ascii="Arial Narrow" w:eastAsiaTheme="majorEastAsia" w:hAnsi="Arial Narrow" w:cstheme="majorBidi"/>
                <w:i w:val="0"/>
                <w:lang w:val="en-AU" w:bidi="en-US"/>
              </w:rPr>
              <w:t>-Mutated Tumours: Subgroup Analyses from the Phase III EMERALD Trial by Prior Duration of Endocrine Therapy plus CDK4/6 Inhibitor and in Clinical Subgroups</w:t>
            </w:r>
          </w:p>
        </w:tc>
        <w:tc>
          <w:tcPr>
            <w:cnfStyle w:val="000100000000" w:firstRow="0" w:lastRow="0" w:firstColumn="0" w:lastColumn="1" w:oddVBand="0" w:evenVBand="0" w:oddHBand="0" w:evenHBand="0" w:firstRowFirstColumn="0" w:firstRowLastColumn="0" w:lastRowFirstColumn="0" w:lastRowLastColumn="0"/>
            <w:tcW w:w="1337" w:type="pct"/>
            <w:tcBorders>
              <w:top w:val="nil"/>
            </w:tcBorders>
          </w:tcPr>
          <w:p w14:paraId="11B3EC38" w14:textId="77777777" w:rsidR="00C905D6" w:rsidRPr="00E54409" w:rsidRDefault="00C905D6" w:rsidP="00342BD2">
            <w:pPr>
              <w:pStyle w:val="TableFigureFooter"/>
              <w:jc w:val="left"/>
              <w:rPr>
                <w:i w:val="0"/>
                <w:iCs w:val="0"/>
                <w:sz w:val="20"/>
                <w:lang w:val="en-AU"/>
              </w:rPr>
            </w:pPr>
            <w:r w:rsidRPr="00E54409">
              <w:rPr>
                <w:i w:val="0"/>
                <w:iCs w:val="0"/>
                <w:sz w:val="20"/>
                <w:lang w:val="en-AU"/>
              </w:rPr>
              <w:t>Clin Cancer Res 2024 OF1–OF11</w:t>
            </w:r>
          </w:p>
        </w:tc>
      </w:tr>
    </w:tbl>
    <w:p w14:paraId="624A1643" w14:textId="77777777" w:rsidR="00C905D6" w:rsidRPr="000A7BB0" w:rsidRDefault="00C905D6" w:rsidP="00C905D6">
      <w:pPr>
        <w:tabs>
          <w:tab w:val="left" w:pos="284"/>
        </w:tabs>
        <w:spacing w:before="0" w:after="0"/>
        <w:rPr>
          <w:rFonts w:ascii="Arial Narrow" w:eastAsia="Times New Roman" w:hAnsi="Arial Narrow" w:cs="Arial"/>
          <w:snapToGrid w:val="0"/>
          <w:sz w:val="18"/>
          <w:lang w:eastAsia="en-AU"/>
        </w:rPr>
      </w:pPr>
      <w:r w:rsidRPr="000A7BB0">
        <w:rPr>
          <w:rFonts w:ascii="Arial Narrow" w:eastAsia="Times New Roman" w:hAnsi="Arial Narrow" w:cs="Arial"/>
          <w:snapToGrid w:val="0"/>
          <w:sz w:val="18"/>
          <w:lang w:eastAsia="en-AU"/>
        </w:rPr>
        <w:t>Source: Table 2.55, pp168-169 of the submission</w:t>
      </w:r>
    </w:p>
    <w:p w14:paraId="0BC8DE61" w14:textId="2CF88000" w:rsidR="006366D4" w:rsidRPr="00DE49EF" w:rsidRDefault="00C905D6" w:rsidP="00DE49EF">
      <w:pPr>
        <w:tabs>
          <w:tab w:val="left" w:pos="284"/>
        </w:tabs>
        <w:spacing w:before="0" w:after="0"/>
        <w:rPr>
          <w:rFonts w:ascii="Arial Narrow" w:eastAsia="Times New Roman" w:hAnsi="Arial Narrow" w:cs="Arial"/>
          <w:snapToGrid w:val="0"/>
          <w:sz w:val="18"/>
          <w:szCs w:val="18"/>
          <w:lang w:eastAsia="en-AU"/>
        </w:rPr>
      </w:pPr>
      <w:r w:rsidRPr="000A7BB0">
        <w:rPr>
          <w:rFonts w:ascii="Arial Narrow" w:eastAsia="Times New Roman" w:hAnsi="Arial Narrow" w:cs="Arial"/>
          <w:snapToGrid w:val="0"/>
          <w:sz w:val="18"/>
          <w:szCs w:val="18"/>
          <w:lang w:eastAsia="en-AU"/>
        </w:rPr>
        <w:t xml:space="preserve">CDK4/6 = cyclin-dependent kinase 4/6; CDK4/6i = cyclin-dependent kinase 4/6 inhibitor; ER+ = oestrogen receptor positive; HER2- = human epidermal growth factor </w:t>
      </w:r>
      <w:r w:rsidR="3A83E8D0" w:rsidRPr="000A7BB0">
        <w:rPr>
          <w:rFonts w:ascii="Arial Narrow" w:eastAsia="Times New Roman" w:hAnsi="Arial Narrow" w:cs="Arial"/>
          <w:snapToGrid w:val="0"/>
          <w:sz w:val="18"/>
          <w:szCs w:val="18"/>
          <w:lang w:eastAsia="en-AU"/>
        </w:rPr>
        <w:t>receptor</w:t>
      </w:r>
      <w:r w:rsidRPr="000A7BB0">
        <w:rPr>
          <w:rFonts w:ascii="Arial Narrow" w:eastAsia="Times New Roman" w:hAnsi="Arial Narrow" w:cs="Arial"/>
          <w:snapToGrid w:val="0"/>
          <w:sz w:val="18"/>
          <w:szCs w:val="18"/>
          <w:lang w:eastAsia="en-AU"/>
        </w:rPr>
        <w:t xml:space="preserve"> 2 negative.</w:t>
      </w:r>
    </w:p>
    <w:p w14:paraId="22E79664" w14:textId="03D98F2B" w:rsidR="00C905D6" w:rsidRPr="000A7BB0" w:rsidRDefault="00230475" w:rsidP="00DE49EF">
      <w:pPr>
        <w:pStyle w:val="Caption"/>
        <w:keepLines/>
      </w:pPr>
      <w:bookmarkStart w:id="51" w:name="_Ref188371001"/>
      <w:r w:rsidRPr="000A7BB0">
        <w:lastRenderedPageBreak/>
        <w:t xml:space="preserve">Table </w:t>
      </w:r>
      <w:r w:rsidRPr="000A7BB0">
        <w:fldChar w:fldCharType="begin"/>
      </w:r>
      <w:r w:rsidRPr="000A7BB0">
        <w:instrText>SEQ Table_MSAC. \* ARABIC</w:instrText>
      </w:r>
      <w:r w:rsidRPr="000A7BB0">
        <w:fldChar w:fldCharType="separate"/>
      </w:r>
      <w:r w:rsidRPr="000A7BB0">
        <w:t>7</w:t>
      </w:r>
      <w:r w:rsidRPr="000A7BB0">
        <w:fldChar w:fldCharType="end"/>
      </w:r>
      <w:bookmarkEnd w:id="51"/>
      <w:r w:rsidRPr="000A7BB0">
        <w:t xml:space="preserve">: </w:t>
      </w:r>
      <w:r w:rsidRPr="000A7BB0">
        <w:rPr>
          <w:snapToGrid w:val="0"/>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5"/>
        <w:gridCol w:w="748"/>
        <w:gridCol w:w="1911"/>
        <w:gridCol w:w="2622"/>
        <w:gridCol w:w="1205"/>
        <w:gridCol w:w="1325"/>
      </w:tblGrid>
      <w:tr w:rsidR="00C905D6" w:rsidRPr="000A7BB0" w14:paraId="2A68AA9C" w14:textId="77777777" w:rsidTr="00470B01">
        <w:tc>
          <w:tcPr>
            <w:tcW w:w="668" w:type="pct"/>
            <w:tcBorders>
              <w:top w:val="single" w:sz="4" w:space="0" w:color="auto"/>
              <w:left w:val="single" w:sz="4" w:space="0" w:color="auto"/>
              <w:bottom w:val="single" w:sz="4" w:space="0" w:color="auto"/>
              <w:right w:val="single" w:sz="4" w:space="0" w:color="auto"/>
            </w:tcBorders>
            <w:vAlign w:val="bottom"/>
            <w:hideMark/>
          </w:tcPr>
          <w:p w14:paraId="29813D04" w14:textId="77777777" w:rsidR="00C905D6" w:rsidRPr="000A7BB0" w:rsidRDefault="00C905D6" w:rsidP="00DE49EF">
            <w:pPr>
              <w:keepNext/>
              <w:keepLines/>
              <w:widowControl w:val="0"/>
              <w:spacing w:before="0" w:after="0"/>
              <w:rPr>
                <w:rFonts w:ascii="Arial Narrow" w:hAnsi="Arial Narrow"/>
                <w:b/>
                <w:sz w:val="20"/>
              </w:rPr>
            </w:pPr>
            <w:r w:rsidRPr="000A7BB0">
              <w:rPr>
                <w:rFonts w:ascii="Arial Narrow" w:hAnsi="Arial Narrow"/>
                <w:b/>
                <w:sz w:val="20"/>
              </w:rPr>
              <w:t>Trial</w:t>
            </w:r>
          </w:p>
        </w:tc>
        <w:tc>
          <w:tcPr>
            <w:tcW w:w="415" w:type="pct"/>
            <w:tcBorders>
              <w:top w:val="single" w:sz="4" w:space="0" w:color="auto"/>
              <w:left w:val="single" w:sz="4" w:space="0" w:color="auto"/>
              <w:bottom w:val="single" w:sz="4" w:space="0" w:color="auto"/>
              <w:right w:val="single" w:sz="4" w:space="0" w:color="auto"/>
            </w:tcBorders>
            <w:vAlign w:val="bottom"/>
            <w:hideMark/>
          </w:tcPr>
          <w:p w14:paraId="5E0E8F41" w14:textId="77777777" w:rsidR="00C905D6" w:rsidRPr="000A7BB0" w:rsidRDefault="00C905D6" w:rsidP="00DE49EF">
            <w:pPr>
              <w:keepNext/>
              <w:keepLines/>
              <w:widowControl w:val="0"/>
              <w:spacing w:before="0" w:after="0"/>
              <w:rPr>
                <w:rFonts w:ascii="Arial Narrow" w:hAnsi="Arial Narrow"/>
                <w:b/>
                <w:sz w:val="20"/>
              </w:rPr>
            </w:pPr>
            <w:r w:rsidRPr="000A7BB0">
              <w:rPr>
                <w:rFonts w:ascii="Arial Narrow" w:hAnsi="Arial Narrow"/>
                <w:b/>
                <w:sz w:val="20"/>
              </w:rPr>
              <w:t>N</w:t>
            </w:r>
          </w:p>
        </w:tc>
        <w:tc>
          <w:tcPr>
            <w:tcW w:w="1060" w:type="pct"/>
            <w:tcBorders>
              <w:top w:val="single" w:sz="4" w:space="0" w:color="auto"/>
              <w:left w:val="single" w:sz="4" w:space="0" w:color="auto"/>
              <w:bottom w:val="single" w:sz="4" w:space="0" w:color="auto"/>
              <w:right w:val="single" w:sz="4" w:space="0" w:color="auto"/>
            </w:tcBorders>
            <w:vAlign w:val="bottom"/>
            <w:hideMark/>
          </w:tcPr>
          <w:p w14:paraId="6F9A916B" w14:textId="77777777" w:rsidR="00C905D6" w:rsidRPr="000A7BB0" w:rsidRDefault="00C905D6" w:rsidP="00DE49EF">
            <w:pPr>
              <w:keepNext/>
              <w:keepLines/>
              <w:widowControl w:val="0"/>
              <w:spacing w:before="0" w:after="0"/>
              <w:rPr>
                <w:rFonts w:ascii="Arial Narrow" w:hAnsi="Arial Narrow"/>
                <w:b/>
                <w:sz w:val="20"/>
              </w:rPr>
            </w:pPr>
            <w:r w:rsidRPr="000A7BB0">
              <w:rPr>
                <w:rFonts w:ascii="Arial Narrow" w:hAnsi="Arial Narrow"/>
                <w:b/>
                <w:sz w:val="20"/>
              </w:rPr>
              <w:t>Design/ duration</w:t>
            </w:r>
          </w:p>
        </w:tc>
        <w:tc>
          <w:tcPr>
            <w:tcW w:w="1454" w:type="pct"/>
            <w:tcBorders>
              <w:top w:val="single" w:sz="4" w:space="0" w:color="auto"/>
              <w:left w:val="single" w:sz="4" w:space="0" w:color="auto"/>
              <w:bottom w:val="single" w:sz="4" w:space="0" w:color="auto"/>
              <w:right w:val="single" w:sz="4" w:space="0" w:color="auto"/>
            </w:tcBorders>
            <w:vAlign w:val="bottom"/>
            <w:hideMark/>
          </w:tcPr>
          <w:p w14:paraId="17C9A9CA" w14:textId="77777777" w:rsidR="00C905D6" w:rsidRPr="000A7BB0" w:rsidRDefault="00C905D6" w:rsidP="00DE49EF">
            <w:pPr>
              <w:keepNext/>
              <w:keepLines/>
              <w:widowControl w:val="0"/>
              <w:spacing w:before="0" w:after="0"/>
              <w:rPr>
                <w:rFonts w:ascii="Arial Narrow" w:hAnsi="Arial Narrow"/>
                <w:b/>
                <w:sz w:val="20"/>
              </w:rPr>
            </w:pPr>
            <w:r w:rsidRPr="000A7BB0">
              <w:rPr>
                <w:rFonts w:ascii="Arial Narrow" w:hAnsi="Arial Narrow"/>
                <w:b/>
                <w:sz w:val="20"/>
              </w:rPr>
              <w:t>Patient population</w:t>
            </w:r>
          </w:p>
        </w:tc>
        <w:tc>
          <w:tcPr>
            <w:tcW w:w="668" w:type="pct"/>
            <w:tcBorders>
              <w:top w:val="single" w:sz="4" w:space="0" w:color="auto"/>
              <w:left w:val="single" w:sz="4" w:space="0" w:color="auto"/>
              <w:bottom w:val="single" w:sz="4" w:space="0" w:color="auto"/>
              <w:right w:val="single" w:sz="4" w:space="0" w:color="auto"/>
            </w:tcBorders>
            <w:vAlign w:val="bottom"/>
            <w:hideMark/>
          </w:tcPr>
          <w:p w14:paraId="2E835DDC" w14:textId="77777777" w:rsidR="00C905D6" w:rsidRPr="000A7BB0" w:rsidRDefault="00C905D6" w:rsidP="00DE49EF">
            <w:pPr>
              <w:keepNext/>
              <w:keepLines/>
              <w:widowControl w:val="0"/>
              <w:spacing w:before="0" w:after="0"/>
              <w:rPr>
                <w:rFonts w:ascii="Arial Narrow" w:hAnsi="Arial Narrow"/>
                <w:b/>
                <w:sz w:val="20"/>
              </w:rPr>
            </w:pPr>
            <w:r w:rsidRPr="000A7BB0">
              <w:rPr>
                <w:rFonts w:ascii="Arial Narrow" w:hAnsi="Arial Narrow"/>
                <w:b/>
                <w:sz w:val="20"/>
              </w:rPr>
              <w:t>Outcome(s)</w:t>
            </w:r>
          </w:p>
        </w:tc>
        <w:tc>
          <w:tcPr>
            <w:tcW w:w="735" w:type="pct"/>
            <w:tcBorders>
              <w:top w:val="single" w:sz="4" w:space="0" w:color="auto"/>
              <w:left w:val="single" w:sz="4" w:space="0" w:color="auto"/>
              <w:bottom w:val="single" w:sz="4" w:space="0" w:color="auto"/>
              <w:right w:val="single" w:sz="4" w:space="0" w:color="auto"/>
            </w:tcBorders>
            <w:vAlign w:val="bottom"/>
            <w:hideMark/>
          </w:tcPr>
          <w:p w14:paraId="00B49299" w14:textId="77777777" w:rsidR="00C905D6" w:rsidRPr="000A7BB0" w:rsidRDefault="00C905D6" w:rsidP="00DE49EF">
            <w:pPr>
              <w:keepNext/>
              <w:keepLines/>
              <w:widowControl w:val="0"/>
              <w:spacing w:before="0" w:after="0"/>
              <w:rPr>
                <w:rFonts w:ascii="Arial Narrow" w:hAnsi="Arial Narrow"/>
                <w:b/>
                <w:sz w:val="20"/>
              </w:rPr>
            </w:pPr>
            <w:r w:rsidRPr="000A7BB0">
              <w:rPr>
                <w:rFonts w:ascii="Arial Narrow" w:hAnsi="Arial Narrow"/>
                <w:b/>
                <w:sz w:val="20"/>
              </w:rPr>
              <w:t>Use in modelled evaluation</w:t>
            </w:r>
          </w:p>
        </w:tc>
      </w:tr>
      <w:tr w:rsidR="00C905D6" w:rsidRPr="000A7BB0" w14:paraId="3DD77ECF" w14:textId="77777777" w:rsidTr="00470B01">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C65F0E7" w14:textId="12F14303" w:rsidR="00C905D6" w:rsidRPr="000A7BB0" w:rsidRDefault="00C905D6" w:rsidP="00DE49EF">
            <w:pPr>
              <w:keepNext/>
              <w:keepLines/>
              <w:widowControl w:val="0"/>
              <w:spacing w:before="0" w:after="0"/>
              <w:rPr>
                <w:rFonts w:ascii="Arial Narrow" w:hAnsi="Arial Narrow"/>
                <w:sz w:val="20"/>
                <w:szCs w:val="20"/>
              </w:rPr>
            </w:pPr>
            <w:proofErr w:type="spellStart"/>
            <w:r w:rsidRPr="000A7BB0">
              <w:rPr>
                <w:rFonts w:ascii="Arial Narrow" w:hAnsi="Arial Narrow"/>
                <w:sz w:val="20"/>
                <w:szCs w:val="20"/>
              </w:rPr>
              <w:t>Elacestrant</w:t>
            </w:r>
            <w:proofErr w:type="spellEnd"/>
            <w:r w:rsidRPr="000A7BB0">
              <w:rPr>
                <w:rFonts w:ascii="Arial Narrow" w:hAnsi="Arial Narrow"/>
                <w:sz w:val="20"/>
                <w:szCs w:val="20"/>
              </w:rPr>
              <w:t xml:space="preserve"> vs SOC (in both </w:t>
            </w:r>
            <w:r w:rsidRPr="000A7BB0">
              <w:rPr>
                <w:rFonts w:ascii="Arial Narrow" w:hAnsi="Arial Narrow"/>
                <w:i/>
                <w:iCs/>
                <w:sz w:val="20"/>
                <w:szCs w:val="20"/>
              </w:rPr>
              <w:t xml:space="preserve">ESR1 </w:t>
            </w:r>
            <w:r w:rsidRPr="000A7BB0">
              <w:rPr>
                <w:rFonts w:ascii="Arial Narrow" w:hAnsi="Arial Narrow"/>
                <w:sz w:val="20"/>
                <w:szCs w:val="20"/>
              </w:rPr>
              <w:t>variant positive and negative patients)</w:t>
            </w:r>
          </w:p>
        </w:tc>
      </w:tr>
      <w:tr w:rsidR="00C905D6" w:rsidRPr="000A7BB0" w14:paraId="58D3C4A8" w14:textId="77777777" w:rsidTr="00470B01">
        <w:tc>
          <w:tcPr>
            <w:tcW w:w="668" w:type="pct"/>
            <w:tcBorders>
              <w:top w:val="single" w:sz="4" w:space="0" w:color="auto"/>
              <w:left w:val="single" w:sz="4" w:space="0" w:color="auto"/>
              <w:bottom w:val="single" w:sz="4" w:space="0" w:color="auto"/>
              <w:right w:val="single" w:sz="4" w:space="0" w:color="auto"/>
            </w:tcBorders>
            <w:vAlign w:val="center"/>
            <w:hideMark/>
          </w:tcPr>
          <w:p w14:paraId="0F28A5D4" w14:textId="09FE1768" w:rsidR="00C905D6" w:rsidRPr="000A7BB0" w:rsidRDefault="00C905D6" w:rsidP="00DE49EF">
            <w:pPr>
              <w:keepNext/>
              <w:keepLines/>
              <w:widowControl w:val="0"/>
              <w:spacing w:before="0" w:after="0"/>
              <w:rPr>
                <w:rFonts w:ascii="Arial Narrow" w:hAnsi="Arial Narrow"/>
                <w:sz w:val="20"/>
              </w:rPr>
            </w:pPr>
            <w:r w:rsidRPr="000A7BB0">
              <w:rPr>
                <w:rFonts w:ascii="Arial Narrow" w:hAnsi="Arial Narrow"/>
                <w:sz w:val="20"/>
              </w:rPr>
              <w:t>Bidard 2022</w:t>
            </w:r>
          </w:p>
        </w:tc>
        <w:tc>
          <w:tcPr>
            <w:tcW w:w="415" w:type="pct"/>
            <w:tcBorders>
              <w:top w:val="single" w:sz="4" w:space="0" w:color="auto"/>
              <w:left w:val="single" w:sz="4" w:space="0" w:color="auto"/>
              <w:bottom w:val="single" w:sz="4" w:space="0" w:color="auto"/>
              <w:right w:val="single" w:sz="4" w:space="0" w:color="auto"/>
            </w:tcBorders>
            <w:vAlign w:val="center"/>
            <w:hideMark/>
          </w:tcPr>
          <w:p w14:paraId="256E70E9" w14:textId="77777777" w:rsidR="00C905D6" w:rsidRPr="000A7BB0" w:rsidRDefault="00C905D6" w:rsidP="00DE49EF">
            <w:pPr>
              <w:keepNext/>
              <w:keepLines/>
              <w:widowControl w:val="0"/>
              <w:spacing w:before="0" w:after="0"/>
              <w:rPr>
                <w:rFonts w:ascii="Arial Narrow" w:hAnsi="Arial Narrow"/>
                <w:sz w:val="20"/>
              </w:rPr>
            </w:pPr>
            <w:r w:rsidRPr="000A7BB0">
              <w:rPr>
                <w:rFonts w:ascii="Arial Narrow" w:hAnsi="Arial Narrow"/>
                <w:sz w:val="20"/>
              </w:rPr>
              <w:t>478</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8EE6BA5" w14:textId="77777777" w:rsidR="00C905D6" w:rsidRPr="000A7BB0" w:rsidRDefault="00C905D6" w:rsidP="00DE49EF">
            <w:pPr>
              <w:keepNext/>
              <w:keepLines/>
              <w:widowControl w:val="0"/>
              <w:spacing w:before="0" w:after="0" w:line="254" w:lineRule="auto"/>
              <w:rPr>
                <w:rFonts w:ascii="Arial Narrow" w:hAnsi="Arial Narrow"/>
                <w:sz w:val="20"/>
              </w:rPr>
            </w:pPr>
            <w:r w:rsidRPr="000A7BB0">
              <w:rPr>
                <w:rFonts w:ascii="Arial Narrow" w:hAnsi="Arial Narrow"/>
                <w:sz w:val="20"/>
              </w:rPr>
              <w:t>R, DB, MC</w:t>
            </w:r>
          </w:p>
          <w:p w14:paraId="0DA459FC" w14:textId="77777777" w:rsidR="00C905D6" w:rsidRPr="000A7BB0" w:rsidRDefault="00C905D6" w:rsidP="00DE49EF">
            <w:pPr>
              <w:keepNext/>
              <w:keepLines/>
              <w:widowControl w:val="0"/>
              <w:spacing w:before="0" w:after="0"/>
              <w:rPr>
                <w:rFonts w:ascii="Arial Narrow" w:hAnsi="Arial Narrow"/>
                <w:sz w:val="20"/>
              </w:rPr>
            </w:pPr>
            <w:r w:rsidRPr="000A7BB0">
              <w:rPr>
                <w:rFonts w:ascii="Arial Narrow" w:hAnsi="Arial Narrow"/>
                <w:sz w:val="20"/>
              </w:rPr>
              <w:t>median duration follow-up 15.9 months for PFS (26.0 months for OS)</w:t>
            </w:r>
          </w:p>
        </w:tc>
        <w:tc>
          <w:tcPr>
            <w:tcW w:w="1454" w:type="pct"/>
            <w:tcBorders>
              <w:top w:val="single" w:sz="4" w:space="0" w:color="auto"/>
              <w:left w:val="single" w:sz="4" w:space="0" w:color="auto"/>
              <w:bottom w:val="single" w:sz="4" w:space="0" w:color="auto"/>
              <w:right w:val="single" w:sz="4" w:space="0" w:color="auto"/>
            </w:tcBorders>
            <w:vAlign w:val="center"/>
            <w:hideMark/>
          </w:tcPr>
          <w:p w14:paraId="751CBF22" w14:textId="75DDA1D6" w:rsidR="00C905D6" w:rsidRPr="000A7BB0" w:rsidRDefault="00C905D6" w:rsidP="00DE49EF">
            <w:pPr>
              <w:keepNext/>
              <w:keepLines/>
              <w:widowControl w:val="0"/>
              <w:spacing w:before="0" w:after="0"/>
              <w:rPr>
                <w:rFonts w:ascii="Arial Narrow" w:hAnsi="Arial Narrow"/>
                <w:sz w:val="20"/>
                <w:szCs w:val="20"/>
              </w:rPr>
            </w:pPr>
            <w:r w:rsidRPr="000A7BB0">
              <w:rPr>
                <w:rFonts w:ascii="Arial Narrow" w:hAnsi="Arial Narrow"/>
                <w:sz w:val="20"/>
                <w:szCs w:val="20"/>
              </w:rPr>
              <w:t xml:space="preserve">ER+/HER2- </w:t>
            </w:r>
            <w:proofErr w:type="spellStart"/>
            <w:r w:rsidRPr="000A7BB0">
              <w:rPr>
                <w:rFonts w:ascii="Arial Narrow" w:hAnsi="Arial Narrow"/>
                <w:sz w:val="20"/>
                <w:szCs w:val="20"/>
              </w:rPr>
              <w:t>mBC</w:t>
            </w:r>
            <w:proofErr w:type="spellEnd"/>
            <w:r w:rsidRPr="000A7BB0">
              <w:rPr>
                <w:rFonts w:ascii="Arial Narrow" w:hAnsi="Arial Narrow"/>
                <w:sz w:val="20"/>
                <w:szCs w:val="20"/>
              </w:rPr>
              <w:t xml:space="preserve"> with disease progression following at least one line of ET, including a CDK4/6i</w:t>
            </w:r>
          </w:p>
        </w:tc>
        <w:tc>
          <w:tcPr>
            <w:tcW w:w="668" w:type="pct"/>
            <w:tcBorders>
              <w:top w:val="single" w:sz="4" w:space="0" w:color="auto"/>
              <w:left w:val="single" w:sz="4" w:space="0" w:color="auto"/>
              <w:bottom w:val="single" w:sz="4" w:space="0" w:color="auto"/>
              <w:right w:val="single" w:sz="4" w:space="0" w:color="auto"/>
            </w:tcBorders>
            <w:vAlign w:val="center"/>
            <w:hideMark/>
          </w:tcPr>
          <w:p w14:paraId="6ADD6A18" w14:textId="312C4D6B" w:rsidR="00C905D6" w:rsidRPr="000A7BB0" w:rsidRDefault="00C905D6" w:rsidP="00DE49EF">
            <w:pPr>
              <w:keepNext/>
              <w:keepLines/>
              <w:widowControl w:val="0"/>
              <w:spacing w:before="0" w:after="0"/>
              <w:rPr>
                <w:rFonts w:ascii="Arial Narrow" w:hAnsi="Arial Narrow"/>
                <w:sz w:val="20"/>
                <w:szCs w:val="20"/>
              </w:rPr>
            </w:pPr>
            <w:r w:rsidRPr="000A7BB0">
              <w:rPr>
                <w:rFonts w:ascii="Arial Narrow" w:hAnsi="Arial Narrow"/>
                <w:sz w:val="20"/>
                <w:szCs w:val="20"/>
              </w:rPr>
              <w:t xml:space="preserve">PFS, OS, ORR, </w:t>
            </w:r>
            <w:proofErr w:type="spellStart"/>
            <w:r w:rsidRPr="000A7BB0">
              <w:rPr>
                <w:rFonts w:ascii="Arial Narrow" w:hAnsi="Arial Narrow"/>
                <w:sz w:val="20"/>
                <w:szCs w:val="20"/>
              </w:rPr>
              <w:t>DoR</w:t>
            </w:r>
            <w:proofErr w:type="spellEnd"/>
            <w:r w:rsidRPr="000A7BB0">
              <w:rPr>
                <w:rFonts w:ascii="Arial Narrow" w:hAnsi="Arial Narrow"/>
                <w:sz w:val="20"/>
                <w:szCs w:val="20"/>
              </w:rPr>
              <w:t>, CBR</w:t>
            </w:r>
          </w:p>
        </w:tc>
        <w:tc>
          <w:tcPr>
            <w:tcW w:w="735" w:type="pct"/>
            <w:tcBorders>
              <w:top w:val="single" w:sz="4" w:space="0" w:color="auto"/>
              <w:left w:val="single" w:sz="4" w:space="0" w:color="auto"/>
              <w:bottom w:val="single" w:sz="4" w:space="0" w:color="auto"/>
              <w:right w:val="single" w:sz="4" w:space="0" w:color="auto"/>
            </w:tcBorders>
            <w:vAlign w:val="center"/>
            <w:hideMark/>
          </w:tcPr>
          <w:p w14:paraId="4B3C068A" w14:textId="77777777" w:rsidR="00C905D6" w:rsidRPr="000A7BB0" w:rsidRDefault="00C905D6" w:rsidP="00DE49EF">
            <w:pPr>
              <w:keepNext/>
              <w:keepLines/>
              <w:widowControl w:val="0"/>
              <w:spacing w:before="0" w:after="0"/>
              <w:rPr>
                <w:rFonts w:ascii="Arial Narrow" w:hAnsi="Arial Narrow"/>
                <w:sz w:val="20"/>
              </w:rPr>
            </w:pPr>
            <w:r w:rsidRPr="000A7BB0">
              <w:rPr>
                <w:rFonts w:ascii="Arial Narrow" w:hAnsi="Arial Narrow"/>
                <w:sz w:val="20"/>
              </w:rPr>
              <w:t>PFS, OS, TTD, TCD</w:t>
            </w:r>
          </w:p>
        </w:tc>
      </w:tr>
    </w:tbl>
    <w:p w14:paraId="4F2C49C8" w14:textId="77777777" w:rsidR="00C905D6" w:rsidRPr="000A7BB0" w:rsidRDefault="00C905D6" w:rsidP="00DE49EF">
      <w:pPr>
        <w:keepNext/>
        <w:keepLines/>
        <w:widowControl w:val="0"/>
        <w:spacing w:before="0" w:after="0"/>
        <w:contextualSpacing/>
        <w:rPr>
          <w:rFonts w:ascii="Arial Narrow" w:eastAsia="Times New Roman" w:hAnsi="Arial Narrow" w:cs="Arial"/>
          <w:snapToGrid w:val="0"/>
          <w:sz w:val="18"/>
          <w:szCs w:val="20"/>
        </w:rPr>
      </w:pPr>
      <w:r w:rsidRPr="000A7BB0">
        <w:rPr>
          <w:rFonts w:ascii="Arial Narrow" w:eastAsia="Times New Roman" w:hAnsi="Arial Narrow" w:cs="Arial"/>
          <w:snapToGrid w:val="0"/>
          <w:sz w:val="18"/>
          <w:szCs w:val="20"/>
        </w:rPr>
        <w:t>Source: Compiled during the evaluation using information from Section 2B.4 of the submission.</w:t>
      </w:r>
    </w:p>
    <w:p w14:paraId="2722B935" w14:textId="07DCA71D" w:rsidR="00C905D6" w:rsidRPr="00DE49EF" w:rsidRDefault="00C905D6" w:rsidP="00DE49EF">
      <w:pPr>
        <w:keepNext/>
        <w:keepLines/>
        <w:widowControl w:val="0"/>
        <w:spacing w:before="0" w:after="0"/>
        <w:contextualSpacing/>
        <w:rPr>
          <w:rFonts w:ascii="Arial Narrow" w:eastAsia="Times New Roman" w:hAnsi="Arial Narrow" w:cs="Arial"/>
          <w:i/>
          <w:iCs/>
          <w:snapToGrid w:val="0"/>
          <w:sz w:val="18"/>
          <w:szCs w:val="18"/>
        </w:rPr>
      </w:pPr>
      <w:r w:rsidRPr="000A7BB0">
        <w:rPr>
          <w:rFonts w:ascii="Arial Narrow" w:eastAsia="Times New Roman" w:hAnsi="Arial Narrow" w:cs="Arial"/>
          <w:snapToGrid w:val="0"/>
          <w:sz w:val="18"/>
          <w:szCs w:val="18"/>
        </w:rPr>
        <w:t xml:space="preserve">CBR = clinical benefit rate; CDK4/6i = cyclin-dependent kinase 4/6 inhibitor; DB=double blind; </w:t>
      </w:r>
      <w:proofErr w:type="spellStart"/>
      <w:r w:rsidRPr="000A7BB0">
        <w:rPr>
          <w:rFonts w:ascii="Arial Narrow" w:eastAsia="Times New Roman" w:hAnsi="Arial Narrow" w:cs="Arial"/>
          <w:snapToGrid w:val="0"/>
          <w:sz w:val="18"/>
          <w:szCs w:val="18"/>
        </w:rPr>
        <w:t>DoR</w:t>
      </w:r>
      <w:proofErr w:type="spellEnd"/>
      <w:r w:rsidRPr="000A7BB0">
        <w:rPr>
          <w:rFonts w:ascii="Arial Narrow" w:eastAsia="Times New Roman" w:hAnsi="Arial Narrow" w:cs="Arial"/>
          <w:snapToGrid w:val="0"/>
          <w:sz w:val="18"/>
          <w:szCs w:val="18"/>
        </w:rPr>
        <w:t xml:space="preserve"> = duration of response; ER+/HER2-mBC = oestrogen receptor positive/ human epidermal growth factor receptor 2 negative metastatic breast cancer; </w:t>
      </w:r>
      <w:r w:rsidRPr="000A7BB0">
        <w:rPr>
          <w:rFonts w:ascii="Arial Narrow" w:eastAsia="Times New Roman" w:hAnsi="Arial Narrow" w:cs="Arial"/>
          <w:i/>
          <w:iCs/>
          <w:snapToGrid w:val="0"/>
          <w:sz w:val="18"/>
          <w:szCs w:val="18"/>
        </w:rPr>
        <w:t xml:space="preserve">ESR1 </w:t>
      </w:r>
      <w:r w:rsidRPr="000A7BB0">
        <w:rPr>
          <w:rFonts w:ascii="Arial Narrow" w:eastAsia="Times New Roman" w:hAnsi="Arial Narrow" w:cs="Arial"/>
          <w:snapToGrid w:val="0"/>
          <w:sz w:val="18"/>
          <w:szCs w:val="18"/>
        </w:rPr>
        <w:t>= estrogen receptor 1; ET = endocrine therapy; MC=multi-centre; OS = overall survival; ORR = objective response rate; PFS=progression-free survival; R=randomised; SOC = standard of care; TCD = time to chemotherapy or death; TTD = time to treatment discontinuation</w:t>
      </w:r>
    </w:p>
    <w:p w14:paraId="7A27F24E" w14:textId="19B82084" w:rsidR="00C905D6" w:rsidRPr="00DE49EF" w:rsidRDefault="00C905D6" w:rsidP="00DE49EF">
      <w:r w:rsidRPr="00DE49EF">
        <w:t xml:space="preserve">Both primary endpoints of the study (PFS in all subjects (whole trial population) and in </w:t>
      </w:r>
      <w:r w:rsidRPr="00DE49EF">
        <w:rPr>
          <w:i/>
          <w:iCs/>
        </w:rPr>
        <w:t>ESR1</w:t>
      </w:r>
      <w:r w:rsidRPr="00DE49EF">
        <w:t xml:space="preserve"> variant subjects) were met by the September 2021 data cutoff date (median follow up 16 months).</w:t>
      </w:r>
    </w:p>
    <w:p w14:paraId="6987822F" w14:textId="505C6DBD" w:rsidR="00C905D6" w:rsidRPr="00DE49EF" w:rsidRDefault="00C905D6" w:rsidP="00DE49EF">
      <w:r w:rsidRPr="00DE49EF">
        <w:t xml:space="preserve">In the whole trial population, </w:t>
      </w:r>
      <w:proofErr w:type="spellStart"/>
      <w:r w:rsidRPr="00DE49EF">
        <w:t>elacestrant</w:t>
      </w:r>
      <w:proofErr w:type="spellEnd"/>
      <w:r w:rsidRPr="00DE49EF">
        <w:t xml:space="preserve"> demonstrated statistically significant improvements in PFS, reducing the risk of disease progression or death by 30% compared to SOC (hazard ratio [HR] 0.70</w:t>
      </w:r>
      <w:r w:rsidR="4B3C4BC3" w:rsidRPr="00DE49EF">
        <w:t>,</w:t>
      </w:r>
      <w:r w:rsidRPr="00DE49EF">
        <w:t xml:space="preserve"> 95% </w:t>
      </w:r>
      <w:r w:rsidR="4B3C4BC3" w:rsidRPr="00DE49EF">
        <w:t>confidence interval [</w:t>
      </w:r>
      <w:r w:rsidRPr="00DE49EF">
        <w:t>CI</w:t>
      </w:r>
      <w:r w:rsidR="4B3C4BC3" w:rsidRPr="00DE49EF">
        <w:t>]</w:t>
      </w:r>
      <w:r w:rsidRPr="00DE49EF">
        <w:t>: 0.55 to 0.88</w:t>
      </w:r>
      <w:r w:rsidR="4B3C4BC3" w:rsidRPr="00DE49EF">
        <w:t>)</w:t>
      </w:r>
      <w:r w:rsidRPr="00DE49EF">
        <w:t xml:space="preserve">. The median PFS was 2.79 months for the </w:t>
      </w:r>
      <w:proofErr w:type="spellStart"/>
      <w:r w:rsidRPr="00DE49EF">
        <w:t>elacestrant</w:t>
      </w:r>
      <w:proofErr w:type="spellEnd"/>
      <w:r w:rsidRPr="00DE49EF">
        <w:t xml:space="preserve"> group and 1.91 months for the SOC group.</w:t>
      </w:r>
    </w:p>
    <w:p w14:paraId="0E9A3BFD" w14:textId="34EB466F" w:rsidR="00C905D6" w:rsidRPr="00DE49EF" w:rsidRDefault="00C905D6" w:rsidP="00DE49EF">
      <w:r w:rsidRPr="00DE49EF">
        <w:t xml:space="preserve">In patients with </w:t>
      </w:r>
      <w:r w:rsidRPr="00DE49EF">
        <w:rPr>
          <w:i/>
          <w:iCs/>
        </w:rPr>
        <w:t>ESR1</w:t>
      </w:r>
      <w:r w:rsidRPr="00DE49EF">
        <w:t xml:space="preserve"> variant tumours, </w:t>
      </w:r>
      <w:proofErr w:type="spellStart"/>
      <w:r w:rsidRPr="00DE49EF">
        <w:t>elacestrant</w:t>
      </w:r>
      <w:proofErr w:type="spellEnd"/>
      <w:r w:rsidRPr="00DE49EF">
        <w:t xml:space="preserve"> was associated with statistically significant improvements in PFS, reducing the risk of disease progression or death by 45% compared to SOC (HR 0.55 [95% CI: 0.39 to 0.77]</w:t>
      </w:r>
      <w:r w:rsidR="6B7D4D65" w:rsidRPr="00DE49EF">
        <w:t>)</w:t>
      </w:r>
      <w:r w:rsidRPr="00DE49EF">
        <w:t xml:space="preserve">. The median PFS was 3.78 months for the </w:t>
      </w:r>
      <w:proofErr w:type="spellStart"/>
      <w:r w:rsidRPr="00DE49EF">
        <w:t>elacestrant</w:t>
      </w:r>
      <w:proofErr w:type="spellEnd"/>
      <w:r w:rsidRPr="00DE49EF">
        <w:t xml:space="preserve"> group compared to 1.87 months in the SOC group.</w:t>
      </w:r>
    </w:p>
    <w:p w14:paraId="4DFC1680" w14:textId="5470CFA7" w:rsidR="00B168F3" w:rsidRPr="00DE49EF" w:rsidRDefault="00C905D6" w:rsidP="00DE49EF">
      <w:pPr>
        <w:spacing w:before="0" w:after="240"/>
      </w:pPr>
      <w:r w:rsidRPr="00DE49EF">
        <w:t xml:space="preserve">An updated analysis for the key secondary outcome of OS was performed with a cut-off date of 2 September 2022, by which time 50% of events had occurred (median follow-up 26 months). The difference in OS between the </w:t>
      </w:r>
      <w:proofErr w:type="spellStart"/>
      <w:r w:rsidRPr="00DE49EF">
        <w:t>elacestrant</w:t>
      </w:r>
      <w:proofErr w:type="spellEnd"/>
      <w:r w:rsidRPr="00DE49EF">
        <w:t xml:space="preserve"> and SOC treatment arms was not statistically significant for either the whole trial population or the </w:t>
      </w:r>
      <w:r w:rsidRPr="00DE49EF">
        <w:rPr>
          <w:i/>
          <w:iCs/>
        </w:rPr>
        <w:t>ESR1</w:t>
      </w:r>
      <w:r w:rsidRPr="00DE49EF">
        <w:t xml:space="preserve"> variant population.</w:t>
      </w:r>
    </w:p>
    <w:p w14:paraId="707E7A6F" w14:textId="3DCA573C" w:rsidR="00C905D6" w:rsidRPr="00DE49EF" w:rsidRDefault="00C905D6" w:rsidP="00DE49EF">
      <w:pPr>
        <w:spacing w:before="0" w:after="240"/>
      </w:pPr>
      <w:proofErr w:type="gramStart"/>
      <w:r w:rsidRPr="00DE49EF">
        <w:t>On the basis of</w:t>
      </w:r>
      <w:proofErr w:type="gramEnd"/>
      <w:r w:rsidRPr="00DE49EF">
        <w:t xml:space="preserve"> the benefits and harms reported in the evidence base, the submission claimed that relative to no testing and SOC, genetic testing for </w:t>
      </w:r>
      <w:r w:rsidRPr="00DE49EF">
        <w:rPr>
          <w:i/>
          <w:iCs/>
        </w:rPr>
        <w:t xml:space="preserve">ESR1 </w:t>
      </w:r>
      <w:r w:rsidRPr="00DE49EF">
        <w:t xml:space="preserve">variants and treatment with </w:t>
      </w:r>
      <w:proofErr w:type="spellStart"/>
      <w:r w:rsidRPr="00DE49EF">
        <w:t>elacestrant</w:t>
      </w:r>
      <w:proofErr w:type="spellEnd"/>
      <w:r w:rsidRPr="00DE49EF">
        <w:t xml:space="preserve"> has superior effectiveness and a different and manageable safety profile.</w:t>
      </w:r>
    </w:p>
    <w:p w14:paraId="3F2BEB9C" w14:textId="2AD2F55E" w:rsidR="00C905D6" w:rsidRPr="00DE49EF" w:rsidRDefault="00C905D6" w:rsidP="00DE49EF">
      <w:pPr>
        <w:spacing w:before="0" w:after="120"/>
        <w:rPr>
          <w:rFonts w:eastAsia="Times New Roman" w:cs="Arial"/>
          <w:snapToGrid w:val="0"/>
          <w:lang w:eastAsia="en-AU"/>
        </w:rPr>
      </w:pPr>
      <w:r w:rsidRPr="00DE49EF">
        <w:rPr>
          <w:rFonts w:eastAsia="Times New Roman" w:cs="Arial"/>
          <w:snapToGrid w:val="0"/>
          <w:lang w:eastAsia="en-AU"/>
        </w:rPr>
        <w:t xml:space="preserve">The commentary considered that the claim for superior effectiveness </w:t>
      </w:r>
      <w:r w:rsidR="13A22EE0" w:rsidRPr="00DE49EF">
        <w:rPr>
          <w:rFonts w:eastAsia="Times New Roman" w:cs="Arial"/>
          <w:snapToGrid w:val="0"/>
          <w:lang w:eastAsia="en-AU"/>
        </w:rPr>
        <w:t xml:space="preserve">for </w:t>
      </w:r>
      <w:proofErr w:type="spellStart"/>
      <w:r w:rsidR="13A22EE0" w:rsidRPr="00DE49EF">
        <w:rPr>
          <w:rFonts w:eastAsia="Times New Roman" w:cs="Arial"/>
          <w:snapToGrid w:val="0"/>
          <w:lang w:eastAsia="en-AU"/>
        </w:rPr>
        <w:t>elacestrant</w:t>
      </w:r>
      <w:proofErr w:type="spellEnd"/>
      <w:r w:rsidR="13A22EE0" w:rsidRPr="00DE49EF">
        <w:rPr>
          <w:rFonts w:eastAsia="Times New Roman" w:cs="Arial"/>
          <w:snapToGrid w:val="0"/>
          <w:lang w:eastAsia="en-AU"/>
        </w:rPr>
        <w:t xml:space="preserve"> </w:t>
      </w:r>
      <w:r w:rsidR="4399FEA0" w:rsidRPr="00DE49EF">
        <w:rPr>
          <w:rFonts w:eastAsia="Times New Roman" w:cs="Arial"/>
          <w:snapToGrid w:val="0"/>
          <w:lang w:eastAsia="en-AU"/>
        </w:rPr>
        <w:t xml:space="preserve">compared with </w:t>
      </w:r>
      <w:proofErr w:type="spellStart"/>
      <w:r w:rsidR="4399FEA0" w:rsidRPr="00DE49EF">
        <w:t>fulvestrant</w:t>
      </w:r>
      <w:proofErr w:type="spellEnd"/>
      <w:r w:rsidR="4399FEA0" w:rsidRPr="00DE49EF">
        <w:t xml:space="preserve"> or AI monotherapy</w:t>
      </w:r>
      <w:r w:rsidR="4399FEA0" w:rsidRPr="00DE49EF">
        <w:rPr>
          <w:rFonts w:eastAsia="Times New Roman" w:cs="Arial"/>
          <w:snapToGrid w:val="0"/>
          <w:lang w:eastAsia="en-AU"/>
        </w:rPr>
        <w:t xml:space="preserve"> </w:t>
      </w:r>
      <w:r w:rsidRPr="00DE49EF">
        <w:rPr>
          <w:rFonts w:eastAsia="Times New Roman" w:cs="Arial"/>
          <w:snapToGrid w:val="0"/>
          <w:lang w:eastAsia="en-AU"/>
        </w:rPr>
        <w:t xml:space="preserve">was supported based on PFS results reported from the EMERALD trial. </w:t>
      </w:r>
      <w:r w:rsidR="4399FEA0" w:rsidRPr="00DE49EF">
        <w:t>However, the SOC in the EMERALD trial may not be fully representative of the true extent of current therapies received by Australian patients, thus the applicability of the treatment effect observed in the EMERALD trial in Australian clinical practice is uncertain and the level of benefit may be overestimated</w:t>
      </w:r>
      <w:r w:rsidR="04954DD2" w:rsidRPr="00DE49EF">
        <w:t xml:space="preserve"> due to possibly improved SOC 2L+ treatment outcomes in Australian practice compared to the EMERALD trial</w:t>
      </w:r>
      <w:r w:rsidR="4399FEA0" w:rsidRPr="00DE49EF">
        <w:t>. Additionally,</w:t>
      </w:r>
      <w:r w:rsidR="4399FEA0" w:rsidRPr="00DE49EF">
        <w:rPr>
          <w:i/>
          <w:iCs/>
        </w:rPr>
        <w:t xml:space="preserve"> </w:t>
      </w:r>
      <w:r w:rsidRPr="00DE49EF">
        <w:rPr>
          <w:rFonts w:eastAsia="Times New Roman" w:cs="Arial"/>
          <w:snapToGrid w:val="0"/>
          <w:lang w:eastAsia="en-AU"/>
        </w:rPr>
        <w:t>there were no statistically significant differences between treatment arms for other secondary outcomes, including OS, objective response rate (ORR), duration of response (</w:t>
      </w:r>
      <w:proofErr w:type="spellStart"/>
      <w:r w:rsidRPr="00DE49EF">
        <w:rPr>
          <w:rFonts w:eastAsia="Times New Roman" w:cs="Arial"/>
          <w:snapToGrid w:val="0"/>
          <w:lang w:eastAsia="en-AU"/>
        </w:rPr>
        <w:t>DoR</w:t>
      </w:r>
      <w:proofErr w:type="spellEnd"/>
      <w:r w:rsidRPr="00DE49EF">
        <w:rPr>
          <w:rFonts w:eastAsia="Times New Roman" w:cs="Arial"/>
          <w:snapToGrid w:val="0"/>
          <w:lang w:eastAsia="en-AU"/>
        </w:rPr>
        <w:t>) or health related quality of life (</w:t>
      </w:r>
      <w:proofErr w:type="spellStart"/>
      <w:r w:rsidRPr="00DE49EF">
        <w:rPr>
          <w:rFonts w:eastAsia="Times New Roman" w:cs="Arial"/>
          <w:snapToGrid w:val="0"/>
          <w:lang w:eastAsia="en-AU"/>
        </w:rPr>
        <w:t>HRQoL</w:t>
      </w:r>
      <w:proofErr w:type="spellEnd"/>
      <w:r w:rsidRPr="00DE49EF">
        <w:rPr>
          <w:rFonts w:eastAsia="Times New Roman" w:cs="Arial"/>
          <w:snapToGrid w:val="0"/>
          <w:lang w:eastAsia="en-AU"/>
        </w:rPr>
        <w:t xml:space="preserve">).  </w:t>
      </w:r>
    </w:p>
    <w:p w14:paraId="12FAA01C" w14:textId="724BD356" w:rsidR="00C905D6" w:rsidRPr="00DE49EF" w:rsidRDefault="00C905D6" w:rsidP="00DE49EF">
      <w:r w:rsidRPr="00DE49EF">
        <w:t xml:space="preserve">Patients in the </w:t>
      </w:r>
      <w:proofErr w:type="spellStart"/>
      <w:r w:rsidRPr="00DE49EF">
        <w:t>elacestrant</w:t>
      </w:r>
      <w:proofErr w:type="spellEnd"/>
      <w:r w:rsidRPr="00DE49EF">
        <w:t xml:space="preserve"> arm in EMERALD had a greater risk of experiencing TEAEs related to trial therapy (63.3% vs 43.5%), Grade ≥3 </w:t>
      </w:r>
      <w:r w:rsidR="67E507BE" w:rsidRPr="00DE49EF">
        <w:t xml:space="preserve">TEAEs </w:t>
      </w:r>
      <w:r w:rsidRPr="00DE49EF">
        <w:t xml:space="preserve">(27.0% vs 20.9%) and </w:t>
      </w:r>
      <w:r w:rsidR="67E507BE" w:rsidRPr="00DE49EF">
        <w:t xml:space="preserve">TEAEs </w:t>
      </w:r>
      <w:r w:rsidRPr="00DE49EF">
        <w:t>leading to treatment interruption (15.2% vs 5.2%). The commentary considered that an inferior safety claim would be more appropriate, although not</w:t>
      </w:r>
      <w:r w:rsidR="7C8B62A0" w:rsidRPr="00DE49EF">
        <w:t>ed</w:t>
      </w:r>
      <w:r w:rsidRPr="00DE49EF">
        <w:t xml:space="preserve"> that the adverse events are likely manageable (the most common Grade ≥3 TEAEs observed in the </w:t>
      </w:r>
      <w:proofErr w:type="spellStart"/>
      <w:r w:rsidRPr="00DE49EF">
        <w:t>elacestrant</w:t>
      </w:r>
      <w:proofErr w:type="spellEnd"/>
      <w:r w:rsidRPr="00DE49EF">
        <w:t xml:space="preserve"> arm were gastrointestinal (nausea) and musculoskeletal and connective tissue (back and bone pain) disorders). </w:t>
      </w:r>
    </w:p>
    <w:p w14:paraId="33DCFCE2" w14:textId="77777777" w:rsidR="00C905D6" w:rsidRPr="00DE49EF" w:rsidRDefault="00C905D6" w:rsidP="00DE49EF">
      <w:pPr>
        <w:pStyle w:val="MSACS2Heading2"/>
        <w:keepNext/>
        <w:keepLines/>
        <w:pageBreakBefore w:val="0"/>
        <w:rPr>
          <w:rFonts w:ascii="Franklin Gothic Book" w:hAnsi="Franklin Gothic Book"/>
          <w:snapToGrid w:val="0"/>
          <w:sz w:val="24"/>
          <w:szCs w:val="24"/>
          <w:lang w:eastAsia="en-AU"/>
        </w:rPr>
      </w:pPr>
      <w:r w:rsidRPr="00DE49EF">
        <w:rPr>
          <w:rFonts w:ascii="Franklin Gothic Book" w:hAnsi="Franklin Gothic Book"/>
          <w:snapToGrid w:val="0"/>
          <w:sz w:val="24"/>
          <w:szCs w:val="24"/>
          <w:lang w:eastAsia="en-AU"/>
        </w:rPr>
        <w:lastRenderedPageBreak/>
        <w:t xml:space="preserve">Prognostic evidence and predictive effect of </w:t>
      </w:r>
      <w:r w:rsidRPr="00E47867">
        <w:rPr>
          <w:rFonts w:ascii="Franklin Gothic Book" w:hAnsi="Franklin Gothic Book"/>
          <w:i/>
          <w:snapToGrid w:val="0"/>
          <w:sz w:val="24"/>
          <w:szCs w:val="24"/>
          <w:lang w:eastAsia="en-AU"/>
        </w:rPr>
        <w:t xml:space="preserve">ESR1 </w:t>
      </w:r>
      <w:r w:rsidRPr="00DE49EF">
        <w:rPr>
          <w:rFonts w:ascii="Franklin Gothic Book" w:hAnsi="Franklin Gothic Book"/>
          <w:snapToGrid w:val="0"/>
          <w:sz w:val="24"/>
          <w:szCs w:val="24"/>
          <w:lang w:eastAsia="en-AU"/>
        </w:rPr>
        <w:t>variants</w:t>
      </w:r>
    </w:p>
    <w:p w14:paraId="4A352500" w14:textId="3BCC7A7D" w:rsidR="00C905D6" w:rsidRPr="00DE49EF" w:rsidRDefault="20D8EAD3" w:rsidP="00DE49EF">
      <w:pPr>
        <w:keepNext/>
        <w:keepLines/>
      </w:pPr>
      <w:r w:rsidRPr="00DE49EF">
        <w:t>The</w:t>
      </w:r>
      <w:r w:rsidR="00C905D6" w:rsidRPr="00DE49EF">
        <w:t xml:space="preserve"> submission presented results from EMERALD of the subgroup of patients without </w:t>
      </w:r>
      <w:r w:rsidR="00C905D6" w:rsidRPr="00DE49EF">
        <w:rPr>
          <w:i/>
          <w:iCs/>
        </w:rPr>
        <w:t xml:space="preserve">ESR1 </w:t>
      </w:r>
      <w:r w:rsidR="00C905D6" w:rsidRPr="00DE49EF">
        <w:t>variants</w:t>
      </w:r>
      <w:r w:rsidR="539B24BE" w:rsidRPr="00DE49EF">
        <w:t>,</w:t>
      </w:r>
      <w:r w:rsidR="00C905D6" w:rsidRPr="00DE49EF">
        <w:t xml:space="preserve"> although noting that EMERALD was not powered to demonstrate benefit in this population. A comparison of the PFS and OS outcomes between </w:t>
      </w:r>
      <w:r w:rsidR="160D647A" w:rsidRPr="00DE49EF">
        <w:t xml:space="preserve">the whole trial population and </w:t>
      </w:r>
      <w:r w:rsidR="00C905D6" w:rsidRPr="00DE49EF">
        <w:t xml:space="preserve">patients with and without a detectable </w:t>
      </w:r>
      <w:r w:rsidR="00C905D6" w:rsidRPr="00DE49EF">
        <w:rPr>
          <w:i/>
          <w:iCs/>
        </w:rPr>
        <w:t xml:space="preserve">ESR1 </w:t>
      </w:r>
      <w:r w:rsidR="00C905D6" w:rsidRPr="00DE49EF">
        <w:t xml:space="preserve">variant is presented in </w:t>
      </w:r>
      <w:r w:rsidR="009F7D94" w:rsidRPr="00DE49EF">
        <w:fldChar w:fldCharType="begin"/>
      </w:r>
      <w:r w:rsidR="009F7D94" w:rsidRPr="00DE49EF">
        <w:instrText xml:space="preserve"> REF _Ref188371175 \h </w:instrText>
      </w:r>
      <w:r w:rsidR="00DE49EF" w:rsidRPr="00DE49EF">
        <w:instrText xml:space="preserve"> \* MERGEFORMAT </w:instrText>
      </w:r>
      <w:r w:rsidR="009F7D94" w:rsidRPr="00DE49EF">
        <w:fldChar w:fldCharType="separate"/>
      </w:r>
      <w:r w:rsidR="006D7BC5" w:rsidRPr="006D7BC5">
        <w:t>Table 8</w:t>
      </w:r>
      <w:r w:rsidR="009F7D94" w:rsidRPr="00DE49EF">
        <w:fldChar w:fldCharType="end"/>
      </w:r>
      <w:r w:rsidR="615EF9D8" w:rsidRPr="00DE49EF">
        <w:t xml:space="preserve"> </w:t>
      </w:r>
      <w:r w:rsidR="00C905D6" w:rsidRPr="00DE49EF">
        <w:t xml:space="preserve">below. </w:t>
      </w:r>
    </w:p>
    <w:p w14:paraId="73D9601E" w14:textId="0BF6FE30" w:rsidR="00C905D6" w:rsidRPr="000A7BB0" w:rsidRDefault="00E06C54" w:rsidP="00FA75FE">
      <w:pPr>
        <w:pStyle w:val="Caption"/>
      </w:pPr>
      <w:bookmarkStart w:id="52" w:name="_Ref188371175"/>
      <w:r w:rsidRPr="000A7BB0">
        <w:t xml:space="preserve">Table </w:t>
      </w:r>
      <w:r w:rsidRPr="000A7BB0">
        <w:fldChar w:fldCharType="begin"/>
      </w:r>
      <w:r w:rsidRPr="000A7BB0">
        <w:instrText>SEQ Table_MSAC. \* ARABIC</w:instrText>
      </w:r>
      <w:r w:rsidRPr="000A7BB0">
        <w:fldChar w:fldCharType="separate"/>
      </w:r>
      <w:r w:rsidRPr="000A7BB0">
        <w:t>8</w:t>
      </w:r>
      <w:r w:rsidRPr="000A7BB0">
        <w:fldChar w:fldCharType="end"/>
      </w:r>
      <w:bookmarkEnd w:id="52"/>
      <w:r w:rsidRPr="000A7BB0">
        <w:t xml:space="preserve">: </w:t>
      </w:r>
      <w:r w:rsidR="00532205" w:rsidRPr="000A7BB0">
        <w:t>Results of PFS and OS in EMERALD comparing whole of trial population and those with and without ESR1 variant subgroup population (BIRC, 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3"/>
        <w:gridCol w:w="1359"/>
        <w:gridCol w:w="1484"/>
        <w:gridCol w:w="1484"/>
        <w:gridCol w:w="1485"/>
        <w:gridCol w:w="1791"/>
      </w:tblGrid>
      <w:tr w:rsidR="00C905D6" w:rsidRPr="000A7BB0" w14:paraId="6BEF65C5" w14:textId="77777777" w:rsidTr="00470B01">
        <w:trPr>
          <w:trHeight w:val="20"/>
          <w:tblHeader/>
        </w:trPr>
        <w:tc>
          <w:tcPr>
            <w:tcW w:w="1413" w:type="dxa"/>
            <w:vMerge w:val="restart"/>
            <w:vAlign w:val="center"/>
          </w:tcPr>
          <w:p w14:paraId="7549470C" w14:textId="77777777" w:rsidR="00C905D6" w:rsidRPr="000A7BB0" w:rsidRDefault="00C905D6" w:rsidP="00CF4F99">
            <w:pPr>
              <w:keepNext/>
              <w:keepLines/>
              <w:widowControl w:val="0"/>
              <w:spacing w:before="0" w:after="0"/>
              <w:rPr>
                <w:rFonts w:ascii="Arial Narrow" w:hAnsi="Arial Narrow"/>
                <w:b/>
                <w:bCs/>
                <w:sz w:val="20"/>
              </w:rPr>
            </w:pPr>
            <w:r w:rsidRPr="000A7BB0">
              <w:rPr>
                <w:rFonts w:ascii="Arial Narrow" w:hAnsi="Arial Narrow"/>
                <w:b/>
                <w:bCs/>
                <w:sz w:val="20"/>
              </w:rPr>
              <w:t>Population</w:t>
            </w:r>
          </w:p>
        </w:tc>
        <w:tc>
          <w:tcPr>
            <w:tcW w:w="2843" w:type="dxa"/>
            <w:gridSpan w:val="2"/>
            <w:vAlign w:val="center"/>
            <w:hideMark/>
          </w:tcPr>
          <w:p w14:paraId="173783C9" w14:textId="5CF83050" w:rsidR="00C905D6" w:rsidRPr="000A7BB0" w:rsidRDefault="00C905D6" w:rsidP="74877A7E">
            <w:pPr>
              <w:keepNext/>
              <w:keepLines/>
              <w:widowControl w:val="0"/>
              <w:spacing w:before="0" w:after="0"/>
              <w:jc w:val="center"/>
              <w:rPr>
                <w:rFonts w:ascii="Arial Narrow" w:hAnsi="Arial Narrow"/>
                <w:b/>
                <w:bCs/>
                <w:sz w:val="20"/>
                <w:szCs w:val="20"/>
              </w:rPr>
            </w:pPr>
            <w:proofErr w:type="spellStart"/>
            <w:r w:rsidRPr="000A7BB0">
              <w:rPr>
                <w:rFonts w:ascii="Arial Narrow" w:hAnsi="Arial Narrow"/>
                <w:b/>
                <w:bCs/>
                <w:sz w:val="20"/>
                <w:szCs w:val="20"/>
              </w:rPr>
              <w:t>Elacestrant</w:t>
            </w:r>
            <w:proofErr w:type="spellEnd"/>
          </w:p>
        </w:tc>
        <w:tc>
          <w:tcPr>
            <w:tcW w:w="2969" w:type="dxa"/>
            <w:gridSpan w:val="2"/>
            <w:vAlign w:val="center"/>
            <w:hideMark/>
          </w:tcPr>
          <w:p w14:paraId="47C76333" w14:textId="0F330266" w:rsidR="00C905D6" w:rsidRPr="000A7BB0" w:rsidRDefault="00C905D6" w:rsidP="004B788E">
            <w:pPr>
              <w:keepNext/>
              <w:keepLines/>
              <w:widowControl w:val="0"/>
              <w:spacing w:before="0" w:after="0"/>
              <w:jc w:val="center"/>
              <w:rPr>
                <w:rFonts w:ascii="Arial Narrow" w:hAnsi="Arial Narrow"/>
                <w:b/>
                <w:bCs/>
                <w:sz w:val="20"/>
                <w:vertAlign w:val="superscript"/>
              </w:rPr>
            </w:pPr>
            <w:r w:rsidRPr="000A7BB0">
              <w:rPr>
                <w:rFonts w:ascii="Arial Narrow" w:hAnsi="Arial Narrow"/>
                <w:b/>
                <w:bCs/>
                <w:sz w:val="20"/>
              </w:rPr>
              <w:t>SOC</w:t>
            </w:r>
            <w:r w:rsidR="00F05788" w:rsidRPr="000A7BB0">
              <w:rPr>
                <w:rFonts w:ascii="Arial Narrow" w:hAnsi="Arial Narrow"/>
                <w:b/>
                <w:bCs/>
                <w:sz w:val="20"/>
              </w:rPr>
              <w:t xml:space="preserve"> </w:t>
            </w:r>
            <w:r w:rsidR="00F05788" w:rsidRPr="000A7BB0">
              <w:rPr>
                <w:rFonts w:ascii="Arial Narrow" w:hAnsi="Arial Narrow"/>
                <w:b/>
                <w:bCs/>
                <w:sz w:val="20"/>
                <w:vertAlign w:val="superscript"/>
              </w:rPr>
              <w:t>c</w:t>
            </w:r>
          </w:p>
        </w:tc>
        <w:tc>
          <w:tcPr>
            <w:tcW w:w="1791" w:type="dxa"/>
            <w:vMerge w:val="restart"/>
            <w:vAlign w:val="center"/>
            <w:hideMark/>
          </w:tcPr>
          <w:p w14:paraId="473589AC" w14:textId="77777777" w:rsidR="00C905D6" w:rsidRPr="000A7BB0" w:rsidRDefault="00C905D6" w:rsidP="00CF4F99">
            <w:pPr>
              <w:keepNext/>
              <w:keepLines/>
              <w:widowControl w:val="0"/>
              <w:spacing w:before="0" w:after="0"/>
              <w:rPr>
                <w:rFonts w:ascii="Arial Narrow" w:hAnsi="Arial Narrow"/>
                <w:b/>
                <w:bCs/>
                <w:sz w:val="20"/>
              </w:rPr>
            </w:pPr>
            <w:r w:rsidRPr="000A7BB0">
              <w:rPr>
                <w:rFonts w:ascii="Arial Narrow" w:hAnsi="Arial Narrow"/>
                <w:b/>
                <w:bCs/>
                <w:sz w:val="20"/>
              </w:rPr>
              <w:t xml:space="preserve">HR (95% CI); p-value </w:t>
            </w:r>
          </w:p>
        </w:tc>
      </w:tr>
      <w:tr w:rsidR="00C905D6" w:rsidRPr="000A7BB0" w14:paraId="39FC91A5" w14:textId="77777777" w:rsidTr="00470B01">
        <w:trPr>
          <w:trHeight w:val="20"/>
        </w:trPr>
        <w:tc>
          <w:tcPr>
            <w:tcW w:w="1413" w:type="dxa"/>
            <w:vMerge/>
            <w:vAlign w:val="center"/>
          </w:tcPr>
          <w:p w14:paraId="5A20320C" w14:textId="77777777" w:rsidR="00C905D6" w:rsidRPr="000A7BB0" w:rsidRDefault="00C905D6" w:rsidP="00C905D6">
            <w:pPr>
              <w:keepNext/>
              <w:keepLines/>
              <w:widowControl w:val="0"/>
              <w:spacing w:before="0" w:after="0"/>
              <w:rPr>
                <w:rFonts w:ascii="Arial Narrow" w:hAnsi="Arial Narrow"/>
                <w:b/>
                <w:bCs/>
                <w:sz w:val="20"/>
              </w:rPr>
            </w:pPr>
          </w:p>
        </w:tc>
        <w:tc>
          <w:tcPr>
            <w:tcW w:w="1359" w:type="dxa"/>
            <w:vAlign w:val="center"/>
          </w:tcPr>
          <w:p w14:paraId="202CDD63" w14:textId="77777777" w:rsidR="00C905D6" w:rsidRPr="000A7BB0" w:rsidRDefault="00C905D6" w:rsidP="00C905D6">
            <w:pPr>
              <w:keepNext/>
              <w:keepLines/>
              <w:widowControl w:val="0"/>
              <w:spacing w:before="0" w:after="0"/>
              <w:jc w:val="center"/>
              <w:rPr>
                <w:rFonts w:ascii="Arial Narrow" w:hAnsi="Arial Narrow"/>
                <w:b/>
                <w:bCs/>
                <w:sz w:val="20"/>
              </w:rPr>
            </w:pPr>
            <w:r w:rsidRPr="000A7BB0">
              <w:rPr>
                <w:rFonts w:ascii="Arial Narrow" w:hAnsi="Arial Narrow"/>
                <w:b/>
                <w:bCs/>
                <w:sz w:val="20"/>
              </w:rPr>
              <w:t>Event n/N (%)</w:t>
            </w:r>
          </w:p>
        </w:tc>
        <w:tc>
          <w:tcPr>
            <w:tcW w:w="1484" w:type="dxa"/>
            <w:vAlign w:val="center"/>
          </w:tcPr>
          <w:p w14:paraId="7435EF6F" w14:textId="77777777" w:rsidR="00C905D6" w:rsidRPr="000A7BB0" w:rsidRDefault="00C905D6" w:rsidP="00C905D6">
            <w:pPr>
              <w:keepNext/>
              <w:keepLines/>
              <w:widowControl w:val="0"/>
              <w:spacing w:before="0" w:after="0"/>
              <w:jc w:val="center"/>
              <w:rPr>
                <w:rFonts w:ascii="Arial Narrow" w:hAnsi="Arial Narrow"/>
                <w:b/>
                <w:bCs/>
                <w:sz w:val="20"/>
              </w:rPr>
            </w:pPr>
            <w:r w:rsidRPr="000A7BB0">
              <w:rPr>
                <w:rFonts w:ascii="Arial Narrow" w:hAnsi="Arial Narrow"/>
                <w:b/>
                <w:bCs/>
                <w:sz w:val="20"/>
              </w:rPr>
              <w:t>Median, months (95%CI)</w:t>
            </w:r>
          </w:p>
        </w:tc>
        <w:tc>
          <w:tcPr>
            <w:tcW w:w="1484" w:type="dxa"/>
            <w:vAlign w:val="center"/>
          </w:tcPr>
          <w:p w14:paraId="542F78AC" w14:textId="77777777" w:rsidR="00C905D6" w:rsidRPr="000A7BB0" w:rsidRDefault="00C905D6" w:rsidP="00C905D6">
            <w:pPr>
              <w:keepNext/>
              <w:keepLines/>
              <w:widowControl w:val="0"/>
              <w:spacing w:before="0" w:after="0"/>
              <w:jc w:val="center"/>
              <w:rPr>
                <w:rFonts w:ascii="Arial Narrow" w:hAnsi="Arial Narrow"/>
                <w:b/>
                <w:bCs/>
                <w:sz w:val="20"/>
              </w:rPr>
            </w:pPr>
            <w:r w:rsidRPr="000A7BB0">
              <w:rPr>
                <w:rFonts w:ascii="Arial Narrow" w:hAnsi="Arial Narrow"/>
                <w:b/>
                <w:bCs/>
                <w:sz w:val="20"/>
              </w:rPr>
              <w:t>Event n/N (%)</w:t>
            </w:r>
          </w:p>
        </w:tc>
        <w:tc>
          <w:tcPr>
            <w:tcW w:w="1485" w:type="dxa"/>
            <w:vAlign w:val="center"/>
          </w:tcPr>
          <w:p w14:paraId="3C35485C" w14:textId="77777777" w:rsidR="00C905D6" w:rsidRPr="000A7BB0" w:rsidRDefault="00C905D6" w:rsidP="00C905D6">
            <w:pPr>
              <w:keepNext/>
              <w:keepLines/>
              <w:widowControl w:val="0"/>
              <w:spacing w:before="0" w:after="0"/>
              <w:jc w:val="center"/>
              <w:rPr>
                <w:rFonts w:ascii="Arial Narrow" w:hAnsi="Arial Narrow"/>
                <w:b/>
                <w:bCs/>
                <w:sz w:val="20"/>
              </w:rPr>
            </w:pPr>
            <w:r w:rsidRPr="000A7BB0">
              <w:rPr>
                <w:rFonts w:ascii="Arial Narrow" w:hAnsi="Arial Narrow"/>
                <w:b/>
                <w:bCs/>
                <w:sz w:val="20"/>
              </w:rPr>
              <w:t>Median, months (95%CI)</w:t>
            </w:r>
          </w:p>
        </w:tc>
        <w:tc>
          <w:tcPr>
            <w:tcW w:w="1791" w:type="dxa"/>
            <w:vMerge/>
            <w:vAlign w:val="center"/>
          </w:tcPr>
          <w:p w14:paraId="6325BE26" w14:textId="77777777" w:rsidR="00C905D6" w:rsidRPr="000A7BB0" w:rsidRDefault="00C905D6" w:rsidP="00C905D6">
            <w:pPr>
              <w:keepNext/>
              <w:keepLines/>
              <w:widowControl w:val="0"/>
              <w:spacing w:before="0" w:after="0"/>
              <w:jc w:val="center"/>
              <w:rPr>
                <w:rFonts w:ascii="Arial Narrow" w:hAnsi="Arial Narrow"/>
                <w:b/>
                <w:bCs/>
                <w:sz w:val="20"/>
              </w:rPr>
            </w:pPr>
          </w:p>
        </w:tc>
      </w:tr>
      <w:tr w:rsidR="00C905D6" w:rsidRPr="000A7BB0" w14:paraId="37C4B86D" w14:textId="77777777" w:rsidTr="00470B01">
        <w:trPr>
          <w:trHeight w:val="20"/>
        </w:trPr>
        <w:tc>
          <w:tcPr>
            <w:tcW w:w="0" w:type="auto"/>
            <w:gridSpan w:val="6"/>
            <w:vAlign w:val="center"/>
          </w:tcPr>
          <w:p w14:paraId="296C389D" w14:textId="11C2FD60" w:rsidR="00C905D6" w:rsidRPr="000A7BB0" w:rsidRDefault="004302B0" w:rsidP="00C905D6">
            <w:pPr>
              <w:keepNext/>
              <w:keepLines/>
              <w:widowControl w:val="0"/>
              <w:spacing w:before="0" w:after="0"/>
              <w:rPr>
                <w:rFonts w:ascii="Arial Narrow" w:hAnsi="Arial Narrow"/>
                <w:b/>
                <w:sz w:val="20"/>
                <w:szCs w:val="20"/>
              </w:rPr>
            </w:pPr>
            <w:proofErr w:type="spellStart"/>
            <w:r w:rsidRPr="000A7BB0">
              <w:rPr>
                <w:rFonts w:ascii="Arial Narrow" w:hAnsi="Arial Narrow"/>
                <w:b/>
                <w:sz w:val="20"/>
                <w:szCs w:val="20"/>
              </w:rPr>
              <w:t>PFS</w:t>
            </w:r>
            <w:r w:rsidRPr="000A7BB0">
              <w:rPr>
                <w:rFonts w:ascii="Arial Narrow" w:hAnsi="Arial Narrow"/>
                <w:b/>
                <w:sz w:val="20"/>
                <w:szCs w:val="20"/>
                <w:vertAlign w:val="superscript"/>
              </w:rPr>
              <w:t>a</w:t>
            </w:r>
            <w:proofErr w:type="spellEnd"/>
          </w:p>
        </w:tc>
      </w:tr>
      <w:tr w:rsidR="00C905D6" w:rsidRPr="000A7BB0" w14:paraId="596ACF32" w14:textId="77777777" w:rsidTr="00470B01">
        <w:trPr>
          <w:trHeight w:val="20"/>
        </w:trPr>
        <w:tc>
          <w:tcPr>
            <w:tcW w:w="1413" w:type="dxa"/>
            <w:vAlign w:val="center"/>
          </w:tcPr>
          <w:p w14:paraId="10E3FBD3" w14:textId="493019C1" w:rsidR="00C905D6" w:rsidRPr="000A7BB0" w:rsidRDefault="004B788E" w:rsidP="00C905D6">
            <w:pPr>
              <w:keepNext/>
              <w:keepLines/>
              <w:widowControl w:val="0"/>
              <w:spacing w:before="0" w:after="0"/>
              <w:rPr>
                <w:rFonts w:ascii="Arial Narrow" w:hAnsi="Arial Narrow"/>
                <w:sz w:val="20"/>
              </w:rPr>
            </w:pPr>
            <w:r w:rsidRPr="000A7BB0">
              <w:rPr>
                <w:rFonts w:ascii="Arial Narrow" w:hAnsi="Arial Narrow"/>
                <w:sz w:val="20"/>
              </w:rPr>
              <w:t>Whole trial population</w:t>
            </w:r>
          </w:p>
        </w:tc>
        <w:tc>
          <w:tcPr>
            <w:tcW w:w="1359" w:type="dxa"/>
            <w:vAlign w:val="center"/>
          </w:tcPr>
          <w:p w14:paraId="15409968" w14:textId="616C8401" w:rsidR="00C905D6" w:rsidRPr="000A7BB0" w:rsidRDefault="004B788E" w:rsidP="00C905D6">
            <w:pPr>
              <w:keepNext/>
              <w:keepLines/>
              <w:widowControl w:val="0"/>
              <w:spacing w:before="0" w:after="0"/>
              <w:jc w:val="center"/>
              <w:rPr>
                <w:rFonts w:ascii="Arial Narrow" w:hAnsi="Arial Narrow"/>
                <w:sz w:val="20"/>
              </w:rPr>
            </w:pPr>
            <w:r w:rsidRPr="000A7BB0">
              <w:rPr>
                <w:rFonts w:ascii="Arial Narrow" w:hAnsi="Arial Narrow"/>
                <w:sz w:val="20"/>
              </w:rPr>
              <w:t>144/</w:t>
            </w:r>
            <w:r w:rsidR="004302B0" w:rsidRPr="000A7BB0">
              <w:rPr>
                <w:rFonts w:ascii="Arial Narrow" w:hAnsi="Arial Narrow"/>
                <w:sz w:val="20"/>
              </w:rPr>
              <w:t>239 (60.3)</w:t>
            </w:r>
          </w:p>
        </w:tc>
        <w:tc>
          <w:tcPr>
            <w:tcW w:w="1484" w:type="dxa"/>
            <w:vAlign w:val="center"/>
          </w:tcPr>
          <w:p w14:paraId="565FD8C1" w14:textId="77777777" w:rsidR="00C905D6" w:rsidRPr="000A7BB0" w:rsidRDefault="004302B0" w:rsidP="00C905D6">
            <w:pPr>
              <w:keepNext/>
              <w:keepLines/>
              <w:widowControl w:val="0"/>
              <w:spacing w:before="0" w:after="0"/>
              <w:jc w:val="center"/>
              <w:rPr>
                <w:rFonts w:ascii="Arial Narrow" w:hAnsi="Arial Narrow"/>
                <w:sz w:val="20"/>
              </w:rPr>
            </w:pPr>
            <w:r w:rsidRPr="000A7BB0">
              <w:rPr>
                <w:rFonts w:ascii="Arial Narrow" w:hAnsi="Arial Narrow"/>
                <w:sz w:val="20"/>
              </w:rPr>
              <w:t>2.79</w:t>
            </w:r>
          </w:p>
          <w:p w14:paraId="328C515C" w14:textId="4D76A234" w:rsidR="00C905D6" w:rsidRPr="000A7BB0" w:rsidRDefault="004302B0" w:rsidP="00C905D6">
            <w:pPr>
              <w:keepNext/>
              <w:keepLines/>
              <w:widowControl w:val="0"/>
              <w:spacing w:before="0" w:after="0"/>
              <w:jc w:val="center"/>
              <w:rPr>
                <w:rFonts w:ascii="Arial Narrow" w:hAnsi="Arial Narrow"/>
                <w:sz w:val="20"/>
              </w:rPr>
            </w:pPr>
            <w:r w:rsidRPr="000A7BB0">
              <w:rPr>
                <w:rFonts w:ascii="Arial Narrow" w:hAnsi="Arial Narrow"/>
                <w:sz w:val="20"/>
              </w:rPr>
              <w:t xml:space="preserve">(1.94, </w:t>
            </w:r>
            <w:r w:rsidR="00C905D6" w:rsidRPr="000A7BB0">
              <w:rPr>
                <w:rFonts w:ascii="Arial Narrow" w:hAnsi="Arial Narrow"/>
                <w:sz w:val="20"/>
              </w:rPr>
              <w:t>3.78)</w:t>
            </w:r>
          </w:p>
        </w:tc>
        <w:tc>
          <w:tcPr>
            <w:tcW w:w="1484" w:type="dxa"/>
            <w:vAlign w:val="center"/>
          </w:tcPr>
          <w:p w14:paraId="4C1A0AF1" w14:textId="3A5C07BC" w:rsidR="00C905D6" w:rsidRPr="000A7BB0" w:rsidRDefault="004302B0" w:rsidP="00C905D6">
            <w:pPr>
              <w:keepNext/>
              <w:keepLines/>
              <w:widowControl w:val="0"/>
              <w:spacing w:before="0" w:after="0"/>
              <w:jc w:val="center"/>
              <w:rPr>
                <w:rFonts w:ascii="Arial Narrow" w:hAnsi="Arial Narrow"/>
                <w:sz w:val="20"/>
              </w:rPr>
            </w:pPr>
            <w:r w:rsidRPr="000A7BB0">
              <w:rPr>
                <w:rFonts w:ascii="Arial Narrow" w:hAnsi="Arial Narrow"/>
                <w:sz w:val="20"/>
              </w:rPr>
              <w:t>156/239 (65.3)</w:t>
            </w:r>
          </w:p>
        </w:tc>
        <w:tc>
          <w:tcPr>
            <w:tcW w:w="1485" w:type="dxa"/>
            <w:vAlign w:val="center"/>
          </w:tcPr>
          <w:p w14:paraId="24DAF247" w14:textId="77777777" w:rsidR="004302B0" w:rsidRPr="000A7BB0" w:rsidRDefault="004302B0" w:rsidP="004302B0">
            <w:pPr>
              <w:widowControl w:val="0"/>
              <w:spacing w:before="0" w:after="0"/>
              <w:jc w:val="center"/>
              <w:rPr>
                <w:rFonts w:ascii="Arial Narrow" w:hAnsi="Arial Narrow"/>
                <w:sz w:val="20"/>
              </w:rPr>
            </w:pPr>
            <w:r w:rsidRPr="000A7BB0">
              <w:rPr>
                <w:rFonts w:ascii="Arial Narrow" w:hAnsi="Arial Narrow"/>
                <w:sz w:val="20"/>
              </w:rPr>
              <w:t xml:space="preserve">1.91 </w:t>
            </w:r>
          </w:p>
          <w:p w14:paraId="2FC26A3E" w14:textId="7E8D6010" w:rsidR="00C905D6" w:rsidRPr="000A7BB0" w:rsidRDefault="00C905D6" w:rsidP="00C905D6">
            <w:pPr>
              <w:keepNext/>
              <w:keepLines/>
              <w:widowControl w:val="0"/>
              <w:spacing w:before="0" w:after="0"/>
              <w:jc w:val="center"/>
              <w:rPr>
                <w:rFonts w:ascii="Arial Narrow" w:hAnsi="Arial Narrow"/>
                <w:sz w:val="20"/>
              </w:rPr>
            </w:pPr>
            <w:r w:rsidRPr="000A7BB0">
              <w:rPr>
                <w:rFonts w:ascii="Arial Narrow" w:hAnsi="Arial Narrow"/>
                <w:sz w:val="20"/>
              </w:rPr>
              <w:t>(1.87, 2.</w:t>
            </w:r>
            <w:r w:rsidR="004302B0" w:rsidRPr="000A7BB0">
              <w:rPr>
                <w:rFonts w:ascii="Arial Narrow" w:hAnsi="Arial Narrow"/>
                <w:sz w:val="20"/>
              </w:rPr>
              <w:t>10</w:t>
            </w:r>
            <w:r w:rsidRPr="000A7BB0">
              <w:rPr>
                <w:rFonts w:ascii="Arial Narrow" w:hAnsi="Arial Narrow"/>
                <w:sz w:val="20"/>
              </w:rPr>
              <w:t>)</w:t>
            </w:r>
          </w:p>
        </w:tc>
        <w:tc>
          <w:tcPr>
            <w:tcW w:w="1791" w:type="dxa"/>
            <w:vAlign w:val="center"/>
          </w:tcPr>
          <w:p w14:paraId="1BA4761F" w14:textId="77777777" w:rsidR="00C905D6" w:rsidRPr="000A7BB0" w:rsidRDefault="00C905D6" w:rsidP="00C905D6">
            <w:pPr>
              <w:widowControl w:val="0"/>
              <w:spacing w:before="0" w:after="0"/>
              <w:jc w:val="center"/>
              <w:rPr>
                <w:rFonts w:ascii="Arial Narrow" w:hAnsi="Arial Narrow"/>
                <w:b/>
                <w:bCs/>
                <w:sz w:val="20"/>
              </w:rPr>
            </w:pPr>
            <w:r w:rsidRPr="000A7BB0">
              <w:rPr>
                <w:rFonts w:ascii="Arial Narrow" w:hAnsi="Arial Narrow"/>
                <w:b/>
                <w:bCs/>
                <w:sz w:val="20"/>
              </w:rPr>
              <w:t>0.</w:t>
            </w:r>
            <w:r w:rsidR="004302B0" w:rsidRPr="000A7BB0">
              <w:rPr>
                <w:rFonts w:ascii="Arial Narrow" w:hAnsi="Arial Narrow"/>
                <w:b/>
                <w:bCs/>
                <w:sz w:val="20"/>
              </w:rPr>
              <w:t>70</w:t>
            </w:r>
            <w:r w:rsidRPr="000A7BB0">
              <w:rPr>
                <w:rFonts w:ascii="Arial Narrow" w:hAnsi="Arial Narrow"/>
                <w:b/>
                <w:bCs/>
                <w:sz w:val="20"/>
              </w:rPr>
              <w:t xml:space="preserve"> (0.</w:t>
            </w:r>
            <w:r w:rsidR="004302B0" w:rsidRPr="000A7BB0">
              <w:rPr>
                <w:rFonts w:ascii="Arial Narrow" w:hAnsi="Arial Narrow"/>
                <w:b/>
                <w:bCs/>
                <w:sz w:val="20"/>
              </w:rPr>
              <w:t>55</w:t>
            </w:r>
            <w:r w:rsidRPr="000A7BB0">
              <w:rPr>
                <w:rFonts w:ascii="Arial Narrow" w:hAnsi="Arial Narrow"/>
                <w:b/>
                <w:bCs/>
                <w:sz w:val="20"/>
              </w:rPr>
              <w:t>, 0.</w:t>
            </w:r>
            <w:r w:rsidR="004302B0" w:rsidRPr="000A7BB0">
              <w:rPr>
                <w:rFonts w:ascii="Arial Narrow" w:hAnsi="Arial Narrow"/>
                <w:b/>
                <w:bCs/>
                <w:sz w:val="20"/>
              </w:rPr>
              <w:t>88);</w:t>
            </w:r>
          </w:p>
          <w:p w14:paraId="5072A683" w14:textId="06008330" w:rsidR="00C905D6" w:rsidRPr="000A7BB0" w:rsidRDefault="00C905D6" w:rsidP="00C905D6">
            <w:pPr>
              <w:widowControl w:val="0"/>
              <w:spacing w:before="0" w:after="0"/>
              <w:jc w:val="center"/>
              <w:rPr>
                <w:rFonts w:ascii="Arial Narrow" w:hAnsi="Arial Narrow"/>
                <w:b/>
                <w:bCs/>
                <w:sz w:val="20"/>
              </w:rPr>
            </w:pPr>
            <w:r w:rsidRPr="000A7BB0">
              <w:rPr>
                <w:rFonts w:ascii="Arial Narrow" w:hAnsi="Arial Narrow"/>
                <w:b/>
                <w:bCs/>
                <w:sz w:val="20"/>
              </w:rPr>
              <w:t>0.</w:t>
            </w:r>
            <w:r w:rsidR="004302B0" w:rsidRPr="000A7BB0">
              <w:rPr>
                <w:rFonts w:ascii="Arial Narrow" w:hAnsi="Arial Narrow"/>
                <w:b/>
                <w:bCs/>
                <w:sz w:val="20"/>
              </w:rPr>
              <w:t>0018</w:t>
            </w:r>
          </w:p>
        </w:tc>
      </w:tr>
      <w:tr w:rsidR="004B788E" w:rsidRPr="000A7BB0" w14:paraId="434C42C2" w14:textId="77777777" w:rsidTr="00470B01">
        <w:trPr>
          <w:trHeight w:val="20"/>
        </w:trPr>
        <w:tc>
          <w:tcPr>
            <w:tcW w:w="1413" w:type="dxa"/>
            <w:vAlign w:val="center"/>
          </w:tcPr>
          <w:p w14:paraId="0BFDCED1" w14:textId="4077BF58" w:rsidR="004B788E" w:rsidRPr="000A7BB0" w:rsidRDefault="00A70752" w:rsidP="003E7F7D">
            <w:pPr>
              <w:pStyle w:val="TableText"/>
              <w:rPr>
                <w:i/>
              </w:rPr>
            </w:pPr>
            <w:r w:rsidRPr="000A7BB0" w:rsidDel="00636BFA">
              <w:rPr>
                <w:i/>
              </w:rPr>
              <w:t>ESR1</w:t>
            </w:r>
            <w:r w:rsidRPr="000A7BB0" w:rsidDel="00636BFA">
              <w:t xml:space="preserve">-mut </w:t>
            </w:r>
          </w:p>
        </w:tc>
        <w:tc>
          <w:tcPr>
            <w:tcW w:w="1359" w:type="dxa"/>
            <w:vAlign w:val="center"/>
          </w:tcPr>
          <w:p w14:paraId="22F3DAA8" w14:textId="2E24C6D5" w:rsidR="004B788E" w:rsidRPr="000A7BB0" w:rsidRDefault="004B788E" w:rsidP="004B788E">
            <w:pPr>
              <w:keepNext/>
              <w:keepLines/>
              <w:widowControl w:val="0"/>
              <w:spacing w:before="0" w:after="0"/>
              <w:jc w:val="center"/>
              <w:rPr>
                <w:rFonts w:ascii="Arial Narrow" w:hAnsi="Arial Narrow"/>
                <w:sz w:val="20"/>
              </w:rPr>
            </w:pPr>
            <w:r w:rsidRPr="000A7BB0">
              <w:rPr>
                <w:rFonts w:ascii="Arial Narrow" w:hAnsi="Arial Narrow"/>
                <w:sz w:val="20"/>
              </w:rPr>
              <w:t>62/115 (53.9)</w:t>
            </w:r>
          </w:p>
        </w:tc>
        <w:tc>
          <w:tcPr>
            <w:tcW w:w="1484" w:type="dxa"/>
            <w:vAlign w:val="center"/>
          </w:tcPr>
          <w:p w14:paraId="53EC9D1D" w14:textId="77777777" w:rsidR="004B788E" w:rsidRPr="000A7BB0" w:rsidRDefault="004B788E" w:rsidP="004B788E">
            <w:pPr>
              <w:widowControl w:val="0"/>
              <w:spacing w:before="0" w:after="0"/>
              <w:jc w:val="center"/>
              <w:rPr>
                <w:rFonts w:ascii="Arial Narrow" w:hAnsi="Arial Narrow"/>
                <w:sz w:val="20"/>
              </w:rPr>
            </w:pPr>
            <w:r w:rsidRPr="000A7BB0">
              <w:rPr>
                <w:rFonts w:ascii="Arial Narrow" w:hAnsi="Arial Narrow"/>
                <w:sz w:val="20"/>
              </w:rPr>
              <w:t>3.78</w:t>
            </w:r>
          </w:p>
          <w:p w14:paraId="00181163" w14:textId="3754432B" w:rsidR="004B788E" w:rsidRPr="000A7BB0" w:rsidRDefault="004B788E" w:rsidP="004B788E">
            <w:pPr>
              <w:widowControl w:val="0"/>
              <w:spacing w:before="0" w:after="0"/>
              <w:jc w:val="center"/>
              <w:rPr>
                <w:rFonts w:ascii="Arial Narrow" w:hAnsi="Arial Narrow"/>
                <w:sz w:val="20"/>
              </w:rPr>
            </w:pPr>
            <w:r w:rsidRPr="000A7BB0">
              <w:rPr>
                <w:rFonts w:ascii="Arial Narrow" w:hAnsi="Arial Narrow"/>
                <w:sz w:val="20"/>
              </w:rPr>
              <w:t>(2.17, 7.26)</w:t>
            </w:r>
          </w:p>
        </w:tc>
        <w:tc>
          <w:tcPr>
            <w:tcW w:w="1484" w:type="dxa"/>
            <w:vAlign w:val="center"/>
          </w:tcPr>
          <w:p w14:paraId="365FB8D7" w14:textId="36A19619" w:rsidR="004B788E" w:rsidRPr="000A7BB0" w:rsidRDefault="004B788E" w:rsidP="004B788E">
            <w:pPr>
              <w:keepNext/>
              <w:keepLines/>
              <w:widowControl w:val="0"/>
              <w:spacing w:before="0" w:after="0"/>
              <w:jc w:val="center"/>
              <w:rPr>
                <w:rFonts w:ascii="Arial Narrow" w:hAnsi="Arial Narrow"/>
                <w:sz w:val="20"/>
              </w:rPr>
            </w:pPr>
            <w:r w:rsidRPr="000A7BB0">
              <w:rPr>
                <w:rFonts w:ascii="Arial Narrow" w:hAnsi="Arial Narrow"/>
                <w:sz w:val="20"/>
              </w:rPr>
              <w:t>78/113 (69.0)</w:t>
            </w:r>
          </w:p>
        </w:tc>
        <w:tc>
          <w:tcPr>
            <w:tcW w:w="1485" w:type="dxa"/>
            <w:vAlign w:val="center"/>
          </w:tcPr>
          <w:p w14:paraId="70080FE0" w14:textId="77777777" w:rsidR="004B788E" w:rsidRPr="000A7BB0" w:rsidRDefault="004B788E" w:rsidP="004B788E">
            <w:pPr>
              <w:widowControl w:val="0"/>
              <w:spacing w:before="0" w:after="0"/>
              <w:jc w:val="center"/>
              <w:rPr>
                <w:rFonts w:ascii="Arial Narrow" w:hAnsi="Arial Narrow"/>
                <w:sz w:val="20"/>
              </w:rPr>
            </w:pPr>
            <w:r w:rsidRPr="000A7BB0">
              <w:rPr>
                <w:rFonts w:ascii="Arial Narrow" w:hAnsi="Arial Narrow"/>
                <w:sz w:val="20"/>
              </w:rPr>
              <w:t>1.87</w:t>
            </w:r>
          </w:p>
          <w:p w14:paraId="1142DA97" w14:textId="0055F991" w:rsidR="004B788E" w:rsidRPr="000A7BB0" w:rsidRDefault="004B788E" w:rsidP="004B788E">
            <w:pPr>
              <w:widowControl w:val="0"/>
              <w:spacing w:before="0" w:after="0"/>
              <w:jc w:val="center"/>
              <w:rPr>
                <w:rFonts w:ascii="Arial Narrow" w:hAnsi="Arial Narrow"/>
                <w:sz w:val="20"/>
              </w:rPr>
            </w:pPr>
            <w:r w:rsidRPr="000A7BB0">
              <w:rPr>
                <w:rFonts w:ascii="Arial Narrow" w:hAnsi="Arial Narrow"/>
                <w:sz w:val="20"/>
              </w:rPr>
              <w:t>(1.87, 2.14)</w:t>
            </w:r>
          </w:p>
        </w:tc>
        <w:tc>
          <w:tcPr>
            <w:tcW w:w="1791" w:type="dxa"/>
            <w:vAlign w:val="center"/>
          </w:tcPr>
          <w:p w14:paraId="4CC882BC" w14:textId="7D53E672" w:rsidR="004B788E" w:rsidRPr="000A7BB0" w:rsidRDefault="004B788E" w:rsidP="004B788E">
            <w:pPr>
              <w:widowControl w:val="0"/>
              <w:spacing w:before="0" w:after="0"/>
              <w:jc w:val="center"/>
              <w:rPr>
                <w:rFonts w:ascii="Arial Narrow" w:hAnsi="Arial Narrow"/>
                <w:b/>
                <w:bCs/>
                <w:sz w:val="20"/>
              </w:rPr>
            </w:pPr>
            <w:r w:rsidRPr="000A7BB0">
              <w:rPr>
                <w:rFonts w:ascii="Arial Narrow" w:hAnsi="Arial Narrow"/>
                <w:b/>
                <w:bCs/>
                <w:sz w:val="20"/>
              </w:rPr>
              <w:t>0.55 (0.39, 0.77); 0.0005</w:t>
            </w:r>
          </w:p>
        </w:tc>
      </w:tr>
      <w:tr w:rsidR="00C905D6" w:rsidRPr="000A7BB0" w14:paraId="7D99326D" w14:textId="77777777" w:rsidTr="00470B01">
        <w:trPr>
          <w:trHeight w:val="20"/>
        </w:trPr>
        <w:tc>
          <w:tcPr>
            <w:tcW w:w="1413" w:type="dxa"/>
            <w:vAlign w:val="center"/>
          </w:tcPr>
          <w:p w14:paraId="719BA8AC" w14:textId="6C13E7AB" w:rsidR="00C905D6" w:rsidRPr="000A7BB0" w:rsidRDefault="00A70752" w:rsidP="00C905D6">
            <w:pPr>
              <w:keepNext/>
              <w:keepLines/>
              <w:widowControl w:val="0"/>
              <w:spacing w:before="0" w:after="0"/>
              <w:rPr>
                <w:rFonts w:ascii="Arial Narrow" w:hAnsi="Arial Narrow"/>
                <w:i/>
                <w:iCs/>
                <w:sz w:val="20"/>
              </w:rPr>
            </w:pPr>
            <w:r w:rsidRPr="000A7BB0">
              <w:rPr>
                <w:rFonts w:ascii="Arial Narrow" w:hAnsi="Arial Narrow"/>
                <w:i/>
                <w:iCs/>
                <w:sz w:val="20"/>
              </w:rPr>
              <w:t>ESR1</w:t>
            </w:r>
            <w:r w:rsidRPr="000A7BB0">
              <w:rPr>
                <w:rFonts w:ascii="Arial Narrow" w:hAnsi="Arial Narrow"/>
                <w:sz w:val="20"/>
              </w:rPr>
              <w:t>-</w:t>
            </w:r>
            <w:r w:rsidR="003E7F7D" w:rsidRPr="000A7BB0">
              <w:rPr>
                <w:rFonts w:ascii="Arial Narrow" w:hAnsi="Arial Narrow"/>
                <w:sz w:val="20"/>
              </w:rPr>
              <w:t xml:space="preserve">mut-nd </w:t>
            </w:r>
          </w:p>
        </w:tc>
        <w:tc>
          <w:tcPr>
            <w:tcW w:w="1359" w:type="dxa"/>
            <w:vAlign w:val="center"/>
          </w:tcPr>
          <w:p w14:paraId="7BA2C3D2" w14:textId="77777777" w:rsidR="00C905D6" w:rsidRPr="000A7BB0" w:rsidRDefault="00C905D6" w:rsidP="00C905D6">
            <w:pPr>
              <w:keepNext/>
              <w:keepLines/>
              <w:widowControl w:val="0"/>
              <w:spacing w:before="0" w:after="0"/>
              <w:jc w:val="center"/>
              <w:rPr>
                <w:rFonts w:ascii="Arial Narrow" w:hAnsi="Arial Narrow"/>
                <w:sz w:val="20"/>
              </w:rPr>
            </w:pPr>
            <w:r w:rsidRPr="000A7BB0">
              <w:rPr>
                <w:rFonts w:ascii="Arial Narrow" w:hAnsi="Arial Narrow"/>
                <w:sz w:val="20"/>
              </w:rPr>
              <w:t>82/124 (66.1)</w:t>
            </w:r>
          </w:p>
        </w:tc>
        <w:tc>
          <w:tcPr>
            <w:tcW w:w="1484" w:type="dxa"/>
            <w:vAlign w:val="center"/>
          </w:tcPr>
          <w:p w14:paraId="2E3F3A83" w14:textId="77777777" w:rsidR="00C905D6" w:rsidRPr="000A7BB0" w:rsidRDefault="00C905D6" w:rsidP="00C905D6">
            <w:pPr>
              <w:keepNext/>
              <w:keepLines/>
              <w:widowControl w:val="0"/>
              <w:spacing w:before="0" w:after="0"/>
              <w:jc w:val="center"/>
              <w:rPr>
                <w:rFonts w:ascii="Arial Narrow" w:hAnsi="Arial Narrow"/>
                <w:sz w:val="20"/>
              </w:rPr>
            </w:pPr>
            <w:r w:rsidRPr="000A7BB0">
              <w:rPr>
                <w:rFonts w:ascii="Arial Narrow" w:hAnsi="Arial Narrow"/>
                <w:sz w:val="20"/>
              </w:rPr>
              <w:t xml:space="preserve">1.94 </w:t>
            </w:r>
          </w:p>
          <w:p w14:paraId="4AB48ABB" w14:textId="77777777" w:rsidR="00C905D6" w:rsidRPr="000A7BB0" w:rsidRDefault="00C905D6" w:rsidP="00C905D6">
            <w:pPr>
              <w:keepNext/>
              <w:keepLines/>
              <w:widowControl w:val="0"/>
              <w:spacing w:before="0" w:after="0"/>
              <w:jc w:val="center"/>
              <w:rPr>
                <w:rFonts w:ascii="Arial Narrow" w:hAnsi="Arial Narrow"/>
                <w:sz w:val="20"/>
              </w:rPr>
            </w:pPr>
            <w:r w:rsidRPr="000A7BB0">
              <w:rPr>
                <w:rFonts w:ascii="Arial Narrow" w:hAnsi="Arial Narrow"/>
                <w:sz w:val="20"/>
              </w:rPr>
              <w:t>(1.87, 3.55)</w:t>
            </w:r>
          </w:p>
        </w:tc>
        <w:tc>
          <w:tcPr>
            <w:tcW w:w="1484" w:type="dxa"/>
            <w:vAlign w:val="center"/>
          </w:tcPr>
          <w:p w14:paraId="0B3B0B4B" w14:textId="77777777" w:rsidR="00C905D6" w:rsidRPr="000A7BB0" w:rsidRDefault="00C905D6" w:rsidP="00C905D6">
            <w:pPr>
              <w:keepNext/>
              <w:keepLines/>
              <w:widowControl w:val="0"/>
              <w:spacing w:before="0" w:after="0"/>
              <w:jc w:val="center"/>
              <w:rPr>
                <w:rFonts w:ascii="Arial Narrow" w:hAnsi="Arial Narrow"/>
                <w:sz w:val="20"/>
              </w:rPr>
            </w:pPr>
            <w:r w:rsidRPr="000A7BB0">
              <w:rPr>
                <w:rFonts w:ascii="Arial Narrow" w:hAnsi="Arial Narrow"/>
                <w:sz w:val="20"/>
              </w:rPr>
              <w:t>78/126 (61.9)</w:t>
            </w:r>
          </w:p>
        </w:tc>
        <w:tc>
          <w:tcPr>
            <w:tcW w:w="1485" w:type="dxa"/>
            <w:vAlign w:val="center"/>
          </w:tcPr>
          <w:p w14:paraId="732CEA2D" w14:textId="77777777" w:rsidR="00C905D6" w:rsidRPr="000A7BB0" w:rsidRDefault="00C905D6" w:rsidP="00C905D6">
            <w:pPr>
              <w:keepNext/>
              <w:keepLines/>
              <w:widowControl w:val="0"/>
              <w:spacing w:before="0" w:after="0"/>
              <w:jc w:val="center"/>
              <w:rPr>
                <w:rFonts w:ascii="Arial Narrow" w:hAnsi="Arial Narrow"/>
                <w:sz w:val="20"/>
              </w:rPr>
            </w:pPr>
            <w:r w:rsidRPr="000A7BB0">
              <w:rPr>
                <w:rFonts w:ascii="Arial Narrow" w:hAnsi="Arial Narrow"/>
                <w:sz w:val="20"/>
              </w:rPr>
              <w:t xml:space="preserve">1.97 </w:t>
            </w:r>
          </w:p>
          <w:p w14:paraId="1D20A774" w14:textId="77777777" w:rsidR="00C905D6" w:rsidRPr="000A7BB0" w:rsidRDefault="00C905D6" w:rsidP="00C905D6">
            <w:pPr>
              <w:keepNext/>
              <w:keepLines/>
              <w:widowControl w:val="0"/>
              <w:spacing w:before="0" w:after="0"/>
              <w:jc w:val="center"/>
              <w:rPr>
                <w:rFonts w:ascii="Arial Narrow" w:hAnsi="Arial Narrow"/>
                <w:sz w:val="20"/>
              </w:rPr>
            </w:pPr>
            <w:r w:rsidRPr="000A7BB0">
              <w:rPr>
                <w:rFonts w:ascii="Arial Narrow" w:hAnsi="Arial Narrow"/>
                <w:sz w:val="20"/>
              </w:rPr>
              <w:t>(1.87, 2.20)</w:t>
            </w:r>
          </w:p>
        </w:tc>
        <w:tc>
          <w:tcPr>
            <w:tcW w:w="1791" w:type="dxa"/>
            <w:vAlign w:val="center"/>
          </w:tcPr>
          <w:p w14:paraId="08C4BE39" w14:textId="77777777" w:rsidR="00C905D6" w:rsidRPr="000A7BB0" w:rsidRDefault="00C905D6" w:rsidP="00C905D6">
            <w:pPr>
              <w:keepNext/>
              <w:keepLines/>
              <w:widowControl w:val="0"/>
              <w:spacing w:before="0" w:after="0"/>
              <w:jc w:val="center"/>
              <w:rPr>
                <w:rFonts w:ascii="Arial Narrow" w:hAnsi="Arial Narrow"/>
                <w:sz w:val="20"/>
              </w:rPr>
            </w:pPr>
            <w:r w:rsidRPr="000A7BB0">
              <w:rPr>
                <w:rFonts w:ascii="Arial Narrow" w:hAnsi="Arial Narrow"/>
                <w:sz w:val="20"/>
              </w:rPr>
              <w:t>0.86 (0.63, 1.19);</w:t>
            </w:r>
          </w:p>
          <w:p w14:paraId="7EC24335" w14:textId="77777777" w:rsidR="00C905D6" w:rsidRPr="000A7BB0" w:rsidRDefault="00C905D6" w:rsidP="00C905D6">
            <w:pPr>
              <w:keepNext/>
              <w:keepLines/>
              <w:widowControl w:val="0"/>
              <w:spacing w:before="0" w:after="0"/>
              <w:jc w:val="center"/>
              <w:rPr>
                <w:rFonts w:ascii="Arial Narrow" w:hAnsi="Arial Narrow"/>
                <w:b/>
                <w:bCs/>
                <w:sz w:val="20"/>
              </w:rPr>
            </w:pPr>
            <w:r w:rsidRPr="000A7BB0">
              <w:rPr>
                <w:rFonts w:ascii="Arial Narrow" w:hAnsi="Arial Narrow"/>
                <w:sz w:val="20"/>
              </w:rPr>
              <w:t>0.31</w:t>
            </w:r>
          </w:p>
        </w:tc>
      </w:tr>
      <w:tr w:rsidR="00432A1A" w:rsidRPr="000A7BB0" w14:paraId="30E9E632" w14:textId="77777777" w:rsidTr="00470B01">
        <w:trPr>
          <w:trHeight w:val="20"/>
        </w:trPr>
        <w:tc>
          <w:tcPr>
            <w:tcW w:w="7225" w:type="dxa"/>
            <w:gridSpan w:val="5"/>
            <w:vAlign w:val="center"/>
          </w:tcPr>
          <w:p w14:paraId="35D14332" w14:textId="7FFC5256" w:rsidR="00432A1A" w:rsidRPr="000A7BB0" w:rsidRDefault="002238E0" w:rsidP="002238E0">
            <w:pPr>
              <w:pStyle w:val="Tabletext0"/>
              <w:jc w:val="right"/>
              <w:rPr>
                <w:i/>
                <w:iCs/>
              </w:rPr>
            </w:pPr>
            <w:r w:rsidRPr="000A7BB0">
              <w:rPr>
                <w:i/>
                <w:iCs/>
              </w:rPr>
              <w:t xml:space="preserve">Test for interaction </w:t>
            </w:r>
            <w:r w:rsidRPr="000A7BB0">
              <w:rPr>
                <w:i/>
                <w:iCs/>
                <w:vertAlign w:val="superscript"/>
              </w:rPr>
              <w:t>d</w:t>
            </w:r>
          </w:p>
        </w:tc>
        <w:tc>
          <w:tcPr>
            <w:tcW w:w="1791" w:type="dxa"/>
            <w:vAlign w:val="center"/>
          </w:tcPr>
          <w:p w14:paraId="380B9F45" w14:textId="53C63EA4" w:rsidR="00432A1A" w:rsidRPr="000A7BB0" w:rsidRDefault="005C64BE" w:rsidP="00A70752">
            <w:pPr>
              <w:keepNext/>
              <w:keepLines/>
              <w:widowControl w:val="0"/>
              <w:spacing w:before="0" w:after="0"/>
              <w:jc w:val="center"/>
              <w:rPr>
                <w:rFonts w:ascii="Arial Narrow" w:hAnsi="Arial Narrow"/>
                <w:i/>
                <w:iCs/>
                <w:sz w:val="20"/>
              </w:rPr>
            </w:pPr>
            <w:r w:rsidRPr="000A7BB0">
              <w:rPr>
                <w:rFonts w:ascii="Arial Narrow" w:hAnsi="Arial Narrow"/>
                <w:i/>
                <w:iCs/>
                <w:sz w:val="20"/>
              </w:rPr>
              <w:t>0.0</w:t>
            </w:r>
            <w:r w:rsidR="00255DA4" w:rsidRPr="000A7BB0">
              <w:rPr>
                <w:rFonts w:ascii="Arial Narrow" w:hAnsi="Arial Narrow"/>
                <w:i/>
                <w:iCs/>
                <w:sz w:val="20"/>
              </w:rPr>
              <w:t>6</w:t>
            </w:r>
          </w:p>
        </w:tc>
      </w:tr>
      <w:tr w:rsidR="00C905D6" w:rsidRPr="000A7BB0" w14:paraId="511D15D4" w14:textId="77777777" w:rsidTr="00470B01">
        <w:trPr>
          <w:trHeight w:val="20"/>
        </w:trPr>
        <w:tc>
          <w:tcPr>
            <w:tcW w:w="9016" w:type="dxa"/>
            <w:gridSpan w:val="6"/>
            <w:vAlign w:val="center"/>
          </w:tcPr>
          <w:p w14:paraId="79306845" w14:textId="70FEC41F" w:rsidR="00C905D6" w:rsidRPr="000A7BB0" w:rsidRDefault="49F6A2ED" w:rsidP="74877A7E">
            <w:pPr>
              <w:widowControl w:val="0"/>
              <w:spacing w:before="0" w:after="0"/>
              <w:rPr>
                <w:rFonts w:ascii="Arial Narrow" w:hAnsi="Arial Narrow"/>
                <w:sz w:val="20"/>
                <w:szCs w:val="20"/>
              </w:rPr>
            </w:pPr>
            <w:proofErr w:type="spellStart"/>
            <w:r w:rsidRPr="000A7BB0">
              <w:rPr>
                <w:rFonts w:ascii="Arial Narrow" w:hAnsi="Arial Narrow"/>
                <w:b/>
                <w:bCs/>
                <w:sz w:val="20"/>
                <w:szCs w:val="20"/>
              </w:rPr>
              <w:t>OS</w:t>
            </w:r>
            <w:r w:rsidRPr="000A7BB0">
              <w:rPr>
                <w:rFonts w:ascii="Arial Narrow" w:hAnsi="Arial Narrow"/>
                <w:b/>
                <w:bCs/>
                <w:sz w:val="20"/>
                <w:szCs w:val="20"/>
                <w:vertAlign w:val="superscript"/>
              </w:rPr>
              <w:t>b</w:t>
            </w:r>
            <w:proofErr w:type="spellEnd"/>
          </w:p>
        </w:tc>
      </w:tr>
      <w:tr w:rsidR="00C905D6" w:rsidRPr="000A7BB0" w14:paraId="014665D7" w14:textId="77777777" w:rsidTr="00470B01">
        <w:trPr>
          <w:trHeight w:val="20"/>
        </w:trPr>
        <w:tc>
          <w:tcPr>
            <w:tcW w:w="1413" w:type="dxa"/>
            <w:vAlign w:val="center"/>
          </w:tcPr>
          <w:p w14:paraId="63DB3C1B" w14:textId="35C6C83E" w:rsidR="00C905D6" w:rsidRPr="000A7BB0" w:rsidRDefault="00F61126" w:rsidP="00C905D6">
            <w:pPr>
              <w:widowControl w:val="0"/>
              <w:spacing w:before="0" w:after="0"/>
              <w:rPr>
                <w:rFonts w:ascii="Arial Narrow" w:hAnsi="Arial Narrow"/>
                <w:sz w:val="20"/>
              </w:rPr>
            </w:pPr>
            <w:r w:rsidRPr="000A7BB0">
              <w:rPr>
                <w:rFonts w:ascii="Arial Narrow" w:hAnsi="Arial Narrow"/>
                <w:sz w:val="20"/>
              </w:rPr>
              <w:t>Whole trial population</w:t>
            </w:r>
          </w:p>
        </w:tc>
        <w:tc>
          <w:tcPr>
            <w:tcW w:w="1359" w:type="dxa"/>
            <w:vAlign w:val="center"/>
          </w:tcPr>
          <w:p w14:paraId="6C9DCCB2" w14:textId="0EBB63CE" w:rsidR="00C905D6" w:rsidRPr="003878F9" w:rsidRDefault="00FB1372" w:rsidP="00C905D6">
            <w:pPr>
              <w:widowControl w:val="0"/>
              <w:spacing w:before="0" w:after="0"/>
              <w:jc w:val="center"/>
              <w:rPr>
                <w:rFonts w:ascii="Arial Narrow" w:hAnsi="Arial Narrow"/>
                <w:sz w:val="20"/>
                <w:szCs w:val="20"/>
              </w:rPr>
            </w:pPr>
            <w:r w:rsidRPr="003878F9">
              <w:rPr>
                <w:rFonts w:ascii="Arial Narrow" w:hAnsi="Arial Narrow"/>
                <w:sz w:val="20"/>
                <w:szCs w:val="20"/>
              </w:rPr>
              <w:t>124/239 (51.9)</w:t>
            </w:r>
          </w:p>
        </w:tc>
        <w:tc>
          <w:tcPr>
            <w:tcW w:w="1484" w:type="dxa"/>
            <w:vAlign w:val="center"/>
          </w:tcPr>
          <w:p w14:paraId="24D0EB5C" w14:textId="77777777" w:rsidR="00F61126" w:rsidRPr="003878F9" w:rsidRDefault="00F61126" w:rsidP="00F61126">
            <w:pPr>
              <w:widowControl w:val="0"/>
              <w:spacing w:before="0" w:after="0"/>
              <w:jc w:val="center"/>
              <w:rPr>
                <w:rFonts w:ascii="Arial Narrow" w:hAnsi="Arial Narrow"/>
                <w:spacing w:val="-2"/>
                <w:sz w:val="20"/>
                <w:szCs w:val="20"/>
              </w:rPr>
            </w:pPr>
            <w:r w:rsidRPr="003878F9">
              <w:rPr>
                <w:rFonts w:ascii="Arial Narrow" w:hAnsi="Arial Narrow"/>
                <w:spacing w:val="-2"/>
                <w:sz w:val="20"/>
                <w:szCs w:val="20"/>
              </w:rPr>
              <w:t>24.61</w:t>
            </w:r>
          </w:p>
          <w:p w14:paraId="53F1E8D0" w14:textId="7DE1F944" w:rsidR="00C905D6" w:rsidRPr="003878F9" w:rsidRDefault="00F61126" w:rsidP="00C905D6">
            <w:pPr>
              <w:widowControl w:val="0"/>
              <w:spacing w:before="0" w:after="0"/>
              <w:jc w:val="center"/>
              <w:rPr>
                <w:rFonts w:ascii="Arial Narrow" w:hAnsi="Arial Narrow"/>
                <w:sz w:val="20"/>
                <w:szCs w:val="20"/>
              </w:rPr>
            </w:pPr>
            <w:r w:rsidRPr="003878F9">
              <w:rPr>
                <w:rFonts w:ascii="Arial Narrow" w:hAnsi="Arial Narrow"/>
                <w:spacing w:val="-2"/>
                <w:sz w:val="20"/>
                <w:szCs w:val="20"/>
              </w:rPr>
              <w:t>(</w:t>
            </w:r>
            <w:r w:rsidRPr="003878F9">
              <w:rPr>
                <w:rFonts w:ascii="Arial Narrow" w:hAnsi="Arial Narrow"/>
                <w:sz w:val="20"/>
                <w:szCs w:val="20"/>
              </w:rPr>
              <w:t xml:space="preserve">20.67, </w:t>
            </w:r>
            <w:r w:rsidRPr="003878F9">
              <w:rPr>
                <w:rFonts w:ascii="Arial Narrow" w:hAnsi="Arial Narrow"/>
                <w:spacing w:val="-2"/>
                <w:sz w:val="20"/>
                <w:szCs w:val="20"/>
              </w:rPr>
              <w:t>29.47)</w:t>
            </w:r>
          </w:p>
        </w:tc>
        <w:tc>
          <w:tcPr>
            <w:tcW w:w="1484" w:type="dxa"/>
            <w:vAlign w:val="center"/>
          </w:tcPr>
          <w:p w14:paraId="027D5CFE" w14:textId="1D643A95" w:rsidR="00C905D6" w:rsidRPr="003878F9" w:rsidRDefault="00FB1372" w:rsidP="00C905D6">
            <w:pPr>
              <w:widowControl w:val="0"/>
              <w:spacing w:before="0" w:after="0"/>
              <w:jc w:val="center"/>
              <w:rPr>
                <w:rFonts w:ascii="Arial Narrow" w:hAnsi="Arial Narrow"/>
                <w:sz w:val="20"/>
                <w:szCs w:val="20"/>
              </w:rPr>
            </w:pPr>
            <w:r w:rsidRPr="003878F9">
              <w:rPr>
                <w:rFonts w:ascii="Arial Narrow" w:hAnsi="Arial Narrow"/>
                <w:sz w:val="20"/>
                <w:szCs w:val="20"/>
              </w:rPr>
              <w:t>121/239</w:t>
            </w:r>
            <w:r w:rsidR="00BA3613" w:rsidRPr="003878F9">
              <w:rPr>
                <w:rFonts w:ascii="Arial Narrow" w:hAnsi="Arial Narrow"/>
                <w:sz w:val="20"/>
                <w:szCs w:val="20"/>
              </w:rPr>
              <w:t xml:space="preserve"> (50.6)</w:t>
            </w:r>
          </w:p>
        </w:tc>
        <w:tc>
          <w:tcPr>
            <w:tcW w:w="1485" w:type="dxa"/>
            <w:vAlign w:val="center"/>
          </w:tcPr>
          <w:p w14:paraId="4FEC9EA5" w14:textId="77777777" w:rsidR="00F61126" w:rsidRPr="003878F9" w:rsidRDefault="00F61126" w:rsidP="00F61126">
            <w:pPr>
              <w:widowControl w:val="0"/>
              <w:spacing w:before="0" w:after="0"/>
              <w:jc w:val="center"/>
              <w:rPr>
                <w:rFonts w:ascii="Arial Narrow" w:hAnsi="Arial Narrow"/>
                <w:spacing w:val="-2"/>
                <w:sz w:val="20"/>
                <w:szCs w:val="20"/>
              </w:rPr>
            </w:pPr>
            <w:r w:rsidRPr="003878F9">
              <w:rPr>
                <w:rFonts w:ascii="Arial Narrow" w:hAnsi="Arial Narrow"/>
                <w:spacing w:val="-2"/>
                <w:sz w:val="20"/>
                <w:szCs w:val="20"/>
              </w:rPr>
              <w:t>22.57</w:t>
            </w:r>
          </w:p>
          <w:p w14:paraId="286A6702" w14:textId="438F07DE" w:rsidR="00C905D6" w:rsidRPr="003878F9" w:rsidRDefault="00F61126" w:rsidP="00C905D6">
            <w:pPr>
              <w:widowControl w:val="0"/>
              <w:spacing w:before="0" w:after="0"/>
              <w:jc w:val="center"/>
              <w:rPr>
                <w:rFonts w:ascii="Arial Narrow" w:hAnsi="Arial Narrow"/>
                <w:sz w:val="20"/>
                <w:szCs w:val="20"/>
              </w:rPr>
            </w:pPr>
            <w:r w:rsidRPr="003878F9">
              <w:rPr>
                <w:rFonts w:ascii="Arial Narrow" w:hAnsi="Arial Narrow"/>
                <w:spacing w:val="-2"/>
                <w:sz w:val="20"/>
                <w:szCs w:val="20"/>
              </w:rPr>
              <w:t>(18.14, 28.88)</w:t>
            </w:r>
          </w:p>
        </w:tc>
        <w:tc>
          <w:tcPr>
            <w:tcW w:w="1791" w:type="dxa"/>
            <w:vAlign w:val="center"/>
          </w:tcPr>
          <w:p w14:paraId="32F76947" w14:textId="77777777" w:rsidR="004B788E" w:rsidRPr="003878F9" w:rsidRDefault="00C905D6" w:rsidP="004B788E">
            <w:pPr>
              <w:widowControl w:val="0"/>
              <w:spacing w:before="0" w:after="0"/>
              <w:jc w:val="center"/>
              <w:rPr>
                <w:rFonts w:ascii="Arial Narrow" w:hAnsi="Arial Narrow"/>
                <w:spacing w:val="-2"/>
                <w:sz w:val="20"/>
                <w:szCs w:val="20"/>
              </w:rPr>
            </w:pPr>
            <w:r w:rsidRPr="003878F9">
              <w:rPr>
                <w:rFonts w:ascii="Arial Narrow" w:hAnsi="Arial Narrow"/>
                <w:sz w:val="20"/>
                <w:szCs w:val="20"/>
              </w:rPr>
              <w:t>0.</w:t>
            </w:r>
            <w:r w:rsidR="00F61126" w:rsidRPr="003878F9">
              <w:rPr>
                <w:rFonts w:ascii="Arial Narrow" w:hAnsi="Arial Narrow"/>
                <w:sz w:val="20"/>
                <w:szCs w:val="20"/>
              </w:rPr>
              <w:t>91</w:t>
            </w:r>
            <w:r w:rsidRPr="003878F9">
              <w:rPr>
                <w:rFonts w:ascii="Arial Narrow" w:hAnsi="Arial Narrow"/>
                <w:sz w:val="20"/>
                <w:szCs w:val="20"/>
              </w:rPr>
              <w:t xml:space="preserve"> (0.</w:t>
            </w:r>
            <w:r w:rsidR="00F61126" w:rsidRPr="003878F9">
              <w:rPr>
                <w:rFonts w:ascii="Arial Narrow" w:hAnsi="Arial Narrow"/>
                <w:sz w:val="20"/>
                <w:szCs w:val="20"/>
              </w:rPr>
              <w:t>71</w:t>
            </w:r>
            <w:r w:rsidRPr="003878F9">
              <w:rPr>
                <w:rFonts w:ascii="Arial Narrow" w:hAnsi="Arial Narrow"/>
                <w:sz w:val="20"/>
                <w:szCs w:val="20"/>
              </w:rPr>
              <w:t xml:space="preserve">, </w:t>
            </w:r>
            <w:r w:rsidRPr="003878F9">
              <w:rPr>
                <w:rFonts w:ascii="Arial Narrow" w:hAnsi="Arial Narrow"/>
                <w:spacing w:val="-2"/>
                <w:sz w:val="20"/>
                <w:szCs w:val="20"/>
              </w:rPr>
              <w:t>1.</w:t>
            </w:r>
            <w:r w:rsidR="00F61126" w:rsidRPr="003878F9">
              <w:rPr>
                <w:rFonts w:ascii="Arial Narrow" w:hAnsi="Arial Narrow"/>
                <w:spacing w:val="-2"/>
                <w:sz w:val="20"/>
                <w:szCs w:val="20"/>
              </w:rPr>
              <w:t>18);</w:t>
            </w:r>
          </w:p>
          <w:p w14:paraId="14FE77CB" w14:textId="5B38105D" w:rsidR="00C905D6" w:rsidRPr="003878F9" w:rsidRDefault="00C905D6" w:rsidP="00C905D6">
            <w:pPr>
              <w:widowControl w:val="0"/>
              <w:spacing w:before="0" w:after="0"/>
              <w:jc w:val="center"/>
              <w:rPr>
                <w:rFonts w:ascii="Arial Narrow" w:hAnsi="Arial Narrow"/>
                <w:sz w:val="20"/>
                <w:szCs w:val="20"/>
              </w:rPr>
            </w:pPr>
            <w:r w:rsidRPr="003878F9">
              <w:rPr>
                <w:rFonts w:ascii="Arial Narrow" w:hAnsi="Arial Narrow"/>
                <w:spacing w:val="-4"/>
                <w:sz w:val="20"/>
                <w:szCs w:val="20"/>
              </w:rPr>
              <w:t>0.</w:t>
            </w:r>
            <w:r w:rsidR="00F61126" w:rsidRPr="003878F9">
              <w:rPr>
                <w:rFonts w:ascii="Arial Narrow" w:hAnsi="Arial Narrow"/>
                <w:spacing w:val="-4"/>
                <w:sz w:val="20"/>
                <w:szCs w:val="20"/>
              </w:rPr>
              <w:t>48</w:t>
            </w:r>
          </w:p>
        </w:tc>
      </w:tr>
      <w:tr w:rsidR="00F61126" w:rsidRPr="000A7BB0" w14:paraId="23EE8315" w14:textId="77777777" w:rsidTr="00470B01">
        <w:trPr>
          <w:trHeight w:val="20"/>
        </w:trPr>
        <w:tc>
          <w:tcPr>
            <w:tcW w:w="1413" w:type="dxa"/>
            <w:vAlign w:val="center"/>
          </w:tcPr>
          <w:p w14:paraId="46249F55" w14:textId="0B5246BE" w:rsidR="00F61126" w:rsidRPr="000A7BB0" w:rsidRDefault="00A70752" w:rsidP="003E7F7D">
            <w:pPr>
              <w:pStyle w:val="TableText"/>
              <w:rPr>
                <w:i/>
              </w:rPr>
            </w:pPr>
            <w:r w:rsidRPr="000A7BB0" w:rsidDel="00472A2A">
              <w:rPr>
                <w:i/>
              </w:rPr>
              <w:t>ESR1</w:t>
            </w:r>
            <w:r w:rsidRPr="000A7BB0" w:rsidDel="00472A2A">
              <w:t xml:space="preserve">-mut </w:t>
            </w:r>
          </w:p>
        </w:tc>
        <w:tc>
          <w:tcPr>
            <w:tcW w:w="1359" w:type="dxa"/>
            <w:vAlign w:val="center"/>
          </w:tcPr>
          <w:p w14:paraId="06014C3C" w14:textId="0095B19A" w:rsidR="00F61126" w:rsidRPr="003878F9" w:rsidRDefault="00F61126" w:rsidP="00F61126">
            <w:pPr>
              <w:widowControl w:val="0"/>
              <w:spacing w:before="0" w:after="0"/>
              <w:jc w:val="center"/>
              <w:rPr>
                <w:rFonts w:ascii="Arial Narrow" w:hAnsi="Arial Narrow"/>
                <w:sz w:val="20"/>
                <w:szCs w:val="20"/>
              </w:rPr>
            </w:pPr>
            <w:r w:rsidRPr="003878F9">
              <w:rPr>
                <w:rFonts w:ascii="Arial Narrow" w:hAnsi="Arial Narrow"/>
                <w:sz w:val="20"/>
                <w:szCs w:val="20"/>
              </w:rPr>
              <w:t>61/115 (53.0)</w:t>
            </w:r>
          </w:p>
        </w:tc>
        <w:tc>
          <w:tcPr>
            <w:tcW w:w="1484" w:type="dxa"/>
            <w:vAlign w:val="center"/>
          </w:tcPr>
          <w:p w14:paraId="09CB12ED" w14:textId="77777777" w:rsidR="00F61126" w:rsidRPr="003878F9" w:rsidRDefault="00F61126" w:rsidP="00F61126">
            <w:pPr>
              <w:widowControl w:val="0"/>
              <w:spacing w:before="0" w:after="0"/>
              <w:jc w:val="center"/>
              <w:rPr>
                <w:rFonts w:ascii="Arial Narrow" w:hAnsi="Arial Narrow"/>
                <w:spacing w:val="-2"/>
                <w:sz w:val="20"/>
                <w:szCs w:val="20"/>
              </w:rPr>
            </w:pPr>
            <w:r w:rsidRPr="003878F9">
              <w:rPr>
                <w:rFonts w:ascii="Arial Narrow" w:hAnsi="Arial Narrow"/>
                <w:spacing w:val="-2"/>
                <w:sz w:val="20"/>
                <w:szCs w:val="20"/>
              </w:rPr>
              <w:t>24.18</w:t>
            </w:r>
          </w:p>
          <w:p w14:paraId="7AD650CA" w14:textId="4EA1C77E" w:rsidR="00F61126" w:rsidRPr="003878F9" w:rsidRDefault="00F61126" w:rsidP="00F61126">
            <w:pPr>
              <w:widowControl w:val="0"/>
              <w:spacing w:before="0" w:after="0"/>
              <w:jc w:val="center"/>
              <w:rPr>
                <w:rFonts w:ascii="Arial Narrow" w:hAnsi="Arial Narrow"/>
                <w:spacing w:val="-2"/>
                <w:sz w:val="20"/>
                <w:szCs w:val="20"/>
              </w:rPr>
            </w:pPr>
            <w:r w:rsidRPr="003878F9">
              <w:rPr>
                <w:rFonts w:ascii="Arial Narrow" w:hAnsi="Arial Narrow"/>
                <w:spacing w:val="-2"/>
                <w:sz w:val="20"/>
                <w:szCs w:val="20"/>
              </w:rPr>
              <w:t>(20.53, 28.71)</w:t>
            </w:r>
          </w:p>
        </w:tc>
        <w:tc>
          <w:tcPr>
            <w:tcW w:w="1484" w:type="dxa"/>
            <w:vAlign w:val="center"/>
          </w:tcPr>
          <w:p w14:paraId="0AE66207" w14:textId="2F6F175C" w:rsidR="00F61126" w:rsidRPr="003878F9" w:rsidRDefault="00F61126" w:rsidP="00F61126">
            <w:pPr>
              <w:widowControl w:val="0"/>
              <w:spacing w:before="0" w:after="0"/>
              <w:jc w:val="center"/>
              <w:rPr>
                <w:rFonts w:ascii="Arial Narrow" w:hAnsi="Arial Narrow"/>
                <w:sz w:val="20"/>
                <w:szCs w:val="20"/>
              </w:rPr>
            </w:pPr>
            <w:r w:rsidRPr="003878F9">
              <w:rPr>
                <w:rFonts w:ascii="Arial Narrow" w:hAnsi="Arial Narrow"/>
                <w:sz w:val="20"/>
                <w:szCs w:val="20"/>
              </w:rPr>
              <w:t>60/113 (53.1)</w:t>
            </w:r>
          </w:p>
        </w:tc>
        <w:tc>
          <w:tcPr>
            <w:tcW w:w="1485" w:type="dxa"/>
            <w:vAlign w:val="center"/>
          </w:tcPr>
          <w:p w14:paraId="53DFF9D7" w14:textId="77777777" w:rsidR="00F61126" w:rsidRPr="003878F9" w:rsidRDefault="00F61126" w:rsidP="00F61126">
            <w:pPr>
              <w:widowControl w:val="0"/>
              <w:spacing w:before="0" w:after="0"/>
              <w:jc w:val="center"/>
              <w:rPr>
                <w:rFonts w:ascii="Arial Narrow" w:hAnsi="Arial Narrow"/>
                <w:spacing w:val="-2"/>
                <w:sz w:val="20"/>
                <w:szCs w:val="20"/>
              </w:rPr>
            </w:pPr>
            <w:r w:rsidRPr="003878F9">
              <w:rPr>
                <w:rFonts w:ascii="Arial Narrow" w:hAnsi="Arial Narrow"/>
                <w:spacing w:val="-2"/>
                <w:sz w:val="20"/>
                <w:szCs w:val="20"/>
              </w:rPr>
              <w:t>23.49</w:t>
            </w:r>
          </w:p>
          <w:p w14:paraId="434B57C5" w14:textId="528089A4" w:rsidR="00F61126" w:rsidRPr="003878F9" w:rsidRDefault="00F61126" w:rsidP="00F61126">
            <w:pPr>
              <w:widowControl w:val="0"/>
              <w:spacing w:before="0" w:after="0"/>
              <w:jc w:val="center"/>
              <w:rPr>
                <w:rFonts w:ascii="Arial Narrow" w:hAnsi="Arial Narrow"/>
                <w:spacing w:val="-2"/>
                <w:sz w:val="20"/>
                <w:szCs w:val="20"/>
              </w:rPr>
            </w:pPr>
            <w:r w:rsidRPr="003878F9">
              <w:rPr>
                <w:rFonts w:ascii="Arial Narrow" w:hAnsi="Arial Narrow"/>
                <w:spacing w:val="-2"/>
                <w:sz w:val="20"/>
                <w:szCs w:val="20"/>
              </w:rPr>
              <w:t>(15.64, 29.90)</w:t>
            </w:r>
          </w:p>
        </w:tc>
        <w:tc>
          <w:tcPr>
            <w:tcW w:w="1791" w:type="dxa"/>
            <w:vAlign w:val="center"/>
          </w:tcPr>
          <w:p w14:paraId="3C73075E" w14:textId="282D3EEF" w:rsidR="00F61126" w:rsidRPr="003878F9" w:rsidRDefault="00F61126" w:rsidP="00F61126">
            <w:pPr>
              <w:widowControl w:val="0"/>
              <w:spacing w:before="0" w:after="0"/>
              <w:jc w:val="center"/>
              <w:rPr>
                <w:rFonts w:ascii="Arial Narrow" w:hAnsi="Arial Narrow"/>
                <w:sz w:val="20"/>
                <w:szCs w:val="20"/>
              </w:rPr>
            </w:pPr>
            <w:r w:rsidRPr="003878F9">
              <w:rPr>
                <w:rFonts w:ascii="Arial Narrow" w:hAnsi="Arial Narrow"/>
                <w:sz w:val="20"/>
                <w:szCs w:val="20"/>
              </w:rPr>
              <w:t xml:space="preserve">0.90 (0.623, </w:t>
            </w:r>
            <w:r w:rsidRPr="003878F9">
              <w:rPr>
                <w:rFonts w:ascii="Arial Narrow" w:hAnsi="Arial Narrow"/>
                <w:spacing w:val="-2"/>
                <w:sz w:val="20"/>
                <w:szCs w:val="20"/>
              </w:rPr>
              <w:t xml:space="preserve">1.30); </w:t>
            </w:r>
            <w:r w:rsidRPr="003878F9">
              <w:rPr>
                <w:rFonts w:ascii="Arial Narrow" w:hAnsi="Arial Narrow"/>
                <w:spacing w:val="-4"/>
                <w:sz w:val="20"/>
                <w:szCs w:val="20"/>
              </w:rPr>
              <w:t>0.58</w:t>
            </w:r>
          </w:p>
        </w:tc>
      </w:tr>
      <w:tr w:rsidR="00C905D6" w:rsidRPr="000A7BB0" w14:paraId="011E0C77" w14:textId="77777777" w:rsidTr="00470B01">
        <w:trPr>
          <w:trHeight w:val="20"/>
        </w:trPr>
        <w:tc>
          <w:tcPr>
            <w:tcW w:w="1413" w:type="dxa"/>
            <w:vAlign w:val="center"/>
          </w:tcPr>
          <w:p w14:paraId="04BD9A56" w14:textId="6376F3C4" w:rsidR="00C905D6" w:rsidRPr="000A7BB0" w:rsidRDefault="00A70752" w:rsidP="003E7F7D">
            <w:pPr>
              <w:pStyle w:val="TableText"/>
            </w:pPr>
            <w:r w:rsidRPr="000A7BB0">
              <w:rPr>
                <w:i/>
              </w:rPr>
              <w:t>ESR1</w:t>
            </w:r>
            <w:r w:rsidRPr="000A7BB0">
              <w:t>-</w:t>
            </w:r>
            <w:r w:rsidR="003E7F7D" w:rsidRPr="000A7BB0">
              <w:t xml:space="preserve">mut-nd </w:t>
            </w:r>
          </w:p>
        </w:tc>
        <w:tc>
          <w:tcPr>
            <w:tcW w:w="1359" w:type="dxa"/>
            <w:vAlign w:val="center"/>
          </w:tcPr>
          <w:p w14:paraId="78D695AE" w14:textId="77777777" w:rsidR="00C905D6" w:rsidRPr="003878F9" w:rsidRDefault="00C905D6" w:rsidP="00C905D6">
            <w:pPr>
              <w:widowControl w:val="0"/>
              <w:spacing w:before="0" w:after="0"/>
              <w:jc w:val="center"/>
              <w:rPr>
                <w:rFonts w:ascii="Arial Narrow" w:hAnsi="Arial Narrow"/>
                <w:sz w:val="20"/>
                <w:szCs w:val="20"/>
              </w:rPr>
            </w:pPr>
            <w:r w:rsidRPr="003878F9">
              <w:rPr>
                <w:rFonts w:ascii="Arial Narrow" w:hAnsi="Arial Narrow"/>
                <w:sz w:val="20"/>
                <w:szCs w:val="20"/>
              </w:rPr>
              <w:t>63/124 (50.8)</w:t>
            </w:r>
          </w:p>
        </w:tc>
        <w:tc>
          <w:tcPr>
            <w:tcW w:w="1484" w:type="dxa"/>
            <w:vAlign w:val="center"/>
          </w:tcPr>
          <w:p w14:paraId="5B3921A3" w14:textId="77777777" w:rsidR="00C905D6" w:rsidRPr="003878F9" w:rsidRDefault="00C905D6" w:rsidP="00C905D6">
            <w:pPr>
              <w:widowControl w:val="0"/>
              <w:spacing w:before="0" w:after="0"/>
              <w:jc w:val="center"/>
              <w:rPr>
                <w:rFonts w:ascii="Arial Narrow" w:hAnsi="Arial Narrow"/>
                <w:sz w:val="20"/>
                <w:szCs w:val="20"/>
              </w:rPr>
            </w:pPr>
            <w:r w:rsidRPr="003878F9">
              <w:rPr>
                <w:rFonts w:ascii="Arial Narrow" w:hAnsi="Arial Narrow"/>
                <w:sz w:val="20"/>
                <w:szCs w:val="20"/>
              </w:rPr>
              <w:t>26.12</w:t>
            </w:r>
          </w:p>
          <w:p w14:paraId="39CC5AAF" w14:textId="77777777" w:rsidR="00C905D6" w:rsidRPr="003878F9" w:rsidRDefault="00C905D6" w:rsidP="00C905D6">
            <w:pPr>
              <w:widowControl w:val="0"/>
              <w:spacing w:before="0" w:after="0"/>
              <w:jc w:val="center"/>
              <w:rPr>
                <w:rFonts w:ascii="Arial Narrow" w:hAnsi="Arial Narrow"/>
                <w:sz w:val="20"/>
                <w:szCs w:val="20"/>
              </w:rPr>
            </w:pPr>
            <w:r w:rsidRPr="003878F9">
              <w:rPr>
                <w:rFonts w:ascii="Arial Narrow" w:hAnsi="Arial Narrow"/>
                <w:sz w:val="20"/>
                <w:szCs w:val="20"/>
              </w:rPr>
              <w:t>(18.83- NC)</w:t>
            </w:r>
          </w:p>
        </w:tc>
        <w:tc>
          <w:tcPr>
            <w:tcW w:w="1484" w:type="dxa"/>
            <w:vAlign w:val="center"/>
          </w:tcPr>
          <w:p w14:paraId="6FBFB7B3" w14:textId="77777777" w:rsidR="00C905D6" w:rsidRPr="003878F9" w:rsidRDefault="00C905D6" w:rsidP="00C905D6">
            <w:pPr>
              <w:widowControl w:val="0"/>
              <w:spacing w:before="0" w:after="0"/>
              <w:jc w:val="center"/>
              <w:rPr>
                <w:rFonts w:ascii="Arial Narrow" w:hAnsi="Arial Narrow"/>
                <w:sz w:val="20"/>
                <w:szCs w:val="20"/>
              </w:rPr>
            </w:pPr>
            <w:r w:rsidRPr="003878F9">
              <w:rPr>
                <w:rFonts w:ascii="Arial Narrow" w:hAnsi="Arial Narrow"/>
                <w:sz w:val="20"/>
                <w:szCs w:val="20"/>
              </w:rPr>
              <w:t>61/126 (48.4)</w:t>
            </w:r>
          </w:p>
        </w:tc>
        <w:tc>
          <w:tcPr>
            <w:tcW w:w="1485" w:type="dxa"/>
            <w:vAlign w:val="center"/>
          </w:tcPr>
          <w:p w14:paraId="28F73CD9" w14:textId="77777777" w:rsidR="00C905D6" w:rsidRPr="003878F9" w:rsidRDefault="00C905D6" w:rsidP="00C905D6">
            <w:pPr>
              <w:widowControl w:val="0"/>
              <w:spacing w:before="0" w:after="0"/>
              <w:jc w:val="center"/>
              <w:rPr>
                <w:rFonts w:ascii="Arial Narrow" w:hAnsi="Arial Narrow"/>
                <w:sz w:val="20"/>
                <w:szCs w:val="20"/>
              </w:rPr>
            </w:pPr>
            <w:r w:rsidRPr="003878F9">
              <w:rPr>
                <w:rFonts w:ascii="Arial Narrow" w:hAnsi="Arial Narrow"/>
                <w:sz w:val="20"/>
                <w:szCs w:val="20"/>
              </w:rPr>
              <w:t>22.57</w:t>
            </w:r>
          </w:p>
          <w:p w14:paraId="2FE61D2F" w14:textId="77777777" w:rsidR="00C905D6" w:rsidRPr="003878F9" w:rsidRDefault="00C905D6" w:rsidP="00C905D6">
            <w:pPr>
              <w:widowControl w:val="0"/>
              <w:spacing w:before="0" w:after="0"/>
              <w:jc w:val="center"/>
              <w:rPr>
                <w:rFonts w:ascii="Arial Narrow" w:hAnsi="Arial Narrow"/>
                <w:sz w:val="20"/>
                <w:szCs w:val="20"/>
              </w:rPr>
            </w:pPr>
            <w:r w:rsidRPr="003878F9">
              <w:rPr>
                <w:rFonts w:ascii="Arial Narrow" w:hAnsi="Arial Narrow"/>
                <w:sz w:val="20"/>
                <w:szCs w:val="20"/>
              </w:rPr>
              <w:t>(18.37, 30.98)</w:t>
            </w:r>
          </w:p>
        </w:tc>
        <w:tc>
          <w:tcPr>
            <w:tcW w:w="1791" w:type="dxa"/>
            <w:vAlign w:val="center"/>
          </w:tcPr>
          <w:p w14:paraId="29FA7170" w14:textId="77777777" w:rsidR="00C905D6" w:rsidRPr="003878F9" w:rsidRDefault="00C905D6" w:rsidP="00C905D6">
            <w:pPr>
              <w:widowControl w:val="0"/>
              <w:spacing w:before="0" w:after="0"/>
              <w:jc w:val="center"/>
              <w:rPr>
                <w:rFonts w:ascii="Arial Narrow" w:hAnsi="Arial Narrow"/>
                <w:sz w:val="20"/>
                <w:szCs w:val="20"/>
              </w:rPr>
            </w:pPr>
            <w:r w:rsidRPr="003878F9">
              <w:rPr>
                <w:rFonts w:ascii="Arial Narrow" w:hAnsi="Arial Narrow"/>
                <w:sz w:val="20"/>
                <w:szCs w:val="20"/>
              </w:rPr>
              <w:t>0.92 (0.65, 1.31);</w:t>
            </w:r>
          </w:p>
          <w:p w14:paraId="07DE959B" w14:textId="77777777" w:rsidR="00C905D6" w:rsidRPr="003878F9" w:rsidRDefault="00C905D6" w:rsidP="00C905D6">
            <w:pPr>
              <w:widowControl w:val="0"/>
              <w:spacing w:before="0" w:after="0"/>
              <w:jc w:val="center"/>
              <w:rPr>
                <w:rFonts w:ascii="Arial Narrow" w:hAnsi="Arial Narrow"/>
                <w:sz w:val="20"/>
                <w:szCs w:val="20"/>
              </w:rPr>
            </w:pPr>
            <w:r w:rsidRPr="003878F9">
              <w:rPr>
                <w:rFonts w:ascii="Arial Narrow" w:hAnsi="Arial Narrow"/>
                <w:sz w:val="20"/>
                <w:szCs w:val="20"/>
              </w:rPr>
              <w:t>0.65</w:t>
            </w:r>
          </w:p>
        </w:tc>
      </w:tr>
      <w:tr w:rsidR="005C64BE" w:rsidRPr="000A7BB0" w14:paraId="5A827F97" w14:textId="77777777" w:rsidTr="00470B01">
        <w:trPr>
          <w:trHeight w:val="20"/>
        </w:trPr>
        <w:tc>
          <w:tcPr>
            <w:tcW w:w="7225" w:type="dxa"/>
            <w:gridSpan w:val="5"/>
            <w:vAlign w:val="center"/>
          </w:tcPr>
          <w:p w14:paraId="6E51EF5C" w14:textId="23AE15B2" w:rsidR="005C64BE" w:rsidRPr="000A7BB0" w:rsidRDefault="005C64BE" w:rsidP="005C64BE">
            <w:pPr>
              <w:pStyle w:val="TableText"/>
              <w:jc w:val="right"/>
              <w:rPr>
                <w:i/>
                <w:iCs/>
              </w:rPr>
            </w:pPr>
            <w:r w:rsidRPr="000A7BB0">
              <w:rPr>
                <w:i/>
                <w:iCs/>
              </w:rPr>
              <w:t xml:space="preserve">Test for interaction </w:t>
            </w:r>
            <w:r w:rsidRPr="000A7BB0">
              <w:rPr>
                <w:i/>
                <w:iCs/>
                <w:vertAlign w:val="superscript"/>
              </w:rPr>
              <w:t>d</w:t>
            </w:r>
          </w:p>
        </w:tc>
        <w:tc>
          <w:tcPr>
            <w:tcW w:w="1791" w:type="dxa"/>
            <w:vAlign w:val="center"/>
          </w:tcPr>
          <w:p w14:paraId="58589CC1" w14:textId="720B08B9" w:rsidR="005C64BE" w:rsidRPr="000A7BB0" w:rsidRDefault="00255DA4" w:rsidP="005C64BE">
            <w:pPr>
              <w:widowControl w:val="0"/>
              <w:spacing w:before="0" w:after="0"/>
              <w:jc w:val="center"/>
              <w:rPr>
                <w:rFonts w:ascii="Arial Narrow" w:hAnsi="Arial Narrow"/>
                <w:i/>
                <w:iCs/>
                <w:sz w:val="20"/>
              </w:rPr>
            </w:pPr>
            <w:r w:rsidRPr="000A7BB0">
              <w:rPr>
                <w:rFonts w:ascii="Arial Narrow" w:hAnsi="Arial Narrow"/>
                <w:i/>
                <w:iCs/>
                <w:sz w:val="20"/>
              </w:rPr>
              <w:t>0.93</w:t>
            </w:r>
          </w:p>
        </w:tc>
      </w:tr>
    </w:tbl>
    <w:p w14:paraId="21B5A8C9" w14:textId="0CBE7777" w:rsidR="004302B0" w:rsidRPr="000A7BB0" w:rsidRDefault="00C905D6" w:rsidP="00C905D6">
      <w:pPr>
        <w:tabs>
          <w:tab w:val="left" w:pos="284"/>
        </w:tabs>
        <w:spacing w:before="0" w:after="0"/>
        <w:rPr>
          <w:rFonts w:ascii="Arial Narrow" w:eastAsia="Times New Roman" w:hAnsi="Arial Narrow" w:cs="Arial"/>
          <w:snapToGrid w:val="0"/>
          <w:sz w:val="18"/>
          <w:lang w:eastAsia="en-AU"/>
        </w:rPr>
      </w:pPr>
      <w:r w:rsidRPr="000A7BB0">
        <w:rPr>
          <w:rFonts w:ascii="Arial Narrow" w:eastAsia="Times New Roman" w:hAnsi="Arial Narrow" w:cs="Arial"/>
          <w:snapToGrid w:val="0"/>
          <w:sz w:val="18"/>
          <w:lang w:eastAsia="en-AU"/>
        </w:rPr>
        <w:t xml:space="preserve">Source: Table 2.5: Number of patients with reference to </w:t>
      </w:r>
      <w:r w:rsidRPr="000A7BB0">
        <w:rPr>
          <w:rFonts w:ascii="Arial Narrow" w:eastAsia="Times New Roman" w:hAnsi="Arial Narrow" w:cs="Arial"/>
          <w:i/>
          <w:iCs/>
          <w:snapToGrid w:val="0"/>
          <w:sz w:val="18"/>
          <w:lang w:eastAsia="en-AU"/>
        </w:rPr>
        <w:t>ESR1</w:t>
      </w:r>
      <w:r w:rsidRPr="000A7BB0">
        <w:rPr>
          <w:rFonts w:ascii="Arial Narrow" w:eastAsia="Times New Roman" w:hAnsi="Arial Narrow" w:cs="Arial"/>
          <w:snapToGrid w:val="0"/>
          <w:sz w:val="18"/>
          <w:lang w:eastAsia="en-AU"/>
        </w:rPr>
        <w:t>-mut status (ITT), p75 of the submission</w:t>
      </w:r>
      <w:r w:rsidRPr="000A7BB0">
        <w:rPr>
          <w:rFonts w:ascii="Arial Narrow" w:eastAsia="Times New Roman" w:hAnsi="Arial Narrow" w:cs="Arial"/>
          <w:snapToGrid w:val="0"/>
          <w:sz w:val="18"/>
          <w:lang w:eastAsia="en-AU"/>
        </w:rPr>
        <w:tab/>
      </w:r>
      <w:r w:rsidRPr="000A7BB0">
        <w:rPr>
          <w:rFonts w:ascii="Arial Narrow" w:eastAsia="Times New Roman" w:hAnsi="Arial Narrow" w:cs="Arial"/>
          <w:snapToGrid w:val="0"/>
          <w:sz w:val="18"/>
          <w:lang w:eastAsia="en-AU"/>
        </w:rPr>
        <w:br/>
        <w:t xml:space="preserve">CI = confidence interval; </w:t>
      </w:r>
      <w:r w:rsidRPr="000A7BB0">
        <w:rPr>
          <w:rFonts w:ascii="Arial Narrow" w:eastAsia="Times New Roman" w:hAnsi="Arial Narrow" w:cs="Arial"/>
          <w:i/>
          <w:iCs/>
          <w:snapToGrid w:val="0"/>
          <w:sz w:val="18"/>
          <w:lang w:eastAsia="en-AU"/>
        </w:rPr>
        <w:t>ESR1</w:t>
      </w:r>
      <w:r w:rsidRPr="000A7BB0">
        <w:rPr>
          <w:rFonts w:ascii="Arial Narrow" w:eastAsia="Times New Roman" w:hAnsi="Arial Narrow" w:cs="Arial"/>
          <w:snapToGrid w:val="0"/>
          <w:sz w:val="18"/>
          <w:lang w:eastAsia="en-AU"/>
        </w:rPr>
        <w:t xml:space="preserve"> = estrogen receptor 1; </w:t>
      </w:r>
      <w:r w:rsidRPr="000A7BB0">
        <w:rPr>
          <w:rFonts w:ascii="Arial Narrow" w:eastAsia="Times New Roman" w:hAnsi="Arial Narrow" w:cs="Arial"/>
          <w:i/>
          <w:iCs/>
          <w:snapToGrid w:val="0"/>
          <w:sz w:val="18"/>
          <w:lang w:eastAsia="en-AU"/>
        </w:rPr>
        <w:t>ESR1</w:t>
      </w:r>
      <w:r w:rsidRPr="000A7BB0">
        <w:rPr>
          <w:rFonts w:ascii="Arial Narrow" w:eastAsia="Times New Roman" w:hAnsi="Arial Narrow" w:cs="Arial"/>
          <w:snapToGrid w:val="0"/>
          <w:sz w:val="18"/>
          <w:lang w:eastAsia="en-AU"/>
        </w:rPr>
        <w:t xml:space="preserve">-mut = </w:t>
      </w:r>
      <w:r w:rsidRPr="000A7BB0">
        <w:rPr>
          <w:rFonts w:ascii="Arial Narrow" w:eastAsia="Times New Roman" w:hAnsi="Arial Narrow" w:cs="Arial"/>
          <w:i/>
          <w:iCs/>
          <w:snapToGrid w:val="0"/>
          <w:sz w:val="18"/>
          <w:lang w:eastAsia="en-AU"/>
        </w:rPr>
        <w:t>ESR1</w:t>
      </w:r>
      <w:r w:rsidRPr="000A7BB0">
        <w:rPr>
          <w:rFonts w:ascii="Arial Narrow" w:eastAsia="Times New Roman" w:hAnsi="Arial Narrow" w:cs="Arial"/>
          <w:snapToGrid w:val="0"/>
          <w:sz w:val="18"/>
          <w:lang w:eastAsia="en-AU"/>
        </w:rPr>
        <w:t xml:space="preserve"> </w:t>
      </w:r>
      <w:r w:rsidR="00B102FC" w:rsidRPr="000A7BB0">
        <w:rPr>
          <w:rFonts w:ascii="Arial Narrow" w:eastAsia="Times New Roman" w:hAnsi="Arial Narrow" w:cs="Arial"/>
          <w:snapToGrid w:val="0"/>
          <w:sz w:val="18"/>
          <w:lang w:eastAsia="en-AU"/>
        </w:rPr>
        <w:t>variant</w:t>
      </w:r>
      <w:r w:rsidRPr="000A7BB0">
        <w:rPr>
          <w:rFonts w:ascii="Arial Narrow" w:eastAsia="Times New Roman" w:hAnsi="Arial Narrow" w:cs="Arial"/>
          <w:snapToGrid w:val="0"/>
          <w:sz w:val="18"/>
          <w:lang w:eastAsia="en-AU"/>
        </w:rPr>
        <w:t xml:space="preserve">; </w:t>
      </w:r>
      <w:r w:rsidRPr="000A7BB0">
        <w:rPr>
          <w:rFonts w:ascii="Arial Narrow" w:eastAsia="Times New Roman" w:hAnsi="Arial Narrow" w:cs="Arial"/>
          <w:i/>
          <w:iCs/>
          <w:snapToGrid w:val="0"/>
          <w:sz w:val="18"/>
          <w:lang w:eastAsia="en-AU"/>
        </w:rPr>
        <w:t>ESR1</w:t>
      </w:r>
      <w:r w:rsidRPr="000A7BB0">
        <w:rPr>
          <w:rFonts w:ascii="Arial Narrow" w:eastAsia="Times New Roman" w:hAnsi="Arial Narrow" w:cs="Arial"/>
          <w:snapToGrid w:val="0"/>
          <w:sz w:val="18"/>
          <w:lang w:eastAsia="en-AU"/>
        </w:rPr>
        <w:t xml:space="preserve">-mut-nd = </w:t>
      </w:r>
      <w:r w:rsidRPr="000A7BB0">
        <w:rPr>
          <w:rFonts w:ascii="Arial Narrow" w:eastAsia="Times New Roman" w:hAnsi="Arial Narrow" w:cs="Arial"/>
          <w:i/>
          <w:iCs/>
          <w:snapToGrid w:val="0"/>
          <w:sz w:val="18"/>
          <w:lang w:eastAsia="en-AU"/>
        </w:rPr>
        <w:t>ESR1</w:t>
      </w:r>
      <w:r w:rsidRPr="000A7BB0">
        <w:rPr>
          <w:rFonts w:ascii="Arial Narrow" w:eastAsia="Times New Roman" w:hAnsi="Arial Narrow" w:cs="Arial"/>
          <w:snapToGrid w:val="0"/>
          <w:sz w:val="18"/>
          <w:lang w:eastAsia="en-AU"/>
        </w:rPr>
        <w:t xml:space="preserve"> </w:t>
      </w:r>
      <w:r w:rsidR="00B102FC" w:rsidRPr="000A7BB0">
        <w:rPr>
          <w:rFonts w:ascii="Arial Narrow" w:eastAsia="Times New Roman" w:hAnsi="Arial Narrow" w:cs="Arial"/>
          <w:snapToGrid w:val="0"/>
          <w:sz w:val="18"/>
          <w:lang w:eastAsia="en-AU"/>
        </w:rPr>
        <w:t xml:space="preserve">variant </w:t>
      </w:r>
      <w:r w:rsidRPr="000A7BB0">
        <w:rPr>
          <w:rFonts w:ascii="Arial Narrow" w:eastAsia="Times New Roman" w:hAnsi="Arial Narrow" w:cs="Arial"/>
          <w:snapToGrid w:val="0"/>
          <w:sz w:val="18"/>
          <w:lang w:eastAsia="en-AU"/>
        </w:rPr>
        <w:t xml:space="preserve">not detected; HR = hazard ratio; ITT = intent to treat analysis population; NC = not calculable; OS = overall survival; PFS = progression-free survival; SOC = standard of care. </w:t>
      </w:r>
    </w:p>
    <w:p w14:paraId="1D04FFFA" w14:textId="77777777" w:rsidR="004302B0" w:rsidRPr="000A7BB0" w:rsidRDefault="004302B0" w:rsidP="004302B0">
      <w:pPr>
        <w:tabs>
          <w:tab w:val="left" w:pos="284"/>
        </w:tabs>
        <w:spacing w:before="0" w:after="0"/>
        <w:rPr>
          <w:rFonts w:ascii="Arial Narrow" w:eastAsia="Times New Roman" w:hAnsi="Arial Narrow" w:cs="Arial"/>
          <w:snapToGrid w:val="0"/>
          <w:sz w:val="18"/>
          <w:lang w:eastAsia="en-AU"/>
        </w:rPr>
      </w:pPr>
      <w:r w:rsidRPr="000A7BB0">
        <w:rPr>
          <w:rFonts w:ascii="Arial Narrow" w:eastAsia="Times New Roman" w:hAnsi="Arial Narrow" w:cs="Arial"/>
          <w:b/>
          <w:bCs/>
          <w:snapToGrid w:val="0"/>
          <w:sz w:val="18"/>
          <w:vertAlign w:val="superscript"/>
          <w:lang w:eastAsia="en-AU"/>
        </w:rPr>
        <w:t xml:space="preserve">a </w:t>
      </w:r>
      <w:r w:rsidRPr="000A7BB0">
        <w:rPr>
          <w:rFonts w:ascii="Arial Narrow" w:eastAsia="Times New Roman" w:hAnsi="Arial Narrow" w:cs="Arial"/>
          <w:snapToGrid w:val="0"/>
          <w:sz w:val="18"/>
          <w:lang w:eastAsia="en-AU"/>
        </w:rPr>
        <w:t>September 2021 data cut off</w:t>
      </w:r>
    </w:p>
    <w:p w14:paraId="6D7383FA" w14:textId="77777777" w:rsidR="00F05788" w:rsidRPr="000A7BB0" w:rsidRDefault="004302B0" w:rsidP="00C905D6">
      <w:pPr>
        <w:tabs>
          <w:tab w:val="left" w:pos="284"/>
        </w:tabs>
        <w:spacing w:before="0" w:after="0"/>
        <w:rPr>
          <w:rFonts w:ascii="Arial Narrow" w:eastAsia="Times New Roman" w:hAnsi="Arial Narrow" w:cs="Arial"/>
          <w:snapToGrid w:val="0"/>
          <w:sz w:val="18"/>
          <w:szCs w:val="18"/>
          <w:lang w:eastAsia="en-AU"/>
        </w:rPr>
      </w:pPr>
      <w:r w:rsidRPr="003878F9">
        <w:rPr>
          <w:rFonts w:ascii="Arial Narrow" w:eastAsia="Times New Roman" w:hAnsi="Arial Narrow" w:cs="Arial"/>
          <w:snapToGrid w:val="0"/>
          <w:sz w:val="18"/>
          <w:szCs w:val="18"/>
          <w:vertAlign w:val="superscript"/>
          <w:lang w:eastAsia="en-AU"/>
        </w:rPr>
        <w:t>b</w:t>
      </w:r>
      <w:r w:rsidRPr="6C16F517">
        <w:rPr>
          <w:rFonts w:ascii="Arial Narrow" w:eastAsia="Times New Roman" w:hAnsi="Arial Narrow" w:cs="Arial"/>
          <w:b/>
          <w:snapToGrid w:val="0"/>
          <w:sz w:val="18"/>
          <w:szCs w:val="18"/>
          <w:vertAlign w:val="superscript"/>
          <w:lang w:eastAsia="en-AU"/>
        </w:rPr>
        <w:t xml:space="preserve"> </w:t>
      </w:r>
      <w:r w:rsidRPr="6C16F517">
        <w:rPr>
          <w:rFonts w:ascii="Arial Narrow" w:eastAsia="Times New Roman" w:hAnsi="Arial Narrow" w:cs="Arial"/>
          <w:snapToGrid w:val="0"/>
          <w:sz w:val="18"/>
          <w:szCs w:val="18"/>
          <w:lang w:eastAsia="en-AU"/>
        </w:rPr>
        <w:t>September 2022 data cut off</w:t>
      </w:r>
    </w:p>
    <w:p w14:paraId="76390BC7" w14:textId="3AD394CA" w:rsidR="00F05788" w:rsidRPr="000A7BB0" w:rsidRDefault="0595A630" w:rsidP="74877A7E">
      <w:pPr>
        <w:pStyle w:val="TableFooter"/>
        <w:rPr>
          <w:lang w:eastAsia="en-AU"/>
        </w:rPr>
      </w:pPr>
      <w:r w:rsidRPr="000A7BB0">
        <w:rPr>
          <w:vertAlign w:val="superscript"/>
          <w:lang w:eastAsia="en-AU"/>
        </w:rPr>
        <w:t>c</w:t>
      </w:r>
      <w:r w:rsidRPr="000A7BB0">
        <w:rPr>
          <w:lang w:eastAsia="en-AU"/>
        </w:rPr>
        <w:t xml:space="preserve"> SOC in the EMERALD trial comprises of choice of aromatase inhibitor (AI) or </w:t>
      </w:r>
      <w:proofErr w:type="spellStart"/>
      <w:r w:rsidRPr="000A7BB0">
        <w:rPr>
          <w:lang w:eastAsia="en-AU"/>
        </w:rPr>
        <w:t>fulvestrant</w:t>
      </w:r>
      <w:proofErr w:type="spellEnd"/>
      <w:r w:rsidRPr="000A7BB0">
        <w:rPr>
          <w:lang w:eastAsia="en-AU"/>
        </w:rPr>
        <w:t xml:space="preserve"> monotherapy</w:t>
      </w:r>
      <w:r w:rsidR="07BF5FE4" w:rsidRPr="000A7BB0">
        <w:rPr>
          <w:lang w:eastAsia="en-AU"/>
        </w:rPr>
        <w:t xml:space="preserve"> which may</w:t>
      </w:r>
      <w:r w:rsidRPr="000A7BB0">
        <w:rPr>
          <w:lang w:eastAsia="en-AU"/>
        </w:rPr>
        <w:t xml:space="preserve"> not reflect the true extent of current therapies received by Australian patients.</w:t>
      </w:r>
    </w:p>
    <w:p w14:paraId="78D0EAB3" w14:textId="01F9C1C3" w:rsidR="00C905D6" w:rsidRPr="000A7BB0" w:rsidRDefault="004F5881" w:rsidP="002238E0">
      <w:pPr>
        <w:pStyle w:val="TableFigureFooter"/>
        <w:keepNext/>
      </w:pPr>
      <w:r w:rsidRPr="000A7BB0">
        <w:rPr>
          <w:vertAlign w:val="superscript"/>
        </w:rPr>
        <w:t>d</w:t>
      </w:r>
      <w:r w:rsidRPr="000A7BB0">
        <w:t xml:space="preserve"> </w:t>
      </w:r>
      <w:r w:rsidR="002238E0" w:rsidRPr="000A7BB0">
        <w:rPr>
          <w:i/>
        </w:rPr>
        <w:t>Test for interaction conducted during the evaluation</w:t>
      </w:r>
      <w:r w:rsidR="0078548A" w:rsidRPr="000A7BB0">
        <w:rPr>
          <w:i/>
        </w:rPr>
        <w:t xml:space="preserve"> comparing the two ESR1 variant subgroups</w:t>
      </w:r>
      <w:r w:rsidR="002238E0" w:rsidRPr="000A7BB0">
        <w:t xml:space="preserve">. p value &lt; 0.05 suggesting that presence of </w:t>
      </w:r>
      <w:r w:rsidR="002238E0" w:rsidRPr="000A7BB0">
        <w:rPr>
          <w:i/>
          <w:iCs/>
        </w:rPr>
        <w:t>ESR1</w:t>
      </w:r>
      <w:r w:rsidR="002238E0" w:rsidRPr="000A7BB0">
        <w:t xml:space="preserve"> variant was a potentially significant treatment effect modifier</w:t>
      </w:r>
      <w:r w:rsidR="00C905D6" w:rsidRPr="000A7BB0">
        <w:br/>
        <w:t>Note: p-values using stratified log-rank test.</w:t>
      </w:r>
    </w:p>
    <w:p w14:paraId="3FA348FF" w14:textId="77777777" w:rsidR="0027105C" w:rsidRPr="000A7BB0" w:rsidRDefault="7AC202CE" w:rsidP="74877A7E">
      <w:pPr>
        <w:tabs>
          <w:tab w:val="left" w:pos="284"/>
        </w:tabs>
        <w:spacing w:before="0" w:after="0"/>
        <w:rPr>
          <w:rFonts w:ascii="Arial Narrow" w:eastAsia="Times New Roman" w:hAnsi="Arial Narrow" w:cs="Arial"/>
          <w:snapToGrid w:val="0"/>
          <w:sz w:val="18"/>
          <w:szCs w:val="18"/>
          <w:lang w:eastAsia="en-AU"/>
        </w:rPr>
      </w:pPr>
      <w:r w:rsidRPr="000A7BB0">
        <w:rPr>
          <w:rFonts w:ascii="Arial Narrow" w:eastAsia="Times New Roman" w:hAnsi="Arial Narrow" w:cs="Arial"/>
          <w:b/>
          <w:bCs/>
          <w:snapToGrid w:val="0"/>
          <w:sz w:val="18"/>
          <w:szCs w:val="18"/>
          <w:lang w:eastAsia="en-AU"/>
        </w:rPr>
        <w:t>Bold</w:t>
      </w:r>
      <w:r w:rsidRPr="000A7BB0">
        <w:rPr>
          <w:rFonts w:ascii="Arial Narrow" w:eastAsia="Times New Roman" w:hAnsi="Arial Narrow" w:cs="Arial"/>
          <w:snapToGrid w:val="0"/>
          <w:sz w:val="18"/>
          <w:szCs w:val="18"/>
          <w:lang w:eastAsia="en-AU"/>
        </w:rPr>
        <w:t xml:space="preserve"> text indicates a statistically significant p-value</w:t>
      </w:r>
    </w:p>
    <w:p w14:paraId="0CBDE2C8" w14:textId="667F54B6" w:rsidR="00C905D6" w:rsidRPr="00DE49EF" w:rsidRDefault="00C905D6" w:rsidP="00DE49EF">
      <w:pPr>
        <w:spacing w:after="120"/>
        <w:rPr>
          <w:rFonts w:eastAsia="Times New Roman" w:cs="Arial"/>
          <w:snapToGrid w:val="0"/>
          <w:lang w:eastAsia="en-AU"/>
        </w:rPr>
      </w:pPr>
      <w:r w:rsidRPr="00DE49EF">
        <w:rPr>
          <w:rFonts w:eastAsia="Times New Roman" w:cs="Arial"/>
          <w:snapToGrid w:val="0"/>
          <w:lang w:eastAsia="en-AU"/>
        </w:rPr>
        <w:t xml:space="preserve">In the </w:t>
      </w:r>
      <w:r w:rsidR="76F25D84" w:rsidRPr="00DE49EF">
        <w:rPr>
          <w:rFonts w:eastAsia="Times New Roman" w:cs="Arial"/>
          <w:snapToGrid w:val="0"/>
          <w:lang w:eastAsia="en-AU"/>
        </w:rPr>
        <w:t>non-</w:t>
      </w:r>
      <w:r w:rsidRPr="00DE49EF">
        <w:rPr>
          <w:rFonts w:eastAsia="Times New Roman"/>
          <w:i/>
          <w:iCs/>
          <w:snapToGrid w:val="0"/>
          <w:lang w:eastAsia="en-AU"/>
        </w:rPr>
        <w:t>ESR1</w:t>
      </w:r>
      <w:r w:rsidRPr="00DE49EF">
        <w:rPr>
          <w:rFonts w:eastAsia="Times New Roman"/>
          <w:snapToGrid w:val="0"/>
          <w:lang w:eastAsia="en-AU"/>
        </w:rPr>
        <w:t xml:space="preserve"> </w:t>
      </w:r>
      <w:r w:rsidR="76F25D84" w:rsidRPr="00DE49EF">
        <w:rPr>
          <w:rFonts w:eastAsia="Times New Roman"/>
          <w:snapToGrid w:val="0"/>
          <w:lang w:eastAsia="en-AU"/>
        </w:rPr>
        <w:t>variant</w:t>
      </w:r>
      <w:r w:rsidRPr="00DE49EF">
        <w:rPr>
          <w:rFonts w:eastAsia="Times New Roman" w:cs="Arial"/>
          <w:snapToGrid w:val="0"/>
          <w:lang w:eastAsia="en-AU"/>
        </w:rPr>
        <w:t xml:space="preserve"> subgroup, there was no statistically significant difference in PFS between </w:t>
      </w:r>
      <w:proofErr w:type="spellStart"/>
      <w:r w:rsidRPr="00DE49EF">
        <w:rPr>
          <w:rFonts w:eastAsia="Times New Roman" w:cs="Arial"/>
          <w:snapToGrid w:val="0"/>
          <w:lang w:eastAsia="en-AU"/>
        </w:rPr>
        <w:t>elacestrant</w:t>
      </w:r>
      <w:proofErr w:type="spellEnd"/>
      <w:r w:rsidRPr="00DE49EF">
        <w:rPr>
          <w:rFonts w:eastAsia="Times New Roman" w:cs="Arial"/>
          <w:snapToGrid w:val="0"/>
          <w:lang w:eastAsia="en-AU"/>
        </w:rPr>
        <w:t xml:space="preserve"> and SOC. </w:t>
      </w:r>
    </w:p>
    <w:p w14:paraId="6BB1D771" w14:textId="26A9E3E5" w:rsidR="00C905D6" w:rsidRPr="00DE49EF" w:rsidRDefault="00C905D6" w:rsidP="00DE49EF">
      <w:pPr>
        <w:spacing w:before="0" w:after="120"/>
        <w:rPr>
          <w:rFonts w:eastAsia="Times New Roman" w:cs="Arial"/>
          <w:snapToGrid w:val="0"/>
          <w:lang w:eastAsia="en-AU"/>
        </w:rPr>
      </w:pPr>
      <w:r w:rsidRPr="00DE49EF">
        <w:rPr>
          <w:rFonts w:eastAsia="Times New Roman" w:cs="Arial"/>
          <w:snapToGrid w:val="0"/>
          <w:lang w:eastAsia="en-AU"/>
        </w:rPr>
        <w:t xml:space="preserve">Analysis of PFS outcomes for patients treated with SOC indicated that those with </w:t>
      </w:r>
      <w:r w:rsidRPr="00DE49EF">
        <w:rPr>
          <w:rFonts w:eastAsia="Times New Roman" w:cs="Arial"/>
          <w:i/>
          <w:iCs/>
          <w:snapToGrid w:val="0"/>
          <w:lang w:eastAsia="en-AU"/>
        </w:rPr>
        <w:t xml:space="preserve">ESR1 </w:t>
      </w:r>
      <w:r w:rsidRPr="00DE49EF">
        <w:rPr>
          <w:rFonts w:eastAsia="Times New Roman" w:cs="Arial"/>
          <w:snapToGrid w:val="0"/>
          <w:lang w:eastAsia="en-AU"/>
        </w:rPr>
        <w:t>variants had slightly poorer median PFS compared to patients without</w:t>
      </w:r>
      <w:r w:rsidRPr="00DE49EF">
        <w:rPr>
          <w:rFonts w:eastAsia="Times New Roman" w:cs="Arial"/>
          <w:i/>
          <w:iCs/>
          <w:snapToGrid w:val="0"/>
          <w:lang w:eastAsia="en-AU"/>
        </w:rPr>
        <w:t xml:space="preserve"> ESR1 </w:t>
      </w:r>
      <w:r w:rsidRPr="00DE49EF">
        <w:rPr>
          <w:rFonts w:eastAsia="Times New Roman" w:cs="Arial"/>
          <w:snapToGrid w:val="0"/>
          <w:lang w:eastAsia="en-AU"/>
        </w:rPr>
        <w:t>variants (1.87 months vs 1.97 months) (see</w:t>
      </w:r>
      <w:r w:rsidR="5DB05614" w:rsidRPr="00DE49EF">
        <w:rPr>
          <w:rFonts w:eastAsia="Times New Roman"/>
          <w:snapToGrid w:val="0"/>
          <w:lang w:eastAsia="en-AU"/>
        </w:rPr>
        <w:t xml:space="preserve"> </w:t>
      </w:r>
      <w:r w:rsidR="00E319FB" w:rsidRPr="00DE49EF">
        <w:fldChar w:fldCharType="begin"/>
      </w:r>
      <w:r w:rsidR="00E319FB" w:rsidRPr="00DE49EF">
        <w:instrText xml:space="preserve"> REF _Ref188371175 \h </w:instrText>
      </w:r>
      <w:r w:rsidR="00DE49EF" w:rsidRPr="00DE49EF">
        <w:instrText xml:space="preserve"> \* MERGEFORMAT </w:instrText>
      </w:r>
      <w:r w:rsidR="00E319FB" w:rsidRPr="00DE49EF">
        <w:fldChar w:fldCharType="separate"/>
      </w:r>
      <w:r w:rsidR="006D7BC5" w:rsidRPr="006D7BC5">
        <w:t>Table 8</w:t>
      </w:r>
      <w:r w:rsidR="00E319FB" w:rsidRPr="00DE49EF">
        <w:fldChar w:fldCharType="end"/>
      </w:r>
      <w:r w:rsidRPr="00DE49EF">
        <w:rPr>
          <w:rFonts w:eastAsia="Times New Roman"/>
          <w:snapToGrid w:val="0"/>
          <w:lang w:eastAsia="en-AU"/>
        </w:rPr>
        <w:t>).</w:t>
      </w:r>
      <w:r w:rsidRPr="00DE49EF">
        <w:rPr>
          <w:rFonts w:eastAsia="Times New Roman" w:cs="Arial"/>
          <w:snapToGrid w:val="0"/>
          <w:lang w:eastAsia="en-AU"/>
        </w:rPr>
        <w:t xml:space="preserve"> Th</w:t>
      </w:r>
      <w:r w:rsidR="26262D24" w:rsidRPr="00DE49EF">
        <w:rPr>
          <w:rFonts w:eastAsia="Times New Roman" w:cs="Arial"/>
          <w:snapToGrid w:val="0"/>
          <w:lang w:eastAsia="en-AU"/>
        </w:rPr>
        <w:t xml:space="preserve">is appears to suggest that </w:t>
      </w:r>
      <w:r w:rsidRPr="00DE49EF">
        <w:rPr>
          <w:rFonts w:eastAsia="Times New Roman" w:cs="Arial"/>
          <w:snapToGrid w:val="0"/>
          <w:lang w:eastAsia="en-AU"/>
        </w:rPr>
        <w:t xml:space="preserve">patients with </w:t>
      </w:r>
      <w:r w:rsidRPr="00DE49EF">
        <w:rPr>
          <w:rFonts w:eastAsia="Times New Roman" w:cs="Arial"/>
          <w:i/>
          <w:iCs/>
          <w:snapToGrid w:val="0"/>
          <w:lang w:eastAsia="en-AU"/>
        </w:rPr>
        <w:t>ESR1</w:t>
      </w:r>
      <w:r w:rsidRPr="00DE49EF">
        <w:rPr>
          <w:rFonts w:eastAsia="Times New Roman" w:cs="Arial"/>
          <w:snapToGrid w:val="0"/>
          <w:lang w:eastAsia="en-AU"/>
        </w:rPr>
        <w:t xml:space="preserve"> variants have poorer PFS prognosis than patients without </w:t>
      </w:r>
      <w:r w:rsidRPr="00DE49EF">
        <w:rPr>
          <w:rFonts w:eastAsia="Times New Roman" w:cs="Arial"/>
          <w:i/>
          <w:iCs/>
          <w:snapToGrid w:val="0"/>
          <w:lang w:eastAsia="en-AU"/>
        </w:rPr>
        <w:t xml:space="preserve">ESR1 </w:t>
      </w:r>
      <w:r w:rsidRPr="00DE49EF">
        <w:rPr>
          <w:rFonts w:eastAsia="Times New Roman" w:cs="Arial"/>
          <w:snapToGrid w:val="0"/>
          <w:lang w:eastAsia="en-AU"/>
        </w:rPr>
        <w:t>variants (although not</w:t>
      </w:r>
      <w:r w:rsidR="26FC4B54" w:rsidRPr="00DE49EF">
        <w:rPr>
          <w:rFonts w:eastAsia="Times New Roman" w:cs="Arial"/>
          <w:snapToGrid w:val="0"/>
          <w:lang w:eastAsia="en-AU"/>
        </w:rPr>
        <w:t>ed</w:t>
      </w:r>
      <w:r w:rsidRPr="00DE49EF">
        <w:rPr>
          <w:rFonts w:eastAsia="Times New Roman" w:cs="Arial"/>
          <w:snapToGrid w:val="0"/>
          <w:lang w:eastAsia="en-AU"/>
        </w:rPr>
        <w:t xml:space="preserve"> this difference was small and 95% CIs overlapped between groups). However, patients with </w:t>
      </w:r>
      <w:r w:rsidRPr="00DE49EF">
        <w:rPr>
          <w:rFonts w:eastAsia="Times New Roman" w:cs="Arial"/>
          <w:i/>
          <w:iCs/>
          <w:snapToGrid w:val="0"/>
          <w:lang w:eastAsia="en-AU"/>
        </w:rPr>
        <w:t>ESR1</w:t>
      </w:r>
      <w:r w:rsidRPr="00DE49EF">
        <w:rPr>
          <w:rFonts w:eastAsia="Times New Roman" w:cs="Arial"/>
          <w:snapToGrid w:val="0"/>
          <w:lang w:eastAsia="en-AU"/>
        </w:rPr>
        <w:t xml:space="preserve"> variants had greater median OS compared to patients without </w:t>
      </w:r>
      <w:r w:rsidRPr="00DE49EF">
        <w:rPr>
          <w:rFonts w:eastAsia="Times New Roman" w:cs="Arial"/>
          <w:i/>
          <w:iCs/>
          <w:snapToGrid w:val="0"/>
          <w:lang w:eastAsia="en-AU"/>
        </w:rPr>
        <w:t xml:space="preserve">ESR1 </w:t>
      </w:r>
      <w:r w:rsidRPr="00DE49EF">
        <w:rPr>
          <w:rFonts w:eastAsia="Times New Roman" w:cs="Arial"/>
          <w:snapToGrid w:val="0"/>
          <w:lang w:eastAsia="en-AU"/>
        </w:rPr>
        <w:t>variants in the SOC arm (23.49 vs 22.57 months).</w:t>
      </w:r>
      <w:r w:rsidR="0DFA0914" w:rsidRPr="00DE49EF">
        <w:rPr>
          <w:rFonts w:eastAsia="Times New Roman" w:cs="Arial"/>
          <w:snapToGrid w:val="0"/>
          <w:lang w:eastAsia="en-AU"/>
        </w:rPr>
        <w:t xml:space="preserve"> The submission did not present a test for interaction between these subgroups to support and quantify the association between the treatment effect and the covariate defining the subgroup.</w:t>
      </w:r>
      <w:r w:rsidR="305EF39D" w:rsidRPr="00DE49EF">
        <w:rPr>
          <w:rFonts w:eastAsia="Times New Roman" w:cs="Arial"/>
          <w:snapToGrid w:val="0"/>
          <w:lang w:eastAsia="en-AU"/>
        </w:rPr>
        <w:t xml:space="preserve"> </w:t>
      </w:r>
      <w:r w:rsidR="5C95442B" w:rsidRPr="00DE49EF">
        <w:rPr>
          <w:rFonts w:eastAsia="Times New Roman" w:cs="Arial"/>
          <w:snapToGrid w:val="0"/>
          <w:lang w:eastAsia="en-AU"/>
        </w:rPr>
        <w:t xml:space="preserve">The test for interaction between the </w:t>
      </w:r>
      <w:r w:rsidR="5C95442B" w:rsidRPr="00DE49EF">
        <w:rPr>
          <w:rFonts w:eastAsia="Times New Roman" w:cs="Arial"/>
          <w:i/>
          <w:iCs/>
          <w:snapToGrid w:val="0"/>
          <w:lang w:eastAsia="en-AU"/>
        </w:rPr>
        <w:t>ESR1</w:t>
      </w:r>
      <w:r w:rsidR="5C95442B" w:rsidRPr="00DE49EF">
        <w:rPr>
          <w:rFonts w:eastAsia="Times New Roman" w:cs="Arial"/>
          <w:snapToGrid w:val="0"/>
          <w:lang w:eastAsia="en-AU"/>
        </w:rPr>
        <w:t xml:space="preserve"> and non-</w:t>
      </w:r>
      <w:r w:rsidR="5C95442B" w:rsidRPr="00DE49EF">
        <w:rPr>
          <w:rFonts w:eastAsia="Times New Roman" w:cs="Arial"/>
          <w:i/>
          <w:iCs/>
          <w:snapToGrid w:val="0"/>
          <w:lang w:eastAsia="en-AU"/>
        </w:rPr>
        <w:t>ESR1</w:t>
      </w:r>
      <w:r w:rsidR="5C95442B" w:rsidRPr="00DE49EF">
        <w:rPr>
          <w:rFonts w:eastAsia="Times New Roman" w:cs="Arial"/>
          <w:snapToGrid w:val="0"/>
          <w:lang w:eastAsia="en-AU"/>
        </w:rPr>
        <w:t xml:space="preserve"> variant </w:t>
      </w:r>
      <w:r w:rsidR="29F66829" w:rsidRPr="00DE49EF">
        <w:rPr>
          <w:rFonts w:eastAsia="Times New Roman" w:cs="Arial"/>
          <w:snapToGrid w:val="0"/>
          <w:lang w:eastAsia="en-AU"/>
        </w:rPr>
        <w:t>subgroups</w:t>
      </w:r>
      <w:r w:rsidR="5C95442B" w:rsidRPr="00DE49EF">
        <w:rPr>
          <w:rFonts w:eastAsia="Times New Roman" w:cs="Arial"/>
          <w:snapToGrid w:val="0"/>
          <w:lang w:eastAsia="en-AU"/>
        </w:rPr>
        <w:t xml:space="preserve"> conducted during the evaluation did not suggest </w:t>
      </w:r>
      <w:r w:rsidR="29F66829" w:rsidRPr="00DE49EF">
        <w:rPr>
          <w:rFonts w:eastAsia="Times New Roman" w:cs="Arial"/>
          <w:snapToGrid w:val="0"/>
          <w:lang w:eastAsia="en-AU"/>
        </w:rPr>
        <w:t xml:space="preserve">significant </w:t>
      </w:r>
      <w:r w:rsidR="5C95442B" w:rsidRPr="00DE49EF">
        <w:rPr>
          <w:rFonts w:eastAsia="Times New Roman" w:cs="Arial"/>
          <w:i/>
          <w:iCs/>
          <w:snapToGrid w:val="0"/>
          <w:lang w:eastAsia="en-AU"/>
        </w:rPr>
        <w:t>ESR1</w:t>
      </w:r>
      <w:r w:rsidR="5C95442B" w:rsidRPr="00DE49EF">
        <w:rPr>
          <w:rFonts w:eastAsia="Times New Roman" w:cs="Arial"/>
          <w:snapToGrid w:val="0"/>
          <w:lang w:eastAsia="en-AU"/>
        </w:rPr>
        <w:t xml:space="preserve"> variant treatment effect </w:t>
      </w:r>
      <w:r w:rsidR="29F66829" w:rsidRPr="00DE49EF">
        <w:rPr>
          <w:rFonts w:eastAsia="Times New Roman" w:cs="Arial"/>
          <w:snapToGrid w:val="0"/>
          <w:lang w:eastAsia="en-AU"/>
        </w:rPr>
        <w:t>modification</w:t>
      </w:r>
      <w:r w:rsidR="5C95442B" w:rsidRPr="00DE49EF">
        <w:rPr>
          <w:rFonts w:eastAsia="Times New Roman" w:cs="Arial"/>
          <w:snapToGrid w:val="0"/>
          <w:lang w:eastAsia="en-AU"/>
        </w:rPr>
        <w:t xml:space="preserve"> (p=0.055), although noting the limitations of the analysis (based on point estimates and not adjusted for multiplicity).</w:t>
      </w:r>
      <w:r w:rsidR="106659DB" w:rsidRPr="00DE49EF">
        <w:rPr>
          <w:rFonts w:eastAsia="Times New Roman" w:cs="Arial"/>
          <w:snapToGrid w:val="0"/>
          <w:lang w:eastAsia="en-AU"/>
        </w:rPr>
        <w:t xml:space="preserve"> </w:t>
      </w:r>
      <w:r w:rsidR="189AEC40" w:rsidRPr="00DE49EF">
        <w:rPr>
          <w:rFonts w:eastAsia="Times New Roman" w:cs="Arial"/>
          <w:snapToGrid w:val="0"/>
          <w:lang w:eastAsia="en-AU"/>
        </w:rPr>
        <w:t>The commentary suggest</w:t>
      </w:r>
      <w:r w:rsidR="2DF3B311" w:rsidRPr="00DE49EF">
        <w:rPr>
          <w:rFonts w:eastAsia="Times New Roman" w:cs="Arial"/>
          <w:lang w:eastAsia="en-AU"/>
        </w:rPr>
        <w:t>ed</w:t>
      </w:r>
      <w:r w:rsidR="189AEC40" w:rsidRPr="00DE49EF">
        <w:rPr>
          <w:rFonts w:eastAsia="Times New Roman" w:cs="Arial"/>
          <w:snapToGrid w:val="0"/>
          <w:lang w:eastAsia="en-AU"/>
        </w:rPr>
        <w:t xml:space="preserve"> </w:t>
      </w:r>
      <w:r w:rsidR="29F66829" w:rsidRPr="00DE49EF">
        <w:rPr>
          <w:rFonts w:eastAsia="Times New Roman" w:cs="Arial"/>
          <w:snapToGrid w:val="0"/>
          <w:lang w:eastAsia="en-AU"/>
        </w:rPr>
        <w:t>replicating</w:t>
      </w:r>
      <w:r w:rsidR="189AEC40" w:rsidRPr="00DE49EF">
        <w:rPr>
          <w:rFonts w:eastAsia="Times New Roman" w:cs="Arial"/>
          <w:snapToGrid w:val="0"/>
          <w:lang w:eastAsia="en-AU"/>
        </w:rPr>
        <w:t xml:space="preserve"> this </w:t>
      </w:r>
      <w:r w:rsidR="29F66829" w:rsidRPr="00DE49EF">
        <w:rPr>
          <w:rFonts w:eastAsia="Times New Roman" w:cs="Arial"/>
          <w:snapToGrid w:val="0"/>
          <w:lang w:eastAsia="en-AU"/>
        </w:rPr>
        <w:t>analysis</w:t>
      </w:r>
      <w:r w:rsidR="189AEC40" w:rsidRPr="00DE49EF">
        <w:rPr>
          <w:rFonts w:eastAsia="Times New Roman" w:cs="Arial"/>
          <w:snapToGrid w:val="0"/>
          <w:lang w:eastAsia="en-AU"/>
        </w:rPr>
        <w:t xml:space="preserve"> with patient-level </w:t>
      </w:r>
      <w:r w:rsidR="189AEC40" w:rsidRPr="00DE49EF">
        <w:rPr>
          <w:rFonts w:eastAsia="Times New Roman" w:cs="Arial"/>
          <w:snapToGrid w:val="0"/>
          <w:lang w:eastAsia="en-AU"/>
        </w:rPr>
        <w:lastRenderedPageBreak/>
        <w:t xml:space="preserve">data from the </w:t>
      </w:r>
      <w:r w:rsidR="46D34BD3" w:rsidRPr="00DE49EF">
        <w:rPr>
          <w:rFonts w:eastAsia="Times New Roman" w:cs="Arial"/>
          <w:snapToGrid w:val="0"/>
          <w:lang w:eastAsia="en-AU"/>
        </w:rPr>
        <w:t>EMERALD</w:t>
      </w:r>
      <w:r w:rsidR="189AEC40" w:rsidRPr="00DE49EF">
        <w:rPr>
          <w:rFonts w:eastAsia="Times New Roman" w:cs="Arial"/>
          <w:snapToGrid w:val="0"/>
          <w:lang w:eastAsia="en-AU"/>
        </w:rPr>
        <w:t xml:space="preserve"> trial. </w:t>
      </w:r>
      <w:r w:rsidR="2DF3B311" w:rsidRPr="003878F9">
        <w:t>The PSCR (p9) noted that the test for interaction from Bidard 2022, which utilised patient level data, gave a p-value for interaction of 0.053.</w:t>
      </w:r>
    </w:p>
    <w:p w14:paraId="3E70CACE" w14:textId="106CC4F0" w:rsidR="004E47F1" w:rsidRPr="00DE49EF" w:rsidRDefault="61F52CD8" w:rsidP="00DE49EF">
      <w:pPr>
        <w:spacing w:before="0" w:after="120"/>
        <w:rPr>
          <w:rFonts w:eastAsia="Calibri" w:cs="Calibri"/>
          <w:snapToGrid w:val="0"/>
        </w:rPr>
      </w:pPr>
      <w:r w:rsidRPr="00DE49EF">
        <w:rPr>
          <w:rFonts w:eastAsia="Times New Roman" w:cs="Arial"/>
          <w:snapToGrid w:val="0"/>
          <w:lang w:eastAsia="en-AU"/>
        </w:rPr>
        <w:t>The commentary considered the</w:t>
      </w:r>
      <w:r w:rsidR="22FFC7CF" w:rsidRPr="00DE49EF">
        <w:rPr>
          <w:rFonts w:eastAsia="Times New Roman" w:cs="Arial"/>
          <w:snapToGrid w:val="0"/>
          <w:lang w:eastAsia="en-AU"/>
        </w:rPr>
        <w:t xml:space="preserve"> evidence </w:t>
      </w:r>
      <w:r w:rsidR="0E9AEE65" w:rsidRPr="00DE49EF">
        <w:rPr>
          <w:rFonts w:eastAsia="Times New Roman" w:cs="Arial"/>
          <w:snapToGrid w:val="0"/>
          <w:lang w:eastAsia="en-AU"/>
        </w:rPr>
        <w:t xml:space="preserve">to demonstrate the predictive value of </w:t>
      </w:r>
      <w:r w:rsidR="0E9AEE65" w:rsidRPr="00DE49EF">
        <w:rPr>
          <w:rFonts w:eastAsia="Times New Roman" w:cs="Arial"/>
          <w:i/>
          <w:iCs/>
          <w:snapToGrid w:val="0"/>
          <w:lang w:eastAsia="en-AU"/>
        </w:rPr>
        <w:t>ESR1</w:t>
      </w:r>
      <w:r w:rsidR="654FE9BE" w:rsidRPr="00DE49EF">
        <w:rPr>
          <w:rFonts w:eastAsia="Times New Roman" w:cs="Arial"/>
          <w:i/>
          <w:iCs/>
          <w:snapToGrid w:val="0"/>
          <w:lang w:eastAsia="en-AU"/>
        </w:rPr>
        <w:t xml:space="preserve"> </w:t>
      </w:r>
      <w:r w:rsidR="654FE9BE" w:rsidRPr="00DE49EF">
        <w:rPr>
          <w:rFonts w:eastAsia="Times New Roman" w:cs="Arial"/>
          <w:snapToGrid w:val="0"/>
          <w:lang w:eastAsia="en-AU"/>
        </w:rPr>
        <w:t xml:space="preserve">biomarker for the treatment with </w:t>
      </w:r>
      <w:proofErr w:type="spellStart"/>
      <w:r w:rsidR="654FE9BE" w:rsidRPr="00DE49EF">
        <w:rPr>
          <w:rFonts w:eastAsia="Times New Roman" w:cs="Arial"/>
          <w:snapToGrid w:val="0"/>
          <w:lang w:eastAsia="en-AU"/>
        </w:rPr>
        <w:t>elacestrant</w:t>
      </w:r>
      <w:proofErr w:type="spellEnd"/>
      <w:r w:rsidR="654FE9BE" w:rsidRPr="00DE49EF">
        <w:rPr>
          <w:rFonts w:eastAsia="Times New Roman" w:cs="Arial"/>
          <w:snapToGrid w:val="0"/>
          <w:lang w:eastAsia="en-AU"/>
        </w:rPr>
        <w:t xml:space="preserve"> uncertain</w:t>
      </w:r>
      <w:r w:rsidR="6057E5AB" w:rsidRPr="00DE49EF">
        <w:rPr>
          <w:rFonts w:eastAsia="Times New Roman" w:cs="Arial"/>
          <w:snapToGrid w:val="0"/>
          <w:lang w:eastAsia="en-AU"/>
        </w:rPr>
        <w:t>.</w:t>
      </w:r>
      <w:r w:rsidR="6741A6AB" w:rsidRPr="00DE49EF">
        <w:rPr>
          <w:rFonts w:eastAsia="Times New Roman" w:cs="Arial"/>
          <w:lang w:eastAsia="en-AU"/>
        </w:rPr>
        <w:t xml:space="preserve"> </w:t>
      </w:r>
      <w:r w:rsidR="6741A6AB" w:rsidRPr="003878F9">
        <w:rPr>
          <w:rFonts w:eastAsiaTheme="minorEastAsia"/>
        </w:rPr>
        <w:t>The ESCs noted that no test for interaction reached statistical significance but noted that there appeared to be minimal benefit in the non-</w:t>
      </w:r>
      <w:r w:rsidR="6741A6AB" w:rsidRPr="00D33C58">
        <w:rPr>
          <w:rFonts w:eastAsiaTheme="minorEastAsia"/>
          <w:i/>
          <w:iCs/>
        </w:rPr>
        <w:t xml:space="preserve">ESR1 </w:t>
      </w:r>
      <w:r w:rsidR="6741A6AB" w:rsidRPr="003878F9">
        <w:rPr>
          <w:rFonts w:eastAsiaTheme="minorEastAsia"/>
        </w:rPr>
        <w:t xml:space="preserve">subgroup and the clinical rationale and mechanism of action for </w:t>
      </w:r>
      <w:proofErr w:type="spellStart"/>
      <w:r w:rsidR="6741A6AB" w:rsidRPr="003878F9">
        <w:rPr>
          <w:rFonts w:eastAsiaTheme="minorEastAsia"/>
        </w:rPr>
        <w:t>elacestrant</w:t>
      </w:r>
      <w:proofErr w:type="spellEnd"/>
      <w:r w:rsidR="6741A6AB" w:rsidRPr="003878F9">
        <w:rPr>
          <w:rFonts w:eastAsiaTheme="minorEastAsia"/>
        </w:rPr>
        <w:t xml:space="preserve"> supported the claim that </w:t>
      </w:r>
      <w:r w:rsidR="6741A6AB" w:rsidRPr="00D33C58">
        <w:rPr>
          <w:rFonts w:eastAsiaTheme="minorEastAsia"/>
          <w:i/>
          <w:iCs/>
        </w:rPr>
        <w:t xml:space="preserve">ESR1 </w:t>
      </w:r>
      <w:r w:rsidR="6741A6AB" w:rsidRPr="003878F9">
        <w:rPr>
          <w:rFonts w:eastAsiaTheme="minorEastAsia"/>
        </w:rPr>
        <w:t xml:space="preserve">is likely to be a predictive biomarker for treatment with </w:t>
      </w:r>
      <w:proofErr w:type="spellStart"/>
      <w:r w:rsidR="6741A6AB" w:rsidRPr="003878F9">
        <w:rPr>
          <w:rFonts w:eastAsiaTheme="minorEastAsia"/>
        </w:rPr>
        <w:t>elacestrant</w:t>
      </w:r>
      <w:proofErr w:type="spellEnd"/>
      <w:r w:rsidR="6741A6AB" w:rsidRPr="003878F9">
        <w:rPr>
          <w:rFonts w:eastAsiaTheme="minorEastAsia"/>
        </w:rPr>
        <w:t xml:space="preserve">. The ESCs considered the claim of </w:t>
      </w:r>
      <w:proofErr w:type="spellStart"/>
      <w:r w:rsidR="6741A6AB" w:rsidRPr="003878F9">
        <w:rPr>
          <w:rFonts w:eastAsiaTheme="minorEastAsia"/>
        </w:rPr>
        <w:t>codependence</w:t>
      </w:r>
      <w:proofErr w:type="spellEnd"/>
      <w:r w:rsidR="6741A6AB" w:rsidRPr="003878F9">
        <w:rPr>
          <w:rFonts w:eastAsiaTheme="minorEastAsia"/>
        </w:rPr>
        <w:t xml:space="preserve"> to be reasonable overall, but the extent of treatment effect variation to be uncertain.</w:t>
      </w:r>
    </w:p>
    <w:p w14:paraId="20A2F125" w14:textId="77777777" w:rsidR="00C905D6" w:rsidRPr="00DE49EF" w:rsidRDefault="00C905D6" w:rsidP="00DE49EF">
      <w:pPr>
        <w:pStyle w:val="MSACS2Heading2"/>
        <w:keepNext/>
        <w:keepLines/>
        <w:pageBreakBefore w:val="0"/>
        <w:rPr>
          <w:rFonts w:ascii="Franklin Gothic Book" w:hAnsi="Franklin Gothic Book"/>
          <w:snapToGrid w:val="0"/>
          <w:sz w:val="24"/>
          <w:szCs w:val="24"/>
          <w:lang w:eastAsia="en-AU"/>
        </w:rPr>
      </w:pPr>
      <w:r w:rsidRPr="00DE49EF">
        <w:rPr>
          <w:rFonts w:ascii="Franklin Gothic Book" w:hAnsi="Franklin Gothic Book"/>
          <w:snapToGrid w:val="0"/>
          <w:sz w:val="24"/>
          <w:szCs w:val="24"/>
          <w:lang w:eastAsia="en-AU"/>
        </w:rPr>
        <w:t>Change in management in practice</w:t>
      </w:r>
    </w:p>
    <w:p w14:paraId="2609E0C0" w14:textId="77777777" w:rsidR="00C905D6" w:rsidRPr="00DE49EF" w:rsidRDefault="00C905D6" w:rsidP="00DE49EF">
      <w:pPr>
        <w:rPr>
          <w:i/>
        </w:rPr>
      </w:pPr>
      <w:r w:rsidRPr="00DE49EF">
        <w:t xml:space="preserve">The EMERALD trial offered a rationale for change in management of patients based on their </w:t>
      </w:r>
      <w:r w:rsidRPr="00DE49EF">
        <w:rPr>
          <w:i/>
        </w:rPr>
        <w:t>ESR1</w:t>
      </w:r>
      <w:r w:rsidRPr="00DE49EF">
        <w:t xml:space="preserve"> status.</w:t>
      </w:r>
      <w:r w:rsidRPr="00DE49EF">
        <w:rPr>
          <w:i/>
        </w:rPr>
        <w:t xml:space="preserve"> </w:t>
      </w:r>
      <w:r w:rsidRPr="00DE49EF">
        <w:t xml:space="preserve">Studies of changes in management such as referrals, re-testing, prescribing rates or other clinical management decisions were not available, which was considered consistent with the lack of </w:t>
      </w:r>
      <w:r w:rsidRPr="00DE49EF">
        <w:rPr>
          <w:i/>
        </w:rPr>
        <w:t>ESR1</w:t>
      </w:r>
      <w:r w:rsidRPr="00DE49EF">
        <w:t xml:space="preserve"> testing in Australia.</w:t>
      </w:r>
    </w:p>
    <w:p w14:paraId="63FFE417" w14:textId="77777777" w:rsidR="00C905D6" w:rsidRPr="00DE49EF" w:rsidRDefault="00C905D6" w:rsidP="00DE49EF">
      <w:pPr>
        <w:pStyle w:val="MSACS2Heading2"/>
        <w:keepNext/>
        <w:keepLines/>
        <w:pageBreakBefore w:val="0"/>
        <w:rPr>
          <w:rFonts w:ascii="Franklin Gothic Book" w:hAnsi="Franklin Gothic Book"/>
          <w:snapToGrid w:val="0"/>
          <w:sz w:val="24"/>
          <w:szCs w:val="24"/>
          <w:lang w:eastAsia="en-AU"/>
        </w:rPr>
      </w:pPr>
      <w:r w:rsidRPr="00DE49EF">
        <w:rPr>
          <w:rFonts w:ascii="Franklin Gothic Book" w:hAnsi="Franklin Gothic Book"/>
          <w:snapToGrid w:val="0"/>
          <w:sz w:val="24"/>
          <w:szCs w:val="24"/>
          <w:lang w:eastAsia="en-AU"/>
        </w:rPr>
        <w:t>Linked evidence</w:t>
      </w:r>
    </w:p>
    <w:p w14:paraId="6ADE24FD" w14:textId="43F184D1" w:rsidR="00C905D6" w:rsidRPr="00DE49EF" w:rsidRDefault="00C905D6" w:rsidP="00DE49EF">
      <w:r w:rsidRPr="00DE49EF">
        <w:t xml:space="preserve">In the key clinical trial, EMERALD, </w:t>
      </w:r>
      <w:r w:rsidRPr="00DE49EF">
        <w:rPr>
          <w:i/>
          <w:iCs/>
        </w:rPr>
        <w:t>ESR1</w:t>
      </w:r>
      <w:r w:rsidRPr="00DE49EF">
        <w:t xml:space="preserve"> variant status was evaluated in ctDNA extracted from blood (liquid biopsy) using the Guardant360® </w:t>
      </w:r>
      <w:proofErr w:type="spellStart"/>
      <w:r w:rsidRPr="00DE49EF">
        <w:t>CDx</w:t>
      </w:r>
      <w:proofErr w:type="spellEnd"/>
      <w:r w:rsidRPr="00DE49EF">
        <w:t xml:space="preserve"> test. Therefore, this test is the clinical utility standard. The Guardant360® </w:t>
      </w:r>
      <w:proofErr w:type="spellStart"/>
      <w:r w:rsidRPr="00DE49EF">
        <w:t>CDx</w:t>
      </w:r>
      <w:proofErr w:type="spellEnd"/>
      <w:r w:rsidRPr="00DE49EF">
        <w:t xml:space="preserve"> test is not available in Australia. </w:t>
      </w:r>
    </w:p>
    <w:p w14:paraId="673DE78F" w14:textId="77777777" w:rsidR="00C905D6" w:rsidRPr="00DE49EF" w:rsidRDefault="00C905D6" w:rsidP="00DE49EF">
      <w:pPr>
        <w:pStyle w:val="MSACS2Heading2"/>
        <w:keepNext/>
        <w:keepLines/>
        <w:pageBreakBefore w:val="0"/>
        <w:rPr>
          <w:rFonts w:ascii="Franklin Gothic Book" w:hAnsi="Franklin Gothic Book"/>
          <w:snapToGrid w:val="0"/>
          <w:sz w:val="24"/>
          <w:szCs w:val="24"/>
          <w:lang w:eastAsia="en-AU"/>
        </w:rPr>
      </w:pPr>
      <w:r w:rsidRPr="00DE49EF">
        <w:rPr>
          <w:rFonts w:ascii="Franklin Gothic Book" w:hAnsi="Franklin Gothic Book"/>
          <w:snapToGrid w:val="0"/>
          <w:sz w:val="24"/>
          <w:szCs w:val="24"/>
          <w:lang w:eastAsia="en-AU"/>
        </w:rPr>
        <w:t>Precision (reliability) for detection of ESR1 variants</w:t>
      </w:r>
    </w:p>
    <w:p w14:paraId="4CE93749" w14:textId="644266A4" w:rsidR="00C905D6" w:rsidRPr="00DE49EF" w:rsidRDefault="00C905D6" w:rsidP="00DE49EF">
      <w:pPr>
        <w:rPr>
          <w:color w:val="231F20"/>
          <w:spacing w:val="-2"/>
        </w:rPr>
      </w:pPr>
      <w:r w:rsidRPr="00DE49EF">
        <w:t xml:space="preserve">The </w:t>
      </w:r>
      <w:r w:rsidRPr="00DE49EF">
        <w:rPr>
          <w:color w:val="231F20"/>
        </w:rPr>
        <w:t xml:space="preserve">Guardant360® </w:t>
      </w:r>
      <w:proofErr w:type="spellStart"/>
      <w:r w:rsidRPr="00DE49EF">
        <w:rPr>
          <w:color w:val="231F20"/>
        </w:rPr>
        <w:t>CDx</w:t>
      </w:r>
      <w:proofErr w:type="spellEnd"/>
      <w:r w:rsidRPr="00DE49EF">
        <w:rPr>
          <w:color w:val="231F20"/>
        </w:rPr>
        <w:t xml:space="preserve"> Technical Information for the United States contains details of precision and diagnostic accuracy for detection individual </w:t>
      </w:r>
      <w:r w:rsidRPr="00DE49EF">
        <w:rPr>
          <w:i/>
          <w:iCs/>
          <w:color w:val="231F20"/>
        </w:rPr>
        <w:t>ESR1</w:t>
      </w:r>
      <w:r w:rsidRPr="00DE49EF">
        <w:rPr>
          <w:color w:val="231F20"/>
        </w:rPr>
        <w:t xml:space="preserve"> variants (Guardant Health, Inc., 2023). </w:t>
      </w:r>
    </w:p>
    <w:p w14:paraId="29FAB94C" w14:textId="7083E332" w:rsidR="00CF4F99" w:rsidRPr="00DE49EF" w:rsidRDefault="00C905D6" w:rsidP="00DE49EF">
      <w:pPr>
        <w:rPr>
          <w:rFonts w:cstheme="minorHAnsi"/>
        </w:rPr>
      </w:pPr>
      <w:r w:rsidRPr="00DE49EF">
        <w:rPr>
          <w:rFonts w:cstheme="minorHAnsi"/>
        </w:rPr>
        <w:t xml:space="preserve">Precision (reliability) for detection of </w:t>
      </w:r>
      <w:r w:rsidRPr="00DE49EF">
        <w:rPr>
          <w:rFonts w:cstheme="minorHAnsi"/>
          <w:i/>
          <w:iCs/>
        </w:rPr>
        <w:t>ESR1</w:t>
      </w:r>
      <w:r w:rsidRPr="00DE49EF">
        <w:rPr>
          <w:rFonts w:cstheme="minorHAnsi"/>
        </w:rPr>
        <w:t xml:space="preserve"> variants was analysed for </w:t>
      </w:r>
      <w:r w:rsidRPr="00DE49EF">
        <w:rPr>
          <w:rFonts w:cstheme="minorHAnsi"/>
          <w:i/>
          <w:iCs/>
        </w:rPr>
        <w:t>ESR1 H356D, E380Q, G442A, S463P, Y537S</w:t>
      </w:r>
      <w:r w:rsidRPr="00DE49EF">
        <w:rPr>
          <w:rFonts w:cstheme="minorHAnsi"/>
        </w:rPr>
        <w:t xml:space="preserve">, and </w:t>
      </w:r>
      <w:r w:rsidRPr="00DE49EF">
        <w:rPr>
          <w:rFonts w:cstheme="minorHAnsi"/>
          <w:i/>
          <w:iCs/>
        </w:rPr>
        <w:t xml:space="preserve">D538G </w:t>
      </w:r>
      <w:r w:rsidRPr="00DE49EF">
        <w:rPr>
          <w:rFonts w:cstheme="minorHAnsi"/>
        </w:rPr>
        <w:t>variants</w:t>
      </w:r>
      <w:r w:rsidRPr="00DE49EF">
        <w:rPr>
          <w:rFonts w:cstheme="minorHAnsi"/>
          <w:vertAlign w:val="superscript"/>
        </w:rPr>
        <w:footnoteReference w:id="19"/>
      </w:r>
      <w:r w:rsidRPr="00DE49EF">
        <w:rPr>
          <w:rFonts w:cstheme="minorHAnsi"/>
        </w:rPr>
        <w:t xml:space="preserve"> at 5 ng </w:t>
      </w:r>
      <w:r w:rsidR="003A16C1" w:rsidRPr="00DE49EF">
        <w:rPr>
          <w:rFonts w:cstheme="minorHAnsi"/>
        </w:rPr>
        <w:t>cell free DNA (</w:t>
      </w:r>
      <w:r w:rsidRPr="00DE49EF">
        <w:rPr>
          <w:rFonts w:cstheme="minorHAnsi"/>
        </w:rPr>
        <w:t>cfDNA</w:t>
      </w:r>
      <w:r w:rsidR="003A16C1" w:rsidRPr="00DE49EF">
        <w:rPr>
          <w:rFonts w:cstheme="minorHAnsi"/>
        </w:rPr>
        <w:t>)</w:t>
      </w:r>
      <w:r w:rsidRPr="00DE49EF">
        <w:rPr>
          <w:rFonts w:cstheme="minorHAnsi"/>
        </w:rPr>
        <w:t xml:space="preserve"> input using breast cancer patient samples (</w:t>
      </w:r>
      <w:r w:rsidR="00577616" w:rsidRPr="00DE49EF">
        <w:rPr>
          <w:rFonts w:cstheme="minorHAnsi"/>
        </w:rPr>
        <w:fldChar w:fldCharType="begin"/>
      </w:r>
      <w:r w:rsidR="00577616" w:rsidRPr="00DE49EF">
        <w:rPr>
          <w:rFonts w:cstheme="minorHAnsi"/>
        </w:rPr>
        <w:instrText xml:space="preserve"> REF _Ref188371468 \h </w:instrText>
      </w:r>
      <w:r w:rsidR="00DE49EF" w:rsidRPr="00DE49EF">
        <w:rPr>
          <w:rFonts w:cstheme="minorHAnsi"/>
        </w:rPr>
        <w:instrText xml:space="preserve"> \* MERGEFORMAT </w:instrText>
      </w:r>
      <w:r w:rsidR="00577616" w:rsidRPr="00DE49EF">
        <w:rPr>
          <w:rFonts w:cstheme="minorHAnsi"/>
        </w:rPr>
      </w:r>
      <w:r w:rsidR="00577616" w:rsidRPr="00DE49EF">
        <w:rPr>
          <w:rFonts w:cstheme="minorHAnsi"/>
        </w:rPr>
        <w:fldChar w:fldCharType="separate"/>
      </w:r>
      <w:r w:rsidR="006D7BC5" w:rsidRPr="006D7BC5">
        <w:t>Table 9</w:t>
      </w:r>
      <w:r w:rsidR="00577616" w:rsidRPr="00DE49EF">
        <w:rPr>
          <w:rFonts w:cstheme="minorHAnsi"/>
        </w:rPr>
        <w:fldChar w:fldCharType="end"/>
      </w:r>
      <w:r w:rsidRPr="00DE49EF" w:rsidDel="00AF1D1E">
        <w:rPr>
          <w:rFonts w:cstheme="minorHAnsi"/>
        </w:rPr>
        <w:t>).</w:t>
      </w:r>
      <w:r w:rsidRPr="00DE49EF">
        <w:rPr>
          <w:rFonts w:cstheme="minorHAnsi"/>
        </w:rPr>
        <w:t xml:space="preserve"> </w:t>
      </w:r>
    </w:p>
    <w:p w14:paraId="12A360EB" w14:textId="79C79162" w:rsidR="00C905D6" w:rsidRPr="000A7BB0" w:rsidRDefault="007D1545" w:rsidP="00FA75FE">
      <w:pPr>
        <w:pStyle w:val="Caption"/>
      </w:pPr>
      <w:bookmarkStart w:id="53" w:name="_Ref188371468"/>
      <w:r w:rsidRPr="000A7BB0">
        <w:t xml:space="preserve">Table </w:t>
      </w:r>
      <w:r w:rsidRPr="000A7BB0">
        <w:fldChar w:fldCharType="begin"/>
      </w:r>
      <w:r w:rsidRPr="000A7BB0">
        <w:instrText>SEQ Table_MSAC. \* ARABIC</w:instrText>
      </w:r>
      <w:r w:rsidRPr="000A7BB0">
        <w:fldChar w:fldCharType="separate"/>
      </w:r>
      <w:r w:rsidRPr="000A7BB0">
        <w:t>9</w:t>
      </w:r>
      <w:r w:rsidRPr="000A7BB0">
        <w:fldChar w:fldCharType="end"/>
      </w:r>
      <w:bookmarkEnd w:id="53"/>
      <w:r w:rsidRPr="000A7BB0">
        <w:t>: Summary of Guardant 360 precision results for detection of ESR1 variants</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554"/>
        <w:gridCol w:w="1560"/>
        <w:gridCol w:w="1843"/>
        <w:gridCol w:w="1984"/>
        <w:gridCol w:w="2075"/>
      </w:tblGrid>
      <w:tr w:rsidR="00C905D6" w:rsidRPr="000A7BB0" w14:paraId="401AD51D" w14:textId="77777777" w:rsidTr="00470B01">
        <w:tc>
          <w:tcPr>
            <w:tcW w:w="862" w:type="pct"/>
            <w:tcMar>
              <w:left w:w="108" w:type="dxa"/>
              <w:right w:w="108" w:type="dxa"/>
            </w:tcMar>
          </w:tcPr>
          <w:p w14:paraId="20C9D5B7" w14:textId="281DD5A4" w:rsidR="00C905D6" w:rsidRPr="005740CD" w:rsidRDefault="00C905D6" w:rsidP="74877A7E">
            <w:pPr>
              <w:widowControl w:val="0"/>
              <w:spacing w:before="0" w:after="0"/>
              <w:rPr>
                <w:rFonts w:ascii="Arial Narrow" w:hAnsi="Arial Narrow"/>
                <w:b/>
                <w:bCs/>
                <w:sz w:val="20"/>
                <w:szCs w:val="20"/>
              </w:rPr>
            </w:pPr>
            <w:r w:rsidRPr="005740CD">
              <w:rPr>
                <w:rFonts w:ascii="Arial Narrow" w:hAnsi="Arial Narrow"/>
                <w:b/>
                <w:bCs/>
                <w:i/>
                <w:iCs/>
                <w:sz w:val="20"/>
                <w:szCs w:val="20"/>
              </w:rPr>
              <w:t>ESR1</w:t>
            </w:r>
            <w:r w:rsidRPr="005740CD">
              <w:rPr>
                <w:rFonts w:ascii="Arial Narrow" w:hAnsi="Arial Narrow"/>
                <w:b/>
                <w:bCs/>
                <w:sz w:val="20"/>
                <w:szCs w:val="20"/>
              </w:rPr>
              <w:t xml:space="preserve"> Missense </w:t>
            </w:r>
            <w:proofErr w:type="spellStart"/>
            <w:r w:rsidRPr="005740CD">
              <w:rPr>
                <w:rFonts w:ascii="Arial Narrow" w:hAnsi="Arial Narrow"/>
                <w:b/>
                <w:bCs/>
                <w:sz w:val="20"/>
                <w:szCs w:val="20"/>
              </w:rPr>
              <w:t>variants</w:t>
            </w:r>
            <w:r w:rsidRPr="005740CD">
              <w:rPr>
                <w:rFonts w:ascii="Arial Narrow" w:hAnsi="Arial Narrow"/>
                <w:b/>
                <w:bCs/>
                <w:sz w:val="20"/>
                <w:szCs w:val="20"/>
                <w:vertAlign w:val="superscript"/>
              </w:rPr>
              <w:t>a</w:t>
            </w:r>
            <w:proofErr w:type="spellEnd"/>
          </w:p>
        </w:tc>
        <w:tc>
          <w:tcPr>
            <w:tcW w:w="865" w:type="pct"/>
            <w:tcMar>
              <w:left w:w="108" w:type="dxa"/>
              <w:right w:w="108" w:type="dxa"/>
            </w:tcMar>
            <w:vAlign w:val="center"/>
          </w:tcPr>
          <w:p w14:paraId="7A1885C0" w14:textId="77777777" w:rsidR="00C905D6" w:rsidRPr="005740CD" w:rsidRDefault="00C905D6" w:rsidP="008D4239">
            <w:pPr>
              <w:widowControl w:val="0"/>
              <w:spacing w:before="0" w:after="0"/>
              <w:jc w:val="center"/>
              <w:rPr>
                <w:rFonts w:ascii="Arial Narrow" w:hAnsi="Arial Narrow"/>
                <w:b/>
                <w:bCs/>
                <w:sz w:val="20"/>
              </w:rPr>
            </w:pPr>
            <w:r w:rsidRPr="005740CD">
              <w:rPr>
                <w:rFonts w:ascii="Arial Narrow" w:hAnsi="Arial Narrow"/>
                <w:b/>
                <w:sz w:val="20"/>
              </w:rPr>
              <w:t>Observed MAF%</w:t>
            </w:r>
          </w:p>
        </w:tc>
        <w:tc>
          <w:tcPr>
            <w:tcW w:w="1022" w:type="pct"/>
            <w:tcMar>
              <w:left w:w="108" w:type="dxa"/>
              <w:right w:w="108" w:type="dxa"/>
            </w:tcMar>
            <w:vAlign w:val="center"/>
          </w:tcPr>
          <w:p w14:paraId="19D00067" w14:textId="5D6BB111" w:rsidR="00C905D6" w:rsidRPr="005740CD" w:rsidRDefault="00C905D6" w:rsidP="74877A7E">
            <w:pPr>
              <w:widowControl w:val="0"/>
              <w:spacing w:before="0" w:after="0"/>
              <w:jc w:val="center"/>
              <w:rPr>
                <w:rFonts w:ascii="Arial Narrow" w:hAnsi="Arial Narrow"/>
                <w:b/>
                <w:bCs/>
                <w:sz w:val="20"/>
                <w:szCs w:val="20"/>
              </w:rPr>
            </w:pPr>
            <w:r w:rsidRPr="005740CD">
              <w:rPr>
                <w:rFonts w:ascii="Arial Narrow" w:hAnsi="Arial Narrow"/>
                <w:b/>
                <w:bCs/>
                <w:sz w:val="20"/>
                <w:szCs w:val="20"/>
              </w:rPr>
              <w:t xml:space="preserve">Relative </w:t>
            </w:r>
            <w:proofErr w:type="spellStart"/>
            <w:r w:rsidRPr="005740CD">
              <w:rPr>
                <w:rFonts w:ascii="Arial Narrow" w:hAnsi="Arial Narrow"/>
                <w:b/>
                <w:bCs/>
                <w:sz w:val="20"/>
                <w:szCs w:val="20"/>
              </w:rPr>
              <w:t>LoD</w:t>
            </w:r>
            <w:proofErr w:type="spellEnd"/>
            <w:r w:rsidRPr="005740CD">
              <w:rPr>
                <w:rFonts w:ascii="Arial Narrow" w:hAnsi="Arial Narrow"/>
                <w:b/>
                <w:bCs/>
                <w:sz w:val="20"/>
                <w:szCs w:val="20"/>
              </w:rPr>
              <w:t xml:space="preserve"> </w:t>
            </w:r>
            <w:proofErr w:type="spellStart"/>
            <w:r w:rsidRPr="005740CD">
              <w:rPr>
                <w:rFonts w:ascii="Arial Narrow" w:hAnsi="Arial Narrow"/>
                <w:b/>
                <w:bCs/>
                <w:sz w:val="20"/>
                <w:szCs w:val="20"/>
              </w:rPr>
              <w:t>Level</w:t>
            </w:r>
            <w:r w:rsidRPr="005740CD">
              <w:rPr>
                <w:rFonts w:ascii="Arial Narrow" w:hAnsi="Arial Narrow"/>
                <w:b/>
                <w:bCs/>
                <w:sz w:val="20"/>
                <w:szCs w:val="20"/>
                <w:vertAlign w:val="superscript"/>
              </w:rPr>
              <w:t>b</w:t>
            </w:r>
            <w:proofErr w:type="spellEnd"/>
          </w:p>
        </w:tc>
        <w:tc>
          <w:tcPr>
            <w:tcW w:w="1100" w:type="pct"/>
            <w:tcMar>
              <w:left w:w="108" w:type="dxa"/>
              <w:right w:w="108" w:type="dxa"/>
            </w:tcMar>
            <w:vAlign w:val="center"/>
          </w:tcPr>
          <w:p w14:paraId="5BAC2763" w14:textId="77777777" w:rsidR="00C905D6" w:rsidRPr="005740CD" w:rsidRDefault="00C905D6" w:rsidP="008D4239">
            <w:pPr>
              <w:widowControl w:val="0"/>
              <w:spacing w:before="0" w:after="0"/>
              <w:jc w:val="center"/>
              <w:rPr>
                <w:rFonts w:ascii="Arial Narrow" w:hAnsi="Arial Narrow"/>
                <w:b/>
                <w:bCs/>
                <w:sz w:val="20"/>
              </w:rPr>
            </w:pPr>
            <w:r w:rsidRPr="005740CD">
              <w:rPr>
                <w:rFonts w:ascii="Arial Narrow" w:hAnsi="Arial Narrow"/>
                <w:b/>
                <w:sz w:val="20"/>
              </w:rPr>
              <w:t>Number Positive/ Number Expected</w:t>
            </w:r>
          </w:p>
        </w:tc>
        <w:tc>
          <w:tcPr>
            <w:tcW w:w="1151" w:type="pct"/>
            <w:tcMar>
              <w:left w:w="108" w:type="dxa"/>
              <w:right w:w="108" w:type="dxa"/>
            </w:tcMar>
            <w:vAlign w:val="center"/>
          </w:tcPr>
          <w:p w14:paraId="766FF51A" w14:textId="77777777" w:rsidR="00C905D6" w:rsidRPr="005740CD" w:rsidRDefault="00C905D6" w:rsidP="008D4239">
            <w:pPr>
              <w:widowControl w:val="0"/>
              <w:spacing w:before="0" w:after="0"/>
              <w:jc w:val="center"/>
              <w:rPr>
                <w:rFonts w:ascii="Arial Narrow" w:hAnsi="Arial Narrow"/>
                <w:b/>
                <w:bCs/>
                <w:sz w:val="20"/>
              </w:rPr>
            </w:pPr>
            <w:r w:rsidRPr="005740CD">
              <w:rPr>
                <w:rFonts w:ascii="Arial Narrow" w:hAnsi="Arial Narrow"/>
                <w:b/>
                <w:sz w:val="20"/>
              </w:rPr>
              <w:t>PPA (95% CI)</w:t>
            </w:r>
          </w:p>
        </w:tc>
      </w:tr>
      <w:tr w:rsidR="00C905D6" w:rsidRPr="000A7BB0" w14:paraId="2D870D4C" w14:textId="77777777" w:rsidTr="00470B01">
        <w:tc>
          <w:tcPr>
            <w:tcW w:w="862" w:type="pct"/>
            <w:tcMar>
              <w:left w:w="108" w:type="dxa"/>
              <w:right w:w="108" w:type="dxa"/>
            </w:tcMar>
          </w:tcPr>
          <w:p w14:paraId="606E9E50" w14:textId="77777777" w:rsidR="00C905D6" w:rsidRPr="005740CD" w:rsidRDefault="00C905D6" w:rsidP="00C905D6">
            <w:pPr>
              <w:widowControl w:val="0"/>
              <w:spacing w:before="0" w:after="0"/>
              <w:rPr>
                <w:rFonts w:ascii="Arial Narrow" w:hAnsi="Arial Narrow"/>
                <w:sz w:val="20"/>
              </w:rPr>
            </w:pPr>
            <w:r w:rsidRPr="005740CD">
              <w:rPr>
                <w:rFonts w:ascii="Arial Narrow" w:hAnsi="Arial Narrow"/>
                <w:sz w:val="20"/>
              </w:rPr>
              <w:t>E380Q</w:t>
            </w:r>
          </w:p>
        </w:tc>
        <w:tc>
          <w:tcPr>
            <w:tcW w:w="865" w:type="pct"/>
            <w:tcMar>
              <w:left w:w="108" w:type="dxa"/>
              <w:right w:w="108" w:type="dxa"/>
            </w:tcMar>
          </w:tcPr>
          <w:p w14:paraId="0EBC48AB"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1.0</w:t>
            </w:r>
          </w:p>
        </w:tc>
        <w:tc>
          <w:tcPr>
            <w:tcW w:w="1022" w:type="pct"/>
            <w:tcMar>
              <w:left w:w="108" w:type="dxa"/>
              <w:right w:w="108" w:type="dxa"/>
            </w:tcMar>
          </w:tcPr>
          <w:p w14:paraId="683C8749"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1.0x</w:t>
            </w:r>
          </w:p>
        </w:tc>
        <w:tc>
          <w:tcPr>
            <w:tcW w:w="1100" w:type="pct"/>
            <w:tcMar>
              <w:left w:w="108" w:type="dxa"/>
              <w:right w:w="108" w:type="dxa"/>
            </w:tcMar>
          </w:tcPr>
          <w:p w14:paraId="751EDA13"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24/24</w:t>
            </w:r>
          </w:p>
        </w:tc>
        <w:tc>
          <w:tcPr>
            <w:tcW w:w="1151" w:type="pct"/>
            <w:tcMar>
              <w:left w:w="108" w:type="dxa"/>
              <w:right w:w="108" w:type="dxa"/>
            </w:tcMar>
          </w:tcPr>
          <w:p w14:paraId="3BA113F2"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100% (85.8, 100)</w:t>
            </w:r>
          </w:p>
        </w:tc>
      </w:tr>
      <w:tr w:rsidR="00C905D6" w:rsidRPr="000A7BB0" w14:paraId="6561E0B3" w14:textId="77777777" w:rsidTr="00470B01">
        <w:tc>
          <w:tcPr>
            <w:tcW w:w="862" w:type="pct"/>
            <w:tcMar>
              <w:left w:w="108" w:type="dxa"/>
              <w:right w:w="108" w:type="dxa"/>
            </w:tcMar>
          </w:tcPr>
          <w:p w14:paraId="3115E30B" w14:textId="77777777" w:rsidR="00C905D6" w:rsidRPr="005740CD" w:rsidRDefault="00C905D6" w:rsidP="00C905D6">
            <w:pPr>
              <w:widowControl w:val="0"/>
              <w:spacing w:before="0" w:after="0"/>
              <w:rPr>
                <w:rFonts w:ascii="Arial Narrow" w:hAnsi="Arial Narrow"/>
                <w:sz w:val="20"/>
              </w:rPr>
            </w:pPr>
            <w:r w:rsidRPr="005740CD">
              <w:rPr>
                <w:rFonts w:ascii="Arial Narrow" w:hAnsi="Arial Narrow"/>
                <w:sz w:val="20"/>
              </w:rPr>
              <w:t>Y537S</w:t>
            </w:r>
          </w:p>
        </w:tc>
        <w:tc>
          <w:tcPr>
            <w:tcW w:w="865" w:type="pct"/>
            <w:tcMar>
              <w:left w:w="108" w:type="dxa"/>
              <w:right w:w="108" w:type="dxa"/>
            </w:tcMar>
          </w:tcPr>
          <w:p w14:paraId="2FB3ECF2"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1.0</w:t>
            </w:r>
          </w:p>
        </w:tc>
        <w:tc>
          <w:tcPr>
            <w:tcW w:w="1022" w:type="pct"/>
            <w:tcMar>
              <w:left w:w="108" w:type="dxa"/>
              <w:right w:w="108" w:type="dxa"/>
            </w:tcMar>
          </w:tcPr>
          <w:p w14:paraId="2495D27D"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1.0x</w:t>
            </w:r>
          </w:p>
        </w:tc>
        <w:tc>
          <w:tcPr>
            <w:tcW w:w="1100" w:type="pct"/>
            <w:tcMar>
              <w:left w:w="108" w:type="dxa"/>
              <w:right w:w="108" w:type="dxa"/>
            </w:tcMar>
          </w:tcPr>
          <w:p w14:paraId="22B8BF55"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23/24</w:t>
            </w:r>
          </w:p>
        </w:tc>
        <w:tc>
          <w:tcPr>
            <w:tcW w:w="1151" w:type="pct"/>
            <w:tcMar>
              <w:left w:w="108" w:type="dxa"/>
              <w:right w:w="108" w:type="dxa"/>
            </w:tcMar>
          </w:tcPr>
          <w:p w14:paraId="2490E304"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95.8% (78.9, 99.9)</w:t>
            </w:r>
          </w:p>
        </w:tc>
      </w:tr>
      <w:tr w:rsidR="00C905D6" w:rsidRPr="000A7BB0" w14:paraId="16A31614" w14:textId="77777777" w:rsidTr="00470B01">
        <w:tc>
          <w:tcPr>
            <w:tcW w:w="862" w:type="pct"/>
            <w:tcMar>
              <w:left w:w="108" w:type="dxa"/>
              <w:right w:w="108" w:type="dxa"/>
            </w:tcMar>
          </w:tcPr>
          <w:p w14:paraId="76F62178" w14:textId="77777777" w:rsidR="00C905D6" w:rsidRPr="005740CD" w:rsidRDefault="00C905D6" w:rsidP="00C905D6">
            <w:pPr>
              <w:widowControl w:val="0"/>
              <w:spacing w:before="0" w:after="0"/>
              <w:rPr>
                <w:rFonts w:ascii="Arial Narrow" w:hAnsi="Arial Narrow"/>
                <w:sz w:val="20"/>
              </w:rPr>
            </w:pPr>
            <w:r w:rsidRPr="005740CD">
              <w:rPr>
                <w:rFonts w:ascii="Arial Narrow" w:hAnsi="Arial Narrow"/>
                <w:sz w:val="20"/>
              </w:rPr>
              <w:t>D538G</w:t>
            </w:r>
          </w:p>
        </w:tc>
        <w:tc>
          <w:tcPr>
            <w:tcW w:w="865" w:type="pct"/>
            <w:tcMar>
              <w:left w:w="108" w:type="dxa"/>
              <w:right w:w="108" w:type="dxa"/>
            </w:tcMar>
          </w:tcPr>
          <w:p w14:paraId="5B6EEEC1"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1.1</w:t>
            </w:r>
          </w:p>
        </w:tc>
        <w:tc>
          <w:tcPr>
            <w:tcW w:w="1022" w:type="pct"/>
            <w:tcMar>
              <w:left w:w="108" w:type="dxa"/>
              <w:right w:w="108" w:type="dxa"/>
            </w:tcMar>
          </w:tcPr>
          <w:p w14:paraId="49CA4D2F"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1.0x</w:t>
            </w:r>
          </w:p>
        </w:tc>
        <w:tc>
          <w:tcPr>
            <w:tcW w:w="1100" w:type="pct"/>
            <w:tcMar>
              <w:left w:w="108" w:type="dxa"/>
              <w:right w:w="108" w:type="dxa"/>
            </w:tcMar>
          </w:tcPr>
          <w:p w14:paraId="70FFF391"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23/24</w:t>
            </w:r>
          </w:p>
        </w:tc>
        <w:tc>
          <w:tcPr>
            <w:tcW w:w="1151" w:type="pct"/>
            <w:tcMar>
              <w:left w:w="108" w:type="dxa"/>
              <w:right w:w="108" w:type="dxa"/>
            </w:tcMar>
          </w:tcPr>
          <w:p w14:paraId="262FE64E"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95.8% (78.9, 99.9)</w:t>
            </w:r>
          </w:p>
        </w:tc>
      </w:tr>
      <w:tr w:rsidR="00C905D6" w:rsidRPr="000A7BB0" w14:paraId="5A80F050" w14:textId="77777777" w:rsidTr="00470B01">
        <w:tc>
          <w:tcPr>
            <w:tcW w:w="862" w:type="pct"/>
            <w:tcMar>
              <w:left w:w="108" w:type="dxa"/>
              <w:right w:w="108" w:type="dxa"/>
            </w:tcMar>
          </w:tcPr>
          <w:p w14:paraId="0992CBA5" w14:textId="77777777" w:rsidR="00C905D6" w:rsidRPr="005740CD" w:rsidRDefault="00C905D6" w:rsidP="00C905D6">
            <w:pPr>
              <w:widowControl w:val="0"/>
              <w:spacing w:before="0" w:after="0"/>
              <w:rPr>
                <w:rFonts w:ascii="Arial Narrow" w:hAnsi="Arial Narrow"/>
                <w:sz w:val="20"/>
              </w:rPr>
            </w:pPr>
            <w:r w:rsidRPr="005740CD">
              <w:rPr>
                <w:rFonts w:ascii="Arial Narrow" w:hAnsi="Arial Narrow"/>
                <w:sz w:val="20"/>
              </w:rPr>
              <w:t>H356D</w:t>
            </w:r>
          </w:p>
        </w:tc>
        <w:tc>
          <w:tcPr>
            <w:tcW w:w="865" w:type="pct"/>
            <w:tcMar>
              <w:left w:w="108" w:type="dxa"/>
              <w:right w:w="108" w:type="dxa"/>
            </w:tcMar>
          </w:tcPr>
          <w:p w14:paraId="5F9B2C44"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2.1</w:t>
            </w:r>
            <w:r w:rsidRPr="005740CD">
              <w:rPr>
                <w:rFonts w:ascii="Arial Narrow" w:hAnsi="Arial Narrow"/>
                <w:sz w:val="20"/>
                <w:vertAlign w:val="superscript"/>
              </w:rPr>
              <w:t>c</w:t>
            </w:r>
          </w:p>
        </w:tc>
        <w:tc>
          <w:tcPr>
            <w:tcW w:w="1022" w:type="pct"/>
            <w:tcMar>
              <w:left w:w="108" w:type="dxa"/>
              <w:right w:w="108" w:type="dxa"/>
            </w:tcMar>
          </w:tcPr>
          <w:p w14:paraId="5EFE16CD"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2.0x</w:t>
            </w:r>
          </w:p>
        </w:tc>
        <w:tc>
          <w:tcPr>
            <w:tcW w:w="1100" w:type="pct"/>
            <w:tcMar>
              <w:left w:w="108" w:type="dxa"/>
              <w:right w:w="108" w:type="dxa"/>
            </w:tcMar>
          </w:tcPr>
          <w:p w14:paraId="54BD981A"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20/24</w:t>
            </w:r>
          </w:p>
        </w:tc>
        <w:tc>
          <w:tcPr>
            <w:tcW w:w="1151" w:type="pct"/>
            <w:tcMar>
              <w:left w:w="108" w:type="dxa"/>
              <w:right w:w="108" w:type="dxa"/>
            </w:tcMar>
          </w:tcPr>
          <w:p w14:paraId="0881114A"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83.3% (62.6, 95.3)</w:t>
            </w:r>
          </w:p>
        </w:tc>
      </w:tr>
      <w:tr w:rsidR="00C905D6" w:rsidRPr="000A7BB0" w14:paraId="4920357E" w14:textId="77777777" w:rsidTr="00470B01">
        <w:tc>
          <w:tcPr>
            <w:tcW w:w="862" w:type="pct"/>
            <w:tcMar>
              <w:left w:w="108" w:type="dxa"/>
              <w:right w:w="108" w:type="dxa"/>
            </w:tcMar>
          </w:tcPr>
          <w:p w14:paraId="1F902241" w14:textId="77777777" w:rsidR="00C905D6" w:rsidRPr="005740CD" w:rsidRDefault="00C905D6" w:rsidP="00C905D6">
            <w:pPr>
              <w:widowControl w:val="0"/>
              <w:spacing w:before="0" w:after="0"/>
              <w:rPr>
                <w:rFonts w:ascii="Arial Narrow" w:hAnsi="Arial Narrow"/>
                <w:sz w:val="20"/>
              </w:rPr>
            </w:pPr>
            <w:r w:rsidRPr="005740CD">
              <w:rPr>
                <w:rFonts w:ascii="Arial Narrow" w:hAnsi="Arial Narrow"/>
                <w:sz w:val="20"/>
              </w:rPr>
              <w:t>H356D</w:t>
            </w:r>
          </w:p>
        </w:tc>
        <w:tc>
          <w:tcPr>
            <w:tcW w:w="865" w:type="pct"/>
            <w:tcMar>
              <w:left w:w="108" w:type="dxa"/>
              <w:right w:w="108" w:type="dxa"/>
            </w:tcMar>
          </w:tcPr>
          <w:p w14:paraId="777ECE62"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3.1</w:t>
            </w:r>
            <w:r w:rsidRPr="005740CD">
              <w:rPr>
                <w:rFonts w:ascii="Arial Narrow" w:hAnsi="Arial Narrow"/>
                <w:sz w:val="20"/>
                <w:vertAlign w:val="superscript"/>
              </w:rPr>
              <w:t>c</w:t>
            </w:r>
          </w:p>
        </w:tc>
        <w:tc>
          <w:tcPr>
            <w:tcW w:w="1022" w:type="pct"/>
            <w:tcMar>
              <w:left w:w="108" w:type="dxa"/>
              <w:right w:w="108" w:type="dxa"/>
            </w:tcMar>
          </w:tcPr>
          <w:p w14:paraId="56C07D56"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2.9x</w:t>
            </w:r>
          </w:p>
        </w:tc>
        <w:tc>
          <w:tcPr>
            <w:tcW w:w="1100" w:type="pct"/>
            <w:tcMar>
              <w:left w:w="108" w:type="dxa"/>
              <w:right w:w="108" w:type="dxa"/>
            </w:tcMar>
          </w:tcPr>
          <w:p w14:paraId="31953046"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22/24</w:t>
            </w:r>
          </w:p>
        </w:tc>
        <w:tc>
          <w:tcPr>
            <w:tcW w:w="1151" w:type="pct"/>
            <w:tcMar>
              <w:left w:w="108" w:type="dxa"/>
              <w:right w:w="108" w:type="dxa"/>
            </w:tcMar>
          </w:tcPr>
          <w:p w14:paraId="4369B3B6"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91.7% (73.0, 99.0)</w:t>
            </w:r>
          </w:p>
        </w:tc>
      </w:tr>
      <w:tr w:rsidR="00C905D6" w:rsidRPr="000A7BB0" w14:paraId="31F29415" w14:textId="77777777" w:rsidTr="00470B01">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3B0FD95" w14:textId="77777777" w:rsidR="00C905D6" w:rsidRPr="005740CD" w:rsidRDefault="00C905D6" w:rsidP="00C905D6">
            <w:pPr>
              <w:widowControl w:val="0"/>
              <w:spacing w:before="0" w:after="0"/>
              <w:rPr>
                <w:rFonts w:ascii="Arial Narrow" w:hAnsi="Arial Narrow"/>
                <w:sz w:val="20"/>
              </w:rPr>
            </w:pPr>
            <w:r w:rsidRPr="005740CD">
              <w:rPr>
                <w:rFonts w:ascii="Arial Narrow" w:hAnsi="Arial Narrow"/>
                <w:sz w:val="20"/>
              </w:rPr>
              <w:t>G442A</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7FD4306"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2.3</w:t>
            </w:r>
          </w:p>
        </w:tc>
        <w:tc>
          <w:tcPr>
            <w:tcW w:w="10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A012DCB"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2.1x</w:t>
            </w:r>
          </w:p>
        </w:tc>
        <w:tc>
          <w:tcPr>
            <w:tcW w:w="11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A46C52D"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24/24</w:t>
            </w:r>
          </w:p>
        </w:tc>
        <w:tc>
          <w:tcPr>
            <w:tcW w:w="1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8070FB6"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100% (85.8, 100)</w:t>
            </w:r>
          </w:p>
        </w:tc>
      </w:tr>
      <w:tr w:rsidR="00C905D6" w:rsidRPr="000A7BB0" w14:paraId="6F6AB47C" w14:textId="77777777" w:rsidTr="00470B01">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227B0BC" w14:textId="77777777" w:rsidR="00C905D6" w:rsidRPr="005740CD" w:rsidRDefault="00C905D6" w:rsidP="00C905D6">
            <w:pPr>
              <w:widowControl w:val="0"/>
              <w:spacing w:before="0" w:after="0"/>
              <w:rPr>
                <w:rFonts w:ascii="Arial Narrow" w:hAnsi="Arial Narrow"/>
                <w:sz w:val="20"/>
              </w:rPr>
            </w:pPr>
            <w:r w:rsidRPr="005740CD">
              <w:rPr>
                <w:rFonts w:ascii="Arial Narrow" w:hAnsi="Arial Narrow"/>
                <w:sz w:val="20"/>
              </w:rPr>
              <w:t>S463P</w:t>
            </w:r>
          </w:p>
        </w:tc>
        <w:tc>
          <w:tcPr>
            <w:tcW w:w="86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7B4049A"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2.8</w:t>
            </w:r>
          </w:p>
        </w:tc>
        <w:tc>
          <w:tcPr>
            <w:tcW w:w="10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021356E"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2.6x</w:t>
            </w:r>
          </w:p>
        </w:tc>
        <w:tc>
          <w:tcPr>
            <w:tcW w:w="11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50B7A41"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24/24</w:t>
            </w:r>
          </w:p>
        </w:tc>
        <w:tc>
          <w:tcPr>
            <w:tcW w:w="11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45DD96C" w14:textId="77777777" w:rsidR="00C905D6" w:rsidRPr="005740CD" w:rsidRDefault="00C905D6" w:rsidP="00C905D6">
            <w:pPr>
              <w:widowControl w:val="0"/>
              <w:spacing w:before="0" w:after="0"/>
              <w:jc w:val="center"/>
              <w:rPr>
                <w:rFonts w:ascii="Arial Narrow" w:hAnsi="Arial Narrow"/>
                <w:sz w:val="20"/>
              </w:rPr>
            </w:pPr>
            <w:r w:rsidRPr="005740CD">
              <w:rPr>
                <w:rFonts w:ascii="Arial Narrow" w:hAnsi="Arial Narrow"/>
                <w:sz w:val="20"/>
              </w:rPr>
              <w:t>100% (85.8, 100)</w:t>
            </w:r>
          </w:p>
        </w:tc>
      </w:tr>
    </w:tbl>
    <w:p w14:paraId="6B9AF859" w14:textId="6EA38483" w:rsidR="00C905D6" w:rsidRPr="000A7BB0" w:rsidRDefault="00C905D6" w:rsidP="74877A7E">
      <w:pPr>
        <w:widowControl w:val="0"/>
        <w:spacing w:before="0" w:after="0"/>
        <w:contextualSpacing/>
        <w:rPr>
          <w:rFonts w:ascii="Arial Narrow" w:eastAsia="Times New Roman" w:hAnsi="Arial Narrow"/>
          <w:snapToGrid w:val="0"/>
          <w:sz w:val="18"/>
          <w:szCs w:val="18"/>
        </w:rPr>
      </w:pPr>
      <w:r w:rsidRPr="000A7BB0">
        <w:rPr>
          <w:rFonts w:ascii="Arial Narrow" w:eastAsia="Times New Roman" w:hAnsi="Arial Narrow" w:cs="Arial"/>
          <w:snapToGrid w:val="0"/>
          <w:sz w:val="18"/>
          <w:szCs w:val="18"/>
        </w:rPr>
        <w:t xml:space="preserve">Source: Table 2.21: Summary of Precision Results for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-Mut, p107 of the submission.</w:t>
      </w:r>
      <w:r w:rsidRPr="000A7BB0">
        <w:rPr>
          <w:rFonts w:ascii="Arial Narrow" w:eastAsia="Times New Roman" w:hAnsi="Arial Narrow" w:cs="Arial"/>
          <w:snapToGrid w:val="0"/>
          <w:sz w:val="18"/>
          <w:szCs w:val="20"/>
        </w:rPr>
        <w:tab/>
      </w:r>
      <w:r w:rsidRPr="000A7BB0">
        <w:rPr>
          <w:rFonts w:ascii="Arial Narrow" w:eastAsia="Times New Roman" w:hAnsi="Arial Narrow" w:cs="Arial"/>
          <w:snapToGrid w:val="0"/>
          <w:sz w:val="18"/>
          <w:szCs w:val="20"/>
        </w:rPr>
        <w:br/>
      </w:r>
      <w:r w:rsidRPr="000A7BB0">
        <w:rPr>
          <w:rFonts w:ascii="Arial Narrow" w:eastAsia="Times New Roman" w:hAnsi="Arial Narrow" w:cs="Arial"/>
          <w:snapToGrid w:val="0"/>
          <w:sz w:val="18"/>
          <w:szCs w:val="18"/>
        </w:rPr>
        <w:t xml:space="preserve">CI = confidence interval;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 = estrogen receptor 1;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z w:val="18"/>
          <w:szCs w:val="18"/>
        </w:rPr>
        <w:t xml:space="preserve">-mut = </w:t>
      </w:r>
      <w:r w:rsidR="70DA3C11" w:rsidRPr="000A7BB0">
        <w:rPr>
          <w:rFonts w:ascii="Arial Narrow" w:eastAsia="Times New Roman" w:hAnsi="Arial Narrow" w:cs="Arial"/>
          <w:snapToGrid w:val="0"/>
          <w:sz w:val="18"/>
          <w:szCs w:val="18"/>
        </w:rPr>
        <w:t>estrogen receptor 1 variant</w:t>
      </w:r>
      <w:r w:rsidRPr="000A7BB0">
        <w:rPr>
          <w:rFonts w:ascii="Arial Narrow" w:eastAsia="Times New Roman" w:hAnsi="Arial Narrow" w:cs="Arial"/>
          <w:snapToGrid w:val="0"/>
          <w:sz w:val="18"/>
          <w:szCs w:val="18"/>
        </w:rPr>
        <w:t xml:space="preserve">; </w:t>
      </w:r>
      <w:proofErr w:type="spellStart"/>
      <w:r w:rsidRPr="000A7BB0">
        <w:rPr>
          <w:rFonts w:ascii="Arial Narrow" w:eastAsia="Times New Roman" w:hAnsi="Arial Narrow" w:cs="Arial"/>
          <w:snapToGrid w:val="0"/>
          <w:sz w:val="18"/>
          <w:szCs w:val="18"/>
        </w:rPr>
        <w:t>LoD</w:t>
      </w:r>
      <w:proofErr w:type="spellEnd"/>
      <w:r w:rsidRPr="000A7BB0">
        <w:rPr>
          <w:rFonts w:ascii="Arial Narrow" w:eastAsia="Times New Roman" w:hAnsi="Arial Narrow" w:cs="Arial"/>
          <w:snapToGrid w:val="0"/>
          <w:sz w:val="18"/>
          <w:szCs w:val="18"/>
        </w:rPr>
        <w:t xml:space="preserve"> = limit of detection; MAF = mutant allele fraction; PPA = positive percent agreement. </w:t>
      </w:r>
      <w:r w:rsidRPr="000A7BB0">
        <w:rPr>
          <w:rFonts w:ascii="Arial Narrow" w:eastAsia="Times New Roman" w:hAnsi="Arial Narrow" w:cs="Arial"/>
          <w:snapToGrid w:val="0"/>
          <w:sz w:val="18"/>
          <w:szCs w:val="20"/>
        </w:rPr>
        <w:tab/>
      </w:r>
      <w:r w:rsidRPr="000A7BB0">
        <w:rPr>
          <w:rFonts w:ascii="Arial Narrow" w:eastAsia="Times New Roman" w:hAnsi="Arial Narrow" w:cs="Arial"/>
          <w:snapToGrid w:val="0"/>
          <w:sz w:val="18"/>
          <w:szCs w:val="20"/>
        </w:rPr>
        <w:br/>
      </w:r>
      <w:r w:rsidRPr="000A7BB0">
        <w:rPr>
          <w:rFonts w:ascii="Arial Narrow" w:eastAsia="Times New Roman" w:hAnsi="Arial Narrow" w:cs="Arial"/>
          <w:snapToGrid w:val="0"/>
          <w:sz w:val="18"/>
          <w:szCs w:val="18"/>
          <w:vertAlign w:val="superscript"/>
        </w:rPr>
        <w:t>a</w:t>
      </w:r>
      <w:r w:rsidRPr="000A7BB0">
        <w:rPr>
          <w:rFonts w:ascii="Arial Narrow" w:eastAsia="Times New Roman" w:hAnsi="Arial Narrow" w:cs="Arial"/>
          <w:snapToGrid w:val="0"/>
          <w:sz w:val="18"/>
          <w:szCs w:val="18"/>
        </w:rPr>
        <w:t xml:space="preserve"> variants resulting in amino acid substitutions of: E380Q = glutamate 380 to glutamine; Y537S = tyrosine 537 to serine; D538G = aspartate 538 to glycine; H356D = histidine 356 to aspartate; G442A = glycine 442 to alanine; S463P = serine 463 to proline.</w:t>
      </w:r>
      <w:r w:rsidRPr="000A7BB0">
        <w:rPr>
          <w:rFonts w:ascii="Arial Narrow" w:eastAsia="Times New Roman" w:hAnsi="Arial Narrow" w:cs="Arial"/>
          <w:snapToGrid w:val="0"/>
          <w:sz w:val="18"/>
          <w:szCs w:val="20"/>
        </w:rPr>
        <w:tab/>
      </w:r>
      <w:r w:rsidRPr="000A7BB0">
        <w:rPr>
          <w:rFonts w:ascii="Arial Narrow" w:eastAsia="Times New Roman" w:hAnsi="Arial Narrow" w:cs="Arial"/>
          <w:snapToGrid w:val="0"/>
          <w:sz w:val="18"/>
          <w:szCs w:val="18"/>
        </w:rPr>
        <w:t xml:space="preserve"> </w:t>
      </w:r>
      <w:r w:rsidRPr="000A7BB0">
        <w:rPr>
          <w:rFonts w:ascii="Arial Narrow" w:eastAsia="Times New Roman" w:hAnsi="Arial Narrow" w:cs="Arial"/>
          <w:snapToGrid w:val="0"/>
          <w:sz w:val="18"/>
          <w:szCs w:val="20"/>
        </w:rPr>
        <w:br/>
      </w:r>
      <w:r w:rsidRPr="000A7BB0">
        <w:rPr>
          <w:rFonts w:ascii="Arial Narrow" w:eastAsia="Times New Roman" w:hAnsi="Arial Narrow" w:cs="Arial"/>
          <w:snapToGrid w:val="0"/>
          <w:sz w:val="18"/>
          <w:szCs w:val="18"/>
          <w:vertAlign w:val="superscript"/>
        </w:rPr>
        <w:t>b</w:t>
      </w:r>
      <w:r w:rsidRPr="000A7BB0">
        <w:rPr>
          <w:rFonts w:ascii="Arial Narrow" w:eastAsia="Times New Roman" w:hAnsi="Arial Narrow" w:cs="Arial"/>
          <w:snapToGrid w:val="0"/>
          <w:spacing w:val="-8"/>
          <w:sz w:val="18"/>
          <w:szCs w:val="18"/>
        </w:rPr>
        <w:t xml:space="preserve"> </w:t>
      </w:r>
      <w:r w:rsidRPr="000A7BB0">
        <w:rPr>
          <w:rFonts w:ascii="Arial Narrow" w:eastAsia="Times New Roman" w:hAnsi="Arial Narrow" w:cs="Arial"/>
          <w:snapToGrid w:val="0"/>
          <w:sz w:val="18"/>
          <w:szCs w:val="18"/>
        </w:rPr>
        <w:t>Compared</w:t>
      </w:r>
      <w:r w:rsidRPr="000A7BB0">
        <w:rPr>
          <w:rFonts w:ascii="Arial Narrow" w:eastAsia="Times New Roman" w:hAnsi="Arial Narrow" w:cs="Arial"/>
          <w:snapToGrid w:val="0"/>
          <w:spacing w:val="-5"/>
          <w:sz w:val="18"/>
          <w:szCs w:val="18"/>
        </w:rPr>
        <w:t xml:space="preserve"> </w:t>
      </w:r>
      <w:r w:rsidRPr="000A7BB0">
        <w:rPr>
          <w:rFonts w:ascii="Arial Narrow" w:eastAsia="Times New Roman" w:hAnsi="Arial Narrow" w:cs="Arial"/>
          <w:snapToGrid w:val="0"/>
          <w:sz w:val="18"/>
          <w:szCs w:val="18"/>
        </w:rPr>
        <w:t>to</w:t>
      </w:r>
      <w:r w:rsidRPr="000A7BB0">
        <w:rPr>
          <w:rFonts w:ascii="Arial Narrow" w:eastAsia="Times New Roman" w:hAnsi="Arial Narrow" w:cs="Arial"/>
          <w:snapToGrid w:val="0"/>
          <w:spacing w:val="-5"/>
          <w:sz w:val="18"/>
          <w:szCs w:val="18"/>
        </w:rPr>
        <w:t xml:space="preserve"> </w:t>
      </w:r>
      <w:r w:rsidRPr="000A7BB0">
        <w:rPr>
          <w:rFonts w:ascii="Arial Narrow" w:eastAsia="Times New Roman" w:hAnsi="Arial Narrow" w:cs="Arial"/>
          <w:snapToGrid w:val="0"/>
          <w:sz w:val="18"/>
          <w:szCs w:val="18"/>
        </w:rPr>
        <w:t>the</w:t>
      </w:r>
      <w:r w:rsidRPr="000A7BB0">
        <w:rPr>
          <w:rFonts w:ascii="Arial Narrow" w:eastAsia="Times New Roman" w:hAnsi="Arial Narrow" w:cs="Arial"/>
          <w:snapToGrid w:val="0"/>
          <w:spacing w:val="-5"/>
          <w:sz w:val="18"/>
          <w:szCs w:val="18"/>
        </w:rPr>
        <w:t xml:space="preserve"> </w:t>
      </w:r>
      <w:r w:rsidRPr="000A7BB0">
        <w:rPr>
          <w:rFonts w:ascii="Arial Narrow" w:eastAsia="Times New Roman" w:hAnsi="Arial Narrow" w:cs="Arial"/>
          <w:snapToGrid w:val="0"/>
          <w:sz w:val="18"/>
          <w:szCs w:val="18"/>
        </w:rPr>
        <w:t>established</w:t>
      </w:r>
      <w:r w:rsidRPr="000A7BB0">
        <w:rPr>
          <w:rFonts w:ascii="Arial Narrow" w:eastAsia="Times New Roman" w:hAnsi="Arial Narrow" w:cs="Arial"/>
          <w:snapToGrid w:val="0"/>
          <w:spacing w:val="-5"/>
          <w:sz w:val="18"/>
          <w:szCs w:val="18"/>
        </w:rPr>
        <w:t xml:space="preserve"> </w:t>
      </w:r>
      <w:proofErr w:type="spellStart"/>
      <w:r w:rsidRPr="000A7BB0">
        <w:rPr>
          <w:rFonts w:ascii="Arial Narrow" w:eastAsia="Times New Roman" w:hAnsi="Arial Narrow" w:cs="Arial"/>
          <w:snapToGrid w:val="0"/>
          <w:sz w:val="18"/>
          <w:szCs w:val="18"/>
        </w:rPr>
        <w:t>LoD</w:t>
      </w:r>
      <w:proofErr w:type="spellEnd"/>
      <w:r w:rsidRPr="000A7BB0">
        <w:rPr>
          <w:rFonts w:ascii="Arial Narrow" w:eastAsia="Times New Roman" w:hAnsi="Arial Narrow" w:cs="Arial"/>
          <w:snapToGrid w:val="0"/>
          <w:spacing w:val="-7"/>
          <w:sz w:val="18"/>
          <w:szCs w:val="18"/>
        </w:rPr>
        <w:t xml:space="preserve"> </w:t>
      </w:r>
      <w:r w:rsidRPr="000A7BB0">
        <w:rPr>
          <w:rFonts w:ascii="Arial Narrow" w:eastAsia="Times New Roman" w:hAnsi="Arial Narrow" w:cs="Arial"/>
          <w:snapToGrid w:val="0"/>
          <w:sz w:val="18"/>
          <w:szCs w:val="18"/>
        </w:rPr>
        <w:t>for</w:t>
      </w:r>
      <w:r w:rsidRPr="000A7BB0">
        <w:rPr>
          <w:rFonts w:ascii="Arial Narrow" w:eastAsia="Times New Roman" w:hAnsi="Arial Narrow" w:cs="Arial"/>
          <w:snapToGrid w:val="0"/>
          <w:spacing w:val="-5"/>
          <w:sz w:val="18"/>
          <w:szCs w:val="18"/>
        </w:rPr>
        <w:t xml:space="preserve"> </w:t>
      </w:r>
      <w:r w:rsidRPr="000A7BB0">
        <w:rPr>
          <w:rFonts w:ascii="Arial Narrow" w:eastAsia="Times New Roman" w:hAnsi="Arial Narrow" w:cs="Arial"/>
          <w:snapToGrid w:val="0"/>
          <w:sz w:val="18"/>
          <w:szCs w:val="18"/>
        </w:rPr>
        <w:t>the</w:t>
      </w:r>
      <w:r w:rsidRPr="000A7BB0">
        <w:rPr>
          <w:rFonts w:ascii="Arial Narrow" w:eastAsia="Times New Roman" w:hAnsi="Arial Narrow" w:cs="Arial"/>
          <w:snapToGrid w:val="0"/>
          <w:spacing w:val="-5"/>
          <w:sz w:val="18"/>
          <w:szCs w:val="18"/>
        </w:rPr>
        <w:t xml:space="preserve"> </w:t>
      </w:r>
      <w:r w:rsidRPr="000A7BB0">
        <w:rPr>
          <w:rFonts w:ascii="Arial Narrow" w:eastAsia="Times New Roman" w:hAnsi="Arial Narrow" w:cs="Arial"/>
          <w:snapToGrid w:val="0"/>
          <w:sz w:val="18"/>
          <w:szCs w:val="18"/>
        </w:rPr>
        <w:t>prevalent</w:t>
      </w:r>
      <w:r w:rsidRPr="000A7BB0">
        <w:rPr>
          <w:rFonts w:ascii="Arial Narrow" w:eastAsia="Times New Roman" w:hAnsi="Arial Narrow" w:cs="Arial"/>
          <w:snapToGrid w:val="0"/>
          <w:spacing w:val="-5"/>
          <w:sz w:val="18"/>
          <w:szCs w:val="18"/>
        </w:rPr>
        <w:t xml:space="preserve"> </w:t>
      </w:r>
      <w:r w:rsidRPr="000A7BB0">
        <w:rPr>
          <w:rFonts w:ascii="Arial Narrow" w:eastAsia="Times New Roman" w:hAnsi="Arial Narrow" w:cs="Arial"/>
          <w:i/>
          <w:iCs/>
          <w:snapToGrid w:val="0"/>
          <w:sz w:val="18"/>
          <w:szCs w:val="18"/>
        </w:rPr>
        <w:t>ESR1</w:t>
      </w:r>
      <w:r w:rsidRPr="000A7BB0">
        <w:rPr>
          <w:rFonts w:ascii="Arial Narrow" w:eastAsia="Times New Roman" w:hAnsi="Arial Narrow" w:cs="Arial"/>
          <w:snapToGrid w:val="0"/>
          <w:spacing w:val="-5"/>
          <w:sz w:val="18"/>
          <w:szCs w:val="18"/>
        </w:rPr>
        <w:t xml:space="preserve"> </w:t>
      </w:r>
      <w:r w:rsidRPr="000A7BB0">
        <w:rPr>
          <w:rFonts w:ascii="Arial Narrow" w:eastAsia="Times New Roman" w:hAnsi="Arial Narrow" w:cs="Arial"/>
          <w:snapToGrid w:val="0"/>
          <w:sz w:val="18"/>
          <w:szCs w:val="18"/>
        </w:rPr>
        <w:t>missense</w:t>
      </w:r>
      <w:r w:rsidRPr="000A7BB0">
        <w:rPr>
          <w:rFonts w:ascii="Arial Narrow" w:eastAsia="Times New Roman" w:hAnsi="Arial Narrow" w:cs="Arial"/>
          <w:snapToGrid w:val="0"/>
          <w:spacing w:val="-5"/>
          <w:sz w:val="18"/>
          <w:szCs w:val="18"/>
        </w:rPr>
        <w:t xml:space="preserve"> </w:t>
      </w:r>
      <w:r w:rsidRPr="000A7BB0">
        <w:rPr>
          <w:rFonts w:ascii="Arial Narrow" w:eastAsia="Times New Roman" w:hAnsi="Arial Narrow" w:cs="Arial"/>
          <w:snapToGrid w:val="0"/>
          <w:spacing w:val="-2"/>
          <w:sz w:val="18"/>
          <w:szCs w:val="18"/>
        </w:rPr>
        <w:t xml:space="preserve">mutations. </w:t>
      </w:r>
      <w:r w:rsidRPr="000A7BB0">
        <w:rPr>
          <w:rFonts w:ascii="Arial Narrow" w:eastAsia="Times New Roman" w:hAnsi="Arial Narrow" w:cs="Arial"/>
          <w:snapToGrid w:val="0"/>
          <w:spacing w:val="-2"/>
          <w:sz w:val="18"/>
          <w:szCs w:val="20"/>
        </w:rPr>
        <w:tab/>
      </w:r>
      <w:r w:rsidRPr="000A7BB0">
        <w:rPr>
          <w:rFonts w:ascii="Arial Narrow" w:eastAsia="Times New Roman" w:hAnsi="Arial Narrow" w:cs="Arial"/>
          <w:snapToGrid w:val="0"/>
          <w:spacing w:val="-2"/>
          <w:sz w:val="18"/>
          <w:szCs w:val="20"/>
        </w:rPr>
        <w:br/>
      </w:r>
      <w:r w:rsidRPr="000A7BB0">
        <w:rPr>
          <w:rFonts w:ascii="Arial Narrow" w:eastAsia="Times New Roman" w:hAnsi="Arial Narrow" w:cs="Arial"/>
          <w:snapToGrid w:val="0"/>
          <w:sz w:val="18"/>
          <w:szCs w:val="18"/>
          <w:vertAlign w:val="superscript"/>
        </w:rPr>
        <w:t>c</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Note</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that</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the</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observed</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MAF</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is</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the</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average</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variant</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MAF</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from</w:t>
      </w:r>
      <w:r w:rsidRPr="000A7BB0">
        <w:rPr>
          <w:rFonts w:ascii="Arial Narrow" w:eastAsia="Times New Roman" w:hAnsi="Arial Narrow" w:cs="Arial"/>
          <w:snapToGrid w:val="0"/>
          <w:spacing w:val="-3"/>
          <w:sz w:val="18"/>
          <w:szCs w:val="18"/>
        </w:rPr>
        <w:t xml:space="preserve"> </w:t>
      </w:r>
      <w:r w:rsidRPr="000A7BB0">
        <w:rPr>
          <w:rFonts w:ascii="Arial Narrow" w:eastAsia="Times New Roman" w:hAnsi="Arial Narrow" w:cs="Arial"/>
          <w:snapToGrid w:val="0"/>
          <w:sz w:val="18"/>
          <w:szCs w:val="18"/>
        </w:rPr>
        <w:t>all</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samples</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with</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a</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reported</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variant</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(i.e.,</w:t>
      </w:r>
      <w:r w:rsidRPr="000A7BB0">
        <w:rPr>
          <w:rFonts w:ascii="Arial Narrow" w:eastAsia="Times New Roman" w:hAnsi="Arial Narrow" w:cs="Arial"/>
          <w:snapToGrid w:val="0"/>
          <w:spacing w:val="-2"/>
          <w:sz w:val="18"/>
          <w:szCs w:val="18"/>
        </w:rPr>
        <w:t xml:space="preserve"> </w:t>
      </w:r>
      <w:r w:rsidRPr="000A7BB0">
        <w:rPr>
          <w:rFonts w:ascii="Arial Narrow" w:eastAsia="Times New Roman" w:hAnsi="Arial Narrow" w:cs="Arial"/>
          <w:snapToGrid w:val="0"/>
          <w:sz w:val="18"/>
          <w:szCs w:val="18"/>
        </w:rPr>
        <w:t xml:space="preserve">excluding </w:t>
      </w:r>
      <w:r w:rsidRPr="000A7BB0">
        <w:rPr>
          <w:rFonts w:ascii="Arial Narrow" w:eastAsia="Times New Roman" w:hAnsi="Arial Narrow" w:cs="Arial"/>
          <w:snapToGrid w:val="0"/>
          <w:spacing w:val="-2"/>
          <w:sz w:val="18"/>
          <w:szCs w:val="18"/>
        </w:rPr>
        <w:t>dropouts)</w:t>
      </w:r>
    </w:p>
    <w:p w14:paraId="33365F8D" w14:textId="55C68531" w:rsidR="00C905D6" w:rsidRPr="00DE49EF" w:rsidRDefault="00C905D6" w:rsidP="00DE49EF">
      <w:r w:rsidRPr="00DE49EF">
        <w:lastRenderedPageBreak/>
        <w:t>The FDA evaluator described this study as a combined</w:t>
      </w:r>
      <w:r w:rsidR="632F235D" w:rsidRPr="00DE49EF">
        <w:t xml:space="preserve"> limit of detection</w:t>
      </w:r>
      <w:r w:rsidRPr="00DE49EF">
        <w:t xml:space="preserve"> </w:t>
      </w:r>
      <w:r w:rsidR="632F235D" w:rsidRPr="00DE49EF">
        <w:t>(</w:t>
      </w:r>
      <w:proofErr w:type="spellStart"/>
      <w:r w:rsidRPr="00DE49EF">
        <w:t>LoD</w:t>
      </w:r>
      <w:proofErr w:type="spellEnd"/>
      <w:r w:rsidR="632F235D" w:rsidRPr="00DE49EF">
        <w:t>)</w:t>
      </w:r>
      <w:r w:rsidRPr="00DE49EF">
        <w:t xml:space="preserve"> Confirmation and Precision Study and stated further that “The LoDs for </w:t>
      </w:r>
      <w:r w:rsidRPr="00DE49EF">
        <w:rPr>
          <w:i/>
          <w:iCs/>
        </w:rPr>
        <w:t>ESR1</w:t>
      </w:r>
      <w:r w:rsidRPr="00DE49EF">
        <w:t xml:space="preserve"> G442A and S463P were confirmed; however, the study result of the </w:t>
      </w:r>
      <w:proofErr w:type="spellStart"/>
      <w:r w:rsidRPr="00DE49EF">
        <w:t>LoD</w:t>
      </w:r>
      <w:proofErr w:type="spellEnd"/>
      <w:r w:rsidRPr="00DE49EF">
        <w:t xml:space="preserve"> confirmation and precision study for </w:t>
      </w:r>
      <w:r w:rsidRPr="00DE49EF">
        <w:rPr>
          <w:i/>
          <w:iCs/>
        </w:rPr>
        <w:t>ESR1</w:t>
      </w:r>
      <w:r w:rsidRPr="00DE49EF">
        <w:t xml:space="preserve">, H356D has a PPA of 83.3% or 91.7%, which did not achieve agreement of ≥ 95% across all conditions for H356D at 5 ng of cfDNA input. […] By evaluating 25 additional replicates from the same sample pool for H356D, PPA of 95.9% was achieved”. The FDA document also noted that “No </w:t>
      </w:r>
      <w:r w:rsidRPr="00DE49EF">
        <w:rPr>
          <w:i/>
          <w:iCs/>
        </w:rPr>
        <w:t>ESR1</w:t>
      </w:r>
      <w:r w:rsidRPr="00DE49EF">
        <w:t xml:space="preserve"> false positive mutations were detected (NPA 100%, 240/240)”.</w:t>
      </w:r>
    </w:p>
    <w:p w14:paraId="47FC6962" w14:textId="2B29BA86" w:rsidR="00C905D6" w:rsidRPr="00DE49EF" w:rsidRDefault="00C37FBD" w:rsidP="00DE49EF">
      <w:pPr>
        <w:spacing w:after="120"/>
      </w:pPr>
      <w:r>
        <w:rPr>
          <w:b/>
          <w:bCs/>
        </w:rPr>
        <w:t xml:space="preserve">Redacted </w:t>
      </w:r>
      <w:r w:rsidR="00C905D6" w:rsidRPr="000D51DD">
        <w:t xml:space="preserve">noted that not all possible </w:t>
      </w:r>
      <w:r w:rsidR="00C905D6" w:rsidRPr="000D51DD">
        <w:rPr>
          <w:i/>
          <w:iCs/>
        </w:rPr>
        <w:t>ESR1</w:t>
      </w:r>
      <w:r w:rsidR="00C905D6" w:rsidRPr="000D51DD">
        <w:t xml:space="preserve"> variants were tested using the Guardant360® </w:t>
      </w:r>
      <w:proofErr w:type="spellStart"/>
      <w:r w:rsidR="00C905D6" w:rsidRPr="000D51DD">
        <w:t>CDx</w:t>
      </w:r>
      <w:proofErr w:type="spellEnd"/>
      <w:r w:rsidR="00C905D6" w:rsidRPr="000D51DD">
        <w:t xml:space="preserve"> testing method. The clinical significance of variants not encompassed by the Guardant360® </w:t>
      </w:r>
      <w:proofErr w:type="spellStart"/>
      <w:r w:rsidR="00C905D6" w:rsidRPr="000D51DD">
        <w:t>CDx</w:t>
      </w:r>
      <w:proofErr w:type="spellEnd"/>
      <w:r w:rsidR="00C905D6" w:rsidRPr="000D51DD">
        <w:t xml:space="preserve"> method is unknown</w:t>
      </w:r>
      <w:r w:rsidR="00C905D6" w:rsidRPr="00DE49EF">
        <w:t xml:space="preserve">. </w:t>
      </w:r>
    </w:p>
    <w:p w14:paraId="3963A12E" w14:textId="1499311B" w:rsidR="00C905D6" w:rsidRPr="00DE49EF" w:rsidRDefault="00C905D6" w:rsidP="00DE49EF">
      <w:r w:rsidRPr="00900CCA">
        <w:t xml:space="preserve">It was understood that for the more common variants (E380Q, Y537S, D538G), at least 95% agreement with a 5 ng cfDNA sample represents assay performance achievable at the </w:t>
      </w:r>
      <w:proofErr w:type="spellStart"/>
      <w:r w:rsidRPr="00900CCA">
        <w:t>LoD</w:t>
      </w:r>
      <w:proofErr w:type="spellEnd"/>
      <w:r w:rsidRPr="00900CCA">
        <w:t xml:space="preserve">. For the rare variants (H356D, G442A, S463P), at least 2 or up to 3 times the 5 ng sample was needed to achieve the PPA values reported. </w:t>
      </w:r>
    </w:p>
    <w:p w14:paraId="3E2B2D9D" w14:textId="39A52000" w:rsidR="00C905D6" w:rsidRPr="00DE49EF" w:rsidRDefault="00C905D6" w:rsidP="00DE49EF">
      <w:r w:rsidRPr="00DE49EF">
        <w:t xml:space="preserve">The values presented show there is variability between the studied reagent lot-instrument-operator combinations, especially for detection of the H356D variant. Although false positives did not appear to be an issue, this has implications for assay sensitivity and false negative rates obtained with the Guardant360® </w:t>
      </w:r>
      <w:proofErr w:type="spellStart"/>
      <w:r w:rsidRPr="00DE49EF">
        <w:t>CDx</w:t>
      </w:r>
      <w:proofErr w:type="spellEnd"/>
      <w:r w:rsidRPr="00DE49EF">
        <w:t xml:space="preserve"> clinical utility standard, especially for rare variants (H356D, G442A and S463P). </w:t>
      </w:r>
    </w:p>
    <w:p w14:paraId="1981B9F4" w14:textId="77777777" w:rsidR="00C905D6" w:rsidRPr="00DE49EF" w:rsidRDefault="00C905D6" w:rsidP="00DE49EF">
      <w:pPr>
        <w:pStyle w:val="MSACS2Heading2"/>
        <w:keepNext/>
        <w:keepLines/>
        <w:pageBreakBefore w:val="0"/>
        <w:rPr>
          <w:rFonts w:ascii="Franklin Gothic Book" w:hAnsi="Franklin Gothic Book"/>
          <w:snapToGrid w:val="0"/>
          <w:sz w:val="24"/>
          <w:szCs w:val="24"/>
          <w:lang w:eastAsia="en-AU"/>
        </w:rPr>
      </w:pPr>
      <w:r w:rsidRPr="00DE49EF">
        <w:rPr>
          <w:rFonts w:ascii="Franklin Gothic Book" w:hAnsi="Franklin Gothic Book"/>
          <w:snapToGrid w:val="0"/>
          <w:sz w:val="24"/>
          <w:szCs w:val="24"/>
          <w:lang w:eastAsia="en-AU"/>
        </w:rPr>
        <w:t>Concordance using EMERALD samples</w:t>
      </w:r>
    </w:p>
    <w:p w14:paraId="20C777EB" w14:textId="16A6C0AD" w:rsidR="00966F1B" w:rsidRPr="00DE49EF" w:rsidRDefault="00C905D6" w:rsidP="00DE49EF">
      <w:r w:rsidRPr="00DE49EF">
        <w:t xml:space="preserve">The detection of alterations by Guardant360® </w:t>
      </w:r>
      <w:proofErr w:type="spellStart"/>
      <w:r w:rsidRPr="00DE49EF">
        <w:t>CDx</w:t>
      </w:r>
      <w:proofErr w:type="spellEnd"/>
      <w:r w:rsidRPr="00DE49EF">
        <w:t xml:space="preserve"> was compared to results of an externally validated NGS assay and presented in</w:t>
      </w:r>
      <w:r w:rsidR="00B00717" w:rsidRPr="00DE49EF">
        <w:t xml:space="preserve"> </w:t>
      </w:r>
      <w:r w:rsidR="00795F02" w:rsidRPr="00DE49EF">
        <w:rPr>
          <w:highlight w:val="yellow"/>
        </w:rPr>
        <w:fldChar w:fldCharType="begin"/>
      </w:r>
      <w:r w:rsidR="00795F02" w:rsidRPr="00DE49EF">
        <w:instrText xml:space="preserve"> REF _Ref188452669 \h </w:instrText>
      </w:r>
      <w:r w:rsidR="00DE49EF" w:rsidRPr="00DE49EF">
        <w:rPr>
          <w:highlight w:val="yellow"/>
        </w:rPr>
        <w:instrText xml:space="preserve"> \* MERGEFORMAT </w:instrText>
      </w:r>
      <w:r w:rsidR="00795F02" w:rsidRPr="00DE49EF">
        <w:rPr>
          <w:highlight w:val="yellow"/>
        </w:rPr>
      </w:r>
      <w:r w:rsidR="00795F02" w:rsidRPr="00DE49EF">
        <w:rPr>
          <w:highlight w:val="yellow"/>
        </w:rPr>
        <w:fldChar w:fldCharType="separate"/>
      </w:r>
      <w:r w:rsidR="006D7BC5" w:rsidRPr="006D7BC5">
        <w:t>Table 10</w:t>
      </w:r>
      <w:r w:rsidR="00795F02" w:rsidRPr="00DE49EF">
        <w:rPr>
          <w:highlight w:val="yellow"/>
        </w:rPr>
        <w:fldChar w:fldCharType="end"/>
      </w:r>
      <w:r w:rsidR="00072239" w:rsidRPr="00DE49EF">
        <w:t>.</w:t>
      </w:r>
    </w:p>
    <w:p w14:paraId="1F5047A4" w14:textId="6EC77ECD" w:rsidR="00C905D6" w:rsidRPr="000A7BB0" w:rsidRDefault="00B00717" w:rsidP="00FA75FE">
      <w:pPr>
        <w:pStyle w:val="Caption"/>
      </w:pPr>
      <w:bookmarkStart w:id="54" w:name="_Ref188452669"/>
      <w:r w:rsidRPr="000A7BB0">
        <w:t xml:space="preserve">Table </w:t>
      </w:r>
      <w:r w:rsidRPr="000A7BB0">
        <w:fldChar w:fldCharType="begin"/>
      </w:r>
      <w:r w:rsidRPr="000A7BB0">
        <w:instrText>SEQ Table_MSAC. \* ARABIC</w:instrText>
      </w:r>
      <w:r w:rsidRPr="000A7BB0">
        <w:fldChar w:fldCharType="separate"/>
      </w:r>
      <w:r w:rsidR="00787978" w:rsidRPr="000A7BB0">
        <w:t>10</w:t>
      </w:r>
      <w:r w:rsidRPr="000A7BB0">
        <w:fldChar w:fldCharType="end"/>
      </w:r>
      <w:bookmarkEnd w:id="54"/>
      <w:r w:rsidRPr="000A7BB0">
        <w:t>: Summary of concordance between Guardant360 and comparator, externally validated NGS assay</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88"/>
        <w:gridCol w:w="864"/>
        <w:gridCol w:w="1131"/>
        <w:gridCol w:w="1129"/>
        <w:gridCol w:w="1129"/>
        <w:gridCol w:w="712"/>
        <w:gridCol w:w="766"/>
        <w:gridCol w:w="766"/>
        <w:gridCol w:w="766"/>
        <w:gridCol w:w="765"/>
      </w:tblGrid>
      <w:tr w:rsidR="00C905D6" w:rsidRPr="000A7BB0" w14:paraId="1C6A0FAF" w14:textId="77777777" w:rsidTr="74877A7E">
        <w:trPr>
          <w:trHeight w:val="777"/>
        </w:trPr>
        <w:tc>
          <w:tcPr>
            <w:tcW w:w="548" w:type="pct"/>
          </w:tcPr>
          <w:p w14:paraId="65D92D2D" w14:textId="77777777" w:rsidR="00C905D6" w:rsidRPr="000A7BB0" w:rsidRDefault="00C905D6" w:rsidP="00C905D6">
            <w:pPr>
              <w:widowControl w:val="0"/>
              <w:spacing w:before="0" w:after="0"/>
              <w:rPr>
                <w:rFonts w:ascii="Arial Narrow" w:hAnsi="Arial Narrow"/>
                <w:sz w:val="20"/>
              </w:rPr>
            </w:pPr>
          </w:p>
        </w:tc>
        <w:tc>
          <w:tcPr>
            <w:tcW w:w="479" w:type="pct"/>
          </w:tcPr>
          <w:p w14:paraId="57A705F1" w14:textId="77777777" w:rsidR="00C905D6" w:rsidRPr="000A7BB0" w:rsidRDefault="00C905D6" w:rsidP="00966F1B">
            <w:pPr>
              <w:widowControl w:val="0"/>
              <w:spacing w:before="0" w:after="0"/>
              <w:rPr>
                <w:rFonts w:ascii="Arial Narrow" w:hAnsi="Arial Narrow"/>
                <w:b/>
                <w:bCs/>
                <w:sz w:val="19"/>
                <w:szCs w:val="19"/>
              </w:rPr>
            </w:pPr>
            <w:r w:rsidRPr="000A7BB0">
              <w:rPr>
                <w:rFonts w:ascii="Arial Narrow" w:hAnsi="Arial Narrow"/>
                <w:b/>
                <w:sz w:val="20"/>
              </w:rPr>
              <w:t>Guardant</w:t>
            </w:r>
            <w:r w:rsidRPr="000A7BB0">
              <w:rPr>
                <w:rFonts w:ascii="Arial Narrow" w:hAnsi="Arial Narrow"/>
                <w:b/>
                <w:bCs/>
                <w:spacing w:val="40"/>
                <w:sz w:val="19"/>
                <w:szCs w:val="19"/>
              </w:rPr>
              <w:t xml:space="preserve"> </w:t>
            </w:r>
            <w:r w:rsidRPr="000A7BB0">
              <w:rPr>
                <w:rFonts w:ascii="Arial Narrow" w:hAnsi="Arial Narrow"/>
                <w:b/>
                <w:bCs/>
                <w:sz w:val="19"/>
                <w:szCs w:val="19"/>
              </w:rPr>
              <w:t>(+),</w:t>
            </w:r>
          </w:p>
          <w:p w14:paraId="3D9BCC49" w14:textId="77777777" w:rsidR="00C905D6" w:rsidRPr="000A7BB0" w:rsidRDefault="00C905D6" w:rsidP="74877A7E">
            <w:pPr>
              <w:widowControl w:val="0"/>
              <w:spacing w:before="0" w:after="0"/>
              <w:rPr>
                <w:rFonts w:ascii="Arial Narrow" w:hAnsi="Arial Narrow"/>
                <w:b/>
                <w:bCs/>
                <w:sz w:val="20"/>
                <w:szCs w:val="20"/>
              </w:rPr>
            </w:pPr>
            <w:proofErr w:type="spellStart"/>
            <w:r w:rsidRPr="000A7BB0">
              <w:rPr>
                <w:rFonts w:ascii="Arial Narrow" w:hAnsi="Arial Narrow"/>
                <w:b/>
                <w:bCs/>
                <w:sz w:val="20"/>
                <w:szCs w:val="20"/>
              </w:rPr>
              <w:t>Comparat</w:t>
            </w:r>
            <w:proofErr w:type="spellEnd"/>
            <w:r w:rsidRPr="000A7BB0">
              <w:rPr>
                <w:rFonts w:ascii="Arial Narrow" w:hAnsi="Arial Narrow"/>
                <w:b/>
                <w:bCs/>
                <w:sz w:val="20"/>
                <w:szCs w:val="20"/>
              </w:rPr>
              <w:t>.</w:t>
            </w:r>
            <w:r w:rsidRPr="000A7BB0">
              <w:rPr>
                <w:rFonts w:ascii="Arial Narrow" w:hAnsi="Arial Narrow"/>
                <w:b/>
                <w:bCs/>
                <w:spacing w:val="40"/>
                <w:sz w:val="20"/>
                <w:szCs w:val="20"/>
              </w:rPr>
              <w:t xml:space="preserve"> </w:t>
            </w:r>
            <w:r w:rsidRPr="000A7BB0">
              <w:rPr>
                <w:rFonts w:ascii="Arial Narrow" w:hAnsi="Arial Narrow"/>
                <w:b/>
                <w:bCs/>
                <w:spacing w:val="-4"/>
                <w:sz w:val="20"/>
                <w:szCs w:val="20"/>
              </w:rPr>
              <w:t>(+)</w:t>
            </w:r>
          </w:p>
        </w:tc>
        <w:tc>
          <w:tcPr>
            <w:tcW w:w="627" w:type="pct"/>
          </w:tcPr>
          <w:p w14:paraId="1CF8EF47" w14:textId="77777777" w:rsidR="00C905D6" w:rsidRPr="000A7BB0" w:rsidRDefault="00C905D6" w:rsidP="00966F1B">
            <w:pPr>
              <w:widowControl w:val="0"/>
              <w:spacing w:before="0" w:after="0"/>
              <w:rPr>
                <w:rFonts w:ascii="Arial Narrow" w:hAnsi="Arial Narrow"/>
                <w:b/>
                <w:bCs/>
                <w:sz w:val="19"/>
                <w:szCs w:val="19"/>
              </w:rPr>
            </w:pPr>
            <w:r w:rsidRPr="000A7BB0">
              <w:rPr>
                <w:rFonts w:ascii="Arial Narrow" w:hAnsi="Arial Narrow"/>
                <w:b/>
                <w:sz w:val="20"/>
              </w:rPr>
              <w:t>Guardant</w:t>
            </w:r>
            <w:r w:rsidRPr="000A7BB0">
              <w:rPr>
                <w:rFonts w:ascii="Arial Narrow" w:hAnsi="Arial Narrow"/>
                <w:b/>
                <w:bCs/>
                <w:spacing w:val="40"/>
                <w:sz w:val="19"/>
                <w:szCs w:val="19"/>
              </w:rPr>
              <w:t xml:space="preserve"> </w:t>
            </w:r>
            <w:r w:rsidRPr="000A7BB0">
              <w:rPr>
                <w:rFonts w:ascii="Arial Narrow" w:hAnsi="Arial Narrow"/>
                <w:b/>
                <w:bCs/>
                <w:sz w:val="19"/>
                <w:szCs w:val="19"/>
              </w:rPr>
              <w:t>(+),</w:t>
            </w:r>
          </w:p>
          <w:p w14:paraId="150039B5" w14:textId="77777777" w:rsidR="00C905D6" w:rsidRPr="000A7BB0" w:rsidRDefault="00C905D6" w:rsidP="74877A7E">
            <w:pPr>
              <w:widowControl w:val="0"/>
              <w:spacing w:before="0" w:after="0"/>
              <w:rPr>
                <w:rFonts w:ascii="Arial Narrow" w:hAnsi="Arial Narrow"/>
                <w:b/>
                <w:bCs/>
                <w:sz w:val="20"/>
                <w:szCs w:val="20"/>
              </w:rPr>
            </w:pPr>
            <w:proofErr w:type="spellStart"/>
            <w:r w:rsidRPr="000A7BB0">
              <w:rPr>
                <w:rFonts w:ascii="Arial Narrow" w:hAnsi="Arial Narrow"/>
                <w:b/>
                <w:bCs/>
                <w:sz w:val="20"/>
                <w:szCs w:val="20"/>
              </w:rPr>
              <w:t>Comparat</w:t>
            </w:r>
            <w:proofErr w:type="spellEnd"/>
            <w:r w:rsidRPr="000A7BB0">
              <w:rPr>
                <w:rFonts w:ascii="Arial Narrow" w:hAnsi="Arial Narrow"/>
                <w:b/>
                <w:bCs/>
                <w:sz w:val="20"/>
                <w:szCs w:val="20"/>
              </w:rPr>
              <w:t>.</w:t>
            </w:r>
            <w:r w:rsidRPr="000A7BB0">
              <w:rPr>
                <w:rFonts w:ascii="Arial Narrow" w:hAnsi="Arial Narrow"/>
                <w:b/>
                <w:bCs/>
                <w:spacing w:val="40"/>
                <w:sz w:val="20"/>
                <w:szCs w:val="20"/>
              </w:rPr>
              <w:t xml:space="preserve"> </w:t>
            </w:r>
            <w:r w:rsidRPr="000A7BB0">
              <w:rPr>
                <w:rFonts w:ascii="Arial Narrow" w:hAnsi="Arial Narrow"/>
                <w:b/>
                <w:bCs/>
                <w:spacing w:val="-4"/>
                <w:sz w:val="20"/>
                <w:szCs w:val="20"/>
              </w:rPr>
              <w:t>(-)</w:t>
            </w:r>
          </w:p>
        </w:tc>
        <w:tc>
          <w:tcPr>
            <w:tcW w:w="626" w:type="pct"/>
          </w:tcPr>
          <w:p w14:paraId="44B29019" w14:textId="77777777" w:rsidR="00C905D6" w:rsidRPr="000A7BB0" w:rsidRDefault="00C905D6" w:rsidP="00966F1B">
            <w:pPr>
              <w:widowControl w:val="0"/>
              <w:spacing w:before="0" w:after="0"/>
              <w:rPr>
                <w:rFonts w:ascii="Arial Narrow" w:hAnsi="Arial Narrow"/>
                <w:b/>
                <w:bCs/>
                <w:sz w:val="19"/>
                <w:szCs w:val="19"/>
              </w:rPr>
            </w:pPr>
            <w:r w:rsidRPr="000A7BB0">
              <w:rPr>
                <w:rFonts w:ascii="Arial Narrow" w:hAnsi="Arial Narrow"/>
                <w:b/>
                <w:sz w:val="20"/>
              </w:rPr>
              <w:t>Guardant</w:t>
            </w:r>
            <w:r w:rsidRPr="000A7BB0">
              <w:rPr>
                <w:rFonts w:ascii="Arial Narrow" w:hAnsi="Arial Narrow"/>
                <w:b/>
                <w:bCs/>
                <w:spacing w:val="40"/>
                <w:sz w:val="19"/>
                <w:szCs w:val="19"/>
              </w:rPr>
              <w:t xml:space="preserve"> </w:t>
            </w:r>
            <w:r w:rsidRPr="000A7BB0">
              <w:rPr>
                <w:rFonts w:ascii="Arial Narrow" w:hAnsi="Arial Narrow"/>
                <w:b/>
                <w:bCs/>
                <w:sz w:val="19"/>
                <w:szCs w:val="19"/>
              </w:rPr>
              <w:t>(-),</w:t>
            </w:r>
          </w:p>
          <w:p w14:paraId="114EE388" w14:textId="77777777" w:rsidR="00C905D6" w:rsidRPr="000A7BB0" w:rsidRDefault="00C905D6" w:rsidP="74877A7E">
            <w:pPr>
              <w:widowControl w:val="0"/>
              <w:spacing w:before="0" w:after="0"/>
              <w:rPr>
                <w:rFonts w:ascii="Arial Narrow" w:hAnsi="Arial Narrow"/>
                <w:b/>
                <w:bCs/>
                <w:sz w:val="20"/>
                <w:szCs w:val="20"/>
              </w:rPr>
            </w:pPr>
            <w:proofErr w:type="spellStart"/>
            <w:r w:rsidRPr="000A7BB0">
              <w:rPr>
                <w:rFonts w:ascii="Arial Narrow" w:hAnsi="Arial Narrow"/>
                <w:b/>
                <w:bCs/>
                <w:sz w:val="20"/>
                <w:szCs w:val="20"/>
              </w:rPr>
              <w:t>Comparat</w:t>
            </w:r>
            <w:proofErr w:type="spellEnd"/>
            <w:r w:rsidRPr="000A7BB0">
              <w:rPr>
                <w:rFonts w:ascii="Arial Narrow" w:hAnsi="Arial Narrow"/>
                <w:b/>
                <w:bCs/>
                <w:sz w:val="20"/>
                <w:szCs w:val="20"/>
              </w:rPr>
              <w:t>.</w:t>
            </w:r>
            <w:r w:rsidRPr="000A7BB0">
              <w:rPr>
                <w:rFonts w:ascii="Arial Narrow" w:hAnsi="Arial Narrow"/>
                <w:b/>
                <w:bCs/>
                <w:spacing w:val="40"/>
                <w:sz w:val="20"/>
                <w:szCs w:val="20"/>
              </w:rPr>
              <w:t xml:space="preserve"> </w:t>
            </w:r>
            <w:r w:rsidRPr="000A7BB0">
              <w:rPr>
                <w:rFonts w:ascii="Arial Narrow" w:hAnsi="Arial Narrow"/>
                <w:b/>
                <w:bCs/>
                <w:spacing w:val="-4"/>
                <w:sz w:val="20"/>
                <w:szCs w:val="20"/>
              </w:rPr>
              <w:t>(+)</w:t>
            </w:r>
          </w:p>
        </w:tc>
        <w:tc>
          <w:tcPr>
            <w:tcW w:w="626" w:type="pct"/>
          </w:tcPr>
          <w:p w14:paraId="1A7B80B8" w14:textId="77777777" w:rsidR="00C905D6" w:rsidRPr="000A7BB0" w:rsidRDefault="00C905D6" w:rsidP="00966F1B">
            <w:pPr>
              <w:widowControl w:val="0"/>
              <w:spacing w:before="0" w:after="0"/>
              <w:rPr>
                <w:rFonts w:ascii="Arial Narrow" w:hAnsi="Arial Narrow"/>
                <w:b/>
                <w:bCs/>
                <w:sz w:val="19"/>
                <w:szCs w:val="19"/>
              </w:rPr>
            </w:pPr>
            <w:r w:rsidRPr="000A7BB0">
              <w:rPr>
                <w:rFonts w:ascii="Arial Narrow" w:hAnsi="Arial Narrow"/>
                <w:b/>
                <w:sz w:val="20"/>
              </w:rPr>
              <w:t>Guardant</w:t>
            </w:r>
            <w:r w:rsidRPr="000A7BB0">
              <w:rPr>
                <w:rFonts w:ascii="Arial Narrow" w:hAnsi="Arial Narrow"/>
                <w:b/>
                <w:bCs/>
                <w:spacing w:val="40"/>
                <w:sz w:val="19"/>
                <w:szCs w:val="19"/>
              </w:rPr>
              <w:t xml:space="preserve"> </w:t>
            </w:r>
            <w:r w:rsidRPr="000A7BB0">
              <w:rPr>
                <w:rFonts w:ascii="Arial Narrow" w:hAnsi="Arial Narrow"/>
                <w:b/>
                <w:bCs/>
                <w:sz w:val="19"/>
                <w:szCs w:val="19"/>
              </w:rPr>
              <w:t>(-),</w:t>
            </w:r>
          </w:p>
          <w:p w14:paraId="0F05E20C" w14:textId="77777777" w:rsidR="00C905D6" w:rsidRPr="000A7BB0" w:rsidRDefault="00C905D6" w:rsidP="74877A7E">
            <w:pPr>
              <w:widowControl w:val="0"/>
              <w:spacing w:before="0" w:after="0"/>
              <w:rPr>
                <w:rFonts w:ascii="Arial Narrow" w:hAnsi="Arial Narrow"/>
                <w:b/>
                <w:bCs/>
                <w:sz w:val="20"/>
                <w:szCs w:val="20"/>
              </w:rPr>
            </w:pPr>
            <w:proofErr w:type="spellStart"/>
            <w:r w:rsidRPr="000A7BB0">
              <w:rPr>
                <w:rFonts w:ascii="Arial Narrow" w:hAnsi="Arial Narrow"/>
                <w:b/>
                <w:bCs/>
                <w:sz w:val="20"/>
                <w:szCs w:val="20"/>
              </w:rPr>
              <w:t>Comparat</w:t>
            </w:r>
            <w:proofErr w:type="spellEnd"/>
            <w:r w:rsidRPr="000A7BB0">
              <w:rPr>
                <w:rFonts w:ascii="Arial Narrow" w:hAnsi="Arial Narrow"/>
                <w:b/>
                <w:bCs/>
                <w:sz w:val="20"/>
                <w:szCs w:val="20"/>
              </w:rPr>
              <w:t>.</w:t>
            </w:r>
            <w:r w:rsidRPr="000A7BB0">
              <w:rPr>
                <w:rFonts w:ascii="Arial Narrow" w:hAnsi="Arial Narrow"/>
                <w:b/>
                <w:bCs/>
                <w:spacing w:val="40"/>
                <w:sz w:val="20"/>
                <w:szCs w:val="20"/>
              </w:rPr>
              <w:t xml:space="preserve"> </w:t>
            </w:r>
            <w:r w:rsidRPr="000A7BB0">
              <w:rPr>
                <w:rFonts w:ascii="Arial Narrow" w:hAnsi="Arial Narrow"/>
                <w:b/>
                <w:bCs/>
                <w:spacing w:val="-4"/>
                <w:sz w:val="20"/>
                <w:szCs w:val="20"/>
              </w:rPr>
              <w:t>(-)</w:t>
            </w:r>
          </w:p>
        </w:tc>
        <w:tc>
          <w:tcPr>
            <w:tcW w:w="395" w:type="pct"/>
          </w:tcPr>
          <w:p w14:paraId="6FBD999C" w14:textId="77777777" w:rsidR="00C905D6" w:rsidRPr="000A7BB0" w:rsidRDefault="00C905D6" w:rsidP="00966F1B">
            <w:pPr>
              <w:widowControl w:val="0"/>
              <w:spacing w:before="0" w:after="0"/>
              <w:rPr>
                <w:rFonts w:ascii="Arial Narrow" w:hAnsi="Arial Narrow"/>
                <w:b/>
                <w:sz w:val="20"/>
              </w:rPr>
            </w:pPr>
            <w:r w:rsidRPr="000A7BB0">
              <w:rPr>
                <w:rFonts w:ascii="Arial Narrow" w:hAnsi="Arial Narrow"/>
                <w:b/>
                <w:sz w:val="20"/>
              </w:rPr>
              <w:t>Patients</w:t>
            </w:r>
            <w:r w:rsidRPr="000A7BB0">
              <w:rPr>
                <w:rFonts w:ascii="Arial Narrow" w:hAnsi="Arial Narrow"/>
                <w:b/>
                <w:spacing w:val="40"/>
                <w:sz w:val="20"/>
              </w:rPr>
              <w:t xml:space="preserve"> </w:t>
            </w:r>
            <w:r w:rsidRPr="000A7BB0">
              <w:rPr>
                <w:rFonts w:ascii="Arial Narrow" w:hAnsi="Arial Narrow"/>
                <w:b/>
                <w:spacing w:val="-4"/>
                <w:sz w:val="20"/>
              </w:rPr>
              <w:t>(n)</w:t>
            </w:r>
          </w:p>
        </w:tc>
        <w:tc>
          <w:tcPr>
            <w:tcW w:w="425" w:type="pct"/>
          </w:tcPr>
          <w:p w14:paraId="57BAD8CD" w14:textId="22541BD6" w:rsidR="00C905D6" w:rsidRPr="000A7BB0" w:rsidRDefault="00C905D6" w:rsidP="00966F1B">
            <w:pPr>
              <w:widowControl w:val="0"/>
              <w:spacing w:before="0" w:after="0"/>
              <w:rPr>
                <w:rFonts w:ascii="Arial Narrow" w:hAnsi="Arial Narrow"/>
                <w:b/>
                <w:sz w:val="20"/>
              </w:rPr>
            </w:pPr>
            <w:r w:rsidRPr="000A7BB0">
              <w:rPr>
                <w:rFonts w:ascii="Arial Narrow" w:hAnsi="Arial Narrow"/>
                <w:b/>
                <w:spacing w:val="-4"/>
                <w:sz w:val="20"/>
              </w:rPr>
              <w:t>PPA</w:t>
            </w:r>
            <w:r w:rsidRPr="000A7BB0">
              <w:rPr>
                <w:rFonts w:ascii="Arial Narrow" w:hAnsi="Arial Narrow"/>
                <w:b/>
                <w:spacing w:val="40"/>
                <w:sz w:val="20"/>
              </w:rPr>
              <w:t xml:space="preserve"> </w:t>
            </w:r>
            <w:r w:rsidRPr="000A7BB0">
              <w:rPr>
                <w:rFonts w:ascii="Arial Narrow" w:hAnsi="Arial Narrow"/>
                <w:b/>
                <w:spacing w:val="40"/>
                <w:sz w:val="20"/>
              </w:rPr>
              <w:br/>
            </w:r>
            <w:r w:rsidRPr="000A7BB0">
              <w:rPr>
                <w:rFonts w:ascii="Arial Narrow" w:hAnsi="Arial Narrow"/>
                <w:b/>
                <w:spacing w:val="-4"/>
                <w:sz w:val="20"/>
              </w:rPr>
              <w:t>(95%</w:t>
            </w:r>
            <w:r w:rsidRPr="000A7BB0">
              <w:rPr>
                <w:rFonts w:ascii="Arial Narrow" w:hAnsi="Arial Narrow"/>
                <w:b/>
                <w:spacing w:val="40"/>
                <w:sz w:val="20"/>
              </w:rPr>
              <w:t xml:space="preserve"> </w:t>
            </w:r>
            <w:r w:rsidRPr="000A7BB0">
              <w:rPr>
                <w:rFonts w:ascii="Arial Narrow" w:hAnsi="Arial Narrow"/>
                <w:b/>
                <w:spacing w:val="-4"/>
                <w:sz w:val="20"/>
              </w:rPr>
              <w:t>CI)</w:t>
            </w:r>
          </w:p>
        </w:tc>
        <w:tc>
          <w:tcPr>
            <w:tcW w:w="425" w:type="pct"/>
          </w:tcPr>
          <w:p w14:paraId="361C164D" w14:textId="77777777" w:rsidR="00C905D6" w:rsidRPr="000A7BB0" w:rsidRDefault="00C905D6" w:rsidP="00966F1B">
            <w:pPr>
              <w:widowControl w:val="0"/>
              <w:spacing w:before="0" w:after="0"/>
              <w:rPr>
                <w:rFonts w:ascii="Arial Narrow" w:hAnsi="Arial Narrow"/>
                <w:b/>
                <w:sz w:val="20"/>
              </w:rPr>
            </w:pPr>
            <w:r w:rsidRPr="000A7BB0">
              <w:rPr>
                <w:rFonts w:ascii="Arial Narrow" w:hAnsi="Arial Narrow"/>
                <w:b/>
                <w:spacing w:val="-4"/>
                <w:sz w:val="20"/>
              </w:rPr>
              <w:t>NPA</w:t>
            </w:r>
            <w:r w:rsidRPr="000A7BB0">
              <w:rPr>
                <w:rFonts w:ascii="Arial Narrow" w:hAnsi="Arial Narrow"/>
                <w:b/>
                <w:spacing w:val="40"/>
                <w:sz w:val="20"/>
              </w:rPr>
              <w:t xml:space="preserve"> </w:t>
            </w:r>
            <w:r w:rsidRPr="000A7BB0">
              <w:rPr>
                <w:rFonts w:ascii="Arial Narrow" w:hAnsi="Arial Narrow"/>
                <w:b/>
                <w:spacing w:val="40"/>
                <w:sz w:val="20"/>
              </w:rPr>
              <w:br/>
            </w:r>
            <w:r w:rsidRPr="000A7BB0">
              <w:rPr>
                <w:rFonts w:ascii="Arial Narrow" w:hAnsi="Arial Narrow"/>
                <w:b/>
                <w:spacing w:val="-4"/>
                <w:sz w:val="20"/>
              </w:rPr>
              <w:t>(95%</w:t>
            </w:r>
            <w:r w:rsidRPr="000A7BB0">
              <w:rPr>
                <w:rFonts w:ascii="Arial Narrow" w:hAnsi="Arial Narrow"/>
                <w:b/>
                <w:spacing w:val="40"/>
                <w:sz w:val="20"/>
              </w:rPr>
              <w:t xml:space="preserve"> </w:t>
            </w:r>
            <w:r w:rsidRPr="000A7BB0">
              <w:rPr>
                <w:rFonts w:ascii="Arial Narrow" w:hAnsi="Arial Narrow"/>
                <w:b/>
                <w:spacing w:val="-4"/>
                <w:sz w:val="20"/>
              </w:rPr>
              <w:t>CI)</w:t>
            </w:r>
          </w:p>
        </w:tc>
        <w:tc>
          <w:tcPr>
            <w:tcW w:w="425" w:type="pct"/>
          </w:tcPr>
          <w:p w14:paraId="6E905C0A" w14:textId="77777777" w:rsidR="00C905D6" w:rsidRPr="000A7BB0" w:rsidRDefault="00C905D6" w:rsidP="00966F1B">
            <w:pPr>
              <w:widowControl w:val="0"/>
              <w:spacing w:before="0" w:after="0"/>
              <w:rPr>
                <w:rFonts w:ascii="Arial Narrow" w:hAnsi="Arial Narrow"/>
                <w:b/>
                <w:sz w:val="20"/>
              </w:rPr>
            </w:pPr>
            <w:r w:rsidRPr="000A7BB0">
              <w:rPr>
                <w:rFonts w:ascii="Arial Narrow" w:hAnsi="Arial Narrow"/>
                <w:b/>
                <w:spacing w:val="-4"/>
                <w:sz w:val="20"/>
              </w:rPr>
              <w:t>PPV</w:t>
            </w:r>
            <w:r w:rsidRPr="000A7BB0">
              <w:rPr>
                <w:rFonts w:ascii="Arial Narrow" w:hAnsi="Arial Narrow"/>
                <w:b/>
                <w:spacing w:val="40"/>
                <w:sz w:val="20"/>
              </w:rPr>
              <w:t xml:space="preserve"> </w:t>
            </w:r>
            <w:r w:rsidRPr="000A7BB0">
              <w:rPr>
                <w:rFonts w:ascii="Arial Narrow" w:hAnsi="Arial Narrow"/>
                <w:b/>
                <w:spacing w:val="40"/>
                <w:sz w:val="20"/>
              </w:rPr>
              <w:br/>
            </w:r>
            <w:r w:rsidRPr="000A7BB0">
              <w:rPr>
                <w:rFonts w:ascii="Arial Narrow" w:hAnsi="Arial Narrow"/>
                <w:b/>
                <w:spacing w:val="-4"/>
                <w:sz w:val="20"/>
              </w:rPr>
              <w:t>(95%</w:t>
            </w:r>
            <w:r w:rsidRPr="000A7BB0">
              <w:rPr>
                <w:rFonts w:ascii="Arial Narrow" w:hAnsi="Arial Narrow"/>
                <w:b/>
                <w:spacing w:val="40"/>
                <w:sz w:val="20"/>
              </w:rPr>
              <w:t xml:space="preserve"> </w:t>
            </w:r>
            <w:r w:rsidRPr="000A7BB0">
              <w:rPr>
                <w:rFonts w:ascii="Arial Narrow" w:hAnsi="Arial Narrow"/>
                <w:b/>
                <w:spacing w:val="-4"/>
                <w:sz w:val="20"/>
              </w:rPr>
              <w:t>CI)</w:t>
            </w:r>
          </w:p>
        </w:tc>
        <w:tc>
          <w:tcPr>
            <w:tcW w:w="424" w:type="pct"/>
          </w:tcPr>
          <w:p w14:paraId="3327E432" w14:textId="77777777" w:rsidR="00C905D6" w:rsidRPr="000A7BB0" w:rsidRDefault="00C905D6" w:rsidP="00966F1B">
            <w:pPr>
              <w:widowControl w:val="0"/>
              <w:spacing w:before="0" w:after="0"/>
              <w:rPr>
                <w:rFonts w:ascii="Arial Narrow" w:hAnsi="Arial Narrow"/>
                <w:b/>
                <w:spacing w:val="40"/>
                <w:sz w:val="20"/>
              </w:rPr>
            </w:pPr>
            <w:r w:rsidRPr="000A7BB0">
              <w:rPr>
                <w:rFonts w:ascii="Arial Narrow" w:hAnsi="Arial Narrow"/>
                <w:b/>
                <w:spacing w:val="-4"/>
                <w:sz w:val="20"/>
              </w:rPr>
              <w:t>NPV</w:t>
            </w:r>
            <w:r w:rsidRPr="000A7BB0">
              <w:rPr>
                <w:rFonts w:ascii="Arial Narrow" w:hAnsi="Arial Narrow"/>
                <w:b/>
                <w:spacing w:val="40"/>
                <w:sz w:val="20"/>
              </w:rPr>
              <w:t xml:space="preserve"> </w:t>
            </w:r>
            <w:r w:rsidRPr="000A7BB0">
              <w:rPr>
                <w:rFonts w:ascii="Arial Narrow" w:hAnsi="Arial Narrow"/>
                <w:b/>
                <w:spacing w:val="40"/>
                <w:sz w:val="20"/>
              </w:rPr>
              <w:br/>
            </w:r>
            <w:r w:rsidRPr="000A7BB0">
              <w:rPr>
                <w:rFonts w:ascii="Arial Narrow" w:hAnsi="Arial Narrow"/>
                <w:b/>
                <w:spacing w:val="-4"/>
                <w:sz w:val="20"/>
              </w:rPr>
              <w:t>(95%</w:t>
            </w:r>
            <w:r w:rsidRPr="000A7BB0">
              <w:rPr>
                <w:rFonts w:ascii="Arial Narrow" w:hAnsi="Arial Narrow"/>
                <w:b/>
                <w:spacing w:val="40"/>
                <w:sz w:val="20"/>
              </w:rPr>
              <w:t xml:space="preserve"> </w:t>
            </w:r>
            <w:r w:rsidRPr="000A7BB0">
              <w:rPr>
                <w:rFonts w:ascii="Arial Narrow" w:hAnsi="Arial Narrow"/>
                <w:b/>
                <w:spacing w:val="-4"/>
                <w:sz w:val="20"/>
              </w:rPr>
              <w:t>CI)</w:t>
            </w:r>
          </w:p>
        </w:tc>
      </w:tr>
      <w:tr w:rsidR="00C905D6" w:rsidRPr="000A7BB0" w14:paraId="5D1D6A04" w14:textId="77777777" w:rsidTr="74877A7E">
        <w:trPr>
          <w:trHeight w:val="731"/>
        </w:trPr>
        <w:tc>
          <w:tcPr>
            <w:tcW w:w="548" w:type="pct"/>
            <w:tcBorders>
              <w:top w:val="single" w:sz="4" w:space="0" w:color="231F20"/>
              <w:left w:val="single" w:sz="4" w:space="0" w:color="231F20"/>
              <w:bottom w:val="single" w:sz="4" w:space="0" w:color="231F20"/>
              <w:right w:val="single" w:sz="4" w:space="0" w:color="231F20"/>
            </w:tcBorders>
          </w:tcPr>
          <w:p w14:paraId="2BE864EC" w14:textId="77777777" w:rsidR="00C905D6" w:rsidRPr="000A7BB0" w:rsidRDefault="00C905D6" w:rsidP="00C905D6">
            <w:pPr>
              <w:widowControl w:val="0"/>
              <w:spacing w:before="0" w:after="0"/>
              <w:rPr>
                <w:rFonts w:ascii="Arial Narrow" w:hAnsi="Arial Narrow"/>
                <w:i/>
                <w:iCs/>
                <w:sz w:val="19"/>
                <w:szCs w:val="19"/>
              </w:rPr>
            </w:pPr>
            <w:r w:rsidRPr="000A7BB0">
              <w:rPr>
                <w:rFonts w:ascii="Arial Narrow" w:hAnsi="Arial Narrow"/>
                <w:i/>
                <w:iCs/>
                <w:spacing w:val="-4"/>
                <w:sz w:val="20"/>
              </w:rPr>
              <w:t>ESR1</w:t>
            </w:r>
          </w:p>
          <w:p w14:paraId="0D747BFE" w14:textId="694A415B" w:rsidR="00C905D6" w:rsidRPr="000A7BB0" w:rsidRDefault="00837885" w:rsidP="00C905D6">
            <w:pPr>
              <w:widowControl w:val="0"/>
              <w:spacing w:before="0" w:after="0"/>
              <w:rPr>
                <w:rFonts w:ascii="Arial Narrow" w:hAnsi="Arial Narrow"/>
                <w:sz w:val="20"/>
              </w:rPr>
            </w:pPr>
            <w:r w:rsidRPr="000A7BB0">
              <w:rPr>
                <w:rFonts w:ascii="Arial Narrow" w:hAnsi="Arial Narrow"/>
                <w:sz w:val="20"/>
              </w:rPr>
              <w:t>variants</w:t>
            </w:r>
          </w:p>
        </w:tc>
        <w:tc>
          <w:tcPr>
            <w:tcW w:w="479" w:type="pct"/>
            <w:tcBorders>
              <w:top w:val="single" w:sz="4" w:space="0" w:color="231F20"/>
              <w:left w:val="single" w:sz="4" w:space="0" w:color="231F20"/>
              <w:bottom w:val="single" w:sz="4" w:space="0" w:color="231F20"/>
              <w:right w:val="single" w:sz="4" w:space="0" w:color="231F20"/>
            </w:tcBorders>
          </w:tcPr>
          <w:p w14:paraId="48C572F9" w14:textId="77777777" w:rsidR="00C905D6" w:rsidRPr="000A7BB0" w:rsidRDefault="00C905D6" w:rsidP="00C905D6">
            <w:pPr>
              <w:widowControl w:val="0"/>
              <w:spacing w:before="0" w:after="0"/>
              <w:jc w:val="center"/>
              <w:rPr>
                <w:rFonts w:ascii="Arial Narrow" w:hAnsi="Arial Narrow"/>
                <w:sz w:val="20"/>
              </w:rPr>
            </w:pPr>
            <w:r w:rsidRPr="000A7BB0">
              <w:rPr>
                <w:rFonts w:ascii="Arial Narrow" w:hAnsi="Arial Narrow"/>
                <w:spacing w:val="-5"/>
                <w:sz w:val="20"/>
              </w:rPr>
              <w:t>121</w:t>
            </w:r>
          </w:p>
        </w:tc>
        <w:tc>
          <w:tcPr>
            <w:tcW w:w="627" w:type="pct"/>
            <w:tcBorders>
              <w:top w:val="single" w:sz="4" w:space="0" w:color="231F20"/>
              <w:left w:val="single" w:sz="4" w:space="0" w:color="231F20"/>
              <w:bottom w:val="single" w:sz="4" w:space="0" w:color="231F20"/>
              <w:right w:val="single" w:sz="4" w:space="0" w:color="231F20"/>
            </w:tcBorders>
          </w:tcPr>
          <w:p w14:paraId="59D8A108" w14:textId="77777777" w:rsidR="00C905D6" w:rsidRPr="000A7BB0" w:rsidRDefault="00C905D6" w:rsidP="00C905D6">
            <w:pPr>
              <w:widowControl w:val="0"/>
              <w:spacing w:before="0" w:after="0"/>
              <w:jc w:val="center"/>
              <w:rPr>
                <w:rFonts w:ascii="Arial Narrow" w:hAnsi="Arial Narrow"/>
                <w:sz w:val="20"/>
              </w:rPr>
            </w:pPr>
            <w:r w:rsidRPr="000A7BB0">
              <w:rPr>
                <w:rFonts w:ascii="Arial Narrow" w:hAnsi="Arial Narrow"/>
                <w:spacing w:val="-5"/>
                <w:sz w:val="20"/>
              </w:rPr>
              <w:t>20</w:t>
            </w:r>
          </w:p>
        </w:tc>
        <w:tc>
          <w:tcPr>
            <w:tcW w:w="626" w:type="pct"/>
            <w:tcBorders>
              <w:top w:val="single" w:sz="4" w:space="0" w:color="231F20"/>
              <w:left w:val="single" w:sz="4" w:space="0" w:color="231F20"/>
              <w:bottom w:val="single" w:sz="4" w:space="0" w:color="231F20"/>
              <w:right w:val="single" w:sz="4" w:space="0" w:color="231F20"/>
            </w:tcBorders>
          </w:tcPr>
          <w:p w14:paraId="66A6A34B" w14:textId="77777777" w:rsidR="00C905D6" w:rsidRPr="000A7BB0" w:rsidRDefault="00C905D6" w:rsidP="00C905D6">
            <w:pPr>
              <w:widowControl w:val="0"/>
              <w:spacing w:before="0" w:after="0"/>
              <w:jc w:val="center"/>
              <w:rPr>
                <w:rFonts w:ascii="Arial Narrow" w:hAnsi="Arial Narrow"/>
                <w:sz w:val="20"/>
              </w:rPr>
            </w:pPr>
            <w:r w:rsidRPr="000A7BB0">
              <w:rPr>
                <w:rFonts w:ascii="Arial Narrow" w:hAnsi="Arial Narrow"/>
                <w:spacing w:val="-10"/>
                <w:sz w:val="20"/>
              </w:rPr>
              <w:t>3</w:t>
            </w:r>
          </w:p>
        </w:tc>
        <w:tc>
          <w:tcPr>
            <w:tcW w:w="626" w:type="pct"/>
            <w:tcBorders>
              <w:top w:val="single" w:sz="4" w:space="0" w:color="231F20"/>
              <w:left w:val="single" w:sz="4" w:space="0" w:color="231F20"/>
              <w:bottom w:val="single" w:sz="4" w:space="0" w:color="231F20"/>
              <w:right w:val="single" w:sz="4" w:space="0" w:color="231F20"/>
            </w:tcBorders>
          </w:tcPr>
          <w:p w14:paraId="21D369F6" w14:textId="0FBCA947" w:rsidR="00C905D6" w:rsidRPr="000A7BB0" w:rsidRDefault="00C905D6" w:rsidP="00C905D6">
            <w:pPr>
              <w:widowControl w:val="0"/>
              <w:spacing w:before="0" w:after="0"/>
              <w:jc w:val="center"/>
              <w:rPr>
                <w:rFonts w:ascii="Arial Narrow" w:hAnsi="Arial Narrow"/>
                <w:sz w:val="20"/>
              </w:rPr>
            </w:pPr>
            <w:r w:rsidRPr="000A7BB0">
              <w:rPr>
                <w:rFonts w:ascii="Arial Narrow" w:hAnsi="Arial Narrow"/>
                <w:spacing w:val="-5"/>
                <w:sz w:val="20"/>
              </w:rPr>
              <w:t>110</w:t>
            </w:r>
          </w:p>
        </w:tc>
        <w:tc>
          <w:tcPr>
            <w:tcW w:w="395" w:type="pct"/>
            <w:tcBorders>
              <w:top w:val="single" w:sz="4" w:space="0" w:color="231F20"/>
              <w:left w:val="single" w:sz="4" w:space="0" w:color="231F20"/>
              <w:bottom w:val="single" w:sz="4" w:space="0" w:color="231F20"/>
              <w:right w:val="single" w:sz="4" w:space="0" w:color="231F20"/>
            </w:tcBorders>
          </w:tcPr>
          <w:p w14:paraId="4694C38E" w14:textId="77777777" w:rsidR="00C905D6" w:rsidRPr="000A7BB0" w:rsidRDefault="00C905D6" w:rsidP="00C905D6">
            <w:pPr>
              <w:widowControl w:val="0"/>
              <w:spacing w:before="0" w:after="0"/>
              <w:jc w:val="center"/>
              <w:rPr>
                <w:rFonts w:ascii="Arial Narrow" w:hAnsi="Arial Narrow"/>
                <w:sz w:val="20"/>
              </w:rPr>
            </w:pPr>
            <w:r w:rsidRPr="000A7BB0">
              <w:rPr>
                <w:rFonts w:ascii="Arial Narrow" w:hAnsi="Arial Narrow"/>
                <w:spacing w:val="-5"/>
                <w:sz w:val="20"/>
              </w:rPr>
              <w:t>254</w:t>
            </w:r>
          </w:p>
        </w:tc>
        <w:tc>
          <w:tcPr>
            <w:tcW w:w="425" w:type="pct"/>
            <w:tcBorders>
              <w:top w:val="single" w:sz="4" w:space="0" w:color="231F20"/>
              <w:left w:val="single" w:sz="4" w:space="0" w:color="231F20"/>
              <w:bottom w:val="single" w:sz="4" w:space="0" w:color="231F20"/>
              <w:right w:val="single" w:sz="4" w:space="0" w:color="231F20"/>
            </w:tcBorders>
          </w:tcPr>
          <w:p w14:paraId="541EF979" w14:textId="77777777" w:rsidR="00C905D6" w:rsidRPr="000A7BB0" w:rsidRDefault="00C905D6" w:rsidP="00C905D6">
            <w:pPr>
              <w:widowControl w:val="0"/>
              <w:spacing w:before="0" w:after="0"/>
              <w:jc w:val="center"/>
              <w:rPr>
                <w:rFonts w:ascii="Arial Narrow" w:hAnsi="Arial Narrow"/>
                <w:sz w:val="19"/>
                <w:szCs w:val="19"/>
              </w:rPr>
            </w:pPr>
            <w:r w:rsidRPr="000A7BB0">
              <w:rPr>
                <w:rFonts w:ascii="Arial Narrow" w:hAnsi="Arial Narrow"/>
                <w:spacing w:val="-5"/>
                <w:sz w:val="20"/>
              </w:rPr>
              <w:t>98%</w:t>
            </w:r>
          </w:p>
          <w:p w14:paraId="43557D76" w14:textId="77777777" w:rsidR="00C905D6" w:rsidRPr="000A7BB0" w:rsidRDefault="00C905D6" w:rsidP="00C905D6">
            <w:pPr>
              <w:widowControl w:val="0"/>
              <w:spacing w:before="0" w:after="0"/>
              <w:jc w:val="center"/>
              <w:rPr>
                <w:rFonts w:ascii="Arial Narrow" w:hAnsi="Arial Narrow"/>
                <w:sz w:val="20"/>
              </w:rPr>
            </w:pPr>
            <w:r w:rsidRPr="000A7BB0">
              <w:rPr>
                <w:rFonts w:ascii="Arial Narrow" w:hAnsi="Arial Narrow"/>
                <w:sz w:val="20"/>
              </w:rPr>
              <w:t xml:space="preserve">(93, </w:t>
            </w:r>
            <w:r w:rsidRPr="000A7BB0">
              <w:rPr>
                <w:rFonts w:ascii="Arial Narrow" w:hAnsi="Arial Narrow"/>
                <w:spacing w:val="-4"/>
                <w:sz w:val="20"/>
              </w:rPr>
              <w:t>99)</w:t>
            </w:r>
          </w:p>
        </w:tc>
        <w:tc>
          <w:tcPr>
            <w:tcW w:w="425" w:type="pct"/>
            <w:tcBorders>
              <w:top w:val="single" w:sz="4" w:space="0" w:color="231F20"/>
              <w:left w:val="single" w:sz="4" w:space="0" w:color="231F20"/>
              <w:bottom w:val="single" w:sz="4" w:space="0" w:color="231F20"/>
              <w:right w:val="single" w:sz="4" w:space="0" w:color="231F20"/>
            </w:tcBorders>
          </w:tcPr>
          <w:p w14:paraId="41BADDED" w14:textId="77777777" w:rsidR="00C905D6" w:rsidRPr="000A7BB0" w:rsidRDefault="00C905D6" w:rsidP="00C905D6">
            <w:pPr>
              <w:widowControl w:val="0"/>
              <w:spacing w:before="0" w:after="0"/>
              <w:jc w:val="center"/>
              <w:rPr>
                <w:rFonts w:ascii="Arial Narrow" w:hAnsi="Arial Narrow"/>
                <w:sz w:val="19"/>
                <w:szCs w:val="19"/>
              </w:rPr>
            </w:pPr>
            <w:r w:rsidRPr="000A7BB0">
              <w:rPr>
                <w:rFonts w:ascii="Arial Narrow" w:hAnsi="Arial Narrow"/>
                <w:spacing w:val="-5"/>
                <w:sz w:val="20"/>
              </w:rPr>
              <w:t>85%</w:t>
            </w:r>
          </w:p>
          <w:p w14:paraId="38E0A092" w14:textId="77777777" w:rsidR="00C905D6" w:rsidRPr="000A7BB0" w:rsidRDefault="00C905D6" w:rsidP="00C905D6">
            <w:pPr>
              <w:widowControl w:val="0"/>
              <w:spacing w:before="0" w:after="0"/>
              <w:jc w:val="center"/>
              <w:rPr>
                <w:rFonts w:ascii="Arial Narrow" w:hAnsi="Arial Narrow"/>
                <w:sz w:val="20"/>
              </w:rPr>
            </w:pPr>
            <w:r w:rsidRPr="000A7BB0">
              <w:rPr>
                <w:rFonts w:ascii="Arial Narrow" w:hAnsi="Arial Narrow"/>
                <w:sz w:val="20"/>
              </w:rPr>
              <w:t xml:space="preserve">(77, </w:t>
            </w:r>
            <w:r w:rsidRPr="000A7BB0">
              <w:rPr>
                <w:rFonts w:ascii="Arial Narrow" w:hAnsi="Arial Narrow"/>
                <w:spacing w:val="-4"/>
                <w:sz w:val="20"/>
              </w:rPr>
              <w:t>90)</w:t>
            </w:r>
          </w:p>
        </w:tc>
        <w:tc>
          <w:tcPr>
            <w:tcW w:w="425" w:type="pct"/>
            <w:tcBorders>
              <w:top w:val="single" w:sz="4" w:space="0" w:color="231F20"/>
              <w:left w:val="single" w:sz="4" w:space="0" w:color="231F20"/>
              <w:bottom w:val="single" w:sz="4" w:space="0" w:color="231F20"/>
              <w:right w:val="single" w:sz="4" w:space="0" w:color="231F20"/>
            </w:tcBorders>
          </w:tcPr>
          <w:p w14:paraId="1C7CC1DB" w14:textId="77777777" w:rsidR="00C905D6" w:rsidRPr="000A7BB0" w:rsidRDefault="00C905D6" w:rsidP="00C905D6">
            <w:pPr>
              <w:widowControl w:val="0"/>
              <w:spacing w:before="0" w:after="0"/>
              <w:jc w:val="center"/>
              <w:rPr>
                <w:rFonts w:ascii="Arial Narrow" w:hAnsi="Arial Narrow"/>
                <w:sz w:val="19"/>
                <w:szCs w:val="19"/>
              </w:rPr>
            </w:pPr>
            <w:r w:rsidRPr="000A7BB0">
              <w:rPr>
                <w:rFonts w:ascii="Arial Narrow" w:hAnsi="Arial Narrow"/>
                <w:spacing w:val="-5"/>
                <w:sz w:val="20"/>
              </w:rPr>
              <w:t>86%</w:t>
            </w:r>
          </w:p>
          <w:p w14:paraId="7925A69A" w14:textId="77777777" w:rsidR="00C905D6" w:rsidRPr="000A7BB0" w:rsidRDefault="00C905D6" w:rsidP="00C905D6">
            <w:pPr>
              <w:widowControl w:val="0"/>
              <w:spacing w:before="0" w:after="0"/>
              <w:jc w:val="center"/>
              <w:rPr>
                <w:rFonts w:ascii="Arial Narrow" w:hAnsi="Arial Narrow"/>
                <w:sz w:val="20"/>
              </w:rPr>
            </w:pPr>
            <w:r w:rsidRPr="000A7BB0">
              <w:rPr>
                <w:rFonts w:ascii="Arial Narrow" w:hAnsi="Arial Narrow"/>
                <w:sz w:val="20"/>
              </w:rPr>
              <w:t xml:space="preserve">(79, </w:t>
            </w:r>
            <w:r w:rsidRPr="000A7BB0">
              <w:rPr>
                <w:rFonts w:ascii="Arial Narrow" w:hAnsi="Arial Narrow"/>
                <w:spacing w:val="-4"/>
                <w:sz w:val="20"/>
              </w:rPr>
              <w:t>91)</w:t>
            </w:r>
          </w:p>
        </w:tc>
        <w:tc>
          <w:tcPr>
            <w:tcW w:w="424" w:type="pct"/>
            <w:tcBorders>
              <w:top w:val="single" w:sz="4" w:space="0" w:color="231F20"/>
              <w:left w:val="single" w:sz="4" w:space="0" w:color="231F20"/>
              <w:bottom w:val="single" w:sz="4" w:space="0" w:color="231F20"/>
              <w:right w:val="single" w:sz="4" w:space="0" w:color="231F20"/>
            </w:tcBorders>
          </w:tcPr>
          <w:p w14:paraId="34755D0E" w14:textId="77777777" w:rsidR="00C905D6" w:rsidRPr="000A7BB0" w:rsidRDefault="00C905D6" w:rsidP="00C905D6">
            <w:pPr>
              <w:widowControl w:val="0"/>
              <w:spacing w:before="0" w:after="0"/>
              <w:jc w:val="center"/>
              <w:rPr>
                <w:rFonts w:ascii="Arial Narrow" w:hAnsi="Arial Narrow"/>
                <w:sz w:val="19"/>
                <w:szCs w:val="19"/>
              </w:rPr>
            </w:pPr>
            <w:r w:rsidRPr="000A7BB0">
              <w:rPr>
                <w:rFonts w:ascii="Arial Narrow" w:hAnsi="Arial Narrow"/>
                <w:spacing w:val="-5"/>
                <w:sz w:val="20"/>
              </w:rPr>
              <w:t>97%</w:t>
            </w:r>
          </w:p>
          <w:p w14:paraId="157FA659" w14:textId="77777777" w:rsidR="00C905D6" w:rsidRPr="000A7BB0" w:rsidRDefault="00C905D6" w:rsidP="00C905D6">
            <w:pPr>
              <w:widowControl w:val="0"/>
              <w:spacing w:before="0" w:after="0"/>
              <w:jc w:val="center"/>
              <w:rPr>
                <w:rFonts w:ascii="Arial Narrow" w:hAnsi="Arial Narrow"/>
                <w:sz w:val="20"/>
              </w:rPr>
            </w:pPr>
            <w:r w:rsidRPr="000A7BB0">
              <w:rPr>
                <w:rFonts w:ascii="Arial Narrow" w:hAnsi="Arial Narrow"/>
                <w:sz w:val="20"/>
              </w:rPr>
              <w:t xml:space="preserve">(93, </w:t>
            </w:r>
            <w:r w:rsidRPr="000A7BB0">
              <w:rPr>
                <w:rFonts w:ascii="Arial Narrow" w:hAnsi="Arial Narrow"/>
                <w:spacing w:val="-4"/>
                <w:sz w:val="20"/>
              </w:rPr>
              <w:t>99)</w:t>
            </w:r>
          </w:p>
        </w:tc>
      </w:tr>
    </w:tbl>
    <w:p w14:paraId="4C78F272" w14:textId="14E7EE88" w:rsidR="00C905D6" w:rsidRPr="000A7BB0" w:rsidRDefault="00C905D6" w:rsidP="00C905D6">
      <w:pPr>
        <w:widowControl w:val="0"/>
        <w:spacing w:before="0" w:after="0"/>
        <w:contextualSpacing/>
        <w:rPr>
          <w:rFonts w:ascii="Arial Narrow" w:eastAsia="Times New Roman" w:hAnsi="Arial Narrow" w:cs="Arial"/>
          <w:snapToGrid w:val="0"/>
          <w:sz w:val="18"/>
          <w:szCs w:val="20"/>
        </w:rPr>
      </w:pPr>
      <w:r w:rsidRPr="000A7BB0">
        <w:rPr>
          <w:rFonts w:ascii="Arial Narrow" w:eastAsia="Times New Roman" w:hAnsi="Arial Narrow" w:cs="Arial"/>
          <w:snapToGrid w:val="0"/>
          <w:sz w:val="18"/>
          <w:szCs w:val="20"/>
        </w:rPr>
        <w:t>Source: Table 2.27, p115 of the submission.</w:t>
      </w:r>
    </w:p>
    <w:p w14:paraId="56F9D4D5" w14:textId="77777777" w:rsidR="00C905D6" w:rsidRPr="000A7BB0" w:rsidRDefault="00C905D6" w:rsidP="00C905D6">
      <w:pPr>
        <w:spacing w:before="0" w:after="240"/>
        <w:rPr>
          <w:rFonts w:ascii="Arial Narrow" w:eastAsia="Times New Roman" w:hAnsi="Arial Narrow" w:cstheme="minorHAnsi"/>
          <w:strike/>
          <w:kern w:val="28"/>
          <w:sz w:val="18"/>
          <w:szCs w:val="18"/>
          <w:lang w:eastAsia="en-GB"/>
        </w:rPr>
      </w:pPr>
      <w:r w:rsidRPr="000A7BB0">
        <w:rPr>
          <w:rFonts w:ascii="Arial Narrow" w:eastAsia="Times New Roman" w:hAnsi="Arial Narrow" w:cstheme="minorHAnsi"/>
          <w:kern w:val="28"/>
          <w:sz w:val="18"/>
          <w:szCs w:val="18"/>
          <w:lang w:eastAsia="en-GB"/>
        </w:rPr>
        <w:t>CI = confidence interval; estrogen receptor 1; NGS = next generation sequencing; NPA = negative percent agreement; NPV = negative predictive value; PPA = positive precent agreement; PPV = positive predictive value.</w:t>
      </w:r>
      <w:r w:rsidRPr="000A7BB0">
        <w:rPr>
          <w:rFonts w:ascii="Arial Narrow" w:eastAsia="Times New Roman" w:hAnsi="Arial Narrow" w:cstheme="minorHAnsi"/>
          <w:kern w:val="28"/>
          <w:sz w:val="18"/>
          <w:szCs w:val="18"/>
          <w:lang w:eastAsia="en-GB"/>
        </w:rPr>
        <w:br/>
        <w:t>*The</w:t>
      </w:r>
      <w:r w:rsidRPr="000A7BB0">
        <w:rPr>
          <w:rFonts w:ascii="Arial Narrow" w:eastAsia="Times New Roman" w:hAnsi="Arial Narrow" w:cstheme="minorHAnsi"/>
          <w:spacing w:val="-5"/>
          <w:kern w:val="28"/>
          <w:sz w:val="18"/>
          <w:szCs w:val="18"/>
          <w:lang w:eastAsia="en-GB"/>
        </w:rPr>
        <w:t xml:space="preserve"> </w:t>
      </w:r>
      <w:r w:rsidRPr="000A7BB0">
        <w:rPr>
          <w:rFonts w:ascii="Arial Narrow" w:eastAsia="Times New Roman" w:hAnsi="Arial Narrow" w:cstheme="minorHAnsi"/>
          <w:kern w:val="28"/>
          <w:sz w:val="18"/>
          <w:szCs w:val="18"/>
          <w:lang w:eastAsia="en-GB"/>
        </w:rPr>
        <w:t>Clopper-Pearson</w:t>
      </w:r>
      <w:r w:rsidRPr="000A7BB0">
        <w:rPr>
          <w:rFonts w:ascii="Arial Narrow" w:eastAsia="Times New Roman" w:hAnsi="Arial Narrow" w:cstheme="minorHAnsi"/>
          <w:spacing w:val="-4"/>
          <w:kern w:val="28"/>
          <w:sz w:val="18"/>
          <w:szCs w:val="18"/>
          <w:lang w:eastAsia="en-GB"/>
        </w:rPr>
        <w:t xml:space="preserve"> </w:t>
      </w:r>
      <w:r w:rsidRPr="000A7BB0">
        <w:rPr>
          <w:rFonts w:ascii="Arial Narrow" w:eastAsia="Times New Roman" w:hAnsi="Arial Narrow" w:cstheme="minorHAnsi"/>
          <w:kern w:val="28"/>
          <w:sz w:val="18"/>
          <w:szCs w:val="18"/>
          <w:lang w:eastAsia="en-GB"/>
        </w:rPr>
        <w:t>Exact</w:t>
      </w:r>
      <w:r w:rsidRPr="000A7BB0">
        <w:rPr>
          <w:rFonts w:ascii="Arial Narrow" w:eastAsia="Times New Roman" w:hAnsi="Arial Narrow" w:cstheme="minorHAnsi"/>
          <w:spacing w:val="-7"/>
          <w:kern w:val="28"/>
          <w:sz w:val="18"/>
          <w:szCs w:val="18"/>
          <w:lang w:eastAsia="en-GB"/>
        </w:rPr>
        <w:t xml:space="preserve"> </w:t>
      </w:r>
      <w:r w:rsidRPr="000A7BB0">
        <w:rPr>
          <w:rFonts w:ascii="Arial Narrow" w:eastAsia="Times New Roman" w:hAnsi="Arial Narrow" w:cstheme="minorHAnsi"/>
          <w:kern w:val="28"/>
          <w:sz w:val="18"/>
          <w:szCs w:val="18"/>
          <w:lang w:eastAsia="en-GB"/>
        </w:rPr>
        <w:t>Method</w:t>
      </w:r>
      <w:r w:rsidRPr="000A7BB0">
        <w:rPr>
          <w:rFonts w:ascii="Arial Narrow" w:eastAsia="Times New Roman" w:hAnsi="Arial Narrow" w:cstheme="minorHAnsi"/>
          <w:spacing w:val="-3"/>
          <w:kern w:val="28"/>
          <w:sz w:val="18"/>
          <w:szCs w:val="18"/>
          <w:lang w:eastAsia="en-GB"/>
        </w:rPr>
        <w:t xml:space="preserve"> </w:t>
      </w:r>
      <w:r w:rsidRPr="000A7BB0">
        <w:rPr>
          <w:rFonts w:ascii="Arial Narrow" w:eastAsia="Times New Roman" w:hAnsi="Arial Narrow" w:cstheme="minorHAnsi"/>
          <w:kern w:val="28"/>
          <w:sz w:val="18"/>
          <w:szCs w:val="18"/>
          <w:lang w:eastAsia="en-GB"/>
        </w:rPr>
        <w:t>was</w:t>
      </w:r>
      <w:r w:rsidRPr="000A7BB0">
        <w:rPr>
          <w:rFonts w:ascii="Arial Narrow" w:eastAsia="Times New Roman" w:hAnsi="Arial Narrow" w:cstheme="minorHAnsi"/>
          <w:spacing w:val="-5"/>
          <w:kern w:val="28"/>
          <w:sz w:val="18"/>
          <w:szCs w:val="18"/>
          <w:lang w:eastAsia="en-GB"/>
        </w:rPr>
        <w:t xml:space="preserve"> </w:t>
      </w:r>
      <w:r w:rsidRPr="000A7BB0">
        <w:rPr>
          <w:rFonts w:ascii="Arial Narrow" w:eastAsia="Times New Roman" w:hAnsi="Arial Narrow" w:cstheme="minorHAnsi"/>
          <w:kern w:val="28"/>
          <w:sz w:val="18"/>
          <w:szCs w:val="18"/>
          <w:lang w:eastAsia="en-GB"/>
        </w:rPr>
        <w:t>used</w:t>
      </w:r>
      <w:r w:rsidRPr="000A7BB0">
        <w:rPr>
          <w:rFonts w:ascii="Arial Narrow" w:eastAsia="Times New Roman" w:hAnsi="Arial Narrow" w:cstheme="minorHAnsi"/>
          <w:spacing w:val="-4"/>
          <w:kern w:val="28"/>
          <w:sz w:val="18"/>
          <w:szCs w:val="18"/>
          <w:lang w:eastAsia="en-GB"/>
        </w:rPr>
        <w:t xml:space="preserve"> </w:t>
      </w:r>
      <w:r w:rsidRPr="000A7BB0">
        <w:rPr>
          <w:rFonts w:ascii="Arial Narrow" w:eastAsia="Times New Roman" w:hAnsi="Arial Narrow" w:cstheme="minorHAnsi"/>
          <w:kern w:val="28"/>
          <w:sz w:val="18"/>
          <w:szCs w:val="18"/>
          <w:lang w:eastAsia="en-GB"/>
        </w:rPr>
        <w:t>for</w:t>
      </w:r>
      <w:r w:rsidRPr="000A7BB0">
        <w:rPr>
          <w:rFonts w:ascii="Arial Narrow" w:eastAsia="Times New Roman" w:hAnsi="Arial Narrow" w:cstheme="minorHAnsi"/>
          <w:spacing w:val="-5"/>
          <w:kern w:val="28"/>
          <w:sz w:val="18"/>
          <w:szCs w:val="18"/>
          <w:lang w:eastAsia="en-GB"/>
        </w:rPr>
        <w:t xml:space="preserve"> </w:t>
      </w:r>
      <w:r w:rsidRPr="000A7BB0">
        <w:rPr>
          <w:rFonts w:ascii="Arial Narrow" w:eastAsia="Times New Roman" w:hAnsi="Arial Narrow" w:cstheme="minorHAnsi"/>
          <w:kern w:val="28"/>
          <w:sz w:val="18"/>
          <w:szCs w:val="18"/>
          <w:lang w:eastAsia="en-GB"/>
        </w:rPr>
        <w:t>the</w:t>
      </w:r>
      <w:r w:rsidRPr="000A7BB0">
        <w:rPr>
          <w:rFonts w:ascii="Arial Narrow" w:eastAsia="Times New Roman" w:hAnsi="Arial Narrow" w:cstheme="minorHAnsi"/>
          <w:spacing w:val="-5"/>
          <w:kern w:val="28"/>
          <w:sz w:val="18"/>
          <w:szCs w:val="18"/>
          <w:lang w:eastAsia="en-GB"/>
        </w:rPr>
        <w:t xml:space="preserve"> </w:t>
      </w:r>
      <w:r w:rsidRPr="000A7BB0">
        <w:rPr>
          <w:rFonts w:ascii="Arial Narrow" w:eastAsia="Times New Roman" w:hAnsi="Arial Narrow" w:cstheme="minorHAnsi"/>
          <w:kern w:val="28"/>
          <w:sz w:val="18"/>
          <w:szCs w:val="18"/>
          <w:lang w:eastAsia="en-GB"/>
        </w:rPr>
        <w:t>confidence</w:t>
      </w:r>
      <w:r w:rsidRPr="000A7BB0">
        <w:rPr>
          <w:rFonts w:ascii="Arial Narrow" w:eastAsia="Times New Roman" w:hAnsi="Arial Narrow" w:cstheme="minorHAnsi"/>
          <w:spacing w:val="-5"/>
          <w:kern w:val="28"/>
          <w:sz w:val="18"/>
          <w:szCs w:val="18"/>
          <w:lang w:eastAsia="en-GB"/>
        </w:rPr>
        <w:t xml:space="preserve"> </w:t>
      </w:r>
      <w:r w:rsidRPr="000A7BB0">
        <w:rPr>
          <w:rFonts w:ascii="Arial Narrow" w:eastAsia="Times New Roman" w:hAnsi="Arial Narrow" w:cstheme="minorHAnsi"/>
          <w:kern w:val="28"/>
          <w:sz w:val="18"/>
          <w:szCs w:val="18"/>
          <w:lang w:eastAsia="en-GB"/>
        </w:rPr>
        <w:t>interval</w:t>
      </w:r>
      <w:r w:rsidRPr="000A7BB0">
        <w:rPr>
          <w:rFonts w:ascii="Arial Narrow" w:eastAsia="Times New Roman" w:hAnsi="Arial Narrow" w:cstheme="minorHAnsi"/>
          <w:spacing w:val="-5"/>
          <w:kern w:val="28"/>
          <w:sz w:val="18"/>
          <w:szCs w:val="18"/>
          <w:lang w:eastAsia="en-GB"/>
        </w:rPr>
        <w:t xml:space="preserve"> </w:t>
      </w:r>
      <w:r w:rsidRPr="000A7BB0">
        <w:rPr>
          <w:rFonts w:ascii="Arial Narrow" w:eastAsia="Times New Roman" w:hAnsi="Arial Narrow" w:cstheme="minorHAnsi"/>
          <w:spacing w:val="-2"/>
          <w:kern w:val="28"/>
          <w:sz w:val="18"/>
          <w:szCs w:val="18"/>
          <w:lang w:eastAsia="en-GB"/>
        </w:rPr>
        <w:t>analysis</w:t>
      </w:r>
    </w:p>
    <w:p w14:paraId="4966CBEA" w14:textId="77777777" w:rsidR="00C905D6" w:rsidRPr="00DE49EF" w:rsidRDefault="00C905D6" w:rsidP="00DE49EF">
      <w:pPr>
        <w:autoSpaceDE w:val="0"/>
        <w:autoSpaceDN w:val="0"/>
        <w:adjustRightInd w:val="0"/>
        <w:spacing w:line="23" w:lineRule="atLeast"/>
      </w:pPr>
      <w:r w:rsidRPr="00DE49EF">
        <w:t xml:space="preserve">Without a reference standard or comment on whether this analysis included validated true positive and true negative control samples, this concordance data provides only limited support for the analytical performance of the clinical utility standard. As the comparator method in this concordance study is unidentified and/or not available in Australia, this is not informative for the comparison with potential tests for the Australian market. </w:t>
      </w:r>
    </w:p>
    <w:p w14:paraId="07A9B65D" w14:textId="7646921C" w:rsidR="00C905D6" w:rsidRPr="00DE49EF" w:rsidRDefault="00C905D6" w:rsidP="00DE49EF">
      <w:r w:rsidRPr="00DE49EF">
        <w:t xml:space="preserve">Based on the </w:t>
      </w:r>
      <w:r w:rsidR="06045EC8" w:rsidRPr="00DE49EF">
        <w:t>positive predictive value (</w:t>
      </w:r>
      <w:r w:rsidRPr="00DE49EF">
        <w:t>PPV</w:t>
      </w:r>
      <w:r w:rsidR="06045EC8" w:rsidRPr="00DE49EF">
        <w:t>)</w:t>
      </w:r>
      <w:r w:rsidRPr="00DE49EF">
        <w:t xml:space="preserve"> and </w:t>
      </w:r>
      <w:r w:rsidR="0C56FE59" w:rsidRPr="00DE49EF">
        <w:t>negative predictive value (</w:t>
      </w:r>
      <w:r w:rsidRPr="00DE49EF">
        <w:t>NPV</w:t>
      </w:r>
      <w:r w:rsidR="0C56FE59" w:rsidRPr="00DE49EF">
        <w:t>)</w:t>
      </w:r>
      <w:r w:rsidRPr="00DE49EF">
        <w:t xml:space="preserve"> presented, the Guardant360® </w:t>
      </w:r>
      <w:proofErr w:type="spellStart"/>
      <w:r w:rsidRPr="00DE49EF">
        <w:t>CDx</w:t>
      </w:r>
      <w:proofErr w:type="spellEnd"/>
      <w:r w:rsidRPr="00DE49EF">
        <w:t xml:space="preserve"> assay could be interpreted as reporting 14% false positives (based on 86% PPV) and 3% false negatives (based on 97% NPV). This is quite different from the performance and </w:t>
      </w:r>
      <w:proofErr w:type="spellStart"/>
      <w:r w:rsidRPr="00DE49EF">
        <w:t>LoD</w:t>
      </w:r>
      <w:proofErr w:type="spellEnd"/>
      <w:r w:rsidRPr="00DE49EF">
        <w:t xml:space="preserve"> values presented in the precision/</w:t>
      </w:r>
      <w:proofErr w:type="spellStart"/>
      <w:r w:rsidRPr="00DE49EF">
        <w:t>LoD</w:t>
      </w:r>
      <w:proofErr w:type="spellEnd"/>
      <w:r w:rsidRPr="00DE49EF">
        <w:t xml:space="preserve"> study above (</w:t>
      </w:r>
      <w:r w:rsidRPr="00DE49EF">
        <w:fldChar w:fldCharType="begin"/>
      </w:r>
      <w:r w:rsidRPr="00DE49EF">
        <w:instrText xml:space="preserve"> REF _Ref188371468 \h </w:instrText>
      </w:r>
      <w:r w:rsidR="00DE49EF" w:rsidRPr="00DE49EF">
        <w:instrText xml:space="preserve"> \* MERGEFORMAT </w:instrText>
      </w:r>
      <w:r w:rsidRPr="00DE49EF">
        <w:fldChar w:fldCharType="separate"/>
      </w:r>
      <w:r w:rsidR="006D7BC5" w:rsidRPr="006D7BC5">
        <w:t>Table 9</w:t>
      </w:r>
      <w:r w:rsidRPr="00DE49EF">
        <w:fldChar w:fldCharType="end"/>
      </w:r>
      <w:r w:rsidR="5DA8330D" w:rsidRPr="00DE49EF">
        <w:t>).</w:t>
      </w:r>
    </w:p>
    <w:p w14:paraId="14C5C5E9" w14:textId="6193E9AB" w:rsidR="00C905D6" w:rsidRPr="00DE49EF" w:rsidRDefault="00C905D6" w:rsidP="00DE49EF">
      <w:r w:rsidRPr="00DE49EF">
        <w:t>The commentary considers the assumption of 100% accuracy made in Section 3 of the submission is likely to be inappropriate both in terms of the EMERALD trial data and in Australian clinical practice using another NGS method.</w:t>
      </w:r>
    </w:p>
    <w:p w14:paraId="024630FF" w14:textId="77777777" w:rsidR="00C905D6" w:rsidRPr="00DE49EF" w:rsidRDefault="00C905D6" w:rsidP="00DE49EF">
      <w:pPr>
        <w:pStyle w:val="MSACS2Heading2"/>
        <w:keepNext/>
        <w:keepLines/>
        <w:pageBreakBefore w:val="0"/>
        <w:rPr>
          <w:rFonts w:ascii="Franklin Gothic Book" w:hAnsi="Franklin Gothic Book"/>
          <w:snapToGrid w:val="0"/>
          <w:sz w:val="24"/>
          <w:szCs w:val="24"/>
          <w:lang w:eastAsia="en-AU"/>
        </w:rPr>
      </w:pPr>
      <w:r w:rsidRPr="00DE49EF">
        <w:rPr>
          <w:rFonts w:ascii="Franklin Gothic Book" w:hAnsi="Franklin Gothic Book"/>
          <w:snapToGrid w:val="0"/>
          <w:sz w:val="24"/>
          <w:szCs w:val="24"/>
          <w:lang w:eastAsia="en-AU"/>
        </w:rPr>
        <w:lastRenderedPageBreak/>
        <w:t xml:space="preserve">Comparison of detection of </w:t>
      </w:r>
      <w:bookmarkStart w:id="55" w:name="_Hlk183800142"/>
      <w:r w:rsidRPr="00DE49EF">
        <w:rPr>
          <w:rFonts w:ascii="Franklin Gothic Book" w:hAnsi="Franklin Gothic Book"/>
          <w:snapToGrid w:val="0"/>
          <w:sz w:val="24"/>
          <w:szCs w:val="24"/>
          <w:lang w:eastAsia="en-AU"/>
        </w:rPr>
        <w:t>ESR1 ctDNA in plasma versus tumour tissue</w:t>
      </w:r>
      <w:bookmarkEnd w:id="55"/>
    </w:p>
    <w:p w14:paraId="59D266B3" w14:textId="3644E32E" w:rsidR="00C905D6" w:rsidRPr="00DE49EF" w:rsidRDefault="00C905D6" w:rsidP="00DE49EF">
      <w:r w:rsidRPr="00DE49EF">
        <w:rPr>
          <w:rFonts w:cstheme="minorHAnsi"/>
        </w:rPr>
        <w:t xml:space="preserve">Two meta-analyses were used to inform the concordance of </w:t>
      </w:r>
      <w:r w:rsidRPr="00DE49EF">
        <w:rPr>
          <w:rFonts w:cstheme="minorHAnsi"/>
          <w:i/>
          <w:iCs/>
        </w:rPr>
        <w:t>ESR1</w:t>
      </w:r>
      <w:r w:rsidRPr="00DE49EF">
        <w:rPr>
          <w:rFonts w:cstheme="minorHAnsi"/>
          <w:i/>
        </w:rPr>
        <w:t xml:space="preserve"> </w:t>
      </w:r>
      <w:r w:rsidR="008F4083" w:rsidRPr="00DE49EF">
        <w:rPr>
          <w:rFonts w:cstheme="minorHAnsi"/>
        </w:rPr>
        <w:t>variant</w:t>
      </w:r>
      <w:r w:rsidRPr="00DE49EF">
        <w:rPr>
          <w:rFonts w:cstheme="minorHAnsi"/>
        </w:rPr>
        <w:t xml:space="preserve"> detected with liquid biopsy versus tissue biopsy (Raei et al. 2024 and Najim et al. 2023).</w:t>
      </w:r>
    </w:p>
    <w:p w14:paraId="77BAC67B" w14:textId="32CFF310" w:rsidR="00C905D6" w:rsidRPr="00DE49EF" w:rsidRDefault="00C905D6" w:rsidP="00DE49EF">
      <w:r w:rsidRPr="00DE49EF">
        <w:t xml:space="preserve">The Najim et al, (2023) meta-analysis included 2,744 pooled tissues and plasma samples for this analysis. Plasma samples were used in 57.1% (1,568/2,744) of the study population, tissue samples in 37.7% (1,033/2,744), and tissue-plasma pairs in 5.2% (143/2,744). Incidence of </w:t>
      </w:r>
      <w:r w:rsidRPr="00DE49EF">
        <w:rPr>
          <w:i/>
          <w:iCs/>
        </w:rPr>
        <w:t>ESR1</w:t>
      </w:r>
      <w:r w:rsidRPr="00DE49EF">
        <w:t xml:space="preserve"> mutation was compared between plasma versus tissue samples and between </w:t>
      </w:r>
      <w:proofErr w:type="spellStart"/>
      <w:r w:rsidRPr="00DE49EF">
        <w:t>ddPCR</w:t>
      </w:r>
      <w:proofErr w:type="spellEnd"/>
      <w:r w:rsidRPr="00DE49EF">
        <w:t xml:space="preserve"> versus NGS. Of the meta-analysed studies, nine used tissue biopsy while ﬁve used plasma samples/liquid biopsy. The authors found no signiﬁcant difference in </w:t>
      </w:r>
      <w:r w:rsidRPr="00DE49EF">
        <w:rPr>
          <w:i/>
          <w:iCs/>
        </w:rPr>
        <w:t>ESR1</w:t>
      </w:r>
      <w:r w:rsidRPr="00DE49EF">
        <w:t>-mut incidence between plasma and tissue samples (P = 0.34, Figure 2A.4.2).</w:t>
      </w:r>
    </w:p>
    <w:p w14:paraId="535D4B47" w14:textId="77777777" w:rsidR="00C905D6" w:rsidRPr="00DE49EF" w:rsidRDefault="00C905D6" w:rsidP="00DE49EF">
      <w:pPr>
        <w:rPr>
          <w:rFonts w:cstheme="minorHAnsi"/>
        </w:rPr>
      </w:pPr>
      <w:r w:rsidRPr="00DE49EF">
        <w:rPr>
          <w:rFonts w:cstheme="minorHAnsi"/>
        </w:rPr>
        <w:t xml:space="preserve">A meta-analysis by </w:t>
      </w:r>
      <w:bookmarkStart w:id="56" w:name="_Hlk183789174"/>
      <w:r w:rsidRPr="00DE49EF">
        <w:rPr>
          <w:rFonts w:cstheme="minorHAnsi"/>
        </w:rPr>
        <w:t>Raei et al. (2024</w:t>
      </w:r>
      <w:bookmarkEnd w:id="56"/>
      <w:r w:rsidRPr="00DE49EF">
        <w:rPr>
          <w:rFonts w:cstheme="minorHAnsi"/>
        </w:rPr>
        <w:t xml:space="preserve">) examined the diagnostic accuracy of </w:t>
      </w:r>
      <w:r w:rsidRPr="00DE49EF">
        <w:rPr>
          <w:rFonts w:cstheme="minorHAnsi"/>
          <w:i/>
          <w:iCs/>
        </w:rPr>
        <w:t>ESR1</w:t>
      </w:r>
      <w:r w:rsidRPr="00DE49EF">
        <w:rPr>
          <w:rFonts w:cstheme="minorHAnsi"/>
        </w:rPr>
        <w:t>-mut detection in cfDNA samples of breast cancer patients. The study included 13 studies with 15 cohorts with a sample size ranging from 6 to 77, including 389 participants.</w:t>
      </w:r>
    </w:p>
    <w:p w14:paraId="3D1DC087" w14:textId="77777777" w:rsidR="00C905D6" w:rsidRPr="00DE49EF" w:rsidRDefault="00C905D6" w:rsidP="00DE49EF">
      <w:r w:rsidRPr="00DE49EF">
        <w:t>Compared to histopathological examination of tissue, cfDNA assessment could be tested with a sensitivity of 75.52% (95% CI 60.19 – 90.85). Significant heterogeneity was observed (I</w:t>
      </w:r>
      <w:r w:rsidRPr="00DE49EF">
        <w:rPr>
          <w:vertAlign w:val="superscript"/>
        </w:rPr>
        <w:t>2</w:t>
      </w:r>
      <w:r w:rsidRPr="00DE49EF">
        <w:t xml:space="preserve"> = 75.47%, p&lt;0.001). Similarly, the meta-analysis value for specificity of </w:t>
      </w:r>
      <w:r w:rsidRPr="00DE49EF">
        <w:rPr>
          <w:i/>
        </w:rPr>
        <w:t>ESR1</w:t>
      </w:r>
      <w:r w:rsidRPr="00DE49EF">
        <w:t>-mut detection was 88.20% (95% CI 80.99 – 95.40), also with high heterogeneity (I</w:t>
      </w:r>
      <w:r w:rsidRPr="00DE49EF">
        <w:rPr>
          <w:vertAlign w:val="superscript"/>
        </w:rPr>
        <w:t>2</w:t>
      </w:r>
      <w:r w:rsidRPr="00DE49EF">
        <w:t xml:space="preserve"> = 81.36%, p&lt;0.001).</w:t>
      </w:r>
    </w:p>
    <w:p w14:paraId="396FDDCD" w14:textId="77777777" w:rsidR="00C905D6" w:rsidRPr="00DE49EF" w:rsidRDefault="00C905D6" w:rsidP="00DE49EF">
      <w:r w:rsidRPr="00DE49EF">
        <w:t xml:space="preserve">The meta-analysis demonstrated a PPV of 56.94% (95% CI 41.70 – 72.18) and a NPV of 88.53% (95% CI 82.61–94.44) for </w:t>
      </w:r>
      <w:r w:rsidRPr="00DE49EF">
        <w:rPr>
          <w:i/>
        </w:rPr>
        <w:t>ESR1</w:t>
      </w:r>
      <w:r w:rsidRPr="00DE49EF">
        <w:t xml:space="preserve"> detection by cfDNA. The heterogeneity was moderate for NPV (I</w:t>
      </w:r>
      <w:r w:rsidRPr="00DE49EF">
        <w:rPr>
          <w:vertAlign w:val="superscript"/>
        </w:rPr>
        <w:t>2</w:t>
      </w:r>
      <w:r w:rsidRPr="00DE49EF">
        <w:t xml:space="preserve"> = 43.36%, P &gt; 0.05) but notable heterogeneity was observed for PPV (I</w:t>
      </w:r>
      <w:r w:rsidRPr="00DE49EF">
        <w:rPr>
          <w:vertAlign w:val="superscript"/>
        </w:rPr>
        <w:t>2</w:t>
      </w:r>
      <w:r w:rsidRPr="00DE49EF">
        <w:t xml:space="preserve"> = 73.36%, p&lt;0.001). Forest plots are shown for PPV and NPV. The meta-analysis value of test accuracy was 88.96% (95% CI 83.23 – 94.69), derived by examining sensitivity and specificity. Significant heterogeneity was observed (I</w:t>
      </w:r>
      <w:r w:rsidRPr="00DE49EF">
        <w:rPr>
          <w:vertAlign w:val="superscript"/>
        </w:rPr>
        <w:t>2</w:t>
      </w:r>
      <w:r w:rsidRPr="00DE49EF">
        <w:t xml:space="preserve"> = 78.91%, p&lt;0.001).</w:t>
      </w:r>
    </w:p>
    <w:p w14:paraId="139CC463" w14:textId="77777777" w:rsidR="00C905D6" w:rsidRPr="00DE49EF" w:rsidRDefault="00C905D6" w:rsidP="00DE49EF">
      <w:pPr>
        <w:pStyle w:val="MSACS2Heading2"/>
        <w:keepNext/>
        <w:keepLines/>
        <w:pageBreakBefore w:val="0"/>
        <w:rPr>
          <w:rFonts w:ascii="Franklin Gothic Book" w:hAnsi="Franklin Gothic Book"/>
          <w:snapToGrid w:val="0"/>
          <w:sz w:val="24"/>
          <w:szCs w:val="24"/>
          <w:lang w:eastAsia="en-AU"/>
        </w:rPr>
      </w:pPr>
      <w:r w:rsidRPr="00DE49EF">
        <w:rPr>
          <w:rFonts w:ascii="Franklin Gothic Book" w:hAnsi="Franklin Gothic Book"/>
          <w:snapToGrid w:val="0"/>
          <w:sz w:val="24"/>
          <w:szCs w:val="24"/>
          <w:lang w:eastAsia="en-AU"/>
        </w:rPr>
        <w:t>Comparison of detection of ESR1 in ctDNA using NGS versus PCR</w:t>
      </w:r>
    </w:p>
    <w:p w14:paraId="0026C550" w14:textId="4C60E4F8" w:rsidR="00C905D6" w:rsidRPr="00DE49EF" w:rsidRDefault="00C905D6" w:rsidP="00DE49EF">
      <w:r w:rsidRPr="00DE49EF">
        <w:t xml:space="preserve">The submission stated that testing using PCR methods such as </w:t>
      </w:r>
      <w:proofErr w:type="spellStart"/>
      <w:r w:rsidRPr="00DE49EF">
        <w:t>ddPCR</w:t>
      </w:r>
      <w:proofErr w:type="spellEnd"/>
      <w:r w:rsidRPr="00DE49EF">
        <w:t xml:space="preserve"> or qPCR were not considered appropriate for testing </w:t>
      </w:r>
      <w:r w:rsidRPr="00DE49EF">
        <w:rPr>
          <w:i/>
          <w:iCs/>
        </w:rPr>
        <w:t>ESR1</w:t>
      </w:r>
      <w:r w:rsidR="4E85454F" w:rsidRPr="00DE49EF">
        <w:t xml:space="preserve"> variant</w:t>
      </w:r>
      <w:r w:rsidRPr="00DE49EF">
        <w:t xml:space="preserve"> for the following reasons:</w:t>
      </w:r>
    </w:p>
    <w:p w14:paraId="6A6C3C24" w14:textId="7AE56CCF" w:rsidR="00C905D6" w:rsidRPr="00DE49EF" w:rsidRDefault="258752C8" w:rsidP="56F9DD4F">
      <w:pPr>
        <w:pStyle w:val="MainBodyBulletPoint"/>
        <w:rPr>
          <w:rFonts w:ascii="Franklin Gothic Book" w:hAnsi="Franklin Gothic Book"/>
          <w:sz w:val="22"/>
        </w:rPr>
      </w:pPr>
      <w:proofErr w:type="spellStart"/>
      <w:r w:rsidRPr="56F9DD4F">
        <w:rPr>
          <w:rFonts w:ascii="Franklin Gothic Book" w:hAnsi="Franklin Gothic Book"/>
          <w:sz w:val="22"/>
        </w:rPr>
        <w:t>ddPCR</w:t>
      </w:r>
      <w:proofErr w:type="spellEnd"/>
      <w:r w:rsidRPr="56F9DD4F">
        <w:rPr>
          <w:rFonts w:ascii="Franklin Gothic Book" w:hAnsi="Franklin Gothic Book"/>
          <w:sz w:val="22"/>
        </w:rPr>
        <w:t xml:space="preserve"> would offer a limited read of the </w:t>
      </w:r>
      <w:r w:rsidRPr="56F9DD4F">
        <w:rPr>
          <w:rFonts w:ascii="Franklin Gothic Book" w:hAnsi="Franklin Gothic Book"/>
          <w:i/>
          <w:iCs/>
          <w:sz w:val="22"/>
        </w:rPr>
        <w:t>ESR1</w:t>
      </w:r>
      <w:r w:rsidRPr="56F9DD4F">
        <w:rPr>
          <w:rFonts w:ascii="Franklin Gothic Book" w:hAnsi="Franklin Gothic Book"/>
          <w:sz w:val="22"/>
        </w:rPr>
        <w:t xml:space="preserve"> variant and may not be optimal to detect all variants </w:t>
      </w:r>
      <w:r w:rsidR="00C37FBD">
        <w:rPr>
          <w:rFonts w:ascii="Franklin Gothic Book" w:hAnsi="Franklin Gothic Book"/>
          <w:b/>
          <w:bCs/>
          <w:sz w:val="22"/>
        </w:rPr>
        <w:t>redacted</w:t>
      </w:r>
      <w:r w:rsidRPr="56F9DD4F">
        <w:rPr>
          <w:rFonts w:ascii="Franklin Gothic Book" w:hAnsi="Franklin Gothic Book"/>
          <w:sz w:val="22"/>
        </w:rPr>
        <w:t xml:space="preserve"> without performing two or more consecutive tests. Also, </w:t>
      </w:r>
      <w:proofErr w:type="spellStart"/>
      <w:r w:rsidRPr="56F9DD4F">
        <w:rPr>
          <w:rFonts w:ascii="Franklin Gothic Book" w:hAnsi="Franklin Gothic Book"/>
          <w:sz w:val="22"/>
        </w:rPr>
        <w:t>ddPCR</w:t>
      </w:r>
      <w:proofErr w:type="spellEnd"/>
      <w:r w:rsidRPr="56F9DD4F">
        <w:rPr>
          <w:rFonts w:ascii="Franklin Gothic Book" w:hAnsi="Franklin Gothic Book"/>
          <w:sz w:val="22"/>
        </w:rPr>
        <w:t xml:space="preserve"> needs much more technical setup than NGS which is a ready to use solution.</w:t>
      </w:r>
    </w:p>
    <w:p w14:paraId="554C261E" w14:textId="400FC268" w:rsidR="00C905D6" w:rsidRPr="00DE49EF" w:rsidRDefault="00C905D6" w:rsidP="00DE49EF">
      <w:pPr>
        <w:pStyle w:val="MainBodyBulletPoint"/>
        <w:rPr>
          <w:rFonts w:ascii="Franklin Gothic Book" w:hAnsi="Franklin Gothic Book"/>
          <w:sz w:val="22"/>
        </w:rPr>
      </w:pPr>
      <w:r w:rsidRPr="00DE49EF">
        <w:rPr>
          <w:rFonts w:ascii="Franklin Gothic Book" w:hAnsi="Franklin Gothic Book"/>
          <w:sz w:val="22"/>
        </w:rPr>
        <w:t>qPCR is not considered optimal for detecting</w:t>
      </w:r>
      <w:r w:rsidRPr="00DE49EF">
        <w:rPr>
          <w:rFonts w:ascii="Franklin Gothic Book" w:hAnsi="Franklin Gothic Book"/>
          <w:i/>
          <w:iCs/>
          <w:sz w:val="22"/>
        </w:rPr>
        <w:t xml:space="preserve"> ESR1</w:t>
      </w:r>
      <w:r w:rsidR="28F4B7AC" w:rsidRPr="00DE49EF">
        <w:rPr>
          <w:rFonts w:ascii="Franklin Gothic Book" w:hAnsi="Franklin Gothic Book"/>
          <w:sz w:val="22"/>
        </w:rPr>
        <w:t xml:space="preserve"> variant </w:t>
      </w:r>
      <w:r w:rsidRPr="00DE49EF">
        <w:rPr>
          <w:rFonts w:ascii="Franklin Gothic Book" w:hAnsi="Franklin Gothic Book"/>
          <w:sz w:val="22"/>
        </w:rPr>
        <w:t xml:space="preserve">in ctDNA from blood samples </w:t>
      </w:r>
      <w:r w:rsidR="004154A1">
        <w:rPr>
          <w:rFonts w:ascii="Franklin Gothic Book" w:hAnsi="Franklin Gothic Book"/>
          <w:sz w:val="22"/>
        </w:rPr>
        <w:t>for</w:t>
      </w:r>
      <w:r w:rsidRPr="00DE49EF">
        <w:rPr>
          <w:rFonts w:ascii="Franklin Gothic Book" w:hAnsi="Franklin Gothic Book"/>
          <w:sz w:val="22"/>
        </w:rPr>
        <w:t xml:space="preserve"> several reasons (low MAF, low range of mutation detection; qPCR might show cross-reactivity with similar sequences, leading to false positives; recommendations in clinical guidelines to use NGS). This submission also stated that qPCR has never been investigated in a clinical trial for the detection of </w:t>
      </w:r>
      <w:r w:rsidRPr="00DE49EF">
        <w:rPr>
          <w:rFonts w:ascii="Franklin Gothic Book" w:hAnsi="Franklin Gothic Book"/>
          <w:i/>
          <w:iCs/>
          <w:sz w:val="22"/>
        </w:rPr>
        <w:t>ESR1</w:t>
      </w:r>
      <w:r w:rsidR="28F4B7AC" w:rsidRPr="00DE49EF">
        <w:rPr>
          <w:rFonts w:ascii="Franklin Gothic Book" w:hAnsi="Franklin Gothic Book"/>
          <w:sz w:val="22"/>
        </w:rPr>
        <w:t xml:space="preserve"> variant</w:t>
      </w:r>
      <w:r w:rsidRPr="00DE49EF">
        <w:rPr>
          <w:rFonts w:ascii="Franklin Gothic Book" w:hAnsi="Franklin Gothic Book"/>
          <w:sz w:val="22"/>
        </w:rPr>
        <w:t xml:space="preserve">. </w:t>
      </w:r>
    </w:p>
    <w:p w14:paraId="655F2A7B" w14:textId="5CEE8C45" w:rsidR="00C905D6" w:rsidRPr="00DE49EF" w:rsidRDefault="00C905D6" w:rsidP="00DE49EF">
      <w:r w:rsidRPr="00DE49EF">
        <w:t xml:space="preserve">As such, testing using PCR methods such as </w:t>
      </w:r>
      <w:proofErr w:type="spellStart"/>
      <w:r w:rsidRPr="00DE49EF">
        <w:t>ddPCR</w:t>
      </w:r>
      <w:proofErr w:type="spellEnd"/>
      <w:r w:rsidRPr="00DE49EF">
        <w:t xml:space="preserve"> or qPCR were not presented in the submission.</w:t>
      </w:r>
    </w:p>
    <w:p w14:paraId="0EEDABDE" w14:textId="294DD45D" w:rsidR="00C905D6" w:rsidRPr="00DE49EF" w:rsidRDefault="00C905D6" w:rsidP="00DE49EF">
      <w:r w:rsidRPr="00DE49EF">
        <w:t xml:space="preserve">The commentary considered this inappropriate as it does not align with the key assessment questions agreed by PASC at the August 2024 PASC meeting which includes the need to demonstrate the difference between NGS, </w:t>
      </w:r>
      <w:proofErr w:type="spellStart"/>
      <w:r w:rsidRPr="00DE49EF">
        <w:t>ddPCR</w:t>
      </w:r>
      <w:proofErr w:type="spellEnd"/>
      <w:r w:rsidRPr="00DE49EF">
        <w:t xml:space="preserve"> and qPCR methodologies and implications of discordance between methods (p12, Ratified PICO confirmation, August 2024 PASC meeting).</w:t>
      </w:r>
    </w:p>
    <w:p w14:paraId="4EE72ECD" w14:textId="7179D69E" w:rsidR="00C905D6" w:rsidRPr="00DE49EF" w:rsidRDefault="00C905D6" w:rsidP="00DE49EF">
      <w:r w:rsidRPr="00DE49EF">
        <w:t>The two meta-analys</w:t>
      </w:r>
      <w:r w:rsidR="009A76C2" w:rsidRPr="00DE49EF">
        <w:t>e</w:t>
      </w:r>
      <w:r w:rsidRPr="00DE49EF">
        <w:t xml:space="preserve">s by Najim et al, (2023) and Raei et al, (2024) included studies which compared these methodologies and are therefore considered in the </w:t>
      </w:r>
      <w:r w:rsidR="1458E526">
        <w:t>c</w:t>
      </w:r>
      <w:r w:rsidRPr="00DE49EF">
        <w:t xml:space="preserve">ommentary. </w:t>
      </w:r>
    </w:p>
    <w:p w14:paraId="15FB4F6F" w14:textId="23173E83" w:rsidR="00C905D6" w:rsidRPr="00DE49EF" w:rsidRDefault="00C905D6" w:rsidP="00DE49EF">
      <w:r w:rsidRPr="00DE49EF">
        <w:t xml:space="preserve">The Najim et al, (2023) meta-analysis included studies using </w:t>
      </w:r>
      <w:proofErr w:type="spellStart"/>
      <w:r w:rsidRPr="00DE49EF">
        <w:t>ddPCR</w:t>
      </w:r>
      <w:proofErr w:type="spellEnd"/>
      <w:r w:rsidRPr="00DE49EF">
        <w:t xml:space="preserve"> (k=7, n=1</w:t>
      </w:r>
      <w:r w:rsidR="71BD7B2C" w:rsidRPr="00DE49EF">
        <w:t>,</w:t>
      </w:r>
      <w:r w:rsidRPr="00DE49EF">
        <w:t>684) and NGS (k=9, n=1</w:t>
      </w:r>
      <w:r w:rsidR="71BD7B2C" w:rsidRPr="00DE49EF">
        <w:t>,</w:t>
      </w:r>
      <w:r w:rsidRPr="00DE49EF">
        <w:t xml:space="preserve">060) to determine </w:t>
      </w:r>
      <w:r w:rsidRPr="00DE49EF">
        <w:rPr>
          <w:i/>
          <w:iCs/>
        </w:rPr>
        <w:t>ESR1</w:t>
      </w:r>
      <w:r w:rsidRPr="00DE49EF">
        <w:t xml:space="preserve">-mut in tissue and plasma samples. The incidence rates of </w:t>
      </w:r>
      <w:r w:rsidRPr="00DE49EF">
        <w:rPr>
          <w:i/>
          <w:iCs/>
        </w:rPr>
        <w:lastRenderedPageBreak/>
        <w:t>ESR1</w:t>
      </w:r>
      <w:r w:rsidRPr="00DE49EF">
        <w:t xml:space="preserve">-mut using </w:t>
      </w:r>
      <w:proofErr w:type="spellStart"/>
      <w:r w:rsidRPr="00DE49EF">
        <w:t>ddPCR</w:t>
      </w:r>
      <w:proofErr w:type="spellEnd"/>
      <w:r w:rsidRPr="00DE49EF">
        <w:t xml:space="preserve"> and NGS were 26% (95% CI, 20 – 33%) and 19% (95% CI, 13 – 27%), respectively. Forest plots are shown in Figure 2A.4.6. The authors found no signiﬁcant difference in </w:t>
      </w:r>
      <w:r w:rsidRPr="00DE49EF">
        <w:rPr>
          <w:i/>
          <w:iCs/>
        </w:rPr>
        <w:t>ESR1</w:t>
      </w:r>
      <w:r w:rsidRPr="00DE49EF">
        <w:t xml:space="preserve">-mut incidence between </w:t>
      </w:r>
      <w:proofErr w:type="spellStart"/>
      <w:r w:rsidRPr="00DE49EF">
        <w:t>ddPCR</w:t>
      </w:r>
      <w:proofErr w:type="spellEnd"/>
      <w:r w:rsidRPr="00DE49EF">
        <w:t xml:space="preserve"> and NGS techniques (P= 0.15).</w:t>
      </w:r>
    </w:p>
    <w:p w14:paraId="65230A72" w14:textId="6697454D" w:rsidR="00C905D6" w:rsidRPr="00DE49EF" w:rsidRDefault="00BC745F" w:rsidP="00DE49EF">
      <w:pPr>
        <w:rPr>
          <w:rFonts w:cstheme="minorHAnsi"/>
        </w:rPr>
      </w:pPr>
      <w:r>
        <w:rPr>
          <w:rFonts w:cstheme="minorHAnsi"/>
        </w:rPr>
        <w:t>In t</w:t>
      </w:r>
      <w:r w:rsidR="00C905D6" w:rsidRPr="00DE49EF">
        <w:rPr>
          <w:rFonts w:cstheme="minorHAnsi"/>
        </w:rPr>
        <w:t xml:space="preserve">he Raei et al. (2024) meta-analysis, comparisons between </w:t>
      </w:r>
      <w:r w:rsidR="00C905D6" w:rsidRPr="00DE49EF">
        <w:t>d</w:t>
      </w:r>
      <w:r w:rsidR="003A1C7E" w:rsidRPr="00DE49EF">
        <w:t>igital</w:t>
      </w:r>
      <w:r w:rsidR="005C25F1" w:rsidRPr="00DE49EF">
        <w:rPr>
          <w:rStyle w:val="FootnoteReference"/>
        </w:rPr>
        <w:footnoteReference w:id="20"/>
      </w:r>
      <w:r w:rsidR="003A1C7E" w:rsidRPr="00DE49EF">
        <w:t xml:space="preserve"> </w:t>
      </w:r>
      <w:r w:rsidR="00C905D6" w:rsidRPr="00DE49EF">
        <w:t xml:space="preserve">PCR or NGS assays were presented as </w:t>
      </w:r>
      <w:r w:rsidR="001E3CC7" w:rsidRPr="00DE49EF">
        <w:t xml:space="preserve">a </w:t>
      </w:r>
      <w:r w:rsidR="00C905D6" w:rsidRPr="00DE49EF">
        <w:t>subgroup analysis. Specificity of NGS and d</w:t>
      </w:r>
      <w:r w:rsidR="003A1C7E" w:rsidRPr="00DE49EF">
        <w:t xml:space="preserve">igital </w:t>
      </w:r>
      <w:r w:rsidR="00C905D6" w:rsidRPr="00DE49EF">
        <w:t>PCR was comparable (90.14%; range 79.17 – 101.10 versus 90.44%; range 82.55 – 98.33, respectively) but sensitivity for NGS (56.78%, range 13.89 – 99.67) was lower than for d</w:t>
      </w:r>
      <w:r w:rsidR="00E21DF0" w:rsidRPr="00DE49EF">
        <w:t xml:space="preserve">igital </w:t>
      </w:r>
      <w:r w:rsidR="00C905D6" w:rsidRPr="00DE49EF">
        <w:t>PCR (81.01%; range 64.04 – 97.99).</w:t>
      </w:r>
      <w:r w:rsidR="00E21DF0" w:rsidRPr="00DE49EF">
        <w:t xml:space="preserve"> </w:t>
      </w:r>
    </w:p>
    <w:p w14:paraId="0C54AF4E" w14:textId="77777777" w:rsidR="00C905D6" w:rsidRPr="00E75F9A" w:rsidRDefault="00C905D6" w:rsidP="00DE49EF">
      <w:pPr>
        <w:pStyle w:val="MSACS2Heading2"/>
        <w:keepNext/>
        <w:keepLines/>
        <w:pageBreakBefore w:val="0"/>
        <w:rPr>
          <w:rFonts w:ascii="Franklin Gothic Book" w:hAnsi="Franklin Gothic Book"/>
          <w:snapToGrid w:val="0"/>
          <w:sz w:val="24"/>
          <w:szCs w:val="24"/>
          <w:lang w:val="it-IT" w:eastAsia="en-AU"/>
        </w:rPr>
      </w:pPr>
      <w:bookmarkStart w:id="57" w:name="AustralianAssays"/>
      <w:r w:rsidRPr="00E75F9A">
        <w:rPr>
          <w:rFonts w:ascii="Franklin Gothic Book" w:hAnsi="Franklin Gothic Book"/>
          <w:snapToGrid w:val="0"/>
          <w:sz w:val="24"/>
          <w:szCs w:val="24"/>
          <w:lang w:val="it-IT" w:eastAsia="en-AU"/>
        </w:rPr>
        <w:t>Non-comparative concordance data from ESR1 assays in Australia</w:t>
      </w:r>
      <w:bookmarkEnd w:id="57"/>
    </w:p>
    <w:p w14:paraId="27D5E86D" w14:textId="184C8E7E" w:rsidR="00C905D6" w:rsidRPr="00DE49EF" w:rsidRDefault="258752C8" w:rsidP="56F9DD4F">
      <w:pPr>
        <w:spacing w:after="120"/>
        <w:rPr>
          <w:i/>
          <w:iCs/>
        </w:rPr>
      </w:pPr>
      <w:r>
        <w:t xml:space="preserve">The submission provided a list of assays available in Australia that could potentially be used to detect </w:t>
      </w:r>
      <w:r w:rsidRPr="56F9DD4F">
        <w:rPr>
          <w:i/>
          <w:iCs/>
        </w:rPr>
        <w:t>ESR1</w:t>
      </w:r>
      <w:r>
        <w:t xml:space="preserve"> variants in liquid biopsy samples</w:t>
      </w:r>
      <w:r w:rsidR="70581569">
        <w:t xml:space="preserve"> (</w:t>
      </w:r>
      <w:r w:rsidR="00C905D6">
        <w:fldChar w:fldCharType="begin"/>
      </w:r>
      <w:r w:rsidR="00C905D6">
        <w:instrText xml:space="preserve"> REF _Ref188370126 \h  \* MERGEFORMAT </w:instrText>
      </w:r>
      <w:r w:rsidR="00C905D6">
        <w:fldChar w:fldCharType="separate"/>
      </w:r>
      <w:r w:rsidR="53DFF6C5">
        <w:t xml:space="preserve">Table </w:t>
      </w:r>
      <w:r w:rsidR="4E4463E9">
        <w:t>1</w:t>
      </w:r>
      <w:r w:rsidR="00C905D6">
        <w:fldChar w:fldCharType="end"/>
      </w:r>
      <w:r w:rsidR="70581569">
        <w:t>)</w:t>
      </w:r>
      <w:r>
        <w:t xml:space="preserve">. These include </w:t>
      </w:r>
      <w:proofErr w:type="spellStart"/>
      <w:r>
        <w:t>Thermofisher</w:t>
      </w:r>
      <w:proofErr w:type="spellEnd"/>
      <w:r>
        <w:t xml:space="preserve"> Oncomine cfDNA Breast, </w:t>
      </w:r>
      <w:proofErr w:type="spellStart"/>
      <w:r>
        <w:t>Thermofisher</w:t>
      </w:r>
      <w:proofErr w:type="spellEnd"/>
      <w:r>
        <w:t xml:space="preserve"> Oncomine Precision GX tests, Roche </w:t>
      </w:r>
      <w:proofErr w:type="spellStart"/>
      <w:r>
        <w:t>Avenio</w:t>
      </w:r>
      <w:proofErr w:type="spellEnd"/>
      <w:r>
        <w:t xml:space="preserve"> ctDNA expanded v2 and Illumina </w:t>
      </w:r>
      <w:proofErr w:type="spellStart"/>
      <w:r>
        <w:t>TruSight</w:t>
      </w:r>
      <w:proofErr w:type="spellEnd"/>
      <w:r>
        <w:t xml:space="preserve"> 500 Oncology ctDNA. None of the ctDNA tests for </w:t>
      </w:r>
      <w:r w:rsidRPr="56F9DD4F">
        <w:rPr>
          <w:i/>
          <w:iCs/>
        </w:rPr>
        <w:t>ESR1</w:t>
      </w:r>
      <w:r>
        <w:t xml:space="preserve"> variants are TGA</w:t>
      </w:r>
      <w:r w:rsidR="70581569">
        <w:t>-</w:t>
      </w:r>
      <w:r>
        <w:t>registered.</w:t>
      </w:r>
    </w:p>
    <w:p w14:paraId="54427410" w14:textId="522EBFCC" w:rsidR="00C905D6" w:rsidRPr="00DE49EF" w:rsidRDefault="00C905D6" w:rsidP="00DE49EF">
      <w:r w:rsidRPr="00DE49EF">
        <w:t xml:space="preserve">The submission presented analytical data for assays described as approved and available in Australia and which could be used to detect </w:t>
      </w:r>
      <w:r w:rsidRPr="00DE49EF">
        <w:rPr>
          <w:i/>
          <w:iCs/>
        </w:rPr>
        <w:t>ESR1</w:t>
      </w:r>
      <w:r w:rsidRPr="00DE49EF">
        <w:t xml:space="preserve"> variants in plasma samples, compared to the clinical utility standard (Guardant360® </w:t>
      </w:r>
      <w:proofErr w:type="spellStart"/>
      <w:r w:rsidRPr="00DE49EF">
        <w:t>CDx</w:t>
      </w:r>
      <w:proofErr w:type="spellEnd"/>
      <w:r w:rsidRPr="00DE49EF">
        <w:t>). Limit of detection (</w:t>
      </w:r>
      <w:proofErr w:type="spellStart"/>
      <w:r w:rsidRPr="00DE49EF">
        <w:t>LoD</w:t>
      </w:r>
      <w:proofErr w:type="spellEnd"/>
      <w:r w:rsidRPr="00DE49EF">
        <w:t xml:space="preserve">), sensitivity and specificity were extracted from the respective manufacturers information and represent overall analytical performance data. </w:t>
      </w:r>
    </w:p>
    <w:p w14:paraId="7D970B7D" w14:textId="7F35C653" w:rsidR="00C905D6" w:rsidRPr="00DE49EF" w:rsidRDefault="00C905D6" w:rsidP="00DE49EF">
      <w:r w:rsidRPr="00DE49EF">
        <w:t>The commentary noted that no comparative evidence of concordance between the clinical utility standard (</w:t>
      </w:r>
      <w:r w:rsidRPr="00DE49EF">
        <w:rPr>
          <w:rFonts w:eastAsia="Calibri" w:cs="Times New Roman"/>
        </w:rPr>
        <w:t xml:space="preserve">Guardant360® </w:t>
      </w:r>
      <w:proofErr w:type="spellStart"/>
      <w:r w:rsidRPr="00DE49EF">
        <w:rPr>
          <w:rFonts w:eastAsia="Calibri" w:cs="Times New Roman"/>
        </w:rPr>
        <w:t>CDx</w:t>
      </w:r>
      <w:proofErr w:type="spellEnd"/>
      <w:r w:rsidRPr="00DE49EF">
        <w:rPr>
          <w:rFonts w:eastAsia="Calibri" w:cs="Times New Roman"/>
        </w:rPr>
        <w:t xml:space="preserve">) and </w:t>
      </w:r>
      <w:r w:rsidRPr="00DE49EF">
        <w:rPr>
          <w:i/>
          <w:iCs/>
        </w:rPr>
        <w:t>ESR1</w:t>
      </w:r>
      <w:r w:rsidRPr="00DE49EF">
        <w:t xml:space="preserve"> assays available in Australia was presented. </w:t>
      </w:r>
    </w:p>
    <w:p w14:paraId="26A0A543" w14:textId="64C05BFD" w:rsidR="00C905D6" w:rsidRPr="00DE49EF" w:rsidRDefault="00C905D6" w:rsidP="00DE49EF">
      <w:pPr>
        <w:rPr>
          <w:i/>
          <w:iCs/>
        </w:rPr>
      </w:pPr>
      <w:r w:rsidRPr="00DE49EF">
        <w:t xml:space="preserve">The commentary considers this evidence is important given the </w:t>
      </w:r>
      <w:r w:rsidR="00125842">
        <w:rPr>
          <w:b/>
          <w:bCs/>
        </w:rPr>
        <w:t>redacted</w:t>
      </w:r>
      <w:r w:rsidRPr="00DE49EF">
        <w:rPr>
          <w:i/>
          <w:iCs/>
        </w:rPr>
        <w:t xml:space="preserve"> </w:t>
      </w:r>
    </w:p>
    <w:p w14:paraId="7BF0AFB6" w14:textId="77777777" w:rsidR="00C905D6" w:rsidRPr="00DE49EF" w:rsidRDefault="00C905D6" w:rsidP="00DE49EF">
      <w:pPr>
        <w:pStyle w:val="MSACS2Heading2"/>
        <w:keepNext/>
        <w:keepLines/>
        <w:pageBreakBefore w:val="0"/>
        <w:rPr>
          <w:rFonts w:ascii="Franklin Gothic Book" w:hAnsi="Franklin Gothic Book"/>
          <w:snapToGrid w:val="0"/>
          <w:sz w:val="24"/>
          <w:szCs w:val="24"/>
          <w:lang w:eastAsia="en-AU"/>
        </w:rPr>
      </w:pPr>
      <w:r w:rsidRPr="00DE49EF">
        <w:rPr>
          <w:rFonts w:ascii="Franklin Gothic Book" w:hAnsi="Franklin Gothic Book"/>
          <w:snapToGrid w:val="0"/>
          <w:sz w:val="24"/>
          <w:szCs w:val="24"/>
          <w:lang w:eastAsia="en-AU"/>
        </w:rPr>
        <w:t>Summary of linked evidence of test performance</w:t>
      </w:r>
    </w:p>
    <w:p w14:paraId="5B91D80B" w14:textId="77777777" w:rsidR="00C905D6" w:rsidRPr="00DE49EF" w:rsidRDefault="00C905D6" w:rsidP="00DE49EF">
      <w:pPr>
        <w:spacing w:before="0" w:after="120"/>
        <w:rPr>
          <w:rFonts w:eastAsia="Times New Roman" w:cs="Arial"/>
          <w:snapToGrid w:val="0"/>
          <w:lang w:eastAsia="en-AU"/>
        </w:rPr>
      </w:pPr>
      <w:r w:rsidRPr="00DE49EF">
        <w:rPr>
          <w:rFonts w:eastAsia="Times New Roman" w:cs="Arial"/>
          <w:snapToGrid w:val="0"/>
          <w:lang w:eastAsia="en-AU"/>
        </w:rPr>
        <w:t xml:space="preserve">The commentary considered that significant gaps remain regarding performance of the clinical utility standard, the Guardant360. Furthermore, evidence presented in the submission for test performance data to support the comparison between the clinical utility standard used in the EMERALD trial and the tests that might be used in Australia was extremely limited. </w:t>
      </w:r>
    </w:p>
    <w:p w14:paraId="051A12D0" w14:textId="77777777" w:rsidR="00C905D6" w:rsidRPr="00DE49EF" w:rsidRDefault="00C905D6" w:rsidP="00DE49EF">
      <w:pPr>
        <w:spacing w:before="0" w:after="120"/>
        <w:rPr>
          <w:rFonts w:eastAsia="Times New Roman" w:cs="Arial"/>
          <w:snapToGrid w:val="0"/>
          <w:lang w:eastAsia="en-AU"/>
        </w:rPr>
      </w:pPr>
      <w:r w:rsidRPr="00DE49EF">
        <w:rPr>
          <w:rFonts w:eastAsia="Times New Roman" w:cs="Arial"/>
          <w:snapToGrid w:val="0"/>
          <w:lang w:eastAsia="en-AU"/>
        </w:rPr>
        <w:t>The following key concerns remain:</w:t>
      </w:r>
    </w:p>
    <w:p w14:paraId="54506FDB" w14:textId="38E8D5CA" w:rsidR="00C905D6" w:rsidRPr="00DE49EF" w:rsidRDefault="00C905D6" w:rsidP="00252706">
      <w:pPr>
        <w:numPr>
          <w:ilvl w:val="0"/>
          <w:numId w:val="28"/>
        </w:numPr>
        <w:spacing w:before="0" w:after="120"/>
        <w:rPr>
          <w:rFonts w:eastAsia="Times New Roman" w:cs="Arial"/>
          <w:snapToGrid w:val="0"/>
          <w:lang w:eastAsia="en-AU"/>
        </w:rPr>
      </w:pPr>
      <w:r w:rsidRPr="00DE49EF">
        <w:rPr>
          <w:rFonts w:eastAsia="Times New Roman" w:cs="Arial"/>
          <w:lang w:eastAsia="en-AU"/>
        </w:rPr>
        <w:t>The comparisons of concordance data for the Guardant360 assay and the corresponding NGS assays that may be available in Australia (</w:t>
      </w:r>
      <w:proofErr w:type="gramStart"/>
      <w:r w:rsidRPr="00DE49EF">
        <w:rPr>
          <w:rFonts w:eastAsia="Times New Roman" w:cs="Arial"/>
          <w:lang w:eastAsia="en-AU"/>
        </w:rPr>
        <w:t>in particular the</w:t>
      </w:r>
      <w:proofErr w:type="gramEnd"/>
      <w:r w:rsidRPr="00DE49EF">
        <w:rPr>
          <w:rFonts w:eastAsia="Times New Roman" w:cs="Arial"/>
          <w:lang w:eastAsia="en-AU"/>
        </w:rPr>
        <w:t xml:space="preserve"> Oncomine Precision assay) presented in the submission was of limited value to draw valid conclusions. </w:t>
      </w:r>
    </w:p>
    <w:p w14:paraId="2CE00A8A" w14:textId="7B2F5FCC" w:rsidR="00C905D6" w:rsidRPr="00DE49EF" w:rsidRDefault="00C905D6" w:rsidP="00252706">
      <w:pPr>
        <w:numPr>
          <w:ilvl w:val="0"/>
          <w:numId w:val="28"/>
        </w:numPr>
        <w:spacing w:before="0" w:after="120"/>
        <w:rPr>
          <w:rFonts w:eastAsia="Times New Roman" w:cs="Arial"/>
          <w:snapToGrid w:val="0"/>
          <w:lang w:eastAsia="en-AU"/>
        </w:rPr>
      </w:pPr>
      <w:r w:rsidRPr="00DE49EF">
        <w:rPr>
          <w:rFonts w:eastAsia="Times New Roman" w:cs="Arial"/>
          <w:snapToGrid w:val="0"/>
          <w:lang w:eastAsia="en-AU"/>
        </w:rPr>
        <w:t>CDxGuardant360 is not available in Australia and the lack of TGA</w:t>
      </w:r>
      <w:r w:rsidR="4CF8E6A6" w:rsidRPr="00DE49EF">
        <w:rPr>
          <w:rFonts w:eastAsia="Times New Roman" w:cs="Arial"/>
          <w:snapToGrid w:val="0"/>
          <w:lang w:eastAsia="en-AU"/>
        </w:rPr>
        <w:t>-</w:t>
      </w:r>
      <w:r w:rsidRPr="00DE49EF">
        <w:rPr>
          <w:rFonts w:eastAsia="Times New Roman" w:cs="Arial"/>
          <w:snapToGrid w:val="0"/>
          <w:lang w:eastAsia="en-AU"/>
        </w:rPr>
        <w:t xml:space="preserve">approved testing approaches remains an issue. The submission has not presented sufficient evidence to demonstrate that testing in clinical practice would be adequately comparable to that used in the EMERALD trial, which is a key requirement for the safe and effective use of </w:t>
      </w:r>
      <w:proofErr w:type="spellStart"/>
      <w:r w:rsidRPr="00DE49EF">
        <w:rPr>
          <w:rFonts w:eastAsia="Times New Roman" w:cs="Arial"/>
          <w:snapToGrid w:val="0"/>
          <w:lang w:eastAsia="en-AU"/>
        </w:rPr>
        <w:t>elace</w:t>
      </w:r>
      <w:r w:rsidR="3AEE193C" w:rsidRPr="00DE49EF">
        <w:rPr>
          <w:rFonts w:eastAsia="Times New Roman" w:cs="Arial"/>
          <w:snapToGrid w:val="0"/>
          <w:lang w:eastAsia="en-AU"/>
        </w:rPr>
        <w:t>s</w:t>
      </w:r>
      <w:r w:rsidRPr="00DE49EF">
        <w:rPr>
          <w:rFonts w:eastAsia="Times New Roman" w:cs="Arial"/>
          <w:snapToGrid w:val="0"/>
          <w:lang w:eastAsia="en-AU"/>
        </w:rPr>
        <w:t>trant</w:t>
      </w:r>
      <w:proofErr w:type="spellEnd"/>
      <w:r w:rsidRPr="00DE49EF">
        <w:rPr>
          <w:rFonts w:eastAsia="Times New Roman" w:cs="Arial"/>
          <w:snapToGrid w:val="0"/>
          <w:lang w:eastAsia="en-AU"/>
        </w:rPr>
        <w:t xml:space="preserve"> for treatment in patients with </w:t>
      </w:r>
      <w:r w:rsidRPr="00DE49EF">
        <w:rPr>
          <w:rFonts w:eastAsia="Times New Roman" w:cs="Arial"/>
          <w:i/>
          <w:iCs/>
          <w:snapToGrid w:val="0"/>
          <w:lang w:eastAsia="en-AU"/>
        </w:rPr>
        <w:t>ESR1</w:t>
      </w:r>
      <w:r w:rsidRPr="00DE49EF">
        <w:rPr>
          <w:rFonts w:eastAsia="Times New Roman" w:cs="Arial"/>
          <w:snapToGrid w:val="0"/>
          <w:lang w:eastAsia="en-AU"/>
        </w:rPr>
        <w:t xml:space="preserve"> variants. </w:t>
      </w:r>
    </w:p>
    <w:p w14:paraId="2A010BC7" w14:textId="1E6C3146" w:rsidR="00C905D6" w:rsidRPr="00DE49EF" w:rsidRDefault="00C905D6" w:rsidP="00252706">
      <w:pPr>
        <w:numPr>
          <w:ilvl w:val="0"/>
          <w:numId w:val="28"/>
        </w:numPr>
        <w:spacing w:before="0" w:after="120"/>
        <w:rPr>
          <w:rFonts w:eastAsia="Times New Roman" w:cs="Arial"/>
          <w:snapToGrid w:val="0"/>
          <w:lang w:eastAsia="en-AU"/>
        </w:rPr>
      </w:pPr>
      <w:r w:rsidRPr="00DE49EF">
        <w:rPr>
          <w:rFonts w:eastAsia="Times New Roman" w:cs="Arial"/>
          <w:snapToGrid w:val="0"/>
          <w:lang w:eastAsia="en-AU"/>
        </w:rPr>
        <w:t xml:space="preserve">Based on the information provided in the submission, it remains unclear whether there is sufficient capacity in current Australian laboratories to meet testing requirements for </w:t>
      </w:r>
      <w:r w:rsidRPr="00DE49EF">
        <w:rPr>
          <w:rFonts w:eastAsia="Times New Roman" w:cs="Arial"/>
          <w:i/>
          <w:iCs/>
          <w:snapToGrid w:val="0"/>
          <w:lang w:eastAsia="en-AU"/>
        </w:rPr>
        <w:t>ESR1</w:t>
      </w:r>
      <w:r w:rsidRPr="00DE49EF">
        <w:rPr>
          <w:rFonts w:eastAsia="Times New Roman" w:cs="Arial"/>
          <w:snapToGrid w:val="0"/>
          <w:lang w:eastAsia="en-AU"/>
        </w:rPr>
        <w:t xml:space="preserve"> variants in ctDNA.</w:t>
      </w:r>
    </w:p>
    <w:p w14:paraId="052D9B40" w14:textId="33151033" w:rsidR="00C905D6" w:rsidRPr="00125842" w:rsidRDefault="00125842" w:rsidP="00252706">
      <w:pPr>
        <w:numPr>
          <w:ilvl w:val="0"/>
          <w:numId w:val="28"/>
        </w:numPr>
        <w:spacing w:before="0" w:after="120"/>
        <w:rPr>
          <w:rFonts w:eastAsia="Times New Roman" w:cs="Arial"/>
          <w:snapToGrid w:val="0"/>
          <w:lang w:eastAsia="en-AU"/>
        </w:rPr>
      </w:pPr>
      <w:r w:rsidRPr="00125842">
        <w:rPr>
          <w:rFonts w:eastAsia="Times New Roman" w:cs="Arial"/>
          <w:b/>
          <w:bCs/>
          <w:snapToGrid w:val="0"/>
          <w:lang w:eastAsia="en-AU"/>
        </w:rPr>
        <w:lastRenderedPageBreak/>
        <w:t>Redacted.</w:t>
      </w:r>
      <w:r w:rsidR="00C905D6" w:rsidRPr="00125842">
        <w:rPr>
          <w:rFonts w:eastAsia="Times New Roman" w:cs="Arial"/>
          <w:snapToGrid w:val="0"/>
          <w:lang w:eastAsia="en-AU"/>
        </w:rPr>
        <w:t xml:space="preserve"> Evidence supplied </w:t>
      </w:r>
      <w:r w:rsidR="672CA35E" w:rsidRPr="00125842">
        <w:rPr>
          <w:rFonts w:eastAsia="Times New Roman" w:cs="Arial"/>
          <w:snapToGrid w:val="0"/>
          <w:lang w:eastAsia="en-AU"/>
        </w:rPr>
        <w:t>during the evaluation</w:t>
      </w:r>
      <w:r w:rsidR="672CA35E" w:rsidRPr="00125842" w:rsidDel="00345881">
        <w:rPr>
          <w:rFonts w:eastAsia="Times New Roman" w:cs="Arial"/>
          <w:snapToGrid w:val="0"/>
          <w:lang w:eastAsia="en-AU"/>
        </w:rPr>
        <w:t xml:space="preserve"> </w:t>
      </w:r>
      <w:r w:rsidR="625764AC" w:rsidRPr="00125842">
        <w:rPr>
          <w:rFonts w:eastAsia="Times New Roman" w:cs="Arial"/>
          <w:snapToGrid w:val="0"/>
          <w:lang w:eastAsia="en-AU"/>
        </w:rPr>
        <w:t xml:space="preserve">in the </w:t>
      </w:r>
      <w:r w:rsidRPr="00125842">
        <w:rPr>
          <w:rFonts w:eastAsia="Times New Roman" w:cs="Arial"/>
          <w:b/>
          <w:bCs/>
          <w:snapToGrid w:val="0"/>
          <w:lang w:eastAsia="en-AU"/>
        </w:rPr>
        <w:t>redacted</w:t>
      </w:r>
      <w:r w:rsidR="4807BA1F" w:rsidRPr="00125842">
        <w:rPr>
          <w:rFonts w:eastAsia="Times New Roman" w:cs="Arial"/>
          <w:snapToGrid w:val="0"/>
          <w:lang w:eastAsia="en-AU"/>
        </w:rPr>
        <w:t xml:space="preserve"> </w:t>
      </w:r>
      <w:r w:rsidR="08033DD5" w:rsidRPr="00125842">
        <w:rPr>
          <w:rFonts w:eastAsia="Times New Roman" w:cs="Arial"/>
          <w:snapToGrid w:val="0"/>
          <w:lang w:eastAsia="en-AU"/>
        </w:rPr>
        <w:t xml:space="preserve">indicated that </w:t>
      </w:r>
      <w:r w:rsidR="17D95036" w:rsidRPr="00125842">
        <w:rPr>
          <w:rFonts w:eastAsia="Times New Roman" w:cs="Arial"/>
          <w:snapToGrid w:val="0"/>
          <w:lang w:eastAsia="en-AU"/>
        </w:rPr>
        <w:t>testing is being established in two laboratories</w:t>
      </w:r>
      <w:r w:rsidR="00C905D6" w:rsidRPr="00125842">
        <w:rPr>
          <w:rFonts w:eastAsia="Times New Roman" w:cs="Arial"/>
          <w:snapToGrid w:val="0"/>
          <w:lang w:eastAsia="en-AU"/>
        </w:rPr>
        <w:t xml:space="preserve">. </w:t>
      </w:r>
      <w:r w:rsidR="17D95036" w:rsidRPr="00125842">
        <w:rPr>
          <w:rFonts w:eastAsia="Times New Roman" w:cs="Arial"/>
          <w:snapToGrid w:val="0"/>
          <w:lang w:eastAsia="en-AU"/>
        </w:rPr>
        <w:t xml:space="preserve">Assessment of </w:t>
      </w:r>
      <w:r w:rsidR="62B684FC" w:rsidRPr="00125842">
        <w:rPr>
          <w:rFonts w:eastAsia="Times New Roman" w:cs="Arial"/>
          <w:i/>
          <w:iCs/>
          <w:snapToGrid w:val="0"/>
          <w:lang w:eastAsia="en-AU"/>
        </w:rPr>
        <w:t>ESR1</w:t>
      </w:r>
      <w:r w:rsidR="62B684FC" w:rsidRPr="00125842">
        <w:rPr>
          <w:rFonts w:eastAsia="Times New Roman" w:cs="Arial"/>
          <w:snapToGrid w:val="0"/>
          <w:lang w:eastAsia="en-AU"/>
        </w:rPr>
        <w:t xml:space="preserve"> testing in those labs</w:t>
      </w:r>
      <w:r w:rsidR="63A579C0" w:rsidRPr="00125842">
        <w:rPr>
          <w:rFonts w:eastAsia="Times New Roman" w:cs="Arial"/>
          <w:snapToGrid w:val="0"/>
          <w:lang w:eastAsia="en-AU"/>
        </w:rPr>
        <w:t xml:space="preserve"> </w:t>
      </w:r>
      <w:r w:rsidR="44287FE4" w:rsidRPr="00125842">
        <w:rPr>
          <w:rFonts w:eastAsia="Times New Roman" w:cs="Arial"/>
          <w:snapToGrid w:val="0"/>
          <w:lang w:eastAsia="en-AU"/>
        </w:rPr>
        <w:t>will require more detail</w:t>
      </w:r>
      <w:r w:rsidR="62B684FC" w:rsidRPr="00125842">
        <w:rPr>
          <w:rFonts w:eastAsia="Times New Roman" w:cs="Arial"/>
          <w:snapToGrid w:val="0"/>
          <w:lang w:eastAsia="en-AU"/>
        </w:rPr>
        <w:t>s of test performance</w:t>
      </w:r>
      <w:r w:rsidR="29922EA1" w:rsidRPr="00125842">
        <w:rPr>
          <w:rFonts w:eastAsia="Times New Roman" w:cs="Arial"/>
          <w:snapToGrid w:val="0"/>
          <w:lang w:eastAsia="en-AU"/>
        </w:rPr>
        <w:t xml:space="preserve"> than </w:t>
      </w:r>
      <w:r w:rsidR="0F69D31D" w:rsidRPr="00125842">
        <w:rPr>
          <w:rFonts w:eastAsia="Times New Roman" w:cs="Arial"/>
          <w:snapToGrid w:val="0"/>
          <w:lang w:eastAsia="en-AU"/>
        </w:rPr>
        <w:t>was</w:t>
      </w:r>
      <w:r w:rsidR="6C61085B" w:rsidRPr="00125842">
        <w:rPr>
          <w:rFonts w:eastAsia="Times New Roman" w:cs="Arial"/>
          <w:snapToGrid w:val="0"/>
          <w:lang w:eastAsia="en-AU"/>
        </w:rPr>
        <w:t xml:space="preserve"> provided</w:t>
      </w:r>
      <w:r w:rsidR="672CA35E" w:rsidRPr="00125842">
        <w:rPr>
          <w:rFonts w:eastAsia="Times New Roman" w:cs="Arial"/>
          <w:snapToGrid w:val="0"/>
          <w:lang w:eastAsia="en-AU"/>
        </w:rPr>
        <w:t xml:space="preserve"> in the </w:t>
      </w:r>
      <w:r w:rsidRPr="00125842">
        <w:rPr>
          <w:rFonts w:eastAsia="Times New Roman" w:cs="Arial"/>
          <w:b/>
          <w:bCs/>
          <w:snapToGrid w:val="0"/>
          <w:lang w:eastAsia="en-AU"/>
        </w:rPr>
        <w:t>redacted</w:t>
      </w:r>
      <w:r w:rsidR="00C905D6" w:rsidRPr="00125842">
        <w:rPr>
          <w:rFonts w:eastAsia="Times New Roman" w:cs="Arial"/>
          <w:snapToGrid w:val="0"/>
          <w:lang w:eastAsia="en-AU"/>
        </w:rPr>
        <w:t xml:space="preserve">. </w:t>
      </w:r>
    </w:p>
    <w:p w14:paraId="25A0B301" w14:textId="77777777" w:rsidR="00D43AE2" w:rsidRPr="00D43AE2" w:rsidRDefault="00D43AE2" w:rsidP="00214FD9">
      <w:pPr>
        <w:pStyle w:val="MSACS2Heading2"/>
        <w:keepNext/>
        <w:keepLines/>
        <w:pageBreakBefore w:val="0"/>
        <w:spacing w:after="120"/>
        <w:rPr>
          <w:rFonts w:ascii="Franklin Gothic Book" w:hAnsi="Franklin Gothic Book"/>
          <w:snapToGrid w:val="0"/>
          <w:sz w:val="24"/>
          <w:szCs w:val="24"/>
          <w:lang w:eastAsia="en-AU"/>
        </w:rPr>
      </w:pPr>
      <w:r w:rsidRPr="00D43AE2">
        <w:rPr>
          <w:rFonts w:ascii="Franklin Gothic Book" w:hAnsi="Franklin Gothic Book"/>
          <w:snapToGrid w:val="0"/>
          <w:sz w:val="24"/>
          <w:szCs w:val="24"/>
          <w:lang w:eastAsia="en-AU"/>
        </w:rPr>
        <w:t xml:space="preserve">Claim of </w:t>
      </w:r>
      <w:proofErr w:type="spellStart"/>
      <w:r w:rsidRPr="00D43AE2">
        <w:rPr>
          <w:rFonts w:ascii="Franklin Gothic Book" w:hAnsi="Franklin Gothic Book"/>
          <w:snapToGrid w:val="0"/>
          <w:sz w:val="24"/>
          <w:szCs w:val="24"/>
          <w:lang w:eastAsia="en-AU"/>
        </w:rPr>
        <w:t>codependence</w:t>
      </w:r>
      <w:proofErr w:type="spellEnd"/>
    </w:p>
    <w:p w14:paraId="20FFF91E" w14:textId="774E3E5C" w:rsidR="00D43AE2" w:rsidRPr="00D43AE2" w:rsidRDefault="00D43AE2" w:rsidP="00252706">
      <w:pPr>
        <w:pStyle w:val="3-BodyText"/>
        <w:numPr>
          <w:ilvl w:val="0"/>
          <w:numId w:val="28"/>
        </w:numPr>
        <w:rPr>
          <w:szCs w:val="22"/>
        </w:rPr>
      </w:pPr>
      <w:r w:rsidRPr="00D43AE2">
        <w:rPr>
          <w:szCs w:val="22"/>
        </w:rPr>
        <w:t xml:space="preserve">The submission claimed that, based on results from the EMERALD trial, using </w:t>
      </w:r>
      <w:r w:rsidRPr="00D43AE2">
        <w:rPr>
          <w:i/>
          <w:iCs/>
          <w:szCs w:val="22"/>
        </w:rPr>
        <w:t>ESR1</w:t>
      </w:r>
      <w:r w:rsidRPr="00D43AE2">
        <w:rPr>
          <w:szCs w:val="22"/>
        </w:rPr>
        <w:t xml:space="preserve"> variant status as a predictive biomarker for treatment with </w:t>
      </w:r>
      <w:proofErr w:type="spellStart"/>
      <w:r w:rsidRPr="00D43AE2">
        <w:rPr>
          <w:szCs w:val="22"/>
        </w:rPr>
        <w:t>elacestrant</w:t>
      </w:r>
      <w:proofErr w:type="spellEnd"/>
      <w:r w:rsidRPr="00D43AE2">
        <w:rPr>
          <w:szCs w:val="22"/>
        </w:rPr>
        <w:t xml:space="preserve"> optimises treatment outcomes and informs physicians about the likelihood of clinical benefit in patients with ER+/HER2- </w:t>
      </w:r>
      <w:proofErr w:type="spellStart"/>
      <w:r w:rsidRPr="00D43AE2">
        <w:rPr>
          <w:szCs w:val="22"/>
        </w:rPr>
        <w:t>mBC</w:t>
      </w:r>
      <w:proofErr w:type="spellEnd"/>
      <w:r w:rsidRPr="00D43AE2">
        <w:rPr>
          <w:szCs w:val="22"/>
        </w:rPr>
        <w:t xml:space="preserve"> who have disease progression following at least one line of ET, including a CDK4/6 inhibitor. </w:t>
      </w:r>
    </w:p>
    <w:p w14:paraId="1704BFE1" w14:textId="4BF3C3CA" w:rsidR="00D43AE2" w:rsidRPr="00D43AE2" w:rsidRDefault="00D43AE2" w:rsidP="00252706">
      <w:pPr>
        <w:pStyle w:val="3-BodyText"/>
        <w:numPr>
          <w:ilvl w:val="0"/>
          <w:numId w:val="28"/>
        </w:numPr>
        <w:rPr>
          <w:szCs w:val="22"/>
        </w:rPr>
      </w:pPr>
      <w:r w:rsidRPr="00D43AE2">
        <w:rPr>
          <w:szCs w:val="22"/>
        </w:rPr>
        <w:t>In the analysis of non-</w:t>
      </w:r>
      <w:r w:rsidRPr="00D43AE2">
        <w:rPr>
          <w:i/>
          <w:iCs/>
          <w:szCs w:val="22"/>
        </w:rPr>
        <w:t>ESR1</w:t>
      </w:r>
      <w:r w:rsidRPr="00D43AE2">
        <w:rPr>
          <w:szCs w:val="22"/>
        </w:rPr>
        <w:t xml:space="preserve"> variant patients in EMERALD, there was no statistically significant difference in PFS between </w:t>
      </w:r>
      <w:proofErr w:type="spellStart"/>
      <w:r w:rsidRPr="00D43AE2">
        <w:rPr>
          <w:szCs w:val="22"/>
        </w:rPr>
        <w:t>elacestrant</w:t>
      </w:r>
      <w:proofErr w:type="spellEnd"/>
      <w:r w:rsidRPr="00D43AE2">
        <w:rPr>
          <w:szCs w:val="22"/>
        </w:rPr>
        <w:t xml:space="preserve"> and SOC (HR 0.863 [95% CI: 0.628 – 1.186)], p-value = 0.3082), thus suggesting that ER+/HER2- </w:t>
      </w:r>
      <w:proofErr w:type="spellStart"/>
      <w:r w:rsidRPr="00D43AE2">
        <w:rPr>
          <w:szCs w:val="22"/>
        </w:rPr>
        <w:t>mBC</w:t>
      </w:r>
      <w:proofErr w:type="spellEnd"/>
      <w:r w:rsidRPr="00D43AE2">
        <w:rPr>
          <w:szCs w:val="22"/>
        </w:rPr>
        <w:t xml:space="preserve"> patients without ESR1 variants may be unlikely to achieve additional benefits from treatment with </w:t>
      </w:r>
      <w:proofErr w:type="spellStart"/>
      <w:r w:rsidRPr="00D43AE2">
        <w:rPr>
          <w:szCs w:val="22"/>
        </w:rPr>
        <w:t>elacestrant</w:t>
      </w:r>
      <w:proofErr w:type="spellEnd"/>
      <w:r w:rsidRPr="00D43AE2">
        <w:rPr>
          <w:szCs w:val="22"/>
        </w:rPr>
        <w:t xml:space="preserve"> compared to current SOC 2L+ therapies. However, the test for interaction for the PFS outcome between the </w:t>
      </w:r>
      <w:r w:rsidRPr="00D43AE2">
        <w:rPr>
          <w:i/>
          <w:iCs/>
          <w:szCs w:val="22"/>
        </w:rPr>
        <w:t xml:space="preserve">ESR1 </w:t>
      </w:r>
      <w:r w:rsidRPr="00D43AE2">
        <w:rPr>
          <w:szCs w:val="22"/>
        </w:rPr>
        <w:t>and non-</w:t>
      </w:r>
      <w:r w:rsidRPr="00D43AE2">
        <w:rPr>
          <w:i/>
          <w:iCs/>
          <w:szCs w:val="22"/>
        </w:rPr>
        <w:t>ESR1</w:t>
      </w:r>
      <w:r w:rsidRPr="00D43AE2">
        <w:rPr>
          <w:szCs w:val="22"/>
        </w:rPr>
        <w:t xml:space="preserve"> variant subgroup conducted during the evaluation did not suggest that </w:t>
      </w:r>
      <w:r w:rsidR="00BC745F">
        <w:rPr>
          <w:szCs w:val="22"/>
        </w:rPr>
        <w:t xml:space="preserve">the </w:t>
      </w:r>
      <w:r w:rsidRPr="00D43AE2">
        <w:rPr>
          <w:i/>
          <w:iCs/>
          <w:szCs w:val="22"/>
        </w:rPr>
        <w:t>ESR1</w:t>
      </w:r>
      <w:r w:rsidRPr="00D43AE2">
        <w:rPr>
          <w:szCs w:val="22"/>
        </w:rPr>
        <w:t xml:space="preserve"> variant </w:t>
      </w:r>
      <w:r w:rsidR="00BC745F">
        <w:rPr>
          <w:szCs w:val="22"/>
        </w:rPr>
        <w:t>was a</w:t>
      </w:r>
      <w:r w:rsidRPr="00D43AE2">
        <w:rPr>
          <w:szCs w:val="22"/>
        </w:rPr>
        <w:t xml:space="preserve"> significant treatment effect modifier (p=0.055), noting the limitations of the analysis (using point estimate data and not adjusting for multiplicity). </w:t>
      </w:r>
    </w:p>
    <w:p w14:paraId="2C41D542" w14:textId="77777777" w:rsidR="00D43AE2" w:rsidRPr="00950C0F" w:rsidRDefault="00D43AE2" w:rsidP="00252706">
      <w:pPr>
        <w:pStyle w:val="3-BodyText"/>
        <w:numPr>
          <w:ilvl w:val="0"/>
          <w:numId w:val="28"/>
        </w:numPr>
      </w:pPr>
      <w:r w:rsidRPr="00950C0F">
        <w:t xml:space="preserve">The PSCR (p9) noted that the test for interaction from Bidard 2022, which utilised patient level data, gave a p-value for interaction of 0.053. The PSCR argued that the EMERALD trial results clearly demonstrate a difference in PFS response between the </w:t>
      </w:r>
      <w:r w:rsidRPr="6C16F517">
        <w:rPr>
          <w:i/>
        </w:rPr>
        <w:t xml:space="preserve">ESR1 </w:t>
      </w:r>
      <w:r w:rsidRPr="6C16F517">
        <w:t xml:space="preserve">variant and non-variant subgroups and noted that the primary endpoint of PFS was statistically significant for both the ITT and </w:t>
      </w:r>
      <w:r w:rsidRPr="000D7BE3">
        <w:rPr>
          <w:i/>
        </w:rPr>
        <w:t xml:space="preserve">ESR1 </w:t>
      </w:r>
      <w:r w:rsidRPr="6C16F517">
        <w:t xml:space="preserve">variant populations. </w:t>
      </w:r>
    </w:p>
    <w:p w14:paraId="64C45BF4" w14:textId="15B83E9B" w:rsidR="00D43AE2" w:rsidRPr="00950C0F" w:rsidRDefault="00D43AE2" w:rsidP="277D76F3">
      <w:pPr>
        <w:pStyle w:val="3-BodyText"/>
        <w:numPr>
          <w:ilvl w:val="0"/>
          <w:numId w:val="28"/>
        </w:numPr>
      </w:pPr>
      <w:r w:rsidRPr="00950C0F">
        <w:t>The ESCs noted that this test for interaction did not reach statistical significance but noted that there appeared to be minimal benefit in the non-</w:t>
      </w:r>
      <w:r w:rsidRPr="6C16F517">
        <w:rPr>
          <w:i/>
        </w:rPr>
        <w:t>ESR1</w:t>
      </w:r>
      <w:r w:rsidRPr="277D76F3">
        <w:rPr>
          <w:i/>
          <w:iCs/>
        </w:rPr>
        <w:t xml:space="preserve"> </w:t>
      </w:r>
      <w:r w:rsidRPr="00950C0F">
        <w:t xml:space="preserve">subgroup and the clinical rationale and mechanism of action for </w:t>
      </w:r>
      <w:proofErr w:type="spellStart"/>
      <w:r w:rsidRPr="00950C0F">
        <w:t>elacestrant</w:t>
      </w:r>
      <w:proofErr w:type="spellEnd"/>
      <w:r w:rsidRPr="00950C0F">
        <w:t xml:space="preserve"> supported the claim that </w:t>
      </w:r>
      <w:r w:rsidRPr="6C16F517">
        <w:rPr>
          <w:i/>
        </w:rPr>
        <w:t>ESR1</w:t>
      </w:r>
      <w:r w:rsidRPr="277D76F3">
        <w:rPr>
          <w:i/>
          <w:iCs/>
        </w:rPr>
        <w:t xml:space="preserve"> </w:t>
      </w:r>
      <w:r w:rsidRPr="00950C0F">
        <w:t xml:space="preserve">is likely to be a predictive biomarker for treatment with </w:t>
      </w:r>
      <w:proofErr w:type="spellStart"/>
      <w:r w:rsidRPr="00950C0F">
        <w:t>elacestrant</w:t>
      </w:r>
      <w:proofErr w:type="spellEnd"/>
      <w:r w:rsidRPr="00950C0F">
        <w:t xml:space="preserve">. The ESCs considered the claim of </w:t>
      </w:r>
      <w:proofErr w:type="spellStart"/>
      <w:r w:rsidRPr="00950C0F">
        <w:t>codependence</w:t>
      </w:r>
      <w:proofErr w:type="spellEnd"/>
      <w:r w:rsidRPr="00950C0F">
        <w:t xml:space="preserve"> to be reasonable overall, but the extent of treatment effect variation to be uncertain.</w:t>
      </w:r>
      <w:r>
        <w:t xml:space="preserve"> </w:t>
      </w:r>
      <w:r w:rsidRPr="00950C0F">
        <w:t xml:space="preserve">The ESCs also noted that </w:t>
      </w:r>
      <w:r w:rsidR="00125842">
        <w:rPr>
          <w:b/>
          <w:bCs/>
        </w:rPr>
        <w:t>redacted</w:t>
      </w:r>
      <w:r w:rsidRPr="00950C0F">
        <w:t>.</w:t>
      </w:r>
    </w:p>
    <w:p w14:paraId="06751D9E" w14:textId="77777777" w:rsidR="00EE5014" w:rsidRPr="00DE49EF" w:rsidRDefault="00EE5014" w:rsidP="00252706">
      <w:pPr>
        <w:pStyle w:val="Heading2"/>
        <w:numPr>
          <w:ilvl w:val="0"/>
          <w:numId w:val="48"/>
        </w:numPr>
        <w:spacing w:after="240"/>
        <w:ind w:hanging="720"/>
        <w:rPr>
          <w:rFonts w:ascii="Franklin Gothic Medium" w:hAnsi="Franklin Gothic Medium"/>
          <w:b w:val="0"/>
          <w:i w:val="0"/>
          <w:snapToGrid/>
          <w:sz w:val="32"/>
          <w:szCs w:val="26"/>
        </w:rPr>
      </w:pPr>
      <w:bookmarkStart w:id="58" w:name="_Toc188374349"/>
      <w:r w:rsidRPr="00DE49EF">
        <w:rPr>
          <w:rFonts w:ascii="Franklin Gothic Medium" w:hAnsi="Franklin Gothic Medium"/>
          <w:b w:val="0"/>
          <w:i w:val="0"/>
          <w:snapToGrid/>
          <w:sz w:val="32"/>
          <w:szCs w:val="26"/>
        </w:rPr>
        <w:t xml:space="preserve">Economic </w:t>
      </w:r>
      <w:r w:rsidR="00331A16" w:rsidRPr="00DE49EF">
        <w:rPr>
          <w:rFonts w:ascii="Franklin Gothic Medium" w:hAnsi="Franklin Gothic Medium"/>
          <w:b w:val="0"/>
          <w:i w:val="0"/>
          <w:snapToGrid/>
          <w:sz w:val="32"/>
          <w:szCs w:val="26"/>
        </w:rPr>
        <w:t>e</w:t>
      </w:r>
      <w:r w:rsidRPr="00DE49EF">
        <w:rPr>
          <w:rFonts w:ascii="Franklin Gothic Medium" w:hAnsi="Franklin Gothic Medium"/>
          <w:b w:val="0"/>
          <w:i w:val="0"/>
          <w:snapToGrid/>
          <w:sz w:val="32"/>
          <w:szCs w:val="26"/>
        </w:rPr>
        <w:t>valuation</w:t>
      </w:r>
      <w:bookmarkEnd w:id="58"/>
    </w:p>
    <w:p w14:paraId="29C2B332" w14:textId="25CBA71F" w:rsidR="00C905D6" w:rsidRPr="00DE49EF" w:rsidRDefault="00C905D6" w:rsidP="00214FD9">
      <w:pPr>
        <w:spacing w:before="0" w:after="120"/>
        <w:rPr>
          <w:i/>
          <w:iCs/>
        </w:rPr>
      </w:pPr>
      <w:r w:rsidRPr="00DE49EF">
        <w:t xml:space="preserve">The submission presented a modelled economic evaluation, based on the direct randomised trial, EMERALD, comparing </w:t>
      </w:r>
      <w:proofErr w:type="spellStart"/>
      <w:r w:rsidRPr="00DE49EF">
        <w:t>elacestrant</w:t>
      </w:r>
      <w:proofErr w:type="spellEnd"/>
      <w:r w:rsidRPr="00DE49EF">
        <w:t xml:space="preserve"> to SOC (</w:t>
      </w:r>
      <w:proofErr w:type="spellStart"/>
      <w:r w:rsidRPr="00DE49EF">
        <w:t>fulvestrant</w:t>
      </w:r>
      <w:proofErr w:type="spellEnd"/>
      <w:r w:rsidRPr="00DE49EF">
        <w:t xml:space="preserve"> or AIs) in a population of patients with ER+/HER2-mBC who harbour an </w:t>
      </w:r>
      <w:r w:rsidRPr="00DE49EF">
        <w:rPr>
          <w:i/>
          <w:iCs/>
        </w:rPr>
        <w:t xml:space="preserve">ESR1 </w:t>
      </w:r>
      <w:r w:rsidRPr="00DE49EF">
        <w:t xml:space="preserve">variant and who have disease progression following at least one line of ET, including a CDK4/6i. The type of economic evaluation presented was a cost-utility analysis. The commentary considered this was appropriate given the submission’s clinical claims that </w:t>
      </w:r>
      <w:proofErr w:type="spellStart"/>
      <w:r w:rsidRPr="00DE49EF">
        <w:t>elacestrant</w:t>
      </w:r>
      <w:proofErr w:type="spellEnd"/>
      <w:r w:rsidRPr="00DE49EF">
        <w:t xml:space="preserve"> is superior in terms of effectiveness and has a different but manageable safety profile compared to SOC.</w:t>
      </w:r>
      <w:r w:rsidRPr="00DE49EF">
        <w:rPr>
          <w:i/>
          <w:iCs/>
        </w:rPr>
        <w:t xml:space="preserve"> </w:t>
      </w:r>
    </w:p>
    <w:p w14:paraId="07114E62" w14:textId="77777777" w:rsidR="00C905D6" w:rsidRPr="00DE49EF" w:rsidRDefault="258752C8" w:rsidP="00214FD9">
      <w:pPr>
        <w:spacing w:after="120"/>
        <w:rPr>
          <w:rFonts w:eastAsia="Times New Roman" w:cs="Arial"/>
          <w:snapToGrid w:val="0"/>
          <w:lang w:eastAsia="en-AU"/>
        </w:rPr>
      </w:pPr>
      <w:r w:rsidRPr="00DE49EF">
        <w:rPr>
          <w:rFonts w:eastAsia="Times New Roman" w:cs="Arial"/>
          <w:snapToGrid w:val="0"/>
          <w:lang w:eastAsia="en-AU"/>
        </w:rPr>
        <w:t xml:space="preserve">The economic model adopted a partitioned survival analysis approach using Kaplan Meier (K-M) data from the EMERALD trial outcomes of OS, PFS, and time to chemotherapy or death (TCD) until the mean </w:t>
      </w:r>
      <w:r w:rsidRPr="00245D9F">
        <w:rPr>
          <w:rFonts w:eastAsia="Times New Roman" w:cs="Arial"/>
          <w:snapToGrid w:val="0"/>
          <w:lang w:eastAsia="en-AU"/>
        </w:rPr>
        <w:t>OS follow-up (18 months</w:t>
      </w:r>
      <w:r w:rsidRPr="00DE49EF">
        <w:rPr>
          <w:rFonts w:eastAsia="Times New Roman" w:cs="Arial"/>
          <w:snapToGrid w:val="0"/>
          <w:lang w:eastAsia="en-AU"/>
        </w:rPr>
        <w:t xml:space="preserve">), then extrapolated using fitted parametric curves to estimate the proportion of patients in four health states (progression-free (PF), progressed disease (PD) [on chemotherapy], PD [not on chemotherapy] and death) over a ten year time horizon. Time-to-treatment discontinuation (TTD) was extrapolated to estimate the proportion of patients who discontinued treatment with </w:t>
      </w:r>
      <w:proofErr w:type="spellStart"/>
      <w:r w:rsidRPr="00DE49EF">
        <w:rPr>
          <w:rFonts w:eastAsia="Times New Roman" w:cs="Arial"/>
          <w:snapToGrid w:val="0"/>
          <w:lang w:eastAsia="en-AU"/>
        </w:rPr>
        <w:t>elacestrant</w:t>
      </w:r>
      <w:proofErr w:type="spellEnd"/>
      <w:r w:rsidRPr="00DE49EF">
        <w:rPr>
          <w:rFonts w:eastAsia="Times New Roman" w:cs="Arial"/>
          <w:snapToGrid w:val="0"/>
          <w:lang w:eastAsia="en-AU"/>
        </w:rPr>
        <w:t xml:space="preserve"> or SOC. </w:t>
      </w:r>
    </w:p>
    <w:p w14:paraId="0E809112" w14:textId="22250E34" w:rsidR="00A51EEB" w:rsidRPr="00DE49EF" w:rsidRDefault="007E28AB" w:rsidP="00DE49EF">
      <w:pPr>
        <w:spacing w:before="0" w:after="120"/>
        <w:rPr>
          <w:rFonts w:eastAsia="Times New Roman" w:cs="Arial"/>
          <w:snapToGrid w:val="0"/>
          <w:lang w:eastAsia="en-AU"/>
        </w:rPr>
      </w:pPr>
      <w:r w:rsidRPr="00DE49EF">
        <w:rPr>
          <w:rFonts w:eastAsia="Times New Roman" w:cs="Arial"/>
          <w:snapToGrid w:val="0"/>
          <w:lang w:eastAsia="en-AU"/>
        </w:rPr>
        <w:t xml:space="preserve">A summary of the economic model structure, key inputs and rationale is presented in </w:t>
      </w:r>
      <w:r w:rsidR="006A5EC0" w:rsidRPr="00DE49EF">
        <w:rPr>
          <w:rFonts w:eastAsia="Times New Roman" w:cs="Arial"/>
          <w:snapToGrid w:val="0"/>
          <w:lang w:eastAsia="en-AU"/>
        </w:rPr>
        <w:fldChar w:fldCharType="begin"/>
      </w:r>
      <w:r w:rsidR="006A5EC0" w:rsidRPr="00DE49EF">
        <w:rPr>
          <w:rFonts w:eastAsia="Times New Roman" w:cs="Arial"/>
          <w:snapToGrid w:val="0"/>
          <w:lang w:eastAsia="en-AU"/>
        </w:rPr>
        <w:instrText xml:space="preserve"> REF _Ref188372554 \h </w:instrText>
      </w:r>
      <w:r w:rsidR="00DE49EF" w:rsidRPr="00DE49EF">
        <w:rPr>
          <w:rFonts w:eastAsia="Times New Roman" w:cs="Arial"/>
          <w:snapToGrid w:val="0"/>
          <w:lang w:eastAsia="en-AU"/>
        </w:rPr>
        <w:instrText xml:space="preserve"> \* MERGEFORMAT </w:instrText>
      </w:r>
      <w:r w:rsidR="006A5EC0" w:rsidRPr="00DE49EF">
        <w:rPr>
          <w:rFonts w:eastAsia="Times New Roman" w:cs="Arial"/>
          <w:snapToGrid w:val="0"/>
          <w:lang w:eastAsia="en-AU"/>
        </w:rPr>
      </w:r>
      <w:r w:rsidR="006A5EC0" w:rsidRPr="00DE49EF">
        <w:rPr>
          <w:rFonts w:eastAsia="Times New Roman" w:cs="Arial"/>
          <w:snapToGrid w:val="0"/>
          <w:lang w:eastAsia="en-AU"/>
        </w:rPr>
        <w:fldChar w:fldCharType="separate"/>
      </w:r>
      <w:r w:rsidR="006D7BC5" w:rsidRPr="006D7BC5">
        <w:t>Table 11</w:t>
      </w:r>
      <w:r w:rsidR="006A5EC0" w:rsidRPr="00DE49EF">
        <w:rPr>
          <w:rFonts w:eastAsia="Times New Roman" w:cs="Arial"/>
          <w:snapToGrid w:val="0"/>
          <w:lang w:eastAsia="en-AU"/>
        </w:rPr>
        <w:fldChar w:fldCharType="end"/>
      </w:r>
      <w:r w:rsidR="00A87A06" w:rsidRPr="00DE49EF">
        <w:rPr>
          <w:rFonts w:eastAsia="Times New Roman" w:cs="Arial"/>
          <w:snapToGrid w:val="0"/>
          <w:lang w:eastAsia="en-AU"/>
        </w:rPr>
        <w:t>.</w:t>
      </w:r>
    </w:p>
    <w:p w14:paraId="38A48E4D" w14:textId="5D5CFAB9" w:rsidR="00271A5B" w:rsidRPr="000A7BB0" w:rsidRDefault="006A5EC0" w:rsidP="00214FD9">
      <w:pPr>
        <w:pStyle w:val="Caption"/>
        <w:keepNext w:val="0"/>
      </w:pPr>
      <w:bookmarkStart w:id="59" w:name="_Ref188372554"/>
      <w:r w:rsidRPr="000A7BB0">
        <w:lastRenderedPageBreak/>
        <w:t xml:space="preserve">Table </w:t>
      </w:r>
      <w:r w:rsidRPr="000A7BB0">
        <w:fldChar w:fldCharType="begin"/>
      </w:r>
      <w:r w:rsidRPr="000A7BB0">
        <w:instrText>SEQ Table_MSAC. \* ARABIC</w:instrText>
      </w:r>
      <w:r w:rsidRPr="000A7BB0">
        <w:fldChar w:fldCharType="separate"/>
      </w:r>
      <w:r w:rsidRPr="000A7BB0">
        <w:t>11</w:t>
      </w:r>
      <w:r w:rsidRPr="000A7BB0">
        <w:fldChar w:fldCharType="end"/>
      </w:r>
      <w:bookmarkEnd w:id="59"/>
      <w:r w:rsidRPr="000A7BB0">
        <w:t xml:space="preserve">: </w:t>
      </w:r>
      <w:r w:rsidRPr="000A7BB0">
        <w:rPr>
          <w:snapToGrid w:val="0"/>
        </w:rPr>
        <w:t>Summary of model structure, key inputs and rationale</w:t>
      </w:r>
    </w:p>
    <w:tbl>
      <w:tblPr>
        <w:tblW w:w="496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89"/>
        <w:gridCol w:w="6862"/>
      </w:tblGrid>
      <w:tr w:rsidR="00271A5B" w:rsidRPr="000A7BB0" w14:paraId="16E9B0E1" w14:textId="77777777" w:rsidTr="00470B01">
        <w:trPr>
          <w:tblHeader/>
        </w:trPr>
        <w:tc>
          <w:tcPr>
            <w:tcW w:w="1167" w:type="pct"/>
            <w:vAlign w:val="center"/>
          </w:tcPr>
          <w:p w14:paraId="1BF3FF82" w14:textId="77777777" w:rsidR="00271A5B" w:rsidRPr="000A7BB0" w:rsidRDefault="00271A5B" w:rsidP="00214FD9">
            <w:pPr>
              <w:spacing w:before="0" w:after="0"/>
              <w:rPr>
                <w:rFonts w:ascii="Arial Narrow" w:eastAsiaTheme="majorEastAsia" w:hAnsi="Arial Narrow" w:cs="Times New Roman"/>
                <w:b/>
                <w:sz w:val="20"/>
                <w:szCs w:val="20"/>
                <w:lang w:eastAsia="en-AU"/>
              </w:rPr>
            </w:pPr>
            <w:r w:rsidRPr="000A7BB0">
              <w:rPr>
                <w:rFonts w:ascii="Arial Narrow" w:eastAsiaTheme="majorEastAsia" w:hAnsi="Arial Narrow" w:cs="Times New Roman"/>
                <w:b/>
                <w:sz w:val="20"/>
                <w:szCs w:val="20"/>
                <w:lang w:eastAsia="en-AU"/>
              </w:rPr>
              <w:t>Component</w:t>
            </w:r>
          </w:p>
        </w:tc>
        <w:tc>
          <w:tcPr>
            <w:tcW w:w="3833" w:type="pct"/>
            <w:vAlign w:val="center"/>
          </w:tcPr>
          <w:p w14:paraId="7A9DE867" w14:textId="77777777" w:rsidR="00271A5B" w:rsidRPr="000A7BB0" w:rsidRDefault="00271A5B" w:rsidP="00214FD9">
            <w:pPr>
              <w:spacing w:before="0" w:after="0"/>
              <w:rPr>
                <w:rFonts w:ascii="Arial Narrow" w:eastAsiaTheme="majorEastAsia" w:hAnsi="Arial Narrow" w:cs="Times New Roman"/>
                <w:b/>
                <w:sz w:val="20"/>
                <w:szCs w:val="24"/>
                <w:lang w:eastAsia="en-AU"/>
              </w:rPr>
            </w:pPr>
            <w:r w:rsidRPr="000A7BB0">
              <w:rPr>
                <w:rFonts w:ascii="Arial Narrow" w:eastAsiaTheme="majorEastAsia" w:hAnsi="Arial Narrow" w:cs="Times New Roman"/>
                <w:b/>
                <w:sz w:val="20"/>
                <w:szCs w:val="24"/>
                <w:lang w:eastAsia="en-AU"/>
              </w:rPr>
              <w:t>Summary</w:t>
            </w:r>
          </w:p>
        </w:tc>
      </w:tr>
      <w:tr w:rsidR="00271A5B" w:rsidRPr="000A7BB0" w14:paraId="71B14158" w14:textId="77777777" w:rsidTr="00470B01">
        <w:tc>
          <w:tcPr>
            <w:tcW w:w="1167" w:type="pct"/>
            <w:vAlign w:val="center"/>
          </w:tcPr>
          <w:p w14:paraId="1E336C26"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Comparison modelled</w:t>
            </w:r>
          </w:p>
        </w:tc>
        <w:tc>
          <w:tcPr>
            <w:tcW w:w="3833" w:type="pct"/>
            <w:vAlign w:val="center"/>
          </w:tcPr>
          <w:p w14:paraId="35C8C16D" w14:textId="77777777" w:rsidR="00271A5B" w:rsidRPr="000A7BB0" w:rsidRDefault="00271A5B" w:rsidP="00214FD9">
            <w:pPr>
              <w:widowControl w:val="0"/>
              <w:spacing w:before="0" w:after="0"/>
              <w:rPr>
                <w:rFonts w:ascii="Arial Narrow" w:hAnsi="Arial Narrow"/>
                <w:sz w:val="20"/>
                <w:szCs w:val="20"/>
              </w:rPr>
            </w:pPr>
            <w:r w:rsidRPr="000A7BB0">
              <w:rPr>
                <w:rFonts w:ascii="Arial Narrow" w:hAnsi="Arial Narrow"/>
                <w:sz w:val="20"/>
                <w:szCs w:val="20"/>
              </w:rPr>
              <w:t xml:space="preserve">NGS testing for </w:t>
            </w:r>
            <w:r w:rsidRPr="000A7BB0">
              <w:rPr>
                <w:rFonts w:ascii="Arial Narrow" w:hAnsi="Arial Narrow"/>
                <w:i/>
                <w:sz w:val="20"/>
                <w:szCs w:val="20"/>
              </w:rPr>
              <w:t xml:space="preserve">ESR1 </w:t>
            </w:r>
            <w:r w:rsidRPr="000A7BB0">
              <w:rPr>
                <w:rFonts w:ascii="Arial Narrow" w:hAnsi="Arial Narrow"/>
                <w:sz w:val="20"/>
                <w:szCs w:val="20"/>
              </w:rPr>
              <w:t xml:space="preserve">variants available and treatment with </w:t>
            </w:r>
            <w:proofErr w:type="spellStart"/>
            <w:r w:rsidRPr="000A7BB0">
              <w:rPr>
                <w:rFonts w:ascii="Arial Narrow" w:hAnsi="Arial Narrow"/>
                <w:sz w:val="20"/>
                <w:szCs w:val="20"/>
              </w:rPr>
              <w:t>elacestrant</w:t>
            </w:r>
            <w:proofErr w:type="spellEnd"/>
            <w:r w:rsidRPr="000A7BB0">
              <w:rPr>
                <w:rFonts w:ascii="Arial Narrow" w:hAnsi="Arial Narrow"/>
                <w:sz w:val="20"/>
                <w:szCs w:val="20"/>
              </w:rPr>
              <w:t xml:space="preserve"> for patients with </w:t>
            </w:r>
            <w:r w:rsidRPr="000A7BB0">
              <w:rPr>
                <w:rFonts w:ascii="Arial Narrow" w:hAnsi="Arial Narrow"/>
                <w:i/>
                <w:sz w:val="20"/>
                <w:szCs w:val="20"/>
              </w:rPr>
              <w:t>ESR1</w:t>
            </w:r>
            <w:r w:rsidRPr="000A7BB0">
              <w:rPr>
                <w:rFonts w:ascii="Arial Narrow" w:hAnsi="Arial Narrow"/>
                <w:sz w:val="20"/>
                <w:szCs w:val="20"/>
              </w:rPr>
              <w:t xml:space="preserve"> variants vs Testing not available and SOC for patients with </w:t>
            </w:r>
            <w:r w:rsidRPr="000A7BB0">
              <w:rPr>
                <w:rFonts w:ascii="Arial Narrow" w:hAnsi="Arial Narrow"/>
                <w:i/>
                <w:sz w:val="20"/>
                <w:szCs w:val="20"/>
              </w:rPr>
              <w:t>ESR1</w:t>
            </w:r>
            <w:r w:rsidRPr="000A7BB0">
              <w:rPr>
                <w:rFonts w:ascii="Arial Narrow" w:hAnsi="Arial Narrow"/>
                <w:sz w:val="20"/>
                <w:szCs w:val="20"/>
              </w:rPr>
              <w:t xml:space="preserve"> variants.</w:t>
            </w:r>
          </w:p>
        </w:tc>
      </w:tr>
      <w:tr w:rsidR="00271A5B" w:rsidRPr="000A7BB0" w14:paraId="6A929B84" w14:textId="77777777" w:rsidTr="00470B01">
        <w:tc>
          <w:tcPr>
            <w:tcW w:w="1167" w:type="pct"/>
            <w:vAlign w:val="center"/>
          </w:tcPr>
          <w:p w14:paraId="3824C980"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Time horizon</w:t>
            </w:r>
          </w:p>
        </w:tc>
        <w:tc>
          <w:tcPr>
            <w:tcW w:w="3833" w:type="pct"/>
            <w:vAlign w:val="center"/>
          </w:tcPr>
          <w:p w14:paraId="76530924" w14:textId="25093A96" w:rsidR="00271A5B" w:rsidRPr="000A7BB0" w:rsidRDefault="0C97CCAC" w:rsidP="00214FD9">
            <w:pPr>
              <w:widowControl w:val="0"/>
              <w:spacing w:before="0" w:after="0"/>
              <w:rPr>
                <w:rFonts w:ascii="Arial Narrow" w:hAnsi="Arial Narrow"/>
                <w:sz w:val="20"/>
                <w:szCs w:val="20"/>
              </w:rPr>
            </w:pPr>
            <w:r w:rsidRPr="000A7BB0">
              <w:rPr>
                <w:rFonts w:ascii="Arial Narrow" w:hAnsi="Arial Narrow"/>
                <w:sz w:val="20"/>
                <w:szCs w:val="20"/>
              </w:rPr>
              <w:t xml:space="preserve">10 years in the model base case vs </w:t>
            </w:r>
            <w:r w:rsidR="42E5BBBC" w:rsidRPr="000A7BB0">
              <w:rPr>
                <w:rFonts w:ascii="Arial Narrow" w:hAnsi="Arial Narrow"/>
                <w:sz w:val="20"/>
                <w:szCs w:val="20"/>
              </w:rPr>
              <w:t>26</w:t>
            </w:r>
            <w:r w:rsidRPr="000A7BB0">
              <w:rPr>
                <w:rFonts w:ascii="Arial Narrow" w:hAnsi="Arial Narrow"/>
                <w:sz w:val="20"/>
                <w:szCs w:val="20"/>
              </w:rPr>
              <w:t xml:space="preserve"> months follow up (median OS) for </w:t>
            </w:r>
            <w:proofErr w:type="spellStart"/>
            <w:r w:rsidRPr="000A7BB0">
              <w:rPr>
                <w:rFonts w:ascii="Arial Narrow" w:hAnsi="Arial Narrow"/>
                <w:sz w:val="20"/>
                <w:szCs w:val="20"/>
              </w:rPr>
              <w:t>elacestrant</w:t>
            </w:r>
            <w:proofErr w:type="spellEnd"/>
            <w:r w:rsidRPr="000A7BB0">
              <w:rPr>
                <w:rFonts w:ascii="Arial Narrow" w:hAnsi="Arial Narrow"/>
                <w:sz w:val="20"/>
                <w:szCs w:val="20"/>
              </w:rPr>
              <w:t xml:space="preserve"> and SOC arms respectively in the EMERALD trial </w:t>
            </w:r>
          </w:p>
        </w:tc>
      </w:tr>
      <w:tr w:rsidR="00271A5B" w:rsidRPr="000A7BB0" w14:paraId="0C3DEAD9" w14:textId="77777777" w:rsidTr="00470B01">
        <w:tc>
          <w:tcPr>
            <w:tcW w:w="1167" w:type="pct"/>
            <w:vAlign w:val="center"/>
          </w:tcPr>
          <w:p w14:paraId="15651775"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Outcomes</w:t>
            </w:r>
          </w:p>
        </w:tc>
        <w:tc>
          <w:tcPr>
            <w:tcW w:w="3833" w:type="pct"/>
            <w:vAlign w:val="center"/>
          </w:tcPr>
          <w:p w14:paraId="6241AAAF"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LYG and QALYs</w:t>
            </w:r>
          </w:p>
        </w:tc>
      </w:tr>
      <w:tr w:rsidR="00271A5B" w:rsidRPr="000A7BB0" w14:paraId="6FBCD0A9" w14:textId="77777777" w:rsidTr="00470B01">
        <w:tc>
          <w:tcPr>
            <w:tcW w:w="1167" w:type="pct"/>
            <w:vAlign w:val="center"/>
          </w:tcPr>
          <w:p w14:paraId="3E673031"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Methods used to generate results</w:t>
            </w:r>
          </w:p>
        </w:tc>
        <w:tc>
          <w:tcPr>
            <w:tcW w:w="3833" w:type="pct"/>
            <w:vAlign w:val="center"/>
          </w:tcPr>
          <w:p w14:paraId="17B0ABD5"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Partitioned survival analysis</w:t>
            </w:r>
          </w:p>
        </w:tc>
      </w:tr>
      <w:tr w:rsidR="00271A5B" w:rsidRPr="000A7BB0" w14:paraId="68A7FEFF" w14:textId="77777777" w:rsidTr="00470B01">
        <w:tc>
          <w:tcPr>
            <w:tcW w:w="1167" w:type="pct"/>
            <w:vAlign w:val="center"/>
          </w:tcPr>
          <w:p w14:paraId="399DCBC5"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Health states</w:t>
            </w:r>
          </w:p>
        </w:tc>
        <w:tc>
          <w:tcPr>
            <w:tcW w:w="3833" w:type="pct"/>
            <w:vAlign w:val="center"/>
          </w:tcPr>
          <w:p w14:paraId="759F1F74" w14:textId="77777777" w:rsidR="00271A5B" w:rsidRPr="000A7BB0" w:rsidRDefault="00271A5B" w:rsidP="00214FD9">
            <w:pPr>
              <w:widowControl w:val="0"/>
              <w:spacing w:before="0" w:after="0"/>
              <w:rPr>
                <w:rFonts w:ascii="Arial Narrow" w:eastAsia="Times New Roman" w:hAnsi="Arial Narrow" w:cs="Times New Roman"/>
                <w:sz w:val="20"/>
                <w:szCs w:val="20"/>
              </w:rPr>
            </w:pPr>
            <w:r w:rsidRPr="000A7BB0">
              <w:rPr>
                <w:rFonts w:ascii="Arial Narrow" w:eastAsia="Times New Roman" w:hAnsi="Arial Narrow" w:cs="Times New Roman"/>
                <w:sz w:val="20"/>
                <w:szCs w:val="20"/>
              </w:rPr>
              <w:t xml:space="preserve">Progression-free, progressed disease (divided into those receiving chemotherapy and those not receiving chemotherapy) and dead. </w:t>
            </w:r>
          </w:p>
          <w:p w14:paraId="74868BA4" w14:textId="77777777" w:rsidR="00271A5B" w:rsidRPr="000A7BB0" w:rsidRDefault="00271A5B" w:rsidP="00214FD9">
            <w:pPr>
              <w:widowControl w:val="0"/>
              <w:spacing w:before="0" w:after="0"/>
              <w:rPr>
                <w:rFonts w:ascii="Arial Narrow" w:hAnsi="Arial Narrow"/>
                <w:sz w:val="20"/>
              </w:rPr>
            </w:pPr>
            <w:r w:rsidRPr="000A7BB0">
              <w:rPr>
                <w:rFonts w:ascii="Arial Narrow" w:eastAsia="Times New Roman" w:hAnsi="Arial Narrow" w:cs="Times New Roman"/>
                <w:sz w:val="20"/>
                <w:szCs w:val="20"/>
              </w:rPr>
              <w:t>TTD included to account for time on treatment.</w:t>
            </w:r>
          </w:p>
        </w:tc>
      </w:tr>
      <w:tr w:rsidR="00271A5B" w:rsidRPr="000A7BB0" w14:paraId="128D8DDF" w14:textId="77777777" w:rsidTr="00470B01">
        <w:tc>
          <w:tcPr>
            <w:tcW w:w="1167" w:type="pct"/>
            <w:vAlign w:val="center"/>
          </w:tcPr>
          <w:p w14:paraId="0FEE768C"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Cycle length</w:t>
            </w:r>
          </w:p>
        </w:tc>
        <w:tc>
          <w:tcPr>
            <w:tcW w:w="3833" w:type="pct"/>
            <w:vAlign w:val="center"/>
          </w:tcPr>
          <w:p w14:paraId="4A46A0A4"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28 days</w:t>
            </w:r>
          </w:p>
        </w:tc>
      </w:tr>
      <w:tr w:rsidR="00271A5B" w:rsidRPr="000A7BB0" w14:paraId="1DD48C25" w14:textId="77777777" w:rsidTr="00470B01">
        <w:tc>
          <w:tcPr>
            <w:tcW w:w="1167" w:type="pct"/>
            <w:vAlign w:val="center"/>
          </w:tcPr>
          <w:p w14:paraId="5B8852C4"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Test parameters</w:t>
            </w:r>
          </w:p>
        </w:tc>
        <w:tc>
          <w:tcPr>
            <w:tcW w:w="3833" w:type="pct"/>
            <w:vAlign w:val="center"/>
          </w:tcPr>
          <w:p w14:paraId="17DC103B"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Not described</w:t>
            </w:r>
          </w:p>
          <w:p w14:paraId="706777E7" w14:textId="55A90766" w:rsidR="00271A5B" w:rsidRPr="000A7BB0" w:rsidRDefault="0C97CCAC" w:rsidP="00214FD9">
            <w:pPr>
              <w:spacing w:before="0" w:after="0"/>
              <w:rPr>
                <w:rFonts w:ascii="Arial Narrow" w:hAnsi="Arial Narrow"/>
                <w:sz w:val="20"/>
                <w:szCs w:val="20"/>
              </w:rPr>
            </w:pPr>
            <w:r w:rsidRPr="000A7BB0">
              <w:rPr>
                <w:rFonts w:ascii="Arial Narrow" w:hAnsi="Arial Narrow"/>
                <w:sz w:val="20"/>
                <w:szCs w:val="20"/>
              </w:rPr>
              <w:t xml:space="preserve">Prevalence: 100% (implied as population only consists of patients with </w:t>
            </w:r>
            <w:r w:rsidRPr="000A7BB0">
              <w:rPr>
                <w:rFonts w:ascii="Arial Narrow" w:hAnsi="Arial Narrow"/>
                <w:i/>
                <w:iCs/>
                <w:sz w:val="20"/>
                <w:szCs w:val="20"/>
              </w:rPr>
              <w:t xml:space="preserve">ESR1 </w:t>
            </w:r>
            <w:r w:rsidRPr="000A7BB0">
              <w:rPr>
                <w:rFonts w:ascii="Arial Narrow" w:hAnsi="Arial Narrow"/>
                <w:sz w:val="20"/>
                <w:szCs w:val="20"/>
              </w:rPr>
              <w:t>variants)</w:t>
            </w:r>
            <w:r w:rsidRPr="000A7BB0">
              <w:rPr>
                <w:rFonts w:ascii="Arial Narrow" w:hAnsi="Arial Narrow"/>
                <w:i/>
                <w:iCs/>
                <w:sz w:val="20"/>
                <w:szCs w:val="20"/>
              </w:rPr>
              <w:t xml:space="preserve">. </w:t>
            </w:r>
            <w:r w:rsidRPr="000A7BB0">
              <w:rPr>
                <w:rFonts w:ascii="Arial Narrow" w:hAnsi="Arial Narrow"/>
                <w:sz w:val="20"/>
                <w:szCs w:val="20"/>
              </w:rPr>
              <w:t xml:space="preserve"> </w:t>
            </w:r>
          </w:p>
          <w:p w14:paraId="4C6FDC44"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Test accuracy/performance estimates (implied)</w:t>
            </w:r>
          </w:p>
          <w:p w14:paraId="7A620693"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Sensitivity = 100%</w:t>
            </w:r>
          </w:p>
          <w:p w14:paraId="1DA3287F"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Specificity = 100%</w:t>
            </w:r>
          </w:p>
          <w:p w14:paraId="1755439E"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Test failure rate = 0%</w:t>
            </w:r>
          </w:p>
          <w:p w14:paraId="3D0FAFB5"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szCs w:val="20"/>
              </w:rPr>
              <w:t>Test uptake rate = 100%</w:t>
            </w:r>
          </w:p>
        </w:tc>
      </w:tr>
      <w:tr w:rsidR="00271A5B" w:rsidRPr="000A7BB0" w14:paraId="66A8D96D" w14:textId="77777777" w:rsidTr="00470B01">
        <w:tc>
          <w:tcPr>
            <w:tcW w:w="1167" w:type="pct"/>
            <w:vAlign w:val="center"/>
          </w:tcPr>
          <w:p w14:paraId="7E1135AA"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Implications of false positive and false negative results</w:t>
            </w:r>
          </w:p>
        </w:tc>
        <w:tc>
          <w:tcPr>
            <w:tcW w:w="3833" w:type="pct"/>
            <w:vAlign w:val="center"/>
          </w:tcPr>
          <w:p w14:paraId="7544ACDF"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Not described</w:t>
            </w:r>
          </w:p>
        </w:tc>
      </w:tr>
      <w:tr w:rsidR="00271A5B" w:rsidRPr="000A7BB0" w14:paraId="6998DB29" w14:textId="77777777" w:rsidTr="00470B01">
        <w:tc>
          <w:tcPr>
            <w:tcW w:w="1167" w:type="pct"/>
            <w:vAlign w:val="center"/>
          </w:tcPr>
          <w:p w14:paraId="76AA1285"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 xml:space="preserve">Allocation to health states </w:t>
            </w:r>
          </w:p>
        </w:tc>
        <w:tc>
          <w:tcPr>
            <w:tcW w:w="3833" w:type="pct"/>
            <w:vAlign w:val="center"/>
          </w:tcPr>
          <w:p w14:paraId="7595760B" w14:textId="77777777" w:rsidR="00271A5B" w:rsidRPr="000A7BB0" w:rsidRDefault="00271A5B" w:rsidP="00214FD9">
            <w:pPr>
              <w:widowControl w:val="0"/>
              <w:spacing w:before="0" w:after="0"/>
              <w:rPr>
                <w:rFonts w:ascii="Arial Narrow" w:hAnsi="Arial Narrow"/>
                <w:sz w:val="20"/>
                <w:szCs w:val="20"/>
              </w:rPr>
            </w:pPr>
            <w:r w:rsidRPr="000A7BB0">
              <w:rPr>
                <w:rFonts w:ascii="Arial Narrow" w:hAnsi="Arial Narrow"/>
                <w:sz w:val="20"/>
                <w:szCs w:val="20"/>
              </w:rPr>
              <w:t xml:space="preserve">Derived from PFS, OS, TTD and TCD K-M data from the </w:t>
            </w:r>
            <w:r w:rsidRPr="000A7BB0">
              <w:rPr>
                <w:rFonts w:ascii="Arial Narrow" w:hAnsi="Arial Narrow"/>
                <w:i/>
                <w:sz w:val="20"/>
                <w:szCs w:val="20"/>
              </w:rPr>
              <w:t>ESR1</w:t>
            </w:r>
            <w:r w:rsidRPr="000A7BB0">
              <w:rPr>
                <w:rFonts w:ascii="Arial Narrow" w:hAnsi="Arial Narrow"/>
                <w:sz w:val="20"/>
                <w:szCs w:val="20"/>
              </w:rPr>
              <w:t xml:space="preserve">-variant cohort in EMERALD (excluding 6 patients who received CDK4/6i in the adjuvant setting), then extrapolated using parametric survival analysis for remaining time horizon. </w:t>
            </w:r>
          </w:p>
          <w:p w14:paraId="01DE7C69" w14:textId="77777777" w:rsidR="00271A5B" w:rsidRPr="000A7BB0" w:rsidRDefault="00271A5B" w:rsidP="00214FD9">
            <w:pPr>
              <w:widowControl w:val="0"/>
              <w:spacing w:before="0" w:after="0"/>
              <w:rPr>
                <w:rFonts w:ascii="Arial Narrow" w:hAnsi="Arial Narrow"/>
                <w:sz w:val="20"/>
                <w:szCs w:val="20"/>
              </w:rPr>
            </w:pPr>
          </w:p>
          <w:p w14:paraId="4F5777B9"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szCs w:val="20"/>
              </w:rPr>
              <w:t>Truncation point for all model outcomes was the mean OS follow up from the 2022 data cut (18 months [claimed by the submission; this could not be verified]).</w:t>
            </w:r>
          </w:p>
        </w:tc>
      </w:tr>
      <w:tr w:rsidR="00271A5B" w:rsidRPr="000A7BB0" w14:paraId="11C35282" w14:textId="77777777" w:rsidTr="00470B01">
        <w:tc>
          <w:tcPr>
            <w:tcW w:w="1167" w:type="pct"/>
            <w:vAlign w:val="center"/>
          </w:tcPr>
          <w:p w14:paraId="281C9467"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Extrapolation method</w:t>
            </w:r>
          </w:p>
        </w:tc>
        <w:tc>
          <w:tcPr>
            <w:tcW w:w="3833" w:type="pct"/>
            <w:vAlign w:val="center"/>
          </w:tcPr>
          <w:p w14:paraId="6B760B75" w14:textId="320F7B7E" w:rsidR="00271A5B" w:rsidRPr="000A7BB0" w:rsidRDefault="0C97CCAC" w:rsidP="00214FD9">
            <w:pPr>
              <w:widowControl w:val="0"/>
              <w:spacing w:before="0" w:after="0"/>
              <w:rPr>
                <w:rFonts w:ascii="Arial Narrow" w:hAnsi="Arial Narrow"/>
                <w:sz w:val="20"/>
                <w:szCs w:val="20"/>
              </w:rPr>
            </w:pPr>
            <w:r w:rsidRPr="000A7BB0">
              <w:rPr>
                <w:rFonts w:ascii="Arial Narrow" w:hAnsi="Arial Narrow"/>
                <w:sz w:val="20"/>
                <w:szCs w:val="20"/>
              </w:rPr>
              <w:t xml:space="preserve">Independent parametric models were fitted to each treatment arm with Log-logistic (OS), Generalised Gamma (PFS), Log-normal (TCD) and Generalised Gamma (TTD)  selected in base case for </w:t>
            </w:r>
            <w:proofErr w:type="spellStart"/>
            <w:r w:rsidRPr="000A7BB0">
              <w:rPr>
                <w:rFonts w:ascii="Arial Narrow" w:hAnsi="Arial Narrow"/>
                <w:sz w:val="20"/>
                <w:szCs w:val="20"/>
              </w:rPr>
              <w:t>elacestrant</w:t>
            </w:r>
            <w:proofErr w:type="spellEnd"/>
            <w:r w:rsidRPr="000A7BB0">
              <w:rPr>
                <w:rFonts w:ascii="Arial Narrow" w:hAnsi="Arial Narrow"/>
                <w:sz w:val="20"/>
                <w:szCs w:val="20"/>
              </w:rPr>
              <w:t xml:space="preserve"> and Gompertz (OS), Generalised Gamma (PFS), Log-normal (TCD) and Generalised Gamma (TTD) selected in base case for SOC, based on goodness of fit/visual inspection/assessment of the clinical plausibility of the extrapolation. </w:t>
            </w:r>
          </w:p>
          <w:p w14:paraId="2AA271C1"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 xml:space="preserve">Convergence was not assumed to occur within the modelled time horizon. </w:t>
            </w:r>
          </w:p>
          <w:p w14:paraId="34F2C278" w14:textId="77777777" w:rsidR="00271A5B" w:rsidRPr="000A7BB0" w:rsidRDefault="00271A5B" w:rsidP="00214FD9">
            <w:pPr>
              <w:widowControl w:val="0"/>
              <w:spacing w:before="0" w:after="0"/>
              <w:rPr>
                <w:rFonts w:ascii="Arial Narrow" w:hAnsi="Arial Narrow"/>
                <w:sz w:val="20"/>
              </w:rPr>
            </w:pPr>
          </w:p>
          <w:p w14:paraId="601B48C3" w14:textId="590A9EE5" w:rsidR="00271A5B" w:rsidRPr="000A7BB0" w:rsidRDefault="0C97CCAC" w:rsidP="00214FD9">
            <w:pPr>
              <w:widowControl w:val="0"/>
              <w:spacing w:before="0" w:after="0"/>
              <w:rPr>
                <w:rFonts w:ascii="Arial Narrow" w:hAnsi="Arial Narrow"/>
                <w:sz w:val="20"/>
                <w:szCs w:val="20"/>
              </w:rPr>
            </w:pPr>
            <w:r w:rsidRPr="000A7BB0">
              <w:rPr>
                <w:rFonts w:ascii="Arial Narrow" w:hAnsi="Arial Narrow"/>
                <w:sz w:val="20"/>
                <w:szCs w:val="20"/>
              </w:rPr>
              <w:t xml:space="preserve">50% of LYs gained, 48% of QALYs gained and 29% of costs in the </w:t>
            </w:r>
            <w:proofErr w:type="spellStart"/>
            <w:r w:rsidRPr="000A7BB0">
              <w:rPr>
                <w:rFonts w:ascii="Arial Narrow" w:hAnsi="Arial Narrow"/>
                <w:sz w:val="20"/>
                <w:szCs w:val="20"/>
              </w:rPr>
              <w:t>elacestrant</w:t>
            </w:r>
            <w:proofErr w:type="spellEnd"/>
            <w:r w:rsidRPr="000A7BB0">
              <w:rPr>
                <w:rFonts w:ascii="Arial Narrow" w:hAnsi="Arial Narrow"/>
                <w:sz w:val="20"/>
                <w:szCs w:val="20"/>
              </w:rPr>
              <w:t xml:space="preserve"> arm and 39% of LYs gained, 34% of QALYs gained and 35% of costs in the SOC arm occur in the extrapolated period.</w:t>
            </w:r>
          </w:p>
        </w:tc>
      </w:tr>
      <w:tr w:rsidR="00271A5B" w:rsidRPr="000A7BB0" w14:paraId="0CA85E55" w14:textId="77777777" w:rsidTr="00470B01">
        <w:tc>
          <w:tcPr>
            <w:tcW w:w="1167" w:type="pct"/>
            <w:vAlign w:val="center"/>
          </w:tcPr>
          <w:p w14:paraId="0D410DC3" w14:textId="77777777" w:rsidR="00271A5B" w:rsidRPr="000A7BB0" w:rsidRDefault="00271A5B" w:rsidP="00214FD9">
            <w:pPr>
              <w:widowControl w:val="0"/>
              <w:spacing w:before="0" w:after="0"/>
              <w:rPr>
                <w:rFonts w:ascii="Arial Narrow" w:hAnsi="Arial Narrow"/>
                <w:sz w:val="20"/>
              </w:rPr>
            </w:pPr>
            <w:r w:rsidRPr="000A7BB0">
              <w:rPr>
                <w:rFonts w:ascii="Arial Narrow" w:hAnsi="Arial Narrow"/>
                <w:sz w:val="20"/>
              </w:rPr>
              <w:t>Health related quality of life</w:t>
            </w:r>
          </w:p>
        </w:tc>
        <w:tc>
          <w:tcPr>
            <w:tcW w:w="3833" w:type="pct"/>
            <w:vAlign w:val="center"/>
          </w:tcPr>
          <w:p w14:paraId="13B99EBA" w14:textId="77777777" w:rsidR="00271A5B" w:rsidRPr="000A7BB0" w:rsidRDefault="00271A5B" w:rsidP="00214FD9">
            <w:pPr>
              <w:widowControl w:val="0"/>
              <w:spacing w:before="0" w:after="0"/>
              <w:rPr>
                <w:rFonts w:ascii="Arial Narrow" w:hAnsi="Arial Narrow"/>
                <w:sz w:val="20"/>
                <w:szCs w:val="20"/>
              </w:rPr>
            </w:pPr>
            <w:r w:rsidRPr="000A7BB0">
              <w:rPr>
                <w:rFonts w:ascii="Arial Narrow" w:hAnsi="Arial Narrow"/>
                <w:sz w:val="20"/>
              </w:rPr>
              <w:t>A</w:t>
            </w:r>
            <w:r w:rsidRPr="000A7BB0">
              <w:rPr>
                <w:rFonts w:ascii="Arial Narrow" w:hAnsi="Arial Narrow"/>
                <w:sz w:val="20"/>
                <w:szCs w:val="20"/>
              </w:rPr>
              <w:t xml:space="preserve"> linear mixed-effects regression model was fitted to EQ-5D-5L data from the EMERALD trial with Australian tariffs applied. A baseline utility value, accounting for mean age of the population and proportion of patients receiving 2+ prior LOT was used for the PF state (excludes time-varying age and G3/4 AE decrements). </w:t>
            </w:r>
          </w:p>
          <w:p w14:paraId="530AF17A" w14:textId="77777777" w:rsidR="00271A5B" w:rsidRPr="000A7BB0" w:rsidRDefault="00271A5B" w:rsidP="00214FD9">
            <w:pPr>
              <w:widowControl w:val="0"/>
              <w:spacing w:before="0" w:after="0"/>
              <w:rPr>
                <w:rFonts w:ascii="Arial Narrow" w:hAnsi="Arial Narrow"/>
                <w:sz w:val="20"/>
                <w:szCs w:val="20"/>
              </w:rPr>
            </w:pPr>
            <w:r w:rsidRPr="000A7BB0">
              <w:rPr>
                <w:rFonts w:ascii="Arial Narrow" w:hAnsi="Arial Narrow"/>
                <w:sz w:val="20"/>
              </w:rPr>
              <w:t>The utility</w:t>
            </w:r>
            <w:r w:rsidRPr="000A7BB0">
              <w:rPr>
                <w:rFonts w:ascii="Arial Narrow" w:hAnsi="Arial Narrow"/>
                <w:sz w:val="20"/>
                <w:szCs w:val="20"/>
              </w:rPr>
              <w:t xml:space="preserve"> value for PD health state was derived from a PD multiplier (sourced from the Lloyd 2006) that was applied to the PF health state value from EMERALD.</w:t>
            </w:r>
          </w:p>
          <w:p w14:paraId="65DEC017" w14:textId="5FB1DF12" w:rsidR="00271A5B" w:rsidRPr="000A7BB0" w:rsidRDefault="0C97CCAC" w:rsidP="00214FD9">
            <w:pPr>
              <w:widowControl w:val="0"/>
              <w:spacing w:before="0" w:after="0"/>
              <w:rPr>
                <w:rFonts w:ascii="Arial Narrow" w:hAnsi="Arial Narrow"/>
                <w:sz w:val="20"/>
                <w:szCs w:val="20"/>
              </w:rPr>
            </w:pPr>
            <w:r w:rsidRPr="000A7BB0">
              <w:rPr>
                <w:rFonts w:ascii="Arial Narrow" w:hAnsi="Arial Narrow"/>
                <w:sz w:val="20"/>
                <w:szCs w:val="20"/>
              </w:rPr>
              <w:t xml:space="preserve">Utility decrements related to IM administration (from </w:t>
            </w:r>
            <w:proofErr w:type="spellStart"/>
            <w:r w:rsidRPr="000A7BB0">
              <w:rPr>
                <w:rFonts w:ascii="Arial Narrow" w:hAnsi="Arial Narrow"/>
                <w:sz w:val="20"/>
                <w:szCs w:val="20"/>
              </w:rPr>
              <w:t>fulvestrant</w:t>
            </w:r>
            <w:proofErr w:type="spellEnd"/>
            <w:r w:rsidRPr="000A7BB0">
              <w:rPr>
                <w:rFonts w:ascii="Arial Narrow" w:hAnsi="Arial Narrow"/>
                <w:sz w:val="20"/>
                <w:szCs w:val="20"/>
              </w:rPr>
              <w:t xml:space="preserve"> treatment as part of SOC) and subsequent chemotherapy treatment were derived from the literature</w:t>
            </w:r>
          </w:p>
          <w:p w14:paraId="2D7C2C57" w14:textId="77777777" w:rsidR="00271A5B" w:rsidRPr="000A7BB0" w:rsidRDefault="00271A5B" w:rsidP="00214FD9">
            <w:pPr>
              <w:widowControl w:val="0"/>
              <w:spacing w:before="0" w:after="0"/>
              <w:rPr>
                <w:rFonts w:ascii="Arial Narrow" w:hAnsi="Arial Narrow"/>
                <w:sz w:val="20"/>
              </w:rPr>
            </w:pPr>
          </w:p>
          <w:p w14:paraId="0FBDD45C" w14:textId="77777777" w:rsidR="00271A5B" w:rsidRPr="000A7BB0" w:rsidRDefault="00271A5B" w:rsidP="00214FD9">
            <w:pPr>
              <w:widowControl w:val="0"/>
              <w:spacing w:before="0" w:after="0"/>
              <w:rPr>
                <w:rFonts w:ascii="Arial Narrow" w:hAnsi="Arial Narrow"/>
                <w:sz w:val="20"/>
                <w:szCs w:val="20"/>
              </w:rPr>
            </w:pPr>
            <w:r w:rsidRPr="000A7BB0">
              <w:rPr>
                <w:rFonts w:ascii="Arial Narrow" w:hAnsi="Arial Narrow"/>
                <w:sz w:val="20"/>
              </w:rPr>
              <w:t xml:space="preserve">Utility values used in </w:t>
            </w:r>
            <w:r w:rsidRPr="000A7BB0">
              <w:rPr>
                <w:rFonts w:ascii="Arial Narrow" w:hAnsi="Arial Narrow"/>
                <w:sz w:val="20"/>
                <w:szCs w:val="20"/>
              </w:rPr>
              <w:t>model:</w:t>
            </w:r>
          </w:p>
          <w:p w14:paraId="00887D3B" w14:textId="77777777" w:rsidR="00271A5B" w:rsidRPr="000A7BB0" w:rsidRDefault="00271A5B" w:rsidP="00214FD9">
            <w:pPr>
              <w:widowControl w:val="0"/>
              <w:spacing w:before="0" w:after="0"/>
              <w:rPr>
                <w:rFonts w:ascii="Arial Narrow" w:hAnsi="Arial Narrow"/>
                <w:sz w:val="20"/>
                <w:szCs w:val="20"/>
              </w:rPr>
            </w:pPr>
            <w:r w:rsidRPr="000A7BB0">
              <w:rPr>
                <w:rFonts w:ascii="Arial Narrow" w:hAnsi="Arial Narrow"/>
                <w:sz w:val="20"/>
              </w:rPr>
              <w:t>PF=</w:t>
            </w:r>
            <w:r w:rsidRPr="000A7BB0">
              <w:rPr>
                <w:rFonts w:ascii="Arial Narrow" w:hAnsi="Arial Narrow"/>
                <w:sz w:val="20"/>
                <w:szCs w:val="20"/>
              </w:rPr>
              <w:t xml:space="preserve">0.876 </w:t>
            </w:r>
          </w:p>
          <w:p w14:paraId="0F38EF91" w14:textId="77777777" w:rsidR="00271A5B" w:rsidRPr="000A7BB0" w:rsidRDefault="00271A5B" w:rsidP="00214FD9">
            <w:pPr>
              <w:widowControl w:val="0"/>
              <w:spacing w:before="0" w:after="0"/>
              <w:rPr>
                <w:rFonts w:ascii="Arial Narrow" w:hAnsi="Arial Narrow"/>
                <w:sz w:val="20"/>
                <w:szCs w:val="20"/>
              </w:rPr>
            </w:pPr>
            <w:r w:rsidRPr="000A7BB0">
              <w:rPr>
                <w:rFonts w:ascii="Arial Narrow" w:hAnsi="Arial Narrow"/>
                <w:sz w:val="20"/>
              </w:rPr>
              <w:t>PD=0.</w:t>
            </w:r>
            <w:r w:rsidRPr="000A7BB0">
              <w:rPr>
                <w:rFonts w:ascii="Arial Narrow" w:hAnsi="Arial Narrow"/>
                <w:sz w:val="20"/>
                <w:szCs w:val="20"/>
              </w:rPr>
              <w:t xml:space="preserve">543 </w:t>
            </w:r>
          </w:p>
          <w:p w14:paraId="164B4AD2" w14:textId="77777777" w:rsidR="00271A5B" w:rsidRPr="000A7BB0" w:rsidRDefault="00271A5B" w:rsidP="00214FD9">
            <w:pPr>
              <w:widowControl w:val="0"/>
              <w:spacing w:before="0" w:after="0"/>
              <w:rPr>
                <w:rFonts w:ascii="Arial Narrow" w:hAnsi="Arial Narrow"/>
                <w:sz w:val="20"/>
                <w:szCs w:val="20"/>
              </w:rPr>
            </w:pPr>
            <w:r w:rsidRPr="000A7BB0">
              <w:rPr>
                <w:rFonts w:ascii="Arial Narrow" w:hAnsi="Arial Narrow"/>
                <w:sz w:val="20"/>
              </w:rPr>
              <w:t>Age decrement=</w:t>
            </w:r>
            <w:r w:rsidRPr="000A7BB0">
              <w:rPr>
                <w:rFonts w:ascii="Arial Narrow" w:hAnsi="Arial Narrow"/>
                <w:sz w:val="20"/>
                <w:szCs w:val="20"/>
              </w:rPr>
              <w:t xml:space="preserve"> -0.0014</w:t>
            </w:r>
          </w:p>
          <w:p w14:paraId="618221A8" w14:textId="77777777" w:rsidR="00271A5B" w:rsidRPr="000A7BB0" w:rsidRDefault="00271A5B" w:rsidP="00214FD9">
            <w:pPr>
              <w:widowControl w:val="0"/>
              <w:spacing w:before="0" w:after="0"/>
              <w:rPr>
                <w:rFonts w:ascii="Arial Narrow" w:hAnsi="Arial Narrow"/>
                <w:sz w:val="20"/>
                <w:szCs w:val="20"/>
              </w:rPr>
            </w:pPr>
            <w:r w:rsidRPr="000A7BB0">
              <w:rPr>
                <w:rFonts w:ascii="Arial Narrow" w:hAnsi="Arial Narrow"/>
                <w:sz w:val="20"/>
              </w:rPr>
              <w:t>Grade 3/4 AE decrement= -0.0830</w:t>
            </w:r>
          </w:p>
          <w:p w14:paraId="5852178A" w14:textId="77777777" w:rsidR="00271A5B" w:rsidRPr="000A7BB0" w:rsidRDefault="00271A5B" w:rsidP="00214FD9">
            <w:pPr>
              <w:widowControl w:val="0"/>
              <w:spacing w:before="0" w:after="0"/>
              <w:rPr>
                <w:rFonts w:ascii="Arial Narrow" w:eastAsiaTheme="minorEastAsia" w:hAnsi="Arial Narrow" w:cstheme="minorHAnsi"/>
                <w:sz w:val="20"/>
                <w:szCs w:val="20"/>
              </w:rPr>
            </w:pPr>
            <w:r w:rsidRPr="000A7BB0">
              <w:rPr>
                <w:rFonts w:ascii="Arial Narrow" w:eastAsiaTheme="minorEastAsia" w:hAnsi="Arial Narrow" w:cstheme="minorHAnsi"/>
                <w:sz w:val="20"/>
              </w:rPr>
              <w:t>IM administration = -0.0040</w:t>
            </w:r>
          </w:p>
          <w:p w14:paraId="605DE1B2" w14:textId="77777777" w:rsidR="00271A5B" w:rsidRPr="000A7BB0" w:rsidRDefault="00271A5B" w:rsidP="00214FD9">
            <w:pPr>
              <w:widowControl w:val="0"/>
              <w:spacing w:before="0" w:after="0"/>
              <w:rPr>
                <w:rFonts w:ascii="Arial Narrow" w:hAnsi="Arial Narrow"/>
                <w:sz w:val="20"/>
              </w:rPr>
            </w:pPr>
            <w:r w:rsidRPr="000A7BB0">
              <w:rPr>
                <w:rFonts w:ascii="Arial Narrow" w:eastAsiaTheme="minorEastAsia" w:hAnsi="Arial Narrow" w:cstheme="minorHAnsi"/>
                <w:sz w:val="20"/>
              </w:rPr>
              <w:t>Chemotherapy treatment = -0.113</w:t>
            </w:r>
          </w:p>
        </w:tc>
      </w:tr>
    </w:tbl>
    <w:p w14:paraId="32378F3D" w14:textId="77777777" w:rsidR="00271A5B" w:rsidRPr="000A7BB0" w:rsidRDefault="00271A5B" w:rsidP="00214FD9">
      <w:pPr>
        <w:widowControl w:val="0"/>
        <w:spacing w:before="0" w:after="0"/>
        <w:contextualSpacing/>
        <w:rPr>
          <w:rFonts w:ascii="Arial Narrow" w:eastAsia="Times New Roman" w:hAnsi="Arial Narrow" w:cs="Arial"/>
          <w:snapToGrid w:val="0"/>
          <w:sz w:val="18"/>
          <w:szCs w:val="20"/>
        </w:rPr>
      </w:pPr>
      <w:r w:rsidRPr="000A7BB0">
        <w:rPr>
          <w:rFonts w:ascii="Arial Narrow" w:eastAsia="Times New Roman" w:hAnsi="Arial Narrow" w:cs="Arial"/>
          <w:snapToGrid w:val="0"/>
          <w:sz w:val="18"/>
          <w:szCs w:val="20"/>
        </w:rPr>
        <w:t>Source: Table 2.78, p218 and Table 3.1, p254 of the submission</w:t>
      </w:r>
    </w:p>
    <w:p w14:paraId="187EDF05" w14:textId="77777777" w:rsidR="00271A5B" w:rsidRPr="000A7BB0" w:rsidRDefault="0C97CCAC" w:rsidP="00214FD9">
      <w:pPr>
        <w:widowControl w:val="0"/>
        <w:spacing w:before="0" w:after="0"/>
        <w:contextualSpacing/>
        <w:rPr>
          <w:rFonts w:ascii="Arial Narrow" w:eastAsia="Times New Roman" w:hAnsi="Arial Narrow" w:cs="Arial"/>
          <w:snapToGrid w:val="0"/>
          <w:sz w:val="18"/>
          <w:szCs w:val="18"/>
        </w:rPr>
      </w:pPr>
      <w:r w:rsidRPr="000A7BB0">
        <w:rPr>
          <w:rFonts w:ascii="Arial Narrow" w:eastAsia="Times New Roman" w:hAnsi="Arial Narrow" w:cs="Arial"/>
          <w:snapToGrid w:val="0"/>
          <w:sz w:val="18"/>
          <w:szCs w:val="18"/>
        </w:rPr>
        <w:lastRenderedPageBreak/>
        <w:t xml:space="preserve">AE= adverse event; EQ-5D-5L = </w:t>
      </w:r>
      <w:proofErr w:type="spellStart"/>
      <w:r w:rsidRPr="000A7BB0">
        <w:rPr>
          <w:rFonts w:ascii="Arial Narrow" w:eastAsia="Times New Roman" w:hAnsi="Arial Narrow" w:cs="Arial"/>
          <w:snapToGrid w:val="0"/>
          <w:sz w:val="18"/>
          <w:szCs w:val="18"/>
        </w:rPr>
        <w:t>EuroQol</w:t>
      </w:r>
      <w:proofErr w:type="spellEnd"/>
      <w:r w:rsidRPr="000A7BB0">
        <w:rPr>
          <w:rFonts w:ascii="Arial Narrow" w:eastAsia="Times New Roman" w:hAnsi="Arial Narrow" w:cs="Arial"/>
          <w:snapToGrid w:val="0"/>
          <w:sz w:val="18"/>
          <w:szCs w:val="18"/>
        </w:rPr>
        <w:t xml:space="preserve"> 5 dimension 5 level; </w:t>
      </w:r>
      <w:r w:rsidRPr="000A7BB0">
        <w:rPr>
          <w:rFonts w:ascii="Arial Narrow" w:eastAsia="Times New Roman" w:hAnsi="Arial Narrow" w:cs="Arial"/>
          <w:i/>
          <w:iCs/>
          <w:snapToGrid w:val="0"/>
          <w:sz w:val="18"/>
          <w:szCs w:val="18"/>
        </w:rPr>
        <w:t xml:space="preserve">ESR1 </w:t>
      </w:r>
      <w:r w:rsidRPr="000A7BB0">
        <w:rPr>
          <w:rFonts w:ascii="Arial Narrow" w:eastAsia="Times New Roman" w:hAnsi="Arial Narrow" w:cs="Arial"/>
          <w:snapToGrid w:val="0"/>
          <w:sz w:val="18"/>
          <w:szCs w:val="18"/>
        </w:rPr>
        <w:t>= estrogen receptor 1;  ICER = incremental cost-effectiveness ratio; IM = intramuscular injection; K-M = Kaplan-Meier; LOT= lines of therapy; LYs = life years; LYG = life years gained; OS = overall survival; PBAC= Pharmaceutical Benefits Advisory Committee; PD = progressed disease; PF = progression free; PFS = progression-free survival; QALY = quality-adjusted life year; SOC = standard of care; TCD = time to chemotherapy or death; TTD = time to treatment discontinuation</w:t>
      </w:r>
    </w:p>
    <w:p w14:paraId="3DF8AB11" w14:textId="193B2547" w:rsidR="00C905D6" w:rsidRPr="00DE49EF" w:rsidRDefault="00C905D6" w:rsidP="00214FD9">
      <w:pPr>
        <w:spacing w:before="240" w:after="240"/>
        <w:rPr>
          <w:i/>
          <w:iCs/>
        </w:rPr>
      </w:pPr>
      <w:r w:rsidRPr="00DE49EF">
        <w:t>No test variables were incorporated in the economic model</w:t>
      </w:r>
      <w:r w:rsidR="49785B8E" w:rsidRPr="00DE49EF">
        <w:t>;</w:t>
      </w:r>
      <w:r w:rsidRPr="00DE49EF">
        <w:t xml:space="preserve"> the model input population (or starting population) consisted of the </w:t>
      </w:r>
      <w:r w:rsidRPr="00DE49EF">
        <w:rPr>
          <w:i/>
          <w:iCs/>
        </w:rPr>
        <w:t>ESR1</w:t>
      </w:r>
      <w:r w:rsidRPr="00DE49EF">
        <w:t xml:space="preserve"> variant population only from the EMERALD trial. As such, the model implied that testing for </w:t>
      </w:r>
      <w:r w:rsidRPr="00DE49EF">
        <w:rPr>
          <w:i/>
          <w:iCs/>
        </w:rPr>
        <w:t>ESR1</w:t>
      </w:r>
      <w:r w:rsidRPr="00DE49EF">
        <w:t xml:space="preserve"> variants in ctDNA extracted from blood plasma through NGS methodology is associated with no false negative or false positive results, test uptake is 100%, the test failure rate is 0% and no retesting occurs. The commentary considered that the implied assumptions regarding test accuracy w</w:t>
      </w:r>
      <w:r w:rsidR="3A274F8E" w:rsidRPr="00DE49EF">
        <w:t>ere</w:t>
      </w:r>
      <w:r w:rsidRPr="00DE49EF">
        <w:t xml:space="preserve"> not appropriate or justified based on the test performance evidence presented.</w:t>
      </w:r>
      <w:r w:rsidRPr="00DE49EF">
        <w:rPr>
          <w:i/>
          <w:iCs/>
        </w:rPr>
        <w:t xml:space="preserve"> </w:t>
      </w:r>
      <w:r w:rsidRPr="00DE49EF">
        <w:t xml:space="preserve"> </w:t>
      </w:r>
    </w:p>
    <w:p w14:paraId="07C77E20" w14:textId="12D2C990" w:rsidR="00C905D6" w:rsidRPr="00DE49EF" w:rsidRDefault="00C905D6" w:rsidP="00DE49EF">
      <w:pPr>
        <w:spacing w:before="0" w:after="200"/>
      </w:pPr>
      <w:r w:rsidRPr="00DE49EF">
        <w:t>The commentary noted the submission</w:t>
      </w:r>
      <w:r w:rsidR="33B7FE4A" w:rsidRPr="00DE49EF">
        <w:t>’</w:t>
      </w:r>
      <w:r w:rsidRPr="00DE49EF">
        <w:t>s approach for the economic model was not consistent with MSAC/PBAC guidelines which state that, for a co-dependent technology, the model structure should capture patients at the point of testing such that the incremental benefits and costs are included for those who are both positive and negative for the test (the whole trial population). The commentary also noted that the submission</w:t>
      </w:r>
      <w:r w:rsidR="33B7FE4A" w:rsidRPr="00DE49EF">
        <w:t>’</w:t>
      </w:r>
      <w:r w:rsidRPr="00DE49EF">
        <w:t xml:space="preserve">s approach was not consistent with advice from PASC, which considered that cost modelling for both NGS and </w:t>
      </w:r>
      <w:proofErr w:type="spellStart"/>
      <w:r w:rsidRPr="00DE49EF">
        <w:t>ddPCR</w:t>
      </w:r>
      <w:proofErr w:type="spellEnd"/>
      <w:r w:rsidRPr="00DE49EF">
        <w:t xml:space="preserve"> methodology in the detection of </w:t>
      </w:r>
      <w:r w:rsidRPr="00DE49EF">
        <w:rPr>
          <w:i/>
          <w:iCs/>
        </w:rPr>
        <w:t>ESR1</w:t>
      </w:r>
      <w:r w:rsidRPr="00DE49EF">
        <w:t xml:space="preserve"> variants should be included in the assessment. </w:t>
      </w:r>
    </w:p>
    <w:p w14:paraId="6F5DE312" w14:textId="44E490CF" w:rsidR="00C905D6" w:rsidRPr="00DE49EF" w:rsidRDefault="258752C8" w:rsidP="00DE49EF">
      <w:pPr>
        <w:spacing w:before="240"/>
      </w:pPr>
      <w:r>
        <w:t xml:space="preserve">In EMERALD, 47.7% (228/478) of eligible patients tested positive for an </w:t>
      </w:r>
      <w:r w:rsidRPr="56F9DD4F">
        <w:rPr>
          <w:i/>
          <w:iCs/>
        </w:rPr>
        <w:t xml:space="preserve">ESR1 </w:t>
      </w:r>
      <w:r>
        <w:t>variant (based on one test per patient)</w:t>
      </w:r>
      <w:r w:rsidR="36BFDBDA">
        <w:t>;</w:t>
      </w:r>
      <w:r>
        <w:t xml:space="preserve"> the submission claimed that this means that </w:t>
      </w:r>
      <w:r w:rsidRPr="00716A0C">
        <w:t xml:space="preserve">2.10 </w:t>
      </w:r>
      <w:r>
        <w:t xml:space="preserve">patients must be tested to identify one </w:t>
      </w:r>
      <w:r w:rsidRPr="56F9DD4F">
        <w:rPr>
          <w:i/>
          <w:iCs/>
        </w:rPr>
        <w:t>ESR1</w:t>
      </w:r>
      <w:r>
        <w:t xml:space="preserve"> variant positive patient.</w:t>
      </w:r>
    </w:p>
    <w:p w14:paraId="7FDD2205" w14:textId="218DEF38" w:rsidR="00C905D6" w:rsidRPr="00DE49EF" w:rsidRDefault="00C905D6" w:rsidP="00DE49EF">
      <w:r w:rsidRPr="00DE49EF">
        <w:t xml:space="preserve">The submission also claimed that since the prevalence of </w:t>
      </w:r>
      <w:r w:rsidRPr="00DE49EF">
        <w:rPr>
          <w:i/>
          <w:iCs/>
        </w:rPr>
        <w:t>ESR1</w:t>
      </w:r>
      <w:r w:rsidRPr="00DE49EF">
        <w:t xml:space="preserve"> variants in ER+/HER2- </w:t>
      </w:r>
      <w:proofErr w:type="spellStart"/>
      <w:r w:rsidRPr="00DE49EF">
        <w:t>mBC</w:t>
      </w:r>
      <w:proofErr w:type="spellEnd"/>
      <w:r w:rsidRPr="00DE49EF">
        <w:t xml:space="preserve"> patients from the EMERALD trial reflects patients who were 2nd and 3rd line post CDK4/6i treatment, this reflects the rate of </w:t>
      </w:r>
      <w:r w:rsidRPr="00DE49EF">
        <w:rPr>
          <w:i/>
          <w:iCs/>
        </w:rPr>
        <w:t>ESR1</w:t>
      </w:r>
      <w:r w:rsidRPr="00DE49EF">
        <w:t xml:space="preserve"> variants across multiple lines of ET. Therefore, the submission claimed that the economic model implicitly evaluates multiple rounds of testing, and it is not necessary to evaluate subsequent rounds of testing separately.</w:t>
      </w:r>
    </w:p>
    <w:p w14:paraId="616F1D04" w14:textId="7951AA30" w:rsidR="00C905D6" w:rsidRPr="00DE49EF" w:rsidRDefault="258752C8" w:rsidP="00DE49EF">
      <w:r>
        <w:t xml:space="preserve">The expected cost of the proposed </w:t>
      </w:r>
      <w:r w:rsidRPr="56F9DD4F">
        <w:rPr>
          <w:i/>
          <w:iCs/>
        </w:rPr>
        <w:t>ESR1</w:t>
      </w:r>
      <w:r>
        <w:t xml:space="preserve"> test is around $1,500 (</w:t>
      </w:r>
      <w:r w:rsidR="3B1643C8">
        <w:t>based on advice from a large treating centre pathology service</w:t>
      </w:r>
      <w:r>
        <w:t xml:space="preserve">). The commentary noted that this is higher than similar tests currently listed on the MBS, including testing for germline gene variants </w:t>
      </w:r>
      <w:r w:rsidRPr="56F9DD4F">
        <w:rPr>
          <w:i/>
          <w:iCs/>
        </w:rPr>
        <w:t>BRCA1/2</w:t>
      </w:r>
      <w:r>
        <w:t xml:space="preserve"> and </w:t>
      </w:r>
      <w:r w:rsidRPr="56F9DD4F">
        <w:rPr>
          <w:i/>
          <w:iCs/>
        </w:rPr>
        <w:t>PALB2</w:t>
      </w:r>
      <w:r>
        <w:t xml:space="preserve"> (MBS item 73296) and testing for variants known to be causative of childhood hearing loss using NGS (MBS items 73440</w:t>
      </w:r>
      <w:r w:rsidR="1BE5C928">
        <w:t xml:space="preserve">, </w:t>
      </w:r>
      <w:r>
        <w:t>73444)</w:t>
      </w:r>
      <w:r w:rsidR="357771D6">
        <w:t>,</w:t>
      </w:r>
      <w:r>
        <w:t xml:space="preserve"> which are priced at $1</w:t>
      </w:r>
      <w:r w:rsidR="2E92C876">
        <w:t>,</w:t>
      </w:r>
      <w:r>
        <w:t xml:space="preserve">200 (page 17, 1782 Ratified PICO Confirmation, August 2024 PASC meeting). The model applied the cost of </w:t>
      </w:r>
      <w:r w:rsidR="6DB7727C">
        <w:t xml:space="preserve">testing </w:t>
      </w:r>
      <w:r>
        <w:t xml:space="preserve">2.10 patients to each patient in the </w:t>
      </w:r>
      <w:proofErr w:type="spellStart"/>
      <w:r>
        <w:t>elacestrant</w:t>
      </w:r>
      <w:proofErr w:type="spellEnd"/>
      <w:r>
        <w:t xml:space="preserve"> arm; this amounts to $3,144.74 in </w:t>
      </w:r>
      <w:r w:rsidRPr="56F9DD4F">
        <w:rPr>
          <w:i/>
          <w:iCs/>
        </w:rPr>
        <w:t>ESR1</w:t>
      </w:r>
      <w:r>
        <w:t xml:space="preserve"> testing per patient in the </w:t>
      </w:r>
      <w:proofErr w:type="spellStart"/>
      <w:r>
        <w:t>elacestrant</w:t>
      </w:r>
      <w:proofErr w:type="spellEnd"/>
      <w:r>
        <w:t xml:space="preserve"> arm. </w:t>
      </w:r>
    </w:p>
    <w:p w14:paraId="7EB8FE63" w14:textId="7BD99B69" w:rsidR="00C905D6" w:rsidRPr="00DE49EF" w:rsidRDefault="00C905D6" w:rsidP="00DE49EF">
      <w:r w:rsidRPr="00DE49EF">
        <w:t xml:space="preserve">The commentary considered that methods used by the submission to determine testing costs reflect a scenario where eligible patients are only tested once following disease progression after 1 or 2 prior lines of therapy. This was not consistent with the proposed MBS restriction, which allows testing at each episode of disease progression following first line treatment. As such, the commentary considered that the costs of testing applied in the model are likely underestimated. </w:t>
      </w:r>
    </w:p>
    <w:p w14:paraId="1A04174D" w14:textId="21D4B7B2" w:rsidR="00C905D6" w:rsidRPr="00950C0F" w:rsidRDefault="258752C8" w:rsidP="56F9DD4F">
      <w:pPr>
        <w:spacing w:before="0" w:after="200"/>
      </w:pPr>
      <w:r>
        <w:t xml:space="preserve">The base case incremental cost effectiveness ratio (ICER) was </w:t>
      </w:r>
      <w:r w:rsidRPr="00E71F28">
        <w:t>$</w:t>
      </w:r>
      <w:r w:rsidR="4BB26669" w:rsidRPr="00E71F28">
        <w:t>55,000 to &lt; $75,000</w:t>
      </w:r>
      <w:r w:rsidR="3F8DDE7B" w:rsidRPr="00E71F28">
        <w:t xml:space="preserve"> per</w:t>
      </w:r>
      <w:r>
        <w:t xml:space="preserve"> quality</w:t>
      </w:r>
      <w:r w:rsidR="2E92C876">
        <w:t>-</w:t>
      </w:r>
      <w:r>
        <w:t xml:space="preserve">adjusted life year (QALY) gained. Test costs </w:t>
      </w:r>
      <w:r w:rsidRPr="00E71F28">
        <w:t xml:space="preserve">comprised </w:t>
      </w:r>
      <w:r w:rsidR="008C42B2" w:rsidRPr="00125842">
        <w:rPr>
          <w:b/>
          <w:bCs/>
        </w:rPr>
        <w:t>redacted</w:t>
      </w:r>
      <w:r w:rsidRPr="00125842">
        <w:t xml:space="preserve">% </w:t>
      </w:r>
      <w:r>
        <w:t xml:space="preserve">of the total incremental costs for </w:t>
      </w:r>
      <w:proofErr w:type="spellStart"/>
      <w:r>
        <w:t>elacestrant</w:t>
      </w:r>
      <w:proofErr w:type="spellEnd"/>
      <w:r>
        <w:t>. The commentary noted the submission did not present any sensitivity analyses specifically relevant to</w:t>
      </w:r>
      <w:r w:rsidRPr="56F9DD4F">
        <w:rPr>
          <w:i/>
          <w:iCs/>
        </w:rPr>
        <w:t xml:space="preserve"> </w:t>
      </w:r>
      <w:r>
        <w:t>MSAC</w:t>
      </w:r>
      <w:r w:rsidR="4A6B6411">
        <w:t xml:space="preserve"> consideration of testing</w:t>
      </w:r>
      <w:r>
        <w:t xml:space="preserve"> (e</w:t>
      </w:r>
      <w:r w:rsidR="4A6B6411">
        <w:t>.</w:t>
      </w:r>
      <w:r>
        <w:t>g</w:t>
      </w:r>
      <w:r w:rsidR="4A6B6411">
        <w:t>.,</w:t>
      </w:r>
      <w:r>
        <w:t xml:space="preserve"> varying test performance, providing a ‘no test’ scenario, lowering test uptake from 100%, introducing a test failure possibility, or varying the biomarker prevalence).</w:t>
      </w:r>
      <w:r w:rsidR="4C98C56F">
        <w:t xml:space="preserve"> Given the structure of the model, sensitivity analyses could not be conducted during the evaluation to test the impact of these assumptions. However, it is likely that the assumptions made regarding 100% test accuracy and 0% failure rate would likely </w:t>
      </w:r>
      <w:r w:rsidR="4C98C56F">
        <w:lastRenderedPageBreak/>
        <w:t>underestimate and overestimate the ICER, respectively.</w:t>
      </w:r>
      <w:r>
        <w:t>).</w:t>
      </w:r>
      <w:r w:rsidR="0DC66D37">
        <w:t xml:space="preserve"> </w:t>
      </w:r>
      <w:r w:rsidR="0DC66D37" w:rsidRPr="00950C0F">
        <w:t xml:space="preserve">The assessment group </w:t>
      </w:r>
      <w:r w:rsidR="06B9C962" w:rsidRPr="00950C0F">
        <w:t xml:space="preserve">was </w:t>
      </w:r>
      <w:r w:rsidR="0DC66D37" w:rsidRPr="00950C0F">
        <w:t xml:space="preserve">unable to assess any sensitivity analyses as this would require considerable changes to the economic model structure. </w:t>
      </w:r>
    </w:p>
    <w:p w14:paraId="7B7394D5" w14:textId="20ADDA56" w:rsidR="00D271EE" w:rsidRPr="00DE49EF" w:rsidRDefault="54C115DB" w:rsidP="00DE49EF">
      <w:pPr>
        <w:spacing w:after="200"/>
        <w:contextualSpacing/>
      </w:pPr>
      <w:r w:rsidRPr="00DE49EF">
        <w:t>The ESCs also requested additional sensitivity analyses, post-ESCs, to show the impact of accounting for additional testing costs for patients who undergo re-testing following progression</w:t>
      </w:r>
      <w:r w:rsidR="18C9AC93" w:rsidRPr="00DE49EF">
        <w:t xml:space="preserve"> and </w:t>
      </w:r>
      <w:r w:rsidR="46220A5D" w:rsidRPr="00DE49EF">
        <w:t>different unit costs for testing. Table 12 presents the results.</w:t>
      </w:r>
    </w:p>
    <w:p w14:paraId="2326B7A7" w14:textId="15A9E547" w:rsidR="00542342" w:rsidRPr="000A7BB0" w:rsidRDefault="7E65DBF5" w:rsidP="74877A7E">
      <w:pPr>
        <w:pStyle w:val="Caption"/>
        <w:rPr>
          <w:rStyle w:val="CommentReference"/>
          <w:b/>
          <w:bCs/>
        </w:rPr>
      </w:pPr>
      <w:r>
        <w:t xml:space="preserve">Table </w:t>
      </w:r>
      <w:r w:rsidR="27BEA8DA">
        <w:fldChar w:fldCharType="begin"/>
      </w:r>
      <w:r w:rsidR="27BEA8DA">
        <w:instrText>SEQ Table_MSAC. \* ARABIC</w:instrText>
      </w:r>
      <w:r w:rsidR="27BEA8DA">
        <w:fldChar w:fldCharType="separate"/>
      </w:r>
      <w:r>
        <w:t>12</w:t>
      </w:r>
      <w:r w:rsidR="27BEA8DA">
        <w:fldChar w:fldCharType="end"/>
      </w:r>
      <w:r>
        <w:t xml:space="preserve">: </w:t>
      </w:r>
      <w:r w:rsidR="559780D0">
        <w:t xml:space="preserve">Results of economic evaluation and additional </w:t>
      </w:r>
      <w:r w:rsidR="20C8E5AE">
        <w:t>sensitivity analyses post-ESCs</w:t>
      </w:r>
      <w:r>
        <w:t xml:space="preserve"> </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1277"/>
        <w:gridCol w:w="1275"/>
        <w:gridCol w:w="1133"/>
        <w:gridCol w:w="1416"/>
      </w:tblGrid>
      <w:tr w:rsidR="009B7586" w:rsidRPr="000A7BB0" w14:paraId="63542A58" w14:textId="77777777" w:rsidTr="56F9DD4F">
        <w:trPr>
          <w:cantSplit/>
          <w:tblHeader/>
          <w:jc w:val="center"/>
        </w:trPr>
        <w:tc>
          <w:tcPr>
            <w:tcW w:w="2272" w:type="pct"/>
          </w:tcPr>
          <w:p w14:paraId="3C9B3940" w14:textId="3ACBA2BC" w:rsidR="009B7586" w:rsidRPr="000A7BB0" w:rsidRDefault="009B7586" w:rsidP="007B560D">
            <w:pPr>
              <w:pStyle w:val="In-tableHeading"/>
              <w:rPr>
                <w:lang w:val="en-AU"/>
              </w:rPr>
            </w:pPr>
          </w:p>
        </w:tc>
        <w:tc>
          <w:tcPr>
            <w:tcW w:w="683" w:type="pct"/>
          </w:tcPr>
          <w:p w14:paraId="29F02305" w14:textId="77777777" w:rsidR="009B7586" w:rsidRPr="000A7BB0" w:rsidRDefault="009B7586" w:rsidP="009B7586">
            <w:pPr>
              <w:pStyle w:val="In-tableHeading"/>
              <w:jc w:val="center"/>
              <w:rPr>
                <w:lang w:val="en-AU"/>
              </w:rPr>
            </w:pPr>
            <w:r w:rsidRPr="000A7BB0">
              <w:rPr>
                <w:lang w:val="en-AU"/>
              </w:rPr>
              <w:t>Incremental cost</w:t>
            </w:r>
          </w:p>
        </w:tc>
        <w:tc>
          <w:tcPr>
            <w:tcW w:w="682" w:type="pct"/>
          </w:tcPr>
          <w:p w14:paraId="7C7C3754" w14:textId="77777777" w:rsidR="009B7586" w:rsidRPr="000A7BB0" w:rsidRDefault="009B7586" w:rsidP="009B7586">
            <w:pPr>
              <w:pStyle w:val="In-tableHeading"/>
              <w:jc w:val="center"/>
              <w:rPr>
                <w:lang w:val="en-AU"/>
              </w:rPr>
            </w:pPr>
            <w:r w:rsidRPr="000A7BB0">
              <w:rPr>
                <w:lang w:val="en-AU"/>
              </w:rPr>
              <w:t>Incremental QALY</w:t>
            </w:r>
          </w:p>
        </w:tc>
        <w:tc>
          <w:tcPr>
            <w:tcW w:w="606" w:type="pct"/>
          </w:tcPr>
          <w:p w14:paraId="44637A6A" w14:textId="77777777" w:rsidR="009B7586" w:rsidRPr="000A7BB0" w:rsidRDefault="009B7586" w:rsidP="009B7586">
            <w:pPr>
              <w:pStyle w:val="In-tableHeading"/>
              <w:jc w:val="center"/>
              <w:rPr>
                <w:lang w:val="en-AU"/>
              </w:rPr>
            </w:pPr>
            <w:r w:rsidRPr="000A7BB0">
              <w:rPr>
                <w:lang w:val="en-AU"/>
              </w:rPr>
              <w:t>ICER</w:t>
            </w:r>
          </w:p>
        </w:tc>
        <w:tc>
          <w:tcPr>
            <w:tcW w:w="757" w:type="pct"/>
          </w:tcPr>
          <w:p w14:paraId="375C19BD" w14:textId="77777777" w:rsidR="009B7586" w:rsidRPr="000A7BB0" w:rsidRDefault="009B7586" w:rsidP="009B7586">
            <w:pPr>
              <w:pStyle w:val="In-tableHeading"/>
              <w:jc w:val="center"/>
              <w:rPr>
                <w:lang w:val="en-AU"/>
              </w:rPr>
            </w:pPr>
            <w:r w:rsidRPr="000A7BB0">
              <w:rPr>
                <w:lang w:val="en-AU"/>
              </w:rPr>
              <w:t>% change from base case</w:t>
            </w:r>
          </w:p>
        </w:tc>
      </w:tr>
      <w:tr w:rsidR="009B7586" w:rsidRPr="00950C0F" w14:paraId="4BB97E05" w14:textId="77777777" w:rsidTr="56F9DD4F">
        <w:trPr>
          <w:cantSplit/>
          <w:jc w:val="center"/>
        </w:trPr>
        <w:tc>
          <w:tcPr>
            <w:tcW w:w="2272" w:type="pct"/>
            <w:tcBorders>
              <w:bottom w:val="single" w:sz="4" w:space="0" w:color="auto"/>
            </w:tcBorders>
          </w:tcPr>
          <w:p w14:paraId="2EE96523" w14:textId="538B16F2" w:rsidR="009B7586" w:rsidRPr="00950C0F" w:rsidRDefault="009B7586" w:rsidP="007B560D">
            <w:pPr>
              <w:pStyle w:val="TableText"/>
              <w:rPr>
                <w:b/>
              </w:rPr>
            </w:pPr>
            <w:r w:rsidRPr="00950C0F">
              <w:rPr>
                <w:b/>
              </w:rPr>
              <w:t>Base case</w:t>
            </w:r>
            <w:r w:rsidR="004E33D2" w:rsidRPr="00950C0F">
              <w:rPr>
                <w:b/>
              </w:rPr>
              <w:t xml:space="preserve"> (BC)</w:t>
            </w:r>
          </w:p>
        </w:tc>
        <w:tc>
          <w:tcPr>
            <w:tcW w:w="683" w:type="pct"/>
            <w:tcBorders>
              <w:bottom w:val="single" w:sz="4" w:space="0" w:color="auto"/>
            </w:tcBorders>
          </w:tcPr>
          <w:p w14:paraId="4AD9AA29" w14:textId="74AD8686" w:rsidR="009B7586" w:rsidRPr="00950C0F" w:rsidRDefault="4AB051AE" w:rsidP="56F9DD4F">
            <w:pPr>
              <w:pStyle w:val="TableText"/>
              <w:jc w:val="center"/>
              <w:rPr>
                <w:b/>
                <w:bCs/>
              </w:rPr>
            </w:pPr>
            <w:r w:rsidRPr="00950C0F">
              <w:rPr>
                <w:b/>
                <w:bCs/>
              </w:rPr>
              <w:t>$</w:t>
            </w:r>
            <w:r w:rsidR="1631BCD4" w:rsidRPr="00950C0F">
              <w:rPr>
                <w:b/>
                <w:bCs/>
              </w:rPr>
              <w:t>Redacted</w:t>
            </w:r>
          </w:p>
        </w:tc>
        <w:tc>
          <w:tcPr>
            <w:tcW w:w="682" w:type="pct"/>
            <w:tcBorders>
              <w:bottom w:val="single" w:sz="4" w:space="0" w:color="auto"/>
            </w:tcBorders>
          </w:tcPr>
          <w:p w14:paraId="1B61B473" w14:textId="77777777" w:rsidR="009B7586" w:rsidRPr="00950C0F" w:rsidRDefault="4AB051AE" w:rsidP="56F9DD4F">
            <w:pPr>
              <w:pStyle w:val="TableText"/>
              <w:jc w:val="center"/>
              <w:rPr>
                <w:b/>
              </w:rPr>
            </w:pPr>
            <w:r w:rsidRPr="00950C0F">
              <w:rPr>
                <w:b/>
              </w:rPr>
              <w:t>0.60</w:t>
            </w:r>
          </w:p>
        </w:tc>
        <w:tc>
          <w:tcPr>
            <w:tcW w:w="606" w:type="pct"/>
            <w:tcBorders>
              <w:bottom w:val="single" w:sz="4" w:space="0" w:color="auto"/>
            </w:tcBorders>
          </w:tcPr>
          <w:p w14:paraId="0E54532E" w14:textId="0F3AC22A" w:rsidR="009B7586" w:rsidRPr="00950C0F" w:rsidRDefault="4AB051AE" w:rsidP="56F9DD4F">
            <w:pPr>
              <w:pStyle w:val="TableText"/>
              <w:jc w:val="center"/>
              <w:rPr>
                <w:b/>
                <w:bCs/>
              </w:rPr>
            </w:pPr>
            <w:r w:rsidRPr="00950C0F">
              <w:rPr>
                <w:b/>
                <w:bCs/>
              </w:rPr>
              <w:t>$</w:t>
            </w:r>
            <w:r w:rsidR="69F39D34" w:rsidRPr="00950C0F">
              <w:rPr>
                <w:b/>
                <w:bCs/>
              </w:rPr>
              <w:t>Redacted</w:t>
            </w:r>
            <w:r w:rsidR="646143E4" w:rsidRPr="00950C0F">
              <w:rPr>
                <w:rFonts w:eastAsia="Arial Narrow" w:cs="Arial Narrow"/>
                <w:color w:val="751D20"/>
                <w:u w:val="single"/>
                <w:vertAlign w:val="superscript"/>
              </w:rPr>
              <w:t>1</w:t>
            </w:r>
          </w:p>
        </w:tc>
        <w:tc>
          <w:tcPr>
            <w:tcW w:w="757" w:type="pct"/>
            <w:tcBorders>
              <w:bottom w:val="single" w:sz="4" w:space="0" w:color="auto"/>
            </w:tcBorders>
          </w:tcPr>
          <w:p w14:paraId="5407D66A" w14:textId="3E623DC8" w:rsidR="009B7586" w:rsidRPr="00950C0F" w:rsidRDefault="4AB051AE" w:rsidP="56F9DD4F">
            <w:pPr>
              <w:pStyle w:val="TableText"/>
              <w:jc w:val="center"/>
              <w:rPr>
                <w:rFonts w:eastAsia="Calibri"/>
                <w:b/>
              </w:rPr>
            </w:pPr>
            <w:r w:rsidRPr="00950C0F">
              <w:rPr>
                <w:rFonts w:eastAsia="Calibri"/>
                <w:b/>
              </w:rPr>
              <w:t>-</w:t>
            </w:r>
          </w:p>
        </w:tc>
      </w:tr>
      <w:tr w:rsidR="004E33D2" w:rsidRPr="00950C0F" w14:paraId="280EAB22" w14:textId="77777777" w:rsidTr="56F9DD4F">
        <w:trPr>
          <w:cantSplit/>
          <w:jc w:val="center"/>
        </w:trPr>
        <w:tc>
          <w:tcPr>
            <w:tcW w:w="5000" w:type="pct"/>
            <w:gridSpan w:val="5"/>
          </w:tcPr>
          <w:p w14:paraId="7F6385BD" w14:textId="78031536" w:rsidR="004E33D2" w:rsidRPr="00950C0F" w:rsidRDefault="19EBC1AA" w:rsidP="56F9DD4F">
            <w:pPr>
              <w:pStyle w:val="TableText"/>
              <w:rPr>
                <w:b/>
              </w:rPr>
            </w:pPr>
            <w:r w:rsidRPr="00950C0F">
              <w:rPr>
                <w:b/>
                <w:i/>
              </w:rPr>
              <w:t>ESR1</w:t>
            </w:r>
            <w:r w:rsidRPr="00950C0F">
              <w:rPr>
                <w:b/>
                <w:bCs/>
                <w:i/>
                <w:iCs/>
              </w:rPr>
              <w:t xml:space="preserve"> </w:t>
            </w:r>
            <w:r w:rsidRPr="00950C0F">
              <w:rPr>
                <w:b/>
              </w:rPr>
              <w:t xml:space="preserve">prevalence </w:t>
            </w:r>
            <w:r w:rsidR="5679A123" w:rsidRPr="00950C0F">
              <w:rPr>
                <w:b/>
              </w:rPr>
              <w:t>[</w:t>
            </w:r>
            <w:r w:rsidRPr="00950C0F">
              <w:rPr>
                <w:b/>
              </w:rPr>
              <w:t xml:space="preserve">BC: overall 70% </w:t>
            </w:r>
            <w:r w:rsidR="5679A123" w:rsidRPr="00950C0F">
              <w:rPr>
                <w:b/>
              </w:rPr>
              <w:t>(</w:t>
            </w:r>
            <w:r w:rsidRPr="00950C0F">
              <w:rPr>
                <w:b/>
              </w:rPr>
              <w:t>47.7% test positive rate at each test of 2 tests</w:t>
            </w:r>
            <w:r w:rsidR="5679A123" w:rsidRPr="00950C0F">
              <w:rPr>
                <w:b/>
              </w:rPr>
              <w:t>)</w:t>
            </w:r>
            <w:r w:rsidRPr="00950C0F">
              <w:rPr>
                <w:b/>
              </w:rPr>
              <w:t>]</w:t>
            </w:r>
          </w:p>
        </w:tc>
      </w:tr>
      <w:tr w:rsidR="007C6CF1" w:rsidRPr="00950C0F" w14:paraId="15C797B6" w14:textId="77777777" w:rsidTr="56F9DD4F">
        <w:trPr>
          <w:cantSplit/>
          <w:jc w:val="center"/>
        </w:trPr>
        <w:tc>
          <w:tcPr>
            <w:tcW w:w="2272" w:type="pct"/>
          </w:tcPr>
          <w:p w14:paraId="13612B10" w14:textId="77777777" w:rsidR="007C6CF1" w:rsidRPr="00950C0F" w:rsidRDefault="6E26D755" w:rsidP="56F9DD4F">
            <w:pPr>
              <w:pStyle w:val="TableText"/>
            </w:pPr>
            <w:r w:rsidRPr="00950C0F">
              <w:t>1</w:t>
            </w:r>
            <w:r w:rsidRPr="00950C0F">
              <w:rPr>
                <w:vertAlign w:val="superscript"/>
              </w:rPr>
              <w:t>st</w:t>
            </w:r>
            <w:r w:rsidRPr="00950C0F">
              <w:t xml:space="preserve"> test - 31.3% test positive </w:t>
            </w:r>
          </w:p>
          <w:p w14:paraId="11BDC4E1" w14:textId="7D93F8F1" w:rsidR="007C6CF1" w:rsidRPr="00950C0F" w:rsidRDefault="0D5C0597" w:rsidP="56F9DD4F">
            <w:pPr>
              <w:pStyle w:val="TableText"/>
            </w:pPr>
            <w:r w:rsidRPr="00950C0F">
              <w:t>2</w:t>
            </w:r>
            <w:r w:rsidRPr="00950C0F">
              <w:rPr>
                <w:vertAlign w:val="superscript"/>
              </w:rPr>
              <w:t>nd</w:t>
            </w:r>
            <w:r w:rsidRPr="00950C0F">
              <w:t xml:space="preserve"> test (for 68.7% of remaining patients) -additional 12.8% test positive</w:t>
            </w:r>
          </w:p>
          <w:p w14:paraId="7AF90D6D" w14:textId="3836AAD4" w:rsidR="007C6CF1" w:rsidRPr="00950C0F" w:rsidRDefault="6E26D755" w:rsidP="56F9DD4F">
            <w:pPr>
              <w:pStyle w:val="TableText"/>
              <w:rPr>
                <w:b/>
                <w:bCs/>
              </w:rPr>
            </w:pPr>
            <w:r w:rsidRPr="00950C0F">
              <w:t xml:space="preserve">40.1% total yield </w:t>
            </w:r>
          </w:p>
        </w:tc>
        <w:tc>
          <w:tcPr>
            <w:tcW w:w="683" w:type="pct"/>
          </w:tcPr>
          <w:p w14:paraId="3F84FDA4" w14:textId="59391DC9" w:rsidR="007C6CF1" w:rsidRPr="00950C0F" w:rsidRDefault="6E26D755" w:rsidP="56F9DD4F">
            <w:pPr>
              <w:pStyle w:val="TableText"/>
              <w:jc w:val="center"/>
              <w:rPr>
                <w:b/>
                <w:bCs/>
              </w:rPr>
            </w:pPr>
            <w:r w:rsidRPr="00950C0F">
              <w:t>$</w:t>
            </w:r>
            <w:r w:rsidR="2F6D136D" w:rsidRPr="00950C0F">
              <w:t>Redacted</w:t>
            </w:r>
          </w:p>
        </w:tc>
        <w:tc>
          <w:tcPr>
            <w:tcW w:w="682" w:type="pct"/>
          </w:tcPr>
          <w:p w14:paraId="6C035DE8" w14:textId="2CBDD1DF" w:rsidR="007C6CF1" w:rsidRPr="00950C0F" w:rsidRDefault="6E26D755" w:rsidP="56F9DD4F">
            <w:pPr>
              <w:pStyle w:val="TableText"/>
              <w:jc w:val="center"/>
              <w:rPr>
                <w:b/>
              </w:rPr>
            </w:pPr>
            <w:r w:rsidRPr="00950C0F">
              <w:t>0.60</w:t>
            </w:r>
          </w:p>
        </w:tc>
        <w:tc>
          <w:tcPr>
            <w:tcW w:w="606" w:type="pct"/>
          </w:tcPr>
          <w:p w14:paraId="58368B9C" w14:textId="35480D31" w:rsidR="007C6CF1" w:rsidRPr="00950C0F" w:rsidRDefault="6E26D755" w:rsidP="56F9DD4F">
            <w:pPr>
              <w:pStyle w:val="TableText"/>
              <w:jc w:val="center"/>
              <w:rPr>
                <w:b/>
                <w:bCs/>
              </w:rPr>
            </w:pPr>
            <w:r w:rsidRPr="00950C0F">
              <w:t>$</w:t>
            </w:r>
            <w:r w:rsidR="4872E4FE" w:rsidRPr="00950C0F">
              <w:t>Redacted</w:t>
            </w:r>
            <w:r w:rsidR="73A630FD" w:rsidRPr="00950C0F">
              <w:rPr>
                <w:rFonts w:eastAsia="Arial Narrow" w:cs="Arial Narrow"/>
                <w:color w:val="751D20"/>
                <w:u w:val="single"/>
                <w:vertAlign w:val="superscript"/>
              </w:rPr>
              <w:t>2</w:t>
            </w:r>
          </w:p>
        </w:tc>
        <w:tc>
          <w:tcPr>
            <w:tcW w:w="757" w:type="pct"/>
          </w:tcPr>
          <w:p w14:paraId="3F96C31A" w14:textId="282ED643" w:rsidR="007C6CF1" w:rsidRPr="00950C0F" w:rsidRDefault="6CEB33A7" w:rsidP="56F9DD4F">
            <w:pPr>
              <w:pStyle w:val="TableText"/>
              <w:jc w:val="center"/>
              <w:rPr>
                <w:rFonts w:eastAsia="Calibri"/>
                <w:b/>
                <w:bCs/>
              </w:rPr>
            </w:pPr>
            <w:r w:rsidRPr="00950C0F">
              <w:t>+</w:t>
            </w:r>
            <w:r w:rsidR="70FFB162" w:rsidRPr="00950C0F">
              <w:t>Redacted</w:t>
            </w:r>
            <w:r w:rsidR="005A36B8" w:rsidRPr="00950C0F">
              <w:t>%</w:t>
            </w:r>
          </w:p>
        </w:tc>
      </w:tr>
      <w:tr w:rsidR="00985388" w:rsidRPr="00950C0F" w14:paraId="6F2D3564" w14:textId="77777777" w:rsidTr="56F9DD4F">
        <w:trPr>
          <w:cantSplit/>
          <w:jc w:val="center"/>
        </w:trPr>
        <w:tc>
          <w:tcPr>
            <w:tcW w:w="5000" w:type="pct"/>
            <w:gridSpan w:val="5"/>
          </w:tcPr>
          <w:p w14:paraId="5D4D07B3" w14:textId="6C337F83" w:rsidR="00985388" w:rsidRPr="00950C0F" w:rsidRDefault="5E358106" w:rsidP="56F9DD4F">
            <w:pPr>
              <w:pStyle w:val="TableText"/>
            </w:pPr>
            <w:r w:rsidRPr="00950C0F">
              <w:rPr>
                <w:b/>
              </w:rPr>
              <w:t>Testing costs (base case $1,500 per test, $3,144.74 per patient identified)</w:t>
            </w:r>
          </w:p>
        </w:tc>
      </w:tr>
      <w:tr w:rsidR="00794D0B" w:rsidRPr="00950C0F" w14:paraId="5B3B0594" w14:textId="77777777" w:rsidTr="56F9DD4F">
        <w:trPr>
          <w:cantSplit/>
          <w:jc w:val="center"/>
        </w:trPr>
        <w:tc>
          <w:tcPr>
            <w:tcW w:w="2272" w:type="pct"/>
          </w:tcPr>
          <w:p w14:paraId="39F3970E" w14:textId="4872E049" w:rsidR="00794D0B" w:rsidRPr="00950C0F" w:rsidRDefault="2DB9CB12" w:rsidP="56F9DD4F">
            <w:pPr>
              <w:pStyle w:val="TableText"/>
            </w:pPr>
            <w:r w:rsidRPr="00950C0F">
              <w:t xml:space="preserve">$647.05/ </w:t>
            </w:r>
            <w:proofErr w:type="spellStart"/>
            <w:r w:rsidRPr="00950C0F">
              <w:t>test</w:t>
            </w:r>
            <w:r w:rsidR="7F513AE0" w:rsidRPr="00950C0F">
              <w:rPr>
                <w:vertAlign w:val="superscript"/>
              </w:rPr>
              <w:t>a</w:t>
            </w:r>
            <w:proofErr w:type="spellEnd"/>
            <w:r w:rsidRPr="00950C0F">
              <w:t>, $1,356.53 per patient identified</w:t>
            </w:r>
          </w:p>
        </w:tc>
        <w:tc>
          <w:tcPr>
            <w:tcW w:w="683" w:type="pct"/>
          </w:tcPr>
          <w:p w14:paraId="50F6D4E5" w14:textId="1F715962" w:rsidR="00794D0B" w:rsidRPr="00950C0F" w:rsidRDefault="61FA4697" w:rsidP="56F9DD4F">
            <w:pPr>
              <w:pStyle w:val="TableText"/>
              <w:jc w:val="center"/>
            </w:pPr>
            <w:r w:rsidRPr="00950C0F">
              <w:t>$</w:t>
            </w:r>
            <w:r w:rsidR="21F2E042" w:rsidRPr="00950C0F">
              <w:t>Redacted</w:t>
            </w:r>
            <w:r w:rsidR="00FA06A9" w:rsidRPr="00950C0F">
              <w:rPr>
                <w:rFonts w:eastAsia="Arial Narrow" w:cs="Arial Narrow"/>
                <w:color w:val="751D20"/>
                <w:u w:val="single"/>
                <w:vertAlign w:val="superscript"/>
              </w:rPr>
              <w:t xml:space="preserve"> </w:t>
            </w:r>
          </w:p>
        </w:tc>
        <w:tc>
          <w:tcPr>
            <w:tcW w:w="682" w:type="pct"/>
          </w:tcPr>
          <w:p w14:paraId="285222BE" w14:textId="50F5A8BD" w:rsidR="00794D0B" w:rsidRPr="00950C0F" w:rsidRDefault="61FA4697" w:rsidP="56F9DD4F">
            <w:pPr>
              <w:pStyle w:val="TableText"/>
              <w:jc w:val="center"/>
            </w:pPr>
            <w:r w:rsidRPr="00950C0F">
              <w:t>0.60</w:t>
            </w:r>
          </w:p>
        </w:tc>
        <w:tc>
          <w:tcPr>
            <w:tcW w:w="606" w:type="pct"/>
          </w:tcPr>
          <w:p w14:paraId="720BACC9" w14:textId="4AA50639" w:rsidR="00794D0B" w:rsidRPr="00950C0F" w:rsidRDefault="61FA4697" w:rsidP="56F9DD4F">
            <w:pPr>
              <w:pStyle w:val="TableText"/>
              <w:jc w:val="center"/>
            </w:pPr>
            <w:r w:rsidRPr="00950C0F">
              <w:t>$</w:t>
            </w:r>
            <w:r w:rsidR="37120728" w:rsidRPr="00950C0F">
              <w:t>Redacted</w:t>
            </w:r>
            <w:r w:rsidR="42AA0828" w:rsidRPr="00950C0F">
              <w:rPr>
                <w:rFonts w:eastAsia="Arial Narrow" w:cs="Arial Narrow"/>
                <w:color w:val="751D20"/>
                <w:u w:val="single"/>
                <w:vertAlign w:val="superscript"/>
              </w:rPr>
              <w:t>1</w:t>
            </w:r>
          </w:p>
        </w:tc>
        <w:tc>
          <w:tcPr>
            <w:tcW w:w="757" w:type="pct"/>
          </w:tcPr>
          <w:p w14:paraId="44F08C16" w14:textId="08350841" w:rsidR="00794D0B" w:rsidRPr="00950C0F" w:rsidRDefault="00911842" w:rsidP="56F9DD4F">
            <w:pPr>
              <w:pStyle w:val="TableText"/>
              <w:jc w:val="center"/>
            </w:pPr>
            <w:r w:rsidRPr="00950C0F">
              <w:t>–</w:t>
            </w:r>
            <w:r w:rsidR="3B01C41C" w:rsidRPr="00950C0F">
              <w:t>Redacted</w:t>
            </w:r>
            <w:r w:rsidR="005A36B8" w:rsidRPr="00950C0F">
              <w:t>%</w:t>
            </w:r>
          </w:p>
        </w:tc>
      </w:tr>
      <w:tr w:rsidR="00794D0B" w:rsidRPr="00950C0F" w14:paraId="3C97B8C3" w14:textId="77777777" w:rsidTr="56F9DD4F">
        <w:trPr>
          <w:cantSplit/>
          <w:jc w:val="center"/>
        </w:trPr>
        <w:tc>
          <w:tcPr>
            <w:tcW w:w="2272" w:type="pct"/>
          </w:tcPr>
          <w:p w14:paraId="4A8A2A64" w14:textId="2B96C14D" w:rsidR="00794D0B" w:rsidRPr="00950C0F" w:rsidRDefault="2DB9CB12" w:rsidP="56F9DD4F">
            <w:pPr>
              <w:pStyle w:val="TableText"/>
            </w:pPr>
            <w:r w:rsidRPr="00950C0F">
              <w:t xml:space="preserve">$1,766.75/ </w:t>
            </w:r>
            <w:proofErr w:type="spellStart"/>
            <w:r w:rsidRPr="00950C0F">
              <w:t>test</w:t>
            </w:r>
            <w:r w:rsidR="7F513AE0" w:rsidRPr="00950C0F">
              <w:rPr>
                <w:vertAlign w:val="superscript"/>
              </w:rPr>
              <w:t>b</w:t>
            </w:r>
            <w:proofErr w:type="spellEnd"/>
            <w:r w:rsidRPr="00950C0F">
              <w:t>, $3,703.98 per patient identified</w:t>
            </w:r>
          </w:p>
        </w:tc>
        <w:tc>
          <w:tcPr>
            <w:tcW w:w="683" w:type="pct"/>
          </w:tcPr>
          <w:p w14:paraId="3189207C" w14:textId="55D68C8E" w:rsidR="00794D0B" w:rsidRPr="00950C0F" w:rsidRDefault="61FA4697" w:rsidP="56F9DD4F">
            <w:pPr>
              <w:pStyle w:val="TableText"/>
              <w:jc w:val="center"/>
            </w:pPr>
            <w:r w:rsidRPr="00950C0F">
              <w:t>$</w:t>
            </w:r>
            <w:r w:rsidR="3B988D81" w:rsidRPr="00950C0F">
              <w:t>Redacted</w:t>
            </w:r>
            <w:r w:rsidR="00FA06A9" w:rsidRPr="00950C0F">
              <w:rPr>
                <w:rFonts w:eastAsia="Arial Narrow" w:cs="Arial Narrow"/>
                <w:color w:val="751D20"/>
                <w:u w:val="single"/>
                <w:vertAlign w:val="superscript"/>
              </w:rPr>
              <w:t xml:space="preserve"> </w:t>
            </w:r>
          </w:p>
        </w:tc>
        <w:tc>
          <w:tcPr>
            <w:tcW w:w="682" w:type="pct"/>
          </w:tcPr>
          <w:p w14:paraId="74B00CEF" w14:textId="7F3A22D4" w:rsidR="00794D0B" w:rsidRPr="00950C0F" w:rsidRDefault="61FA4697" w:rsidP="56F9DD4F">
            <w:pPr>
              <w:pStyle w:val="TableText"/>
              <w:jc w:val="center"/>
            </w:pPr>
            <w:r w:rsidRPr="00950C0F">
              <w:t>0.60</w:t>
            </w:r>
          </w:p>
        </w:tc>
        <w:tc>
          <w:tcPr>
            <w:tcW w:w="606" w:type="pct"/>
          </w:tcPr>
          <w:p w14:paraId="20ED2F80" w14:textId="476F824D" w:rsidR="00794D0B" w:rsidRPr="00950C0F" w:rsidRDefault="61FA4697" w:rsidP="56F9DD4F">
            <w:pPr>
              <w:pStyle w:val="TableText"/>
              <w:jc w:val="center"/>
            </w:pPr>
            <w:r w:rsidRPr="00950C0F">
              <w:t>$</w:t>
            </w:r>
            <w:r w:rsidR="3677B659" w:rsidRPr="00950C0F">
              <w:t>Redacted</w:t>
            </w:r>
            <w:r w:rsidR="67B788B3" w:rsidRPr="00950C0F">
              <w:rPr>
                <w:rFonts w:eastAsia="Arial Narrow" w:cs="Arial Narrow"/>
                <w:color w:val="751D20"/>
                <w:u w:val="single"/>
                <w:vertAlign w:val="superscript"/>
              </w:rPr>
              <w:t>1</w:t>
            </w:r>
          </w:p>
        </w:tc>
        <w:tc>
          <w:tcPr>
            <w:tcW w:w="757" w:type="pct"/>
          </w:tcPr>
          <w:p w14:paraId="464412F2" w14:textId="1BE6ACA6" w:rsidR="00794D0B" w:rsidRPr="00950C0F" w:rsidRDefault="1FD7E406" w:rsidP="56F9DD4F">
            <w:pPr>
              <w:pStyle w:val="TableText"/>
              <w:jc w:val="center"/>
            </w:pPr>
            <w:r w:rsidRPr="00950C0F">
              <w:t>+</w:t>
            </w:r>
            <w:r w:rsidR="0ECFC7E2" w:rsidRPr="00950C0F">
              <w:t>Redacted</w:t>
            </w:r>
            <w:r w:rsidR="005A36B8" w:rsidRPr="00950C0F">
              <w:t>%</w:t>
            </w:r>
          </w:p>
        </w:tc>
      </w:tr>
    </w:tbl>
    <w:p w14:paraId="3611F7E9" w14:textId="7B7A2CA0" w:rsidR="001429D9" w:rsidRPr="00950C0F" w:rsidRDefault="5E819913" w:rsidP="56F9DD4F">
      <w:pPr>
        <w:pStyle w:val="MSACESParagraph"/>
        <w:spacing w:after="0"/>
        <w:rPr>
          <w:rFonts w:ascii="Arial Narrow" w:hAnsi="Arial Narrow"/>
          <w:sz w:val="18"/>
          <w:szCs w:val="18"/>
        </w:rPr>
      </w:pPr>
      <w:r w:rsidRPr="00950C0F">
        <w:rPr>
          <w:rFonts w:ascii="Arial Narrow" w:hAnsi="Arial Narrow"/>
          <w:sz w:val="18"/>
          <w:szCs w:val="18"/>
          <w:vertAlign w:val="superscript"/>
        </w:rPr>
        <w:t>a</w:t>
      </w:r>
      <w:r w:rsidRPr="00950C0F">
        <w:rPr>
          <w:rFonts w:ascii="Arial Narrow" w:hAnsi="Arial Narrow"/>
          <w:sz w:val="18"/>
          <w:szCs w:val="18"/>
        </w:rPr>
        <w:t xml:space="preserve"> An MBS fee of $647.05 sets the 85% (out-of-hospital) benefit to $550.00. This proposed fee is based on the Australian Clinical Laboratories (ACL) commercial ctDNA test for lung cancer, colorectal cancer and melanoma. The ACL test costs $550 to patients.</w:t>
      </w:r>
    </w:p>
    <w:p w14:paraId="5499D282" w14:textId="190EEB8A" w:rsidR="00B75E9B" w:rsidRPr="00950C0F" w:rsidRDefault="5E819913" w:rsidP="00A51CB1">
      <w:pPr>
        <w:pStyle w:val="MSACESParagraph"/>
        <w:spacing w:after="0"/>
        <w:rPr>
          <w:rFonts w:ascii="Arial Narrow" w:hAnsi="Arial Narrow"/>
          <w:sz w:val="18"/>
          <w:szCs w:val="18"/>
        </w:rPr>
      </w:pPr>
      <w:r w:rsidRPr="00950C0F">
        <w:rPr>
          <w:rFonts w:ascii="Arial Narrow" w:hAnsi="Arial Narrow"/>
          <w:sz w:val="18"/>
          <w:szCs w:val="18"/>
          <w:vertAlign w:val="superscript"/>
        </w:rPr>
        <w:t>b</w:t>
      </w:r>
      <w:r w:rsidRPr="00950C0F">
        <w:rPr>
          <w:rFonts w:ascii="Arial Narrow" w:hAnsi="Arial Narrow"/>
          <w:sz w:val="18"/>
          <w:szCs w:val="18"/>
        </w:rPr>
        <w:t xml:space="preserve"> An MBS fee of $1,766.75 sets the 85% (out-of-hospital) benefit to $1,664.35, applying MBS benefit rounding rules and </w:t>
      </w:r>
      <w:proofErr w:type="gramStart"/>
      <w:r w:rsidRPr="00950C0F">
        <w:rPr>
          <w:rFonts w:ascii="Arial Narrow" w:hAnsi="Arial Narrow"/>
          <w:sz w:val="18"/>
          <w:szCs w:val="18"/>
        </w:rPr>
        <w:t>a</w:t>
      </w:r>
      <w:proofErr w:type="gramEnd"/>
      <w:r w:rsidRPr="00950C0F">
        <w:rPr>
          <w:rFonts w:ascii="Arial Narrow" w:hAnsi="Arial Narrow"/>
          <w:sz w:val="18"/>
          <w:szCs w:val="18"/>
        </w:rPr>
        <w:t xml:space="preserve"> greatest permissible gap of $102.40. This proposed fee of $1,766.75 is based on the targeted consultation feedback, which stated that the indicated costs per test </w:t>
      </w:r>
      <w:r w:rsidR="008C42B2" w:rsidRPr="00950C0F">
        <w:rPr>
          <w:rFonts w:ascii="Arial Narrow" w:hAnsi="Arial Narrow"/>
          <w:b/>
          <w:sz w:val="18"/>
          <w:szCs w:val="18"/>
        </w:rPr>
        <w:t>redacted</w:t>
      </w:r>
      <w:r w:rsidRPr="00950C0F">
        <w:rPr>
          <w:rFonts w:ascii="Arial Narrow" w:hAnsi="Arial Narrow"/>
          <w:sz w:val="18"/>
          <w:szCs w:val="18"/>
        </w:rPr>
        <w:t xml:space="preserve"> is $1,664.33.</w:t>
      </w:r>
    </w:p>
    <w:p w14:paraId="47DEC940" w14:textId="2B948695" w:rsidR="00496593" w:rsidRPr="00950C0F" w:rsidRDefault="009C25D4" w:rsidP="00A51CB1">
      <w:pPr>
        <w:pStyle w:val="MSACESParagraph"/>
        <w:spacing w:after="0"/>
        <w:rPr>
          <w:rFonts w:ascii="Arial Narrow" w:hAnsi="Arial Narrow"/>
          <w:sz w:val="18"/>
          <w:szCs w:val="18"/>
        </w:rPr>
      </w:pPr>
      <w:r w:rsidRPr="00950C0F">
        <w:rPr>
          <w:rFonts w:ascii="Arial Narrow" w:hAnsi="Arial Narrow"/>
          <w:sz w:val="18"/>
          <w:szCs w:val="18"/>
        </w:rPr>
        <w:t xml:space="preserve">The applicant considered that the results presented in Table 12 were </w:t>
      </w:r>
      <w:r w:rsidRPr="00950C0F">
        <w:rPr>
          <w:rFonts w:ascii="Arial Narrow" w:hAnsi="Arial Narrow"/>
          <w:i/>
          <w:iCs/>
          <w:sz w:val="18"/>
          <w:szCs w:val="18"/>
        </w:rPr>
        <w:t>ad-hoc</w:t>
      </w:r>
      <w:r w:rsidRPr="00950C0F">
        <w:rPr>
          <w:rFonts w:ascii="Arial Narrow" w:hAnsi="Arial Narrow"/>
          <w:sz w:val="18"/>
          <w:szCs w:val="18"/>
        </w:rPr>
        <w:t xml:space="preserve"> analyses conducted </w:t>
      </w:r>
      <w:r w:rsidR="4F74D6DB" w:rsidRPr="00950C0F">
        <w:rPr>
          <w:rFonts w:ascii="Arial Narrow" w:hAnsi="Arial Narrow"/>
          <w:sz w:val="18"/>
          <w:szCs w:val="18"/>
        </w:rPr>
        <w:t xml:space="preserve">post-ESCs </w:t>
      </w:r>
      <w:r w:rsidRPr="00950C0F">
        <w:rPr>
          <w:rFonts w:ascii="Arial Narrow" w:hAnsi="Arial Narrow"/>
          <w:sz w:val="18"/>
          <w:szCs w:val="18"/>
        </w:rPr>
        <w:t>specifically for the purposes of informing the MSAC consideration and that interpretation of the results and their application should be limited to seeking to understand the basis for the MSAC outcome and should not be used for any other purpose</w:t>
      </w:r>
      <w:r w:rsidR="00496593" w:rsidRPr="00950C0F">
        <w:rPr>
          <w:rFonts w:ascii="Arial Narrow" w:hAnsi="Arial Narrow"/>
          <w:sz w:val="18"/>
          <w:szCs w:val="18"/>
        </w:rPr>
        <w:t>.</w:t>
      </w:r>
    </w:p>
    <w:p w14:paraId="26CD69CA" w14:textId="41D1C667" w:rsidR="03998D1B" w:rsidRPr="007E49CE" w:rsidRDefault="03998D1B" w:rsidP="00950C0F">
      <w:pPr>
        <w:pStyle w:val="TableFigureFooter"/>
        <w:spacing w:line="240" w:lineRule="auto"/>
        <w:rPr>
          <w:rFonts w:eastAsia="Arial Narrow" w:cs="Arial Narrow"/>
          <w:color w:val="auto"/>
          <w:szCs w:val="18"/>
        </w:rPr>
      </w:pPr>
      <w:r w:rsidRPr="007E49CE">
        <w:rPr>
          <w:rFonts w:eastAsia="Arial Narrow" w:cs="Arial Narrow"/>
          <w:color w:val="auto"/>
          <w:szCs w:val="18"/>
        </w:rPr>
        <w:t>The redacted values correspond to the following ranges:</w:t>
      </w:r>
    </w:p>
    <w:p w14:paraId="09A9ED67" w14:textId="6EDA8A22" w:rsidR="03998D1B" w:rsidRPr="007E49CE" w:rsidRDefault="4D689ED3" w:rsidP="00950C0F">
      <w:pPr>
        <w:pStyle w:val="TableFigureFooter"/>
        <w:spacing w:line="240" w:lineRule="auto"/>
        <w:rPr>
          <w:rFonts w:eastAsia="Arial Narrow" w:cs="Arial Narrow"/>
          <w:color w:val="auto"/>
        </w:rPr>
      </w:pPr>
      <w:r w:rsidRPr="007E49CE">
        <w:rPr>
          <w:rFonts w:eastAsia="Arial Narrow" w:cs="Arial Narrow"/>
          <w:color w:val="auto"/>
          <w:vertAlign w:val="superscript"/>
        </w:rPr>
        <w:t>1</w:t>
      </w:r>
      <w:r w:rsidR="03998D1B" w:rsidRPr="007E49CE">
        <w:rPr>
          <w:rFonts w:eastAsia="Arial Narrow" w:cs="Arial Narrow"/>
          <w:color w:val="auto"/>
          <w:vertAlign w:val="superscript"/>
        </w:rPr>
        <w:t xml:space="preserve"> </w:t>
      </w:r>
      <w:r w:rsidR="03998D1B" w:rsidRPr="007E49CE">
        <w:rPr>
          <w:rFonts w:eastAsia="Arial Narrow" w:cs="Arial Narrow"/>
          <w:color w:val="auto"/>
        </w:rPr>
        <w:t>$55,000 to &lt;$75,000</w:t>
      </w:r>
    </w:p>
    <w:p w14:paraId="213FC51A" w14:textId="50F23515" w:rsidR="03998D1B" w:rsidRPr="007E49CE" w:rsidRDefault="760308DA" w:rsidP="00950C0F">
      <w:pPr>
        <w:pStyle w:val="TableFigureFooter"/>
        <w:spacing w:line="240" w:lineRule="auto"/>
        <w:rPr>
          <w:rFonts w:eastAsia="Arial Narrow" w:cs="Arial Narrow"/>
          <w:color w:val="auto"/>
        </w:rPr>
      </w:pPr>
      <w:r w:rsidRPr="007E49CE">
        <w:rPr>
          <w:rFonts w:eastAsia="Arial Narrow" w:cs="Arial Narrow"/>
          <w:color w:val="auto"/>
          <w:vertAlign w:val="superscript"/>
        </w:rPr>
        <w:t>2</w:t>
      </w:r>
      <w:r w:rsidR="03998D1B" w:rsidRPr="007E49CE">
        <w:rPr>
          <w:rFonts w:eastAsia="Arial Narrow" w:cs="Arial Narrow"/>
          <w:color w:val="auto"/>
          <w:vertAlign w:val="superscript"/>
        </w:rPr>
        <w:t xml:space="preserve"> </w:t>
      </w:r>
      <w:r w:rsidR="03998D1B" w:rsidRPr="007E49CE">
        <w:rPr>
          <w:rFonts w:eastAsia="Arial Narrow" w:cs="Arial Narrow"/>
          <w:color w:val="auto"/>
        </w:rPr>
        <w:t>$75,000 to &lt;$95,000</w:t>
      </w:r>
    </w:p>
    <w:p w14:paraId="2948932C" w14:textId="77777777" w:rsidR="00EE5014" w:rsidRPr="00DE49EF" w:rsidRDefault="00EE5014" w:rsidP="00252706">
      <w:pPr>
        <w:pStyle w:val="Heading2"/>
        <w:numPr>
          <w:ilvl w:val="0"/>
          <w:numId w:val="48"/>
        </w:numPr>
        <w:spacing w:after="240"/>
        <w:ind w:hanging="720"/>
        <w:rPr>
          <w:rFonts w:ascii="Franklin Gothic Medium" w:hAnsi="Franklin Gothic Medium"/>
          <w:b w:val="0"/>
          <w:i w:val="0"/>
          <w:snapToGrid/>
          <w:sz w:val="32"/>
          <w:szCs w:val="26"/>
        </w:rPr>
      </w:pPr>
      <w:bookmarkStart w:id="60" w:name="_Toc188374350"/>
      <w:r w:rsidRPr="00DE49EF">
        <w:rPr>
          <w:rFonts w:ascii="Franklin Gothic Medium" w:hAnsi="Franklin Gothic Medium"/>
          <w:b w:val="0"/>
          <w:i w:val="0"/>
          <w:snapToGrid/>
          <w:sz w:val="32"/>
          <w:szCs w:val="26"/>
        </w:rPr>
        <w:t>Financial/budgetary impacts</w:t>
      </w:r>
      <w:bookmarkEnd w:id="60"/>
    </w:p>
    <w:p w14:paraId="00EEF5A3" w14:textId="1C9BF81A" w:rsidR="00214FD9" w:rsidRPr="00214FD9" w:rsidRDefault="00C905D6" w:rsidP="00214FD9">
      <w:r w:rsidRPr="00DE49EF">
        <w:t>The submission has taken an epidemiological approach to estimating the use and financial impact of the proposed codependent technologies.</w:t>
      </w:r>
      <w:r w:rsidR="4032055A" w:rsidRPr="00DE49EF">
        <w:t xml:space="preserve"> A summary of the key inputs for the financial estimates is presented in </w:t>
      </w:r>
      <w:r w:rsidR="089C3173" w:rsidRPr="00DE49EF">
        <w:t>Table 13.</w:t>
      </w:r>
      <w:r w:rsidRPr="00DE49EF">
        <w:fldChar w:fldCharType="begin"/>
      </w:r>
      <w:r w:rsidRPr="00DE49EF">
        <w:instrText xml:space="preserve"> REF _Ref187416153 \h </w:instrText>
      </w:r>
      <w:r w:rsidR="00DE49EF" w:rsidRPr="00DE49EF">
        <w:instrText xml:space="preserve"> \* MERGEFORMAT </w:instrText>
      </w:r>
      <w:r w:rsidRPr="00DE49EF">
        <w:fldChar w:fldCharType="separate"/>
      </w:r>
      <w:r w:rsidRPr="00DE49EF">
        <w:fldChar w:fldCharType="end"/>
      </w:r>
      <w:r w:rsidR="4E557A93" w:rsidRPr="00DE49EF">
        <w:t xml:space="preserve"> </w:t>
      </w:r>
      <w:bookmarkStart w:id="61" w:name="_Ref188372919"/>
      <w:r w:rsidR="00214FD9">
        <w:br w:type="page"/>
      </w:r>
    </w:p>
    <w:p w14:paraId="0D9F0B01" w14:textId="6D481232" w:rsidR="00550980" w:rsidRPr="000A7BB0" w:rsidRDefault="006279DD" w:rsidP="00DE49EF">
      <w:pPr>
        <w:pStyle w:val="Caption"/>
        <w:keepNext w:val="0"/>
        <w:rPr>
          <w:rStyle w:val="CommentReference"/>
          <w:b/>
        </w:rPr>
      </w:pPr>
      <w:r w:rsidRPr="000A7BB0">
        <w:lastRenderedPageBreak/>
        <w:t xml:space="preserve">Table </w:t>
      </w:r>
      <w:r w:rsidRPr="000A7BB0">
        <w:fldChar w:fldCharType="begin"/>
      </w:r>
      <w:r w:rsidRPr="000A7BB0">
        <w:instrText>SEQ Table_MSAC. \* ARABIC</w:instrText>
      </w:r>
      <w:r w:rsidRPr="000A7BB0">
        <w:fldChar w:fldCharType="separate"/>
      </w:r>
      <w:r w:rsidR="00107F4A" w:rsidRPr="000A7BB0">
        <w:t>13</w:t>
      </w:r>
      <w:r w:rsidRPr="000A7BB0">
        <w:fldChar w:fldCharType="end"/>
      </w:r>
      <w:bookmarkEnd w:id="61"/>
      <w:r w:rsidRPr="000A7BB0">
        <w:t xml:space="preserve">: </w:t>
      </w:r>
      <w:r w:rsidR="00D65452" w:rsidRPr="000A7BB0">
        <w:t>Key inputs for financial estimates</w:t>
      </w:r>
      <w:r w:rsidR="00D65452" w:rsidRPr="000A7BB0" w:rsidDel="0053210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3"/>
        <w:gridCol w:w="3210"/>
      </w:tblGrid>
      <w:tr w:rsidR="00550980" w:rsidRPr="000A7BB0" w14:paraId="06C38819" w14:textId="77777777" w:rsidTr="56F9DD4F">
        <w:trPr>
          <w:cantSplit/>
          <w:tblHeader/>
        </w:trPr>
        <w:tc>
          <w:tcPr>
            <w:tcW w:w="950" w:type="pct"/>
            <w:vAlign w:val="center"/>
          </w:tcPr>
          <w:p w14:paraId="2975D5FE" w14:textId="77777777" w:rsidR="00550980" w:rsidRPr="000A7BB0" w:rsidRDefault="00550980" w:rsidP="00DE49EF">
            <w:pPr>
              <w:pStyle w:val="In-tableHeading"/>
              <w:keepNext w:val="0"/>
              <w:rPr>
                <w:lang w:val="en-AU"/>
              </w:rPr>
            </w:pPr>
            <w:r w:rsidRPr="000A7BB0">
              <w:rPr>
                <w:lang w:val="en-AU"/>
              </w:rPr>
              <w:t>Parameter</w:t>
            </w:r>
          </w:p>
        </w:tc>
        <w:tc>
          <w:tcPr>
            <w:tcW w:w="2270" w:type="pct"/>
            <w:vAlign w:val="center"/>
          </w:tcPr>
          <w:p w14:paraId="289F46B2" w14:textId="77777777" w:rsidR="00550980" w:rsidRPr="000A7BB0" w:rsidRDefault="00550980" w:rsidP="00DE49EF">
            <w:pPr>
              <w:pStyle w:val="In-tableHeading"/>
              <w:keepNext w:val="0"/>
              <w:rPr>
                <w:lang w:val="en-AU"/>
              </w:rPr>
            </w:pPr>
            <w:r w:rsidRPr="000A7BB0">
              <w:rPr>
                <w:lang w:val="en-AU"/>
              </w:rPr>
              <w:t>Value applied and source</w:t>
            </w:r>
          </w:p>
        </w:tc>
        <w:tc>
          <w:tcPr>
            <w:tcW w:w="1780" w:type="pct"/>
            <w:vAlign w:val="center"/>
          </w:tcPr>
          <w:p w14:paraId="0167D0D7" w14:textId="77777777" w:rsidR="00550980" w:rsidRPr="000A7BB0" w:rsidRDefault="00550980" w:rsidP="00DE49EF">
            <w:pPr>
              <w:pStyle w:val="In-tableHeading"/>
              <w:keepNext w:val="0"/>
              <w:rPr>
                <w:lang w:val="en-AU"/>
              </w:rPr>
            </w:pPr>
            <w:r w:rsidRPr="000A7BB0">
              <w:rPr>
                <w:lang w:val="en-AU"/>
              </w:rPr>
              <w:t>Comment</w:t>
            </w:r>
          </w:p>
        </w:tc>
      </w:tr>
      <w:tr w:rsidR="00550980" w:rsidRPr="000A7BB0" w14:paraId="7805D3C8" w14:textId="77777777" w:rsidTr="56F9DD4F">
        <w:trPr>
          <w:cantSplit/>
        </w:trPr>
        <w:tc>
          <w:tcPr>
            <w:tcW w:w="950" w:type="pct"/>
            <w:vAlign w:val="center"/>
          </w:tcPr>
          <w:p w14:paraId="1648DF35" w14:textId="13E015FB" w:rsidR="00550980" w:rsidRPr="000A7BB0" w:rsidRDefault="4032055A" w:rsidP="00DE49EF">
            <w:pPr>
              <w:pStyle w:val="TableText"/>
            </w:pPr>
            <w:r w:rsidRPr="000A7BB0">
              <w:t xml:space="preserve">Eligible test population: Patients with ER+/HER2- </w:t>
            </w:r>
            <w:proofErr w:type="spellStart"/>
            <w:r w:rsidRPr="000A7BB0">
              <w:t>mBC</w:t>
            </w:r>
            <w:proofErr w:type="spellEnd"/>
            <w:r w:rsidRPr="000A7BB0">
              <w:t xml:space="preserve"> progressing from a CDK4/6i</w:t>
            </w:r>
          </w:p>
        </w:tc>
        <w:tc>
          <w:tcPr>
            <w:tcW w:w="2270" w:type="pct"/>
            <w:vAlign w:val="center"/>
          </w:tcPr>
          <w:p w14:paraId="04A7B51C" w14:textId="0BE29C75" w:rsidR="00550980" w:rsidRDefault="00550980" w:rsidP="00DE49EF">
            <w:pPr>
              <w:pStyle w:val="TableText"/>
            </w:pPr>
          </w:p>
          <w:p w14:paraId="3A270807" w14:textId="3F82951E" w:rsidR="00EA69BE" w:rsidRPr="000A7BB0" w:rsidRDefault="00EA69BE" w:rsidP="00DE49EF">
            <w:pPr>
              <w:pStyle w:val="TableText"/>
            </w:pPr>
            <w:r>
              <w:t>See Table 14.</w:t>
            </w:r>
          </w:p>
          <w:p w14:paraId="30DB9B86" w14:textId="77777777" w:rsidR="00550980" w:rsidRPr="000A7BB0" w:rsidRDefault="00550980" w:rsidP="00DE49EF">
            <w:pPr>
              <w:pStyle w:val="TableText"/>
            </w:pPr>
          </w:p>
          <w:p w14:paraId="73EA232E" w14:textId="0938FDF9" w:rsidR="00550980" w:rsidRPr="000A7BB0" w:rsidRDefault="4032055A" w:rsidP="00DE49EF">
            <w:pPr>
              <w:pStyle w:val="TableText"/>
            </w:pPr>
            <w:r w:rsidRPr="000A7BB0">
              <w:t xml:space="preserve">Sourced from analysis of annual number of patients with ER+/HER2- </w:t>
            </w:r>
            <w:proofErr w:type="spellStart"/>
            <w:r w:rsidRPr="000A7BB0">
              <w:t>mBC</w:t>
            </w:r>
            <w:proofErr w:type="spellEnd"/>
            <w:r w:rsidRPr="000A7BB0">
              <w:t xml:space="preserve"> progressing from a CDK4/6i between 2018 and 2023 (from the PBS10%), indexed against the general population growth in Australia (1.4%) for future years (sourced from ABS data).</w:t>
            </w:r>
          </w:p>
          <w:p w14:paraId="78548671" w14:textId="77777777" w:rsidR="00550980" w:rsidRPr="000A7BB0" w:rsidRDefault="00550980" w:rsidP="00DE49EF">
            <w:pPr>
              <w:pStyle w:val="TableText"/>
            </w:pPr>
          </w:p>
          <w:p w14:paraId="5DB6A6D8" w14:textId="3C6D3586" w:rsidR="00550980" w:rsidRPr="000A7BB0" w:rsidRDefault="4032055A" w:rsidP="00DE49EF">
            <w:pPr>
              <w:pStyle w:val="TableText"/>
            </w:pPr>
            <w:r w:rsidRPr="000A7BB0">
              <w:t xml:space="preserve">In the first year of the proposed listing, it is expected that there will be a pool of prevalent patients that progressed from a CDK4/6i in previous years who would be eligible for </w:t>
            </w:r>
            <w:proofErr w:type="spellStart"/>
            <w:r w:rsidRPr="000A7BB0">
              <w:t>elacestrant</w:t>
            </w:r>
            <w:proofErr w:type="spellEnd"/>
            <w:r w:rsidRPr="000A7BB0">
              <w:t xml:space="preserve"> under the proposed listing (‘warehoused’ patients). This is achieved by doubling the number of eligible patients in the test population in Year 1</w:t>
            </w:r>
          </w:p>
        </w:tc>
        <w:tc>
          <w:tcPr>
            <w:tcW w:w="1780" w:type="pct"/>
            <w:vAlign w:val="center"/>
          </w:tcPr>
          <w:p w14:paraId="432B87CE" w14:textId="07253A3D" w:rsidR="00550980" w:rsidRPr="00950C0F" w:rsidRDefault="4032055A" w:rsidP="00DE49EF">
            <w:pPr>
              <w:pStyle w:val="TableText"/>
            </w:pPr>
            <w:r w:rsidRPr="00950C0F">
              <w:t xml:space="preserve">Although methods used to estimate the eligible test population in future years were reasonable, the number of ‘warehoused’ patients included in </w:t>
            </w:r>
            <w:r w:rsidR="7E8286E2" w:rsidRPr="00950C0F">
              <w:t>Y</w:t>
            </w:r>
            <w:r w:rsidRPr="00950C0F">
              <w:t>ear 1 is likely overestimated.</w:t>
            </w:r>
          </w:p>
        </w:tc>
      </w:tr>
      <w:tr w:rsidR="00550980" w:rsidRPr="000A7BB0" w14:paraId="7429A940" w14:textId="77777777" w:rsidTr="56F9DD4F">
        <w:trPr>
          <w:cantSplit/>
        </w:trPr>
        <w:tc>
          <w:tcPr>
            <w:tcW w:w="950" w:type="pct"/>
            <w:vAlign w:val="center"/>
          </w:tcPr>
          <w:p w14:paraId="129A99B8" w14:textId="77777777" w:rsidR="00550980" w:rsidRPr="000A7BB0" w:rsidRDefault="00550980" w:rsidP="00DE49EF">
            <w:pPr>
              <w:pStyle w:val="TableText"/>
            </w:pPr>
            <w:r w:rsidRPr="000A7BB0">
              <w:t>Prevalence of biomarker (</w:t>
            </w:r>
            <w:r w:rsidRPr="000A7BB0">
              <w:rPr>
                <w:i/>
                <w:iCs/>
              </w:rPr>
              <w:t xml:space="preserve">ESR1 </w:t>
            </w:r>
            <w:r w:rsidRPr="000A7BB0">
              <w:t>variants</w:t>
            </w:r>
            <w:r w:rsidRPr="000A7BB0">
              <w:rPr>
                <w:i/>
                <w:iCs/>
              </w:rPr>
              <w:t>)</w:t>
            </w:r>
          </w:p>
        </w:tc>
        <w:tc>
          <w:tcPr>
            <w:tcW w:w="2270" w:type="pct"/>
            <w:vAlign w:val="center"/>
          </w:tcPr>
          <w:p w14:paraId="5007D746" w14:textId="77777777" w:rsidR="00550980" w:rsidRPr="000A7BB0" w:rsidRDefault="00550980" w:rsidP="00DE49EF">
            <w:pPr>
              <w:pStyle w:val="TableText"/>
            </w:pPr>
            <w:r w:rsidRPr="000A7BB0">
              <w:t>70.2%</w:t>
            </w:r>
          </w:p>
          <w:p w14:paraId="57DA7172" w14:textId="77777777" w:rsidR="00550980" w:rsidRPr="000A7BB0" w:rsidRDefault="00550980" w:rsidP="00DE49EF">
            <w:pPr>
              <w:pStyle w:val="TableText"/>
            </w:pPr>
            <w:r w:rsidRPr="000A7BB0">
              <w:t xml:space="preserve">Based on calculations using the prevalence of </w:t>
            </w:r>
            <w:r w:rsidRPr="000A7BB0">
              <w:rPr>
                <w:i/>
                <w:iCs/>
              </w:rPr>
              <w:t>ESR1</w:t>
            </w:r>
            <w:r w:rsidRPr="000A7BB0">
              <w:t xml:space="preserve"> variant positive patients from the EMERALD trial (47.7%) and assumptions that 100% of patients will opt for a test post 1L progression and 90% of remaining patients will opt for a further test post 2L progression (in the same year). </w:t>
            </w:r>
          </w:p>
        </w:tc>
        <w:tc>
          <w:tcPr>
            <w:tcW w:w="1780" w:type="pct"/>
            <w:vAlign w:val="center"/>
          </w:tcPr>
          <w:p w14:paraId="723EF428" w14:textId="4104311D" w:rsidR="00550980" w:rsidRPr="00950C0F" w:rsidRDefault="4032055A" w:rsidP="00DE49EF">
            <w:pPr>
              <w:pStyle w:val="TableText"/>
            </w:pPr>
            <w:r w:rsidRPr="00950C0F">
              <w:t>The proportion of ESR1 variant positive patients in the EMERALD trial (47.7%) was based on a single test and included those who had disease progression following 1L or 2L therapy. As such, the estimated prevalence of ESR1 variants applied in the financial estimates is likely overestimated.</w:t>
            </w:r>
          </w:p>
        </w:tc>
      </w:tr>
      <w:tr w:rsidR="00550980" w:rsidRPr="000A7BB0" w14:paraId="41D6E974" w14:textId="77777777" w:rsidTr="56F9DD4F">
        <w:trPr>
          <w:cantSplit/>
        </w:trPr>
        <w:tc>
          <w:tcPr>
            <w:tcW w:w="950" w:type="pct"/>
            <w:vAlign w:val="center"/>
          </w:tcPr>
          <w:p w14:paraId="7D4EECDD" w14:textId="7740D612" w:rsidR="00550980" w:rsidRPr="000A7BB0" w:rsidRDefault="00550980" w:rsidP="00DE49EF">
            <w:pPr>
              <w:pStyle w:val="TableText"/>
            </w:pPr>
            <w:r w:rsidRPr="000A7BB0">
              <w:t xml:space="preserve">Uptake rate </w:t>
            </w:r>
          </w:p>
        </w:tc>
        <w:tc>
          <w:tcPr>
            <w:tcW w:w="2270" w:type="pct"/>
            <w:vAlign w:val="center"/>
          </w:tcPr>
          <w:p w14:paraId="57E1DAC9" w14:textId="09C98B60" w:rsidR="00550980" w:rsidRPr="000A7BB0" w:rsidRDefault="008C42B2" w:rsidP="00DE49EF">
            <w:pPr>
              <w:pStyle w:val="TableText"/>
            </w:pPr>
            <w:r>
              <w:rPr>
                <w:b/>
                <w:bCs/>
              </w:rPr>
              <w:t>Redacted</w:t>
            </w:r>
            <w:r w:rsidR="00550980" w:rsidRPr="00950C0F">
              <w:t xml:space="preserve">% in Year 1 increasing to </w:t>
            </w:r>
            <w:r w:rsidRPr="006008F6">
              <w:rPr>
                <w:b/>
                <w:bCs/>
              </w:rPr>
              <w:t>redacted</w:t>
            </w:r>
            <w:r w:rsidR="00550980" w:rsidRPr="00950C0F">
              <w:t>% in Year 4 onwards</w:t>
            </w:r>
            <w:r w:rsidR="00550980" w:rsidRPr="000A7BB0">
              <w:t xml:space="preserve">. Based on an estimate from the </w:t>
            </w:r>
            <w:r w:rsidR="00A90EE5" w:rsidRPr="000A7BB0">
              <w:t>submission</w:t>
            </w:r>
          </w:p>
        </w:tc>
        <w:tc>
          <w:tcPr>
            <w:tcW w:w="1780" w:type="pct"/>
            <w:vAlign w:val="center"/>
          </w:tcPr>
          <w:p w14:paraId="0E933EA5" w14:textId="25097E4C" w:rsidR="00550980" w:rsidRPr="00950C0F" w:rsidRDefault="4032055A" w:rsidP="00DE49EF">
            <w:pPr>
              <w:pStyle w:val="TableText"/>
            </w:pPr>
            <w:r w:rsidRPr="00950C0F">
              <w:t>Estimates appear reasonable given the demonstrated superior effectiveness and likely inferior but manageable safety profile</w:t>
            </w:r>
          </w:p>
        </w:tc>
      </w:tr>
      <w:tr w:rsidR="00550980" w:rsidRPr="000A7BB0" w14:paraId="086CA8E6" w14:textId="77777777" w:rsidTr="56F9DD4F">
        <w:trPr>
          <w:cantSplit/>
        </w:trPr>
        <w:tc>
          <w:tcPr>
            <w:tcW w:w="950" w:type="pct"/>
            <w:vAlign w:val="center"/>
          </w:tcPr>
          <w:p w14:paraId="6CC6D2BE" w14:textId="77777777" w:rsidR="00550980" w:rsidRPr="000A7BB0" w:rsidRDefault="00550980" w:rsidP="00DE49EF">
            <w:pPr>
              <w:pStyle w:val="TableText"/>
            </w:pPr>
            <w:r w:rsidRPr="000A7BB0">
              <w:t>Compliance rate</w:t>
            </w:r>
          </w:p>
          <w:p w14:paraId="228FA76E" w14:textId="77777777" w:rsidR="00550980" w:rsidRPr="000A7BB0" w:rsidRDefault="00550980" w:rsidP="00DE49EF">
            <w:pPr>
              <w:pStyle w:val="TableText"/>
            </w:pPr>
          </w:p>
        </w:tc>
        <w:tc>
          <w:tcPr>
            <w:tcW w:w="2270" w:type="pct"/>
            <w:vAlign w:val="center"/>
          </w:tcPr>
          <w:p w14:paraId="7C16E9B8" w14:textId="0D6179BC" w:rsidR="00550980" w:rsidRPr="000A7BB0" w:rsidRDefault="00550980" w:rsidP="00DE49EF">
            <w:pPr>
              <w:pStyle w:val="TableText"/>
            </w:pPr>
            <w:r w:rsidRPr="00FD39D0">
              <w:t>95%</w:t>
            </w:r>
          </w:p>
          <w:p w14:paraId="161131FB" w14:textId="01E9276B" w:rsidR="00550980" w:rsidRPr="000A7BB0" w:rsidRDefault="00550980" w:rsidP="00DE49EF">
            <w:pPr>
              <w:pStyle w:val="TableText"/>
            </w:pPr>
            <w:r w:rsidRPr="000A7BB0">
              <w:t xml:space="preserve">Based on an assumption from the </w:t>
            </w:r>
            <w:r w:rsidR="00A90EE5" w:rsidRPr="000A7BB0">
              <w:t>submission</w:t>
            </w:r>
          </w:p>
        </w:tc>
        <w:tc>
          <w:tcPr>
            <w:tcW w:w="1780" w:type="pct"/>
            <w:vAlign w:val="center"/>
          </w:tcPr>
          <w:p w14:paraId="2CB720A8" w14:textId="77777777" w:rsidR="00550980" w:rsidRPr="00950C0F" w:rsidRDefault="00550980" w:rsidP="00DE49EF">
            <w:pPr>
              <w:pStyle w:val="TableText"/>
            </w:pPr>
            <w:r w:rsidRPr="00950C0F">
              <w:t>This was reasonable – compliance in the EMERALD trial was high (99%) with low incidence rates for treatment emergent AEs.</w:t>
            </w:r>
          </w:p>
        </w:tc>
      </w:tr>
      <w:tr w:rsidR="00550980" w:rsidRPr="000A7BB0" w14:paraId="21D943EE" w14:textId="77777777" w:rsidTr="56F9DD4F">
        <w:trPr>
          <w:cantSplit/>
        </w:trPr>
        <w:tc>
          <w:tcPr>
            <w:tcW w:w="950" w:type="pct"/>
            <w:vAlign w:val="center"/>
          </w:tcPr>
          <w:p w14:paraId="4B982731" w14:textId="77777777" w:rsidR="00550980" w:rsidRPr="000A7BB0" w:rsidRDefault="00550980" w:rsidP="00DE49EF">
            <w:pPr>
              <w:pStyle w:val="TableText"/>
            </w:pPr>
            <w:r w:rsidRPr="000A7BB0">
              <w:t>Mean duration of treatment</w:t>
            </w:r>
          </w:p>
        </w:tc>
        <w:tc>
          <w:tcPr>
            <w:tcW w:w="2270" w:type="pct"/>
            <w:vAlign w:val="center"/>
          </w:tcPr>
          <w:p w14:paraId="27246003" w14:textId="77777777" w:rsidR="00550980" w:rsidRPr="000A7BB0" w:rsidRDefault="00550980" w:rsidP="00DE49EF">
            <w:pPr>
              <w:pStyle w:val="TableText"/>
            </w:pPr>
            <w:r w:rsidRPr="000A7BB0">
              <w:t>160.3 days</w:t>
            </w:r>
          </w:p>
          <w:p w14:paraId="39842B6E" w14:textId="77777777" w:rsidR="00550980" w:rsidRPr="000A7BB0" w:rsidRDefault="00550980" w:rsidP="00DE49EF">
            <w:pPr>
              <w:pStyle w:val="TableText"/>
            </w:pPr>
            <w:r w:rsidRPr="000A7BB0">
              <w:t>EMERALD trial (</w:t>
            </w:r>
            <w:r w:rsidRPr="000A7BB0">
              <w:rPr>
                <w:i/>
              </w:rPr>
              <w:t>ESR1</w:t>
            </w:r>
            <w:r w:rsidRPr="000A7BB0">
              <w:t xml:space="preserve"> positive subgroup)</w:t>
            </w:r>
          </w:p>
        </w:tc>
        <w:tc>
          <w:tcPr>
            <w:tcW w:w="1780" w:type="pct"/>
            <w:vAlign w:val="center"/>
          </w:tcPr>
          <w:p w14:paraId="1E82FAB9" w14:textId="198D762D" w:rsidR="00550980" w:rsidRPr="00950C0F" w:rsidRDefault="4032055A" w:rsidP="00DE49EF">
            <w:pPr>
              <w:pStyle w:val="TableText"/>
            </w:pPr>
            <w:r w:rsidRPr="00950C0F">
              <w:t>This was appropriate.</w:t>
            </w:r>
          </w:p>
        </w:tc>
      </w:tr>
      <w:tr w:rsidR="00550980" w:rsidRPr="000A7BB0" w14:paraId="32E998EC" w14:textId="77777777" w:rsidTr="56F9DD4F">
        <w:trPr>
          <w:cantSplit/>
        </w:trPr>
        <w:tc>
          <w:tcPr>
            <w:tcW w:w="950" w:type="pct"/>
            <w:vAlign w:val="center"/>
          </w:tcPr>
          <w:p w14:paraId="270FC832" w14:textId="77777777" w:rsidR="00550980" w:rsidRPr="000A7BB0" w:rsidRDefault="00550980" w:rsidP="00DE49EF">
            <w:pPr>
              <w:pStyle w:val="TableText"/>
            </w:pPr>
            <w:r w:rsidRPr="000A7BB0">
              <w:t>Offsets for comparator</w:t>
            </w:r>
          </w:p>
        </w:tc>
        <w:tc>
          <w:tcPr>
            <w:tcW w:w="2270" w:type="pct"/>
            <w:vAlign w:val="center"/>
          </w:tcPr>
          <w:p w14:paraId="237FEBA0" w14:textId="4F4E46EC" w:rsidR="00550980" w:rsidRPr="000A7BB0" w:rsidRDefault="4032055A" w:rsidP="00DE49EF">
            <w:pPr>
              <w:pStyle w:val="TableText"/>
            </w:pPr>
            <w:r w:rsidRPr="000A7BB0">
              <w:t xml:space="preserve">Substitution of SOC 2L+ therapies including </w:t>
            </w:r>
            <w:proofErr w:type="spellStart"/>
            <w:r w:rsidRPr="000A7BB0">
              <w:t>Fulvestrant</w:t>
            </w:r>
            <w:proofErr w:type="spellEnd"/>
            <w:r w:rsidRPr="000A7BB0">
              <w:t xml:space="preserve"> (14%), AIs (Anastrozole [10%],Exemestane [9%], Letrozole [26%]), chemotherapy (Paclitaxel [3% Public/6% Private], Doxorubicin [2% Public/3% Private], capecitabine [4%]) </w:t>
            </w:r>
            <w:proofErr w:type="spellStart"/>
            <w:r w:rsidRPr="000A7BB0">
              <w:t>Everolimus</w:t>
            </w:r>
            <w:proofErr w:type="spellEnd"/>
            <w:r w:rsidRPr="000A7BB0">
              <w:t xml:space="preserve"> (3%), Goserelin (6%), Tamoxifen (1%) </w:t>
            </w:r>
          </w:p>
          <w:p w14:paraId="7D7F1B35" w14:textId="44B982A5" w:rsidR="00550980" w:rsidRPr="000A7BB0" w:rsidRDefault="4032055A" w:rsidP="00DE49EF">
            <w:pPr>
              <w:pStyle w:val="TableText"/>
            </w:pPr>
            <w:r w:rsidRPr="000A7BB0">
              <w:t>Based on  analysis of 2L treatments in PBS 10% sample in 2023</w:t>
            </w:r>
          </w:p>
          <w:p w14:paraId="1043C867" w14:textId="7BD818EF" w:rsidR="00550980" w:rsidRPr="000A7BB0" w:rsidRDefault="4032055A" w:rsidP="00DE49EF">
            <w:pPr>
              <w:pStyle w:val="TableText"/>
            </w:pPr>
            <w:r w:rsidRPr="000A7BB0">
              <w:t xml:space="preserve">Dosages and treatment regimens determined by </w:t>
            </w:r>
            <w:proofErr w:type="spellStart"/>
            <w:r w:rsidRPr="000A7BB0">
              <w:t>EviQ</w:t>
            </w:r>
            <w:proofErr w:type="spellEnd"/>
            <w:r w:rsidRPr="000A7BB0">
              <w:t xml:space="preserve"> recommendations </w:t>
            </w:r>
          </w:p>
          <w:p w14:paraId="136BCC8C" w14:textId="099993EB" w:rsidR="00550980" w:rsidRPr="000A7BB0" w:rsidRDefault="4032055A" w:rsidP="00DE49EF">
            <w:pPr>
              <w:pStyle w:val="TableText"/>
            </w:pPr>
            <w:r w:rsidRPr="000A7BB0">
              <w:t xml:space="preserve">Mean duration 160.3 days (as per </w:t>
            </w:r>
            <w:proofErr w:type="spellStart"/>
            <w:r w:rsidRPr="000A7BB0">
              <w:t>elacestrant</w:t>
            </w:r>
            <w:proofErr w:type="spellEnd"/>
            <w:r w:rsidRPr="000A7BB0">
              <w:t xml:space="preserve"> treatment arm in EMERALD trial)</w:t>
            </w:r>
          </w:p>
        </w:tc>
        <w:tc>
          <w:tcPr>
            <w:tcW w:w="1780" w:type="pct"/>
            <w:vAlign w:val="center"/>
          </w:tcPr>
          <w:p w14:paraId="2992C205" w14:textId="79A54D8B" w:rsidR="00550980" w:rsidRPr="00950C0F" w:rsidRDefault="4032055A" w:rsidP="00DE49EF">
            <w:pPr>
              <w:pStyle w:val="TableText"/>
            </w:pPr>
            <w:r w:rsidRPr="00950C0F">
              <w:t xml:space="preserve">This is inconsistent with Section 1 and 3, where SOC consisted of </w:t>
            </w:r>
            <w:proofErr w:type="spellStart"/>
            <w:r w:rsidRPr="00950C0F">
              <w:t>fulvestrant</w:t>
            </w:r>
            <w:proofErr w:type="spellEnd"/>
            <w:r w:rsidRPr="00950C0F">
              <w:t xml:space="preserve"> (73%) or AI (Anastrozole, exemestane, letrozole [27%]) monotherapy only.</w:t>
            </w:r>
          </w:p>
          <w:p w14:paraId="7E2A0544" w14:textId="77777777" w:rsidR="00550980" w:rsidRPr="00950C0F" w:rsidRDefault="00550980" w:rsidP="00DE49EF">
            <w:pPr>
              <w:pStyle w:val="TableText"/>
              <w:rPr>
                <w:highlight w:val="yellow"/>
              </w:rPr>
            </w:pPr>
          </w:p>
          <w:p w14:paraId="2D18FE89" w14:textId="1392B8EE" w:rsidR="00550980" w:rsidRPr="00950C0F" w:rsidRDefault="4032055A" w:rsidP="00DE49EF">
            <w:pPr>
              <w:pStyle w:val="TableText"/>
            </w:pPr>
            <w:r w:rsidRPr="00950C0F">
              <w:t xml:space="preserve">The proportions assigned to each treatment sum to 87%; this is greater than the 79% as analysed by the PBS10% sample (which included 21% of patients who had no further treatment following disease progression after 1L therapy). Further, the mean treatment duration of </w:t>
            </w:r>
            <w:proofErr w:type="spellStart"/>
            <w:r w:rsidRPr="00950C0F">
              <w:t>elacestrant</w:t>
            </w:r>
            <w:proofErr w:type="spellEnd"/>
            <w:r w:rsidRPr="00950C0F">
              <w:t xml:space="preserve"> was greater than the mean treatment duration of SOC in EMERALD (117.3 days). As such, the extent of substitution of current PBS listed drugs may be overestimated.</w:t>
            </w:r>
          </w:p>
        </w:tc>
      </w:tr>
      <w:tr w:rsidR="00550980" w:rsidRPr="000A7BB0" w14:paraId="026BE69D" w14:textId="77777777" w:rsidTr="56F9DD4F">
        <w:trPr>
          <w:cantSplit/>
        </w:trPr>
        <w:tc>
          <w:tcPr>
            <w:tcW w:w="950" w:type="pct"/>
            <w:vAlign w:val="center"/>
          </w:tcPr>
          <w:p w14:paraId="469C76B1" w14:textId="77777777" w:rsidR="00550980" w:rsidRPr="000A7BB0" w:rsidRDefault="00550980" w:rsidP="00DE49EF">
            <w:pPr>
              <w:pStyle w:val="TableText"/>
            </w:pPr>
            <w:r w:rsidRPr="000A7BB0">
              <w:lastRenderedPageBreak/>
              <w:t>MBS items</w:t>
            </w:r>
          </w:p>
        </w:tc>
        <w:tc>
          <w:tcPr>
            <w:tcW w:w="2270" w:type="pct"/>
            <w:vAlign w:val="center"/>
          </w:tcPr>
          <w:p w14:paraId="7B823FC9" w14:textId="6F87EB40" w:rsidR="00550980" w:rsidRPr="000A7BB0" w:rsidRDefault="73534AE7" w:rsidP="56F9DD4F">
            <w:pPr>
              <w:pStyle w:val="TableText"/>
              <w:rPr>
                <w:highlight w:val="yellow"/>
              </w:rPr>
            </w:pPr>
            <w:r w:rsidRPr="56F9DD4F">
              <w:rPr>
                <w:i/>
                <w:iCs/>
              </w:rPr>
              <w:t xml:space="preserve">ESR1 </w:t>
            </w:r>
            <w:r>
              <w:t xml:space="preserve">variant test cost </w:t>
            </w:r>
            <w:r w:rsidRPr="000B0449">
              <w:t>= $1500</w:t>
            </w:r>
            <w:r>
              <w:t xml:space="preserve">  </w:t>
            </w:r>
          </w:p>
          <w:p w14:paraId="4ED5F9E7" w14:textId="77777777" w:rsidR="00550980" w:rsidRPr="000A7BB0" w:rsidRDefault="00550980" w:rsidP="00DE49EF">
            <w:pPr>
              <w:pStyle w:val="TableText"/>
            </w:pPr>
            <w:r w:rsidRPr="000A7BB0">
              <w:t>Estimate based on costs of similar MBS items</w:t>
            </w:r>
          </w:p>
          <w:p w14:paraId="01E104BD" w14:textId="77777777" w:rsidR="00550980" w:rsidRPr="000A7BB0" w:rsidRDefault="00550980" w:rsidP="00DE49EF">
            <w:pPr>
              <w:pStyle w:val="TableText"/>
            </w:pPr>
          </w:p>
          <w:p w14:paraId="307F76C4" w14:textId="55609762" w:rsidR="00550980" w:rsidRPr="000A7BB0" w:rsidRDefault="4032055A" w:rsidP="00DE49EF">
            <w:pPr>
              <w:pStyle w:val="TableText"/>
            </w:pPr>
            <w:r w:rsidRPr="000A7BB0">
              <w:t xml:space="preserve">Given the expected substitution of </w:t>
            </w:r>
            <w:proofErr w:type="spellStart"/>
            <w:r w:rsidRPr="000A7BB0">
              <w:t>fulvestrant</w:t>
            </w:r>
            <w:proofErr w:type="spellEnd"/>
            <w:r w:rsidRPr="000A7BB0">
              <w:t xml:space="preserve">, paclitaxel and doxorubicin by PBS listing of </w:t>
            </w:r>
            <w:proofErr w:type="spellStart"/>
            <w:r w:rsidRPr="000A7BB0">
              <w:t>elacestrant</w:t>
            </w:r>
            <w:proofErr w:type="spellEnd"/>
            <w:r w:rsidRPr="000A7BB0">
              <w:t>, the need for parenteral administrations of these drugs is expected to be reduced</w:t>
            </w:r>
          </w:p>
          <w:p w14:paraId="24FC0836" w14:textId="77777777" w:rsidR="00550980" w:rsidRPr="000A7BB0" w:rsidRDefault="00550980" w:rsidP="00DE49EF">
            <w:pPr>
              <w:pStyle w:val="TableText"/>
            </w:pPr>
            <w:r w:rsidRPr="000A7BB0">
              <w:t xml:space="preserve">Parenteral administration =$123.05 </w:t>
            </w:r>
          </w:p>
          <w:p w14:paraId="73D3C346" w14:textId="77777777" w:rsidR="00550980" w:rsidRPr="000A7BB0" w:rsidRDefault="00550980" w:rsidP="00DE49EF">
            <w:pPr>
              <w:pStyle w:val="TableText"/>
            </w:pPr>
            <w:r w:rsidRPr="000A7BB0">
              <w:t>MBS item 13950</w:t>
            </w:r>
          </w:p>
        </w:tc>
        <w:tc>
          <w:tcPr>
            <w:tcW w:w="1780" w:type="pct"/>
            <w:vAlign w:val="center"/>
          </w:tcPr>
          <w:p w14:paraId="1DF75575" w14:textId="77777777" w:rsidR="00550980" w:rsidRPr="00950C0F" w:rsidRDefault="00550980" w:rsidP="00DE49EF">
            <w:pPr>
              <w:pStyle w:val="TableText"/>
            </w:pPr>
            <w:r w:rsidRPr="00950C0F">
              <w:t>Estimated test costs was reasonable.</w:t>
            </w:r>
          </w:p>
          <w:p w14:paraId="010D2D9C" w14:textId="350436D4" w:rsidR="00550980" w:rsidRPr="00950C0F" w:rsidRDefault="4032055A" w:rsidP="00DE49EF">
            <w:pPr>
              <w:pStyle w:val="TableText"/>
            </w:pPr>
            <w:r w:rsidRPr="00950C0F">
              <w:t>Cost offsets related to parenteral administration was appropriate.</w:t>
            </w:r>
          </w:p>
          <w:p w14:paraId="34963B40" w14:textId="1293ECE9" w:rsidR="001D7393" w:rsidRPr="00950C0F" w:rsidRDefault="1C4D3C83" w:rsidP="00DE49EF">
            <w:pPr>
              <w:pStyle w:val="TableText"/>
            </w:pPr>
            <w:r w:rsidRPr="00950C0F">
              <w:t>The submission incorrectly applied a 80% benefit to MBS costs- this was corrected by the evaluation (85% benefit assuming all items out of hospital and greatest permissible gap (=$102.40) applied to test costs).</w:t>
            </w:r>
          </w:p>
        </w:tc>
      </w:tr>
    </w:tbl>
    <w:p w14:paraId="007AB8C8" w14:textId="4522E368" w:rsidR="00550980" w:rsidRPr="000A7BB0" w:rsidRDefault="00550980" w:rsidP="00DE49EF">
      <w:pPr>
        <w:pStyle w:val="TableFooter"/>
        <w:rPr>
          <w:sz w:val="20"/>
        </w:rPr>
      </w:pPr>
      <w:r w:rsidRPr="000A7BB0">
        <w:t>Source: Table 4.3,</w:t>
      </w:r>
      <w:r w:rsidR="00A51EEB" w:rsidRPr="000A7BB0">
        <w:t xml:space="preserve"> </w:t>
      </w:r>
      <w:r w:rsidRPr="000A7BB0">
        <w:t>pp349-350, Table 4.5, pp350-351, Tables 4.6 &amp; 4.8 p351 of the submission.</w:t>
      </w:r>
    </w:p>
    <w:p w14:paraId="7F0F766B" w14:textId="77777777" w:rsidR="00550980" w:rsidRPr="000A7BB0" w:rsidRDefault="00550980" w:rsidP="00DE49EF">
      <w:pPr>
        <w:pStyle w:val="TableFigureFooter"/>
      </w:pPr>
      <w:r w:rsidRPr="000A7BB0">
        <w:t xml:space="preserve">1L = first line; 2L = second line; AI = aromatase inhibitor; ABS = Australian Bureau of Statistics; AEs = adverse events; CDK4/6i = cyclin dependent kinase 4/6 inhibitor; ER+/HER2-mBC = estrogen receptor 1, human epidermal growth factor 2 negative metastatic breast cancer; </w:t>
      </w:r>
      <w:r w:rsidRPr="000A7BB0">
        <w:rPr>
          <w:i/>
          <w:iCs/>
        </w:rPr>
        <w:t>ESR1</w:t>
      </w:r>
      <w:r w:rsidRPr="000A7BB0">
        <w:t xml:space="preserve"> =estrogen receptor 1; MBS = Medicare Benefits Schedule; PBS = Pharmaceutical Benefits Scheme; SOC = standard of care.</w:t>
      </w:r>
    </w:p>
    <w:p w14:paraId="5EAD6B6C" w14:textId="704F524F" w:rsidR="00C905D6" w:rsidRPr="00357EBF" w:rsidRDefault="00C905D6" w:rsidP="00357EBF">
      <w:r w:rsidRPr="00357EBF">
        <w:t xml:space="preserve">To estimate the size of the eligible test population, the submission conducted an analysis of the 10% PBS sample to identify the number of patients with ER+/HER2- </w:t>
      </w:r>
      <w:proofErr w:type="spellStart"/>
      <w:r w:rsidRPr="00357EBF">
        <w:t>mBC</w:t>
      </w:r>
      <w:proofErr w:type="spellEnd"/>
      <w:r w:rsidRPr="00357EBF">
        <w:rPr>
          <w:rFonts w:eastAsia="Segoe UI"/>
        </w:rPr>
        <w:t xml:space="preserve"> </w:t>
      </w:r>
      <w:r w:rsidRPr="00357EBF">
        <w:t xml:space="preserve">treated with a CDK-4/6i in combination with </w:t>
      </w:r>
      <w:proofErr w:type="spellStart"/>
      <w:r w:rsidRPr="00357EBF">
        <w:t>fulvestrant</w:t>
      </w:r>
      <w:proofErr w:type="spellEnd"/>
      <w:r w:rsidRPr="00357EBF">
        <w:t xml:space="preserve"> or an AI that progressed onto another treatment or did not seek further PBS-listed treatment in the most recent full year of data (2023). The submission stated this would represent the number of patients that would be eligible for NGS testing for </w:t>
      </w:r>
      <w:r w:rsidRPr="00357EBF">
        <w:rPr>
          <w:i/>
          <w:iCs/>
        </w:rPr>
        <w:t>ESR1</w:t>
      </w:r>
      <w:r w:rsidRPr="00357EBF">
        <w:t xml:space="preserve"> variants to determine eligibility for treatment with PBS-listed </w:t>
      </w:r>
      <w:proofErr w:type="spellStart"/>
      <w:r w:rsidRPr="00357EBF">
        <w:t>elacestrant</w:t>
      </w:r>
      <w:proofErr w:type="spellEnd"/>
      <w:r w:rsidRPr="00357EBF">
        <w:t xml:space="preserve">. The commentary considered that this approach was appropriate. </w:t>
      </w:r>
    </w:p>
    <w:p w14:paraId="3DFEEBF8" w14:textId="0550FA86" w:rsidR="00C905D6" w:rsidRPr="00357EBF" w:rsidRDefault="00C905D6" w:rsidP="00357EBF">
      <w:r w:rsidRPr="00357EBF">
        <w:t xml:space="preserve">The growth rate in the proposed patient population was then indexed against the general population growth in Australia (=1.4%, informed by Australian Bureau of Statistics (ABS) data). The submission argued this was justified because there are several treatment options currently listed on the PBS for </w:t>
      </w:r>
      <w:proofErr w:type="spellStart"/>
      <w:r w:rsidRPr="00357EBF">
        <w:t>mBC</w:t>
      </w:r>
      <w:proofErr w:type="spellEnd"/>
      <w:r w:rsidRPr="00357EBF">
        <w:t xml:space="preserve"> and the market is well established. The commentary considered this was reasonable.</w:t>
      </w:r>
    </w:p>
    <w:p w14:paraId="77AF6BD9" w14:textId="138BA9C8" w:rsidR="00C905D6" w:rsidRPr="00357EBF" w:rsidRDefault="00C905D6" w:rsidP="00357EBF">
      <w:pPr>
        <w:spacing w:before="0" w:after="120"/>
        <w:rPr>
          <w:i/>
          <w:iCs/>
        </w:rPr>
      </w:pPr>
      <w:r w:rsidRPr="00357EBF">
        <w:t xml:space="preserve">In the first year of the proposed listing (2026), the submission stated it is expected that there will be a pool of prevalent patients that progressed from a CDK-4/6i in previous years who would be eligible for </w:t>
      </w:r>
      <w:proofErr w:type="spellStart"/>
      <w:r w:rsidRPr="00357EBF">
        <w:t>elacestrant</w:t>
      </w:r>
      <w:proofErr w:type="spellEnd"/>
      <w:r w:rsidRPr="00357EBF">
        <w:t xml:space="preserve"> under the proposed listing (‘warehoused’ patients); this was achieved by doubling the number of eligible patients in Year 1. The commentary considered that, although</w:t>
      </w:r>
      <w:r w:rsidRPr="00357EBF">
        <w:rPr>
          <w:i/>
          <w:iCs/>
        </w:rPr>
        <w:t xml:space="preserve"> </w:t>
      </w:r>
      <w:r w:rsidRPr="00357EBF">
        <w:t xml:space="preserve">there will likely be a larger prevalent pool of patients in Year 1, the number of ‘warehoused’ patients in </w:t>
      </w:r>
      <w:r w:rsidR="0E0EF097" w:rsidRPr="00357EBF">
        <w:t>Y</w:t>
      </w:r>
      <w:r w:rsidRPr="00357EBF">
        <w:t xml:space="preserve">ear 1 was likely overestimated. </w:t>
      </w:r>
    </w:p>
    <w:p w14:paraId="1FC94D1C" w14:textId="2B90A6BC" w:rsidR="00C905D6" w:rsidRPr="00357EBF" w:rsidRDefault="00C905D6" w:rsidP="00357EBF">
      <w:pPr>
        <w:spacing w:before="0" w:after="120"/>
      </w:pPr>
      <w:r w:rsidRPr="00357EBF">
        <w:t xml:space="preserve">The submission assumed 100% of eligible patients will opt for testing on the first occasion (progression after 1L therapy), with a prevalence rate of 47.7% (sourced from the EMERALD trial) applied to determine the predicted number of patients who test positive for an </w:t>
      </w:r>
      <w:r w:rsidRPr="00357EBF">
        <w:rPr>
          <w:i/>
          <w:iCs/>
        </w:rPr>
        <w:t xml:space="preserve">ESR1 </w:t>
      </w:r>
      <w:r w:rsidRPr="00357EBF">
        <w:t xml:space="preserve">variant and are then eligible for treatment with </w:t>
      </w:r>
      <w:proofErr w:type="spellStart"/>
      <w:r w:rsidRPr="00357EBF">
        <w:t>elacestrant</w:t>
      </w:r>
      <w:proofErr w:type="spellEnd"/>
      <w:r w:rsidRPr="00357EBF">
        <w:t xml:space="preserve"> as a 2L therapy. The submission also assumed that 90% of the remaining patients in the testing population (those that did not test positive for </w:t>
      </w:r>
      <w:r w:rsidRPr="00357EBF">
        <w:rPr>
          <w:i/>
          <w:iCs/>
        </w:rPr>
        <w:t xml:space="preserve">ESR1 </w:t>
      </w:r>
      <w:r w:rsidRPr="00357EBF">
        <w:t xml:space="preserve">variants following progression after 1L therapy) would retest upon further disease progression (progression after 2L therapy). The submission applied the same prevalence rate (47.7%) to determine the predicted number of patients who test positive for an </w:t>
      </w:r>
      <w:r w:rsidRPr="00357EBF">
        <w:rPr>
          <w:i/>
          <w:iCs/>
        </w:rPr>
        <w:t xml:space="preserve">ESR1 </w:t>
      </w:r>
      <w:r w:rsidRPr="00357EBF">
        <w:t xml:space="preserve">variant at the second test and are then eligible for treatment with </w:t>
      </w:r>
      <w:proofErr w:type="spellStart"/>
      <w:r w:rsidRPr="00357EBF">
        <w:t>elacestrant</w:t>
      </w:r>
      <w:proofErr w:type="spellEnd"/>
      <w:r w:rsidRPr="00357EBF">
        <w:t xml:space="preserve"> as a third line (3L) therapy. </w:t>
      </w:r>
    </w:p>
    <w:p w14:paraId="089FE698" w14:textId="13F48F22" w:rsidR="00C905D6" w:rsidRPr="00357EBF" w:rsidRDefault="258752C8" w:rsidP="00357EBF">
      <w:pPr>
        <w:autoSpaceDE w:val="0"/>
        <w:autoSpaceDN w:val="0"/>
        <w:adjustRightInd w:val="0"/>
        <w:spacing w:line="23" w:lineRule="atLeast"/>
      </w:pPr>
      <w:r>
        <w:t xml:space="preserve">The commentary noted that the prevalence rate of </w:t>
      </w:r>
      <w:r w:rsidRPr="56F9DD4F">
        <w:rPr>
          <w:i/>
          <w:iCs/>
        </w:rPr>
        <w:t>ESR1</w:t>
      </w:r>
      <w:r>
        <w:t xml:space="preserve"> variants from the EMERALD trial (47.7%) was based on a single test and included patients who had disease progression after 1L or 2L therapies. It is estimated that approximately 40-50% of patients with ER+/HER2-mBC will acquire </w:t>
      </w:r>
      <w:r w:rsidRPr="56F9DD4F">
        <w:rPr>
          <w:i/>
          <w:iCs/>
        </w:rPr>
        <w:t>ESR1</w:t>
      </w:r>
      <w:r>
        <w:t xml:space="preserve"> variants at some stage during their disease course, with most occurring after </w:t>
      </w:r>
      <w:r>
        <w:lastRenderedPageBreak/>
        <w:t>progression on first- or second-line therapy</w:t>
      </w:r>
      <w:r w:rsidR="002B7654">
        <w:rPr>
          <w:rStyle w:val="FootnoteReference"/>
        </w:rPr>
        <w:footnoteReference w:id="21"/>
      </w:r>
      <w:r>
        <w:t xml:space="preserve">. It was estimated that the average time between tests for </w:t>
      </w:r>
      <w:r w:rsidRPr="56F9DD4F">
        <w:rPr>
          <w:i/>
          <w:iCs/>
        </w:rPr>
        <w:t>ESR1</w:t>
      </w:r>
      <w:r>
        <w:t xml:space="preserve"> would </w:t>
      </w:r>
      <w:r w:rsidRPr="008C42B2">
        <w:t xml:space="preserve">be </w:t>
      </w:r>
      <w:r w:rsidRPr="00E71F28">
        <w:t>6-8 months</w:t>
      </w:r>
      <w:r>
        <w:t xml:space="preserve"> (after disease progression following 1L therapy); PASC considered it was appropriate to include a restriction for the limit/frequency of testing to be once every 6 months (p17, 1782 Ratified PICO Confirmation, Aug 2024 PASC meeting).</w:t>
      </w:r>
    </w:p>
    <w:p w14:paraId="795E0A44" w14:textId="68F8B224" w:rsidR="00C905D6" w:rsidRPr="00357EBF" w:rsidRDefault="258752C8" w:rsidP="00357EBF">
      <w:pPr>
        <w:spacing w:before="0" w:after="120"/>
      </w:pPr>
      <w:r>
        <w:t xml:space="preserve">Therefore, the commentary considered that while estimating up to two tests annually per patient in the eligible testing population was appropriate, to determine the eligible treatment population (predicted number of patients testing positive for </w:t>
      </w:r>
      <w:r w:rsidRPr="56F9DD4F">
        <w:rPr>
          <w:i/>
          <w:iCs/>
        </w:rPr>
        <w:t>ESR1</w:t>
      </w:r>
      <w:r>
        <w:t xml:space="preserve"> variants) it would have been more appropriate to apply the prevalence rate from EMERALD to the total number of eligible patients in the testing population (not at each instance of testing). The commentary noted that methods used by the submission results in an annual prevalence of </w:t>
      </w:r>
      <w:r w:rsidRPr="56F9DD4F">
        <w:rPr>
          <w:i/>
          <w:iCs/>
        </w:rPr>
        <w:t>ESR1</w:t>
      </w:r>
      <w:r>
        <w:t xml:space="preserve"> variant patients of 70%; hence the commentary considered that the number of patients eligible for treatment with </w:t>
      </w:r>
      <w:proofErr w:type="spellStart"/>
      <w:r>
        <w:t>elacestrant</w:t>
      </w:r>
      <w:proofErr w:type="spellEnd"/>
      <w:r>
        <w:t xml:space="preserve"> in the financial estimates was likely overestimated. </w:t>
      </w:r>
    </w:p>
    <w:p w14:paraId="27BCC39F" w14:textId="7678DF58" w:rsidR="00C905D6" w:rsidRPr="00357EBF" w:rsidRDefault="258752C8" w:rsidP="56F9DD4F">
      <w:pPr>
        <w:spacing w:before="0" w:after="120"/>
        <w:rPr>
          <w:i/>
          <w:iCs/>
        </w:rPr>
      </w:pPr>
      <w:r>
        <w:t xml:space="preserve">The submission presented estimated costs of testing for </w:t>
      </w:r>
      <w:r w:rsidRPr="56F9DD4F">
        <w:rPr>
          <w:i/>
          <w:iCs/>
        </w:rPr>
        <w:t>ESR1</w:t>
      </w:r>
      <w:r>
        <w:t xml:space="preserve"> variants to the MBS, based on an expected unit price of </w:t>
      </w:r>
      <w:r w:rsidRPr="00E11AD1">
        <w:t>$</w:t>
      </w:r>
      <w:r w:rsidRPr="00AD260D">
        <w:t>1500 per test. However, the commentary noted that the total test numbers presented in the submission did not match (underestimated) those expected based on methods used to determine the eligible treatment population.</w:t>
      </w:r>
      <w:r w:rsidR="0B86E121" w:rsidRPr="00AD260D">
        <w:t xml:space="preserve"> Further, the submission applied an 80% benefit to costs on the basis that all items are out of hospital; this should in fact be an 85% benefit, with the greatest permissible gap (=$102.4) also applied (cost to MBS per test=$1397.60).</w:t>
      </w:r>
      <w:r w:rsidRPr="00AD260D">
        <w:t xml:space="preserve"> The</w:t>
      </w:r>
      <w:r>
        <w:t xml:space="preserve"> commentary used corrected test numbers</w:t>
      </w:r>
      <w:r w:rsidR="0B86E121">
        <w:t xml:space="preserve"> and costs</w:t>
      </w:r>
      <w:r>
        <w:t xml:space="preserve">, which resulted in a total cost to the MBS for </w:t>
      </w:r>
      <w:r w:rsidRPr="56F9DD4F">
        <w:rPr>
          <w:i/>
          <w:iCs/>
        </w:rPr>
        <w:t>ESR1</w:t>
      </w:r>
      <w:r>
        <w:t xml:space="preserve"> variant testing of </w:t>
      </w:r>
      <w:r w:rsidRPr="00E11AD1">
        <w:t>$</w:t>
      </w:r>
      <w:r w:rsidR="00ED10E1">
        <w:t>10 million to &lt; $20 million</w:t>
      </w:r>
      <w:r>
        <w:t xml:space="preserve"> over 6 years.</w:t>
      </w:r>
    </w:p>
    <w:p w14:paraId="0FA97A6A" w14:textId="350C0F37" w:rsidR="00C905D6" w:rsidRPr="00357EBF" w:rsidRDefault="00C905D6" w:rsidP="00357EBF">
      <w:pPr>
        <w:rPr>
          <w:i/>
          <w:iCs/>
        </w:rPr>
      </w:pPr>
      <w:r w:rsidRPr="00357EBF">
        <w:t xml:space="preserve">Given the expected substitution of </w:t>
      </w:r>
      <w:proofErr w:type="spellStart"/>
      <w:r w:rsidRPr="00357EBF">
        <w:t>fulvestrant</w:t>
      </w:r>
      <w:proofErr w:type="spellEnd"/>
      <w:r w:rsidRPr="00357EBF">
        <w:t xml:space="preserve">, paclitaxel and doxorubicin by PBS listing of </w:t>
      </w:r>
      <w:proofErr w:type="spellStart"/>
      <w:r w:rsidRPr="00357EBF">
        <w:t>elacestrant</w:t>
      </w:r>
      <w:proofErr w:type="spellEnd"/>
      <w:r w:rsidRPr="00357EBF">
        <w:t xml:space="preserve">, the need for parenteral administrations of these drugs is expected to be reduced (MBS item 13950, $123.05). </w:t>
      </w:r>
      <w:r w:rsidR="7F959435" w:rsidRPr="00357EBF">
        <w:t>Although it is possible that these treatments may be displaced to later lines of therapy (rather than replaced), t</w:t>
      </w:r>
      <w:r w:rsidRPr="00357EBF">
        <w:t>he commentary considered that this was appropriate</w:t>
      </w:r>
      <w:r w:rsidR="7F959435" w:rsidRPr="00357EBF">
        <w:t xml:space="preserve"> as the extent to which patients will elect for further treatment post disease progression after 2L treatment is unknown</w:t>
      </w:r>
      <w:r w:rsidRPr="00357EBF">
        <w:t>.</w:t>
      </w:r>
      <w:r w:rsidRPr="00357EBF">
        <w:rPr>
          <w:i/>
          <w:iCs/>
        </w:rPr>
        <w:t xml:space="preserve"> </w:t>
      </w:r>
    </w:p>
    <w:p w14:paraId="27707393" w14:textId="2A6DB080" w:rsidR="00E76029" w:rsidRPr="00357EBF" w:rsidRDefault="258752C8" w:rsidP="00357EBF">
      <w:pPr>
        <w:spacing w:before="0" w:after="240"/>
      </w:pPr>
      <w:r>
        <w:t xml:space="preserve">The corrected net financial impact to the MBS of </w:t>
      </w:r>
      <w:proofErr w:type="spellStart"/>
      <w:r>
        <w:t>elacestrant</w:t>
      </w:r>
      <w:proofErr w:type="spellEnd"/>
      <w:r>
        <w:t xml:space="preserve"> listing is estimated to </w:t>
      </w:r>
      <w:r w:rsidRPr="00AD260D">
        <w:t>be $</w:t>
      </w:r>
      <w:r w:rsidR="1D3F12F8" w:rsidRPr="00AD260D">
        <w:t>0 to &lt; $10</w:t>
      </w:r>
      <w:r w:rsidRPr="00AD260D">
        <w:t xml:space="preserve"> million in Year 1 and $</w:t>
      </w:r>
      <w:r w:rsidR="1D3F12F8" w:rsidRPr="00AD260D">
        <w:t xml:space="preserve">0 to &lt; $10 </w:t>
      </w:r>
      <w:r w:rsidRPr="00AD260D">
        <w:t>million in Year 6 (a total of $</w:t>
      </w:r>
      <w:r w:rsidR="1D3F12F8" w:rsidRPr="00AD260D">
        <w:t>10 million to &lt; $20</w:t>
      </w:r>
      <w:r w:rsidRPr="00AD260D">
        <w:t xml:space="preserve"> million over 6 years) </w:t>
      </w:r>
      <w:r w:rsidR="1BC0F514" w:rsidRPr="00AD260D">
        <w:t>(</w:t>
      </w:r>
      <w:r w:rsidR="56943A19" w:rsidRPr="00AD260D">
        <w:t>Table</w:t>
      </w:r>
      <w:r w:rsidR="53DFF6C5">
        <w:t xml:space="preserve"> </w:t>
      </w:r>
      <w:r w:rsidR="56943A19">
        <w:t>14</w:t>
      </w:r>
      <w:r w:rsidR="1BC0F514">
        <w:t>)</w:t>
      </w:r>
      <w:r w:rsidR="1738E73A">
        <w:t>.</w:t>
      </w:r>
    </w:p>
    <w:p w14:paraId="24511AA9" w14:textId="6675D1C0" w:rsidR="00C905D6" w:rsidRPr="000A7BB0" w:rsidRDefault="43133435" w:rsidP="00850174">
      <w:pPr>
        <w:pStyle w:val="Caption"/>
        <w:keepLines/>
      </w:pPr>
      <w:bookmarkStart w:id="62" w:name="_Ref188372986"/>
      <w:r>
        <w:lastRenderedPageBreak/>
        <w:t xml:space="preserve">Table </w:t>
      </w:r>
      <w:r w:rsidR="001E3F1F">
        <w:fldChar w:fldCharType="begin"/>
      </w:r>
      <w:r w:rsidR="001E3F1F">
        <w:instrText>SEQ Table_MSAC. \* ARABIC</w:instrText>
      </w:r>
      <w:r w:rsidR="001E3F1F">
        <w:fldChar w:fldCharType="separate"/>
      </w:r>
      <w:r w:rsidR="47F8335B">
        <w:t>14</w:t>
      </w:r>
      <w:r w:rsidR="001E3F1F">
        <w:fldChar w:fldCharType="end"/>
      </w:r>
      <w:bookmarkEnd w:id="62"/>
      <w:r>
        <w:t xml:space="preserve">: Estimated use and financial implications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6"/>
        <w:gridCol w:w="1132"/>
        <w:gridCol w:w="994"/>
        <w:gridCol w:w="1132"/>
        <w:gridCol w:w="1134"/>
        <w:gridCol w:w="1132"/>
        <w:gridCol w:w="1086"/>
      </w:tblGrid>
      <w:tr w:rsidR="00C905D6" w:rsidRPr="000A7BB0" w14:paraId="191991F0" w14:textId="77777777" w:rsidTr="56F9DD4F">
        <w:trPr>
          <w:tblHeader/>
          <w:jc w:val="center"/>
        </w:trPr>
        <w:tc>
          <w:tcPr>
            <w:tcW w:w="1334" w:type="pct"/>
            <w:vAlign w:val="center"/>
          </w:tcPr>
          <w:p w14:paraId="5678871B" w14:textId="77777777" w:rsidR="00C905D6" w:rsidRPr="000A7BB0" w:rsidRDefault="00C905D6" w:rsidP="00850174">
            <w:pPr>
              <w:pStyle w:val="TableText"/>
              <w:keepNext/>
              <w:keepLines/>
              <w:rPr>
                <w:b/>
              </w:rPr>
            </w:pPr>
          </w:p>
        </w:tc>
        <w:tc>
          <w:tcPr>
            <w:tcW w:w="628" w:type="pct"/>
            <w:vAlign w:val="center"/>
          </w:tcPr>
          <w:p w14:paraId="68E3FC1C" w14:textId="77777777" w:rsidR="00C905D6" w:rsidRPr="000A7BB0" w:rsidRDefault="00C905D6" w:rsidP="00850174">
            <w:pPr>
              <w:pStyle w:val="TableText"/>
              <w:keepNext/>
              <w:keepLines/>
              <w:jc w:val="center"/>
              <w:rPr>
                <w:b/>
              </w:rPr>
            </w:pPr>
            <w:r w:rsidRPr="000A7BB0">
              <w:rPr>
                <w:b/>
              </w:rPr>
              <w:t>Year 1</w:t>
            </w:r>
          </w:p>
          <w:p w14:paraId="0D4BAE31" w14:textId="77777777" w:rsidR="00C905D6" w:rsidRPr="000A7BB0" w:rsidRDefault="00C905D6" w:rsidP="00850174">
            <w:pPr>
              <w:pStyle w:val="TableText"/>
              <w:keepNext/>
              <w:keepLines/>
              <w:jc w:val="center"/>
              <w:rPr>
                <w:b/>
              </w:rPr>
            </w:pPr>
            <w:r w:rsidRPr="000A7BB0">
              <w:rPr>
                <w:b/>
              </w:rPr>
              <w:t>2026</w:t>
            </w:r>
          </w:p>
        </w:tc>
        <w:tc>
          <w:tcPr>
            <w:tcW w:w="551" w:type="pct"/>
            <w:vAlign w:val="center"/>
          </w:tcPr>
          <w:p w14:paraId="2B66567C" w14:textId="77777777" w:rsidR="00C905D6" w:rsidRPr="000A7BB0" w:rsidRDefault="00C905D6" w:rsidP="00850174">
            <w:pPr>
              <w:pStyle w:val="TableText"/>
              <w:keepNext/>
              <w:keepLines/>
              <w:jc w:val="center"/>
              <w:rPr>
                <w:b/>
              </w:rPr>
            </w:pPr>
            <w:r w:rsidRPr="000A7BB0">
              <w:rPr>
                <w:b/>
              </w:rPr>
              <w:t>Year 2</w:t>
            </w:r>
          </w:p>
          <w:p w14:paraId="10108DDE" w14:textId="77777777" w:rsidR="00C905D6" w:rsidRPr="000A7BB0" w:rsidRDefault="00C905D6" w:rsidP="00850174">
            <w:pPr>
              <w:pStyle w:val="TableText"/>
              <w:keepNext/>
              <w:keepLines/>
              <w:jc w:val="center"/>
              <w:rPr>
                <w:b/>
              </w:rPr>
            </w:pPr>
            <w:r w:rsidRPr="000A7BB0">
              <w:rPr>
                <w:b/>
              </w:rPr>
              <w:t>2027</w:t>
            </w:r>
          </w:p>
        </w:tc>
        <w:tc>
          <w:tcPr>
            <w:tcW w:w="628" w:type="pct"/>
            <w:vAlign w:val="center"/>
          </w:tcPr>
          <w:p w14:paraId="661F47AD" w14:textId="77777777" w:rsidR="00C905D6" w:rsidRPr="000A7BB0" w:rsidRDefault="00C905D6" w:rsidP="00850174">
            <w:pPr>
              <w:pStyle w:val="TableText"/>
              <w:keepNext/>
              <w:keepLines/>
              <w:jc w:val="center"/>
              <w:rPr>
                <w:b/>
              </w:rPr>
            </w:pPr>
            <w:r w:rsidRPr="000A7BB0">
              <w:rPr>
                <w:b/>
              </w:rPr>
              <w:t>Year 3</w:t>
            </w:r>
          </w:p>
          <w:p w14:paraId="590DA35E" w14:textId="77777777" w:rsidR="00C905D6" w:rsidRPr="000A7BB0" w:rsidRDefault="00C905D6" w:rsidP="00850174">
            <w:pPr>
              <w:pStyle w:val="TableText"/>
              <w:keepNext/>
              <w:keepLines/>
              <w:jc w:val="center"/>
              <w:rPr>
                <w:b/>
              </w:rPr>
            </w:pPr>
            <w:r w:rsidRPr="000A7BB0">
              <w:rPr>
                <w:b/>
              </w:rPr>
              <w:t>2028</w:t>
            </w:r>
          </w:p>
        </w:tc>
        <w:tc>
          <w:tcPr>
            <w:tcW w:w="629" w:type="pct"/>
            <w:vAlign w:val="center"/>
          </w:tcPr>
          <w:p w14:paraId="7B414016" w14:textId="77777777" w:rsidR="00C905D6" w:rsidRPr="000A7BB0" w:rsidRDefault="00C905D6" w:rsidP="00850174">
            <w:pPr>
              <w:pStyle w:val="TableText"/>
              <w:keepNext/>
              <w:keepLines/>
              <w:jc w:val="center"/>
              <w:rPr>
                <w:b/>
              </w:rPr>
            </w:pPr>
            <w:r w:rsidRPr="000A7BB0">
              <w:rPr>
                <w:b/>
              </w:rPr>
              <w:t>Year 4</w:t>
            </w:r>
          </w:p>
          <w:p w14:paraId="11447E43" w14:textId="77777777" w:rsidR="00C905D6" w:rsidRPr="000A7BB0" w:rsidRDefault="00C905D6" w:rsidP="00850174">
            <w:pPr>
              <w:pStyle w:val="TableText"/>
              <w:keepNext/>
              <w:keepLines/>
              <w:jc w:val="center"/>
              <w:rPr>
                <w:b/>
              </w:rPr>
            </w:pPr>
            <w:r w:rsidRPr="000A7BB0">
              <w:rPr>
                <w:b/>
              </w:rPr>
              <w:t>2029</w:t>
            </w:r>
          </w:p>
        </w:tc>
        <w:tc>
          <w:tcPr>
            <w:tcW w:w="628" w:type="pct"/>
            <w:vAlign w:val="center"/>
          </w:tcPr>
          <w:p w14:paraId="0BAC83F8" w14:textId="77777777" w:rsidR="00C905D6" w:rsidRPr="000A7BB0" w:rsidRDefault="00C905D6" w:rsidP="00850174">
            <w:pPr>
              <w:pStyle w:val="TableText"/>
              <w:keepNext/>
              <w:keepLines/>
              <w:jc w:val="center"/>
              <w:rPr>
                <w:b/>
              </w:rPr>
            </w:pPr>
            <w:r w:rsidRPr="000A7BB0">
              <w:rPr>
                <w:b/>
              </w:rPr>
              <w:t>Year 5</w:t>
            </w:r>
          </w:p>
          <w:p w14:paraId="744F7A56" w14:textId="77777777" w:rsidR="00C905D6" w:rsidRPr="000A7BB0" w:rsidRDefault="00C905D6" w:rsidP="00850174">
            <w:pPr>
              <w:pStyle w:val="TableText"/>
              <w:keepNext/>
              <w:keepLines/>
              <w:jc w:val="center"/>
              <w:rPr>
                <w:b/>
              </w:rPr>
            </w:pPr>
            <w:r w:rsidRPr="000A7BB0">
              <w:rPr>
                <w:b/>
              </w:rPr>
              <w:t>2030</w:t>
            </w:r>
          </w:p>
        </w:tc>
        <w:tc>
          <w:tcPr>
            <w:tcW w:w="602" w:type="pct"/>
          </w:tcPr>
          <w:p w14:paraId="28152CC1" w14:textId="77777777" w:rsidR="00C905D6" w:rsidRPr="000A7BB0" w:rsidRDefault="00C905D6" w:rsidP="00850174">
            <w:pPr>
              <w:pStyle w:val="TableText"/>
              <w:keepNext/>
              <w:keepLines/>
              <w:jc w:val="center"/>
              <w:rPr>
                <w:b/>
              </w:rPr>
            </w:pPr>
            <w:r w:rsidRPr="000A7BB0">
              <w:rPr>
                <w:b/>
              </w:rPr>
              <w:t>Year 6</w:t>
            </w:r>
          </w:p>
          <w:p w14:paraId="4F62B729" w14:textId="77777777" w:rsidR="00C905D6" w:rsidRPr="000A7BB0" w:rsidRDefault="00C905D6" w:rsidP="00850174">
            <w:pPr>
              <w:pStyle w:val="TableText"/>
              <w:keepNext/>
              <w:keepLines/>
              <w:jc w:val="center"/>
              <w:rPr>
                <w:b/>
              </w:rPr>
            </w:pPr>
            <w:r w:rsidRPr="000A7BB0">
              <w:rPr>
                <w:b/>
              </w:rPr>
              <w:t>2031</w:t>
            </w:r>
          </w:p>
        </w:tc>
      </w:tr>
      <w:tr w:rsidR="00C905D6" w:rsidRPr="000A7BB0" w14:paraId="7BD0882A" w14:textId="77777777" w:rsidTr="56F9DD4F">
        <w:trPr>
          <w:jc w:val="center"/>
        </w:trPr>
        <w:tc>
          <w:tcPr>
            <w:tcW w:w="5000" w:type="pct"/>
            <w:gridSpan w:val="7"/>
            <w:vAlign w:val="center"/>
          </w:tcPr>
          <w:p w14:paraId="05006933" w14:textId="77777777" w:rsidR="00C905D6" w:rsidRPr="000A7BB0" w:rsidRDefault="00C905D6" w:rsidP="00850174">
            <w:pPr>
              <w:pStyle w:val="TableText"/>
              <w:keepNext/>
              <w:keepLines/>
              <w:rPr>
                <w:b/>
              </w:rPr>
            </w:pPr>
            <w:r w:rsidRPr="000A7BB0">
              <w:rPr>
                <w:b/>
              </w:rPr>
              <w:t xml:space="preserve">Estimated extent of use of NGS testing for </w:t>
            </w:r>
            <w:r w:rsidRPr="000A7BB0">
              <w:rPr>
                <w:b/>
                <w:i/>
                <w:iCs/>
              </w:rPr>
              <w:t xml:space="preserve">ESR1 </w:t>
            </w:r>
            <w:r w:rsidRPr="000A7BB0">
              <w:rPr>
                <w:b/>
              </w:rPr>
              <w:t>variants</w:t>
            </w:r>
          </w:p>
        </w:tc>
      </w:tr>
      <w:tr w:rsidR="00C905D6" w:rsidRPr="000A7BB0" w14:paraId="006648C6" w14:textId="77777777" w:rsidTr="56F9DD4F">
        <w:trPr>
          <w:jc w:val="center"/>
        </w:trPr>
        <w:tc>
          <w:tcPr>
            <w:tcW w:w="1334" w:type="pct"/>
            <w:vAlign w:val="center"/>
          </w:tcPr>
          <w:p w14:paraId="0A04ADC5" w14:textId="4C58DACE" w:rsidR="00C905D6" w:rsidRPr="00950C0F" w:rsidRDefault="00C905D6" w:rsidP="00850174">
            <w:pPr>
              <w:pStyle w:val="TableText"/>
              <w:keepNext/>
              <w:keepLines/>
            </w:pPr>
            <w:r w:rsidRPr="00950C0F">
              <w:t>Number of patients eligible for testing</w:t>
            </w:r>
          </w:p>
        </w:tc>
        <w:tc>
          <w:tcPr>
            <w:tcW w:w="628" w:type="pct"/>
            <w:vAlign w:val="center"/>
          </w:tcPr>
          <w:p w14:paraId="708B1171" w14:textId="2E93D6DD" w:rsidR="00C905D6" w:rsidRPr="00950C0F" w:rsidRDefault="720EAA17" w:rsidP="56F9DD4F">
            <w:pPr>
              <w:pStyle w:val="TableText"/>
              <w:keepNext/>
              <w:keepLines/>
              <w:jc w:val="center"/>
              <w:rPr>
                <w:vertAlign w:val="superscript"/>
              </w:rPr>
            </w:pPr>
            <w:proofErr w:type="spellStart"/>
            <w:r w:rsidRPr="00950C0F">
              <w:t>Redacted</w:t>
            </w:r>
            <w:r w:rsidR="3F55D426" w:rsidRPr="00950C0F">
              <w:rPr>
                <w:vertAlign w:val="superscript"/>
              </w:rPr>
              <w:t>a</w:t>
            </w:r>
            <w:proofErr w:type="spellEnd"/>
          </w:p>
        </w:tc>
        <w:tc>
          <w:tcPr>
            <w:tcW w:w="551" w:type="pct"/>
            <w:vAlign w:val="center"/>
          </w:tcPr>
          <w:p w14:paraId="222902B4" w14:textId="7483FC73" w:rsidR="00C905D6" w:rsidRPr="00950C0F" w:rsidRDefault="592B63B3" w:rsidP="56F9DD4F">
            <w:pPr>
              <w:pStyle w:val="TableText"/>
              <w:keepNext/>
              <w:keepLines/>
              <w:tabs>
                <w:tab w:val="decimal" w:pos="396"/>
              </w:tabs>
              <w:jc w:val="center"/>
            </w:pPr>
            <w:r w:rsidRPr="00950C0F">
              <w:t>Redacted</w:t>
            </w:r>
          </w:p>
        </w:tc>
        <w:tc>
          <w:tcPr>
            <w:tcW w:w="628" w:type="pct"/>
            <w:vAlign w:val="center"/>
          </w:tcPr>
          <w:p w14:paraId="1A59878A" w14:textId="264E646A" w:rsidR="00C905D6" w:rsidRPr="00950C0F" w:rsidRDefault="22002081" w:rsidP="56F9DD4F">
            <w:pPr>
              <w:pStyle w:val="TableText"/>
              <w:keepNext/>
              <w:keepLines/>
              <w:tabs>
                <w:tab w:val="decimal" w:pos="396"/>
              </w:tabs>
              <w:jc w:val="center"/>
            </w:pPr>
            <w:r w:rsidRPr="00950C0F">
              <w:t xml:space="preserve">Redacted </w:t>
            </w:r>
          </w:p>
        </w:tc>
        <w:tc>
          <w:tcPr>
            <w:tcW w:w="629" w:type="pct"/>
            <w:vAlign w:val="center"/>
          </w:tcPr>
          <w:p w14:paraId="77B16BEE" w14:textId="4AA5AA67" w:rsidR="00C905D6" w:rsidRPr="00950C0F" w:rsidRDefault="1072DD20" w:rsidP="56F9DD4F">
            <w:pPr>
              <w:pStyle w:val="TableText"/>
              <w:keepNext/>
              <w:keepLines/>
              <w:tabs>
                <w:tab w:val="decimal" w:pos="396"/>
              </w:tabs>
              <w:jc w:val="center"/>
            </w:pPr>
            <w:r w:rsidRPr="00950C0F">
              <w:t xml:space="preserve"> Redacted</w:t>
            </w:r>
          </w:p>
        </w:tc>
        <w:tc>
          <w:tcPr>
            <w:tcW w:w="628" w:type="pct"/>
            <w:vAlign w:val="center"/>
          </w:tcPr>
          <w:p w14:paraId="6C868F81" w14:textId="2C266DF0" w:rsidR="00C905D6" w:rsidRPr="00950C0F" w:rsidRDefault="5285FFBD" w:rsidP="56F9DD4F">
            <w:pPr>
              <w:pStyle w:val="TableText"/>
              <w:keepNext/>
              <w:keepLines/>
              <w:tabs>
                <w:tab w:val="decimal" w:pos="396"/>
              </w:tabs>
              <w:jc w:val="center"/>
            </w:pPr>
            <w:r w:rsidRPr="00950C0F">
              <w:t xml:space="preserve"> Redacted</w:t>
            </w:r>
          </w:p>
        </w:tc>
        <w:tc>
          <w:tcPr>
            <w:tcW w:w="602" w:type="pct"/>
            <w:vAlign w:val="center"/>
          </w:tcPr>
          <w:p w14:paraId="013C466C" w14:textId="46FFDB7D" w:rsidR="00C905D6" w:rsidRPr="00950C0F" w:rsidRDefault="183DA4C1" w:rsidP="56F9DD4F">
            <w:pPr>
              <w:pStyle w:val="TableText"/>
              <w:keepNext/>
              <w:keepLines/>
              <w:tabs>
                <w:tab w:val="decimal" w:pos="396"/>
              </w:tabs>
              <w:jc w:val="center"/>
            </w:pPr>
            <w:r w:rsidRPr="00950C0F">
              <w:t xml:space="preserve"> Redacted</w:t>
            </w:r>
          </w:p>
        </w:tc>
      </w:tr>
      <w:tr w:rsidR="00C905D6" w:rsidRPr="000A7BB0" w14:paraId="51426589" w14:textId="77777777" w:rsidTr="56F9DD4F">
        <w:trPr>
          <w:jc w:val="center"/>
        </w:trPr>
        <w:tc>
          <w:tcPr>
            <w:tcW w:w="1334" w:type="pct"/>
            <w:vAlign w:val="center"/>
          </w:tcPr>
          <w:p w14:paraId="6F02757F" w14:textId="77777777" w:rsidR="00C905D6" w:rsidRPr="00950C0F" w:rsidRDefault="00C905D6" w:rsidP="00850174">
            <w:pPr>
              <w:pStyle w:val="TableText"/>
              <w:keepNext/>
              <w:keepLines/>
            </w:pPr>
            <w:r w:rsidRPr="00950C0F">
              <w:t>Uptake rate (1</w:t>
            </w:r>
            <w:r w:rsidRPr="00950C0F">
              <w:rPr>
                <w:vertAlign w:val="superscript"/>
              </w:rPr>
              <w:t>st</w:t>
            </w:r>
            <w:r w:rsidRPr="00950C0F">
              <w:t xml:space="preserve"> test)</w:t>
            </w:r>
          </w:p>
        </w:tc>
        <w:tc>
          <w:tcPr>
            <w:tcW w:w="628" w:type="pct"/>
            <w:vAlign w:val="center"/>
          </w:tcPr>
          <w:p w14:paraId="4C627CDC" w14:textId="77777777" w:rsidR="00C905D6" w:rsidRPr="00950C0F" w:rsidRDefault="258752C8" w:rsidP="56F9DD4F">
            <w:pPr>
              <w:pStyle w:val="TableText"/>
              <w:keepNext/>
              <w:keepLines/>
              <w:jc w:val="center"/>
            </w:pPr>
            <w:r w:rsidRPr="00950C0F">
              <w:t>100%</w:t>
            </w:r>
          </w:p>
        </w:tc>
        <w:tc>
          <w:tcPr>
            <w:tcW w:w="551" w:type="pct"/>
            <w:vAlign w:val="center"/>
          </w:tcPr>
          <w:p w14:paraId="795CF1B0" w14:textId="77777777" w:rsidR="00C905D6" w:rsidRPr="00950C0F" w:rsidRDefault="258752C8" w:rsidP="56F9DD4F">
            <w:pPr>
              <w:pStyle w:val="TableText"/>
              <w:keepNext/>
              <w:keepLines/>
              <w:jc w:val="center"/>
            </w:pPr>
            <w:r w:rsidRPr="00950C0F">
              <w:t>100%</w:t>
            </w:r>
          </w:p>
        </w:tc>
        <w:tc>
          <w:tcPr>
            <w:tcW w:w="628" w:type="pct"/>
            <w:vAlign w:val="center"/>
          </w:tcPr>
          <w:p w14:paraId="7DB0F11C" w14:textId="77777777" w:rsidR="00C905D6" w:rsidRPr="00950C0F" w:rsidRDefault="258752C8" w:rsidP="56F9DD4F">
            <w:pPr>
              <w:pStyle w:val="TableText"/>
              <w:keepNext/>
              <w:keepLines/>
              <w:jc w:val="center"/>
            </w:pPr>
            <w:r w:rsidRPr="00950C0F">
              <w:t>100%</w:t>
            </w:r>
          </w:p>
        </w:tc>
        <w:tc>
          <w:tcPr>
            <w:tcW w:w="629" w:type="pct"/>
            <w:vAlign w:val="center"/>
          </w:tcPr>
          <w:p w14:paraId="081EA8E6" w14:textId="77777777" w:rsidR="00C905D6" w:rsidRPr="00950C0F" w:rsidRDefault="258752C8" w:rsidP="56F9DD4F">
            <w:pPr>
              <w:pStyle w:val="TableText"/>
              <w:keepNext/>
              <w:keepLines/>
              <w:jc w:val="center"/>
            </w:pPr>
            <w:r w:rsidRPr="00950C0F">
              <w:t>100%</w:t>
            </w:r>
          </w:p>
        </w:tc>
        <w:tc>
          <w:tcPr>
            <w:tcW w:w="628" w:type="pct"/>
            <w:vAlign w:val="center"/>
          </w:tcPr>
          <w:p w14:paraId="1B423E6C" w14:textId="77777777" w:rsidR="00C905D6" w:rsidRPr="00950C0F" w:rsidRDefault="258752C8" w:rsidP="56F9DD4F">
            <w:pPr>
              <w:pStyle w:val="TableText"/>
              <w:keepNext/>
              <w:keepLines/>
              <w:jc w:val="center"/>
            </w:pPr>
            <w:r w:rsidRPr="00950C0F">
              <w:t>100%</w:t>
            </w:r>
          </w:p>
        </w:tc>
        <w:tc>
          <w:tcPr>
            <w:tcW w:w="602" w:type="pct"/>
            <w:vAlign w:val="center"/>
          </w:tcPr>
          <w:p w14:paraId="576177EB" w14:textId="77777777" w:rsidR="00C905D6" w:rsidRPr="00950C0F" w:rsidRDefault="258752C8" w:rsidP="56F9DD4F">
            <w:pPr>
              <w:pStyle w:val="TableText"/>
              <w:keepNext/>
              <w:keepLines/>
              <w:jc w:val="center"/>
            </w:pPr>
            <w:r w:rsidRPr="00950C0F">
              <w:t>100%</w:t>
            </w:r>
          </w:p>
        </w:tc>
      </w:tr>
      <w:tr w:rsidR="00C905D6" w:rsidRPr="000A7BB0" w14:paraId="7B768D5C" w14:textId="77777777" w:rsidTr="56F9DD4F">
        <w:trPr>
          <w:jc w:val="center"/>
        </w:trPr>
        <w:tc>
          <w:tcPr>
            <w:tcW w:w="1334" w:type="pct"/>
            <w:vAlign w:val="center"/>
          </w:tcPr>
          <w:p w14:paraId="7B3E1993" w14:textId="77777777" w:rsidR="00C905D6" w:rsidRPr="00950C0F" w:rsidRDefault="00C905D6" w:rsidP="00850174">
            <w:pPr>
              <w:pStyle w:val="TableText"/>
              <w:keepNext/>
              <w:keepLines/>
            </w:pPr>
            <w:r w:rsidRPr="00950C0F">
              <w:t>Predicted number of patients tested (1</w:t>
            </w:r>
            <w:r w:rsidRPr="00950C0F">
              <w:rPr>
                <w:vertAlign w:val="superscript"/>
              </w:rPr>
              <w:t>st</w:t>
            </w:r>
            <w:r w:rsidRPr="00950C0F">
              <w:t xml:space="preserve"> test)</w:t>
            </w:r>
          </w:p>
        </w:tc>
        <w:tc>
          <w:tcPr>
            <w:tcW w:w="628" w:type="pct"/>
            <w:vAlign w:val="center"/>
          </w:tcPr>
          <w:p w14:paraId="18681052" w14:textId="5CA12AB3" w:rsidR="00C905D6" w:rsidRPr="00950C0F" w:rsidRDefault="0EC5B31B" w:rsidP="56F9DD4F">
            <w:pPr>
              <w:pStyle w:val="TableText"/>
              <w:keepNext/>
              <w:keepLines/>
              <w:jc w:val="center"/>
              <w:rPr>
                <w:vertAlign w:val="superscript"/>
              </w:rPr>
            </w:pPr>
            <w:r w:rsidRPr="00950C0F">
              <w:t xml:space="preserve"> Redacted</w:t>
            </w:r>
            <w:r w:rsidRPr="00950C0F">
              <w:rPr>
                <w:vertAlign w:val="superscript"/>
              </w:rPr>
              <w:t xml:space="preserve"> </w:t>
            </w:r>
            <w:r w:rsidR="3F55D426" w:rsidRPr="00950C0F">
              <w:rPr>
                <w:vertAlign w:val="superscript"/>
              </w:rPr>
              <w:t>a</w:t>
            </w:r>
            <w:r w:rsidR="045F3DBF" w:rsidRPr="00950C0F">
              <w:rPr>
                <w:vertAlign w:val="superscript"/>
              </w:rPr>
              <w:t>,1</w:t>
            </w:r>
          </w:p>
        </w:tc>
        <w:tc>
          <w:tcPr>
            <w:tcW w:w="551" w:type="pct"/>
            <w:vAlign w:val="center"/>
          </w:tcPr>
          <w:p w14:paraId="6B46CD43" w14:textId="08413008" w:rsidR="00C905D6" w:rsidRPr="00950C0F" w:rsidRDefault="422186F7" w:rsidP="56F9DD4F">
            <w:pPr>
              <w:pStyle w:val="TableText"/>
              <w:keepNext/>
              <w:keepLines/>
              <w:jc w:val="center"/>
              <w:rPr>
                <w:vertAlign w:val="superscript"/>
              </w:rPr>
            </w:pPr>
            <w:r w:rsidRPr="00950C0F">
              <w:t xml:space="preserve"> Redacted</w:t>
            </w:r>
            <w:r w:rsidR="6950A13E" w:rsidRPr="00950C0F">
              <w:rPr>
                <w:vertAlign w:val="superscript"/>
              </w:rPr>
              <w:t>1</w:t>
            </w:r>
          </w:p>
        </w:tc>
        <w:tc>
          <w:tcPr>
            <w:tcW w:w="628" w:type="pct"/>
            <w:vAlign w:val="center"/>
          </w:tcPr>
          <w:p w14:paraId="163D7B61" w14:textId="2989C8FD" w:rsidR="00C905D6" w:rsidRPr="00950C0F" w:rsidRDefault="422186F7" w:rsidP="56F9DD4F">
            <w:pPr>
              <w:pStyle w:val="TableText"/>
              <w:keepNext/>
              <w:keepLines/>
              <w:jc w:val="center"/>
            </w:pPr>
            <w:r w:rsidRPr="00950C0F">
              <w:t>Redacted</w:t>
            </w:r>
            <w:r w:rsidR="4E4A9D83" w:rsidRPr="00950C0F">
              <w:rPr>
                <w:vertAlign w:val="superscript"/>
              </w:rPr>
              <w:t>1</w:t>
            </w:r>
            <w:r w:rsidRPr="00950C0F">
              <w:t xml:space="preserve"> </w:t>
            </w:r>
          </w:p>
        </w:tc>
        <w:tc>
          <w:tcPr>
            <w:tcW w:w="629" w:type="pct"/>
            <w:vAlign w:val="center"/>
          </w:tcPr>
          <w:p w14:paraId="4FB2EB6A" w14:textId="65ACDD6B" w:rsidR="00C905D6" w:rsidRPr="00950C0F" w:rsidRDefault="7A1B7BC7" w:rsidP="56F9DD4F">
            <w:pPr>
              <w:pStyle w:val="TableText"/>
              <w:keepNext/>
              <w:keepLines/>
              <w:jc w:val="center"/>
            </w:pPr>
            <w:r w:rsidRPr="00950C0F">
              <w:t>Redacted</w:t>
            </w:r>
            <w:r w:rsidR="7FC27FA1" w:rsidRPr="00950C0F">
              <w:rPr>
                <w:vertAlign w:val="superscript"/>
              </w:rPr>
              <w:t>1</w:t>
            </w:r>
            <w:r w:rsidRPr="00950C0F">
              <w:t xml:space="preserve"> </w:t>
            </w:r>
          </w:p>
        </w:tc>
        <w:tc>
          <w:tcPr>
            <w:tcW w:w="628" w:type="pct"/>
            <w:vAlign w:val="center"/>
          </w:tcPr>
          <w:p w14:paraId="1DFE1DAC" w14:textId="7D98D9CB" w:rsidR="00C905D6" w:rsidRPr="00950C0F" w:rsidRDefault="14E7FB60" w:rsidP="56F9DD4F">
            <w:pPr>
              <w:pStyle w:val="TableText"/>
              <w:keepNext/>
              <w:keepLines/>
              <w:jc w:val="center"/>
              <w:rPr>
                <w:vertAlign w:val="superscript"/>
              </w:rPr>
            </w:pPr>
            <w:r w:rsidRPr="00950C0F">
              <w:t xml:space="preserve"> Redacted</w:t>
            </w:r>
            <w:r w:rsidR="16F78E9F" w:rsidRPr="00950C0F">
              <w:rPr>
                <w:vertAlign w:val="superscript"/>
              </w:rPr>
              <w:t>1</w:t>
            </w:r>
          </w:p>
        </w:tc>
        <w:tc>
          <w:tcPr>
            <w:tcW w:w="602" w:type="pct"/>
            <w:vAlign w:val="center"/>
          </w:tcPr>
          <w:p w14:paraId="38C512FF" w14:textId="1F9B36A7" w:rsidR="00C905D6" w:rsidRPr="00950C0F" w:rsidRDefault="708204DB" w:rsidP="56F9DD4F">
            <w:pPr>
              <w:pStyle w:val="TableText"/>
              <w:keepNext/>
              <w:keepLines/>
              <w:jc w:val="center"/>
              <w:rPr>
                <w:vertAlign w:val="superscript"/>
              </w:rPr>
            </w:pPr>
            <w:r w:rsidRPr="00950C0F">
              <w:t xml:space="preserve"> Redacted</w:t>
            </w:r>
            <w:r w:rsidR="141E3CCA" w:rsidRPr="00950C0F">
              <w:rPr>
                <w:vertAlign w:val="superscript"/>
              </w:rPr>
              <w:t>1</w:t>
            </w:r>
          </w:p>
        </w:tc>
      </w:tr>
      <w:tr w:rsidR="00C905D6" w:rsidRPr="000A7BB0" w14:paraId="73F684D5" w14:textId="77777777" w:rsidTr="56F9DD4F">
        <w:trPr>
          <w:jc w:val="center"/>
        </w:trPr>
        <w:tc>
          <w:tcPr>
            <w:tcW w:w="1334" w:type="pct"/>
            <w:vAlign w:val="center"/>
          </w:tcPr>
          <w:p w14:paraId="0E1A02A1" w14:textId="77777777" w:rsidR="00C905D6" w:rsidRPr="00950C0F" w:rsidRDefault="00C905D6" w:rsidP="00850174">
            <w:pPr>
              <w:pStyle w:val="TableText"/>
              <w:keepNext/>
              <w:keepLines/>
            </w:pPr>
            <w:r w:rsidRPr="00950C0F">
              <w:t>Prevalence of biomarker (1</w:t>
            </w:r>
            <w:r w:rsidRPr="00950C0F">
              <w:rPr>
                <w:vertAlign w:val="superscript"/>
              </w:rPr>
              <w:t>st</w:t>
            </w:r>
            <w:r w:rsidRPr="00950C0F">
              <w:t xml:space="preserve"> test)</w:t>
            </w:r>
          </w:p>
        </w:tc>
        <w:tc>
          <w:tcPr>
            <w:tcW w:w="628" w:type="pct"/>
            <w:vAlign w:val="center"/>
          </w:tcPr>
          <w:p w14:paraId="16E385E0" w14:textId="77777777" w:rsidR="00C905D6" w:rsidRPr="00950C0F" w:rsidRDefault="258752C8" w:rsidP="56F9DD4F">
            <w:pPr>
              <w:pStyle w:val="TableText"/>
              <w:keepNext/>
              <w:keepLines/>
              <w:jc w:val="center"/>
            </w:pPr>
            <w:r w:rsidRPr="00950C0F">
              <w:t>47.7%</w:t>
            </w:r>
          </w:p>
        </w:tc>
        <w:tc>
          <w:tcPr>
            <w:tcW w:w="551" w:type="pct"/>
            <w:vAlign w:val="center"/>
          </w:tcPr>
          <w:p w14:paraId="31939C5F" w14:textId="77777777" w:rsidR="00C905D6" w:rsidRPr="00950C0F" w:rsidRDefault="258752C8" w:rsidP="56F9DD4F">
            <w:pPr>
              <w:pStyle w:val="TableText"/>
              <w:keepNext/>
              <w:keepLines/>
              <w:jc w:val="center"/>
            </w:pPr>
            <w:r w:rsidRPr="00950C0F">
              <w:t>47.7%</w:t>
            </w:r>
          </w:p>
        </w:tc>
        <w:tc>
          <w:tcPr>
            <w:tcW w:w="628" w:type="pct"/>
            <w:vAlign w:val="center"/>
          </w:tcPr>
          <w:p w14:paraId="06E2B29F" w14:textId="77777777" w:rsidR="00C905D6" w:rsidRPr="00950C0F" w:rsidRDefault="258752C8" w:rsidP="56F9DD4F">
            <w:pPr>
              <w:pStyle w:val="TableText"/>
              <w:keepNext/>
              <w:keepLines/>
              <w:jc w:val="center"/>
            </w:pPr>
            <w:r w:rsidRPr="00950C0F">
              <w:t>47.7%</w:t>
            </w:r>
          </w:p>
        </w:tc>
        <w:tc>
          <w:tcPr>
            <w:tcW w:w="629" w:type="pct"/>
            <w:vAlign w:val="center"/>
          </w:tcPr>
          <w:p w14:paraId="41EB2387" w14:textId="77777777" w:rsidR="00C905D6" w:rsidRPr="00950C0F" w:rsidRDefault="258752C8" w:rsidP="56F9DD4F">
            <w:pPr>
              <w:pStyle w:val="TableText"/>
              <w:keepNext/>
              <w:keepLines/>
              <w:jc w:val="center"/>
            </w:pPr>
            <w:r w:rsidRPr="00950C0F">
              <w:t>47.7%</w:t>
            </w:r>
          </w:p>
        </w:tc>
        <w:tc>
          <w:tcPr>
            <w:tcW w:w="628" w:type="pct"/>
            <w:vAlign w:val="center"/>
          </w:tcPr>
          <w:p w14:paraId="74BEBA7F" w14:textId="77777777" w:rsidR="00C905D6" w:rsidRPr="00950C0F" w:rsidRDefault="258752C8" w:rsidP="56F9DD4F">
            <w:pPr>
              <w:pStyle w:val="TableText"/>
              <w:keepNext/>
              <w:keepLines/>
              <w:jc w:val="center"/>
            </w:pPr>
            <w:r w:rsidRPr="00950C0F">
              <w:t>47.7%</w:t>
            </w:r>
          </w:p>
        </w:tc>
        <w:tc>
          <w:tcPr>
            <w:tcW w:w="602" w:type="pct"/>
            <w:vAlign w:val="center"/>
          </w:tcPr>
          <w:p w14:paraId="54058CC7" w14:textId="77777777" w:rsidR="00C905D6" w:rsidRPr="00950C0F" w:rsidRDefault="258752C8" w:rsidP="56F9DD4F">
            <w:pPr>
              <w:pStyle w:val="TableText"/>
              <w:keepNext/>
              <w:keepLines/>
              <w:jc w:val="center"/>
            </w:pPr>
            <w:r w:rsidRPr="00950C0F">
              <w:t>47.7%</w:t>
            </w:r>
          </w:p>
        </w:tc>
      </w:tr>
      <w:tr w:rsidR="00C905D6" w:rsidRPr="000A7BB0" w14:paraId="0889E41A" w14:textId="77777777" w:rsidTr="56F9DD4F">
        <w:trPr>
          <w:jc w:val="center"/>
        </w:trPr>
        <w:tc>
          <w:tcPr>
            <w:tcW w:w="1334" w:type="pct"/>
            <w:vAlign w:val="center"/>
          </w:tcPr>
          <w:p w14:paraId="5352D7B7" w14:textId="77777777" w:rsidR="00C905D6" w:rsidRPr="00950C0F" w:rsidRDefault="00C905D6" w:rsidP="00850174">
            <w:pPr>
              <w:pStyle w:val="TableText"/>
              <w:keepNext/>
              <w:keepLines/>
            </w:pPr>
            <w:r w:rsidRPr="00950C0F">
              <w:t>Number of patients likely to receive a positive test result (1</w:t>
            </w:r>
            <w:r w:rsidRPr="00950C0F">
              <w:rPr>
                <w:vertAlign w:val="superscript"/>
              </w:rPr>
              <w:t>st</w:t>
            </w:r>
            <w:r w:rsidRPr="00950C0F">
              <w:t xml:space="preserve"> test)</w:t>
            </w:r>
          </w:p>
        </w:tc>
        <w:tc>
          <w:tcPr>
            <w:tcW w:w="628" w:type="pct"/>
            <w:vAlign w:val="center"/>
          </w:tcPr>
          <w:p w14:paraId="2C2A5688" w14:textId="208C5FB7" w:rsidR="00C905D6" w:rsidRPr="00950C0F" w:rsidRDefault="3F861146" w:rsidP="56F9DD4F">
            <w:pPr>
              <w:pStyle w:val="TableText"/>
              <w:keepNext/>
              <w:keepLines/>
              <w:jc w:val="center"/>
            </w:pPr>
            <w:r w:rsidRPr="00950C0F">
              <w:t>Redacted</w:t>
            </w:r>
            <w:r w:rsidRPr="00950C0F">
              <w:rPr>
                <w:vertAlign w:val="superscript"/>
              </w:rPr>
              <w:t>1</w:t>
            </w:r>
            <w:r w:rsidR="6983E8A5" w:rsidRPr="00950C0F">
              <w:t xml:space="preserve"> </w:t>
            </w:r>
          </w:p>
        </w:tc>
        <w:tc>
          <w:tcPr>
            <w:tcW w:w="551" w:type="pct"/>
            <w:vAlign w:val="center"/>
          </w:tcPr>
          <w:p w14:paraId="6F466B15" w14:textId="4440A80D" w:rsidR="00C905D6" w:rsidRPr="00950C0F" w:rsidRDefault="5D45D131" w:rsidP="56F9DD4F">
            <w:pPr>
              <w:pStyle w:val="TableText"/>
              <w:keepNext/>
              <w:keepLines/>
              <w:jc w:val="center"/>
              <w:rPr>
                <w:vertAlign w:val="superscript"/>
              </w:rPr>
            </w:pPr>
            <w:r w:rsidRPr="00950C0F">
              <w:t xml:space="preserve"> Redacted</w:t>
            </w:r>
            <w:r w:rsidRPr="00950C0F">
              <w:rPr>
                <w:vertAlign w:val="superscript"/>
              </w:rPr>
              <w:t>1</w:t>
            </w:r>
          </w:p>
        </w:tc>
        <w:tc>
          <w:tcPr>
            <w:tcW w:w="628" w:type="pct"/>
            <w:vAlign w:val="center"/>
          </w:tcPr>
          <w:p w14:paraId="7B86EFFF" w14:textId="7F7BD9E1" w:rsidR="00C905D6" w:rsidRPr="00950C0F" w:rsidRDefault="33E4580D" w:rsidP="56F9DD4F">
            <w:pPr>
              <w:pStyle w:val="TableText"/>
              <w:keepNext/>
              <w:keepLines/>
              <w:jc w:val="center"/>
              <w:rPr>
                <w:vertAlign w:val="superscript"/>
              </w:rPr>
            </w:pPr>
            <w:r w:rsidRPr="00950C0F">
              <w:t xml:space="preserve"> Redacted</w:t>
            </w:r>
            <w:r w:rsidRPr="00950C0F">
              <w:rPr>
                <w:vertAlign w:val="superscript"/>
              </w:rPr>
              <w:t>1</w:t>
            </w:r>
          </w:p>
        </w:tc>
        <w:tc>
          <w:tcPr>
            <w:tcW w:w="629" w:type="pct"/>
            <w:vAlign w:val="center"/>
          </w:tcPr>
          <w:p w14:paraId="02B21515" w14:textId="4D6280CD" w:rsidR="00C905D6" w:rsidRPr="00950C0F" w:rsidRDefault="7F4031C1" w:rsidP="56F9DD4F">
            <w:pPr>
              <w:pStyle w:val="TableText"/>
              <w:keepNext/>
              <w:keepLines/>
              <w:jc w:val="center"/>
              <w:rPr>
                <w:vertAlign w:val="superscript"/>
              </w:rPr>
            </w:pPr>
            <w:r w:rsidRPr="00950C0F">
              <w:t xml:space="preserve"> Redacted</w:t>
            </w:r>
            <w:r w:rsidRPr="00950C0F">
              <w:rPr>
                <w:vertAlign w:val="superscript"/>
              </w:rPr>
              <w:t>1</w:t>
            </w:r>
          </w:p>
        </w:tc>
        <w:tc>
          <w:tcPr>
            <w:tcW w:w="628" w:type="pct"/>
            <w:vAlign w:val="center"/>
          </w:tcPr>
          <w:p w14:paraId="04DF7B75" w14:textId="56F4203F" w:rsidR="00C905D6" w:rsidRPr="00950C0F" w:rsidRDefault="7F4031C1" w:rsidP="56F9DD4F">
            <w:pPr>
              <w:pStyle w:val="TableText"/>
              <w:keepNext/>
              <w:keepLines/>
              <w:jc w:val="center"/>
            </w:pPr>
            <w:r w:rsidRPr="00950C0F">
              <w:t>Redacted</w:t>
            </w:r>
            <w:r w:rsidRPr="00950C0F">
              <w:rPr>
                <w:vertAlign w:val="superscript"/>
              </w:rPr>
              <w:t>1</w:t>
            </w:r>
          </w:p>
        </w:tc>
        <w:tc>
          <w:tcPr>
            <w:tcW w:w="602" w:type="pct"/>
            <w:vAlign w:val="center"/>
          </w:tcPr>
          <w:p w14:paraId="0C8FED29" w14:textId="6E8600AD" w:rsidR="00C905D6" w:rsidRPr="00950C0F" w:rsidRDefault="64AD16C0" w:rsidP="56F9DD4F">
            <w:pPr>
              <w:pStyle w:val="TableText"/>
              <w:keepNext/>
              <w:keepLines/>
              <w:jc w:val="center"/>
            </w:pPr>
            <w:r w:rsidRPr="00950C0F">
              <w:t>Redacted</w:t>
            </w:r>
            <w:r w:rsidR="7E98FE75" w:rsidRPr="00950C0F">
              <w:rPr>
                <w:vertAlign w:val="superscript"/>
              </w:rPr>
              <w:t>1</w:t>
            </w:r>
            <w:r w:rsidRPr="00950C0F">
              <w:t xml:space="preserve"> </w:t>
            </w:r>
          </w:p>
        </w:tc>
      </w:tr>
      <w:tr w:rsidR="00C905D6" w:rsidRPr="000A7BB0" w14:paraId="0064378B" w14:textId="77777777" w:rsidTr="56F9DD4F">
        <w:trPr>
          <w:jc w:val="center"/>
        </w:trPr>
        <w:tc>
          <w:tcPr>
            <w:tcW w:w="1334" w:type="pct"/>
            <w:vAlign w:val="center"/>
          </w:tcPr>
          <w:p w14:paraId="2D007618" w14:textId="77777777" w:rsidR="00C905D6" w:rsidRPr="00950C0F" w:rsidRDefault="00C905D6" w:rsidP="00850174">
            <w:pPr>
              <w:pStyle w:val="TableText"/>
              <w:keepNext/>
              <w:keepLines/>
            </w:pPr>
            <w:r w:rsidRPr="00950C0F">
              <w:t>Uptake rate (2</w:t>
            </w:r>
            <w:r w:rsidRPr="00950C0F">
              <w:rPr>
                <w:vertAlign w:val="superscript"/>
              </w:rPr>
              <w:t>nd</w:t>
            </w:r>
            <w:r w:rsidRPr="00950C0F">
              <w:t xml:space="preserve"> test)</w:t>
            </w:r>
          </w:p>
        </w:tc>
        <w:tc>
          <w:tcPr>
            <w:tcW w:w="628" w:type="pct"/>
            <w:vAlign w:val="center"/>
          </w:tcPr>
          <w:p w14:paraId="05BF2F95" w14:textId="77777777" w:rsidR="00C905D6" w:rsidRPr="00950C0F" w:rsidRDefault="258752C8" w:rsidP="56F9DD4F">
            <w:pPr>
              <w:pStyle w:val="TableNumber"/>
              <w:keepNext/>
              <w:keepLines/>
            </w:pPr>
            <w:r w:rsidRPr="00950C0F">
              <w:t>90%</w:t>
            </w:r>
          </w:p>
        </w:tc>
        <w:tc>
          <w:tcPr>
            <w:tcW w:w="551" w:type="pct"/>
            <w:vAlign w:val="center"/>
          </w:tcPr>
          <w:p w14:paraId="12912C8E" w14:textId="77777777" w:rsidR="00C905D6" w:rsidRPr="00950C0F" w:rsidRDefault="258752C8" w:rsidP="56F9DD4F">
            <w:pPr>
              <w:pStyle w:val="TableText"/>
              <w:keepNext/>
              <w:keepLines/>
              <w:tabs>
                <w:tab w:val="decimal" w:pos="396"/>
              </w:tabs>
              <w:jc w:val="center"/>
            </w:pPr>
            <w:r w:rsidRPr="00950C0F">
              <w:t>90%</w:t>
            </w:r>
          </w:p>
        </w:tc>
        <w:tc>
          <w:tcPr>
            <w:tcW w:w="628" w:type="pct"/>
            <w:vAlign w:val="center"/>
          </w:tcPr>
          <w:p w14:paraId="6666EF01" w14:textId="77777777" w:rsidR="00C905D6" w:rsidRPr="00950C0F" w:rsidRDefault="258752C8" w:rsidP="56F9DD4F">
            <w:pPr>
              <w:pStyle w:val="TableText"/>
              <w:keepNext/>
              <w:keepLines/>
              <w:tabs>
                <w:tab w:val="decimal" w:pos="396"/>
              </w:tabs>
              <w:jc w:val="center"/>
            </w:pPr>
            <w:r w:rsidRPr="00950C0F">
              <w:t>90%</w:t>
            </w:r>
          </w:p>
        </w:tc>
        <w:tc>
          <w:tcPr>
            <w:tcW w:w="629" w:type="pct"/>
            <w:vAlign w:val="center"/>
          </w:tcPr>
          <w:p w14:paraId="15EBF064" w14:textId="77777777" w:rsidR="00C905D6" w:rsidRPr="00950C0F" w:rsidRDefault="258752C8" w:rsidP="56F9DD4F">
            <w:pPr>
              <w:pStyle w:val="TableText"/>
              <w:keepNext/>
              <w:keepLines/>
              <w:tabs>
                <w:tab w:val="decimal" w:pos="396"/>
              </w:tabs>
              <w:jc w:val="center"/>
            </w:pPr>
            <w:r w:rsidRPr="00950C0F">
              <w:t>90%</w:t>
            </w:r>
          </w:p>
        </w:tc>
        <w:tc>
          <w:tcPr>
            <w:tcW w:w="628" w:type="pct"/>
            <w:vAlign w:val="center"/>
          </w:tcPr>
          <w:p w14:paraId="1771E13B" w14:textId="77777777" w:rsidR="00C905D6" w:rsidRPr="00950C0F" w:rsidRDefault="258752C8" w:rsidP="56F9DD4F">
            <w:pPr>
              <w:pStyle w:val="TableText"/>
              <w:keepNext/>
              <w:keepLines/>
              <w:tabs>
                <w:tab w:val="decimal" w:pos="396"/>
              </w:tabs>
              <w:jc w:val="center"/>
            </w:pPr>
            <w:r w:rsidRPr="00950C0F">
              <w:t>90%</w:t>
            </w:r>
          </w:p>
        </w:tc>
        <w:tc>
          <w:tcPr>
            <w:tcW w:w="602" w:type="pct"/>
            <w:vAlign w:val="center"/>
          </w:tcPr>
          <w:p w14:paraId="06DA510E" w14:textId="77777777" w:rsidR="00C905D6" w:rsidRPr="00950C0F" w:rsidRDefault="258752C8" w:rsidP="56F9DD4F">
            <w:pPr>
              <w:pStyle w:val="TableText"/>
              <w:keepNext/>
              <w:keepLines/>
              <w:tabs>
                <w:tab w:val="decimal" w:pos="396"/>
              </w:tabs>
              <w:jc w:val="center"/>
            </w:pPr>
            <w:r w:rsidRPr="00950C0F">
              <w:t>90%</w:t>
            </w:r>
          </w:p>
        </w:tc>
      </w:tr>
      <w:tr w:rsidR="00C905D6" w:rsidRPr="000A7BB0" w14:paraId="6B9A697B" w14:textId="77777777" w:rsidTr="56F9DD4F">
        <w:trPr>
          <w:jc w:val="center"/>
        </w:trPr>
        <w:tc>
          <w:tcPr>
            <w:tcW w:w="1334" w:type="pct"/>
            <w:vAlign w:val="center"/>
          </w:tcPr>
          <w:p w14:paraId="1FB37E7A" w14:textId="31616050" w:rsidR="00C905D6" w:rsidRPr="00950C0F" w:rsidRDefault="00C905D6" w:rsidP="00850174">
            <w:pPr>
              <w:pStyle w:val="TableText"/>
              <w:keepNext/>
              <w:keepLines/>
              <w:rPr>
                <w:vertAlign w:val="superscript"/>
              </w:rPr>
            </w:pPr>
            <w:r w:rsidRPr="00950C0F">
              <w:t>Predicted number of patients tested (2</w:t>
            </w:r>
            <w:r w:rsidR="79207574" w:rsidRPr="00950C0F">
              <w:rPr>
                <w:vertAlign w:val="superscript"/>
              </w:rPr>
              <w:t>nd</w:t>
            </w:r>
            <w:r w:rsidRPr="00950C0F">
              <w:t xml:space="preserve"> test)</w:t>
            </w:r>
            <w:r w:rsidRPr="00950C0F">
              <w:rPr>
                <w:vertAlign w:val="superscript"/>
              </w:rPr>
              <w:t>b</w:t>
            </w:r>
          </w:p>
        </w:tc>
        <w:tc>
          <w:tcPr>
            <w:tcW w:w="628" w:type="pct"/>
            <w:vAlign w:val="center"/>
          </w:tcPr>
          <w:p w14:paraId="4407E3E4" w14:textId="25D4ED5A" w:rsidR="00C905D6" w:rsidRPr="00950C0F" w:rsidRDefault="6995B068" w:rsidP="56F9DD4F">
            <w:pPr>
              <w:pStyle w:val="TableNumber"/>
              <w:keepNext/>
              <w:keepLines/>
              <w:rPr>
                <w:vertAlign w:val="superscript"/>
              </w:rPr>
            </w:pPr>
            <w:r w:rsidRPr="00950C0F">
              <w:t xml:space="preserve"> Redacted</w:t>
            </w:r>
            <w:r w:rsidRPr="00950C0F">
              <w:rPr>
                <w:vertAlign w:val="superscript"/>
              </w:rPr>
              <w:t>1</w:t>
            </w:r>
          </w:p>
        </w:tc>
        <w:tc>
          <w:tcPr>
            <w:tcW w:w="551" w:type="pct"/>
            <w:vAlign w:val="center"/>
          </w:tcPr>
          <w:p w14:paraId="7DBE7452" w14:textId="74A25CF3" w:rsidR="00C905D6" w:rsidRPr="00950C0F" w:rsidRDefault="0B7BD7B7"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28" w:type="pct"/>
            <w:vAlign w:val="center"/>
          </w:tcPr>
          <w:p w14:paraId="0E816D78" w14:textId="13D4CC84" w:rsidR="00C905D6" w:rsidRPr="00950C0F" w:rsidRDefault="329B13E1"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29" w:type="pct"/>
            <w:vAlign w:val="center"/>
          </w:tcPr>
          <w:p w14:paraId="16515BDA" w14:textId="65B6AFB4" w:rsidR="00C905D6" w:rsidRPr="00950C0F" w:rsidRDefault="7CF752CC"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28" w:type="pct"/>
            <w:vAlign w:val="center"/>
          </w:tcPr>
          <w:p w14:paraId="4A3D8A12" w14:textId="2C7F7EBC" w:rsidR="00C905D6" w:rsidRPr="00950C0F" w:rsidRDefault="4329360A"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02" w:type="pct"/>
            <w:vAlign w:val="center"/>
          </w:tcPr>
          <w:p w14:paraId="35E6A025" w14:textId="322DACD1" w:rsidR="00C905D6" w:rsidRPr="00950C0F" w:rsidRDefault="3A16B943"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r>
      <w:tr w:rsidR="00C905D6" w:rsidRPr="000A7BB0" w14:paraId="426D9E79" w14:textId="77777777" w:rsidTr="56F9DD4F">
        <w:trPr>
          <w:jc w:val="center"/>
        </w:trPr>
        <w:tc>
          <w:tcPr>
            <w:tcW w:w="1334" w:type="pct"/>
            <w:vAlign w:val="center"/>
          </w:tcPr>
          <w:p w14:paraId="1DCD7CCF" w14:textId="77777777" w:rsidR="00C905D6" w:rsidRPr="00950C0F" w:rsidRDefault="00C905D6" w:rsidP="00850174">
            <w:pPr>
              <w:pStyle w:val="TableText"/>
              <w:keepNext/>
              <w:keepLines/>
            </w:pPr>
            <w:r w:rsidRPr="00950C0F">
              <w:t>Prevalence of biomarker (2</w:t>
            </w:r>
            <w:r w:rsidRPr="00950C0F">
              <w:rPr>
                <w:vertAlign w:val="superscript"/>
              </w:rPr>
              <w:t>nd</w:t>
            </w:r>
            <w:r w:rsidRPr="00950C0F">
              <w:t xml:space="preserve"> test)</w:t>
            </w:r>
          </w:p>
        </w:tc>
        <w:tc>
          <w:tcPr>
            <w:tcW w:w="628" w:type="pct"/>
            <w:vAlign w:val="center"/>
          </w:tcPr>
          <w:p w14:paraId="6F39E50B" w14:textId="77777777" w:rsidR="00C905D6" w:rsidRPr="00950C0F" w:rsidRDefault="258752C8" w:rsidP="56F9DD4F">
            <w:pPr>
              <w:pStyle w:val="TableNumber"/>
              <w:keepNext/>
              <w:keepLines/>
            </w:pPr>
            <w:r w:rsidRPr="00950C0F">
              <w:t>47.7%</w:t>
            </w:r>
          </w:p>
        </w:tc>
        <w:tc>
          <w:tcPr>
            <w:tcW w:w="551" w:type="pct"/>
            <w:vAlign w:val="center"/>
          </w:tcPr>
          <w:p w14:paraId="1B14BAA7" w14:textId="77777777" w:rsidR="00C905D6" w:rsidRPr="00950C0F" w:rsidRDefault="258752C8" w:rsidP="56F9DD4F">
            <w:pPr>
              <w:pStyle w:val="TableText"/>
              <w:keepNext/>
              <w:keepLines/>
              <w:tabs>
                <w:tab w:val="decimal" w:pos="396"/>
              </w:tabs>
              <w:jc w:val="center"/>
            </w:pPr>
            <w:r w:rsidRPr="00950C0F">
              <w:t>47.7%</w:t>
            </w:r>
          </w:p>
        </w:tc>
        <w:tc>
          <w:tcPr>
            <w:tcW w:w="628" w:type="pct"/>
            <w:vAlign w:val="center"/>
          </w:tcPr>
          <w:p w14:paraId="054962A0" w14:textId="77777777" w:rsidR="00C905D6" w:rsidRPr="00950C0F" w:rsidRDefault="258752C8" w:rsidP="56F9DD4F">
            <w:pPr>
              <w:pStyle w:val="TableText"/>
              <w:keepNext/>
              <w:keepLines/>
              <w:tabs>
                <w:tab w:val="decimal" w:pos="396"/>
              </w:tabs>
              <w:jc w:val="center"/>
            </w:pPr>
            <w:r w:rsidRPr="00950C0F">
              <w:t>47.7%</w:t>
            </w:r>
          </w:p>
        </w:tc>
        <w:tc>
          <w:tcPr>
            <w:tcW w:w="629" w:type="pct"/>
            <w:vAlign w:val="center"/>
          </w:tcPr>
          <w:p w14:paraId="6B595250" w14:textId="77777777" w:rsidR="00C905D6" w:rsidRPr="00950C0F" w:rsidRDefault="258752C8" w:rsidP="56F9DD4F">
            <w:pPr>
              <w:pStyle w:val="TableText"/>
              <w:keepNext/>
              <w:keepLines/>
              <w:tabs>
                <w:tab w:val="decimal" w:pos="396"/>
              </w:tabs>
              <w:jc w:val="center"/>
            </w:pPr>
            <w:r w:rsidRPr="00950C0F">
              <w:t>47.7%</w:t>
            </w:r>
          </w:p>
        </w:tc>
        <w:tc>
          <w:tcPr>
            <w:tcW w:w="628" w:type="pct"/>
            <w:vAlign w:val="center"/>
          </w:tcPr>
          <w:p w14:paraId="5CB7BE1F" w14:textId="77777777" w:rsidR="00C905D6" w:rsidRPr="00950C0F" w:rsidRDefault="258752C8" w:rsidP="56F9DD4F">
            <w:pPr>
              <w:pStyle w:val="TableText"/>
              <w:keepNext/>
              <w:keepLines/>
              <w:tabs>
                <w:tab w:val="decimal" w:pos="396"/>
              </w:tabs>
              <w:jc w:val="center"/>
            </w:pPr>
            <w:r w:rsidRPr="00950C0F">
              <w:t>47.7%</w:t>
            </w:r>
          </w:p>
        </w:tc>
        <w:tc>
          <w:tcPr>
            <w:tcW w:w="602" w:type="pct"/>
            <w:vAlign w:val="center"/>
          </w:tcPr>
          <w:p w14:paraId="10059D3B" w14:textId="77777777" w:rsidR="00C905D6" w:rsidRPr="00950C0F" w:rsidRDefault="258752C8" w:rsidP="56F9DD4F">
            <w:pPr>
              <w:pStyle w:val="TableText"/>
              <w:keepNext/>
              <w:keepLines/>
              <w:tabs>
                <w:tab w:val="decimal" w:pos="396"/>
              </w:tabs>
              <w:jc w:val="center"/>
            </w:pPr>
            <w:r w:rsidRPr="00950C0F">
              <w:t>47.7%</w:t>
            </w:r>
          </w:p>
        </w:tc>
      </w:tr>
      <w:tr w:rsidR="00C905D6" w:rsidRPr="000A7BB0" w14:paraId="58BE80BD" w14:textId="77777777" w:rsidTr="56F9DD4F">
        <w:trPr>
          <w:jc w:val="center"/>
        </w:trPr>
        <w:tc>
          <w:tcPr>
            <w:tcW w:w="1334" w:type="pct"/>
            <w:vAlign w:val="center"/>
          </w:tcPr>
          <w:p w14:paraId="02657116" w14:textId="77777777" w:rsidR="00C905D6" w:rsidRPr="00950C0F" w:rsidRDefault="00C905D6" w:rsidP="00850174">
            <w:pPr>
              <w:pStyle w:val="TableText"/>
              <w:keepNext/>
              <w:keepLines/>
            </w:pPr>
            <w:r w:rsidRPr="00950C0F">
              <w:t>Number of patients likely to receive a positive test result (2</w:t>
            </w:r>
            <w:r w:rsidRPr="00950C0F">
              <w:rPr>
                <w:vertAlign w:val="superscript"/>
              </w:rPr>
              <w:t>nd</w:t>
            </w:r>
            <w:r w:rsidRPr="00950C0F">
              <w:t xml:space="preserve"> test)</w:t>
            </w:r>
          </w:p>
        </w:tc>
        <w:tc>
          <w:tcPr>
            <w:tcW w:w="628" w:type="pct"/>
            <w:vAlign w:val="center"/>
          </w:tcPr>
          <w:p w14:paraId="08B00667" w14:textId="1D4BA273" w:rsidR="00C905D6" w:rsidRPr="00950C0F" w:rsidRDefault="15B812B4" w:rsidP="56F9DD4F">
            <w:pPr>
              <w:pStyle w:val="TableNumber"/>
              <w:keepNext/>
              <w:keepLines/>
              <w:rPr>
                <w:vertAlign w:val="superscript"/>
              </w:rPr>
            </w:pPr>
            <w:r w:rsidRPr="00950C0F">
              <w:t xml:space="preserve"> Redacted</w:t>
            </w:r>
            <w:r w:rsidRPr="00950C0F">
              <w:rPr>
                <w:vertAlign w:val="superscript"/>
              </w:rPr>
              <w:t>1</w:t>
            </w:r>
          </w:p>
        </w:tc>
        <w:tc>
          <w:tcPr>
            <w:tcW w:w="551" w:type="pct"/>
            <w:vAlign w:val="center"/>
          </w:tcPr>
          <w:p w14:paraId="63F253BE" w14:textId="79A3C50E" w:rsidR="00C905D6" w:rsidRPr="00950C0F" w:rsidRDefault="08385BBF" w:rsidP="56F9DD4F">
            <w:pPr>
              <w:pStyle w:val="TableText"/>
              <w:keepNext/>
              <w:keepLines/>
              <w:tabs>
                <w:tab w:val="decimal" w:pos="396"/>
              </w:tabs>
              <w:jc w:val="center"/>
              <w:rPr>
                <w:vertAlign w:val="superscript"/>
              </w:rPr>
            </w:pPr>
            <w:r w:rsidRPr="00950C0F">
              <w:t xml:space="preserve"> Redacte</w:t>
            </w:r>
            <w:r w:rsidR="18794DB9" w:rsidRPr="00950C0F">
              <w:t>d</w:t>
            </w:r>
            <w:r w:rsidR="18794DB9" w:rsidRPr="00950C0F">
              <w:rPr>
                <w:vertAlign w:val="superscript"/>
              </w:rPr>
              <w:t>2</w:t>
            </w:r>
          </w:p>
        </w:tc>
        <w:tc>
          <w:tcPr>
            <w:tcW w:w="628" w:type="pct"/>
            <w:vAlign w:val="center"/>
          </w:tcPr>
          <w:p w14:paraId="628384F1" w14:textId="1ACB9B88" w:rsidR="00C905D6" w:rsidRPr="00950C0F" w:rsidRDefault="3D63601B" w:rsidP="56F9DD4F">
            <w:pPr>
              <w:pStyle w:val="TableText"/>
              <w:keepNext/>
              <w:keepLines/>
              <w:tabs>
                <w:tab w:val="decimal" w:pos="396"/>
              </w:tabs>
              <w:jc w:val="center"/>
              <w:rPr>
                <w:vertAlign w:val="superscript"/>
              </w:rPr>
            </w:pPr>
            <w:r w:rsidRPr="00950C0F">
              <w:t>Redacted</w:t>
            </w:r>
            <w:r w:rsidRPr="00950C0F">
              <w:rPr>
                <w:vertAlign w:val="superscript"/>
              </w:rPr>
              <w:t>2</w:t>
            </w:r>
          </w:p>
        </w:tc>
        <w:tc>
          <w:tcPr>
            <w:tcW w:w="629" w:type="pct"/>
            <w:vAlign w:val="center"/>
          </w:tcPr>
          <w:p w14:paraId="6A8FF5CD" w14:textId="101A642F" w:rsidR="00C905D6" w:rsidRPr="00950C0F" w:rsidRDefault="4D063F4B" w:rsidP="56F9DD4F">
            <w:pPr>
              <w:pStyle w:val="TableText"/>
              <w:keepNext/>
              <w:keepLines/>
              <w:tabs>
                <w:tab w:val="decimal" w:pos="396"/>
              </w:tabs>
              <w:jc w:val="center"/>
              <w:rPr>
                <w:vertAlign w:val="superscript"/>
              </w:rPr>
            </w:pPr>
            <w:r w:rsidRPr="00950C0F">
              <w:t>Redacted</w:t>
            </w:r>
            <w:r w:rsidRPr="00950C0F">
              <w:rPr>
                <w:vertAlign w:val="superscript"/>
              </w:rPr>
              <w:t>2</w:t>
            </w:r>
          </w:p>
        </w:tc>
        <w:tc>
          <w:tcPr>
            <w:tcW w:w="628" w:type="pct"/>
            <w:vAlign w:val="center"/>
          </w:tcPr>
          <w:p w14:paraId="2FD5BB06" w14:textId="5F822641" w:rsidR="00C905D6" w:rsidRPr="00950C0F" w:rsidRDefault="47E15C07" w:rsidP="56F9DD4F">
            <w:pPr>
              <w:pStyle w:val="TableText"/>
              <w:keepNext/>
              <w:keepLines/>
              <w:tabs>
                <w:tab w:val="decimal" w:pos="396"/>
              </w:tabs>
              <w:jc w:val="center"/>
              <w:rPr>
                <w:vertAlign w:val="superscript"/>
              </w:rPr>
            </w:pPr>
            <w:r w:rsidRPr="00950C0F">
              <w:t>Redacted</w:t>
            </w:r>
            <w:r w:rsidRPr="00950C0F">
              <w:rPr>
                <w:vertAlign w:val="superscript"/>
              </w:rPr>
              <w:t>2</w:t>
            </w:r>
          </w:p>
        </w:tc>
        <w:tc>
          <w:tcPr>
            <w:tcW w:w="602" w:type="pct"/>
            <w:vAlign w:val="center"/>
          </w:tcPr>
          <w:p w14:paraId="3574B131" w14:textId="1F027AE2" w:rsidR="00C905D6" w:rsidRPr="00950C0F" w:rsidRDefault="488E038F" w:rsidP="56F9DD4F">
            <w:pPr>
              <w:pStyle w:val="TableText"/>
              <w:keepNext/>
              <w:keepLines/>
              <w:tabs>
                <w:tab w:val="decimal" w:pos="396"/>
              </w:tabs>
              <w:jc w:val="center"/>
              <w:rPr>
                <w:vertAlign w:val="superscript"/>
              </w:rPr>
            </w:pPr>
            <w:r w:rsidRPr="00950C0F">
              <w:t>Redacted</w:t>
            </w:r>
            <w:r w:rsidRPr="00950C0F">
              <w:rPr>
                <w:vertAlign w:val="superscript"/>
              </w:rPr>
              <w:t>2</w:t>
            </w:r>
          </w:p>
        </w:tc>
      </w:tr>
      <w:tr w:rsidR="00C905D6" w:rsidRPr="000A7BB0" w14:paraId="626CBFAF" w14:textId="77777777" w:rsidTr="56F9DD4F">
        <w:trPr>
          <w:jc w:val="center"/>
        </w:trPr>
        <w:tc>
          <w:tcPr>
            <w:tcW w:w="1334" w:type="pct"/>
            <w:vAlign w:val="center"/>
          </w:tcPr>
          <w:p w14:paraId="1F5DA7A2" w14:textId="77777777" w:rsidR="00C905D6" w:rsidRPr="00950C0F" w:rsidRDefault="00C905D6" w:rsidP="00850174">
            <w:pPr>
              <w:pStyle w:val="TableText"/>
              <w:keepNext/>
              <w:keepLines/>
            </w:pPr>
            <w:r w:rsidRPr="00950C0F">
              <w:t>Total predicted number of tests</w:t>
            </w:r>
          </w:p>
        </w:tc>
        <w:tc>
          <w:tcPr>
            <w:tcW w:w="628" w:type="pct"/>
            <w:vAlign w:val="center"/>
          </w:tcPr>
          <w:p w14:paraId="66F4A493" w14:textId="0E5970DC" w:rsidR="00C905D6" w:rsidRPr="00950C0F" w:rsidRDefault="63C3D482" w:rsidP="56F9DD4F">
            <w:pPr>
              <w:pStyle w:val="TableNumber"/>
              <w:keepNext/>
              <w:keepLines/>
              <w:rPr>
                <w:vertAlign w:val="superscript"/>
              </w:rPr>
            </w:pPr>
            <w:r w:rsidRPr="00950C0F">
              <w:t xml:space="preserve"> Redacted</w:t>
            </w:r>
            <w:r w:rsidRPr="00950C0F">
              <w:rPr>
                <w:vertAlign w:val="superscript"/>
              </w:rPr>
              <w:t>1</w:t>
            </w:r>
          </w:p>
        </w:tc>
        <w:tc>
          <w:tcPr>
            <w:tcW w:w="551" w:type="pct"/>
            <w:vAlign w:val="center"/>
          </w:tcPr>
          <w:p w14:paraId="525A9A7B" w14:textId="4BEFDCBF" w:rsidR="00C905D6" w:rsidRPr="00950C0F" w:rsidRDefault="5F128D4D"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28" w:type="pct"/>
            <w:vAlign w:val="center"/>
          </w:tcPr>
          <w:p w14:paraId="78E53CEB" w14:textId="15112E49" w:rsidR="00C905D6" w:rsidRPr="00950C0F" w:rsidRDefault="3E150B62"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29" w:type="pct"/>
            <w:vAlign w:val="center"/>
          </w:tcPr>
          <w:p w14:paraId="0D5EF437" w14:textId="6169745A" w:rsidR="00C905D6" w:rsidRPr="00950C0F" w:rsidRDefault="7DC8E415"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28" w:type="pct"/>
            <w:vAlign w:val="center"/>
          </w:tcPr>
          <w:p w14:paraId="0ECBAABD" w14:textId="75455AA4" w:rsidR="00C905D6" w:rsidRPr="00950C0F" w:rsidRDefault="11BC5916"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02" w:type="pct"/>
            <w:vAlign w:val="center"/>
          </w:tcPr>
          <w:p w14:paraId="3661D673" w14:textId="3F9301BD" w:rsidR="00C905D6" w:rsidRPr="00950C0F" w:rsidRDefault="416563E1"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r>
      <w:tr w:rsidR="00C905D6" w:rsidRPr="000A7BB0" w14:paraId="6ED785EA" w14:textId="77777777" w:rsidTr="56F9DD4F">
        <w:trPr>
          <w:jc w:val="center"/>
        </w:trPr>
        <w:tc>
          <w:tcPr>
            <w:tcW w:w="1334" w:type="pct"/>
            <w:vAlign w:val="center"/>
          </w:tcPr>
          <w:p w14:paraId="0102887A" w14:textId="77777777" w:rsidR="00C905D6" w:rsidRPr="00950C0F" w:rsidRDefault="00C905D6" w:rsidP="00850174">
            <w:pPr>
              <w:pStyle w:val="TableText"/>
              <w:keepNext/>
              <w:keepLines/>
            </w:pPr>
            <w:r w:rsidRPr="00950C0F">
              <w:t>Total number of patients likely to receive a positive test result</w:t>
            </w:r>
          </w:p>
        </w:tc>
        <w:tc>
          <w:tcPr>
            <w:tcW w:w="628" w:type="pct"/>
            <w:vAlign w:val="center"/>
          </w:tcPr>
          <w:p w14:paraId="593A5303" w14:textId="599C1757" w:rsidR="00C905D6" w:rsidRPr="00950C0F" w:rsidRDefault="37FF60FE" w:rsidP="56F9DD4F">
            <w:pPr>
              <w:pStyle w:val="TableNumber"/>
              <w:keepNext/>
              <w:keepLines/>
              <w:rPr>
                <w:vertAlign w:val="superscript"/>
              </w:rPr>
            </w:pPr>
            <w:r w:rsidRPr="00950C0F">
              <w:t>Redacted</w:t>
            </w:r>
            <w:r w:rsidRPr="00950C0F">
              <w:rPr>
                <w:vertAlign w:val="superscript"/>
              </w:rPr>
              <w:t>1</w:t>
            </w:r>
          </w:p>
        </w:tc>
        <w:tc>
          <w:tcPr>
            <w:tcW w:w="551" w:type="pct"/>
            <w:vAlign w:val="center"/>
          </w:tcPr>
          <w:p w14:paraId="2D8F77C1" w14:textId="0D38E915" w:rsidR="00C905D6" w:rsidRPr="00950C0F" w:rsidRDefault="4CB21BBE" w:rsidP="56F9DD4F">
            <w:pPr>
              <w:pStyle w:val="TableText"/>
              <w:keepNext/>
              <w:keepLines/>
              <w:tabs>
                <w:tab w:val="decimal" w:pos="396"/>
              </w:tabs>
              <w:jc w:val="center"/>
            </w:pPr>
            <w:r w:rsidRPr="00950C0F">
              <w:t xml:space="preserve"> Redacted</w:t>
            </w:r>
            <w:r w:rsidRPr="00950C0F">
              <w:rPr>
                <w:vertAlign w:val="superscript"/>
              </w:rPr>
              <w:t>1</w:t>
            </w:r>
          </w:p>
        </w:tc>
        <w:tc>
          <w:tcPr>
            <w:tcW w:w="628" w:type="pct"/>
            <w:vAlign w:val="center"/>
          </w:tcPr>
          <w:p w14:paraId="73F1E800" w14:textId="54426315" w:rsidR="00C905D6" w:rsidRPr="00950C0F" w:rsidRDefault="08CC74D0"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29" w:type="pct"/>
            <w:vAlign w:val="center"/>
          </w:tcPr>
          <w:p w14:paraId="225E2D61" w14:textId="74F3700C" w:rsidR="00C905D6" w:rsidRPr="00950C0F" w:rsidRDefault="2CC244C4"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28" w:type="pct"/>
            <w:vAlign w:val="center"/>
          </w:tcPr>
          <w:p w14:paraId="11FFB2F0" w14:textId="709E8784" w:rsidR="00C905D6" w:rsidRPr="00950C0F" w:rsidRDefault="6686B815"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c>
          <w:tcPr>
            <w:tcW w:w="602" w:type="pct"/>
            <w:vAlign w:val="center"/>
          </w:tcPr>
          <w:p w14:paraId="19806CB8" w14:textId="7EDC66B6" w:rsidR="00C905D6" w:rsidRPr="00950C0F" w:rsidRDefault="5EB67007" w:rsidP="56F9DD4F">
            <w:pPr>
              <w:pStyle w:val="TableText"/>
              <w:keepNext/>
              <w:keepLines/>
              <w:tabs>
                <w:tab w:val="decimal" w:pos="396"/>
              </w:tabs>
              <w:jc w:val="center"/>
              <w:rPr>
                <w:vertAlign w:val="superscript"/>
              </w:rPr>
            </w:pPr>
            <w:r w:rsidRPr="00950C0F">
              <w:t xml:space="preserve"> Redacted</w:t>
            </w:r>
            <w:r w:rsidRPr="00950C0F">
              <w:rPr>
                <w:vertAlign w:val="superscript"/>
              </w:rPr>
              <w:t>1</w:t>
            </w:r>
          </w:p>
        </w:tc>
      </w:tr>
      <w:tr w:rsidR="00C905D6" w:rsidRPr="000A7BB0" w14:paraId="7AA24428" w14:textId="77777777" w:rsidTr="56F9DD4F">
        <w:trPr>
          <w:jc w:val="center"/>
        </w:trPr>
        <w:tc>
          <w:tcPr>
            <w:tcW w:w="5000" w:type="pct"/>
            <w:gridSpan w:val="7"/>
            <w:vAlign w:val="center"/>
          </w:tcPr>
          <w:p w14:paraId="5D394F40" w14:textId="77777777" w:rsidR="00C905D6" w:rsidRPr="00950C0F" w:rsidRDefault="00C905D6" w:rsidP="00850174">
            <w:pPr>
              <w:pStyle w:val="TableText"/>
              <w:keepNext/>
              <w:keepLines/>
              <w:rPr>
                <w:b/>
                <w:bCs/>
                <w:color w:val="000000"/>
              </w:rPr>
            </w:pPr>
            <w:r w:rsidRPr="00950C0F">
              <w:rPr>
                <w:b/>
              </w:rPr>
              <w:t xml:space="preserve">Estimated financial implications of the NGS testing for </w:t>
            </w:r>
            <w:r w:rsidRPr="00950C0F">
              <w:rPr>
                <w:b/>
                <w:i/>
                <w:iCs/>
              </w:rPr>
              <w:t xml:space="preserve">ESR1 </w:t>
            </w:r>
            <w:r w:rsidRPr="00950C0F">
              <w:rPr>
                <w:b/>
              </w:rPr>
              <w:t>variants to the MBS</w:t>
            </w:r>
          </w:p>
        </w:tc>
      </w:tr>
      <w:tr w:rsidR="006B1EC9" w:rsidRPr="000A7BB0" w14:paraId="62EF90AB" w14:textId="77777777" w:rsidTr="56F9DD4F">
        <w:trPr>
          <w:jc w:val="center"/>
        </w:trPr>
        <w:tc>
          <w:tcPr>
            <w:tcW w:w="1334" w:type="pct"/>
            <w:vAlign w:val="center"/>
          </w:tcPr>
          <w:p w14:paraId="3E1DA0AD" w14:textId="3D56C911" w:rsidR="006B1EC9" w:rsidRPr="00950C0F" w:rsidRDefault="247135C8" w:rsidP="00850174">
            <w:pPr>
              <w:pStyle w:val="TableText"/>
              <w:keepNext/>
              <w:keepLines/>
            </w:pPr>
            <w:r w:rsidRPr="00950C0F">
              <w:t xml:space="preserve">Cost to the </w:t>
            </w:r>
            <w:proofErr w:type="spellStart"/>
            <w:r w:rsidRPr="00950C0F">
              <w:t>MBS</w:t>
            </w:r>
            <w:r w:rsidRPr="00950C0F">
              <w:rPr>
                <w:vertAlign w:val="superscript"/>
              </w:rPr>
              <w:t>c</w:t>
            </w:r>
            <w:proofErr w:type="spellEnd"/>
            <w:r w:rsidRPr="00950C0F">
              <w:t xml:space="preserve"> </w:t>
            </w:r>
            <w:r w:rsidR="6A20518F" w:rsidRPr="00950C0F">
              <w:t>[A]</w:t>
            </w:r>
          </w:p>
        </w:tc>
        <w:tc>
          <w:tcPr>
            <w:tcW w:w="628" w:type="pct"/>
            <w:vAlign w:val="center"/>
          </w:tcPr>
          <w:p w14:paraId="11A9E74A" w14:textId="685D4615" w:rsidR="006B1EC9" w:rsidRPr="00950C0F" w:rsidRDefault="7684A752" w:rsidP="56F9DD4F">
            <w:pPr>
              <w:pStyle w:val="TableText"/>
              <w:keepNext/>
              <w:keepLines/>
              <w:jc w:val="right"/>
              <w:rPr>
                <w:vertAlign w:val="superscript"/>
              </w:rPr>
            </w:pPr>
            <w:r w:rsidRPr="00950C0F">
              <w:t xml:space="preserve"> Redacted</w:t>
            </w:r>
            <w:r w:rsidR="205D81E4" w:rsidRPr="00950C0F">
              <w:rPr>
                <w:vertAlign w:val="superscript"/>
              </w:rPr>
              <w:t>3</w:t>
            </w:r>
          </w:p>
        </w:tc>
        <w:tc>
          <w:tcPr>
            <w:tcW w:w="551" w:type="pct"/>
            <w:vAlign w:val="center"/>
          </w:tcPr>
          <w:p w14:paraId="3E1ABE93" w14:textId="5D568F09" w:rsidR="006B1EC9" w:rsidRPr="00950C0F" w:rsidRDefault="4BD105C3" w:rsidP="56F9DD4F">
            <w:pPr>
              <w:pStyle w:val="TableText"/>
              <w:keepNext/>
              <w:keepLines/>
              <w:jc w:val="right"/>
              <w:rPr>
                <w:vertAlign w:val="superscript"/>
              </w:rPr>
            </w:pPr>
            <w:r w:rsidRPr="00950C0F">
              <w:t xml:space="preserve"> Redacted</w:t>
            </w:r>
            <w:r w:rsidRPr="00950C0F">
              <w:rPr>
                <w:vertAlign w:val="superscript"/>
              </w:rPr>
              <w:t>3</w:t>
            </w:r>
          </w:p>
        </w:tc>
        <w:tc>
          <w:tcPr>
            <w:tcW w:w="628" w:type="pct"/>
            <w:vAlign w:val="center"/>
          </w:tcPr>
          <w:p w14:paraId="230DEC30" w14:textId="5CBA2C54" w:rsidR="006B1EC9" w:rsidRPr="00950C0F" w:rsidRDefault="3A8CFFEA" w:rsidP="56F9DD4F">
            <w:pPr>
              <w:pStyle w:val="TableText"/>
              <w:keepNext/>
              <w:keepLines/>
              <w:jc w:val="right"/>
              <w:rPr>
                <w:vertAlign w:val="superscript"/>
              </w:rPr>
            </w:pPr>
            <w:r w:rsidRPr="00950C0F">
              <w:t xml:space="preserve"> Redacted</w:t>
            </w:r>
            <w:r w:rsidRPr="00950C0F">
              <w:rPr>
                <w:vertAlign w:val="superscript"/>
              </w:rPr>
              <w:t>3</w:t>
            </w:r>
          </w:p>
        </w:tc>
        <w:tc>
          <w:tcPr>
            <w:tcW w:w="629" w:type="pct"/>
            <w:vAlign w:val="center"/>
          </w:tcPr>
          <w:p w14:paraId="682ABEA8" w14:textId="6D43671B" w:rsidR="006B1EC9" w:rsidRPr="00950C0F" w:rsidRDefault="15189AEB" w:rsidP="56F9DD4F">
            <w:pPr>
              <w:pStyle w:val="TableText"/>
              <w:keepNext/>
              <w:keepLines/>
              <w:jc w:val="right"/>
              <w:rPr>
                <w:vertAlign w:val="superscript"/>
              </w:rPr>
            </w:pPr>
            <w:r w:rsidRPr="00950C0F">
              <w:t xml:space="preserve"> Redacted</w:t>
            </w:r>
            <w:r w:rsidRPr="00950C0F">
              <w:rPr>
                <w:vertAlign w:val="superscript"/>
              </w:rPr>
              <w:t>3</w:t>
            </w:r>
          </w:p>
        </w:tc>
        <w:tc>
          <w:tcPr>
            <w:tcW w:w="628" w:type="pct"/>
            <w:vAlign w:val="center"/>
          </w:tcPr>
          <w:p w14:paraId="4AE12F56" w14:textId="4DD779C8" w:rsidR="006B1EC9" w:rsidRPr="00950C0F" w:rsidRDefault="7C83D17B" w:rsidP="56F9DD4F">
            <w:pPr>
              <w:pStyle w:val="TableText"/>
              <w:keepNext/>
              <w:keepLines/>
              <w:jc w:val="right"/>
              <w:rPr>
                <w:vertAlign w:val="superscript"/>
              </w:rPr>
            </w:pPr>
            <w:r w:rsidRPr="00950C0F">
              <w:t xml:space="preserve"> Redacted</w:t>
            </w:r>
            <w:r w:rsidRPr="00950C0F">
              <w:rPr>
                <w:vertAlign w:val="superscript"/>
              </w:rPr>
              <w:t>3</w:t>
            </w:r>
          </w:p>
        </w:tc>
        <w:tc>
          <w:tcPr>
            <w:tcW w:w="602" w:type="pct"/>
            <w:vAlign w:val="center"/>
          </w:tcPr>
          <w:p w14:paraId="3BE1DD32" w14:textId="5E67DAFA" w:rsidR="006B1EC9" w:rsidRPr="00950C0F" w:rsidRDefault="029608AC" w:rsidP="56F9DD4F">
            <w:pPr>
              <w:pStyle w:val="TableText"/>
              <w:keepNext/>
              <w:keepLines/>
              <w:jc w:val="right"/>
              <w:rPr>
                <w:vertAlign w:val="superscript"/>
              </w:rPr>
            </w:pPr>
            <w:r w:rsidRPr="00950C0F">
              <w:t xml:space="preserve"> Redacted</w:t>
            </w:r>
            <w:r w:rsidRPr="00950C0F">
              <w:rPr>
                <w:vertAlign w:val="superscript"/>
              </w:rPr>
              <w:t>3</w:t>
            </w:r>
          </w:p>
        </w:tc>
      </w:tr>
      <w:tr w:rsidR="00C905D6" w:rsidRPr="000A7BB0" w14:paraId="2AA0877F" w14:textId="77777777" w:rsidTr="56F9DD4F">
        <w:trPr>
          <w:jc w:val="center"/>
        </w:trPr>
        <w:tc>
          <w:tcPr>
            <w:tcW w:w="5000" w:type="pct"/>
            <w:gridSpan w:val="7"/>
            <w:vAlign w:val="center"/>
          </w:tcPr>
          <w:p w14:paraId="1B8DD13B" w14:textId="77777777" w:rsidR="00C905D6" w:rsidRPr="00950C0F" w:rsidRDefault="00C905D6" w:rsidP="00850174">
            <w:pPr>
              <w:pStyle w:val="TableText"/>
              <w:keepNext/>
              <w:keepLines/>
              <w:rPr>
                <w:b/>
              </w:rPr>
            </w:pPr>
            <w:r w:rsidRPr="00950C0F">
              <w:rPr>
                <w:b/>
              </w:rPr>
              <w:t>Estimated financial implications for changes in use of other MBS services</w:t>
            </w:r>
          </w:p>
        </w:tc>
      </w:tr>
      <w:tr w:rsidR="006B1EC9" w:rsidRPr="000A7BB0" w14:paraId="1D04BED1" w14:textId="77777777" w:rsidTr="56F9DD4F">
        <w:trPr>
          <w:jc w:val="center"/>
        </w:trPr>
        <w:tc>
          <w:tcPr>
            <w:tcW w:w="1334" w:type="pct"/>
            <w:vAlign w:val="center"/>
          </w:tcPr>
          <w:p w14:paraId="6B7ADC6A" w14:textId="4ABEF946" w:rsidR="006B1EC9" w:rsidRPr="00950C0F" w:rsidRDefault="247135C8" w:rsidP="00850174">
            <w:pPr>
              <w:pStyle w:val="TableText"/>
              <w:keepNext/>
              <w:keepLines/>
            </w:pPr>
            <w:r w:rsidRPr="00950C0F">
              <w:t xml:space="preserve">Cost to </w:t>
            </w:r>
            <w:proofErr w:type="spellStart"/>
            <w:r w:rsidRPr="00950C0F">
              <w:t>MBS</w:t>
            </w:r>
            <w:r w:rsidRPr="00950C0F">
              <w:rPr>
                <w:vertAlign w:val="superscript"/>
              </w:rPr>
              <w:t>d</w:t>
            </w:r>
            <w:proofErr w:type="spellEnd"/>
            <w:r w:rsidRPr="00950C0F">
              <w:t xml:space="preserve"> </w:t>
            </w:r>
            <w:r w:rsidR="6A20518F" w:rsidRPr="00950C0F">
              <w:t>[B]</w:t>
            </w:r>
          </w:p>
        </w:tc>
        <w:tc>
          <w:tcPr>
            <w:tcW w:w="628" w:type="pct"/>
            <w:vAlign w:val="center"/>
          </w:tcPr>
          <w:p w14:paraId="6366C112" w14:textId="5148832F" w:rsidR="006B1EC9" w:rsidRPr="00950C0F" w:rsidRDefault="2CFDCC7B" w:rsidP="56F9DD4F">
            <w:pPr>
              <w:pStyle w:val="TableText"/>
              <w:keepNext/>
              <w:keepLines/>
              <w:jc w:val="right"/>
              <w:rPr>
                <w:vertAlign w:val="superscript"/>
              </w:rPr>
            </w:pPr>
            <w:r w:rsidRPr="00950C0F">
              <w:t xml:space="preserve"> Redacted</w:t>
            </w:r>
            <w:r w:rsidR="396AE513" w:rsidRPr="00950C0F">
              <w:rPr>
                <w:vertAlign w:val="superscript"/>
              </w:rPr>
              <w:t>4</w:t>
            </w:r>
          </w:p>
        </w:tc>
        <w:tc>
          <w:tcPr>
            <w:tcW w:w="551" w:type="pct"/>
            <w:vAlign w:val="center"/>
          </w:tcPr>
          <w:p w14:paraId="7809C566" w14:textId="65DD7E29" w:rsidR="006B1EC9" w:rsidRPr="00950C0F" w:rsidRDefault="53AEF2D0" w:rsidP="56F9DD4F">
            <w:pPr>
              <w:pStyle w:val="TableText"/>
              <w:keepNext/>
              <w:keepLines/>
              <w:jc w:val="right"/>
              <w:rPr>
                <w:vertAlign w:val="superscript"/>
              </w:rPr>
            </w:pPr>
            <w:r w:rsidRPr="00950C0F">
              <w:t xml:space="preserve"> Redacted</w:t>
            </w:r>
            <w:r w:rsidR="191AC72C" w:rsidRPr="00950C0F">
              <w:rPr>
                <w:vertAlign w:val="superscript"/>
              </w:rPr>
              <w:t>4</w:t>
            </w:r>
          </w:p>
        </w:tc>
        <w:tc>
          <w:tcPr>
            <w:tcW w:w="628" w:type="pct"/>
            <w:vAlign w:val="center"/>
          </w:tcPr>
          <w:p w14:paraId="29E6CF8B" w14:textId="7D3DCDCC" w:rsidR="006B1EC9" w:rsidRPr="00950C0F" w:rsidRDefault="6F2A7AE3" w:rsidP="56F9DD4F">
            <w:pPr>
              <w:pStyle w:val="TableText"/>
              <w:keepNext/>
              <w:keepLines/>
              <w:jc w:val="right"/>
              <w:rPr>
                <w:vertAlign w:val="superscript"/>
              </w:rPr>
            </w:pPr>
            <w:r w:rsidRPr="00950C0F">
              <w:t xml:space="preserve"> Redacted</w:t>
            </w:r>
            <w:r w:rsidR="37973C48" w:rsidRPr="00950C0F">
              <w:rPr>
                <w:vertAlign w:val="superscript"/>
              </w:rPr>
              <w:t>4</w:t>
            </w:r>
          </w:p>
        </w:tc>
        <w:tc>
          <w:tcPr>
            <w:tcW w:w="629" w:type="pct"/>
            <w:vAlign w:val="center"/>
          </w:tcPr>
          <w:p w14:paraId="16B4DA25" w14:textId="470D0252" w:rsidR="006B1EC9" w:rsidRPr="00950C0F" w:rsidRDefault="2B1F4EF6" w:rsidP="56F9DD4F">
            <w:pPr>
              <w:pStyle w:val="TableText"/>
              <w:keepNext/>
              <w:keepLines/>
              <w:jc w:val="right"/>
              <w:rPr>
                <w:vertAlign w:val="superscript"/>
              </w:rPr>
            </w:pPr>
            <w:r w:rsidRPr="00950C0F">
              <w:t xml:space="preserve"> Redacted</w:t>
            </w:r>
            <w:r w:rsidR="08F44869" w:rsidRPr="00950C0F">
              <w:rPr>
                <w:vertAlign w:val="superscript"/>
              </w:rPr>
              <w:t>4</w:t>
            </w:r>
          </w:p>
        </w:tc>
        <w:tc>
          <w:tcPr>
            <w:tcW w:w="628" w:type="pct"/>
            <w:vAlign w:val="center"/>
          </w:tcPr>
          <w:p w14:paraId="33217E55" w14:textId="591EDD54" w:rsidR="006B1EC9" w:rsidRPr="00950C0F" w:rsidRDefault="623ABFB6" w:rsidP="56F9DD4F">
            <w:pPr>
              <w:pStyle w:val="TableText"/>
              <w:keepNext/>
              <w:keepLines/>
              <w:jc w:val="right"/>
              <w:rPr>
                <w:vertAlign w:val="superscript"/>
              </w:rPr>
            </w:pPr>
            <w:r w:rsidRPr="00950C0F">
              <w:t xml:space="preserve"> Redacted</w:t>
            </w:r>
            <w:r w:rsidR="2C0A623F" w:rsidRPr="00950C0F">
              <w:rPr>
                <w:vertAlign w:val="superscript"/>
              </w:rPr>
              <w:t>4</w:t>
            </w:r>
          </w:p>
        </w:tc>
        <w:tc>
          <w:tcPr>
            <w:tcW w:w="602" w:type="pct"/>
            <w:vAlign w:val="center"/>
          </w:tcPr>
          <w:p w14:paraId="26F841E5" w14:textId="101DBBAE" w:rsidR="006B1EC9" w:rsidRPr="00950C0F" w:rsidRDefault="3464A5D3" w:rsidP="56F9DD4F">
            <w:pPr>
              <w:pStyle w:val="TableText"/>
              <w:keepNext/>
              <w:keepLines/>
              <w:jc w:val="right"/>
              <w:rPr>
                <w:vertAlign w:val="superscript"/>
              </w:rPr>
            </w:pPr>
            <w:r w:rsidRPr="00950C0F">
              <w:t xml:space="preserve"> Redacted</w:t>
            </w:r>
            <w:r w:rsidR="4CC9BBF9" w:rsidRPr="00950C0F">
              <w:rPr>
                <w:vertAlign w:val="superscript"/>
              </w:rPr>
              <w:t>4</w:t>
            </w:r>
          </w:p>
        </w:tc>
      </w:tr>
      <w:tr w:rsidR="00C905D6" w:rsidRPr="000A7BB0" w14:paraId="1066A29B" w14:textId="77777777" w:rsidTr="56F9DD4F">
        <w:trPr>
          <w:jc w:val="center"/>
        </w:trPr>
        <w:tc>
          <w:tcPr>
            <w:tcW w:w="5000" w:type="pct"/>
            <w:gridSpan w:val="7"/>
            <w:vAlign w:val="center"/>
          </w:tcPr>
          <w:p w14:paraId="5A191C7C" w14:textId="77777777" w:rsidR="00C905D6" w:rsidRPr="00950C0F" w:rsidRDefault="00C905D6" w:rsidP="00850174">
            <w:pPr>
              <w:pStyle w:val="TableText"/>
              <w:keepNext/>
              <w:keepLines/>
              <w:rPr>
                <w:b/>
              </w:rPr>
            </w:pPr>
            <w:r w:rsidRPr="00950C0F">
              <w:rPr>
                <w:b/>
              </w:rPr>
              <w:t>Net financial implications</w:t>
            </w:r>
            <w:r w:rsidRPr="00950C0F">
              <w:rPr>
                <w:b/>
                <w:color w:val="4472C4" w:themeColor="accent5"/>
              </w:rPr>
              <w:t xml:space="preserve"> </w:t>
            </w:r>
          </w:p>
        </w:tc>
      </w:tr>
      <w:tr w:rsidR="001D61F8" w:rsidRPr="000A7BB0" w14:paraId="428A95EF" w14:textId="77777777" w:rsidTr="56F9DD4F">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2BB46BB8" w14:textId="182CDF7F" w:rsidR="007D49CE" w:rsidRPr="00950C0F" w:rsidRDefault="2AA440D9" w:rsidP="00850174">
            <w:pPr>
              <w:pStyle w:val="TableText"/>
              <w:keepNext/>
              <w:keepLines/>
            </w:pPr>
            <w:r w:rsidRPr="00950C0F">
              <w:t xml:space="preserve">Net cost PBS / </w:t>
            </w:r>
            <w:proofErr w:type="spellStart"/>
            <w:r w:rsidRPr="00950C0F">
              <w:t>RPBS</w:t>
            </w:r>
            <w:r w:rsidR="61AAB501" w:rsidRPr="00950C0F">
              <w:rPr>
                <w:vertAlign w:val="superscript"/>
              </w:rPr>
              <w:t>e</w:t>
            </w:r>
            <w:proofErr w:type="spellEnd"/>
            <w:r w:rsidR="5B22B140" w:rsidRPr="00950C0F">
              <w:t xml:space="preserve"> [C]</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54623" w14:textId="5FB5C5B8" w:rsidR="007D49CE" w:rsidRPr="00950C0F" w:rsidRDefault="7C685F3A" w:rsidP="00850174">
            <w:pPr>
              <w:pStyle w:val="TableText"/>
              <w:keepNext/>
              <w:keepLines/>
              <w:jc w:val="right"/>
              <w:rPr>
                <w:vertAlign w:val="superscript"/>
              </w:rPr>
            </w:pPr>
            <w:r w:rsidRPr="00950C0F">
              <w:t xml:space="preserve"> Redacted</w:t>
            </w:r>
            <w:r w:rsidR="29AABB64" w:rsidRPr="00950C0F">
              <w:rPr>
                <w:vertAlign w:val="superscript"/>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093D1" w14:textId="5B6F16EF" w:rsidR="007D49CE" w:rsidRPr="00950C0F" w:rsidRDefault="66077C3B" w:rsidP="00850174">
            <w:pPr>
              <w:pStyle w:val="TableText"/>
              <w:keepNext/>
              <w:keepLines/>
              <w:jc w:val="right"/>
              <w:rPr>
                <w:vertAlign w:val="superscript"/>
              </w:rPr>
            </w:pPr>
            <w:r w:rsidRPr="00950C0F">
              <w:t xml:space="preserve"> Redacted</w:t>
            </w:r>
            <w:r w:rsidR="350E74E4" w:rsidRPr="00950C0F">
              <w:rPr>
                <w:vertAlign w:val="superscript"/>
              </w:rPr>
              <w:t>6</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905F" w14:textId="4FCFA8AA" w:rsidR="007D49CE" w:rsidRPr="00950C0F" w:rsidRDefault="337941AF" w:rsidP="00850174">
            <w:pPr>
              <w:pStyle w:val="TableText"/>
              <w:keepNext/>
              <w:keepLines/>
              <w:jc w:val="right"/>
              <w:rPr>
                <w:vertAlign w:val="superscript"/>
              </w:rPr>
            </w:pPr>
            <w:r w:rsidRPr="00950C0F">
              <w:t xml:space="preserve"> Redacted</w:t>
            </w:r>
            <w:r w:rsidR="602497E9" w:rsidRPr="00950C0F">
              <w:rPr>
                <w:vertAlign w:val="superscript"/>
              </w:rPr>
              <w:t>7</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63F03" w14:textId="6C86536D" w:rsidR="007D49CE" w:rsidRPr="00950C0F" w:rsidRDefault="5F3968A1" w:rsidP="00850174">
            <w:pPr>
              <w:pStyle w:val="TableText"/>
              <w:keepNext/>
              <w:keepLines/>
              <w:jc w:val="right"/>
              <w:rPr>
                <w:vertAlign w:val="superscript"/>
              </w:rPr>
            </w:pPr>
            <w:r w:rsidRPr="00950C0F">
              <w:t xml:space="preserve"> Redacted</w:t>
            </w:r>
            <w:r w:rsidRPr="00950C0F">
              <w:rPr>
                <w:vertAlign w:val="superscript"/>
              </w:rPr>
              <w:t>7</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C4044" w14:textId="783B7C59" w:rsidR="007D49CE" w:rsidRPr="00950C0F" w:rsidRDefault="5F3968A1" w:rsidP="00850174">
            <w:pPr>
              <w:pStyle w:val="TableText"/>
              <w:keepNext/>
              <w:keepLines/>
              <w:jc w:val="right"/>
              <w:rPr>
                <w:rFonts w:cs="Arial"/>
                <w:i/>
                <w:color w:val="000000"/>
              </w:rPr>
            </w:pPr>
            <w:r w:rsidRPr="00950C0F">
              <w:t>Redacted</w:t>
            </w:r>
            <w:r w:rsidRPr="00950C0F">
              <w:rPr>
                <w:vertAlign w:val="superscript"/>
              </w:rPr>
              <w:t>7</w:t>
            </w:r>
            <w:r w:rsidR="4D445BF9" w:rsidRPr="00950C0F">
              <w:rPr>
                <w:rFonts w:cs="Arial"/>
                <w:i/>
                <w:iCs/>
              </w:rPr>
              <w:t xml:space="preserve"> </w:t>
            </w:r>
          </w:p>
        </w:tc>
        <w:tc>
          <w:tcPr>
            <w:tcW w:w="6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A3305" w14:textId="1D1E56FF" w:rsidR="007D49CE" w:rsidRPr="00950C0F" w:rsidRDefault="0DCCE661" w:rsidP="00850174">
            <w:pPr>
              <w:pStyle w:val="TableText"/>
              <w:keepNext/>
              <w:keepLines/>
              <w:jc w:val="right"/>
              <w:rPr>
                <w:rFonts w:cs="Arial"/>
                <w:i/>
                <w:color w:val="000000"/>
              </w:rPr>
            </w:pPr>
            <w:r w:rsidRPr="00950C0F">
              <w:t>Redacted</w:t>
            </w:r>
            <w:r w:rsidRPr="00950C0F">
              <w:rPr>
                <w:vertAlign w:val="superscript"/>
              </w:rPr>
              <w:t>7</w:t>
            </w:r>
            <w:r w:rsidR="13F0E9BC" w:rsidRPr="00950C0F">
              <w:rPr>
                <w:rFonts w:cs="Arial"/>
                <w:i/>
                <w:iCs/>
              </w:rPr>
              <w:t xml:space="preserve"> </w:t>
            </w:r>
          </w:p>
        </w:tc>
      </w:tr>
      <w:tr w:rsidR="008D7627" w:rsidRPr="000A7BB0" w14:paraId="7B2B8A82" w14:textId="77777777" w:rsidTr="56F9DD4F">
        <w:trPr>
          <w:jc w:val="center"/>
        </w:trPr>
        <w:tc>
          <w:tcPr>
            <w:tcW w:w="1334" w:type="pct"/>
            <w:vAlign w:val="center"/>
          </w:tcPr>
          <w:p w14:paraId="4C78DAD1" w14:textId="5661B18A" w:rsidR="008D7627" w:rsidRPr="00950C0F" w:rsidRDefault="008D7627" w:rsidP="00850174">
            <w:pPr>
              <w:pStyle w:val="TableText"/>
              <w:keepNext/>
              <w:keepLines/>
              <w:rPr>
                <w:rFonts w:ascii="Times" w:eastAsia="Times New Roman" w:hAnsi="Times" w:cs="Times New Roman"/>
                <w:vertAlign w:val="superscript"/>
              </w:rPr>
            </w:pPr>
            <w:r w:rsidRPr="00950C0F">
              <w:t>Net cost to MBS [</w:t>
            </w:r>
            <w:r w:rsidR="003A2262" w:rsidRPr="00950C0F">
              <w:t>D</w:t>
            </w:r>
            <w:r w:rsidRPr="00950C0F">
              <w:t>=A+B}</w:t>
            </w:r>
          </w:p>
        </w:tc>
        <w:tc>
          <w:tcPr>
            <w:tcW w:w="628" w:type="pct"/>
            <w:vAlign w:val="center"/>
          </w:tcPr>
          <w:p w14:paraId="536F5AD7" w14:textId="2FFC476F" w:rsidR="008D7627" w:rsidRPr="00950C0F" w:rsidRDefault="0811A339" w:rsidP="56F9DD4F">
            <w:pPr>
              <w:pStyle w:val="TableText"/>
              <w:keepNext/>
              <w:keepLines/>
              <w:jc w:val="right"/>
            </w:pPr>
            <w:r w:rsidRPr="00950C0F">
              <w:t xml:space="preserve"> </w:t>
            </w:r>
            <w:r w:rsidR="3099A583" w:rsidRPr="00950C0F">
              <w:t>Redacted</w:t>
            </w:r>
            <w:r w:rsidR="3099A583" w:rsidRPr="00950C0F">
              <w:rPr>
                <w:vertAlign w:val="superscript"/>
              </w:rPr>
              <w:t>3</w:t>
            </w:r>
            <w:r w:rsidR="3099A583" w:rsidRPr="00950C0F">
              <w:t xml:space="preserve"> </w:t>
            </w:r>
          </w:p>
        </w:tc>
        <w:tc>
          <w:tcPr>
            <w:tcW w:w="551" w:type="pct"/>
            <w:vAlign w:val="center"/>
          </w:tcPr>
          <w:p w14:paraId="71FCDEEA" w14:textId="7C4D3C25" w:rsidR="008D7627" w:rsidRPr="00950C0F" w:rsidRDefault="66077C3B" w:rsidP="56F9DD4F">
            <w:pPr>
              <w:pStyle w:val="TableText"/>
              <w:keepNext/>
              <w:keepLines/>
              <w:jc w:val="right"/>
              <w:rPr>
                <w:vertAlign w:val="superscript"/>
              </w:rPr>
            </w:pPr>
            <w:r w:rsidRPr="00950C0F">
              <w:t xml:space="preserve"> </w:t>
            </w:r>
            <w:r w:rsidR="53A00489" w:rsidRPr="00950C0F">
              <w:t>Redacted</w:t>
            </w:r>
            <w:r w:rsidR="53A00489" w:rsidRPr="00950C0F">
              <w:rPr>
                <w:vertAlign w:val="superscript"/>
              </w:rPr>
              <w:t>3</w:t>
            </w:r>
          </w:p>
        </w:tc>
        <w:tc>
          <w:tcPr>
            <w:tcW w:w="628" w:type="pct"/>
            <w:vAlign w:val="center"/>
          </w:tcPr>
          <w:p w14:paraId="0D00BE08" w14:textId="3A095AF1" w:rsidR="008D7627" w:rsidRPr="00950C0F" w:rsidRDefault="337941AF" w:rsidP="56F9DD4F">
            <w:pPr>
              <w:pStyle w:val="TableText"/>
              <w:keepNext/>
              <w:keepLines/>
              <w:jc w:val="right"/>
              <w:rPr>
                <w:vertAlign w:val="superscript"/>
              </w:rPr>
            </w:pPr>
            <w:r w:rsidRPr="00950C0F">
              <w:t xml:space="preserve"> </w:t>
            </w:r>
            <w:r w:rsidR="525A5B0D" w:rsidRPr="00950C0F">
              <w:t>Redacted</w:t>
            </w:r>
            <w:r w:rsidR="525A5B0D" w:rsidRPr="00950C0F">
              <w:rPr>
                <w:vertAlign w:val="superscript"/>
              </w:rPr>
              <w:t>3</w:t>
            </w:r>
          </w:p>
        </w:tc>
        <w:tc>
          <w:tcPr>
            <w:tcW w:w="629" w:type="pct"/>
            <w:vAlign w:val="center"/>
          </w:tcPr>
          <w:p w14:paraId="7086F8AB" w14:textId="13F2A100" w:rsidR="008D7627" w:rsidRPr="00950C0F" w:rsidRDefault="3ABEBC8D" w:rsidP="56F9DD4F">
            <w:pPr>
              <w:pStyle w:val="TableText"/>
              <w:keepNext/>
              <w:keepLines/>
              <w:jc w:val="right"/>
              <w:rPr>
                <w:vertAlign w:val="superscript"/>
              </w:rPr>
            </w:pPr>
            <w:r w:rsidRPr="00950C0F">
              <w:t xml:space="preserve"> Redacted</w:t>
            </w:r>
            <w:r w:rsidRPr="00950C0F">
              <w:rPr>
                <w:vertAlign w:val="superscript"/>
              </w:rPr>
              <w:t>3</w:t>
            </w:r>
          </w:p>
        </w:tc>
        <w:tc>
          <w:tcPr>
            <w:tcW w:w="628" w:type="pct"/>
            <w:vAlign w:val="center"/>
          </w:tcPr>
          <w:p w14:paraId="04FEA811" w14:textId="5E17417C" w:rsidR="008D7627" w:rsidRPr="00950C0F" w:rsidRDefault="3ABEBC8D" w:rsidP="56F9DD4F">
            <w:pPr>
              <w:pStyle w:val="TableText"/>
              <w:keepNext/>
              <w:keepLines/>
              <w:jc w:val="right"/>
              <w:rPr>
                <w:i/>
                <w:iCs/>
              </w:rPr>
            </w:pPr>
            <w:r w:rsidRPr="00950C0F">
              <w:t>Redacted</w:t>
            </w:r>
            <w:r w:rsidRPr="00950C0F">
              <w:rPr>
                <w:vertAlign w:val="superscript"/>
              </w:rPr>
              <w:t>3</w:t>
            </w:r>
            <w:r w:rsidR="4228F871" w:rsidRPr="00950C0F">
              <w:rPr>
                <w:rFonts w:cs="Arial"/>
                <w:i/>
                <w:iCs/>
              </w:rPr>
              <w:t xml:space="preserve"> </w:t>
            </w:r>
          </w:p>
        </w:tc>
        <w:tc>
          <w:tcPr>
            <w:tcW w:w="602" w:type="pct"/>
            <w:vAlign w:val="center"/>
          </w:tcPr>
          <w:p w14:paraId="3882560A" w14:textId="3D380CA3" w:rsidR="008D7627" w:rsidRPr="00950C0F" w:rsidRDefault="70B0533F" w:rsidP="56F9DD4F">
            <w:pPr>
              <w:pStyle w:val="TableText"/>
              <w:keepNext/>
              <w:keepLines/>
              <w:jc w:val="right"/>
              <w:rPr>
                <w:i/>
                <w:iCs/>
              </w:rPr>
            </w:pPr>
            <w:r w:rsidRPr="00950C0F">
              <w:t>Redacted</w:t>
            </w:r>
            <w:r w:rsidRPr="00950C0F">
              <w:rPr>
                <w:vertAlign w:val="superscript"/>
              </w:rPr>
              <w:t>3</w:t>
            </w:r>
            <w:r w:rsidR="34487F3B" w:rsidRPr="00950C0F">
              <w:rPr>
                <w:rFonts w:cs="Arial"/>
                <w:i/>
                <w:iCs/>
              </w:rPr>
              <w:t xml:space="preserve"> </w:t>
            </w:r>
          </w:p>
        </w:tc>
      </w:tr>
      <w:tr w:rsidR="004830EE" w:rsidRPr="000A7BB0" w14:paraId="157DEC37" w14:textId="77777777" w:rsidTr="56F9DD4F">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216A3CF4" w14:textId="00EF4677" w:rsidR="00833710" w:rsidRPr="00950C0F" w:rsidRDefault="4A76D857" w:rsidP="56F9DD4F">
            <w:pPr>
              <w:pStyle w:val="TableText"/>
              <w:keepNext/>
              <w:keepLines/>
              <w:rPr>
                <w:b/>
                <w:bCs/>
              </w:rPr>
            </w:pPr>
            <w:r w:rsidRPr="00950C0F">
              <w:rPr>
                <w:b/>
                <w:bCs/>
              </w:rPr>
              <w:t>Net cost Health budget</w:t>
            </w:r>
            <w:r w:rsidR="00560965" w:rsidRPr="00950C0F">
              <w:rPr>
                <w:b/>
                <w:bCs/>
              </w:rPr>
              <w:t xml:space="preserve"> </w:t>
            </w:r>
            <w:r w:rsidR="16F9FDBD" w:rsidRPr="00950C0F">
              <w:rPr>
                <w:b/>
                <w:bCs/>
              </w:rPr>
              <w:t>[C+D]</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127DF" w14:textId="2A4993D8" w:rsidR="00833710" w:rsidRPr="00950C0F" w:rsidRDefault="0811A339" w:rsidP="00850174">
            <w:pPr>
              <w:pStyle w:val="TableText"/>
              <w:keepNext/>
              <w:keepLines/>
              <w:jc w:val="right"/>
              <w:rPr>
                <w:vertAlign w:val="superscript"/>
              </w:rPr>
            </w:pPr>
            <w:r w:rsidRPr="00950C0F">
              <w:t xml:space="preserve"> </w:t>
            </w:r>
            <w:r w:rsidR="08192CCB" w:rsidRPr="00950C0F">
              <w:rPr>
                <w:b/>
                <w:bCs/>
              </w:rPr>
              <w:t>Redacted</w:t>
            </w:r>
            <w:r w:rsidR="08192CCB" w:rsidRPr="00950C0F">
              <w:rPr>
                <w:vertAlign w:val="superscript"/>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35793" w14:textId="2006C1B7" w:rsidR="00833710" w:rsidRPr="00950C0F" w:rsidRDefault="47E4AA37" w:rsidP="00850174">
            <w:pPr>
              <w:pStyle w:val="TableText"/>
              <w:keepNext/>
              <w:keepLines/>
              <w:jc w:val="right"/>
              <w:rPr>
                <w:rFonts w:cs="Arial"/>
                <w:b/>
                <w:i/>
                <w:color w:val="000000"/>
              </w:rPr>
            </w:pPr>
            <w:r w:rsidRPr="00950C0F">
              <w:t xml:space="preserve"> </w:t>
            </w:r>
            <w:r w:rsidR="7DC6635C" w:rsidRPr="00950C0F">
              <w:rPr>
                <w:b/>
                <w:bCs/>
              </w:rPr>
              <w:t>Redacted</w:t>
            </w:r>
            <w:r w:rsidR="7DC6635C" w:rsidRPr="00950C0F">
              <w:rPr>
                <w:vertAlign w:val="superscript"/>
              </w:rPr>
              <w:t>7</w:t>
            </w:r>
            <w:r w:rsidRPr="00950C0F">
              <w:rPr>
                <w:rFonts w:cs="Arial"/>
                <w:b/>
                <w:bCs/>
                <w:i/>
                <w:iCs/>
              </w:rPr>
              <w:t xml:space="preserve"> </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379C5" w14:textId="3E424739" w:rsidR="00833710" w:rsidRPr="00950C0F" w:rsidRDefault="72FC067B" w:rsidP="00850174">
            <w:pPr>
              <w:pStyle w:val="TableText"/>
              <w:keepNext/>
              <w:keepLines/>
              <w:jc w:val="right"/>
              <w:rPr>
                <w:rFonts w:cs="Arial"/>
                <w:b/>
                <w:i/>
                <w:color w:val="000000"/>
              </w:rPr>
            </w:pPr>
            <w:r w:rsidRPr="00950C0F">
              <w:t xml:space="preserve"> </w:t>
            </w:r>
            <w:r w:rsidR="476E031C" w:rsidRPr="00950C0F">
              <w:rPr>
                <w:b/>
                <w:bCs/>
              </w:rPr>
              <w:t>Redacted</w:t>
            </w:r>
            <w:r w:rsidR="476E031C" w:rsidRPr="00950C0F">
              <w:rPr>
                <w:vertAlign w:val="superscript"/>
              </w:rPr>
              <w:t>7</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34C78" w14:textId="0FB322F6" w:rsidR="00833710" w:rsidRPr="00950C0F" w:rsidRDefault="4228F871" w:rsidP="00850174">
            <w:pPr>
              <w:pStyle w:val="TableText"/>
              <w:keepNext/>
              <w:keepLines/>
              <w:jc w:val="right"/>
              <w:rPr>
                <w:rFonts w:cs="Arial"/>
                <w:b/>
                <w:i/>
                <w:color w:val="000000"/>
              </w:rPr>
            </w:pPr>
            <w:r w:rsidRPr="00950C0F">
              <w:t xml:space="preserve"> </w:t>
            </w:r>
            <w:r w:rsidR="3F3DB83B" w:rsidRPr="00950C0F">
              <w:rPr>
                <w:b/>
                <w:bCs/>
              </w:rPr>
              <w:t>Redacted</w:t>
            </w:r>
            <w:r w:rsidR="3F3DB83B" w:rsidRPr="00950C0F">
              <w:rPr>
                <w:vertAlign w:val="superscript"/>
              </w:rPr>
              <w:t>7</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3929" w14:textId="6650F542" w:rsidR="00833710" w:rsidRPr="00950C0F" w:rsidRDefault="3F3DB83B" w:rsidP="00850174">
            <w:pPr>
              <w:pStyle w:val="TableText"/>
              <w:keepNext/>
              <w:keepLines/>
              <w:jc w:val="right"/>
              <w:rPr>
                <w:rFonts w:cs="Arial"/>
                <w:b/>
                <w:i/>
                <w:color w:val="000000"/>
              </w:rPr>
            </w:pPr>
            <w:r w:rsidRPr="00950C0F">
              <w:rPr>
                <w:b/>
                <w:bCs/>
              </w:rPr>
              <w:t>Redacted</w:t>
            </w:r>
            <w:r w:rsidRPr="00950C0F">
              <w:rPr>
                <w:vertAlign w:val="superscript"/>
              </w:rPr>
              <w:t>5</w:t>
            </w:r>
            <w:r w:rsidR="4228F871" w:rsidRPr="00950C0F">
              <w:rPr>
                <w:rFonts w:cs="Arial"/>
                <w:b/>
                <w:bCs/>
                <w:i/>
                <w:iCs/>
              </w:rPr>
              <w:t xml:space="preserve"> </w:t>
            </w:r>
          </w:p>
        </w:tc>
        <w:tc>
          <w:tcPr>
            <w:tcW w:w="6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2C220" w14:textId="4ADDC02A" w:rsidR="00833710" w:rsidRPr="00950C0F" w:rsidRDefault="504A0023" w:rsidP="00850174">
            <w:pPr>
              <w:pStyle w:val="TableText"/>
              <w:keepNext/>
              <w:keepLines/>
              <w:jc w:val="right"/>
              <w:rPr>
                <w:rFonts w:cs="Arial"/>
                <w:b/>
                <w:i/>
                <w:color w:val="000000"/>
              </w:rPr>
            </w:pPr>
            <w:r w:rsidRPr="00950C0F">
              <w:rPr>
                <w:b/>
                <w:bCs/>
              </w:rPr>
              <w:t>Redacted</w:t>
            </w:r>
            <w:r w:rsidRPr="00950C0F">
              <w:rPr>
                <w:vertAlign w:val="superscript"/>
              </w:rPr>
              <w:t>5</w:t>
            </w:r>
            <w:r w:rsidR="4F1D9B53" w:rsidRPr="00950C0F">
              <w:rPr>
                <w:rFonts w:cs="Arial"/>
                <w:b/>
                <w:bCs/>
                <w:i/>
                <w:iCs/>
              </w:rPr>
              <w:t xml:space="preserve"> </w:t>
            </w:r>
          </w:p>
        </w:tc>
      </w:tr>
    </w:tbl>
    <w:p w14:paraId="506D8500" w14:textId="07B21E02" w:rsidR="00C905D6" w:rsidRPr="000A7BB0" w:rsidRDefault="00C905D6" w:rsidP="00C905D6">
      <w:pPr>
        <w:pStyle w:val="TableFooter"/>
      </w:pPr>
      <w:r w:rsidRPr="000A7BB0">
        <w:t>Source: Table 4.5, Tables 4.19,4.20 &amp; 4.21</w:t>
      </w:r>
      <w:r w:rsidR="10B41942">
        <w:t xml:space="preserve"> </w:t>
      </w:r>
      <w:r w:rsidRPr="000A7BB0">
        <w:t>of the submission.</w:t>
      </w:r>
    </w:p>
    <w:p w14:paraId="149440DF" w14:textId="4EBE9A13" w:rsidR="00C905D6" w:rsidRPr="000A7BB0" w:rsidRDefault="00C905D6" w:rsidP="00C905D6">
      <w:pPr>
        <w:pStyle w:val="TableFooter"/>
      </w:pPr>
      <w:r w:rsidRPr="000A7BB0">
        <w:rPr>
          <w:i/>
          <w:iCs/>
        </w:rPr>
        <w:t xml:space="preserve">ESR1 </w:t>
      </w:r>
      <w:r w:rsidRPr="000A7BB0">
        <w:t>= estrogen receptor 1</w:t>
      </w:r>
      <w:r w:rsidRPr="000A7BB0">
        <w:rPr>
          <w:i/>
          <w:iCs/>
        </w:rPr>
        <w:t xml:space="preserve">; </w:t>
      </w:r>
      <w:r w:rsidRPr="000A7BB0">
        <w:t>MBS = Medicare Benefits Schedule; NGS = next</w:t>
      </w:r>
      <w:r w:rsidR="005B2DFA" w:rsidRPr="000A7BB0">
        <w:t>-</w:t>
      </w:r>
      <w:r w:rsidRPr="000A7BB0">
        <w:t>generation sequencing</w:t>
      </w:r>
    </w:p>
    <w:p w14:paraId="168965C2" w14:textId="77777777" w:rsidR="00C905D6" w:rsidRPr="000A7BB0" w:rsidRDefault="00C905D6" w:rsidP="00C905D6">
      <w:pPr>
        <w:pStyle w:val="TableFooter"/>
      </w:pPr>
      <w:r w:rsidRPr="000A7BB0">
        <w:rPr>
          <w:vertAlign w:val="superscript"/>
        </w:rPr>
        <w:t>a</w:t>
      </w:r>
      <w:r w:rsidRPr="000A7BB0">
        <w:t xml:space="preserve"> includes</w:t>
      </w:r>
      <w:r w:rsidRPr="000A7BB0">
        <w:rPr>
          <w:vertAlign w:val="superscript"/>
        </w:rPr>
        <w:t xml:space="preserve"> </w:t>
      </w:r>
      <w:r w:rsidRPr="000A7BB0">
        <w:t>warehoused patients in year 1</w:t>
      </w:r>
    </w:p>
    <w:p w14:paraId="3011868A" w14:textId="77777777" w:rsidR="00C905D6" w:rsidRPr="000A7BB0" w:rsidRDefault="00C905D6" w:rsidP="00C905D6">
      <w:pPr>
        <w:pStyle w:val="TableFooter"/>
      </w:pPr>
      <w:r w:rsidRPr="000A7BB0">
        <w:rPr>
          <w:vertAlign w:val="superscript"/>
        </w:rPr>
        <w:t>b</w:t>
      </w:r>
      <w:r w:rsidRPr="000A7BB0">
        <w:t xml:space="preserve"> calculated by subtracting the number of patients with a positive 1</w:t>
      </w:r>
      <w:r w:rsidRPr="000A7BB0">
        <w:rPr>
          <w:vertAlign w:val="superscript"/>
        </w:rPr>
        <w:t>st</w:t>
      </w:r>
      <w:r w:rsidRPr="000A7BB0">
        <w:t xml:space="preserve"> test from the number of patients tested (1</w:t>
      </w:r>
      <w:r w:rsidRPr="000A7BB0">
        <w:rPr>
          <w:vertAlign w:val="superscript"/>
        </w:rPr>
        <w:t>st</w:t>
      </w:r>
      <w:r w:rsidRPr="000A7BB0">
        <w:t xml:space="preserve"> test), then multiplied by 0.90</w:t>
      </w:r>
    </w:p>
    <w:p w14:paraId="517C5918" w14:textId="478BCDE4" w:rsidR="006B1EC9" w:rsidRPr="000A7BB0" w:rsidRDefault="006B1EC9" w:rsidP="00C905D6">
      <w:pPr>
        <w:pStyle w:val="TableFooter"/>
      </w:pPr>
      <w:r w:rsidRPr="000A7BB0">
        <w:rPr>
          <w:vertAlign w:val="superscript"/>
        </w:rPr>
        <w:t xml:space="preserve">c </w:t>
      </w:r>
      <w:r w:rsidRPr="000A7BB0">
        <w:t xml:space="preserve">85% benefit and greatest permissible gap (=$102.40) applied to proposed test cost for </w:t>
      </w:r>
      <w:r w:rsidRPr="000A7BB0">
        <w:rPr>
          <w:i/>
          <w:iCs/>
        </w:rPr>
        <w:t>ESR1</w:t>
      </w:r>
      <w:r w:rsidRPr="000A7BB0">
        <w:t xml:space="preserve"> variants</w:t>
      </w:r>
      <w:r w:rsidR="00035A83" w:rsidRPr="000A7BB0">
        <w:t xml:space="preserve"> (all out of hospital services)</w:t>
      </w:r>
    </w:p>
    <w:p w14:paraId="1DA20948" w14:textId="2388271D" w:rsidR="000D0ABE" w:rsidRPr="000A7BB0" w:rsidRDefault="006B1EC9" w:rsidP="00C905D6">
      <w:pPr>
        <w:pStyle w:val="TableFooter"/>
      </w:pPr>
      <w:r w:rsidRPr="000A7BB0">
        <w:rPr>
          <w:vertAlign w:val="superscript"/>
        </w:rPr>
        <w:t>d</w:t>
      </w:r>
      <w:r w:rsidR="000D0ABE" w:rsidRPr="000A7BB0">
        <w:rPr>
          <w:vertAlign w:val="superscript"/>
        </w:rPr>
        <w:t xml:space="preserve"> </w:t>
      </w:r>
      <w:r w:rsidR="000D0ABE" w:rsidRPr="000A7BB0">
        <w:t>85% benefit applied to MBS item</w:t>
      </w:r>
      <w:r w:rsidRPr="000A7BB0">
        <w:t xml:space="preserve"> 13950</w:t>
      </w:r>
      <w:r w:rsidR="000D0ABE" w:rsidRPr="000A7BB0">
        <w:t xml:space="preserve"> (all out of hospital services)</w:t>
      </w:r>
    </w:p>
    <w:p w14:paraId="61B6EAF0" w14:textId="7353DD13" w:rsidR="00304943" w:rsidRPr="000A7BB0" w:rsidRDefault="00304943" w:rsidP="00C905D6">
      <w:pPr>
        <w:pStyle w:val="TableFooter"/>
      </w:pPr>
      <w:r w:rsidRPr="000A7BB0">
        <w:rPr>
          <w:vertAlign w:val="superscript"/>
        </w:rPr>
        <w:t>e</w:t>
      </w:r>
      <w:r w:rsidRPr="000A7BB0">
        <w:t xml:space="preserve"> Effective </w:t>
      </w:r>
      <w:r w:rsidR="00EB7B46" w:rsidRPr="000A7BB0">
        <w:t>price</w:t>
      </w:r>
      <w:r w:rsidR="0064503D" w:rsidRPr="000A7BB0">
        <w:t>s</w:t>
      </w:r>
    </w:p>
    <w:p w14:paraId="18D84C8B" w14:textId="5FDFB549" w:rsidR="4F45F278" w:rsidRPr="00950C0F" w:rsidRDefault="4F45F278" w:rsidP="006B1E9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rPr>
        <w:t>The redacted values correspond to the following ranges</w:t>
      </w:r>
      <w:r w:rsidR="48EE0865" w:rsidRPr="00950C0F">
        <w:rPr>
          <w:rFonts w:ascii="Arial Narrow" w:eastAsia="Arial Narrow" w:hAnsi="Arial Narrow" w:cs="Arial Narrow"/>
          <w:sz w:val="18"/>
          <w:szCs w:val="18"/>
        </w:rPr>
        <w:t>:</w:t>
      </w:r>
      <w:r w:rsidRPr="00950C0F">
        <w:rPr>
          <w:rFonts w:ascii="Arial Narrow" w:eastAsia="Arial Narrow" w:hAnsi="Arial Narrow" w:cs="Arial Narrow"/>
          <w:sz w:val="18"/>
          <w:szCs w:val="18"/>
        </w:rPr>
        <w:t xml:space="preserve"> </w:t>
      </w:r>
    </w:p>
    <w:p w14:paraId="0CA6AA66" w14:textId="3535DEA3" w:rsidR="4F45F278" w:rsidRPr="00950C0F" w:rsidRDefault="4F45F278" w:rsidP="006B1E9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1</w:t>
      </w:r>
      <w:r w:rsidRPr="00950C0F">
        <w:rPr>
          <w:rFonts w:ascii="Arial Narrow" w:eastAsia="Arial Narrow" w:hAnsi="Arial Narrow" w:cs="Arial Narrow"/>
          <w:sz w:val="18"/>
          <w:szCs w:val="18"/>
        </w:rPr>
        <w:t xml:space="preserve"> 500 to &lt; 5,000</w:t>
      </w:r>
    </w:p>
    <w:p w14:paraId="3DCB7433" w14:textId="53691147" w:rsidR="4F45F278" w:rsidRPr="00950C0F" w:rsidRDefault="4F45F278" w:rsidP="006B1E9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2</w:t>
      </w:r>
      <w:r w:rsidRPr="00950C0F">
        <w:rPr>
          <w:rFonts w:ascii="Arial Narrow" w:eastAsia="Arial Narrow" w:hAnsi="Arial Narrow" w:cs="Arial Narrow"/>
          <w:sz w:val="18"/>
          <w:szCs w:val="18"/>
        </w:rPr>
        <w:t xml:space="preserve"> &lt; </w:t>
      </w:r>
      <w:r w:rsidR="3C2A6068" w:rsidRPr="00950C0F">
        <w:rPr>
          <w:rFonts w:ascii="Arial Narrow" w:eastAsia="Arial Narrow" w:hAnsi="Arial Narrow" w:cs="Arial Narrow"/>
          <w:sz w:val="18"/>
          <w:szCs w:val="18"/>
        </w:rPr>
        <w:t>50</w:t>
      </w:r>
      <w:r w:rsidRPr="00950C0F">
        <w:rPr>
          <w:rFonts w:ascii="Arial Narrow" w:eastAsia="Arial Narrow" w:hAnsi="Arial Narrow" w:cs="Arial Narrow"/>
          <w:sz w:val="18"/>
          <w:szCs w:val="18"/>
        </w:rPr>
        <w:t>0</w:t>
      </w:r>
    </w:p>
    <w:p w14:paraId="085FC3A8" w14:textId="57D5F331" w:rsidR="4F45F278" w:rsidRPr="00950C0F" w:rsidRDefault="4F45F278" w:rsidP="006B1E9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3</w:t>
      </w:r>
      <w:r w:rsidRPr="00950C0F">
        <w:rPr>
          <w:rFonts w:ascii="Arial Narrow" w:eastAsia="Arial Narrow" w:hAnsi="Arial Narrow" w:cs="Arial Narrow"/>
          <w:sz w:val="18"/>
          <w:szCs w:val="18"/>
        </w:rPr>
        <w:t xml:space="preserve"> $0 to &lt; $10 million </w:t>
      </w:r>
    </w:p>
    <w:p w14:paraId="426D8479" w14:textId="4A31E609" w:rsidR="4F45F278" w:rsidRPr="00950C0F" w:rsidRDefault="4F45F278" w:rsidP="006B1E9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4</w:t>
      </w:r>
      <w:r w:rsidR="390348CB" w:rsidRPr="00950C0F">
        <w:rPr>
          <w:rFonts w:ascii="Arial Narrow" w:eastAsia="Arial Narrow" w:hAnsi="Arial Narrow" w:cs="Arial Narrow"/>
          <w:sz w:val="18"/>
          <w:szCs w:val="18"/>
          <w:vertAlign w:val="superscript"/>
        </w:rPr>
        <w:t xml:space="preserve"> </w:t>
      </w:r>
      <w:r w:rsidR="390348CB" w:rsidRPr="00950C0F">
        <w:rPr>
          <w:rFonts w:ascii="Arial Narrow" w:eastAsia="Arial Narrow" w:hAnsi="Arial Narrow" w:cs="Arial Narrow"/>
          <w:sz w:val="18"/>
          <w:szCs w:val="18"/>
        </w:rPr>
        <w:t>net cost saving</w:t>
      </w:r>
      <w:r w:rsidRPr="00950C0F">
        <w:rPr>
          <w:rFonts w:ascii="Arial Narrow" w:eastAsia="Arial Narrow" w:hAnsi="Arial Narrow" w:cs="Arial Narrow"/>
          <w:sz w:val="18"/>
          <w:szCs w:val="18"/>
        </w:rPr>
        <w:t xml:space="preserve"> </w:t>
      </w:r>
    </w:p>
    <w:p w14:paraId="4FF30BD5" w14:textId="35621A6D" w:rsidR="4F45F278" w:rsidRPr="00950C0F" w:rsidRDefault="4F45F278" w:rsidP="006B1E9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 xml:space="preserve">5 </w:t>
      </w:r>
      <w:r w:rsidR="1FF32DEC" w:rsidRPr="00950C0F">
        <w:rPr>
          <w:rFonts w:ascii="Arial Narrow" w:eastAsia="Arial Narrow" w:hAnsi="Arial Narrow" w:cs="Arial Narrow"/>
          <w:sz w:val="18"/>
          <w:szCs w:val="18"/>
        </w:rPr>
        <w:t>$30 million to &lt; $40 million</w:t>
      </w:r>
    </w:p>
    <w:p w14:paraId="31408120" w14:textId="4662BF49" w:rsidR="4F45F278" w:rsidRPr="00950C0F" w:rsidRDefault="4F45F278" w:rsidP="15370F7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6</w:t>
      </w:r>
      <w:r w:rsidRPr="00950C0F">
        <w:rPr>
          <w:rFonts w:ascii="Arial Narrow" w:eastAsia="Arial Narrow" w:hAnsi="Arial Narrow" w:cs="Arial Narrow"/>
          <w:sz w:val="18"/>
          <w:szCs w:val="18"/>
        </w:rPr>
        <w:t xml:space="preserve"> </w:t>
      </w:r>
      <w:r w:rsidR="4F25B517" w:rsidRPr="00950C0F">
        <w:rPr>
          <w:rFonts w:ascii="Arial Narrow" w:eastAsia="Arial Narrow" w:hAnsi="Arial Narrow" w:cs="Arial Narrow"/>
          <w:sz w:val="18"/>
          <w:szCs w:val="18"/>
        </w:rPr>
        <w:t>$10 million to &lt; $20 million</w:t>
      </w:r>
    </w:p>
    <w:p w14:paraId="4D763458" w14:textId="6DA98090" w:rsidR="4F45F278" w:rsidRPr="006B1E9B" w:rsidRDefault="4F45F278" w:rsidP="15370F7B">
      <w:pPr>
        <w:spacing w:before="0" w:after="0"/>
        <w:jc w:val="both"/>
        <w:rPr>
          <w:rFonts w:ascii="Arial Narrow" w:eastAsia="Arial Narrow" w:hAnsi="Arial Narrow" w:cs="Arial Narrow"/>
          <w:sz w:val="18"/>
          <w:szCs w:val="18"/>
        </w:rPr>
      </w:pPr>
      <w:r w:rsidRPr="006B1E9B">
        <w:rPr>
          <w:rFonts w:ascii="Arial Narrow" w:eastAsia="Arial Narrow" w:hAnsi="Arial Narrow" w:cs="Arial Narrow"/>
          <w:sz w:val="18"/>
          <w:szCs w:val="18"/>
          <w:vertAlign w:val="superscript"/>
        </w:rPr>
        <w:t>7</w:t>
      </w:r>
      <w:r w:rsidRPr="006B1E9B">
        <w:rPr>
          <w:rFonts w:ascii="Arial Narrow" w:eastAsia="Arial Narrow" w:hAnsi="Arial Narrow" w:cs="Arial Narrow"/>
          <w:sz w:val="18"/>
          <w:szCs w:val="18"/>
        </w:rPr>
        <w:t xml:space="preserve"> </w:t>
      </w:r>
      <w:r w:rsidR="549FA759" w:rsidRPr="00950C0F">
        <w:rPr>
          <w:rFonts w:ascii="Arial Narrow" w:eastAsia="Arial Narrow" w:hAnsi="Arial Narrow" w:cs="Arial Narrow"/>
          <w:sz w:val="18"/>
          <w:szCs w:val="18"/>
        </w:rPr>
        <w:t>$20 million to &lt; $30 million</w:t>
      </w:r>
    </w:p>
    <w:p w14:paraId="670EA9BF" w14:textId="289E6121" w:rsidR="00FF61F2" w:rsidRPr="00357EBF" w:rsidRDefault="53880FE5" w:rsidP="00357EBF">
      <w:r w:rsidRPr="00357EBF">
        <w:t>Table</w:t>
      </w:r>
      <w:r w:rsidR="006D7BC5">
        <w:t xml:space="preserve"> </w:t>
      </w:r>
      <w:r w:rsidRPr="00357EBF">
        <w:t>1</w:t>
      </w:r>
      <w:r w:rsidR="31E88D22" w:rsidRPr="00357EBF">
        <w:t>5</w:t>
      </w:r>
      <w:r w:rsidRPr="00357EBF">
        <w:t xml:space="preserve"> presents the results of additional sensitivity analyses </w:t>
      </w:r>
      <w:r w:rsidR="7A8E8544" w:rsidRPr="00357EBF">
        <w:t xml:space="preserve">on financial estimates as </w:t>
      </w:r>
      <w:r w:rsidRPr="00357EBF">
        <w:t>requested by ESCs post-ESCs.</w:t>
      </w:r>
    </w:p>
    <w:p w14:paraId="6BDF62CA" w14:textId="7B85ACDB" w:rsidR="00EE6121" w:rsidRPr="000A7BB0" w:rsidRDefault="07D09FF3" w:rsidP="00850174">
      <w:pPr>
        <w:pStyle w:val="Caption"/>
        <w:keepLines/>
      </w:pPr>
      <w:r>
        <w:lastRenderedPageBreak/>
        <w:t>Table</w:t>
      </w:r>
      <w:r w:rsidR="393841A2">
        <w:t xml:space="preserve"> </w:t>
      </w:r>
      <w:r>
        <w:t>1</w:t>
      </w:r>
      <w:r w:rsidR="35B3608C">
        <w:t>5</w:t>
      </w:r>
      <w:r>
        <w:t xml:space="preserve"> </w:t>
      </w:r>
      <w:r w:rsidR="4FD59954">
        <w:t xml:space="preserve">Additional sensitivity analyses </w:t>
      </w:r>
      <w:r w:rsidR="36B63B0E">
        <w:t xml:space="preserve">on </w:t>
      </w:r>
      <w:r w:rsidR="68488E67">
        <w:t xml:space="preserve">net cost to MBS </w:t>
      </w:r>
      <w:r w:rsidR="4C4B478E">
        <w:t xml:space="preserve">as </w:t>
      </w:r>
      <w:r w:rsidR="54F2B001">
        <w:t xml:space="preserve">requested by </w:t>
      </w:r>
      <w:r w:rsidR="4FD59954">
        <w:t xml:space="preserve">ESCs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2"/>
        <w:gridCol w:w="1038"/>
        <w:gridCol w:w="1039"/>
        <w:gridCol w:w="1037"/>
        <w:gridCol w:w="1039"/>
        <w:gridCol w:w="1037"/>
        <w:gridCol w:w="1035"/>
        <w:gridCol w:w="1039"/>
      </w:tblGrid>
      <w:tr w:rsidR="003E7D11" w:rsidRPr="000A7BB0" w14:paraId="057C24AE" w14:textId="5A840FD4" w:rsidTr="56F9DD4F">
        <w:trPr>
          <w:tblHeader/>
          <w:jc w:val="center"/>
        </w:trPr>
        <w:tc>
          <w:tcPr>
            <w:tcW w:w="972" w:type="pct"/>
            <w:tcBorders>
              <w:bottom w:val="single" w:sz="4" w:space="0" w:color="auto"/>
            </w:tcBorders>
            <w:vAlign w:val="center"/>
          </w:tcPr>
          <w:p w14:paraId="73DDCA74" w14:textId="77777777" w:rsidR="003E7D11" w:rsidRPr="000A7BB0" w:rsidRDefault="003E7D11" w:rsidP="00850174">
            <w:pPr>
              <w:pStyle w:val="TableText"/>
              <w:keepNext/>
              <w:keepLines/>
              <w:rPr>
                <w:b/>
              </w:rPr>
            </w:pPr>
          </w:p>
        </w:tc>
        <w:tc>
          <w:tcPr>
            <w:tcW w:w="576" w:type="pct"/>
            <w:tcBorders>
              <w:bottom w:val="single" w:sz="4" w:space="0" w:color="auto"/>
            </w:tcBorders>
            <w:vAlign w:val="center"/>
          </w:tcPr>
          <w:p w14:paraId="1EACB3B6" w14:textId="77777777" w:rsidR="003E7D11" w:rsidRPr="000A7BB0" w:rsidRDefault="003E7D11" w:rsidP="00850174">
            <w:pPr>
              <w:pStyle w:val="TableText"/>
              <w:keepNext/>
              <w:keepLines/>
              <w:jc w:val="center"/>
              <w:rPr>
                <w:b/>
              </w:rPr>
            </w:pPr>
            <w:r w:rsidRPr="000A7BB0">
              <w:rPr>
                <w:b/>
              </w:rPr>
              <w:t>Year 1</w:t>
            </w:r>
          </w:p>
          <w:p w14:paraId="6277126D" w14:textId="77777777" w:rsidR="003E7D11" w:rsidRPr="000A7BB0" w:rsidRDefault="003E7D11" w:rsidP="00850174">
            <w:pPr>
              <w:pStyle w:val="TableText"/>
              <w:keepNext/>
              <w:keepLines/>
              <w:jc w:val="center"/>
              <w:rPr>
                <w:b/>
              </w:rPr>
            </w:pPr>
            <w:r w:rsidRPr="000A7BB0">
              <w:rPr>
                <w:b/>
              </w:rPr>
              <w:t>2026</w:t>
            </w:r>
          </w:p>
        </w:tc>
        <w:tc>
          <w:tcPr>
            <w:tcW w:w="576" w:type="pct"/>
            <w:tcBorders>
              <w:bottom w:val="single" w:sz="4" w:space="0" w:color="auto"/>
            </w:tcBorders>
            <w:vAlign w:val="center"/>
          </w:tcPr>
          <w:p w14:paraId="0D0ABA1D" w14:textId="77777777" w:rsidR="003E7D11" w:rsidRPr="000A7BB0" w:rsidRDefault="003E7D11" w:rsidP="00850174">
            <w:pPr>
              <w:pStyle w:val="TableText"/>
              <w:keepNext/>
              <w:keepLines/>
              <w:jc w:val="center"/>
              <w:rPr>
                <w:b/>
              </w:rPr>
            </w:pPr>
            <w:r w:rsidRPr="000A7BB0">
              <w:rPr>
                <w:b/>
              </w:rPr>
              <w:t>Year 2</w:t>
            </w:r>
          </w:p>
          <w:p w14:paraId="6F92AE31" w14:textId="77777777" w:rsidR="003E7D11" w:rsidRPr="000A7BB0" w:rsidRDefault="003E7D11" w:rsidP="00850174">
            <w:pPr>
              <w:pStyle w:val="TableText"/>
              <w:keepNext/>
              <w:keepLines/>
              <w:jc w:val="center"/>
              <w:rPr>
                <w:b/>
              </w:rPr>
            </w:pPr>
            <w:r w:rsidRPr="000A7BB0">
              <w:rPr>
                <w:b/>
              </w:rPr>
              <w:t>2027</w:t>
            </w:r>
          </w:p>
        </w:tc>
        <w:tc>
          <w:tcPr>
            <w:tcW w:w="575" w:type="pct"/>
            <w:tcBorders>
              <w:bottom w:val="single" w:sz="4" w:space="0" w:color="auto"/>
            </w:tcBorders>
            <w:vAlign w:val="center"/>
          </w:tcPr>
          <w:p w14:paraId="69318ED3" w14:textId="77777777" w:rsidR="003E7D11" w:rsidRPr="000A7BB0" w:rsidRDefault="003E7D11" w:rsidP="00850174">
            <w:pPr>
              <w:pStyle w:val="TableText"/>
              <w:keepNext/>
              <w:keepLines/>
              <w:jc w:val="center"/>
              <w:rPr>
                <w:b/>
              </w:rPr>
            </w:pPr>
            <w:r w:rsidRPr="000A7BB0">
              <w:rPr>
                <w:b/>
              </w:rPr>
              <w:t>Year 3</w:t>
            </w:r>
          </w:p>
          <w:p w14:paraId="2D412CC4" w14:textId="77777777" w:rsidR="003E7D11" w:rsidRPr="000A7BB0" w:rsidRDefault="003E7D11" w:rsidP="00850174">
            <w:pPr>
              <w:pStyle w:val="TableText"/>
              <w:keepNext/>
              <w:keepLines/>
              <w:jc w:val="center"/>
              <w:rPr>
                <w:b/>
              </w:rPr>
            </w:pPr>
            <w:r w:rsidRPr="000A7BB0">
              <w:rPr>
                <w:b/>
              </w:rPr>
              <w:t>2028</w:t>
            </w:r>
          </w:p>
        </w:tc>
        <w:tc>
          <w:tcPr>
            <w:tcW w:w="576" w:type="pct"/>
            <w:tcBorders>
              <w:bottom w:val="single" w:sz="4" w:space="0" w:color="auto"/>
            </w:tcBorders>
            <w:vAlign w:val="center"/>
          </w:tcPr>
          <w:p w14:paraId="385F1533" w14:textId="77777777" w:rsidR="003E7D11" w:rsidRPr="000A7BB0" w:rsidRDefault="003E7D11" w:rsidP="00850174">
            <w:pPr>
              <w:pStyle w:val="TableText"/>
              <w:keepNext/>
              <w:keepLines/>
              <w:jc w:val="center"/>
              <w:rPr>
                <w:b/>
              </w:rPr>
            </w:pPr>
            <w:r w:rsidRPr="000A7BB0">
              <w:rPr>
                <w:b/>
              </w:rPr>
              <w:t>Year 4</w:t>
            </w:r>
          </w:p>
          <w:p w14:paraId="32BD0FA2" w14:textId="77777777" w:rsidR="003E7D11" w:rsidRPr="000A7BB0" w:rsidRDefault="003E7D11" w:rsidP="00850174">
            <w:pPr>
              <w:pStyle w:val="TableText"/>
              <w:keepNext/>
              <w:keepLines/>
              <w:jc w:val="center"/>
              <w:rPr>
                <w:b/>
              </w:rPr>
            </w:pPr>
            <w:r w:rsidRPr="000A7BB0">
              <w:rPr>
                <w:b/>
              </w:rPr>
              <w:t>2029</w:t>
            </w:r>
          </w:p>
        </w:tc>
        <w:tc>
          <w:tcPr>
            <w:tcW w:w="575" w:type="pct"/>
            <w:tcBorders>
              <w:bottom w:val="single" w:sz="4" w:space="0" w:color="auto"/>
            </w:tcBorders>
            <w:vAlign w:val="center"/>
          </w:tcPr>
          <w:p w14:paraId="1A0D85FB" w14:textId="77777777" w:rsidR="003E7D11" w:rsidRPr="000A7BB0" w:rsidRDefault="003E7D11" w:rsidP="00850174">
            <w:pPr>
              <w:pStyle w:val="TableText"/>
              <w:keepNext/>
              <w:keepLines/>
              <w:jc w:val="center"/>
              <w:rPr>
                <w:b/>
              </w:rPr>
            </w:pPr>
            <w:r w:rsidRPr="000A7BB0">
              <w:rPr>
                <w:b/>
              </w:rPr>
              <w:t>Year 5</w:t>
            </w:r>
          </w:p>
          <w:p w14:paraId="13D9B6A4" w14:textId="77777777" w:rsidR="003E7D11" w:rsidRPr="000A7BB0" w:rsidRDefault="003E7D11" w:rsidP="00850174">
            <w:pPr>
              <w:pStyle w:val="TableText"/>
              <w:keepNext/>
              <w:keepLines/>
              <w:jc w:val="center"/>
              <w:rPr>
                <w:b/>
              </w:rPr>
            </w:pPr>
            <w:r w:rsidRPr="000A7BB0">
              <w:rPr>
                <w:b/>
              </w:rPr>
              <w:t>2030</w:t>
            </w:r>
          </w:p>
        </w:tc>
        <w:tc>
          <w:tcPr>
            <w:tcW w:w="574" w:type="pct"/>
            <w:tcBorders>
              <w:bottom w:val="single" w:sz="4" w:space="0" w:color="auto"/>
            </w:tcBorders>
          </w:tcPr>
          <w:p w14:paraId="22407DDB" w14:textId="77777777" w:rsidR="003E7D11" w:rsidRPr="000A7BB0" w:rsidRDefault="003E7D11" w:rsidP="00850174">
            <w:pPr>
              <w:pStyle w:val="TableText"/>
              <w:keepNext/>
              <w:keepLines/>
              <w:jc w:val="center"/>
              <w:rPr>
                <w:b/>
              </w:rPr>
            </w:pPr>
            <w:r w:rsidRPr="000A7BB0">
              <w:rPr>
                <w:b/>
              </w:rPr>
              <w:t>Year 6</w:t>
            </w:r>
          </w:p>
          <w:p w14:paraId="1F2910F4" w14:textId="77777777" w:rsidR="003E7D11" w:rsidRPr="000A7BB0" w:rsidRDefault="003E7D11" w:rsidP="00850174">
            <w:pPr>
              <w:pStyle w:val="TableText"/>
              <w:keepNext/>
              <w:keepLines/>
              <w:jc w:val="center"/>
              <w:rPr>
                <w:b/>
              </w:rPr>
            </w:pPr>
            <w:r w:rsidRPr="000A7BB0">
              <w:rPr>
                <w:b/>
              </w:rPr>
              <w:t>2031</w:t>
            </w:r>
          </w:p>
        </w:tc>
        <w:tc>
          <w:tcPr>
            <w:tcW w:w="576" w:type="pct"/>
            <w:tcBorders>
              <w:bottom w:val="single" w:sz="4" w:space="0" w:color="auto"/>
            </w:tcBorders>
            <w:vAlign w:val="center"/>
          </w:tcPr>
          <w:p w14:paraId="176015FA" w14:textId="5C81CA17" w:rsidR="003E7D11" w:rsidRPr="000A7BB0" w:rsidRDefault="00D301C2" w:rsidP="00850174">
            <w:pPr>
              <w:pStyle w:val="TableText"/>
              <w:keepNext/>
              <w:keepLines/>
              <w:jc w:val="center"/>
              <w:rPr>
                <w:b/>
              </w:rPr>
            </w:pPr>
            <w:r w:rsidRPr="000A7BB0">
              <w:rPr>
                <w:b/>
              </w:rPr>
              <w:t>Years 1-6</w:t>
            </w:r>
          </w:p>
        </w:tc>
      </w:tr>
      <w:tr w:rsidR="00664C4D" w:rsidRPr="000A7BB0" w14:paraId="1F92AC32" w14:textId="77777777" w:rsidTr="56F9DD4F">
        <w:trPr>
          <w:jc w:val="center"/>
        </w:trPr>
        <w:tc>
          <w:tcPr>
            <w:tcW w:w="5000" w:type="pct"/>
            <w:gridSpan w:val="8"/>
            <w:vAlign w:val="center"/>
          </w:tcPr>
          <w:p w14:paraId="532A79E2" w14:textId="6809A5FF" w:rsidR="00664C4D" w:rsidRPr="000A7BB0" w:rsidRDefault="00664C4D" w:rsidP="00850174">
            <w:pPr>
              <w:pStyle w:val="TableText"/>
              <w:keepNext/>
              <w:keepLines/>
              <w:rPr>
                <w:b/>
                <w:bCs/>
              </w:rPr>
            </w:pPr>
            <w:r w:rsidRPr="000A7BB0">
              <w:rPr>
                <w:b/>
                <w:bCs/>
              </w:rPr>
              <w:t>Total test numbers</w:t>
            </w:r>
          </w:p>
        </w:tc>
      </w:tr>
      <w:tr w:rsidR="00926295" w:rsidRPr="000A7BB0" w14:paraId="4849888B" w14:textId="77777777" w:rsidTr="56F9DD4F">
        <w:trPr>
          <w:jc w:val="center"/>
        </w:trPr>
        <w:tc>
          <w:tcPr>
            <w:tcW w:w="5000" w:type="pct"/>
            <w:gridSpan w:val="8"/>
            <w:vAlign w:val="center"/>
          </w:tcPr>
          <w:p w14:paraId="42D6DF83" w14:textId="1AFE5667" w:rsidR="00926295" w:rsidRPr="00950C0F" w:rsidRDefault="00B866A6" w:rsidP="00850174">
            <w:pPr>
              <w:pStyle w:val="TableText"/>
              <w:keepNext/>
              <w:keepLines/>
              <w:rPr>
                <w:rFonts w:cs="Arial"/>
                <w:b/>
                <w:color w:val="000000"/>
              </w:rPr>
            </w:pPr>
            <w:r w:rsidRPr="6C16F517">
              <w:rPr>
                <w:b/>
              </w:rPr>
              <w:t>ESR1</w:t>
            </w:r>
            <w:r w:rsidRPr="000A7BB0">
              <w:rPr>
                <w:b/>
                <w:bCs/>
              </w:rPr>
              <w:t xml:space="preserve"> prevalence </w:t>
            </w:r>
          </w:p>
        </w:tc>
      </w:tr>
      <w:tr w:rsidR="004B2F02" w:rsidRPr="00950C0F" w14:paraId="219E09BB" w14:textId="77777777" w:rsidTr="56F9DD4F">
        <w:trPr>
          <w:jc w:val="center"/>
        </w:trPr>
        <w:tc>
          <w:tcPr>
            <w:tcW w:w="972" w:type="pct"/>
            <w:vAlign w:val="center"/>
          </w:tcPr>
          <w:p w14:paraId="003FB853" w14:textId="20B35E34" w:rsidR="004B2F02" w:rsidRPr="00950C0F" w:rsidRDefault="00C9756B" w:rsidP="00850174">
            <w:pPr>
              <w:pStyle w:val="TableText"/>
              <w:keepNext/>
              <w:keepLines/>
            </w:pPr>
            <w:r w:rsidRPr="00950C0F">
              <w:t xml:space="preserve">BC: </w:t>
            </w:r>
            <w:r w:rsidR="000A4AFC" w:rsidRPr="00950C0F">
              <w:t xml:space="preserve">47.7% at each test of 2 tests </w:t>
            </w:r>
            <w:r w:rsidR="009369FC" w:rsidRPr="00950C0F">
              <w:t>(submission)</w:t>
            </w:r>
          </w:p>
        </w:tc>
        <w:tc>
          <w:tcPr>
            <w:tcW w:w="576" w:type="pct"/>
            <w:shd w:val="clear" w:color="auto" w:fill="FFFFFF" w:themeFill="background1"/>
            <w:vAlign w:val="center"/>
          </w:tcPr>
          <w:p w14:paraId="278F0452" w14:textId="15A9D0B7" w:rsidR="004B2F02" w:rsidRPr="00950C0F" w:rsidRDefault="0ED3BAB6" w:rsidP="56F9DD4F">
            <w:pPr>
              <w:pStyle w:val="TableText"/>
              <w:keepNext/>
              <w:keepLines/>
              <w:jc w:val="center"/>
              <w:rPr>
                <w:rFonts w:cs="Arial"/>
                <w:color w:val="000000"/>
                <w:vertAlign w:val="superscript"/>
              </w:rPr>
            </w:pPr>
            <w:r w:rsidRPr="00950C0F">
              <w:t>Redacted</w:t>
            </w:r>
            <w:r w:rsidRPr="00950C0F">
              <w:rPr>
                <w:vertAlign w:val="superscript"/>
              </w:rPr>
              <w:t>1</w:t>
            </w:r>
          </w:p>
        </w:tc>
        <w:tc>
          <w:tcPr>
            <w:tcW w:w="576" w:type="pct"/>
            <w:shd w:val="clear" w:color="auto" w:fill="FFFFFF" w:themeFill="background1"/>
            <w:vAlign w:val="center"/>
          </w:tcPr>
          <w:p w14:paraId="34A59229" w14:textId="2EB8C011" w:rsidR="004B2F02" w:rsidRPr="00950C0F" w:rsidRDefault="4A1D408F" w:rsidP="56F9DD4F">
            <w:pPr>
              <w:pStyle w:val="TableText"/>
              <w:keepNext/>
              <w:keepLines/>
              <w:jc w:val="center"/>
              <w:rPr>
                <w:rFonts w:cs="Arial"/>
                <w:color w:val="000000"/>
                <w:vertAlign w:val="superscript"/>
              </w:rPr>
            </w:pPr>
            <w:r w:rsidRPr="00950C0F">
              <w:t xml:space="preserve"> Redacted</w:t>
            </w:r>
            <w:r w:rsidRPr="00950C0F">
              <w:rPr>
                <w:vertAlign w:val="superscript"/>
              </w:rPr>
              <w:t>1</w:t>
            </w:r>
          </w:p>
        </w:tc>
        <w:tc>
          <w:tcPr>
            <w:tcW w:w="575" w:type="pct"/>
            <w:shd w:val="clear" w:color="auto" w:fill="FFFFFF" w:themeFill="background1"/>
            <w:vAlign w:val="center"/>
          </w:tcPr>
          <w:p w14:paraId="4EE504FD" w14:textId="00AD1FE0" w:rsidR="004B2F02" w:rsidRPr="00950C0F" w:rsidRDefault="0AABE0C3" w:rsidP="56F9DD4F">
            <w:pPr>
              <w:pStyle w:val="TableText"/>
              <w:keepNext/>
              <w:keepLines/>
              <w:jc w:val="center"/>
              <w:rPr>
                <w:rFonts w:cs="Arial"/>
                <w:color w:val="000000"/>
                <w:vertAlign w:val="superscript"/>
              </w:rPr>
            </w:pPr>
            <w:r w:rsidRPr="00950C0F">
              <w:t xml:space="preserve"> Redacted</w:t>
            </w:r>
            <w:r w:rsidRPr="00950C0F">
              <w:rPr>
                <w:vertAlign w:val="superscript"/>
              </w:rPr>
              <w:t>1</w:t>
            </w:r>
          </w:p>
        </w:tc>
        <w:tc>
          <w:tcPr>
            <w:tcW w:w="576" w:type="pct"/>
            <w:shd w:val="clear" w:color="auto" w:fill="FFFFFF" w:themeFill="background1"/>
            <w:vAlign w:val="center"/>
          </w:tcPr>
          <w:p w14:paraId="42FD2C6F" w14:textId="0CAC83BC" w:rsidR="004B2F02" w:rsidRPr="00950C0F" w:rsidRDefault="430D95BE" w:rsidP="56F9DD4F">
            <w:pPr>
              <w:pStyle w:val="TableText"/>
              <w:keepNext/>
              <w:keepLines/>
              <w:jc w:val="center"/>
              <w:rPr>
                <w:rFonts w:cs="Arial"/>
                <w:color w:val="000000"/>
              </w:rPr>
            </w:pPr>
            <w:r w:rsidRPr="00950C0F">
              <w:t>Redacted</w:t>
            </w:r>
            <w:r w:rsidRPr="00950C0F">
              <w:rPr>
                <w:vertAlign w:val="superscript"/>
              </w:rPr>
              <w:t>1</w:t>
            </w:r>
          </w:p>
        </w:tc>
        <w:tc>
          <w:tcPr>
            <w:tcW w:w="575" w:type="pct"/>
            <w:shd w:val="clear" w:color="auto" w:fill="FFFFFF" w:themeFill="background1"/>
            <w:vAlign w:val="center"/>
          </w:tcPr>
          <w:p w14:paraId="059E85F4" w14:textId="51466EFB" w:rsidR="004B2F02" w:rsidRPr="00950C0F" w:rsidRDefault="7E6AA640" w:rsidP="56F9DD4F">
            <w:pPr>
              <w:pStyle w:val="TableText"/>
              <w:keepNext/>
              <w:keepLines/>
              <w:jc w:val="center"/>
              <w:rPr>
                <w:rFonts w:cs="Arial"/>
                <w:color w:val="000000"/>
                <w:vertAlign w:val="superscript"/>
              </w:rPr>
            </w:pPr>
            <w:r w:rsidRPr="00950C0F">
              <w:t xml:space="preserve"> Redacted</w:t>
            </w:r>
            <w:r w:rsidRPr="00950C0F">
              <w:rPr>
                <w:vertAlign w:val="superscript"/>
              </w:rPr>
              <w:t>1</w:t>
            </w:r>
          </w:p>
        </w:tc>
        <w:tc>
          <w:tcPr>
            <w:tcW w:w="574" w:type="pct"/>
            <w:shd w:val="clear" w:color="auto" w:fill="FFFFFF" w:themeFill="background1"/>
            <w:vAlign w:val="center"/>
          </w:tcPr>
          <w:p w14:paraId="2D859D23" w14:textId="161C748E" w:rsidR="004B2F02" w:rsidRPr="00950C0F" w:rsidRDefault="38CC6F3D" w:rsidP="56F9DD4F">
            <w:pPr>
              <w:pStyle w:val="TableText"/>
              <w:keepNext/>
              <w:keepLines/>
              <w:jc w:val="center"/>
              <w:rPr>
                <w:rFonts w:cs="Arial"/>
                <w:color w:val="000000"/>
                <w:vertAlign w:val="superscript"/>
              </w:rPr>
            </w:pPr>
            <w:r w:rsidRPr="00950C0F">
              <w:t xml:space="preserve"> Redacted</w:t>
            </w:r>
            <w:r w:rsidRPr="00950C0F">
              <w:rPr>
                <w:vertAlign w:val="superscript"/>
              </w:rPr>
              <w:t>1</w:t>
            </w:r>
          </w:p>
        </w:tc>
        <w:tc>
          <w:tcPr>
            <w:tcW w:w="576" w:type="pct"/>
            <w:shd w:val="clear" w:color="auto" w:fill="FFFFFF" w:themeFill="background1"/>
            <w:vAlign w:val="center"/>
          </w:tcPr>
          <w:p w14:paraId="79EA03BB" w14:textId="5CB033D1" w:rsidR="004B2F02" w:rsidRPr="00950C0F" w:rsidRDefault="25DC913E" w:rsidP="56F9DD4F">
            <w:pPr>
              <w:pStyle w:val="TableText"/>
              <w:keepNext/>
              <w:keepLines/>
              <w:jc w:val="center"/>
              <w:rPr>
                <w:rFonts w:cs="Arial"/>
                <w:color w:val="000000"/>
              </w:rPr>
            </w:pPr>
            <w:r w:rsidRPr="00950C0F">
              <w:t>Redacted</w:t>
            </w:r>
            <w:r w:rsidRPr="00950C0F">
              <w:rPr>
                <w:vertAlign w:val="superscript"/>
              </w:rPr>
              <w:t>2</w:t>
            </w:r>
          </w:p>
        </w:tc>
      </w:tr>
      <w:tr w:rsidR="002A17B5" w:rsidRPr="00950C0F" w14:paraId="4EE7F366" w14:textId="77777777" w:rsidTr="56F9DD4F">
        <w:trPr>
          <w:jc w:val="center"/>
        </w:trPr>
        <w:tc>
          <w:tcPr>
            <w:tcW w:w="972" w:type="pct"/>
            <w:vAlign w:val="center"/>
          </w:tcPr>
          <w:p w14:paraId="4C133F59" w14:textId="1ECC855D" w:rsidR="002A17B5" w:rsidRPr="00950C0F" w:rsidRDefault="002A17B5" w:rsidP="00850174">
            <w:pPr>
              <w:pStyle w:val="TableText"/>
              <w:keepNext/>
              <w:keepLines/>
            </w:pPr>
            <w:r w:rsidRPr="00950C0F">
              <w:t>47.7% across both tests</w:t>
            </w:r>
          </w:p>
        </w:tc>
        <w:tc>
          <w:tcPr>
            <w:tcW w:w="576" w:type="pct"/>
            <w:shd w:val="clear" w:color="auto" w:fill="FFFFFF" w:themeFill="background1"/>
            <w:vAlign w:val="center"/>
          </w:tcPr>
          <w:p w14:paraId="197212CD" w14:textId="6EC0B6A9" w:rsidR="002A17B5" w:rsidRPr="00950C0F" w:rsidRDefault="14E247C5" w:rsidP="56F9DD4F">
            <w:pPr>
              <w:pStyle w:val="TableText"/>
              <w:keepNext/>
              <w:keepLines/>
              <w:jc w:val="center"/>
              <w:rPr>
                <w:rFonts w:cs="Arial"/>
                <w:vertAlign w:val="superscript"/>
              </w:rPr>
            </w:pPr>
            <w:r w:rsidRPr="00950C0F">
              <w:t xml:space="preserve"> Redacted</w:t>
            </w:r>
            <w:r w:rsidRPr="00950C0F">
              <w:rPr>
                <w:vertAlign w:val="superscript"/>
              </w:rPr>
              <w:t>1</w:t>
            </w:r>
          </w:p>
        </w:tc>
        <w:tc>
          <w:tcPr>
            <w:tcW w:w="576" w:type="pct"/>
            <w:shd w:val="clear" w:color="auto" w:fill="FFFFFF" w:themeFill="background1"/>
            <w:vAlign w:val="center"/>
          </w:tcPr>
          <w:p w14:paraId="4847F14D" w14:textId="29A51F3B" w:rsidR="002A17B5" w:rsidRPr="00950C0F" w:rsidRDefault="473CF580" w:rsidP="56F9DD4F">
            <w:pPr>
              <w:pStyle w:val="TableText"/>
              <w:keepNext/>
              <w:keepLines/>
              <w:jc w:val="center"/>
            </w:pPr>
            <w:r w:rsidRPr="00950C0F">
              <w:t xml:space="preserve"> Redacted</w:t>
            </w:r>
            <w:r w:rsidRPr="00950C0F">
              <w:rPr>
                <w:vertAlign w:val="superscript"/>
              </w:rPr>
              <w:t>1</w:t>
            </w:r>
          </w:p>
        </w:tc>
        <w:tc>
          <w:tcPr>
            <w:tcW w:w="575" w:type="pct"/>
            <w:shd w:val="clear" w:color="auto" w:fill="FFFFFF" w:themeFill="background1"/>
            <w:vAlign w:val="center"/>
          </w:tcPr>
          <w:p w14:paraId="0B0104F9" w14:textId="634E8F8D" w:rsidR="002A17B5" w:rsidRPr="00950C0F" w:rsidRDefault="2714D769" w:rsidP="56F9DD4F">
            <w:pPr>
              <w:pStyle w:val="TableText"/>
              <w:keepNext/>
              <w:keepLines/>
              <w:jc w:val="center"/>
            </w:pPr>
            <w:r w:rsidRPr="00950C0F">
              <w:t xml:space="preserve"> Redacted</w:t>
            </w:r>
            <w:r w:rsidRPr="00950C0F">
              <w:rPr>
                <w:vertAlign w:val="superscript"/>
              </w:rPr>
              <w:t>1</w:t>
            </w:r>
          </w:p>
        </w:tc>
        <w:tc>
          <w:tcPr>
            <w:tcW w:w="576" w:type="pct"/>
            <w:shd w:val="clear" w:color="auto" w:fill="FFFFFF" w:themeFill="background1"/>
            <w:vAlign w:val="center"/>
          </w:tcPr>
          <w:p w14:paraId="41286A72" w14:textId="57E605E3" w:rsidR="002A17B5" w:rsidRPr="00950C0F" w:rsidRDefault="6C9C4BA0" w:rsidP="56F9DD4F">
            <w:pPr>
              <w:pStyle w:val="TableText"/>
              <w:keepNext/>
              <w:keepLines/>
              <w:jc w:val="center"/>
              <w:rPr>
                <w:rFonts w:cs="Arial"/>
                <w:vertAlign w:val="superscript"/>
              </w:rPr>
            </w:pPr>
            <w:r w:rsidRPr="00950C0F">
              <w:t xml:space="preserve"> Redacted</w:t>
            </w:r>
            <w:r w:rsidRPr="00950C0F">
              <w:rPr>
                <w:vertAlign w:val="superscript"/>
              </w:rPr>
              <w:t>1</w:t>
            </w:r>
          </w:p>
        </w:tc>
        <w:tc>
          <w:tcPr>
            <w:tcW w:w="575" w:type="pct"/>
            <w:shd w:val="clear" w:color="auto" w:fill="FFFFFF" w:themeFill="background1"/>
            <w:vAlign w:val="center"/>
          </w:tcPr>
          <w:p w14:paraId="468874C6" w14:textId="2E7CC45C" w:rsidR="002A17B5" w:rsidRPr="00950C0F" w:rsidRDefault="609892CF" w:rsidP="56F9DD4F">
            <w:pPr>
              <w:pStyle w:val="TableText"/>
              <w:keepNext/>
              <w:keepLines/>
              <w:jc w:val="center"/>
              <w:rPr>
                <w:rFonts w:cs="Arial"/>
                <w:vertAlign w:val="superscript"/>
              </w:rPr>
            </w:pPr>
            <w:r w:rsidRPr="00950C0F">
              <w:t xml:space="preserve"> Redacted</w:t>
            </w:r>
            <w:r w:rsidRPr="00950C0F">
              <w:rPr>
                <w:vertAlign w:val="superscript"/>
              </w:rPr>
              <w:t>1</w:t>
            </w:r>
          </w:p>
        </w:tc>
        <w:tc>
          <w:tcPr>
            <w:tcW w:w="574" w:type="pct"/>
            <w:shd w:val="clear" w:color="auto" w:fill="FFFFFF" w:themeFill="background1"/>
            <w:vAlign w:val="center"/>
          </w:tcPr>
          <w:p w14:paraId="7BF4B634" w14:textId="3FA30265" w:rsidR="002A17B5" w:rsidRPr="00950C0F" w:rsidRDefault="34FECDC2" w:rsidP="56F9DD4F">
            <w:pPr>
              <w:pStyle w:val="TableText"/>
              <w:keepNext/>
              <w:keepLines/>
              <w:jc w:val="center"/>
            </w:pPr>
            <w:r w:rsidRPr="00950C0F">
              <w:t xml:space="preserve"> Redacted</w:t>
            </w:r>
            <w:r w:rsidRPr="00950C0F">
              <w:rPr>
                <w:vertAlign w:val="superscript"/>
              </w:rPr>
              <w:t>1</w:t>
            </w:r>
          </w:p>
        </w:tc>
        <w:tc>
          <w:tcPr>
            <w:tcW w:w="576" w:type="pct"/>
            <w:shd w:val="clear" w:color="auto" w:fill="FFFFFF" w:themeFill="background1"/>
            <w:vAlign w:val="center"/>
          </w:tcPr>
          <w:p w14:paraId="75FEE6C4" w14:textId="6B9FA119" w:rsidR="002A17B5" w:rsidRPr="00950C0F" w:rsidRDefault="0BF6A957" w:rsidP="56F9DD4F">
            <w:pPr>
              <w:pStyle w:val="TableText"/>
              <w:keepNext/>
              <w:keepLines/>
              <w:jc w:val="center"/>
              <w:rPr>
                <w:rFonts w:cs="Arial"/>
                <w:color w:val="000000"/>
              </w:rPr>
            </w:pPr>
            <w:r w:rsidRPr="00950C0F">
              <w:t>Redacted</w:t>
            </w:r>
            <w:r w:rsidRPr="00950C0F">
              <w:rPr>
                <w:vertAlign w:val="superscript"/>
              </w:rPr>
              <w:t>2</w:t>
            </w:r>
          </w:p>
        </w:tc>
      </w:tr>
      <w:tr w:rsidR="00C34E1E" w:rsidRPr="00950C0F" w14:paraId="2DA22D18" w14:textId="77777777" w:rsidTr="56F9DD4F">
        <w:trPr>
          <w:jc w:val="center"/>
        </w:trPr>
        <w:tc>
          <w:tcPr>
            <w:tcW w:w="972" w:type="pct"/>
            <w:vAlign w:val="center"/>
          </w:tcPr>
          <w:p w14:paraId="276842B0" w14:textId="1E21D753" w:rsidR="00C34E1E" w:rsidRPr="00950C0F" w:rsidRDefault="00C34E1E" w:rsidP="00850174">
            <w:pPr>
              <w:pStyle w:val="TableText"/>
              <w:keepNext/>
              <w:keepLines/>
            </w:pPr>
            <w:r w:rsidRPr="00950C0F">
              <w:t>31.3% from 1 test (PALOMA-3)</w:t>
            </w:r>
          </w:p>
        </w:tc>
        <w:tc>
          <w:tcPr>
            <w:tcW w:w="576" w:type="pct"/>
            <w:shd w:val="clear" w:color="auto" w:fill="FFFFFF" w:themeFill="background1"/>
            <w:vAlign w:val="center"/>
          </w:tcPr>
          <w:p w14:paraId="65D32431" w14:textId="65F43610" w:rsidR="00C34E1E" w:rsidRPr="00950C0F" w:rsidRDefault="488C600B" w:rsidP="56F9DD4F">
            <w:pPr>
              <w:pStyle w:val="TableText"/>
              <w:keepNext/>
              <w:keepLines/>
              <w:jc w:val="center"/>
            </w:pPr>
            <w:r w:rsidRPr="00950C0F">
              <w:t>Redacted</w:t>
            </w:r>
            <w:r w:rsidRPr="00950C0F">
              <w:rPr>
                <w:vertAlign w:val="superscript"/>
              </w:rPr>
              <w:t>1</w:t>
            </w:r>
          </w:p>
        </w:tc>
        <w:tc>
          <w:tcPr>
            <w:tcW w:w="576" w:type="pct"/>
            <w:shd w:val="clear" w:color="auto" w:fill="FFFFFF" w:themeFill="background1"/>
            <w:vAlign w:val="center"/>
          </w:tcPr>
          <w:p w14:paraId="702045DD" w14:textId="64CAF8EC" w:rsidR="00C34E1E" w:rsidRPr="00950C0F" w:rsidRDefault="237245D1" w:rsidP="56F9DD4F">
            <w:pPr>
              <w:pStyle w:val="TableText"/>
              <w:keepNext/>
              <w:keepLines/>
              <w:jc w:val="center"/>
            </w:pPr>
            <w:r w:rsidRPr="00950C0F">
              <w:t>Redacted</w:t>
            </w:r>
            <w:r w:rsidRPr="00950C0F">
              <w:rPr>
                <w:vertAlign w:val="superscript"/>
              </w:rPr>
              <w:t>1</w:t>
            </w:r>
          </w:p>
        </w:tc>
        <w:tc>
          <w:tcPr>
            <w:tcW w:w="575" w:type="pct"/>
            <w:shd w:val="clear" w:color="auto" w:fill="FFFFFF" w:themeFill="background1"/>
            <w:vAlign w:val="center"/>
          </w:tcPr>
          <w:p w14:paraId="212515DD" w14:textId="2D787033" w:rsidR="00C34E1E" w:rsidRPr="00950C0F" w:rsidRDefault="2714D769" w:rsidP="56F9DD4F">
            <w:pPr>
              <w:pStyle w:val="TableText"/>
              <w:keepNext/>
              <w:keepLines/>
              <w:jc w:val="center"/>
            </w:pPr>
            <w:r w:rsidRPr="00950C0F">
              <w:t xml:space="preserve"> Redacted</w:t>
            </w:r>
            <w:r w:rsidRPr="00950C0F">
              <w:rPr>
                <w:vertAlign w:val="superscript"/>
              </w:rPr>
              <w:t>1</w:t>
            </w:r>
          </w:p>
        </w:tc>
        <w:tc>
          <w:tcPr>
            <w:tcW w:w="576" w:type="pct"/>
            <w:shd w:val="clear" w:color="auto" w:fill="FFFFFF" w:themeFill="background1"/>
            <w:vAlign w:val="center"/>
          </w:tcPr>
          <w:p w14:paraId="26C48C63" w14:textId="007511AC" w:rsidR="00C34E1E" w:rsidRPr="00950C0F" w:rsidRDefault="0CD2F35F" w:rsidP="56F9DD4F">
            <w:pPr>
              <w:pStyle w:val="TableText"/>
              <w:keepNext/>
              <w:keepLines/>
              <w:jc w:val="center"/>
              <w:rPr>
                <w:rFonts w:cs="Arial"/>
                <w:vertAlign w:val="superscript"/>
              </w:rPr>
            </w:pPr>
            <w:r w:rsidRPr="00950C0F">
              <w:t xml:space="preserve"> Redacted</w:t>
            </w:r>
            <w:r w:rsidRPr="00950C0F">
              <w:rPr>
                <w:vertAlign w:val="superscript"/>
              </w:rPr>
              <w:t>1</w:t>
            </w:r>
          </w:p>
        </w:tc>
        <w:tc>
          <w:tcPr>
            <w:tcW w:w="575" w:type="pct"/>
            <w:shd w:val="clear" w:color="auto" w:fill="FFFFFF" w:themeFill="background1"/>
            <w:vAlign w:val="center"/>
          </w:tcPr>
          <w:p w14:paraId="5D4A8848" w14:textId="2633AF5B" w:rsidR="00C34E1E" w:rsidRPr="00950C0F" w:rsidRDefault="39A64E83" w:rsidP="56F9DD4F">
            <w:pPr>
              <w:pStyle w:val="TableText"/>
              <w:keepNext/>
              <w:keepLines/>
              <w:jc w:val="center"/>
              <w:rPr>
                <w:rFonts w:cs="Arial"/>
                <w:vertAlign w:val="superscript"/>
              </w:rPr>
            </w:pPr>
            <w:r w:rsidRPr="00950C0F">
              <w:t xml:space="preserve"> Redacted</w:t>
            </w:r>
            <w:r w:rsidRPr="00950C0F">
              <w:rPr>
                <w:vertAlign w:val="superscript"/>
              </w:rPr>
              <w:t>1</w:t>
            </w:r>
          </w:p>
        </w:tc>
        <w:tc>
          <w:tcPr>
            <w:tcW w:w="574" w:type="pct"/>
            <w:shd w:val="clear" w:color="auto" w:fill="FFFFFF" w:themeFill="background1"/>
            <w:vAlign w:val="center"/>
          </w:tcPr>
          <w:p w14:paraId="0F5B1597" w14:textId="27DAEE8F" w:rsidR="00C34E1E" w:rsidRPr="00950C0F" w:rsidRDefault="72A4AC24" w:rsidP="56F9DD4F">
            <w:pPr>
              <w:pStyle w:val="TableText"/>
              <w:keepNext/>
              <w:keepLines/>
              <w:jc w:val="center"/>
              <w:rPr>
                <w:rFonts w:cs="Arial"/>
                <w:vertAlign w:val="superscript"/>
              </w:rPr>
            </w:pPr>
            <w:r w:rsidRPr="00950C0F">
              <w:t xml:space="preserve"> Redacted</w:t>
            </w:r>
            <w:r w:rsidRPr="00950C0F">
              <w:rPr>
                <w:vertAlign w:val="superscript"/>
              </w:rPr>
              <w:t>1</w:t>
            </w:r>
          </w:p>
        </w:tc>
        <w:tc>
          <w:tcPr>
            <w:tcW w:w="576" w:type="pct"/>
            <w:shd w:val="clear" w:color="auto" w:fill="FFFFFF" w:themeFill="background1"/>
            <w:vAlign w:val="center"/>
          </w:tcPr>
          <w:p w14:paraId="3457F6C2" w14:textId="14FEA148" w:rsidR="00C34E1E" w:rsidRPr="00950C0F" w:rsidRDefault="190CCC67" w:rsidP="56F9DD4F">
            <w:pPr>
              <w:pStyle w:val="TableText"/>
              <w:keepNext/>
              <w:keepLines/>
              <w:jc w:val="center"/>
              <w:rPr>
                <w:rFonts w:cs="Arial"/>
                <w:color w:val="000000"/>
              </w:rPr>
            </w:pPr>
            <w:r w:rsidRPr="00950C0F">
              <w:t>Redacted</w:t>
            </w:r>
            <w:r w:rsidRPr="00950C0F">
              <w:rPr>
                <w:vertAlign w:val="superscript"/>
              </w:rPr>
              <w:t>2</w:t>
            </w:r>
          </w:p>
        </w:tc>
      </w:tr>
      <w:tr w:rsidR="00C34E1E" w:rsidRPr="00950C0F" w14:paraId="785F3519" w14:textId="77777777" w:rsidTr="56F9DD4F">
        <w:trPr>
          <w:jc w:val="center"/>
        </w:trPr>
        <w:tc>
          <w:tcPr>
            <w:tcW w:w="972" w:type="pct"/>
            <w:vAlign w:val="center"/>
          </w:tcPr>
          <w:p w14:paraId="3F376143" w14:textId="4631B72A" w:rsidR="00C34E1E" w:rsidRPr="00950C0F" w:rsidRDefault="00C34E1E" w:rsidP="00850174">
            <w:pPr>
              <w:pStyle w:val="TableText"/>
              <w:keepNext/>
              <w:keepLines/>
            </w:pPr>
            <w:r w:rsidRPr="00950C0F">
              <w:t>50% across both tests</w:t>
            </w:r>
          </w:p>
        </w:tc>
        <w:tc>
          <w:tcPr>
            <w:tcW w:w="576" w:type="pct"/>
            <w:shd w:val="clear" w:color="auto" w:fill="FFFFFF" w:themeFill="background1"/>
            <w:vAlign w:val="center"/>
          </w:tcPr>
          <w:p w14:paraId="4A9B1F4E" w14:textId="077E0144" w:rsidR="00C34E1E" w:rsidRPr="00950C0F" w:rsidRDefault="13E3C523" w:rsidP="56F9DD4F">
            <w:pPr>
              <w:pStyle w:val="TableText"/>
              <w:keepNext/>
              <w:keepLines/>
              <w:jc w:val="center"/>
            </w:pPr>
            <w:r w:rsidRPr="00950C0F">
              <w:t>Redacted</w:t>
            </w:r>
            <w:r w:rsidRPr="00950C0F">
              <w:rPr>
                <w:vertAlign w:val="superscript"/>
              </w:rPr>
              <w:t>1</w:t>
            </w:r>
          </w:p>
        </w:tc>
        <w:tc>
          <w:tcPr>
            <w:tcW w:w="576" w:type="pct"/>
            <w:shd w:val="clear" w:color="auto" w:fill="FFFFFF" w:themeFill="background1"/>
            <w:vAlign w:val="center"/>
          </w:tcPr>
          <w:p w14:paraId="3C0CD69E" w14:textId="08034F15" w:rsidR="00C34E1E" w:rsidRPr="00950C0F" w:rsidRDefault="03EF2A6A" w:rsidP="56F9DD4F">
            <w:pPr>
              <w:pStyle w:val="TableText"/>
              <w:keepNext/>
              <w:keepLines/>
              <w:jc w:val="center"/>
              <w:rPr>
                <w:rFonts w:cs="Arial"/>
                <w:vertAlign w:val="superscript"/>
              </w:rPr>
            </w:pPr>
            <w:r w:rsidRPr="00950C0F">
              <w:t xml:space="preserve"> Redacted</w:t>
            </w:r>
            <w:r w:rsidRPr="00950C0F">
              <w:rPr>
                <w:vertAlign w:val="superscript"/>
              </w:rPr>
              <w:t>1</w:t>
            </w:r>
          </w:p>
        </w:tc>
        <w:tc>
          <w:tcPr>
            <w:tcW w:w="575" w:type="pct"/>
            <w:shd w:val="clear" w:color="auto" w:fill="FFFFFF" w:themeFill="background1"/>
            <w:vAlign w:val="center"/>
          </w:tcPr>
          <w:p w14:paraId="539238B9" w14:textId="76D96AB5" w:rsidR="00C34E1E" w:rsidRPr="00950C0F" w:rsidRDefault="63C5DC47" w:rsidP="56F9DD4F">
            <w:pPr>
              <w:pStyle w:val="TableText"/>
              <w:keepNext/>
              <w:keepLines/>
              <w:jc w:val="center"/>
            </w:pPr>
            <w:r w:rsidRPr="00950C0F">
              <w:t xml:space="preserve"> Redacted</w:t>
            </w:r>
            <w:r w:rsidRPr="00950C0F">
              <w:rPr>
                <w:vertAlign w:val="superscript"/>
              </w:rPr>
              <w:t>1</w:t>
            </w:r>
          </w:p>
        </w:tc>
        <w:tc>
          <w:tcPr>
            <w:tcW w:w="576" w:type="pct"/>
            <w:shd w:val="clear" w:color="auto" w:fill="FFFFFF" w:themeFill="background1"/>
            <w:vAlign w:val="center"/>
          </w:tcPr>
          <w:p w14:paraId="2B96FC6E" w14:textId="0DDF8F1E" w:rsidR="00C34E1E" w:rsidRPr="00950C0F" w:rsidRDefault="7D3DAD27" w:rsidP="56F9DD4F">
            <w:pPr>
              <w:pStyle w:val="TableText"/>
              <w:keepNext/>
              <w:keepLines/>
              <w:jc w:val="center"/>
              <w:rPr>
                <w:rFonts w:cs="Arial"/>
                <w:vertAlign w:val="superscript"/>
              </w:rPr>
            </w:pPr>
            <w:r w:rsidRPr="00950C0F">
              <w:t xml:space="preserve"> Redacted</w:t>
            </w:r>
            <w:r w:rsidRPr="00950C0F">
              <w:rPr>
                <w:vertAlign w:val="superscript"/>
              </w:rPr>
              <w:t>1</w:t>
            </w:r>
          </w:p>
        </w:tc>
        <w:tc>
          <w:tcPr>
            <w:tcW w:w="575" w:type="pct"/>
            <w:shd w:val="clear" w:color="auto" w:fill="FFFFFF" w:themeFill="background1"/>
            <w:vAlign w:val="center"/>
          </w:tcPr>
          <w:p w14:paraId="5A5EDF07" w14:textId="54822D51" w:rsidR="00C34E1E" w:rsidRPr="00950C0F" w:rsidRDefault="39A64E83" w:rsidP="56F9DD4F">
            <w:pPr>
              <w:pStyle w:val="TableText"/>
              <w:keepNext/>
              <w:keepLines/>
              <w:jc w:val="center"/>
              <w:rPr>
                <w:rFonts w:cs="Arial"/>
                <w:vertAlign w:val="superscript"/>
              </w:rPr>
            </w:pPr>
            <w:r w:rsidRPr="00950C0F">
              <w:t xml:space="preserve"> Redacted</w:t>
            </w:r>
            <w:r w:rsidRPr="00950C0F">
              <w:rPr>
                <w:vertAlign w:val="superscript"/>
              </w:rPr>
              <w:t>1</w:t>
            </w:r>
          </w:p>
        </w:tc>
        <w:tc>
          <w:tcPr>
            <w:tcW w:w="574" w:type="pct"/>
            <w:shd w:val="clear" w:color="auto" w:fill="FFFFFF" w:themeFill="background1"/>
            <w:vAlign w:val="center"/>
          </w:tcPr>
          <w:p w14:paraId="049EEBEF" w14:textId="211157D7" w:rsidR="00C34E1E" w:rsidRPr="00950C0F" w:rsidRDefault="39A64E83" w:rsidP="56F9DD4F">
            <w:pPr>
              <w:pStyle w:val="TableText"/>
              <w:keepNext/>
              <w:keepLines/>
              <w:jc w:val="center"/>
            </w:pPr>
            <w:r w:rsidRPr="00950C0F">
              <w:t>Redacted</w:t>
            </w:r>
            <w:r w:rsidRPr="00950C0F">
              <w:rPr>
                <w:vertAlign w:val="superscript"/>
              </w:rPr>
              <w:t>1</w:t>
            </w:r>
          </w:p>
        </w:tc>
        <w:tc>
          <w:tcPr>
            <w:tcW w:w="576" w:type="pct"/>
            <w:shd w:val="clear" w:color="auto" w:fill="FFFFFF" w:themeFill="background1"/>
            <w:vAlign w:val="center"/>
          </w:tcPr>
          <w:p w14:paraId="5FCDE1E0" w14:textId="31639DA9" w:rsidR="00C34E1E" w:rsidRPr="00950C0F" w:rsidRDefault="551C9E86" w:rsidP="56F9DD4F">
            <w:pPr>
              <w:pStyle w:val="TableText"/>
              <w:keepNext/>
              <w:keepLines/>
              <w:jc w:val="center"/>
              <w:rPr>
                <w:rFonts w:cs="Arial"/>
                <w:color w:val="000000"/>
              </w:rPr>
            </w:pPr>
            <w:r w:rsidRPr="00950C0F">
              <w:t>Redacted</w:t>
            </w:r>
            <w:r w:rsidRPr="00950C0F">
              <w:rPr>
                <w:vertAlign w:val="superscript"/>
              </w:rPr>
              <w:t>2</w:t>
            </w:r>
          </w:p>
        </w:tc>
      </w:tr>
      <w:tr w:rsidR="00B62751" w:rsidRPr="00950C0F" w14:paraId="060F2022" w14:textId="77777777" w:rsidTr="56F9DD4F">
        <w:trPr>
          <w:jc w:val="center"/>
        </w:trPr>
        <w:tc>
          <w:tcPr>
            <w:tcW w:w="5000" w:type="pct"/>
            <w:gridSpan w:val="8"/>
            <w:vAlign w:val="center"/>
          </w:tcPr>
          <w:p w14:paraId="0A2344B2" w14:textId="20BB3873" w:rsidR="00B62751" w:rsidRPr="00950C0F" w:rsidRDefault="00B62751" w:rsidP="00850174">
            <w:pPr>
              <w:pStyle w:val="TableText"/>
              <w:keepNext/>
              <w:keepLines/>
              <w:rPr>
                <w:rFonts w:cs="Arial"/>
                <w:b/>
                <w:color w:val="000000"/>
              </w:rPr>
            </w:pPr>
            <w:r w:rsidRPr="00950C0F">
              <w:rPr>
                <w:rFonts w:eastAsia="Times New Roman" w:cs="Times New Roman"/>
                <w:b/>
                <w:bCs/>
              </w:rPr>
              <w:t>Net cost to MBS</w:t>
            </w:r>
          </w:p>
        </w:tc>
      </w:tr>
      <w:tr w:rsidR="0097174F" w:rsidRPr="00950C0F" w14:paraId="0B060489" w14:textId="77777777" w:rsidTr="56F9DD4F">
        <w:trPr>
          <w:jc w:val="center"/>
        </w:trPr>
        <w:tc>
          <w:tcPr>
            <w:tcW w:w="5000" w:type="pct"/>
            <w:gridSpan w:val="8"/>
            <w:vAlign w:val="center"/>
          </w:tcPr>
          <w:p w14:paraId="3B10B53F" w14:textId="23C4C348" w:rsidR="0097174F" w:rsidRPr="00950C0F" w:rsidRDefault="0097174F" w:rsidP="00850174">
            <w:pPr>
              <w:pStyle w:val="TableText"/>
              <w:keepNext/>
              <w:keepLines/>
              <w:rPr>
                <w:rFonts w:cs="Arial"/>
                <w:b/>
                <w:color w:val="000000"/>
              </w:rPr>
            </w:pPr>
            <w:r w:rsidRPr="00950C0F">
              <w:rPr>
                <w:b/>
              </w:rPr>
              <w:t>ESR1 test cost</w:t>
            </w:r>
          </w:p>
        </w:tc>
      </w:tr>
      <w:tr w:rsidR="00C34E1E" w:rsidRPr="00950C0F" w14:paraId="02398253" w14:textId="09E6E809" w:rsidTr="56F9DD4F">
        <w:trPr>
          <w:jc w:val="center"/>
        </w:trPr>
        <w:tc>
          <w:tcPr>
            <w:tcW w:w="972" w:type="pct"/>
            <w:vAlign w:val="center"/>
          </w:tcPr>
          <w:p w14:paraId="541F4279" w14:textId="1AABB490" w:rsidR="00C34E1E" w:rsidRPr="00950C0F" w:rsidRDefault="656BF586" w:rsidP="00850174">
            <w:pPr>
              <w:pStyle w:val="TableText"/>
              <w:keepNext/>
              <w:keepLines/>
              <w:rPr>
                <w:rFonts w:eastAsia="Times New Roman" w:cs="Times New Roman"/>
                <w:b/>
                <w:bCs/>
              </w:rPr>
            </w:pPr>
            <w:r w:rsidRPr="00950C0F">
              <w:rPr>
                <w:rFonts w:eastAsia="Times New Roman" w:cs="Times New Roman"/>
                <w:b/>
                <w:bCs/>
              </w:rPr>
              <w:t>BC:</w:t>
            </w:r>
            <w:r w:rsidRPr="00950C0F">
              <w:rPr>
                <w:rFonts w:asciiTheme="minorHAnsi" w:hAnsiTheme="minorHAnsi"/>
                <w:b/>
                <w:bCs/>
                <w:sz w:val="24"/>
                <w:szCs w:val="24"/>
              </w:rPr>
              <w:t xml:space="preserve"> </w:t>
            </w:r>
            <w:r w:rsidRPr="00950C0F">
              <w:rPr>
                <w:rFonts w:eastAsia="Times New Roman" w:cs="Times New Roman"/>
                <w:b/>
              </w:rPr>
              <w:t>$1,500/test</w:t>
            </w:r>
          </w:p>
        </w:tc>
        <w:tc>
          <w:tcPr>
            <w:tcW w:w="576" w:type="pct"/>
            <w:vAlign w:val="center"/>
          </w:tcPr>
          <w:p w14:paraId="4E45ED7A" w14:textId="55A42BF8" w:rsidR="00C34E1E" w:rsidRPr="00950C0F" w:rsidRDefault="3E61A3D0" w:rsidP="56F9DD4F">
            <w:pPr>
              <w:pStyle w:val="TableText"/>
              <w:keepNext/>
              <w:keepLines/>
              <w:jc w:val="center"/>
              <w:rPr>
                <w:b/>
                <w:vertAlign w:val="superscript"/>
              </w:rPr>
            </w:pPr>
            <w:r w:rsidRPr="00950C0F">
              <w:rPr>
                <w:rFonts w:cs="Arial"/>
                <w:b/>
              </w:rPr>
              <w:t>Redacted</w:t>
            </w:r>
            <w:r w:rsidRPr="00950C0F">
              <w:rPr>
                <w:rFonts w:cs="Arial"/>
                <w:b/>
                <w:vertAlign w:val="superscript"/>
              </w:rPr>
              <w:t>3</w:t>
            </w:r>
          </w:p>
        </w:tc>
        <w:tc>
          <w:tcPr>
            <w:tcW w:w="576" w:type="pct"/>
            <w:vAlign w:val="center"/>
          </w:tcPr>
          <w:p w14:paraId="6BB45322" w14:textId="16379F30" w:rsidR="00C34E1E" w:rsidRPr="00950C0F" w:rsidRDefault="2CEF859C" w:rsidP="56F9DD4F">
            <w:pPr>
              <w:pStyle w:val="TableText"/>
              <w:keepNext/>
              <w:keepLines/>
              <w:jc w:val="center"/>
              <w:rPr>
                <w:b/>
                <w:vertAlign w:val="superscript"/>
              </w:rPr>
            </w:pPr>
            <w:r w:rsidRPr="00950C0F">
              <w:rPr>
                <w:rFonts w:cs="Arial"/>
                <w:b/>
              </w:rPr>
              <w:t xml:space="preserve"> Redacted</w:t>
            </w:r>
            <w:r w:rsidRPr="00950C0F">
              <w:rPr>
                <w:rFonts w:cs="Arial"/>
                <w:b/>
                <w:vertAlign w:val="superscript"/>
              </w:rPr>
              <w:t>3</w:t>
            </w:r>
          </w:p>
        </w:tc>
        <w:tc>
          <w:tcPr>
            <w:tcW w:w="575" w:type="pct"/>
            <w:vAlign w:val="center"/>
          </w:tcPr>
          <w:p w14:paraId="7FE63C2E" w14:textId="6EE2C2F6" w:rsidR="00C34E1E" w:rsidRPr="00950C0F" w:rsidRDefault="2CEF859C" w:rsidP="56F9DD4F">
            <w:pPr>
              <w:pStyle w:val="TableText"/>
              <w:keepNext/>
              <w:keepLines/>
              <w:jc w:val="center"/>
              <w:rPr>
                <w:b/>
              </w:rPr>
            </w:pPr>
            <w:r w:rsidRPr="00950C0F">
              <w:rPr>
                <w:rFonts w:cs="Arial"/>
                <w:b/>
              </w:rPr>
              <w:t>Redacted</w:t>
            </w:r>
            <w:r w:rsidRPr="00950C0F">
              <w:rPr>
                <w:rFonts w:cs="Arial"/>
                <w:b/>
                <w:vertAlign w:val="superscript"/>
              </w:rPr>
              <w:t>3</w:t>
            </w:r>
          </w:p>
        </w:tc>
        <w:tc>
          <w:tcPr>
            <w:tcW w:w="576" w:type="pct"/>
            <w:vAlign w:val="center"/>
          </w:tcPr>
          <w:p w14:paraId="3E9FA23A" w14:textId="0C5E3EFF" w:rsidR="00C34E1E" w:rsidRPr="00950C0F" w:rsidRDefault="24CCD591" w:rsidP="56F9DD4F">
            <w:pPr>
              <w:pStyle w:val="TableText"/>
              <w:keepNext/>
              <w:keepLines/>
              <w:jc w:val="center"/>
              <w:rPr>
                <w:b/>
                <w:vertAlign w:val="superscript"/>
              </w:rPr>
            </w:pPr>
            <w:r w:rsidRPr="00950C0F">
              <w:rPr>
                <w:rFonts w:cs="Arial"/>
                <w:b/>
              </w:rPr>
              <w:t xml:space="preserve"> Redacted</w:t>
            </w:r>
            <w:r w:rsidRPr="00950C0F">
              <w:rPr>
                <w:rFonts w:cs="Arial"/>
                <w:b/>
                <w:vertAlign w:val="superscript"/>
              </w:rPr>
              <w:t>3</w:t>
            </w:r>
          </w:p>
        </w:tc>
        <w:tc>
          <w:tcPr>
            <w:tcW w:w="575" w:type="pct"/>
            <w:vAlign w:val="center"/>
          </w:tcPr>
          <w:p w14:paraId="0D1F6C1B" w14:textId="16A37835" w:rsidR="00C34E1E" w:rsidRPr="00950C0F" w:rsidRDefault="4AC9B98E" w:rsidP="56F9DD4F">
            <w:pPr>
              <w:pStyle w:val="TableText"/>
              <w:keepNext/>
              <w:keepLines/>
              <w:jc w:val="center"/>
              <w:rPr>
                <w:b/>
                <w:vertAlign w:val="superscript"/>
              </w:rPr>
            </w:pPr>
            <w:r w:rsidRPr="00950C0F">
              <w:rPr>
                <w:rFonts w:cs="Arial"/>
                <w:b/>
              </w:rPr>
              <w:t xml:space="preserve"> Redacted</w:t>
            </w:r>
            <w:r w:rsidRPr="00950C0F">
              <w:rPr>
                <w:rFonts w:cs="Arial"/>
                <w:b/>
                <w:vertAlign w:val="superscript"/>
              </w:rPr>
              <w:t>3</w:t>
            </w:r>
          </w:p>
        </w:tc>
        <w:tc>
          <w:tcPr>
            <w:tcW w:w="574" w:type="pct"/>
            <w:vAlign w:val="center"/>
          </w:tcPr>
          <w:p w14:paraId="098303E8" w14:textId="18474C3E" w:rsidR="00C34E1E" w:rsidRPr="00950C0F" w:rsidRDefault="4AC9B98E" w:rsidP="56F9DD4F">
            <w:pPr>
              <w:pStyle w:val="TableText"/>
              <w:keepNext/>
              <w:keepLines/>
              <w:jc w:val="center"/>
              <w:rPr>
                <w:b/>
              </w:rPr>
            </w:pPr>
            <w:r w:rsidRPr="00950C0F">
              <w:rPr>
                <w:rFonts w:cs="Arial"/>
                <w:b/>
              </w:rPr>
              <w:t>Redacted</w:t>
            </w:r>
            <w:r w:rsidRPr="00950C0F">
              <w:rPr>
                <w:rFonts w:cs="Arial"/>
                <w:b/>
                <w:vertAlign w:val="superscript"/>
              </w:rPr>
              <w:t>3</w:t>
            </w:r>
          </w:p>
        </w:tc>
        <w:tc>
          <w:tcPr>
            <w:tcW w:w="576" w:type="pct"/>
            <w:vAlign w:val="center"/>
          </w:tcPr>
          <w:p w14:paraId="7A6044C8" w14:textId="0244A8D7" w:rsidR="00C34E1E" w:rsidRPr="00950C0F" w:rsidRDefault="00C13F51" w:rsidP="56F9DD4F">
            <w:pPr>
              <w:pStyle w:val="TableText"/>
              <w:keepNext/>
              <w:keepLines/>
              <w:jc w:val="center"/>
              <w:rPr>
                <w:rFonts w:cs="Arial"/>
                <w:b/>
                <w:color w:val="000000"/>
              </w:rPr>
            </w:pPr>
            <w:r w:rsidRPr="00950C0F">
              <w:rPr>
                <w:rFonts w:cs="Arial"/>
                <w:b/>
              </w:rPr>
              <w:t>Redacted</w:t>
            </w:r>
            <w:r w:rsidRPr="00950C0F">
              <w:rPr>
                <w:rFonts w:cs="Arial"/>
                <w:b/>
                <w:vertAlign w:val="superscript"/>
              </w:rPr>
              <w:t>4</w:t>
            </w:r>
          </w:p>
        </w:tc>
      </w:tr>
      <w:tr w:rsidR="00C34E1E" w:rsidRPr="00950C0F" w14:paraId="5C31C58A" w14:textId="36BAF398" w:rsidTr="56F9DD4F">
        <w:trPr>
          <w:jc w:val="center"/>
        </w:trPr>
        <w:tc>
          <w:tcPr>
            <w:tcW w:w="972" w:type="pct"/>
            <w:vAlign w:val="center"/>
          </w:tcPr>
          <w:p w14:paraId="47F2022A" w14:textId="0633298C" w:rsidR="00C34E1E" w:rsidRPr="00950C0F" w:rsidRDefault="3A6C99B8" w:rsidP="56F9DD4F">
            <w:pPr>
              <w:pStyle w:val="TableText"/>
              <w:keepNext/>
              <w:keepLines/>
            </w:pPr>
            <w:r w:rsidRPr="00950C0F">
              <w:t>$647.05</w:t>
            </w:r>
            <w:r w:rsidR="6B521313" w:rsidRPr="00950C0F">
              <w:t>/</w:t>
            </w:r>
            <w:proofErr w:type="spellStart"/>
            <w:r w:rsidR="6B521313" w:rsidRPr="00950C0F">
              <w:t>test</w:t>
            </w:r>
            <w:r w:rsidRPr="00950C0F">
              <w:rPr>
                <w:vertAlign w:val="superscript"/>
              </w:rPr>
              <w:t>a</w:t>
            </w:r>
            <w:proofErr w:type="spellEnd"/>
            <w:r w:rsidRPr="00950C0F">
              <w:t xml:space="preserve"> </w:t>
            </w:r>
          </w:p>
        </w:tc>
        <w:tc>
          <w:tcPr>
            <w:tcW w:w="576" w:type="pct"/>
          </w:tcPr>
          <w:p w14:paraId="2A49D44F" w14:textId="1F0DEA11" w:rsidR="00C34E1E" w:rsidRPr="00950C0F" w:rsidRDefault="449B0DCA" w:rsidP="56F9DD4F">
            <w:pPr>
              <w:pStyle w:val="TableText"/>
              <w:keepNext/>
              <w:keepLines/>
              <w:jc w:val="center"/>
              <w:rPr>
                <w:vertAlign w:val="superscript"/>
              </w:rPr>
            </w:pPr>
            <w:r w:rsidRPr="00950C0F">
              <w:rPr>
                <w:rFonts w:cs="Arial"/>
              </w:rPr>
              <w:t>Redacted</w:t>
            </w:r>
            <w:r w:rsidRPr="00950C0F">
              <w:rPr>
                <w:rFonts w:cs="Arial"/>
                <w:vertAlign w:val="superscript"/>
              </w:rPr>
              <w:t>3</w:t>
            </w:r>
          </w:p>
        </w:tc>
        <w:tc>
          <w:tcPr>
            <w:tcW w:w="576" w:type="pct"/>
          </w:tcPr>
          <w:p w14:paraId="6D62A660" w14:textId="73D95D3A" w:rsidR="00C34E1E" w:rsidRPr="00950C0F" w:rsidRDefault="0ED90B4C" w:rsidP="56F9DD4F">
            <w:pPr>
              <w:pStyle w:val="TableText"/>
              <w:keepNext/>
              <w:keepLines/>
              <w:tabs>
                <w:tab w:val="decimal" w:pos="396"/>
              </w:tabs>
              <w:jc w:val="center"/>
            </w:pPr>
            <w:r w:rsidRPr="00950C0F">
              <w:rPr>
                <w:rFonts w:cs="Arial"/>
              </w:rPr>
              <w:t xml:space="preserve"> Redacted</w:t>
            </w:r>
            <w:r w:rsidRPr="00950C0F">
              <w:rPr>
                <w:rFonts w:cs="Arial"/>
                <w:vertAlign w:val="superscript"/>
              </w:rPr>
              <w:t>3</w:t>
            </w:r>
          </w:p>
        </w:tc>
        <w:tc>
          <w:tcPr>
            <w:tcW w:w="575" w:type="pct"/>
          </w:tcPr>
          <w:p w14:paraId="7C959C3E" w14:textId="74DA5CBF" w:rsidR="00C34E1E" w:rsidRPr="00950C0F" w:rsidRDefault="1997BA4C" w:rsidP="56F9DD4F">
            <w:pPr>
              <w:pStyle w:val="TableText"/>
              <w:keepNext/>
              <w:keepLines/>
              <w:tabs>
                <w:tab w:val="decimal" w:pos="396"/>
              </w:tabs>
              <w:jc w:val="center"/>
            </w:pPr>
            <w:r w:rsidRPr="00950C0F">
              <w:rPr>
                <w:rFonts w:cs="Arial"/>
              </w:rPr>
              <w:t xml:space="preserve"> Redacted</w:t>
            </w:r>
            <w:r w:rsidRPr="00950C0F">
              <w:rPr>
                <w:rFonts w:cs="Arial"/>
                <w:vertAlign w:val="superscript"/>
              </w:rPr>
              <w:t>3</w:t>
            </w:r>
          </w:p>
        </w:tc>
        <w:tc>
          <w:tcPr>
            <w:tcW w:w="576" w:type="pct"/>
          </w:tcPr>
          <w:p w14:paraId="129801F8" w14:textId="78251421" w:rsidR="00C34E1E" w:rsidRPr="00950C0F" w:rsidRDefault="0D90C2A8" w:rsidP="56F9DD4F">
            <w:pPr>
              <w:pStyle w:val="TableText"/>
              <w:keepNext/>
              <w:keepLines/>
              <w:tabs>
                <w:tab w:val="decimal" w:pos="396"/>
              </w:tabs>
              <w:jc w:val="center"/>
            </w:pPr>
            <w:r w:rsidRPr="00950C0F">
              <w:rPr>
                <w:rFonts w:cs="Arial"/>
              </w:rPr>
              <w:t xml:space="preserve"> Redacted</w:t>
            </w:r>
            <w:r w:rsidRPr="00950C0F">
              <w:rPr>
                <w:rFonts w:cs="Arial"/>
                <w:vertAlign w:val="superscript"/>
              </w:rPr>
              <w:t>3</w:t>
            </w:r>
          </w:p>
        </w:tc>
        <w:tc>
          <w:tcPr>
            <w:tcW w:w="575" w:type="pct"/>
          </w:tcPr>
          <w:p w14:paraId="6C903BEA" w14:textId="418222DC" w:rsidR="00C34E1E" w:rsidRPr="00950C0F" w:rsidRDefault="68711BB6" w:rsidP="56F9DD4F">
            <w:pPr>
              <w:pStyle w:val="TableText"/>
              <w:keepNext/>
              <w:keepLines/>
              <w:tabs>
                <w:tab w:val="decimal" w:pos="396"/>
              </w:tabs>
              <w:jc w:val="center"/>
            </w:pPr>
            <w:r w:rsidRPr="00950C0F">
              <w:rPr>
                <w:rFonts w:cs="Arial"/>
              </w:rPr>
              <w:t xml:space="preserve"> Redacted</w:t>
            </w:r>
            <w:r w:rsidRPr="00950C0F">
              <w:rPr>
                <w:rFonts w:cs="Arial"/>
                <w:vertAlign w:val="superscript"/>
              </w:rPr>
              <w:t>3</w:t>
            </w:r>
          </w:p>
        </w:tc>
        <w:tc>
          <w:tcPr>
            <w:tcW w:w="574" w:type="pct"/>
          </w:tcPr>
          <w:p w14:paraId="74578261" w14:textId="388028EA" w:rsidR="00C34E1E" w:rsidRPr="00950C0F" w:rsidRDefault="1F2BDD35" w:rsidP="56F9DD4F">
            <w:pPr>
              <w:pStyle w:val="TableText"/>
              <w:keepNext/>
              <w:keepLines/>
              <w:tabs>
                <w:tab w:val="decimal" w:pos="396"/>
              </w:tabs>
              <w:jc w:val="center"/>
            </w:pPr>
            <w:r w:rsidRPr="00950C0F">
              <w:rPr>
                <w:rFonts w:cs="Arial"/>
              </w:rPr>
              <w:t xml:space="preserve"> Redacted</w:t>
            </w:r>
            <w:r w:rsidRPr="00950C0F">
              <w:rPr>
                <w:rFonts w:cs="Arial"/>
                <w:vertAlign w:val="superscript"/>
              </w:rPr>
              <w:t>3</w:t>
            </w:r>
          </w:p>
        </w:tc>
        <w:tc>
          <w:tcPr>
            <w:tcW w:w="576" w:type="pct"/>
          </w:tcPr>
          <w:p w14:paraId="3D1FF1CD" w14:textId="27AE6E6E" w:rsidR="00C34E1E" w:rsidRPr="00950C0F" w:rsidRDefault="20A1F4D7" w:rsidP="56F9DD4F">
            <w:pPr>
              <w:pStyle w:val="TableText"/>
              <w:keepNext/>
              <w:keepLines/>
              <w:tabs>
                <w:tab w:val="decimal" w:pos="396"/>
              </w:tabs>
              <w:jc w:val="right"/>
              <w:rPr>
                <w:lang w:eastAsia="en-AU"/>
              </w:rPr>
            </w:pPr>
            <w:r w:rsidRPr="00950C0F">
              <w:rPr>
                <w:rFonts w:cs="Arial"/>
              </w:rPr>
              <w:t xml:space="preserve"> Redacted</w:t>
            </w:r>
            <w:r w:rsidRPr="00950C0F">
              <w:rPr>
                <w:rFonts w:cs="Arial"/>
                <w:vertAlign w:val="superscript"/>
              </w:rPr>
              <w:t>3</w:t>
            </w:r>
          </w:p>
        </w:tc>
      </w:tr>
      <w:tr w:rsidR="00C34E1E" w:rsidRPr="00950C0F" w14:paraId="55DF6A15" w14:textId="1A363641" w:rsidTr="56F9DD4F">
        <w:trPr>
          <w:jc w:val="center"/>
        </w:trPr>
        <w:tc>
          <w:tcPr>
            <w:tcW w:w="972" w:type="pct"/>
            <w:vAlign w:val="center"/>
          </w:tcPr>
          <w:p w14:paraId="002EF50D" w14:textId="24EBEEC0" w:rsidR="00C34E1E" w:rsidRPr="00950C0F" w:rsidRDefault="3A6C99B8" w:rsidP="56F9DD4F">
            <w:pPr>
              <w:pStyle w:val="TableText"/>
              <w:keepNext/>
              <w:keepLines/>
            </w:pPr>
            <w:r w:rsidRPr="00950C0F">
              <w:t>$1,766.75</w:t>
            </w:r>
            <w:r w:rsidR="6B521313" w:rsidRPr="00950C0F">
              <w:t>/</w:t>
            </w:r>
            <w:proofErr w:type="spellStart"/>
            <w:r w:rsidR="6B521313" w:rsidRPr="00950C0F">
              <w:t>test</w:t>
            </w:r>
            <w:r w:rsidRPr="00950C0F">
              <w:rPr>
                <w:vertAlign w:val="superscript"/>
              </w:rPr>
              <w:t>b</w:t>
            </w:r>
            <w:proofErr w:type="spellEnd"/>
          </w:p>
        </w:tc>
        <w:tc>
          <w:tcPr>
            <w:tcW w:w="576" w:type="pct"/>
            <w:tcBorders>
              <w:top w:val="single" w:sz="8" w:space="0" w:color="auto"/>
              <w:left w:val="single" w:sz="8" w:space="0" w:color="auto"/>
              <w:bottom w:val="single" w:sz="8" w:space="0" w:color="auto"/>
              <w:right w:val="single" w:sz="8" w:space="0" w:color="auto"/>
            </w:tcBorders>
            <w:vAlign w:val="center"/>
          </w:tcPr>
          <w:p w14:paraId="247BB24A" w14:textId="69CF2822" w:rsidR="00C34E1E" w:rsidRPr="00950C0F" w:rsidRDefault="1A0C9C2B" w:rsidP="56F9DD4F">
            <w:pPr>
              <w:pStyle w:val="TableText"/>
              <w:keepNext/>
              <w:keepLines/>
              <w:jc w:val="center"/>
              <w:rPr>
                <w:vertAlign w:val="superscript"/>
              </w:rPr>
            </w:pPr>
            <w:r w:rsidRPr="00950C0F">
              <w:rPr>
                <w:rFonts w:cs="Arial"/>
              </w:rPr>
              <w:t>Redacted</w:t>
            </w:r>
            <w:r w:rsidRPr="00950C0F">
              <w:rPr>
                <w:rFonts w:cs="Arial"/>
                <w:vertAlign w:val="superscript"/>
              </w:rPr>
              <w:t>3</w:t>
            </w:r>
          </w:p>
        </w:tc>
        <w:tc>
          <w:tcPr>
            <w:tcW w:w="576" w:type="pct"/>
            <w:tcBorders>
              <w:top w:val="single" w:sz="8" w:space="0" w:color="auto"/>
              <w:left w:val="nil"/>
              <w:bottom w:val="single" w:sz="8" w:space="0" w:color="auto"/>
              <w:right w:val="single" w:sz="8" w:space="0" w:color="auto"/>
            </w:tcBorders>
            <w:vAlign w:val="center"/>
          </w:tcPr>
          <w:p w14:paraId="38738E10" w14:textId="4B4386B4" w:rsidR="00C34E1E" w:rsidRPr="00950C0F" w:rsidRDefault="172D98F8" w:rsidP="56F9DD4F">
            <w:pPr>
              <w:pStyle w:val="TableText"/>
              <w:keepNext/>
              <w:keepLines/>
              <w:tabs>
                <w:tab w:val="decimal" w:pos="396"/>
              </w:tabs>
              <w:jc w:val="center"/>
            </w:pPr>
            <w:r w:rsidRPr="00950C0F">
              <w:rPr>
                <w:rFonts w:cs="Arial"/>
              </w:rPr>
              <w:t>Redacted</w:t>
            </w:r>
            <w:r w:rsidRPr="00950C0F">
              <w:rPr>
                <w:rFonts w:cs="Arial"/>
                <w:vertAlign w:val="superscript"/>
              </w:rPr>
              <w:t>3</w:t>
            </w:r>
          </w:p>
        </w:tc>
        <w:tc>
          <w:tcPr>
            <w:tcW w:w="575" w:type="pct"/>
            <w:tcBorders>
              <w:top w:val="single" w:sz="8" w:space="0" w:color="auto"/>
              <w:left w:val="nil"/>
              <w:bottom w:val="single" w:sz="8" w:space="0" w:color="auto"/>
              <w:right w:val="single" w:sz="8" w:space="0" w:color="auto"/>
            </w:tcBorders>
            <w:vAlign w:val="center"/>
          </w:tcPr>
          <w:p w14:paraId="441DC11F" w14:textId="789385DF" w:rsidR="00C34E1E" w:rsidRPr="00950C0F" w:rsidRDefault="26250552" w:rsidP="56F9DD4F">
            <w:pPr>
              <w:pStyle w:val="TableText"/>
              <w:keepNext/>
              <w:keepLines/>
              <w:tabs>
                <w:tab w:val="decimal" w:pos="396"/>
              </w:tabs>
              <w:jc w:val="center"/>
            </w:pPr>
            <w:r w:rsidRPr="00950C0F">
              <w:rPr>
                <w:rFonts w:cs="Arial"/>
              </w:rPr>
              <w:t>Redacted</w:t>
            </w:r>
            <w:r w:rsidRPr="00950C0F">
              <w:rPr>
                <w:rFonts w:cs="Arial"/>
                <w:vertAlign w:val="superscript"/>
              </w:rPr>
              <w:t>3</w:t>
            </w:r>
          </w:p>
        </w:tc>
        <w:tc>
          <w:tcPr>
            <w:tcW w:w="576" w:type="pct"/>
            <w:tcBorders>
              <w:top w:val="single" w:sz="8" w:space="0" w:color="auto"/>
              <w:left w:val="nil"/>
              <w:bottom w:val="single" w:sz="8" w:space="0" w:color="auto"/>
              <w:right w:val="single" w:sz="8" w:space="0" w:color="auto"/>
            </w:tcBorders>
            <w:vAlign w:val="center"/>
          </w:tcPr>
          <w:p w14:paraId="44869CC6" w14:textId="4E83BE16" w:rsidR="00C34E1E" w:rsidRPr="00950C0F" w:rsidRDefault="3D48914F" w:rsidP="56F9DD4F">
            <w:pPr>
              <w:pStyle w:val="TableText"/>
              <w:keepNext/>
              <w:keepLines/>
              <w:tabs>
                <w:tab w:val="decimal" w:pos="396"/>
              </w:tabs>
              <w:jc w:val="center"/>
            </w:pPr>
            <w:r w:rsidRPr="00950C0F">
              <w:rPr>
                <w:rFonts w:cs="Arial"/>
              </w:rPr>
              <w:t>Redacted</w:t>
            </w:r>
            <w:r w:rsidRPr="00950C0F">
              <w:rPr>
                <w:rFonts w:cs="Arial"/>
                <w:vertAlign w:val="superscript"/>
              </w:rPr>
              <w:t>3</w:t>
            </w:r>
          </w:p>
        </w:tc>
        <w:tc>
          <w:tcPr>
            <w:tcW w:w="575" w:type="pct"/>
            <w:tcBorders>
              <w:top w:val="single" w:sz="8" w:space="0" w:color="auto"/>
              <w:left w:val="nil"/>
              <w:bottom w:val="single" w:sz="8" w:space="0" w:color="auto"/>
              <w:right w:val="single" w:sz="8" w:space="0" w:color="auto"/>
            </w:tcBorders>
            <w:vAlign w:val="center"/>
          </w:tcPr>
          <w:p w14:paraId="7B3941F3" w14:textId="2F20386C" w:rsidR="00C34E1E" w:rsidRPr="00950C0F" w:rsidRDefault="53FA44F4" w:rsidP="56F9DD4F">
            <w:pPr>
              <w:pStyle w:val="TableText"/>
              <w:keepNext/>
              <w:keepLines/>
              <w:tabs>
                <w:tab w:val="decimal" w:pos="396"/>
              </w:tabs>
              <w:jc w:val="center"/>
            </w:pPr>
            <w:r w:rsidRPr="00950C0F">
              <w:rPr>
                <w:rFonts w:cs="Arial"/>
              </w:rPr>
              <w:t xml:space="preserve"> Redacted</w:t>
            </w:r>
            <w:r w:rsidRPr="00950C0F">
              <w:rPr>
                <w:rFonts w:cs="Arial"/>
                <w:vertAlign w:val="superscript"/>
              </w:rPr>
              <w:t>3</w:t>
            </w:r>
          </w:p>
        </w:tc>
        <w:tc>
          <w:tcPr>
            <w:tcW w:w="574" w:type="pct"/>
            <w:tcBorders>
              <w:top w:val="single" w:sz="8" w:space="0" w:color="auto"/>
              <w:left w:val="nil"/>
              <w:bottom w:val="single" w:sz="8" w:space="0" w:color="auto"/>
              <w:right w:val="single" w:sz="8" w:space="0" w:color="auto"/>
            </w:tcBorders>
            <w:vAlign w:val="center"/>
          </w:tcPr>
          <w:p w14:paraId="5EA4084D" w14:textId="02214654" w:rsidR="00C34E1E" w:rsidRPr="00950C0F" w:rsidRDefault="460D0ED9" w:rsidP="56F9DD4F">
            <w:pPr>
              <w:pStyle w:val="TableText"/>
              <w:keepNext/>
              <w:keepLines/>
              <w:tabs>
                <w:tab w:val="decimal" w:pos="396"/>
              </w:tabs>
              <w:jc w:val="center"/>
            </w:pPr>
            <w:r w:rsidRPr="00950C0F">
              <w:rPr>
                <w:rFonts w:cs="Arial"/>
              </w:rPr>
              <w:t xml:space="preserve"> Redacted</w:t>
            </w:r>
            <w:r w:rsidRPr="00950C0F">
              <w:rPr>
                <w:rFonts w:cs="Arial"/>
                <w:vertAlign w:val="superscript"/>
              </w:rPr>
              <w:t>3</w:t>
            </w:r>
          </w:p>
        </w:tc>
        <w:tc>
          <w:tcPr>
            <w:tcW w:w="576" w:type="pct"/>
            <w:tcBorders>
              <w:top w:val="single" w:sz="8" w:space="0" w:color="auto"/>
              <w:left w:val="nil"/>
              <w:bottom w:val="single" w:sz="8" w:space="0" w:color="auto"/>
              <w:right w:val="single" w:sz="8" w:space="0" w:color="auto"/>
            </w:tcBorders>
            <w:vAlign w:val="center"/>
          </w:tcPr>
          <w:p w14:paraId="2CCC29EA" w14:textId="5193B5BE" w:rsidR="00C34E1E" w:rsidRPr="00950C0F" w:rsidRDefault="4E20D5DD" w:rsidP="56F9DD4F">
            <w:pPr>
              <w:pStyle w:val="TableText"/>
              <w:keepNext/>
              <w:keepLines/>
              <w:tabs>
                <w:tab w:val="decimal" w:pos="396"/>
              </w:tabs>
              <w:jc w:val="right"/>
              <w:rPr>
                <w:rFonts w:eastAsia="Times New Roman" w:cs="Arial"/>
                <w:color w:val="000000"/>
                <w:vertAlign w:val="superscript"/>
                <w:lang w:eastAsia="en-AU"/>
              </w:rPr>
            </w:pPr>
            <w:r w:rsidRPr="00950C0F">
              <w:rPr>
                <w:rFonts w:eastAsia="Times New Roman" w:cs="Arial"/>
                <w:lang w:eastAsia="en-AU"/>
              </w:rPr>
              <w:t>Redacted</w:t>
            </w:r>
            <w:r w:rsidRPr="00950C0F">
              <w:rPr>
                <w:rFonts w:eastAsia="Times New Roman" w:cs="Arial"/>
                <w:vertAlign w:val="superscript"/>
                <w:lang w:eastAsia="en-AU"/>
              </w:rPr>
              <w:t>5</w:t>
            </w:r>
          </w:p>
        </w:tc>
      </w:tr>
      <w:tr w:rsidR="00C34E1E" w:rsidRPr="00950C0F" w14:paraId="5BFE8453" w14:textId="77777777" w:rsidTr="56F9DD4F">
        <w:trPr>
          <w:jc w:val="center"/>
        </w:trPr>
        <w:tc>
          <w:tcPr>
            <w:tcW w:w="5000" w:type="pct"/>
            <w:gridSpan w:val="8"/>
            <w:vAlign w:val="center"/>
          </w:tcPr>
          <w:p w14:paraId="4B356F60" w14:textId="11D5C6E4" w:rsidR="00C34E1E" w:rsidRPr="00950C0F" w:rsidRDefault="00C34E1E" w:rsidP="00850174">
            <w:pPr>
              <w:pStyle w:val="TableText"/>
              <w:keepNext/>
              <w:keepLines/>
              <w:rPr>
                <w:b/>
                <w:bCs/>
              </w:rPr>
            </w:pPr>
            <w:r w:rsidRPr="00950C0F">
              <w:rPr>
                <w:b/>
                <w:bCs/>
              </w:rPr>
              <w:t>Two-way sensitivity analyses</w:t>
            </w:r>
          </w:p>
        </w:tc>
      </w:tr>
      <w:tr w:rsidR="00C34E1E" w:rsidRPr="00950C0F" w14:paraId="6FF8A496" w14:textId="77777777" w:rsidTr="56F9DD4F">
        <w:trPr>
          <w:jc w:val="center"/>
        </w:trPr>
        <w:tc>
          <w:tcPr>
            <w:tcW w:w="5000" w:type="pct"/>
            <w:gridSpan w:val="8"/>
            <w:vAlign w:val="center"/>
          </w:tcPr>
          <w:p w14:paraId="545C320B" w14:textId="2827EE29" w:rsidR="00C34E1E" w:rsidRPr="00950C0F" w:rsidRDefault="6457AC2A" w:rsidP="56F9DD4F">
            <w:pPr>
              <w:pStyle w:val="TableText"/>
              <w:keepNext/>
              <w:keepLines/>
              <w:rPr>
                <w:rFonts w:cs="Arial"/>
                <w:b/>
                <w:color w:val="000000"/>
              </w:rPr>
            </w:pPr>
            <w:r w:rsidRPr="00950C0F">
              <w:rPr>
                <w:b/>
                <w:bCs/>
              </w:rPr>
              <w:t>ESR1</w:t>
            </w:r>
            <w:r w:rsidRPr="00950C0F">
              <w:rPr>
                <w:b/>
              </w:rPr>
              <w:t xml:space="preserve"> prevalence 47.7% across both tests </w:t>
            </w:r>
          </w:p>
        </w:tc>
      </w:tr>
      <w:tr w:rsidR="0064494F" w:rsidRPr="00950C0F" w14:paraId="03F868F8" w14:textId="77777777" w:rsidTr="56F9DD4F">
        <w:trPr>
          <w:jc w:val="center"/>
        </w:trPr>
        <w:tc>
          <w:tcPr>
            <w:tcW w:w="972" w:type="pct"/>
            <w:vAlign w:val="center"/>
          </w:tcPr>
          <w:p w14:paraId="30CF1178" w14:textId="3092EDB5" w:rsidR="0064494F" w:rsidRPr="00950C0F" w:rsidRDefault="2397BAC0" w:rsidP="56F9DD4F">
            <w:pPr>
              <w:pStyle w:val="TableText"/>
              <w:keepNext/>
              <w:keepLines/>
            </w:pPr>
            <w:r w:rsidRPr="00950C0F">
              <w:t>$647.05/</w:t>
            </w:r>
            <w:proofErr w:type="spellStart"/>
            <w:r w:rsidRPr="00950C0F">
              <w:t>test</w:t>
            </w:r>
            <w:r w:rsidRPr="00950C0F">
              <w:rPr>
                <w:vertAlign w:val="superscript"/>
              </w:rPr>
              <w:t>a</w:t>
            </w:r>
            <w:proofErr w:type="spellEnd"/>
            <w:r w:rsidRPr="00950C0F">
              <w:t xml:space="preserve"> </w:t>
            </w:r>
          </w:p>
        </w:tc>
        <w:tc>
          <w:tcPr>
            <w:tcW w:w="576" w:type="pct"/>
            <w:shd w:val="clear" w:color="auto" w:fill="FFFFFF" w:themeFill="background1"/>
            <w:vAlign w:val="center"/>
          </w:tcPr>
          <w:p w14:paraId="12DDEF8E" w14:textId="2AB020D4" w:rsidR="0064494F" w:rsidRPr="00950C0F" w:rsidRDefault="768B8529"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c>
          <w:tcPr>
            <w:tcW w:w="576" w:type="pct"/>
            <w:shd w:val="clear" w:color="auto" w:fill="FFFFFF" w:themeFill="background1"/>
            <w:vAlign w:val="center"/>
          </w:tcPr>
          <w:p w14:paraId="673BCE96" w14:textId="41E83796" w:rsidR="0064494F" w:rsidRPr="00950C0F" w:rsidRDefault="28CAA071" w:rsidP="56F9DD4F">
            <w:pPr>
              <w:pStyle w:val="TableText"/>
              <w:keepNext/>
              <w:keepLines/>
              <w:jc w:val="right"/>
            </w:pPr>
            <w:r w:rsidRPr="00950C0F">
              <w:rPr>
                <w:rFonts w:cs="Arial"/>
              </w:rPr>
              <w:t xml:space="preserve"> Redacted</w:t>
            </w:r>
            <w:r w:rsidRPr="00950C0F">
              <w:rPr>
                <w:rFonts w:cs="Arial"/>
                <w:vertAlign w:val="superscript"/>
              </w:rPr>
              <w:t>3</w:t>
            </w:r>
          </w:p>
        </w:tc>
        <w:tc>
          <w:tcPr>
            <w:tcW w:w="575" w:type="pct"/>
            <w:shd w:val="clear" w:color="auto" w:fill="FFFFFF" w:themeFill="background1"/>
            <w:vAlign w:val="center"/>
          </w:tcPr>
          <w:p w14:paraId="7C712C93" w14:textId="04A955C7" w:rsidR="0064494F" w:rsidRPr="00950C0F" w:rsidRDefault="5840E49F" w:rsidP="56F9DD4F">
            <w:pPr>
              <w:pStyle w:val="TableText"/>
              <w:keepNext/>
              <w:keepLines/>
              <w:jc w:val="right"/>
            </w:pPr>
            <w:r w:rsidRPr="00950C0F">
              <w:rPr>
                <w:rFonts w:cs="Arial"/>
              </w:rPr>
              <w:t xml:space="preserve"> Redacted</w:t>
            </w:r>
            <w:r w:rsidRPr="00950C0F">
              <w:rPr>
                <w:rFonts w:cs="Arial"/>
                <w:vertAlign w:val="superscript"/>
              </w:rPr>
              <w:t>3</w:t>
            </w:r>
          </w:p>
        </w:tc>
        <w:tc>
          <w:tcPr>
            <w:tcW w:w="576" w:type="pct"/>
            <w:shd w:val="clear" w:color="auto" w:fill="FFFFFF" w:themeFill="background1"/>
            <w:vAlign w:val="center"/>
          </w:tcPr>
          <w:p w14:paraId="1CC80CAC" w14:textId="6F4C766D" w:rsidR="0064494F" w:rsidRPr="00950C0F" w:rsidRDefault="5840E49F"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c>
          <w:tcPr>
            <w:tcW w:w="575" w:type="pct"/>
            <w:shd w:val="clear" w:color="auto" w:fill="FFFFFF" w:themeFill="background1"/>
            <w:vAlign w:val="center"/>
          </w:tcPr>
          <w:p w14:paraId="419AF355" w14:textId="63682A35" w:rsidR="0064494F" w:rsidRPr="00950C0F" w:rsidRDefault="6C16C8C2" w:rsidP="56F9DD4F">
            <w:pPr>
              <w:pStyle w:val="TableText"/>
              <w:keepNext/>
              <w:keepLines/>
              <w:jc w:val="right"/>
            </w:pPr>
            <w:r w:rsidRPr="00950C0F">
              <w:rPr>
                <w:rFonts w:cs="Arial"/>
              </w:rPr>
              <w:t xml:space="preserve"> Redacted</w:t>
            </w:r>
            <w:r w:rsidRPr="00950C0F">
              <w:rPr>
                <w:rFonts w:cs="Arial"/>
                <w:vertAlign w:val="superscript"/>
              </w:rPr>
              <w:t>3</w:t>
            </w:r>
          </w:p>
        </w:tc>
        <w:tc>
          <w:tcPr>
            <w:tcW w:w="574" w:type="pct"/>
            <w:shd w:val="clear" w:color="auto" w:fill="FFFFFF" w:themeFill="background1"/>
            <w:vAlign w:val="center"/>
          </w:tcPr>
          <w:p w14:paraId="7075DD57" w14:textId="2E2821C6" w:rsidR="0064494F" w:rsidRPr="00950C0F" w:rsidRDefault="6C16C8C2"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c>
          <w:tcPr>
            <w:tcW w:w="576" w:type="pct"/>
            <w:shd w:val="clear" w:color="auto" w:fill="FFFFFF" w:themeFill="background1"/>
            <w:vAlign w:val="center"/>
          </w:tcPr>
          <w:p w14:paraId="74B94E29" w14:textId="54A47FB2" w:rsidR="0064494F" w:rsidRPr="00950C0F" w:rsidRDefault="20037EA8" w:rsidP="56F9DD4F">
            <w:pPr>
              <w:pStyle w:val="TableText"/>
              <w:keepNext/>
              <w:keepLines/>
              <w:jc w:val="right"/>
            </w:pPr>
            <w:r w:rsidRPr="00950C0F">
              <w:rPr>
                <w:rFonts w:cs="Arial"/>
              </w:rPr>
              <w:t xml:space="preserve"> Redacted</w:t>
            </w:r>
            <w:r w:rsidRPr="00950C0F">
              <w:rPr>
                <w:rFonts w:cs="Arial"/>
                <w:vertAlign w:val="superscript"/>
              </w:rPr>
              <w:t>3</w:t>
            </w:r>
          </w:p>
        </w:tc>
      </w:tr>
      <w:tr w:rsidR="00744D3C" w:rsidRPr="00950C0F" w14:paraId="56F8FCE8" w14:textId="77777777" w:rsidTr="56F9DD4F">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6BDF9F20" w14:textId="1CC2B8CA" w:rsidR="0064494F" w:rsidRPr="00950C0F" w:rsidRDefault="2397BAC0" w:rsidP="00850174">
            <w:pPr>
              <w:pStyle w:val="TableText"/>
              <w:keepNext/>
              <w:keepLines/>
              <w:rPr>
                <w:rFonts w:eastAsia="Times New Roman" w:cs="Times New Roman"/>
              </w:rPr>
            </w:pPr>
            <w:r w:rsidRPr="00950C0F">
              <w:t>$1,766.75/</w:t>
            </w:r>
            <w:proofErr w:type="spellStart"/>
            <w:r w:rsidRPr="00950C0F">
              <w:t>test</w:t>
            </w:r>
            <w:r w:rsidRPr="00950C0F">
              <w:rPr>
                <w:vertAlign w:val="superscript"/>
              </w:rPr>
              <w:t>b</w:t>
            </w:r>
            <w:proofErr w:type="spellEnd"/>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86ED4" w14:textId="45C3B68A" w:rsidR="0064494F" w:rsidRPr="00950C0F" w:rsidRDefault="24847885" w:rsidP="56F9DD4F">
            <w:pPr>
              <w:pStyle w:val="TableText"/>
              <w:keepNext/>
              <w:keepLines/>
              <w:jc w:val="right"/>
            </w:pPr>
            <w:r w:rsidRPr="00950C0F">
              <w:rPr>
                <w:rFonts w:cs="Arial"/>
              </w:rPr>
              <w:t xml:space="preserve"> Redacted</w:t>
            </w:r>
            <w:r w:rsidRPr="00950C0F">
              <w:rPr>
                <w:rFonts w:cs="Arial"/>
                <w:vertAlign w:val="superscript"/>
              </w:rPr>
              <w:t>3</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0C3E8" w14:textId="003EB509" w:rsidR="0064494F" w:rsidRPr="00950C0F" w:rsidRDefault="4D7F21B9" w:rsidP="56F9DD4F">
            <w:pPr>
              <w:pStyle w:val="TableText"/>
              <w:keepNext/>
              <w:keepLines/>
              <w:jc w:val="right"/>
            </w:pPr>
            <w:r w:rsidRPr="00950C0F">
              <w:rPr>
                <w:rFonts w:cs="Arial"/>
              </w:rPr>
              <w:t xml:space="preserve"> Redacted</w:t>
            </w:r>
            <w:r w:rsidRPr="00950C0F">
              <w:rPr>
                <w:rFonts w:cs="Arial"/>
                <w:vertAlign w:val="superscript"/>
              </w:rPr>
              <w:t>3</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9616" w14:textId="00B3D923" w:rsidR="0064494F" w:rsidRPr="00950C0F" w:rsidRDefault="4D7F21B9" w:rsidP="56F9DD4F">
            <w:pPr>
              <w:pStyle w:val="TableText"/>
              <w:keepNext/>
              <w:keepLines/>
              <w:jc w:val="right"/>
            </w:pPr>
            <w:r w:rsidRPr="00950C0F">
              <w:rPr>
                <w:rFonts w:cs="Arial"/>
              </w:rPr>
              <w:t>Redacted</w:t>
            </w:r>
            <w:r w:rsidRPr="00950C0F">
              <w:rPr>
                <w:rFonts w:cs="Arial"/>
                <w:vertAlign w:val="superscript"/>
              </w:rPr>
              <w:t>3</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2BF1C" w14:textId="0E9DD668" w:rsidR="0064494F" w:rsidRPr="00950C0F" w:rsidRDefault="01B2393F" w:rsidP="56F9DD4F">
            <w:pPr>
              <w:pStyle w:val="TableText"/>
              <w:keepNext/>
              <w:keepLines/>
              <w:jc w:val="right"/>
            </w:pPr>
            <w:r w:rsidRPr="00950C0F">
              <w:rPr>
                <w:rFonts w:cs="Arial"/>
              </w:rPr>
              <w:t xml:space="preserve"> Redacted</w:t>
            </w:r>
            <w:r w:rsidRPr="00950C0F">
              <w:rPr>
                <w:rFonts w:cs="Arial"/>
                <w:vertAlign w:val="superscript"/>
              </w:rPr>
              <w:t>3</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A44FA" w14:textId="58370897" w:rsidR="0064494F" w:rsidRPr="00950C0F" w:rsidRDefault="01B2393F" w:rsidP="56F9DD4F">
            <w:pPr>
              <w:pStyle w:val="TableText"/>
              <w:keepNext/>
              <w:keepLines/>
              <w:jc w:val="right"/>
            </w:pPr>
            <w:r w:rsidRPr="00950C0F">
              <w:rPr>
                <w:rFonts w:cs="Arial"/>
              </w:rPr>
              <w:t>Redacted</w:t>
            </w:r>
            <w:r w:rsidRPr="00950C0F">
              <w:rPr>
                <w:rFonts w:cs="Arial"/>
                <w:vertAlign w:val="superscript"/>
              </w:rPr>
              <w:t>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50050" w14:textId="52517FD7" w:rsidR="0064494F" w:rsidRPr="00950C0F" w:rsidRDefault="5DEAF1F3" w:rsidP="56F9DD4F">
            <w:pPr>
              <w:pStyle w:val="TableText"/>
              <w:keepNext/>
              <w:keepLines/>
              <w:jc w:val="right"/>
            </w:pPr>
            <w:r w:rsidRPr="00950C0F">
              <w:rPr>
                <w:rFonts w:cs="Arial"/>
              </w:rPr>
              <w:t xml:space="preserve"> Redacted</w:t>
            </w:r>
            <w:r w:rsidRPr="00950C0F">
              <w:rPr>
                <w:rFonts w:cs="Arial"/>
                <w:vertAlign w:val="superscript"/>
              </w:rPr>
              <w:t>3</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9E091" w14:textId="1BA24608" w:rsidR="0064494F" w:rsidRPr="00950C0F" w:rsidRDefault="2D0825BF" w:rsidP="56F9DD4F">
            <w:pPr>
              <w:pStyle w:val="TableText"/>
              <w:keepNext/>
              <w:keepLines/>
              <w:jc w:val="right"/>
              <w:rPr>
                <w:rFonts w:cs="Arial"/>
                <w:color w:val="000000"/>
              </w:rPr>
            </w:pPr>
            <w:r w:rsidRPr="00950C0F">
              <w:rPr>
                <w:rFonts w:eastAsia="Times New Roman" w:cs="Arial"/>
                <w:lang w:eastAsia="en-AU"/>
              </w:rPr>
              <w:t>Redacted</w:t>
            </w:r>
            <w:r w:rsidRPr="00950C0F">
              <w:rPr>
                <w:rFonts w:eastAsia="Times New Roman" w:cs="Arial"/>
                <w:vertAlign w:val="superscript"/>
                <w:lang w:eastAsia="en-AU"/>
              </w:rPr>
              <w:t>5</w:t>
            </w:r>
          </w:p>
        </w:tc>
      </w:tr>
      <w:tr w:rsidR="00361976" w:rsidRPr="00950C0F" w14:paraId="4DC5664B" w14:textId="77777777" w:rsidTr="56F9DD4F">
        <w:trPr>
          <w:jc w:val="center"/>
        </w:trPr>
        <w:tc>
          <w:tcPr>
            <w:tcW w:w="5000" w:type="pct"/>
            <w:gridSpan w:val="8"/>
            <w:vAlign w:val="center"/>
          </w:tcPr>
          <w:p w14:paraId="51C6AC1B" w14:textId="16DE4357" w:rsidR="00361976" w:rsidRPr="00950C0F" w:rsidRDefault="00361976" w:rsidP="00850174">
            <w:pPr>
              <w:pStyle w:val="TableText"/>
              <w:keepNext/>
              <w:keepLines/>
              <w:rPr>
                <w:rFonts w:cs="Arial"/>
                <w:b/>
                <w:color w:val="000000"/>
              </w:rPr>
            </w:pPr>
            <w:r w:rsidRPr="00950C0F">
              <w:rPr>
                <w:b/>
                <w:bCs/>
              </w:rPr>
              <w:t>ESR1</w:t>
            </w:r>
            <w:r w:rsidRPr="00950C0F">
              <w:rPr>
                <w:b/>
              </w:rPr>
              <w:t xml:space="preserve"> prevalence 50% across both tests </w:t>
            </w:r>
          </w:p>
        </w:tc>
      </w:tr>
      <w:tr w:rsidR="00FC4C0E" w:rsidRPr="00950C0F" w14:paraId="2E47593C" w14:textId="77777777" w:rsidTr="56F9DD4F">
        <w:trPr>
          <w:jc w:val="center"/>
        </w:trPr>
        <w:tc>
          <w:tcPr>
            <w:tcW w:w="972" w:type="pct"/>
            <w:vAlign w:val="center"/>
          </w:tcPr>
          <w:p w14:paraId="0B9BF477" w14:textId="712DA7EA" w:rsidR="00FC4C0E" w:rsidRPr="00950C0F" w:rsidRDefault="598E33C0" w:rsidP="56F9DD4F">
            <w:pPr>
              <w:pStyle w:val="TableText"/>
              <w:keepNext/>
              <w:keepLines/>
            </w:pPr>
            <w:r w:rsidRPr="00950C0F">
              <w:t>$647.05/</w:t>
            </w:r>
            <w:proofErr w:type="spellStart"/>
            <w:r w:rsidRPr="00950C0F">
              <w:t>test</w:t>
            </w:r>
            <w:r w:rsidRPr="00950C0F">
              <w:rPr>
                <w:vertAlign w:val="superscript"/>
              </w:rPr>
              <w:t>a</w:t>
            </w:r>
            <w:proofErr w:type="spellEnd"/>
            <w:r w:rsidRPr="00950C0F">
              <w:t xml:space="preserve"> </w:t>
            </w:r>
          </w:p>
        </w:tc>
        <w:tc>
          <w:tcPr>
            <w:tcW w:w="576" w:type="pct"/>
            <w:shd w:val="clear" w:color="auto" w:fill="FFFFFF" w:themeFill="background1"/>
            <w:vAlign w:val="center"/>
          </w:tcPr>
          <w:p w14:paraId="78FE1EFE" w14:textId="3B655C1A" w:rsidR="00FC4C0E" w:rsidRPr="00950C0F" w:rsidRDefault="7956383C"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c>
          <w:tcPr>
            <w:tcW w:w="576" w:type="pct"/>
            <w:shd w:val="clear" w:color="auto" w:fill="FFFFFF" w:themeFill="background1"/>
            <w:vAlign w:val="center"/>
          </w:tcPr>
          <w:p w14:paraId="47F7E518" w14:textId="3A8B17F4" w:rsidR="00FC4C0E" w:rsidRPr="00950C0F" w:rsidRDefault="42B1BC01"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c>
          <w:tcPr>
            <w:tcW w:w="575" w:type="pct"/>
            <w:shd w:val="clear" w:color="auto" w:fill="FFFFFF" w:themeFill="background1"/>
            <w:vAlign w:val="center"/>
          </w:tcPr>
          <w:p w14:paraId="0C1C9613" w14:textId="0522C290" w:rsidR="00FC4C0E" w:rsidRPr="00950C0F" w:rsidRDefault="2E6A97C9"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c>
          <w:tcPr>
            <w:tcW w:w="576" w:type="pct"/>
            <w:shd w:val="clear" w:color="auto" w:fill="FFFFFF" w:themeFill="background1"/>
            <w:vAlign w:val="center"/>
          </w:tcPr>
          <w:p w14:paraId="3FB60DE6" w14:textId="218EB667" w:rsidR="00FC4C0E" w:rsidRPr="00950C0F" w:rsidRDefault="5EF3C28D"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c>
          <w:tcPr>
            <w:tcW w:w="575" w:type="pct"/>
            <w:shd w:val="clear" w:color="auto" w:fill="FFFFFF" w:themeFill="background1"/>
            <w:vAlign w:val="center"/>
          </w:tcPr>
          <w:p w14:paraId="464016D5" w14:textId="7AF847B5" w:rsidR="00FC4C0E" w:rsidRPr="00950C0F" w:rsidRDefault="258EB205"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c>
          <w:tcPr>
            <w:tcW w:w="574" w:type="pct"/>
            <w:shd w:val="clear" w:color="auto" w:fill="FFFFFF" w:themeFill="background1"/>
            <w:vAlign w:val="center"/>
          </w:tcPr>
          <w:p w14:paraId="23B8C0E6" w14:textId="21E3F719" w:rsidR="00FC4C0E" w:rsidRPr="00950C0F" w:rsidRDefault="0A58ECAD"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c>
          <w:tcPr>
            <w:tcW w:w="576" w:type="pct"/>
            <w:shd w:val="clear" w:color="auto" w:fill="FFFFFF" w:themeFill="background1"/>
            <w:vAlign w:val="center"/>
          </w:tcPr>
          <w:p w14:paraId="01CCF107" w14:textId="418B35CD" w:rsidR="00FC4C0E" w:rsidRPr="00950C0F" w:rsidRDefault="1ABFEAD8" w:rsidP="56F9DD4F">
            <w:pPr>
              <w:pStyle w:val="TableText"/>
              <w:keepNext/>
              <w:keepLines/>
              <w:jc w:val="right"/>
              <w:rPr>
                <w:rFonts w:cs="Arial"/>
                <w:color w:val="000000"/>
              </w:rPr>
            </w:pPr>
            <w:r w:rsidRPr="00950C0F">
              <w:rPr>
                <w:rFonts w:cs="Arial"/>
              </w:rPr>
              <w:t>Redacted</w:t>
            </w:r>
            <w:r w:rsidRPr="00950C0F">
              <w:rPr>
                <w:rFonts w:cs="Arial"/>
                <w:vertAlign w:val="superscript"/>
              </w:rPr>
              <w:t>3</w:t>
            </w:r>
          </w:p>
        </w:tc>
      </w:tr>
      <w:tr w:rsidR="00090196" w:rsidRPr="00950C0F" w14:paraId="7802B547" w14:textId="77777777" w:rsidTr="56F9DD4F">
        <w:trPr>
          <w:jc w:val="center"/>
        </w:trPr>
        <w:tc>
          <w:tcPr>
            <w:tcW w:w="972" w:type="pct"/>
            <w:tcBorders>
              <w:top w:val="single" w:sz="4" w:space="0" w:color="auto"/>
              <w:left w:val="single" w:sz="4" w:space="0" w:color="auto"/>
              <w:bottom w:val="single" w:sz="4" w:space="0" w:color="auto"/>
              <w:right w:val="single" w:sz="4" w:space="0" w:color="auto"/>
            </w:tcBorders>
            <w:vAlign w:val="center"/>
          </w:tcPr>
          <w:p w14:paraId="0237156A" w14:textId="32600208" w:rsidR="00FC4C0E" w:rsidRPr="00950C0F" w:rsidRDefault="598E33C0" w:rsidP="00850174">
            <w:pPr>
              <w:pStyle w:val="TableText"/>
              <w:keepNext/>
              <w:keepLines/>
              <w:rPr>
                <w:rFonts w:eastAsia="Times New Roman" w:cs="Times New Roman"/>
              </w:rPr>
            </w:pPr>
            <w:r w:rsidRPr="00950C0F">
              <w:t>$1,766.75/</w:t>
            </w:r>
            <w:proofErr w:type="spellStart"/>
            <w:r w:rsidRPr="00950C0F">
              <w:t>test</w:t>
            </w:r>
            <w:r w:rsidRPr="00950C0F">
              <w:rPr>
                <w:vertAlign w:val="superscript"/>
              </w:rPr>
              <w:t>b</w:t>
            </w:r>
            <w:proofErr w:type="spellEnd"/>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D39FC" w14:textId="149BCA66" w:rsidR="00FC4C0E" w:rsidRPr="00950C0F" w:rsidRDefault="33F6532A" w:rsidP="56F9DD4F">
            <w:pPr>
              <w:pStyle w:val="TableText"/>
              <w:keepNext/>
              <w:keepLines/>
              <w:jc w:val="right"/>
            </w:pPr>
            <w:r w:rsidRPr="00950C0F">
              <w:rPr>
                <w:rFonts w:cs="Arial"/>
              </w:rPr>
              <w:t xml:space="preserve"> Redacted</w:t>
            </w:r>
            <w:r w:rsidRPr="00950C0F">
              <w:rPr>
                <w:rFonts w:cs="Arial"/>
                <w:vertAlign w:val="superscript"/>
              </w:rPr>
              <w:t>3</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62E0C" w14:textId="37B06520" w:rsidR="00FC4C0E" w:rsidRPr="00950C0F" w:rsidRDefault="382E4064" w:rsidP="56F9DD4F">
            <w:pPr>
              <w:pStyle w:val="TableText"/>
              <w:keepNext/>
              <w:keepLines/>
              <w:jc w:val="right"/>
            </w:pPr>
            <w:r w:rsidRPr="00950C0F">
              <w:rPr>
                <w:rFonts w:cs="Arial"/>
              </w:rPr>
              <w:t xml:space="preserve"> Redacted</w:t>
            </w:r>
            <w:r w:rsidRPr="00950C0F">
              <w:rPr>
                <w:rFonts w:cs="Arial"/>
                <w:vertAlign w:val="superscript"/>
              </w:rPr>
              <w:t>3</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1675D" w14:textId="05244DB4" w:rsidR="00FC4C0E" w:rsidRPr="00950C0F" w:rsidRDefault="4537DC71" w:rsidP="00C21C97">
            <w:pPr>
              <w:pStyle w:val="TableText"/>
              <w:keepNext/>
              <w:keepLines/>
              <w:jc w:val="right"/>
            </w:pPr>
            <w:r w:rsidRPr="00950C0F">
              <w:rPr>
                <w:rFonts w:cs="Arial"/>
              </w:rPr>
              <w:t xml:space="preserve"> Redacted</w:t>
            </w:r>
            <w:r w:rsidRPr="00950C0F">
              <w:rPr>
                <w:rFonts w:cs="Arial"/>
                <w:vertAlign w:val="superscript"/>
              </w:rPr>
              <w:t>3</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72EEE" w14:textId="5CC59408" w:rsidR="00FC4C0E" w:rsidRPr="00950C0F" w:rsidRDefault="011D167E" w:rsidP="56F9DD4F">
            <w:pPr>
              <w:pStyle w:val="TableText"/>
              <w:keepNext/>
              <w:keepLines/>
              <w:jc w:val="right"/>
            </w:pPr>
            <w:r w:rsidRPr="00950C0F">
              <w:rPr>
                <w:rFonts w:cs="Arial"/>
              </w:rPr>
              <w:t xml:space="preserve"> Redacted</w:t>
            </w:r>
            <w:r w:rsidRPr="00950C0F">
              <w:rPr>
                <w:rFonts w:cs="Arial"/>
                <w:vertAlign w:val="superscript"/>
              </w:rPr>
              <w:t>3</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039A1" w14:textId="22CCE61A" w:rsidR="00FC4C0E" w:rsidRPr="00950C0F" w:rsidRDefault="59ECC214" w:rsidP="56F9DD4F">
            <w:pPr>
              <w:pStyle w:val="TableText"/>
              <w:keepNext/>
              <w:keepLines/>
              <w:jc w:val="right"/>
            </w:pPr>
            <w:r w:rsidRPr="00950C0F">
              <w:rPr>
                <w:rFonts w:cs="Arial"/>
              </w:rPr>
              <w:t xml:space="preserve"> Redacted</w:t>
            </w:r>
            <w:r w:rsidRPr="00950C0F">
              <w:rPr>
                <w:rFonts w:cs="Arial"/>
                <w:vertAlign w:val="superscript"/>
              </w:rPr>
              <w:t>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F8ED0" w14:textId="29A43C34" w:rsidR="00FC4C0E" w:rsidRPr="00950C0F" w:rsidRDefault="0546AFAB" w:rsidP="56F9DD4F">
            <w:pPr>
              <w:pStyle w:val="TableText"/>
              <w:keepNext/>
              <w:keepLines/>
              <w:jc w:val="right"/>
            </w:pPr>
            <w:r w:rsidRPr="00950C0F">
              <w:rPr>
                <w:rFonts w:cs="Arial"/>
              </w:rPr>
              <w:t xml:space="preserve"> Redacted</w:t>
            </w:r>
            <w:r w:rsidRPr="00950C0F">
              <w:rPr>
                <w:rFonts w:cs="Arial"/>
                <w:vertAlign w:val="superscript"/>
              </w:rPr>
              <w:t>3</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67351" w14:textId="1CA658AE" w:rsidR="00FC4C0E" w:rsidRPr="00950C0F" w:rsidRDefault="3EA109C9" w:rsidP="56F9DD4F">
            <w:pPr>
              <w:pStyle w:val="TableText"/>
              <w:keepNext/>
              <w:keepLines/>
              <w:jc w:val="right"/>
              <w:rPr>
                <w:rFonts w:cs="Arial"/>
                <w:color w:val="000000"/>
              </w:rPr>
            </w:pPr>
            <w:r w:rsidRPr="00950C0F">
              <w:rPr>
                <w:rFonts w:eastAsia="Times New Roman" w:cs="Arial"/>
                <w:lang w:eastAsia="en-AU"/>
              </w:rPr>
              <w:t>Redacted</w:t>
            </w:r>
            <w:r w:rsidRPr="00950C0F">
              <w:rPr>
                <w:rFonts w:eastAsia="Times New Roman" w:cs="Arial"/>
                <w:vertAlign w:val="superscript"/>
                <w:lang w:eastAsia="en-AU"/>
              </w:rPr>
              <w:t>5</w:t>
            </w:r>
          </w:p>
        </w:tc>
      </w:tr>
    </w:tbl>
    <w:p w14:paraId="2FE6446C" w14:textId="55CD4B92" w:rsidR="008B4BCC" w:rsidRPr="00950C0F" w:rsidRDefault="008B4BCC" w:rsidP="00850174">
      <w:pPr>
        <w:pStyle w:val="MSACESParagraph"/>
        <w:keepNext/>
        <w:keepLines/>
        <w:spacing w:after="0"/>
        <w:rPr>
          <w:rFonts w:ascii="Arial Narrow" w:hAnsi="Arial Narrow"/>
          <w:i/>
          <w:iCs/>
          <w:sz w:val="18"/>
          <w:szCs w:val="18"/>
        </w:rPr>
      </w:pPr>
      <w:r w:rsidRPr="00950C0F">
        <w:rPr>
          <w:rFonts w:ascii="Arial Narrow" w:hAnsi="Arial Narrow"/>
          <w:sz w:val="18"/>
          <w:szCs w:val="18"/>
        </w:rPr>
        <w:t xml:space="preserve">Source: </w:t>
      </w:r>
      <w:r w:rsidR="00071E4D" w:rsidRPr="00950C0F">
        <w:rPr>
          <w:rFonts w:ascii="Arial Narrow" w:hAnsi="Arial Narrow"/>
          <w:sz w:val="18"/>
          <w:szCs w:val="18"/>
        </w:rPr>
        <w:t>conducted by the evaluation group post-ESC</w:t>
      </w:r>
      <w:r w:rsidR="005F4004" w:rsidRPr="00950C0F">
        <w:rPr>
          <w:rFonts w:ascii="Arial Narrow" w:hAnsi="Arial Narrow"/>
          <w:sz w:val="18"/>
          <w:szCs w:val="18"/>
        </w:rPr>
        <w:t xml:space="preserve"> at the request of </w:t>
      </w:r>
      <w:r w:rsidR="00BE0686" w:rsidRPr="00950C0F">
        <w:rPr>
          <w:rFonts w:ascii="Arial Narrow" w:hAnsi="Arial Narrow"/>
          <w:sz w:val="18"/>
          <w:szCs w:val="18"/>
        </w:rPr>
        <w:t>ESCs</w:t>
      </w:r>
      <w:r w:rsidR="00CE4479" w:rsidRPr="00950C0F">
        <w:rPr>
          <w:rFonts w:ascii="Arial Narrow" w:hAnsi="Arial Narrow"/>
          <w:sz w:val="18"/>
          <w:szCs w:val="18"/>
        </w:rPr>
        <w:t xml:space="preserve"> and the department.</w:t>
      </w:r>
      <w:r w:rsidR="00C60D14" w:rsidRPr="00950C0F">
        <w:rPr>
          <w:rFonts w:ascii="Arial Narrow" w:hAnsi="Arial Narrow"/>
          <w:sz w:val="18"/>
          <w:szCs w:val="18"/>
        </w:rPr>
        <w:t xml:space="preserve"> </w:t>
      </w:r>
    </w:p>
    <w:p w14:paraId="6918E9EA" w14:textId="6E77E046" w:rsidR="001640CF" w:rsidRPr="00950C0F" w:rsidRDefault="22E3A4FD" w:rsidP="56F9DD4F">
      <w:pPr>
        <w:pStyle w:val="MSACESParagraph"/>
        <w:keepNext/>
        <w:keepLines/>
        <w:spacing w:after="0"/>
        <w:rPr>
          <w:rFonts w:ascii="Arial Narrow" w:hAnsi="Arial Narrow"/>
          <w:sz w:val="18"/>
          <w:szCs w:val="18"/>
        </w:rPr>
      </w:pPr>
      <w:r w:rsidRPr="00950C0F">
        <w:rPr>
          <w:rFonts w:ascii="Arial Narrow" w:hAnsi="Arial Narrow"/>
          <w:sz w:val="18"/>
          <w:szCs w:val="18"/>
          <w:vertAlign w:val="superscript"/>
        </w:rPr>
        <w:t>a</w:t>
      </w:r>
      <w:r w:rsidRPr="00950C0F">
        <w:rPr>
          <w:rFonts w:ascii="Arial Narrow" w:hAnsi="Arial Narrow"/>
          <w:sz w:val="18"/>
          <w:szCs w:val="18"/>
        </w:rPr>
        <w:t xml:space="preserve"> </w:t>
      </w:r>
      <w:r w:rsidR="3DE12221" w:rsidRPr="00950C0F">
        <w:rPr>
          <w:rFonts w:ascii="Arial Narrow" w:hAnsi="Arial Narrow"/>
          <w:sz w:val="18"/>
          <w:szCs w:val="18"/>
        </w:rPr>
        <w:t xml:space="preserve">An MBS fee of $647.05 sets the 85% </w:t>
      </w:r>
      <w:r w:rsidR="213FD28C" w:rsidRPr="00950C0F">
        <w:rPr>
          <w:rFonts w:ascii="Arial Narrow" w:hAnsi="Arial Narrow"/>
          <w:sz w:val="18"/>
          <w:szCs w:val="18"/>
        </w:rPr>
        <w:t xml:space="preserve">(out-of-hospital) </w:t>
      </w:r>
      <w:r w:rsidR="3DE12221" w:rsidRPr="00950C0F">
        <w:rPr>
          <w:rFonts w:ascii="Arial Narrow" w:hAnsi="Arial Narrow"/>
          <w:sz w:val="18"/>
          <w:szCs w:val="18"/>
        </w:rPr>
        <w:t xml:space="preserve">benefit </w:t>
      </w:r>
      <w:r w:rsidR="0895E696" w:rsidRPr="00950C0F">
        <w:rPr>
          <w:rFonts w:ascii="Arial Narrow" w:hAnsi="Arial Narrow"/>
          <w:sz w:val="18"/>
          <w:szCs w:val="18"/>
        </w:rPr>
        <w:t>to</w:t>
      </w:r>
      <w:r w:rsidR="3DE12221" w:rsidRPr="00950C0F">
        <w:rPr>
          <w:rFonts w:ascii="Arial Narrow" w:hAnsi="Arial Narrow"/>
          <w:sz w:val="18"/>
          <w:szCs w:val="18"/>
        </w:rPr>
        <w:t xml:space="preserve"> $550.00</w:t>
      </w:r>
      <w:r w:rsidR="55E56E91" w:rsidRPr="00950C0F">
        <w:rPr>
          <w:rFonts w:ascii="Arial Narrow" w:hAnsi="Arial Narrow"/>
          <w:sz w:val="18"/>
          <w:szCs w:val="18"/>
        </w:rPr>
        <w:t>.</w:t>
      </w:r>
      <w:r w:rsidR="3DE12221" w:rsidRPr="00950C0F">
        <w:rPr>
          <w:rFonts w:ascii="Arial Narrow" w:hAnsi="Arial Narrow"/>
          <w:sz w:val="18"/>
          <w:szCs w:val="18"/>
        </w:rPr>
        <w:t xml:space="preserve"> </w:t>
      </w:r>
      <w:r w:rsidR="5FEF3117" w:rsidRPr="00950C0F">
        <w:rPr>
          <w:rFonts w:ascii="Arial Narrow" w:hAnsi="Arial Narrow"/>
          <w:sz w:val="18"/>
          <w:szCs w:val="18"/>
        </w:rPr>
        <w:t xml:space="preserve">This </w:t>
      </w:r>
      <w:r w:rsidR="16DF2448" w:rsidRPr="00950C0F">
        <w:rPr>
          <w:rFonts w:ascii="Arial Narrow" w:hAnsi="Arial Narrow"/>
          <w:sz w:val="18"/>
          <w:szCs w:val="18"/>
        </w:rPr>
        <w:t xml:space="preserve">proposed </w:t>
      </w:r>
      <w:r w:rsidR="5FEF3117" w:rsidRPr="00950C0F">
        <w:rPr>
          <w:rFonts w:ascii="Arial Narrow" w:hAnsi="Arial Narrow"/>
          <w:sz w:val="18"/>
          <w:szCs w:val="18"/>
        </w:rPr>
        <w:t>fee is based on the Australian Clinical Laboratories (ACL) commercial ctDNA test for lung cancer, colorectal cancer and melanoma. The ACL test costs $550 to patients</w:t>
      </w:r>
      <w:r w:rsidR="6248D113" w:rsidRPr="00950C0F">
        <w:rPr>
          <w:rFonts w:ascii="Arial Narrow" w:hAnsi="Arial Narrow"/>
          <w:sz w:val="18"/>
          <w:szCs w:val="18"/>
        </w:rPr>
        <w:t>.</w:t>
      </w:r>
    </w:p>
    <w:p w14:paraId="063601C3" w14:textId="34A4D11F" w:rsidR="000953C7" w:rsidRPr="00950C0F" w:rsidRDefault="5F5408A2" w:rsidP="00D74244">
      <w:pPr>
        <w:pStyle w:val="MSACESParagraph"/>
        <w:keepNext/>
        <w:keepLines/>
        <w:spacing w:after="0"/>
        <w:rPr>
          <w:rFonts w:ascii="Arial Narrow" w:hAnsi="Arial Narrow"/>
          <w:sz w:val="18"/>
          <w:szCs w:val="18"/>
        </w:rPr>
      </w:pPr>
      <w:r w:rsidRPr="00950C0F">
        <w:rPr>
          <w:rFonts w:ascii="Arial Narrow" w:hAnsi="Arial Narrow"/>
          <w:sz w:val="18"/>
          <w:szCs w:val="18"/>
          <w:vertAlign w:val="superscript"/>
        </w:rPr>
        <w:t>b</w:t>
      </w:r>
      <w:r w:rsidR="6147C68E" w:rsidRPr="00950C0F">
        <w:rPr>
          <w:rFonts w:ascii="Arial Narrow" w:hAnsi="Arial Narrow"/>
          <w:sz w:val="18"/>
          <w:szCs w:val="18"/>
        </w:rPr>
        <w:t xml:space="preserve"> An MBS fee of $1</w:t>
      </w:r>
      <w:r w:rsidR="3178543B" w:rsidRPr="00950C0F">
        <w:rPr>
          <w:rFonts w:ascii="Arial Narrow" w:hAnsi="Arial Narrow"/>
          <w:sz w:val="18"/>
          <w:szCs w:val="18"/>
        </w:rPr>
        <w:t>,</w:t>
      </w:r>
      <w:r w:rsidR="6147C68E" w:rsidRPr="00950C0F">
        <w:rPr>
          <w:rFonts w:ascii="Arial Narrow" w:hAnsi="Arial Narrow"/>
          <w:sz w:val="18"/>
          <w:szCs w:val="18"/>
        </w:rPr>
        <w:t xml:space="preserve">766.75 sets the 85% </w:t>
      </w:r>
      <w:r w:rsidR="53D995E7" w:rsidRPr="00950C0F">
        <w:rPr>
          <w:rFonts w:ascii="Arial Narrow" w:hAnsi="Arial Narrow"/>
          <w:sz w:val="18"/>
          <w:szCs w:val="18"/>
        </w:rPr>
        <w:t xml:space="preserve">(out-of-hospital) </w:t>
      </w:r>
      <w:r w:rsidR="6147C68E" w:rsidRPr="00950C0F">
        <w:rPr>
          <w:rFonts w:ascii="Arial Narrow" w:hAnsi="Arial Narrow"/>
          <w:sz w:val="18"/>
          <w:szCs w:val="18"/>
        </w:rPr>
        <w:t xml:space="preserve">benefit </w:t>
      </w:r>
      <w:r w:rsidR="2AD193B7" w:rsidRPr="00950C0F">
        <w:rPr>
          <w:rFonts w:ascii="Arial Narrow" w:hAnsi="Arial Narrow"/>
          <w:sz w:val="18"/>
          <w:szCs w:val="18"/>
        </w:rPr>
        <w:t>to</w:t>
      </w:r>
      <w:r w:rsidR="6147C68E" w:rsidRPr="00950C0F">
        <w:rPr>
          <w:rFonts w:ascii="Arial Narrow" w:hAnsi="Arial Narrow"/>
          <w:sz w:val="18"/>
          <w:szCs w:val="18"/>
        </w:rPr>
        <w:t xml:space="preserve"> $</w:t>
      </w:r>
      <w:r w:rsidR="4BF7D6A0" w:rsidRPr="00950C0F">
        <w:rPr>
          <w:rFonts w:ascii="Arial Narrow" w:hAnsi="Arial Narrow"/>
          <w:sz w:val="18"/>
          <w:szCs w:val="18"/>
        </w:rPr>
        <w:t>1,664</w:t>
      </w:r>
      <w:r w:rsidR="6147C68E" w:rsidRPr="00950C0F">
        <w:rPr>
          <w:rFonts w:ascii="Arial Narrow" w:hAnsi="Arial Narrow"/>
          <w:sz w:val="18"/>
          <w:szCs w:val="18"/>
        </w:rPr>
        <w:t>.</w:t>
      </w:r>
      <w:r w:rsidR="4C54563F" w:rsidRPr="00950C0F">
        <w:rPr>
          <w:rFonts w:ascii="Arial Narrow" w:hAnsi="Arial Narrow"/>
          <w:sz w:val="18"/>
          <w:szCs w:val="18"/>
        </w:rPr>
        <w:t>35</w:t>
      </w:r>
      <w:r w:rsidR="36421C03" w:rsidRPr="00950C0F">
        <w:rPr>
          <w:rFonts w:ascii="Arial Narrow" w:hAnsi="Arial Narrow"/>
          <w:sz w:val="18"/>
          <w:szCs w:val="18"/>
        </w:rPr>
        <w:t>, applying</w:t>
      </w:r>
      <w:r w:rsidR="4C54563F" w:rsidRPr="00950C0F">
        <w:rPr>
          <w:rFonts w:ascii="Arial Narrow" w:hAnsi="Arial Narrow"/>
          <w:sz w:val="18"/>
          <w:szCs w:val="18"/>
        </w:rPr>
        <w:t xml:space="preserve"> MBS benefit rounding rules and </w:t>
      </w:r>
      <w:proofErr w:type="gramStart"/>
      <w:r w:rsidR="4C54563F" w:rsidRPr="00950C0F">
        <w:rPr>
          <w:rFonts w:ascii="Arial Narrow" w:hAnsi="Arial Narrow"/>
          <w:sz w:val="18"/>
          <w:szCs w:val="18"/>
        </w:rPr>
        <w:t>a</w:t>
      </w:r>
      <w:proofErr w:type="gramEnd"/>
      <w:r w:rsidR="4C54563F" w:rsidRPr="00950C0F">
        <w:rPr>
          <w:rFonts w:ascii="Arial Narrow" w:hAnsi="Arial Narrow"/>
          <w:sz w:val="18"/>
          <w:szCs w:val="18"/>
        </w:rPr>
        <w:t xml:space="preserve"> greatest permissible gap of $102.40</w:t>
      </w:r>
      <w:r w:rsidR="55E56E91" w:rsidRPr="00950C0F">
        <w:rPr>
          <w:rFonts w:ascii="Arial Narrow" w:hAnsi="Arial Narrow"/>
          <w:sz w:val="18"/>
          <w:szCs w:val="18"/>
        </w:rPr>
        <w:t>.</w:t>
      </w:r>
      <w:r w:rsidR="5715E9B6" w:rsidRPr="00950C0F">
        <w:rPr>
          <w:rFonts w:ascii="Arial Narrow" w:hAnsi="Arial Narrow"/>
          <w:sz w:val="18"/>
          <w:szCs w:val="18"/>
        </w:rPr>
        <w:t xml:space="preserve"> This proposed fee of $1,766.75 is based on the targeted consultation feedback, which stated that the indicated costs per test </w:t>
      </w:r>
      <w:r w:rsidR="00AD260D" w:rsidRPr="00950C0F">
        <w:rPr>
          <w:rFonts w:ascii="Arial Narrow" w:hAnsi="Arial Narrow"/>
          <w:b/>
          <w:sz w:val="18"/>
          <w:szCs w:val="18"/>
        </w:rPr>
        <w:t>redacted</w:t>
      </w:r>
      <w:r w:rsidR="5715E9B6" w:rsidRPr="00950C0F">
        <w:rPr>
          <w:rFonts w:ascii="Arial Narrow" w:hAnsi="Arial Narrow"/>
          <w:sz w:val="18"/>
          <w:szCs w:val="18"/>
        </w:rPr>
        <w:t xml:space="preserve"> is $1,664.33</w:t>
      </w:r>
      <w:r w:rsidR="3B36CC25" w:rsidRPr="00950C0F">
        <w:rPr>
          <w:rFonts w:ascii="Arial Narrow" w:hAnsi="Arial Narrow"/>
          <w:sz w:val="18"/>
          <w:szCs w:val="18"/>
        </w:rPr>
        <w:t>.</w:t>
      </w:r>
    </w:p>
    <w:p w14:paraId="56D72370" w14:textId="56B10197" w:rsidR="000953C7" w:rsidRPr="00950C0F" w:rsidRDefault="00D74D55" w:rsidP="219E2E19">
      <w:pPr>
        <w:pStyle w:val="MSACESParagraph"/>
        <w:keepNext/>
        <w:keepLines/>
        <w:spacing w:after="0"/>
        <w:rPr>
          <w:rFonts w:ascii="Arial Narrow" w:hAnsi="Arial Narrow"/>
          <w:sz w:val="18"/>
          <w:szCs w:val="18"/>
        </w:rPr>
      </w:pPr>
      <w:r w:rsidRPr="219E2E19">
        <w:rPr>
          <w:rFonts w:ascii="Arial Narrow" w:hAnsi="Arial Narrow"/>
          <w:sz w:val="18"/>
          <w:szCs w:val="18"/>
        </w:rPr>
        <w:t xml:space="preserve">The </w:t>
      </w:r>
      <w:r w:rsidR="00DA07FA" w:rsidRPr="219E2E19">
        <w:rPr>
          <w:rFonts w:ascii="Arial Narrow" w:hAnsi="Arial Narrow"/>
          <w:sz w:val="18"/>
          <w:szCs w:val="18"/>
        </w:rPr>
        <w:t>applicant considered</w:t>
      </w:r>
      <w:r w:rsidR="000953C7" w:rsidRPr="219E2E19">
        <w:rPr>
          <w:rFonts w:ascii="Arial Narrow" w:hAnsi="Arial Narrow"/>
          <w:sz w:val="18"/>
          <w:szCs w:val="18"/>
        </w:rPr>
        <w:t xml:space="preserve"> that the </w:t>
      </w:r>
      <w:r w:rsidR="000953C7" w:rsidRPr="00950C0F">
        <w:rPr>
          <w:rFonts w:ascii="Arial Narrow" w:hAnsi="Arial Narrow"/>
          <w:sz w:val="18"/>
          <w:szCs w:val="18"/>
        </w:rPr>
        <w:t xml:space="preserve">results presented in Table 15 </w:t>
      </w:r>
      <w:r w:rsidR="00DA07FA" w:rsidRPr="219E2E19">
        <w:rPr>
          <w:rFonts w:ascii="Arial Narrow" w:hAnsi="Arial Narrow"/>
          <w:sz w:val="18"/>
          <w:szCs w:val="18"/>
        </w:rPr>
        <w:t>we</w:t>
      </w:r>
      <w:r w:rsidR="000953C7" w:rsidRPr="00950C0F">
        <w:rPr>
          <w:rFonts w:ascii="Arial Narrow" w:hAnsi="Arial Narrow"/>
          <w:sz w:val="18"/>
          <w:szCs w:val="18"/>
        </w:rPr>
        <w:t xml:space="preserve">re </w:t>
      </w:r>
      <w:r w:rsidR="000953C7" w:rsidRPr="00862FFF">
        <w:rPr>
          <w:rFonts w:ascii="Arial Narrow" w:hAnsi="Arial Narrow"/>
          <w:i/>
          <w:iCs/>
          <w:sz w:val="18"/>
          <w:szCs w:val="18"/>
        </w:rPr>
        <w:t>ad-hoc</w:t>
      </w:r>
      <w:r w:rsidR="000953C7" w:rsidRPr="00950C0F">
        <w:rPr>
          <w:rFonts w:ascii="Arial Narrow" w:hAnsi="Arial Narrow"/>
          <w:sz w:val="18"/>
          <w:szCs w:val="18"/>
        </w:rPr>
        <w:t xml:space="preserve"> analyses conducted </w:t>
      </w:r>
      <w:r w:rsidR="77985BB9" w:rsidRPr="219E2E19">
        <w:rPr>
          <w:rFonts w:ascii="Arial Narrow" w:hAnsi="Arial Narrow"/>
          <w:sz w:val="18"/>
          <w:szCs w:val="18"/>
        </w:rPr>
        <w:t>post-ESC</w:t>
      </w:r>
      <w:r w:rsidR="14224144" w:rsidRPr="219E2E19">
        <w:rPr>
          <w:rFonts w:ascii="Arial Narrow" w:hAnsi="Arial Narrow"/>
          <w:sz w:val="18"/>
          <w:szCs w:val="18"/>
        </w:rPr>
        <w:t>s</w:t>
      </w:r>
      <w:r w:rsidR="000953C7" w:rsidRPr="00950C0F">
        <w:rPr>
          <w:rFonts w:ascii="Arial Narrow" w:hAnsi="Arial Narrow"/>
          <w:sz w:val="18"/>
          <w:szCs w:val="18"/>
        </w:rPr>
        <w:t xml:space="preserve"> specifically for the purposes of informing the MSAC consideration</w:t>
      </w:r>
      <w:r w:rsidR="00DA07FA" w:rsidRPr="219E2E19">
        <w:rPr>
          <w:rFonts w:ascii="Arial Narrow" w:hAnsi="Arial Narrow"/>
          <w:sz w:val="18"/>
          <w:szCs w:val="18"/>
        </w:rPr>
        <w:t xml:space="preserve"> and that </w:t>
      </w:r>
      <w:r w:rsidR="000C375E" w:rsidRPr="219E2E19">
        <w:rPr>
          <w:rFonts w:ascii="Arial Narrow" w:hAnsi="Arial Narrow"/>
          <w:sz w:val="18"/>
          <w:szCs w:val="18"/>
        </w:rPr>
        <w:t>i</w:t>
      </w:r>
      <w:r w:rsidR="000953C7" w:rsidRPr="00950C0F">
        <w:rPr>
          <w:rFonts w:ascii="Arial Narrow" w:hAnsi="Arial Narrow"/>
          <w:sz w:val="18"/>
          <w:szCs w:val="18"/>
        </w:rPr>
        <w:t>nterpretation of the results and their application should therefore be limited to seeking to understand the basis for the MSAC outcome and should not be used for any other purpose.</w:t>
      </w:r>
    </w:p>
    <w:p w14:paraId="47AAD4B3" w14:textId="4234B876" w:rsidR="750FF097" w:rsidRPr="00950C0F" w:rsidRDefault="750FF097" w:rsidP="15370F7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rPr>
        <w:t>The redacted values correspond to the following ranges:</w:t>
      </w:r>
    </w:p>
    <w:p w14:paraId="249EE522" w14:textId="3535DEA3" w:rsidR="2CD9AE1E" w:rsidRPr="00950C0F" w:rsidRDefault="2CD9AE1E" w:rsidP="15370F7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1</w:t>
      </w:r>
      <w:r w:rsidRPr="00950C0F">
        <w:rPr>
          <w:rFonts w:ascii="Arial Narrow" w:eastAsia="Arial Narrow" w:hAnsi="Arial Narrow" w:cs="Arial Narrow"/>
          <w:sz w:val="18"/>
          <w:szCs w:val="18"/>
        </w:rPr>
        <w:t xml:space="preserve"> 500 to &lt; 5,000</w:t>
      </w:r>
    </w:p>
    <w:p w14:paraId="4C61AA08" w14:textId="1FF2EB5C" w:rsidR="2CD9AE1E" w:rsidRPr="00950C0F" w:rsidRDefault="2CD9AE1E" w:rsidP="15370F7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2</w:t>
      </w:r>
      <w:r w:rsidRPr="00950C0F">
        <w:rPr>
          <w:rFonts w:ascii="Arial Narrow" w:eastAsia="Arial Narrow" w:hAnsi="Arial Narrow" w:cs="Arial Narrow"/>
          <w:sz w:val="18"/>
          <w:szCs w:val="18"/>
        </w:rPr>
        <w:t xml:space="preserve"> </w:t>
      </w:r>
      <w:r w:rsidR="3EA7DDBD" w:rsidRPr="00950C0F">
        <w:rPr>
          <w:rFonts w:ascii="Arial Narrow" w:eastAsia="Arial Narrow" w:hAnsi="Arial Narrow" w:cs="Arial Narrow"/>
          <w:sz w:val="18"/>
          <w:szCs w:val="18"/>
        </w:rPr>
        <w:t>10,000</w:t>
      </w:r>
      <w:r w:rsidR="45664BCA" w:rsidRPr="00950C0F">
        <w:rPr>
          <w:rFonts w:ascii="Arial Narrow" w:eastAsia="Arial Narrow" w:hAnsi="Arial Narrow" w:cs="Arial Narrow"/>
          <w:sz w:val="18"/>
          <w:szCs w:val="18"/>
        </w:rPr>
        <w:t xml:space="preserve"> to &lt; 20,000</w:t>
      </w:r>
    </w:p>
    <w:p w14:paraId="5189297E" w14:textId="56AF0F66" w:rsidR="45664BCA" w:rsidRPr="00950C0F" w:rsidRDefault="45664BCA" w:rsidP="15370F7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3</w:t>
      </w:r>
      <w:r w:rsidR="2CD9AE1E" w:rsidRPr="00950C0F">
        <w:rPr>
          <w:rFonts w:ascii="Arial Narrow" w:eastAsia="Arial Narrow" w:hAnsi="Arial Narrow" w:cs="Arial Narrow"/>
          <w:sz w:val="18"/>
          <w:szCs w:val="18"/>
        </w:rPr>
        <w:t xml:space="preserve"> $0 to &lt; $10 million</w:t>
      </w:r>
    </w:p>
    <w:p w14:paraId="4FECE7D3" w14:textId="30E9748F" w:rsidR="6C8CB90C" w:rsidRPr="00950C0F" w:rsidRDefault="6C8CB90C" w:rsidP="15370F7B">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4</w:t>
      </w:r>
      <w:r w:rsidRPr="00950C0F">
        <w:rPr>
          <w:rFonts w:ascii="Arial Narrow" w:eastAsia="Arial Narrow" w:hAnsi="Arial Narrow" w:cs="Arial Narrow"/>
          <w:sz w:val="18"/>
          <w:szCs w:val="18"/>
        </w:rPr>
        <w:t xml:space="preserve"> $10 million to &lt; $20 million</w:t>
      </w:r>
    </w:p>
    <w:p w14:paraId="1CA072CE" w14:textId="498BC4BE" w:rsidR="15370F7B" w:rsidRPr="00214FD9" w:rsidRDefault="715430DF" w:rsidP="00214FD9">
      <w:pPr>
        <w:spacing w:before="0" w:after="0"/>
        <w:jc w:val="both"/>
        <w:rPr>
          <w:rFonts w:ascii="Arial Narrow" w:eastAsia="Arial Narrow" w:hAnsi="Arial Narrow" w:cs="Arial Narrow"/>
          <w:sz w:val="18"/>
          <w:szCs w:val="18"/>
        </w:rPr>
      </w:pPr>
      <w:r w:rsidRPr="00950C0F">
        <w:rPr>
          <w:rFonts w:ascii="Arial Narrow" w:eastAsia="Arial Narrow" w:hAnsi="Arial Narrow" w:cs="Arial Narrow"/>
          <w:sz w:val="18"/>
          <w:szCs w:val="18"/>
          <w:vertAlign w:val="superscript"/>
        </w:rPr>
        <w:t xml:space="preserve">5 </w:t>
      </w:r>
      <w:r w:rsidRPr="00950C0F">
        <w:rPr>
          <w:rFonts w:ascii="Arial Narrow" w:eastAsia="Arial Narrow" w:hAnsi="Arial Narrow" w:cs="Arial Narrow"/>
          <w:sz w:val="18"/>
          <w:szCs w:val="18"/>
        </w:rPr>
        <w:t>$20 million to &lt; $30 million</w:t>
      </w:r>
    </w:p>
    <w:p w14:paraId="78F098FD" w14:textId="0D4FC9B4" w:rsidR="00EE5014" w:rsidRPr="00357EBF" w:rsidRDefault="00EE5014" w:rsidP="00252706">
      <w:pPr>
        <w:pStyle w:val="Heading2"/>
        <w:numPr>
          <w:ilvl w:val="0"/>
          <w:numId w:val="48"/>
        </w:numPr>
        <w:spacing w:after="240"/>
        <w:ind w:hanging="720"/>
        <w:rPr>
          <w:rFonts w:ascii="Franklin Gothic Medium" w:hAnsi="Franklin Gothic Medium"/>
          <w:b w:val="0"/>
          <w:i w:val="0"/>
          <w:snapToGrid/>
          <w:sz w:val="32"/>
          <w:szCs w:val="26"/>
        </w:rPr>
      </w:pPr>
      <w:bookmarkStart w:id="63" w:name="_Toc188374351"/>
      <w:r w:rsidRPr="00357EBF">
        <w:rPr>
          <w:rFonts w:ascii="Franklin Gothic Medium" w:hAnsi="Franklin Gothic Medium"/>
          <w:b w:val="0"/>
          <w:i w:val="0"/>
          <w:snapToGrid/>
          <w:sz w:val="32"/>
          <w:szCs w:val="26"/>
        </w:rPr>
        <w:t xml:space="preserve">Other </w:t>
      </w:r>
      <w:bookmarkEnd w:id="63"/>
      <w:r w:rsidR="00357EBF" w:rsidRPr="003A793E">
        <w:rPr>
          <w:rFonts w:ascii="Franklin Gothic Medium" w:hAnsi="Franklin Gothic Medium"/>
          <w:b w:val="0"/>
          <w:i w:val="0"/>
          <w:snapToGrid/>
          <w:sz w:val="32"/>
          <w:szCs w:val="26"/>
        </w:rPr>
        <w:t>relevant information</w:t>
      </w:r>
    </w:p>
    <w:p w14:paraId="46B865FB" w14:textId="3AD4E9B2" w:rsidR="00BD7C39" w:rsidRDefault="00C905D6" w:rsidP="00214FD9">
      <w:pPr>
        <w:spacing w:line="23" w:lineRule="atLeast"/>
        <w:rPr>
          <w:color w:val="3366FF"/>
        </w:rPr>
      </w:pPr>
      <w:r w:rsidRPr="00357EBF">
        <w:t xml:space="preserve">PASC noted consultation that raised equity concerns for rural/regional patients in that genetic testing is predominantly undertaken in major city centres. The </w:t>
      </w:r>
      <w:r w:rsidR="56A2C835" w:rsidRPr="00357EBF">
        <w:t>submissio</w:t>
      </w:r>
      <w:r w:rsidR="24A3E050" w:rsidRPr="00357EBF">
        <w:t>n</w:t>
      </w:r>
      <w:r w:rsidR="56A2C835" w:rsidRPr="00357EBF">
        <w:t xml:space="preserve"> </w:t>
      </w:r>
      <w:r w:rsidRPr="00357EBF">
        <w:t xml:space="preserve">advised that this would not be an issue as, although testing would be done in capital cities, the labs would take liquid biopsy samples from anywhere, with the applicant working with pathology groups across Australia. The </w:t>
      </w:r>
      <w:r w:rsidR="56A2C835" w:rsidRPr="00357EBF">
        <w:t>submiss</w:t>
      </w:r>
      <w:r w:rsidR="2C4180D4" w:rsidRPr="00357EBF">
        <w:t>i</w:t>
      </w:r>
      <w:r w:rsidR="56A2C835" w:rsidRPr="00357EBF">
        <w:t>on</w:t>
      </w:r>
      <w:r w:rsidRPr="00357EBF">
        <w:t xml:space="preserve"> estimated that the turnaround time for testing would be approximately 2 weeks. The </w:t>
      </w:r>
      <w:r w:rsidR="56A2C835" w:rsidRPr="00357EBF">
        <w:t>submission’s</w:t>
      </w:r>
      <w:r w:rsidRPr="00357EBF">
        <w:t xml:space="preserve"> clinical expert advised that the recommendation of testing through liquid biopsy (rather than tissue biopsy) would be advantageous for rural/regional patients, as a tissue biopsy would require these patients to travel to cities/major centres, whereas a liquid biopsy can be taken as a blood sample from any location. PASC considered this to be an appropriate consideration for rural/regional patients and agreed with the </w:t>
      </w:r>
      <w:r w:rsidR="78DF351C" w:rsidRPr="00357EBF">
        <w:t xml:space="preserve">submission </w:t>
      </w:r>
      <w:r w:rsidRPr="00357EBF">
        <w:t>that liquid biopsy was the preferred sample type (pp18-19, 1782 Ratified PICO Confirmation, August 2024 PASC meeting).</w:t>
      </w:r>
    </w:p>
    <w:p w14:paraId="13E11ACD" w14:textId="77777777" w:rsidR="00357EBF" w:rsidRPr="003A793E" w:rsidRDefault="00357EBF" w:rsidP="00252706">
      <w:pPr>
        <w:pStyle w:val="Heading2"/>
        <w:numPr>
          <w:ilvl w:val="0"/>
          <w:numId w:val="48"/>
        </w:numPr>
        <w:spacing w:after="240"/>
        <w:ind w:hanging="720"/>
        <w:rPr>
          <w:rFonts w:ascii="Franklin Gothic Medium" w:hAnsi="Franklin Gothic Medium"/>
          <w:b w:val="0"/>
          <w:i w:val="0"/>
          <w:snapToGrid/>
          <w:sz w:val="32"/>
          <w:szCs w:val="26"/>
        </w:rPr>
      </w:pPr>
      <w:bookmarkStart w:id="64" w:name="_Toc145678765"/>
      <w:bookmarkStart w:id="65" w:name="_Toc150172410"/>
      <w:bookmarkStart w:id="66" w:name="_Toc153462785"/>
      <w:r w:rsidRPr="003A793E">
        <w:rPr>
          <w:rFonts w:ascii="Franklin Gothic Medium" w:hAnsi="Franklin Gothic Medium"/>
          <w:b w:val="0"/>
          <w:i w:val="0"/>
          <w:snapToGrid/>
          <w:sz w:val="32"/>
          <w:szCs w:val="26"/>
        </w:rPr>
        <w:lastRenderedPageBreak/>
        <w:t>Key issues from ESC to MSAC</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9016"/>
      </w:tblGrid>
      <w:tr w:rsidR="00B53D0C" w:rsidRPr="000A7BB0" w14:paraId="72FBF3F2" w14:textId="77777777" w:rsidTr="00470B01">
        <w:trPr>
          <w:cnfStyle w:val="100000000000" w:firstRow="1" w:lastRow="0" w:firstColumn="0" w:lastColumn="0" w:oddVBand="0" w:evenVBand="0" w:oddHBand="0" w:evenHBand="0" w:firstRowFirstColumn="0" w:firstRowLastColumn="0" w:lastRowFirstColumn="0" w:lastRowLastColumn="0"/>
        </w:trPr>
        <w:tc>
          <w:tcPr>
            <w:tcW w:w="9016" w:type="dxa"/>
          </w:tcPr>
          <w:bookmarkEnd w:id="64"/>
          <w:bookmarkEnd w:id="65"/>
          <w:bookmarkEnd w:id="66"/>
          <w:p w14:paraId="39F0231F" w14:textId="77777777" w:rsidR="00357EBF" w:rsidRPr="00357EBF" w:rsidRDefault="00357EBF" w:rsidP="005B61CE">
            <w:pPr>
              <w:rPr>
                <w:rFonts w:cstheme="minorHAnsi"/>
                <w:szCs w:val="24"/>
                <w:lang w:val="en-AU"/>
              </w:rPr>
            </w:pPr>
            <w:r w:rsidRPr="00357EBF">
              <w:rPr>
                <w:rFonts w:eastAsiaTheme="majorEastAsia" w:cstheme="majorBidi"/>
                <w:spacing w:val="5"/>
                <w:kern w:val="28"/>
                <w:szCs w:val="24"/>
                <w:lang w:eastAsia="en-AU"/>
              </w:rPr>
              <w:t>Main issues for MSAC consideration</w:t>
            </w:r>
            <w:r w:rsidRPr="00357EBF">
              <w:rPr>
                <w:rFonts w:cstheme="minorHAnsi"/>
                <w:szCs w:val="24"/>
                <w:lang w:val="en-AU"/>
              </w:rPr>
              <w:t xml:space="preserve"> </w:t>
            </w:r>
          </w:p>
          <w:p w14:paraId="215F5AAE" w14:textId="0FEAB360" w:rsidR="00B53D0C" w:rsidRPr="00357EBF" w:rsidRDefault="00B53D0C" w:rsidP="005B61CE">
            <w:pPr>
              <w:rPr>
                <w:szCs w:val="24"/>
                <w:lang w:val="en-AU"/>
              </w:rPr>
            </w:pPr>
            <w:r w:rsidRPr="00357EBF">
              <w:rPr>
                <w:rFonts w:cstheme="minorHAnsi"/>
                <w:szCs w:val="24"/>
                <w:lang w:val="en-AU"/>
              </w:rPr>
              <w:t>Clinical issues</w:t>
            </w:r>
          </w:p>
          <w:p w14:paraId="622699A7" w14:textId="77777777" w:rsidR="00B53D0C" w:rsidRPr="00357EBF" w:rsidRDefault="00B53D0C" w:rsidP="00252706">
            <w:pPr>
              <w:pStyle w:val="ListParagraph"/>
              <w:numPr>
                <w:ilvl w:val="0"/>
                <w:numId w:val="40"/>
              </w:numPr>
              <w:rPr>
                <w:b w:val="0"/>
                <w:lang w:val="en-AU"/>
              </w:rPr>
            </w:pPr>
            <w:r w:rsidRPr="00357EBF">
              <w:rPr>
                <w:b w:val="0"/>
                <w:lang w:val="en-AU"/>
              </w:rPr>
              <w:t xml:space="preserve">Proposed </w:t>
            </w:r>
            <w:r w:rsidRPr="00357EBF">
              <w:rPr>
                <w:b w:val="0"/>
                <w:i/>
                <w:iCs/>
                <w:lang w:val="en-AU"/>
              </w:rPr>
              <w:t>ESR1</w:t>
            </w:r>
            <w:r w:rsidRPr="00357EBF">
              <w:rPr>
                <w:b w:val="0"/>
                <w:lang w:val="en-AU"/>
              </w:rPr>
              <w:t xml:space="preserve"> testing and new MBS item descriptor:</w:t>
            </w:r>
          </w:p>
          <w:p w14:paraId="7DE190B4" w14:textId="77777777" w:rsidR="00B53D0C" w:rsidRPr="00D81486" w:rsidRDefault="00B53D0C" w:rsidP="00357EBF">
            <w:pPr>
              <w:pStyle w:val="Bullet"/>
              <w:rPr>
                <w:b w:val="0"/>
                <w:lang w:val="en-AU" w:eastAsia="en-AU"/>
              </w:rPr>
            </w:pPr>
            <w:r w:rsidRPr="00357EBF">
              <w:rPr>
                <w:b w:val="0"/>
                <w:lang w:val="en-AU" w:eastAsia="en-AU"/>
              </w:rPr>
              <w:t xml:space="preserve">Testing methodology: </w:t>
            </w:r>
            <w:r w:rsidRPr="00357EBF">
              <w:rPr>
                <w:b w:val="0"/>
                <w:snapToGrid w:val="0"/>
                <w:lang w:val="en-AU" w:eastAsia="en-AU"/>
              </w:rPr>
              <w:t xml:space="preserve">The submission proposed specifying using </w:t>
            </w:r>
            <w:r w:rsidRPr="00357EBF">
              <w:rPr>
                <w:b w:val="0"/>
                <w:lang w:val="en-AU" w:eastAsia="en-AU"/>
              </w:rPr>
              <w:t>n</w:t>
            </w:r>
            <w:r w:rsidRPr="00357EBF">
              <w:rPr>
                <w:b w:val="0"/>
                <w:snapToGrid w:val="0"/>
                <w:lang w:val="en-AU" w:eastAsia="en-AU"/>
              </w:rPr>
              <w:t>ext</w:t>
            </w:r>
            <w:r w:rsidRPr="00357EBF">
              <w:rPr>
                <w:b w:val="0"/>
                <w:lang w:val="en-AU" w:eastAsia="en-AU"/>
              </w:rPr>
              <w:t>-g</w:t>
            </w:r>
            <w:r w:rsidRPr="00357EBF">
              <w:rPr>
                <w:b w:val="0"/>
                <w:snapToGrid w:val="0"/>
                <w:lang w:val="en-AU" w:eastAsia="en-AU"/>
              </w:rPr>
              <w:t xml:space="preserve">eneration </w:t>
            </w:r>
            <w:r w:rsidRPr="00357EBF">
              <w:rPr>
                <w:b w:val="0"/>
                <w:lang w:val="en-AU" w:eastAsia="en-AU"/>
              </w:rPr>
              <w:t>s</w:t>
            </w:r>
            <w:r w:rsidRPr="00D81486">
              <w:rPr>
                <w:b w:val="0"/>
                <w:lang w:val="en-AU" w:eastAsia="en-AU"/>
              </w:rPr>
              <w:t>equencing (NGS) for ESR1</w:t>
            </w:r>
            <w:r w:rsidRPr="00357EBF">
              <w:rPr>
                <w:b w:val="0"/>
                <w:snapToGrid w:val="0"/>
                <w:lang w:val="en-AU" w:eastAsia="en-AU"/>
              </w:rPr>
              <w:t xml:space="preserve"> testing. </w:t>
            </w:r>
            <w:r w:rsidRPr="00D81486">
              <w:rPr>
                <w:b w:val="0"/>
                <w:lang w:val="en-AU" w:eastAsia="en-AU"/>
              </w:rPr>
              <w:t>The ESCs considered that both NGS and digital droplet polymerase chain reaction (</w:t>
            </w:r>
            <w:proofErr w:type="spellStart"/>
            <w:r w:rsidRPr="00D81486">
              <w:rPr>
                <w:b w:val="0"/>
                <w:lang w:val="en-AU" w:eastAsia="en-AU"/>
              </w:rPr>
              <w:t>ddPCR</w:t>
            </w:r>
            <w:proofErr w:type="spellEnd"/>
            <w:r w:rsidRPr="00D81486">
              <w:rPr>
                <w:b w:val="0"/>
                <w:lang w:val="en-AU" w:eastAsia="en-AU"/>
              </w:rPr>
              <w:t xml:space="preserve">) would be appropriate testing methods. The ESCs noted the evidence the submission presented on the comparative test performance of NGS versus </w:t>
            </w:r>
            <w:proofErr w:type="spellStart"/>
            <w:r w:rsidRPr="00D81486">
              <w:rPr>
                <w:b w:val="0"/>
                <w:lang w:val="en-AU" w:eastAsia="en-AU"/>
              </w:rPr>
              <w:t>ddPCR</w:t>
            </w:r>
            <w:proofErr w:type="spellEnd"/>
            <w:r w:rsidRPr="00D81486">
              <w:rPr>
                <w:b w:val="0"/>
                <w:lang w:val="en-AU" w:eastAsia="en-AU"/>
              </w:rPr>
              <w:t xml:space="preserve"> or versus quantitative polymerase chain reaction (qPCR), as well as PASC’s advice on using a method-agnostic item descriptor. The ESCs agreed with PASC that a method-agnostic item descriptor is more appropriate, noting the need to future-proof the item as other suitable methods may become available as technology advances.</w:t>
            </w:r>
          </w:p>
          <w:p w14:paraId="51793EF4" w14:textId="77777777" w:rsidR="00B53D0C" w:rsidRPr="00D81486" w:rsidRDefault="00B53D0C" w:rsidP="219E2E19">
            <w:pPr>
              <w:pStyle w:val="Bullet"/>
              <w:rPr>
                <w:b w:val="0"/>
                <w:lang w:val="en-AU" w:eastAsia="en-AU"/>
              </w:rPr>
            </w:pPr>
            <w:r w:rsidRPr="00357EBF">
              <w:rPr>
                <w:b w:val="0"/>
                <w:snapToGrid w:val="0"/>
                <w:lang w:val="en-AU" w:eastAsia="en-AU"/>
              </w:rPr>
              <w:t>Testing frequency:</w:t>
            </w:r>
            <w:r w:rsidRPr="00D81486">
              <w:rPr>
                <w:b w:val="0"/>
                <w:lang w:val="en-AU" w:eastAsia="en-AU"/>
              </w:rPr>
              <w:t xml:space="preserve"> The proposed item descriptor did not mention re-testing, nor testing frequency. The ESCs</w:t>
            </w:r>
            <w:r w:rsidRPr="00357EBF">
              <w:rPr>
                <w:b w:val="0"/>
                <w:snapToGrid w:val="0"/>
                <w:lang w:val="en-AU" w:eastAsia="en-AU"/>
              </w:rPr>
              <w:t xml:space="preserve"> </w:t>
            </w:r>
            <w:r w:rsidRPr="00D81486">
              <w:rPr>
                <w:b w:val="0"/>
                <w:lang w:val="en-AU" w:eastAsia="en-AU"/>
              </w:rPr>
              <w:t xml:space="preserve">noted PASC considered it appropriate to restrict testing frequency to once per 6 months as ESR1 variants may emerge as disease progresses. The ESCs agreed with PASC that testing every 6 months was reasonable but should only be in patients with previous negative test results. The ESCs considered it important to exclude retesting in patients with prior positive test results, to discourage use in monitoring treatment response rather than the proposed use of identifying patients likely to benefit from </w:t>
            </w:r>
            <w:proofErr w:type="spellStart"/>
            <w:r w:rsidRPr="00D81486">
              <w:rPr>
                <w:b w:val="0"/>
                <w:lang w:val="en-AU" w:eastAsia="en-AU"/>
              </w:rPr>
              <w:t>elacestrant</w:t>
            </w:r>
            <w:proofErr w:type="spellEnd"/>
            <w:r w:rsidRPr="00D81486">
              <w:rPr>
                <w:b w:val="0"/>
                <w:lang w:val="en-AU" w:eastAsia="en-AU"/>
              </w:rPr>
              <w:t xml:space="preserve"> treatment. </w:t>
            </w:r>
          </w:p>
          <w:p w14:paraId="3370F055" w14:textId="51671239" w:rsidR="00B53D0C" w:rsidRPr="00D81486" w:rsidRDefault="00B53D0C" w:rsidP="00252706">
            <w:pPr>
              <w:pStyle w:val="ListParagraph"/>
              <w:numPr>
                <w:ilvl w:val="0"/>
                <w:numId w:val="47"/>
              </w:numPr>
              <w:rPr>
                <w:snapToGrid w:val="0"/>
                <w:lang w:val="en-AU" w:eastAsia="en-AU"/>
              </w:rPr>
            </w:pPr>
            <w:r w:rsidRPr="00357EBF">
              <w:rPr>
                <w:b w:val="0"/>
                <w:lang w:val="en-AU"/>
              </w:rPr>
              <w:t xml:space="preserve">Comparative test performance: </w:t>
            </w:r>
            <w:r w:rsidRPr="00D81486">
              <w:rPr>
                <w:b w:val="0"/>
                <w:bCs/>
              </w:rPr>
              <w:t xml:space="preserve">The ESCs noted that the submission did not present any comparative evidence of concordance between the clinical utility standard (Guardant360® </w:t>
            </w:r>
            <w:proofErr w:type="spellStart"/>
            <w:r w:rsidRPr="00D81486">
              <w:rPr>
                <w:b w:val="0"/>
                <w:bCs/>
              </w:rPr>
              <w:t>CDx</w:t>
            </w:r>
            <w:proofErr w:type="spellEnd"/>
            <w:r w:rsidRPr="00D81486">
              <w:rPr>
                <w:b w:val="0"/>
                <w:bCs/>
              </w:rPr>
              <w:t xml:space="preserve"> assay) and </w:t>
            </w:r>
            <w:r w:rsidRPr="00D81486">
              <w:rPr>
                <w:b w:val="0"/>
                <w:bCs/>
                <w:i/>
              </w:rPr>
              <w:t xml:space="preserve">ESR1 </w:t>
            </w:r>
            <w:r w:rsidRPr="00D81486">
              <w:rPr>
                <w:b w:val="0"/>
                <w:bCs/>
              </w:rPr>
              <w:t>assays that might be offered in Australia but considered that different NGS platforms all perf</w:t>
            </w:r>
            <w:proofErr w:type="spellStart"/>
            <w:r w:rsidRPr="00D81486">
              <w:rPr>
                <w:b w:val="0"/>
                <w:bCs/>
                <w:lang w:val="en-AU"/>
              </w:rPr>
              <w:t>orm</w:t>
            </w:r>
            <w:proofErr w:type="spellEnd"/>
            <w:r w:rsidRPr="219E2E19">
              <w:rPr>
                <w:b w:val="0"/>
                <w:lang w:val="en-AU"/>
              </w:rPr>
              <w:t xml:space="preserve"> well, and are likely to be sufficiently concordant and identify patients likely to respond to </w:t>
            </w:r>
            <w:proofErr w:type="spellStart"/>
            <w:r w:rsidRPr="219E2E19">
              <w:rPr>
                <w:b w:val="0"/>
                <w:lang w:val="en-AU"/>
              </w:rPr>
              <w:t>elacestrant</w:t>
            </w:r>
            <w:proofErr w:type="spellEnd"/>
            <w:r w:rsidRPr="219E2E19">
              <w:rPr>
                <w:b w:val="0"/>
                <w:lang w:val="en-AU"/>
              </w:rPr>
              <w:t xml:space="preserve">. </w:t>
            </w:r>
          </w:p>
          <w:p w14:paraId="0EC0B09E" w14:textId="77777777" w:rsidR="00B53D0C" w:rsidRPr="00357EBF" w:rsidRDefault="00B53D0C" w:rsidP="00357EBF">
            <w:pPr>
              <w:rPr>
                <w:rFonts w:cstheme="minorHAnsi"/>
                <w:szCs w:val="24"/>
                <w:lang w:val="en-AU"/>
              </w:rPr>
            </w:pPr>
            <w:r w:rsidRPr="00357EBF">
              <w:rPr>
                <w:rFonts w:cstheme="minorHAnsi"/>
                <w:szCs w:val="24"/>
                <w:lang w:val="en-AU"/>
              </w:rPr>
              <w:t>Economic issues</w:t>
            </w:r>
          </w:p>
          <w:p w14:paraId="114458AB" w14:textId="01527CD8" w:rsidR="00B53D0C" w:rsidRPr="00D81486" w:rsidRDefault="00B53D0C" w:rsidP="00252706">
            <w:pPr>
              <w:pStyle w:val="ListParagraph"/>
              <w:numPr>
                <w:ilvl w:val="0"/>
                <w:numId w:val="40"/>
              </w:numPr>
              <w:rPr>
                <w:b w:val="0"/>
                <w:bCs/>
                <w:lang w:val="en-AU"/>
              </w:rPr>
            </w:pPr>
            <w:r w:rsidRPr="00D81486">
              <w:rPr>
                <w:b w:val="0"/>
                <w:bCs/>
              </w:rPr>
              <w:t>The ESCs noted that the submission neither modelled the full population for testing nor captured re-testing explicitly and appropriately. The ESCs noted that varying the testing cost had little impact on the ICERs in the additional sensitivity analyses conducted post-ESC (Table</w:t>
            </w:r>
            <w:r w:rsidR="0070199E" w:rsidRPr="00D81486">
              <w:rPr>
                <w:b w:val="0"/>
                <w:bCs/>
              </w:rPr>
              <w:t xml:space="preserve"> </w:t>
            </w:r>
            <w:r w:rsidRPr="00D81486">
              <w:rPr>
                <w:b w:val="0"/>
                <w:bCs/>
              </w:rPr>
              <w:t>12).</w:t>
            </w:r>
          </w:p>
          <w:p w14:paraId="060A659A" w14:textId="2C15898E" w:rsidR="00B53D0C" w:rsidRPr="006B1E9B" w:rsidRDefault="00B53D0C" w:rsidP="00252706">
            <w:pPr>
              <w:pStyle w:val="ListParagraph"/>
              <w:numPr>
                <w:ilvl w:val="0"/>
                <w:numId w:val="40"/>
              </w:numPr>
              <w:rPr>
                <w:b w:val="0"/>
                <w:bCs/>
                <w:lang w:val="en-AU"/>
              </w:rPr>
            </w:pPr>
            <w:r w:rsidRPr="00D81486">
              <w:rPr>
                <w:b w:val="0"/>
                <w:bCs/>
              </w:rPr>
              <w:t xml:space="preserve">The ESCs noted that the submission did not consider both NGS and </w:t>
            </w:r>
            <w:proofErr w:type="spellStart"/>
            <w:r w:rsidRPr="00D81486">
              <w:rPr>
                <w:b w:val="0"/>
                <w:bCs/>
              </w:rPr>
              <w:t>ddPCR</w:t>
            </w:r>
            <w:proofErr w:type="spellEnd"/>
            <w:r w:rsidRPr="00D81486">
              <w:rPr>
                <w:b w:val="0"/>
                <w:bCs/>
              </w:rPr>
              <w:t xml:space="preserve"> in its cost modelling as PASC advised.</w:t>
            </w:r>
            <w:r w:rsidRPr="006B1E9B">
              <w:rPr>
                <w:bCs/>
              </w:rPr>
              <w:t xml:space="preserve"> </w:t>
            </w:r>
          </w:p>
          <w:p w14:paraId="57E87160" w14:textId="77777777" w:rsidR="00B53D0C" w:rsidRPr="00357EBF" w:rsidRDefault="00B53D0C" w:rsidP="005B61CE">
            <w:pPr>
              <w:rPr>
                <w:rFonts w:cstheme="minorHAnsi"/>
                <w:szCs w:val="24"/>
                <w:lang w:val="en-AU"/>
              </w:rPr>
            </w:pPr>
            <w:r w:rsidRPr="00357EBF">
              <w:rPr>
                <w:rFonts w:cstheme="minorHAnsi"/>
                <w:szCs w:val="24"/>
                <w:lang w:val="en-AU"/>
              </w:rPr>
              <w:t>Financial issues</w:t>
            </w:r>
          </w:p>
          <w:p w14:paraId="0B526511" w14:textId="77777777" w:rsidR="00B53D0C" w:rsidRPr="006B1E9B" w:rsidRDefault="00B53D0C" w:rsidP="00252706">
            <w:pPr>
              <w:pStyle w:val="ListParagraph"/>
              <w:numPr>
                <w:ilvl w:val="0"/>
                <w:numId w:val="46"/>
              </w:numPr>
              <w:ind w:left="714" w:hanging="357"/>
              <w:rPr>
                <w:b w:val="0"/>
                <w:bCs/>
                <w:lang w:val="en-AU"/>
              </w:rPr>
            </w:pPr>
            <w:r w:rsidRPr="00D81486">
              <w:rPr>
                <w:b w:val="0"/>
                <w:bCs/>
              </w:rPr>
              <w:t>The ESCs noted the commentary corrected the submission’s under-estimation of total test numbers. The ESCs requested additional sensitivity analyses post-ESCs, using alternative testing costs.</w:t>
            </w:r>
          </w:p>
        </w:tc>
      </w:tr>
      <w:tr w:rsidR="00B53D0C" w:rsidRPr="000A7BB0" w14:paraId="27E3EF87" w14:textId="77777777" w:rsidTr="00470B01">
        <w:trPr>
          <w:trHeight w:val="149"/>
        </w:trPr>
        <w:tc>
          <w:tcPr>
            <w:tcW w:w="9016" w:type="dxa"/>
          </w:tcPr>
          <w:p w14:paraId="46CA82A6" w14:textId="77777777" w:rsidR="00B53D0C" w:rsidRPr="00357EBF" w:rsidRDefault="00B53D0C" w:rsidP="005B61CE">
            <w:pPr>
              <w:rPr>
                <w:lang w:val="en-AU"/>
              </w:rPr>
            </w:pPr>
            <w:r w:rsidRPr="6C16F517">
              <w:rPr>
                <w:b/>
                <w:lang w:val="en-AU"/>
              </w:rPr>
              <w:t>Other relevant matters</w:t>
            </w:r>
          </w:p>
          <w:p w14:paraId="6202FE55" w14:textId="53233E91" w:rsidR="00B53D0C" w:rsidRPr="00357EBF" w:rsidRDefault="5BCC7889" w:rsidP="77DB4701">
            <w:pPr>
              <w:pStyle w:val="Bullet"/>
              <w:jc w:val="both"/>
              <w:rPr>
                <w:lang w:val="en-AU"/>
              </w:rPr>
            </w:pPr>
            <w:r w:rsidRPr="6C16F517">
              <w:rPr>
                <w:snapToGrid w:val="0"/>
                <w:lang w:eastAsia="en-AU"/>
              </w:rPr>
              <w:t xml:space="preserve">Implementation – readiness and availability of options for </w:t>
            </w:r>
            <w:r w:rsidRPr="006B1E9B">
              <w:rPr>
                <w:i/>
                <w:snapToGrid w:val="0"/>
                <w:lang w:eastAsia="en-AU"/>
              </w:rPr>
              <w:t xml:space="preserve">ESR1 </w:t>
            </w:r>
            <w:r w:rsidRPr="6C16F517">
              <w:rPr>
                <w:snapToGrid w:val="0"/>
                <w:lang w:eastAsia="en-AU"/>
              </w:rPr>
              <w:t xml:space="preserve">testing in Australia: </w:t>
            </w:r>
            <w:r w:rsidR="00801FC5" w:rsidRPr="00801FC5">
              <w:rPr>
                <w:b/>
                <w:bCs/>
              </w:rPr>
              <w:t>Redacted</w:t>
            </w:r>
            <w:r w:rsidRPr="00801FC5">
              <w:t>.</w:t>
            </w:r>
            <w:r w:rsidRPr="6C16F517">
              <w:t xml:space="preserve"> </w:t>
            </w:r>
            <w:r w:rsidRPr="6C16F517">
              <w:rPr>
                <w:lang w:val="en-AU"/>
              </w:rPr>
              <w:t xml:space="preserve">The ESCs noted that no relevant assay for testing is currently TGA-registered and raised concerns that pathology laboratories in Australia might not be ready to provide </w:t>
            </w:r>
            <w:r w:rsidRPr="006B1E9B">
              <w:rPr>
                <w:i/>
              </w:rPr>
              <w:t xml:space="preserve">ESR1 </w:t>
            </w:r>
            <w:r w:rsidRPr="6C16F517">
              <w:rPr>
                <w:lang w:val="en-AU"/>
              </w:rPr>
              <w:t>testing in ctDNA on the MBS</w:t>
            </w:r>
            <w:r w:rsidRPr="77DB4701">
              <w:rPr>
                <w:lang w:val="en-AU"/>
              </w:rPr>
              <w:t xml:space="preserve">. </w:t>
            </w:r>
          </w:p>
        </w:tc>
      </w:tr>
    </w:tbl>
    <w:p w14:paraId="460283E6" w14:textId="77777777" w:rsidR="00B53D0C" w:rsidRPr="006A263A" w:rsidRDefault="00B53D0C" w:rsidP="006A263A">
      <w:pPr>
        <w:pStyle w:val="MSACS2Heading2"/>
        <w:keepNext/>
        <w:keepLines/>
        <w:pageBreakBefore w:val="0"/>
        <w:rPr>
          <w:rFonts w:ascii="Franklin Gothic Book" w:hAnsi="Franklin Gothic Book"/>
          <w:snapToGrid w:val="0"/>
          <w:sz w:val="24"/>
          <w:szCs w:val="24"/>
          <w:lang w:eastAsia="en-AU"/>
        </w:rPr>
      </w:pPr>
      <w:r w:rsidRPr="006A263A">
        <w:rPr>
          <w:rFonts w:ascii="Franklin Gothic Book" w:hAnsi="Franklin Gothic Book"/>
          <w:snapToGrid w:val="0"/>
          <w:sz w:val="24"/>
          <w:szCs w:val="24"/>
          <w:lang w:eastAsia="en-AU"/>
        </w:rPr>
        <w:lastRenderedPageBreak/>
        <w:t>ESCs discussion</w:t>
      </w:r>
    </w:p>
    <w:p w14:paraId="698AEE16" w14:textId="77777777" w:rsidR="00B53D0C" w:rsidRPr="00357EBF" w:rsidRDefault="00B53D0C" w:rsidP="00357EBF">
      <w:r w:rsidRPr="00357EBF">
        <w:t>The Joint MSAC Evaluation Subcommittee/PBAC Economics Sub Committee (hereafter referred to as the ESCs) noted that the integrated codependent application sought:</w:t>
      </w:r>
    </w:p>
    <w:p w14:paraId="11DCB28A" w14:textId="77777777" w:rsidR="00B53D0C" w:rsidRPr="00357EBF" w:rsidRDefault="00B53D0C" w:rsidP="00252706">
      <w:pPr>
        <w:pStyle w:val="ListParagraph"/>
        <w:numPr>
          <w:ilvl w:val="0"/>
          <w:numId w:val="40"/>
        </w:numPr>
      </w:pPr>
      <w:r w:rsidRPr="00357EBF">
        <w:rPr>
          <w:rFonts w:eastAsia="Calibri" w:cs="Calibri"/>
        </w:rPr>
        <w:t xml:space="preserve">Medicare Benefits Schedule (MBS) listing of </w:t>
      </w:r>
      <w:r w:rsidRPr="00357EBF">
        <w:t>next-generation sequencing (NGS) testing for activating estrogen receptor 1 (</w:t>
      </w:r>
      <w:r w:rsidRPr="00357EBF">
        <w:rPr>
          <w:i/>
          <w:iCs/>
        </w:rPr>
        <w:t>ESR1</w:t>
      </w:r>
      <w:r w:rsidRPr="00357EBF">
        <w:t xml:space="preserve">) variants in circulating tumour deoxyribonucleic acid (ctDNA) extracted from blood plasma (liquid biopsy) to determine eligibility for treatment with </w:t>
      </w:r>
      <w:proofErr w:type="spellStart"/>
      <w:r w:rsidRPr="00357EBF">
        <w:t>elacestrant</w:t>
      </w:r>
      <w:proofErr w:type="spellEnd"/>
      <w:r w:rsidRPr="00357EBF">
        <w:t xml:space="preserve"> in postmenopausal women or men with estrogen receptor-positive, human epidermal growth factor receptor 2-negative (ER+/HER2-), locally advanced or metastatic breast cancer (</w:t>
      </w:r>
      <w:proofErr w:type="spellStart"/>
      <w:r w:rsidRPr="00357EBF">
        <w:t>mBC</w:t>
      </w:r>
      <w:proofErr w:type="spellEnd"/>
      <w:r w:rsidRPr="00357EBF">
        <w:t>), who have disease progression following at least one line of endocrine therapy (ET), including a cyclin-dependent kinase 4/6 inhibitor (CDK4/6i).</w:t>
      </w:r>
    </w:p>
    <w:p w14:paraId="5ABA04DD" w14:textId="77777777" w:rsidR="00B53D0C" w:rsidRPr="00357EBF" w:rsidRDefault="00B53D0C" w:rsidP="00252706">
      <w:pPr>
        <w:pStyle w:val="ListParagraph"/>
        <w:numPr>
          <w:ilvl w:val="0"/>
          <w:numId w:val="40"/>
        </w:numPr>
      </w:pPr>
      <w:r w:rsidRPr="00357EBF">
        <w:t xml:space="preserve">Pharmaceutical Benefits Scheme (PBS) General Schedule Authority Required (telephone/online) listing of </w:t>
      </w:r>
      <w:proofErr w:type="spellStart"/>
      <w:r w:rsidRPr="00357EBF">
        <w:t>elacestrant</w:t>
      </w:r>
      <w:proofErr w:type="spellEnd"/>
      <w:r w:rsidRPr="00357EBF">
        <w:t xml:space="preserve"> for the treatment of ER+/HER2- locally advanced or </w:t>
      </w:r>
      <w:proofErr w:type="spellStart"/>
      <w:r w:rsidRPr="00357EBF">
        <w:t>mBC</w:t>
      </w:r>
      <w:proofErr w:type="spellEnd"/>
      <w:r w:rsidRPr="00357EBF">
        <w:t xml:space="preserve"> with disease progression following at least one line of ET, including a CDK4/6i, in patients whose tumours have evidence of activating </w:t>
      </w:r>
      <w:r w:rsidRPr="00357EBF">
        <w:rPr>
          <w:i/>
          <w:iCs/>
        </w:rPr>
        <w:t xml:space="preserve">ESR1 </w:t>
      </w:r>
      <w:r w:rsidRPr="00357EBF">
        <w:t>variants.</w:t>
      </w:r>
    </w:p>
    <w:p w14:paraId="2D597CFC" w14:textId="77777777" w:rsidR="00B53D0C" w:rsidRPr="00357EBF" w:rsidRDefault="00B53D0C" w:rsidP="00357EBF">
      <w:r w:rsidRPr="00357EBF">
        <w:t xml:space="preserve">The ESCs noted and welcomed consultation feedback received from 3 organisations and 3 individuals. The ESCs noted that the feedback was supportive of listing </w:t>
      </w:r>
      <w:proofErr w:type="spellStart"/>
      <w:r w:rsidRPr="00357EBF">
        <w:t>elacestrant</w:t>
      </w:r>
      <w:proofErr w:type="spellEnd"/>
      <w:r w:rsidRPr="00357EBF">
        <w:t xml:space="preserve"> on the PBS for this population. The ESCs noted that feedback stated it was important to consumers that all patients who may benefit from treatment with </w:t>
      </w:r>
      <w:proofErr w:type="spellStart"/>
      <w:r w:rsidRPr="00357EBF">
        <w:t>elacestrant</w:t>
      </w:r>
      <w:proofErr w:type="spellEnd"/>
      <w:r w:rsidRPr="00357EBF">
        <w:t xml:space="preserve"> treatment would be identified by the proposed test. The ESCs also noted that the frequency of repeat testing was raised as an important issue that may affect access to the drug.</w:t>
      </w:r>
    </w:p>
    <w:p w14:paraId="5D1C9C32" w14:textId="77777777" w:rsidR="00B53D0C" w:rsidRPr="00357EBF" w:rsidRDefault="00B53D0C" w:rsidP="00357EBF">
      <w:r w:rsidRPr="00357EBF">
        <w:t xml:space="preserve">The ESCs noted that at least 70% of all newly diagnosed breast carcinomas are ER+/progesterone receptor positive (PR+)/HER2- and that, despite advances in treatment of ER+/HER2- </w:t>
      </w:r>
      <w:proofErr w:type="spellStart"/>
      <w:r w:rsidRPr="00357EBF">
        <w:t>mBC</w:t>
      </w:r>
      <w:proofErr w:type="spellEnd"/>
      <w:r w:rsidRPr="00357EBF">
        <w:t xml:space="preserve">, patients ultimately progress on initial treatment with ET in combination with CDK4/6i, often due to </w:t>
      </w:r>
      <w:r w:rsidRPr="00357EBF">
        <w:rPr>
          <w:i/>
          <w:iCs/>
        </w:rPr>
        <w:t>de novo</w:t>
      </w:r>
      <w:r w:rsidRPr="00357EBF">
        <w:t xml:space="preserve"> or emerging resistance. The ESCs noted that while some </w:t>
      </w:r>
      <w:proofErr w:type="spellStart"/>
      <w:r w:rsidRPr="00357EBF">
        <w:t>mBC</w:t>
      </w:r>
      <w:proofErr w:type="spellEnd"/>
      <w:r w:rsidRPr="00357EBF">
        <w:t xml:space="preserve"> patients (around 20%) progress rapidly within the first 6 months of first-line treatment with ET, many respond initially to treatment but develop resistance to therapy and progress over time (secondary resistance). The ESCs noted that </w:t>
      </w:r>
      <w:r w:rsidRPr="00357EBF">
        <w:rPr>
          <w:i/>
          <w:iCs/>
        </w:rPr>
        <w:t>ESR1</w:t>
      </w:r>
      <w:r w:rsidRPr="00357EBF">
        <w:t xml:space="preserve"> variation is the most common mechanism of secondary resistance (up to 50%) and is a form of acquired resistance that occurs only following exposure to ET. The ESCs noted that </w:t>
      </w:r>
      <w:r w:rsidRPr="00357EBF">
        <w:rPr>
          <w:i/>
          <w:iCs/>
        </w:rPr>
        <w:t xml:space="preserve">ESR1 </w:t>
      </w:r>
      <w:r w:rsidRPr="00357EBF">
        <w:t xml:space="preserve">variants are very uncommon (&lt;1%) in primary untreated breast cancer and that longer exposure to ET during first-line metastatic treatment increases the chance of developing an </w:t>
      </w:r>
      <w:r w:rsidRPr="00357EBF">
        <w:rPr>
          <w:i/>
          <w:iCs/>
        </w:rPr>
        <w:t>ESR1</w:t>
      </w:r>
      <w:r w:rsidRPr="00357EBF">
        <w:t xml:space="preserve"> variant during treatment. The ESCs considered the proposed testing in ER+/HER2- locally advanced or </w:t>
      </w:r>
      <w:proofErr w:type="spellStart"/>
      <w:r w:rsidRPr="00357EBF">
        <w:t>mBC</w:t>
      </w:r>
      <w:proofErr w:type="spellEnd"/>
      <w:r w:rsidRPr="00357EBF">
        <w:t xml:space="preserve"> patients who have disease progression following at least one line of ET (including a CDK4/6i) to be appropriate.</w:t>
      </w:r>
    </w:p>
    <w:p w14:paraId="2DA12366" w14:textId="77777777" w:rsidR="00B53D0C" w:rsidRPr="00357EBF" w:rsidRDefault="00B53D0C" w:rsidP="00357EBF">
      <w:pPr>
        <w:rPr>
          <w:rFonts w:eastAsia="Calibri" w:cs="Calibri"/>
        </w:rPr>
      </w:pPr>
      <w:r w:rsidRPr="00357EBF">
        <w:rPr>
          <w:rFonts w:eastAsia="Calibri" w:cs="Calibri"/>
        </w:rPr>
        <w:t xml:space="preserve">The ESCs noted that the application proposed ctDNA testing (from blood plasma) as opposed to solid tumour tissue testing. The ESCs noted that an individual patient may have multiple sites of metastases and that these would each need to be biopsied to determine </w:t>
      </w:r>
      <w:r w:rsidRPr="00357EBF">
        <w:rPr>
          <w:rFonts w:eastAsia="Calibri" w:cs="Calibri"/>
          <w:i/>
          <w:iCs/>
        </w:rPr>
        <w:t>ESR1</w:t>
      </w:r>
      <w:r w:rsidRPr="00357EBF">
        <w:rPr>
          <w:rFonts w:eastAsia="Calibri" w:cs="Calibri"/>
        </w:rPr>
        <w:t xml:space="preserve"> status in the absence of a ctDNA test. The ESCs also noted that because clinically significant </w:t>
      </w:r>
      <w:r w:rsidRPr="00357EBF">
        <w:rPr>
          <w:rFonts w:eastAsia="Calibri" w:cs="Calibri"/>
          <w:i/>
          <w:iCs/>
        </w:rPr>
        <w:t>ESR1</w:t>
      </w:r>
      <w:r w:rsidRPr="00357EBF">
        <w:rPr>
          <w:rFonts w:eastAsia="Calibri" w:cs="Calibri"/>
        </w:rPr>
        <w:t xml:space="preserve"> variants might emerge throughout the course of the disease in the metastatic setting, there is no role for archival tumour tissue testing at relapse. The </w:t>
      </w:r>
      <w:r w:rsidRPr="00357EBF">
        <w:t xml:space="preserve">ESCs noted that </w:t>
      </w:r>
      <w:r w:rsidRPr="00357EBF">
        <w:rPr>
          <w:i/>
          <w:iCs/>
        </w:rPr>
        <w:t>ESR1</w:t>
      </w:r>
      <w:r w:rsidRPr="00357EBF">
        <w:t xml:space="preserve"> variants are </w:t>
      </w:r>
      <w:proofErr w:type="spellStart"/>
      <w:r w:rsidRPr="00357EBF">
        <w:t>subclonal</w:t>
      </w:r>
      <w:proofErr w:type="spellEnd"/>
      <w:r w:rsidRPr="00357EBF">
        <w:t xml:space="preserve"> and are therefore not always detected with tissue biopsy. Unlike sampling tumour tissue in a single region, use of ctDNA in the blood via liquid biopsy provides a representation of the spectrum of variants from tumour cells across all metastatic sites. </w:t>
      </w:r>
      <w:r w:rsidRPr="00357EBF">
        <w:rPr>
          <w:rFonts w:eastAsia="Calibri" w:cs="Calibri"/>
        </w:rPr>
        <w:t>The ESCs therefore considered ctDNA testing to be appropriate over solid tumour testing.</w:t>
      </w:r>
    </w:p>
    <w:p w14:paraId="19D7D5DA" w14:textId="77777777" w:rsidR="00B53D0C" w:rsidRPr="00357EBF" w:rsidRDefault="00B53D0C" w:rsidP="00357EBF">
      <w:pPr>
        <w:rPr>
          <w:rFonts w:eastAsia="Calibri" w:cs="Calibri"/>
        </w:rPr>
      </w:pPr>
      <w:r w:rsidRPr="00357EBF">
        <w:rPr>
          <w:rFonts w:eastAsia="Calibri" w:cs="Calibri"/>
        </w:rPr>
        <w:t xml:space="preserve">The ESCs noted that the application proposed using NGS for </w:t>
      </w:r>
      <w:r w:rsidRPr="00357EBF">
        <w:rPr>
          <w:rFonts w:eastAsia="Calibri" w:cs="Calibri"/>
          <w:i/>
          <w:iCs/>
        </w:rPr>
        <w:t>ESR1</w:t>
      </w:r>
      <w:r w:rsidRPr="00357EBF">
        <w:rPr>
          <w:rFonts w:eastAsia="Calibri" w:cs="Calibri"/>
        </w:rPr>
        <w:t xml:space="preserve"> testing and specified this methodology in the proposed MBS item descriptor. PASC noted that other tests, i.e. digital droplet polymerase chain reaction (</w:t>
      </w:r>
      <w:proofErr w:type="spellStart"/>
      <w:r w:rsidRPr="00357EBF">
        <w:rPr>
          <w:rFonts w:eastAsia="Calibri" w:cs="Calibri"/>
        </w:rPr>
        <w:t>ddPCR</w:t>
      </w:r>
      <w:proofErr w:type="spellEnd"/>
      <w:r w:rsidRPr="00357EBF">
        <w:rPr>
          <w:rFonts w:eastAsia="Calibri" w:cs="Calibri"/>
        </w:rPr>
        <w:t xml:space="preserve">) or quantitative PCR (qPCR), may also be used for </w:t>
      </w:r>
      <w:r w:rsidRPr="00357EBF">
        <w:rPr>
          <w:rFonts w:eastAsia="Calibri" w:cs="Calibri"/>
        </w:rPr>
        <w:lastRenderedPageBreak/>
        <w:t xml:space="preserve">identifying </w:t>
      </w:r>
      <w:r w:rsidRPr="00357EBF">
        <w:rPr>
          <w:rFonts w:eastAsia="Calibri" w:cs="Calibri"/>
          <w:i/>
          <w:iCs/>
        </w:rPr>
        <w:t>ESR1</w:t>
      </w:r>
      <w:r w:rsidRPr="00357EBF">
        <w:rPr>
          <w:rFonts w:eastAsia="Calibri" w:cs="Calibri"/>
        </w:rPr>
        <w:t xml:space="preserve"> variants. The ESCs noted that PASC advised that the assessment report should include data to support the exclusion of qPCR as an appropriate testing method. </w:t>
      </w:r>
    </w:p>
    <w:p w14:paraId="0833BEDA" w14:textId="77777777" w:rsidR="00B53D0C" w:rsidRPr="00357EBF" w:rsidRDefault="00B53D0C" w:rsidP="00357EBF">
      <w:pPr>
        <w:rPr>
          <w:rFonts w:eastAsia="Calibri" w:cs="Calibri"/>
        </w:rPr>
      </w:pPr>
      <w:r w:rsidRPr="00357EBF">
        <w:rPr>
          <w:rFonts w:eastAsia="Calibri" w:cs="Calibri"/>
        </w:rPr>
        <w:t xml:space="preserve">The ESCs considered the exclusion of qPCR to be appropriate, as there are issues with </w:t>
      </w:r>
      <w:r w:rsidRPr="00357EBF">
        <w:t>using qPCR to detect</w:t>
      </w:r>
      <w:r w:rsidRPr="00357EBF">
        <w:rPr>
          <w:i/>
          <w:iCs/>
        </w:rPr>
        <w:t xml:space="preserve"> ESR1</w:t>
      </w:r>
      <w:r w:rsidRPr="00357EBF">
        <w:t xml:space="preserve"> variants in ctDNA, including a low range of variant detection, and the potential for false positives from cross-reactivity with similar sequences</w:t>
      </w:r>
      <w:r w:rsidRPr="00357EBF">
        <w:rPr>
          <w:rFonts w:eastAsia="Calibri" w:cs="Calibri"/>
        </w:rPr>
        <w:t xml:space="preserve">. </w:t>
      </w:r>
    </w:p>
    <w:p w14:paraId="442D5C94" w14:textId="13E1DC7A" w:rsidR="00B53D0C" w:rsidRPr="00357EBF" w:rsidRDefault="00B53D0C" w:rsidP="00357EBF">
      <w:pPr>
        <w:rPr>
          <w:rFonts w:eastAsia="Calibri" w:cs="Calibri"/>
        </w:rPr>
      </w:pPr>
      <w:r w:rsidRPr="00357EBF">
        <w:rPr>
          <w:rFonts w:eastAsia="Calibri" w:cs="Calibri"/>
        </w:rPr>
        <w:t xml:space="preserve">The ESCs noted that both </w:t>
      </w:r>
      <w:proofErr w:type="spellStart"/>
      <w:r w:rsidRPr="00357EBF">
        <w:rPr>
          <w:rFonts w:eastAsia="Calibri" w:cs="Calibri"/>
        </w:rPr>
        <w:t>ddPCR</w:t>
      </w:r>
      <w:proofErr w:type="spellEnd"/>
      <w:r w:rsidRPr="00357EBF">
        <w:rPr>
          <w:rFonts w:eastAsia="Calibri" w:cs="Calibri"/>
        </w:rPr>
        <w:t xml:space="preserve"> and NGS can detect ctDNA. </w:t>
      </w:r>
      <w:proofErr w:type="spellStart"/>
      <w:r w:rsidRPr="00357EBF">
        <w:rPr>
          <w:rFonts w:eastAsia="Calibri" w:cs="Calibri"/>
        </w:rPr>
        <w:t>ddPCR</w:t>
      </w:r>
      <w:proofErr w:type="spellEnd"/>
      <w:r w:rsidRPr="00357EBF">
        <w:rPr>
          <w:rFonts w:eastAsia="Calibri" w:cs="Calibri"/>
        </w:rPr>
        <w:t xml:space="preserve"> is highly sensitive and can detect low levels of ctDNA while NGS can analyse multiple driver genes simultaneously. The ESCs noted that there appears to be consensus that </w:t>
      </w:r>
      <w:r w:rsidRPr="00357EBF">
        <w:rPr>
          <w:rFonts w:eastAsia="Calibri" w:cs="Calibri"/>
          <w:i/>
          <w:iCs/>
        </w:rPr>
        <w:t>ESR1</w:t>
      </w:r>
      <w:r w:rsidRPr="00357EBF">
        <w:rPr>
          <w:rFonts w:eastAsia="Calibri" w:cs="Calibri"/>
        </w:rPr>
        <w:t xml:space="preserve"> variant detection is similar across NGS and </w:t>
      </w:r>
      <w:proofErr w:type="spellStart"/>
      <w:r w:rsidRPr="00357EBF">
        <w:rPr>
          <w:rFonts w:eastAsia="Calibri" w:cs="Calibri"/>
        </w:rPr>
        <w:t>ddPCR</w:t>
      </w:r>
      <w:proofErr w:type="spellEnd"/>
      <w:r w:rsidRPr="00357EBF">
        <w:rPr>
          <w:rFonts w:eastAsia="Calibri" w:cs="Calibri"/>
        </w:rPr>
        <w:t xml:space="preserve"> tests. The ESCs noted that </w:t>
      </w:r>
      <w:proofErr w:type="spellStart"/>
      <w:r w:rsidRPr="00357EBF">
        <w:rPr>
          <w:rFonts w:eastAsia="Calibri" w:cs="Calibri"/>
        </w:rPr>
        <w:t>ddPCR</w:t>
      </w:r>
      <w:proofErr w:type="spellEnd"/>
      <w:r w:rsidRPr="00357EBF">
        <w:rPr>
          <w:rFonts w:eastAsia="Calibri" w:cs="Calibri"/>
        </w:rPr>
        <w:t xml:space="preserve"> can only be used for single-gene testing, whereas NGS can be used for multi-gene testing. </w:t>
      </w:r>
      <w:proofErr w:type="spellStart"/>
      <w:r w:rsidRPr="00357EBF">
        <w:rPr>
          <w:rFonts w:eastAsia="Calibri" w:cs="Calibri"/>
        </w:rPr>
        <w:t>ddPCR</w:t>
      </w:r>
      <w:proofErr w:type="spellEnd"/>
      <w:r w:rsidRPr="00357EBF">
        <w:rPr>
          <w:rFonts w:eastAsia="Calibri" w:cs="Calibri"/>
        </w:rPr>
        <w:t xml:space="preserve"> is also not currently widely available in Australian pathology laboratories. The ESCs considered that, because this application is only for single-gene testing (of </w:t>
      </w:r>
      <w:r w:rsidRPr="00357EBF">
        <w:rPr>
          <w:rFonts w:eastAsia="Calibri" w:cs="Calibri"/>
          <w:i/>
          <w:iCs/>
        </w:rPr>
        <w:t>ESR1</w:t>
      </w:r>
      <w:r w:rsidRPr="00357EBF">
        <w:rPr>
          <w:rFonts w:eastAsia="Calibri" w:cs="Calibri"/>
        </w:rPr>
        <w:t xml:space="preserve">), </w:t>
      </w:r>
      <w:proofErr w:type="spellStart"/>
      <w:r w:rsidRPr="00357EBF">
        <w:rPr>
          <w:rFonts w:eastAsia="Calibri" w:cs="Calibri"/>
        </w:rPr>
        <w:t>ddPCR</w:t>
      </w:r>
      <w:proofErr w:type="spellEnd"/>
      <w:r w:rsidRPr="00357EBF">
        <w:rPr>
          <w:rFonts w:eastAsia="Calibri" w:cs="Calibri"/>
        </w:rPr>
        <w:t xml:space="preserve"> would be an appropriate testing method if it became more widely available in Australia. The ESCs considered </w:t>
      </w:r>
      <w:proofErr w:type="spellStart"/>
      <w:r w:rsidRPr="00357EBF">
        <w:rPr>
          <w:rFonts w:eastAsia="Calibri" w:cs="Calibri"/>
        </w:rPr>
        <w:t>ddPCR</w:t>
      </w:r>
      <w:proofErr w:type="spellEnd"/>
      <w:r w:rsidRPr="00357EBF">
        <w:rPr>
          <w:rFonts w:eastAsia="Calibri" w:cs="Calibri"/>
        </w:rPr>
        <w:t xml:space="preserve"> would be cheaper than NGS if testing was performed in high volume centres. However, ESC advised that in Australia there will not be high volume centres performing </w:t>
      </w:r>
      <w:proofErr w:type="spellStart"/>
      <w:r w:rsidRPr="00357EBF">
        <w:rPr>
          <w:rFonts w:eastAsia="Calibri" w:cs="Calibri"/>
        </w:rPr>
        <w:t>ddPCR</w:t>
      </w:r>
      <w:proofErr w:type="spellEnd"/>
      <w:r w:rsidRPr="00357EBF">
        <w:rPr>
          <w:rFonts w:eastAsia="Calibri" w:cs="Calibri"/>
        </w:rPr>
        <w:t xml:space="preserve"> and these cost efficiencies will not be realised.</w:t>
      </w:r>
    </w:p>
    <w:p w14:paraId="1B457A20" w14:textId="568EC5AD" w:rsidR="00B53D0C" w:rsidRPr="00357EBF" w:rsidRDefault="00B53D0C" w:rsidP="00357EBF">
      <w:pPr>
        <w:rPr>
          <w:rFonts w:eastAsia="Calibri" w:cs="Calibri"/>
        </w:rPr>
      </w:pPr>
      <w:r w:rsidRPr="277D76F3">
        <w:rPr>
          <w:rFonts w:eastAsia="Calibri" w:cs="Calibri"/>
        </w:rPr>
        <w:t xml:space="preserve">The ESCs noted that the test used in the pivotal EMERALD trial, Guardant360® </w:t>
      </w:r>
      <w:proofErr w:type="spellStart"/>
      <w:r w:rsidRPr="277D76F3">
        <w:rPr>
          <w:rFonts w:eastAsia="Calibri" w:cs="Calibri"/>
        </w:rPr>
        <w:t>CDx</w:t>
      </w:r>
      <w:proofErr w:type="spellEnd"/>
      <w:r w:rsidRPr="277D76F3">
        <w:rPr>
          <w:rFonts w:eastAsia="Calibri" w:cs="Calibri"/>
        </w:rPr>
        <w:t xml:space="preserve"> (the clinical utility standard), which uses NGS to detect </w:t>
      </w:r>
      <w:r w:rsidRPr="277D76F3">
        <w:rPr>
          <w:rFonts w:eastAsia="Calibri" w:cs="Calibri"/>
          <w:i/>
          <w:iCs/>
        </w:rPr>
        <w:t>ESR1</w:t>
      </w:r>
      <w:r w:rsidRPr="277D76F3">
        <w:rPr>
          <w:rFonts w:eastAsia="Calibri" w:cs="Calibri"/>
        </w:rPr>
        <w:t xml:space="preserve"> variants in ctDNA extracted from blood (liquid biopsy), is not commercially available in Australia. The ESCs noted </w:t>
      </w:r>
      <w:r w:rsidR="003878F9" w:rsidRPr="003878F9">
        <w:rPr>
          <w:rFonts w:eastAsia="Calibri" w:cs="Calibri"/>
          <w:b/>
          <w:bCs/>
        </w:rPr>
        <w:t>redacted</w:t>
      </w:r>
      <w:r w:rsidRPr="003878F9">
        <w:rPr>
          <w:rFonts w:eastAsia="Calibri" w:cs="Calibri"/>
        </w:rPr>
        <w:t>.</w:t>
      </w:r>
    </w:p>
    <w:p w14:paraId="536AE7BA" w14:textId="77777777" w:rsidR="00B53D0C" w:rsidRPr="00357EBF" w:rsidRDefault="00B53D0C" w:rsidP="00357EBF">
      <w:pPr>
        <w:rPr>
          <w:rFonts w:eastAsia="Calibri" w:cs="Calibri"/>
        </w:rPr>
      </w:pPr>
      <w:r w:rsidRPr="00357EBF">
        <w:rPr>
          <w:rFonts w:eastAsia="Calibri" w:cs="Calibri"/>
        </w:rPr>
        <w:t xml:space="preserve">The ESCs noted that none of the assays the submission provided that could potentially be used to detect </w:t>
      </w:r>
      <w:r w:rsidRPr="00357EBF">
        <w:rPr>
          <w:rFonts w:eastAsia="Calibri" w:cs="Calibri"/>
          <w:i/>
          <w:iCs/>
        </w:rPr>
        <w:t>ESR1</w:t>
      </w:r>
      <w:r w:rsidRPr="00357EBF">
        <w:rPr>
          <w:rFonts w:eastAsia="Calibri" w:cs="Calibri"/>
        </w:rPr>
        <w:t xml:space="preserve"> variants in ctDNA in Australia are TGA-registered. The ESCs shared PASC’s concern that pathology laboratories in Australia might not yet be ready for testing ctDNA from liquid biopsy. The ESCs noted the pre-sub-committee response (PSCR) stated that (</w:t>
      </w:r>
      <w:proofErr w:type="spellStart"/>
      <w:r w:rsidRPr="00357EBF">
        <w:rPr>
          <w:rFonts w:eastAsia="Calibri" w:cs="Calibri"/>
        </w:rPr>
        <w:t>i</w:t>
      </w:r>
      <w:proofErr w:type="spellEnd"/>
      <w:r w:rsidRPr="00357EBF">
        <w:rPr>
          <w:rFonts w:eastAsia="Calibri" w:cs="Calibri"/>
        </w:rPr>
        <w:t>) 2 laboratories are expected achieve full NATA accreditation in Q2, 2025 and a 3</w:t>
      </w:r>
      <w:r w:rsidRPr="00357EBF">
        <w:rPr>
          <w:rFonts w:eastAsia="Calibri" w:cs="Calibri"/>
          <w:vertAlign w:val="superscript"/>
        </w:rPr>
        <w:t>rd</w:t>
      </w:r>
      <w:r w:rsidRPr="00357EBF">
        <w:rPr>
          <w:rFonts w:eastAsia="Calibri" w:cs="Calibri"/>
        </w:rPr>
        <w:t xml:space="preserve"> laboratory is preparing for NATA accreditation; and (ii) all 3 laboratories participated in an </w:t>
      </w:r>
      <w:r w:rsidRPr="00357EBF">
        <w:rPr>
          <w:rFonts w:eastAsia="Calibri" w:cs="Calibri"/>
          <w:i/>
          <w:iCs/>
        </w:rPr>
        <w:t>ESR1</w:t>
      </w:r>
      <w:r w:rsidRPr="00357EBF">
        <w:rPr>
          <w:rFonts w:eastAsia="Calibri" w:cs="Calibri"/>
        </w:rPr>
        <w:t xml:space="preserve"> external quality assessment (EQA) program (sourced internationally) in 2024. The ESCs considered that different NGS platforms should all perform well and are likely to be sufficiently concordant.</w:t>
      </w:r>
      <w:r w:rsidRPr="00357EBF">
        <w:t xml:space="preserve"> The </w:t>
      </w:r>
      <w:r w:rsidRPr="00357EBF">
        <w:rPr>
          <w:rFonts w:eastAsia="Calibri" w:cs="Calibri"/>
        </w:rPr>
        <w:t xml:space="preserve">ESCs considered the different assays would identify patients who are likely to benefit from </w:t>
      </w:r>
      <w:proofErr w:type="spellStart"/>
      <w:r w:rsidRPr="00357EBF">
        <w:t>elacestrant</w:t>
      </w:r>
      <w:proofErr w:type="spellEnd"/>
      <w:r w:rsidRPr="00357EBF">
        <w:t xml:space="preserve">. </w:t>
      </w:r>
    </w:p>
    <w:p w14:paraId="4748BD10" w14:textId="77777777" w:rsidR="00B53D0C" w:rsidRPr="00357EBF" w:rsidRDefault="00B53D0C" w:rsidP="00357EBF">
      <w:pPr>
        <w:rPr>
          <w:rFonts w:eastAsia="Calibri" w:cs="Calibri"/>
        </w:rPr>
      </w:pPr>
      <w:r w:rsidRPr="00357EBF">
        <w:rPr>
          <w:rFonts w:eastAsia="Calibri" w:cs="Calibri"/>
        </w:rPr>
        <w:t xml:space="preserve">The ESCs agreed with PASC that a method-agnostic item descriptor is more appropriate than the applicant’s proposed descriptor specifying the use of NGS, noting that qPCR was likely not appropriate as an alternative testing methodology but </w:t>
      </w:r>
      <w:proofErr w:type="spellStart"/>
      <w:r w:rsidRPr="00357EBF">
        <w:rPr>
          <w:rFonts w:eastAsia="Calibri" w:cs="Calibri"/>
        </w:rPr>
        <w:t>ddPCR</w:t>
      </w:r>
      <w:proofErr w:type="spellEnd"/>
      <w:r w:rsidRPr="00357EBF">
        <w:rPr>
          <w:rFonts w:eastAsia="Calibri" w:cs="Calibri"/>
        </w:rPr>
        <w:t xml:space="preserve"> may be a suitable alternative if introduced more widely in Australia. The ESCs further considered that other testing approaches may emerge as a better methodology for </w:t>
      </w:r>
      <w:r w:rsidRPr="00357EBF">
        <w:rPr>
          <w:rFonts w:eastAsia="Calibri" w:cs="Calibri"/>
          <w:i/>
          <w:iCs/>
        </w:rPr>
        <w:t>ESR1</w:t>
      </w:r>
      <w:r w:rsidRPr="00357EBF">
        <w:rPr>
          <w:rFonts w:eastAsia="Calibri" w:cs="Calibri"/>
        </w:rPr>
        <w:t xml:space="preserve"> variant detection than the current methods. The ESCs therefore advised that the new MBS item descriptor should not specify a testing method but rather remain method-agnostic, to allow for testing using </w:t>
      </w:r>
      <w:proofErr w:type="spellStart"/>
      <w:r w:rsidRPr="00357EBF">
        <w:rPr>
          <w:rFonts w:eastAsia="Calibri" w:cs="Calibri"/>
        </w:rPr>
        <w:t>ddPCR</w:t>
      </w:r>
      <w:proofErr w:type="spellEnd"/>
      <w:r w:rsidRPr="00357EBF">
        <w:rPr>
          <w:rFonts w:eastAsia="Calibri" w:cs="Calibri"/>
        </w:rPr>
        <w:t>, NGS or other modalities that may develop in the future, thereby future-proofing the item.</w:t>
      </w:r>
    </w:p>
    <w:p w14:paraId="4C89D745" w14:textId="77777777" w:rsidR="00B53D0C" w:rsidRPr="00357EBF" w:rsidRDefault="00B53D0C" w:rsidP="00357EBF">
      <w:pPr>
        <w:rPr>
          <w:rFonts w:eastAsia="Calibri" w:cs="Calibri"/>
        </w:rPr>
      </w:pPr>
      <w:r w:rsidRPr="00357EBF">
        <w:rPr>
          <w:rFonts w:eastAsia="Calibri" w:cs="Calibri"/>
        </w:rPr>
        <w:t xml:space="preserve">The ESCs noted that the proposed MBS item descriptor did not mention re-testing, nor testing frequency. The ESCs noted that as </w:t>
      </w:r>
      <w:r w:rsidRPr="00357EBF">
        <w:rPr>
          <w:rFonts w:eastAsia="Calibri" w:cs="Calibri"/>
          <w:i/>
          <w:iCs/>
        </w:rPr>
        <w:t>ESR1</w:t>
      </w:r>
      <w:r w:rsidRPr="00357EBF">
        <w:rPr>
          <w:rFonts w:eastAsia="Calibri" w:cs="Calibri"/>
        </w:rPr>
        <w:t xml:space="preserve"> variant(s) may emerge at each progression while on ET in the metastatic setting, testing for </w:t>
      </w:r>
      <w:r w:rsidRPr="00357EBF">
        <w:rPr>
          <w:rFonts w:eastAsia="Calibri" w:cs="Calibri"/>
          <w:i/>
          <w:iCs/>
        </w:rPr>
        <w:t>ESR1</w:t>
      </w:r>
      <w:r w:rsidRPr="00357EBF">
        <w:rPr>
          <w:rFonts w:eastAsia="Calibri" w:cs="Calibri"/>
        </w:rPr>
        <w:t xml:space="preserve"> variants is relevant at each progression during the metastatic treatment course. The ESCs agreed with PASC that testing every 6 months was reasonable, but only for patients with previous negative test results. The ESCs considered it important to exclude retesting patients with prior positive test results, to discourage use of the proposed testing in monitoring treatment response, which is different from the proposed use of predicting treatment benefit with </w:t>
      </w:r>
      <w:proofErr w:type="spellStart"/>
      <w:r w:rsidRPr="00357EBF">
        <w:rPr>
          <w:rFonts w:eastAsia="Calibri" w:cs="Calibri"/>
        </w:rPr>
        <w:t>elacestrant</w:t>
      </w:r>
      <w:proofErr w:type="spellEnd"/>
      <w:r w:rsidRPr="00357EBF">
        <w:rPr>
          <w:rFonts w:eastAsia="Calibri" w:cs="Calibri"/>
        </w:rPr>
        <w:t xml:space="preserve">. Once a patient has tested positive for </w:t>
      </w:r>
      <w:r w:rsidRPr="00357EBF">
        <w:rPr>
          <w:rFonts w:eastAsia="Calibri" w:cs="Calibri"/>
          <w:i/>
          <w:iCs/>
        </w:rPr>
        <w:t>ESR1</w:t>
      </w:r>
      <w:r w:rsidRPr="00357EBF">
        <w:rPr>
          <w:rFonts w:eastAsia="Calibri" w:cs="Calibri"/>
        </w:rPr>
        <w:t xml:space="preserve"> variant(s), there is no need to repeat testing.</w:t>
      </w:r>
    </w:p>
    <w:p w14:paraId="5F143E58" w14:textId="77777777" w:rsidR="00B53D0C" w:rsidRPr="00AD260D" w:rsidRDefault="5BCC7889" w:rsidP="00357EBF">
      <w:r>
        <w:t xml:space="preserve">The ESCs considered that the applicant’s nominated fee of </w:t>
      </w:r>
      <w:r w:rsidRPr="006B1E9B">
        <w:t>$</w:t>
      </w:r>
      <w:r w:rsidRPr="00AD260D">
        <w:t xml:space="preserve">1,500 appeared reasonable for ctDNA testing using NGS, noting that the cost of ctDNA testing using NGS may be higher than </w:t>
      </w:r>
      <w:r w:rsidRPr="00AD260D">
        <w:lastRenderedPageBreak/>
        <w:t xml:space="preserve">alternate test methodologies such as </w:t>
      </w:r>
      <w:proofErr w:type="spellStart"/>
      <w:r w:rsidRPr="00AD260D">
        <w:t>ddPCR</w:t>
      </w:r>
      <w:proofErr w:type="spellEnd"/>
      <w:r w:rsidRPr="00AD260D">
        <w:t xml:space="preserve">. The ESCs considered that this higher fee appropriately reflected the additional complexity of extracting and purifying DNA from blood compared to tissue, as well as being related to the applicant’s preferred test methodology (NGS). </w:t>
      </w:r>
    </w:p>
    <w:p w14:paraId="26A88C5D" w14:textId="77777777" w:rsidR="00B53D0C" w:rsidRPr="00357EBF" w:rsidRDefault="5BCC7889" w:rsidP="56F9DD4F">
      <w:pPr>
        <w:rPr>
          <w:rFonts w:eastAsiaTheme="minorEastAsia"/>
        </w:rPr>
      </w:pPr>
      <w:r w:rsidRPr="00AD260D">
        <w:t xml:space="preserve">The ESCs noted that a lower-fee option to cover other alternative ctDNA testing technologies was proposed by the department, at a revised fee of </w:t>
      </w:r>
      <w:r w:rsidRPr="00AD260D">
        <w:rPr>
          <w:rFonts w:eastAsiaTheme="minorEastAsia"/>
        </w:rPr>
        <w:t>$647.05 (85% benefit = $550). The department considered this to be an appropriate schedule ctDNA technology-agnostic test in Australia. This fee was based on the Australian Clinical Laboratories (ACL) commercial ctDNA test for lung cancer, colorectal cancer and melanoma. The ACL test costs $550 t</w:t>
      </w:r>
      <w:r w:rsidRPr="56F9DD4F">
        <w:rPr>
          <w:rFonts w:eastAsiaTheme="minorEastAsia"/>
        </w:rPr>
        <w:t>o patients out-of-pocket (i.e. it is a patient-billed test since it is currently not rebated under Medicare)</w:t>
      </w:r>
      <w:r w:rsidR="00B53D0C" w:rsidRPr="56F9DD4F">
        <w:rPr>
          <w:rStyle w:val="FootnoteReference"/>
          <w:rFonts w:eastAsiaTheme="minorEastAsia"/>
        </w:rPr>
        <w:footnoteReference w:id="22"/>
      </w:r>
      <w:r w:rsidRPr="56F9DD4F">
        <w:rPr>
          <w:rFonts w:eastAsiaTheme="minorEastAsia"/>
        </w:rPr>
        <w:t xml:space="preserve">. According to ACL educational materials, ACL uses three validated platforms: </w:t>
      </w:r>
      <w:proofErr w:type="spellStart"/>
      <w:r w:rsidRPr="56F9DD4F">
        <w:rPr>
          <w:rFonts w:eastAsiaTheme="minorEastAsia"/>
        </w:rPr>
        <w:t>ddPCR</w:t>
      </w:r>
      <w:proofErr w:type="spellEnd"/>
      <w:r w:rsidRPr="56F9DD4F">
        <w:rPr>
          <w:rFonts w:eastAsiaTheme="minorEastAsia"/>
        </w:rPr>
        <w:t>, NGS and mass array</w:t>
      </w:r>
      <w:r w:rsidR="00B53D0C" w:rsidRPr="56F9DD4F">
        <w:rPr>
          <w:rStyle w:val="FootnoteReference"/>
          <w:rFonts w:eastAsiaTheme="minorEastAsia"/>
        </w:rPr>
        <w:footnoteReference w:id="23"/>
      </w:r>
      <w:r w:rsidRPr="56F9DD4F">
        <w:rPr>
          <w:rFonts w:eastAsiaTheme="minorEastAsia"/>
        </w:rPr>
        <w:t>. </w:t>
      </w:r>
      <w:r w:rsidRPr="00357EBF">
        <w:t>Additional economic and financial sensitivity analyses were performed using higher and lower testing fees.</w:t>
      </w:r>
    </w:p>
    <w:p w14:paraId="2B1D8FD2" w14:textId="77777777" w:rsidR="00B53D0C" w:rsidRPr="00357EBF" w:rsidRDefault="00B53D0C" w:rsidP="00357EBF">
      <w:pPr>
        <w:rPr>
          <w:rFonts w:eastAsia="Calibri" w:cs="Calibri"/>
        </w:rPr>
      </w:pPr>
      <w:r w:rsidRPr="00357EBF">
        <w:rPr>
          <w:rFonts w:eastAsia="Calibri" w:cs="Calibri"/>
        </w:rPr>
        <w:t xml:space="preserve">The ESCs noted that the proposed comparator for </w:t>
      </w:r>
      <w:r w:rsidRPr="00357EBF">
        <w:rPr>
          <w:rFonts w:eastAsia="Calibri" w:cs="Calibri"/>
          <w:i/>
          <w:iCs/>
        </w:rPr>
        <w:t>ESR1</w:t>
      </w:r>
      <w:r w:rsidRPr="00357EBF">
        <w:rPr>
          <w:rFonts w:eastAsia="Calibri" w:cs="Calibri"/>
        </w:rPr>
        <w:t xml:space="preserve"> testing was no </w:t>
      </w:r>
      <w:r w:rsidRPr="00357EBF">
        <w:rPr>
          <w:rFonts w:eastAsia="Calibri" w:cs="Calibri"/>
          <w:i/>
          <w:iCs/>
        </w:rPr>
        <w:t>ESR1</w:t>
      </w:r>
      <w:r w:rsidRPr="00357EBF">
        <w:rPr>
          <w:rFonts w:eastAsia="Calibri" w:cs="Calibri"/>
        </w:rPr>
        <w:t xml:space="preserve"> testing, and considered that this was appropriate.</w:t>
      </w:r>
    </w:p>
    <w:p w14:paraId="2823426F" w14:textId="77777777" w:rsidR="00B53D0C" w:rsidRPr="00357EBF" w:rsidRDefault="00B53D0C" w:rsidP="00357EBF">
      <w:r w:rsidRPr="00357EBF">
        <w:rPr>
          <w:rFonts w:eastAsiaTheme="minorEastAsia"/>
        </w:rPr>
        <w:t xml:space="preserve">The ESCs noted the </w:t>
      </w:r>
      <w:r w:rsidRPr="00357EBF">
        <w:t xml:space="preserve">submission did not anticipate any adverse events associated with </w:t>
      </w:r>
      <w:r w:rsidRPr="00357EBF">
        <w:rPr>
          <w:i/>
          <w:iCs/>
        </w:rPr>
        <w:t xml:space="preserve">ESR1 </w:t>
      </w:r>
      <w:r w:rsidRPr="00357EBF">
        <w:t>testing compared to no testing. The ESCs noted that liquid biopsy is typically low risk and minimally invasive</w:t>
      </w:r>
      <w:r w:rsidRPr="00357EBF">
        <w:rPr>
          <w:i/>
          <w:iCs/>
        </w:rPr>
        <w:t xml:space="preserve">. </w:t>
      </w:r>
      <w:r w:rsidRPr="00357EBF">
        <w:t xml:space="preserve">The ESCs noted that in terms of treatment safety, </w:t>
      </w:r>
      <w:proofErr w:type="spellStart"/>
      <w:r w:rsidRPr="00357EBF">
        <w:t>elacestrant</w:t>
      </w:r>
      <w:proofErr w:type="spellEnd"/>
      <w:r w:rsidRPr="00357EBF">
        <w:t xml:space="preserve"> resulted in an increased number of adverse events, including an increase in Grade 3 or higher adverse events, which were most commonly gastrointestinal and musculoskeletal disorders such as nausea and back pain. </w:t>
      </w:r>
    </w:p>
    <w:p w14:paraId="6BB85950" w14:textId="77777777" w:rsidR="00B53D0C" w:rsidRPr="00357EBF" w:rsidRDefault="00B53D0C" w:rsidP="00357EBF">
      <w:r w:rsidRPr="00357EBF">
        <w:t xml:space="preserve">The ESCs noted that the key trial, EMERALD, demonstrated a statistically significant difference in progression-free survival (PFS) in the </w:t>
      </w:r>
      <w:r w:rsidRPr="00357EBF">
        <w:rPr>
          <w:i/>
          <w:iCs/>
        </w:rPr>
        <w:t>ESR1</w:t>
      </w:r>
      <w:r w:rsidRPr="00357EBF">
        <w:t xml:space="preserve"> variant population treated with </w:t>
      </w:r>
      <w:proofErr w:type="spellStart"/>
      <w:r w:rsidRPr="00357EBF">
        <w:t>elacestrant</w:t>
      </w:r>
      <w:proofErr w:type="spellEnd"/>
      <w:r w:rsidRPr="00357EBF">
        <w:t xml:space="preserve"> compared to those treated with SOC, but that this was not observed in the non-</w:t>
      </w:r>
      <w:r w:rsidRPr="00357EBF">
        <w:rPr>
          <w:i/>
          <w:iCs/>
        </w:rPr>
        <w:t>ESR1</w:t>
      </w:r>
      <w:r w:rsidRPr="00357EBF">
        <w:t xml:space="preserve"> variant population. The ESCs also noted that no significant difference was observed in overall survival (OS) for either population. </w:t>
      </w:r>
    </w:p>
    <w:p w14:paraId="1A474CB9" w14:textId="77777777" w:rsidR="00B53D0C" w:rsidRPr="00357EBF" w:rsidRDefault="00B53D0C" w:rsidP="00357EBF">
      <w:r w:rsidRPr="00357EBF">
        <w:t xml:space="preserve">The ESCs noted that the submission’s overall clinical claim was that ‘in men and postmenopausal women with ER+/HER2- locally advanced or </w:t>
      </w:r>
      <w:proofErr w:type="spellStart"/>
      <w:r w:rsidRPr="00357EBF">
        <w:t>mBC</w:t>
      </w:r>
      <w:proofErr w:type="spellEnd"/>
      <w:r w:rsidRPr="00357EBF">
        <w:t xml:space="preserve">, who have disease progression following at least one line of ET, including a CDK4/6i, and who test positive for an </w:t>
      </w:r>
      <w:r w:rsidRPr="00357EBF">
        <w:rPr>
          <w:i/>
          <w:iCs/>
        </w:rPr>
        <w:t>ESR1</w:t>
      </w:r>
      <w:r w:rsidRPr="00357EBF">
        <w:t xml:space="preserve"> variant, </w:t>
      </w:r>
      <w:proofErr w:type="spellStart"/>
      <w:r w:rsidRPr="00357EBF">
        <w:t>elacestrant</w:t>
      </w:r>
      <w:proofErr w:type="spellEnd"/>
      <w:r w:rsidRPr="00357EBF">
        <w:t xml:space="preserve"> is superior to SOC in terms of effectiveness with a different and manageable safety profile’. </w:t>
      </w:r>
    </w:p>
    <w:p w14:paraId="3C571605" w14:textId="77777777" w:rsidR="00B53D0C" w:rsidRPr="00357EBF" w:rsidRDefault="00B53D0C" w:rsidP="00357EBF">
      <w:r w:rsidRPr="00357EBF">
        <w:t xml:space="preserve">The ESCs considered that the claim of superior effectiveness was likely supported by the available evidence, but considered that the magnitude of treatment benefit may have been overestimated due to the choice of comparator, since in practice more SOC options would be available and in use. The ESCs considered that the safety of the proposed intervention to be inferior to that of SOC, noting the associated grade 3 adverse events. </w:t>
      </w:r>
    </w:p>
    <w:p w14:paraId="73F49C39" w14:textId="77777777" w:rsidR="00B53D0C" w:rsidRPr="00357EBF" w:rsidRDefault="00B53D0C" w:rsidP="00357EBF">
      <w:r w:rsidRPr="00357EBF">
        <w:rPr>
          <w:rFonts w:eastAsia="Calibri" w:cs="Calibri"/>
        </w:rPr>
        <w:t xml:space="preserve">The ESCs noted that </w:t>
      </w:r>
      <w:r w:rsidRPr="00357EBF">
        <w:t xml:space="preserve">the submission presented a cost-utility analysis (CUA) that evaluated the cost-effectiveness of </w:t>
      </w:r>
      <w:proofErr w:type="spellStart"/>
      <w:r w:rsidRPr="00357EBF">
        <w:t>elacestrant</w:t>
      </w:r>
      <w:proofErr w:type="spellEnd"/>
      <w:r w:rsidRPr="00357EBF">
        <w:t xml:space="preserve"> compared to SOC ET in ER+/HER2 </w:t>
      </w:r>
      <w:proofErr w:type="spellStart"/>
      <w:r w:rsidRPr="00357EBF">
        <w:t>mBC</w:t>
      </w:r>
      <w:proofErr w:type="spellEnd"/>
      <w:r w:rsidRPr="00357EBF">
        <w:t xml:space="preserve"> patients with </w:t>
      </w:r>
      <w:r w:rsidRPr="00357EBF">
        <w:rPr>
          <w:i/>
          <w:iCs/>
        </w:rPr>
        <w:t>ESR1</w:t>
      </w:r>
      <w:r w:rsidRPr="00357EBF">
        <w:t xml:space="preserve"> variants and disease progression after 1-2 lines of ET. The ESCs agreed with the commentary that this was inappropriate and inconsistent with PBAC and MSAC guidelines which state that, for a co-dependent technology, the model structure should capture patients at the point of testing such that the incremental benefits and costs are included for those who are both positive and negative for the test. The ESCs also noted that the submission’s approach was not consistent </w:t>
      </w:r>
      <w:r w:rsidRPr="00357EBF">
        <w:lastRenderedPageBreak/>
        <w:t xml:space="preserve">with advice from PASC, which considered that cost modelling for both NGS and </w:t>
      </w:r>
      <w:proofErr w:type="spellStart"/>
      <w:r w:rsidRPr="00357EBF">
        <w:t>ddPCR</w:t>
      </w:r>
      <w:proofErr w:type="spellEnd"/>
      <w:r w:rsidRPr="00357EBF">
        <w:t xml:space="preserve"> methodology in the detection of </w:t>
      </w:r>
      <w:r w:rsidRPr="00357EBF">
        <w:rPr>
          <w:i/>
          <w:iCs/>
        </w:rPr>
        <w:t>ESR1</w:t>
      </w:r>
      <w:r w:rsidRPr="00357EBF">
        <w:t xml:space="preserve"> variants should be included in the assessment.</w:t>
      </w:r>
    </w:p>
    <w:p w14:paraId="0A1A31D1" w14:textId="49DA5293" w:rsidR="00B53D0C" w:rsidRPr="00357EBF" w:rsidRDefault="5BCC7889" w:rsidP="00357EBF">
      <w:r w:rsidRPr="00AD260D">
        <w:t xml:space="preserve">The ESCs noted that the submission neither modelled the full population for testing nor captured re-testing explicitly. The submission applied one-off test costs to the </w:t>
      </w:r>
      <w:proofErr w:type="spellStart"/>
      <w:r w:rsidRPr="00AD260D">
        <w:t>elacestrant</w:t>
      </w:r>
      <w:proofErr w:type="spellEnd"/>
      <w:r w:rsidRPr="00AD260D">
        <w:t xml:space="preserve"> arm only ($3,144.74, based on an expected test cost of $1,500 and a prevalence rate of </w:t>
      </w:r>
      <w:r w:rsidRPr="00AD260D">
        <w:rPr>
          <w:i/>
          <w:iCs/>
        </w:rPr>
        <w:t>ESR1</w:t>
      </w:r>
      <w:r w:rsidRPr="00AD260D">
        <w:t xml:space="preserve"> variants of 47.7%, i.e. 2.1 patients must be tested to identify one </w:t>
      </w:r>
      <w:r w:rsidRPr="00AD260D">
        <w:rPr>
          <w:i/>
          <w:iCs/>
        </w:rPr>
        <w:t>ESR1</w:t>
      </w:r>
      <w:r w:rsidRPr="00AD260D">
        <w:t xml:space="preserve"> variant positive patient</w:t>
      </w:r>
      <w:r w:rsidR="00F7707D">
        <w:rPr>
          <w:rStyle w:val="FootnoteReference"/>
        </w:rPr>
        <w:footnoteReference w:id="24"/>
      </w:r>
      <w:r w:rsidRPr="00AD260D">
        <w:t>). The submission argued that since the prevalence</w:t>
      </w:r>
      <w:r>
        <w:t xml:space="preserve"> of </w:t>
      </w:r>
      <w:r w:rsidRPr="56F9DD4F">
        <w:rPr>
          <w:i/>
          <w:iCs/>
        </w:rPr>
        <w:t>ESR1</w:t>
      </w:r>
      <w:r>
        <w:t xml:space="preserve"> variants in the EMERALD trial reflects patients who were 2</w:t>
      </w:r>
      <w:r w:rsidRPr="56F9DD4F">
        <w:rPr>
          <w:vertAlign w:val="superscript"/>
        </w:rPr>
        <w:t>nd</w:t>
      </w:r>
      <w:r>
        <w:t xml:space="preserve"> and 3</w:t>
      </w:r>
      <w:r w:rsidRPr="56F9DD4F">
        <w:rPr>
          <w:vertAlign w:val="superscript"/>
        </w:rPr>
        <w:t>rd</w:t>
      </w:r>
      <w:r>
        <w:t xml:space="preserve"> line post CDK4/6i treatment, this reflects the rate of </w:t>
      </w:r>
      <w:r w:rsidRPr="56F9DD4F">
        <w:rPr>
          <w:i/>
          <w:iCs/>
        </w:rPr>
        <w:t>ESR1</w:t>
      </w:r>
      <w:r>
        <w:t xml:space="preserve"> variants across multiple lines of ET. Therefore, the submission argued that the economic model implicitly evaluates multiple rounds of testing, and it is not necessary to evaluate subsequent rounds of testing separately. </w:t>
      </w:r>
    </w:p>
    <w:p w14:paraId="29F5E330" w14:textId="77777777" w:rsidR="00B53D0C" w:rsidRPr="00357EBF" w:rsidRDefault="00B53D0C" w:rsidP="00357EBF">
      <w:pPr>
        <w:rPr>
          <w:rFonts w:eastAsia="Calibri" w:cs="Calibri"/>
        </w:rPr>
      </w:pPr>
      <w:r w:rsidRPr="00357EBF">
        <w:t>The ESCs noted that the methods used by the submission to determine testing costs reflect a scenario where eligible patients are only tested once following disease progression after 1 or 2 prior lines of therapy. This would not be consistent with the proposed clinical practice and MBS restriction, which allows testing at each episode of disease progression following first line treatment. As such, the ESCs considered that costs of testing applied in the model were underestimated. The ESCs considered the submission’s current approach did not adequately capture the likely test costs, as it did not consider likely test accuracy and retesting.</w:t>
      </w:r>
      <w:r w:rsidRPr="00357EBF">
        <w:rPr>
          <w:rFonts w:eastAsia="Calibri" w:cs="Calibri"/>
        </w:rPr>
        <w:t xml:space="preserve"> The ESCs considered that the economic model should be revised to capture the impact of incorporating 6-monthly testing for patients who previously tested negative.</w:t>
      </w:r>
    </w:p>
    <w:p w14:paraId="59196E1F" w14:textId="0B5C7B40" w:rsidR="00B53D0C" w:rsidRPr="00357EBF" w:rsidRDefault="5BCC7889" w:rsidP="00357EBF">
      <w:pPr>
        <w:rPr>
          <w:rFonts w:eastAsia="Calibri" w:cs="Calibri"/>
        </w:rPr>
      </w:pPr>
      <w:r w:rsidRPr="00357EBF">
        <w:rPr>
          <w:rFonts w:eastAsia="Calibri" w:cs="Calibri"/>
        </w:rPr>
        <w:t xml:space="preserve">The ESCs also requested an additional sensitivity analysis, post-ESCs, to show the impact of accounting for additional testing costs for patients who undergo re-testing following progression. The ESCs noted that there was uncertainty regarding the proportion of patients likely to test positive at the point of first progression and for each subsequent progression, as the EMERALD trial included patients who had multiple lines of previous treatments but </w:t>
      </w:r>
      <w:r w:rsidRPr="56F9DD4F">
        <w:rPr>
          <w:rFonts w:eastAsia="Calibri" w:cs="Calibri"/>
          <w:i/>
          <w:iCs/>
        </w:rPr>
        <w:t>ESR1</w:t>
      </w:r>
      <w:r w:rsidRPr="00357EBF">
        <w:rPr>
          <w:rFonts w:eastAsia="Calibri" w:cs="Calibri"/>
        </w:rPr>
        <w:t xml:space="preserve"> testing results were only reported at study entry. The ESCs considered it was likely that there would be a diminishing number of additional patients who test positive at each subsequent progression, and this should be accounted for in the estimated cost of testing. The ESCs considered that the data from the PALOMA-3 trial (</w:t>
      </w:r>
      <w:proofErr w:type="spellStart"/>
      <w:r w:rsidRPr="00357EBF">
        <w:rPr>
          <w:rFonts w:eastAsia="Calibri" w:cs="Calibri"/>
        </w:rPr>
        <w:t>fulvestrant</w:t>
      </w:r>
      <w:proofErr w:type="spellEnd"/>
      <w:r w:rsidRPr="00357EBF">
        <w:rPr>
          <w:rFonts w:eastAsia="Calibri" w:cs="Calibri"/>
        </w:rPr>
        <w:t xml:space="preserve"> plus palbociclib vs </w:t>
      </w:r>
      <w:proofErr w:type="spellStart"/>
      <w:r w:rsidRPr="00357EBF">
        <w:rPr>
          <w:rFonts w:eastAsia="Calibri" w:cs="Calibri"/>
        </w:rPr>
        <w:t>fulvestrant</w:t>
      </w:r>
      <w:proofErr w:type="spellEnd"/>
      <w:r w:rsidRPr="00357EBF">
        <w:rPr>
          <w:rFonts w:eastAsia="Calibri" w:cs="Calibri"/>
        </w:rPr>
        <w:t xml:space="preserve"> alone) may be informative, as rates of </w:t>
      </w:r>
      <w:r w:rsidRPr="56F9DD4F">
        <w:rPr>
          <w:rFonts w:eastAsia="Calibri" w:cs="Calibri"/>
          <w:i/>
          <w:iCs/>
        </w:rPr>
        <w:t>ESR1</w:t>
      </w:r>
      <w:r w:rsidRPr="00357EBF">
        <w:rPr>
          <w:rFonts w:eastAsia="Calibri" w:cs="Calibri"/>
        </w:rPr>
        <w:t xml:space="preserve"> variants were reported at baseline (25.1%) and end of treatment (31.3%, which would most closely match patients entering the EMERALD trial)</w:t>
      </w:r>
      <w:r w:rsidR="00B53D0C" w:rsidRPr="00357EBF">
        <w:rPr>
          <w:rFonts w:eastAsia="Calibri" w:cs="Calibri"/>
          <w:vertAlign w:val="superscript"/>
        </w:rPr>
        <w:footnoteReference w:id="25"/>
      </w:r>
      <w:r w:rsidRPr="00357EBF">
        <w:rPr>
          <w:rFonts w:eastAsia="Calibri" w:cs="Calibri"/>
        </w:rPr>
        <w:t xml:space="preserve">. The ESCs noted results of this sensitivity analysis showed that the ICER increased by </w:t>
      </w:r>
      <w:r w:rsidR="7C16AFAD" w:rsidRPr="00AD260D">
        <w:rPr>
          <w:rFonts w:eastAsia="Calibri" w:cs="Calibri"/>
          <w:b/>
          <w:bCs/>
        </w:rPr>
        <w:t>Redacted</w:t>
      </w:r>
      <w:r w:rsidRPr="00AD260D">
        <w:rPr>
          <w:rFonts w:eastAsia="Calibri" w:cs="Calibri"/>
        </w:rPr>
        <w:t>%, from $</w:t>
      </w:r>
      <w:r w:rsidR="12BF1702" w:rsidRPr="00AD260D">
        <w:rPr>
          <w:rFonts w:eastAsia="Calibri" w:cs="Calibri"/>
        </w:rPr>
        <w:t>55,000 to &lt; $75,000</w:t>
      </w:r>
      <w:r w:rsidRPr="00AD260D">
        <w:rPr>
          <w:rFonts w:eastAsia="Calibri" w:cs="Calibri"/>
        </w:rPr>
        <w:t xml:space="preserve"> to $</w:t>
      </w:r>
      <w:r w:rsidR="66CBD1CF" w:rsidRPr="00AD260D">
        <w:rPr>
          <w:rFonts w:eastAsia="Calibri" w:cs="Calibri"/>
        </w:rPr>
        <w:t>75,000 to &lt; $95,0</w:t>
      </w:r>
      <w:r w:rsidR="66CBD1CF" w:rsidRPr="00801FC5">
        <w:rPr>
          <w:rFonts w:eastAsia="Calibri" w:cs="Calibri"/>
        </w:rPr>
        <w:t>00</w:t>
      </w:r>
      <w:r w:rsidRPr="00801FC5">
        <w:rPr>
          <w:rFonts w:eastAsia="Calibri" w:cs="Calibri"/>
        </w:rPr>
        <w:t xml:space="preserve"> per</w:t>
      </w:r>
      <w:r w:rsidRPr="00357EBF">
        <w:rPr>
          <w:rFonts w:eastAsia="Calibri" w:cs="Calibri"/>
        </w:rPr>
        <w:t xml:space="preserve"> QALY gained (Table</w:t>
      </w:r>
      <w:r w:rsidR="624A2EC1">
        <w:rPr>
          <w:rFonts w:eastAsia="Calibri" w:cs="Calibri"/>
        </w:rPr>
        <w:t xml:space="preserve"> </w:t>
      </w:r>
      <w:r w:rsidRPr="00357EBF">
        <w:rPr>
          <w:rFonts w:eastAsia="Calibri" w:cs="Calibri"/>
        </w:rPr>
        <w:t xml:space="preserve">12). </w:t>
      </w:r>
    </w:p>
    <w:p w14:paraId="3FA27241" w14:textId="77777777" w:rsidR="00B53D0C" w:rsidRPr="00357EBF" w:rsidRDefault="00B53D0C" w:rsidP="00357EBF">
      <w:pPr>
        <w:rPr>
          <w:rFonts w:eastAsia="Calibri" w:cs="Calibri"/>
        </w:rPr>
      </w:pPr>
      <w:r w:rsidRPr="00357EBF">
        <w:rPr>
          <w:rFonts w:eastAsia="Calibri" w:cs="Calibri"/>
        </w:rPr>
        <w:t xml:space="preserve">The ESCs requested additional analysis, post-ESCs, using the whole trial population from EMERALD versus the current use of only the </w:t>
      </w:r>
      <w:r w:rsidRPr="00357EBF">
        <w:rPr>
          <w:rFonts w:eastAsia="Calibri" w:cs="Calibri"/>
          <w:i/>
          <w:iCs/>
        </w:rPr>
        <w:t>ESR1</w:t>
      </w:r>
      <w:r w:rsidRPr="00357EBF">
        <w:rPr>
          <w:rFonts w:eastAsia="Calibri" w:cs="Calibri"/>
        </w:rPr>
        <w:t xml:space="preserve"> variant subgroup to show the extent to which the ICERs would increase from the presented base case as the extent of treatment effect variation due to this biomarker is uncertain. The ESCs noted the evaluation group’s advice that this was not possible as the submission’s economic model was structured based on the </w:t>
      </w:r>
      <w:r w:rsidRPr="00357EBF">
        <w:rPr>
          <w:rFonts w:eastAsia="Calibri" w:cs="Calibri"/>
          <w:i/>
          <w:iCs/>
        </w:rPr>
        <w:t xml:space="preserve">ESR1 </w:t>
      </w:r>
      <w:r w:rsidRPr="00357EBF">
        <w:rPr>
          <w:rFonts w:eastAsia="Calibri" w:cs="Calibri"/>
        </w:rPr>
        <w:t>variant subgroup only.</w:t>
      </w:r>
    </w:p>
    <w:p w14:paraId="5605FD08" w14:textId="100CB588" w:rsidR="00B53D0C" w:rsidRPr="00357EBF" w:rsidRDefault="5BCC7889" w:rsidP="00357EBF">
      <w:pPr>
        <w:rPr>
          <w:rFonts w:eastAsia="Calibri" w:cs="Calibri"/>
        </w:rPr>
      </w:pPr>
      <w:r w:rsidRPr="56F9DD4F">
        <w:rPr>
          <w:rFonts w:eastAsia="Calibri" w:cs="Calibri"/>
        </w:rPr>
        <w:lastRenderedPageBreak/>
        <w:t xml:space="preserve">The ESCs noted that the submission presented an estimated cost to the MBS of </w:t>
      </w:r>
      <w:r w:rsidRPr="56F9DD4F">
        <w:rPr>
          <w:rFonts w:eastAsia="Calibri" w:cs="Calibri"/>
          <w:i/>
          <w:iCs/>
        </w:rPr>
        <w:t>ESR1</w:t>
      </w:r>
      <w:r w:rsidRPr="56F9DD4F">
        <w:rPr>
          <w:rFonts w:eastAsia="Calibri" w:cs="Calibri"/>
        </w:rPr>
        <w:t xml:space="preserve"> testing based on a unit </w:t>
      </w:r>
      <w:r w:rsidRPr="00AD260D">
        <w:rPr>
          <w:rFonts w:eastAsia="Calibri" w:cs="Calibri"/>
        </w:rPr>
        <w:t>price of $1,500 per test. The ESCs noted that the commentary corrected the financial estimates in the submission which underestimated the total test numbers and applied an 80% MBS benefit to costs on the basis that all items are out of hospital rather than an 85% benefit, with the greatest permissible gap ($102.40) also applied (cost to MBS per test=$1,397.60). The ESCs noted that, after correction</w:t>
      </w:r>
      <w:r w:rsidRPr="56F9DD4F">
        <w:rPr>
          <w:rFonts w:eastAsia="Calibri" w:cs="Calibri"/>
        </w:rPr>
        <w:t xml:space="preserve">, the commentary estimated the total test numbers to be </w:t>
      </w:r>
      <w:r w:rsidR="0C0635CB" w:rsidRPr="15370F7B">
        <w:rPr>
          <w:rFonts w:eastAsia="Calibri" w:cs="Calibri"/>
        </w:rPr>
        <w:t>500 to &lt; 5,000</w:t>
      </w:r>
      <w:r w:rsidRPr="56F9DD4F">
        <w:rPr>
          <w:rFonts w:eastAsia="Calibri" w:cs="Calibri"/>
        </w:rPr>
        <w:t xml:space="preserve"> in Year 1 and around </w:t>
      </w:r>
      <w:r w:rsidR="658C1D37" w:rsidRPr="15370F7B">
        <w:rPr>
          <w:rFonts w:eastAsia="Calibri" w:cs="Calibri"/>
        </w:rPr>
        <w:t>500 to &lt; 5,000</w:t>
      </w:r>
      <w:r w:rsidRPr="56F9DD4F">
        <w:rPr>
          <w:rFonts w:eastAsia="Calibri" w:cs="Calibri"/>
        </w:rPr>
        <w:t xml:space="preserve"> per year in Years 2-6 of listing. The net cost to the MBS was estimated to be $</w:t>
      </w:r>
      <w:r w:rsidR="29225AA7">
        <w:t>10 million to &lt; $20 million</w:t>
      </w:r>
      <w:r w:rsidRPr="56F9DD4F">
        <w:rPr>
          <w:rFonts w:eastAsia="Calibri" w:cs="Calibri"/>
        </w:rPr>
        <w:t xml:space="preserve"> in the first 6 years of listing. </w:t>
      </w:r>
    </w:p>
    <w:p w14:paraId="3EC8F871" w14:textId="75FCDEA5" w:rsidR="00B53D0C" w:rsidRPr="00357EBF" w:rsidRDefault="00B53D0C" w:rsidP="00357EBF">
      <w:pPr>
        <w:rPr>
          <w:rFonts w:eastAsia="Calibri" w:cs="Calibri"/>
        </w:rPr>
      </w:pPr>
      <w:r w:rsidRPr="00357EBF">
        <w:rPr>
          <w:rFonts w:eastAsia="Calibri" w:cs="Calibri"/>
        </w:rPr>
        <w:t xml:space="preserve">The ESCs requested additional sensitivity analyses, post-ESCs, using alternative unit prices for </w:t>
      </w:r>
      <w:r w:rsidRPr="00357EBF">
        <w:rPr>
          <w:rFonts w:eastAsia="Calibri" w:cs="Calibri"/>
          <w:i/>
          <w:iCs/>
        </w:rPr>
        <w:t xml:space="preserve">ESR1 </w:t>
      </w:r>
      <w:r w:rsidRPr="00357EBF">
        <w:rPr>
          <w:rFonts w:eastAsia="Calibri" w:cs="Calibri"/>
        </w:rPr>
        <w:t>testing suggested by the department. Results are included in Table</w:t>
      </w:r>
      <w:r w:rsidR="0070199E">
        <w:rPr>
          <w:rFonts w:eastAsia="Calibri" w:cs="Calibri"/>
        </w:rPr>
        <w:t xml:space="preserve"> </w:t>
      </w:r>
      <w:r w:rsidRPr="00357EBF">
        <w:rPr>
          <w:rFonts w:eastAsia="Calibri" w:cs="Calibri"/>
        </w:rPr>
        <w:t xml:space="preserve">15. </w:t>
      </w:r>
    </w:p>
    <w:p w14:paraId="2BBE611C" w14:textId="77777777" w:rsidR="00357EBF" w:rsidRPr="003A793E" w:rsidRDefault="00357EBF" w:rsidP="00252706">
      <w:pPr>
        <w:pStyle w:val="Heading2"/>
        <w:numPr>
          <w:ilvl w:val="0"/>
          <w:numId w:val="48"/>
        </w:numPr>
        <w:spacing w:after="240"/>
        <w:ind w:hanging="720"/>
        <w:rPr>
          <w:rFonts w:ascii="Franklin Gothic Medium" w:hAnsi="Franklin Gothic Medium"/>
          <w:b w:val="0"/>
          <w:i w:val="0"/>
          <w:snapToGrid/>
          <w:sz w:val="32"/>
          <w:szCs w:val="26"/>
        </w:rPr>
      </w:pPr>
      <w:bookmarkStart w:id="67" w:name="_Hlk193984667"/>
      <w:r w:rsidRPr="003A793E">
        <w:rPr>
          <w:rFonts w:ascii="Franklin Gothic Medium" w:hAnsi="Franklin Gothic Medium"/>
          <w:b w:val="0"/>
          <w:i w:val="0"/>
          <w:snapToGrid/>
          <w:sz w:val="32"/>
          <w:szCs w:val="26"/>
        </w:rPr>
        <w:t>Applicant comments on MSAC’s Public Summary Document</w:t>
      </w:r>
    </w:p>
    <w:p w14:paraId="6C0676FE" w14:textId="0F6FFC25" w:rsidR="00061950" w:rsidRPr="00445436" w:rsidRDefault="00445436" w:rsidP="00357EBF">
      <w:pPr>
        <w:spacing w:after="240"/>
      </w:pPr>
      <w:r w:rsidRPr="00445436">
        <w:t xml:space="preserve">The </w:t>
      </w:r>
      <w:r w:rsidR="000201A3">
        <w:t>applicant did not have any</w:t>
      </w:r>
      <w:r w:rsidR="00061950" w:rsidRPr="00445436">
        <w:t xml:space="preserve"> comments</w:t>
      </w:r>
      <w:r w:rsidR="00F75208">
        <w:t>.</w:t>
      </w:r>
      <w:r w:rsidR="00061950" w:rsidRPr="00445436">
        <w:t xml:space="preserve">  </w:t>
      </w:r>
    </w:p>
    <w:p w14:paraId="38AB7CFA" w14:textId="77777777" w:rsidR="00357EBF" w:rsidRPr="003A793E" w:rsidRDefault="00357EBF" w:rsidP="00252706">
      <w:pPr>
        <w:pStyle w:val="Heading2"/>
        <w:numPr>
          <w:ilvl w:val="0"/>
          <w:numId w:val="48"/>
        </w:numPr>
        <w:spacing w:after="240"/>
        <w:ind w:hanging="720"/>
        <w:rPr>
          <w:rFonts w:ascii="Franklin Gothic Medium" w:hAnsi="Franklin Gothic Medium"/>
          <w:b w:val="0"/>
          <w:i w:val="0"/>
          <w:snapToGrid/>
          <w:sz w:val="32"/>
          <w:szCs w:val="26"/>
        </w:rPr>
      </w:pPr>
      <w:r w:rsidRPr="003A793E">
        <w:rPr>
          <w:rFonts w:ascii="Franklin Gothic Medium" w:hAnsi="Franklin Gothic Medium"/>
          <w:b w:val="0"/>
          <w:i w:val="0"/>
          <w:snapToGrid/>
          <w:sz w:val="32"/>
          <w:szCs w:val="26"/>
        </w:rPr>
        <w:t>Further information on MSAC</w:t>
      </w:r>
    </w:p>
    <w:p w14:paraId="1B880BB4" w14:textId="753A4B10" w:rsidR="00B53D0C" w:rsidRPr="00357EBF" w:rsidRDefault="00357EBF" w:rsidP="00357EBF">
      <w:pPr>
        <w:pStyle w:val="BodyText"/>
        <w:rPr>
          <w:b/>
          <w:bCs/>
          <w:i/>
          <w:iCs/>
        </w:rPr>
      </w:pPr>
      <w:r w:rsidRPr="00F309FA">
        <w:rPr>
          <w:bCs/>
          <w:iCs/>
        </w:rPr>
        <w:t xml:space="preserve">MSAC Terms of Reference and other information are available on the MSAC Website: </w:t>
      </w:r>
      <w:hyperlink r:id="rId25" w:tooltip="Link to the MSAC website" w:history="1">
        <w:r w:rsidRPr="000D2098">
          <w:rPr>
            <w:rStyle w:val="Hyperlink"/>
            <w:iCs/>
            <w:color w:val="007BB8"/>
          </w:rPr>
          <w:t>visit the MSAC website</w:t>
        </w:r>
      </w:hyperlink>
      <w:bookmarkEnd w:id="67"/>
    </w:p>
    <w:sectPr w:rsidR="00B53D0C" w:rsidRPr="00357EB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uthor" w:initials="A">
    <w:p w14:paraId="4C917C56" w14:textId="77777777" w:rsidR="00126F4D" w:rsidRDefault="00126F4D" w:rsidP="00126F4D">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917C5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917C56" w16cid:durableId="157DC7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ABA4E" w14:textId="77777777" w:rsidR="00FB6750" w:rsidRDefault="00FB6750" w:rsidP="00BA3306">
      <w:pPr>
        <w:spacing w:before="0" w:after="0"/>
      </w:pPr>
      <w:r>
        <w:separator/>
      </w:r>
    </w:p>
    <w:p w14:paraId="0A4A082C" w14:textId="77777777" w:rsidR="00FB6750" w:rsidRDefault="00FB6750"/>
  </w:endnote>
  <w:endnote w:type="continuationSeparator" w:id="0">
    <w:p w14:paraId="03F47467" w14:textId="77777777" w:rsidR="00FB6750" w:rsidRDefault="00FB6750" w:rsidP="00BA3306">
      <w:pPr>
        <w:spacing w:before="0" w:after="0"/>
      </w:pPr>
      <w:r>
        <w:continuationSeparator/>
      </w:r>
    </w:p>
    <w:p w14:paraId="54224A57" w14:textId="77777777" w:rsidR="00FB6750" w:rsidRDefault="00FB6750"/>
  </w:endnote>
  <w:endnote w:type="continuationNotice" w:id="1">
    <w:p w14:paraId="61974EA5" w14:textId="77777777" w:rsidR="00FB6750" w:rsidRDefault="00FB67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41B8" w14:textId="77777777" w:rsidR="003A415B" w:rsidRDefault="003A4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872794"/>
      <w:docPartObj>
        <w:docPartGallery w:val="Page Numbers (Bottom of Page)"/>
        <w:docPartUnique/>
      </w:docPartObj>
    </w:sdtPr>
    <w:sdtEndPr>
      <w:rPr>
        <w:noProof/>
      </w:rPr>
    </w:sdtEndPr>
    <w:sdtContent>
      <w:p w14:paraId="7A4683E6" w14:textId="063E034C" w:rsidR="00F47562" w:rsidRDefault="00F475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F042" w14:textId="77777777" w:rsidR="003A415B" w:rsidRDefault="003A4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C06F" w14:textId="77777777" w:rsidR="00FB6750" w:rsidRDefault="00FB6750" w:rsidP="00BA3306">
      <w:pPr>
        <w:spacing w:before="0" w:after="0"/>
      </w:pPr>
      <w:r>
        <w:separator/>
      </w:r>
    </w:p>
    <w:p w14:paraId="68CA2562" w14:textId="77777777" w:rsidR="00FB6750" w:rsidRDefault="00FB6750"/>
  </w:footnote>
  <w:footnote w:type="continuationSeparator" w:id="0">
    <w:p w14:paraId="2CC10D17" w14:textId="77777777" w:rsidR="00FB6750" w:rsidRDefault="00FB6750" w:rsidP="00BA3306">
      <w:pPr>
        <w:spacing w:before="0" w:after="0"/>
      </w:pPr>
      <w:r>
        <w:continuationSeparator/>
      </w:r>
    </w:p>
    <w:p w14:paraId="051FFAC9" w14:textId="77777777" w:rsidR="00FB6750" w:rsidRDefault="00FB6750"/>
  </w:footnote>
  <w:footnote w:type="continuationNotice" w:id="1">
    <w:p w14:paraId="79E10C54" w14:textId="77777777" w:rsidR="00FB6750" w:rsidRDefault="00FB6750">
      <w:pPr>
        <w:spacing w:before="0" w:after="0"/>
      </w:pPr>
    </w:p>
  </w:footnote>
  <w:footnote w:id="2">
    <w:p w14:paraId="3CDC4991" w14:textId="3456AD2B" w:rsidR="00754F3E" w:rsidRDefault="00754F3E">
      <w:pPr>
        <w:pStyle w:val="FootnoteText"/>
      </w:pPr>
      <w:r>
        <w:rPr>
          <w:rStyle w:val="FootnoteReference"/>
        </w:rPr>
        <w:footnoteRef/>
      </w:r>
      <w:r>
        <w:t xml:space="preserve"> </w:t>
      </w:r>
      <w:r w:rsidR="00112AA2" w:rsidRPr="003F3979">
        <w:t>Information will be unredacted in full when the TGA Australian Public Assessment Report (</w:t>
      </w:r>
      <w:proofErr w:type="spellStart"/>
      <w:r w:rsidR="00112AA2" w:rsidRPr="003F3979">
        <w:t>AusPAR</w:t>
      </w:r>
      <w:proofErr w:type="spellEnd"/>
      <w:r w:rsidR="00112AA2" w:rsidRPr="003F3979">
        <w:t>) is available</w:t>
      </w:r>
      <w:r w:rsidR="00112AA2">
        <w:t>.</w:t>
      </w:r>
    </w:p>
  </w:footnote>
  <w:footnote w:id="3">
    <w:p w14:paraId="2F681D80" w14:textId="014D77E8" w:rsidR="00BC55C1" w:rsidRDefault="00BC55C1">
      <w:pPr>
        <w:pStyle w:val="FootnoteText"/>
      </w:pPr>
      <w:r>
        <w:rPr>
          <w:rStyle w:val="FootnoteReference"/>
        </w:rPr>
        <w:footnoteRef/>
      </w:r>
      <w:r>
        <w:t xml:space="preserve"> </w:t>
      </w:r>
      <w:r w:rsidRPr="00754F3E">
        <w:t>Information will be unredacted in full when the product has been approved by the Therapeutic Goods Administration (TGA) and listed on the Australian Register of Therapeutic Goods (ARTG)</w:t>
      </w:r>
    </w:p>
  </w:footnote>
  <w:footnote w:id="4">
    <w:p w14:paraId="141D036D" w14:textId="5B279CF9" w:rsidR="00005751" w:rsidRPr="0039629C" w:rsidRDefault="00005751" w:rsidP="00005751">
      <w:pPr>
        <w:pStyle w:val="FooterTableFigure"/>
      </w:pPr>
      <w:r>
        <w:rPr>
          <w:rStyle w:val="FootnoteReference"/>
        </w:rPr>
        <w:footnoteRef/>
      </w:r>
      <w:r>
        <w:t xml:space="preserve"> </w:t>
      </w:r>
      <w:hyperlink r:id="rId1" w:history="1">
        <w:r w:rsidRPr="0039629C">
          <w:rPr>
            <w:rStyle w:val="Hyperlink"/>
            <w:rFonts w:eastAsiaTheme="majorEastAsia"/>
            <w:color w:val="auto"/>
          </w:rPr>
          <w:t>MSAC 1604 - PIK3CA mutation testing for postmenopausal women or men with advanced breast cancer who have progressed during or following treatment with an aromatase inhibitor</w:t>
        </w:r>
      </w:hyperlink>
      <w:r w:rsidRPr="0039629C">
        <w:rPr>
          <w:rStyle w:val="Hyperlink"/>
          <w:rFonts w:eastAsiaTheme="majorEastAsia"/>
          <w:color w:val="auto"/>
        </w:rPr>
        <w:t xml:space="preserve"> </w:t>
      </w:r>
    </w:p>
  </w:footnote>
  <w:footnote w:id="5">
    <w:p w14:paraId="75B1F595" w14:textId="58CA5872" w:rsidR="00005751" w:rsidRDefault="00005751">
      <w:pPr>
        <w:pStyle w:val="FootnoteText"/>
      </w:pPr>
      <w:r w:rsidRPr="0039629C">
        <w:rPr>
          <w:rStyle w:val="Hyperlink"/>
          <w:rFonts w:ascii="Arial Narrow" w:eastAsiaTheme="majorEastAsia" w:hAnsi="Arial Narrow" w:cs="Times New Roman"/>
          <w:snapToGrid w:val="0"/>
          <w:color w:val="auto"/>
          <w:szCs w:val="22"/>
          <w:vertAlign w:val="superscript"/>
          <w:lang w:eastAsia="en-GB"/>
        </w:rPr>
        <w:footnoteRef/>
      </w:r>
      <w:r w:rsidRPr="0039629C">
        <w:rPr>
          <w:rStyle w:val="Hyperlink"/>
          <w:rFonts w:ascii="Arial Narrow" w:eastAsiaTheme="majorEastAsia" w:hAnsi="Arial Narrow" w:cs="Times New Roman"/>
          <w:snapToGrid w:val="0"/>
          <w:color w:val="auto"/>
          <w:szCs w:val="22"/>
          <w:lang w:eastAsia="en-GB"/>
        </w:rPr>
        <w:t xml:space="preserve"> </w:t>
      </w:r>
      <w:r w:rsidR="00D35E61" w:rsidRPr="0039629C">
        <w:rPr>
          <w:rStyle w:val="Hyperlink"/>
          <w:rFonts w:ascii="Arial Narrow" w:eastAsiaTheme="majorEastAsia" w:hAnsi="Arial Narrow" w:cs="Times New Roman"/>
          <w:snapToGrid w:val="0"/>
          <w:color w:val="auto"/>
          <w:szCs w:val="22"/>
          <w:lang w:eastAsia="en-GB"/>
        </w:rPr>
        <w:t xml:space="preserve">MSAC 1783 - </w:t>
      </w:r>
      <w:hyperlink r:id="rId2" w:history="1">
        <w:r w:rsidRPr="0039629C">
          <w:rPr>
            <w:rStyle w:val="Hyperlink"/>
            <w:rFonts w:ascii="Arial Narrow" w:eastAsiaTheme="majorEastAsia" w:hAnsi="Arial Narrow" w:cs="Times New Roman"/>
            <w:snapToGrid w:val="0"/>
            <w:color w:val="auto"/>
            <w:szCs w:val="22"/>
            <w:lang w:eastAsia="en-GB"/>
          </w:rPr>
          <w:t xml:space="preserve">Genetic testing to detect PIK3CA mutations in patients with hormone receptor (HR)-positive, HER-2 negative, locally advanced or metastatic breast cancer, to determine eligibility for treatment with PBS subsidised </w:t>
        </w:r>
        <w:proofErr w:type="spellStart"/>
        <w:r w:rsidRPr="0039629C">
          <w:rPr>
            <w:rStyle w:val="Hyperlink"/>
            <w:rFonts w:ascii="Arial Narrow" w:eastAsiaTheme="majorEastAsia" w:hAnsi="Arial Narrow" w:cs="Times New Roman"/>
            <w:snapToGrid w:val="0"/>
            <w:color w:val="auto"/>
            <w:szCs w:val="22"/>
            <w:lang w:eastAsia="en-GB"/>
          </w:rPr>
          <w:t>inavolisib</w:t>
        </w:r>
        <w:proofErr w:type="spellEnd"/>
      </w:hyperlink>
    </w:p>
  </w:footnote>
  <w:footnote w:id="6">
    <w:p w14:paraId="7676B31F" w14:textId="77777777" w:rsidR="00C905D6" w:rsidRPr="0019409D" w:rsidRDefault="00C905D6" w:rsidP="00C905D6">
      <w:pPr>
        <w:pStyle w:val="Bibliography"/>
        <w:spacing w:after="120"/>
        <w:rPr>
          <w:sz w:val="18"/>
          <w:szCs w:val="18"/>
        </w:rPr>
      </w:pPr>
      <w:r w:rsidRPr="0019409D">
        <w:rPr>
          <w:rStyle w:val="FootnoteReference"/>
          <w:sz w:val="18"/>
          <w:szCs w:val="18"/>
        </w:rPr>
        <w:footnoteRef/>
      </w:r>
      <w:r w:rsidRPr="0019409D">
        <w:rPr>
          <w:sz w:val="18"/>
          <w:szCs w:val="18"/>
        </w:rPr>
        <w:t xml:space="preserve"> </w:t>
      </w:r>
      <w:r w:rsidRPr="0019409D">
        <w:rPr>
          <w:rFonts w:ascii="Arial Narrow" w:hAnsi="Arial Narrow"/>
          <w:sz w:val="18"/>
          <w:szCs w:val="18"/>
        </w:rPr>
        <w:t xml:space="preserve">Cancer Australia. (2023). </w:t>
      </w:r>
      <w:r w:rsidRPr="0019409D">
        <w:rPr>
          <w:rFonts w:ascii="Arial Narrow" w:hAnsi="Arial Narrow"/>
          <w:i/>
          <w:iCs/>
          <w:sz w:val="18"/>
          <w:szCs w:val="18"/>
        </w:rPr>
        <w:t>Breast cancer in Australia statistics</w:t>
      </w:r>
      <w:r w:rsidRPr="0019409D">
        <w:rPr>
          <w:rFonts w:ascii="Arial Narrow" w:hAnsi="Arial Narrow"/>
          <w:sz w:val="18"/>
          <w:szCs w:val="18"/>
        </w:rPr>
        <w:t>. https://www.canceraustralia.gov.au/cancer-types/breast-cancer/statistics</w:t>
      </w:r>
    </w:p>
  </w:footnote>
  <w:footnote w:id="7">
    <w:p w14:paraId="41454437" w14:textId="48843F25" w:rsidR="00C905D6" w:rsidRDefault="00C905D6" w:rsidP="005B1086">
      <w:pPr>
        <w:pStyle w:val="Bibliography"/>
        <w:spacing w:after="120"/>
      </w:pPr>
      <w:r w:rsidRPr="0019409D">
        <w:rPr>
          <w:rStyle w:val="FootnoteReference"/>
          <w:rFonts w:ascii="Arial Narrow" w:hAnsi="Arial Narrow"/>
          <w:sz w:val="18"/>
          <w:szCs w:val="18"/>
        </w:rPr>
        <w:footnoteRef/>
      </w:r>
      <w:r w:rsidRPr="0019409D">
        <w:rPr>
          <w:rFonts w:ascii="Arial Narrow" w:hAnsi="Arial Narrow"/>
          <w:sz w:val="18"/>
          <w:szCs w:val="18"/>
        </w:rPr>
        <w:t xml:space="preserve"> Harbeck, N., </w:t>
      </w:r>
      <w:proofErr w:type="spellStart"/>
      <w:r w:rsidRPr="0019409D">
        <w:rPr>
          <w:rFonts w:ascii="Arial Narrow" w:hAnsi="Arial Narrow"/>
          <w:sz w:val="18"/>
          <w:szCs w:val="18"/>
        </w:rPr>
        <w:t>Penault</w:t>
      </w:r>
      <w:proofErr w:type="spellEnd"/>
      <w:r w:rsidRPr="0019409D">
        <w:rPr>
          <w:rFonts w:ascii="Arial Narrow" w:hAnsi="Arial Narrow"/>
          <w:sz w:val="18"/>
          <w:szCs w:val="18"/>
        </w:rPr>
        <w:t xml:space="preserve">-Llorca, F., Cortes, J., et al. (2019). Breast cancer. </w:t>
      </w:r>
      <w:r w:rsidRPr="0019409D">
        <w:rPr>
          <w:rFonts w:ascii="Arial Narrow" w:hAnsi="Arial Narrow"/>
          <w:i/>
          <w:iCs/>
          <w:sz w:val="18"/>
          <w:szCs w:val="18"/>
        </w:rPr>
        <w:t>Nature Reviews Disease Primers</w:t>
      </w:r>
      <w:r w:rsidRPr="0019409D">
        <w:rPr>
          <w:rFonts w:ascii="Arial Narrow" w:hAnsi="Arial Narrow"/>
          <w:sz w:val="18"/>
          <w:szCs w:val="18"/>
        </w:rPr>
        <w:t xml:space="preserve">, </w:t>
      </w:r>
      <w:r w:rsidRPr="0019409D">
        <w:rPr>
          <w:rFonts w:ascii="Arial Narrow" w:hAnsi="Arial Narrow"/>
          <w:i/>
          <w:iCs/>
          <w:sz w:val="18"/>
          <w:szCs w:val="18"/>
        </w:rPr>
        <w:t>5</w:t>
      </w:r>
      <w:r w:rsidRPr="0019409D">
        <w:rPr>
          <w:rFonts w:ascii="Arial Narrow" w:hAnsi="Arial Narrow"/>
          <w:sz w:val="18"/>
          <w:szCs w:val="18"/>
        </w:rPr>
        <w:t>(1), 1–31. https://doi.org/10.1038/s41572-019-0111-2</w:t>
      </w:r>
    </w:p>
  </w:footnote>
  <w:footnote w:id="8">
    <w:p w14:paraId="1956D809" w14:textId="77777777" w:rsidR="00C905D6" w:rsidRPr="008630E8" w:rsidRDefault="00C905D6" w:rsidP="00C905D6">
      <w:pPr>
        <w:pStyle w:val="Bibliography"/>
        <w:contextualSpacing/>
        <w:rPr>
          <w:rFonts w:ascii="Arial Narrow" w:hAnsi="Arial Narrow"/>
          <w:sz w:val="18"/>
          <w:szCs w:val="18"/>
          <w:lang w:val="pt-BR"/>
        </w:rPr>
      </w:pPr>
      <w:r w:rsidRPr="0019409D">
        <w:rPr>
          <w:rStyle w:val="FootnoteReference"/>
          <w:rFonts w:ascii="Arial Narrow" w:hAnsi="Arial Narrow"/>
          <w:sz w:val="18"/>
          <w:szCs w:val="18"/>
        </w:rPr>
        <w:footnoteRef/>
      </w:r>
      <w:r w:rsidRPr="00E75F9A">
        <w:rPr>
          <w:rFonts w:ascii="Arial Narrow" w:hAnsi="Arial Narrow"/>
          <w:sz w:val="18"/>
          <w:szCs w:val="18"/>
          <w:lang w:val="fr-CH"/>
        </w:rPr>
        <w:t xml:space="preserve"> </w:t>
      </w:r>
      <w:r w:rsidRPr="00E75F9A">
        <w:rPr>
          <w:rFonts w:ascii="Arial Narrow" w:hAnsi="Arial Narrow"/>
          <w:noProof/>
          <w:sz w:val="18"/>
          <w:szCs w:val="18"/>
          <w:lang w:val="fr-CH"/>
        </w:rPr>
        <w:t xml:space="preserve">Howlader, N., Altekruse, S. F., Li, C. I., Chen, V. W., Clarke, C. A., &amp; et al. </w:t>
      </w:r>
      <w:r w:rsidRPr="0019409D">
        <w:rPr>
          <w:rFonts w:ascii="Arial Narrow" w:hAnsi="Arial Narrow"/>
          <w:noProof/>
          <w:sz w:val="18"/>
          <w:szCs w:val="18"/>
        </w:rPr>
        <w:t xml:space="preserve">(2014). US incidence of breast cancer subtypes defined by joint hormone receptor and HER2 status. </w:t>
      </w:r>
      <w:r w:rsidRPr="008630E8">
        <w:rPr>
          <w:rFonts w:ascii="Arial Narrow" w:hAnsi="Arial Narrow"/>
          <w:i/>
          <w:sz w:val="18"/>
          <w:szCs w:val="18"/>
          <w:lang w:val="pt-BR"/>
        </w:rPr>
        <w:t>J Natl Cancer Inst</w:t>
      </w:r>
      <w:r w:rsidRPr="008630E8">
        <w:rPr>
          <w:rFonts w:ascii="Arial Narrow" w:hAnsi="Arial Narrow"/>
          <w:sz w:val="18"/>
          <w:szCs w:val="18"/>
          <w:lang w:val="pt-BR"/>
        </w:rPr>
        <w:t>, 106(5):dju055.</w:t>
      </w:r>
    </w:p>
  </w:footnote>
  <w:footnote w:id="9">
    <w:p w14:paraId="31F80AF0" w14:textId="7BDF124F" w:rsidR="00C905D6" w:rsidRDefault="00C905D6" w:rsidP="007207BA">
      <w:pPr>
        <w:pStyle w:val="Bibliography"/>
        <w:spacing w:after="120"/>
      </w:pPr>
      <w:r w:rsidRPr="00217350">
        <w:rPr>
          <w:rStyle w:val="FootnoteReference"/>
          <w:rFonts w:ascii="Arial Narrow" w:hAnsi="Arial Narrow"/>
          <w:sz w:val="18"/>
          <w:szCs w:val="18"/>
        </w:rPr>
        <w:footnoteRef/>
      </w:r>
      <w:r w:rsidRPr="008630E8">
        <w:rPr>
          <w:rFonts w:ascii="Arial Narrow" w:hAnsi="Arial Narrow"/>
          <w:sz w:val="18"/>
          <w:szCs w:val="18"/>
          <w:lang w:val="pt-BR"/>
        </w:rPr>
        <w:t xml:space="preserve"> </w:t>
      </w:r>
      <w:r w:rsidRPr="008630E8">
        <w:rPr>
          <w:rFonts w:ascii="Arial Narrow" w:hAnsi="Arial Narrow"/>
          <w:sz w:val="18"/>
          <w:szCs w:val="18"/>
          <w:lang w:val="pt-BR"/>
        </w:rPr>
        <w:t xml:space="preserve">Gennari, </w:t>
      </w:r>
      <w:r w:rsidRPr="008630E8">
        <w:rPr>
          <w:rFonts w:ascii="Arial Narrow" w:hAnsi="Arial Narrow"/>
          <w:sz w:val="18"/>
          <w:szCs w:val="18"/>
          <w:lang w:val="pt-BR"/>
        </w:rPr>
        <w:t xml:space="preserve">A., André, F., Barrios, C. H., et al. </w:t>
      </w:r>
      <w:r w:rsidRPr="00217350">
        <w:rPr>
          <w:rFonts w:ascii="Arial Narrow" w:hAnsi="Arial Narrow"/>
          <w:sz w:val="18"/>
          <w:szCs w:val="18"/>
        </w:rPr>
        <w:t xml:space="preserve">(2021). ESMO Clinical Practice Guideline for the diagnosis, staging and treatment of patients with metastatic breast cancer. </w:t>
      </w:r>
      <w:r w:rsidRPr="00217350">
        <w:rPr>
          <w:rFonts w:ascii="Arial Narrow" w:hAnsi="Arial Narrow"/>
          <w:i/>
          <w:iCs/>
          <w:sz w:val="18"/>
          <w:szCs w:val="18"/>
        </w:rPr>
        <w:t>Annals of Oncology</w:t>
      </w:r>
      <w:r w:rsidRPr="00217350">
        <w:rPr>
          <w:rFonts w:ascii="Arial Narrow" w:hAnsi="Arial Narrow"/>
          <w:sz w:val="18"/>
          <w:szCs w:val="18"/>
        </w:rPr>
        <w:t xml:space="preserve">, </w:t>
      </w:r>
      <w:r w:rsidRPr="00217350">
        <w:rPr>
          <w:rFonts w:ascii="Arial Narrow" w:hAnsi="Arial Narrow"/>
          <w:i/>
          <w:iCs/>
          <w:sz w:val="18"/>
          <w:szCs w:val="18"/>
        </w:rPr>
        <w:t>32</w:t>
      </w:r>
      <w:r w:rsidRPr="00217350">
        <w:rPr>
          <w:rFonts w:ascii="Arial Narrow" w:hAnsi="Arial Narrow"/>
          <w:sz w:val="18"/>
          <w:szCs w:val="18"/>
        </w:rPr>
        <w:t xml:space="preserve">(12), 1475–1495. </w:t>
      </w:r>
      <w:hyperlink r:id="rId3" w:history="1">
        <w:r w:rsidR="007207BA" w:rsidRPr="000E1252">
          <w:rPr>
            <w:rStyle w:val="Hyperlink"/>
            <w:rFonts w:ascii="Arial Narrow" w:hAnsi="Arial Narrow"/>
            <w:color w:val="007BB8"/>
            <w:sz w:val="18"/>
            <w:szCs w:val="18"/>
          </w:rPr>
          <w:t>https://doi.org/10.1016/j.annonc.2021.09.019</w:t>
        </w:r>
      </w:hyperlink>
      <w:r w:rsidR="007207BA">
        <w:rPr>
          <w:rFonts w:ascii="Arial Narrow" w:hAnsi="Arial Narrow"/>
          <w:sz w:val="18"/>
          <w:szCs w:val="18"/>
        </w:rPr>
        <w:t xml:space="preserve">. </w:t>
      </w:r>
    </w:p>
  </w:footnote>
  <w:footnote w:id="10">
    <w:p w14:paraId="13C857C1" w14:textId="77777777" w:rsidR="00C905D6" w:rsidRPr="009F6204" w:rsidRDefault="00C905D6" w:rsidP="007207BA">
      <w:pPr>
        <w:pStyle w:val="Bibliography"/>
        <w:spacing w:before="0" w:after="0"/>
        <w:rPr>
          <w:rFonts w:ascii="Arial Narrow" w:hAnsi="Arial Narrow"/>
          <w:noProof/>
          <w:sz w:val="18"/>
          <w:szCs w:val="18"/>
        </w:rPr>
      </w:pPr>
      <w:r w:rsidRPr="009F6204">
        <w:rPr>
          <w:rStyle w:val="FootnoteReference"/>
          <w:rFonts w:ascii="Arial Narrow" w:hAnsi="Arial Narrow"/>
          <w:sz w:val="18"/>
          <w:szCs w:val="18"/>
        </w:rPr>
        <w:footnoteRef/>
      </w:r>
      <w:r w:rsidRPr="009F6204">
        <w:rPr>
          <w:rFonts w:ascii="Arial Narrow" w:hAnsi="Arial Narrow"/>
          <w:sz w:val="18"/>
          <w:szCs w:val="18"/>
        </w:rPr>
        <w:t xml:space="preserve"> </w:t>
      </w:r>
      <w:r w:rsidRPr="009F6204">
        <w:rPr>
          <w:rFonts w:ascii="Arial Narrow" w:hAnsi="Arial Narrow"/>
          <w:noProof/>
          <w:sz w:val="18"/>
          <w:szCs w:val="18"/>
        </w:rPr>
        <w:t xml:space="preserve">Hartkopf, A. D., Grischke, E., &amp; Brucker, S. Y. (2020). Endocrine-Resistant Breast Cancer: Mechanisms and Treatment. </w:t>
      </w:r>
      <w:r w:rsidRPr="009F6204">
        <w:rPr>
          <w:rFonts w:ascii="Arial Narrow" w:hAnsi="Arial Narrow"/>
          <w:i/>
          <w:iCs/>
          <w:noProof/>
          <w:sz w:val="18"/>
          <w:szCs w:val="18"/>
        </w:rPr>
        <w:t>Breast Care (Basel)</w:t>
      </w:r>
      <w:r w:rsidRPr="009F6204">
        <w:rPr>
          <w:rFonts w:ascii="Arial Narrow" w:hAnsi="Arial Narrow"/>
          <w:noProof/>
          <w:sz w:val="18"/>
          <w:szCs w:val="18"/>
        </w:rPr>
        <w:t>, 15(4):347-354.</w:t>
      </w:r>
    </w:p>
  </w:footnote>
  <w:footnote w:id="11">
    <w:p w14:paraId="043D782C" w14:textId="292F151C" w:rsidR="00C905D6" w:rsidRDefault="00C905D6" w:rsidP="007207BA">
      <w:pPr>
        <w:pStyle w:val="TableFooter"/>
      </w:pPr>
      <w:r>
        <w:rPr>
          <w:rStyle w:val="FootnoteReference"/>
        </w:rPr>
        <w:footnoteRef/>
      </w:r>
      <w:r>
        <w:t xml:space="preserve"> </w:t>
      </w:r>
      <w:r>
        <w:rPr>
          <w:noProof/>
        </w:rPr>
        <w:t xml:space="preserve">Brett, J. O., Spring, L. M., Bardia, A., &amp; Wander, S. A. (2021). </w:t>
      </w:r>
      <w:r w:rsidRPr="00380A81">
        <w:rPr>
          <w:i/>
        </w:rPr>
        <w:t>ESR1</w:t>
      </w:r>
      <w:r>
        <w:rPr>
          <w:noProof/>
        </w:rPr>
        <w:t xml:space="preserve"> mutation as an emerging clinical biomarker in metastatic hormone receptor-positive breast cancer. </w:t>
      </w:r>
      <w:r>
        <w:rPr>
          <w:i/>
          <w:iCs/>
          <w:noProof/>
        </w:rPr>
        <w:t>Breast Cancer Res</w:t>
      </w:r>
      <w:r>
        <w:rPr>
          <w:noProof/>
        </w:rPr>
        <w:t>, 23(1):85.</w:t>
      </w:r>
    </w:p>
  </w:footnote>
  <w:footnote w:id="12">
    <w:p w14:paraId="0CEFCE1A" w14:textId="0B097912" w:rsidR="00C905D6" w:rsidRDefault="00C905D6" w:rsidP="007207BA">
      <w:pPr>
        <w:pStyle w:val="TableFooter"/>
      </w:pPr>
      <w:r>
        <w:rPr>
          <w:rStyle w:val="FootnoteReference"/>
        </w:rPr>
        <w:footnoteRef/>
      </w:r>
      <w:r>
        <w:t xml:space="preserve"> </w:t>
      </w:r>
      <w:r>
        <w:rPr>
          <w:noProof/>
        </w:rPr>
        <w:t xml:space="preserve">Piezzo, M. C. (2020). Progression-Free Survival and Overall Survival of CDK 4/6 Inhibitors Plus Endocrine Therapy in Metastatic Breast Cancer: A Systematic Review and Meta-Analysis. . </w:t>
      </w:r>
      <w:r>
        <w:rPr>
          <w:i/>
          <w:iCs/>
          <w:noProof/>
        </w:rPr>
        <w:t>International Journal of Molecular Science</w:t>
      </w:r>
      <w:r>
        <w:rPr>
          <w:noProof/>
        </w:rPr>
        <w:t>, 21(17) 6400.</w:t>
      </w:r>
    </w:p>
  </w:footnote>
  <w:footnote w:id="13">
    <w:p w14:paraId="4FD37582" w14:textId="77777777" w:rsidR="00582784" w:rsidRPr="009F6204" w:rsidRDefault="00582784" w:rsidP="00582784">
      <w:pPr>
        <w:pStyle w:val="Bibliography"/>
        <w:spacing w:before="0" w:after="0"/>
        <w:rPr>
          <w:rFonts w:ascii="Arial Narrow" w:hAnsi="Arial Narrow"/>
          <w:noProof/>
          <w:sz w:val="18"/>
          <w:szCs w:val="18"/>
        </w:rPr>
      </w:pPr>
      <w:r w:rsidRPr="009F6204">
        <w:rPr>
          <w:rStyle w:val="FootnoteReference"/>
          <w:rFonts w:ascii="Arial Narrow" w:hAnsi="Arial Narrow"/>
          <w:sz w:val="18"/>
          <w:szCs w:val="18"/>
        </w:rPr>
        <w:footnoteRef/>
      </w:r>
      <w:r w:rsidRPr="009F6204">
        <w:rPr>
          <w:rFonts w:ascii="Arial Narrow" w:hAnsi="Arial Narrow"/>
          <w:sz w:val="18"/>
          <w:szCs w:val="18"/>
        </w:rPr>
        <w:t xml:space="preserve"> </w:t>
      </w:r>
      <w:r w:rsidRPr="009F6204">
        <w:rPr>
          <w:rFonts w:ascii="Arial Narrow" w:hAnsi="Arial Narrow"/>
          <w:noProof/>
          <w:sz w:val="18"/>
          <w:szCs w:val="18"/>
        </w:rPr>
        <w:t xml:space="preserve">Hartkopf, A. D., Grischke, E., &amp; Brucker, S. Y. (2020). Endocrine-Resistant Breast Cancer: Mechanisms and Treatment. </w:t>
      </w:r>
      <w:r w:rsidRPr="009F6204">
        <w:rPr>
          <w:rFonts w:ascii="Arial Narrow" w:hAnsi="Arial Narrow"/>
          <w:i/>
          <w:iCs/>
          <w:noProof/>
          <w:sz w:val="18"/>
          <w:szCs w:val="18"/>
        </w:rPr>
        <w:t>Breast Care (Basel)</w:t>
      </w:r>
      <w:r w:rsidRPr="009F6204">
        <w:rPr>
          <w:rFonts w:ascii="Arial Narrow" w:hAnsi="Arial Narrow"/>
          <w:noProof/>
          <w:sz w:val="18"/>
          <w:szCs w:val="18"/>
        </w:rPr>
        <w:t>, 15(4):347-354.</w:t>
      </w:r>
    </w:p>
  </w:footnote>
  <w:footnote w:id="14">
    <w:p w14:paraId="4CFDBBB5" w14:textId="660B183D" w:rsidR="00C905D6" w:rsidRDefault="00C905D6" w:rsidP="006B3638">
      <w:pPr>
        <w:pStyle w:val="TableFigureFooter"/>
      </w:pPr>
      <w:r w:rsidRPr="0044416B">
        <w:rPr>
          <w:rStyle w:val="TableFooterChar"/>
          <w:vertAlign w:val="superscript"/>
        </w:rPr>
        <w:footnoteRef/>
      </w:r>
      <w:r w:rsidRPr="00910DA3">
        <w:rPr>
          <w:rStyle w:val="TableFooterChar"/>
        </w:rPr>
        <w:t xml:space="preserve"> Turner, N. C., Swift, C., Kilburn, L., </w:t>
      </w:r>
      <w:proofErr w:type="spellStart"/>
      <w:r w:rsidRPr="00910DA3">
        <w:rPr>
          <w:rStyle w:val="TableFooterChar"/>
        </w:rPr>
        <w:t>Fribbens</w:t>
      </w:r>
      <w:proofErr w:type="spellEnd"/>
      <w:r w:rsidRPr="00910DA3">
        <w:rPr>
          <w:rStyle w:val="TableFooterChar"/>
        </w:rPr>
        <w:t xml:space="preserve">, C., Beaney, M., &amp; et al. (2020). </w:t>
      </w:r>
      <w:r w:rsidRPr="00380A81">
        <w:rPr>
          <w:rStyle w:val="TableFooterChar"/>
          <w:i/>
        </w:rPr>
        <w:t>ESR1</w:t>
      </w:r>
      <w:r w:rsidRPr="00910DA3">
        <w:rPr>
          <w:rStyle w:val="TableFooterChar"/>
        </w:rPr>
        <w:t xml:space="preserve"> Mutations and Overall Survival on </w:t>
      </w:r>
      <w:proofErr w:type="spellStart"/>
      <w:r w:rsidRPr="00910DA3">
        <w:rPr>
          <w:rStyle w:val="TableFooterChar"/>
        </w:rPr>
        <w:t>Fulvestrant</w:t>
      </w:r>
      <w:proofErr w:type="spellEnd"/>
      <w:r w:rsidRPr="00910DA3">
        <w:rPr>
          <w:rStyle w:val="TableFooterChar"/>
        </w:rPr>
        <w:t xml:space="preserve"> versus Exemestane in Advanced Hormone</w:t>
      </w:r>
      <w:r>
        <w:rPr>
          <w:noProof/>
        </w:rPr>
        <w:t xml:space="preserve"> </w:t>
      </w:r>
      <w:r w:rsidRPr="00910DA3">
        <w:rPr>
          <w:rStyle w:val="TableFooterChar"/>
        </w:rPr>
        <w:t>Receptor-Positive Breast Cancer: A Combined Analysis of the Phase III SoFEA and EFECT Trials. Clin Cancer Res, 26(19):5172-5177.</w:t>
      </w:r>
    </w:p>
  </w:footnote>
  <w:footnote w:id="15">
    <w:p w14:paraId="144132A8" w14:textId="77777777" w:rsidR="00582784" w:rsidRPr="009F6204" w:rsidRDefault="00582784" w:rsidP="00582784">
      <w:pPr>
        <w:pStyle w:val="Bibliography"/>
        <w:spacing w:before="0" w:after="0"/>
        <w:rPr>
          <w:rFonts w:ascii="Arial Narrow" w:hAnsi="Arial Narrow"/>
          <w:noProof/>
          <w:sz w:val="18"/>
          <w:szCs w:val="18"/>
        </w:rPr>
      </w:pPr>
      <w:r w:rsidRPr="009F6204">
        <w:rPr>
          <w:rStyle w:val="FootnoteReference"/>
          <w:rFonts w:ascii="Arial Narrow" w:hAnsi="Arial Narrow"/>
          <w:sz w:val="18"/>
          <w:szCs w:val="18"/>
        </w:rPr>
        <w:footnoteRef/>
      </w:r>
      <w:r w:rsidRPr="009F6204">
        <w:rPr>
          <w:rFonts w:ascii="Arial Narrow" w:hAnsi="Arial Narrow"/>
          <w:sz w:val="18"/>
          <w:szCs w:val="18"/>
        </w:rPr>
        <w:t xml:space="preserve"> </w:t>
      </w:r>
      <w:r w:rsidRPr="009F6204">
        <w:rPr>
          <w:rFonts w:ascii="Arial Narrow" w:hAnsi="Arial Narrow"/>
          <w:noProof/>
          <w:sz w:val="18"/>
          <w:szCs w:val="18"/>
        </w:rPr>
        <w:t xml:space="preserve">Hartkopf, A. D., Grischke, E., &amp; Brucker, S. Y. (2020). Endocrine-Resistant Breast Cancer: Mechanisms and Treatment. </w:t>
      </w:r>
      <w:r w:rsidRPr="009F6204">
        <w:rPr>
          <w:rFonts w:ascii="Arial Narrow" w:hAnsi="Arial Narrow"/>
          <w:i/>
          <w:iCs/>
          <w:noProof/>
          <w:sz w:val="18"/>
          <w:szCs w:val="18"/>
        </w:rPr>
        <w:t>Breast Care (Basel)</w:t>
      </w:r>
      <w:r w:rsidRPr="009F6204">
        <w:rPr>
          <w:rFonts w:ascii="Arial Narrow" w:hAnsi="Arial Narrow"/>
          <w:noProof/>
          <w:sz w:val="18"/>
          <w:szCs w:val="18"/>
        </w:rPr>
        <w:t>, 15(4):347-354.</w:t>
      </w:r>
    </w:p>
  </w:footnote>
  <w:footnote w:id="16">
    <w:p w14:paraId="3281456B" w14:textId="70AE343D" w:rsidR="00C905D6" w:rsidRPr="0039629C" w:rsidRDefault="00C905D6" w:rsidP="00C905D6">
      <w:pPr>
        <w:pStyle w:val="TableFooter"/>
      </w:pPr>
      <w:r>
        <w:rPr>
          <w:rStyle w:val="FootnoteReference"/>
        </w:rPr>
        <w:footnoteRef/>
      </w:r>
      <w:r>
        <w:t xml:space="preserve"> </w:t>
      </w:r>
      <w:r>
        <w:rPr>
          <w:noProof/>
        </w:rPr>
        <w:t xml:space="preserve">ESMO. (2024). </w:t>
      </w:r>
      <w:r>
        <w:rPr>
          <w:i/>
          <w:iCs/>
          <w:noProof/>
        </w:rPr>
        <w:t xml:space="preserve">ESMO Guidelines Breast Cancer </w:t>
      </w:r>
      <w:r w:rsidRPr="0039629C">
        <w:rPr>
          <w:i/>
          <w:iCs/>
          <w:noProof/>
        </w:rPr>
        <w:t>Version 4. 2024.</w:t>
      </w:r>
      <w:r w:rsidRPr="0039629C">
        <w:rPr>
          <w:noProof/>
        </w:rPr>
        <w:t xml:space="preserve"> ESMO. Retrieved Sep 08, 2024, from </w:t>
      </w:r>
      <w:hyperlink r:id="rId4" w:history="1">
        <w:r w:rsidR="00027D69" w:rsidRPr="0039629C">
          <w:rPr>
            <w:rStyle w:val="Hyperlink"/>
            <w:noProof/>
            <w:color w:val="auto"/>
          </w:rPr>
          <w:t>https://www.esmo.org/living-guidelines/esmo-metastatic-breast-cancer-living-guideline/er-positive-her2-negative-breast-cancer</w:t>
        </w:r>
      </w:hyperlink>
      <w:r w:rsidR="00027D69" w:rsidRPr="0039629C">
        <w:rPr>
          <w:noProof/>
        </w:rPr>
        <w:t xml:space="preserve">. </w:t>
      </w:r>
    </w:p>
  </w:footnote>
  <w:footnote w:id="17">
    <w:p w14:paraId="4F2F8F79" w14:textId="35AD69B0" w:rsidR="00C905D6" w:rsidRDefault="00C905D6" w:rsidP="00027D69">
      <w:pPr>
        <w:pStyle w:val="TableFooter"/>
      </w:pPr>
      <w:r w:rsidRPr="0039629C">
        <w:rPr>
          <w:rStyle w:val="FootnoteReference"/>
        </w:rPr>
        <w:footnoteRef/>
      </w:r>
      <w:r w:rsidRPr="0039629C">
        <w:t xml:space="preserve"> </w:t>
      </w:r>
      <w:r w:rsidRPr="0039629C">
        <w:rPr>
          <w:noProof/>
        </w:rPr>
        <w:t xml:space="preserve">NCCN. (2024). </w:t>
      </w:r>
      <w:r w:rsidRPr="0039629C">
        <w:rPr>
          <w:i/>
          <w:iCs/>
          <w:noProof/>
        </w:rPr>
        <w:t>NCCN Guidelines Breast Cancer Version 4. 2024.</w:t>
      </w:r>
      <w:r w:rsidRPr="0039629C">
        <w:rPr>
          <w:noProof/>
        </w:rPr>
        <w:t xml:space="preserve"> NCCN. Retrieved Sep 08, 2024, from </w:t>
      </w:r>
      <w:hyperlink r:id="rId5" w:history="1">
        <w:r w:rsidR="00027D69" w:rsidRPr="0039629C">
          <w:rPr>
            <w:rStyle w:val="Hyperlink"/>
            <w:noProof/>
            <w:color w:val="auto"/>
          </w:rPr>
          <w:t>https://www.nccn.org/professionals/physician_gls/pdf/breast.pdf</w:t>
        </w:r>
      </w:hyperlink>
      <w:r w:rsidR="00027D69" w:rsidRPr="0039629C">
        <w:rPr>
          <w:noProof/>
        </w:rPr>
        <w:t xml:space="preserve">. </w:t>
      </w:r>
    </w:p>
  </w:footnote>
  <w:footnote w:id="18">
    <w:p w14:paraId="5F89686A" w14:textId="32FDE03F" w:rsidR="00BC55C1" w:rsidRDefault="00BC55C1">
      <w:pPr>
        <w:pStyle w:val="FootnoteText"/>
      </w:pPr>
      <w:r>
        <w:rPr>
          <w:rStyle w:val="FootnoteReference"/>
        </w:rPr>
        <w:footnoteRef/>
      </w:r>
      <w:r>
        <w:t xml:space="preserve"> </w:t>
      </w:r>
      <w:r w:rsidR="00C31C58" w:rsidRPr="003F3979">
        <w:t>Information will be unredacted in full when the TGA Australian Public Assessment Report (</w:t>
      </w:r>
      <w:proofErr w:type="spellStart"/>
      <w:r w:rsidR="00C31C58" w:rsidRPr="003F3979">
        <w:t>AusPAR</w:t>
      </w:r>
      <w:proofErr w:type="spellEnd"/>
      <w:r w:rsidR="00C31C58" w:rsidRPr="003F3979">
        <w:t>) is available</w:t>
      </w:r>
      <w:r w:rsidR="00C31C58">
        <w:t>.</w:t>
      </w:r>
    </w:p>
  </w:footnote>
  <w:footnote w:id="19">
    <w:p w14:paraId="66F7BF7D" w14:textId="77777777" w:rsidR="00C905D6" w:rsidRPr="00D318F1" w:rsidRDefault="00C905D6" w:rsidP="00C905D6">
      <w:pPr>
        <w:pStyle w:val="FootnoteText"/>
      </w:pPr>
      <w:r w:rsidRPr="00D318F1">
        <w:rPr>
          <w:rStyle w:val="FootnoteReference"/>
        </w:rPr>
        <w:footnoteRef/>
      </w:r>
      <w:r w:rsidRPr="00D318F1">
        <w:t xml:space="preserve"> </w:t>
      </w:r>
      <w:r w:rsidRPr="00D318F1">
        <w:rPr>
          <w:rFonts w:cstheme="minorHAnsi"/>
        </w:rPr>
        <w:t xml:space="preserve">H356D = histidine 356 to aspartate substitution; </w:t>
      </w:r>
      <w:r w:rsidRPr="00D318F1">
        <w:t xml:space="preserve">E380Q = glutamate 380 to glutamine substitution; </w:t>
      </w:r>
      <w:r w:rsidRPr="00D318F1">
        <w:rPr>
          <w:rFonts w:cstheme="minorHAnsi"/>
        </w:rPr>
        <w:t xml:space="preserve">G442A = glycine 442 to alanine substitution; S463P = serine 463 to proline substitution; </w:t>
      </w:r>
      <w:r w:rsidRPr="00D318F1">
        <w:t>Y537S = tyrosine 537 to serine substitution; D538G = aspartate 538 to glycine substitution.</w:t>
      </w:r>
    </w:p>
  </w:footnote>
  <w:footnote w:id="20">
    <w:p w14:paraId="2D396AFD" w14:textId="6906DAB0" w:rsidR="005C25F1" w:rsidRPr="00191EE0" w:rsidRDefault="005C25F1">
      <w:pPr>
        <w:pStyle w:val="FootnoteText"/>
      </w:pPr>
      <w:r w:rsidRPr="00191EE0">
        <w:rPr>
          <w:rStyle w:val="FootnoteReference"/>
        </w:rPr>
        <w:footnoteRef/>
      </w:r>
      <w:r w:rsidRPr="00191EE0">
        <w:t xml:space="preserve"> In this case, digital PCR covers both droplet </w:t>
      </w:r>
      <w:r w:rsidR="00080398" w:rsidRPr="00191EE0">
        <w:t>(</w:t>
      </w:r>
      <w:proofErr w:type="spellStart"/>
      <w:r w:rsidR="00080398" w:rsidRPr="00191EE0">
        <w:t>ddPCR</w:t>
      </w:r>
      <w:proofErr w:type="spellEnd"/>
      <w:r w:rsidR="00080398" w:rsidRPr="00191EE0">
        <w:t xml:space="preserve">) </w:t>
      </w:r>
      <w:r w:rsidRPr="00191EE0">
        <w:t xml:space="preserve">and chip-based techniques, though </w:t>
      </w:r>
      <w:proofErr w:type="gramStart"/>
      <w:r w:rsidRPr="00191EE0">
        <w:t>the majority of</w:t>
      </w:r>
      <w:proofErr w:type="gramEnd"/>
      <w:r w:rsidRPr="00191EE0">
        <w:t xml:space="preserve"> studies included in the </w:t>
      </w:r>
      <w:r w:rsidR="006D6001" w:rsidRPr="00191EE0">
        <w:t xml:space="preserve">Raei et al, (2024) paper were of </w:t>
      </w:r>
      <w:r w:rsidR="00080398" w:rsidRPr="00191EE0">
        <w:t xml:space="preserve">the droplet method. </w:t>
      </w:r>
    </w:p>
  </w:footnote>
  <w:footnote w:id="21">
    <w:p w14:paraId="2B0773DA" w14:textId="254EC307" w:rsidR="002B7654" w:rsidRDefault="002B7654">
      <w:pPr>
        <w:pStyle w:val="FootnoteText"/>
      </w:pPr>
      <w:r>
        <w:rPr>
          <w:rStyle w:val="FootnoteReference"/>
        </w:rPr>
        <w:footnoteRef/>
      </w:r>
      <w:r>
        <w:t xml:space="preserve"> </w:t>
      </w:r>
      <w:r w:rsidRPr="009F6204">
        <w:rPr>
          <w:rFonts w:ascii="Arial Narrow" w:hAnsi="Arial Narrow"/>
          <w:noProof/>
          <w:szCs w:val="18"/>
        </w:rPr>
        <w:t xml:space="preserve">Hartkopf, A. D., Grischke, E., &amp; Brucker, S. Y. (2020). Endocrine-Resistant Breast Cancer: Mechanisms and Treatment. </w:t>
      </w:r>
      <w:r w:rsidRPr="009F6204">
        <w:rPr>
          <w:rFonts w:ascii="Arial Narrow" w:hAnsi="Arial Narrow"/>
          <w:i/>
          <w:iCs/>
          <w:noProof/>
          <w:szCs w:val="18"/>
        </w:rPr>
        <w:t>Breast Care (Basel)</w:t>
      </w:r>
      <w:r w:rsidRPr="009F6204">
        <w:rPr>
          <w:rFonts w:ascii="Arial Narrow" w:hAnsi="Arial Narrow"/>
          <w:noProof/>
          <w:szCs w:val="18"/>
        </w:rPr>
        <w:t>, 15(4):347-354.</w:t>
      </w:r>
    </w:p>
  </w:footnote>
  <w:footnote w:id="22">
    <w:p w14:paraId="157366E8" w14:textId="77777777" w:rsidR="00B53D0C" w:rsidRDefault="00B53D0C" w:rsidP="00B53D0C">
      <w:pPr>
        <w:pStyle w:val="FootnoteText"/>
      </w:pPr>
      <w:r>
        <w:rPr>
          <w:rStyle w:val="FootnoteReference"/>
        </w:rPr>
        <w:footnoteRef/>
      </w:r>
      <w:r>
        <w:t xml:space="preserve"> </w:t>
      </w:r>
      <w:hyperlink r:id="rId6" w:history="1">
        <w:r w:rsidRPr="000E1252">
          <w:rPr>
            <w:rStyle w:val="Hyperlink"/>
            <w:bCs/>
            <w:iCs/>
            <w:color w:val="007BB8"/>
          </w:rPr>
          <w:t>https://www.clinicallabs.com.au/about-us/doctor-media-releases/aspect-liquid-biopsy-analysis-of-circulating-tumour-dna-ctdna-in-cancer-patients-national/</w:t>
        </w:r>
      </w:hyperlink>
    </w:p>
  </w:footnote>
  <w:footnote w:id="23">
    <w:p w14:paraId="073F87A2" w14:textId="77777777" w:rsidR="00B53D0C" w:rsidRDefault="00B53D0C" w:rsidP="00B53D0C">
      <w:pPr>
        <w:pStyle w:val="FootnoteText"/>
      </w:pPr>
      <w:r>
        <w:rPr>
          <w:rStyle w:val="FootnoteReference"/>
        </w:rPr>
        <w:footnoteRef/>
      </w:r>
      <w:r>
        <w:t xml:space="preserve"> See Educational Module Part 2: (</w:t>
      </w:r>
      <w:hyperlink r:id="rId7" w:history="1">
        <w:r w:rsidRPr="000E1252">
          <w:rPr>
            <w:rStyle w:val="Hyperlink"/>
            <w:color w:val="007BB8"/>
          </w:rPr>
          <w:t>www.clinicallabs.com.au/aspect/</w:t>
        </w:r>
      </w:hyperlink>
      <w:r w:rsidRPr="00606479">
        <w:t>)</w:t>
      </w:r>
    </w:p>
  </w:footnote>
  <w:footnote w:id="24">
    <w:p w14:paraId="260C2718" w14:textId="7A1E8C57" w:rsidR="00F7707D" w:rsidRDefault="00F7707D" w:rsidP="00F7707D">
      <w:pPr>
        <w:pStyle w:val="FootnoteText"/>
      </w:pPr>
      <w:r>
        <w:rPr>
          <w:rStyle w:val="FootnoteReference"/>
        </w:rPr>
        <w:footnoteRef/>
      </w:r>
      <w:r>
        <w:t xml:space="preserve"> </w:t>
      </w:r>
      <w:r w:rsidRPr="006B1E9B">
        <w:t xml:space="preserve">Note that the </w:t>
      </w:r>
      <w:r w:rsidR="219E2E19" w:rsidRPr="006B1E9B">
        <w:t>data</w:t>
      </w:r>
      <w:r w:rsidRPr="006B1E9B">
        <w:t xml:space="preserve"> presented</w:t>
      </w:r>
      <w:r w:rsidR="005A6709" w:rsidRPr="006B1E9B">
        <w:t xml:space="preserve"> in this </w:t>
      </w:r>
      <w:r w:rsidR="219E2E19" w:rsidRPr="006B1E9B">
        <w:t>sentence were provided</w:t>
      </w:r>
      <w:r w:rsidRPr="006B1E9B">
        <w:t xml:space="preserve"> by the applicant specifically for the purposes of informing the MSAC consideration. Interpretation of the </w:t>
      </w:r>
      <w:r w:rsidR="219E2E19" w:rsidRPr="006B1E9B">
        <w:t>data</w:t>
      </w:r>
      <w:r w:rsidRPr="006B1E9B">
        <w:t xml:space="preserve"> and their application should therefore be limited to seeking to understand the basis for the MSAC outcome and should not be used for any other purpose.</w:t>
      </w:r>
    </w:p>
  </w:footnote>
  <w:footnote w:id="25">
    <w:p w14:paraId="2B4311EB" w14:textId="77777777" w:rsidR="00B53D0C" w:rsidRDefault="00B53D0C" w:rsidP="00B53D0C">
      <w:pPr>
        <w:pStyle w:val="FootnoteText"/>
      </w:pPr>
      <w:r>
        <w:rPr>
          <w:rStyle w:val="FootnoteReference"/>
        </w:rPr>
        <w:footnoteRef/>
      </w:r>
      <w:r>
        <w:t xml:space="preserve"> O’Leary et al (2018) The Genetic Landscape and Clonal Evolution of Breast Cancer Resistance to Palbociclib plus </w:t>
      </w:r>
      <w:proofErr w:type="spellStart"/>
      <w:r>
        <w:t>Fulvestrant</w:t>
      </w:r>
      <w:proofErr w:type="spellEnd"/>
      <w:r>
        <w:t xml:space="preserve"> in the PALOMA-3 Trial </w:t>
      </w:r>
      <w:r w:rsidRPr="007564A5">
        <w:rPr>
          <w:i/>
          <w:iCs/>
        </w:rPr>
        <w:t xml:space="preserve">Cancer </w:t>
      </w:r>
      <w:proofErr w:type="spellStart"/>
      <w:r w:rsidRPr="007564A5">
        <w:rPr>
          <w:i/>
          <w:iCs/>
        </w:rPr>
        <w:t>Discov</w:t>
      </w:r>
      <w:proofErr w:type="spellEnd"/>
      <w:r w:rsidRPr="007564A5">
        <w:t> (2018) 8 (11): 1390–1403.</w:t>
      </w:r>
      <w:r w:rsidRPr="007564A5">
        <w:rPr>
          <w:sz w:val="24"/>
          <w:szCs w:val="22"/>
        </w:rPr>
        <w:t xml:space="preserve"> </w:t>
      </w:r>
      <w:hyperlink r:id="rId8" w:tgtFrame="_blank" w:history="1">
        <w:r w:rsidRPr="000E1252">
          <w:rPr>
            <w:rStyle w:val="Hyperlink"/>
            <w:color w:val="007BB8"/>
          </w:rPr>
          <w:t>https://doi.org/10.1158/2159-8290.CD-18-0264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2F50" w14:textId="77777777" w:rsidR="003A415B" w:rsidRDefault="003A4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6865" w14:textId="77777777" w:rsidR="003A415B" w:rsidRDefault="003A4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DC87C" w14:textId="77777777" w:rsidR="003A415B" w:rsidRDefault="003A4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1ED"/>
    <w:multiLevelType w:val="hybridMultilevel"/>
    <w:tmpl w:val="54C2F31E"/>
    <w:styleLink w:val="Style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8127B"/>
    <w:multiLevelType w:val="hybridMultilevel"/>
    <w:tmpl w:val="ED961656"/>
    <w:lvl w:ilvl="0" w:tplc="0C090001">
      <w:start w:val="1"/>
      <w:numFmt w:val="bullet"/>
      <w:lvlText w:val=""/>
      <w:lvlJc w:val="left"/>
      <w:pPr>
        <w:ind w:left="7361" w:hanging="360"/>
      </w:pPr>
      <w:rPr>
        <w:rFonts w:ascii="Symbol" w:hAnsi="Symbol" w:hint="default"/>
      </w:rPr>
    </w:lvl>
    <w:lvl w:ilvl="1" w:tplc="0C090003">
      <w:start w:val="1"/>
      <w:numFmt w:val="bullet"/>
      <w:lvlText w:val="o"/>
      <w:lvlJc w:val="left"/>
      <w:pPr>
        <w:ind w:left="8081" w:hanging="360"/>
      </w:pPr>
      <w:rPr>
        <w:rFonts w:ascii="Courier New" w:hAnsi="Courier New" w:cs="Courier New" w:hint="default"/>
      </w:rPr>
    </w:lvl>
    <w:lvl w:ilvl="2" w:tplc="0C090005" w:tentative="1">
      <w:start w:val="1"/>
      <w:numFmt w:val="bullet"/>
      <w:lvlText w:val=""/>
      <w:lvlJc w:val="left"/>
      <w:pPr>
        <w:ind w:left="8801" w:hanging="360"/>
      </w:pPr>
      <w:rPr>
        <w:rFonts w:ascii="Wingdings" w:hAnsi="Wingdings" w:hint="default"/>
      </w:rPr>
    </w:lvl>
    <w:lvl w:ilvl="3" w:tplc="0C090001" w:tentative="1">
      <w:start w:val="1"/>
      <w:numFmt w:val="bullet"/>
      <w:lvlText w:val=""/>
      <w:lvlJc w:val="left"/>
      <w:pPr>
        <w:ind w:left="9521" w:hanging="360"/>
      </w:pPr>
      <w:rPr>
        <w:rFonts w:ascii="Symbol" w:hAnsi="Symbol" w:hint="default"/>
      </w:rPr>
    </w:lvl>
    <w:lvl w:ilvl="4" w:tplc="0C090003" w:tentative="1">
      <w:start w:val="1"/>
      <w:numFmt w:val="bullet"/>
      <w:lvlText w:val="o"/>
      <w:lvlJc w:val="left"/>
      <w:pPr>
        <w:ind w:left="10241" w:hanging="360"/>
      </w:pPr>
      <w:rPr>
        <w:rFonts w:ascii="Courier New" w:hAnsi="Courier New" w:cs="Courier New" w:hint="default"/>
      </w:rPr>
    </w:lvl>
    <w:lvl w:ilvl="5" w:tplc="0C090005" w:tentative="1">
      <w:start w:val="1"/>
      <w:numFmt w:val="bullet"/>
      <w:lvlText w:val=""/>
      <w:lvlJc w:val="left"/>
      <w:pPr>
        <w:ind w:left="10961" w:hanging="360"/>
      </w:pPr>
      <w:rPr>
        <w:rFonts w:ascii="Wingdings" w:hAnsi="Wingdings" w:hint="default"/>
      </w:rPr>
    </w:lvl>
    <w:lvl w:ilvl="6" w:tplc="0C090001" w:tentative="1">
      <w:start w:val="1"/>
      <w:numFmt w:val="bullet"/>
      <w:lvlText w:val=""/>
      <w:lvlJc w:val="left"/>
      <w:pPr>
        <w:ind w:left="11681" w:hanging="360"/>
      </w:pPr>
      <w:rPr>
        <w:rFonts w:ascii="Symbol" w:hAnsi="Symbol" w:hint="default"/>
      </w:rPr>
    </w:lvl>
    <w:lvl w:ilvl="7" w:tplc="0C090003" w:tentative="1">
      <w:start w:val="1"/>
      <w:numFmt w:val="bullet"/>
      <w:lvlText w:val="o"/>
      <w:lvlJc w:val="left"/>
      <w:pPr>
        <w:ind w:left="12401" w:hanging="360"/>
      </w:pPr>
      <w:rPr>
        <w:rFonts w:ascii="Courier New" w:hAnsi="Courier New" w:cs="Courier New" w:hint="default"/>
      </w:rPr>
    </w:lvl>
    <w:lvl w:ilvl="8" w:tplc="0C090005" w:tentative="1">
      <w:start w:val="1"/>
      <w:numFmt w:val="bullet"/>
      <w:lvlText w:val=""/>
      <w:lvlJc w:val="left"/>
      <w:pPr>
        <w:ind w:left="13121" w:hanging="360"/>
      </w:pPr>
      <w:rPr>
        <w:rFonts w:ascii="Wingdings" w:hAnsi="Wingdings" w:hint="default"/>
      </w:rPr>
    </w:lvl>
  </w:abstractNum>
  <w:abstractNum w:abstractNumId="2"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17AC2"/>
    <w:multiLevelType w:val="multilevel"/>
    <w:tmpl w:val="30546588"/>
    <w:lvl w:ilvl="0">
      <w:start w:val="1"/>
      <w:numFmt w:val="bullet"/>
      <w:pStyle w:val="MainBodyBulletPoint"/>
      <w:lvlText w:val=""/>
      <w:lvlJc w:val="left"/>
      <w:pPr>
        <w:ind w:left="720" w:hanging="360"/>
      </w:pPr>
      <w:rPr>
        <w:rFonts w:ascii="Symbol" w:hAnsi="Symbol" w:hint="default"/>
      </w:rPr>
    </w:lvl>
    <w:lvl w:ilvl="1">
      <w:numFmt w:val="bullet"/>
      <w:lvlText w:val="-"/>
      <w:lvlJc w:val="left"/>
      <w:pPr>
        <w:ind w:left="1324" w:hanging="360"/>
      </w:pPr>
      <w:rPr>
        <w:rFonts w:ascii="Aptos" w:eastAsiaTheme="minorHAnsi" w:hAnsi="Aptos"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3ECC13"/>
    <w:multiLevelType w:val="hybridMultilevel"/>
    <w:tmpl w:val="FFFFFFFF"/>
    <w:lvl w:ilvl="0" w:tplc="EC1A2C80">
      <w:start w:val="1"/>
      <w:numFmt w:val="bullet"/>
      <w:lvlText w:val=""/>
      <w:lvlJc w:val="left"/>
      <w:pPr>
        <w:ind w:left="720" w:hanging="360"/>
      </w:pPr>
      <w:rPr>
        <w:rFonts w:ascii="Symbol" w:hAnsi="Symbol" w:hint="default"/>
      </w:rPr>
    </w:lvl>
    <w:lvl w:ilvl="1" w:tplc="85EE6EF4">
      <w:start w:val="1"/>
      <w:numFmt w:val="bullet"/>
      <w:lvlText w:val="o"/>
      <w:lvlJc w:val="left"/>
      <w:pPr>
        <w:ind w:left="1440" w:hanging="360"/>
      </w:pPr>
      <w:rPr>
        <w:rFonts w:ascii="Courier New" w:hAnsi="Courier New" w:hint="default"/>
      </w:rPr>
    </w:lvl>
    <w:lvl w:ilvl="2" w:tplc="2A266F5E">
      <w:start w:val="1"/>
      <w:numFmt w:val="bullet"/>
      <w:lvlText w:val=""/>
      <w:lvlJc w:val="left"/>
      <w:pPr>
        <w:ind w:left="2160" w:hanging="360"/>
      </w:pPr>
      <w:rPr>
        <w:rFonts w:ascii="Wingdings" w:hAnsi="Wingdings" w:hint="default"/>
      </w:rPr>
    </w:lvl>
    <w:lvl w:ilvl="3" w:tplc="E908815C">
      <w:start w:val="1"/>
      <w:numFmt w:val="bullet"/>
      <w:lvlText w:val=""/>
      <w:lvlJc w:val="left"/>
      <w:pPr>
        <w:ind w:left="2880" w:hanging="360"/>
      </w:pPr>
      <w:rPr>
        <w:rFonts w:ascii="Symbol" w:hAnsi="Symbol" w:hint="default"/>
      </w:rPr>
    </w:lvl>
    <w:lvl w:ilvl="4" w:tplc="39FA7A1C">
      <w:start w:val="1"/>
      <w:numFmt w:val="bullet"/>
      <w:lvlText w:val="o"/>
      <w:lvlJc w:val="left"/>
      <w:pPr>
        <w:ind w:left="3600" w:hanging="360"/>
      </w:pPr>
      <w:rPr>
        <w:rFonts w:ascii="Courier New" w:hAnsi="Courier New" w:hint="default"/>
      </w:rPr>
    </w:lvl>
    <w:lvl w:ilvl="5" w:tplc="F0F20FC6">
      <w:start w:val="1"/>
      <w:numFmt w:val="bullet"/>
      <w:lvlText w:val=""/>
      <w:lvlJc w:val="left"/>
      <w:pPr>
        <w:ind w:left="4320" w:hanging="360"/>
      </w:pPr>
      <w:rPr>
        <w:rFonts w:ascii="Wingdings" w:hAnsi="Wingdings" w:hint="default"/>
      </w:rPr>
    </w:lvl>
    <w:lvl w:ilvl="6" w:tplc="7FE03234">
      <w:start w:val="1"/>
      <w:numFmt w:val="bullet"/>
      <w:lvlText w:val=""/>
      <w:lvlJc w:val="left"/>
      <w:pPr>
        <w:ind w:left="5040" w:hanging="360"/>
      </w:pPr>
      <w:rPr>
        <w:rFonts w:ascii="Symbol" w:hAnsi="Symbol" w:hint="default"/>
      </w:rPr>
    </w:lvl>
    <w:lvl w:ilvl="7" w:tplc="8284A3E8">
      <w:start w:val="1"/>
      <w:numFmt w:val="bullet"/>
      <w:lvlText w:val="o"/>
      <w:lvlJc w:val="left"/>
      <w:pPr>
        <w:ind w:left="5760" w:hanging="360"/>
      </w:pPr>
      <w:rPr>
        <w:rFonts w:ascii="Courier New" w:hAnsi="Courier New" w:hint="default"/>
      </w:rPr>
    </w:lvl>
    <w:lvl w:ilvl="8" w:tplc="869EEDF0">
      <w:start w:val="1"/>
      <w:numFmt w:val="bullet"/>
      <w:lvlText w:val=""/>
      <w:lvlJc w:val="left"/>
      <w:pPr>
        <w:ind w:left="6480" w:hanging="360"/>
      </w:pPr>
      <w:rPr>
        <w:rFonts w:ascii="Wingdings" w:hAnsi="Wingdings" w:hint="default"/>
      </w:rPr>
    </w:lvl>
  </w:abstractNum>
  <w:abstractNum w:abstractNumId="5" w15:restartNumberingAfterBreak="0">
    <w:nsid w:val="0C2B73E2"/>
    <w:multiLevelType w:val="hybridMultilevel"/>
    <w:tmpl w:val="69A8BB6C"/>
    <w:lvl w:ilvl="0" w:tplc="B4D00B58">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FF556F"/>
    <w:multiLevelType w:val="hybridMultilevel"/>
    <w:tmpl w:val="45B20AD2"/>
    <w:lvl w:ilvl="0" w:tplc="FB942214">
      <w:start w:val="1"/>
      <w:numFmt w:val="bullet"/>
      <w:pStyle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3926FA8"/>
    <w:multiLevelType w:val="hybridMultilevel"/>
    <w:tmpl w:val="7B60A0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46B700D"/>
    <w:multiLevelType w:val="hybridMultilevel"/>
    <w:tmpl w:val="DE5AD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Restart w:val="1"/>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BB51738"/>
    <w:multiLevelType w:val="hybridMultilevel"/>
    <w:tmpl w:val="BD82C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F14546"/>
    <w:multiLevelType w:val="hybridMultilevel"/>
    <w:tmpl w:val="28D0F8F2"/>
    <w:lvl w:ilvl="0" w:tplc="08090001">
      <w:start w:val="1"/>
      <w:numFmt w:val="bullet"/>
      <w:pStyle w:val="ListBullet"/>
      <w:lvlText w:val=""/>
      <w:lvlJc w:val="left"/>
      <w:pPr>
        <w:ind w:left="720" w:hanging="360"/>
      </w:pPr>
      <w:rPr>
        <w:rFonts w:ascii="Symbol" w:hAnsi="Symbol" w:hint="default"/>
        <w:color w:val="auto"/>
        <w:u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C5ACF"/>
    <w:multiLevelType w:val="hybridMultilevel"/>
    <w:tmpl w:val="FCAE5F90"/>
    <w:styleLink w:val="Style211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4B237"/>
    <w:multiLevelType w:val="hybridMultilevel"/>
    <w:tmpl w:val="0B5C4E1A"/>
    <w:lvl w:ilvl="0" w:tplc="B57CCD10">
      <w:start w:val="1"/>
      <w:numFmt w:val="bullet"/>
      <w:lvlText w:val=""/>
      <w:lvlJc w:val="left"/>
      <w:pPr>
        <w:ind w:left="360" w:hanging="360"/>
      </w:pPr>
      <w:rPr>
        <w:rFonts w:ascii="Symbol" w:hAnsi="Symbol" w:hint="default"/>
      </w:rPr>
    </w:lvl>
    <w:lvl w:ilvl="1" w:tplc="76840BC8">
      <w:start w:val="1"/>
      <w:numFmt w:val="bullet"/>
      <w:lvlText w:val="o"/>
      <w:lvlJc w:val="left"/>
      <w:pPr>
        <w:ind w:left="1440" w:hanging="360"/>
      </w:pPr>
      <w:rPr>
        <w:rFonts w:ascii="Courier New" w:hAnsi="Courier New" w:hint="default"/>
      </w:rPr>
    </w:lvl>
    <w:lvl w:ilvl="2" w:tplc="6B7C1328">
      <w:start w:val="1"/>
      <w:numFmt w:val="bullet"/>
      <w:lvlText w:val=""/>
      <w:lvlJc w:val="left"/>
      <w:pPr>
        <w:ind w:left="2160" w:hanging="360"/>
      </w:pPr>
      <w:rPr>
        <w:rFonts w:ascii="Wingdings" w:hAnsi="Wingdings" w:hint="default"/>
      </w:rPr>
    </w:lvl>
    <w:lvl w:ilvl="3" w:tplc="6B284AEE">
      <w:start w:val="1"/>
      <w:numFmt w:val="bullet"/>
      <w:lvlText w:val=""/>
      <w:lvlJc w:val="left"/>
      <w:pPr>
        <w:ind w:left="2880" w:hanging="360"/>
      </w:pPr>
      <w:rPr>
        <w:rFonts w:ascii="Symbol" w:hAnsi="Symbol" w:hint="default"/>
      </w:rPr>
    </w:lvl>
    <w:lvl w:ilvl="4" w:tplc="15FE2BBE">
      <w:start w:val="1"/>
      <w:numFmt w:val="bullet"/>
      <w:lvlText w:val="o"/>
      <w:lvlJc w:val="left"/>
      <w:pPr>
        <w:ind w:left="3600" w:hanging="360"/>
      </w:pPr>
      <w:rPr>
        <w:rFonts w:ascii="Courier New" w:hAnsi="Courier New" w:hint="default"/>
      </w:rPr>
    </w:lvl>
    <w:lvl w:ilvl="5" w:tplc="780019BA">
      <w:start w:val="1"/>
      <w:numFmt w:val="bullet"/>
      <w:lvlText w:val=""/>
      <w:lvlJc w:val="left"/>
      <w:pPr>
        <w:ind w:left="4320" w:hanging="360"/>
      </w:pPr>
      <w:rPr>
        <w:rFonts w:ascii="Wingdings" w:hAnsi="Wingdings" w:hint="default"/>
      </w:rPr>
    </w:lvl>
    <w:lvl w:ilvl="6" w:tplc="608092A4">
      <w:start w:val="1"/>
      <w:numFmt w:val="bullet"/>
      <w:lvlText w:val=""/>
      <w:lvlJc w:val="left"/>
      <w:pPr>
        <w:ind w:left="5040" w:hanging="360"/>
      </w:pPr>
      <w:rPr>
        <w:rFonts w:ascii="Symbol" w:hAnsi="Symbol" w:hint="default"/>
      </w:rPr>
    </w:lvl>
    <w:lvl w:ilvl="7" w:tplc="03983FE0">
      <w:start w:val="1"/>
      <w:numFmt w:val="bullet"/>
      <w:lvlText w:val="o"/>
      <w:lvlJc w:val="left"/>
      <w:pPr>
        <w:ind w:left="5760" w:hanging="360"/>
      </w:pPr>
      <w:rPr>
        <w:rFonts w:ascii="Courier New" w:hAnsi="Courier New" w:hint="default"/>
      </w:rPr>
    </w:lvl>
    <w:lvl w:ilvl="8" w:tplc="E26033F8">
      <w:start w:val="1"/>
      <w:numFmt w:val="bullet"/>
      <w:lvlText w:val=""/>
      <w:lvlJc w:val="left"/>
      <w:pPr>
        <w:ind w:left="6480" w:hanging="360"/>
      </w:pPr>
      <w:rPr>
        <w:rFonts w:ascii="Wingdings" w:hAnsi="Wingdings" w:hint="default"/>
      </w:rPr>
    </w:lvl>
  </w:abstractNum>
  <w:abstractNum w:abstractNumId="16" w15:restartNumberingAfterBreak="0">
    <w:nsid w:val="3095035D"/>
    <w:multiLevelType w:val="hybridMultilevel"/>
    <w:tmpl w:val="546AB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72209"/>
    <w:multiLevelType w:val="hybridMultilevel"/>
    <w:tmpl w:val="BC1C0ECE"/>
    <w:styleLink w:val="Styl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4EBCD9F6"/>
    <w:lvl w:ilvl="0" w:tplc="0C090001">
      <w:start w:val="1"/>
      <w:numFmt w:val="bullet"/>
      <w:pStyle w:val="TablebulletL2"/>
      <w:lvlText w:val="o"/>
      <w:lvlJc w:val="left"/>
      <w:pPr>
        <w:ind w:left="1723" w:hanging="360"/>
      </w:pPr>
      <w:rPr>
        <w:rFonts w:ascii="Courier New" w:hAnsi="Courier New" w:cs="Courier New" w:hint="default"/>
        <w:color w:val="A5A5A5" w:themeColor="accent3"/>
        <w:sz w:val="18"/>
      </w:rPr>
    </w:lvl>
    <w:lvl w:ilvl="1" w:tplc="0C090003" w:tentative="1">
      <w:start w:val="1"/>
      <w:numFmt w:val="bullet"/>
      <w:lvlText w:val="o"/>
      <w:lvlJc w:val="left"/>
      <w:pPr>
        <w:ind w:left="2443" w:hanging="360"/>
      </w:pPr>
      <w:rPr>
        <w:rFonts w:ascii="Courier New" w:hAnsi="Courier New" w:cs="Courier New" w:hint="default"/>
      </w:rPr>
    </w:lvl>
    <w:lvl w:ilvl="2" w:tplc="0C090005" w:tentative="1">
      <w:start w:val="1"/>
      <w:numFmt w:val="bullet"/>
      <w:lvlText w:val=""/>
      <w:lvlJc w:val="left"/>
      <w:pPr>
        <w:ind w:left="3163" w:hanging="360"/>
      </w:pPr>
      <w:rPr>
        <w:rFonts w:ascii="Wingdings" w:hAnsi="Wingdings" w:hint="default"/>
      </w:rPr>
    </w:lvl>
    <w:lvl w:ilvl="3" w:tplc="0C090001" w:tentative="1">
      <w:start w:val="1"/>
      <w:numFmt w:val="bullet"/>
      <w:lvlText w:val=""/>
      <w:lvlJc w:val="left"/>
      <w:pPr>
        <w:ind w:left="3883" w:hanging="360"/>
      </w:pPr>
      <w:rPr>
        <w:rFonts w:ascii="Symbol" w:hAnsi="Symbol" w:hint="default"/>
      </w:rPr>
    </w:lvl>
    <w:lvl w:ilvl="4" w:tplc="0C090003" w:tentative="1">
      <w:start w:val="1"/>
      <w:numFmt w:val="bullet"/>
      <w:lvlText w:val="o"/>
      <w:lvlJc w:val="left"/>
      <w:pPr>
        <w:ind w:left="4603" w:hanging="360"/>
      </w:pPr>
      <w:rPr>
        <w:rFonts w:ascii="Courier New" w:hAnsi="Courier New" w:cs="Courier New" w:hint="default"/>
      </w:rPr>
    </w:lvl>
    <w:lvl w:ilvl="5" w:tplc="0C090005" w:tentative="1">
      <w:start w:val="1"/>
      <w:numFmt w:val="bullet"/>
      <w:lvlText w:val=""/>
      <w:lvlJc w:val="left"/>
      <w:pPr>
        <w:ind w:left="5323" w:hanging="360"/>
      </w:pPr>
      <w:rPr>
        <w:rFonts w:ascii="Wingdings" w:hAnsi="Wingdings" w:hint="default"/>
      </w:rPr>
    </w:lvl>
    <w:lvl w:ilvl="6" w:tplc="0C090001" w:tentative="1">
      <w:start w:val="1"/>
      <w:numFmt w:val="bullet"/>
      <w:lvlText w:val=""/>
      <w:lvlJc w:val="left"/>
      <w:pPr>
        <w:ind w:left="6043" w:hanging="360"/>
      </w:pPr>
      <w:rPr>
        <w:rFonts w:ascii="Symbol" w:hAnsi="Symbol" w:hint="default"/>
      </w:rPr>
    </w:lvl>
    <w:lvl w:ilvl="7" w:tplc="0C090003" w:tentative="1">
      <w:start w:val="1"/>
      <w:numFmt w:val="bullet"/>
      <w:lvlText w:val="o"/>
      <w:lvlJc w:val="left"/>
      <w:pPr>
        <w:ind w:left="6763" w:hanging="360"/>
      </w:pPr>
      <w:rPr>
        <w:rFonts w:ascii="Courier New" w:hAnsi="Courier New" w:cs="Courier New" w:hint="default"/>
      </w:rPr>
    </w:lvl>
    <w:lvl w:ilvl="8" w:tplc="0C090005" w:tentative="1">
      <w:start w:val="1"/>
      <w:numFmt w:val="bullet"/>
      <w:lvlText w:val=""/>
      <w:lvlJc w:val="left"/>
      <w:pPr>
        <w:ind w:left="7483" w:hanging="360"/>
      </w:pPr>
      <w:rPr>
        <w:rFonts w:ascii="Wingdings" w:hAnsi="Wingdings" w:hint="default"/>
      </w:rPr>
    </w:lvl>
  </w:abstractNum>
  <w:abstractNum w:abstractNumId="19" w15:restartNumberingAfterBreak="0">
    <w:nsid w:val="35715BE8"/>
    <w:multiLevelType w:val="hybridMultilevel"/>
    <w:tmpl w:val="7F96331A"/>
    <w:styleLink w:val="Style213"/>
    <w:lvl w:ilvl="0" w:tplc="F99C8CCE">
      <w:start w:val="78"/>
      <w:numFmt w:val="bullet"/>
      <w:lvlText w:val="-"/>
      <w:lvlJc w:val="left"/>
      <w:pPr>
        <w:ind w:left="450" w:hanging="360"/>
      </w:pPr>
      <w:rPr>
        <w:rFonts w:ascii="Arial Narrow" w:eastAsiaTheme="minorHAnsi" w:hAnsi="Arial Narrow" w:cstheme="minorBidi" w:hint="default"/>
      </w:rPr>
    </w:lvl>
    <w:lvl w:ilvl="1" w:tplc="0C090003">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20" w15:restartNumberingAfterBreak="0">
    <w:nsid w:val="37B39C33"/>
    <w:multiLevelType w:val="hybridMultilevel"/>
    <w:tmpl w:val="FFFFFFFF"/>
    <w:lvl w:ilvl="0" w:tplc="4022C508">
      <w:start w:val="1"/>
      <w:numFmt w:val="bullet"/>
      <w:lvlText w:val=""/>
      <w:lvlJc w:val="left"/>
      <w:pPr>
        <w:ind w:left="720" w:hanging="360"/>
      </w:pPr>
      <w:rPr>
        <w:rFonts w:ascii="Symbol" w:hAnsi="Symbol" w:hint="default"/>
      </w:rPr>
    </w:lvl>
    <w:lvl w:ilvl="1" w:tplc="4A366012">
      <w:start w:val="1"/>
      <w:numFmt w:val="bullet"/>
      <w:lvlText w:val="o"/>
      <w:lvlJc w:val="left"/>
      <w:pPr>
        <w:ind w:left="1440" w:hanging="360"/>
      </w:pPr>
      <w:rPr>
        <w:rFonts w:ascii="Courier New" w:hAnsi="Courier New" w:hint="default"/>
      </w:rPr>
    </w:lvl>
    <w:lvl w:ilvl="2" w:tplc="2540758C">
      <w:start w:val="1"/>
      <w:numFmt w:val="bullet"/>
      <w:lvlText w:val=""/>
      <w:lvlJc w:val="left"/>
      <w:pPr>
        <w:ind w:left="2160" w:hanging="360"/>
      </w:pPr>
      <w:rPr>
        <w:rFonts w:ascii="Wingdings" w:hAnsi="Wingdings" w:hint="default"/>
      </w:rPr>
    </w:lvl>
    <w:lvl w:ilvl="3" w:tplc="F8BE12F8">
      <w:start w:val="1"/>
      <w:numFmt w:val="bullet"/>
      <w:lvlText w:val=""/>
      <w:lvlJc w:val="left"/>
      <w:pPr>
        <w:ind w:left="2880" w:hanging="360"/>
      </w:pPr>
      <w:rPr>
        <w:rFonts w:ascii="Symbol" w:hAnsi="Symbol" w:hint="default"/>
      </w:rPr>
    </w:lvl>
    <w:lvl w:ilvl="4" w:tplc="1B3AD690">
      <w:start w:val="1"/>
      <w:numFmt w:val="bullet"/>
      <w:lvlText w:val="o"/>
      <w:lvlJc w:val="left"/>
      <w:pPr>
        <w:ind w:left="3600" w:hanging="360"/>
      </w:pPr>
      <w:rPr>
        <w:rFonts w:ascii="Courier New" w:hAnsi="Courier New" w:hint="default"/>
      </w:rPr>
    </w:lvl>
    <w:lvl w:ilvl="5" w:tplc="FE5CC0E0">
      <w:start w:val="1"/>
      <w:numFmt w:val="bullet"/>
      <w:lvlText w:val=""/>
      <w:lvlJc w:val="left"/>
      <w:pPr>
        <w:ind w:left="4320" w:hanging="360"/>
      </w:pPr>
      <w:rPr>
        <w:rFonts w:ascii="Wingdings" w:hAnsi="Wingdings" w:hint="default"/>
      </w:rPr>
    </w:lvl>
    <w:lvl w:ilvl="6" w:tplc="E65E2614">
      <w:start w:val="1"/>
      <w:numFmt w:val="bullet"/>
      <w:lvlText w:val=""/>
      <w:lvlJc w:val="left"/>
      <w:pPr>
        <w:ind w:left="5040" w:hanging="360"/>
      </w:pPr>
      <w:rPr>
        <w:rFonts w:ascii="Symbol" w:hAnsi="Symbol" w:hint="default"/>
      </w:rPr>
    </w:lvl>
    <w:lvl w:ilvl="7" w:tplc="3A726FCA">
      <w:start w:val="1"/>
      <w:numFmt w:val="bullet"/>
      <w:lvlText w:val="o"/>
      <w:lvlJc w:val="left"/>
      <w:pPr>
        <w:ind w:left="5760" w:hanging="360"/>
      </w:pPr>
      <w:rPr>
        <w:rFonts w:ascii="Courier New" w:hAnsi="Courier New" w:hint="default"/>
      </w:rPr>
    </w:lvl>
    <w:lvl w:ilvl="8" w:tplc="3C8C55DC">
      <w:start w:val="1"/>
      <w:numFmt w:val="bullet"/>
      <w:lvlText w:val=""/>
      <w:lvlJc w:val="left"/>
      <w:pPr>
        <w:ind w:left="6480" w:hanging="360"/>
      </w:pPr>
      <w:rPr>
        <w:rFonts w:ascii="Wingdings" w:hAnsi="Wingdings" w:hint="default"/>
      </w:rPr>
    </w:lvl>
  </w:abstractNum>
  <w:abstractNum w:abstractNumId="21"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56171E"/>
    <w:multiLevelType w:val="hybridMultilevel"/>
    <w:tmpl w:val="FC804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732002"/>
    <w:multiLevelType w:val="hybridMultilevel"/>
    <w:tmpl w:val="0B506336"/>
    <w:lvl w:ilvl="0" w:tplc="A07664E4">
      <w:start w:val="1"/>
      <w:numFmt w:val="decimal"/>
      <w:pStyle w:val="MSAC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69283A"/>
    <w:multiLevelType w:val="hybridMultilevel"/>
    <w:tmpl w:val="3782E58E"/>
    <w:lvl w:ilvl="0" w:tplc="FFFFFFFF">
      <w:start w:val="1"/>
      <w:numFmt w:val="bullet"/>
      <w:lvlText w:val=""/>
      <w:lvlJc w:val="left"/>
      <w:pPr>
        <w:ind w:left="360" w:hanging="360"/>
      </w:pPr>
      <w:rPr>
        <w:rFonts w:ascii="Symbol" w:hAnsi="Symbol" w:hint="default"/>
      </w:rPr>
    </w:lvl>
    <w:lvl w:ilvl="1" w:tplc="F99C8CCE">
      <w:start w:val="78"/>
      <w:numFmt w:val="bullet"/>
      <w:lvlText w:val="-"/>
      <w:lvlJc w:val="left"/>
      <w:pPr>
        <w:ind w:left="1080" w:hanging="360"/>
      </w:pPr>
      <w:rPr>
        <w:rFonts w:ascii="Arial Narrow" w:eastAsiaTheme="minorHAnsi" w:hAnsi="Arial Narrow"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2376C72"/>
    <w:multiLevelType w:val="hybridMultilevel"/>
    <w:tmpl w:val="6BB0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000BC"/>
    <w:multiLevelType w:val="hybridMultilevel"/>
    <w:tmpl w:val="A3069388"/>
    <w:lvl w:ilvl="0" w:tplc="5A22542A">
      <w:start w:val="1"/>
      <w:numFmt w:val="bullet"/>
      <w:lvlText w:val=""/>
      <w:lvlJc w:val="left"/>
      <w:pPr>
        <w:ind w:left="720" w:hanging="360"/>
      </w:pPr>
      <w:rPr>
        <w:rFonts w:ascii="Symbol" w:hAnsi="Symbol" w:hint="default"/>
      </w:rPr>
    </w:lvl>
    <w:lvl w:ilvl="1" w:tplc="2C3A0F2E">
      <w:start w:val="1"/>
      <w:numFmt w:val="bullet"/>
      <w:lvlText w:val="o"/>
      <w:lvlJc w:val="left"/>
      <w:pPr>
        <w:ind w:left="1440" w:hanging="360"/>
      </w:pPr>
      <w:rPr>
        <w:rFonts w:ascii="Courier New" w:hAnsi="Courier New" w:hint="default"/>
      </w:rPr>
    </w:lvl>
    <w:lvl w:ilvl="2" w:tplc="CAE2DC6A">
      <w:start w:val="1"/>
      <w:numFmt w:val="bullet"/>
      <w:lvlText w:val=""/>
      <w:lvlJc w:val="left"/>
      <w:pPr>
        <w:ind w:left="2160" w:hanging="360"/>
      </w:pPr>
      <w:rPr>
        <w:rFonts w:ascii="Wingdings" w:hAnsi="Wingdings" w:hint="default"/>
      </w:rPr>
    </w:lvl>
    <w:lvl w:ilvl="3" w:tplc="4E1C158C">
      <w:start w:val="1"/>
      <w:numFmt w:val="bullet"/>
      <w:lvlText w:val=""/>
      <w:lvlJc w:val="left"/>
      <w:pPr>
        <w:ind w:left="2880" w:hanging="360"/>
      </w:pPr>
      <w:rPr>
        <w:rFonts w:ascii="Symbol" w:hAnsi="Symbol" w:hint="default"/>
      </w:rPr>
    </w:lvl>
    <w:lvl w:ilvl="4" w:tplc="1D98C50C">
      <w:start w:val="1"/>
      <w:numFmt w:val="bullet"/>
      <w:lvlText w:val="o"/>
      <w:lvlJc w:val="left"/>
      <w:pPr>
        <w:ind w:left="3600" w:hanging="360"/>
      </w:pPr>
      <w:rPr>
        <w:rFonts w:ascii="Courier New" w:hAnsi="Courier New" w:hint="default"/>
      </w:rPr>
    </w:lvl>
    <w:lvl w:ilvl="5" w:tplc="03EE3630">
      <w:start w:val="1"/>
      <w:numFmt w:val="bullet"/>
      <w:lvlText w:val=""/>
      <w:lvlJc w:val="left"/>
      <w:pPr>
        <w:ind w:left="4320" w:hanging="360"/>
      </w:pPr>
      <w:rPr>
        <w:rFonts w:ascii="Wingdings" w:hAnsi="Wingdings" w:hint="default"/>
      </w:rPr>
    </w:lvl>
    <w:lvl w:ilvl="6" w:tplc="5DCCBB52">
      <w:start w:val="1"/>
      <w:numFmt w:val="bullet"/>
      <w:lvlText w:val=""/>
      <w:lvlJc w:val="left"/>
      <w:pPr>
        <w:ind w:left="5040" w:hanging="360"/>
      </w:pPr>
      <w:rPr>
        <w:rFonts w:ascii="Symbol" w:hAnsi="Symbol" w:hint="default"/>
      </w:rPr>
    </w:lvl>
    <w:lvl w:ilvl="7" w:tplc="D37CC750">
      <w:start w:val="1"/>
      <w:numFmt w:val="bullet"/>
      <w:lvlText w:val="o"/>
      <w:lvlJc w:val="left"/>
      <w:pPr>
        <w:ind w:left="5760" w:hanging="360"/>
      </w:pPr>
      <w:rPr>
        <w:rFonts w:ascii="Courier New" w:hAnsi="Courier New" w:hint="default"/>
      </w:rPr>
    </w:lvl>
    <w:lvl w:ilvl="8" w:tplc="BA1AEC08">
      <w:start w:val="1"/>
      <w:numFmt w:val="bullet"/>
      <w:lvlText w:val=""/>
      <w:lvlJc w:val="left"/>
      <w:pPr>
        <w:ind w:left="6480" w:hanging="360"/>
      </w:pPr>
      <w:rPr>
        <w:rFonts w:ascii="Wingdings" w:hAnsi="Wingdings" w:hint="default"/>
      </w:rPr>
    </w:lvl>
  </w:abstractNum>
  <w:abstractNum w:abstractNumId="28" w15:restartNumberingAfterBreak="0">
    <w:nsid w:val="44CF7F1C"/>
    <w:multiLevelType w:val="hybridMultilevel"/>
    <w:tmpl w:val="704A4A30"/>
    <w:styleLink w:val="Style2113"/>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8D67A6"/>
    <w:multiLevelType w:val="hybridMultilevel"/>
    <w:tmpl w:val="4E70AEB0"/>
    <w:styleLink w:val="MSACESBulletpoint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4631B79"/>
    <w:multiLevelType w:val="hybridMultilevel"/>
    <w:tmpl w:val="1ED4FB9E"/>
    <w:styleLink w:val="Styl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D70256"/>
    <w:multiLevelType w:val="hybridMultilevel"/>
    <w:tmpl w:val="3B0A6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FC758B"/>
    <w:multiLevelType w:val="hybridMultilevel"/>
    <w:tmpl w:val="7D583F8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151E1D"/>
    <w:multiLevelType w:val="hybridMultilevel"/>
    <w:tmpl w:val="10CCCBE8"/>
    <w:styleLink w:val="Style21"/>
    <w:lvl w:ilvl="0" w:tplc="22D6F4A8">
      <w:start w:val="1"/>
      <w:numFmt w:val="bullet"/>
      <w:lvlText w:val=""/>
      <w:lvlJc w:val="left"/>
      <w:pPr>
        <w:ind w:left="720" w:hanging="360"/>
      </w:pPr>
      <w:rPr>
        <w:rFonts w:ascii="Symbol" w:hAnsi="Symbol" w:hint="default"/>
      </w:rPr>
    </w:lvl>
    <w:lvl w:ilvl="1" w:tplc="84F4F2E6">
      <w:start w:val="1"/>
      <w:numFmt w:val="bullet"/>
      <w:lvlText w:val="o"/>
      <w:lvlJc w:val="left"/>
      <w:pPr>
        <w:ind w:left="1440" w:hanging="360"/>
      </w:pPr>
      <w:rPr>
        <w:rFonts w:ascii="Courier New" w:hAnsi="Courier New" w:hint="default"/>
      </w:rPr>
    </w:lvl>
    <w:lvl w:ilvl="2" w:tplc="FCF4E2F0">
      <w:start w:val="1"/>
      <w:numFmt w:val="bullet"/>
      <w:lvlText w:val=""/>
      <w:lvlJc w:val="left"/>
      <w:pPr>
        <w:ind w:left="2160" w:hanging="360"/>
      </w:pPr>
      <w:rPr>
        <w:rFonts w:ascii="Wingdings" w:hAnsi="Wingdings" w:hint="default"/>
      </w:rPr>
    </w:lvl>
    <w:lvl w:ilvl="3" w:tplc="CCB85192">
      <w:start w:val="1"/>
      <w:numFmt w:val="bullet"/>
      <w:lvlText w:val=""/>
      <w:lvlJc w:val="left"/>
      <w:pPr>
        <w:ind w:left="2880" w:hanging="360"/>
      </w:pPr>
      <w:rPr>
        <w:rFonts w:ascii="Symbol" w:hAnsi="Symbol" w:hint="default"/>
      </w:rPr>
    </w:lvl>
    <w:lvl w:ilvl="4" w:tplc="C8D655C4">
      <w:start w:val="1"/>
      <w:numFmt w:val="bullet"/>
      <w:lvlText w:val="o"/>
      <w:lvlJc w:val="left"/>
      <w:pPr>
        <w:ind w:left="3600" w:hanging="360"/>
      </w:pPr>
      <w:rPr>
        <w:rFonts w:ascii="Courier New" w:hAnsi="Courier New" w:hint="default"/>
      </w:rPr>
    </w:lvl>
    <w:lvl w:ilvl="5" w:tplc="B13CDD20">
      <w:start w:val="1"/>
      <w:numFmt w:val="bullet"/>
      <w:lvlText w:val=""/>
      <w:lvlJc w:val="left"/>
      <w:pPr>
        <w:ind w:left="4320" w:hanging="360"/>
      </w:pPr>
      <w:rPr>
        <w:rFonts w:ascii="Wingdings" w:hAnsi="Wingdings" w:hint="default"/>
      </w:rPr>
    </w:lvl>
    <w:lvl w:ilvl="6" w:tplc="A91E6F84">
      <w:start w:val="1"/>
      <w:numFmt w:val="bullet"/>
      <w:lvlText w:val=""/>
      <w:lvlJc w:val="left"/>
      <w:pPr>
        <w:ind w:left="5040" w:hanging="360"/>
      </w:pPr>
      <w:rPr>
        <w:rFonts w:ascii="Symbol" w:hAnsi="Symbol" w:hint="default"/>
      </w:rPr>
    </w:lvl>
    <w:lvl w:ilvl="7" w:tplc="9170F258">
      <w:start w:val="1"/>
      <w:numFmt w:val="bullet"/>
      <w:lvlText w:val="o"/>
      <w:lvlJc w:val="left"/>
      <w:pPr>
        <w:ind w:left="5760" w:hanging="360"/>
      </w:pPr>
      <w:rPr>
        <w:rFonts w:ascii="Courier New" w:hAnsi="Courier New" w:hint="default"/>
      </w:rPr>
    </w:lvl>
    <w:lvl w:ilvl="8" w:tplc="ADE83636">
      <w:start w:val="1"/>
      <w:numFmt w:val="bullet"/>
      <w:lvlText w:val=""/>
      <w:lvlJc w:val="left"/>
      <w:pPr>
        <w:ind w:left="6480" w:hanging="360"/>
      </w:pPr>
      <w:rPr>
        <w:rFonts w:ascii="Wingdings" w:hAnsi="Wingdings" w:hint="default"/>
      </w:rPr>
    </w:lvl>
  </w:abstractNum>
  <w:abstractNum w:abstractNumId="37" w15:restartNumberingAfterBreak="0">
    <w:nsid w:val="623D0E8A"/>
    <w:multiLevelType w:val="hybridMultilevel"/>
    <w:tmpl w:val="C85E5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6E195B"/>
    <w:multiLevelType w:val="hybridMultilevel"/>
    <w:tmpl w:val="66FA0E62"/>
    <w:lvl w:ilvl="0" w:tplc="4ACCC8F0">
      <w:start w:val="1"/>
      <w:numFmt w:val="lowerRoman"/>
      <w:pStyle w:val="bullet0"/>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7562EE7"/>
    <w:multiLevelType w:val="hybridMultilevel"/>
    <w:tmpl w:val="F4609FDE"/>
    <w:lvl w:ilvl="0" w:tplc="B11854EC">
      <w:start w:val="6"/>
      <w:numFmt w:val="bullet"/>
      <w:lvlText w:val=""/>
      <w:lvlJc w:val="left"/>
      <w:pPr>
        <w:ind w:left="720" w:hanging="360"/>
      </w:pPr>
      <w:rPr>
        <w:rFonts w:ascii="Symbol" w:hAnsi="Symbol" w:hint="default"/>
      </w:rPr>
    </w:lvl>
    <w:lvl w:ilvl="1" w:tplc="7674DAB4">
      <w:start w:val="1"/>
      <w:numFmt w:val="bullet"/>
      <w:lvlText w:val="o"/>
      <w:lvlJc w:val="left"/>
      <w:pPr>
        <w:ind w:left="1440" w:hanging="360"/>
      </w:pPr>
      <w:rPr>
        <w:rFonts w:ascii="Courier New" w:hAnsi="Courier New" w:hint="default"/>
      </w:rPr>
    </w:lvl>
    <w:lvl w:ilvl="2" w:tplc="B3DA39B8">
      <w:start w:val="1"/>
      <w:numFmt w:val="bullet"/>
      <w:lvlText w:val=""/>
      <w:lvlJc w:val="left"/>
      <w:pPr>
        <w:ind w:left="2160" w:hanging="360"/>
      </w:pPr>
      <w:rPr>
        <w:rFonts w:ascii="Wingdings" w:hAnsi="Wingdings" w:hint="default"/>
      </w:rPr>
    </w:lvl>
    <w:lvl w:ilvl="3" w:tplc="97F064B8">
      <w:start w:val="1"/>
      <w:numFmt w:val="bullet"/>
      <w:lvlText w:val=""/>
      <w:lvlJc w:val="left"/>
      <w:pPr>
        <w:ind w:left="2880" w:hanging="360"/>
      </w:pPr>
      <w:rPr>
        <w:rFonts w:ascii="Symbol" w:hAnsi="Symbol" w:hint="default"/>
      </w:rPr>
    </w:lvl>
    <w:lvl w:ilvl="4" w:tplc="7E88CA34">
      <w:start w:val="1"/>
      <w:numFmt w:val="bullet"/>
      <w:lvlText w:val="o"/>
      <w:lvlJc w:val="left"/>
      <w:pPr>
        <w:ind w:left="3600" w:hanging="360"/>
      </w:pPr>
      <w:rPr>
        <w:rFonts w:ascii="Courier New" w:hAnsi="Courier New" w:hint="default"/>
      </w:rPr>
    </w:lvl>
    <w:lvl w:ilvl="5" w:tplc="E06E602C">
      <w:start w:val="1"/>
      <w:numFmt w:val="bullet"/>
      <w:lvlText w:val=""/>
      <w:lvlJc w:val="left"/>
      <w:pPr>
        <w:ind w:left="4320" w:hanging="360"/>
      </w:pPr>
      <w:rPr>
        <w:rFonts w:ascii="Wingdings" w:hAnsi="Wingdings" w:hint="default"/>
      </w:rPr>
    </w:lvl>
    <w:lvl w:ilvl="6" w:tplc="F31E606C">
      <w:start w:val="1"/>
      <w:numFmt w:val="bullet"/>
      <w:lvlText w:val=""/>
      <w:lvlJc w:val="left"/>
      <w:pPr>
        <w:ind w:left="5040" w:hanging="360"/>
      </w:pPr>
      <w:rPr>
        <w:rFonts w:ascii="Symbol" w:hAnsi="Symbol" w:hint="default"/>
      </w:rPr>
    </w:lvl>
    <w:lvl w:ilvl="7" w:tplc="7BBC76AE">
      <w:start w:val="1"/>
      <w:numFmt w:val="bullet"/>
      <w:lvlText w:val="o"/>
      <w:lvlJc w:val="left"/>
      <w:pPr>
        <w:ind w:left="5760" w:hanging="360"/>
      </w:pPr>
      <w:rPr>
        <w:rFonts w:ascii="Courier New" w:hAnsi="Courier New" w:hint="default"/>
      </w:rPr>
    </w:lvl>
    <w:lvl w:ilvl="8" w:tplc="8598B318">
      <w:start w:val="1"/>
      <w:numFmt w:val="bullet"/>
      <w:lvlText w:val=""/>
      <w:lvlJc w:val="left"/>
      <w:pPr>
        <w:ind w:left="6480" w:hanging="360"/>
      </w:pPr>
      <w:rPr>
        <w:rFonts w:ascii="Wingdings" w:hAnsi="Wingdings" w:hint="default"/>
      </w:rPr>
    </w:lvl>
  </w:abstractNum>
  <w:abstractNum w:abstractNumId="40" w15:restartNumberingAfterBreak="0">
    <w:nsid w:val="69EF76CD"/>
    <w:multiLevelType w:val="hybridMultilevel"/>
    <w:tmpl w:val="3382527E"/>
    <w:lvl w:ilvl="0" w:tplc="1EC60BE4">
      <w:start w:val="6"/>
      <w:numFmt w:val="bullet"/>
      <w:lvlText w:val=""/>
      <w:lvlJc w:val="left"/>
      <w:pPr>
        <w:ind w:left="720" w:hanging="360"/>
      </w:pPr>
      <w:rPr>
        <w:rFonts w:ascii="Symbol" w:hAnsi="Symbol" w:hint="default"/>
      </w:rPr>
    </w:lvl>
    <w:lvl w:ilvl="1" w:tplc="8C40127C">
      <w:start w:val="1"/>
      <w:numFmt w:val="bullet"/>
      <w:lvlText w:val="o"/>
      <w:lvlJc w:val="left"/>
      <w:pPr>
        <w:ind w:left="1440" w:hanging="360"/>
      </w:pPr>
      <w:rPr>
        <w:rFonts w:ascii="Courier New" w:hAnsi="Courier New" w:hint="default"/>
      </w:rPr>
    </w:lvl>
    <w:lvl w:ilvl="2" w:tplc="A5CC3264">
      <w:start w:val="1"/>
      <w:numFmt w:val="bullet"/>
      <w:lvlText w:val=""/>
      <w:lvlJc w:val="left"/>
      <w:pPr>
        <w:ind w:left="2160" w:hanging="360"/>
      </w:pPr>
      <w:rPr>
        <w:rFonts w:ascii="Wingdings" w:hAnsi="Wingdings" w:hint="default"/>
      </w:rPr>
    </w:lvl>
    <w:lvl w:ilvl="3" w:tplc="878ED3D0">
      <w:start w:val="1"/>
      <w:numFmt w:val="bullet"/>
      <w:lvlText w:val=""/>
      <w:lvlJc w:val="left"/>
      <w:pPr>
        <w:ind w:left="2880" w:hanging="360"/>
      </w:pPr>
      <w:rPr>
        <w:rFonts w:ascii="Symbol" w:hAnsi="Symbol" w:hint="default"/>
      </w:rPr>
    </w:lvl>
    <w:lvl w:ilvl="4" w:tplc="6CAC940A">
      <w:start w:val="1"/>
      <w:numFmt w:val="bullet"/>
      <w:lvlText w:val="o"/>
      <w:lvlJc w:val="left"/>
      <w:pPr>
        <w:ind w:left="3600" w:hanging="360"/>
      </w:pPr>
      <w:rPr>
        <w:rFonts w:ascii="Courier New" w:hAnsi="Courier New" w:hint="default"/>
      </w:rPr>
    </w:lvl>
    <w:lvl w:ilvl="5" w:tplc="B08A5130">
      <w:start w:val="1"/>
      <w:numFmt w:val="bullet"/>
      <w:lvlText w:val=""/>
      <w:lvlJc w:val="left"/>
      <w:pPr>
        <w:ind w:left="4320" w:hanging="360"/>
      </w:pPr>
      <w:rPr>
        <w:rFonts w:ascii="Wingdings" w:hAnsi="Wingdings" w:hint="default"/>
      </w:rPr>
    </w:lvl>
    <w:lvl w:ilvl="6" w:tplc="ED124DBC">
      <w:start w:val="1"/>
      <w:numFmt w:val="bullet"/>
      <w:lvlText w:val=""/>
      <w:lvlJc w:val="left"/>
      <w:pPr>
        <w:ind w:left="5040" w:hanging="360"/>
      </w:pPr>
      <w:rPr>
        <w:rFonts w:ascii="Symbol" w:hAnsi="Symbol" w:hint="default"/>
      </w:rPr>
    </w:lvl>
    <w:lvl w:ilvl="7" w:tplc="7A243824">
      <w:start w:val="1"/>
      <w:numFmt w:val="bullet"/>
      <w:lvlText w:val="o"/>
      <w:lvlJc w:val="left"/>
      <w:pPr>
        <w:ind w:left="5760" w:hanging="360"/>
      </w:pPr>
      <w:rPr>
        <w:rFonts w:ascii="Courier New" w:hAnsi="Courier New" w:hint="default"/>
      </w:rPr>
    </w:lvl>
    <w:lvl w:ilvl="8" w:tplc="37120CBA">
      <w:start w:val="1"/>
      <w:numFmt w:val="bullet"/>
      <w:lvlText w:val=""/>
      <w:lvlJc w:val="left"/>
      <w:pPr>
        <w:ind w:left="6480" w:hanging="360"/>
      </w:pPr>
      <w:rPr>
        <w:rFonts w:ascii="Wingdings" w:hAnsi="Wingdings" w:hint="default"/>
      </w:rPr>
    </w:lvl>
  </w:abstractNum>
  <w:abstractNum w:abstractNumId="41" w15:restartNumberingAfterBreak="0">
    <w:nsid w:val="784D033C"/>
    <w:multiLevelType w:val="multilevel"/>
    <w:tmpl w:val="989625E6"/>
    <w:styleLink w:val="Headings12"/>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iCs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1542D6"/>
    <w:multiLevelType w:val="hybridMultilevel"/>
    <w:tmpl w:val="9DBEF0DE"/>
    <w:styleLink w:val="MSACESBulletpoints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A6B1374"/>
    <w:multiLevelType w:val="multilevel"/>
    <w:tmpl w:val="FFFFFFFF"/>
    <w:lvl w:ilvl="0">
      <w:start w:val="1"/>
      <w:numFmt w:val="bullet"/>
      <w:pStyle w:val="MSACESBulletPoin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14FDB5"/>
    <w:multiLevelType w:val="hybridMultilevel"/>
    <w:tmpl w:val="FFFFFFFF"/>
    <w:lvl w:ilvl="0" w:tplc="8D10072A">
      <w:start w:val="1"/>
      <w:numFmt w:val="bullet"/>
      <w:lvlText w:val=""/>
      <w:lvlJc w:val="left"/>
      <w:pPr>
        <w:ind w:left="720" w:hanging="360"/>
      </w:pPr>
      <w:rPr>
        <w:rFonts w:ascii="Symbol" w:hAnsi="Symbol" w:hint="default"/>
      </w:rPr>
    </w:lvl>
    <w:lvl w:ilvl="1" w:tplc="1592C5DA">
      <w:start w:val="1"/>
      <w:numFmt w:val="bullet"/>
      <w:lvlText w:val="o"/>
      <w:lvlJc w:val="left"/>
      <w:pPr>
        <w:ind w:left="1440" w:hanging="360"/>
      </w:pPr>
      <w:rPr>
        <w:rFonts w:ascii="Courier New" w:hAnsi="Courier New" w:hint="default"/>
      </w:rPr>
    </w:lvl>
    <w:lvl w:ilvl="2" w:tplc="B3F42520">
      <w:start w:val="1"/>
      <w:numFmt w:val="bullet"/>
      <w:lvlText w:val=""/>
      <w:lvlJc w:val="left"/>
      <w:pPr>
        <w:ind w:left="2160" w:hanging="360"/>
      </w:pPr>
      <w:rPr>
        <w:rFonts w:ascii="Wingdings" w:hAnsi="Wingdings" w:hint="default"/>
      </w:rPr>
    </w:lvl>
    <w:lvl w:ilvl="3" w:tplc="A33E0EFE">
      <w:start w:val="1"/>
      <w:numFmt w:val="bullet"/>
      <w:lvlText w:val=""/>
      <w:lvlJc w:val="left"/>
      <w:pPr>
        <w:ind w:left="2880" w:hanging="360"/>
      </w:pPr>
      <w:rPr>
        <w:rFonts w:ascii="Symbol" w:hAnsi="Symbol" w:hint="default"/>
      </w:rPr>
    </w:lvl>
    <w:lvl w:ilvl="4" w:tplc="6CFC86DA">
      <w:start w:val="1"/>
      <w:numFmt w:val="bullet"/>
      <w:lvlText w:val="o"/>
      <w:lvlJc w:val="left"/>
      <w:pPr>
        <w:ind w:left="3600" w:hanging="360"/>
      </w:pPr>
      <w:rPr>
        <w:rFonts w:ascii="Courier New" w:hAnsi="Courier New" w:hint="default"/>
      </w:rPr>
    </w:lvl>
    <w:lvl w:ilvl="5" w:tplc="E162FA9C">
      <w:start w:val="1"/>
      <w:numFmt w:val="bullet"/>
      <w:lvlText w:val=""/>
      <w:lvlJc w:val="left"/>
      <w:pPr>
        <w:ind w:left="4320" w:hanging="360"/>
      </w:pPr>
      <w:rPr>
        <w:rFonts w:ascii="Wingdings" w:hAnsi="Wingdings" w:hint="default"/>
      </w:rPr>
    </w:lvl>
    <w:lvl w:ilvl="6" w:tplc="BD5AA3A2">
      <w:start w:val="1"/>
      <w:numFmt w:val="bullet"/>
      <w:lvlText w:val=""/>
      <w:lvlJc w:val="left"/>
      <w:pPr>
        <w:ind w:left="5040" w:hanging="360"/>
      </w:pPr>
      <w:rPr>
        <w:rFonts w:ascii="Symbol" w:hAnsi="Symbol" w:hint="default"/>
      </w:rPr>
    </w:lvl>
    <w:lvl w:ilvl="7" w:tplc="1D324E06">
      <w:start w:val="1"/>
      <w:numFmt w:val="bullet"/>
      <w:lvlText w:val="o"/>
      <w:lvlJc w:val="left"/>
      <w:pPr>
        <w:ind w:left="5760" w:hanging="360"/>
      </w:pPr>
      <w:rPr>
        <w:rFonts w:ascii="Courier New" w:hAnsi="Courier New" w:hint="default"/>
      </w:rPr>
    </w:lvl>
    <w:lvl w:ilvl="8" w:tplc="96F233B4">
      <w:start w:val="1"/>
      <w:numFmt w:val="bullet"/>
      <w:lvlText w:val=""/>
      <w:lvlJc w:val="left"/>
      <w:pPr>
        <w:ind w:left="6480" w:hanging="360"/>
      </w:pPr>
      <w:rPr>
        <w:rFonts w:ascii="Wingdings" w:hAnsi="Wingdings" w:hint="default"/>
      </w:rPr>
    </w:lvl>
  </w:abstractNum>
  <w:abstractNum w:abstractNumId="47" w15:restartNumberingAfterBreak="0">
    <w:nsid w:val="7DA2F710"/>
    <w:multiLevelType w:val="hybridMultilevel"/>
    <w:tmpl w:val="5204C33C"/>
    <w:lvl w:ilvl="0" w:tplc="5C4C29E6">
      <w:start w:val="1"/>
      <w:numFmt w:val="bullet"/>
      <w:lvlText w:val=""/>
      <w:lvlJc w:val="left"/>
      <w:pPr>
        <w:ind w:left="360" w:hanging="360"/>
      </w:pPr>
      <w:rPr>
        <w:rFonts w:ascii="Symbol" w:hAnsi="Symbol" w:hint="default"/>
      </w:rPr>
    </w:lvl>
    <w:lvl w:ilvl="1" w:tplc="C4CA1332">
      <w:start w:val="1"/>
      <w:numFmt w:val="bullet"/>
      <w:lvlText w:val="o"/>
      <w:lvlJc w:val="left"/>
      <w:pPr>
        <w:ind w:left="1440" w:hanging="360"/>
      </w:pPr>
      <w:rPr>
        <w:rFonts w:ascii="Courier New" w:hAnsi="Courier New" w:hint="default"/>
      </w:rPr>
    </w:lvl>
    <w:lvl w:ilvl="2" w:tplc="BA8C2ED0">
      <w:start w:val="1"/>
      <w:numFmt w:val="bullet"/>
      <w:lvlText w:val=""/>
      <w:lvlJc w:val="left"/>
      <w:pPr>
        <w:ind w:left="2160" w:hanging="360"/>
      </w:pPr>
      <w:rPr>
        <w:rFonts w:ascii="Wingdings" w:hAnsi="Wingdings" w:hint="default"/>
      </w:rPr>
    </w:lvl>
    <w:lvl w:ilvl="3" w:tplc="5524C816">
      <w:start w:val="1"/>
      <w:numFmt w:val="bullet"/>
      <w:lvlText w:val=""/>
      <w:lvlJc w:val="left"/>
      <w:pPr>
        <w:ind w:left="2880" w:hanging="360"/>
      </w:pPr>
      <w:rPr>
        <w:rFonts w:ascii="Symbol" w:hAnsi="Symbol" w:hint="default"/>
      </w:rPr>
    </w:lvl>
    <w:lvl w:ilvl="4" w:tplc="8DACA6E8">
      <w:start w:val="1"/>
      <w:numFmt w:val="bullet"/>
      <w:lvlText w:val="o"/>
      <w:lvlJc w:val="left"/>
      <w:pPr>
        <w:ind w:left="3600" w:hanging="360"/>
      </w:pPr>
      <w:rPr>
        <w:rFonts w:ascii="Courier New" w:hAnsi="Courier New" w:hint="default"/>
      </w:rPr>
    </w:lvl>
    <w:lvl w:ilvl="5" w:tplc="BD8C29C0">
      <w:start w:val="1"/>
      <w:numFmt w:val="bullet"/>
      <w:lvlText w:val=""/>
      <w:lvlJc w:val="left"/>
      <w:pPr>
        <w:ind w:left="4320" w:hanging="360"/>
      </w:pPr>
      <w:rPr>
        <w:rFonts w:ascii="Wingdings" w:hAnsi="Wingdings" w:hint="default"/>
      </w:rPr>
    </w:lvl>
    <w:lvl w:ilvl="6" w:tplc="1F7673DA">
      <w:start w:val="1"/>
      <w:numFmt w:val="bullet"/>
      <w:lvlText w:val=""/>
      <w:lvlJc w:val="left"/>
      <w:pPr>
        <w:ind w:left="5040" w:hanging="360"/>
      </w:pPr>
      <w:rPr>
        <w:rFonts w:ascii="Symbol" w:hAnsi="Symbol" w:hint="default"/>
      </w:rPr>
    </w:lvl>
    <w:lvl w:ilvl="7" w:tplc="0A70E8B6">
      <w:start w:val="1"/>
      <w:numFmt w:val="bullet"/>
      <w:lvlText w:val="o"/>
      <w:lvlJc w:val="left"/>
      <w:pPr>
        <w:ind w:left="5760" w:hanging="360"/>
      </w:pPr>
      <w:rPr>
        <w:rFonts w:ascii="Courier New" w:hAnsi="Courier New" w:hint="default"/>
      </w:rPr>
    </w:lvl>
    <w:lvl w:ilvl="8" w:tplc="27509760">
      <w:start w:val="1"/>
      <w:numFmt w:val="bullet"/>
      <w:lvlText w:val=""/>
      <w:lvlJc w:val="left"/>
      <w:pPr>
        <w:ind w:left="6480" w:hanging="360"/>
      </w:pPr>
      <w:rPr>
        <w:rFonts w:ascii="Wingdings" w:hAnsi="Wingdings" w:hint="default"/>
      </w:rPr>
    </w:lvl>
  </w:abstractNum>
  <w:abstractNum w:abstractNumId="48" w15:restartNumberingAfterBreak="0">
    <w:nsid w:val="7DBF4F48"/>
    <w:multiLevelType w:val="hybridMultilevel"/>
    <w:tmpl w:val="95B25180"/>
    <w:styleLink w:val="Style3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6022373">
    <w:abstractNumId w:val="27"/>
  </w:num>
  <w:num w:numId="2" w16cid:durableId="1389764671">
    <w:abstractNumId w:val="15"/>
  </w:num>
  <w:num w:numId="3" w16cid:durableId="228731355">
    <w:abstractNumId w:val="39"/>
  </w:num>
  <w:num w:numId="4" w16cid:durableId="824860504">
    <w:abstractNumId w:val="47"/>
  </w:num>
  <w:num w:numId="5" w16cid:durableId="1180507449">
    <w:abstractNumId w:val="40"/>
  </w:num>
  <w:num w:numId="6" w16cid:durableId="1121916752">
    <w:abstractNumId w:val="45"/>
  </w:num>
  <w:num w:numId="7" w16cid:durableId="2132093849">
    <w:abstractNumId w:val="41"/>
  </w:num>
  <w:num w:numId="8" w16cid:durableId="1943294745">
    <w:abstractNumId w:val="12"/>
  </w:num>
  <w:num w:numId="9" w16cid:durableId="268393627">
    <w:abstractNumId w:val="9"/>
  </w:num>
  <w:num w:numId="10" w16cid:durableId="821584777">
    <w:abstractNumId w:val="31"/>
  </w:num>
  <w:num w:numId="11" w16cid:durableId="1831209707">
    <w:abstractNumId w:val="3"/>
  </w:num>
  <w:num w:numId="12" w16cid:durableId="1213539042">
    <w:abstractNumId w:val="11"/>
  </w:num>
  <w:num w:numId="13" w16cid:durableId="1119836982">
    <w:abstractNumId w:val="33"/>
  </w:num>
  <w:num w:numId="14" w16cid:durableId="376708755">
    <w:abstractNumId w:val="2"/>
  </w:num>
  <w:num w:numId="15" w16cid:durableId="1170438738">
    <w:abstractNumId w:val="42"/>
  </w:num>
  <w:num w:numId="16" w16cid:durableId="832525810">
    <w:abstractNumId w:val="21"/>
  </w:num>
  <w:num w:numId="17" w16cid:durableId="219446458">
    <w:abstractNumId w:val="30"/>
  </w:num>
  <w:num w:numId="18" w16cid:durableId="1707633875">
    <w:abstractNumId w:val="43"/>
  </w:num>
  <w:num w:numId="19" w16cid:durableId="432748491">
    <w:abstractNumId w:val="25"/>
  </w:num>
  <w:num w:numId="20" w16cid:durableId="1716932451">
    <w:abstractNumId w:val="6"/>
  </w:num>
  <w:num w:numId="21" w16cid:durableId="210267045">
    <w:abstractNumId w:val="26"/>
  </w:num>
  <w:num w:numId="22" w16cid:durableId="507212989">
    <w:abstractNumId w:val="20"/>
  </w:num>
  <w:num w:numId="23" w16cid:durableId="190992575">
    <w:abstractNumId w:val="46"/>
  </w:num>
  <w:num w:numId="24" w16cid:durableId="1223055451">
    <w:abstractNumId w:val="4"/>
  </w:num>
  <w:num w:numId="25" w16cid:durableId="707030593">
    <w:abstractNumId w:val="1"/>
  </w:num>
  <w:num w:numId="26" w16cid:durableId="624778358">
    <w:abstractNumId w:val="34"/>
  </w:num>
  <w:num w:numId="27" w16cid:durableId="68046365">
    <w:abstractNumId w:val="19"/>
  </w:num>
  <w:num w:numId="28" w16cid:durableId="274867889">
    <w:abstractNumId w:val="10"/>
  </w:num>
  <w:num w:numId="29" w16cid:durableId="290092592">
    <w:abstractNumId w:val="32"/>
  </w:num>
  <w:num w:numId="30" w16cid:durableId="652760589">
    <w:abstractNumId w:val="0"/>
  </w:num>
  <w:num w:numId="31" w16cid:durableId="406730076">
    <w:abstractNumId w:val="28"/>
  </w:num>
  <w:num w:numId="32" w16cid:durableId="1321349398">
    <w:abstractNumId w:val="36"/>
  </w:num>
  <w:num w:numId="33" w16cid:durableId="1129401656">
    <w:abstractNumId w:val="17"/>
  </w:num>
  <w:num w:numId="34" w16cid:durableId="1220820638">
    <w:abstractNumId w:val="29"/>
  </w:num>
  <w:num w:numId="35" w16cid:durableId="1138298492">
    <w:abstractNumId w:val="13"/>
  </w:num>
  <w:num w:numId="36" w16cid:durableId="1700665144">
    <w:abstractNumId w:val="14"/>
  </w:num>
  <w:num w:numId="37" w16cid:durableId="1604344354">
    <w:abstractNumId w:val="38"/>
  </w:num>
  <w:num w:numId="38" w16cid:durableId="2037853324">
    <w:abstractNumId w:val="5"/>
  </w:num>
  <w:num w:numId="39" w16cid:durableId="1699694452">
    <w:abstractNumId w:val="24"/>
  </w:num>
  <w:num w:numId="40" w16cid:durableId="621038822">
    <w:abstractNumId w:val="35"/>
  </w:num>
  <w:num w:numId="41" w16cid:durableId="2130004895">
    <w:abstractNumId w:val="37"/>
  </w:num>
  <w:num w:numId="42" w16cid:durableId="284240494">
    <w:abstractNumId w:val="44"/>
  </w:num>
  <w:num w:numId="43" w16cid:durableId="350422654">
    <w:abstractNumId w:val="48"/>
  </w:num>
  <w:num w:numId="44" w16cid:durableId="1871143191">
    <w:abstractNumId w:val="18"/>
  </w:num>
  <w:num w:numId="45" w16cid:durableId="1395353421">
    <w:abstractNumId w:val="23"/>
  </w:num>
  <w:num w:numId="46" w16cid:durableId="888758502">
    <w:abstractNumId w:val="16"/>
  </w:num>
  <w:num w:numId="47" w16cid:durableId="1076703229">
    <w:abstractNumId w:val="22"/>
  </w:num>
  <w:num w:numId="48" w16cid:durableId="1998265896">
    <w:abstractNumId w:val="8"/>
  </w:num>
  <w:num w:numId="49" w16cid:durableId="1547571751">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fr-CH"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82"/>
    <w:rsid w:val="000002DF"/>
    <w:rsid w:val="000003B3"/>
    <w:rsid w:val="000009C3"/>
    <w:rsid w:val="00000D39"/>
    <w:rsid w:val="00001231"/>
    <w:rsid w:val="000013F5"/>
    <w:rsid w:val="000014EF"/>
    <w:rsid w:val="000015AE"/>
    <w:rsid w:val="00001AB4"/>
    <w:rsid w:val="00001CC1"/>
    <w:rsid w:val="00001D25"/>
    <w:rsid w:val="00001D7E"/>
    <w:rsid w:val="0000243C"/>
    <w:rsid w:val="00002552"/>
    <w:rsid w:val="000026CA"/>
    <w:rsid w:val="00002F88"/>
    <w:rsid w:val="00003119"/>
    <w:rsid w:val="00003176"/>
    <w:rsid w:val="000033F1"/>
    <w:rsid w:val="00003C89"/>
    <w:rsid w:val="00003DAE"/>
    <w:rsid w:val="000042F9"/>
    <w:rsid w:val="00004D2F"/>
    <w:rsid w:val="0000535C"/>
    <w:rsid w:val="00005751"/>
    <w:rsid w:val="00005889"/>
    <w:rsid w:val="000059A7"/>
    <w:rsid w:val="00005AEB"/>
    <w:rsid w:val="0000619B"/>
    <w:rsid w:val="000062E0"/>
    <w:rsid w:val="000063EE"/>
    <w:rsid w:val="0000669E"/>
    <w:rsid w:val="00006756"/>
    <w:rsid w:val="00006792"/>
    <w:rsid w:val="000068DF"/>
    <w:rsid w:val="000078D6"/>
    <w:rsid w:val="00007BF6"/>
    <w:rsid w:val="00007DF8"/>
    <w:rsid w:val="00007E0B"/>
    <w:rsid w:val="00007FCE"/>
    <w:rsid w:val="0001047E"/>
    <w:rsid w:val="0001066F"/>
    <w:rsid w:val="00010748"/>
    <w:rsid w:val="00010C00"/>
    <w:rsid w:val="00010FB0"/>
    <w:rsid w:val="00010FED"/>
    <w:rsid w:val="00011083"/>
    <w:rsid w:val="0001118E"/>
    <w:rsid w:val="000113DE"/>
    <w:rsid w:val="00012774"/>
    <w:rsid w:val="0001281E"/>
    <w:rsid w:val="00012C7F"/>
    <w:rsid w:val="00012F15"/>
    <w:rsid w:val="00012F70"/>
    <w:rsid w:val="000131C9"/>
    <w:rsid w:val="00013222"/>
    <w:rsid w:val="00013552"/>
    <w:rsid w:val="00013594"/>
    <w:rsid w:val="00013655"/>
    <w:rsid w:val="00013768"/>
    <w:rsid w:val="0001390B"/>
    <w:rsid w:val="000139DE"/>
    <w:rsid w:val="00013A7D"/>
    <w:rsid w:val="00013C9B"/>
    <w:rsid w:val="00013E19"/>
    <w:rsid w:val="00013FA1"/>
    <w:rsid w:val="0001406A"/>
    <w:rsid w:val="000142C1"/>
    <w:rsid w:val="000144CD"/>
    <w:rsid w:val="00014698"/>
    <w:rsid w:val="00014CF3"/>
    <w:rsid w:val="00014F76"/>
    <w:rsid w:val="0001502F"/>
    <w:rsid w:val="00015290"/>
    <w:rsid w:val="0001548D"/>
    <w:rsid w:val="000159CC"/>
    <w:rsid w:val="0001602F"/>
    <w:rsid w:val="00016295"/>
    <w:rsid w:val="00016343"/>
    <w:rsid w:val="00016479"/>
    <w:rsid w:val="000164FC"/>
    <w:rsid w:val="00016869"/>
    <w:rsid w:val="000168EA"/>
    <w:rsid w:val="00016AD0"/>
    <w:rsid w:val="00016E60"/>
    <w:rsid w:val="00016F7A"/>
    <w:rsid w:val="000170E1"/>
    <w:rsid w:val="0001719B"/>
    <w:rsid w:val="000171DF"/>
    <w:rsid w:val="00020193"/>
    <w:rsid w:val="000201A3"/>
    <w:rsid w:val="000203F5"/>
    <w:rsid w:val="0002040A"/>
    <w:rsid w:val="00020469"/>
    <w:rsid w:val="0002078D"/>
    <w:rsid w:val="0002095B"/>
    <w:rsid w:val="00020C5B"/>
    <w:rsid w:val="00020E25"/>
    <w:rsid w:val="000215F6"/>
    <w:rsid w:val="00021644"/>
    <w:rsid w:val="00021716"/>
    <w:rsid w:val="000218DB"/>
    <w:rsid w:val="000219B5"/>
    <w:rsid w:val="00021B65"/>
    <w:rsid w:val="00021D74"/>
    <w:rsid w:val="0002269C"/>
    <w:rsid w:val="00022E5C"/>
    <w:rsid w:val="00022E73"/>
    <w:rsid w:val="00022F69"/>
    <w:rsid w:val="00022F7F"/>
    <w:rsid w:val="00022FB0"/>
    <w:rsid w:val="0002308E"/>
    <w:rsid w:val="00023139"/>
    <w:rsid w:val="000233A6"/>
    <w:rsid w:val="00023782"/>
    <w:rsid w:val="000237D3"/>
    <w:rsid w:val="000239BE"/>
    <w:rsid w:val="00023A39"/>
    <w:rsid w:val="00023E96"/>
    <w:rsid w:val="0002417C"/>
    <w:rsid w:val="000241BC"/>
    <w:rsid w:val="000242BC"/>
    <w:rsid w:val="00024433"/>
    <w:rsid w:val="000245FB"/>
    <w:rsid w:val="00024A7D"/>
    <w:rsid w:val="00024B45"/>
    <w:rsid w:val="00024E6B"/>
    <w:rsid w:val="0002501A"/>
    <w:rsid w:val="0002501E"/>
    <w:rsid w:val="00025046"/>
    <w:rsid w:val="000251D7"/>
    <w:rsid w:val="0002524A"/>
    <w:rsid w:val="00025411"/>
    <w:rsid w:val="0002552E"/>
    <w:rsid w:val="0002578D"/>
    <w:rsid w:val="00025B1B"/>
    <w:rsid w:val="00025F4B"/>
    <w:rsid w:val="00026539"/>
    <w:rsid w:val="000268F9"/>
    <w:rsid w:val="00026B6F"/>
    <w:rsid w:val="00026C33"/>
    <w:rsid w:val="000274AA"/>
    <w:rsid w:val="000274AB"/>
    <w:rsid w:val="00027814"/>
    <w:rsid w:val="00027D69"/>
    <w:rsid w:val="00027F6E"/>
    <w:rsid w:val="00027FB8"/>
    <w:rsid w:val="00030011"/>
    <w:rsid w:val="00030433"/>
    <w:rsid w:val="0003044B"/>
    <w:rsid w:val="000305CF"/>
    <w:rsid w:val="000308C3"/>
    <w:rsid w:val="00030A71"/>
    <w:rsid w:val="00030D9F"/>
    <w:rsid w:val="00031096"/>
    <w:rsid w:val="000310CE"/>
    <w:rsid w:val="00031501"/>
    <w:rsid w:val="00031524"/>
    <w:rsid w:val="00031794"/>
    <w:rsid w:val="000318AB"/>
    <w:rsid w:val="000319DE"/>
    <w:rsid w:val="00031CFE"/>
    <w:rsid w:val="00031EB7"/>
    <w:rsid w:val="00031F00"/>
    <w:rsid w:val="00031F71"/>
    <w:rsid w:val="00031FAC"/>
    <w:rsid w:val="000321D5"/>
    <w:rsid w:val="000321D6"/>
    <w:rsid w:val="000322B7"/>
    <w:rsid w:val="000323C6"/>
    <w:rsid w:val="000324D7"/>
    <w:rsid w:val="000330F7"/>
    <w:rsid w:val="000338D2"/>
    <w:rsid w:val="00033CE1"/>
    <w:rsid w:val="00034404"/>
    <w:rsid w:val="000348CC"/>
    <w:rsid w:val="00034949"/>
    <w:rsid w:val="0003497C"/>
    <w:rsid w:val="00035066"/>
    <w:rsid w:val="00035125"/>
    <w:rsid w:val="0003513A"/>
    <w:rsid w:val="0003569B"/>
    <w:rsid w:val="00035760"/>
    <w:rsid w:val="00035917"/>
    <w:rsid w:val="000359BA"/>
    <w:rsid w:val="00035A34"/>
    <w:rsid w:val="00035A83"/>
    <w:rsid w:val="00035F97"/>
    <w:rsid w:val="00037057"/>
    <w:rsid w:val="00037062"/>
    <w:rsid w:val="000377F0"/>
    <w:rsid w:val="000377FC"/>
    <w:rsid w:val="0003796D"/>
    <w:rsid w:val="00037BA0"/>
    <w:rsid w:val="00037FE0"/>
    <w:rsid w:val="000402C9"/>
    <w:rsid w:val="00040603"/>
    <w:rsid w:val="00040902"/>
    <w:rsid w:val="00040B53"/>
    <w:rsid w:val="00040CC6"/>
    <w:rsid w:val="00041410"/>
    <w:rsid w:val="000416F0"/>
    <w:rsid w:val="00041846"/>
    <w:rsid w:val="000425A8"/>
    <w:rsid w:val="0004260D"/>
    <w:rsid w:val="00042648"/>
    <w:rsid w:val="0004273C"/>
    <w:rsid w:val="00042AC9"/>
    <w:rsid w:val="00042D66"/>
    <w:rsid w:val="00042DFF"/>
    <w:rsid w:val="000432F0"/>
    <w:rsid w:val="000435D3"/>
    <w:rsid w:val="000437CE"/>
    <w:rsid w:val="000438BB"/>
    <w:rsid w:val="000438F5"/>
    <w:rsid w:val="00043C42"/>
    <w:rsid w:val="00044324"/>
    <w:rsid w:val="000443F1"/>
    <w:rsid w:val="0004441D"/>
    <w:rsid w:val="000448FD"/>
    <w:rsid w:val="00044B40"/>
    <w:rsid w:val="000451B5"/>
    <w:rsid w:val="000452D1"/>
    <w:rsid w:val="000453F0"/>
    <w:rsid w:val="0004563B"/>
    <w:rsid w:val="0004587A"/>
    <w:rsid w:val="000461CF"/>
    <w:rsid w:val="0004656E"/>
    <w:rsid w:val="00046732"/>
    <w:rsid w:val="00046E96"/>
    <w:rsid w:val="00047306"/>
    <w:rsid w:val="0004758F"/>
    <w:rsid w:val="00047867"/>
    <w:rsid w:val="000478AF"/>
    <w:rsid w:val="00047CD9"/>
    <w:rsid w:val="000492A9"/>
    <w:rsid w:val="00050085"/>
    <w:rsid w:val="000502ED"/>
    <w:rsid w:val="000508C5"/>
    <w:rsid w:val="000508E7"/>
    <w:rsid w:val="00050A46"/>
    <w:rsid w:val="00050A72"/>
    <w:rsid w:val="000516AC"/>
    <w:rsid w:val="00051ACD"/>
    <w:rsid w:val="00051EEB"/>
    <w:rsid w:val="00051F7B"/>
    <w:rsid w:val="000522EE"/>
    <w:rsid w:val="00052A9C"/>
    <w:rsid w:val="00052B77"/>
    <w:rsid w:val="00052BCD"/>
    <w:rsid w:val="00052E9A"/>
    <w:rsid w:val="00053AC1"/>
    <w:rsid w:val="00053D86"/>
    <w:rsid w:val="00053E30"/>
    <w:rsid w:val="00054171"/>
    <w:rsid w:val="00054205"/>
    <w:rsid w:val="0005431E"/>
    <w:rsid w:val="0005433B"/>
    <w:rsid w:val="00054441"/>
    <w:rsid w:val="00054671"/>
    <w:rsid w:val="00054975"/>
    <w:rsid w:val="00054AF8"/>
    <w:rsid w:val="00054B7A"/>
    <w:rsid w:val="000550EE"/>
    <w:rsid w:val="00055801"/>
    <w:rsid w:val="00055B39"/>
    <w:rsid w:val="00055D30"/>
    <w:rsid w:val="00055DCD"/>
    <w:rsid w:val="00055DF3"/>
    <w:rsid w:val="00055E0B"/>
    <w:rsid w:val="00055F39"/>
    <w:rsid w:val="0005614C"/>
    <w:rsid w:val="00056412"/>
    <w:rsid w:val="000564DA"/>
    <w:rsid w:val="000565DA"/>
    <w:rsid w:val="00056980"/>
    <w:rsid w:val="000569D1"/>
    <w:rsid w:val="00056C32"/>
    <w:rsid w:val="00056DC4"/>
    <w:rsid w:val="00056EAC"/>
    <w:rsid w:val="00056EF3"/>
    <w:rsid w:val="00057125"/>
    <w:rsid w:val="00057285"/>
    <w:rsid w:val="000572AD"/>
    <w:rsid w:val="000573BC"/>
    <w:rsid w:val="0005744F"/>
    <w:rsid w:val="000578D9"/>
    <w:rsid w:val="00057973"/>
    <w:rsid w:val="000579BC"/>
    <w:rsid w:val="00057F71"/>
    <w:rsid w:val="00060450"/>
    <w:rsid w:val="0006053C"/>
    <w:rsid w:val="0006098B"/>
    <w:rsid w:val="00060BA3"/>
    <w:rsid w:val="00060E31"/>
    <w:rsid w:val="00061180"/>
    <w:rsid w:val="00061234"/>
    <w:rsid w:val="000613C0"/>
    <w:rsid w:val="000613DB"/>
    <w:rsid w:val="0006193F"/>
    <w:rsid w:val="00061950"/>
    <w:rsid w:val="000619DC"/>
    <w:rsid w:val="00061A9A"/>
    <w:rsid w:val="00061DD3"/>
    <w:rsid w:val="00062018"/>
    <w:rsid w:val="00062067"/>
    <w:rsid w:val="000621B8"/>
    <w:rsid w:val="000622FA"/>
    <w:rsid w:val="0006287B"/>
    <w:rsid w:val="00062A90"/>
    <w:rsid w:val="00062B9F"/>
    <w:rsid w:val="0006331C"/>
    <w:rsid w:val="00063492"/>
    <w:rsid w:val="00063553"/>
    <w:rsid w:val="00063A63"/>
    <w:rsid w:val="00063C65"/>
    <w:rsid w:val="00063D8D"/>
    <w:rsid w:val="0006419C"/>
    <w:rsid w:val="00064323"/>
    <w:rsid w:val="000643FA"/>
    <w:rsid w:val="0006442F"/>
    <w:rsid w:val="000645C7"/>
    <w:rsid w:val="00064763"/>
    <w:rsid w:val="0006478F"/>
    <w:rsid w:val="00064D04"/>
    <w:rsid w:val="00065239"/>
    <w:rsid w:val="00065677"/>
    <w:rsid w:val="00065710"/>
    <w:rsid w:val="000658C8"/>
    <w:rsid w:val="00065C2C"/>
    <w:rsid w:val="00065C62"/>
    <w:rsid w:val="00065CDE"/>
    <w:rsid w:val="00065F14"/>
    <w:rsid w:val="00065F4A"/>
    <w:rsid w:val="0006607E"/>
    <w:rsid w:val="000660C9"/>
    <w:rsid w:val="0006618B"/>
    <w:rsid w:val="000661D5"/>
    <w:rsid w:val="0006629E"/>
    <w:rsid w:val="00066658"/>
    <w:rsid w:val="00066765"/>
    <w:rsid w:val="00066777"/>
    <w:rsid w:val="0006681C"/>
    <w:rsid w:val="000669F8"/>
    <w:rsid w:val="00066BAE"/>
    <w:rsid w:val="00066CDB"/>
    <w:rsid w:val="00066E70"/>
    <w:rsid w:val="00067248"/>
    <w:rsid w:val="0006731D"/>
    <w:rsid w:val="0006753E"/>
    <w:rsid w:val="000676E5"/>
    <w:rsid w:val="000676E9"/>
    <w:rsid w:val="0006771F"/>
    <w:rsid w:val="000677DE"/>
    <w:rsid w:val="000679B5"/>
    <w:rsid w:val="00067AF2"/>
    <w:rsid w:val="00067C08"/>
    <w:rsid w:val="00070177"/>
    <w:rsid w:val="0007063B"/>
    <w:rsid w:val="00070789"/>
    <w:rsid w:val="000708AA"/>
    <w:rsid w:val="00070BE2"/>
    <w:rsid w:val="00070D75"/>
    <w:rsid w:val="00070F2E"/>
    <w:rsid w:val="0007139D"/>
    <w:rsid w:val="00071567"/>
    <w:rsid w:val="0007199E"/>
    <w:rsid w:val="00071BD4"/>
    <w:rsid w:val="00071C38"/>
    <w:rsid w:val="00071E4D"/>
    <w:rsid w:val="00071F81"/>
    <w:rsid w:val="00072050"/>
    <w:rsid w:val="00072056"/>
    <w:rsid w:val="000721FB"/>
    <w:rsid w:val="00072239"/>
    <w:rsid w:val="00072265"/>
    <w:rsid w:val="000722A3"/>
    <w:rsid w:val="0007233B"/>
    <w:rsid w:val="00072437"/>
    <w:rsid w:val="000727C4"/>
    <w:rsid w:val="000729A3"/>
    <w:rsid w:val="00072ADE"/>
    <w:rsid w:val="00072B8C"/>
    <w:rsid w:val="00072D42"/>
    <w:rsid w:val="00072D56"/>
    <w:rsid w:val="00072D9B"/>
    <w:rsid w:val="0007332F"/>
    <w:rsid w:val="00073379"/>
    <w:rsid w:val="000734A0"/>
    <w:rsid w:val="000734D5"/>
    <w:rsid w:val="00073750"/>
    <w:rsid w:val="00073753"/>
    <w:rsid w:val="00073FCB"/>
    <w:rsid w:val="00073FE7"/>
    <w:rsid w:val="0007403D"/>
    <w:rsid w:val="000741D5"/>
    <w:rsid w:val="00074239"/>
    <w:rsid w:val="0007425B"/>
    <w:rsid w:val="000743EF"/>
    <w:rsid w:val="00074507"/>
    <w:rsid w:val="000745E6"/>
    <w:rsid w:val="0007462E"/>
    <w:rsid w:val="00074A38"/>
    <w:rsid w:val="00074A9B"/>
    <w:rsid w:val="00074B15"/>
    <w:rsid w:val="00075854"/>
    <w:rsid w:val="00075AF0"/>
    <w:rsid w:val="00075FA0"/>
    <w:rsid w:val="00076802"/>
    <w:rsid w:val="00077787"/>
    <w:rsid w:val="0007787E"/>
    <w:rsid w:val="00077B51"/>
    <w:rsid w:val="00077CEE"/>
    <w:rsid w:val="00077E3A"/>
    <w:rsid w:val="00077F1E"/>
    <w:rsid w:val="000802F8"/>
    <w:rsid w:val="00080398"/>
    <w:rsid w:val="000805DB"/>
    <w:rsid w:val="00080813"/>
    <w:rsid w:val="0008099D"/>
    <w:rsid w:val="00080FF3"/>
    <w:rsid w:val="000811F6"/>
    <w:rsid w:val="0008127F"/>
    <w:rsid w:val="000816CC"/>
    <w:rsid w:val="000816DF"/>
    <w:rsid w:val="00081829"/>
    <w:rsid w:val="000818F4"/>
    <w:rsid w:val="00081AEB"/>
    <w:rsid w:val="00081DFC"/>
    <w:rsid w:val="00081FDF"/>
    <w:rsid w:val="00082422"/>
    <w:rsid w:val="000825EF"/>
    <w:rsid w:val="00082868"/>
    <w:rsid w:val="0008297F"/>
    <w:rsid w:val="000829F7"/>
    <w:rsid w:val="000831DE"/>
    <w:rsid w:val="0008344B"/>
    <w:rsid w:val="0008358B"/>
    <w:rsid w:val="0008362B"/>
    <w:rsid w:val="00083754"/>
    <w:rsid w:val="00083C71"/>
    <w:rsid w:val="00083E64"/>
    <w:rsid w:val="00083E95"/>
    <w:rsid w:val="000840CF"/>
    <w:rsid w:val="0008473C"/>
    <w:rsid w:val="000847FE"/>
    <w:rsid w:val="00084B18"/>
    <w:rsid w:val="000852AA"/>
    <w:rsid w:val="00085378"/>
    <w:rsid w:val="000853EA"/>
    <w:rsid w:val="00085421"/>
    <w:rsid w:val="00085573"/>
    <w:rsid w:val="00085984"/>
    <w:rsid w:val="00085E58"/>
    <w:rsid w:val="00086133"/>
    <w:rsid w:val="00086407"/>
    <w:rsid w:val="00086492"/>
    <w:rsid w:val="00086544"/>
    <w:rsid w:val="000866A0"/>
    <w:rsid w:val="000866AE"/>
    <w:rsid w:val="00086823"/>
    <w:rsid w:val="00086850"/>
    <w:rsid w:val="00086891"/>
    <w:rsid w:val="00086D79"/>
    <w:rsid w:val="00086F75"/>
    <w:rsid w:val="00086FE1"/>
    <w:rsid w:val="00087836"/>
    <w:rsid w:val="00087928"/>
    <w:rsid w:val="00087E52"/>
    <w:rsid w:val="00087F71"/>
    <w:rsid w:val="00090005"/>
    <w:rsid w:val="00090196"/>
    <w:rsid w:val="00090303"/>
    <w:rsid w:val="000904C6"/>
    <w:rsid w:val="00090524"/>
    <w:rsid w:val="00090710"/>
    <w:rsid w:val="0009100E"/>
    <w:rsid w:val="000914FB"/>
    <w:rsid w:val="00091798"/>
    <w:rsid w:val="00091949"/>
    <w:rsid w:val="0009194B"/>
    <w:rsid w:val="00091976"/>
    <w:rsid w:val="00091E25"/>
    <w:rsid w:val="0009222A"/>
    <w:rsid w:val="000922B9"/>
    <w:rsid w:val="00092475"/>
    <w:rsid w:val="0009268B"/>
    <w:rsid w:val="00092727"/>
    <w:rsid w:val="00092945"/>
    <w:rsid w:val="00092DD7"/>
    <w:rsid w:val="00092E04"/>
    <w:rsid w:val="000930C3"/>
    <w:rsid w:val="000931A6"/>
    <w:rsid w:val="0009380C"/>
    <w:rsid w:val="000939F4"/>
    <w:rsid w:val="00093A48"/>
    <w:rsid w:val="00093B03"/>
    <w:rsid w:val="00093BE1"/>
    <w:rsid w:val="00094462"/>
    <w:rsid w:val="00094493"/>
    <w:rsid w:val="00094A14"/>
    <w:rsid w:val="00094A79"/>
    <w:rsid w:val="00094CDE"/>
    <w:rsid w:val="00094DFA"/>
    <w:rsid w:val="000953C7"/>
    <w:rsid w:val="000953F6"/>
    <w:rsid w:val="000957AC"/>
    <w:rsid w:val="00095921"/>
    <w:rsid w:val="00095959"/>
    <w:rsid w:val="00095B73"/>
    <w:rsid w:val="000961F6"/>
    <w:rsid w:val="00096762"/>
    <w:rsid w:val="0009688E"/>
    <w:rsid w:val="000969D7"/>
    <w:rsid w:val="00096A9D"/>
    <w:rsid w:val="00096B02"/>
    <w:rsid w:val="00096B33"/>
    <w:rsid w:val="00096BCD"/>
    <w:rsid w:val="00096C18"/>
    <w:rsid w:val="00096CFA"/>
    <w:rsid w:val="00096DB5"/>
    <w:rsid w:val="00097498"/>
    <w:rsid w:val="00097D06"/>
    <w:rsid w:val="000A01D6"/>
    <w:rsid w:val="000A027E"/>
    <w:rsid w:val="000A0936"/>
    <w:rsid w:val="000A0F04"/>
    <w:rsid w:val="000A0F1C"/>
    <w:rsid w:val="000A1031"/>
    <w:rsid w:val="000A1249"/>
    <w:rsid w:val="000A1A21"/>
    <w:rsid w:val="000A1DE1"/>
    <w:rsid w:val="000A1F7B"/>
    <w:rsid w:val="000A2126"/>
    <w:rsid w:val="000A223B"/>
    <w:rsid w:val="000A22FA"/>
    <w:rsid w:val="000A259F"/>
    <w:rsid w:val="000A2694"/>
    <w:rsid w:val="000A26D6"/>
    <w:rsid w:val="000A271C"/>
    <w:rsid w:val="000A2D48"/>
    <w:rsid w:val="000A2E22"/>
    <w:rsid w:val="000A2EF1"/>
    <w:rsid w:val="000A30CC"/>
    <w:rsid w:val="000A3243"/>
    <w:rsid w:val="000A32EE"/>
    <w:rsid w:val="000A3BCC"/>
    <w:rsid w:val="000A3D99"/>
    <w:rsid w:val="000A3F08"/>
    <w:rsid w:val="000A3F4C"/>
    <w:rsid w:val="000A46C3"/>
    <w:rsid w:val="000A4860"/>
    <w:rsid w:val="000A4AFC"/>
    <w:rsid w:val="000A4CDB"/>
    <w:rsid w:val="000A4EB3"/>
    <w:rsid w:val="000A505A"/>
    <w:rsid w:val="000A50F0"/>
    <w:rsid w:val="000A51D4"/>
    <w:rsid w:val="000A5268"/>
    <w:rsid w:val="000A5353"/>
    <w:rsid w:val="000A55F5"/>
    <w:rsid w:val="000A5834"/>
    <w:rsid w:val="000A5AAA"/>
    <w:rsid w:val="000A5CDC"/>
    <w:rsid w:val="000A5D44"/>
    <w:rsid w:val="000A5E6A"/>
    <w:rsid w:val="000A634F"/>
    <w:rsid w:val="000A6363"/>
    <w:rsid w:val="000A654B"/>
    <w:rsid w:val="000A662D"/>
    <w:rsid w:val="000A68E6"/>
    <w:rsid w:val="000A6B6E"/>
    <w:rsid w:val="000A6D10"/>
    <w:rsid w:val="000A6D53"/>
    <w:rsid w:val="000A6FBD"/>
    <w:rsid w:val="000A7109"/>
    <w:rsid w:val="000A72AC"/>
    <w:rsid w:val="000A7333"/>
    <w:rsid w:val="000A7350"/>
    <w:rsid w:val="000A755E"/>
    <w:rsid w:val="000A7BB0"/>
    <w:rsid w:val="000A7C8B"/>
    <w:rsid w:val="000A7EA5"/>
    <w:rsid w:val="000A7EE0"/>
    <w:rsid w:val="000A7F65"/>
    <w:rsid w:val="000B0449"/>
    <w:rsid w:val="000B06DD"/>
    <w:rsid w:val="000B0AD7"/>
    <w:rsid w:val="000B0E29"/>
    <w:rsid w:val="000B111E"/>
    <w:rsid w:val="000B1253"/>
    <w:rsid w:val="000B14F5"/>
    <w:rsid w:val="000B1868"/>
    <w:rsid w:val="000B1C5A"/>
    <w:rsid w:val="000B1D94"/>
    <w:rsid w:val="000B1FB9"/>
    <w:rsid w:val="000B203A"/>
    <w:rsid w:val="000B2443"/>
    <w:rsid w:val="000B25A9"/>
    <w:rsid w:val="000B27A0"/>
    <w:rsid w:val="000B2832"/>
    <w:rsid w:val="000B2873"/>
    <w:rsid w:val="000B294D"/>
    <w:rsid w:val="000B2970"/>
    <w:rsid w:val="000B2A81"/>
    <w:rsid w:val="000B2BE3"/>
    <w:rsid w:val="000B2D3E"/>
    <w:rsid w:val="000B3222"/>
    <w:rsid w:val="000B3361"/>
    <w:rsid w:val="000B3569"/>
    <w:rsid w:val="000B35EA"/>
    <w:rsid w:val="000B3866"/>
    <w:rsid w:val="000B3F94"/>
    <w:rsid w:val="000B4164"/>
    <w:rsid w:val="000B41B4"/>
    <w:rsid w:val="000B41C2"/>
    <w:rsid w:val="000B4283"/>
    <w:rsid w:val="000B432A"/>
    <w:rsid w:val="000B472E"/>
    <w:rsid w:val="000B51B4"/>
    <w:rsid w:val="000B5303"/>
    <w:rsid w:val="000B53B5"/>
    <w:rsid w:val="000B56CD"/>
    <w:rsid w:val="000B59D4"/>
    <w:rsid w:val="000B5C2F"/>
    <w:rsid w:val="000B60A0"/>
    <w:rsid w:val="000B6470"/>
    <w:rsid w:val="000B684D"/>
    <w:rsid w:val="000B6B69"/>
    <w:rsid w:val="000B7072"/>
    <w:rsid w:val="000B70A6"/>
    <w:rsid w:val="000B787F"/>
    <w:rsid w:val="000B7AED"/>
    <w:rsid w:val="000B7B8D"/>
    <w:rsid w:val="000C0098"/>
    <w:rsid w:val="000C0142"/>
    <w:rsid w:val="000C037D"/>
    <w:rsid w:val="000C044C"/>
    <w:rsid w:val="000C04A9"/>
    <w:rsid w:val="000C07BF"/>
    <w:rsid w:val="000C07DA"/>
    <w:rsid w:val="000C0A0C"/>
    <w:rsid w:val="000C0BD8"/>
    <w:rsid w:val="000C0C86"/>
    <w:rsid w:val="000C0DE0"/>
    <w:rsid w:val="000C11CC"/>
    <w:rsid w:val="000C125A"/>
    <w:rsid w:val="000C12AB"/>
    <w:rsid w:val="000C130A"/>
    <w:rsid w:val="000C1316"/>
    <w:rsid w:val="000C17FA"/>
    <w:rsid w:val="000C1A49"/>
    <w:rsid w:val="000C1C89"/>
    <w:rsid w:val="000C303A"/>
    <w:rsid w:val="000C331B"/>
    <w:rsid w:val="000C3529"/>
    <w:rsid w:val="000C3703"/>
    <w:rsid w:val="000C375E"/>
    <w:rsid w:val="000C37A7"/>
    <w:rsid w:val="000C47D6"/>
    <w:rsid w:val="000C4A40"/>
    <w:rsid w:val="000C4E43"/>
    <w:rsid w:val="000C4E56"/>
    <w:rsid w:val="000C4EA7"/>
    <w:rsid w:val="000C4F7B"/>
    <w:rsid w:val="000C5508"/>
    <w:rsid w:val="000C56B3"/>
    <w:rsid w:val="000C5935"/>
    <w:rsid w:val="000C5EE4"/>
    <w:rsid w:val="000C6173"/>
    <w:rsid w:val="000C61C7"/>
    <w:rsid w:val="000C61C8"/>
    <w:rsid w:val="000C6332"/>
    <w:rsid w:val="000C6482"/>
    <w:rsid w:val="000C668E"/>
    <w:rsid w:val="000C6743"/>
    <w:rsid w:val="000C6839"/>
    <w:rsid w:val="000C6A1A"/>
    <w:rsid w:val="000C6A40"/>
    <w:rsid w:val="000C763B"/>
    <w:rsid w:val="000C76E4"/>
    <w:rsid w:val="000C7883"/>
    <w:rsid w:val="000C793A"/>
    <w:rsid w:val="000C7B1E"/>
    <w:rsid w:val="000C7D48"/>
    <w:rsid w:val="000D0023"/>
    <w:rsid w:val="000D02F0"/>
    <w:rsid w:val="000D08E0"/>
    <w:rsid w:val="000D0A81"/>
    <w:rsid w:val="000D0ABE"/>
    <w:rsid w:val="000D0B09"/>
    <w:rsid w:val="000D0D63"/>
    <w:rsid w:val="000D13E6"/>
    <w:rsid w:val="000D169F"/>
    <w:rsid w:val="000D1785"/>
    <w:rsid w:val="000D1AB4"/>
    <w:rsid w:val="000D1C5E"/>
    <w:rsid w:val="000D1DA5"/>
    <w:rsid w:val="000D1F2D"/>
    <w:rsid w:val="000D2775"/>
    <w:rsid w:val="000D289D"/>
    <w:rsid w:val="000D2994"/>
    <w:rsid w:val="000D3218"/>
    <w:rsid w:val="000D3322"/>
    <w:rsid w:val="000D3352"/>
    <w:rsid w:val="000D335F"/>
    <w:rsid w:val="000D34EA"/>
    <w:rsid w:val="000D38E5"/>
    <w:rsid w:val="000D39EF"/>
    <w:rsid w:val="000D3A64"/>
    <w:rsid w:val="000D3AE7"/>
    <w:rsid w:val="000D4785"/>
    <w:rsid w:val="000D4793"/>
    <w:rsid w:val="000D4C1D"/>
    <w:rsid w:val="000D4C3A"/>
    <w:rsid w:val="000D4FA3"/>
    <w:rsid w:val="000D4FA5"/>
    <w:rsid w:val="000D51DD"/>
    <w:rsid w:val="000D5375"/>
    <w:rsid w:val="000D579D"/>
    <w:rsid w:val="000D57C9"/>
    <w:rsid w:val="000D5AE6"/>
    <w:rsid w:val="000D5BF2"/>
    <w:rsid w:val="000D5D44"/>
    <w:rsid w:val="000D5EDE"/>
    <w:rsid w:val="000D6339"/>
    <w:rsid w:val="000D6692"/>
    <w:rsid w:val="000D672A"/>
    <w:rsid w:val="000D68FB"/>
    <w:rsid w:val="000D6A25"/>
    <w:rsid w:val="000D6A5A"/>
    <w:rsid w:val="000D6E9C"/>
    <w:rsid w:val="000D6F43"/>
    <w:rsid w:val="000D7045"/>
    <w:rsid w:val="000D72DF"/>
    <w:rsid w:val="000D7333"/>
    <w:rsid w:val="000D740D"/>
    <w:rsid w:val="000D749E"/>
    <w:rsid w:val="000D74C8"/>
    <w:rsid w:val="000D784A"/>
    <w:rsid w:val="000D790A"/>
    <w:rsid w:val="000D7A9C"/>
    <w:rsid w:val="000D7BE3"/>
    <w:rsid w:val="000D7D05"/>
    <w:rsid w:val="000D7D18"/>
    <w:rsid w:val="000D7DC4"/>
    <w:rsid w:val="000D7E59"/>
    <w:rsid w:val="000D7F9D"/>
    <w:rsid w:val="000D7FD8"/>
    <w:rsid w:val="000D7FFB"/>
    <w:rsid w:val="000E0135"/>
    <w:rsid w:val="000E0303"/>
    <w:rsid w:val="000E0307"/>
    <w:rsid w:val="000E0588"/>
    <w:rsid w:val="000E05E7"/>
    <w:rsid w:val="000E072F"/>
    <w:rsid w:val="000E0783"/>
    <w:rsid w:val="000E07CD"/>
    <w:rsid w:val="000E08B2"/>
    <w:rsid w:val="000E0B92"/>
    <w:rsid w:val="000E0CF4"/>
    <w:rsid w:val="000E0E21"/>
    <w:rsid w:val="000E0E6C"/>
    <w:rsid w:val="000E1160"/>
    <w:rsid w:val="000E1252"/>
    <w:rsid w:val="000E12E0"/>
    <w:rsid w:val="000E131F"/>
    <w:rsid w:val="000E1335"/>
    <w:rsid w:val="000E1ABE"/>
    <w:rsid w:val="000E1B24"/>
    <w:rsid w:val="000E2247"/>
    <w:rsid w:val="000E258C"/>
    <w:rsid w:val="000E2617"/>
    <w:rsid w:val="000E2717"/>
    <w:rsid w:val="000E29F5"/>
    <w:rsid w:val="000E2B15"/>
    <w:rsid w:val="000E2BC4"/>
    <w:rsid w:val="000E2CFB"/>
    <w:rsid w:val="000E2D4F"/>
    <w:rsid w:val="000E2EE2"/>
    <w:rsid w:val="000E32E2"/>
    <w:rsid w:val="000E3366"/>
    <w:rsid w:val="000E35B6"/>
    <w:rsid w:val="000E38F0"/>
    <w:rsid w:val="000E3989"/>
    <w:rsid w:val="000E3ECF"/>
    <w:rsid w:val="000E425F"/>
    <w:rsid w:val="000E47D8"/>
    <w:rsid w:val="000E49FF"/>
    <w:rsid w:val="000E4ABF"/>
    <w:rsid w:val="000E4C98"/>
    <w:rsid w:val="000E4DF8"/>
    <w:rsid w:val="000E51D0"/>
    <w:rsid w:val="000E525D"/>
    <w:rsid w:val="000E5475"/>
    <w:rsid w:val="000E5AB3"/>
    <w:rsid w:val="000E6500"/>
    <w:rsid w:val="000E7019"/>
    <w:rsid w:val="000E739C"/>
    <w:rsid w:val="000E754F"/>
    <w:rsid w:val="000E79EE"/>
    <w:rsid w:val="000E7C65"/>
    <w:rsid w:val="000E7CA2"/>
    <w:rsid w:val="000E7E2F"/>
    <w:rsid w:val="000E7FEE"/>
    <w:rsid w:val="000F02BD"/>
    <w:rsid w:val="000F02DE"/>
    <w:rsid w:val="000F03AC"/>
    <w:rsid w:val="000F0708"/>
    <w:rsid w:val="000F08AD"/>
    <w:rsid w:val="000F0956"/>
    <w:rsid w:val="000F0C12"/>
    <w:rsid w:val="000F0D97"/>
    <w:rsid w:val="000F0E8C"/>
    <w:rsid w:val="000F12AE"/>
    <w:rsid w:val="000F132C"/>
    <w:rsid w:val="000F1354"/>
    <w:rsid w:val="000F1768"/>
    <w:rsid w:val="000F1948"/>
    <w:rsid w:val="000F1967"/>
    <w:rsid w:val="000F243A"/>
    <w:rsid w:val="000F2534"/>
    <w:rsid w:val="000F2812"/>
    <w:rsid w:val="000F28D8"/>
    <w:rsid w:val="000F2E76"/>
    <w:rsid w:val="000F313A"/>
    <w:rsid w:val="000F3652"/>
    <w:rsid w:val="000F367C"/>
    <w:rsid w:val="000F36C3"/>
    <w:rsid w:val="000F36DE"/>
    <w:rsid w:val="000F37EB"/>
    <w:rsid w:val="000F3B14"/>
    <w:rsid w:val="000F3C9B"/>
    <w:rsid w:val="000F3D49"/>
    <w:rsid w:val="000F4276"/>
    <w:rsid w:val="000F4396"/>
    <w:rsid w:val="000F4444"/>
    <w:rsid w:val="000F47ED"/>
    <w:rsid w:val="000F493E"/>
    <w:rsid w:val="000F4A11"/>
    <w:rsid w:val="000F4B46"/>
    <w:rsid w:val="000F4BA6"/>
    <w:rsid w:val="000F4D2D"/>
    <w:rsid w:val="000F4DAC"/>
    <w:rsid w:val="000F4F5C"/>
    <w:rsid w:val="000F5609"/>
    <w:rsid w:val="000F59F1"/>
    <w:rsid w:val="000F59F8"/>
    <w:rsid w:val="000F5A42"/>
    <w:rsid w:val="000F5A58"/>
    <w:rsid w:val="000F620F"/>
    <w:rsid w:val="000F6287"/>
    <w:rsid w:val="000F629B"/>
    <w:rsid w:val="000F6609"/>
    <w:rsid w:val="000F66A9"/>
    <w:rsid w:val="000F67E3"/>
    <w:rsid w:val="000F67F0"/>
    <w:rsid w:val="000F693D"/>
    <w:rsid w:val="000F6F28"/>
    <w:rsid w:val="000F6FB7"/>
    <w:rsid w:val="000F6FD4"/>
    <w:rsid w:val="000F7059"/>
    <w:rsid w:val="000F7060"/>
    <w:rsid w:val="000F7441"/>
    <w:rsid w:val="000F7566"/>
    <w:rsid w:val="000F77DE"/>
    <w:rsid w:val="000F788E"/>
    <w:rsid w:val="000F7BCD"/>
    <w:rsid w:val="000F7CB3"/>
    <w:rsid w:val="0010002A"/>
    <w:rsid w:val="0010016F"/>
    <w:rsid w:val="0010030D"/>
    <w:rsid w:val="001007BB"/>
    <w:rsid w:val="0010086D"/>
    <w:rsid w:val="00100BD3"/>
    <w:rsid w:val="00100C4A"/>
    <w:rsid w:val="00100E4E"/>
    <w:rsid w:val="00100F9A"/>
    <w:rsid w:val="00101525"/>
    <w:rsid w:val="0010156D"/>
    <w:rsid w:val="00101802"/>
    <w:rsid w:val="001018A8"/>
    <w:rsid w:val="00101952"/>
    <w:rsid w:val="00101A3B"/>
    <w:rsid w:val="001023DD"/>
    <w:rsid w:val="0010256B"/>
    <w:rsid w:val="00102CCA"/>
    <w:rsid w:val="00103546"/>
    <w:rsid w:val="00103A4E"/>
    <w:rsid w:val="00103BDA"/>
    <w:rsid w:val="0010441D"/>
    <w:rsid w:val="00104A1D"/>
    <w:rsid w:val="00104C73"/>
    <w:rsid w:val="00104F18"/>
    <w:rsid w:val="00105210"/>
    <w:rsid w:val="001054F7"/>
    <w:rsid w:val="00105895"/>
    <w:rsid w:val="00105932"/>
    <w:rsid w:val="001059D6"/>
    <w:rsid w:val="00105A98"/>
    <w:rsid w:val="00105AB6"/>
    <w:rsid w:val="001060AB"/>
    <w:rsid w:val="00106348"/>
    <w:rsid w:val="00106401"/>
    <w:rsid w:val="0010650B"/>
    <w:rsid w:val="00106518"/>
    <w:rsid w:val="001069A7"/>
    <w:rsid w:val="00106D6F"/>
    <w:rsid w:val="00106F0D"/>
    <w:rsid w:val="00107465"/>
    <w:rsid w:val="00107477"/>
    <w:rsid w:val="0010761C"/>
    <w:rsid w:val="00107882"/>
    <w:rsid w:val="00107C1A"/>
    <w:rsid w:val="00107E51"/>
    <w:rsid w:val="00107F31"/>
    <w:rsid w:val="00107F4A"/>
    <w:rsid w:val="00107FF9"/>
    <w:rsid w:val="001101D4"/>
    <w:rsid w:val="00110771"/>
    <w:rsid w:val="001107DB"/>
    <w:rsid w:val="00110931"/>
    <w:rsid w:val="0011137E"/>
    <w:rsid w:val="0011149F"/>
    <w:rsid w:val="00111508"/>
    <w:rsid w:val="00111667"/>
    <w:rsid w:val="00111668"/>
    <w:rsid w:val="00111951"/>
    <w:rsid w:val="00111CCE"/>
    <w:rsid w:val="00111EE5"/>
    <w:rsid w:val="00111F7B"/>
    <w:rsid w:val="00112841"/>
    <w:rsid w:val="0011287E"/>
    <w:rsid w:val="00112A37"/>
    <w:rsid w:val="00112AA2"/>
    <w:rsid w:val="00112B43"/>
    <w:rsid w:val="00112E38"/>
    <w:rsid w:val="00112F1A"/>
    <w:rsid w:val="00112F22"/>
    <w:rsid w:val="00113088"/>
    <w:rsid w:val="001131EF"/>
    <w:rsid w:val="0011355E"/>
    <w:rsid w:val="00113665"/>
    <w:rsid w:val="001136A7"/>
    <w:rsid w:val="0011384C"/>
    <w:rsid w:val="001139CD"/>
    <w:rsid w:val="001140B3"/>
    <w:rsid w:val="00114618"/>
    <w:rsid w:val="00114650"/>
    <w:rsid w:val="001146EF"/>
    <w:rsid w:val="00114823"/>
    <w:rsid w:val="00114D64"/>
    <w:rsid w:val="00114D83"/>
    <w:rsid w:val="00115192"/>
    <w:rsid w:val="00115481"/>
    <w:rsid w:val="0011574B"/>
    <w:rsid w:val="0011579D"/>
    <w:rsid w:val="00115C1A"/>
    <w:rsid w:val="00115D20"/>
    <w:rsid w:val="00115E8A"/>
    <w:rsid w:val="00116478"/>
    <w:rsid w:val="001166A3"/>
    <w:rsid w:val="001166BC"/>
    <w:rsid w:val="00116CB4"/>
    <w:rsid w:val="00116FEE"/>
    <w:rsid w:val="0011714C"/>
    <w:rsid w:val="00117283"/>
    <w:rsid w:val="001172AF"/>
    <w:rsid w:val="00117830"/>
    <w:rsid w:val="0011792A"/>
    <w:rsid w:val="00117C17"/>
    <w:rsid w:val="0012026F"/>
    <w:rsid w:val="0012044E"/>
    <w:rsid w:val="001206A4"/>
    <w:rsid w:val="001206F2"/>
    <w:rsid w:val="00120A6B"/>
    <w:rsid w:val="00120ADF"/>
    <w:rsid w:val="00120DBE"/>
    <w:rsid w:val="00121923"/>
    <w:rsid w:val="001221C9"/>
    <w:rsid w:val="00122345"/>
    <w:rsid w:val="001225AE"/>
    <w:rsid w:val="00122778"/>
    <w:rsid w:val="001229E7"/>
    <w:rsid w:val="00122B32"/>
    <w:rsid w:val="00122C04"/>
    <w:rsid w:val="0012307D"/>
    <w:rsid w:val="00123A96"/>
    <w:rsid w:val="00123BC8"/>
    <w:rsid w:val="00123E41"/>
    <w:rsid w:val="00123E81"/>
    <w:rsid w:val="001246A1"/>
    <w:rsid w:val="001246E0"/>
    <w:rsid w:val="001248E8"/>
    <w:rsid w:val="0012492A"/>
    <w:rsid w:val="0012508B"/>
    <w:rsid w:val="0012523C"/>
    <w:rsid w:val="00125328"/>
    <w:rsid w:val="00125673"/>
    <w:rsid w:val="00125842"/>
    <w:rsid w:val="00125856"/>
    <w:rsid w:val="00125967"/>
    <w:rsid w:val="00125C21"/>
    <w:rsid w:val="00125D03"/>
    <w:rsid w:val="00125E7D"/>
    <w:rsid w:val="00125F8C"/>
    <w:rsid w:val="00126559"/>
    <w:rsid w:val="00126C87"/>
    <w:rsid w:val="00126D58"/>
    <w:rsid w:val="00126F4D"/>
    <w:rsid w:val="00126F7F"/>
    <w:rsid w:val="0012701F"/>
    <w:rsid w:val="0012702A"/>
    <w:rsid w:val="00127284"/>
    <w:rsid w:val="00127288"/>
    <w:rsid w:val="0012784B"/>
    <w:rsid w:val="001279A1"/>
    <w:rsid w:val="001279AE"/>
    <w:rsid w:val="00127A5E"/>
    <w:rsid w:val="00127C97"/>
    <w:rsid w:val="00127D17"/>
    <w:rsid w:val="00127EBD"/>
    <w:rsid w:val="00127F46"/>
    <w:rsid w:val="001306D5"/>
    <w:rsid w:val="0013092F"/>
    <w:rsid w:val="00130BA0"/>
    <w:rsid w:val="001313D4"/>
    <w:rsid w:val="0013178C"/>
    <w:rsid w:val="00131AC7"/>
    <w:rsid w:val="00131C4D"/>
    <w:rsid w:val="00132023"/>
    <w:rsid w:val="00132032"/>
    <w:rsid w:val="00132112"/>
    <w:rsid w:val="00132307"/>
    <w:rsid w:val="001323D6"/>
    <w:rsid w:val="00132402"/>
    <w:rsid w:val="0013254E"/>
    <w:rsid w:val="001327DA"/>
    <w:rsid w:val="00132CF1"/>
    <w:rsid w:val="00132D06"/>
    <w:rsid w:val="00133176"/>
    <w:rsid w:val="00133847"/>
    <w:rsid w:val="00133B1C"/>
    <w:rsid w:val="00134187"/>
    <w:rsid w:val="001341B9"/>
    <w:rsid w:val="001343FD"/>
    <w:rsid w:val="00134616"/>
    <w:rsid w:val="00134750"/>
    <w:rsid w:val="0013482D"/>
    <w:rsid w:val="001349BA"/>
    <w:rsid w:val="00134BE1"/>
    <w:rsid w:val="00134DEF"/>
    <w:rsid w:val="00135050"/>
    <w:rsid w:val="001352EE"/>
    <w:rsid w:val="001355D2"/>
    <w:rsid w:val="00135674"/>
    <w:rsid w:val="00135C1A"/>
    <w:rsid w:val="00135E1A"/>
    <w:rsid w:val="00136171"/>
    <w:rsid w:val="001362DE"/>
    <w:rsid w:val="00136399"/>
    <w:rsid w:val="0013691E"/>
    <w:rsid w:val="00136E76"/>
    <w:rsid w:val="00136E92"/>
    <w:rsid w:val="00136E9D"/>
    <w:rsid w:val="00136F0F"/>
    <w:rsid w:val="0013709C"/>
    <w:rsid w:val="001371CB"/>
    <w:rsid w:val="001375B9"/>
    <w:rsid w:val="001377BA"/>
    <w:rsid w:val="0013784E"/>
    <w:rsid w:val="00137A73"/>
    <w:rsid w:val="0014089D"/>
    <w:rsid w:val="00140A20"/>
    <w:rsid w:val="00140A71"/>
    <w:rsid w:val="00140A7B"/>
    <w:rsid w:val="00140C91"/>
    <w:rsid w:val="00140E4B"/>
    <w:rsid w:val="00140FB0"/>
    <w:rsid w:val="001416DD"/>
    <w:rsid w:val="0014188F"/>
    <w:rsid w:val="0014194B"/>
    <w:rsid w:val="00141B71"/>
    <w:rsid w:val="00141B8C"/>
    <w:rsid w:val="00141EFB"/>
    <w:rsid w:val="00142276"/>
    <w:rsid w:val="00142350"/>
    <w:rsid w:val="0014270D"/>
    <w:rsid w:val="00142915"/>
    <w:rsid w:val="001429D9"/>
    <w:rsid w:val="001431A2"/>
    <w:rsid w:val="001433D2"/>
    <w:rsid w:val="001439CC"/>
    <w:rsid w:val="00144449"/>
    <w:rsid w:val="0014475F"/>
    <w:rsid w:val="00144B62"/>
    <w:rsid w:val="00145071"/>
    <w:rsid w:val="0014530F"/>
    <w:rsid w:val="00145449"/>
    <w:rsid w:val="0014584E"/>
    <w:rsid w:val="00145D1F"/>
    <w:rsid w:val="00145FA1"/>
    <w:rsid w:val="00145FF3"/>
    <w:rsid w:val="001460CA"/>
    <w:rsid w:val="001464C7"/>
    <w:rsid w:val="00146858"/>
    <w:rsid w:val="001468C6"/>
    <w:rsid w:val="00146C47"/>
    <w:rsid w:val="00146E52"/>
    <w:rsid w:val="00146FCE"/>
    <w:rsid w:val="0014714F"/>
    <w:rsid w:val="0014723B"/>
    <w:rsid w:val="001474ED"/>
    <w:rsid w:val="001475D3"/>
    <w:rsid w:val="001475FA"/>
    <w:rsid w:val="0015063B"/>
    <w:rsid w:val="00150663"/>
    <w:rsid w:val="00150998"/>
    <w:rsid w:val="00150D59"/>
    <w:rsid w:val="00150E33"/>
    <w:rsid w:val="0015150F"/>
    <w:rsid w:val="0015164B"/>
    <w:rsid w:val="001518DC"/>
    <w:rsid w:val="001519C2"/>
    <w:rsid w:val="00151A66"/>
    <w:rsid w:val="00151BB3"/>
    <w:rsid w:val="0015224D"/>
    <w:rsid w:val="00152392"/>
    <w:rsid w:val="0015247C"/>
    <w:rsid w:val="001525A2"/>
    <w:rsid w:val="00152635"/>
    <w:rsid w:val="00152779"/>
    <w:rsid w:val="00152C8E"/>
    <w:rsid w:val="00152C8F"/>
    <w:rsid w:val="00152D82"/>
    <w:rsid w:val="00153A0A"/>
    <w:rsid w:val="00153A3C"/>
    <w:rsid w:val="00153CCA"/>
    <w:rsid w:val="00153E0E"/>
    <w:rsid w:val="001544AE"/>
    <w:rsid w:val="00154735"/>
    <w:rsid w:val="00154769"/>
    <w:rsid w:val="00154A2A"/>
    <w:rsid w:val="0015534A"/>
    <w:rsid w:val="00155AAB"/>
    <w:rsid w:val="00155BAE"/>
    <w:rsid w:val="00155BD6"/>
    <w:rsid w:val="00155CD7"/>
    <w:rsid w:val="001563C1"/>
    <w:rsid w:val="00156523"/>
    <w:rsid w:val="00156D2D"/>
    <w:rsid w:val="00156E3D"/>
    <w:rsid w:val="00157030"/>
    <w:rsid w:val="001572AB"/>
    <w:rsid w:val="00157499"/>
    <w:rsid w:val="001576BB"/>
    <w:rsid w:val="00157BDC"/>
    <w:rsid w:val="00157C81"/>
    <w:rsid w:val="00157CBD"/>
    <w:rsid w:val="00160100"/>
    <w:rsid w:val="00160590"/>
    <w:rsid w:val="00160935"/>
    <w:rsid w:val="001609A4"/>
    <w:rsid w:val="00160A1D"/>
    <w:rsid w:val="00160C2B"/>
    <w:rsid w:val="00160C72"/>
    <w:rsid w:val="00161071"/>
    <w:rsid w:val="00161229"/>
    <w:rsid w:val="001613EF"/>
    <w:rsid w:val="0016157A"/>
    <w:rsid w:val="001615B4"/>
    <w:rsid w:val="001618A5"/>
    <w:rsid w:val="0016195F"/>
    <w:rsid w:val="00161B8F"/>
    <w:rsid w:val="00161CB0"/>
    <w:rsid w:val="001620E3"/>
    <w:rsid w:val="001628CB"/>
    <w:rsid w:val="00163598"/>
    <w:rsid w:val="0016362D"/>
    <w:rsid w:val="00163969"/>
    <w:rsid w:val="00163C28"/>
    <w:rsid w:val="00163D0A"/>
    <w:rsid w:val="00163E11"/>
    <w:rsid w:val="00163E3A"/>
    <w:rsid w:val="00164095"/>
    <w:rsid w:val="001640CF"/>
    <w:rsid w:val="0016456A"/>
    <w:rsid w:val="00164823"/>
    <w:rsid w:val="00164996"/>
    <w:rsid w:val="00164A51"/>
    <w:rsid w:val="00164AAB"/>
    <w:rsid w:val="00164C92"/>
    <w:rsid w:val="00165A49"/>
    <w:rsid w:val="00165AE3"/>
    <w:rsid w:val="00165C10"/>
    <w:rsid w:val="00165E4D"/>
    <w:rsid w:val="00166235"/>
    <w:rsid w:val="001667A9"/>
    <w:rsid w:val="00166E36"/>
    <w:rsid w:val="00167223"/>
    <w:rsid w:val="001674FC"/>
    <w:rsid w:val="001677F9"/>
    <w:rsid w:val="0016794C"/>
    <w:rsid w:val="00167E58"/>
    <w:rsid w:val="00167F67"/>
    <w:rsid w:val="00167F84"/>
    <w:rsid w:val="00170003"/>
    <w:rsid w:val="0017014B"/>
    <w:rsid w:val="001701D7"/>
    <w:rsid w:val="001703D4"/>
    <w:rsid w:val="0017051D"/>
    <w:rsid w:val="001707A5"/>
    <w:rsid w:val="00170854"/>
    <w:rsid w:val="001709D4"/>
    <w:rsid w:val="00170FA8"/>
    <w:rsid w:val="00170FBC"/>
    <w:rsid w:val="001710E4"/>
    <w:rsid w:val="00171215"/>
    <w:rsid w:val="0017133E"/>
    <w:rsid w:val="0017140A"/>
    <w:rsid w:val="00171A25"/>
    <w:rsid w:val="00171BEA"/>
    <w:rsid w:val="001725E4"/>
    <w:rsid w:val="00172689"/>
    <w:rsid w:val="001726B8"/>
    <w:rsid w:val="00172889"/>
    <w:rsid w:val="00172938"/>
    <w:rsid w:val="0017294D"/>
    <w:rsid w:val="00172A7B"/>
    <w:rsid w:val="00173483"/>
    <w:rsid w:val="00173485"/>
    <w:rsid w:val="00173577"/>
    <w:rsid w:val="00173774"/>
    <w:rsid w:val="00173E55"/>
    <w:rsid w:val="00173E89"/>
    <w:rsid w:val="00173FBB"/>
    <w:rsid w:val="00174058"/>
    <w:rsid w:val="001745BD"/>
    <w:rsid w:val="001746ED"/>
    <w:rsid w:val="00174830"/>
    <w:rsid w:val="00175040"/>
    <w:rsid w:val="00175151"/>
    <w:rsid w:val="001751B1"/>
    <w:rsid w:val="0017564E"/>
    <w:rsid w:val="00175692"/>
    <w:rsid w:val="00175699"/>
    <w:rsid w:val="00175AC2"/>
    <w:rsid w:val="00175D7C"/>
    <w:rsid w:val="00175DE3"/>
    <w:rsid w:val="00176142"/>
    <w:rsid w:val="00176373"/>
    <w:rsid w:val="001764ED"/>
    <w:rsid w:val="00176658"/>
    <w:rsid w:val="0017670B"/>
    <w:rsid w:val="00176AA5"/>
    <w:rsid w:val="00176BB1"/>
    <w:rsid w:val="00176D80"/>
    <w:rsid w:val="00176FE0"/>
    <w:rsid w:val="001770A7"/>
    <w:rsid w:val="001770E4"/>
    <w:rsid w:val="001770F2"/>
    <w:rsid w:val="00177176"/>
    <w:rsid w:val="0017720E"/>
    <w:rsid w:val="001772CC"/>
    <w:rsid w:val="00177334"/>
    <w:rsid w:val="00177429"/>
    <w:rsid w:val="001774B1"/>
    <w:rsid w:val="00177669"/>
    <w:rsid w:val="001776B8"/>
    <w:rsid w:val="00177893"/>
    <w:rsid w:val="00177A9D"/>
    <w:rsid w:val="00177EF5"/>
    <w:rsid w:val="00180217"/>
    <w:rsid w:val="00180256"/>
    <w:rsid w:val="00180398"/>
    <w:rsid w:val="001804B7"/>
    <w:rsid w:val="001804D1"/>
    <w:rsid w:val="0018092A"/>
    <w:rsid w:val="001809D1"/>
    <w:rsid w:val="00180E40"/>
    <w:rsid w:val="00180F6C"/>
    <w:rsid w:val="00180FB9"/>
    <w:rsid w:val="001811A4"/>
    <w:rsid w:val="00181234"/>
    <w:rsid w:val="0018141A"/>
    <w:rsid w:val="00181A01"/>
    <w:rsid w:val="00181EF7"/>
    <w:rsid w:val="00182021"/>
    <w:rsid w:val="00182A8D"/>
    <w:rsid w:val="00182D06"/>
    <w:rsid w:val="00182DA6"/>
    <w:rsid w:val="0018311B"/>
    <w:rsid w:val="00183517"/>
    <w:rsid w:val="0018357F"/>
    <w:rsid w:val="0018373E"/>
    <w:rsid w:val="001839C0"/>
    <w:rsid w:val="001839E8"/>
    <w:rsid w:val="001839FA"/>
    <w:rsid w:val="00183A87"/>
    <w:rsid w:val="00183B2E"/>
    <w:rsid w:val="00183DB9"/>
    <w:rsid w:val="00183FF4"/>
    <w:rsid w:val="00184221"/>
    <w:rsid w:val="0018443E"/>
    <w:rsid w:val="00184548"/>
    <w:rsid w:val="00184BB3"/>
    <w:rsid w:val="00184E28"/>
    <w:rsid w:val="00185B71"/>
    <w:rsid w:val="00185C35"/>
    <w:rsid w:val="00185CF0"/>
    <w:rsid w:val="00185E1E"/>
    <w:rsid w:val="00186011"/>
    <w:rsid w:val="00186306"/>
    <w:rsid w:val="00186307"/>
    <w:rsid w:val="001863F7"/>
    <w:rsid w:val="00186A3F"/>
    <w:rsid w:val="00186AFE"/>
    <w:rsid w:val="00186CD9"/>
    <w:rsid w:val="00186D3A"/>
    <w:rsid w:val="00186EBC"/>
    <w:rsid w:val="00186F06"/>
    <w:rsid w:val="0018700E"/>
    <w:rsid w:val="001870CA"/>
    <w:rsid w:val="0018721B"/>
    <w:rsid w:val="001874BD"/>
    <w:rsid w:val="001876BD"/>
    <w:rsid w:val="001877CA"/>
    <w:rsid w:val="001878CB"/>
    <w:rsid w:val="00187BEB"/>
    <w:rsid w:val="00190BA2"/>
    <w:rsid w:val="00190C19"/>
    <w:rsid w:val="00190F48"/>
    <w:rsid w:val="0019121D"/>
    <w:rsid w:val="0019165B"/>
    <w:rsid w:val="001916C0"/>
    <w:rsid w:val="00191B1A"/>
    <w:rsid w:val="00191B28"/>
    <w:rsid w:val="00191E7A"/>
    <w:rsid w:val="00191EE0"/>
    <w:rsid w:val="00192326"/>
    <w:rsid w:val="00192471"/>
    <w:rsid w:val="00192C59"/>
    <w:rsid w:val="00192CE6"/>
    <w:rsid w:val="00192D80"/>
    <w:rsid w:val="00192EF3"/>
    <w:rsid w:val="001931C9"/>
    <w:rsid w:val="001934D7"/>
    <w:rsid w:val="001936CE"/>
    <w:rsid w:val="00193D60"/>
    <w:rsid w:val="0019405C"/>
    <w:rsid w:val="00194182"/>
    <w:rsid w:val="001941FE"/>
    <w:rsid w:val="00194281"/>
    <w:rsid w:val="0019445B"/>
    <w:rsid w:val="001945F7"/>
    <w:rsid w:val="00194CF4"/>
    <w:rsid w:val="001952BB"/>
    <w:rsid w:val="0019547C"/>
    <w:rsid w:val="00195914"/>
    <w:rsid w:val="00195A67"/>
    <w:rsid w:val="00195DA4"/>
    <w:rsid w:val="0019736C"/>
    <w:rsid w:val="00197587"/>
    <w:rsid w:val="00197780"/>
    <w:rsid w:val="00197903"/>
    <w:rsid w:val="00197D31"/>
    <w:rsid w:val="001A0119"/>
    <w:rsid w:val="001A0142"/>
    <w:rsid w:val="001A0225"/>
    <w:rsid w:val="001A043B"/>
    <w:rsid w:val="001A08C6"/>
    <w:rsid w:val="001A08F5"/>
    <w:rsid w:val="001A0EFE"/>
    <w:rsid w:val="001A1362"/>
    <w:rsid w:val="001A186A"/>
    <w:rsid w:val="001A18A8"/>
    <w:rsid w:val="001A198D"/>
    <w:rsid w:val="001A1BAD"/>
    <w:rsid w:val="001A1CF5"/>
    <w:rsid w:val="001A2055"/>
    <w:rsid w:val="001A20DC"/>
    <w:rsid w:val="001A23F5"/>
    <w:rsid w:val="001A2A0F"/>
    <w:rsid w:val="001A2B43"/>
    <w:rsid w:val="001A2C5A"/>
    <w:rsid w:val="001A301B"/>
    <w:rsid w:val="001A308A"/>
    <w:rsid w:val="001A3126"/>
    <w:rsid w:val="001A32B3"/>
    <w:rsid w:val="001A3459"/>
    <w:rsid w:val="001A34BF"/>
    <w:rsid w:val="001A34DA"/>
    <w:rsid w:val="001A35D6"/>
    <w:rsid w:val="001A3664"/>
    <w:rsid w:val="001A39FD"/>
    <w:rsid w:val="001A3ADA"/>
    <w:rsid w:val="001A3DC9"/>
    <w:rsid w:val="001A3EC2"/>
    <w:rsid w:val="001A3F6F"/>
    <w:rsid w:val="001A455F"/>
    <w:rsid w:val="001A456E"/>
    <w:rsid w:val="001A45CD"/>
    <w:rsid w:val="001A4792"/>
    <w:rsid w:val="001A47A6"/>
    <w:rsid w:val="001A4A44"/>
    <w:rsid w:val="001A4BA0"/>
    <w:rsid w:val="001A5239"/>
    <w:rsid w:val="001A5604"/>
    <w:rsid w:val="001A5634"/>
    <w:rsid w:val="001A611F"/>
    <w:rsid w:val="001A61FF"/>
    <w:rsid w:val="001A6887"/>
    <w:rsid w:val="001A6A0A"/>
    <w:rsid w:val="001A7037"/>
    <w:rsid w:val="001A763B"/>
    <w:rsid w:val="001A7786"/>
    <w:rsid w:val="001A7A0B"/>
    <w:rsid w:val="001A7A96"/>
    <w:rsid w:val="001A7FB5"/>
    <w:rsid w:val="001ABE64"/>
    <w:rsid w:val="001B00CE"/>
    <w:rsid w:val="001B00E7"/>
    <w:rsid w:val="001B0121"/>
    <w:rsid w:val="001B052C"/>
    <w:rsid w:val="001B07F3"/>
    <w:rsid w:val="001B0D1E"/>
    <w:rsid w:val="001B0DE5"/>
    <w:rsid w:val="001B0FE6"/>
    <w:rsid w:val="001B106F"/>
    <w:rsid w:val="001B1296"/>
    <w:rsid w:val="001B12A9"/>
    <w:rsid w:val="001B13B8"/>
    <w:rsid w:val="001B148D"/>
    <w:rsid w:val="001B1546"/>
    <w:rsid w:val="001B1B8C"/>
    <w:rsid w:val="001B1FB3"/>
    <w:rsid w:val="001B22EF"/>
    <w:rsid w:val="001B2373"/>
    <w:rsid w:val="001B23D0"/>
    <w:rsid w:val="001B2429"/>
    <w:rsid w:val="001B27CF"/>
    <w:rsid w:val="001B2963"/>
    <w:rsid w:val="001B2B7D"/>
    <w:rsid w:val="001B2F07"/>
    <w:rsid w:val="001B32DA"/>
    <w:rsid w:val="001B376D"/>
    <w:rsid w:val="001B37D4"/>
    <w:rsid w:val="001B3BDA"/>
    <w:rsid w:val="001B3BEA"/>
    <w:rsid w:val="001B4241"/>
    <w:rsid w:val="001B5AC9"/>
    <w:rsid w:val="001B5B6B"/>
    <w:rsid w:val="001B5D05"/>
    <w:rsid w:val="001B5E11"/>
    <w:rsid w:val="001B5EAE"/>
    <w:rsid w:val="001B6389"/>
    <w:rsid w:val="001B639B"/>
    <w:rsid w:val="001B6426"/>
    <w:rsid w:val="001B689B"/>
    <w:rsid w:val="001B6C2D"/>
    <w:rsid w:val="001B7227"/>
    <w:rsid w:val="001B74DC"/>
    <w:rsid w:val="001B782E"/>
    <w:rsid w:val="001B7AE7"/>
    <w:rsid w:val="001B7C2D"/>
    <w:rsid w:val="001C01DC"/>
    <w:rsid w:val="001C04CC"/>
    <w:rsid w:val="001C051E"/>
    <w:rsid w:val="001C06A3"/>
    <w:rsid w:val="001C06AA"/>
    <w:rsid w:val="001C0873"/>
    <w:rsid w:val="001C0899"/>
    <w:rsid w:val="001C0ADC"/>
    <w:rsid w:val="001C0C75"/>
    <w:rsid w:val="001C0C83"/>
    <w:rsid w:val="001C0D4D"/>
    <w:rsid w:val="001C0E42"/>
    <w:rsid w:val="001C13C6"/>
    <w:rsid w:val="001C150C"/>
    <w:rsid w:val="001C193D"/>
    <w:rsid w:val="001C1EEB"/>
    <w:rsid w:val="001C1FF7"/>
    <w:rsid w:val="001C203A"/>
    <w:rsid w:val="001C20F1"/>
    <w:rsid w:val="001C2380"/>
    <w:rsid w:val="001C2979"/>
    <w:rsid w:val="001C2F9B"/>
    <w:rsid w:val="001C32AD"/>
    <w:rsid w:val="001C3608"/>
    <w:rsid w:val="001C376F"/>
    <w:rsid w:val="001C3836"/>
    <w:rsid w:val="001C383C"/>
    <w:rsid w:val="001C3AAA"/>
    <w:rsid w:val="001C3AD4"/>
    <w:rsid w:val="001C3F5C"/>
    <w:rsid w:val="001C40A1"/>
    <w:rsid w:val="001C40B3"/>
    <w:rsid w:val="001C41CB"/>
    <w:rsid w:val="001C44D9"/>
    <w:rsid w:val="001C4A26"/>
    <w:rsid w:val="001C4D2C"/>
    <w:rsid w:val="001C4E06"/>
    <w:rsid w:val="001C577B"/>
    <w:rsid w:val="001C5D6D"/>
    <w:rsid w:val="001C5F2A"/>
    <w:rsid w:val="001C6049"/>
    <w:rsid w:val="001C60DD"/>
    <w:rsid w:val="001C68A8"/>
    <w:rsid w:val="001C69D7"/>
    <w:rsid w:val="001C6BB6"/>
    <w:rsid w:val="001C6DC2"/>
    <w:rsid w:val="001C7264"/>
    <w:rsid w:val="001C7384"/>
    <w:rsid w:val="001C7497"/>
    <w:rsid w:val="001C758A"/>
    <w:rsid w:val="001C76F9"/>
    <w:rsid w:val="001C78DA"/>
    <w:rsid w:val="001C796E"/>
    <w:rsid w:val="001C79A2"/>
    <w:rsid w:val="001C7D17"/>
    <w:rsid w:val="001C7D1B"/>
    <w:rsid w:val="001D0112"/>
    <w:rsid w:val="001D011C"/>
    <w:rsid w:val="001D045A"/>
    <w:rsid w:val="001D07DB"/>
    <w:rsid w:val="001D08D6"/>
    <w:rsid w:val="001D0D79"/>
    <w:rsid w:val="001D108C"/>
    <w:rsid w:val="001D10BA"/>
    <w:rsid w:val="001D10C7"/>
    <w:rsid w:val="001D11C3"/>
    <w:rsid w:val="001D14B9"/>
    <w:rsid w:val="001D1511"/>
    <w:rsid w:val="001D1684"/>
    <w:rsid w:val="001D17FE"/>
    <w:rsid w:val="001D1D0D"/>
    <w:rsid w:val="001D24DC"/>
    <w:rsid w:val="001D252B"/>
    <w:rsid w:val="001D259F"/>
    <w:rsid w:val="001D25F7"/>
    <w:rsid w:val="001D26B3"/>
    <w:rsid w:val="001D2705"/>
    <w:rsid w:val="001D2933"/>
    <w:rsid w:val="001D2AB4"/>
    <w:rsid w:val="001D2FB1"/>
    <w:rsid w:val="001D30B1"/>
    <w:rsid w:val="001D3228"/>
    <w:rsid w:val="001D3234"/>
    <w:rsid w:val="001D3371"/>
    <w:rsid w:val="001D3382"/>
    <w:rsid w:val="001D3415"/>
    <w:rsid w:val="001D36E0"/>
    <w:rsid w:val="001D43DF"/>
    <w:rsid w:val="001D44B0"/>
    <w:rsid w:val="001D4A36"/>
    <w:rsid w:val="001D4E63"/>
    <w:rsid w:val="001D4EB9"/>
    <w:rsid w:val="001D4F1D"/>
    <w:rsid w:val="001D4F1E"/>
    <w:rsid w:val="001D546E"/>
    <w:rsid w:val="001D5746"/>
    <w:rsid w:val="001D5BA0"/>
    <w:rsid w:val="001D5D47"/>
    <w:rsid w:val="001D5DE3"/>
    <w:rsid w:val="001D5DE4"/>
    <w:rsid w:val="001D61F8"/>
    <w:rsid w:val="001D686A"/>
    <w:rsid w:val="001D6A42"/>
    <w:rsid w:val="001D6AA0"/>
    <w:rsid w:val="001D6B66"/>
    <w:rsid w:val="001D6DE6"/>
    <w:rsid w:val="001D6F1D"/>
    <w:rsid w:val="001D7055"/>
    <w:rsid w:val="001D70F8"/>
    <w:rsid w:val="001D7166"/>
    <w:rsid w:val="001D71FB"/>
    <w:rsid w:val="001D7393"/>
    <w:rsid w:val="001D76DB"/>
    <w:rsid w:val="001D79B1"/>
    <w:rsid w:val="001D7ADB"/>
    <w:rsid w:val="001D7B89"/>
    <w:rsid w:val="001D7CBE"/>
    <w:rsid w:val="001D7CDF"/>
    <w:rsid w:val="001D7CF1"/>
    <w:rsid w:val="001D7D22"/>
    <w:rsid w:val="001E021B"/>
    <w:rsid w:val="001E04D0"/>
    <w:rsid w:val="001E0994"/>
    <w:rsid w:val="001E0AC9"/>
    <w:rsid w:val="001E0B0D"/>
    <w:rsid w:val="001E0CD2"/>
    <w:rsid w:val="001E10A5"/>
    <w:rsid w:val="001E12DA"/>
    <w:rsid w:val="001E133F"/>
    <w:rsid w:val="001E1517"/>
    <w:rsid w:val="001E1565"/>
    <w:rsid w:val="001E1791"/>
    <w:rsid w:val="001E17A1"/>
    <w:rsid w:val="001E1827"/>
    <w:rsid w:val="001E1C09"/>
    <w:rsid w:val="001E1F4D"/>
    <w:rsid w:val="001E21FE"/>
    <w:rsid w:val="001E2330"/>
    <w:rsid w:val="001E2414"/>
    <w:rsid w:val="001E2441"/>
    <w:rsid w:val="001E2468"/>
    <w:rsid w:val="001E2532"/>
    <w:rsid w:val="001E2562"/>
    <w:rsid w:val="001E25EC"/>
    <w:rsid w:val="001E297D"/>
    <w:rsid w:val="001E2A90"/>
    <w:rsid w:val="001E2AD9"/>
    <w:rsid w:val="001E2C71"/>
    <w:rsid w:val="001E2ED8"/>
    <w:rsid w:val="001E328A"/>
    <w:rsid w:val="001E3353"/>
    <w:rsid w:val="001E33F8"/>
    <w:rsid w:val="001E355B"/>
    <w:rsid w:val="001E3C47"/>
    <w:rsid w:val="001E3CC7"/>
    <w:rsid w:val="001E3E97"/>
    <w:rsid w:val="001E3F1F"/>
    <w:rsid w:val="001E40FE"/>
    <w:rsid w:val="001E4135"/>
    <w:rsid w:val="001E4555"/>
    <w:rsid w:val="001E45F2"/>
    <w:rsid w:val="001E4708"/>
    <w:rsid w:val="001E4AE2"/>
    <w:rsid w:val="001E4E98"/>
    <w:rsid w:val="001E54EC"/>
    <w:rsid w:val="001E5720"/>
    <w:rsid w:val="001E5896"/>
    <w:rsid w:val="001E5918"/>
    <w:rsid w:val="001E5F15"/>
    <w:rsid w:val="001E6095"/>
    <w:rsid w:val="001E665E"/>
    <w:rsid w:val="001E67FF"/>
    <w:rsid w:val="001E6D56"/>
    <w:rsid w:val="001E78B2"/>
    <w:rsid w:val="001E7ACB"/>
    <w:rsid w:val="001E7B1C"/>
    <w:rsid w:val="001E7BA7"/>
    <w:rsid w:val="001E7BF8"/>
    <w:rsid w:val="001F0337"/>
    <w:rsid w:val="001F073C"/>
    <w:rsid w:val="001F0D0A"/>
    <w:rsid w:val="001F0E5C"/>
    <w:rsid w:val="001F1252"/>
    <w:rsid w:val="001F1947"/>
    <w:rsid w:val="001F1A90"/>
    <w:rsid w:val="001F202C"/>
    <w:rsid w:val="001F20A4"/>
    <w:rsid w:val="001F20C6"/>
    <w:rsid w:val="001F24CE"/>
    <w:rsid w:val="001F2912"/>
    <w:rsid w:val="001F29E2"/>
    <w:rsid w:val="001F2C87"/>
    <w:rsid w:val="001F2D76"/>
    <w:rsid w:val="001F2F47"/>
    <w:rsid w:val="001F3154"/>
    <w:rsid w:val="001F3680"/>
    <w:rsid w:val="001F377A"/>
    <w:rsid w:val="001F3953"/>
    <w:rsid w:val="001F3C0E"/>
    <w:rsid w:val="001F3C72"/>
    <w:rsid w:val="001F3CDE"/>
    <w:rsid w:val="001F3E56"/>
    <w:rsid w:val="001F3EFC"/>
    <w:rsid w:val="001F3F25"/>
    <w:rsid w:val="001F3FCA"/>
    <w:rsid w:val="001F4392"/>
    <w:rsid w:val="001F4498"/>
    <w:rsid w:val="001F4620"/>
    <w:rsid w:val="001F4956"/>
    <w:rsid w:val="001F4AA1"/>
    <w:rsid w:val="001F4AB0"/>
    <w:rsid w:val="001F4C5A"/>
    <w:rsid w:val="001F4EEF"/>
    <w:rsid w:val="001F5016"/>
    <w:rsid w:val="001F5418"/>
    <w:rsid w:val="001F5A31"/>
    <w:rsid w:val="001F5F25"/>
    <w:rsid w:val="001F5FD9"/>
    <w:rsid w:val="001F5FF1"/>
    <w:rsid w:val="001F63D4"/>
    <w:rsid w:val="001F6459"/>
    <w:rsid w:val="001F64DC"/>
    <w:rsid w:val="001F6896"/>
    <w:rsid w:val="001F68D2"/>
    <w:rsid w:val="001F6900"/>
    <w:rsid w:val="001F729E"/>
    <w:rsid w:val="001F7895"/>
    <w:rsid w:val="001F7FE5"/>
    <w:rsid w:val="00200296"/>
    <w:rsid w:val="0020029D"/>
    <w:rsid w:val="0020039B"/>
    <w:rsid w:val="00200DBE"/>
    <w:rsid w:val="00200F0C"/>
    <w:rsid w:val="00201353"/>
    <w:rsid w:val="00201658"/>
    <w:rsid w:val="002016E7"/>
    <w:rsid w:val="00201ADB"/>
    <w:rsid w:val="00201C53"/>
    <w:rsid w:val="00202336"/>
    <w:rsid w:val="002023FE"/>
    <w:rsid w:val="0020250B"/>
    <w:rsid w:val="00202905"/>
    <w:rsid w:val="00202B76"/>
    <w:rsid w:val="00202BBA"/>
    <w:rsid w:val="00202CF7"/>
    <w:rsid w:val="00202EF3"/>
    <w:rsid w:val="00203036"/>
    <w:rsid w:val="0020358C"/>
    <w:rsid w:val="002036A7"/>
    <w:rsid w:val="00203825"/>
    <w:rsid w:val="002039CB"/>
    <w:rsid w:val="00203D8B"/>
    <w:rsid w:val="002042DF"/>
    <w:rsid w:val="002046E5"/>
    <w:rsid w:val="002047A9"/>
    <w:rsid w:val="002049FB"/>
    <w:rsid w:val="00204AA2"/>
    <w:rsid w:val="00204B6C"/>
    <w:rsid w:val="00204D5B"/>
    <w:rsid w:val="00205557"/>
    <w:rsid w:val="00205609"/>
    <w:rsid w:val="002056ED"/>
    <w:rsid w:val="00205763"/>
    <w:rsid w:val="002058E5"/>
    <w:rsid w:val="00205AC6"/>
    <w:rsid w:val="00205B7A"/>
    <w:rsid w:val="00205D18"/>
    <w:rsid w:val="0020625F"/>
    <w:rsid w:val="002062A0"/>
    <w:rsid w:val="00206332"/>
    <w:rsid w:val="002074E2"/>
    <w:rsid w:val="00207C0B"/>
    <w:rsid w:val="002100E9"/>
    <w:rsid w:val="002101F8"/>
    <w:rsid w:val="00210431"/>
    <w:rsid w:val="00210592"/>
    <w:rsid w:val="00210ACE"/>
    <w:rsid w:val="00210C30"/>
    <w:rsid w:val="00210FAA"/>
    <w:rsid w:val="00211340"/>
    <w:rsid w:val="0021139C"/>
    <w:rsid w:val="002113B7"/>
    <w:rsid w:val="00211769"/>
    <w:rsid w:val="00211CB0"/>
    <w:rsid w:val="00211D25"/>
    <w:rsid w:val="00211E5F"/>
    <w:rsid w:val="00211F51"/>
    <w:rsid w:val="0021217F"/>
    <w:rsid w:val="00212CE5"/>
    <w:rsid w:val="00212FF3"/>
    <w:rsid w:val="0021304E"/>
    <w:rsid w:val="002134C8"/>
    <w:rsid w:val="0021359D"/>
    <w:rsid w:val="002135B2"/>
    <w:rsid w:val="002139D5"/>
    <w:rsid w:val="00213FA9"/>
    <w:rsid w:val="00213FE4"/>
    <w:rsid w:val="0021407A"/>
    <w:rsid w:val="00214438"/>
    <w:rsid w:val="00214501"/>
    <w:rsid w:val="00214CFF"/>
    <w:rsid w:val="00214DBC"/>
    <w:rsid w:val="00214FD9"/>
    <w:rsid w:val="002150AE"/>
    <w:rsid w:val="002151CD"/>
    <w:rsid w:val="00215629"/>
    <w:rsid w:val="00215787"/>
    <w:rsid w:val="00215902"/>
    <w:rsid w:val="00215972"/>
    <w:rsid w:val="00215AC3"/>
    <w:rsid w:val="00215B5E"/>
    <w:rsid w:val="00215FB0"/>
    <w:rsid w:val="0021607D"/>
    <w:rsid w:val="002165CD"/>
    <w:rsid w:val="00216816"/>
    <w:rsid w:val="00216AEF"/>
    <w:rsid w:val="00216C31"/>
    <w:rsid w:val="00216E67"/>
    <w:rsid w:val="0021701F"/>
    <w:rsid w:val="0021712C"/>
    <w:rsid w:val="00217A85"/>
    <w:rsid w:val="00217FAE"/>
    <w:rsid w:val="002200E3"/>
    <w:rsid w:val="00220424"/>
    <w:rsid w:val="00220441"/>
    <w:rsid w:val="002205EB"/>
    <w:rsid w:val="002209DB"/>
    <w:rsid w:val="002209E1"/>
    <w:rsid w:val="00220C6D"/>
    <w:rsid w:val="00220DC4"/>
    <w:rsid w:val="00220DCB"/>
    <w:rsid w:val="00220EF8"/>
    <w:rsid w:val="00220F21"/>
    <w:rsid w:val="00220FE5"/>
    <w:rsid w:val="002210E2"/>
    <w:rsid w:val="0022112C"/>
    <w:rsid w:val="0022116C"/>
    <w:rsid w:val="0022130E"/>
    <w:rsid w:val="0022160B"/>
    <w:rsid w:val="00221B23"/>
    <w:rsid w:val="00221B3C"/>
    <w:rsid w:val="00221B5C"/>
    <w:rsid w:val="00221CFF"/>
    <w:rsid w:val="002220E3"/>
    <w:rsid w:val="0022222A"/>
    <w:rsid w:val="0022254D"/>
    <w:rsid w:val="00222A49"/>
    <w:rsid w:val="00222BDC"/>
    <w:rsid w:val="00222C06"/>
    <w:rsid w:val="00222D4B"/>
    <w:rsid w:val="00223022"/>
    <w:rsid w:val="00223163"/>
    <w:rsid w:val="002234A6"/>
    <w:rsid w:val="002234EA"/>
    <w:rsid w:val="00223676"/>
    <w:rsid w:val="002238E0"/>
    <w:rsid w:val="00223B1F"/>
    <w:rsid w:val="00223E65"/>
    <w:rsid w:val="00223ECB"/>
    <w:rsid w:val="002242FC"/>
    <w:rsid w:val="00224577"/>
    <w:rsid w:val="002249D5"/>
    <w:rsid w:val="00225014"/>
    <w:rsid w:val="002250C2"/>
    <w:rsid w:val="00225108"/>
    <w:rsid w:val="002251FF"/>
    <w:rsid w:val="00225441"/>
    <w:rsid w:val="00225692"/>
    <w:rsid w:val="002256AE"/>
    <w:rsid w:val="002256D5"/>
    <w:rsid w:val="002257F5"/>
    <w:rsid w:val="00225FCB"/>
    <w:rsid w:val="002262E8"/>
    <w:rsid w:val="002263D6"/>
    <w:rsid w:val="00226583"/>
    <w:rsid w:val="00226B28"/>
    <w:rsid w:val="0022718B"/>
    <w:rsid w:val="002271A9"/>
    <w:rsid w:val="002273B0"/>
    <w:rsid w:val="00227614"/>
    <w:rsid w:val="002277DB"/>
    <w:rsid w:val="002277F1"/>
    <w:rsid w:val="002278C7"/>
    <w:rsid w:val="002279F0"/>
    <w:rsid w:val="00227BB6"/>
    <w:rsid w:val="00227D10"/>
    <w:rsid w:val="00230475"/>
    <w:rsid w:val="00230483"/>
    <w:rsid w:val="00230533"/>
    <w:rsid w:val="00230765"/>
    <w:rsid w:val="00230BCC"/>
    <w:rsid w:val="00230EFD"/>
    <w:rsid w:val="00230FDC"/>
    <w:rsid w:val="0023119E"/>
    <w:rsid w:val="00231252"/>
    <w:rsid w:val="00231285"/>
    <w:rsid w:val="00231406"/>
    <w:rsid w:val="00231A65"/>
    <w:rsid w:val="00231D5A"/>
    <w:rsid w:val="00231F8B"/>
    <w:rsid w:val="002320D5"/>
    <w:rsid w:val="0023241C"/>
    <w:rsid w:val="002328F2"/>
    <w:rsid w:val="00232B61"/>
    <w:rsid w:val="00232C48"/>
    <w:rsid w:val="00233139"/>
    <w:rsid w:val="00233296"/>
    <w:rsid w:val="002333F3"/>
    <w:rsid w:val="002336DB"/>
    <w:rsid w:val="00233714"/>
    <w:rsid w:val="00233B8E"/>
    <w:rsid w:val="00233CC5"/>
    <w:rsid w:val="00233F26"/>
    <w:rsid w:val="00234259"/>
    <w:rsid w:val="002343F9"/>
    <w:rsid w:val="00234654"/>
    <w:rsid w:val="00234775"/>
    <w:rsid w:val="00234A4C"/>
    <w:rsid w:val="00234B78"/>
    <w:rsid w:val="00234C59"/>
    <w:rsid w:val="00234C5A"/>
    <w:rsid w:val="0023543A"/>
    <w:rsid w:val="0023581A"/>
    <w:rsid w:val="002358FF"/>
    <w:rsid w:val="002359C3"/>
    <w:rsid w:val="00235CEA"/>
    <w:rsid w:val="00235E3E"/>
    <w:rsid w:val="00235ED7"/>
    <w:rsid w:val="00236156"/>
    <w:rsid w:val="0023656C"/>
    <w:rsid w:val="002365B2"/>
    <w:rsid w:val="002365ED"/>
    <w:rsid w:val="002366AA"/>
    <w:rsid w:val="00236828"/>
    <w:rsid w:val="00236937"/>
    <w:rsid w:val="00236C97"/>
    <w:rsid w:val="00236E7D"/>
    <w:rsid w:val="00237016"/>
    <w:rsid w:val="0023736D"/>
    <w:rsid w:val="002375B2"/>
    <w:rsid w:val="0023770D"/>
    <w:rsid w:val="0023786F"/>
    <w:rsid w:val="002378C3"/>
    <w:rsid w:val="00237BC2"/>
    <w:rsid w:val="00237DC6"/>
    <w:rsid w:val="00237E7D"/>
    <w:rsid w:val="00237ED4"/>
    <w:rsid w:val="002403B7"/>
    <w:rsid w:val="00240474"/>
    <w:rsid w:val="00240639"/>
    <w:rsid w:val="00240666"/>
    <w:rsid w:val="00240775"/>
    <w:rsid w:val="002407DF"/>
    <w:rsid w:val="00240972"/>
    <w:rsid w:val="00240B68"/>
    <w:rsid w:val="00240D75"/>
    <w:rsid w:val="00241438"/>
    <w:rsid w:val="002417B1"/>
    <w:rsid w:val="00241A8D"/>
    <w:rsid w:val="00242164"/>
    <w:rsid w:val="002425EA"/>
    <w:rsid w:val="0024262A"/>
    <w:rsid w:val="00242DA9"/>
    <w:rsid w:val="00242DC9"/>
    <w:rsid w:val="00242DCD"/>
    <w:rsid w:val="00242E9D"/>
    <w:rsid w:val="00242EA0"/>
    <w:rsid w:val="0024344C"/>
    <w:rsid w:val="00243685"/>
    <w:rsid w:val="00243CD6"/>
    <w:rsid w:val="00243E14"/>
    <w:rsid w:val="00243E2D"/>
    <w:rsid w:val="00243F24"/>
    <w:rsid w:val="00244385"/>
    <w:rsid w:val="002444DC"/>
    <w:rsid w:val="0024459C"/>
    <w:rsid w:val="0024460A"/>
    <w:rsid w:val="0024493E"/>
    <w:rsid w:val="00244CDE"/>
    <w:rsid w:val="00245625"/>
    <w:rsid w:val="00245663"/>
    <w:rsid w:val="002456A1"/>
    <w:rsid w:val="00245839"/>
    <w:rsid w:val="002458D2"/>
    <w:rsid w:val="00245A74"/>
    <w:rsid w:val="00245AD1"/>
    <w:rsid w:val="00245AD9"/>
    <w:rsid w:val="00245B45"/>
    <w:rsid w:val="00245D9F"/>
    <w:rsid w:val="00245DFF"/>
    <w:rsid w:val="00245FB0"/>
    <w:rsid w:val="0024661D"/>
    <w:rsid w:val="00246A85"/>
    <w:rsid w:val="00246BDF"/>
    <w:rsid w:val="002470BB"/>
    <w:rsid w:val="00247138"/>
    <w:rsid w:val="002471BF"/>
    <w:rsid w:val="0024753B"/>
    <w:rsid w:val="0024794B"/>
    <w:rsid w:val="00247A02"/>
    <w:rsid w:val="00247B11"/>
    <w:rsid w:val="00247BD6"/>
    <w:rsid w:val="00247DB4"/>
    <w:rsid w:val="00250402"/>
    <w:rsid w:val="002504CF"/>
    <w:rsid w:val="002505E5"/>
    <w:rsid w:val="0025079D"/>
    <w:rsid w:val="00250B12"/>
    <w:rsid w:val="002510F2"/>
    <w:rsid w:val="002515DB"/>
    <w:rsid w:val="002515E9"/>
    <w:rsid w:val="00251923"/>
    <w:rsid w:val="00251988"/>
    <w:rsid w:val="00251A63"/>
    <w:rsid w:val="0025237B"/>
    <w:rsid w:val="002524C9"/>
    <w:rsid w:val="002526B9"/>
    <w:rsid w:val="00252706"/>
    <w:rsid w:val="00252B61"/>
    <w:rsid w:val="00252D05"/>
    <w:rsid w:val="00252D2A"/>
    <w:rsid w:val="00252D61"/>
    <w:rsid w:val="00252E70"/>
    <w:rsid w:val="002530E7"/>
    <w:rsid w:val="002532B4"/>
    <w:rsid w:val="002539E5"/>
    <w:rsid w:val="00253DB5"/>
    <w:rsid w:val="002544A3"/>
    <w:rsid w:val="002544DF"/>
    <w:rsid w:val="002545DA"/>
    <w:rsid w:val="00254637"/>
    <w:rsid w:val="0025485A"/>
    <w:rsid w:val="0025487C"/>
    <w:rsid w:val="00254AE2"/>
    <w:rsid w:val="00254B09"/>
    <w:rsid w:val="00254D0F"/>
    <w:rsid w:val="00254EEB"/>
    <w:rsid w:val="00255095"/>
    <w:rsid w:val="00255853"/>
    <w:rsid w:val="002559E1"/>
    <w:rsid w:val="00255DA4"/>
    <w:rsid w:val="00255E04"/>
    <w:rsid w:val="0025613F"/>
    <w:rsid w:val="00256554"/>
    <w:rsid w:val="002567C0"/>
    <w:rsid w:val="002567D1"/>
    <w:rsid w:val="0025683C"/>
    <w:rsid w:val="00256AE9"/>
    <w:rsid w:val="002571B3"/>
    <w:rsid w:val="002571E6"/>
    <w:rsid w:val="00257454"/>
    <w:rsid w:val="00257C43"/>
    <w:rsid w:val="00257D01"/>
    <w:rsid w:val="00257F91"/>
    <w:rsid w:val="00260002"/>
    <w:rsid w:val="002600E7"/>
    <w:rsid w:val="00260676"/>
    <w:rsid w:val="00260978"/>
    <w:rsid w:val="00261289"/>
    <w:rsid w:val="00261450"/>
    <w:rsid w:val="002618D6"/>
    <w:rsid w:val="00261B3E"/>
    <w:rsid w:val="00261B5C"/>
    <w:rsid w:val="00261C51"/>
    <w:rsid w:val="00261C6E"/>
    <w:rsid w:val="00261DC6"/>
    <w:rsid w:val="002622DD"/>
    <w:rsid w:val="00262395"/>
    <w:rsid w:val="00262809"/>
    <w:rsid w:val="00262918"/>
    <w:rsid w:val="00262C13"/>
    <w:rsid w:val="00262D9E"/>
    <w:rsid w:val="00263308"/>
    <w:rsid w:val="00263721"/>
    <w:rsid w:val="00263902"/>
    <w:rsid w:val="00263919"/>
    <w:rsid w:val="0026395E"/>
    <w:rsid w:val="0026398D"/>
    <w:rsid w:val="00263A45"/>
    <w:rsid w:val="002642C6"/>
    <w:rsid w:val="00264623"/>
    <w:rsid w:val="00264773"/>
    <w:rsid w:val="00264BB1"/>
    <w:rsid w:val="00264D78"/>
    <w:rsid w:val="00264E52"/>
    <w:rsid w:val="002650D4"/>
    <w:rsid w:val="00265393"/>
    <w:rsid w:val="00265534"/>
    <w:rsid w:val="002655C8"/>
    <w:rsid w:val="0026595C"/>
    <w:rsid w:val="00265B77"/>
    <w:rsid w:val="00265CF4"/>
    <w:rsid w:val="00265D56"/>
    <w:rsid w:val="0026603A"/>
    <w:rsid w:val="002661F7"/>
    <w:rsid w:val="002662BD"/>
    <w:rsid w:val="002662C2"/>
    <w:rsid w:val="0026634E"/>
    <w:rsid w:val="00266489"/>
    <w:rsid w:val="0026656E"/>
    <w:rsid w:val="00266DC7"/>
    <w:rsid w:val="00266EA3"/>
    <w:rsid w:val="00266ED3"/>
    <w:rsid w:val="002670A5"/>
    <w:rsid w:val="0026717E"/>
    <w:rsid w:val="002673DA"/>
    <w:rsid w:val="00267415"/>
    <w:rsid w:val="00267939"/>
    <w:rsid w:val="0026C202"/>
    <w:rsid w:val="00270756"/>
    <w:rsid w:val="002707C6"/>
    <w:rsid w:val="002708C6"/>
    <w:rsid w:val="002708C8"/>
    <w:rsid w:val="00270A88"/>
    <w:rsid w:val="00270BBC"/>
    <w:rsid w:val="0027103B"/>
    <w:rsid w:val="0027105C"/>
    <w:rsid w:val="002717D4"/>
    <w:rsid w:val="00271839"/>
    <w:rsid w:val="00271A5B"/>
    <w:rsid w:val="00271C27"/>
    <w:rsid w:val="00271E8C"/>
    <w:rsid w:val="00271EDA"/>
    <w:rsid w:val="00272597"/>
    <w:rsid w:val="00272657"/>
    <w:rsid w:val="00272834"/>
    <w:rsid w:val="00272DEA"/>
    <w:rsid w:val="0027331C"/>
    <w:rsid w:val="00273988"/>
    <w:rsid w:val="00273A03"/>
    <w:rsid w:val="00273A6A"/>
    <w:rsid w:val="00273AE6"/>
    <w:rsid w:val="00273C83"/>
    <w:rsid w:val="00273E22"/>
    <w:rsid w:val="002742C7"/>
    <w:rsid w:val="00274334"/>
    <w:rsid w:val="00274540"/>
    <w:rsid w:val="00274FC3"/>
    <w:rsid w:val="00275035"/>
    <w:rsid w:val="002750A0"/>
    <w:rsid w:val="002750C6"/>
    <w:rsid w:val="0027517B"/>
    <w:rsid w:val="0027523F"/>
    <w:rsid w:val="002754C4"/>
    <w:rsid w:val="0027575E"/>
    <w:rsid w:val="00275D1E"/>
    <w:rsid w:val="00275E71"/>
    <w:rsid w:val="00275FE2"/>
    <w:rsid w:val="00276049"/>
    <w:rsid w:val="0027645C"/>
    <w:rsid w:val="002765F0"/>
    <w:rsid w:val="00276C8A"/>
    <w:rsid w:val="00276C8F"/>
    <w:rsid w:val="00276DF4"/>
    <w:rsid w:val="0027710A"/>
    <w:rsid w:val="002771A4"/>
    <w:rsid w:val="00277BF2"/>
    <w:rsid w:val="00277CF8"/>
    <w:rsid w:val="00277D40"/>
    <w:rsid w:val="00280020"/>
    <w:rsid w:val="002801F4"/>
    <w:rsid w:val="00280296"/>
    <w:rsid w:val="002802BD"/>
    <w:rsid w:val="002802DA"/>
    <w:rsid w:val="00280321"/>
    <w:rsid w:val="00280869"/>
    <w:rsid w:val="00280956"/>
    <w:rsid w:val="00280B01"/>
    <w:rsid w:val="00280B5B"/>
    <w:rsid w:val="00280D8D"/>
    <w:rsid w:val="00280EC7"/>
    <w:rsid w:val="00281242"/>
    <w:rsid w:val="0028156A"/>
    <w:rsid w:val="00281708"/>
    <w:rsid w:val="0028174A"/>
    <w:rsid w:val="00281BBB"/>
    <w:rsid w:val="00281DCF"/>
    <w:rsid w:val="0028211E"/>
    <w:rsid w:val="00282741"/>
    <w:rsid w:val="002827C9"/>
    <w:rsid w:val="002827CD"/>
    <w:rsid w:val="00282CCE"/>
    <w:rsid w:val="00283139"/>
    <w:rsid w:val="002836DF"/>
    <w:rsid w:val="0028374D"/>
    <w:rsid w:val="0028377D"/>
    <w:rsid w:val="002837AE"/>
    <w:rsid w:val="00284175"/>
    <w:rsid w:val="00284250"/>
    <w:rsid w:val="00284B19"/>
    <w:rsid w:val="00284FF5"/>
    <w:rsid w:val="002850B1"/>
    <w:rsid w:val="002854EB"/>
    <w:rsid w:val="002854F2"/>
    <w:rsid w:val="00285778"/>
    <w:rsid w:val="00285851"/>
    <w:rsid w:val="002858D3"/>
    <w:rsid w:val="00285ACB"/>
    <w:rsid w:val="00285C2C"/>
    <w:rsid w:val="00286001"/>
    <w:rsid w:val="002861AB"/>
    <w:rsid w:val="002865E3"/>
    <w:rsid w:val="0028661A"/>
    <w:rsid w:val="0028697E"/>
    <w:rsid w:val="002869D1"/>
    <w:rsid w:val="00286D0E"/>
    <w:rsid w:val="00286DF5"/>
    <w:rsid w:val="00286F8E"/>
    <w:rsid w:val="00287234"/>
    <w:rsid w:val="00287596"/>
    <w:rsid w:val="0028773B"/>
    <w:rsid w:val="0028777E"/>
    <w:rsid w:val="00287E1E"/>
    <w:rsid w:val="002900D3"/>
    <w:rsid w:val="00290121"/>
    <w:rsid w:val="00290255"/>
    <w:rsid w:val="00290804"/>
    <w:rsid w:val="0029084F"/>
    <w:rsid w:val="002910A6"/>
    <w:rsid w:val="002911F5"/>
    <w:rsid w:val="0029136F"/>
    <w:rsid w:val="002915EF"/>
    <w:rsid w:val="002916BA"/>
    <w:rsid w:val="00291928"/>
    <w:rsid w:val="00291BF0"/>
    <w:rsid w:val="00291D58"/>
    <w:rsid w:val="002921BE"/>
    <w:rsid w:val="002923DF"/>
    <w:rsid w:val="00292593"/>
    <w:rsid w:val="002926D5"/>
    <w:rsid w:val="00292725"/>
    <w:rsid w:val="0029289C"/>
    <w:rsid w:val="002928F4"/>
    <w:rsid w:val="002929F7"/>
    <w:rsid w:val="00292C16"/>
    <w:rsid w:val="00292CD9"/>
    <w:rsid w:val="002934E7"/>
    <w:rsid w:val="002937CF"/>
    <w:rsid w:val="00293A1D"/>
    <w:rsid w:val="00293C7C"/>
    <w:rsid w:val="00293DDA"/>
    <w:rsid w:val="00293F3F"/>
    <w:rsid w:val="002941CE"/>
    <w:rsid w:val="00294236"/>
    <w:rsid w:val="002944F3"/>
    <w:rsid w:val="00294693"/>
    <w:rsid w:val="002947E7"/>
    <w:rsid w:val="00294B73"/>
    <w:rsid w:val="002953ED"/>
    <w:rsid w:val="002956F6"/>
    <w:rsid w:val="0029575C"/>
    <w:rsid w:val="00295A94"/>
    <w:rsid w:val="00295D1F"/>
    <w:rsid w:val="00295DF3"/>
    <w:rsid w:val="00296500"/>
    <w:rsid w:val="00296DBF"/>
    <w:rsid w:val="00296DCA"/>
    <w:rsid w:val="0029701E"/>
    <w:rsid w:val="00297166"/>
    <w:rsid w:val="0029739E"/>
    <w:rsid w:val="0029788B"/>
    <w:rsid w:val="002978BB"/>
    <w:rsid w:val="00297917"/>
    <w:rsid w:val="002979E9"/>
    <w:rsid w:val="00297A77"/>
    <w:rsid w:val="00297AF0"/>
    <w:rsid w:val="00297BE6"/>
    <w:rsid w:val="00297FB4"/>
    <w:rsid w:val="002A0BBD"/>
    <w:rsid w:val="002A0E0F"/>
    <w:rsid w:val="002A1330"/>
    <w:rsid w:val="002A15C0"/>
    <w:rsid w:val="002A1625"/>
    <w:rsid w:val="002A17B5"/>
    <w:rsid w:val="002A1993"/>
    <w:rsid w:val="002A1BF1"/>
    <w:rsid w:val="002A1FD3"/>
    <w:rsid w:val="002A204B"/>
    <w:rsid w:val="002A2093"/>
    <w:rsid w:val="002A25C6"/>
    <w:rsid w:val="002A25D3"/>
    <w:rsid w:val="002A2635"/>
    <w:rsid w:val="002A28B4"/>
    <w:rsid w:val="002A2904"/>
    <w:rsid w:val="002A29F9"/>
    <w:rsid w:val="002A2C50"/>
    <w:rsid w:val="002A2DB7"/>
    <w:rsid w:val="002A2E59"/>
    <w:rsid w:val="002A33E8"/>
    <w:rsid w:val="002A34A4"/>
    <w:rsid w:val="002A353F"/>
    <w:rsid w:val="002A364F"/>
    <w:rsid w:val="002A391F"/>
    <w:rsid w:val="002A3D81"/>
    <w:rsid w:val="002A3DC5"/>
    <w:rsid w:val="002A3DC6"/>
    <w:rsid w:val="002A416C"/>
    <w:rsid w:val="002A4503"/>
    <w:rsid w:val="002A4CAB"/>
    <w:rsid w:val="002A4E96"/>
    <w:rsid w:val="002A5224"/>
    <w:rsid w:val="002A564A"/>
    <w:rsid w:val="002A5A12"/>
    <w:rsid w:val="002A5D37"/>
    <w:rsid w:val="002A5E0B"/>
    <w:rsid w:val="002A6017"/>
    <w:rsid w:val="002A6539"/>
    <w:rsid w:val="002A6724"/>
    <w:rsid w:val="002A687F"/>
    <w:rsid w:val="002A69FB"/>
    <w:rsid w:val="002A6D11"/>
    <w:rsid w:val="002A6F97"/>
    <w:rsid w:val="002A70EB"/>
    <w:rsid w:val="002A741A"/>
    <w:rsid w:val="002A7430"/>
    <w:rsid w:val="002A7897"/>
    <w:rsid w:val="002A78B9"/>
    <w:rsid w:val="002A7D29"/>
    <w:rsid w:val="002A7DB5"/>
    <w:rsid w:val="002A7E1B"/>
    <w:rsid w:val="002B0411"/>
    <w:rsid w:val="002B05B8"/>
    <w:rsid w:val="002B0741"/>
    <w:rsid w:val="002B0850"/>
    <w:rsid w:val="002B08E8"/>
    <w:rsid w:val="002B1267"/>
    <w:rsid w:val="002B1C3B"/>
    <w:rsid w:val="002B232C"/>
    <w:rsid w:val="002B29E1"/>
    <w:rsid w:val="002B29E4"/>
    <w:rsid w:val="002B2B58"/>
    <w:rsid w:val="002B3161"/>
    <w:rsid w:val="002B31D1"/>
    <w:rsid w:val="002B35F8"/>
    <w:rsid w:val="002B4608"/>
    <w:rsid w:val="002B46BD"/>
    <w:rsid w:val="002B4941"/>
    <w:rsid w:val="002B49CE"/>
    <w:rsid w:val="002B4FB2"/>
    <w:rsid w:val="002B5275"/>
    <w:rsid w:val="002B5529"/>
    <w:rsid w:val="002B579A"/>
    <w:rsid w:val="002B57AF"/>
    <w:rsid w:val="002B590F"/>
    <w:rsid w:val="002B5928"/>
    <w:rsid w:val="002B5A88"/>
    <w:rsid w:val="002B5D4F"/>
    <w:rsid w:val="002B5D74"/>
    <w:rsid w:val="002B67CA"/>
    <w:rsid w:val="002B6817"/>
    <w:rsid w:val="002B6A6F"/>
    <w:rsid w:val="002B6AC5"/>
    <w:rsid w:val="002B6C17"/>
    <w:rsid w:val="002B6C57"/>
    <w:rsid w:val="002B6EED"/>
    <w:rsid w:val="002B71D1"/>
    <w:rsid w:val="002B75D1"/>
    <w:rsid w:val="002B7654"/>
    <w:rsid w:val="002B7ADA"/>
    <w:rsid w:val="002B7ADB"/>
    <w:rsid w:val="002C00A6"/>
    <w:rsid w:val="002C00F5"/>
    <w:rsid w:val="002C019F"/>
    <w:rsid w:val="002C04E0"/>
    <w:rsid w:val="002C073A"/>
    <w:rsid w:val="002C07C3"/>
    <w:rsid w:val="002C083B"/>
    <w:rsid w:val="002C0872"/>
    <w:rsid w:val="002C0CD9"/>
    <w:rsid w:val="002C0D4B"/>
    <w:rsid w:val="002C0DEE"/>
    <w:rsid w:val="002C1543"/>
    <w:rsid w:val="002C1649"/>
    <w:rsid w:val="002C17C7"/>
    <w:rsid w:val="002C1D2F"/>
    <w:rsid w:val="002C1E3F"/>
    <w:rsid w:val="002C2043"/>
    <w:rsid w:val="002C21CC"/>
    <w:rsid w:val="002C22E2"/>
    <w:rsid w:val="002C2BB5"/>
    <w:rsid w:val="002C3327"/>
    <w:rsid w:val="002C349E"/>
    <w:rsid w:val="002C3882"/>
    <w:rsid w:val="002C3A7E"/>
    <w:rsid w:val="002C4619"/>
    <w:rsid w:val="002C4834"/>
    <w:rsid w:val="002C48F4"/>
    <w:rsid w:val="002C4B2D"/>
    <w:rsid w:val="002C4B4C"/>
    <w:rsid w:val="002C4C45"/>
    <w:rsid w:val="002C52CF"/>
    <w:rsid w:val="002C5404"/>
    <w:rsid w:val="002C5496"/>
    <w:rsid w:val="002C5782"/>
    <w:rsid w:val="002C5784"/>
    <w:rsid w:val="002C579D"/>
    <w:rsid w:val="002C5AB5"/>
    <w:rsid w:val="002C5E11"/>
    <w:rsid w:val="002C5FD6"/>
    <w:rsid w:val="002C6040"/>
    <w:rsid w:val="002C61A3"/>
    <w:rsid w:val="002C6405"/>
    <w:rsid w:val="002C665A"/>
    <w:rsid w:val="002C696D"/>
    <w:rsid w:val="002C6982"/>
    <w:rsid w:val="002C6AF2"/>
    <w:rsid w:val="002C705F"/>
    <w:rsid w:val="002C719E"/>
    <w:rsid w:val="002C7413"/>
    <w:rsid w:val="002C7704"/>
    <w:rsid w:val="002C7AD7"/>
    <w:rsid w:val="002C7AD9"/>
    <w:rsid w:val="002C7C13"/>
    <w:rsid w:val="002D061F"/>
    <w:rsid w:val="002D0902"/>
    <w:rsid w:val="002D0A8D"/>
    <w:rsid w:val="002D0EF2"/>
    <w:rsid w:val="002D0F6A"/>
    <w:rsid w:val="002D1242"/>
    <w:rsid w:val="002D13D3"/>
    <w:rsid w:val="002D161D"/>
    <w:rsid w:val="002D16F5"/>
    <w:rsid w:val="002D1B71"/>
    <w:rsid w:val="002D23E6"/>
    <w:rsid w:val="002D24AC"/>
    <w:rsid w:val="002D2AAB"/>
    <w:rsid w:val="002D2B80"/>
    <w:rsid w:val="002D2F4D"/>
    <w:rsid w:val="002D2FCA"/>
    <w:rsid w:val="002D3374"/>
    <w:rsid w:val="002D37CF"/>
    <w:rsid w:val="002D3927"/>
    <w:rsid w:val="002D397F"/>
    <w:rsid w:val="002D3C33"/>
    <w:rsid w:val="002D3DC8"/>
    <w:rsid w:val="002D3E1D"/>
    <w:rsid w:val="002D3F76"/>
    <w:rsid w:val="002D405F"/>
    <w:rsid w:val="002D4287"/>
    <w:rsid w:val="002D448E"/>
    <w:rsid w:val="002D4645"/>
    <w:rsid w:val="002D4ADE"/>
    <w:rsid w:val="002D4B06"/>
    <w:rsid w:val="002D4D56"/>
    <w:rsid w:val="002D4E29"/>
    <w:rsid w:val="002D50AD"/>
    <w:rsid w:val="002D5632"/>
    <w:rsid w:val="002D5CD3"/>
    <w:rsid w:val="002D5DB9"/>
    <w:rsid w:val="002D619D"/>
    <w:rsid w:val="002D6751"/>
    <w:rsid w:val="002D6A52"/>
    <w:rsid w:val="002D6A83"/>
    <w:rsid w:val="002D6E0E"/>
    <w:rsid w:val="002D6E3D"/>
    <w:rsid w:val="002D7823"/>
    <w:rsid w:val="002D7974"/>
    <w:rsid w:val="002D79AD"/>
    <w:rsid w:val="002D7EA9"/>
    <w:rsid w:val="002D7F60"/>
    <w:rsid w:val="002E01CB"/>
    <w:rsid w:val="002E05BE"/>
    <w:rsid w:val="002E0605"/>
    <w:rsid w:val="002E064C"/>
    <w:rsid w:val="002E0BDB"/>
    <w:rsid w:val="002E0D5A"/>
    <w:rsid w:val="002E10E1"/>
    <w:rsid w:val="002E1110"/>
    <w:rsid w:val="002E1233"/>
    <w:rsid w:val="002E14E8"/>
    <w:rsid w:val="002E1703"/>
    <w:rsid w:val="002E1824"/>
    <w:rsid w:val="002E1BC9"/>
    <w:rsid w:val="002E2147"/>
    <w:rsid w:val="002E2444"/>
    <w:rsid w:val="002E272F"/>
    <w:rsid w:val="002E2B2C"/>
    <w:rsid w:val="002E2E3C"/>
    <w:rsid w:val="002E31A2"/>
    <w:rsid w:val="002E3493"/>
    <w:rsid w:val="002E35E8"/>
    <w:rsid w:val="002E3883"/>
    <w:rsid w:val="002E389F"/>
    <w:rsid w:val="002E3A9C"/>
    <w:rsid w:val="002E3DB3"/>
    <w:rsid w:val="002E3DEE"/>
    <w:rsid w:val="002E3E9A"/>
    <w:rsid w:val="002E3F1C"/>
    <w:rsid w:val="002E4063"/>
    <w:rsid w:val="002E4293"/>
    <w:rsid w:val="002E4508"/>
    <w:rsid w:val="002E4771"/>
    <w:rsid w:val="002E4C17"/>
    <w:rsid w:val="002E4C2D"/>
    <w:rsid w:val="002E4D1B"/>
    <w:rsid w:val="002E4E75"/>
    <w:rsid w:val="002E4FFC"/>
    <w:rsid w:val="002E5285"/>
    <w:rsid w:val="002E574D"/>
    <w:rsid w:val="002E5935"/>
    <w:rsid w:val="002E5AEC"/>
    <w:rsid w:val="002E5DEA"/>
    <w:rsid w:val="002E65EC"/>
    <w:rsid w:val="002E688E"/>
    <w:rsid w:val="002E6953"/>
    <w:rsid w:val="002E6B01"/>
    <w:rsid w:val="002E6BA1"/>
    <w:rsid w:val="002E6D6D"/>
    <w:rsid w:val="002E6E77"/>
    <w:rsid w:val="002E6E79"/>
    <w:rsid w:val="002E724A"/>
    <w:rsid w:val="002E72AE"/>
    <w:rsid w:val="002E7B53"/>
    <w:rsid w:val="002E7F2E"/>
    <w:rsid w:val="002F037E"/>
    <w:rsid w:val="002F0399"/>
    <w:rsid w:val="002F0699"/>
    <w:rsid w:val="002F078A"/>
    <w:rsid w:val="002F0D5B"/>
    <w:rsid w:val="002F11ED"/>
    <w:rsid w:val="002F1B9A"/>
    <w:rsid w:val="002F1E85"/>
    <w:rsid w:val="002F2100"/>
    <w:rsid w:val="002F26E6"/>
    <w:rsid w:val="002F2784"/>
    <w:rsid w:val="002F29B3"/>
    <w:rsid w:val="002F2DFE"/>
    <w:rsid w:val="002F300C"/>
    <w:rsid w:val="002F311E"/>
    <w:rsid w:val="002F313A"/>
    <w:rsid w:val="002F3327"/>
    <w:rsid w:val="002F345B"/>
    <w:rsid w:val="002F36A6"/>
    <w:rsid w:val="002F3938"/>
    <w:rsid w:val="002F397C"/>
    <w:rsid w:val="002F3BC8"/>
    <w:rsid w:val="002F4515"/>
    <w:rsid w:val="002F4582"/>
    <w:rsid w:val="002F4B45"/>
    <w:rsid w:val="002F4D5A"/>
    <w:rsid w:val="002F4D82"/>
    <w:rsid w:val="002F523C"/>
    <w:rsid w:val="002F54E2"/>
    <w:rsid w:val="002F55AA"/>
    <w:rsid w:val="002F5846"/>
    <w:rsid w:val="002F5B5A"/>
    <w:rsid w:val="002F5BA0"/>
    <w:rsid w:val="002F5E09"/>
    <w:rsid w:val="002F5E65"/>
    <w:rsid w:val="002F5FEC"/>
    <w:rsid w:val="002F6519"/>
    <w:rsid w:val="002F6F37"/>
    <w:rsid w:val="002F6FAC"/>
    <w:rsid w:val="002F6FE1"/>
    <w:rsid w:val="002F718E"/>
    <w:rsid w:val="002F71B8"/>
    <w:rsid w:val="002F71F4"/>
    <w:rsid w:val="002F736B"/>
    <w:rsid w:val="002F77FC"/>
    <w:rsid w:val="002F78C4"/>
    <w:rsid w:val="002F79F1"/>
    <w:rsid w:val="002F7AA0"/>
    <w:rsid w:val="002F7B37"/>
    <w:rsid w:val="002F7D10"/>
    <w:rsid w:val="002F7F95"/>
    <w:rsid w:val="00300718"/>
    <w:rsid w:val="003008BD"/>
    <w:rsid w:val="00301520"/>
    <w:rsid w:val="00301676"/>
    <w:rsid w:val="00301B19"/>
    <w:rsid w:val="00301EA1"/>
    <w:rsid w:val="00301F26"/>
    <w:rsid w:val="0030218F"/>
    <w:rsid w:val="003025FF"/>
    <w:rsid w:val="003027E5"/>
    <w:rsid w:val="00302CC1"/>
    <w:rsid w:val="00302CF5"/>
    <w:rsid w:val="00302E1F"/>
    <w:rsid w:val="00302E4B"/>
    <w:rsid w:val="00302FCC"/>
    <w:rsid w:val="003032A0"/>
    <w:rsid w:val="00303363"/>
    <w:rsid w:val="0030344D"/>
    <w:rsid w:val="00303708"/>
    <w:rsid w:val="00303CAE"/>
    <w:rsid w:val="003041DD"/>
    <w:rsid w:val="00304793"/>
    <w:rsid w:val="003048CA"/>
    <w:rsid w:val="00304943"/>
    <w:rsid w:val="00304961"/>
    <w:rsid w:val="00304CFB"/>
    <w:rsid w:val="00304D63"/>
    <w:rsid w:val="00304E70"/>
    <w:rsid w:val="00305252"/>
    <w:rsid w:val="00305300"/>
    <w:rsid w:val="0030558D"/>
    <w:rsid w:val="0030562B"/>
    <w:rsid w:val="003057A6"/>
    <w:rsid w:val="003057EE"/>
    <w:rsid w:val="003057FD"/>
    <w:rsid w:val="003058A0"/>
    <w:rsid w:val="003062AE"/>
    <w:rsid w:val="0030652C"/>
    <w:rsid w:val="00307154"/>
    <w:rsid w:val="00307441"/>
    <w:rsid w:val="003079EC"/>
    <w:rsid w:val="00307CC6"/>
    <w:rsid w:val="0031033B"/>
    <w:rsid w:val="003105C6"/>
    <w:rsid w:val="00310894"/>
    <w:rsid w:val="003108DD"/>
    <w:rsid w:val="00310909"/>
    <w:rsid w:val="0031094D"/>
    <w:rsid w:val="00310A23"/>
    <w:rsid w:val="00310BD1"/>
    <w:rsid w:val="00310E25"/>
    <w:rsid w:val="00310E37"/>
    <w:rsid w:val="00310EF1"/>
    <w:rsid w:val="00310F17"/>
    <w:rsid w:val="00311389"/>
    <w:rsid w:val="003116E4"/>
    <w:rsid w:val="003118AD"/>
    <w:rsid w:val="0031202A"/>
    <w:rsid w:val="003124F7"/>
    <w:rsid w:val="0031275B"/>
    <w:rsid w:val="003128BF"/>
    <w:rsid w:val="00312E0B"/>
    <w:rsid w:val="00312F3F"/>
    <w:rsid w:val="003132CF"/>
    <w:rsid w:val="00313374"/>
    <w:rsid w:val="00313408"/>
    <w:rsid w:val="003138D3"/>
    <w:rsid w:val="00313971"/>
    <w:rsid w:val="00313C47"/>
    <w:rsid w:val="00313CF7"/>
    <w:rsid w:val="00313EC0"/>
    <w:rsid w:val="00313F63"/>
    <w:rsid w:val="00313F89"/>
    <w:rsid w:val="00314024"/>
    <w:rsid w:val="00314058"/>
    <w:rsid w:val="0031420F"/>
    <w:rsid w:val="00314600"/>
    <w:rsid w:val="003147F1"/>
    <w:rsid w:val="0031480D"/>
    <w:rsid w:val="00314BFC"/>
    <w:rsid w:val="00315197"/>
    <w:rsid w:val="003154F1"/>
    <w:rsid w:val="00315514"/>
    <w:rsid w:val="0031563F"/>
    <w:rsid w:val="0031580D"/>
    <w:rsid w:val="00315949"/>
    <w:rsid w:val="00315CD0"/>
    <w:rsid w:val="00315D5E"/>
    <w:rsid w:val="00316245"/>
    <w:rsid w:val="003162EB"/>
    <w:rsid w:val="00316401"/>
    <w:rsid w:val="00316696"/>
    <w:rsid w:val="00316785"/>
    <w:rsid w:val="00316A0E"/>
    <w:rsid w:val="00316BFE"/>
    <w:rsid w:val="00316D91"/>
    <w:rsid w:val="003171BF"/>
    <w:rsid w:val="00317437"/>
    <w:rsid w:val="00317649"/>
    <w:rsid w:val="00317A4C"/>
    <w:rsid w:val="00317E18"/>
    <w:rsid w:val="0032085A"/>
    <w:rsid w:val="003208AE"/>
    <w:rsid w:val="00320A26"/>
    <w:rsid w:val="00320A2F"/>
    <w:rsid w:val="00320C44"/>
    <w:rsid w:val="00320C97"/>
    <w:rsid w:val="00320F05"/>
    <w:rsid w:val="00320FD8"/>
    <w:rsid w:val="00321069"/>
    <w:rsid w:val="00321278"/>
    <w:rsid w:val="00321671"/>
    <w:rsid w:val="00321C80"/>
    <w:rsid w:val="00321F7D"/>
    <w:rsid w:val="0032227F"/>
    <w:rsid w:val="00322ABA"/>
    <w:rsid w:val="00322E45"/>
    <w:rsid w:val="00322EE6"/>
    <w:rsid w:val="00322FEA"/>
    <w:rsid w:val="00323320"/>
    <w:rsid w:val="0032358A"/>
    <w:rsid w:val="00323CDC"/>
    <w:rsid w:val="00323CDD"/>
    <w:rsid w:val="00323F4D"/>
    <w:rsid w:val="00324141"/>
    <w:rsid w:val="00324158"/>
    <w:rsid w:val="003244A6"/>
    <w:rsid w:val="003246AA"/>
    <w:rsid w:val="00324ACA"/>
    <w:rsid w:val="00324B79"/>
    <w:rsid w:val="00324BD5"/>
    <w:rsid w:val="00325138"/>
    <w:rsid w:val="003257B8"/>
    <w:rsid w:val="00325CC0"/>
    <w:rsid w:val="00325E3F"/>
    <w:rsid w:val="00325FA8"/>
    <w:rsid w:val="003263A7"/>
    <w:rsid w:val="003264BE"/>
    <w:rsid w:val="00326B5E"/>
    <w:rsid w:val="00326F84"/>
    <w:rsid w:val="003279E3"/>
    <w:rsid w:val="00327A8F"/>
    <w:rsid w:val="003300FF"/>
    <w:rsid w:val="003304C8"/>
    <w:rsid w:val="0033053F"/>
    <w:rsid w:val="00330687"/>
    <w:rsid w:val="00331095"/>
    <w:rsid w:val="003313AF"/>
    <w:rsid w:val="00331947"/>
    <w:rsid w:val="00331A16"/>
    <w:rsid w:val="00331D9E"/>
    <w:rsid w:val="00331DFB"/>
    <w:rsid w:val="003321CA"/>
    <w:rsid w:val="00332815"/>
    <w:rsid w:val="003328B1"/>
    <w:rsid w:val="00332ADE"/>
    <w:rsid w:val="00332CC4"/>
    <w:rsid w:val="00333307"/>
    <w:rsid w:val="003334CE"/>
    <w:rsid w:val="00333B05"/>
    <w:rsid w:val="00333C84"/>
    <w:rsid w:val="00333DFF"/>
    <w:rsid w:val="00334184"/>
    <w:rsid w:val="003341E3"/>
    <w:rsid w:val="00334270"/>
    <w:rsid w:val="003343C0"/>
    <w:rsid w:val="003348E6"/>
    <w:rsid w:val="0033491A"/>
    <w:rsid w:val="00334986"/>
    <w:rsid w:val="00334ACF"/>
    <w:rsid w:val="00334BD9"/>
    <w:rsid w:val="00335124"/>
    <w:rsid w:val="0033551A"/>
    <w:rsid w:val="00335606"/>
    <w:rsid w:val="00335CA0"/>
    <w:rsid w:val="00336497"/>
    <w:rsid w:val="0033664F"/>
    <w:rsid w:val="00336E51"/>
    <w:rsid w:val="00336E9E"/>
    <w:rsid w:val="003371B0"/>
    <w:rsid w:val="003372F6"/>
    <w:rsid w:val="00337556"/>
    <w:rsid w:val="00337D54"/>
    <w:rsid w:val="00337EB6"/>
    <w:rsid w:val="00337F12"/>
    <w:rsid w:val="00340771"/>
    <w:rsid w:val="00340981"/>
    <w:rsid w:val="00340C4F"/>
    <w:rsid w:val="0034119F"/>
    <w:rsid w:val="003412E9"/>
    <w:rsid w:val="0034176A"/>
    <w:rsid w:val="00341784"/>
    <w:rsid w:val="00341A14"/>
    <w:rsid w:val="00341AA6"/>
    <w:rsid w:val="00341D70"/>
    <w:rsid w:val="00341F66"/>
    <w:rsid w:val="00341FAD"/>
    <w:rsid w:val="003423A0"/>
    <w:rsid w:val="00342417"/>
    <w:rsid w:val="003424CC"/>
    <w:rsid w:val="003428AF"/>
    <w:rsid w:val="003429D1"/>
    <w:rsid w:val="00342BD2"/>
    <w:rsid w:val="0034346F"/>
    <w:rsid w:val="003439B5"/>
    <w:rsid w:val="00343A81"/>
    <w:rsid w:val="00343AD3"/>
    <w:rsid w:val="00343D65"/>
    <w:rsid w:val="00343F9C"/>
    <w:rsid w:val="003440BF"/>
    <w:rsid w:val="003443AA"/>
    <w:rsid w:val="003444BA"/>
    <w:rsid w:val="0034486D"/>
    <w:rsid w:val="00345321"/>
    <w:rsid w:val="00345501"/>
    <w:rsid w:val="00345881"/>
    <w:rsid w:val="00345C0D"/>
    <w:rsid w:val="00345D53"/>
    <w:rsid w:val="00345D61"/>
    <w:rsid w:val="00345D7A"/>
    <w:rsid w:val="00345DB2"/>
    <w:rsid w:val="00345E01"/>
    <w:rsid w:val="00346399"/>
    <w:rsid w:val="003463B8"/>
    <w:rsid w:val="003468BB"/>
    <w:rsid w:val="0034697A"/>
    <w:rsid w:val="00346BF7"/>
    <w:rsid w:val="00346E7B"/>
    <w:rsid w:val="00347020"/>
    <w:rsid w:val="0034706E"/>
    <w:rsid w:val="003471BF"/>
    <w:rsid w:val="00347687"/>
    <w:rsid w:val="003478A7"/>
    <w:rsid w:val="00347F0E"/>
    <w:rsid w:val="00350046"/>
    <w:rsid w:val="003500BF"/>
    <w:rsid w:val="003502E2"/>
    <w:rsid w:val="00350344"/>
    <w:rsid w:val="0035037D"/>
    <w:rsid w:val="003503AD"/>
    <w:rsid w:val="0035045D"/>
    <w:rsid w:val="00350576"/>
    <w:rsid w:val="00350BD8"/>
    <w:rsid w:val="00351165"/>
    <w:rsid w:val="00351381"/>
    <w:rsid w:val="003514B2"/>
    <w:rsid w:val="003515A7"/>
    <w:rsid w:val="0035172F"/>
    <w:rsid w:val="00351939"/>
    <w:rsid w:val="0035194D"/>
    <w:rsid w:val="00351982"/>
    <w:rsid w:val="003519AD"/>
    <w:rsid w:val="00351B19"/>
    <w:rsid w:val="00351DF4"/>
    <w:rsid w:val="00351FDC"/>
    <w:rsid w:val="003521A4"/>
    <w:rsid w:val="00352512"/>
    <w:rsid w:val="00352755"/>
    <w:rsid w:val="003528EC"/>
    <w:rsid w:val="003530A6"/>
    <w:rsid w:val="00353627"/>
    <w:rsid w:val="00353697"/>
    <w:rsid w:val="003536AF"/>
    <w:rsid w:val="0035370C"/>
    <w:rsid w:val="00353784"/>
    <w:rsid w:val="00353DB0"/>
    <w:rsid w:val="00353ED4"/>
    <w:rsid w:val="003543E9"/>
    <w:rsid w:val="003549DA"/>
    <w:rsid w:val="00355148"/>
    <w:rsid w:val="00355178"/>
    <w:rsid w:val="0035553F"/>
    <w:rsid w:val="0035554B"/>
    <w:rsid w:val="0035555A"/>
    <w:rsid w:val="00355773"/>
    <w:rsid w:val="0035587E"/>
    <w:rsid w:val="003558F7"/>
    <w:rsid w:val="00355CF4"/>
    <w:rsid w:val="00355E31"/>
    <w:rsid w:val="00355F72"/>
    <w:rsid w:val="00356111"/>
    <w:rsid w:val="003561B9"/>
    <w:rsid w:val="00356561"/>
    <w:rsid w:val="00356729"/>
    <w:rsid w:val="00356BE7"/>
    <w:rsid w:val="00356CE2"/>
    <w:rsid w:val="003570C7"/>
    <w:rsid w:val="003573BB"/>
    <w:rsid w:val="00357544"/>
    <w:rsid w:val="00357657"/>
    <w:rsid w:val="00357A30"/>
    <w:rsid w:val="00357E32"/>
    <w:rsid w:val="00357EBF"/>
    <w:rsid w:val="00357FC8"/>
    <w:rsid w:val="003605BE"/>
    <w:rsid w:val="0036076D"/>
    <w:rsid w:val="0036087A"/>
    <w:rsid w:val="00360918"/>
    <w:rsid w:val="00360E60"/>
    <w:rsid w:val="0036102B"/>
    <w:rsid w:val="003611EC"/>
    <w:rsid w:val="0036141E"/>
    <w:rsid w:val="00361569"/>
    <w:rsid w:val="00361976"/>
    <w:rsid w:val="00361A0F"/>
    <w:rsid w:val="00361AAC"/>
    <w:rsid w:val="00361B8E"/>
    <w:rsid w:val="00361D73"/>
    <w:rsid w:val="003622EA"/>
    <w:rsid w:val="0036243A"/>
    <w:rsid w:val="00362463"/>
    <w:rsid w:val="003628DA"/>
    <w:rsid w:val="00362CD4"/>
    <w:rsid w:val="00362D7F"/>
    <w:rsid w:val="0036300D"/>
    <w:rsid w:val="0036303E"/>
    <w:rsid w:val="00363487"/>
    <w:rsid w:val="00363590"/>
    <w:rsid w:val="00363681"/>
    <w:rsid w:val="00363863"/>
    <w:rsid w:val="00363945"/>
    <w:rsid w:val="003639A3"/>
    <w:rsid w:val="003639A6"/>
    <w:rsid w:val="00363D83"/>
    <w:rsid w:val="003642F2"/>
    <w:rsid w:val="003644A4"/>
    <w:rsid w:val="003645D5"/>
    <w:rsid w:val="0036466C"/>
    <w:rsid w:val="00364BB5"/>
    <w:rsid w:val="00364FEA"/>
    <w:rsid w:val="0036507F"/>
    <w:rsid w:val="00365264"/>
    <w:rsid w:val="00365463"/>
    <w:rsid w:val="00365C56"/>
    <w:rsid w:val="00365FBF"/>
    <w:rsid w:val="003664B1"/>
    <w:rsid w:val="00366755"/>
    <w:rsid w:val="00366ADE"/>
    <w:rsid w:val="00366BAE"/>
    <w:rsid w:val="00366BEC"/>
    <w:rsid w:val="00366E4A"/>
    <w:rsid w:val="0036734E"/>
    <w:rsid w:val="0036779E"/>
    <w:rsid w:val="00367974"/>
    <w:rsid w:val="003679AE"/>
    <w:rsid w:val="00367A0D"/>
    <w:rsid w:val="00367B69"/>
    <w:rsid w:val="00370195"/>
    <w:rsid w:val="003701E2"/>
    <w:rsid w:val="003701E6"/>
    <w:rsid w:val="0037033B"/>
    <w:rsid w:val="00370668"/>
    <w:rsid w:val="00370688"/>
    <w:rsid w:val="00370AB7"/>
    <w:rsid w:val="00370BF8"/>
    <w:rsid w:val="00370D9B"/>
    <w:rsid w:val="00371417"/>
    <w:rsid w:val="00371497"/>
    <w:rsid w:val="003714BA"/>
    <w:rsid w:val="00371A1F"/>
    <w:rsid w:val="00371C3D"/>
    <w:rsid w:val="00371D35"/>
    <w:rsid w:val="0037217E"/>
    <w:rsid w:val="003722B7"/>
    <w:rsid w:val="00372348"/>
    <w:rsid w:val="0037244E"/>
    <w:rsid w:val="003724C3"/>
    <w:rsid w:val="003728EA"/>
    <w:rsid w:val="00372CC7"/>
    <w:rsid w:val="00372E5A"/>
    <w:rsid w:val="003733A6"/>
    <w:rsid w:val="0037357F"/>
    <w:rsid w:val="0037360F"/>
    <w:rsid w:val="00373617"/>
    <w:rsid w:val="003736CC"/>
    <w:rsid w:val="003736D0"/>
    <w:rsid w:val="003738F3"/>
    <w:rsid w:val="00373982"/>
    <w:rsid w:val="00373C5F"/>
    <w:rsid w:val="00373D47"/>
    <w:rsid w:val="0037414D"/>
    <w:rsid w:val="0037425F"/>
    <w:rsid w:val="0037438D"/>
    <w:rsid w:val="003747ED"/>
    <w:rsid w:val="00374B3E"/>
    <w:rsid w:val="00374BE7"/>
    <w:rsid w:val="00374D3C"/>
    <w:rsid w:val="003754A1"/>
    <w:rsid w:val="00375631"/>
    <w:rsid w:val="00375765"/>
    <w:rsid w:val="00375883"/>
    <w:rsid w:val="00375B7D"/>
    <w:rsid w:val="00375BBB"/>
    <w:rsid w:val="00375E85"/>
    <w:rsid w:val="00375EA7"/>
    <w:rsid w:val="0037604A"/>
    <w:rsid w:val="003762DA"/>
    <w:rsid w:val="00376372"/>
    <w:rsid w:val="00376ACD"/>
    <w:rsid w:val="00376F1F"/>
    <w:rsid w:val="0037770C"/>
    <w:rsid w:val="0037776E"/>
    <w:rsid w:val="00377792"/>
    <w:rsid w:val="00377B4D"/>
    <w:rsid w:val="00377E4A"/>
    <w:rsid w:val="00377F91"/>
    <w:rsid w:val="003801BE"/>
    <w:rsid w:val="00380257"/>
    <w:rsid w:val="003802AE"/>
    <w:rsid w:val="00380557"/>
    <w:rsid w:val="00380576"/>
    <w:rsid w:val="00380A81"/>
    <w:rsid w:val="003810BE"/>
    <w:rsid w:val="0038167F"/>
    <w:rsid w:val="003819DE"/>
    <w:rsid w:val="00381AB0"/>
    <w:rsid w:val="00381BDD"/>
    <w:rsid w:val="00381C6F"/>
    <w:rsid w:val="0038215D"/>
    <w:rsid w:val="003821C3"/>
    <w:rsid w:val="0038253D"/>
    <w:rsid w:val="00382610"/>
    <w:rsid w:val="00382631"/>
    <w:rsid w:val="00382720"/>
    <w:rsid w:val="0038281C"/>
    <w:rsid w:val="00382881"/>
    <w:rsid w:val="00382C27"/>
    <w:rsid w:val="00382C36"/>
    <w:rsid w:val="00382D8F"/>
    <w:rsid w:val="00382FFA"/>
    <w:rsid w:val="0038324E"/>
    <w:rsid w:val="003832EB"/>
    <w:rsid w:val="00383711"/>
    <w:rsid w:val="003839FC"/>
    <w:rsid w:val="00383A98"/>
    <w:rsid w:val="00383ABE"/>
    <w:rsid w:val="00383E14"/>
    <w:rsid w:val="003845EE"/>
    <w:rsid w:val="00384868"/>
    <w:rsid w:val="00384E6E"/>
    <w:rsid w:val="0038516B"/>
    <w:rsid w:val="00385777"/>
    <w:rsid w:val="00385A1B"/>
    <w:rsid w:val="00385A64"/>
    <w:rsid w:val="00385AA1"/>
    <w:rsid w:val="00385CC7"/>
    <w:rsid w:val="00386054"/>
    <w:rsid w:val="003861B9"/>
    <w:rsid w:val="00386953"/>
    <w:rsid w:val="00386C76"/>
    <w:rsid w:val="00386D1A"/>
    <w:rsid w:val="00387154"/>
    <w:rsid w:val="0038759E"/>
    <w:rsid w:val="0038782B"/>
    <w:rsid w:val="003878C8"/>
    <w:rsid w:val="003878EB"/>
    <w:rsid w:val="003878F9"/>
    <w:rsid w:val="00387A23"/>
    <w:rsid w:val="00387ABA"/>
    <w:rsid w:val="0039006A"/>
    <w:rsid w:val="003901BE"/>
    <w:rsid w:val="0039020A"/>
    <w:rsid w:val="00390404"/>
    <w:rsid w:val="0039045D"/>
    <w:rsid w:val="00390688"/>
    <w:rsid w:val="0039069A"/>
    <w:rsid w:val="00390E49"/>
    <w:rsid w:val="00390F51"/>
    <w:rsid w:val="00391479"/>
    <w:rsid w:val="0039174C"/>
    <w:rsid w:val="0039182E"/>
    <w:rsid w:val="00391FED"/>
    <w:rsid w:val="0039220C"/>
    <w:rsid w:val="00392520"/>
    <w:rsid w:val="00392B21"/>
    <w:rsid w:val="00392E25"/>
    <w:rsid w:val="00392E2D"/>
    <w:rsid w:val="00392EA8"/>
    <w:rsid w:val="00392F11"/>
    <w:rsid w:val="0039315D"/>
    <w:rsid w:val="003931CD"/>
    <w:rsid w:val="00393278"/>
    <w:rsid w:val="0039342B"/>
    <w:rsid w:val="003937B1"/>
    <w:rsid w:val="0039393C"/>
    <w:rsid w:val="00393ACB"/>
    <w:rsid w:val="00393E23"/>
    <w:rsid w:val="00393EF5"/>
    <w:rsid w:val="00393FA7"/>
    <w:rsid w:val="0039461C"/>
    <w:rsid w:val="0039472A"/>
    <w:rsid w:val="00394B2E"/>
    <w:rsid w:val="00394C83"/>
    <w:rsid w:val="00394F2B"/>
    <w:rsid w:val="00395531"/>
    <w:rsid w:val="0039560D"/>
    <w:rsid w:val="00395620"/>
    <w:rsid w:val="003958BD"/>
    <w:rsid w:val="00395D7E"/>
    <w:rsid w:val="00395DA2"/>
    <w:rsid w:val="00396058"/>
    <w:rsid w:val="0039616B"/>
    <w:rsid w:val="0039629C"/>
    <w:rsid w:val="00396339"/>
    <w:rsid w:val="00396377"/>
    <w:rsid w:val="003964A2"/>
    <w:rsid w:val="00396617"/>
    <w:rsid w:val="003968D2"/>
    <w:rsid w:val="00396EE0"/>
    <w:rsid w:val="00397170"/>
    <w:rsid w:val="00397406"/>
    <w:rsid w:val="0039758D"/>
    <w:rsid w:val="00397928"/>
    <w:rsid w:val="00397954"/>
    <w:rsid w:val="00397D10"/>
    <w:rsid w:val="003A0300"/>
    <w:rsid w:val="003A04B8"/>
    <w:rsid w:val="003A0568"/>
    <w:rsid w:val="003A0718"/>
    <w:rsid w:val="003A078E"/>
    <w:rsid w:val="003A083E"/>
    <w:rsid w:val="003A08BB"/>
    <w:rsid w:val="003A08C1"/>
    <w:rsid w:val="003A096A"/>
    <w:rsid w:val="003A0B5F"/>
    <w:rsid w:val="003A0C75"/>
    <w:rsid w:val="003A0D85"/>
    <w:rsid w:val="003A0EDC"/>
    <w:rsid w:val="003A1034"/>
    <w:rsid w:val="003A11F3"/>
    <w:rsid w:val="003A164F"/>
    <w:rsid w:val="003A16C1"/>
    <w:rsid w:val="003A16E4"/>
    <w:rsid w:val="003A1C7E"/>
    <w:rsid w:val="003A1E3F"/>
    <w:rsid w:val="003A21D8"/>
    <w:rsid w:val="003A2262"/>
    <w:rsid w:val="003A231D"/>
    <w:rsid w:val="003A23A4"/>
    <w:rsid w:val="003A2627"/>
    <w:rsid w:val="003A26E6"/>
    <w:rsid w:val="003A2842"/>
    <w:rsid w:val="003A29D6"/>
    <w:rsid w:val="003A2A3F"/>
    <w:rsid w:val="003A2D80"/>
    <w:rsid w:val="003A3433"/>
    <w:rsid w:val="003A35D9"/>
    <w:rsid w:val="003A36DE"/>
    <w:rsid w:val="003A3F44"/>
    <w:rsid w:val="003A415B"/>
    <w:rsid w:val="003A4232"/>
    <w:rsid w:val="003A44C6"/>
    <w:rsid w:val="003A45FA"/>
    <w:rsid w:val="003A4673"/>
    <w:rsid w:val="003A4807"/>
    <w:rsid w:val="003A4A16"/>
    <w:rsid w:val="003A4D94"/>
    <w:rsid w:val="003A5018"/>
    <w:rsid w:val="003A537E"/>
    <w:rsid w:val="003A53B3"/>
    <w:rsid w:val="003A548B"/>
    <w:rsid w:val="003A5599"/>
    <w:rsid w:val="003A55D2"/>
    <w:rsid w:val="003A57C3"/>
    <w:rsid w:val="003A5831"/>
    <w:rsid w:val="003A5CA5"/>
    <w:rsid w:val="003A6015"/>
    <w:rsid w:val="003A6157"/>
    <w:rsid w:val="003A61B7"/>
    <w:rsid w:val="003A6396"/>
    <w:rsid w:val="003A6414"/>
    <w:rsid w:val="003A64E1"/>
    <w:rsid w:val="003A660F"/>
    <w:rsid w:val="003A6799"/>
    <w:rsid w:val="003A67EC"/>
    <w:rsid w:val="003A693E"/>
    <w:rsid w:val="003A69C5"/>
    <w:rsid w:val="003A6A3A"/>
    <w:rsid w:val="003A7460"/>
    <w:rsid w:val="003A74D9"/>
    <w:rsid w:val="003A7505"/>
    <w:rsid w:val="003A7595"/>
    <w:rsid w:val="003A76A6"/>
    <w:rsid w:val="003A78F5"/>
    <w:rsid w:val="003A79A4"/>
    <w:rsid w:val="003A7BF6"/>
    <w:rsid w:val="003A7F71"/>
    <w:rsid w:val="003B095E"/>
    <w:rsid w:val="003B0BA5"/>
    <w:rsid w:val="003B0E2E"/>
    <w:rsid w:val="003B1141"/>
    <w:rsid w:val="003B1498"/>
    <w:rsid w:val="003B1613"/>
    <w:rsid w:val="003B1886"/>
    <w:rsid w:val="003B2146"/>
    <w:rsid w:val="003B23C8"/>
    <w:rsid w:val="003B2413"/>
    <w:rsid w:val="003B24DA"/>
    <w:rsid w:val="003B266D"/>
    <w:rsid w:val="003B2776"/>
    <w:rsid w:val="003B29D1"/>
    <w:rsid w:val="003B31A3"/>
    <w:rsid w:val="003B3843"/>
    <w:rsid w:val="003B3C35"/>
    <w:rsid w:val="003B3E67"/>
    <w:rsid w:val="003B42E4"/>
    <w:rsid w:val="003B4FDE"/>
    <w:rsid w:val="003B5251"/>
    <w:rsid w:val="003B57C1"/>
    <w:rsid w:val="003B5EA6"/>
    <w:rsid w:val="003B613F"/>
    <w:rsid w:val="003B6610"/>
    <w:rsid w:val="003B6662"/>
    <w:rsid w:val="003B68B9"/>
    <w:rsid w:val="003B6906"/>
    <w:rsid w:val="003B6B04"/>
    <w:rsid w:val="003B6D91"/>
    <w:rsid w:val="003B6DC5"/>
    <w:rsid w:val="003B6F86"/>
    <w:rsid w:val="003B7273"/>
    <w:rsid w:val="003B7303"/>
    <w:rsid w:val="003B7656"/>
    <w:rsid w:val="003B769E"/>
    <w:rsid w:val="003B772F"/>
    <w:rsid w:val="003B796A"/>
    <w:rsid w:val="003B7E06"/>
    <w:rsid w:val="003B7F6D"/>
    <w:rsid w:val="003C0127"/>
    <w:rsid w:val="003C055D"/>
    <w:rsid w:val="003C072E"/>
    <w:rsid w:val="003C07A6"/>
    <w:rsid w:val="003C09D2"/>
    <w:rsid w:val="003C0A08"/>
    <w:rsid w:val="003C0C59"/>
    <w:rsid w:val="003C0EAF"/>
    <w:rsid w:val="003C1099"/>
    <w:rsid w:val="003C10AA"/>
    <w:rsid w:val="003C12B2"/>
    <w:rsid w:val="003C1388"/>
    <w:rsid w:val="003C13D0"/>
    <w:rsid w:val="003C1436"/>
    <w:rsid w:val="003C1647"/>
    <w:rsid w:val="003C1A4B"/>
    <w:rsid w:val="003C1A9F"/>
    <w:rsid w:val="003C2519"/>
    <w:rsid w:val="003C2785"/>
    <w:rsid w:val="003C2902"/>
    <w:rsid w:val="003C2920"/>
    <w:rsid w:val="003C2AA9"/>
    <w:rsid w:val="003C2B95"/>
    <w:rsid w:val="003C2C11"/>
    <w:rsid w:val="003C301E"/>
    <w:rsid w:val="003C31B4"/>
    <w:rsid w:val="003C3289"/>
    <w:rsid w:val="003C3350"/>
    <w:rsid w:val="003C37F7"/>
    <w:rsid w:val="003C3881"/>
    <w:rsid w:val="003C3E77"/>
    <w:rsid w:val="003C3EED"/>
    <w:rsid w:val="003C414F"/>
    <w:rsid w:val="003C4ACD"/>
    <w:rsid w:val="003C4EBA"/>
    <w:rsid w:val="003C5275"/>
    <w:rsid w:val="003C549A"/>
    <w:rsid w:val="003C54D2"/>
    <w:rsid w:val="003C5632"/>
    <w:rsid w:val="003C5675"/>
    <w:rsid w:val="003C5C73"/>
    <w:rsid w:val="003C609B"/>
    <w:rsid w:val="003C62E3"/>
    <w:rsid w:val="003C6A73"/>
    <w:rsid w:val="003C6CAE"/>
    <w:rsid w:val="003C6F3A"/>
    <w:rsid w:val="003C703F"/>
    <w:rsid w:val="003C76F2"/>
    <w:rsid w:val="003C777E"/>
    <w:rsid w:val="003C77A8"/>
    <w:rsid w:val="003C7C28"/>
    <w:rsid w:val="003C7E1B"/>
    <w:rsid w:val="003C7E56"/>
    <w:rsid w:val="003D0894"/>
    <w:rsid w:val="003D0BB3"/>
    <w:rsid w:val="003D0E6F"/>
    <w:rsid w:val="003D11A9"/>
    <w:rsid w:val="003D1451"/>
    <w:rsid w:val="003D1A0D"/>
    <w:rsid w:val="003D1BAC"/>
    <w:rsid w:val="003D1FB3"/>
    <w:rsid w:val="003D212D"/>
    <w:rsid w:val="003D2495"/>
    <w:rsid w:val="003D2A37"/>
    <w:rsid w:val="003D2C40"/>
    <w:rsid w:val="003D2CD5"/>
    <w:rsid w:val="003D3201"/>
    <w:rsid w:val="003D333B"/>
    <w:rsid w:val="003D37AF"/>
    <w:rsid w:val="003D3896"/>
    <w:rsid w:val="003D3C05"/>
    <w:rsid w:val="003D3CF6"/>
    <w:rsid w:val="003D3DD1"/>
    <w:rsid w:val="003D3E6A"/>
    <w:rsid w:val="003D3EFE"/>
    <w:rsid w:val="003D3F36"/>
    <w:rsid w:val="003D3F75"/>
    <w:rsid w:val="003D430D"/>
    <w:rsid w:val="003D465C"/>
    <w:rsid w:val="003D4726"/>
    <w:rsid w:val="003D472B"/>
    <w:rsid w:val="003D4794"/>
    <w:rsid w:val="003D482A"/>
    <w:rsid w:val="003D4D0B"/>
    <w:rsid w:val="003D50AA"/>
    <w:rsid w:val="003D528C"/>
    <w:rsid w:val="003D5435"/>
    <w:rsid w:val="003D5658"/>
    <w:rsid w:val="003D586A"/>
    <w:rsid w:val="003D645A"/>
    <w:rsid w:val="003D6576"/>
    <w:rsid w:val="003D69EF"/>
    <w:rsid w:val="003D6A55"/>
    <w:rsid w:val="003D7090"/>
    <w:rsid w:val="003D71EB"/>
    <w:rsid w:val="003D7257"/>
    <w:rsid w:val="003D74D4"/>
    <w:rsid w:val="003D75FE"/>
    <w:rsid w:val="003D779D"/>
    <w:rsid w:val="003D7A09"/>
    <w:rsid w:val="003D7ADE"/>
    <w:rsid w:val="003E0076"/>
    <w:rsid w:val="003E010D"/>
    <w:rsid w:val="003E03D0"/>
    <w:rsid w:val="003E04C9"/>
    <w:rsid w:val="003E07C0"/>
    <w:rsid w:val="003E0C83"/>
    <w:rsid w:val="003E0EC3"/>
    <w:rsid w:val="003E0EDB"/>
    <w:rsid w:val="003E1078"/>
    <w:rsid w:val="003E1144"/>
    <w:rsid w:val="003E12B2"/>
    <w:rsid w:val="003E1402"/>
    <w:rsid w:val="003E1AD1"/>
    <w:rsid w:val="003E253A"/>
    <w:rsid w:val="003E278B"/>
    <w:rsid w:val="003E28CF"/>
    <w:rsid w:val="003E2C2A"/>
    <w:rsid w:val="003E30E7"/>
    <w:rsid w:val="003E3390"/>
    <w:rsid w:val="003E372E"/>
    <w:rsid w:val="003E37FB"/>
    <w:rsid w:val="003E3C64"/>
    <w:rsid w:val="003E4690"/>
    <w:rsid w:val="003E4C35"/>
    <w:rsid w:val="003E4E86"/>
    <w:rsid w:val="003E4F9C"/>
    <w:rsid w:val="003E51C6"/>
    <w:rsid w:val="003E545E"/>
    <w:rsid w:val="003E5493"/>
    <w:rsid w:val="003E561B"/>
    <w:rsid w:val="003E5A00"/>
    <w:rsid w:val="003E5C4C"/>
    <w:rsid w:val="003E6098"/>
    <w:rsid w:val="003E6196"/>
    <w:rsid w:val="003E6475"/>
    <w:rsid w:val="003E6740"/>
    <w:rsid w:val="003E6CCB"/>
    <w:rsid w:val="003E6DC1"/>
    <w:rsid w:val="003E70CB"/>
    <w:rsid w:val="003E749D"/>
    <w:rsid w:val="003E76DA"/>
    <w:rsid w:val="003E7CB4"/>
    <w:rsid w:val="003E7D11"/>
    <w:rsid w:val="003E7F66"/>
    <w:rsid w:val="003E7F7D"/>
    <w:rsid w:val="003F0098"/>
    <w:rsid w:val="003F01AB"/>
    <w:rsid w:val="003F02AD"/>
    <w:rsid w:val="003F0844"/>
    <w:rsid w:val="003F0951"/>
    <w:rsid w:val="003F0977"/>
    <w:rsid w:val="003F0D04"/>
    <w:rsid w:val="003F0FD6"/>
    <w:rsid w:val="003F105A"/>
    <w:rsid w:val="003F1242"/>
    <w:rsid w:val="003F13AD"/>
    <w:rsid w:val="003F15AB"/>
    <w:rsid w:val="003F160E"/>
    <w:rsid w:val="003F1DB7"/>
    <w:rsid w:val="003F1F71"/>
    <w:rsid w:val="003F21C2"/>
    <w:rsid w:val="003F2391"/>
    <w:rsid w:val="003F23A1"/>
    <w:rsid w:val="003F24A1"/>
    <w:rsid w:val="003F2562"/>
    <w:rsid w:val="003F28B9"/>
    <w:rsid w:val="003F2CC6"/>
    <w:rsid w:val="003F2E6A"/>
    <w:rsid w:val="003F2F2A"/>
    <w:rsid w:val="003F2F6D"/>
    <w:rsid w:val="003F36E8"/>
    <w:rsid w:val="003F3B45"/>
    <w:rsid w:val="003F3F4F"/>
    <w:rsid w:val="003F4306"/>
    <w:rsid w:val="003F432C"/>
    <w:rsid w:val="003F4BBD"/>
    <w:rsid w:val="003F4CED"/>
    <w:rsid w:val="003F4F92"/>
    <w:rsid w:val="003F519D"/>
    <w:rsid w:val="003F52F4"/>
    <w:rsid w:val="003F5424"/>
    <w:rsid w:val="003F57E6"/>
    <w:rsid w:val="003F5DCA"/>
    <w:rsid w:val="003F5DEA"/>
    <w:rsid w:val="003F6076"/>
    <w:rsid w:val="003F6199"/>
    <w:rsid w:val="003F6579"/>
    <w:rsid w:val="003F6B6A"/>
    <w:rsid w:val="003F6E71"/>
    <w:rsid w:val="003F6E8B"/>
    <w:rsid w:val="003F6F0B"/>
    <w:rsid w:val="003F715F"/>
    <w:rsid w:val="003F7182"/>
    <w:rsid w:val="003F7192"/>
    <w:rsid w:val="003F7297"/>
    <w:rsid w:val="003F7780"/>
    <w:rsid w:val="003F79A8"/>
    <w:rsid w:val="004003BC"/>
    <w:rsid w:val="004005B0"/>
    <w:rsid w:val="0040094D"/>
    <w:rsid w:val="00400ACA"/>
    <w:rsid w:val="00400C10"/>
    <w:rsid w:val="00401114"/>
    <w:rsid w:val="0040112A"/>
    <w:rsid w:val="0040126B"/>
    <w:rsid w:val="0040130B"/>
    <w:rsid w:val="00401482"/>
    <w:rsid w:val="004017D1"/>
    <w:rsid w:val="00401900"/>
    <w:rsid w:val="00401B35"/>
    <w:rsid w:val="00401E77"/>
    <w:rsid w:val="00401F14"/>
    <w:rsid w:val="0040220E"/>
    <w:rsid w:val="0040244E"/>
    <w:rsid w:val="0040260D"/>
    <w:rsid w:val="0040276A"/>
    <w:rsid w:val="00402EDF"/>
    <w:rsid w:val="00402F37"/>
    <w:rsid w:val="004033BF"/>
    <w:rsid w:val="00403592"/>
    <w:rsid w:val="0040393B"/>
    <w:rsid w:val="00403C05"/>
    <w:rsid w:val="00403CE6"/>
    <w:rsid w:val="00403CFF"/>
    <w:rsid w:val="0040401E"/>
    <w:rsid w:val="0040417E"/>
    <w:rsid w:val="00404331"/>
    <w:rsid w:val="004044F2"/>
    <w:rsid w:val="0040458B"/>
    <w:rsid w:val="0040464A"/>
    <w:rsid w:val="004046B5"/>
    <w:rsid w:val="004048F1"/>
    <w:rsid w:val="00404B7C"/>
    <w:rsid w:val="00404BE4"/>
    <w:rsid w:val="00404BFD"/>
    <w:rsid w:val="00404C2B"/>
    <w:rsid w:val="00404C3E"/>
    <w:rsid w:val="00404D15"/>
    <w:rsid w:val="00405058"/>
    <w:rsid w:val="0040506B"/>
    <w:rsid w:val="00405110"/>
    <w:rsid w:val="00405429"/>
    <w:rsid w:val="004055A4"/>
    <w:rsid w:val="00405612"/>
    <w:rsid w:val="0040564D"/>
    <w:rsid w:val="00405E40"/>
    <w:rsid w:val="00405E78"/>
    <w:rsid w:val="00405FEE"/>
    <w:rsid w:val="0040607B"/>
    <w:rsid w:val="0040636E"/>
    <w:rsid w:val="0040647E"/>
    <w:rsid w:val="004067E0"/>
    <w:rsid w:val="00406910"/>
    <w:rsid w:val="00406B10"/>
    <w:rsid w:val="00406DF6"/>
    <w:rsid w:val="00406F97"/>
    <w:rsid w:val="0040726C"/>
    <w:rsid w:val="004073DC"/>
    <w:rsid w:val="00407437"/>
    <w:rsid w:val="004076C4"/>
    <w:rsid w:val="00407E2A"/>
    <w:rsid w:val="004102F5"/>
    <w:rsid w:val="00410AC3"/>
    <w:rsid w:val="00410C33"/>
    <w:rsid w:val="00410F01"/>
    <w:rsid w:val="0041113F"/>
    <w:rsid w:val="004112C2"/>
    <w:rsid w:val="004118B6"/>
    <w:rsid w:val="00411D0E"/>
    <w:rsid w:val="00411E52"/>
    <w:rsid w:val="00411F2D"/>
    <w:rsid w:val="004124F8"/>
    <w:rsid w:val="00412A6F"/>
    <w:rsid w:val="00412C35"/>
    <w:rsid w:val="00412D3C"/>
    <w:rsid w:val="004130C5"/>
    <w:rsid w:val="0041328A"/>
    <w:rsid w:val="004133F4"/>
    <w:rsid w:val="00413786"/>
    <w:rsid w:val="00413859"/>
    <w:rsid w:val="00413BA1"/>
    <w:rsid w:val="00413D29"/>
    <w:rsid w:val="00413E00"/>
    <w:rsid w:val="00413FD4"/>
    <w:rsid w:val="00413FE6"/>
    <w:rsid w:val="004140F6"/>
    <w:rsid w:val="004141E3"/>
    <w:rsid w:val="004143F9"/>
    <w:rsid w:val="00414755"/>
    <w:rsid w:val="00414889"/>
    <w:rsid w:val="004148C3"/>
    <w:rsid w:val="0041498A"/>
    <w:rsid w:val="00414FDC"/>
    <w:rsid w:val="004154A1"/>
    <w:rsid w:val="00415846"/>
    <w:rsid w:val="004159B6"/>
    <w:rsid w:val="00415A0D"/>
    <w:rsid w:val="00415C37"/>
    <w:rsid w:val="00415F27"/>
    <w:rsid w:val="00416479"/>
    <w:rsid w:val="0041658D"/>
    <w:rsid w:val="004166B6"/>
    <w:rsid w:val="0041685C"/>
    <w:rsid w:val="00416C75"/>
    <w:rsid w:val="00416FAE"/>
    <w:rsid w:val="0041718A"/>
    <w:rsid w:val="00417862"/>
    <w:rsid w:val="0041796E"/>
    <w:rsid w:val="00417DD2"/>
    <w:rsid w:val="00417E99"/>
    <w:rsid w:val="00420450"/>
    <w:rsid w:val="004204B0"/>
    <w:rsid w:val="0042050E"/>
    <w:rsid w:val="00420540"/>
    <w:rsid w:val="00420832"/>
    <w:rsid w:val="00420AB1"/>
    <w:rsid w:val="00420B7A"/>
    <w:rsid w:val="004210F3"/>
    <w:rsid w:val="00421378"/>
    <w:rsid w:val="00421450"/>
    <w:rsid w:val="0042192E"/>
    <w:rsid w:val="00421A86"/>
    <w:rsid w:val="00421C14"/>
    <w:rsid w:val="00422352"/>
    <w:rsid w:val="00422A21"/>
    <w:rsid w:val="00422ADC"/>
    <w:rsid w:val="00422B82"/>
    <w:rsid w:val="00422F23"/>
    <w:rsid w:val="00423672"/>
    <w:rsid w:val="00423826"/>
    <w:rsid w:val="00423897"/>
    <w:rsid w:val="00423D40"/>
    <w:rsid w:val="00423ED8"/>
    <w:rsid w:val="00423F3A"/>
    <w:rsid w:val="004241E2"/>
    <w:rsid w:val="004242C5"/>
    <w:rsid w:val="00424338"/>
    <w:rsid w:val="004243A0"/>
    <w:rsid w:val="004246B0"/>
    <w:rsid w:val="004246C5"/>
    <w:rsid w:val="00424952"/>
    <w:rsid w:val="00425029"/>
    <w:rsid w:val="00425411"/>
    <w:rsid w:val="00425BB2"/>
    <w:rsid w:val="00425D5D"/>
    <w:rsid w:val="00426090"/>
    <w:rsid w:val="00426523"/>
    <w:rsid w:val="00426528"/>
    <w:rsid w:val="004265B7"/>
    <w:rsid w:val="00426970"/>
    <w:rsid w:val="00426C29"/>
    <w:rsid w:val="00426CD0"/>
    <w:rsid w:val="00426CF2"/>
    <w:rsid w:val="00426D8D"/>
    <w:rsid w:val="00427123"/>
    <w:rsid w:val="004273AD"/>
    <w:rsid w:val="00427AB6"/>
    <w:rsid w:val="00427E55"/>
    <w:rsid w:val="00427E5F"/>
    <w:rsid w:val="004302B0"/>
    <w:rsid w:val="00430643"/>
    <w:rsid w:val="00430AEB"/>
    <w:rsid w:val="00430B4A"/>
    <w:rsid w:val="00430F1E"/>
    <w:rsid w:val="00430F41"/>
    <w:rsid w:val="00430F69"/>
    <w:rsid w:val="00430F82"/>
    <w:rsid w:val="00430FD1"/>
    <w:rsid w:val="004313AA"/>
    <w:rsid w:val="0043141E"/>
    <w:rsid w:val="00431740"/>
    <w:rsid w:val="00431829"/>
    <w:rsid w:val="00431875"/>
    <w:rsid w:val="00431C15"/>
    <w:rsid w:val="00431C69"/>
    <w:rsid w:val="00432286"/>
    <w:rsid w:val="00432486"/>
    <w:rsid w:val="0043253A"/>
    <w:rsid w:val="00432A1A"/>
    <w:rsid w:val="00432A92"/>
    <w:rsid w:val="00432AE7"/>
    <w:rsid w:val="00432CD2"/>
    <w:rsid w:val="00433284"/>
    <w:rsid w:val="004333DD"/>
    <w:rsid w:val="00433422"/>
    <w:rsid w:val="004334F7"/>
    <w:rsid w:val="0043350A"/>
    <w:rsid w:val="00433736"/>
    <w:rsid w:val="00433750"/>
    <w:rsid w:val="004337B8"/>
    <w:rsid w:val="00433AEF"/>
    <w:rsid w:val="004343F2"/>
    <w:rsid w:val="004343FE"/>
    <w:rsid w:val="004344D7"/>
    <w:rsid w:val="004347E5"/>
    <w:rsid w:val="00434A3E"/>
    <w:rsid w:val="004350D9"/>
    <w:rsid w:val="0043525F"/>
    <w:rsid w:val="004353FA"/>
    <w:rsid w:val="00435866"/>
    <w:rsid w:val="00435C35"/>
    <w:rsid w:val="00435D2F"/>
    <w:rsid w:val="0043643F"/>
    <w:rsid w:val="00436441"/>
    <w:rsid w:val="00436911"/>
    <w:rsid w:val="004369E6"/>
    <w:rsid w:val="00436A7F"/>
    <w:rsid w:val="00436B38"/>
    <w:rsid w:val="00436DF7"/>
    <w:rsid w:val="00436EB8"/>
    <w:rsid w:val="00436F50"/>
    <w:rsid w:val="00437199"/>
    <w:rsid w:val="00437263"/>
    <w:rsid w:val="0043742D"/>
    <w:rsid w:val="0043793B"/>
    <w:rsid w:val="00437BB5"/>
    <w:rsid w:val="00437C90"/>
    <w:rsid w:val="00437E01"/>
    <w:rsid w:val="00440696"/>
    <w:rsid w:val="00440B1A"/>
    <w:rsid w:val="00440B77"/>
    <w:rsid w:val="00440C2E"/>
    <w:rsid w:val="00440F8B"/>
    <w:rsid w:val="004411FA"/>
    <w:rsid w:val="00441448"/>
    <w:rsid w:val="0044147A"/>
    <w:rsid w:val="004416AC"/>
    <w:rsid w:val="00441962"/>
    <w:rsid w:val="00441CDE"/>
    <w:rsid w:val="00441D23"/>
    <w:rsid w:val="00442061"/>
    <w:rsid w:val="00442419"/>
    <w:rsid w:val="004427F9"/>
    <w:rsid w:val="00442981"/>
    <w:rsid w:val="00442E6B"/>
    <w:rsid w:val="0044314E"/>
    <w:rsid w:val="004433A9"/>
    <w:rsid w:val="004438E0"/>
    <w:rsid w:val="00443953"/>
    <w:rsid w:val="00443A49"/>
    <w:rsid w:val="00443F9A"/>
    <w:rsid w:val="00444031"/>
    <w:rsid w:val="0044416B"/>
    <w:rsid w:val="00444213"/>
    <w:rsid w:val="004444C4"/>
    <w:rsid w:val="00444661"/>
    <w:rsid w:val="00444814"/>
    <w:rsid w:val="00444878"/>
    <w:rsid w:val="00444B96"/>
    <w:rsid w:val="00444BA7"/>
    <w:rsid w:val="00444CF6"/>
    <w:rsid w:val="00445108"/>
    <w:rsid w:val="00445436"/>
    <w:rsid w:val="00445E5D"/>
    <w:rsid w:val="00446100"/>
    <w:rsid w:val="0044615C"/>
    <w:rsid w:val="004462EE"/>
    <w:rsid w:val="00446551"/>
    <w:rsid w:val="004465C2"/>
    <w:rsid w:val="00446985"/>
    <w:rsid w:val="00446A46"/>
    <w:rsid w:val="00446A69"/>
    <w:rsid w:val="004471EF"/>
    <w:rsid w:val="004476CB"/>
    <w:rsid w:val="00447811"/>
    <w:rsid w:val="00447963"/>
    <w:rsid w:val="00447AB7"/>
    <w:rsid w:val="0045019D"/>
    <w:rsid w:val="004504BA"/>
    <w:rsid w:val="004508CF"/>
    <w:rsid w:val="00450BCD"/>
    <w:rsid w:val="004515BF"/>
    <w:rsid w:val="004517C4"/>
    <w:rsid w:val="00451F86"/>
    <w:rsid w:val="004521D7"/>
    <w:rsid w:val="00452496"/>
    <w:rsid w:val="004524EC"/>
    <w:rsid w:val="00452852"/>
    <w:rsid w:val="0045297C"/>
    <w:rsid w:val="004529DE"/>
    <w:rsid w:val="00452AAF"/>
    <w:rsid w:val="0045326B"/>
    <w:rsid w:val="0045347F"/>
    <w:rsid w:val="00453761"/>
    <w:rsid w:val="0045389C"/>
    <w:rsid w:val="00453930"/>
    <w:rsid w:val="00453BAE"/>
    <w:rsid w:val="00453D59"/>
    <w:rsid w:val="00453FA7"/>
    <w:rsid w:val="0045442A"/>
    <w:rsid w:val="004546B5"/>
    <w:rsid w:val="004548C7"/>
    <w:rsid w:val="004548E9"/>
    <w:rsid w:val="00454945"/>
    <w:rsid w:val="00454A5C"/>
    <w:rsid w:val="00454A96"/>
    <w:rsid w:val="00454ABB"/>
    <w:rsid w:val="00454CCD"/>
    <w:rsid w:val="00455055"/>
    <w:rsid w:val="0045580B"/>
    <w:rsid w:val="00455B97"/>
    <w:rsid w:val="00455F36"/>
    <w:rsid w:val="00456242"/>
    <w:rsid w:val="00456425"/>
    <w:rsid w:val="00456BBE"/>
    <w:rsid w:val="00456F66"/>
    <w:rsid w:val="00457154"/>
    <w:rsid w:val="00457202"/>
    <w:rsid w:val="0045728E"/>
    <w:rsid w:val="00457446"/>
    <w:rsid w:val="0045779A"/>
    <w:rsid w:val="004579A1"/>
    <w:rsid w:val="00457B33"/>
    <w:rsid w:val="00460041"/>
    <w:rsid w:val="00460062"/>
    <w:rsid w:val="00460629"/>
    <w:rsid w:val="004606E3"/>
    <w:rsid w:val="004608F2"/>
    <w:rsid w:val="0046095F"/>
    <w:rsid w:val="00460B60"/>
    <w:rsid w:val="00460B6A"/>
    <w:rsid w:val="00460BCD"/>
    <w:rsid w:val="00460CDC"/>
    <w:rsid w:val="00460DDB"/>
    <w:rsid w:val="00460E23"/>
    <w:rsid w:val="00460EB1"/>
    <w:rsid w:val="00460EB9"/>
    <w:rsid w:val="004611DD"/>
    <w:rsid w:val="004612E5"/>
    <w:rsid w:val="00461516"/>
    <w:rsid w:val="00461695"/>
    <w:rsid w:val="0046195B"/>
    <w:rsid w:val="004619BB"/>
    <w:rsid w:val="00461EF0"/>
    <w:rsid w:val="00461F1E"/>
    <w:rsid w:val="0046252C"/>
    <w:rsid w:val="0046280B"/>
    <w:rsid w:val="00462CDF"/>
    <w:rsid w:val="00462F6F"/>
    <w:rsid w:val="004633C7"/>
    <w:rsid w:val="0046371A"/>
    <w:rsid w:val="00463B32"/>
    <w:rsid w:val="00463C4E"/>
    <w:rsid w:val="00463F4B"/>
    <w:rsid w:val="0046480D"/>
    <w:rsid w:val="004649D8"/>
    <w:rsid w:val="00464A4F"/>
    <w:rsid w:val="00464C12"/>
    <w:rsid w:val="00464E1A"/>
    <w:rsid w:val="0046572B"/>
    <w:rsid w:val="00465D3F"/>
    <w:rsid w:val="00465E73"/>
    <w:rsid w:val="00465ECB"/>
    <w:rsid w:val="0046600B"/>
    <w:rsid w:val="0046621E"/>
    <w:rsid w:val="00466713"/>
    <w:rsid w:val="00466AE8"/>
    <w:rsid w:val="00466E2D"/>
    <w:rsid w:val="00466E3D"/>
    <w:rsid w:val="00466EED"/>
    <w:rsid w:val="00467B92"/>
    <w:rsid w:val="00467C34"/>
    <w:rsid w:val="00467F4B"/>
    <w:rsid w:val="0047044C"/>
    <w:rsid w:val="004705B1"/>
    <w:rsid w:val="00470997"/>
    <w:rsid w:val="00470AC4"/>
    <w:rsid w:val="00470B01"/>
    <w:rsid w:val="00470B4C"/>
    <w:rsid w:val="00470C70"/>
    <w:rsid w:val="00470D86"/>
    <w:rsid w:val="00470F56"/>
    <w:rsid w:val="0047106E"/>
    <w:rsid w:val="0047116D"/>
    <w:rsid w:val="004714BA"/>
    <w:rsid w:val="004718CE"/>
    <w:rsid w:val="00471E1C"/>
    <w:rsid w:val="0047219B"/>
    <w:rsid w:val="00472259"/>
    <w:rsid w:val="00472401"/>
    <w:rsid w:val="00472754"/>
    <w:rsid w:val="00472A8E"/>
    <w:rsid w:val="00472BAD"/>
    <w:rsid w:val="00472CA9"/>
    <w:rsid w:val="00472D4D"/>
    <w:rsid w:val="00472FEE"/>
    <w:rsid w:val="00473128"/>
    <w:rsid w:val="0047326F"/>
    <w:rsid w:val="00473314"/>
    <w:rsid w:val="0047351C"/>
    <w:rsid w:val="00473717"/>
    <w:rsid w:val="00473AD5"/>
    <w:rsid w:val="00473EC0"/>
    <w:rsid w:val="004741D5"/>
    <w:rsid w:val="00474AB3"/>
    <w:rsid w:val="00474EF1"/>
    <w:rsid w:val="0047527F"/>
    <w:rsid w:val="004753BD"/>
    <w:rsid w:val="004753EB"/>
    <w:rsid w:val="00475505"/>
    <w:rsid w:val="00475801"/>
    <w:rsid w:val="0047590B"/>
    <w:rsid w:val="00476251"/>
    <w:rsid w:val="004763C4"/>
    <w:rsid w:val="004768C3"/>
    <w:rsid w:val="00476A2E"/>
    <w:rsid w:val="00476A53"/>
    <w:rsid w:val="0047720D"/>
    <w:rsid w:val="004772F1"/>
    <w:rsid w:val="0047732A"/>
    <w:rsid w:val="00477384"/>
    <w:rsid w:val="00477713"/>
    <w:rsid w:val="00477988"/>
    <w:rsid w:val="00477D83"/>
    <w:rsid w:val="00477D8C"/>
    <w:rsid w:val="00477F01"/>
    <w:rsid w:val="004800C7"/>
    <w:rsid w:val="004803B3"/>
    <w:rsid w:val="004805B0"/>
    <w:rsid w:val="004808BE"/>
    <w:rsid w:val="004810E1"/>
    <w:rsid w:val="00481231"/>
    <w:rsid w:val="00481375"/>
    <w:rsid w:val="004814F9"/>
    <w:rsid w:val="00481549"/>
    <w:rsid w:val="004818C3"/>
    <w:rsid w:val="0048194E"/>
    <w:rsid w:val="00481CFC"/>
    <w:rsid w:val="00481D64"/>
    <w:rsid w:val="0048262B"/>
    <w:rsid w:val="00482684"/>
    <w:rsid w:val="00482694"/>
    <w:rsid w:val="004830EE"/>
    <w:rsid w:val="004833C3"/>
    <w:rsid w:val="004834AC"/>
    <w:rsid w:val="004834D9"/>
    <w:rsid w:val="00483757"/>
    <w:rsid w:val="0048398C"/>
    <w:rsid w:val="00483A22"/>
    <w:rsid w:val="00483B03"/>
    <w:rsid w:val="00483C39"/>
    <w:rsid w:val="004841D1"/>
    <w:rsid w:val="004843ED"/>
    <w:rsid w:val="00484430"/>
    <w:rsid w:val="004844A9"/>
    <w:rsid w:val="004844C6"/>
    <w:rsid w:val="0048478C"/>
    <w:rsid w:val="0048480F"/>
    <w:rsid w:val="00484885"/>
    <w:rsid w:val="00484B4C"/>
    <w:rsid w:val="00484D37"/>
    <w:rsid w:val="00484F90"/>
    <w:rsid w:val="00485752"/>
    <w:rsid w:val="0048588F"/>
    <w:rsid w:val="00485E8C"/>
    <w:rsid w:val="004863C0"/>
    <w:rsid w:val="004869C1"/>
    <w:rsid w:val="00486CB7"/>
    <w:rsid w:val="00486D27"/>
    <w:rsid w:val="0048708E"/>
    <w:rsid w:val="004871DF"/>
    <w:rsid w:val="00487388"/>
    <w:rsid w:val="0048761C"/>
    <w:rsid w:val="00487820"/>
    <w:rsid w:val="00487CCB"/>
    <w:rsid w:val="004900A1"/>
    <w:rsid w:val="0049031A"/>
    <w:rsid w:val="0049066E"/>
    <w:rsid w:val="004908B7"/>
    <w:rsid w:val="0049093D"/>
    <w:rsid w:val="00490A71"/>
    <w:rsid w:val="00490F3E"/>
    <w:rsid w:val="004912A1"/>
    <w:rsid w:val="00491328"/>
    <w:rsid w:val="004916D2"/>
    <w:rsid w:val="0049173D"/>
    <w:rsid w:val="004919DD"/>
    <w:rsid w:val="00491ABB"/>
    <w:rsid w:val="00491C17"/>
    <w:rsid w:val="00491D93"/>
    <w:rsid w:val="0049202E"/>
    <w:rsid w:val="004923E6"/>
    <w:rsid w:val="0049267C"/>
    <w:rsid w:val="004926B5"/>
    <w:rsid w:val="00493012"/>
    <w:rsid w:val="004935B4"/>
    <w:rsid w:val="004935EF"/>
    <w:rsid w:val="0049364A"/>
    <w:rsid w:val="0049395A"/>
    <w:rsid w:val="00493A7F"/>
    <w:rsid w:val="00493CE6"/>
    <w:rsid w:val="00493CF1"/>
    <w:rsid w:val="00493D96"/>
    <w:rsid w:val="004943A5"/>
    <w:rsid w:val="0049480A"/>
    <w:rsid w:val="00494911"/>
    <w:rsid w:val="004949A3"/>
    <w:rsid w:val="00494B18"/>
    <w:rsid w:val="00494B7C"/>
    <w:rsid w:val="00494C56"/>
    <w:rsid w:val="00494CD8"/>
    <w:rsid w:val="00494DAB"/>
    <w:rsid w:val="00494E87"/>
    <w:rsid w:val="00494F7C"/>
    <w:rsid w:val="0049535D"/>
    <w:rsid w:val="004953A7"/>
    <w:rsid w:val="00495913"/>
    <w:rsid w:val="00495943"/>
    <w:rsid w:val="00495F18"/>
    <w:rsid w:val="0049617A"/>
    <w:rsid w:val="004962AF"/>
    <w:rsid w:val="004963B2"/>
    <w:rsid w:val="00496416"/>
    <w:rsid w:val="00496593"/>
    <w:rsid w:val="0049673F"/>
    <w:rsid w:val="00496A87"/>
    <w:rsid w:val="00496A90"/>
    <w:rsid w:val="00496F0A"/>
    <w:rsid w:val="00496F9D"/>
    <w:rsid w:val="004972EA"/>
    <w:rsid w:val="004974EC"/>
    <w:rsid w:val="00497733"/>
    <w:rsid w:val="00497D39"/>
    <w:rsid w:val="00497FE3"/>
    <w:rsid w:val="004A0104"/>
    <w:rsid w:val="004A030B"/>
    <w:rsid w:val="004A0879"/>
    <w:rsid w:val="004A091F"/>
    <w:rsid w:val="004A0C6D"/>
    <w:rsid w:val="004A0C92"/>
    <w:rsid w:val="004A0F09"/>
    <w:rsid w:val="004A1015"/>
    <w:rsid w:val="004A11CF"/>
    <w:rsid w:val="004A1890"/>
    <w:rsid w:val="004A1C3D"/>
    <w:rsid w:val="004A23A2"/>
    <w:rsid w:val="004A254F"/>
    <w:rsid w:val="004A2736"/>
    <w:rsid w:val="004A28B7"/>
    <w:rsid w:val="004A2924"/>
    <w:rsid w:val="004A2DF5"/>
    <w:rsid w:val="004A2FC2"/>
    <w:rsid w:val="004A2FD4"/>
    <w:rsid w:val="004A32C3"/>
    <w:rsid w:val="004A32D9"/>
    <w:rsid w:val="004A3635"/>
    <w:rsid w:val="004A3AF1"/>
    <w:rsid w:val="004A3CB0"/>
    <w:rsid w:val="004A3F76"/>
    <w:rsid w:val="004A40C3"/>
    <w:rsid w:val="004A4160"/>
    <w:rsid w:val="004A4333"/>
    <w:rsid w:val="004A477F"/>
    <w:rsid w:val="004A4807"/>
    <w:rsid w:val="004A4BF3"/>
    <w:rsid w:val="004A4C12"/>
    <w:rsid w:val="004A4EF3"/>
    <w:rsid w:val="004A5359"/>
    <w:rsid w:val="004A5746"/>
    <w:rsid w:val="004A5D2D"/>
    <w:rsid w:val="004A5D69"/>
    <w:rsid w:val="004A5D88"/>
    <w:rsid w:val="004A5DFA"/>
    <w:rsid w:val="004A6099"/>
    <w:rsid w:val="004A61E4"/>
    <w:rsid w:val="004A69F9"/>
    <w:rsid w:val="004A73D0"/>
    <w:rsid w:val="004A76CB"/>
    <w:rsid w:val="004A7863"/>
    <w:rsid w:val="004A795D"/>
    <w:rsid w:val="004A7992"/>
    <w:rsid w:val="004A7C95"/>
    <w:rsid w:val="004A7E10"/>
    <w:rsid w:val="004A7E4A"/>
    <w:rsid w:val="004A7EE5"/>
    <w:rsid w:val="004A7F24"/>
    <w:rsid w:val="004AF5DC"/>
    <w:rsid w:val="004B010F"/>
    <w:rsid w:val="004B012C"/>
    <w:rsid w:val="004B052E"/>
    <w:rsid w:val="004B0719"/>
    <w:rsid w:val="004B0BC3"/>
    <w:rsid w:val="004B0FD3"/>
    <w:rsid w:val="004B10EB"/>
    <w:rsid w:val="004B1386"/>
    <w:rsid w:val="004B1787"/>
    <w:rsid w:val="004B1825"/>
    <w:rsid w:val="004B1A8F"/>
    <w:rsid w:val="004B1CB9"/>
    <w:rsid w:val="004B238A"/>
    <w:rsid w:val="004B2767"/>
    <w:rsid w:val="004B2949"/>
    <w:rsid w:val="004B2AAA"/>
    <w:rsid w:val="004B2BE3"/>
    <w:rsid w:val="004B2F02"/>
    <w:rsid w:val="004B3817"/>
    <w:rsid w:val="004B3A2E"/>
    <w:rsid w:val="004B3C00"/>
    <w:rsid w:val="004B3CEA"/>
    <w:rsid w:val="004B3CFE"/>
    <w:rsid w:val="004B3F88"/>
    <w:rsid w:val="004B41F8"/>
    <w:rsid w:val="004B4573"/>
    <w:rsid w:val="004B4D65"/>
    <w:rsid w:val="004B51A5"/>
    <w:rsid w:val="004B5394"/>
    <w:rsid w:val="004B57AF"/>
    <w:rsid w:val="004B5ACB"/>
    <w:rsid w:val="004B5CBB"/>
    <w:rsid w:val="004B6045"/>
    <w:rsid w:val="004B6088"/>
    <w:rsid w:val="004B61FF"/>
    <w:rsid w:val="004B6C0B"/>
    <w:rsid w:val="004B7237"/>
    <w:rsid w:val="004B7417"/>
    <w:rsid w:val="004B76D3"/>
    <w:rsid w:val="004B7736"/>
    <w:rsid w:val="004B788E"/>
    <w:rsid w:val="004B7AED"/>
    <w:rsid w:val="004B7B3E"/>
    <w:rsid w:val="004B7D36"/>
    <w:rsid w:val="004B7D80"/>
    <w:rsid w:val="004C000E"/>
    <w:rsid w:val="004C0152"/>
    <w:rsid w:val="004C0224"/>
    <w:rsid w:val="004C05F7"/>
    <w:rsid w:val="004C06EB"/>
    <w:rsid w:val="004C0777"/>
    <w:rsid w:val="004C089B"/>
    <w:rsid w:val="004C0D6C"/>
    <w:rsid w:val="004C0DF5"/>
    <w:rsid w:val="004C1192"/>
    <w:rsid w:val="004C13C4"/>
    <w:rsid w:val="004C14E0"/>
    <w:rsid w:val="004C16C2"/>
    <w:rsid w:val="004C18A3"/>
    <w:rsid w:val="004C1924"/>
    <w:rsid w:val="004C1D0C"/>
    <w:rsid w:val="004C222B"/>
    <w:rsid w:val="004C2243"/>
    <w:rsid w:val="004C2301"/>
    <w:rsid w:val="004C2FF3"/>
    <w:rsid w:val="004C35CB"/>
    <w:rsid w:val="004C37B3"/>
    <w:rsid w:val="004C3880"/>
    <w:rsid w:val="004C39C4"/>
    <w:rsid w:val="004C3A0C"/>
    <w:rsid w:val="004C3B63"/>
    <w:rsid w:val="004C3DE0"/>
    <w:rsid w:val="004C445C"/>
    <w:rsid w:val="004C4506"/>
    <w:rsid w:val="004C45D9"/>
    <w:rsid w:val="004C4778"/>
    <w:rsid w:val="004C4AD2"/>
    <w:rsid w:val="004C4B9E"/>
    <w:rsid w:val="004C4F5E"/>
    <w:rsid w:val="004C501E"/>
    <w:rsid w:val="004C52F7"/>
    <w:rsid w:val="004C559B"/>
    <w:rsid w:val="004C56DD"/>
    <w:rsid w:val="004C5705"/>
    <w:rsid w:val="004C5E86"/>
    <w:rsid w:val="004C5F44"/>
    <w:rsid w:val="004C5F62"/>
    <w:rsid w:val="004C6227"/>
    <w:rsid w:val="004C6638"/>
    <w:rsid w:val="004C66CD"/>
    <w:rsid w:val="004C6826"/>
    <w:rsid w:val="004C6990"/>
    <w:rsid w:val="004C6B48"/>
    <w:rsid w:val="004C700A"/>
    <w:rsid w:val="004C72B6"/>
    <w:rsid w:val="004C7418"/>
    <w:rsid w:val="004C79FD"/>
    <w:rsid w:val="004C7A7C"/>
    <w:rsid w:val="004C7C3C"/>
    <w:rsid w:val="004C7D7D"/>
    <w:rsid w:val="004D006F"/>
    <w:rsid w:val="004D00C5"/>
    <w:rsid w:val="004D03B6"/>
    <w:rsid w:val="004D0A32"/>
    <w:rsid w:val="004D0D80"/>
    <w:rsid w:val="004D0DBA"/>
    <w:rsid w:val="004D0ED6"/>
    <w:rsid w:val="004D1006"/>
    <w:rsid w:val="004D1040"/>
    <w:rsid w:val="004D14D1"/>
    <w:rsid w:val="004D1803"/>
    <w:rsid w:val="004D1A31"/>
    <w:rsid w:val="004D1CB8"/>
    <w:rsid w:val="004D1DC4"/>
    <w:rsid w:val="004D209A"/>
    <w:rsid w:val="004D21F6"/>
    <w:rsid w:val="004D23EA"/>
    <w:rsid w:val="004D29EB"/>
    <w:rsid w:val="004D2DD5"/>
    <w:rsid w:val="004D3249"/>
    <w:rsid w:val="004D33D6"/>
    <w:rsid w:val="004D35A2"/>
    <w:rsid w:val="004D363E"/>
    <w:rsid w:val="004D3708"/>
    <w:rsid w:val="004D39E8"/>
    <w:rsid w:val="004D3BC0"/>
    <w:rsid w:val="004D3D83"/>
    <w:rsid w:val="004D400E"/>
    <w:rsid w:val="004D41B3"/>
    <w:rsid w:val="004D4339"/>
    <w:rsid w:val="004D45DF"/>
    <w:rsid w:val="004D47B9"/>
    <w:rsid w:val="004D4971"/>
    <w:rsid w:val="004D49D8"/>
    <w:rsid w:val="004D4BB5"/>
    <w:rsid w:val="004D5466"/>
    <w:rsid w:val="004D5508"/>
    <w:rsid w:val="004D5BD7"/>
    <w:rsid w:val="004D5D27"/>
    <w:rsid w:val="004D6235"/>
    <w:rsid w:val="004D6510"/>
    <w:rsid w:val="004D6ADB"/>
    <w:rsid w:val="004D6B57"/>
    <w:rsid w:val="004D6D7F"/>
    <w:rsid w:val="004D6ED2"/>
    <w:rsid w:val="004D78D2"/>
    <w:rsid w:val="004D7D0C"/>
    <w:rsid w:val="004D7F30"/>
    <w:rsid w:val="004E0134"/>
    <w:rsid w:val="004E02E7"/>
    <w:rsid w:val="004E0678"/>
    <w:rsid w:val="004E06B5"/>
    <w:rsid w:val="004E0889"/>
    <w:rsid w:val="004E0967"/>
    <w:rsid w:val="004E0A91"/>
    <w:rsid w:val="004E0C0B"/>
    <w:rsid w:val="004E0F0F"/>
    <w:rsid w:val="004E10DC"/>
    <w:rsid w:val="004E187B"/>
    <w:rsid w:val="004E1B35"/>
    <w:rsid w:val="004E1F84"/>
    <w:rsid w:val="004E2125"/>
    <w:rsid w:val="004E259F"/>
    <w:rsid w:val="004E2B1E"/>
    <w:rsid w:val="004E2D22"/>
    <w:rsid w:val="004E2EE0"/>
    <w:rsid w:val="004E31B4"/>
    <w:rsid w:val="004E321C"/>
    <w:rsid w:val="004E33D2"/>
    <w:rsid w:val="004E346E"/>
    <w:rsid w:val="004E3620"/>
    <w:rsid w:val="004E3669"/>
    <w:rsid w:val="004E39E8"/>
    <w:rsid w:val="004E3B9B"/>
    <w:rsid w:val="004E3DD2"/>
    <w:rsid w:val="004E3E33"/>
    <w:rsid w:val="004E4022"/>
    <w:rsid w:val="004E4313"/>
    <w:rsid w:val="004E4565"/>
    <w:rsid w:val="004E47AC"/>
    <w:rsid w:val="004E47F1"/>
    <w:rsid w:val="004E4A81"/>
    <w:rsid w:val="004E4AF3"/>
    <w:rsid w:val="004E4D50"/>
    <w:rsid w:val="004E4F95"/>
    <w:rsid w:val="004E4FCB"/>
    <w:rsid w:val="004E5093"/>
    <w:rsid w:val="004E5214"/>
    <w:rsid w:val="004E524E"/>
    <w:rsid w:val="004E58D7"/>
    <w:rsid w:val="004E5A30"/>
    <w:rsid w:val="004E5BE2"/>
    <w:rsid w:val="004E5C29"/>
    <w:rsid w:val="004E5C32"/>
    <w:rsid w:val="004E5DAC"/>
    <w:rsid w:val="004E5F8F"/>
    <w:rsid w:val="004E5FC1"/>
    <w:rsid w:val="004E647B"/>
    <w:rsid w:val="004E6AB9"/>
    <w:rsid w:val="004E6CFF"/>
    <w:rsid w:val="004E6D75"/>
    <w:rsid w:val="004E70B3"/>
    <w:rsid w:val="004E7223"/>
    <w:rsid w:val="004E747B"/>
    <w:rsid w:val="004E74BE"/>
    <w:rsid w:val="004E76DA"/>
    <w:rsid w:val="004E7AD4"/>
    <w:rsid w:val="004E7B6D"/>
    <w:rsid w:val="004E7CF7"/>
    <w:rsid w:val="004E7FEC"/>
    <w:rsid w:val="004F07FA"/>
    <w:rsid w:val="004F08D2"/>
    <w:rsid w:val="004F0B03"/>
    <w:rsid w:val="004F0D9A"/>
    <w:rsid w:val="004F1802"/>
    <w:rsid w:val="004F2017"/>
    <w:rsid w:val="004F2248"/>
    <w:rsid w:val="004F2608"/>
    <w:rsid w:val="004F26BD"/>
    <w:rsid w:val="004F286B"/>
    <w:rsid w:val="004F2B99"/>
    <w:rsid w:val="004F2FFF"/>
    <w:rsid w:val="004F3688"/>
    <w:rsid w:val="004F3699"/>
    <w:rsid w:val="004F379A"/>
    <w:rsid w:val="004F3AAE"/>
    <w:rsid w:val="004F3EF5"/>
    <w:rsid w:val="004F4253"/>
    <w:rsid w:val="004F42D9"/>
    <w:rsid w:val="004F43D5"/>
    <w:rsid w:val="004F4774"/>
    <w:rsid w:val="004F4BDE"/>
    <w:rsid w:val="004F4C8B"/>
    <w:rsid w:val="004F4E2E"/>
    <w:rsid w:val="004F55CD"/>
    <w:rsid w:val="004F5610"/>
    <w:rsid w:val="004F564D"/>
    <w:rsid w:val="004F5881"/>
    <w:rsid w:val="004F5A44"/>
    <w:rsid w:val="004F5AC2"/>
    <w:rsid w:val="004F5B93"/>
    <w:rsid w:val="004F688E"/>
    <w:rsid w:val="004F696A"/>
    <w:rsid w:val="004F6DAA"/>
    <w:rsid w:val="004F70F5"/>
    <w:rsid w:val="004F72B4"/>
    <w:rsid w:val="004F758D"/>
    <w:rsid w:val="004F7CAC"/>
    <w:rsid w:val="004F7CB7"/>
    <w:rsid w:val="004F7E02"/>
    <w:rsid w:val="005003E9"/>
    <w:rsid w:val="0050062B"/>
    <w:rsid w:val="0050082C"/>
    <w:rsid w:val="00500E2C"/>
    <w:rsid w:val="00501349"/>
    <w:rsid w:val="005013D2"/>
    <w:rsid w:val="005016F7"/>
    <w:rsid w:val="0050175A"/>
    <w:rsid w:val="005017AC"/>
    <w:rsid w:val="00501916"/>
    <w:rsid w:val="00501ACA"/>
    <w:rsid w:val="00502214"/>
    <w:rsid w:val="00502229"/>
    <w:rsid w:val="0050245A"/>
    <w:rsid w:val="00502507"/>
    <w:rsid w:val="005026CD"/>
    <w:rsid w:val="00502848"/>
    <w:rsid w:val="00503212"/>
    <w:rsid w:val="005032D6"/>
    <w:rsid w:val="0050375E"/>
    <w:rsid w:val="00503973"/>
    <w:rsid w:val="00503A9A"/>
    <w:rsid w:val="00503DB4"/>
    <w:rsid w:val="00503E77"/>
    <w:rsid w:val="00504038"/>
    <w:rsid w:val="005040E6"/>
    <w:rsid w:val="00504159"/>
    <w:rsid w:val="0050438F"/>
    <w:rsid w:val="005046AF"/>
    <w:rsid w:val="005049B6"/>
    <w:rsid w:val="005049F7"/>
    <w:rsid w:val="00504BB9"/>
    <w:rsid w:val="00504BF6"/>
    <w:rsid w:val="00504C47"/>
    <w:rsid w:val="00504DA3"/>
    <w:rsid w:val="00504DAC"/>
    <w:rsid w:val="005052DC"/>
    <w:rsid w:val="00505462"/>
    <w:rsid w:val="00505494"/>
    <w:rsid w:val="0050558B"/>
    <w:rsid w:val="00505750"/>
    <w:rsid w:val="0050587D"/>
    <w:rsid w:val="005058AB"/>
    <w:rsid w:val="005059A8"/>
    <w:rsid w:val="00505DA0"/>
    <w:rsid w:val="005065F3"/>
    <w:rsid w:val="0050674D"/>
    <w:rsid w:val="005068FE"/>
    <w:rsid w:val="00506A55"/>
    <w:rsid w:val="00507126"/>
    <w:rsid w:val="00507353"/>
    <w:rsid w:val="0050764E"/>
    <w:rsid w:val="00507794"/>
    <w:rsid w:val="00507B77"/>
    <w:rsid w:val="00507FEA"/>
    <w:rsid w:val="0051014D"/>
    <w:rsid w:val="00510566"/>
    <w:rsid w:val="005105C8"/>
    <w:rsid w:val="005106DB"/>
    <w:rsid w:val="005107A8"/>
    <w:rsid w:val="00510B28"/>
    <w:rsid w:val="00510BC5"/>
    <w:rsid w:val="00511320"/>
    <w:rsid w:val="00511419"/>
    <w:rsid w:val="005115B9"/>
    <w:rsid w:val="005119C9"/>
    <w:rsid w:val="005122DA"/>
    <w:rsid w:val="005124A5"/>
    <w:rsid w:val="0051298E"/>
    <w:rsid w:val="00512C87"/>
    <w:rsid w:val="00512D55"/>
    <w:rsid w:val="00512E1F"/>
    <w:rsid w:val="00513692"/>
    <w:rsid w:val="005137A9"/>
    <w:rsid w:val="00513960"/>
    <w:rsid w:val="005139BA"/>
    <w:rsid w:val="005139D1"/>
    <w:rsid w:val="0051419B"/>
    <w:rsid w:val="005143F9"/>
    <w:rsid w:val="00514A5D"/>
    <w:rsid w:val="00514DDF"/>
    <w:rsid w:val="00514E56"/>
    <w:rsid w:val="00514EFC"/>
    <w:rsid w:val="005151AE"/>
    <w:rsid w:val="00515416"/>
    <w:rsid w:val="0051560B"/>
    <w:rsid w:val="005157F9"/>
    <w:rsid w:val="005159A3"/>
    <w:rsid w:val="00515A92"/>
    <w:rsid w:val="00515D5D"/>
    <w:rsid w:val="00515EB3"/>
    <w:rsid w:val="0051607D"/>
    <w:rsid w:val="0051621A"/>
    <w:rsid w:val="005164BC"/>
    <w:rsid w:val="00516566"/>
    <w:rsid w:val="005165E0"/>
    <w:rsid w:val="005166E2"/>
    <w:rsid w:val="00516B56"/>
    <w:rsid w:val="00516E5A"/>
    <w:rsid w:val="00516FB8"/>
    <w:rsid w:val="0051706A"/>
    <w:rsid w:val="00517097"/>
    <w:rsid w:val="005178A8"/>
    <w:rsid w:val="00517925"/>
    <w:rsid w:val="00517B35"/>
    <w:rsid w:val="00517B9C"/>
    <w:rsid w:val="00517DF4"/>
    <w:rsid w:val="005206F0"/>
    <w:rsid w:val="00520919"/>
    <w:rsid w:val="00520B66"/>
    <w:rsid w:val="00521107"/>
    <w:rsid w:val="0052146F"/>
    <w:rsid w:val="00521485"/>
    <w:rsid w:val="00521673"/>
    <w:rsid w:val="005218C3"/>
    <w:rsid w:val="00521C4D"/>
    <w:rsid w:val="005222C8"/>
    <w:rsid w:val="0052230F"/>
    <w:rsid w:val="00522352"/>
    <w:rsid w:val="00522433"/>
    <w:rsid w:val="005227C2"/>
    <w:rsid w:val="00522AA1"/>
    <w:rsid w:val="0052300F"/>
    <w:rsid w:val="00523128"/>
    <w:rsid w:val="005239E0"/>
    <w:rsid w:val="00523C85"/>
    <w:rsid w:val="00523FE2"/>
    <w:rsid w:val="005242D8"/>
    <w:rsid w:val="005246A8"/>
    <w:rsid w:val="00525321"/>
    <w:rsid w:val="005253E3"/>
    <w:rsid w:val="0052552C"/>
    <w:rsid w:val="005258D1"/>
    <w:rsid w:val="005258D3"/>
    <w:rsid w:val="00525C34"/>
    <w:rsid w:val="00526032"/>
    <w:rsid w:val="00526059"/>
    <w:rsid w:val="00526698"/>
    <w:rsid w:val="005267D4"/>
    <w:rsid w:val="00526882"/>
    <w:rsid w:val="00526883"/>
    <w:rsid w:val="00526A1B"/>
    <w:rsid w:val="00526A8D"/>
    <w:rsid w:val="00526B54"/>
    <w:rsid w:val="00526CA7"/>
    <w:rsid w:val="0052710E"/>
    <w:rsid w:val="0052716D"/>
    <w:rsid w:val="00527265"/>
    <w:rsid w:val="00527383"/>
    <w:rsid w:val="005274E3"/>
    <w:rsid w:val="00527570"/>
    <w:rsid w:val="0052758B"/>
    <w:rsid w:val="0052796D"/>
    <w:rsid w:val="005279DC"/>
    <w:rsid w:val="00527C75"/>
    <w:rsid w:val="00527CC0"/>
    <w:rsid w:val="00527CE2"/>
    <w:rsid w:val="00527D13"/>
    <w:rsid w:val="00527F25"/>
    <w:rsid w:val="0053034C"/>
    <w:rsid w:val="00530620"/>
    <w:rsid w:val="00530757"/>
    <w:rsid w:val="005307A3"/>
    <w:rsid w:val="00530BF3"/>
    <w:rsid w:val="005312A5"/>
    <w:rsid w:val="005314A3"/>
    <w:rsid w:val="005316BF"/>
    <w:rsid w:val="00531770"/>
    <w:rsid w:val="00531857"/>
    <w:rsid w:val="005318FA"/>
    <w:rsid w:val="0053193D"/>
    <w:rsid w:val="00531C11"/>
    <w:rsid w:val="00531C38"/>
    <w:rsid w:val="0053207D"/>
    <w:rsid w:val="0053210F"/>
    <w:rsid w:val="0053211C"/>
    <w:rsid w:val="00532205"/>
    <w:rsid w:val="00532294"/>
    <w:rsid w:val="005323A9"/>
    <w:rsid w:val="0053245B"/>
    <w:rsid w:val="005331AA"/>
    <w:rsid w:val="005332C8"/>
    <w:rsid w:val="0053348E"/>
    <w:rsid w:val="0053350B"/>
    <w:rsid w:val="005336D0"/>
    <w:rsid w:val="0053382C"/>
    <w:rsid w:val="005339DD"/>
    <w:rsid w:val="00533A6A"/>
    <w:rsid w:val="00533D4A"/>
    <w:rsid w:val="00533E86"/>
    <w:rsid w:val="00533EDF"/>
    <w:rsid w:val="00533F63"/>
    <w:rsid w:val="005344B5"/>
    <w:rsid w:val="00534A5E"/>
    <w:rsid w:val="00534AEB"/>
    <w:rsid w:val="00534E60"/>
    <w:rsid w:val="0053504E"/>
    <w:rsid w:val="005350DF"/>
    <w:rsid w:val="005353E2"/>
    <w:rsid w:val="00535B39"/>
    <w:rsid w:val="00535C74"/>
    <w:rsid w:val="00535D62"/>
    <w:rsid w:val="00535FBD"/>
    <w:rsid w:val="00536078"/>
    <w:rsid w:val="005360AF"/>
    <w:rsid w:val="005360BC"/>
    <w:rsid w:val="005361AB"/>
    <w:rsid w:val="005365D7"/>
    <w:rsid w:val="00536810"/>
    <w:rsid w:val="00536A62"/>
    <w:rsid w:val="00536D00"/>
    <w:rsid w:val="00537163"/>
    <w:rsid w:val="005373B9"/>
    <w:rsid w:val="0053748C"/>
    <w:rsid w:val="0053752D"/>
    <w:rsid w:val="005379DC"/>
    <w:rsid w:val="00537B93"/>
    <w:rsid w:val="00537F5D"/>
    <w:rsid w:val="0054024B"/>
    <w:rsid w:val="0054026C"/>
    <w:rsid w:val="00540635"/>
    <w:rsid w:val="0054075C"/>
    <w:rsid w:val="00540BD1"/>
    <w:rsid w:val="00540DAC"/>
    <w:rsid w:val="0054115A"/>
    <w:rsid w:val="005413DE"/>
    <w:rsid w:val="00541581"/>
    <w:rsid w:val="005416CF"/>
    <w:rsid w:val="00541798"/>
    <w:rsid w:val="0054193A"/>
    <w:rsid w:val="00541CF7"/>
    <w:rsid w:val="00541D43"/>
    <w:rsid w:val="00542020"/>
    <w:rsid w:val="00542068"/>
    <w:rsid w:val="00542100"/>
    <w:rsid w:val="00542155"/>
    <w:rsid w:val="00542342"/>
    <w:rsid w:val="00542AC1"/>
    <w:rsid w:val="00542BD8"/>
    <w:rsid w:val="00542C19"/>
    <w:rsid w:val="00543020"/>
    <w:rsid w:val="00543818"/>
    <w:rsid w:val="0054398C"/>
    <w:rsid w:val="005439E5"/>
    <w:rsid w:val="00543AF9"/>
    <w:rsid w:val="00544012"/>
    <w:rsid w:val="00544051"/>
    <w:rsid w:val="0054422E"/>
    <w:rsid w:val="005447BA"/>
    <w:rsid w:val="00544C74"/>
    <w:rsid w:val="00544DE1"/>
    <w:rsid w:val="00544E7B"/>
    <w:rsid w:val="0054502A"/>
    <w:rsid w:val="005451C4"/>
    <w:rsid w:val="00545497"/>
    <w:rsid w:val="0054558C"/>
    <w:rsid w:val="00545677"/>
    <w:rsid w:val="0054571C"/>
    <w:rsid w:val="00545978"/>
    <w:rsid w:val="00545AAC"/>
    <w:rsid w:val="00545AC7"/>
    <w:rsid w:val="00545B48"/>
    <w:rsid w:val="00545B6D"/>
    <w:rsid w:val="005460BD"/>
    <w:rsid w:val="00546168"/>
    <w:rsid w:val="005463CB"/>
    <w:rsid w:val="005464ED"/>
    <w:rsid w:val="00546701"/>
    <w:rsid w:val="00546C5C"/>
    <w:rsid w:val="00546EE9"/>
    <w:rsid w:val="0054736D"/>
    <w:rsid w:val="00547751"/>
    <w:rsid w:val="005478B9"/>
    <w:rsid w:val="00547CD2"/>
    <w:rsid w:val="00547F60"/>
    <w:rsid w:val="00547F8F"/>
    <w:rsid w:val="00547FC0"/>
    <w:rsid w:val="005502F5"/>
    <w:rsid w:val="0055072B"/>
    <w:rsid w:val="005507EA"/>
    <w:rsid w:val="00550980"/>
    <w:rsid w:val="00550B38"/>
    <w:rsid w:val="00550CBE"/>
    <w:rsid w:val="00550F46"/>
    <w:rsid w:val="00550FC9"/>
    <w:rsid w:val="0055159D"/>
    <w:rsid w:val="005518CE"/>
    <w:rsid w:val="00551C0B"/>
    <w:rsid w:val="00551D92"/>
    <w:rsid w:val="00551DCF"/>
    <w:rsid w:val="00551FDD"/>
    <w:rsid w:val="00552033"/>
    <w:rsid w:val="005523A7"/>
    <w:rsid w:val="00552407"/>
    <w:rsid w:val="005525E8"/>
    <w:rsid w:val="0055272F"/>
    <w:rsid w:val="005527B6"/>
    <w:rsid w:val="0055295A"/>
    <w:rsid w:val="00552BD3"/>
    <w:rsid w:val="00552C3B"/>
    <w:rsid w:val="00552DE3"/>
    <w:rsid w:val="0055323C"/>
    <w:rsid w:val="005532FE"/>
    <w:rsid w:val="005533BF"/>
    <w:rsid w:val="00553476"/>
    <w:rsid w:val="005535A0"/>
    <w:rsid w:val="00553676"/>
    <w:rsid w:val="005537B8"/>
    <w:rsid w:val="00554168"/>
    <w:rsid w:val="00554206"/>
    <w:rsid w:val="005545CD"/>
    <w:rsid w:val="00554AC9"/>
    <w:rsid w:val="00554FE4"/>
    <w:rsid w:val="005550B6"/>
    <w:rsid w:val="00555145"/>
    <w:rsid w:val="005552D9"/>
    <w:rsid w:val="0055532F"/>
    <w:rsid w:val="005557D8"/>
    <w:rsid w:val="005558A9"/>
    <w:rsid w:val="00555BE0"/>
    <w:rsid w:val="00555D70"/>
    <w:rsid w:val="00555F90"/>
    <w:rsid w:val="00556442"/>
    <w:rsid w:val="00556505"/>
    <w:rsid w:val="005569FA"/>
    <w:rsid w:val="00556D91"/>
    <w:rsid w:val="00556DF5"/>
    <w:rsid w:val="00556F2F"/>
    <w:rsid w:val="00556F66"/>
    <w:rsid w:val="00556FFB"/>
    <w:rsid w:val="0055715E"/>
    <w:rsid w:val="00557205"/>
    <w:rsid w:val="005572DB"/>
    <w:rsid w:val="005573F4"/>
    <w:rsid w:val="0055746E"/>
    <w:rsid w:val="005574CF"/>
    <w:rsid w:val="00557550"/>
    <w:rsid w:val="005575E4"/>
    <w:rsid w:val="00557613"/>
    <w:rsid w:val="00557628"/>
    <w:rsid w:val="0055780A"/>
    <w:rsid w:val="0055794A"/>
    <w:rsid w:val="00557F5A"/>
    <w:rsid w:val="00560033"/>
    <w:rsid w:val="0056008A"/>
    <w:rsid w:val="00560953"/>
    <w:rsid w:val="00560965"/>
    <w:rsid w:val="00560A06"/>
    <w:rsid w:val="00560B4A"/>
    <w:rsid w:val="00560B6B"/>
    <w:rsid w:val="00560BC3"/>
    <w:rsid w:val="00560D73"/>
    <w:rsid w:val="00561014"/>
    <w:rsid w:val="0056144F"/>
    <w:rsid w:val="00561525"/>
    <w:rsid w:val="005617DF"/>
    <w:rsid w:val="00561800"/>
    <w:rsid w:val="005618F9"/>
    <w:rsid w:val="00561A4B"/>
    <w:rsid w:val="00561AF5"/>
    <w:rsid w:val="00561D24"/>
    <w:rsid w:val="00561D46"/>
    <w:rsid w:val="00561DFC"/>
    <w:rsid w:val="00561E9B"/>
    <w:rsid w:val="00561F75"/>
    <w:rsid w:val="00562101"/>
    <w:rsid w:val="00562160"/>
    <w:rsid w:val="00562599"/>
    <w:rsid w:val="00562E51"/>
    <w:rsid w:val="005631B0"/>
    <w:rsid w:val="005631FE"/>
    <w:rsid w:val="005632B0"/>
    <w:rsid w:val="005634D1"/>
    <w:rsid w:val="005638B8"/>
    <w:rsid w:val="00563A68"/>
    <w:rsid w:val="00563F2B"/>
    <w:rsid w:val="00563F2D"/>
    <w:rsid w:val="00563FB2"/>
    <w:rsid w:val="00564289"/>
    <w:rsid w:val="0056429D"/>
    <w:rsid w:val="00564444"/>
    <w:rsid w:val="00564718"/>
    <w:rsid w:val="005647B0"/>
    <w:rsid w:val="00564D61"/>
    <w:rsid w:val="00564F8E"/>
    <w:rsid w:val="005650A3"/>
    <w:rsid w:val="005650BE"/>
    <w:rsid w:val="0056532C"/>
    <w:rsid w:val="00565638"/>
    <w:rsid w:val="0056565D"/>
    <w:rsid w:val="005657BD"/>
    <w:rsid w:val="00565A06"/>
    <w:rsid w:val="00565A27"/>
    <w:rsid w:val="00565C08"/>
    <w:rsid w:val="00565C58"/>
    <w:rsid w:val="00565D66"/>
    <w:rsid w:val="00565FEF"/>
    <w:rsid w:val="00566157"/>
    <w:rsid w:val="0056632C"/>
    <w:rsid w:val="005663E2"/>
    <w:rsid w:val="00566695"/>
    <w:rsid w:val="005666F9"/>
    <w:rsid w:val="00566905"/>
    <w:rsid w:val="00566926"/>
    <w:rsid w:val="00566B72"/>
    <w:rsid w:val="00566BB4"/>
    <w:rsid w:val="00566D18"/>
    <w:rsid w:val="0056725A"/>
    <w:rsid w:val="0056728F"/>
    <w:rsid w:val="0056732E"/>
    <w:rsid w:val="005674E2"/>
    <w:rsid w:val="0056752E"/>
    <w:rsid w:val="00567664"/>
    <w:rsid w:val="00567884"/>
    <w:rsid w:val="005678D5"/>
    <w:rsid w:val="00567955"/>
    <w:rsid w:val="00567B2E"/>
    <w:rsid w:val="00567D69"/>
    <w:rsid w:val="00570ABB"/>
    <w:rsid w:val="00570E72"/>
    <w:rsid w:val="00570F49"/>
    <w:rsid w:val="00571106"/>
    <w:rsid w:val="005711D8"/>
    <w:rsid w:val="005712FF"/>
    <w:rsid w:val="005718B6"/>
    <w:rsid w:val="00571A00"/>
    <w:rsid w:val="00571D72"/>
    <w:rsid w:val="00571E23"/>
    <w:rsid w:val="00572060"/>
    <w:rsid w:val="0057251A"/>
    <w:rsid w:val="00572921"/>
    <w:rsid w:val="00572A25"/>
    <w:rsid w:val="00572CC8"/>
    <w:rsid w:val="00572D2B"/>
    <w:rsid w:val="0057324A"/>
    <w:rsid w:val="005734EE"/>
    <w:rsid w:val="005738A6"/>
    <w:rsid w:val="005740CD"/>
    <w:rsid w:val="005741D5"/>
    <w:rsid w:val="005741D8"/>
    <w:rsid w:val="00574954"/>
    <w:rsid w:val="00574B9B"/>
    <w:rsid w:val="00574FBF"/>
    <w:rsid w:val="00575488"/>
    <w:rsid w:val="0057558C"/>
    <w:rsid w:val="005756A2"/>
    <w:rsid w:val="00575758"/>
    <w:rsid w:val="00575A62"/>
    <w:rsid w:val="00575E06"/>
    <w:rsid w:val="005760F0"/>
    <w:rsid w:val="00576358"/>
    <w:rsid w:val="005765E1"/>
    <w:rsid w:val="00576ADE"/>
    <w:rsid w:val="00576D5F"/>
    <w:rsid w:val="00576F1C"/>
    <w:rsid w:val="005770BA"/>
    <w:rsid w:val="005773C9"/>
    <w:rsid w:val="00577616"/>
    <w:rsid w:val="005776FC"/>
    <w:rsid w:val="00577726"/>
    <w:rsid w:val="00577AB1"/>
    <w:rsid w:val="00577CFD"/>
    <w:rsid w:val="00577DEF"/>
    <w:rsid w:val="005803FF"/>
    <w:rsid w:val="00580545"/>
    <w:rsid w:val="00580991"/>
    <w:rsid w:val="00581228"/>
    <w:rsid w:val="0058149F"/>
    <w:rsid w:val="005816FD"/>
    <w:rsid w:val="00581764"/>
    <w:rsid w:val="00581915"/>
    <w:rsid w:val="00581A98"/>
    <w:rsid w:val="00581DB5"/>
    <w:rsid w:val="00581DBD"/>
    <w:rsid w:val="00581F6B"/>
    <w:rsid w:val="0058269C"/>
    <w:rsid w:val="00582784"/>
    <w:rsid w:val="00582DAD"/>
    <w:rsid w:val="00583101"/>
    <w:rsid w:val="0058339D"/>
    <w:rsid w:val="0058342B"/>
    <w:rsid w:val="0058345D"/>
    <w:rsid w:val="00583617"/>
    <w:rsid w:val="00583B92"/>
    <w:rsid w:val="0058422A"/>
    <w:rsid w:val="0058481E"/>
    <w:rsid w:val="00584906"/>
    <w:rsid w:val="00584A1C"/>
    <w:rsid w:val="00584BA7"/>
    <w:rsid w:val="00584BBE"/>
    <w:rsid w:val="00584BEB"/>
    <w:rsid w:val="00584C8B"/>
    <w:rsid w:val="00584CCD"/>
    <w:rsid w:val="0058512E"/>
    <w:rsid w:val="00585250"/>
    <w:rsid w:val="005852C4"/>
    <w:rsid w:val="0058550C"/>
    <w:rsid w:val="00585BEA"/>
    <w:rsid w:val="00585EF9"/>
    <w:rsid w:val="00585F94"/>
    <w:rsid w:val="00586950"/>
    <w:rsid w:val="00586AC5"/>
    <w:rsid w:val="00587172"/>
    <w:rsid w:val="00587204"/>
    <w:rsid w:val="0058789F"/>
    <w:rsid w:val="005879D4"/>
    <w:rsid w:val="00587BF0"/>
    <w:rsid w:val="00587C26"/>
    <w:rsid w:val="00587EE4"/>
    <w:rsid w:val="00587F35"/>
    <w:rsid w:val="00587F62"/>
    <w:rsid w:val="00590105"/>
    <w:rsid w:val="00590295"/>
    <w:rsid w:val="00590A44"/>
    <w:rsid w:val="00590B7A"/>
    <w:rsid w:val="00590DE8"/>
    <w:rsid w:val="00590EA4"/>
    <w:rsid w:val="00590FD8"/>
    <w:rsid w:val="0059103D"/>
    <w:rsid w:val="005910DD"/>
    <w:rsid w:val="005912D0"/>
    <w:rsid w:val="00591841"/>
    <w:rsid w:val="0059193F"/>
    <w:rsid w:val="00591C68"/>
    <w:rsid w:val="00591ECD"/>
    <w:rsid w:val="00592AA3"/>
    <w:rsid w:val="00592FC3"/>
    <w:rsid w:val="005930B6"/>
    <w:rsid w:val="0059372A"/>
    <w:rsid w:val="00593862"/>
    <w:rsid w:val="005939D0"/>
    <w:rsid w:val="00593E75"/>
    <w:rsid w:val="00593EAB"/>
    <w:rsid w:val="005945A9"/>
    <w:rsid w:val="00594750"/>
    <w:rsid w:val="00594E05"/>
    <w:rsid w:val="005950CC"/>
    <w:rsid w:val="005951A1"/>
    <w:rsid w:val="00595861"/>
    <w:rsid w:val="00595C69"/>
    <w:rsid w:val="00595DB4"/>
    <w:rsid w:val="00595FCF"/>
    <w:rsid w:val="00596630"/>
    <w:rsid w:val="00596777"/>
    <w:rsid w:val="00596999"/>
    <w:rsid w:val="00596A12"/>
    <w:rsid w:val="00596A20"/>
    <w:rsid w:val="00596BB4"/>
    <w:rsid w:val="00596ECE"/>
    <w:rsid w:val="0059701D"/>
    <w:rsid w:val="00597972"/>
    <w:rsid w:val="005979B2"/>
    <w:rsid w:val="00597D8E"/>
    <w:rsid w:val="00597F6F"/>
    <w:rsid w:val="00597FAB"/>
    <w:rsid w:val="005A0321"/>
    <w:rsid w:val="005A0367"/>
    <w:rsid w:val="005A05E4"/>
    <w:rsid w:val="005A09CC"/>
    <w:rsid w:val="005A0CE7"/>
    <w:rsid w:val="005A0FB0"/>
    <w:rsid w:val="005A1078"/>
    <w:rsid w:val="005A124A"/>
    <w:rsid w:val="005A14CA"/>
    <w:rsid w:val="005A172A"/>
    <w:rsid w:val="005A2420"/>
    <w:rsid w:val="005A2A25"/>
    <w:rsid w:val="005A2D2A"/>
    <w:rsid w:val="005A31A6"/>
    <w:rsid w:val="005A3281"/>
    <w:rsid w:val="005A340D"/>
    <w:rsid w:val="005A35B6"/>
    <w:rsid w:val="005A3666"/>
    <w:rsid w:val="005A3674"/>
    <w:rsid w:val="005A36B8"/>
    <w:rsid w:val="005A39BA"/>
    <w:rsid w:val="005A3A64"/>
    <w:rsid w:val="005A4514"/>
    <w:rsid w:val="005A4832"/>
    <w:rsid w:val="005A48CE"/>
    <w:rsid w:val="005A4C43"/>
    <w:rsid w:val="005A4FC5"/>
    <w:rsid w:val="005A5108"/>
    <w:rsid w:val="005A5134"/>
    <w:rsid w:val="005A536A"/>
    <w:rsid w:val="005A5504"/>
    <w:rsid w:val="005A55E3"/>
    <w:rsid w:val="005A5708"/>
    <w:rsid w:val="005A5894"/>
    <w:rsid w:val="005A58B3"/>
    <w:rsid w:val="005A5F21"/>
    <w:rsid w:val="005A6036"/>
    <w:rsid w:val="005A6709"/>
    <w:rsid w:val="005A6974"/>
    <w:rsid w:val="005A6A07"/>
    <w:rsid w:val="005A6A63"/>
    <w:rsid w:val="005A728F"/>
    <w:rsid w:val="005A73EE"/>
    <w:rsid w:val="005A741C"/>
    <w:rsid w:val="005A74A8"/>
    <w:rsid w:val="005A7A27"/>
    <w:rsid w:val="005A7AE4"/>
    <w:rsid w:val="005B0A05"/>
    <w:rsid w:val="005B0F50"/>
    <w:rsid w:val="005B104C"/>
    <w:rsid w:val="005B1086"/>
    <w:rsid w:val="005B1378"/>
    <w:rsid w:val="005B185F"/>
    <w:rsid w:val="005B186F"/>
    <w:rsid w:val="005B1B34"/>
    <w:rsid w:val="005B2634"/>
    <w:rsid w:val="005B2A8D"/>
    <w:rsid w:val="005B2CC9"/>
    <w:rsid w:val="005B2DFA"/>
    <w:rsid w:val="005B30A8"/>
    <w:rsid w:val="005B3199"/>
    <w:rsid w:val="005B3285"/>
    <w:rsid w:val="005B3694"/>
    <w:rsid w:val="005B38BC"/>
    <w:rsid w:val="005B39E8"/>
    <w:rsid w:val="005B3D49"/>
    <w:rsid w:val="005B3E93"/>
    <w:rsid w:val="005B3EAF"/>
    <w:rsid w:val="005B3F97"/>
    <w:rsid w:val="005B455D"/>
    <w:rsid w:val="005B4AA4"/>
    <w:rsid w:val="005B4B57"/>
    <w:rsid w:val="005B4CE2"/>
    <w:rsid w:val="005B4D15"/>
    <w:rsid w:val="005B4DFC"/>
    <w:rsid w:val="005B4E92"/>
    <w:rsid w:val="005B53C5"/>
    <w:rsid w:val="005B54D3"/>
    <w:rsid w:val="005B59E8"/>
    <w:rsid w:val="005B5CFF"/>
    <w:rsid w:val="005B5DED"/>
    <w:rsid w:val="005B61CE"/>
    <w:rsid w:val="005B61EA"/>
    <w:rsid w:val="005B62C9"/>
    <w:rsid w:val="005B6701"/>
    <w:rsid w:val="005B6767"/>
    <w:rsid w:val="005B6AD0"/>
    <w:rsid w:val="005B6E00"/>
    <w:rsid w:val="005B726E"/>
    <w:rsid w:val="005B765B"/>
    <w:rsid w:val="005B7A3B"/>
    <w:rsid w:val="005C0B89"/>
    <w:rsid w:val="005C0CD6"/>
    <w:rsid w:val="005C10FB"/>
    <w:rsid w:val="005C1356"/>
    <w:rsid w:val="005C1481"/>
    <w:rsid w:val="005C15AB"/>
    <w:rsid w:val="005C1A36"/>
    <w:rsid w:val="005C1AB2"/>
    <w:rsid w:val="005C2085"/>
    <w:rsid w:val="005C21CD"/>
    <w:rsid w:val="005C2200"/>
    <w:rsid w:val="005C23FC"/>
    <w:rsid w:val="005C255A"/>
    <w:rsid w:val="005C25F1"/>
    <w:rsid w:val="005C295B"/>
    <w:rsid w:val="005C2FE1"/>
    <w:rsid w:val="005C3072"/>
    <w:rsid w:val="005C323F"/>
    <w:rsid w:val="005C32DF"/>
    <w:rsid w:val="005C3622"/>
    <w:rsid w:val="005C36E8"/>
    <w:rsid w:val="005C3727"/>
    <w:rsid w:val="005C37D5"/>
    <w:rsid w:val="005C385A"/>
    <w:rsid w:val="005C3A10"/>
    <w:rsid w:val="005C3E2D"/>
    <w:rsid w:val="005C407E"/>
    <w:rsid w:val="005C412B"/>
    <w:rsid w:val="005C4200"/>
    <w:rsid w:val="005C4447"/>
    <w:rsid w:val="005C4817"/>
    <w:rsid w:val="005C4CE1"/>
    <w:rsid w:val="005C5125"/>
    <w:rsid w:val="005C51E9"/>
    <w:rsid w:val="005C60BB"/>
    <w:rsid w:val="005C639F"/>
    <w:rsid w:val="005C64BE"/>
    <w:rsid w:val="005C669B"/>
    <w:rsid w:val="005C6A66"/>
    <w:rsid w:val="005C6B89"/>
    <w:rsid w:val="005C6D4F"/>
    <w:rsid w:val="005C76F9"/>
    <w:rsid w:val="005C793C"/>
    <w:rsid w:val="005C79C2"/>
    <w:rsid w:val="005C7C99"/>
    <w:rsid w:val="005C7C9E"/>
    <w:rsid w:val="005C7EC7"/>
    <w:rsid w:val="005C7FA5"/>
    <w:rsid w:val="005D0044"/>
    <w:rsid w:val="005D0072"/>
    <w:rsid w:val="005D027A"/>
    <w:rsid w:val="005D02C9"/>
    <w:rsid w:val="005D03D8"/>
    <w:rsid w:val="005D041A"/>
    <w:rsid w:val="005D067F"/>
    <w:rsid w:val="005D0861"/>
    <w:rsid w:val="005D08F3"/>
    <w:rsid w:val="005D0A2C"/>
    <w:rsid w:val="005D0BC0"/>
    <w:rsid w:val="005D0E33"/>
    <w:rsid w:val="005D12DE"/>
    <w:rsid w:val="005D12DF"/>
    <w:rsid w:val="005D19F8"/>
    <w:rsid w:val="005D1A8F"/>
    <w:rsid w:val="005D1C84"/>
    <w:rsid w:val="005D20D3"/>
    <w:rsid w:val="005D26A8"/>
    <w:rsid w:val="005D27B6"/>
    <w:rsid w:val="005D27D6"/>
    <w:rsid w:val="005D2AC9"/>
    <w:rsid w:val="005D2D54"/>
    <w:rsid w:val="005D3A95"/>
    <w:rsid w:val="005D3C74"/>
    <w:rsid w:val="005D3CD7"/>
    <w:rsid w:val="005D3D8E"/>
    <w:rsid w:val="005D4675"/>
    <w:rsid w:val="005D47EA"/>
    <w:rsid w:val="005D4DEC"/>
    <w:rsid w:val="005D546F"/>
    <w:rsid w:val="005D54D4"/>
    <w:rsid w:val="005D5BA1"/>
    <w:rsid w:val="005D5F05"/>
    <w:rsid w:val="005D6462"/>
    <w:rsid w:val="005D697E"/>
    <w:rsid w:val="005D6A68"/>
    <w:rsid w:val="005D6DA9"/>
    <w:rsid w:val="005D6E98"/>
    <w:rsid w:val="005D6F09"/>
    <w:rsid w:val="005D73AA"/>
    <w:rsid w:val="005D75A4"/>
    <w:rsid w:val="005D7E24"/>
    <w:rsid w:val="005D7EF0"/>
    <w:rsid w:val="005D7EF8"/>
    <w:rsid w:val="005D7FAD"/>
    <w:rsid w:val="005DF0E5"/>
    <w:rsid w:val="005E030A"/>
    <w:rsid w:val="005E0700"/>
    <w:rsid w:val="005E0D30"/>
    <w:rsid w:val="005E15A4"/>
    <w:rsid w:val="005E15E7"/>
    <w:rsid w:val="005E21C3"/>
    <w:rsid w:val="005E220A"/>
    <w:rsid w:val="005E2481"/>
    <w:rsid w:val="005E2C21"/>
    <w:rsid w:val="005E2E5D"/>
    <w:rsid w:val="005E2FF5"/>
    <w:rsid w:val="005E314B"/>
    <w:rsid w:val="005E33F1"/>
    <w:rsid w:val="005E3556"/>
    <w:rsid w:val="005E39C4"/>
    <w:rsid w:val="005E3D9C"/>
    <w:rsid w:val="005E3F44"/>
    <w:rsid w:val="005E4246"/>
    <w:rsid w:val="005E42AF"/>
    <w:rsid w:val="005E4410"/>
    <w:rsid w:val="005E44AC"/>
    <w:rsid w:val="005E4881"/>
    <w:rsid w:val="005E49B2"/>
    <w:rsid w:val="005E4BD8"/>
    <w:rsid w:val="005E4C00"/>
    <w:rsid w:val="005E4D50"/>
    <w:rsid w:val="005E4E98"/>
    <w:rsid w:val="005E5142"/>
    <w:rsid w:val="005E51E0"/>
    <w:rsid w:val="005E55A7"/>
    <w:rsid w:val="005E58EC"/>
    <w:rsid w:val="005E591B"/>
    <w:rsid w:val="005E5A0A"/>
    <w:rsid w:val="005E5C0B"/>
    <w:rsid w:val="005E6358"/>
    <w:rsid w:val="005E6D29"/>
    <w:rsid w:val="005E6EEE"/>
    <w:rsid w:val="005E735A"/>
    <w:rsid w:val="005E7439"/>
    <w:rsid w:val="005E7751"/>
    <w:rsid w:val="005E77D8"/>
    <w:rsid w:val="005F02CD"/>
    <w:rsid w:val="005F0AE8"/>
    <w:rsid w:val="005F0B8A"/>
    <w:rsid w:val="005F0F30"/>
    <w:rsid w:val="005F15FB"/>
    <w:rsid w:val="005F1BB1"/>
    <w:rsid w:val="005F1EF5"/>
    <w:rsid w:val="005F1F5E"/>
    <w:rsid w:val="005F1FD6"/>
    <w:rsid w:val="005F2404"/>
    <w:rsid w:val="005F2515"/>
    <w:rsid w:val="005F2583"/>
    <w:rsid w:val="005F2A6B"/>
    <w:rsid w:val="005F2ED8"/>
    <w:rsid w:val="005F3366"/>
    <w:rsid w:val="005F3411"/>
    <w:rsid w:val="005F354B"/>
    <w:rsid w:val="005F3844"/>
    <w:rsid w:val="005F3995"/>
    <w:rsid w:val="005F3A4E"/>
    <w:rsid w:val="005F3AD3"/>
    <w:rsid w:val="005F3B5F"/>
    <w:rsid w:val="005F3F12"/>
    <w:rsid w:val="005F3FE7"/>
    <w:rsid w:val="005F4004"/>
    <w:rsid w:val="005F40C1"/>
    <w:rsid w:val="005F42EF"/>
    <w:rsid w:val="005F4586"/>
    <w:rsid w:val="005F461F"/>
    <w:rsid w:val="005F4848"/>
    <w:rsid w:val="005F48CE"/>
    <w:rsid w:val="005F4A7F"/>
    <w:rsid w:val="005F52AE"/>
    <w:rsid w:val="005F53AD"/>
    <w:rsid w:val="005F559A"/>
    <w:rsid w:val="005F59B5"/>
    <w:rsid w:val="005F60E4"/>
    <w:rsid w:val="005F619C"/>
    <w:rsid w:val="005F61B2"/>
    <w:rsid w:val="005F6206"/>
    <w:rsid w:val="005F6278"/>
    <w:rsid w:val="005F6728"/>
    <w:rsid w:val="005F6BC7"/>
    <w:rsid w:val="005F6C59"/>
    <w:rsid w:val="005F6E84"/>
    <w:rsid w:val="005F6EFA"/>
    <w:rsid w:val="005F71A4"/>
    <w:rsid w:val="005F7D1A"/>
    <w:rsid w:val="005F7D35"/>
    <w:rsid w:val="005F7E91"/>
    <w:rsid w:val="005F7FB0"/>
    <w:rsid w:val="005F7FDD"/>
    <w:rsid w:val="00600192"/>
    <w:rsid w:val="00600369"/>
    <w:rsid w:val="00600600"/>
    <w:rsid w:val="006008E0"/>
    <w:rsid w:val="006008F6"/>
    <w:rsid w:val="00600A39"/>
    <w:rsid w:val="00600E62"/>
    <w:rsid w:val="00600EC1"/>
    <w:rsid w:val="006010D7"/>
    <w:rsid w:val="006012C5"/>
    <w:rsid w:val="00601449"/>
    <w:rsid w:val="00601799"/>
    <w:rsid w:val="00601B39"/>
    <w:rsid w:val="00601C81"/>
    <w:rsid w:val="00601D6C"/>
    <w:rsid w:val="00601D7F"/>
    <w:rsid w:val="00601DA5"/>
    <w:rsid w:val="0060226A"/>
    <w:rsid w:val="006024D3"/>
    <w:rsid w:val="0060255E"/>
    <w:rsid w:val="006028B5"/>
    <w:rsid w:val="0060308F"/>
    <w:rsid w:val="00603675"/>
    <w:rsid w:val="0060393F"/>
    <w:rsid w:val="00603B6F"/>
    <w:rsid w:val="006042FF"/>
    <w:rsid w:val="00604596"/>
    <w:rsid w:val="00604AF8"/>
    <w:rsid w:val="00604B8B"/>
    <w:rsid w:val="00604EDD"/>
    <w:rsid w:val="006050AB"/>
    <w:rsid w:val="00605427"/>
    <w:rsid w:val="006059E0"/>
    <w:rsid w:val="00605C90"/>
    <w:rsid w:val="00605D22"/>
    <w:rsid w:val="00605F0A"/>
    <w:rsid w:val="00605F56"/>
    <w:rsid w:val="00605F7D"/>
    <w:rsid w:val="00605FEC"/>
    <w:rsid w:val="00606145"/>
    <w:rsid w:val="00606200"/>
    <w:rsid w:val="006062D6"/>
    <w:rsid w:val="00606343"/>
    <w:rsid w:val="00606CEC"/>
    <w:rsid w:val="00606D7A"/>
    <w:rsid w:val="00606E27"/>
    <w:rsid w:val="00606EF9"/>
    <w:rsid w:val="00606F0E"/>
    <w:rsid w:val="0060706A"/>
    <w:rsid w:val="00607133"/>
    <w:rsid w:val="0060732F"/>
    <w:rsid w:val="00607381"/>
    <w:rsid w:val="00607758"/>
    <w:rsid w:val="00607AB9"/>
    <w:rsid w:val="00607C81"/>
    <w:rsid w:val="00607CE1"/>
    <w:rsid w:val="00607D42"/>
    <w:rsid w:val="00610050"/>
    <w:rsid w:val="006101A6"/>
    <w:rsid w:val="00610582"/>
    <w:rsid w:val="0061066C"/>
    <w:rsid w:val="00610674"/>
    <w:rsid w:val="00610700"/>
    <w:rsid w:val="00610D5E"/>
    <w:rsid w:val="00610FF8"/>
    <w:rsid w:val="00611044"/>
    <w:rsid w:val="006110E8"/>
    <w:rsid w:val="00611112"/>
    <w:rsid w:val="00611155"/>
    <w:rsid w:val="006111CC"/>
    <w:rsid w:val="006112E3"/>
    <w:rsid w:val="00611AC5"/>
    <w:rsid w:val="00611BEC"/>
    <w:rsid w:val="00611C3B"/>
    <w:rsid w:val="0061200C"/>
    <w:rsid w:val="00612518"/>
    <w:rsid w:val="0061256F"/>
    <w:rsid w:val="00612764"/>
    <w:rsid w:val="00612858"/>
    <w:rsid w:val="0061286D"/>
    <w:rsid w:val="00613168"/>
    <w:rsid w:val="00613467"/>
    <w:rsid w:val="00613512"/>
    <w:rsid w:val="0061372B"/>
    <w:rsid w:val="00613793"/>
    <w:rsid w:val="006137AF"/>
    <w:rsid w:val="00613A52"/>
    <w:rsid w:val="00613F9B"/>
    <w:rsid w:val="00614446"/>
    <w:rsid w:val="006144DF"/>
    <w:rsid w:val="00614AB4"/>
    <w:rsid w:val="00614BAE"/>
    <w:rsid w:val="00614CCE"/>
    <w:rsid w:val="00615000"/>
    <w:rsid w:val="00615175"/>
    <w:rsid w:val="00615186"/>
    <w:rsid w:val="0061548C"/>
    <w:rsid w:val="00615663"/>
    <w:rsid w:val="00615C3E"/>
    <w:rsid w:val="00615C70"/>
    <w:rsid w:val="00615F18"/>
    <w:rsid w:val="0061664B"/>
    <w:rsid w:val="00616709"/>
    <w:rsid w:val="006168EA"/>
    <w:rsid w:val="006169B4"/>
    <w:rsid w:val="00616A26"/>
    <w:rsid w:val="00616C56"/>
    <w:rsid w:val="00616CB9"/>
    <w:rsid w:val="00616D02"/>
    <w:rsid w:val="00616D40"/>
    <w:rsid w:val="00616E4E"/>
    <w:rsid w:val="00616FF6"/>
    <w:rsid w:val="00617024"/>
    <w:rsid w:val="00617052"/>
    <w:rsid w:val="006173D9"/>
    <w:rsid w:val="006177FA"/>
    <w:rsid w:val="00617983"/>
    <w:rsid w:val="00617A18"/>
    <w:rsid w:val="00617B1F"/>
    <w:rsid w:val="00617BF2"/>
    <w:rsid w:val="00617C3B"/>
    <w:rsid w:val="0062027A"/>
    <w:rsid w:val="006202C8"/>
    <w:rsid w:val="00620341"/>
    <w:rsid w:val="0062079B"/>
    <w:rsid w:val="006209F8"/>
    <w:rsid w:val="00620D68"/>
    <w:rsid w:val="006211D0"/>
    <w:rsid w:val="006212CF"/>
    <w:rsid w:val="00621352"/>
    <w:rsid w:val="00621372"/>
    <w:rsid w:val="00621592"/>
    <w:rsid w:val="00621600"/>
    <w:rsid w:val="00621870"/>
    <w:rsid w:val="00621BDF"/>
    <w:rsid w:val="00622040"/>
    <w:rsid w:val="006224E8"/>
    <w:rsid w:val="006226F0"/>
    <w:rsid w:val="0062296F"/>
    <w:rsid w:val="00622A4F"/>
    <w:rsid w:val="00622CC4"/>
    <w:rsid w:val="00622DB3"/>
    <w:rsid w:val="00622F06"/>
    <w:rsid w:val="00623092"/>
    <w:rsid w:val="00623333"/>
    <w:rsid w:val="00623335"/>
    <w:rsid w:val="00623454"/>
    <w:rsid w:val="00623562"/>
    <w:rsid w:val="0062398E"/>
    <w:rsid w:val="00623B05"/>
    <w:rsid w:val="00623DAC"/>
    <w:rsid w:val="00623EB8"/>
    <w:rsid w:val="00624197"/>
    <w:rsid w:val="00624315"/>
    <w:rsid w:val="006245AB"/>
    <w:rsid w:val="00624753"/>
    <w:rsid w:val="00624778"/>
    <w:rsid w:val="006248D7"/>
    <w:rsid w:val="006250B1"/>
    <w:rsid w:val="00625336"/>
    <w:rsid w:val="0062545B"/>
    <w:rsid w:val="0062552A"/>
    <w:rsid w:val="006255EE"/>
    <w:rsid w:val="006258B9"/>
    <w:rsid w:val="00625A3B"/>
    <w:rsid w:val="00625AE4"/>
    <w:rsid w:val="00625BA7"/>
    <w:rsid w:val="00625E21"/>
    <w:rsid w:val="00626147"/>
    <w:rsid w:val="006261E0"/>
    <w:rsid w:val="006267F0"/>
    <w:rsid w:val="006269DB"/>
    <w:rsid w:val="00626C3D"/>
    <w:rsid w:val="00627058"/>
    <w:rsid w:val="006271BC"/>
    <w:rsid w:val="0062726F"/>
    <w:rsid w:val="006273AA"/>
    <w:rsid w:val="0062751D"/>
    <w:rsid w:val="0062764F"/>
    <w:rsid w:val="0062788A"/>
    <w:rsid w:val="006279DD"/>
    <w:rsid w:val="00627CBD"/>
    <w:rsid w:val="0063021A"/>
    <w:rsid w:val="00630457"/>
    <w:rsid w:val="00630464"/>
    <w:rsid w:val="00630496"/>
    <w:rsid w:val="0063097D"/>
    <w:rsid w:val="00630A8A"/>
    <w:rsid w:val="00630C56"/>
    <w:rsid w:val="00630EC3"/>
    <w:rsid w:val="00631121"/>
    <w:rsid w:val="00631907"/>
    <w:rsid w:val="00631EB7"/>
    <w:rsid w:val="00631FD3"/>
    <w:rsid w:val="0063201F"/>
    <w:rsid w:val="006320CB"/>
    <w:rsid w:val="006325C1"/>
    <w:rsid w:val="00632D73"/>
    <w:rsid w:val="00632DF7"/>
    <w:rsid w:val="0063310C"/>
    <w:rsid w:val="006332BE"/>
    <w:rsid w:val="006333C5"/>
    <w:rsid w:val="0063376A"/>
    <w:rsid w:val="00633B12"/>
    <w:rsid w:val="00634434"/>
    <w:rsid w:val="00634638"/>
    <w:rsid w:val="006346F3"/>
    <w:rsid w:val="00634771"/>
    <w:rsid w:val="006347C3"/>
    <w:rsid w:val="00634E32"/>
    <w:rsid w:val="00635133"/>
    <w:rsid w:val="0063517B"/>
    <w:rsid w:val="00635494"/>
    <w:rsid w:val="00635496"/>
    <w:rsid w:val="0063554C"/>
    <w:rsid w:val="0063584D"/>
    <w:rsid w:val="00635953"/>
    <w:rsid w:val="00635C4D"/>
    <w:rsid w:val="00636023"/>
    <w:rsid w:val="00636375"/>
    <w:rsid w:val="00636473"/>
    <w:rsid w:val="00636491"/>
    <w:rsid w:val="00636503"/>
    <w:rsid w:val="006366D4"/>
    <w:rsid w:val="00636D93"/>
    <w:rsid w:val="006376AC"/>
    <w:rsid w:val="0063794F"/>
    <w:rsid w:val="00637C5B"/>
    <w:rsid w:val="006402EB"/>
    <w:rsid w:val="006406E7"/>
    <w:rsid w:val="00640736"/>
    <w:rsid w:val="006408C3"/>
    <w:rsid w:val="00640DD6"/>
    <w:rsid w:val="00640E65"/>
    <w:rsid w:val="00640F57"/>
    <w:rsid w:val="00641014"/>
    <w:rsid w:val="006412B6"/>
    <w:rsid w:val="006413B7"/>
    <w:rsid w:val="006414BB"/>
    <w:rsid w:val="00641699"/>
    <w:rsid w:val="00641706"/>
    <w:rsid w:val="00641D82"/>
    <w:rsid w:val="00641F9D"/>
    <w:rsid w:val="006424ED"/>
    <w:rsid w:val="00642556"/>
    <w:rsid w:val="00642672"/>
    <w:rsid w:val="006428AF"/>
    <w:rsid w:val="0064290C"/>
    <w:rsid w:val="0064291B"/>
    <w:rsid w:val="0064305B"/>
    <w:rsid w:val="00643130"/>
    <w:rsid w:val="0064344A"/>
    <w:rsid w:val="0064351B"/>
    <w:rsid w:val="006436B7"/>
    <w:rsid w:val="00643AE9"/>
    <w:rsid w:val="00643BB6"/>
    <w:rsid w:val="00643FE2"/>
    <w:rsid w:val="006445C9"/>
    <w:rsid w:val="006448C0"/>
    <w:rsid w:val="0064494F"/>
    <w:rsid w:val="00644B1E"/>
    <w:rsid w:val="00644F73"/>
    <w:rsid w:val="0064503D"/>
    <w:rsid w:val="0064540B"/>
    <w:rsid w:val="006454BB"/>
    <w:rsid w:val="00645637"/>
    <w:rsid w:val="006456B6"/>
    <w:rsid w:val="00645AB3"/>
    <w:rsid w:val="00645EFF"/>
    <w:rsid w:val="0064607A"/>
    <w:rsid w:val="0064616E"/>
    <w:rsid w:val="0064620D"/>
    <w:rsid w:val="0064686D"/>
    <w:rsid w:val="00646997"/>
    <w:rsid w:val="00646BD7"/>
    <w:rsid w:val="00646D8F"/>
    <w:rsid w:val="00646E4B"/>
    <w:rsid w:val="0064719A"/>
    <w:rsid w:val="00647201"/>
    <w:rsid w:val="006472C4"/>
    <w:rsid w:val="00647569"/>
    <w:rsid w:val="0064781E"/>
    <w:rsid w:val="006502E9"/>
    <w:rsid w:val="006503AB"/>
    <w:rsid w:val="006506D2"/>
    <w:rsid w:val="00650AB4"/>
    <w:rsid w:val="0065116E"/>
    <w:rsid w:val="0065182F"/>
    <w:rsid w:val="006519DF"/>
    <w:rsid w:val="006519E6"/>
    <w:rsid w:val="00652093"/>
    <w:rsid w:val="00652137"/>
    <w:rsid w:val="0065226B"/>
    <w:rsid w:val="0065235B"/>
    <w:rsid w:val="006523F3"/>
    <w:rsid w:val="006524E9"/>
    <w:rsid w:val="006525FD"/>
    <w:rsid w:val="0065269D"/>
    <w:rsid w:val="006526B5"/>
    <w:rsid w:val="00652984"/>
    <w:rsid w:val="006529C1"/>
    <w:rsid w:val="00652BE6"/>
    <w:rsid w:val="006530BE"/>
    <w:rsid w:val="00653153"/>
    <w:rsid w:val="006536F5"/>
    <w:rsid w:val="00653874"/>
    <w:rsid w:val="00653D55"/>
    <w:rsid w:val="00653D5C"/>
    <w:rsid w:val="00653E62"/>
    <w:rsid w:val="00653E99"/>
    <w:rsid w:val="00653EAA"/>
    <w:rsid w:val="00654041"/>
    <w:rsid w:val="006541C6"/>
    <w:rsid w:val="0065442C"/>
    <w:rsid w:val="00654481"/>
    <w:rsid w:val="006545E6"/>
    <w:rsid w:val="00654C6A"/>
    <w:rsid w:val="00654FF1"/>
    <w:rsid w:val="00655158"/>
    <w:rsid w:val="00655701"/>
    <w:rsid w:val="006559D8"/>
    <w:rsid w:val="006559DD"/>
    <w:rsid w:val="00655ADA"/>
    <w:rsid w:val="00655C5D"/>
    <w:rsid w:val="00655EB9"/>
    <w:rsid w:val="00655F6C"/>
    <w:rsid w:val="0065632F"/>
    <w:rsid w:val="006568AF"/>
    <w:rsid w:val="006568CD"/>
    <w:rsid w:val="0065696C"/>
    <w:rsid w:val="00656A27"/>
    <w:rsid w:val="00656BEE"/>
    <w:rsid w:val="00656C84"/>
    <w:rsid w:val="00656E0C"/>
    <w:rsid w:val="00657270"/>
    <w:rsid w:val="006573EF"/>
    <w:rsid w:val="00657754"/>
    <w:rsid w:val="00657B0A"/>
    <w:rsid w:val="00657B39"/>
    <w:rsid w:val="00657BFC"/>
    <w:rsid w:val="00657C01"/>
    <w:rsid w:val="00657C83"/>
    <w:rsid w:val="00657CC8"/>
    <w:rsid w:val="00660667"/>
    <w:rsid w:val="0066071B"/>
    <w:rsid w:val="00660D7B"/>
    <w:rsid w:val="0066168A"/>
    <w:rsid w:val="006618AA"/>
    <w:rsid w:val="00661EE0"/>
    <w:rsid w:val="006624BD"/>
    <w:rsid w:val="006624EE"/>
    <w:rsid w:val="0066253D"/>
    <w:rsid w:val="0066268D"/>
    <w:rsid w:val="00662DFF"/>
    <w:rsid w:val="00662E01"/>
    <w:rsid w:val="0066326D"/>
    <w:rsid w:val="006633B2"/>
    <w:rsid w:val="00663486"/>
    <w:rsid w:val="0066353B"/>
    <w:rsid w:val="006635C2"/>
    <w:rsid w:val="00663892"/>
    <w:rsid w:val="0066396C"/>
    <w:rsid w:val="00663AF7"/>
    <w:rsid w:val="00663B28"/>
    <w:rsid w:val="00663BCE"/>
    <w:rsid w:val="00663E84"/>
    <w:rsid w:val="00664356"/>
    <w:rsid w:val="006643EE"/>
    <w:rsid w:val="006646FD"/>
    <w:rsid w:val="006647AD"/>
    <w:rsid w:val="00664BBF"/>
    <w:rsid w:val="00664C4D"/>
    <w:rsid w:val="00664FF5"/>
    <w:rsid w:val="0066506F"/>
    <w:rsid w:val="006653BB"/>
    <w:rsid w:val="00665605"/>
    <w:rsid w:val="0066574E"/>
    <w:rsid w:val="00665B15"/>
    <w:rsid w:val="00665FC6"/>
    <w:rsid w:val="00666189"/>
    <w:rsid w:val="0066624E"/>
    <w:rsid w:val="006662C3"/>
    <w:rsid w:val="00666425"/>
    <w:rsid w:val="0066643C"/>
    <w:rsid w:val="00666610"/>
    <w:rsid w:val="00666636"/>
    <w:rsid w:val="006666ED"/>
    <w:rsid w:val="0066673C"/>
    <w:rsid w:val="006667ED"/>
    <w:rsid w:val="00666AA5"/>
    <w:rsid w:val="00666BA5"/>
    <w:rsid w:val="00666E6C"/>
    <w:rsid w:val="00667104"/>
    <w:rsid w:val="0066751B"/>
    <w:rsid w:val="00667695"/>
    <w:rsid w:val="006678EE"/>
    <w:rsid w:val="0066797A"/>
    <w:rsid w:val="00667B00"/>
    <w:rsid w:val="00667CBF"/>
    <w:rsid w:val="00667CCA"/>
    <w:rsid w:val="00667F93"/>
    <w:rsid w:val="0066C639"/>
    <w:rsid w:val="00670923"/>
    <w:rsid w:val="0067097D"/>
    <w:rsid w:val="00670A1E"/>
    <w:rsid w:val="006712DB"/>
    <w:rsid w:val="006718A3"/>
    <w:rsid w:val="0067196F"/>
    <w:rsid w:val="00671CE0"/>
    <w:rsid w:val="00672120"/>
    <w:rsid w:val="00672285"/>
    <w:rsid w:val="006722CC"/>
    <w:rsid w:val="006725CF"/>
    <w:rsid w:val="00672740"/>
    <w:rsid w:val="0067289A"/>
    <w:rsid w:val="00672B29"/>
    <w:rsid w:val="00672D3F"/>
    <w:rsid w:val="0067303C"/>
    <w:rsid w:val="0067327D"/>
    <w:rsid w:val="006732F1"/>
    <w:rsid w:val="00673352"/>
    <w:rsid w:val="006736FF"/>
    <w:rsid w:val="00673843"/>
    <w:rsid w:val="006738E4"/>
    <w:rsid w:val="00673904"/>
    <w:rsid w:val="00674113"/>
    <w:rsid w:val="006746F9"/>
    <w:rsid w:val="006749C2"/>
    <w:rsid w:val="00674A2C"/>
    <w:rsid w:val="00674D43"/>
    <w:rsid w:val="00675311"/>
    <w:rsid w:val="00675963"/>
    <w:rsid w:val="00675D8B"/>
    <w:rsid w:val="00675E94"/>
    <w:rsid w:val="00675F47"/>
    <w:rsid w:val="006766E1"/>
    <w:rsid w:val="00676C05"/>
    <w:rsid w:val="00676E15"/>
    <w:rsid w:val="00676FA2"/>
    <w:rsid w:val="00676FCB"/>
    <w:rsid w:val="006770D5"/>
    <w:rsid w:val="00677984"/>
    <w:rsid w:val="00677A64"/>
    <w:rsid w:val="00677C54"/>
    <w:rsid w:val="00677E8C"/>
    <w:rsid w:val="00677F8D"/>
    <w:rsid w:val="00680062"/>
    <w:rsid w:val="0068012F"/>
    <w:rsid w:val="00680373"/>
    <w:rsid w:val="00680489"/>
    <w:rsid w:val="00680D01"/>
    <w:rsid w:val="006813CB"/>
    <w:rsid w:val="006813D4"/>
    <w:rsid w:val="0068184C"/>
    <w:rsid w:val="00681C5B"/>
    <w:rsid w:val="00681D5F"/>
    <w:rsid w:val="00682091"/>
    <w:rsid w:val="00682275"/>
    <w:rsid w:val="006824E1"/>
    <w:rsid w:val="0068299C"/>
    <w:rsid w:val="00682AC0"/>
    <w:rsid w:val="00683292"/>
    <w:rsid w:val="006834F7"/>
    <w:rsid w:val="0068368C"/>
    <w:rsid w:val="00683F83"/>
    <w:rsid w:val="00683F86"/>
    <w:rsid w:val="00684097"/>
    <w:rsid w:val="006843FA"/>
    <w:rsid w:val="0068446B"/>
    <w:rsid w:val="00684601"/>
    <w:rsid w:val="0068469E"/>
    <w:rsid w:val="006846CD"/>
    <w:rsid w:val="0068472A"/>
    <w:rsid w:val="006847FA"/>
    <w:rsid w:val="00684AC3"/>
    <w:rsid w:val="00684E89"/>
    <w:rsid w:val="00685062"/>
    <w:rsid w:val="006850B4"/>
    <w:rsid w:val="0068543B"/>
    <w:rsid w:val="006855B2"/>
    <w:rsid w:val="00685669"/>
    <w:rsid w:val="00685AD4"/>
    <w:rsid w:val="00685C9F"/>
    <w:rsid w:val="00685F6D"/>
    <w:rsid w:val="00686080"/>
    <w:rsid w:val="00686208"/>
    <w:rsid w:val="00686393"/>
    <w:rsid w:val="0068650C"/>
    <w:rsid w:val="00686965"/>
    <w:rsid w:val="00686A2F"/>
    <w:rsid w:val="00686A71"/>
    <w:rsid w:val="006871A1"/>
    <w:rsid w:val="00687694"/>
    <w:rsid w:val="0068799E"/>
    <w:rsid w:val="006879FE"/>
    <w:rsid w:val="00687A0B"/>
    <w:rsid w:val="00687A10"/>
    <w:rsid w:val="00687FCE"/>
    <w:rsid w:val="006900E8"/>
    <w:rsid w:val="006901C3"/>
    <w:rsid w:val="0069072F"/>
    <w:rsid w:val="0069076A"/>
    <w:rsid w:val="006909CC"/>
    <w:rsid w:val="00690EB0"/>
    <w:rsid w:val="00690ED1"/>
    <w:rsid w:val="0069110B"/>
    <w:rsid w:val="00691229"/>
    <w:rsid w:val="0069123E"/>
    <w:rsid w:val="00691913"/>
    <w:rsid w:val="00691B11"/>
    <w:rsid w:val="00691B89"/>
    <w:rsid w:val="00691FC6"/>
    <w:rsid w:val="0069206C"/>
    <w:rsid w:val="006920EA"/>
    <w:rsid w:val="006923BD"/>
    <w:rsid w:val="006924B3"/>
    <w:rsid w:val="006925FD"/>
    <w:rsid w:val="00692DCF"/>
    <w:rsid w:val="00693399"/>
    <w:rsid w:val="006933A1"/>
    <w:rsid w:val="0069366F"/>
    <w:rsid w:val="00693819"/>
    <w:rsid w:val="0069386B"/>
    <w:rsid w:val="00693A43"/>
    <w:rsid w:val="00693A73"/>
    <w:rsid w:val="00694310"/>
    <w:rsid w:val="00694434"/>
    <w:rsid w:val="0069459C"/>
    <w:rsid w:val="00694BB6"/>
    <w:rsid w:val="006951CF"/>
    <w:rsid w:val="00695214"/>
    <w:rsid w:val="00695236"/>
    <w:rsid w:val="0069548D"/>
    <w:rsid w:val="00695517"/>
    <w:rsid w:val="0069555A"/>
    <w:rsid w:val="006955A0"/>
    <w:rsid w:val="00695FEE"/>
    <w:rsid w:val="00695FF8"/>
    <w:rsid w:val="00696259"/>
    <w:rsid w:val="00696276"/>
    <w:rsid w:val="00696716"/>
    <w:rsid w:val="006967FE"/>
    <w:rsid w:val="00696E73"/>
    <w:rsid w:val="00696F95"/>
    <w:rsid w:val="006972F9"/>
    <w:rsid w:val="0069747C"/>
    <w:rsid w:val="00697A5C"/>
    <w:rsid w:val="00697C0F"/>
    <w:rsid w:val="00697DC4"/>
    <w:rsid w:val="00697EDB"/>
    <w:rsid w:val="006A01F6"/>
    <w:rsid w:val="006A0B57"/>
    <w:rsid w:val="006A0D44"/>
    <w:rsid w:val="006A0DD1"/>
    <w:rsid w:val="006A0F66"/>
    <w:rsid w:val="006A102A"/>
    <w:rsid w:val="006A138B"/>
    <w:rsid w:val="006A1439"/>
    <w:rsid w:val="006A1569"/>
    <w:rsid w:val="006A15B9"/>
    <w:rsid w:val="006A17AE"/>
    <w:rsid w:val="006A19EA"/>
    <w:rsid w:val="006A19F1"/>
    <w:rsid w:val="006A1C0B"/>
    <w:rsid w:val="006A239A"/>
    <w:rsid w:val="006A23E5"/>
    <w:rsid w:val="006A263A"/>
    <w:rsid w:val="006A268A"/>
    <w:rsid w:val="006A2737"/>
    <w:rsid w:val="006A2D22"/>
    <w:rsid w:val="006A3073"/>
    <w:rsid w:val="006A335B"/>
    <w:rsid w:val="006A33B2"/>
    <w:rsid w:val="006A35A6"/>
    <w:rsid w:val="006A39C7"/>
    <w:rsid w:val="006A3CE0"/>
    <w:rsid w:val="006A3F10"/>
    <w:rsid w:val="006A4217"/>
    <w:rsid w:val="006A42E7"/>
    <w:rsid w:val="006A4344"/>
    <w:rsid w:val="006A43CD"/>
    <w:rsid w:val="006A4798"/>
    <w:rsid w:val="006A47D7"/>
    <w:rsid w:val="006A47DE"/>
    <w:rsid w:val="006A4A4F"/>
    <w:rsid w:val="006A4E5C"/>
    <w:rsid w:val="006A5014"/>
    <w:rsid w:val="006A52CA"/>
    <w:rsid w:val="006A54A7"/>
    <w:rsid w:val="006A54F8"/>
    <w:rsid w:val="006A5783"/>
    <w:rsid w:val="006A592C"/>
    <w:rsid w:val="006A5EC0"/>
    <w:rsid w:val="006A5F14"/>
    <w:rsid w:val="006A60D5"/>
    <w:rsid w:val="006A6627"/>
    <w:rsid w:val="006A66D6"/>
    <w:rsid w:val="006A6701"/>
    <w:rsid w:val="006A6711"/>
    <w:rsid w:val="006A7329"/>
    <w:rsid w:val="006A7346"/>
    <w:rsid w:val="006A7448"/>
    <w:rsid w:val="006A768D"/>
    <w:rsid w:val="006A77A1"/>
    <w:rsid w:val="006A7991"/>
    <w:rsid w:val="006B00F7"/>
    <w:rsid w:val="006B0480"/>
    <w:rsid w:val="006B07BC"/>
    <w:rsid w:val="006B0A8C"/>
    <w:rsid w:val="006B0D76"/>
    <w:rsid w:val="006B1005"/>
    <w:rsid w:val="006B10BF"/>
    <w:rsid w:val="006B11D3"/>
    <w:rsid w:val="006B140A"/>
    <w:rsid w:val="006B1852"/>
    <w:rsid w:val="006B18F0"/>
    <w:rsid w:val="006B1940"/>
    <w:rsid w:val="006B1ABA"/>
    <w:rsid w:val="006B1B21"/>
    <w:rsid w:val="006B1BAD"/>
    <w:rsid w:val="006B1D84"/>
    <w:rsid w:val="006B1D94"/>
    <w:rsid w:val="006B1E22"/>
    <w:rsid w:val="006B1E9B"/>
    <w:rsid w:val="006B1EC9"/>
    <w:rsid w:val="006B223E"/>
    <w:rsid w:val="006B29B5"/>
    <w:rsid w:val="006B2C91"/>
    <w:rsid w:val="006B2D18"/>
    <w:rsid w:val="006B32AD"/>
    <w:rsid w:val="006B3330"/>
    <w:rsid w:val="006B3520"/>
    <w:rsid w:val="006B3638"/>
    <w:rsid w:val="006B3754"/>
    <w:rsid w:val="006B3873"/>
    <w:rsid w:val="006B3EA5"/>
    <w:rsid w:val="006B4153"/>
    <w:rsid w:val="006B4DAB"/>
    <w:rsid w:val="006B53A7"/>
    <w:rsid w:val="006B556A"/>
    <w:rsid w:val="006B5610"/>
    <w:rsid w:val="006B58CF"/>
    <w:rsid w:val="006B58FF"/>
    <w:rsid w:val="006B5A55"/>
    <w:rsid w:val="006B5A64"/>
    <w:rsid w:val="006B5C20"/>
    <w:rsid w:val="006B5D29"/>
    <w:rsid w:val="006B5E23"/>
    <w:rsid w:val="006B6044"/>
    <w:rsid w:val="006B665A"/>
    <w:rsid w:val="006B66C3"/>
    <w:rsid w:val="006B67DB"/>
    <w:rsid w:val="006B6A41"/>
    <w:rsid w:val="006B6DE4"/>
    <w:rsid w:val="006B6F1E"/>
    <w:rsid w:val="006B7069"/>
    <w:rsid w:val="006B71CE"/>
    <w:rsid w:val="006B7248"/>
    <w:rsid w:val="006B7447"/>
    <w:rsid w:val="006B7AEF"/>
    <w:rsid w:val="006B7FCF"/>
    <w:rsid w:val="006C00F8"/>
    <w:rsid w:val="006C014A"/>
    <w:rsid w:val="006C0579"/>
    <w:rsid w:val="006C058F"/>
    <w:rsid w:val="006C0974"/>
    <w:rsid w:val="006C0C1B"/>
    <w:rsid w:val="006C1241"/>
    <w:rsid w:val="006C1B62"/>
    <w:rsid w:val="006C1CF6"/>
    <w:rsid w:val="006C1FE1"/>
    <w:rsid w:val="006C205B"/>
    <w:rsid w:val="006C23DA"/>
    <w:rsid w:val="006C2478"/>
    <w:rsid w:val="006C260D"/>
    <w:rsid w:val="006C286C"/>
    <w:rsid w:val="006C2B80"/>
    <w:rsid w:val="006C2BA7"/>
    <w:rsid w:val="006C2C1D"/>
    <w:rsid w:val="006C2CCE"/>
    <w:rsid w:val="006C3558"/>
    <w:rsid w:val="006C3F00"/>
    <w:rsid w:val="006C450E"/>
    <w:rsid w:val="006C45F3"/>
    <w:rsid w:val="006C4906"/>
    <w:rsid w:val="006C49C8"/>
    <w:rsid w:val="006C4A91"/>
    <w:rsid w:val="006C4B5F"/>
    <w:rsid w:val="006C4BE2"/>
    <w:rsid w:val="006C4BE4"/>
    <w:rsid w:val="006C4F3C"/>
    <w:rsid w:val="006C504B"/>
    <w:rsid w:val="006C5493"/>
    <w:rsid w:val="006C57D5"/>
    <w:rsid w:val="006C6182"/>
    <w:rsid w:val="006C6387"/>
    <w:rsid w:val="006C63CD"/>
    <w:rsid w:val="006C6793"/>
    <w:rsid w:val="006C6AA6"/>
    <w:rsid w:val="006C6F40"/>
    <w:rsid w:val="006C721A"/>
    <w:rsid w:val="006C72EC"/>
    <w:rsid w:val="006C746F"/>
    <w:rsid w:val="006C7AB7"/>
    <w:rsid w:val="006D0193"/>
    <w:rsid w:val="006D01B3"/>
    <w:rsid w:val="006D024A"/>
    <w:rsid w:val="006D0851"/>
    <w:rsid w:val="006D0BFA"/>
    <w:rsid w:val="006D0F04"/>
    <w:rsid w:val="006D11F9"/>
    <w:rsid w:val="006D1234"/>
    <w:rsid w:val="006D12AF"/>
    <w:rsid w:val="006D16D2"/>
    <w:rsid w:val="006D1B76"/>
    <w:rsid w:val="006D1D5A"/>
    <w:rsid w:val="006D1F02"/>
    <w:rsid w:val="006D2293"/>
    <w:rsid w:val="006D2314"/>
    <w:rsid w:val="006D24B5"/>
    <w:rsid w:val="006D272A"/>
    <w:rsid w:val="006D279F"/>
    <w:rsid w:val="006D28B7"/>
    <w:rsid w:val="006D3271"/>
    <w:rsid w:val="006D32DF"/>
    <w:rsid w:val="006D33C5"/>
    <w:rsid w:val="006D343F"/>
    <w:rsid w:val="006D34FB"/>
    <w:rsid w:val="006D35F7"/>
    <w:rsid w:val="006D38BF"/>
    <w:rsid w:val="006D3955"/>
    <w:rsid w:val="006D3E90"/>
    <w:rsid w:val="006D3F02"/>
    <w:rsid w:val="006D3F3F"/>
    <w:rsid w:val="006D4618"/>
    <w:rsid w:val="006D4662"/>
    <w:rsid w:val="006D49E4"/>
    <w:rsid w:val="006D4A3E"/>
    <w:rsid w:val="006D4E1F"/>
    <w:rsid w:val="006D4E22"/>
    <w:rsid w:val="006D4E9F"/>
    <w:rsid w:val="006D4F3C"/>
    <w:rsid w:val="006D4FC0"/>
    <w:rsid w:val="006D5028"/>
    <w:rsid w:val="006D515B"/>
    <w:rsid w:val="006D5280"/>
    <w:rsid w:val="006D54F2"/>
    <w:rsid w:val="006D594A"/>
    <w:rsid w:val="006D59DD"/>
    <w:rsid w:val="006D5D03"/>
    <w:rsid w:val="006D5D2C"/>
    <w:rsid w:val="006D5E35"/>
    <w:rsid w:val="006D5F43"/>
    <w:rsid w:val="006D5F4E"/>
    <w:rsid w:val="006D6001"/>
    <w:rsid w:val="006D604C"/>
    <w:rsid w:val="006D6082"/>
    <w:rsid w:val="006D618B"/>
    <w:rsid w:val="006D631F"/>
    <w:rsid w:val="006D6992"/>
    <w:rsid w:val="006D731E"/>
    <w:rsid w:val="006D742E"/>
    <w:rsid w:val="006D786E"/>
    <w:rsid w:val="006D7988"/>
    <w:rsid w:val="006D79D3"/>
    <w:rsid w:val="006D7BC5"/>
    <w:rsid w:val="006D7D25"/>
    <w:rsid w:val="006D7F71"/>
    <w:rsid w:val="006D7F90"/>
    <w:rsid w:val="006DE06A"/>
    <w:rsid w:val="006E002F"/>
    <w:rsid w:val="006E09E3"/>
    <w:rsid w:val="006E0AF9"/>
    <w:rsid w:val="006E0B19"/>
    <w:rsid w:val="006E0BAF"/>
    <w:rsid w:val="006E11B6"/>
    <w:rsid w:val="006E11ED"/>
    <w:rsid w:val="006E150C"/>
    <w:rsid w:val="006E17A2"/>
    <w:rsid w:val="006E18BB"/>
    <w:rsid w:val="006E1AE0"/>
    <w:rsid w:val="006E1C3F"/>
    <w:rsid w:val="006E1C92"/>
    <w:rsid w:val="006E2017"/>
    <w:rsid w:val="006E2078"/>
    <w:rsid w:val="006E209D"/>
    <w:rsid w:val="006E218A"/>
    <w:rsid w:val="006E2609"/>
    <w:rsid w:val="006E2683"/>
    <w:rsid w:val="006E2EDB"/>
    <w:rsid w:val="006E2FE2"/>
    <w:rsid w:val="006E3099"/>
    <w:rsid w:val="006E39DC"/>
    <w:rsid w:val="006E39FD"/>
    <w:rsid w:val="006E3AC9"/>
    <w:rsid w:val="006E3EE6"/>
    <w:rsid w:val="006E41B6"/>
    <w:rsid w:val="006E456B"/>
    <w:rsid w:val="006E4735"/>
    <w:rsid w:val="006E49EC"/>
    <w:rsid w:val="006E4B12"/>
    <w:rsid w:val="006E4C93"/>
    <w:rsid w:val="006E4E18"/>
    <w:rsid w:val="006E519A"/>
    <w:rsid w:val="006E536D"/>
    <w:rsid w:val="006E5B95"/>
    <w:rsid w:val="006E5C2D"/>
    <w:rsid w:val="006E5D8E"/>
    <w:rsid w:val="006E6052"/>
    <w:rsid w:val="006E66B1"/>
    <w:rsid w:val="006E6A5B"/>
    <w:rsid w:val="006E709C"/>
    <w:rsid w:val="006E70F9"/>
    <w:rsid w:val="006E7207"/>
    <w:rsid w:val="006E7302"/>
    <w:rsid w:val="006E77D4"/>
    <w:rsid w:val="006E79A0"/>
    <w:rsid w:val="006E7F2D"/>
    <w:rsid w:val="006F0C61"/>
    <w:rsid w:val="006F0D06"/>
    <w:rsid w:val="006F0E71"/>
    <w:rsid w:val="006F0F18"/>
    <w:rsid w:val="006F1394"/>
    <w:rsid w:val="006F161E"/>
    <w:rsid w:val="006F17AF"/>
    <w:rsid w:val="006F1851"/>
    <w:rsid w:val="006F18D5"/>
    <w:rsid w:val="006F1BB3"/>
    <w:rsid w:val="006F21CC"/>
    <w:rsid w:val="006F21F0"/>
    <w:rsid w:val="006F2CC2"/>
    <w:rsid w:val="006F3214"/>
    <w:rsid w:val="006F33AD"/>
    <w:rsid w:val="006F3408"/>
    <w:rsid w:val="006F350A"/>
    <w:rsid w:val="006F389B"/>
    <w:rsid w:val="006F3C94"/>
    <w:rsid w:val="006F491E"/>
    <w:rsid w:val="006F499E"/>
    <w:rsid w:val="006F57A6"/>
    <w:rsid w:val="006F5883"/>
    <w:rsid w:val="006F5A8C"/>
    <w:rsid w:val="006F6B2F"/>
    <w:rsid w:val="006F6CCD"/>
    <w:rsid w:val="006F6D27"/>
    <w:rsid w:val="006F7281"/>
    <w:rsid w:val="006F7532"/>
    <w:rsid w:val="006F76DD"/>
    <w:rsid w:val="006F7A98"/>
    <w:rsid w:val="006F7B93"/>
    <w:rsid w:val="007006C4"/>
    <w:rsid w:val="00700B38"/>
    <w:rsid w:val="00700FE7"/>
    <w:rsid w:val="00701218"/>
    <w:rsid w:val="0070166E"/>
    <w:rsid w:val="00701980"/>
    <w:rsid w:val="0070199E"/>
    <w:rsid w:val="00701FD7"/>
    <w:rsid w:val="007023F9"/>
    <w:rsid w:val="007026B4"/>
    <w:rsid w:val="007026CB"/>
    <w:rsid w:val="0070273F"/>
    <w:rsid w:val="007032E4"/>
    <w:rsid w:val="00703418"/>
    <w:rsid w:val="00703436"/>
    <w:rsid w:val="0070375A"/>
    <w:rsid w:val="0070377A"/>
    <w:rsid w:val="00704188"/>
    <w:rsid w:val="007042C0"/>
    <w:rsid w:val="0070448F"/>
    <w:rsid w:val="0070459F"/>
    <w:rsid w:val="00704A08"/>
    <w:rsid w:val="00705153"/>
    <w:rsid w:val="007055EA"/>
    <w:rsid w:val="007059D2"/>
    <w:rsid w:val="00705A19"/>
    <w:rsid w:val="00706035"/>
    <w:rsid w:val="007060E5"/>
    <w:rsid w:val="00706198"/>
    <w:rsid w:val="007061AA"/>
    <w:rsid w:val="00706369"/>
    <w:rsid w:val="007063D3"/>
    <w:rsid w:val="00706444"/>
    <w:rsid w:val="00706496"/>
    <w:rsid w:val="007067B0"/>
    <w:rsid w:val="007069A5"/>
    <w:rsid w:val="007069C5"/>
    <w:rsid w:val="00706ECB"/>
    <w:rsid w:val="00706EE2"/>
    <w:rsid w:val="00707191"/>
    <w:rsid w:val="0070728E"/>
    <w:rsid w:val="00707818"/>
    <w:rsid w:val="00707DFC"/>
    <w:rsid w:val="00710359"/>
    <w:rsid w:val="00710485"/>
    <w:rsid w:val="00710788"/>
    <w:rsid w:val="00710978"/>
    <w:rsid w:val="007109D1"/>
    <w:rsid w:val="007109D8"/>
    <w:rsid w:val="00710E9C"/>
    <w:rsid w:val="00710FD9"/>
    <w:rsid w:val="00711185"/>
    <w:rsid w:val="007113B4"/>
    <w:rsid w:val="007115E8"/>
    <w:rsid w:val="00711980"/>
    <w:rsid w:val="007119EE"/>
    <w:rsid w:val="00711C82"/>
    <w:rsid w:val="0071217E"/>
    <w:rsid w:val="00712482"/>
    <w:rsid w:val="0071259E"/>
    <w:rsid w:val="00712810"/>
    <w:rsid w:val="00712997"/>
    <w:rsid w:val="007129BD"/>
    <w:rsid w:val="00712C73"/>
    <w:rsid w:val="00712FD2"/>
    <w:rsid w:val="007131DD"/>
    <w:rsid w:val="0071362E"/>
    <w:rsid w:val="00713899"/>
    <w:rsid w:val="00713E6E"/>
    <w:rsid w:val="00714338"/>
    <w:rsid w:val="007143D6"/>
    <w:rsid w:val="0071463C"/>
    <w:rsid w:val="0071475C"/>
    <w:rsid w:val="00714815"/>
    <w:rsid w:val="00714B67"/>
    <w:rsid w:val="00714C12"/>
    <w:rsid w:val="00714E0D"/>
    <w:rsid w:val="00714FB4"/>
    <w:rsid w:val="00715033"/>
    <w:rsid w:val="00715461"/>
    <w:rsid w:val="00715C0C"/>
    <w:rsid w:val="00715D52"/>
    <w:rsid w:val="00715D8A"/>
    <w:rsid w:val="00715F5D"/>
    <w:rsid w:val="00715FAD"/>
    <w:rsid w:val="007160EA"/>
    <w:rsid w:val="0071621F"/>
    <w:rsid w:val="007165AA"/>
    <w:rsid w:val="007166BD"/>
    <w:rsid w:val="00716816"/>
    <w:rsid w:val="00716953"/>
    <w:rsid w:val="00716A0C"/>
    <w:rsid w:val="00716C9F"/>
    <w:rsid w:val="00716FDF"/>
    <w:rsid w:val="0071781C"/>
    <w:rsid w:val="00717AAB"/>
    <w:rsid w:val="00717ADA"/>
    <w:rsid w:val="00717B7A"/>
    <w:rsid w:val="00717C6E"/>
    <w:rsid w:val="00717C8E"/>
    <w:rsid w:val="00717D1B"/>
    <w:rsid w:val="00717E06"/>
    <w:rsid w:val="0072057E"/>
    <w:rsid w:val="007207BA"/>
    <w:rsid w:val="0072085E"/>
    <w:rsid w:val="00720B70"/>
    <w:rsid w:val="00720E59"/>
    <w:rsid w:val="00720F20"/>
    <w:rsid w:val="007210A4"/>
    <w:rsid w:val="007213E9"/>
    <w:rsid w:val="00721551"/>
    <w:rsid w:val="007215E2"/>
    <w:rsid w:val="00721678"/>
    <w:rsid w:val="007219CC"/>
    <w:rsid w:val="00721AC0"/>
    <w:rsid w:val="00721B32"/>
    <w:rsid w:val="00721D67"/>
    <w:rsid w:val="00721DE9"/>
    <w:rsid w:val="00722107"/>
    <w:rsid w:val="00722446"/>
    <w:rsid w:val="007224A8"/>
    <w:rsid w:val="0072251C"/>
    <w:rsid w:val="0072260A"/>
    <w:rsid w:val="00722687"/>
    <w:rsid w:val="0072289E"/>
    <w:rsid w:val="0072352F"/>
    <w:rsid w:val="0072368A"/>
    <w:rsid w:val="00723E03"/>
    <w:rsid w:val="00723E1E"/>
    <w:rsid w:val="00723FE0"/>
    <w:rsid w:val="0072400A"/>
    <w:rsid w:val="007247A4"/>
    <w:rsid w:val="00724A93"/>
    <w:rsid w:val="00724CDA"/>
    <w:rsid w:val="00725061"/>
    <w:rsid w:val="007251B6"/>
    <w:rsid w:val="00725276"/>
    <w:rsid w:val="0072551A"/>
    <w:rsid w:val="00725B65"/>
    <w:rsid w:val="00725BAF"/>
    <w:rsid w:val="00725CD1"/>
    <w:rsid w:val="007260F4"/>
    <w:rsid w:val="007263EC"/>
    <w:rsid w:val="00726545"/>
    <w:rsid w:val="00726771"/>
    <w:rsid w:val="0072684C"/>
    <w:rsid w:val="0072685C"/>
    <w:rsid w:val="0072693C"/>
    <w:rsid w:val="00726CDB"/>
    <w:rsid w:val="00727381"/>
    <w:rsid w:val="00727A20"/>
    <w:rsid w:val="00727A66"/>
    <w:rsid w:val="00727C95"/>
    <w:rsid w:val="0073046D"/>
    <w:rsid w:val="00730D75"/>
    <w:rsid w:val="00730D7F"/>
    <w:rsid w:val="00730E18"/>
    <w:rsid w:val="0073123D"/>
    <w:rsid w:val="00731423"/>
    <w:rsid w:val="00731460"/>
    <w:rsid w:val="00731781"/>
    <w:rsid w:val="007317AD"/>
    <w:rsid w:val="007317CA"/>
    <w:rsid w:val="00731A97"/>
    <w:rsid w:val="00731E59"/>
    <w:rsid w:val="007322A8"/>
    <w:rsid w:val="0073269E"/>
    <w:rsid w:val="00732A02"/>
    <w:rsid w:val="00732D96"/>
    <w:rsid w:val="00732EB0"/>
    <w:rsid w:val="00732FFE"/>
    <w:rsid w:val="0073319C"/>
    <w:rsid w:val="007335A5"/>
    <w:rsid w:val="007335AB"/>
    <w:rsid w:val="0073396F"/>
    <w:rsid w:val="00733AC0"/>
    <w:rsid w:val="00733ED3"/>
    <w:rsid w:val="00734064"/>
    <w:rsid w:val="007340D8"/>
    <w:rsid w:val="007341D6"/>
    <w:rsid w:val="00734366"/>
    <w:rsid w:val="00734A7C"/>
    <w:rsid w:val="00734AF8"/>
    <w:rsid w:val="00734EF5"/>
    <w:rsid w:val="007350B9"/>
    <w:rsid w:val="0073524B"/>
    <w:rsid w:val="00735254"/>
    <w:rsid w:val="00735640"/>
    <w:rsid w:val="00735846"/>
    <w:rsid w:val="0073596A"/>
    <w:rsid w:val="00735981"/>
    <w:rsid w:val="007359E0"/>
    <w:rsid w:val="00735AF8"/>
    <w:rsid w:val="00735E85"/>
    <w:rsid w:val="0073604F"/>
    <w:rsid w:val="007360DD"/>
    <w:rsid w:val="0073634D"/>
    <w:rsid w:val="00736451"/>
    <w:rsid w:val="0073679A"/>
    <w:rsid w:val="00736A6D"/>
    <w:rsid w:val="00736D4B"/>
    <w:rsid w:val="00736EAE"/>
    <w:rsid w:val="007372BF"/>
    <w:rsid w:val="007372C5"/>
    <w:rsid w:val="00737516"/>
    <w:rsid w:val="00737612"/>
    <w:rsid w:val="00737D59"/>
    <w:rsid w:val="00737E64"/>
    <w:rsid w:val="00737FC7"/>
    <w:rsid w:val="007401C1"/>
    <w:rsid w:val="0074029C"/>
    <w:rsid w:val="0074030E"/>
    <w:rsid w:val="00740658"/>
    <w:rsid w:val="007406C2"/>
    <w:rsid w:val="007408F2"/>
    <w:rsid w:val="00740FB3"/>
    <w:rsid w:val="00741622"/>
    <w:rsid w:val="00741EDE"/>
    <w:rsid w:val="007420BC"/>
    <w:rsid w:val="00742183"/>
    <w:rsid w:val="0074271F"/>
    <w:rsid w:val="007427DD"/>
    <w:rsid w:val="007428D2"/>
    <w:rsid w:val="00742937"/>
    <w:rsid w:val="00742E3C"/>
    <w:rsid w:val="00742E6F"/>
    <w:rsid w:val="00742EDD"/>
    <w:rsid w:val="007431E2"/>
    <w:rsid w:val="00743758"/>
    <w:rsid w:val="007438CB"/>
    <w:rsid w:val="007439A7"/>
    <w:rsid w:val="00743A41"/>
    <w:rsid w:val="00743B80"/>
    <w:rsid w:val="00743DA1"/>
    <w:rsid w:val="00743E9D"/>
    <w:rsid w:val="00743F3B"/>
    <w:rsid w:val="00744331"/>
    <w:rsid w:val="007448EE"/>
    <w:rsid w:val="00744CAF"/>
    <w:rsid w:val="00744D3C"/>
    <w:rsid w:val="00744D56"/>
    <w:rsid w:val="00744F07"/>
    <w:rsid w:val="00744FAB"/>
    <w:rsid w:val="0074564A"/>
    <w:rsid w:val="0074577E"/>
    <w:rsid w:val="00745C9B"/>
    <w:rsid w:val="0074677A"/>
    <w:rsid w:val="00747380"/>
    <w:rsid w:val="007475CE"/>
    <w:rsid w:val="007477C8"/>
    <w:rsid w:val="00747936"/>
    <w:rsid w:val="00747944"/>
    <w:rsid w:val="00747A02"/>
    <w:rsid w:val="00747A12"/>
    <w:rsid w:val="00747B4B"/>
    <w:rsid w:val="00747C80"/>
    <w:rsid w:val="00747CE4"/>
    <w:rsid w:val="00747D5A"/>
    <w:rsid w:val="00750218"/>
    <w:rsid w:val="007503C5"/>
    <w:rsid w:val="00750420"/>
    <w:rsid w:val="00750704"/>
    <w:rsid w:val="0075082C"/>
    <w:rsid w:val="007509A6"/>
    <w:rsid w:val="00750B5A"/>
    <w:rsid w:val="00750EA8"/>
    <w:rsid w:val="00750F08"/>
    <w:rsid w:val="007510CA"/>
    <w:rsid w:val="00751633"/>
    <w:rsid w:val="00751757"/>
    <w:rsid w:val="007517A1"/>
    <w:rsid w:val="007518E5"/>
    <w:rsid w:val="00751BE6"/>
    <w:rsid w:val="00751C6B"/>
    <w:rsid w:val="00751D01"/>
    <w:rsid w:val="00751F15"/>
    <w:rsid w:val="00751F64"/>
    <w:rsid w:val="007520D3"/>
    <w:rsid w:val="00752243"/>
    <w:rsid w:val="0075242A"/>
    <w:rsid w:val="007528E9"/>
    <w:rsid w:val="007528F4"/>
    <w:rsid w:val="00752C90"/>
    <w:rsid w:val="0075313E"/>
    <w:rsid w:val="007533F4"/>
    <w:rsid w:val="007534BA"/>
    <w:rsid w:val="00753597"/>
    <w:rsid w:val="0075376E"/>
    <w:rsid w:val="00753820"/>
    <w:rsid w:val="007538F0"/>
    <w:rsid w:val="00753C2B"/>
    <w:rsid w:val="0075406C"/>
    <w:rsid w:val="00754184"/>
    <w:rsid w:val="007541ED"/>
    <w:rsid w:val="007545C3"/>
    <w:rsid w:val="007547CE"/>
    <w:rsid w:val="0075496D"/>
    <w:rsid w:val="007549F4"/>
    <w:rsid w:val="00754CCF"/>
    <w:rsid w:val="00754E85"/>
    <w:rsid w:val="00754EA7"/>
    <w:rsid w:val="00754F3E"/>
    <w:rsid w:val="00754F63"/>
    <w:rsid w:val="007552F3"/>
    <w:rsid w:val="007553BE"/>
    <w:rsid w:val="007558FA"/>
    <w:rsid w:val="007560BD"/>
    <w:rsid w:val="007564A5"/>
    <w:rsid w:val="00756580"/>
    <w:rsid w:val="00756AD4"/>
    <w:rsid w:val="00756D1A"/>
    <w:rsid w:val="00756E2F"/>
    <w:rsid w:val="00757310"/>
    <w:rsid w:val="00757547"/>
    <w:rsid w:val="007578BB"/>
    <w:rsid w:val="00757A05"/>
    <w:rsid w:val="00758975"/>
    <w:rsid w:val="00760135"/>
    <w:rsid w:val="00760152"/>
    <w:rsid w:val="00760494"/>
    <w:rsid w:val="00760531"/>
    <w:rsid w:val="00760DD9"/>
    <w:rsid w:val="00760DF7"/>
    <w:rsid w:val="00761365"/>
    <w:rsid w:val="007616F0"/>
    <w:rsid w:val="00761933"/>
    <w:rsid w:val="00761BC1"/>
    <w:rsid w:val="00762373"/>
    <w:rsid w:val="007626D0"/>
    <w:rsid w:val="00762B42"/>
    <w:rsid w:val="00762D82"/>
    <w:rsid w:val="00763548"/>
    <w:rsid w:val="00763D4E"/>
    <w:rsid w:val="0076400F"/>
    <w:rsid w:val="0076414C"/>
    <w:rsid w:val="0076446C"/>
    <w:rsid w:val="00764848"/>
    <w:rsid w:val="00764BFC"/>
    <w:rsid w:val="00764CAF"/>
    <w:rsid w:val="00764CD8"/>
    <w:rsid w:val="00765398"/>
    <w:rsid w:val="0076553C"/>
    <w:rsid w:val="00765F7C"/>
    <w:rsid w:val="00766124"/>
    <w:rsid w:val="0076690E"/>
    <w:rsid w:val="00766962"/>
    <w:rsid w:val="00766976"/>
    <w:rsid w:val="0076699D"/>
    <w:rsid w:val="007669BE"/>
    <w:rsid w:val="00766B0A"/>
    <w:rsid w:val="00766F78"/>
    <w:rsid w:val="0076722C"/>
    <w:rsid w:val="007672B5"/>
    <w:rsid w:val="007674D2"/>
    <w:rsid w:val="0076778F"/>
    <w:rsid w:val="00767AC9"/>
    <w:rsid w:val="00767B0D"/>
    <w:rsid w:val="0076B697"/>
    <w:rsid w:val="0077063D"/>
    <w:rsid w:val="00770704"/>
    <w:rsid w:val="00770966"/>
    <w:rsid w:val="00770A24"/>
    <w:rsid w:val="00770CFC"/>
    <w:rsid w:val="00770E7D"/>
    <w:rsid w:val="00771216"/>
    <w:rsid w:val="007714F6"/>
    <w:rsid w:val="00771616"/>
    <w:rsid w:val="00771C41"/>
    <w:rsid w:val="00772031"/>
    <w:rsid w:val="00772B64"/>
    <w:rsid w:val="00772C70"/>
    <w:rsid w:val="00772CDE"/>
    <w:rsid w:val="00772D45"/>
    <w:rsid w:val="00772EC4"/>
    <w:rsid w:val="00773221"/>
    <w:rsid w:val="00773304"/>
    <w:rsid w:val="00773B8D"/>
    <w:rsid w:val="00773C67"/>
    <w:rsid w:val="00773DCB"/>
    <w:rsid w:val="007740F8"/>
    <w:rsid w:val="007742A4"/>
    <w:rsid w:val="007743E7"/>
    <w:rsid w:val="0077453F"/>
    <w:rsid w:val="007746D6"/>
    <w:rsid w:val="007749AF"/>
    <w:rsid w:val="00774D80"/>
    <w:rsid w:val="00774E87"/>
    <w:rsid w:val="007750DB"/>
    <w:rsid w:val="0077548D"/>
    <w:rsid w:val="007755F4"/>
    <w:rsid w:val="00775760"/>
    <w:rsid w:val="007758E5"/>
    <w:rsid w:val="00775BD9"/>
    <w:rsid w:val="00776C20"/>
    <w:rsid w:val="00776D40"/>
    <w:rsid w:val="00777450"/>
    <w:rsid w:val="0077759C"/>
    <w:rsid w:val="00780288"/>
    <w:rsid w:val="0078030A"/>
    <w:rsid w:val="0078078A"/>
    <w:rsid w:val="0078079F"/>
    <w:rsid w:val="007808C6"/>
    <w:rsid w:val="00780B1D"/>
    <w:rsid w:val="0078176A"/>
    <w:rsid w:val="00781777"/>
    <w:rsid w:val="00781857"/>
    <w:rsid w:val="00781882"/>
    <w:rsid w:val="00781A22"/>
    <w:rsid w:val="00781BCF"/>
    <w:rsid w:val="00781DEF"/>
    <w:rsid w:val="00781E5E"/>
    <w:rsid w:val="00781EC7"/>
    <w:rsid w:val="00781F4B"/>
    <w:rsid w:val="0078218C"/>
    <w:rsid w:val="007822D4"/>
    <w:rsid w:val="007826DF"/>
    <w:rsid w:val="00782B6B"/>
    <w:rsid w:val="00782C17"/>
    <w:rsid w:val="00782D34"/>
    <w:rsid w:val="00782E90"/>
    <w:rsid w:val="00782EA3"/>
    <w:rsid w:val="00783158"/>
    <w:rsid w:val="007832FA"/>
    <w:rsid w:val="0078334E"/>
    <w:rsid w:val="00783A4F"/>
    <w:rsid w:val="00783EC0"/>
    <w:rsid w:val="0078416C"/>
    <w:rsid w:val="0078419B"/>
    <w:rsid w:val="007842F9"/>
    <w:rsid w:val="007844CB"/>
    <w:rsid w:val="0078461F"/>
    <w:rsid w:val="00784624"/>
    <w:rsid w:val="007847FA"/>
    <w:rsid w:val="00784D80"/>
    <w:rsid w:val="00785118"/>
    <w:rsid w:val="00785424"/>
    <w:rsid w:val="0078548A"/>
    <w:rsid w:val="007856DC"/>
    <w:rsid w:val="007859D4"/>
    <w:rsid w:val="00785E70"/>
    <w:rsid w:val="00785FED"/>
    <w:rsid w:val="00786059"/>
    <w:rsid w:val="007861D8"/>
    <w:rsid w:val="00786243"/>
    <w:rsid w:val="00786AFA"/>
    <w:rsid w:val="007872C2"/>
    <w:rsid w:val="00787332"/>
    <w:rsid w:val="0078766E"/>
    <w:rsid w:val="00787740"/>
    <w:rsid w:val="007878C3"/>
    <w:rsid w:val="00787941"/>
    <w:rsid w:val="00787978"/>
    <w:rsid w:val="00787A6F"/>
    <w:rsid w:val="00790274"/>
    <w:rsid w:val="00790281"/>
    <w:rsid w:val="007902F4"/>
    <w:rsid w:val="0079039F"/>
    <w:rsid w:val="007903CA"/>
    <w:rsid w:val="00790465"/>
    <w:rsid w:val="007908D9"/>
    <w:rsid w:val="0079090A"/>
    <w:rsid w:val="00790910"/>
    <w:rsid w:val="00790C20"/>
    <w:rsid w:val="00790DD3"/>
    <w:rsid w:val="00790E51"/>
    <w:rsid w:val="00790F02"/>
    <w:rsid w:val="00791124"/>
    <w:rsid w:val="007912F0"/>
    <w:rsid w:val="00791569"/>
    <w:rsid w:val="007915C0"/>
    <w:rsid w:val="00791DE1"/>
    <w:rsid w:val="00791E06"/>
    <w:rsid w:val="0079203D"/>
    <w:rsid w:val="0079251B"/>
    <w:rsid w:val="00792A40"/>
    <w:rsid w:val="00792E46"/>
    <w:rsid w:val="0079301A"/>
    <w:rsid w:val="007934EC"/>
    <w:rsid w:val="0079375E"/>
    <w:rsid w:val="00793961"/>
    <w:rsid w:val="00793F23"/>
    <w:rsid w:val="007947DE"/>
    <w:rsid w:val="00794BF1"/>
    <w:rsid w:val="00794D0B"/>
    <w:rsid w:val="00795041"/>
    <w:rsid w:val="0079515E"/>
    <w:rsid w:val="007951AC"/>
    <w:rsid w:val="00795215"/>
    <w:rsid w:val="0079553D"/>
    <w:rsid w:val="00795607"/>
    <w:rsid w:val="0079581F"/>
    <w:rsid w:val="007959B5"/>
    <w:rsid w:val="00795B18"/>
    <w:rsid w:val="00795BAC"/>
    <w:rsid w:val="00795F02"/>
    <w:rsid w:val="00796134"/>
    <w:rsid w:val="00796139"/>
    <w:rsid w:val="00796646"/>
    <w:rsid w:val="00796795"/>
    <w:rsid w:val="00796ACD"/>
    <w:rsid w:val="00796D0E"/>
    <w:rsid w:val="00796D55"/>
    <w:rsid w:val="00796D80"/>
    <w:rsid w:val="00796EA4"/>
    <w:rsid w:val="0079704A"/>
    <w:rsid w:val="007972C3"/>
    <w:rsid w:val="007974A0"/>
    <w:rsid w:val="00797AEC"/>
    <w:rsid w:val="00797BB2"/>
    <w:rsid w:val="00797D36"/>
    <w:rsid w:val="00797DB9"/>
    <w:rsid w:val="00797FE9"/>
    <w:rsid w:val="007A03CA"/>
    <w:rsid w:val="007A047A"/>
    <w:rsid w:val="007A0667"/>
    <w:rsid w:val="007A0693"/>
    <w:rsid w:val="007A075C"/>
    <w:rsid w:val="007A0C51"/>
    <w:rsid w:val="007A0C94"/>
    <w:rsid w:val="007A0E1F"/>
    <w:rsid w:val="007A15A6"/>
    <w:rsid w:val="007A15B8"/>
    <w:rsid w:val="007A16DA"/>
    <w:rsid w:val="007A1870"/>
    <w:rsid w:val="007A1AEB"/>
    <w:rsid w:val="007A225D"/>
    <w:rsid w:val="007A2264"/>
    <w:rsid w:val="007A2351"/>
    <w:rsid w:val="007A2499"/>
    <w:rsid w:val="007A2574"/>
    <w:rsid w:val="007A2575"/>
    <w:rsid w:val="007A259F"/>
    <w:rsid w:val="007A2604"/>
    <w:rsid w:val="007A28C2"/>
    <w:rsid w:val="007A2961"/>
    <w:rsid w:val="007A2B0A"/>
    <w:rsid w:val="007A2B15"/>
    <w:rsid w:val="007A2F54"/>
    <w:rsid w:val="007A30F5"/>
    <w:rsid w:val="007A31E2"/>
    <w:rsid w:val="007A321D"/>
    <w:rsid w:val="007A328A"/>
    <w:rsid w:val="007A3352"/>
    <w:rsid w:val="007A37EA"/>
    <w:rsid w:val="007A39A2"/>
    <w:rsid w:val="007A3A8C"/>
    <w:rsid w:val="007A3D96"/>
    <w:rsid w:val="007A3F3A"/>
    <w:rsid w:val="007A3F65"/>
    <w:rsid w:val="007A418D"/>
    <w:rsid w:val="007A4216"/>
    <w:rsid w:val="007A428D"/>
    <w:rsid w:val="007A4500"/>
    <w:rsid w:val="007A4626"/>
    <w:rsid w:val="007A495A"/>
    <w:rsid w:val="007A49C8"/>
    <w:rsid w:val="007A4C84"/>
    <w:rsid w:val="007A4DBD"/>
    <w:rsid w:val="007A4EC3"/>
    <w:rsid w:val="007A512C"/>
    <w:rsid w:val="007A533B"/>
    <w:rsid w:val="007A55D8"/>
    <w:rsid w:val="007A5C99"/>
    <w:rsid w:val="007A5DFB"/>
    <w:rsid w:val="007A5FB6"/>
    <w:rsid w:val="007A609D"/>
    <w:rsid w:val="007A61CD"/>
    <w:rsid w:val="007A6254"/>
    <w:rsid w:val="007A640F"/>
    <w:rsid w:val="007A69B6"/>
    <w:rsid w:val="007A6A2F"/>
    <w:rsid w:val="007A6BFF"/>
    <w:rsid w:val="007A6E1E"/>
    <w:rsid w:val="007A6F6F"/>
    <w:rsid w:val="007A71DF"/>
    <w:rsid w:val="007A7451"/>
    <w:rsid w:val="007A749E"/>
    <w:rsid w:val="007A7B09"/>
    <w:rsid w:val="007A7B39"/>
    <w:rsid w:val="007A7FC0"/>
    <w:rsid w:val="007B0181"/>
    <w:rsid w:val="007B01C8"/>
    <w:rsid w:val="007B08C3"/>
    <w:rsid w:val="007B0B94"/>
    <w:rsid w:val="007B0D31"/>
    <w:rsid w:val="007B0E0C"/>
    <w:rsid w:val="007B0F3E"/>
    <w:rsid w:val="007B1597"/>
    <w:rsid w:val="007B1720"/>
    <w:rsid w:val="007B184D"/>
    <w:rsid w:val="007B1858"/>
    <w:rsid w:val="007B1F48"/>
    <w:rsid w:val="007B20D7"/>
    <w:rsid w:val="007B20DD"/>
    <w:rsid w:val="007B2150"/>
    <w:rsid w:val="007B2223"/>
    <w:rsid w:val="007B23AF"/>
    <w:rsid w:val="007B26F5"/>
    <w:rsid w:val="007B2AF8"/>
    <w:rsid w:val="007B2D24"/>
    <w:rsid w:val="007B2FEB"/>
    <w:rsid w:val="007B38FB"/>
    <w:rsid w:val="007B3AB2"/>
    <w:rsid w:val="007B3AE6"/>
    <w:rsid w:val="007B3E2C"/>
    <w:rsid w:val="007B3F85"/>
    <w:rsid w:val="007B3FFD"/>
    <w:rsid w:val="007B41C9"/>
    <w:rsid w:val="007B4337"/>
    <w:rsid w:val="007B4749"/>
    <w:rsid w:val="007B47B2"/>
    <w:rsid w:val="007B4B9E"/>
    <w:rsid w:val="007B51BA"/>
    <w:rsid w:val="007B520B"/>
    <w:rsid w:val="007B559F"/>
    <w:rsid w:val="007B55B4"/>
    <w:rsid w:val="007B560D"/>
    <w:rsid w:val="007B56E5"/>
    <w:rsid w:val="007B66C3"/>
    <w:rsid w:val="007B6FFE"/>
    <w:rsid w:val="007B74BA"/>
    <w:rsid w:val="007B763B"/>
    <w:rsid w:val="007B768E"/>
    <w:rsid w:val="007C0006"/>
    <w:rsid w:val="007C0343"/>
    <w:rsid w:val="007C049B"/>
    <w:rsid w:val="007C06A6"/>
    <w:rsid w:val="007C075F"/>
    <w:rsid w:val="007C0780"/>
    <w:rsid w:val="007C0834"/>
    <w:rsid w:val="007C09E0"/>
    <w:rsid w:val="007C0B03"/>
    <w:rsid w:val="007C0B1A"/>
    <w:rsid w:val="007C0BC0"/>
    <w:rsid w:val="007C0D0E"/>
    <w:rsid w:val="007C14B9"/>
    <w:rsid w:val="007C1AB7"/>
    <w:rsid w:val="007C1CB4"/>
    <w:rsid w:val="007C1ED7"/>
    <w:rsid w:val="007C21C7"/>
    <w:rsid w:val="007C220B"/>
    <w:rsid w:val="007C25CA"/>
    <w:rsid w:val="007C26E5"/>
    <w:rsid w:val="007C27BE"/>
    <w:rsid w:val="007C30B7"/>
    <w:rsid w:val="007C34F2"/>
    <w:rsid w:val="007C3F44"/>
    <w:rsid w:val="007C3F57"/>
    <w:rsid w:val="007C4080"/>
    <w:rsid w:val="007C40F1"/>
    <w:rsid w:val="007C417D"/>
    <w:rsid w:val="007C4468"/>
    <w:rsid w:val="007C44AD"/>
    <w:rsid w:val="007C44C9"/>
    <w:rsid w:val="007C46B2"/>
    <w:rsid w:val="007C46C7"/>
    <w:rsid w:val="007C4A05"/>
    <w:rsid w:val="007C4A48"/>
    <w:rsid w:val="007C50FE"/>
    <w:rsid w:val="007C5313"/>
    <w:rsid w:val="007C57CF"/>
    <w:rsid w:val="007C5C24"/>
    <w:rsid w:val="007C6393"/>
    <w:rsid w:val="007C6AAA"/>
    <w:rsid w:val="007C6B1D"/>
    <w:rsid w:val="007C6CAB"/>
    <w:rsid w:val="007C6CDF"/>
    <w:rsid w:val="007C6CF1"/>
    <w:rsid w:val="007C6E4D"/>
    <w:rsid w:val="007C720A"/>
    <w:rsid w:val="007C7499"/>
    <w:rsid w:val="007C7588"/>
    <w:rsid w:val="007C7608"/>
    <w:rsid w:val="007C786D"/>
    <w:rsid w:val="007C79CC"/>
    <w:rsid w:val="007C7A9B"/>
    <w:rsid w:val="007C7DFB"/>
    <w:rsid w:val="007D003D"/>
    <w:rsid w:val="007D0228"/>
    <w:rsid w:val="007D0311"/>
    <w:rsid w:val="007D04BE"/>
    <w:rsid w:val="007D06AC"/>
    <w:rsid w:val="007D06F6"/>
    <w:rsid w:val="007D083D"/>
    <w:rsid w:val="007D086E"/>
    <w:rsid w:val="007D0EB7"/>
    <w:rsid w:val="007D0F34"/>
    <w:rsid w:val="007D1092"/>
    <w:rsid w:val="007D118C"/>
    <w:rsid w:val="007D12C3"/>
    <w:rsid w:val="007D144E"/>
    <w:rsid w:val="007D146F"/>
    <w:rsid w:val="007D14FD"/>
    <w:rsid w:val="007D1545"/>
    <w:rsid w:val="007D159C"/>
    <w:rsid w:val="007D1795"/>
    <w:rsid w:val="007D1924"/>
    <w:rsid w:val="007D1DC2"/>
    <w:rsid w:val="007D1E44"/>
    <w:rsid w:val="007D2342"/>
    <w:rsid w:val="007D25DE"/>
    <w:rsid w:val="007D2621"/>
    <w:rsid w:val="007D278B"/>
    <w:rsid w:val="007D2F0D"/>
    <w:rsid w:val="007D2F58"/>
    <w:rsid w:val="007D304D"/>
    <w:rsid w:val="007D313D"/>
    <w:rsid w:val="007D3BFB"/>
    <w:rsid w:val="007D3C2B"/>
    <w:rsid w:val="007D3D9F"/>
    <w:rsid w:val="007D41D0"/>
    <w:rsid w:val="007D47D6"/>
    <w:rsid w:val="007D4827"/>
    <w:rsid w:val="007D49CE"/>
    <w:rsid w:val="007D4A85"/>
    <w:rsid w:val="007D4AAC"/>
    <w:rsid w:val="007D4C21"/>
    <w:rsid w:val="007D4FF4"/>
    <w:rsid w:val="007D56B6"/>
    <w:rsid w:val="007D5824"/>
    <w:rsid w:val="007D5908"/>
    <w:rsid w:val="007D5CA8"/>
    <w:rsid w:val="007D65B9"/>
    <w:rsid w:val="007D6695"/>
    <w:rsid w:val="007D67F3"/>
    <w:rsid w:val="007D684A"/>
    <w:rsid w:val="007D6B50"/>
    <w:rsid w:val="007D6B9E"/>
    <w:rsid w:val="007D714A"/>
    <w:rsid w:val="007D7315"/>
    <w:rsid w:val="007D7ADB"/>
    <w:rsid w:val="007D7B62"/>
    <w:rsid w:val="007D7BE9"/>
    <w:rsid w:val="007D7DA3"/>
    <w:rsid w:val="007D7E5E"/>
    <w:rsid w:val="007E009B"/>
    <w:rsid w:val="007E015A"/>
    <w:rsid w:val="007E0340"/>
    <w:rsid w:val="007E0353"/>
    <w:rsid w:val="007E055A"/>
    <w:rsid w:val="007E0953"/>
    <w:rsid w:val="007E0C92"/>
    <w:rsid w:val="007E0CAF"/>
    <w:rsid w:val="007E0D39"/>
    <w:rsid w:val="007E0ED3"/>
    <w:rsid w:val="007E10FD"/>
    <w:rsid w:val="007E1B73"/>
    <w:rsid w:val="007E1CF0"/>
    <w:rsid w:val="007E1D24"/>
    <w:rsid w:val="007E278D"/>
    <w:rsid w:val="007E28AB"/>
    <w:rsid w:val="007E2953"/>
    <w:rsid w:val="007E2A64"/>
    <w:rsid w:val="007E2DE9"/>
    <w:rsid w:val="007E2F09"/>
    <w:rsid w:val="007E30E7"/>
    <w:rsid w:val="007E3543"/>
    <w:rsid w:val="007E35BD"/>
    <w:rsid w:val="007E3916"/>
    <w:rsid w:val="007E3939"/>
    <w:rsid w:val="007E3C5A"/>
    <w:rsid w:val="007E3C82"/>
    <w:rsid w:val="007E4918"/>
    <w:rsid w:val="007E49CE"/>
    <w:rsid w:val="007E4D2C"/>
    <w:rsid w:val="007E5351"/>
    <w:rsid w:val="007E56A2"/>
    <w:rsid w:val="007E58EB"/>
    <w:rsid w:val="007E5A16"/>
    <w:rsid w:val="007E5B42"/>
    <w:rsid w:val="007E611F"/>
    <w:rsid w:val="007E61D5"/>
    <w:rsid w:val="007E62DF"/>
    <w:rsid w:val="007E6CD9"/>
    <w:rsid w:val="007E6CFF"/>
    <w:rsid w:val="007E6F77"/>
    <w:rsid w:val="007E6FCD"/>
    <w:rsid w:val="007E72C4"/>
    <w:rsid w:val="007E7458"/>
    <w:rsid w:val="007E75CE"/>
    <w:rsid w:val="007E774F"/>
    <w:rsid w:val="007E7A13"/>
    <w:rsid w:val="007E7BFB"/>
    <w:rsid w:val="007E7CC7"/>
    <w:rsid w:val="007E7D3A"/>
    <w:rsid w:val="007E7DA4"/>
    <w:rsid w:val="007F057A"/>
    <w:rsid w:val="007F08CA"/>
    <w:rsid w:val="007F0994"/>
    <w:rsid w:val="007F0CCA"/>
    <w:rsid w:val="007F0CE5"/>
    <w:rsid w:val="007F0D34"/>
    <w:rsid w:val="007F1951"/>
    <w:rsid w:val="007F2378"/>
    <w:rsid w:val="007F23E6"/>
    <w:rsid w:val="007F24F2"/>
    <w:rsid w:val="007F2711"/>
    <w:rsid w:val="007F27E0"/>
    <w:rsid w:val="007F2A66"/>
    <w:rsid w:val="007F2B03"/>
    <w:rsid w:val="007F2B74"/>
    <w:rsid w:val="007F2D46"/>
    <w:rsid w:val="007F2FA7"/>
    <w:rsid w:val="007F30DD"/>
    <w:rsid w:val="007F32BB"/>
    <w:rsid w:val="007F38EE"/>
    <w:rsid w:val="007F3B6E"/>
    <w:rsid w:val="007F3D01"/>
    <w:rsid w:val="007F4315"/>
    <w:rsid w:val="007F4A80"/>
    <w:rsid w:val="007F4AC3"/>
    <w:rsid w:val="007F4B9D"/>
    <w:rsid w:val="007F561E"/>
    <w:rsid w:val="007F5BDD"/>
    <w:rsid w:val="007F6047"/>
    <w:rsid w:val="007F688A"/>
    <w:rsid w:val="007F6891"/>
    <w:rsid w:val="007F69FC"/>
    <w:rsid w:val="007F6CCE"/>
    <w:rsid w:val="007F7158"/>
    <w:rsid w:val="007F7482"/>
    <w:rsid w:val="007F74BC"/>
    <w:rsid w:val="007F7AC2"/>
    <w:rsid w:val="007F7BF6"/>
    <w:rsid w:val="007F7E04"/>
    <w:rsid w:val="007FE137"/>
    <w:rsid w:val="00800289"/>
    <w:rsid w:val="0080041A"/>
    <w:rsid w:val="00800562"/>
    <w:rsid w:val="00800937"/>
    <w:rsid w:val="00800B52"/>
    <w:rsid w:val="00800F37"/>
    <w:rsid w:val="00801112"/>
    <w:rsid w:val="00801269"/>
    <w:rsid w:val="00801359"/>
    <w:rsid w:val="0080150F"/>
    <w:rsid w:val="00801628"/>
    <w:rsid w:val="008016FE"/>
    <w:rsid w:val="00801BE6"/>
    <w:rsid w:val="00801FC5"/>
    <w:rsid w:val="00801FE9"/>
    <w:rsid w:val="008023F2"/>
    <w:rsid w:val="00802712"/>
    <w:rsid w:val="008028BA"/>
    <w:rsid w:val="008028CF"/>
    <w:rsid w:val="00802B63"/>
    <w:rsid w:val="00802C33"/>
    <w:rsid w:val="00802E97"/>
    <w:rsid w:val="0080399A"/>
    <w:rsid w:val="00803AA1"/>
    <w:rsid w:val="00803AF6"/>
    <w:rsid w:val="008045E5"/>
    <w:rsid w:val="008049DD"/>
    <w:rsid w:val="00804AEE"/>
    <w:rsid w:val="00804CCA"/>
    <w:rsid w:val="00804CCC"/>
    <w:rsid w:val="00804ECF"/>
    <w:rsid w:val="0080524B"/>
    <w:rsid w:val="00805251"/>
    <w:rsid w:val="00805312"/>
    <w:rsid w:val="0080560B"/>
    <w:rsid w:val="00805913"/>
    <w:rsid w:val="00805DF1"/>
    <w:rsid w:val="008061F2"/>
    <w:rsid w:val="0080626D"/>
    <w:rsid w:val="008063C0"/>
    <w:rsid w:val="00806434"/>
    <w:rsid w:val="00806453"/>
    <w:rsid w:val="00806A1F"/>
    <w:rsid w:val="00806AC1"/>
    <w:rsid w:val="00806EA8"/>
    <w:rsid w:val="00806EE4"/>
    <w:rsid w:val="008072CC"/>
    <w:rsid w:val="00807559"/>
    <w:rsid w:val="00807575"/>
    <w:rsid w:val="008075C6"/>
    <w:rsid w:val="0080782C"/>
    <w:rsid w:val="00807D21"/>
    <w:rsid w:val="00810250"/>
    <w:rsid w:val="00810266"/>
    <w:rsid w:val="008102CA"/>
    <w:rsid w:val="00810374"/>
    <w:rsid w:val="00810829"/>
    <w:rsid w:val="008109D0"/>
    <w:rsid w:val="00810ADC"/>
    <w:rsid w:val="00810B03"/>
    <w:rsid w:val="00810B31"/>
    <w:rsid w:val="00810C9A"/>
    <w:rsid w:val="00810CD1"/>
    <w:rsid w:val="008110AD"/>
    <w:rsid w:val="00811160"/>
    <w:rsid w:val="008115C2"/>
    <w:rsid w:val="008117BF"/>
    <w:rsid w:val="00811C72"/>
    <w:rsid w:val="00811CC0"/>
    <w:rsid w:val="00812300"/>
    <w:rsid w:val="00812330"/>
    <w:rsid w:val="008127AA"/>
    <w:rsid w:val="00812B60"/>
    <w:rsid w:val="00812C8E"/>
    <w:rsid w:val="00812CDC"/>
    <w:rsid w:val="00812DF3"/>
    <w:rsid w:val="00812DF7"/>
    <w:rsid w:val="00812FF0"/>
    <w:rsid w:val="00813288"/>
    <w:rsid w:val="008132C4"/>
    <w:rsid w:val="008132FF"/>
    <w:rsid w:val="00813618"/>
    <w:rsid w:val="00813AEA"/>
    <w:rsid w:val="00813F12"/>
    <w:rsid w:val="008141FD"/>
    <w:rsid w:val="00814C66"/>
    <w:rsid w:val="00814EF7"/>
    <w:rsid w:val="0081564F"/>
    <w:rsid w:val="00815DA0"/>
    <w:rsid w:val="00815EE4"/>
    <w:rsid w:val="0081607E"/>
    <w:rsid w:val="00816186"/>
    <w:rsid w:val="00816353"/>
    <w:rsid w:val="00816408"/>
    <w:rsid w:val="00816708"/>
    <w:rsid w:val="008167D5"/>
    <w:rsid w:val="00816851"/>
    <w:rsid w:val="00816B32"/>
    <w:rsid w:val="00816D87"/>
    <w:rsid w:val="00816E01"/>
    <w:rsid w:val="00817145"/>
    <w:rsid w:val="0081720A"/>
    <w:rsid w:val="008173DC"/>
    <w:rsid w:val="00817447"/>
    <w:rsid w:val="008175B2"/>
    <w:rsid w:val="00817841"/>
    <w:rsid w:val="00820112"/>
    <w:rsid w:val="008203E0"/>
    <w:rsid w:val="00820523"/>
    <w:rsid w:val="0082089D"/>
    <w:rsid w:val="00820CE7"/>
    <w:rsid w:val="00820E42"/>
    <w:rsid w:val="00820FA0"/>
    <w:rsid w:val="00820FBC"/>
    <w:rsid w:val="008213B7"/>
    <w:rsid w:val="0082162A"/>
    <w:rsid w:val="0082166C"/>
    <w:rsid w:val="0082194C"/>
    <w:rsid w:val="00821A29"/>
    <w:rsid w:val="0082212E"/>
    <w:rsid w:val="00822163"/>
    <w:rsid w:val="008224E0"/>
    <w:rsid w:val="00822AE8"/>
    <w:rsid w:val="00823233"/>
    <w:rsid w:val="008236E1"/>
    <w:rsid w:val="00823707"/>
    <w:rsid w:val="00823A33"/>
    <w:rsid w:val="00823C70"/>
    <w:rsid w:val="00824426"/>
    <w:rsid w:val="00824701"/>
    <w:rsid w:val="00824798"/>
    <w:rsid w:val="00824B0E"/>
    <w:rsid w:val="00824C9D"/>
    <w:rsid w:val="00824FCB"/>
    <w:rsid w:val="008255C1"/>
    <w:rsid w:val="00825714"/>
    <w:rsid w:val="00825940"/>
    <w:rsid w:val="008260B8"/>
    <w:rsid w:val="008260EE"/>
    <w:rsid w:val="0082625C"/>
    <w:rsid w:val="00826369"/>
    <w:rsid w:val="00826914"/>
    <w:rsid w:val="00826B2B"/>
    <w:rsid w:val="00826BD1"/>
    <w:rsid w:val="00827126"/>
    <w:rsid w:val="0082720D"/>
    <w:rsid w:val="00827285"/>
    <w:rsid w:val="00827871"/>
    <w:rsid w:val="00827E33"/>
    <w:rsid w:val="008303AC"/>
    <w:rsid w:val="00830447"/>
    <w:rsid w:val="0083050A"/>
    <w:rsid w:val="00830597"/>
    <w:rsid w:val="008305FD"/>
    <w:rsid w:val="00830744"/>
    <w:rsid w:val="0083094E"/>
    <w:rsid w:val="00830C9B"/>
    <w:rsid w:val="00830E52"/>
    <w:rsid w:val="0083127C"/>
    <w:rsid w:val="008312F6"/>
    <w:rsid w:val="00831405"/>
    <w:rsid w:val="0083171A"/>
    <w:rsid w:val="00831808"/>
    <w:rsid w:val="008319C0"/>
    <w:rsid w:val="00831A94"/>
    <w:rsid w:val="00831C8E"/>
    <w:rsid w:val="00831D96"/>
    <w:rsid w:val="00831FA2"/>
    <w:rsid w:val="00831FCC"/>
    <w:rsid w:val="0083204D"/>
    <w:rsid w:val="0083233F"/>
    <w:rsid w:val="00832438"/>
    <w:rsid w:val="008324E3"/>
    <w:rsid w:val="00832578"/>
    <w:rsid w:val="00832634"/>
    <w:rsid w:val="00832CBE"/>
    <w:rsid w:val="00832E12"/>
    <w:rsid w:val="008332E7"/>
    <w:rsid w:val="00833354"/>
    <w:rsid w:val="00833632"/>
    <w:rsid w:val="00833710"/>
    <w:rsid w:val="008339E3"/>
    <w:rsid w:val="00833B9F"/>
    <w:rsid w:val="00833E59"/>
    <w:rsid w:val="00833F3F"/>
    <w:rsid w:val="008340E2"/>
    <w:rsid w:val="0083462B"/>
    <w:rsid w:val="0083474C"/>
    <w:rsid w:val="00834AB7"/>
    <w:rsid w:val="00834D2F"/>
    <w:rsid w:val="00834F9B"/>
    <w:rsid w:val="0083510A"/>
    <w:rsid w:val="008351AC"/>
    <w:rsid w:val="008351EB"/>
    <w:rsid w:val="00835338"/>
    <w:rsid w:val="008353DA"/>
    <w:rsid w:val="0083540C"/>
    <w:rsid w:val="008355A4"/>
    <w:rsid w:val="008357C9"/>
    <w:rsid w:val="0083592A"/>
    <w:rsid w:val="00835A69"/>
    <w:rsid w:val="00835D89"/>
    <w:rsid w:val="00836226"/>
    <w:rsid w:val="00836B29"/>
    <w:rsid w:val="00836D13"/>
    <w:rsid w:val="00836E50"/>
    <w:rsid w:val="00836E8D"/>
    <w:rsid w:val="00836ED3"/>
    <w:rsid w:val="008370CF"/>
    <w:rsid w:val="0083770D"/>
    <w:rsid w:val="00837744"/>
    <w:rsid w:val="00837885"/>
    <w:rsid w:val="008378F0"/>
    <w:rsid w:val="00837938"/>
    <w:rsid w:val="00837B71"/>
    <w:rsid w:val="0084004C"/>
    <w:rsid w:val="00840127"/>
    <w:rsid w:val="00840798"/>
    <w:rsid w:val="00840804"/>
    <w:rsid w:val="0084086D"/>
    <w:rsid w:val="00840A37"/>
    <w:rsid w:val="00840CE5"/>
    <w:rsid w:val="00840F6F"/>
    <w:rsid w:val="00841042"/>
    <w:rsid w:val="0084122D"/>
    <w:rsid w:val="0084161C"/>
    <w:rsid w:val="008416A3"/>
    <w:rsid w:val="00841F48"/>
    <w:rsid w:val="00842760"/>
    <w:rsid w:val="00842EBB"/>
    <w:rsid w:val="00842EC9"/>
    <w:rsid w:val="008435B3"/>
    <w:rsid w:val="008435B7"/>
    <w:rsid w:val="00843AAD"/>
    <w:rsid w:val="00843B1C"/>
    <w:rsid w:val="0084400D"/>
    <w:rsid w:val="00844076"/>
    <w:rsid w:val="0084429A"/>
    <w:rsid w:val="00844347"/>
    <w:rsid w:val="0084437F"/>
    <w:rsid w:val="00844410"/>
    <w:rsid w:val="008445B8"/>
    <w:rsid w:val="008446DA"/>
    <w:rsid w:val="00844935"/>
    <w:rsid w:val="00844C2E"/>
    <w:rsid w:val="00844E16"/>
    <w:rsid w:val="00844FC9"/>
    <w:rsid w:val="00844FF5"/>
    <w:rsid w:val="008450F3"/>
    <w:rsid w:val="008451B3"/>
    <w:rsid w:val="008454ED"/>
    <w:rsid w:val="00845547"/>
    <w:rsid w:val="008455D1"/>
    <w:rsid w:val="00845946"/>
    <w:rsid w:val="008461D3"/>
    <w:rsid w:val="00846ABD"/>
    <w:rsid w:val="00846B76"/>
    <w:rsid w:val="00846F9C"/>
    <w:rsid w:val="00847025"/>
    <w:rsid w:val="00847044"/>
    <w:rsid w:val="008475C7"/>
    <w:rsid w:val="008476A0"/>
    <w:rsid w:val="0084796B"/>
    <w:rsid w:val="00850174"/>
    <w:rsid w:val="0085031A"/>
    <w:rsid w:val="0085041B"/>
    <w:rsid w:val="008505C8"/>
    <w:rsid w:val="0085064C"/>
    <w:rsid w:val="0085065F"/>
    <w:rsid w:val="008508A9"/>
    <w:rsid w:val="008509E0"/>
    <w:rsid w:val="00850AAE"/>
    <w:rsid w:val="00850DFB"/>
    <w:rsid w:val="00851C5E"/>
    <w:rsid w:val="008520CE"/>
    <w:rsid w:val="008520D2"/>
    <w:rsid w:val="00852945"/>
    <w:rsid w:val="00852B3F"/>
    <w:rsid w:val="00852D84"/>
    <w:rsid w:val="00852F38"/>
    <w:rsid w:val="00852FA9"/>
    <w:rsid w:val="0085311D"/>
    <w:rsid w:val="00853628"/>
    <w:rsid w:val="008537B6"/>
    <w:rsid w:val="00853B79"/>
    <w:rsid w:val="00853FF3"/>
    <w:rsid w:val="00854157"/>
    <w:rsid w:val="00854486"/>
    <w:rsid w:val="008545CF"/>
    <w:rsid w:val="008546A3"/>
    <w:rsid w:val="00854BD7"/>
    <w:rsid w:val="00854C64"/>
    <w:rsid w:val="00854EF0"/>
    <w:rsid w:val="008550D3"/>
    <w:rsid w:val="008551D9"/>
    <w:rsid w:val="008558DF"/>
    <w:rsid w:val="00856010"/>
    <w:rsid w:val="00856261"/>
    <w:rsid w:val="00856617"/>
    <w:rsid w:val="00856C34"/>
    <w:rsid w:val="00856C9D"/>
    <w:rsid w:val="00856CAA"/>
    <w:rsid w:val="00856DEA"/>
    <w:rsid w:val="00856F0C"/>
    <w:rsid w:val="0085716D"/>
    <w:rsid w:val="0085718B"/>
    <w:rsid w:val="00857486"/>
    <w:rsid w:val="0085769C"/>
    <w:rsid w:val="00857806"/>
    <w:rsid w:val="00857B87"/>
    <w:rsid w:val="00857C3E"/>
    <w:rsid w:val="00857F41"/>
    <w:rsid w:val="0086004E"/>
    <w:rsid w:val="008601B8"/>
    <w:rsid w:val="008606FC"/>
    <w:rsid w:val="00860773"/>
    <w:rsid w:val="008608BF"/>
    <w:rsid w:val="008609FB"/>
    <w:rsid w:val="00860D53"/>
    <w:rsid w:val="0086103B"/>
    <w:rsid w:val="008611F9"/>
    <w:rsid w:val="00861840"/>
    <w:rsid w:val="00861BAC"/>
    <w:rsid w:val="00861C69"/>
    <w:rsid w:val="00861DF0"/>
    <w:rsid w:val="00861F2F"/>
    <w:rsid w:val="00861F5C"/>
    <w:rsid w:val="008621C6"/>
    <w:rsid w:val="00862383"/>
    <w:rsid w:val="00862502"/>
    <w:rsid w:val="00862618"/>
    <w:rsid w:val="008626EB"/>
    <w:rsid w:val="0086270B"/>
    <w:rsid w:val="00862784"/>
    <w:rsid w:val="008628C9"/>
    <w:rsid w:val="00862B69"/>
    <w:rsid w:val="00862FFF"/>
    <w:rsid w:val="00863119"/>
    <w:rsid w:val="008631B5"/>
    <w:rsid w:val="0086342D"/>
    <w:rsid w:val="00863A05"/>
    <w:rsid w:val="00863A88"/>
    <w:rsid w:val="00863C1B"/>
    <w:rsid w:val="00863C37"/>
    <w:rsid w:val="00863C45"/>
    <w:rsid w:val="00863D72"/>
    <w:rsid w:val="00863E95"/>
    <w:rsid w:val="00863EBE"/>
    <w:rsid w:val="008642D8"/>
    <w:rsid w:val="0086474C"/>
    <w:rsid w:val="00864819"/>
    <w:rsid w:val="00864948"/>
    <w:rsid w:val="0086497D"/>
    <w:rsid w:val="00864B07"/>
    <w:rsid w:val="00864B7A"/>
    <w:rsid w:val="00864D25"/>
    <w:rsid w:val="00864DA3"/>
    <w:rsid w:val="00864E6B"/>
    <w:rsid w:val="0086522D"/>
    <w:rsid w:val="00865546"/>
    <w:rsid w:val="008658F8"/>
    <w:rsid w:val="00865DBB"/>
    <w:rsid w:val="00865DC1"/>
    <w:rsid w:val="00866399"/>
    <w:rsid w:val="0086640C"/>
    <w:rsid w:val="00866A1E"/>
    <w:rsid w:val="00867069"/>
    <w:rsid w:val="00867197"/>
    <w:rsid w:val="00867264"/>
    <w:rsid w:val="00867350"/>
    <w:rsid w:val="00867E67"/>
    <w:rsid w:val="00867FA9"/>
    <w:rsid w:val="00870059"/>
    <w:rsid w:val="00870112"/>
    <w:rsid w:val="008704D9"/>
    <w:rsid w:val="00870C8E"/>
    <w:rsid w:val="00870C9A"/>
    <w:rsid w:val="00871472"/>
    <w:rsid w:val="008714BA"/>
    <w:rsid w:val="008715F7"/>
    <w:rsid w:val="00871616"/>
    <w:rsid w:val="008718A2"/>
    <w:rsid w:val="00871C2B"/>
    <w:rsid w:val="00871DEE"/>
    <w:rsid w:val="008723D0"/>
    <w:rsid w:val="0087247A"/>
    <w:rsid w:val="008725D2"/>
    <w:rsid w:val="00872609"/>
    <w:rsid w:val="008726E6"/>
    <w:rsid w:val="00872882"/>
    <w:rsid w:val="00873078"/>
    <w:rsid w:val="0087308C"/>
    <w:rsid w:val="0087327A"/>
    <w:rsid w:val="00873488"/>
    <w:rsid w:val="0087365A"/>
    <w:rsid w:val="00873BF6"/>
    <w:rsid w:val="00873E31"/>
    <w:rsid w:val="00873E6D"/>
    <w:rsid w:val="00873ED9"/>
    <w:rsid w:val="008743C7"/>
    <w:rsid w:val="00874602"/>
    <w:rsid w:val="008747CA"/>
    <w:rsid w:val="008750F9"/>
    <w:rsid w:val="00875157"/>
    <w:rsid w:val="00875271"/>
    <w:rsid w:val="00875341"/>
    <w:rsid w:val="0087536F"/>
    <w:rsid w:val="0087542A"/>
    <w:rsid w:val="008754AF"/>
    <w:rsid w:val="0087595E"/>
    <w:rsid w:val="00875A4E"/>
    <w:rsid w:val="00875B67"/>
    <w:rsid w:val="008760F6"/>
    <w:rsid w:val="0087622F"/>
    <w:rsid w:val="00876270"/>
    <w:rsid w:val="00876A5F"/>
    <w:rsid w:val="00876FF4"/>
    <w:rsid w:val="00877384"/>
    <w:rsid w:val="008773CC"/>
    <w:rsid w:val="008777AA"/>
    <w:rsid w:val="00877825"/>
    <w:rsid w:val="008779EA"/>
    <w:rsid w:val="00877B49"/>
    <w:rsid w:val="00877E0E"/>
    <w:rsid w:val="00877F39"/>
    <w:rsid w:val="0087D14A"/>
    <w:rsid w:val="008800C1"/>
    <w:rsid w:val="00880723"/>
    <w:rsid w:val="0088075A"/>
    <w:rsid w:val="00880A40"/>
    <w:rsid w:val="00880A56"/>
    <w:rsid w:val="00880E51"/>
    <w:rsid w:val="00880FBF"/>
    <w:rsid w:val="008810DB"/>
    <w:rsid w:val="00881A28"/>
    <w:rsid w:val="00881C81"/>
    <w:rsid w:val="00881CE5"/>
    <w:rsid w:val="00881F87"/>
    <w:rsid w:val="0088201D"/>
    <w:rsid w:val="008820ED"/>
    <w:rsid w:val="008822A7"/>
    <w:rsid w:val="00882313"/>
    <w:rsid w:val="00882A22"/>
    <w:rsid w:val="00882B97"/>
    <w:rsid w:val="00882C06"/>
    <w:rsid w:val="00882CC7"/>
    <w:rsid w:val="00882EB0"/>
    <w:rsid w:val="00883339"/>
    <w:rsid w:val="00883411"/>
    <w:rsid w:val="008835CF"/>
    <w:rsid w:val="008836BE"/>
    <w:rsid w:val="008837E3"/>
    <w:rsid w:val="008838A8"/>
    <w:rsid w:val="00883AAA"/>
    <w:rsid w:val="00883CC3"/>
    <w:rsid w:val="00883F79"/>
    <w:rsid w:val="008841A4"/>
    <w:rsid w:val="008842CF"/>
    <w:rsid w:val="008848A8"/>
    <w:rsid w:val="00884DDD"/>
    <w:rsid w:val="00885394"/>
    <w:rsid w:val="008854F7"/>
    <w:rsid w:val="00885532"/>
    <w:rsid w:val="00885A02"/>
    <w:rsid w:val="00885A79"/>
    <w:rsid w:val="00885B62"/>
    <w:rsid w:val="00885BEB"/>
    <w:rsid w:val="00885F3B"/>
    <w:rsid w:val="00885F91"/>
    <w:rsid w:val="00886014"/>
    <w:rsid w:val="00886379"/>
    <w:rsid w:val="008866E6"/>
    <w:rsid w:val="008869F4"/>
    <w:rsid w:val="00887072"/>
    <w:rsid w:val="00887273"/>
    <w:rsid w:val="00887D35"/>
    <w:rsid w:val="008882FD"/>
    <w:rsid w:val="0089074A"/>
    <w:rsid w:val="00890978"/>
    <w:rsid w:val="00890A36"/>
    <w:rsid w:val="00890D86"/>
    <w:rsid w:val="00890DCB"/>
    <w:rsid w:val="00890EAC"/>
    <w:rsid w:val="008911CB"/>
    <w:rsid w:val="008917A0"/>
    <w:rsid w:val="00891879"/>
    <w:rsid w:val="00891C17"/>
    <w:rsid w:val="00891ED6"/>
    <w:rsid w:val="00891F57"/>
    <w:rsid w:val="00891F63"/>
    <w:rsid w:val="00892097"/>
    <w:rsid w:val="00892193"/>
    <w:rsid w:val="008922C5"/>
    <w:rsid w:val="00892ED3"/>
    <w:rsid w:val="0089304B"/>
    <w:rsid w:val="008931DD"/>
    <w:rsid w:val="008938D6"/>
    <w:rsid w:val="00893C8C"/>
    <w:rsid w:val="00893EEF"/>
    <w:rsid w:val="00893F46"/>
    <w:rsid w:val="00894622"/>
    <w:rsid w:val="008948A7"/>
    <w:rsid w:val="00894B44"/>
    <w:rsid w:val="00894C2F"/>
    <w:rsid w:val="00894F49"/>
    <w:rsid w:val="008950FA"/>
    <w:rsid w:val="00895132"/>
    <w:rsid w:val="0089556A"/>
    <w:rsid w:val="00895A57"/>
    <w:rsid w:val="00895A9B"/>
    <w:rsid w:val="00895BBD"/>
    <w:rsid w:val="00895CD6"/>
    <w:rsid w:val="00895F45"/>
    <w:rsid w:val="008961ED"/>
    <w:rsid w:val="00896360"/>
    <w:rsid w:val="0089665C"/>
    <w:rsid w:val="00896AA7"/>
    <w:rsid w:val="00896C51"/>
    <w:rsid w:val="00897062"/>
    <w:rsid w:val="008975A2"/>
    <w:rsid w:val="00897648"/>
    <w:rsid w:val="00897B1B"/>
    <w:rsid w:val="00897B51"/>
    <w:rsid w:val="00897E50"/>
    <w:rsid w:val="008A00AC"/>
    <w:rsid w:val="008A0638"/>
    <w:rsid w:val="008A0BCC"/>
    <w:rsid w:val="008A0D33"/>
    <w:rsid w:val="008A0D64"/>
    <w:rsid w:val="008A0F41"/>
    <w:rsid w:val="008A10D9"/>
    <w:rsid w:val="008A112E"/>
    <w:rsid w:val="008A11AA"/>
    <w:rsid w:val="008A12A4"/>
    <w:rsid w:val="008A12B3"/>
    <w:rsid w:val="008A14CB"/>
    <w:rsid w:val="008A14D4"/>
    <w:rsid w:val="008A15BF"/>
    <w:rsid w:val="008A15D5"/>
    <w:rsid w:val="008A16C7"/>
    <w:rsid w:val="008A17C8"/>
    <w:rsid w:val="008A184F"/>
    <w:rsid w:val="008A1BF7"/>
    <w:rsid w:val="008A1E4C"/>
    <w:rsid w:val="008A1E76"/>
    <w:rsid w:val="008A1FC5"/>
    <w:rsid w:val="008A2063"/>
    <w:rsid w:val="008A21C6"/>
    <w:rsid w:val="008A22DB"/>
    <w:rsid w:val="008A2BA3"/>
    <w:rsid w:val="008A2C72"/>
    <w:rsid w:val="008A2F92"/>
    <w:rsid w:val="008A3293"/>
    <w:rsid w:val="008A3424"/>
    <w:rsid w:val="008A3425"/>
    <w:rsid w:val="008A34BA"/>
    <w:rsid w:val="008A3569"/>
    <w:rsid w:val="008A3612"/>
    <w:rsid w:val="008A373C"/>
    <w:rsid w:val="008A3ADD"/>
    <w:rsid w:val="008A3B04"/>
    <w:rsid w:val="008A3C67"/>
    <w:rsid w:val="008A3E5A"/>
    <w:rsid w:val="008A40BC"/>
    <w:rsid w:val="008A40DD"/>
    <w:rsid w:val="008A41CD"/>
    <w:rsid w:val="008A4356"/>
    <w:rsid w:val="008A4445"/>
    <w:rsid w:val="008A46BA"/>
    <w:rsid w:val="008A4802"/>
    <w:rsid w:val="008A4880"/>
    <w:rsid w:val="008A52B1"/>
    <w:rsid w:val="008A52B6"/>
    <w:rsid w:val="008A5637"/>
    <w:rsid w:val="008A5754"/>
    <w:rsid w:val="008A582C"/>
    <w:rsid w:val="008A5AE5"/>
    <w:rsid w:val="008A5CF2"/>
    <w:rsid w:val="008A5E0E"/>
    <w:rsid w:val="008A60D1"/>
    <w:rsid w:val="008A6111"/>
    <w:rsid w:val="008A6354"/>
    <w:rsid w:val="008A6A6C"/>
    <w:rsid w:val="008A6D48"/>
    <w:rsid w:val="008A7CB4"/>
    <w:rsid w:val="008A7D2C"/>
    <w:rsid w:val="008A7E4F"/>
    <w:rsid w:val="008A7EE6"/>
    <w:rsid w:val="008B00BF"/>
    <w:rsid w:val="008B0427"/>
    <w:rsid w:val="008B04E1"/>
    <w:rsid w:val="008B06B3"/>
    <w:rsid w:val="008B0782"/>
    <w:rsid w:val="008B0909"/>
    <w:rsid w:val="008B0A0F"/>
    <w:rsid w:val="008B0C53"/>
    <w:rsid w:val="008B0D7E"/>
    <w:rsid w:val="008B1911"/>
    <w:rsid w:val="008B1C2A"/>
    <w:rsid w:val="008B1D17"/>
    <w:rsid w:val="008B1E1F"/>
    <w:rsid w:val="008B1FB7"/>
    <w:rsid w:val="008B1FFD"/>
    <w:rsid w:val="008B2287"/>
    <w:rsid w:val="008B22CF"/>
    <w:rsid w:val="008B275B"/>
    <w:rsid w:val="008B2A1F"/>
    <w:rsid w:val="008B2C31"/>
    <w:rsid w:val="008B2D0D"/>
    <w:rsid w:val="008B2E71"/>
    <w:rsid w:val="008B2E97"/>
    <w:rsid w:val="008B3746"/>
    <w:rsid w:val="008B3C7C"/>
    <w:rsid w:val="008B3C85"/>
    <w:rsid w:val="008B3E10"/>
    <w:rsid w:val="008B40FE"/>
    <w:rsid w:val="008B4179"/>
    <w:rsid w:val="008B48D2"/>
    <w:rsid w:val="008B4946"/>
    <w:rsid w:val="008B4BCC"/>
    <w:rsid w:val="008B4CFC"/>
    <w:rsid w:val="008B4E52"/>
    <w:rsid w:val="008B4EA4"/>
    <w:rsid w:val="008B5656"/>
    <w:rsid w:val="008B5706"/>
    <w:rsid w:val="008B5B32"/>
    <w:rsid w:val="008B5D1F"/>
    <w:rsid w:val="008B5EC0"/>
    <w:rsid w:val="008B60B7"/>
    <w:rsid w:val="008B60BD"/>
    <w:rsid w:val="008B6222"/>
    <w:rsid w:val="008B6266"/>
    <w:rsid w:val="008B6314"/>
    <w:rsid w:val="008B659C"/>
    <w:rsid w:val="008B693E"/>
    <w:rsid w:val="008B6AA7"/>
    <w:rsid w:val="008B6BEC"/>
    <w:rsid w:val="008B6EA9"/>
    <w:rsid w:val="008B72BC"/>
    <w:rsid w:val="008B7AE4"/>
    <w:rsid w:val="008B7B3C"/>
    <w:rsid w:val="008C022A"/>
    <w:rsid w:val="008C0486"/>
    <w:rsid w:val="008C0935"/>
    <w:rsid w:val="008C0955"/>
    <w:rsid w:val="008C0A17"/>
    <w:rsid w:val="008C1003"/>
    <w:rsid w:val="008C13C8"/>
    <w:rsid w:val="008C145A"/>
    <w:rsid w:val="008C201E"/>
    <w:rsid w:val="008C2105"/>
    <w:rsid w:val="008C214C"/>
    <w:rsid w:val="008C2626"/>
    <w:rsid w:val="008C28CD"/>
    <w:rsid w:val="008C2970"/>
    <w:rsid w:val="008C2989"/>
    <w:rsid w:val="008C2CB1"/>
    <w:rsid w:val="008C3173"/>
    <w:rsid w:val="008C3447"/>
    <w:rsid w:val="008C34E0"/>
    <w:rsid w:val="008C3552"/>
    <w:rsid w:val="008C36CA"/>
    <w:rsid w:val="008C3943"/>
    <w:rsid w:val="008C3D0F"/>
    <w:rsid w:val="008C3E65"/>
    <w:rsid w:val="008C3F44"/>
    <w:rsid w:val="008C42B2"/>
    <w:rsid w:val="008C4431"/>
    <w:rsid w:val="008C460D"/>
    <w:rsid w:val="008C470E"/>
    <w:rsid w:val="008C4838"/>
    <w:rsid w:val="008C4BED"/>
    <w:rsid w:val="008C4CED"/>
    <w:rsid w:val="008C4DC6"/>
    <w:rsid w:val="008C5315"/>
    <w:rsid w:val="008C5453"/>
    <w:rsid w:val="008C582D"/>
    <w:rsid w:val="008C5FBF"/>
    <w:rsid w:val="008C6334"/>
    <w:rsid w:val="008C6339"/>
    <w:rsid w:val="008C6398"/>
    <w:rsid w:val="008C63B1"/>
    <w:rsid w:val="008C67E8"/>
    <w:rsid w:val="008C6884"/>
    <w:rsid w:val="008C69C5"/>
    <w:rsid w:val="008C6DB4"/>
    <w:rsid w:val="008C6DD1"/>
    <w:rsid w:val="008C7403"/>
    <w:rsid w:val="008C7E30"/>
    <w:rsid w:val="008C7FB3"/>
    <w:rsid w:val="008D00A2"/>
    <w:rsid w:val="008D09DD"/>
    <w:rsid w:val="008D1239"/>
    <w:rsid w:val="008D14D5"/>
    <w:rsid w:val="008D15A3"/>
    <w:rsid w:val="008D16B1"/>
    <w:rsid w:val="008D16C0"/>
    <w:rsid w:val="008D1784"/>
    <w:rsid w:val="008D1830"/>
    <w:rsid w:val="008D199F"/>
    <w:rsid w:val="008D1B6C"/>
    <w:rsid w:val="008D1C7E"/>
    <w:rsid w:val="008D1E17"/>
    <w:rsid w:val="008D1EE4"/>
    <w:rsid w:val="008D1F3B"/>
    <w:rsid w:val="008D1FF0"/>
    <w:rsid w:val="008D22AF"/>
    <w:rsid w:val="008D2320"/>
    <w:rsid w:val="008D269A"/>
    <w:rsid w:val="008D2812"/>
    <w:rsid w:val="008D2A4F"/>
    <w:rsid w:val="008D2A60"/>
    <w:rsid w:val="008D2CCE"/>
    <w:rsid w:val="008D2D1A"/>
    <w:rsid w:val="008D2E0E"/>
    <w:rsid w:val="008D3069"/>
    <w:rsid w:val="008D3168"/>
    <w:rsid w:val="008D32E3"/>
    <w:rsid w:val="008D36AF"/>
    <w:rsid w:val="008D36BA"/>
    <w:rsid w:val="008D3DCB"/>
    <w:rsid w:val="008D4234"/>
    <w:rsid w:val="008D4239"/>
    <w:rsid w:val="008D432F"/>
    <w:rsid w:val="008D434D"/>
    <w:rsid w:val="008D445D"/>
    <w:rsid w:val="008D4460"/>
    <w:rsid w:val="008D475B"/>
    <w:rsid w:val="008D4868"/>
    <w:rsid w:val="008D4BFB"/>
    <w:rsid w:val="008D4E08"/>
    <w:rsid w:val="008D4ED7"/>
    <w:rsid w:val="008D6CB9"/>
    <w:rsid w:val="008D745D"/>
    <w:rsid w:val="008D7627"/>
    <w:rsid w:val="008D78FF"/>
    <w:rsid w:val="008D7914"/>
    <w:rsid w:val="008D7A52"/>
    <w:rsid w:val="008D7BF5"/>
    <w:rsid w:val="008DE1CE"/>
    <w:rsid w:val="008E0199"/>
    <w:rsid w:val="008E0429"/>
    <w:rsid w:val="008E0A4A"/>
    <w:rsid w:val="008E0F36"/>
    <w:rsid w:val="008E116D"/>
    <w:rsid w:val="008E1279"/>
    <w:rsid w:val="008E13E5"/>
    <w:rsid w:val="008E161D"/>
    <w:rsid w:val="008E1AF6"/>
    <w:rsid w:val="008E1CA9"/>
    <w:rsid w:val="008E1EEF"/>
    <w:rsid w:val="008E2543"/>
    <w:rsid w:val="008E2A40"/>
    <w:rsid w:val="008E30B1"/>
    <w:rsid w:val="008E3104"/>
    <w:rsid w:val="008E375C"/>
    <w:rsid w:val="008E3A5B"/>
    <w:rsid w:val="008E3B51"/>
    <w:rsid w:val="008E4205"/>
    <w:rsid w:val="008E420A"/>
    <w:rsid w:val="008E4BA0"/>
    <w:rsid w:val="008E4DAF"/>
    <w:rsid w:val="008E4E92"/>
    <w:rsid w:val="008E4F26"/>
    <w:rsid w:val="008E539A"/>
    <w:rsid w:val="008E55B5"/>
    <w:rsid w:val="008E6349"/>
    <w:rsid w:val="008E673D"/>
    <w:rsid w:val="008E6A93"/>
    <w:rsid w:val="008E6B71"/>
    <w:rsid w:val="008E6D56"/>
    <w:rsid w:val="008E6FFA"/>
    <w:rsid w:val="008E702F"/>
    <w:rsid w:val="008E7763"/>
    <w:rsid w:val="008E782C"/>
    <w:rsid w:val="008E7A8C"/>
    <w:rsid w:val="008E7AA1"/>
    <w:rsid w:val="008E7BE6"/>
    <w:rsid w:val="008F07FC"/>
    <w:rsid w:val="008F0A92"/>
    <w:rsid w:val="008F0B12"/>
    <w:rsid w:val="008F0B30"/>
    <w:rsid w:val="008F0C2D"/>
    <w:rsid w:val="008F0DAD"/>
    <w:rsid w:val="008F135D"/>
    <w:rsid w:val="008F1444"/>
    <w:rsid w:val="008F1B13"/>
    <w:rsid w:val="008F1C3F"/>
    <w:rsid w:val="008F1D6C"/>
    <w:rsid w:val="008F1FF6"/>
    <w:rsid w:val="008F2088"/>
    <w:rsid w:val="008F21D4"/>
    <w:rsid w:val="008F2460"/>
    <w:rsid w:val="008F2F57"/>
    <w:rsid w:val="008F3008"/>
    <w:rsid w:val="008F34A6"/>
    <w:rsid w:val="008F34CD"/>
    <w:rsid w:val="008F3519"/>
    <w:rsid w:val="008F3969"/>
    <w:rsid w:val="008F3A11"/>
    <w:rsid w:val="008F4083"/>
    <w:rsid w:val="008F41F7"/>
    <w:rsid w:val="008F4354"/>
    <w:rsid w:val="008F4591"/>
    <w:rsid w:val="008F47B7"/>
    <w:rsid w:val="008F48D9"/>
    <w:rsid w:val="008F4A6E"/>
    <w:rsid w:val="008F4A7E"/>
    <w:rsid w:val="008F4D06"/>
    <w:rsid w:val="008F5299"/>
    <w:rsid w:val="008F57B7"/>
    <w:rsid w:val="008F59FB"/>
    <w:rsid w:val="008F5E67"/>
    <w:rsid w:val="008F5E79"/>
    <w:rsid w:val="008F6121"/>
    <w:rsid w:val="008F6BD1"/>
    <w:rsid w:val="008F703E"/>
    <w:rsid w:val="008F783A"/>
    <w:rsid w:val="008F7CB0"/>
    <w:rsid w:val="008F7D40"/>
    <w:rsid w:val="008F7F28"/>
    <w:rsid w:val="008F7F7A"/>
    <w:rsid w:val="00900174"/>
    <w:rsid w:val="009003BE"/>
    <w:rsid w:val="00900CCA"/>
    <w:rsid w:val="00900EAE"/>
    <w:rsid w:val="00900EE4"/>
    <w:rsid w:val="00901450"/>
    <w:rsid w:val="00901681"/>
    <w:rsid w:val="009018BD"/>
    <w:rsid w:val="00901C26"/>
    <w:rsid w:val="00901C53"/>
    <w:rsid w:val="00901C5D"/>
    <w:rsid w:val="00901DC3"/>
    <w:rsid w:val="00901EB3"/>
    <w:rsid w:val="0090214C"/>
    <w:rsid w:val="009023B3"/>
    <w:rsid w:val="009023C8"/>
    <w:rsid w:val="009023E0"/>
    <w:rsid w:val="009023FD"/>
    <w:rsid w:val="00902428"/>
    <w:rsid w:val="009026DD"/>
    <w:rsid w:val="009032A4"/>
    <w:rsid w:val="00903479"/>
    <w:rsid w:val="00903A53"/>
    <w:rsid w:val="00903F33"/>
    <w:rsid w:val="0090401A"/>
    <w:rsid w:val="009042A4"/>
    <w:rsid w:val="0090455D"/>
    <w:rsid w:val="0090466A"/>
    <w:rsid w:val="0090489A"/>
    <w:rsid w:val="0090494D"/>
    <w:rsid w:val="00904A7F"/>
    <w:rsid w:val="00904B23"/>
    <w:rsid w:val="00904E52"/>
    <w:rsid w:val="00904E8B"/>
    <w:rsid w:val="00904EFE"/>
    <w:rsid w:val="009052B1"/>
    <w:rsid w:val="00905573"/>
    <w:rsid w:val="009056A1"/>
    <w:rsid w:val="00905732"/>
    <w:rsid w:val="00905D12"/>
    <w:rsid w:val="00906008"/>
    <w:rsid w:val="009060CD"/>
    <w:rsid w:val="0090652A"/>
    <w:rsid w:val="00906754"/>
    <w:rsid w:val="0090685E"/>
    <w:rsid w:val="00906C2F"/>
    <w:rsid w:val="00906F81"/>
    <w:rsid w:val="00907027"/>
    <w:rsid w:val="009070D0"/>
    <w:rsid w:val="009072DB"/>
    <w:rsid w:val="0090734D"/>
    <w:rsid w:val="009074CE"/>
    <w:rsid w:val="009076C6"/>
    <w:rsid w:val="0090773A"/>
    <w:rsid w:val="0090786C"/>
    <w:rsid w:val="00907899"/>
    <w:rsid w:val="0091025F"/>
    <w:rsid w:val="00910291"/>
    <w:rsid w:val="00910795"/>
    <w:rsid w:val="00910803"/>
    <w:rsid w:val="009109A6"/>
    <w:rsid w:val="00910C44"/>
    <w:rsid w:val="009111A6"/>
    <w:rsid w:val="00911573"/>
    <w:rsid w:val="00911842"/>
    <w:rsid w:val="00911975"/>
    <w:rsid w:val="009119B8"/>
    <w:rsid w:val="009119C5"/>
    <w:rsid w:val="009120EE"/>
    <w:rsid w:val="0091238F"/>
    <w:rsid w:val="009124ED"/>
    <w:rsid w:val="0091286C"/>
    <w:rsid w:val="00912AB4"/>
    <w:rsid w:val="00912AE1"/>
    <w:rsid w:val="00912DAC"/>
    <w:rsid w:val="00913093"/>
    <w:rsid w:val="009134D7"/>
    <w:rsid w:val="00913818"/>
    <w:rsid w:val="00913C00"/>
    <w:rsid w:val="00913C46"/>
    <w:rsid w:val="00914565"/>
    <w:rsid w:val="009146CA"/>
    <w:rsid w:val="00914CA7"/>
    <w:rsid w:val="00914DA7"/>
    <w:rsid w:val="0091542D"/>
    <w:rsid w:val="00915548"/>
    <w:rsid w:val="00915797"/>
    <w:rsid w:val="00915BE2"/>
    <w:rsid w:val="00915F63"/>
    <w:rsid w:val="009160FC"/>
    <w:rsid w:val="0091630E"/>
    <w:rsid w:val="009163D1"/>
    <w:rsid w:val="009166EA"/>
    <w:rsid w:val="0091681F"/>
    <w:rsid w:val="00916AFA"/>
    <w:rsid w:val="00916C77"/>
    <w:rsid w:val="009177E9"/>
    <w:rsid w:val="00917B79"/>
    <w:rsid w:val="00917C6D"/>
    <w:rsid w:val="00917CE7"/>
    <w:rsid w:val="00920088"/>
    <w:rsid w:val="0092011F"/>
    <w:rsid w:val="009201AB"/>
    <w:rsid w:val="009205AD"/>
    <w:rsid w:val="00920653"/>
    <w:rsid w:val="00920722"/>
    <w:rsid w:val="009207AD"/>
    <w:rsid w:val="00920AD2"/>
    <w:rsid w:val="00920B61"/>
    <w:rsid w:val="00920EBB"/>
    <w:rsid w:val="009211DE"/>
    <w:rsid w:val="009213A9"/>
    <w:rsid w:val="0092143C"/>
    <w:rsid w:val="009214AC"/>
    <w:rsid w:val="0092158F"/>
    <w:rsid w:val="0092164C"/>
    <w:rsid w:val="0092166B"/>
    <w:rsid w:val="00921EB5"/>
    <w:rsid w:val="009221AD"/>
    <w:rsid w:val="00922320"/>
    <w:rsid w:val="00922691"/>
    <w:rsid w:val="009227CE"/>
    <w:rsid w:val="0092290D"/>
    <w:rsid w:val="00922A67"/>
    <w:rsid w:val="00922A8D"/>
    <w:rsid w:val="00922AAC"/>
    <w:rsid w:val="00922AD8"/>
    <w:rsid w:val="00923366"/>
    <w:rsid w:val="00923915"/>
    <w:rsid w:val="00923A28"/>
    <w:rsid w:val="009240B7"/>
    <w:rsid w:val="00924353"/>
    <w:rsid w:val="009243AA"/>
    <w:rsid w:val="00924474"/>
    <w:rsid w:val="009249A8"/>
    <w:rsid w:val="00924BC5"/>
    <w:rsid w:val="00924BDA"/>
    <w:rsid w:val="00924E52"/>
    <w:rsid w:val="00925969"/>
    <w:rsid w:val="00925C8D"/>
    <w:rsid w:val="00925D65"/>
    <w:rsid w:val="0092600B"/>
    <w:rsid w:val="00926295"/>
    <w:rsid w:val="0092649F"/>
    <w:rsid w:val="009265C7"/>
    <w:rsid w:val="00926BE6"/>
    <w:rsid w:val="00926FB8"/>
    <w:rsid w:val="00927178"/>
    <w:rsid w:val="0092730D"/>
    <w:rsid w:val="00927C67"/>
    <w:rsid w:val="00927F65"/>
    <w:rsid w:val="0093067E"/>
    <w:rsid w:val="00930D09"/>
    <w:rsid w:val="00930E14"/>
    <w:rsid w:val="00930E46"/>
    <w:rsid w:val="00930E71"/>
    <w:rsid w:val="009313F5"/>
    <w:rsid w:val="0093156C"/>
    <w:rsid w:val="009319E4"/>
    <w:rsid w:val="00931B42"/>
    <w:rsid w:val="00931E2E"/>
    <w:rsid w:val="009320B3"/>
    <w:rsid w:val="009321DC"/>
    <w:rsid w:val="00932231"/>
    <w:rsid w:val="00932235"/>
    <w:rsid w:val="009328C9"/>
    <w:rsid w:val="00932B1B"/>
    <w:rsid w:val="00932C59"/>
    <w:rsid w:val="00932D96"/>
    <w:rsid w:val="009331CF"/>
    <w:rsid w:val="009334AC"/>
    <w:rsid w:val="00933DCB"/>
    <w:rsid w:val="00933EE9"/>
    <w:rsid w:val="00933F88"/>
    <w:rsid w:val="00934060"/>
    <w:rsid w:val="00934564"/>
    <w:rsid w:val="00934586"/>
    <w:rsid w:val="0093460A"/>
    <w:rsid w:val="00934A9B"/>
    <w:rsid w:val="00934CD0"/>
    <w:rsid w:val="009350A5"/>
    <w:rsid w:val="009350B6"/>
    <w:rsid w:val="009356DD"/>
    <w:rsid w:val="00935E03"/>
    <w:rsid w:val="009360D6"/>
    <w:rsid w:val="00936285"/>
    <w:rsid w:val="009363C6"/>
    <w:rsid w:val="009364DA"/>
    <w:rsid w:val="009369FC"/>
    <w:rsid w:val="00936A07"/>
    <w:rsid w:val="00936A56"/>
    <w:rsid w:val="00936AEE"/>
    <w:rsid w:val="00936BE2"/>
    <w:rsid w:val="00936C99"/>
    <w:rsid w:val="0093705F"/>
    <w:rsid w:val="00937303"/>
    <w:rsid w:val="00937398"/>
    <w:rsid w:val="009373A2"/>
    <w:rsid w:val="00937534"/>
    <w:rsid w:val="00937D0A"/>
    <w:rsid w:val="00937E53"/>
    <w:rsid w:val="009400A3"/>
    <w:rsid w:val="0094031D"/>
    <w:rsid w:val="00940918"/>
    <w:rsid w:val="00940F63"/>
    <w:rsid w:val="009411CB"/>
    <w:rsid w:val="00941270"/>
    <w:rsid w:val="0094146D"/>
    <w:rsid w:val="0094168E"/>
    <w:rsid w:val="009419E0"/>
    <w:rsid w:val="00941A22"/>
    <w:rsid w:val="00941B18"/>
    <w:rsid w:val="00941B86"/>
    <w:rsid w:val="00941ED9"/>
    <w:rsid w:val="00942010"/>
    <w:rsid w:val="0094259E"/>
    <w:rsid w:val="00942700"/>
    <w:rsid w:val="00942922"/>
    <w:rsid w:val="009429B8"/>
    <w:rsid w:val="0094320A"/>
    <w:rsid w:val="0094359D"/>
    <w:rsid w:val="009435B1"/>
    <w:rsid w:val="0094361C"/>
    <w:rsid w:val="009438AA"/>
    <w:rsid w:val="00943961"/>
    <w:rsid w:val="00943982"/>
    <w:rsid w:val="00943B28"/>
    <w:rsid w:val="00943BA3"/>
    <w:rsid w:val="00943CA7"/>
    <w:rsid w:val="0094405A"/>
    <w:rsid w:val="00944656"/>
    <w:rsid w:val="00944739"/>
    <w:rsid w:val="009449A9"/>
    <w:rsid w:val="00944B63"/>
    <w:rsid w:val="00944F49"/>
    <w:rsid w:val="0094528C"/>
    <w:rsid w:val="0094582A"/>
    <w:rsid w:val="00945A89"/>
    <w:rsid w:val="00945D0B"/>
    <w:rsid w:val="009460B6"/>
    <w:rsid w:val="009461E3"/>
    <w:rsid w:val="00946470"/>
    <w:rsid w:val="009466E1"/>
    <w:rsid w:val="00946A04"/>
    <w:rsid w:val="00946C5E"/>
    <w:rsid w:val="00946DE4"/>
    <w:rsid w:val="00946F57"/>
    <w:rsid w:val="0094727C"/>
    <w:rsid w:val="00947284"/>
    <w:rsid w:val="00947806"/>
    <w:rsid w:val="00947981"/>
    <w:rsid w:val="00947ACC"/>
    <w:rsid w:val="00947D83"/>
    <w:rsid w:val="00947FA1"/>
    <w:rsid w:val="00950145"/>
    <w:rsid w:val="00950644"/>
    <w:rsid w:val="009507DF"/>
    <w:rsid w:val="00950AE3"/>
    <w:rsid w:val="00950C0F"/>
    <w:rsid w:val="00950C2A"/>
    <w:rsid w:val="00951033"/>
    <w:rsid w:val="0095167B"/>
    <w:rsid w:val="0095169B"/>
    <w:rsid w:val="0095170D"/>
    <w:rsid w:val="00951969"/>
    <w:rsid w:val="0095197D"/>
    <w:rsid w:val="00951A72"/>
    <w:rsid w:val="00952529"/>
    <w:rsid w:val="009525A2"/>
    <w:rsid w:val="00952632"/>
    <w:rsid w:val="009526BE"/>
    <w:rsid w:val="009527CE"/>
    <w:rsid w:val="0095307F"/>
    <w:rsid w:val="009534AF"/>
    <w:rsid w:val="0095398A"/>
    <w:rsid w:val="009539DE"/>
    <w:rsid w:val="009539E9"/>
    <w:rsid w:val="00953B8D"/>
    <w:rsid w:val="00953EDF"/>
    <w:rsid w:val="00954134"/>
    <w:rsid w:val="009541D5"/>
    <w:rsid w:val="009542A8"/>
    <w:rsid w:val="00954744"/>
    <w:rsid w:val="009548FF"/>
    <w:rsid w:val="00954904"/>
    <w:rsid w:val="00954A21"/>
    <w:rsid w:val="00954FF0"/>
    <w:rsid w:val="00955186"/>
    <w:rsid w:val="0095544A"/>
    <w:rsid w:val="00955526"/>
    <w:rsid w:val="009559E3"/>
    <w:rsid w:val="0095642E"/>
    <w:rsid w:val="0095645D"/>
    <w:rsid w:val="009565EA"/>
    <w:rsid w:val="00956729"/>
    <w:rsid w:val="0095672D"/>
    <w:rsid w:val="0095676E"/>
    <w:rsid w:val="00956876"/>
    <w:rsid w:val="009568B0"/>
    <w:rsid w:val="00956F68"/>
    <w:rsid w:val="0095707A"/>
    <w:rsid w:val="009570B7"/>
    <w:rsid w:val="0095765F"/>
    <w:rsid w:val="00957885"/>
    <w:rsid w:val="0095799E"/>
    <w:rsid w:val="009579AD"/>
    <w:rsid w:val="009579D3"/>
    <w:rsid w:val="00957F4B"/>
    <w:rsid w:val="00957F7A"/>
    <w:rsid w:val="00957FD5"/>
    <w:rsid w:val="00960290"/>
    <w:rsid w:val="00960441"/>
    <w:rsid w:val="009604BF"/>
    <w:rsid w:val="00960503"/>
    <w:rsid w:val="00960B43"/>
    <w:rsid w:val="0096121B"/>
    <w:rsid w:val="00961593"/>
    <w:rsid w:val="0096184C"/>
    <w:rsid w:val="009618AB"/>
    <w:rsid w:val="00961A59"/>
    <w:rsid w:val="00961B70"/>
    <w:rsid w:val="00961DDB"/>
    <w:rsid w:val="00961FAC"/>
    <w:rsid w:val="00962302"/>
    <w:rsid w:val="009624F6"/>
    <w:rsid w:val="00962538"/>
    <w:rsid w:val="00962699"/>
    <w:rsid w:val="0096278E"/>
    <w:rsid w:val="00962DD6"/>
    <w:rsid w:val="00963398"/>
    <w:rsid w:val="009633C6"/>
    <w:rsid w:val="00963511"/>
    <w:rsid w:val="00963731"/>
    <w:rsid w:val="009645AC"/>
    <w:rsid w:val="0096464F"/>
    <w:rsid w:val="0096486E"/>
    <w:rsid w:val="00964A9B"/>
    <w:rsid w:val="00964E0D"/>
    <w:rsid w:val="00964FE4"/>
    <w:rsid w:val="0096511C"/>
    <w:rsid w:val="00965269"/>
    <w:rsid w:val="009652FB"/>
    <w:rsid w:val="00965A15"/>
    <w:rsid w:val="00965A53"/>
    <w:rsid w:val="00965C2F"/>
    <w:rsid w:val="00966092"/>
    <w:rsid w:val="0096645E"/>
    <w:rsid w:val="009664BF"/>
    <w:rsid w:val="00966AF8"/>
    <w:rsid w:val="00966C09"/>
    <w:rsid w:val="00966CC4"/>
    <w:rsid w:val="00966DBB"/>
    <w:rsid w:val="00966F1B"/>
    <w:rsid w:val="00966FAE"/>
    <w:rsid w:val="00966FE7"/>
    <w:rsid w:val="00967B22"/>
    <w:rsid w:val="00967C8E"/>
    <w:rsid w:val="00967CE3"/>
    <w:rsid w:val="00967D1C"/>
    <w:rsid w:val="00967DFC"/>
    <w:rsid w:val="00967F8F"/>
    <w:rsid w:val="0097005B"/>
    <w:rsid w:val="00970072"/>
    <w:rsid w:val="00970534"/>
    <w:rsid w:val="009705A7"/>
    <w:rsid w:val="00970815"/>
    <w:rsid w:val="00970973"/>
    <w:rsid w:val="00970B43"/>
    <w:rsid w:val="00970D2E"/>
    <w:rsid w:val="00970F57"/>
    <w:rsid w:val="0097106A"/>
    <w:rsid w:val="00971114"/>
    <w:rsid w:val="0097132D"/>
    <w:rsid w:val="009715AA"/>
    <w:rsid w:val="0097174F"/>
    <w:rsid w:val="009717F8"/>
    <w:rsid w:val="009719BF"/>
    <w:rsid w:val="00971B6A"/>
    <w:rsid w:val="009721D5"/>
    <w:rsid w:val="00972482"/>
    <w:rsid w:val="0097292B"/>
    <w:rsid w:val="00972A11"/>
    <w:rsid w:val="00972BFC"/>
    <w:rsid w:val="00972C39"/>
    <w:rsid w:val="00972DB8"/>
    <w:rsid w:val="00972E25"/>
    <w:rsid w:val="00972F53"/>
    <w:rsid w:val="00972FCE"/>
    <w:rsid w:val="009732E6"/>
    <w:rsid w:val="00973365"/>
    <w:rsid w:val="00973484"/>
    <w:rsid w:val="00973569"/>
    <w:rsid w:val="009738BF"/>
    <w:rsid w:val="00973E9B"/>
    <w:rsid w:val="00973F44"/>
    <w:rsid w:val="00973FBB"/>
    <w:rsid w:val="009740CD"/>
    <w:rsid w:val="00974104"/>
    <w:rsid w:val="00974151"/>
    <w:rsid w:val="0097465F"/>
    <w:rsid w:val="00974757"/>
    <w:rsid w:val="00974C26"/>
    <w:rsid w:val="00974E15"/>
    <w:rsid w:val="00975297"/>
    <w:rsid w:val="00975385"/>
    <w:rsid w:val="009753B6"/>
    <w:rsid w:val="0097585C"/>
    <w:rsid w:val="00975A54"/>
    <w:rsid w:val="00975A73"/>
    <w:rsid w:val="00975B37"/>
    <w:rsid w:val="00975CCE"/>
    <w:rsid w:val="00975F09"/>
    <w:rsid w:val="00975F54"/>
    <w:rsid w:val="0097605D"/>
    <w:rsid w:val="0097670E"/>
    <w:rsid w:val="009769F3"/>
    <w:rsid w:val="00976AB0"/>
    <w:rsid w:val="00976B36"/>
    <w:rsid w:val="00976B85"/>
    <w:rsid w:val="00976BEC"/>
    <w:rsid w:val="009770E9"/>
    <w:rsid w:val="009771EA"/>
    <w:rsid w:val="009775C6"/>
    <w:rsid w:val="0097779C"/>
    <w:rsid w:val="00977C67"/>
    <w:rsid w:val="00977CB4"/>
    <w:rsid w:val="00977D6D"/>
    <w:rsid w:val="00977E1A"/>
    <w:rsid w:val="00980069"/>
    <w:rsid w:val="009800F6"/>
    <w:rsid w:val="009801B2"/>
    <w:rsid w:val="00980242"/>
    <w:rsid w:val="009802F7"/>
    <w:rsid w:val="00980D07"/>
    <w:rsid w:val="00980F5A"/>
    <w:rsid w:val="00980F87"/>
    <w:rsid w:val="00980FB1"/>
    <w:rsid w:val="009810BB"/>
    <w:rsid w:val="00981427"/>
    <w:rsid w:val="0098142F"/>
    <w:rsid w:val="00981467"/>
    <w:rsid w:val="0098167D"/>
    <w:rsid w:val="00982789"/>
    <w:rsid w:val="00983028"/>
    <w:rsid w:val="0098302B"/>
    <w:rsid w:val="00983343"/>
    <w:rsid w:val="009836E1"/>
    <w:rsid w:val="009838F0"/>
    <w:rsid w:val="009842A1"/>
    <w:rsid w:val="00984441"/>
    <w:rsid w:val="009844CF"/>
    <w:rsid w:val="00984A20"/>
    <w:rsid w:val="00984DD8"/>
    <w:rsid w:val="00984E96"/>
    <w:rsid w:val="009850A1"/>
    <w:rsid w:val="009852D8"/>
    <w:rsid w:val="009852FC"/>
    <w:rsid w:val="00985384"/>
    <w:rsid w:val="00985388"/>
    <w:rsid w:val="00985483"/>
    <w:rsid w:val="0098594E"/>
    <w:rsid w:val="009859AE"/>
    <w:rsid w:val="00985A71"/>
    <w:rsid w:val="009865FE"/>
    <w:rsid w:val="00986818"/>
    <w:rsid w:val="00986E23"/>
    <w:rsid w:val="00986E4D"/>
    <w:rsid w:val="00986EFB"/>
    <w:rsid w:val="009870FC"/>
    <w:rsid w:val="00987100"/>
    <w:rsid w:val="0098724D"/>
    <w:rsid w:val="0098767B"/>
    <w:rsid w:val="00987731"/>
    <w:rsid w:val="009879F3"/>
    <w:rsid w:val="00987DE2"/>
    <w:rsid w:val="00990257"/>
    <w:rsid w:val="009904BA"/>
    <w:rsid w:val="00990688"/>
    <w:rsid w:val="0099085F"/>
    <w:rsid w:val="0099087E"/>
    <w:rsid w:val="009908AE"/>
    <w:rsid w:val="00990D33"/>
    <w:rsid w:val="0099131A"/>
    <w:rsid w:val="0099135C"/>
    <w:rsid w:val="0099146A"/>
    <w:rsid w:val="009914E2"/>
    <w:rsid w:val="009918F6"/>
    <w:rsid w:val="00991A2C"/>
    <w:rsid w:val="00992020"/>
    <w:rsid w:val="00992025"/>
    <w:rsid w:val="00992229"/>
    <w:rsid w:val="00992551"/>
    <w:rsid w:val="009925DB"/>
    <w:rsid w:val="00992E66"/>
    <w:rsid w:val="00993004"/>
    <w:rsid w:val="00993080"/>
    <w:rsid w:val="009930D5"/>
    <w:rsid w:val="00993114"/>
    <w:rsid w:val="009933A3"/>
    <w:rsid w:val="009933F7"/>
    <w:rsid w:val="00993734"/>
    <w:rsid w:val="0099392A"/>
    <w:rsid w:val="00993983"/>
    <w:rsid w:val="00993A93"/>
    <w:rsid w:val="00993AAF"/>
    <w:rsid w:val="00993B72"/>
    <w:rsid w:val="00993CC9"/>
    <w:rsid w:val="009940A4"/>
    <w:rsid w:val="009941AD"/>
    <w:rsid w:val="0099483C"/>
    <w:rsid w:val="009948D4"/>
    <w:rsid w:val="00994CA7"/>
    <w:rsid w:val="00994DD5"/>
    <w:rsid w:val="00995AD7"/>
    <w:rsid w:val="00995D0F"/>
    <w:rsid w:val="0099619A"/>
    <w:rsid w:val="0099639D"/>
    <w:rsid w:val="0099661F"/>
    <w:rsid w:val="009967C3"/>
    <w:rsid w:val="00996905"/>
    <w:rsid w:val="00996A52"/>
    <w:rsid w:val="00996C6A"/>
    <w:rsid w:val="00996E36"/>
    <w:rsid w:val="00996E81"/>
    <w:rsid w:val="00996EB5"/>
    <w:rsid w:val="00996F24"/>
    <w:rsid w:val="0099720D"/>
    <w:rsid w:val="009977D2"/>
    <w:rsid w:val="009979C9"/>
    <w:rsid w:val="00997AC5"/>
    <w:rsid w:val="009A00BE"/>
    <w:rsid w:val="009A01E8"/>
    <w:rsid w:val="009A040B"/>
    <w:rsid w:val="009A075F"/>
    <w:rsid w:val="009A0A9A"/>
    <w:rsid w:val="009A0D27"/>
    <w:rsid w:val="009A0FC4"/>
    <w:rsid w:val="009A111F"/>
    <w:rsid w:val="009A1166"/>
    <w:rsid w:val="009A12B2"/>
    <w:rsid w:val="009A1740"/>
    <w:rsid w:val="009A17A8"/>
    <w:rsid w:val="009A1B5A"/>
    <w:rsid w:val="009A1F36"/>
    <w:rsid w:val="009A1F95"/>
    <w:rsid w:val="009A2132"/>
    <w:rsid w:val="009A21C2"/>
    <w:rsid w:val="009A233C"/>
    <w:rsid w:val="009A24C7"/>
    <w:rsid w:val="009A26A2"/>
    <w:rsid w:val="009A277C"/>
    <w:rsid w:val="009A2789"/>
    <w:rsid w:val="009A2C5E"/>
    <w:rsid w:val="009A2D26"/>
    <w:rsid w:val="009A2DC3"/>
    <w:rsid w:val="009A311E"/>
    <w:rsid w:val="009A3247"/>
    <w:rsid w:val="009A3282"/>
    <w:rsid w:val="009A3488"/>
    <w:rsid w:val="009A348F"/>
    <w:rsid w:val="009A37D5"/>
    <w:rsid w:val="009A3982"/>
    <w:rsid w:val="009A3AA7"/>
    <w:rsid w:val="009A3E7C"/>
    <w:rsid w:val="009A3F8D"/>
    <w:rsid w:val="009A412C"/>
    <w:rsid w:val="009A42A7"/>
    <w:rsid w:val="009A4305"/>
    <w:rsid w:val="009A46E5"/>
    <w:rsid w:val="009A47B6"/>
    <w:rsid w:val="009A494A"/>
    <w:rsid w:val="009A4EC3"/>
    <w:rsid w:val="009A4F7A"/>
    <w:rsid w:val="009A50FA"/>
    <w:rsid w:val="009A51A3"/>
    <w:rsid w:val="009A52FD"/>
    <w:rsid w:val="009A57E1"/>
    <w:rsid w:val="009A580E"/>
    <w:rsid w:val="009A595D"/>
    <w:rsid w:val="009A5979"/>
    <w:rsid w:val="009A64A8"/>
    <w:rsid w:val="009A6A4D"/>
    <w:rsid w:val="009A6F74"/>
    <w:rsid w:val="009A6FF9"/>
    <w:rsid w:val="009A72F3"/>
    <w:rsid w:val="009A73FC"/>
    <w:rsid w:val="009A76C2"/>
    <w:rsid w:val="009A7780"/>
    <w:rsid w:val="009A783A"/>
    <w:rsid w:val="009A796D"/>
    <w:rsid w:val="009A7D63"/>
    <w:rsid w:val="009B0253"/>
    <w:rsid w:val="009B04A2"/>
    <w:rsid w:val="009B0768"/>
    <w:rsid w:val="009B0889"/>
    <w:rsid w:val="009B089D"/>
    <w:rsid w:val="009B08B7"/>
    <w:rsid w:val="009B08E0"/>
    <w:rsid w:val="009B128D"/>
    <w:rsid w:val="009B1299"/>
    <w:rsid w:val="009B1A1B"/>
    <w:rsid w:val="009B1A35"/>
    <w:rsid w:val="009B1D08"/>
    <w:rsid w:val="009B1E82"/>
    <w:rsid w:val="009B2138"/>
    <w:rsid w:val="009B2334"/>
    <w:rsid w:val="009B31F5"/>
    <w:rsid w:val="009B3944"/>
    <w:rsid w:val="009B42F8"/>
    <w:rsid w:val="009B435B"/>
    <w:rsid w:val="009B43F6"/>
    <w:rsid w:val="009B43FB"/>
    <w:rsid w:val="009B45C6"/>
    <w:rsid w:val="009B46E6"/>
    <w:rsid w:val="009B477D"/>
    <w:rsid w:val="009B4A6C"/>
    <w:rsid w:val="009B4BEB"/>
    <w:rsid w:val="009B4DB3"/>
    <w:rsid w:val="009B4E90"/>
    <w:rsid w:val="009B4EFF"/>
    <w:rsid w:val="009B4F34"/>
    <w:rsid w:val="009B4FC3"/>
    <w:rsid w:val="009B51D6"/>
    <w:rsid w:val="009B52F7"/>
    <w:rsid w:val="009B548D"/>
    <w:rsid w:val="009B5591"/>
    <w:rsid w:val="009B56F6"/>
    <w:rsid w:val="009B5731"/>
    <w:rsid w:val="009B5741"/>
    <w:rsid w:val="009B599F"/>
    <w:rsid w:val="009B5A48"/>
    <w:rsid w:val="009B5AC4"/>
    <w:rsid w:val="009B62CD"/>
    <w:rsid w:val="009B634F"/>
    <w:rsid w:val="009B63C8"/>
    <w:rsid w:val="009B6480"/>
    <w:rsid w:val="009B65FF"/>
    <w:rsid w:val="009B68B6"/>
    <w:rsid w:val="009B706E"/>
    <w:rsid w:val="009B74B8"/>
    <w:rsid w:val="009B74BB"/>
    <w:rsid w:val="009B7586"/>
    <w:rsid w:val="009B7C06"/>
    <w:rsid w:val="009B7CAB"/>
    <w:rsid w:val="009C01F8"/>
    <w:rsid w:val="009C0972"/>
    <w:rsid w:val="009C0CC4"/>
    <w:rsid w:val="009C0EE1"/>
    <w:rsid w:val="009C0F03"/>
    <w:rsid w:val="009C1116"/>
    <w:rsid w:val="009C13CE"/>
    <w:rsid w:val="009C1659"/>
    <w:rsid w:val="009C17C0"/>
    <w:rsid w:val="009C1ABC"/>
    <w:rsid w:val="009C1F4C"/>
    <w:rsid w:val="009C2069"/>
    <w:rsid w:val="009C221E"/>
    <w:rsid w:val="009C23CE"/>
    <w:rsid w:val="009C25D4"/>
    <w:rsid w:val="009C2789"/>
    <w:rsid w:val="009C27B0"/>
    <w:rsid w:val="009C27C6"/>
    <w:rsid w:val="009C293A"/>
    <w:rsid w:val="009C2D81"/>
    <w:rsid w:val="009C3375"/>
    <w:rsid w:val="009C351B"/>
    <w:rsid w:val="009C373A"/>
    <w:rsid w:val="009C39DB"/>
    <w:rsid w:val="009C3D42"/>
    <w:rsid w:val="009C3F06"/>
    <w:rsid w:val="009C4545"/>
    <w:rsid w:val="009C491C"/>
    <w:rsid w:val="009C492A"/>
    <w:rsid w:val="009C4CD3"/>
    <w:rsid w:val="009C4D08"/>
    <w:rsid w:val="009C4F22"/>
    <w:rsid w:val="009C5092"/>
    <w:rsid w:val="009C5393"/>
    <w:rsid w:val="009C54CA"/>
    <w:rsid w:val="009C54F5"/>
    <w:rsid w:val="009C565F"/>
    <w:rsid w:val="009C5692"/>
    <w:rsid w:val="009C56B4"/>
    <w:rsid w:val="009C5A15"/>
    <w:rsid w:val="009C5A3F"/>
    <w:rsid w:val="009C5B68"/>
    <w:rsid w:val="009C617A"/>
    <w:rsid w:val="009C64A5"/>
    <w:rsid w:val="009C6A51"/>
    <w:rsid w:val="009C6BFD"/>
    <w:rsid w:val="009C6C80"/>
    <w:rsid w:val="009C6EDC"/>
    <w:rsid w:val="009C7708"/>
    <w:rsid w:val="009C7A20"/>
    <w:rsid w:val="009C7B89"/>
    <w:rsid w:val="009C7BA7"/>
    <w:rsid w:val="009C7C39"/>
    <w:rsid w:val="009C7D46"/>
    <w:rsid w:val="009C7F79"/>
    <w:rsid w:val="009D0002"/>
    <w:rsid w:val="009D02CD"/>
    <w:rsid w:val="009D02FC"/>
    <w:rsid w:val="009D0368"/>
    <w:rsid w:val="009D05C0"/>
    <w:rsid w:val="009D09EA"/>
    <w:rsid w:val="009D0A06"/>
    <w:rsid w:val="009D0A54"/>
    <w:rsid w:val="009D0C3C"/>
    <w:rsid w:val="009D0EFD"/>
    <w:rsid w:val="009D0F52"/>
    <w:rsid w:val="009D166F"/>
    <w:rsid w:val="009D1697"/>
    <w:rsid w:val="009D17D5"/>
    <w:rsid w:val="009D1FF5"/>
    <w:rsid w:val="009D2165"/>
    <w:rsid w:val="009D2289"/>
    <w:rsid w:val="009D2770"/>
    <w:rsid w:val="009D29C5"/>
    <w:rsid w:val="009D2B7F"/>
    <w:rsid w:val="009D2BDF"/>
    <w:rsid w:val="009D2E06"/>
    <w:rsid w:val="009D3237"/>
    <w:rsid w:val="009D330A"/>
    <w:rsid w:val="009D360C"/>
    <w:rsid w:val="009D3628"/>
    <w:rsid w:val="009D376C"/>
    <w:rsid w:val="009D3A04"/>
    <w:rsid w:val="009D3BBA"/>
    <w:rsid w:val="009D3DB8"/>
    <w:rsid w:val="009D3E22"/>
    <w:rsid w:val="009D3F41"/>
    <w:rsid w:val="009D452B"/>
    <w:rsid w:val="009D471F"/>
    <w:rsid w:val="009D480E"/>
    <w:rsid w:val="009D4C2A"/>
    <w:rsid w:val="009D4C57"/>
    <w:rsid w:val="009D4DBC"/>
    <w:rsid w:val="009D51A4"/>
    <w:rsid w:val="009D5570"/>
    <w:rsid w:val="009D5B08"/>
    <w:rsid w:val="009D5B75"/>
    <w:rsid w:val="009D5E02"/>
    <w:rsid w:val="009D6914"/>
    <w:rsid w:val="009D6CA5"/>
    <w:rsid w:val="009D6FCB"/>
    <w:rsid w:val="009D7087"/>
    <w:rsid w:val="009D7553"/>
    <w:rsid w:val="009D7738"/>
    <w:rsid w:val="009D785A"/>
    <w:rsid w:val="009D7B8D"/>
    <w:rsid w:val="009D7D56"/>
    <w:rsid w:val="009D7E63"/>
    <w:rsid w:val="009D7F6D"/>
    <w:rsid w:val="009E0283"/>
    <w:rsid w:val="009E0386"/>
    <w:rsid w:val="009E065D"/>
    <w:rsid w:val="009E0732"/>
    <w:rsid w:val="009E08D4"/>
    <w:rsid w:val="009E0989"/>
    <w:rsid w:val="009E0F4A"/>
    <w:rsid w:val="009E1505"/>
    <w:rsid w:val="009E18C3"/>
    <w:rsid w:val="009E1A3C"/>
    <w:rsid w:val="009E1B4A"/>
    <w:rsid w:val="009E1C22"/>
    <w:rsid w:val="009E1D1A"/>
    <w:rsid w:val="009E1D29"/>
    <w:rsid w:val="009E1F0D"/>
    <w:rsid w:val="009E2187"/>
    <w:rsid w:val="009E231E"/>
    <w:rsid w:val="009E2481"/>
    <w:rsid w:val="009E2510"/>
    <w:rsid w:val="009E2636"/>
    <w:rsid w:val="009E27A8"/>
    <w:rsid w:val="009E2A8B"/>
    <w:rsid w:val="009E2DA8"/>
    <w:rsid w:val="009E2E66"/>
    <w:rsid w:val="009E3105"/>
    <w:rsid w:val="009E3339"/>
    <w:rsid w:val="009E3606"/>
    <w:rsid w:val="009E37E4"/>
    <w:rsid w:val="009E3833"/>
    <w:rsid w:val="009E394B"/>
    <w:rsid w:val="009E39D6"/>
    <w:rsid w:val="009E3BEF"/>
    <w:rsid w:val="009E3C7E"/>
    <w:rsid w:val="009E3EC3"/>
    <w:rsid w:val="009E40A3"/>
    <w:rsid w:val="009E43E8"/>
    <w:rsid w:val="009E4A1C"/>
    <w:rsid w:val="009E4C70"/>
    <w:rsid w:val="009E4DFC"/>
    <w:rsid w:val="009E52B2"/>
    <w:rsid w:val="009E57B4"/>
    <w:rsid w:val="009E5962"/>
    <w:rsid w:val="009E5A80"/>
    <w:rsid w:val="009E5B95"/>
    <w:rsid w:val="009E5D64"/>
    <w:rsid w:val="009E5F8B"/>
    <w:rsid w:val="009E6050"/>
    <w:rsid w:val="009E614C"/>
    <w:rsid w:val="009E61E9"/>
    <w:rsid w:val="009E6E04"/>
    <w:rsid w:val="009E6EF1"/>
    <w:rsid w:val="009E6EF9"/>
    <w:rsid w:val="009E6F1B"/>
    <w:rsid w:val="009E6FF4"/>
    <w:rsid w:val="009E707E"/>
    <w:rsid w:val="009E735F"/>
    <w:rsid w:val="009E7696"/>
    <w:rsid w:val="009E7746"/>
    <w:rsid w:val="009E79DA"/>
    <w:rsid w:val="009E7A04"/>
    <w:rsid w:val="009E7A84"/>
    <w:rsid w:val="009E7BDE"/>
    <w:rsid w:val="009F02C0"/>
    <w:rsid w:val="009F0319"/>
    <w:rsid w:val="009F0381"/>
    <w:rsid w:val="009F0492"/>
    <w:rsid w:val="009F0580"/>
    <w:rsid w:val="009F06A4"/>
    <w:rsid w:val="009F06B6"/>
    <w:rsid w:val="009F0A36"/>
    <w:rsid w:val="009F10C0"/>
    <w:rsid w:val="009F13DD"/>
    <w:rsid w:val="009F1763"/>
    <w:rsid w:val="009F17BA"/>
    <w:rsid w:val="009F18C1"/>
    <w:rsid w:val="009F193A"/>
    <w:rsid w:val="009F1AFC"/>
    <w:rsid w:val="009F1D3F"/>
    <w:rsid w:val="009F1DC5"/>
    <w:rsid w:val="009F1E93"/>
    <w:rsid w:val="009F1F1A"/>
    <w:rsid w:val="009F2229"/>
    <w:rsid w:val="009F29A1"/>
    <w:rsid w:val="009F30E7"/>
    <w:rsid w:val="009F313D"/>
    <w:rsid w:val="009F3366"/>
    <w:rsid w:val="009F3522"/>
    <w:rsid w:val="009F3631"/>
    <w:rsid w:val="009F363C"/>
    <w:rsid w:val="009F3790"/>
    <w:rsid w:val="009F384D"/>
    <w:rsid w:val="009F3AF4"/>
    <w:rsid w:val="009F429E"/>
    <w:rsid w:val="009F4474"/>
    <w:rsid w:val="009F476C"/>
    <w:rsid w:val="009F5187"/>
    <w:rsid w:val="009F539C"/>
    <w:rsid w:val="009F5829"/>
    <w:rsid w:val="009F586C"/>
    <w:rsid w:val="009F5905"/>
    <w:rsid w:val="009F5BB8"/>
    <w:rsid w:val="009F5D30"/>
    <w:rsid w:val="009F5D86"/>
    <w:rsid w:val="009F62CB"/>
    <w:rsid w:val="009F649A"/>
    <w:rsid w:val="009F69C2"/>
    <w:rsid w:val="009F69E4"/>
    <w:rsid w:val="009F6DF6"/>
    <w:rsid w:val="009F6F46"/>
    <w:rsid w:val="009F7252"/>
    <w:rsid w:val="009F7A90"/>
    <w:rsid w:val="009F7CA0"/>
    <w:rsid w:val="009F7CEB"/>
    <w:rsid w:val="009F7D94"/>
    <w:rsid w:val="009F7ECA"/>
    <w:rsid w:val="00A00504"/>
    <w:rsid w:val="00A0056D"/>
    <w:rsid w:val="00A00BF6"/>
    <w:rsid w:val="00A00C25"/>
    <w:rsid w:val="00A00CC6"/>
    <w:rsid w:val="00A01045"/>
    <w:rsid w:val="00A01057"/>
    <w:rsid w:val="00A011A8"/>
    <w:rsid w:val="00A01346"/>
    <w:rsid w:val="00A01B76"/>
    <w:rsid w:val="00A01DE2"/>
    <w:rsid w:val="00A02560"/>
    <w:rsid w:val="00A026D2"/>
    <w:rsid w:val="00A0270C"/>
    <w:rsid w:val="00A02878"/>
    <w:rsid w:val="00A02D42"/>
    <w:rsid w:val="00A02EC2"/>
    <w:rsid w:val="00A02F40"/>
    <w:rsid w:val="00A0310B"/>
    <w:rsid w:val="00A03256"/>
    <w:rsid w:val="00A03258"/>
    <w:rsid w:val="00A032A3"/>
    <w:rsid w:val="00A033C1"/>
    <w:rsid w:val="00A037EA"/>
    <w:rsid w:val="00A03939"/>
    <w:rsid w:val="00A03A87"/>
    <w:rsid w:val="00A03BFD"/>
    <w:rsid w:val="00A03CA9"/>
    <w:rsid w:val="00A03E97"/>
    <w:rsid w:val="00A040FD"/>
    <w:rsid w:val="00A0426A"/>
    <w:rsid w:val="00A042EA"/>
    <w:rsid w:val="00A04C0D"/>
    <w:rsid w:val="00A04F33"/>
    <w:rsid w:val="00A0509C"/>
    <w:rsid w:val="00A05282"/>
    <w:rsid w:val="00A052D0"/>
    <w:rsid w:val="00A0586E"/>
    <w:rsid w:val="00A05ECC"/>
    <w:rsid w:val="00A05F86"/>
    <w:rsid w:val="00A06097"/>
    <w:rsid w:val="00A063AD"/>
    <w:rsid w:val="00A064D9"/>
    <w:rsid w:val="00A06616"/>
    <w:rsid w:val="00A069D1"/>
    <w:rsid w:val="00A06B31"/>
    <w:rsid w:val="00A06BBB"/>
    <w:rsid w:val="00A06C7C"/>
    <w:rsid w:val="00A06F61"/>
    <w:rsid w:val="00A070CD"/>
    <w:rsid w:val="00A07273"/>
    <w:rsid w:val="00A07327"/>
    <w:rsid w:val="00A0760E"/>
    <w:rsid w:val="00A0770C"/>
    <w:rsid w:val="00A077BD"/>
    <w:rsid w:val="00A079A3"/>
    <w:rsid w:val="00A07ABF"/>
    <w:rsid w:val="00A07CFB"/>
    <w:rsid w:val="00A07ED6"/>
    <w:rsid w:val="00A0A009"/>
    <w:rsid w:val="00A1089A"/>
    <w:rsid w:val="00A10B9D"/>
    <w:rsid w:val="00A10FBF"/>
    <w:rsid w:val="00A112D6"/>
    <w:rsid w:val="00A117E9"/>
    <w:rsid w:val="00A1205A"/>
    <w:rsid w:val="00A122FE"/>
    <w:rsid w:val="00A12A44"/>
    <w:rsid w:val="00A12C67"/>
    <w:rsid w:val="00A13A51"/>
    <w:rsid w:val="00A13B4B"/>
    <w:rsid w:val="00A14074"/>
    <w:rsid w:val="00A14142"/>
    <w:rsid w:val="00A143B0"/>
    <w:rsid w:val="00A145EE"/>
    <w:rsid w:val="00A15007"/>
    <w:rsid w:val="00A152B6"/>
    <w:rsid w:val="00A15367"/>
    <w:rsid w:val="00A15409"/>
    <w:rsid w:val="00A1563D"/>
    <w:rsid w:val="00A157AE"/>
    <w:rsid w:val="00A158B4"/>
    <w:rsid w:val="00A15937"/>
    <w:rsid w:val="00A15AD2"/>
    <w:rsid w:val="00A15CC8"/>
    <w:rsid w:val="00A15D41"/>
    <w:rsid w:val="00A15F5F"/>
    <w:rsid w:val="00A161A4"/>
    <w:rsid w:val="00A1643F"/>
    <w:rsid w:val="00A164A5"/>
    <w:rsid w:val="00A1657B"/>
    <w:rsid w:val="00A16638"/>
    <w:rsid w:val="00A16AC6"/>
    <w:rsid w:val="00A170F3"/>
    <w:rsid w:val="00A171C5"/>
    <w:rsid w:val="00A17433"/>
    <w:rsid w:val="00A1744F"/>
    <w:rsid w:val="00A17490"/>
    <w:rsid w:val="00A178EA"/>
    <w:rsid w:val="00A179C8"/>
    <w:rsid w:val="00A17EB5"/>
    <w:rsid w:val="00A17FF1"/>
    <w:rsid w:val="00A2030B"/>
    <w:rsid w:val="00A20392"/>
    <w:rsid w:val="00A205AF"/>
    <w:rsid w:val="00A205F2"/>
    <w:rsid w:val="00A20624"/>
    <w:rsid w:val="00A2086D"/>
    <w:rsid w:val="00A20B1A"/>
    <w:rsid w:val="00A20E4A"/>
    <w:rsid w:val="00A2122A"/>
    <w:rsid w:val="00A212A5"/>
    <w:rsid w:val="00A213C2"/>
    <w:rsid w:val="00A21622"/>
    <w:rsid w:val="00A216F9"/>
    <w:rsid w:val="00A21A7E"/>
    <w:rsid w:val="00A21FD8"/>
    <w:rsid w:val="00A221BE"/>
    <w:rsid w:val="00A221E1"/>
    <w:rsid w:val="00A2222D"/>
    <w:rsid w:val="00A22290"/>
    <w:rsid w:val="00A228D4"/>
    <w:rsid w:val="00A2291E"/>
    <w:rsid w:val="00A22931"/>
    <w:rsid w:val="00A22A39"/>
    <w:rsid w:val="00A22CFA"/>
    <w:rsid w:val="00A22EB7"/>
    <w:rsid w:val="00A22F05"/>
    <w:rsid w:val="00A230DC"/>
    <w:rsid w:val="00A2315A"/>
    <w:rsid w:val="00A23406"/>
    <w:rsid w:val="00A23410"/>
    <w:rsid w:val="00A236CE"/>
    <w:rsid w:val="00A23939"/>
    <w:rsid w:val="00A23B44"/>
    <w:rsid w:val="00A2410B"/>
    <w:rsid w:val="00A24564"/>
    <w:rsid w:val="00A24A5E"/>
    <w:rsid w:val="00A24DD2"/>
    <w:rsid w:val="00A24DEB"/>
    <w:rsid w:val="00A25193"/>
    <w:rsid w:val="00A251B5"/>
    <w:rsid w:val="00A2594C"/>
    <w:rsid w:val="00A25A7A"/>
    <w:rsid w:val="00A25D56"/>
    <w:rsid w:val="00A25D67"/>
    <w:rsid w:val="00A26032"/>
    <w:rsid w:val="00A2666D"/>
    <w:rsid w:val="00A2672F"/>
    <w:rsid w:val="00A26816"/>
    <w:rsid w:val="00A268C1"/>
    <w:rsid w:val="00A26E4A"/>
    <w:rsid w:val="00A26F33"/>
    <w:rsid w:val="00A27263"/>
    <w:rsid w:val="00A27400"/>
    <w:rsid w:val="00A279A4"/>
    <w:rsid w:val="00A27C82"/>
    <w:rsid w:val="00A27DFB"/>
    <w:rsid w:val="00A30193"/>
    <w:rsid w:val="00A3037A"/>
    <w:rsid w:val="00A306B8"/>
    <w:rsid w:val="00A30C0E"/>
    <w:rsid w:val="00A30DF0"/>
    <w:rsid w:val="00A30E4A"/>
    <w:rsid w:val="00A30F25"/>
    <w:rsid w:val="00A310D8"/>
    <w:rsid w:val="00A316A2"/>
    <w:rsid w:val="00A3179B"/>
    <w:rsid w:val="00A32121"/>
    <w:rsid w:val="00A32236"/>
    <w:rsid w:val="00A328BF"/>
    <w:rsid w:val="00A32B1E"/>
    <w:rsid w:val="00A32B91"/>
    <w:rsid w:val="00A32D7D"/>
    <w:rsid w:val="00A32DFD"/>
    <w:rsid w:val="00A32F86"/>
    <w:rsid w:val="00A333A7"/>
    <w:rsid w:val="00A33A2B"/>
    <w:rsid w:val="00A34222"/>
    <w:rsid w:val="00A3427C"/>
    <w:rsid w:val="00A34436"/>
    <w:rsid w:val="00A34C3F"/>
    <w:rsid w:val="00A34DC2"/>
    <w:rsid w:val="00A34FED"/>
    <w:rsid w:val="00A3518B"/>
    <w:rsid w:val="00A35381"/>
    <w:rsid w:val="00A356BF"/>
    <w:rsid w:val="00A35D60"/>
    <w:rsid w:val="00A361B2"/>
    <w:rsid w:val="00A363D8"/>
    <w:rsid w:val="00A3654C"/>
    <w:rsid w:val="00A365A2"/>
    <w:rsid w:val="00A3688D"/>
    <w:rsid w:val="00A36A33"/>
    <w:rsid w:val="00A36B75"/>
    <w:rsid w:val="00A36DEB"/>
    <w:rsid w:val="00A370F3"/>
    <w:rsid w:val="00A3742C"/>
    <w:rsid w:val="00A37679"/>
    <w:rsid w:val="00A37798"/>
    <w:rsid w:val="00A37D18"/>
    <w:rsid w:val="00A37FED"/>
    <w:rsid w:val="00A40408"/>
    <w:rsid w:val="00A4043C"/>
    <w:rsid w:val="00A4051C"/>
    <w:rsid w:val="00A40599"/>
    <w:rsid w:val="00A41338"/>
    <w:rsid w:val="00A4169E"/>
    <w:rsid w:val="00A416F0"/>
    <w:rsid w:val="00A41799"/>
    <w:rsid w:val="00A41B41"/>
    <w:rsid w:val="00A41BB4"/>
    <w:rsid w:val="00A41C81"/>
    <w:rsid w:val="00A41E5D"/>
    <w:rsid w:val="00A41EAE"/>
    <w:rsid w:val="00A41F60"/>
    <w:rsid w:val="00A423E6"/>
    <w:rsid w:val="00A4261A"/>
    <w:rsid w:val="00A426F8"/>
    <w:rsid w:val="00A427F7"/>
    <w:rsid w:val="00A429EF"/>
    <w:rsid w:val="00A42C20"/>
    <w:rsid w:val="00A43377"/>
    <w:rsid w:val="00A4344B"/>
    <w:rsid w:val="00A43A66"/>
    <w:rsid w:val="00A43CE2"/>
    <w:rsid w:val="00A43FD1"/>
    <w:rsid w:val="00A43FFC"/>
    <w:rsid w:val="00A442AC"/>
    <w:rsid w:val="00A44377"/>
    <w:rsid w:val="00A44477"/>
    <w:rsid w:val="00A44A7C"/>
    <w:rsid w:val="00A44C89"/>
    <w:rsid w:val="00A44E00"/>
    <w:rsid w:val="00A44F84"/>
    <w:rsid w:val="00A45200"/>
    <w:rsid w:val="00A45378"/>
    <w:rsid w:val="00A456A1"/>
    <w:rsid w:val="00A45952"/>
    <w:rsid w:val="00A459CA"/>
    <w:rsid w:val="00A45A51"/>
    <w:rsid w:val="00A45CAB"/>
    <w:rsid w:val="00A45D87"/>
    <w:rsid w:val="00A45EF1"/>
    <w:rsid w:val="00A45FA1"/>
    <w:rsid w:val="00A46136"/>
    <w:rsid w:val="00A46396"/>
    <w:rsid w:val="00A4641C"/>
    <w:rsid w:val="00A46511"/>
    <w:rsid w:val="00A46861"/>
    <w:rsid w:val="00A46868"/>
    <w:rsid w:val="00A46D7D"/>
    <w:rsid w:val="00A470C6"/>
    <w:rsid w:val="00A4731B"/>
    <w:rsid w:val="00A4770F"/>
    <w:rsid w:val="00A479D5"/>
    <w:rsid w:val="00A47B2B"/>
    <w:rsid w:val="00A47F16"/>
    <w:rsid w:val="00A47FF5"/>
    <w:rsid w:val="00A5043A"/>
    <w:rsid w:val="00A505A6"/>
    <w:rsid w:val="00A50F2F"/>
    <w:rsid w:val="00A50F87"/>
    <w:rsid w:val="00A5117F"/>
    <w:rsid w:val="00A512F4"/>
    <w:rsid w:val="00A517B3"/>
    <w:rsid w:val="00A51B1A"/>
    <w:rsid w:val="00A51CB1"/>
    <w:rsid w:val="00A51EEB"/>
    <w:rsid w:val="00A51F58"/>
    <w:rsid w:val="00A52190"/>
    <w:rsid w:val="00A521C1"/>
    <w:rsid w:val="00A52431"/>
    <w:rsid w:val="00A525D3"/>
    <w:rsid w:val="00A52A3F"/>
    <w:rsid w:val="00A52A42"/>
    <w:rsid w:val="00A52EDA"/>
    <w:rsid w:val="00A53243"/>
    <w:rsid w:val="00A535FB"/>
    <w:rsid w:val="00A53963"/>
    <w:rsid w:val="00A539FF"/>
    <w:rsid w:val="00A53D88"/>
    <w:rsid w:val="00A53FA8"/>
    <w:rsid w:val="00A541DF"/>
    <w:rsid w:val="00A54498"/>
    <w:rsid w:val="00A5453C"/>
    <w:rsid w:val="00A550AE"/>
    <w:rsid w:val="00A550BD"/>
    <w:rsid w:val="00A55E0E"/>
    <w:rsid w:val="00A561A2"/>
    <w:rsid w:val="00A561AE"/>
    <w:rsid w:val="00A56ADB"/>
    <w:rsid w:val="00A56B43"/>
    <w:rsid w:val="00A56D11"/>
    <w:rsid w:val="00A56E08"/>
    <w:rsid w:val="00A57154"/>
    <w:rsid w:val="00A576BA"/>
    <w:rsid w:val="00A576EA"/>
    <w:rsid w:val="00A57BE0"/>
    <w:rsid w:val="00A600B9"/>
    <w:rsid w:val="00A60382"/>
    <w:rsid w:val="00A609AE"/>
    <w:rsid w:val="00A60D93"/>
    <w:rsid w:val="00A612AE"/>
    <w:rsid w:val="00A61469"/>
    <w:rsid w:val="00A6151B"/>
    <w:rsid w:val="00A618A7"/>
    <w:rsid w:val="00A61996"/>
    <w:rsid w:val="00A619D2"/>
    <w:rsid w:val="00A61AFF"/>
    <w:rsid w:val="00A61B06"/>
    <w:rsid w:val="00A61C36"/>
    <w:rsid w:val="00A61E47"/>
    <w:rsid w:val="00A6238E"/>
    <w:rsid w:val="00A6262E"/>
    <w:rsid w:val="00A62655"/>
    <w:rsid w:val="00A62942"/>
    <w:rsid w:val="00A629D8"/>
    <w:rsid w:val="00A62ACF"/>
    <w:rsid w:val="00A62E60"/>
    <w:rsid w:val="00A62EF1"/>
    <w:rsid w:val="00A63630"/>
    <w:rsid w:val="00A6374D"/>
    <w:rsid w:val="00A63A04"/>
    <w:rsid w:val="00A63E78"/>
    <w:rsid w:val="00A64080"/>
    <w:rsid w:val="00A6458A"/>
    <w:rsid w:val="00A645E7"/>
    <w:rsid w:val="00A64D17"/>
    <w:rsid w:val="00A6517D"/>
    <w:rsid w:val="00A651A6"/>
    <w:rsid w:val="00A65211"/>
    <w:rsid w:val="00A657BE"/>
    <w:rsid w:val="00A65C1F"/>
    <w:rsid w:val="00A65C86"/>
    <w:rsid w:val="00A65D5E"/>
    <w:rsid w:val="00A663E0"/>
    <w:rsid w:val="00A664C0"/>
    <w:rsid w:val="00A666FA"/>
    <w:rsid w:val="00A6672F"/>
    <w:rsid w:val="00A66AA5"/>
    <w:rsid w:val="00A66B73"/>
    <w:rsid w:val="00A66D3C"/>
    <w:rsid w:val="00A66D68"/>
    <w:rsid w:val="00A67129"/>
    <w:rsid w:val="00A6724C"/>
    <w:rsid w:val="00A6727F"/>
    <w:rsid w:val="00A673E6"/>
    <w:rsid w:val="00A678E2"/>
    <w:rsid w:val="00A67B85"/>
    <w:rsid w:val="00A67BC1"/>
    <w:rsid w:val="00A67C6B"/>
    <w:rsid w:val="00A67CC2"/>
    <w:rsid w:val="00A70162"/>
    <w:rsid w:val="00A70752"/>
    <w:rsid w:val="00A70A53"/>
    <w:rsid w:val="00A70AB5"/>
    <w:rsid w:val="00A70BA7"/>
    <w:rsid w:val="00A70C4D"/>
    <w:rsid w:val="00A7162B"/>
    <w:rsid w:val="00A71900"/>
    <w:rsid w:val="00A71AE0"/>
    <w:rsid w:val="00A71C6B"/>
    <w:rsid w:val="00A72249"/>
    <w:rsid w:val="00A722C3"/>
    <w:rsid w:val="00A7253D"/>
    <w:rsid w:val="00A72563"/>
    <w:rsid w:val="00A7286F"/>
    <w:rsid w:val="00A72C05"/>
    <w:rsid w:val="00A72C89"/>
    <w:rsid w:val="00A73069"/>
    <w:rsid w:val="00A731F0"/>
    <w:rsid w:val="00A73230"/>
    <w:rsid w:val="00A737EC"/>
    <w:rsid w:val="00A73A9C"/>
    <w:rsid w:val="00A73F2D"/>
    <w:rsid w:val="00A73FC6"/>
    <w:rsid w:val="00A74A38"/>
    <w:rsid w:val="00A74C2A"/>
    <w:rsid w:val="00A74CCE"/>
    <w:rsid w:val="00A74D34"/>
    <w:rsid w:val="00A74EBC"/>
    <w:rsid w:val="00A74F30"/>
    <w:rsid w:val="00A7508B"/>
    <w:rsid w:val="00A75112"/>
    <w:rsid w:val="00A752E4"/>
    <w:rsid w:val="00A754A3"/>
    <w:rsid w:val="00A75A5F"/>
    <w:rsid w:val="00A75C0F"/>
    <w:rsid w:val="00A75C45"/>
    <w:rsid w:val="00A75DA1"/>
    <w:rsid w:val="00A75DD6"/>
    <w:rsid w:val="00A760BC"/>
    <w:rsid w:val="00A763FA"/>
    <w:rsid w:val="00A7662D"/>
    <w:rsid w:val="00A7674F"/>
    <w:rsid w:val="00A76A17"/>
    <w:rsid w:val="00A76B52"/>
    <w:rsid w:val="00A76B90"/>
    <w:rsid w:val="00A76DB1"/>
    <w:rsid w:val="00A76EA4"/>
    <w:rsid w:val="00A7739B"/>
    <w:rsid w:val="00A776F0"/>
    <w:rsid w:val="00A77816"/>
    <w:rsid w:val="00A77827"/>
    <w:rsid w:val="00A77A9B"/>
    <w:rsid w:val="00A77BDE"/>
    <w:rsid w:val="00A77CBB"/>
    <w:rsid w:val="00A77E40"/>
    <w:rsid w:val="00A77F64"/>
    <w:rsid w:val="00A8009B"/>
    <w:rsid w:val="00A80390"/>
    <w:rsid w:val="00A80AE8"/>
    <w:rsid w:val="00A80D4A"/>
    <w:rsid w:val="00A80DC3"/>
    <w:rsid w:val="00A80EB8"/>
    <w:rsid w:val="00A817EA"/>
    <w:rsid w:val="00A81BCB"/>
    <w:rsid w:val="00A81D90"/>
    <w:rsid w:val="00A81F82"/>
    <w:rsid w:val="00A81FFC"/>
    <w:rsid w:val="00A8210E"/>
    <w:rsid w:val="00A823FB"/>
    <w:rsid w:val="00A82428"/>
    <w:rsid w:val="00A82437"/>
    <w:rsid w:val="00A828A4"/>
    <w:rsid w:val="00A82C2E"/>
    <w:rsid w:val="00A8349C"/>
    <w:rsid w:val="00A83E4F"/>
    <w:rsid w:val="00A84160"/>
    <w:rsid w:val="00A841B0"/>
    <w:rsid w:val="00A8427D"/>
    <w:rsid w:val="00A8484B"/>
    <w:rsid w:val="00A848C6"/>
    <w:rsid w:val="00A848FE"/>
    <w:rsid w:val="00A84995"/>
    <w:rsid w:val="00A84DB0"/>
    <w:rsid w:val="00A84EAA"/>
    <w:rsid w:val="00A84F3E"/>
    <w:rsid w:val="00A855FD"/>
    <w:rsid w:val="00A85618"/>
    <w:rsid w:val="00A8579D"/>
    <w:rsid w:val="00A85A2B"/>
    <w:rsid w:val="00A85C6F"/>
    <w:rsid w:val="00A85E0C"/>
    <w:rsid w:val="00A860E5"/>
    <w:rsid w:val="00A86148"/>
    <w:rsid w:val="00A86314"/>
    <w:rsid w:val="00A867DC"/>
    <w:rsid w:val="00A868BD"/>
    <w:rsid w:val="00A870C0"/>
    <w:rsid w:val="00A879EA"/>
    <w:rsid w:val="00A87A06"/>
    <w:rsid w:val="00A87C2B"/>
    <w:rsid w:val="00A87CC8"/>
    <w:rsid w:val="00A900E6"/>
    <w:rsid w:val="00A90275"/>
    <w:rsid w:val="00A903E6"/>
    <w:rsid w:val="00A907DB"/>
    <w:rsid w:val="00A90B10"/>
    <w:rsid w:val="00A90E1D"/>
    <w:rsid w:val="00A90EE5"/>
    <w:rsid w:val="00A90F9C"/>
    <w:rsid w:val="00A91073"/>
    <w:rsid w:val="00A911EC"/>
    <w:rsid w:val="00A91383"/>
    <w:rsid w:val="00A9164A"/>
    <w:rsid w:val="00A9166B"/>
    <w:rsid w:val="00A91991"/>
    <w:rsid w:val="00A91A23"/>
    <w:rsid w:val="00A91C7D"/>
    <w:rsid w:val="00A91EF2"/>
    <w:rsid w:val="00A92111"/>
    <w:rsid w:val="00A9212C"/>
    <w:rsid w:val="00A923EA"/>
    <w:rsid w:val="00A92777"/>
    <w:rsid w:val="00A9291A"/>
    <w:rsid w:val="00A92F19"/>
    <w:rsid w:val="00A9318E"/>
    <w:rsid w:val="00A9345C"/>
    <w:rsid w:val="00A93543"/>
    <w:rsid w:val="00A93AAA"/>
    <w:rsid w:val="00A93B2E"/>
    <w:rsid w:val="00A93B95"/>
    <w:rsid w:val="00A93F16"/>
    <w:rsid w:val="00A93F6B"/>
    <w:rsid w:val="00A94527"/>
    <w:rsid w:val="00A945D2"/>
    <w:rsid w:val="00A94780"/>
    <w:rsid w:val="00A947F5"/>
    <w:rsid w:val="00A948EC"/>
    <w:rsid w:val="00A9493E"/>
    <w:rsid w:val="00A94A13"/>
    <w:rsid w:val="00A94BAC"/>
    <w:rsid w:val="00A94EC9"/>
    <w:rsid w:val="00A94EFC"/>
    <w:rsid w:val="00A9547E"/>
    <w:rsid w:val="00A95726"/>
    <w:rsid w:val="00A95958"/>
    <w:rsid w:val="00A95AA8"/>
    <w:rsid w:val="00A95BCF"/>
    <w:rsid w:val="00A95C37"/>
    <w:rsid w:val="00A95CC8"/>
    <w:rsid w:val="00A95D56"/>
    <w:rsid w:val="00A95E60"/>
    <w:rsid w:val="00A95E61"/>
    <w:rsid w:val="00A95FC3"/>
    <w:rsid w:val="00A96344"/>
    <w:rsid w:val="00A963DD"/>
    <w:rsid w:val="00A9644D"/>
    <w:rsid w:val="00A968C8"/>
    <w:rsid w:val="00A96992"/>
    <w:rsid w:val="00A96C86"/>
    <w:rsid w:val="00AA013E"/>
    <w:rsid w:val="00AA0758"/>
    <w:rsid w:val="00AA07C1"/>
    <w:rsid w:val="00AA099C"/>
    <w:rsid w:val="00AA0A1C"/>
    <w:rsid w:val="00AA0A52"/>
    <w:rsid w:val="00AA0A54"/>
    <w:rsid w:val="00AA0B04"/>
    <w:rsid w:val="00AA0ED2"/>
    <w:rsid w:val="00AA0EEB"/>
    <w:rsid w:val="00AA0F59"/>
    <w:rsid w:val="00AA1044"/>
    <w:rsid w:val="00AA12DA"/>
    <w:rsid w:val="00AA161B"/>
    <w:rsid w:val="00AA1681"/>
    <w:rsid w:val="00AA1688"/>
    <w:rsid w:val="00AA1CEE"/>
    <w:rsid w:val="00AA1DD6"/>
    <w:rsid w:val="00AA1E9F"/>
    <w:rsid w:val="00AA2258"/>
    <w:rsid w:val="00AA277E"/>
    <w:rsid w:val="00AA2856"/>
    <w:rsid w:val="00AA29A2"/>
    <w:rsid w:val="00AA2FA1"/>
    <w:rsid w:val="00AA3738"/>
    <w:rsid w:val="00AA3EA1"/>
    <w:rsid w:val="00AA40F8"/>
    <w:rsid w:val="00AA424D"/>
    <w:rsid w:val="00AA435D"/>
    <w:rsid w:val="00AA4B79"/>
    <w:rsid w:val="00AA4CED"/>
    <w:rsid w:val="00AA4ECC"/>
    <w:rsid w:val="00AA4F65"/>
    <w:rsid w:val="00AA51C1"/>
    <w:rsid w:val="00AA520A"/>
    <w:rsid w:val="00AA6156"/>
    <w:rsid w:val="00AA617C"/>
    <w:rsid w:val="00AA71F6"/>
    <w:rsid w:val="00AA73AC"/>
    <w:rsid w:val="00AA7758"/>
    <w:rsid w:val="00AA779E"/>
    <w:rsid w:val="00AA7ACC"/>
    <w:rsid w:val="00AA7B77"/>
    <w:rsid w:val="00AB0633"/>
    <w:rsid w:val="00AB0659"/>
    <w:rsid w:val="00AB074C"/>
    <w:rsid w:val="00AB0780"/>
    <w:rsid w:val="00AB07B8"/>
    <w:rsid w:val="00AB0E3F"/>
    <w:rsid w:val="00AB0FF1"/>
    <w:rsid w:val="00AB115A"/>
    <w:rsid w:val="00AB1537"/>
    <w:rsid w:val="00AB156D"/>
    <w:rsid w:val="00AB15F3"/>
    <w:rsid w:val="00AB160E"/>
    <w:rsid w:val="00AB1837"/>
    <w:rsid w:val="00AB187A"/>
    <w:rsid w:val="00AB2265"/>
    <w:rsid w:val="00AB2575"/>
    <w:rsid w:val="00AB2C1D"/>
    <w:rsid w:val="00AB2DC5"/>
    <w:rsid w:val="00AB34C5"/>
    <w:rsid w:val="00AB37D7"/>
    <w:rsid w:val="00AB3814"/>
    <w:rsid w:val="00AB3BDD"/>
    <w:rsid w:val="00AB3CE7"/>
    <w:rsid w:val="00AB3E68"/>
    <w:rsid w:val="00AB4202"/>
    <w:rsid w:val="00AB42FB"/>
    <w:rsid w:val="00AB49CE"/>
    <w:rsid w:val="00AB4DF4"/>
    <w:rsid w:val="00AB514A"/>
    <w:rsid w:val="00AB55AC"/>
    <w:rsid w:val="00AB561F"/>
    <w:rsid w:val="00AB56B1"/>
    <w:rsid w:val="00AB57E9"/>
    <w:rsid w:val="00AB5891"/>
    <w:rsid w:val="00AB58A7"/>
    <w:rsid w:val="00AB5936"/>
    <w:rsid w:val="00AB6051"/>
    <w:rsid w:val="00AB610C"/>
    <w:rsid w:val="00AB629C"/>
    <w:rsid w:val="00AB6352"/>
    <w:rsid w:val="00AB67FA"/>
    <w:rsid w:val="00AB6840"/>
    <w:rsid w:val="00AB6EEF"/>
    <w:rsid w:val="00AB7007"/>
    <w:rsid w:val="00AB7279"/>
    <w:rsid w:val="00AB7973"/>
    <w:rsid w:val="00AB7EBD"/>
    <w:rsid w:val="00AB7FBB"/>
    <w:rsid w:val="00AB7FE6"/>
    <w:rsid w:val="00ABBA0B"/>
    <w:rsid w:val="00AC02C4"/>
    <w:rsid w:val="00AC035A"/>
    <w:rsid w:val="00AC062F"/>
    <w:rsid w:val="00AC077A"/>
    <w:rsid w:val="00AC099E"/>
    <w:rsid w:val="00AC0E1C"/>
    <w:rsid w:val="00AC14FD"/>
    <w:rsid w:val="00AC15D6"/>
    <w:rsid w:val="00AC1720"/>
    <w:rsid w:val="00AC1907"/>
    <w:rsid w:val="00AC1B83"/>
    <w:rsid w:val="00AC1D2B"/>
    <w:rsid w:val="00AC1D6B"/>
    <w:rsid w:val="00AC1D78"/>
    <w:rsid w:val="00AC1DB3"/>
    <w:rsid w:val="00AC1E12"/>
    <w:rsid w:val="00AC2490"/>
    <w:rsid w:val="00AC2974"/>
    <w:rsid w:val="00AC2A14"/>
    <w:rsid w:val="00AC2D2E"/>
    <w:rsid w:val="00AC2D5E"/>
    <w:rsid w:val="00AC2D95"/>
    <w:rsid w:val="00AC31F4"/>
    <w:rsid w:val="00AC35F9"/>
    <w:rsid w:val="00AC3908"/>
    <w:rsid w:val="00AC3A93"/>
    <w:rsid w:val="00AC3CC5"/>
    <w:rsid w:val="00AC3EB5"/>
    <w:rsid w:val="00AC40E8"/>
    <w:rsid w:val="00AC458A"/>
    <w:rsid w:val="00AC470E"/>
    <w:rsid w:val="00AC47E8"/>
    <w:rsid w:val="00AC4CE2"/>
    <w:rsid w:val="00AC4D24"/>
    <w:rsid w:val="00AC4DFB"/>
    <w:rsid w:val="00AC5045"/>
    <w:rsid w:val="00AC50E3"/>
    <w:rsid w:val="00AC512D"/>
    <w:rsid w:val="00AC55CA"/>
    <w:rsid w:val="00AC566C"/>
    <w:rsid w:val="00AC57D1"/>
    <w:rsid w:val="00AC59CF"/>
    <w:rsid w:val="00AC5C8E"/>
    <w:rsid w:val="00AC5DB0"/>
    <w:rsid w:val="00AC61ED"/>
    <w:rsid w:val="00AC6E3B"/>
    <w:rsid w:val="00AC6FB7"/>
    <w:rsid w:val="00AC7259"/>
    <w:rsid w:val="00AC7DAA"/>
    <w:rsid w:val="00AD01D0"/>
    <w:rsid w:val="00AD0455"/>
    <w:rsid w:val="00AD088D"/>
    <w:rsid w:val="00AD08B1"/>
    <w:rsid w:val="00AD0C33"/>
    <w:rsid w:val="00AD14C2"/>
    <w:rsid w:val="00AD153D"/>
    <w:rsid w:val="00AD1876"/>
    <w:rsid w:val="00AD1CC0"/>
    <w:rsid w:val="00AD22DC"/>
    <w:rsid w:val="00AD23C5"/>
    <w:rsid w:val="00AD2566"/>
    <w:rsid w:val="00AD260D"/>
    <w:rsid w:val="00AD2654"/>
    <w:rsid w:val="00AD265D"/>
    <w:rsid w:val="00AD269B"/>
    <w:rsid w:val="00AD2B86"/>
    <w:rsid w:val="00AD33AC"/>
    <w:rsid w:val="00AD351A"/>
    <w:rsid w:val="00AD35BC"/>
    <w:rsid w:val="00AD395B"/>
    <w:rsid w:val="00AD3BAE"/>
    <w:rsid w:val="00AD3D74"/>
    <w:rsid w:val="00AD4244"/>
    <w:rsid w:val="00AD42C4"/>
    <w:rsid w:val="00AD4482"/>
    <w:rsid w:val="00AD4544"/>
    <w:rsid w:val="00AD4613"/>
    <w:rsid w:val="00AD473B"/>
    <w:rsid w:val="00AD47EA"/>
    <w:rsid w:val="00AD51C9"/>
    <w:rsid w:val="00AD542F"/>
    <w:rsid w:val="00AD5475"/>
    <w:rsid w:val="00AD567E"/>
    <w:rsid w:val="00AD591E"/>
    <w:rsid w:val="00AD5B30"/>
    <w:rsid w:val="00AD64CD"/>
    <w:rsid w:val="00AD64D1"/>
    <w:rsid w:val="00AD6A1C"/>
    <w:rsid w:val="00AD6D04"/>
    <w:rsid w:val="00AD71D5"/>
    <w:rsid w:val="00AD71F9"/>
    <w:rsid w:val="00AD7635"/>
    <w:rsid w:val="00AD79B4"/>
    <w:rsid w:val="00AD7FFD"/>
    <w:rsid w:val="00AE013F"/>
    <w:rsid w:val="00AE018C"/>
    <w:rsid w:val="00AE027D"/>
    <w:rsid w:val="00AE0555"/>
    <w:rsid w:val="00AE058F"/>
    <w:rsid w:val="00AE05F9"/>
    <w:rsid w:val="00AE0658"/>
    <w:rsid w:val="00AE08F1"/>
    <w:rsid w:val="00AE0A4C"/>
    <w:rsid w:val="00AE0C74"/>
    <w:rsid w:val="00AE0D4F"/>
    <w:rsid w:val="00AE0EB9"/>
    <w:rsid w:val="00AE10EB"/>
    <w:rsid w:val="00AE10F5"/>
    <w:rsid w:val="00AE11B4"/>
    <w:rsid w:val="00AE14A0"/>
    <w:rsid w:val="00AE162C"/>
    <w:rsid w:val="00AE17F0"/>
    <w:rsid w:val="00AE1E45"/>
    <w:rsid w:val="00AE2457"/>
    <w:rsid w:val="00AE25A6"/>
    <w:rsid w:val="00AE2A68"/>
    <w:rsid w:val="00AE2CFC"/>
    <w:rsid w:val="00AE2EA3"/>
    <w:rsid w:val="00AE2EAB"/>
    <w:rsid w:val="00AE325C"/>
    <w:rsid w:val="00AE33B6"/>
    <w:rsid w:val="00AE36A0"/>
    <w:rsid w:val="00AE36AC"/>
    <w:rsid w:val="00AE3A5A"/>
    <w:rsid w:val="00AE3BB4"/>
    <w:rsid w:val="00AE441E"/>
    <w:rsid w:val="00AE4C03"/>
    <w:rsid w:val="00AE538E"/>
    <w:rsid w:val="00AE5931"/>
    <w:rsid w:val="00AE59D2"/>
    <w:rsid w:val="00AE5F81"/>
    <w:rsid w:val="00AE62DB"/>
    <w:rsid w:val="00AE6834"/>
    <w:rsid w:val="00AE69F6"/>
    <w:rsid w:val="00AE6DEC"/>
    <w:rsid w:val="00AE706A"/>
    <w:rsid w:val="00AE7168"/>
    <w:rsid w:val="00AE7452"/>
    <w:rsid w:val="00AE772D"/>
    <w:rsid w:val="00AE7CDC"/>
    <w:rsid w:val="00AE7FF0"/>
    <w:rsid w:val="00AF04E2"/>
    <w:rsid w:val="00AF06BF"/>
    <w:rsid w:val="00AF08AE"/>
    <w:rsid w:val="00AF09C7"/>
    <w:rsid w:val="00AF0A3F"/>
    <w:rsid w:val="00AF0DF9"/>
    <w:rsid w:val="00AF1A88"/>
    <w:rsid w:val="00AF1B37"/>
    <w:rsid w:val="00AF1F79"/>
    <w:rsid w:val="00AF274C"/>
    <w:rsid w:val="00AF2A70"/>
    <w:rsid w:val="00AF2B0E"/>
    <w:rsid w:val="00AF2ECA"/>
    <w:rsid w:val="00AF30FD"/>
    <w:rsid w:val="00AF3129"/>
    <w:rsid w:val="00AF3164"/>
    <w:rsid w:val="00AF3D26"/>
    <w:rsid w:val="00AF4099"/>
    <w:rsid w:val="00AF437C"/>
    <w:rsid w:val="00AF448D"/>
    <w:rsid w:val="00AF45BA"/>
    <w:rsid w:val="00AF4622"/>
    <w:rsid w:val="00AF4754"/>
    <w:rsid w:val="00AF4BE4"/>
    <w:rsid w:val="00AF4C09"/>
    <w:rsid w:val="00AF4C16"/>
    <w:rsid w:val="00AF4DD9"/>
    <w:rsid w:val="00AF4FFA"/>
    <w:rsid w:val="00AF50F9"/>
    <w:rsid w:val="00AF542A"/>
    <w:rsid w:val="00AF5645"/>
    <w:rsid w:val="00AF5C6C"/>
    <w:rsid w:val="00AF6599"/>
    <w:rsid w:val="00AF6669"/>
    <w:rsid w:val="00AF69DA"/>
    <w:rsid w:val="00AF6A6E"/>
    <w:rsid w:val="00AF6C5C"/>
    <w:rsid w:val="00AF6C9F"/>
    <w:rsid w:val="00AF6EF6"/>
    <w:rsid w:val="00AF6FC4"/>
    <w:rsid w:val="00AF6FDC"/>
    <w:rsid w:val="00AF70ED"/>
    <w:rsid w:val="00AF710F"/>
    <w:rsid w:val="00AF7178"/>
    <w:rsid w:val="00AF78C8"/>
    <w:rsid w:val="00AF7B74"/>
    <w:rsid w:val="00AF7F9B"/>
    <w:rsid w:val="00AF7FDF"/>
    <w:rsid w:val="00B002A6"/>
    <w:rsid w:val="00B003CF"/>
    <w:rsid w:val="00B005B1"/>
    <w:rsid w:val="00B00717"/>
    <w:rsid w:val="00B0091D"/>
    <w:rsid w:val="00B00B21"/>
    <w:rsid w:val="00B00C1D"/>
    <w:rsid w:val="00B00DC9"/>
    <w:rsid w:val="00B00EDC"/>
    <w:rsid w:val="00B01048"/>
    <w:rsid w:val="00B011BF"/>
    <w:rsid w:val="00B011CD"/>
    <w:rsid w:val="00B013CE"/>
    <w:rsid w:val="00B01535"/>
    <w:rsid w:val="00B01ADC"/>
    <w:rsid w:val="00B01BFA"/>
    <w:rsid w:val="00B01F04"/>
    <w:rsid w:val="00B0230D"/>
    <w:rsid w:val="00B02951"/>
    <w:rsid w:val="00B02AED"/>
    <w:rsid w:val="00B02B3D"/>
    <w:rsid w:val="00B02D78"/>
    <w:rsid w:val="00B02F61"/>
    <w:rsid w:val="00B0331D"/>
    <w:rsid w:val="00B03345"/>
    <w:rsid w:val="00B03716"/>
    <w:rsid w:val="00B03BEA"/>
    <w:rsid w:val="00B03E27"/>
    <w:rsid w:val="00B03F79"/>
    <w:rsid w:val="00B04001"/>
    <w:rsid w:val="00B045D9"/>
    <w:rsid w:val="00B04D5F"/>
    <w:rsid w:val="00B04E48"/>
    <w:rsid w:val="00B0529B"/>
    <w:rsid w:val="00B052AD"/>
    <w:rsid w:val="00B0549D"/>
    <w:rsid w:val="00B05A6C"/>
    <w:rsid w:val="00B05AEA"/>
    <w:rsid w:val="00B05CD6"/>
    <w:rsid w:val="00B05DAC"/>
    <w:rsid w:val="00B05E21"/>
    <w:rsid w:val="00B05FD4"/>
    <w:rsid w:val="00B061CC"/>
    <w:rsid w:val="00B06D55"/>
    <w:rsid w:val="00B07038"/>
    <w:rsid w:val="00B0732D"/>
    <w:rsid w:val="00B07451"/>
    <w:rsid w:val="00B07553"/>
    <w:rsid w:val="00B07A9C"/>
    <w:rsid w:val="00B07CB2"/>
    <w:rsid w:val="00B07D5B"/>
    <w:rsid w:val="00B0C5DB"/>
    <w:rsid w:val="00B100BC"/>
    <w:rsid w:val="00B102FC"/>
    <w:rsid w:val="00B10316"/>
    <w:rsid w:val="00B1053E"/>
    <w:rsid w:val="00B1070A"/>
    <w:rsid w:val="00B107C0"/>
    <w:rsid w:val="00B10A06"/>
    <w:rsid w:val="00B10D90"/>
    <w:rsid w:val="00B10E51"/>
    <w:rsid w:val="00B11090"/>
    <w:rsid w:val="00B110CF"/>
    <w:rsid w:val="00B11202"/>
    <w:rsid w:val="00B114A4"/>
    <w:rsid w:val="00B11594"/>
    <w:rsid w:val="00B1160B"/>
    <w:rsid w:val="00B11C32"/>
    <w:rsid w:val="00B11D0D"/>
    <w:rsid w:val="00B11EA0"/>
    <w:rsid w:val="00B1241C"/>
    <w:rsid w:val="00B12572"/>
    <w:rsid w:val="00B12A84"/>
    <w:rsid w:val="00B12A92"/>
    <w:rsid w:val="00B12C5B"/>
    <w:rsid w:val="00B12F0C"/>
    <w:rsid w:val="00B13065"/>
    <w:rsid w:val="00B13273"/>
    <w:rsid w:val="00B13338"/>
    <w:rsid w:val="00B134D4"/>
    <w:rsid w:val="00B13684"/>
    <w:rsid w:val="00B139A3"/>
    <w:rsid w:val="00B13BEA"/>
    <w:rsid w:val="00B13EBA"/>
    <w:rsid w:val="00B14112"/>
    <w:rsid w:val="00B143D9"/>
    <w:rsid w:val="00B14B19"/>
    <w:rsid w:val="00B14E51"/>
    <w:rsid w:val="00B150F2"/>
    <w:rsid w:val="00B15124"/>
    <w:rsid w:val="00B15285"/>
    <w:rsid w:val="00B1542E"/>
    <w:rsid w:val="00B154D9"/>
    <w:rsid w:val="00B15528"/>
    <w:rsid w:val="00B15D50"/>
    <w:rsid w:val="00B15E3F"/>
    <w:rsid w:val="00B160C0"/>
    <w:rsid w:val="00B16463"/>
    <w:rsid w:val="00B164BE"/>
    <w:rsid w:val="00B1668A"/>
    <w:rsid w:val="00B168F3"/>
    <w:rsid w:val="00B16AC0"/>
    <w:rsid w:val="00B16CC2"/>
    <w:rsid w:val="00B16DF7"/>
    <w:rsid w:val="00B16ECC"/>
    <w:rsid w:val="00B1740B"/>
    <w:rsid w:val="00B17424"/>
    <w:rsid w:val="00B17783"/>
    <w:rsid w:val="00B179E5"/>
    <w:rsid w:val="00B17A45"/>
    <w:rsid w:val="00B17A6A"/>
    <w:rsid w:val="00B17B19"/>
    <w:rsid w:val="00B17C43"/>
    <w:rsid w:val="00B17D7E"/>
    <w:rsid w:val="00B17FDB"/>
    <w:rsid w:val="00B201A4"/>
    <w:rsid w:val="00B2041C"/>
    <w:rsid w:val="00B205E8"/>
    <w:rsid w:val="00B20B2F"/>
    <w:rsid w:val="00B20C0C"/>
    <w:rsid w:val="00B20D68"/>
    <w:rsid w:val="00B2112F"/>
    <w:rsid w:val="00B211F8"/>
    <w:rsid w:val="00B2138A"/>
    <w:rsid w:val="00B2147A"/>
    <w:rsid w:val="00B216B0"/>
    <w:rsid w:val="00B21764"/>
    <w:rsid w:val="00B219E5"/>
    <w:rsid w:val="00B21ADF"/>
    <w:rsid w:val="00B21B9A"/>
    <w:rsid w:val="00B21BB1"/>
    <w:rsid w:val="00B21CAE"/>
    <w:rsid w:val="00B222EF"/>
    <w:rsid w:val="00B22469"/>
    <w:rsid w:val="00B225D0"/>
    <w:rsid w:val="00B22730"/>
    <w:rsid w:val="00B22868"/>
    <w:rsid w:val="00B228E0"/>
    <w:rsid w:val="00B22E28"/>
    <w:rsid w:val="00B234DA"/>
    <w:rsid w:val="00B235C9"/>
    <w:rsid w:val="00B235CF"/>
    <w:rsid w:val="00B23AF6"/>
    <w:rsid w:val="00B23B9B"/>
    <w:rsid w:val="00B243B5"/>
    <w:rsid w:val="00B24579"/>
    <w:rsid w:val="00B2462D"/>
    <w:rsid w:val="00B24833"/>
    <w:rsid w:val="00B24887"/>
    <w:rsid w:val="00B2490A"/>
    <w:rsid w:val="00B24A56"/>
    <w:rsid w:val="00B24A9F"/>
    <w:rsid w:val="00B24C10"/>
    <w:rsid w:val="00B24C4B"/>
    <w:rsid w:val="00B24E43"/>
    <w:rsid w:val="00B24E61"/>
    <w:rsid w:val="00B24F05"/>
    <w:rsid w:val="00B24F4D"/>
    <w:rsid w:val="00B2531C"/>
    <w:rsid w:val="00B25823"/>
    <w:rsid w:val="00B259DF"/>
    <w:rsid w:val="00B25A30"/>
    <w:rsid w:val="00B25A62"/>
    <w:rsid w:val="00B25D68"/>
    <w:rsid w:val="00B261C1"/>
    <w:rsid w:val="00B2630B"/>
    <w:rsid w:val="00B26698"/>
    <w:rsid w:val="00B267E2"/>
    <w:rsid w:val="00B2698E"/>
    <w:rsid w:val="00B26A30"/>
    <w:rsid w:val="00B26EC8"/>
    <w:rsid w:val="00B2777B"/>
    <w:rsid w:val="00B27DBA"/>
    <w:rsid w:val="00B27DF3"/>
    <w:rsid w:val="00B30120"/>
    <w:rsid w:val="00B3040A"/>
    <w:rsid w:val="00B30416"/>
    <w:rsid w:val="00B3042C"/>
    <w:rsid w:val="00B306EE"/>
    <w:rsid w:val="00B307FE"/>
    <w:rsid w:val="00B30D73"/>
    <w:rsid w:val="00B3115D"/>
    <w:rsid w:val="00B311C7"/>
    <w:rsid w:val="00B31448"/>
    <w:rsid w:val="00B31A15"/>
    <w:rsid w:val="00B31DB6"/>
    <w:rsid w:val="00B31FDB"/>
    <w:rsid w:val="00B3211C"/>
    <w:rsid w:val="00B328F1"/>
    <w:rsid w:val="00B32A4C"/>
    <w:rsid w:val="00B32D2E"/>
    <w:rsid w:val="00B32DC6"/>
    <w:rsid w:val="00B33035"/>
    <w:rsid w:val="00B3356F"/>
    <w:rsid w:val="00B33914"/>
    <w:rsid w:val="00B33EC1"/>
    <w:rsid w:val="00B33F3C"/>
    <w:rsid w:val="00B33FB5"/>
    <w:rsid w:val="00B33FF6"/>
    <w:rsid w:val="00B3453B"/>
    <w:rsid w:val="00B34899"/>
    <w:rsid w:val="00B34D19"/>
    <w:rsid w:val="00B357A9"/>
    <w:rsid w:val="00B35876"/>
    <w:rsid w:val="00B35961"/>
    <w:rsid w:val="00B35A76"/>
    <w:rsid w:val="00B362D4"/>
    <w:rsid w:val="00B367E2"/>
    <w:rsid w:val="00B368B4"/>
    <w:rsid w:val="00B3691F"/>
    <w:rsid w:val="00B36D90"/>
    <w:rsid w:val="00B36FB9"/>
    <w:rsid w:val="00B370CA"/>
    <w:rsid w:val="00B37336"/>
    <w:rsid w:val="00B3754D"/>
    <w:rsid w:val="00B37AE7"/>
    <w:rsid w:val="00B37FB0"/>
    <w:rsid w:val="00B400B6"/>
    <w:rsid w:val="00B40231"/>
    <w:rsid w:val="00B40280"/>
    <w:rsid w:val="00B4065D"/>
    <w:rsid w:val="00B40682"/>
    <w:rsid w:val="00B40752"/>
    <w:rsid w:val="00B408A4"/>
    <w:rsid w:val="00B40920"/>
    <w:rsid w:val="00B411D2"/>
    <w:rsid w:val="00B41518"/>
    <w:rsid w:val="00B418C0"/>
    <w:rsid w:val="00B41FDE"/>
    <w:rsid w:val="00B42180"/>
    <w:rsid w:val="00B4220C"/>
    <w:rsid w:val="00B4232B"/>
    <w:rsid w:val="00B42449"/>
    <w:rsid w:val="00B42801"/>
    <w:rsid w:val="00B4285B"/>
    <w:rsid w:val="00B42A04"/>
    <w:rsid w:val="00B42BDE"/>
    <w:rsid w:val="00B42BDF"/>
    <w:rsid w:val="00B42FAF"/>
    <w:rsid w:val="00B431E0"/>
    <w:rsid w:val="00B43319"/>
    <w:rsid w:val="00B43478"/>
    <w:rsid w:val="00B43546"/>
    <w:rsid w:val="00B43620"/>
    <w:rsid w:val="00B436B1"/>
    <w:rsid w:val="00B446C2"/>
    <w:rsid w:val="00B4483B"/>
    <w:rsid w:val="00B44867"/>
    <w:rsid w:val="00B4495C"/>
    <w:rsid w:val="00B4498D"/>
    <w:rsid w:val="00B44A0C"/>
    <w:rsid w:val="00B44C39"/>
    <w:rsid w:val="00B44EF3"/>
    <w:rsid w:val="00B45079"/>
    <w:rsid w:val="00B453FA"/>
    <w:rsid w:val="00B454EA"/>
    <w:rsid w:val="00B4551E"/>
    <w:rsid w:val="00B4560A"/>
    <w:rsid w:val="00B45E43"/>
    <w:rsid w:val="00B45F6F"/>
    <w:rsid w:val="00B45F72"/>
    <w:rsid w:val="00B463CF"/>
    <w:rsid w:val="00B46535"/>
    <w:rsid w:val="00B4656A"/>
    <w:rsid w:val="00B468EF"/>
    <w:rsid w:val="00B46AAE"/>
    <w:rsid w:val="00B46C4F"/>
    <w:rsid w:val="00B46FC7"/>
    <w:rsid w:val="00B470ED"/>
    <w:rsid w:val="00B472BF"/>
    <w:rsid w:val="00B4746A"/>
    <w:rsid w:val="00B4748B"/>
    <w:rsid w:val="00B474E1"/>
    <w:rsid w:val="00B4795E"/>
    <w:rsid w:val="00B47E81"/>
    <w:rsid w:val="00B5005B"/>
    <w:rsid w:val="00B50061"/>
    <w:rsid w:val="00B50129"/>
    <w:rsid w:val="00B5032C"/>
    <w:rsid w:val="00B50D82"/>
    <w:rsid w:val="00B50E2B"/>
    <w:rsid w:val="00B50EF3"/>
    <w:rsid w:val="00B50F96"/>
    <w:rsid w:val="00B510F7"/>
    <w:rsid w:val="00B5112B"/>
    <w:rsid w:val="00B51158"/>
    <w:rsid w:val="00B51230"/>
    <w:rsid w:val="00B5139D"/>
    <w:rsid w:val="00B514BF"/>
    <w:rsid w:val="00B51928"/>
    <w:rsid w:val="00B51B35"/>
    <w:rsid w:val="00B52436"/>
    <w:rsid w:val="00B52BF7"/>
    <w:rsid w:val="00B530AF"/>
    <w:rsid w:val="00B53A59"/>
    <w:rsid w:val="00B53D08"/>
    <w:rsid w:val="00B53D0C"/>
    <w:rsid w:val="00B53E09"/>
    <w:rsid w:val="00B54153"/>
    <w:rsid w:val="00B541B9"/>
    <w:rsid w:val="00B54224"/>
    <w:rsid w:val="00B5466D"/>
    <w:rsid w:val="00B546A6"/>
    <w:rsid w:val="00B549CD"/>
    <w:rsid w:val="00B54E19"/>
    <w:rsid w:val="00B54ED5"/>
    <w:rsid w:val="00B54FB0"/>
    <w:rsid w:val="00B55063"/>
    <w:rsid w:val="00B552CA"/>
    <w:rsid w:val="00B55470"/>
    <w:rsid w:val="00B55487"/>
    <w:rsid w:val="00B5573D"/>
    <w:rsid w:val="00B5578D"/>
    <w:rsid w:val="00B55A92"/>
    <w:rsid w:val="00B55CAC"/>
    <w:rsid w:val="00B55D82"/>
    <w:rsid w:val="00B55FD6"/>
    <w:rsid w:val="00B56195"/>
    <w:rsid w:val="00B562DD"/>
    <w:rsid w:val="00B564AF"/>
    <w:rsid w:val="00B56764"/>
    <w:rsid w:val="00B56B42"/>
    <w:rsid w:val="00B56CB3"/>
    <w:rsid w:val="00B56CFB"/>
    <w:rsid w:val="00B56D6A"/>
    <w:rsid w:val="00B56DCC"/>
    <w:rsid w:val="00B5700F"/>
    <w:rsid w:val="00B57621"/>
    <w:rsid w:val="00B577FB"/>
    <w:rsid w:val="00B57816"/>
    <w:rsid w:val="00B57967"/>
    <w:rsid w:val="00B57A09"/>
    <w:rsid w:val="00B57AF3"/>
    <w:rsid w:val="00B57CC5"/>
    <w:rsid w:val="00B57D18"/>
    <w:rsid w:val="00B57D2E"/>
    <w:rsid w:val="00B60300"/>
    <w:rsid w:val="00B603C6"/>
    <w:rsid w:val="00B60695"/>
    <w:rsid w:val="00B60AFE"/>
    <w:rsid w:val="00B60C25"/>
    <w:rsid w:val="00B60F2E"/>
    <w:rsid w:val="00B61A29"/>
    <w:rsid w:val="00B61B35"/>
    <w:rsid w:val="00B61C9D"/>
    <w:rsid w:val="00B6232F"/>
    <w:rsid w:val="00B6237C"/>
    <w:rsid w:val="00B62751"/>
    <w:rsid w:val="00B6287F"/>
    <w:rsid w:val="00B62A51"/>
    <w:rsid w:val="00B62A88"/>
    <w:rsid w:val="00B62C22"/>
    <w:rsid w:val="00B62DFE"/>
    <w:rsid w:val="00B62EC3"/>
    <w:rsid w:val="00B631AD"/>
    <w:rsid w:val="00B63460"/>
    <w:rsid w:val="00B6487A"/>
    <w:rsid w:val="00B65312"/>
    <w:rsid w:val="00B6540E"/>
    <w:rsid w:val="00B6556D"/>
    <w:rsid w:val="00B6577F"/>
    <w:rsid w:val="00B65B81"/>
    <w:rsid w:val="00B65EBD"/>
    <w:rsid w:val="00B65EC6"/>
    <w:rsid w:val="00B6615D"/>
    <w:rsid w:val="00B66302"/>
    <w:rsid w:val="00B66C04"/>
    <w:rsid w:val="00B66C37"/>
    <w:rsid w:val="00B66E2B"/>
    <w:rsid w:val="00B67119"/>
    <w:rsid w:val="00B6722B"/>
    <w:rsid w:val="00B67344"/>
    <w:rsid w:val="00B676E1"/>
    <w:rsid w:val="00B67CD8"/>
    <w:rsid w:val="00B67E19"/>
    <w:rsid w:val="00B700BB"/>
    <w:rsid w:val="00B700D2"/>
    <w:rsid w:val="00B70522"/>
    <w:rsid w:val="00B7096F"/>
    <w:rsid w:val="00B70A1D"/>
    <w:rsid w:val="00B70F1B"/>
    <w:rsid w:val="00B71208"/>
    <w:rsid w:val="00B71675"/>
    <w:rsid w:val="00B717E2"/>
    <w:rsid w:val="00B71835"/>
    <w:rsid w:val="00B71AC2"/>
    <w:rsid w:val="00B71AC6"/>
    <w:rsid w:val="00B71B62"/>
    <w:rsid w:val="00B721CA"/>
    <w:rsid w:val="00B723C6"/>
    <w:rsid w:val="00B724CF"/>
    <w:rsid w:val="00B72743"/>
    <w:rsid w:val="00B727B7"/>
    <w:rsid w:val="00B7286C"/>
    <w:rsid w:val="00B72982"/>
    <w:rsid w:val="00B72AEF"/>
    <w:rsid w:val="00B72FDE"/>
    <w:rsid w:val="00B73461"/>
    <w:rsid w:val="00B7347A"/>
    <w:rsid w:val="00B73597"/>
    <w:rsid w:val="00B737F8"/>
    <w:rsid w:val="00B73951"/>
    <w:rsid w:val="00B7396B"/>
    <w:rsid w:val="00B73D50"/>
    <w:rsid w:val="00B73E5D"/>
    <w:rsid w:val="00B749EB"/>
    <w:rsid w:val="00B74AA8"/>
    <w:rsid w:val="00B74C21"/>
    <w:rsid w:val="00B74CC7"/>
    <w:rsid w:val="00B74FD3"/>
    <w:rsid w:val="00B75206"/>
    <w:rsid w:val="00B75263"/>
    <w:rsid w:val="00B75356"/>
    <w:rsid w:val="00B7588E"/>
    <w:rsid w:val="00B75899"/>
    <w:rsid w:val="00B75BC0"/>
    <w:rsid w:val="00B75C97"/>
    <w:rsid w:val="00B75E9B"/>
    <w:rsid w:val="00B76166"/>
    <w:rsid w:val="00B7636B"/>
    <w:rsid w:val="00B76492"/>
    <w:rsid w:val="00B769A2"/>
    <w:rsid w:val="00B76AF5"/>
    <w:rsid w:val="00B76B37"/>
    <w:rsid w:val="00B76D02"/>
    <w:rsid w:val="00B7733E"/>
    <w:rsid w:val="00B77399"/>
    <w:rsid w:val="00B7761F"/>
    <w:rsid w:val="00B778FF"/>
    <w:rsid w:val="00B7796D"/>
    <w:rsid w:val="00B77A25"/>
    <w:rsid w:val="00B77D17"/>
    <w:rsid w:val="00B77FB8"/>
    <w:rsid w:val="00B8055D"/>
    <w:rsid w:val="00B805F4"/>
    <w:rsid w:val="00B80819"/>
    <w:rsid w:val="00B808FD"/>
    <w:rsid w:val="00B80B83"/>
    <w:rsid w:val="00B80D71"/>
    <w:rsid w:val="00B80F97"/>
    <w:rsid w:val="00B8164E"/>
    <w:rsid w:val="00B81734"/>
    <w:rsid w:val="00B8179E"/>
    <w:rsid w:val="00B81DAE"/>
    <w:rsid w:val="00B820B3"/>
    <w:rsid w:val="00B82171"/>
    <w:rsid w:val="00B822E1"/>
    <w:rsid w:val="00B8233F"/>
    <w:rsid w:val="00B823CC"/>
    <w:rsid w:val="00B824C8"/>
    <w:rsid w:val="00B8254D"/>
    <w:rsid w:val="00B8285B"/>
    <w:rsid w:val="00B82E20"/>
    <w:rsid w:val="00B831F5"/>
    <w:rsid w:val="00B83300"/>
    <w:rsid w:val="00B83542"/>
    <w:rsid w:val="00B83AEE"/>
    <w:rsid w:val="00B83E50"/>
    <w:rsid w:val="00B83F49"/>
    <w:rsid w:val="00B83FFE"/>
    <w:rsid w:val="00B8441F"/>
    <w:rsid w:val="00B84C05"/>
    <w:rsid w:val="00B84C0B"/>
    <w:rsid w:val="00B84E46"/>
    <w:rsid w:val="00B84FA9"/>
    <w:rsid w:val="00B8501A"/>
    <w:rsid w:val="00B8520B"/>
    <w:rsid w:val="00B85298"/>
    <w:rsid w:val="00B85308"/>
    <w:rsid w:val="00B85332"/>
    <w:rsid w:val="00B8560C"/>
    <w:rsid w:val="00B856DD"/>
    <w:rsid w:val="00B85794"/>
    <w:rsid w:val="00B858CA"/>
    <w:rsid w:val="00B85E9A"/>
    <w:rsid w:val="00B85EC7"/>
    <w:rsid w:val="00B85F77"/>
    <w:rsid w:val="00B863A0"/>
    <w:rsid w:val="00B866A6"/>
    <w:rsid w:val="00B869A5"/>
    <w:rsid w:val="00B869C2"/>
    <w:rsid w:val="00B87088"/>
    <w:rsid w:val="00B87266"/>
    <w:rsid w:val="00B87399"/>
    <w:rsid w:val="00B874AD"/>
    <w:rsid w:val="00B879BD"/>
    <w:rsid w:val="00B87BC1"/>
    <w:rsid w:val="00B901A8"/>
    <w:rsid w:val="00B90339"/>
    <w:rsid w:val="00B903FC"/>
    <w:rsid w:val="00B90B5C"/>
    <w:rsid w:val="00B90D41"/>
    <w:rsid w:val="00B9109F"/>
    <w:rsid w:val="00B9141E"/>
    <w:rsid w:val="00B91616"/>
    <w:rsid w:val="00B91714"/>
    <w:rsid w:val="00B9197E"/>
    <w:rsid w:val="00B91BBF"/>
    <w:rsid w:val="00B91D05"/>
    <w:rsid w:val="00B92403"/>
    <w:rsid w:val="00B92687"/>
    <w:rsid w:val="00B92694"/>
    <w:rsid w:val="00B92B12"/>
    <w:rsid w:val="00B92BFC"/>
    <w:rsid w:val="00B92C65"/>
    <w:rsid w:val="00B92D94"/>
    <w:rsid w:val="00B9311A"/>
    <w:rsid w:val="00B9313C"/>
    <w:rsid w:val="00B9329D"/>
    <w:rsid w:val="00B932AB"/>
    <w:rsid w:val="00B9363A"/>
    <w:rsid w:val="00B9376A"/>
    <w:rsid w:val="00B93C6C"/>
    <w:rsid w:val="00B93CCD"/>
    <w:rsid w:val="00B93D0F"/>
    <w:rsid w:val="00B93EDA"/>
    <w:rsid w:val="00B93EE0"/>
    <w:rsid w:val="00B9404E"/>
    <w:rsid w:val="00B942ED"/>
    <w:rsid w:val="00B942F6"/>
    <w:rsid w:val="00B943E0"/>
    <w:rsid w:val="00B9442F"/>
    <w:rsid w:val="00B9461F"/>
    <w:rsid w:val="00B94718"/>
    <w:rsid w:val="00B94779"/>
    <w:rsid w:val="00B959D5"/>
    <w:rsid w:val="00B95BA4"/>
    <w:rsid w:val="00B95C3E"/>
    <w:rsid w:val="00B95CDE"/>
    <w:rsid w:val="00B95D21"/>
    <w:rsid w:val="00B95E23"/>
    <w:rsid w:val="00B95FA1"/>
    <w:rsid w:val="00B9609F"/>
    <w:rsid w:val="00B96B64"/>
    <w:rsid w:val="00B96BCE"/>
    <w:rsid w:val="00B96CBC"/>
    <w:rsid w:val="00B96EC6"/>
    <w:rsid w:val="00B97A8D"/>
    <w:rsid w:val="00B97F0C"/>
    <w:rsid w:val="00B9F3F4"/>
    <w:rsid w:val="00BA0027"/>
    <w:rsid w:val="00BA00C9"/>
    <w:rsid w:val="00BA0167"/>
    <w:rsid w:val="00BA01AB"/>
    <w:rsid w:val="00BA0411"/>
    <w:rsid w:val="00BA05A7"/>
    <w:rsid w:val="00BA08BC"/>
    <w:rsid w:val="00BA098A"/>
    <w:rsid w:val="00BA09A2"/>
    <w:rsid w:val="00BA0A60"/>
    <w:rsid w:val="00BA1087"/>
    <w:rsid w:val="00BA1178"/>
    <w:rsid w:val="00BA1379"/>
    <w:rsid w:val="00BA13F3"/>
    <w:rsid w:val="00BA15ED"/>
    <w:rsid w:val="00BA1A9E"/>
    <w:rsid w:val="00BA1AB9"/>
    <w:rsid w:val="00BA1DDD"/>
    <w:rsid w:val="00BA26B3"/>
    <w:rsid w:val="00BA2800"/>
    <w:rsid w:val="00BA29A8"/>
    <w:rsid w:val="00BA2CCD"/>
    <w:rsid w:val="00BA2E14"/>
    <w:rsid w:val="00BA2FC7"/>
    <w:rsid w:val="00BA302E"/>
    <w:rsid w:val="00BA3306"/>
    <w:rsid w:val="00BA3613"/>
    <w:rsid w:val="00BA3D65"/>
    <w:rsid w:val="00BA3D70"/>
    <w:rsid w:val="00BA3FD9"/>
    <w:rsid w:val="00BA47BC"/>
    <w:rsid w:val="00BA49D0"/>
    <w:rsid w:val="00BA5373"/>
    <w:rsid w:val="00BA53E2"/>
    <w:rsid w:val="00BA5403"/>
    <w:rsid w:val="00BA5700"/>
    <w:rsid w:val="00BA5724"/>
    <w:rsid w:val="00BA5BEB"/>
    <w:rsid w:val="00BA5C80"/>
    <w:rsid w:val="00BA5E18"/>
    <w:rsid w:val="00BA5F70"/>
    <w:rsid w:val="00BA63AA"/>
    <w:rsid w:val="00BA6674"/>
    <w:rsid w:val="00BA6B33"/>
    <w:rsid w:val="00BA6CB3"/>
    <w:rsid w:val="00BA6CF6"/>
    <w:rsid w:val="00BA6EA9"/>
    <w:rsid w:val="00BA7093"/>
    <w:rsid w:val="00BA7166"/>
    <w:rsid w:val="00BA73EE"/>
    <w:rsid w:val="00BA75CD"/>
    <w:rsid w:val="00BA78E1"/>
    <w:rsid w:val="00BA78F6"/>
    <w:rsid w:val="00BA7A02"/>
    <w:rsid w:val="00BB014B"/>
    <w:rsid w:val="00BB03D9"/>
    <w:rsid w:val="00BB0428"/>
    <w:rsid w:val="00BB04AE"/>
    <w:rsid w:val="00BB0AEB"/>
    <w:rsid w:val="00BB0BB3"/>
    <w:rsid w:val="00BB0DCC"/>
    <w:rsid w:val="00BB0DE4"/>
    <w:rsid w:val="00BB0E85"/>
    <w:rsid w:val="00BB1431"/>
    <w:rsid w:val="00BB1B62"/>
    <w:rsid w:val="00BB1DD1"/>
    <w:rsid w:val="00BB2230"/>
    <w:rsid w:val="00BB2329"/>
    <w:rsid w:val="00BB2CCB"/>
    <w:rsid w:val="00BB2CE5"/>
    <w:rsid w:val="00BB3110"/>
    <w:rsid w:val="00BB3128"/>
    <w:rsid w:val="00BB33C8"/>
    <w:rsid w:val="00BB3514"/>
    <w:rsid w:val="00BB35FD"/>
    <w:rsid w:val="00BB39D9"/>
    <w:rsid w:val="00BB3BB0"/>
    <w:rsid w:val="00BB3D44"/>
    <w:rsid w:val="00BB3E50"/>
    <w:rsid w:val="00BB3FA8"/>
    <w:rsid w:val="00BB42EF"/>
    <w:rsid w:val="00BB42F6"/>
    <w:rsid w:val="00BB4366"/>
    <w:rsid w:val="00BB439A"/>
    <w:rsid w:val="00BB45D6"/>
    <w:rsid w:val="00BB4B40"/>
    <w:rsid w:val="00BB4C2B"/>
    <w:rsid w:val="00BB4D9E"/>
    <w:rsid w:val="00BB4E24"/>
    <w:rsid w:val="00BB529D"/>
    <w:rsid w:val="00BB54A6"/>
    <w:rsid w:val="00BB5733"/>
    <w:rsid w:val="00BB57AD"/>
    <w:rsid w:val="00BB5A1F"/>
    <w:rsid w:val="00BB5FF9"/>
    <w:rsid w:val="00BB6236"/>
    <w:rsid w:val="00BB64A4"/>
    <w:rsid w:val="00BB651A"/>
    <w:rsid w:val="00BB6706"/>
    <w:rsid w:val="00BB671E"/>
    <w:rsid w:val="00BB6875"/>
    <w:rsid w:val="00BB6A32"/>
    <w:rsid w:val="00BB6CD0"/>
    <w:rsid w:val="00BB6E80"/>
    <w:rsid w:val="00BB7040"/>
    <w:rsid w:val="00BB7207"/>
    <w:rsid w:val="00BB736E"/>
    <w:rsid w:val="00BB73E9"/>
    <w:rsid w:val="00BB7DFB"/>
    <w:rsid w:val="00BB9D51"/>
    <w:rsid w:val="00BC0AC8"/>
    <w:rsid w:val="00BC0DBD"/>
    <w:rsid w:val="00BC1145"/>
    <w:rsid w:val="00BC12D7"/>
    <w:rsid w:val="00BC1538"/>
    <w:rsid w:val="00BC1568"/>
    <w:rsid w:val="00BC170B"/>
    <w:rsid w:val="00BC19B1"/>
    <w:rsid w:val="00BC1B4F"/>
    <w:rsid w:val="00BC1CAF"/>
    <w:rsid w:val="00BC1ECD"/>
    <w:rsid w:val="00BC23F4"/>
    <w:rsid w:val="00BC244B"/>
    <w:rsid w:val="00BC2533"/>
    <w:rsid w:val="00BC264D"/>
    <w:rsid w:val="00BC2810"/>
    <w:rsid w:val="00BC2815"/>
    <w:rsid w:val="00BC2D58"/>
    <w:rsid w:val="00BC3791"/>
    <w:rsid w:val="00BC3BEB"/>
    <w:rsid w:val="00BC3F04"/>
    <w:rsid w:val="00BC4571"/>
    <w:rsid w:val="00BC46A6"/>
    <w:rsid w:val="00BC4FD2"/>
    <w:rsid w:val="00BC5023"/>
    <w:rsid w:val="00BC51B0"/>
    <w:rsid w:val="00BC55C1"/>
    <w:rsid w:val="00BC55CB"/>
    <w:rsid w:val="00BC56C3"/>
    <w:rsid w:val="00BC58FD"/>
    <w:rsid w:val="00BC5965"/>
    <w:rsid w:val="00BC5BE1"/>
    <w:rsid w:val="00BC5CF7"/>
    <w:rsid w:val="00BC5EFC"/>
    <w:rsid w:val="00BC6067"/>
    <w:rsid w:val="00BC617D"/>
    <w:rsid w:val="00BC62DC"/>
    <w:rsid w:val="00BC63A3"/>
    <w:rsid w:val="00BC64CC"/>
    <w:rsid w:val="00BC6950"/>
    <w:rsid w:val="00BC6A47"/>
    <w:rsid w:val="00BC6BC9"/>
    <w:rsid w:val="00BC6C05"/>
    <w:rsid w:val="00BC6ED2"/>
    <w:rsid w:val="00BC6F9D"/>
    <w:rsid w:val="00BC745F"/>
    <w:rsid w:val="00BC7472"/>
    <w:rsid w:val="00BC7985"/>
    <w:rsid w:val="00BC7D39"/>
    <w:rsid w:val="00BC7E4E"/>
    <w:rsid w:val="00BC7F1A"/>
    <w:rsid w:val="00BD00DF"/>
    <w:rsid w:val="00BD00EB"/>
    <w:rsid w:val="00BD03EC"/>
    <w:rsid w:val="00BD0412"/>
    <w:rsid w:val="00BD0515"/>
    <w:rsid w:val="00BD0D87"/>
    <w:rsid w:val="00BD0DD0"/>
    <w:rsid w:val="00BD0E26"/>
    <w:rsid w:val="00BD0EB8"/>
    <w:rsid w:val="00BD1124"/>
    <w:rsid w:val="00BD1188"/>
    <w:rsid w:val="00BD128B"/>
    <w:rsid w:val="00BD1540"/>
    <w:rsid w:val="00BD1557"/>
    <w:rsid w:val="00BD15A9"/>
    <w:rsid w:val="00BD1959"/>
    <w:rsid w:val="00BD1CC5"/>
    <w:rsid w:val="00BD23A9"/>
    <w:rsid w:val="00BD26CB"/>
    <w:rsid w:val="00BD2ACC"/>
    <w:rsid w:val="00BD2B5A"/>
    <w:rsid w:val="00BD3001"/>
    <w:rsid w:val="00BD30BE"/>
    <w:rsid w:val="00BD30E7"/>
    <w:rsid w:val="00BD3942"/>
    <w:rsid w:val="00BD3B69"/>
    <w:rsid w:val="00BD3C6F"/>
    <w:rsid w:val="00BD3F23"/>
    <w:rsid w:val="00BD4001"/>
    <w:rsid w:val="00BD4378"/>
    <w:rsid w:val="00BD4DD9"/>
    <w:rsid w:val="00BD4E7E"/>
    <w:rsid w:val="00BD5229"/>
    <w:rsid w:val="00BD540F"/>
    <w:rsid w:val="00BD54A3"/>
    <w:rsid w:val="00BD54F9"/>
    <w:rsid w:val="00BD55A0"/>
    <w:rsid w:val="00BD55EE"/>
    <w:rsid w:val="00BD57E9"/>
    <w:rsid w:val="00BD590A"/>
    <w:rsid w:val="00BD5DAC"/>
    <w:rsid w:val="00BD5EE8"/>
    <w:rsid w:val="00BD669E"/>
    <w:rsid w:val="00BD67C2"/>
    <w:rsid w:val="00BD686D"/>
    <w:rsid w:val="00BD69BF"/>
    <w:rsid w:val="00BD6A77"/>
    <w:rsid w:val="00BD6B1E"/>
    <w:rsid w:val="00BD6B9D"/>
    <w:rsid w:val="00BD6FBC"/>
    <w:rsid w:val="00BD73E8"/>
    <w:rsid w:val="00BD73ED"/>
    <w:rsid w:val="00BD79AD"/>
    <w:rsid w:val="00BD7C39"/>
    <w:rsid w:val="00BD7F76"/>
    <w:rsid w:val="00BE0686"/>
    <w:rsid w:val="00BE06F1"/>
    <w:rsid w:val="00BE07C5"/>
    <w:rsid w:val="00BE0977"/>
    <w:rsid w:val="00BE0BB9"/>
    <w:rsid w:val="00BE0CDD"/>
    <w:rsid w:val="00BE130B"/>
    <w:rsid w:val="00BE13C9"/>
    <w:rsid w:val="00BE164C"/>
    <w:rsid w:val="00BE1A86"/>
    <w:rsid w:val="00BE1E68"/>
    <w:rsid w:val="00BE1E95"/>
    <w:rsid w:val="00BE2014"/>
    <w:rsid w:val="00BE2499"/>
    <w:rsid w:val="00BE24F3"/>
    <w:rsid w:val="00BE2C25"/>
    <w:rsid w:val="00BE2EF7"/>
    <w:rsid w:val="00BE30D5"/>
    <w:rsid w:val="00BE35CF"/>
    <w:rsid w:val="00BE3682"/>
    <w:rsid w:val="00BE377D"/>
    <w:rsid w:val="00BE37E9"/>
    <w:rsid w:val="00BE385B"/>
    <w:rsid w:val="00BE3AFC"/>
    <w:rsid w:val="00BE3CAA"/>
    <w:rsid w:val="00BE3D49"/>
    <w:rsid w:val="00BE3E0B"/>
    <w:rsid w:val="00BE3E5F"/>
    <w:rsid w:val="00BE3FD9"/>
    <w:rsid w:val="00BE45AB"/>
    <w:rsid w:val="00BE48A9"/>
    <w:rsid w:val="00BE4AD8"/>
    <w:rsid w:val="00BE4D6F"/>
    <w:rsid w:val="00BE4D85"/>
    <w:rsid w:val="00BE4FE5"/>
    <w:rsid w:val="00BE52FC"/>
    <w:rsid w:val="00BE5665"/>
    <w:rsid w:val="00BE583A"/>
    <w:rsid w:val="00BE5C99"/>
    <w:rsid w:val="00BE5FFE"/>
    <w:rsid w:val="00BE6128"/>
    <w:rsid w:val="00BE662C"/>
    <w:rsid w:val="00BE6897"/>
    <w:rsid w:val="00BE6C6A"/>
    <w:rsid w:val="00BE6EB6"/>
    <w:rsid w:val="00BE70A8"/>
    <w:rsid w:val="00BE70D2"/>
    <w:rsid w:val="00BE7279"/>
    <w:rsid w:val="00BE7730"/>
    <w:rsid w:val="00BE77E2"/>
    <w:rsid w:val="00BE79FF"/>
    <w:rsid w:val="00BE7D17"/>
    <w:rsid w:val="00BED3D7"/>
    <w:rsid w:val="00BF0355"/>
    <w:rsid w:val="00BF0598"/>
    <w:rsid w:val="00BF0626"/>
    <w:rsid w:val="00BF10F5"/>
    <w:rsid w:val="00BF147B"/>
    <w:rsid w:val="00BF1681"/>
    <w:rsid w:val="00BF1C78"/>
    <w:rsid w:val="00BF201E"/>
    <w:rsid w:val="00BF209A"/>
    <w:rsid w:val="00BF2506"/>
    <w:rsid w:val="00BF2589"/>
    <w:rsid w:val="00BF260E"/>
    <w:rsid w:val="00BF2617"/>
    <w:rsid w:val="00BF2876"/>
    <w:rsid w:val="00BF2A56"/>
    <w:rsid w:val="00BF2D48"/>
    <w:rsid w:val="00BF2DE6"/>
    <w:rsid w:val="00BF2FF5"/>
    <w:rsid w:val="00BF3101"/>
    <w:rsid w:val="00BF3218"/>
    <w:rsid w:val="00BF3231"/>
    <w:rsid w:val="00BF33E4"/>
    <w:rsid w:val="00BF34DA"/>
    <w:rsid w:val="00BF393B"/>
    <w:rsid w:val="00BF3A82"/>
    <w:rsid w:val="00BF4703"/>
    <w:rsid w:val="00BF4762"/>
    <w:rsid w:val="00BF49C2"/>
    <w:rsid w:val="00BF49C4"/>
    <w:rsid w:val="00BF4B42"/>
    <w:rsid w:val="00BF4CFA"/>
    <w:rsid w:val="00BF4D66"/>
    <w:rsid w:val="00BF4F33"/>
    <w:rsid w:val="00BF50D8"/>
    <w:rsid w:val="00BF5417"/>
    <w:rsid w:val="00BF5482"/>
    <w:rsid w:val="00BF55AC"/>
    <w:rsid w:val="00BF58B2"/>
    <w:rsid w:val="00BF597B"/>
    <w:rsid w:val="00BF5EED"/>
    <w:rsid w:val="00BF61C3"/>
    <w:rsid w:val="00BF63E6"/>
    <w:rsid w:val="00BF6628"/>
    <w:rsid w:val="00BF68AF"/>
    <w:rsid w:val="00BF68D4"/>
    <w:rsid w:val="00BF6E4A"/>
    <w:rsid w:val="00BF7295"/>
    <w:rsid w:val="00BF79F8"/>
    <w:rsid w:val="00BF7A17"/>
    <w:rsid w:val="00BF7D4E"/>
    <w:rsid w:val="00BF7E30"/>
    <w:rsid w:val="00C00187"/>
    <w:rsid w:val="00C001B4"/>
    <w:rsid w:val="00C006A5"/>
    <w:rsid w:val="00C007CA"/>
    <w:rsid w:val="00C00F83"/>
    <w:rsid w:val="00C010A2"/>
    <w:rsid w:val="00C010E0"/>
    <w:rsid w:val="00C0119D"/>
    <w:rsid w:val="00C012F5"/>
    <w:rsid w:val="00C013FC"/>
    <w:rsid w:val="00C016C6"/>
    <w:rsid w:val="00C01797"/>
    <w:rsid w:val="00C01990"/>
    <w:rsid w:val="00C019A4"/>
    <w:rsid w:val="00C01C8F"/>
    <w:rsid w:val="00C01E8D"/>
    <w:rsid w:val="00C020EA"/>
    <w:rsid w:val="00C025B2"/>
    <w:rsid w:val="00C02750"/>
    <w:rsid w:val="00C028E6"/>
    <w:rsid w:val="00C02BBE"/>
    <w:rsid w:val="00C02E22"/>
    <w:rsid w:val="00C03197"/>
    <w:rsid w:val="00C031FA"/>
    <w:rsid w:val="00C033CA"/>
    <w:rsid w:val="00C03435"/>
    <w:rsid w:val="00C03B87"/>
    <w:rsid w:val="00C03DB1"/>
    <w:rsid w:val="00C0407A"/>
    <w:rsid w:val="00C0408D"/>
    <w:rsid w:val="00C0410C"/>
    <w:rsid w:val="00C04183"/>
    <w:rsid w:val="00C041B7"/>
    <w:rsid w:val="00C04367"/>
    <w:rsid w:val="00C0491E"/>
    <w:rsid w:val="00C04AF6"/>
    <w:rsid w:val="00C04D98"/>
    <w:rsid w:val="00C053BC"/>
    <w:rsid w:val="00C054C2"/>
    <w:rsid w:val="00C05577"/>
    <w:rsid w:val="00C05876"/>
    <w:rsid w:val="00C05EB4"/>
    <w:rsid w:val="00C05F2E"/>
    <w:rsid w:val="00C05F9F"/>
    <w:rsid w:val="00C0636F"/>
    <w:rsid w:val="00C06459"/>
    <w:rsid w:val="00C0665B"/>
    <w:rsid w:val="00C06BE8"/>
    <w:rsid w:val="00C06E22"/>
    <w:rsid w:val="00C06E2A"/>
    <w:rsid w:val="00C07373"/>
    <w:rsid w:val="00C07417"/>
    <w:rsid w:val="00C07484"/>
    <w:rsid w:val="00C075AA"/>
    <w:rsid w:val="00C07BBA"/>
    <w:rsid w:val="00C07DE3"/>
    <w:rsid w:val="00C10325"/>
    <w:rsid w:val="00C10407"/>
    <w:rsid w:val="00C104CE"/>
    <w:rsid w:val="00C105A8"/>
    <w:rsid w:val="00C1081A"/>
    <w:rsid w:val="00C10B20"/>
    <w:rsid w:val="00C10B4E"/>
    <w:rsid w:val="00C10B79"/>
    <w:rsid w:val="00C1112B"/>
    <w:rsid w:val="00C1126D"/>
    <w:rsid w:val="00C11317"/>
    <w:rsid w:val="00C115F0"/>
    <w:rsid w:val="00C11A01"/>
    <w:rsid w:val="00C11E13"/>
    <w:rsid w:val="00C11EBB"/>
    <w:rsid w:val="00C11F25"/>
    <w:rsid w:val="00C12051"/>
    <w:rsid w:val="00C12271"/>
    <w:rsid w:val="00C123AE"/>
    <w:rsid w:val="00C12483"/>
    <w:rsid w:val="00C12DD1"/>
    <w:rsid w:val="00C12FD1"/>
    <w:rsid w:val="00C13441"/>
    <w:rsid w:val="00C13696"/>
    <w:rsid w:val="00C1377A"/>
    <w:rsid w:val="00C137DD"/>
    <w:rsid w:val="00C139C6"/>
    <w:rsid w:val="00C13C2D"/>
    <w:rsid w:val="00C13F51"/>
    <w:rsid w:val="00C13F9B"/>
    <w:rsid w:val="00C1461A"/>
    <w:rsid w:val="00C14710"/>
    <w:rsid w:val="00C14E4A"/>
    <w:rsid w:val="00C14E9E"/>
    <w:rsid w:val="00C154A3"/>
    <w:rsid w:val="00C15695"/>
    <w:rsid w:val="00C156A4"/>
    <w:rsid w:val="00C1578E"/>
    <w:rsid w:val="00C1597B"/>
    <w:rsid w:val="00C15B62"/>
    <w:rsid w:val="00C15EDC"/>
    <w:rsid w:val="00C16096"/>
    <w:rsid w:val="00C164A4"/>
    <w:rsid w:val="00C165D1"/>
    <w:rsid w:val="00C16ACC"/>
    <w:rsid w:val="00C17105"/>
    <w:rsid w:val="00C171E2"/>
    <w:rsid w:val="00C1720D"/>
    <w:rsid w:val="00C1738F"/>
    <w:rsid w:val="00C173DE"/>
    <w:rsid w:val="00C17521"/>
    <w:rsid w:val="00C1758A"/>
    <w:rsid w:val="00C17C65"/>
    <w:rsid w:val="00C17E0A"/>
    <w:rsid w:val="00C2000D"/>
    <w:rsid w:val="00C20277"/>
    <w:rsid w:val="00C204DD"/>
    <w:rsid w:val="00C209F2"/>
    <w:rsid w:val="00C209FF"/>
    <w:rsid w:val="00C20B26"/>
    <w:rsid w:val="00C20C6B"/>
    <w:rsid w:val="00C20CF9"/>
    <w:rsid w:val="00C211B1"/>
    <w:rsid w:val="00C21286"/>
    <w:rsid w:val="00C213AB"/>
    <w:rsid w:val="00C2162A"/>
    <w:rsid w:val="00C21A0C"/>
    <w:rsid w:val="00C21A2F"/>
    <w:rsid w:val="00C21A30"/>
    <w:rsid w:val="00C21AD9"/>
    <w:rsid w:val="00C21C97"/>
    <w:rsid w:val="00C21EAB"/>
    <w:rsid w:val="00C22095"/>
    <w:rsid w:val="00C220E3"/>
    <w:rsid w:val="00C221BF"/>
    <w:rsid w:val="00C2251A"/>
    <w:rsid w:val="00C2279A"/>
    <w:rsid w:val="00C2288B"/>
    <w:rsid w:val="00C22F8F"/>
    <w:rsid w:val="00C232E3"/>
    <w:rsid w:val="00C2371B"/>
    <w:rsid w:val="00C23AEF"/>
    <w:rsid w:val="00C23EB6"/>
    <w:rsid w:val="00C23FEA"/>
    <w:rsid w:val="00C240BC"/>
    <w:rsid w:val="00C24196"/>
    <w:rsid w:val="00C2420A"/>
    <w:rsid w:val="00C2442B"/>
    <w:rsid w:val="00C246CD"/>
    <w:rsid w:val="00C24796"/>
    <w:rsid w:val="00C24A61"/>
    <w:rsid w:val="00C2517E"/>
    <w:rsid w:val="00C2527D"/>
    <w:rsid w:val="00C2576D"/>
    <w:rsid w:val="00C25988"/>
    <w:rsid w:val="00C25A3E"/>
    <w:rsid w:val="00C25F44"/>
    <w:rsid w:val="00C2613E"/>
    <w:rsid w:val="00C262DC"/>
    <w:rsid w:val="00C26313"/>
    <w:rsid w:val="00C266DB"/>
    <w:rsid w:val="00C268CF"/>
    <w:rsid w:val="00C27012"/>
    <w:rsid w:val="00C2726D"/>
    <w:rsid w:val="00C273DD"/>
    <w:rsid w:val="00C274DB"/>
    <w:rsid w:val="00C27D4A"/>
    <w:rsid w:val="00C27DAF"/>
    <w:rsid w:val="00C27F34"/>
    <w:rsid w:val="00C300DC"/>
    <w:rsid w:val="00C3020D"/>
    <w:rsid w:val="00C30442"/>
    <w:rsid w:val="00C30560"/>
    <w:rsid w:val="00C305C5"/>
    <w:rsid w:val="00C306A0"/>
    <w:rsid w:val="00C30B50"/>
    <w:rsid w:val="00C30CB7"/>
    <w:rsid w:val="00C30D55"/>
    <w:rsid w:val="00C31360"/>
    <w:rsid w:val="00C31559"/>
    <w:rsid w:val="00C317F3"/>
    <w:rsid w:val="00C31C58"/>
    <w:rsid w:val="00C32157"/>
    <w:rsid w:val="00C32516"/>
    <w:rsid w:val="00C326A9"/>
    <w:rsid w:val="00C32761"/>
    <w:rsid w:val="00C32EBD"/>
    <w:rsid w:val="00C3345D"/>
    <w:rsid w:val="00C3391C"/>
    <w:rsid w:val="00C339CC"/>
    <w:rsid w:val="00C341E1"/>
    <w:rsid w:val="00C342AE"/>
    <w:rsid w:val="00C348F1"/>
    <w:rsid w:val="00C349C2"/>
    <w:rsid w:val="00C34E1E"/>
    <w:rsid w:val="00C34E2D"/>
    <w:rsid w:val="00C34E2F"/>
    <w:rsid w:val="00C351EF"/>
    <w:rsid w:val="00C354F3"/>
    <w:rsid w:val="00C3571E"/>
    <w:rsid w:val="00C3594C"/>
    <w:rsid w:val="00C359CC"/>
    <w:rsid w:val="00C35B48"/>
    <w:rsid w:val="00C35CDF"/>
    <w:rsid w:val="00C35FB9"/>
    <w:rsid w:val="00C35FBA"/>
    <w:rsid w:val="00C3602F"/>
    <w:rsid w:val="00C360E5"/>
    <w:rsid w:val="00C36181"/>
    <w:rsid w:val="00C361F4"/>
    <w:rsid w:val="00C36562"/>
    <w:rsid w:val="00C36BFA"/>
    <w:rsid w:val="00C37607"/>
    <w:rsid w:val="00C37643"/>
    <w:rsid w:val="00C378E9"/>
    <w:rsid w:val="00C37E5B"/>
    <w:rsid w:val="00C37E75"/>
    <w:rsid w:val="00C37F16"/>
    <w:rsid w:val="00C37FBD"/>
    <w:rsid w:val="00C4023D"/>
    <w:rsid w:val="00C40389"/>
    <w:rsid w:val="00C40991"/>
    <w:rsid w:val="00C40C7A"/>
    <w:rsid w:val="00C415BA"/>
    <w:rsid w:val="00C415FB"/>
    <w:rsid w:val="00C41F4E"/>
    <w:rsid w:val="00C420E2"/>
    <w:rsid w:val="00C42123"/>
    <w:rsid w:val="00C4224C"/>
    <w:rsid w:val="00C42422"/>
    <w:rsid w:val="00C42667"/>
    <w:rsid w:val="00C429D8"/>
    <w:rsid w:val="00C42D60"/>
    <w:rsid w:val="00C42F41"/>
    <w:rsid w:val="00C433B4"/>
    <w:rsid w:val="00C43A8C"/>
    <w:rsid w:val="00C43CF6"/>
    <w:rsid w:val="00C43D01"/>
    <w:rsid w:val="00C43D27"/>
    <w:rsid w:val="00C43E47"/>
    <w:rsid w:val="00C44261"/>
    <w:rsid w:val="00C44544"/>
    <w:rsid w:val="00C4454F"/>
    <w:rsid w:val="00C44C37"/>
    <w:rsid w:val="00C44C75"/>
    <w:rsid w:val="00C44CBE"/>
    <w:rsid w:val="00C44DC3"/>
    <w:rsid w:val="00C45234"/>
    <w:rsid w:val="00C456D7"/>
    <w:rsid w:val="00C459C3"/>
    <w:rsid w:val="00C45A0A"/>
    <w:rsid w:val="00C45C80"/>
    <w:rsid w:val="00C45F91"/>
    <w:rsid w:val="00C461BD"/>
    <w:rsid w:val="00C46228"/>
    <w:rsid w:val="00C4634D"/>
    <w:rsid w:val="00C46AE5"/>
    <w:rsid w:val="00C46B4F"/>
    <w:rsid w:val="00C4754F"/>
    <w:rsid w:val="00C47654"/>
    <w:rsid w:val="00C476FF"/>
    <w:rsid w:val="00C47813"/>
    <w:rsid w:val="00C47C23"/>
    <w:rsid w:val="00C47CD0"/>
    <w:rsid w:val="00C47CE0"/>
    <w:rsid w:val="00C47E64"/>
    <w:rsid w:val="00C47E70"/>
    <w:rsid w:val="00C47F82"/>
    <w:rsid w:val="00C50054"/>
    <w:rsid w:val="00C504BC"/>
    <w:rsid w:val="00C505F5"/>
    <w:rsid w:val="00C509F7"/>
    <w:rsid w:val="00C50C48"/>
    <w:rsid w:val="00C50E80"/>
    <w:rsid w:val="00C51076"/>
    <w:rsid w:val="00C51125"/>
    <w:rsid w:val="00C5123A"/>
    <w:rsid w:val="00C51292"/>
    <w:rsid w:val="00C512B9"/>
    <w:rsid w:val="00C514A2"/>
    <w:rsid w:val="00C51AEE"/>
    <w:rsid w:val="00C51EB3"/>
    <w:rsid w:val="00C52263"/>
    <w:rsid w:val="00C5227E"/>
    <w:rsid w:val="00C525A5"/>
    <w:rsid w:val="00C525D8"/>
    <w:rsid w:val="00C525F2"/>
    <w:rsid w:val="00C5266F"/>
    <w:rsid w:val="00C52AD9"/>
    <w:rsid w:val="00C52BE0"/>
    <w:rsid w:val="00C52C15"/>
    <w:rsid w:val="00C52FD9"/>
    <w:rsid w:val="00C5307A"/>
    <w:rsid w:val="00C532BF"/>
    <w:rsid w:val="00C536C9"/>
    <w:rsid w:val="00C53AB0"/>
    <w:rsid w:val="00C5517B"/>
    <w:rsid w:val="00C552B4"/>
    <w:rsid w:val="00C55340"/>
    <w:rsid w:val="00C558BC"/>
    <w:rsid w:val="00C55949"/>
    <w:rsid w:val="00C55B8D"/>
    <w:rsid w:val="00C55BE1"/>
    <w:rsid w:val="00C56093"/>
    <w:rsid w:val="00C561C6"/>
    <w:rsid w:val="00C5632E"/>
    <w:rsid w:val="00C564C2"/>
    <w:rsid w:val="00C569E0"/>
    <w:rsid w:val="00C56B59"/>
    <w:rsid w:val="00C56F70"/>
    <w:rsid w:val="00C5756A"/>
    <w:rsid w:val="00C57E4D"/>
    <w:rsid w:val="00C6018A"/>
    <w:rsid w:val="00C6019D"/>
    <w:rsid w:val="00C60475"/>
    <w:rsid w:val="00C60545"/>
    <w:rsid w:val="00C6076F"/>
    <w:rsid w:val="00C60789"/>
    <w:rsid w:val="00C60D14"/>
    <w:rsid w:val="00C60D47"/>
    <w:rsid w:val="00C60F85"/>
    <w:rsid w:val="00C610AA"/>
    <w:rsid w:val="00C61362"/>
    <w:rsid w:val="00C61514"/>
    <w:rsid w:val="00C6198B"/>
    <w:rsid w:val="00C61B2A"/>
    <w:rsid w:val="00C61D89"/>
    <w:rsid w:val="00C61F2D"/>
    <w:rsid w:val="00C620D0"/>
    <w:rsid w:val="00C622A3"/>
    <w:rsid w:val="00C624F4"/>
    <w:rsid w:val="00C62638"/>
    <w:rsid w:val="00C626E2"/>
    <w:rsid w:val="00C628C8"/>
    <w:rsid w:val="00C62C40"/>
    <w:rsid w:val="00C6348F"/>
    <w:rsid w:val="00C63646"/>
    <w:rsid w:val="00C636DC"/>
    <w:rsid w:val="00C638A9"/>
    <w:rsid w:val="00C63921"/>
    <w:rsid w:val="00C6422A"/>
    <w:rsid w:val="00C64249"/>
    <w:rsid w:val="00C64281"/>
    <w:rsid w:val="00C6488F"/>
    <w:rsid w:val="00C64941"/>
    <w:rsid w:val="00C6499E"/>
    <w:rsid w:val="00C64BC0"/>
    <w:rsid w:val="00C64E3A"/>
    <w:rsid w:val="00C652C4"/>
    <w:rsid w:val="00C65436"/>
    <w:rsid w:val="00C65596"/>
    <w:rsid w:val="00C6593B"/>
    <w:rsid w:val="00C65CD0"/>
    <w:rsid w:val="00C65E0E"/>
    <w:rsid w:val="00C6609F"/>
    <w:rsid w:val="00C6646C"/>
    <w:rsid w:val="00C66533"/>
    <w:rsid w:val="00C668B0"/>
    <w:rsid w:val="00C66C7C"/>
    <w:rsid w:val="00C66CF1"/>
    <w:rsid w:val="00C673F8"/>
    <w:rsid w:val="00C676EF"/>
    <w:rsid w:val="00C678B2"/>
    <w:rsid w:val="00C678C3"/>
    <w:rsid w:val="00C67DDF"/>
    <w:rsid w:val="00C700A6"/>
    <w:rsid w:val="00C7010A"/>
    <w:rsid w:val="00C701C6"/>
    <w:rsid w:val="00C7025A"/>
    <w:rsid w:val="00C702C8"/>
    <w:rsid w:val="00C70365"/>
    <w:rsid w:val="00C70442"/>
    <w:rsid w:val="00C704FF"/>
    <w:rsid w:val="00C708AC"/>
    <w:rsid w:val="00C70B73"/>
    <w:rsid w:val="00C70BDA"/>
    <w:rsid w:val="00C70C0C"/>
    <w:rsid w:val="00C70E01"/>
    <w:rsid w:val="00C70E94"/>
    <w:rsid w:val="00C71196"/>
    <w:rsid w:val="00C7121C"/>
    <w:rsid w:val="00C71367"/>
    <w:rsid w:val="00C717E6"/>
    <w:rsid w:val="00C71A5D"/>
    <w:rsid w:val="00C721CC"/>
    <w:rsid w:val="00C723C7"/>
    <w:rsid w:val="00C726FF"/>
    <w:rsid w:val="00C727EE"/>
    <w:rsid w:val="00C727EF"/>
    <w:rsid w:val="00C72801"/>
    <w:rsid w:val="00C72AC3"/>
    <w:rsid w:val="00C72BA0"/>
    <w:rsid w:val="00C72C31"/>
    <w:rsid w:val="00C72E77"/>
    <w:rsid w:val="00C73106"/>
    <w:rsid w:val="00C731AE"/>
    <w:rsid w:val="00C732E6"/>
    <w:rsid w:val="00C73340"/>
    <w:rsid w:val="00C73384"/>
    <w:rsid w:val="00C733C4"/>
    <w:rsid w:val="00C736E7"/>
    <w:rsid w:val="00C73DAF"/>
    <w:rsid w:val="00C743EB"/>
    <w:rsid w:val="00C74514"/>
    <w:rsid w:val="00C7451F"/>
    <w:rsid w:val="00C7479C"/>
    <w:rsid w:val="00C7497C"/>
    <w:rsid w:val="00C74E35"/>
    <w:rsid w:val="00C7519E"/>
    <w:rsid w:val="00C75500"/>
    <w:rsid w:val="00C7564B"/>
    <w:rsid w:val="00C756A1"/>
    <w:rsid w:val="00C756E4"/>
    <w:rsid w:val="00C75848"/>
    <w:rsid w:val="00C759BA"/>
    <w:rsid w:val="00C762AB"/>
    <w:rsid w:val="00C76427"/>
    <w:rsid w:val="00C76DAE"/>
    <w:rsid w:val="00C76DEF"/>
    <w:rsid w:val="00C76E2A"/>
    <w:rsid w:val="00C77011"/>
    <w:rsid w:val="00C7705D"/>
    <w:rsid w:val="00C77AE3"/>
    <w:rsid w:val="00C77BF4"/>
    <w:rsid w:val="00C77F08"/>
    <w:rsid w:val="00C80136"/>
    <w:rsid w:val="00C805AD"/>
    <w:rsid w:val="00C80936"/>
    <w:rsid w:val="00C80CB4"/>
    <w:rsid w:val="00C80E9C"/>
    <w:rsid w:val="00C80EA3"/>
    <w:rsid w:val="00C8101A"/>
    <w:rsid w:val="00C812B2"/>
    <w:rsid w:val="00C81606"/>
    <w:rsid w:val="00C8199F"/>
    <w:rsid w:val="00C819DF"/>
    <w:rsid w:val="00C81A12"/>
    <w:rsid w:val="00C81C33"/>
    <w:rsid w:val="00C81C5B"/>
    <w:rsid w:val="00C81C70"/>
    <w:rsid w:val="00C820E2"/>
    <w:rsid w:val="00C821B4"/>
    <w:rsid w:val="00C82261"/>
    <w:rsid w:val="00C824E4"/>
    <w:rsid w:val="00C8278F"/>
    <w:rsid w:val="00C8296F"/>
    <w:rsid w:val="00C8299D"/>
    <w:rsid w:val="00C82EC2"/>
    <w:rsid w:val="00C8309A"/>
    <w:rsid w:val="00C83182"/>
    <w:rsid w:val="00C831D2"/>
    <w:rsid w:val="00C835E6"/>
    <w:rsid w:val="00C8369D"/>
    <w:rsid w:val="00C836D7"/>
    <w:rsid w:val="00C837ED"/>
    <w:rsid w:val="00C838C9"/>
    <w:rsid w:val="00C83E34"/>
    <w:rsid w:val="00C8401D"/>
    <w:rsid w:val="00C844AB"/>
    <w:rsid w:val="00C844FB"/>
    <w:rsid w:val="00C846BE"/>
    <w:rsid w:val="00C846C4"/>
    <w:rsid w:val="00C848C1"/>
    <w:rsid w:val="00C84A86"/>
    <w:rsid w:val="00C84C02"/>
    <w:rsid w:val="00C84C1F"/>
    <w:rsid w:val="00C850A2"/>
    <w:rsid w:val="00C855A8"/>
    <w:rsid w:val="00C85754"/>
    <w:rsid w:val="00C85B65"/>
    <w:rsid w:val="00C85C41"/>
    <w:rsid w:val="00C85C9F"/>
    <w:rsid w:val="00C85EC1"/>
    <w:rsid w:val="00C86280"/>
    <w:rsid w:val="00C8685C"/>
    <w:rsid w:val="00C86C81"/>
    <w:rsid w:val="00C86E21"/>
    <w:rsid w:val="00C87120"/>
    <w:rsid w:val="00C871CA"/>
    <w:rsid w:val="00C8780B"/>
    <w:rsid w:val="00C87949"/>
    <w:rsid w:val="00C87A09"/>
    <w:rsid w:val="00C87A20"/>
    <w:rsid w:val="00C87DE5"/>
    <w:rsid w:val="00C87E5B"/>
    <w:rsid w:val="00C87F5E"/>
    <w:rsid w:val="00C87FDD"/>
    <w:rsid w:val="00C90053"/>
    <w:rsid w:val="00C9006C"/>
    <w:rsid w:val="00C901CB"/>
    <w:rsid w:val="00C90257"/>
    <w:rsid w:val="00C902EC"/>
    <w:rsid w:val="00C905D6"/>
    <w:rsid w:val="00C907DD"/>
    <w:rsid w:val="00C9088E"/>
    <w:rsid w:val="00C9115B"/>
    <w:rsid w:val="00C9150C"/>
    <w:rsid w:val="00C91523"/>
    <w:rsid w:val="00C9161F"/>
    <w:rsid w:val="00C918A6"/>
    <w:rsid w:val="00C91AE8"/>
    <w:rsid w:val="00C91D2C"/>
    <w:rsid w:val="00C91E83"/>
    <w:rsid w:val="00C920A1"/>
    <w:rsid w:val="00C921D3"/>
    <w:rsid w:val="00C9221A"/>
    <w:rsid w:val="00C925B9"/>
    <w:rsid w:val="00C92F7A"/>
    <w:rsid w:val="00C93160"/>
    <w:rsid w:val="00C93178"/>
    <w:rsid w:val="00C931DE"/>
    <w:rsid w:val="00C934DC"/>
    <w:rsid w:val="00C93787"/>
    <w:rsid w:val="00C93A91"/>
    <w:rsid w:val="00C93D1B"/>
    <w:rsid w:val="00C941AC"/>
    <w:rsid w:val="00C94349"/>
    <w:rsid w:val="00C943DC"/>
    <w:rsid w:val="00C94B11"/>
    <w:rsid w:val="00C950C4"/>
    <w:rsid w:val="00C9524A"/>
    <w:rsid w:val="00C95385"/>
    <w:rsid w:val="00C95AA5"/>
    <w:rsid w:val="00C9605A"/>
    <w:rsid w:val="00C96398"/>
    <w:rsid w:val="00C963DE"/>
    <w:rsid w:val="00C968E5"/>
    <w:rsid w:val="00C96A48"/>
    <w:rsid w:val="00C96B32"/>
    <w:rsid w:val="00C9711D"/>
    <w:rsid w:val="00C97258"/>
    <w:rsid w:val="00C972D0"/>
    <w:rsid w:val="00C9756B"/>
    <w:rsid w:val="00C97637"/>
    <w:rsid w:val="00C97A12"/>
    <w:rsid w:val="00C97CFF"/>
    <w:rsid w:val="00CA007C"/>
    <w:rsid w:val="00CA01CA"/>
    <w:rsid w:val="00CA030D"/>
    <w:rsid w:val="00CA032B"/>
    <w:rsid w:val="00CA046E"/>
    <w:rsid w:val="00CA0486"/>
    <w:rsid w:val="00CA04C5"/>
    <w:rsid w:val="00CA06E7"/>
    <w:rsid w:val="00CA0707"/>
    <w:rsid w:val="00CA0794"/>
    <w:rsid w:val="00CA07AE"/>
    <w:rsid w:val="00CA0C26"/>
    <w:rsid w:val="00CA1048"/>
    <w:rsid w:val="00CA13BA"/>
    <w:rsid w:val="00CA1559"/>
    <w:rsid w:val="00CA16A4"/>
    <w:rsid w:val="00CA1810"/>
    <w:rsid w:val="00CA1EC9"/>
    <w:rsid w:val="00CA1F41"/>
    <w:rsid w:val="00CA20F8"/>
    <w:rsid w:val="00CA25DE"/>
    <w:rsid w:val="00CA2CFF"/>
    <w:rsid w:val="00CA3019"/>
    <w:rsid w:val="00CA31DF"/>
    <w:rsid w:val="00CA348C"/>
    <w:rsid w:val="00CA3678"/>
    <w:rsid w:val="00CA3888"/>
    <w:rsid w:val="00CA4189"/>
    <w:rsid w:val="00CA475A"/>
    <w:rsid w:val="00CA4910"/>
    <w:rsid w:val="00CA4BC3"/>
    <w:rsid w:val="00CA4F15"/>
    <w:rsid w:val="00CA5282"/>
    <w:rsid w:val="00CA58D8"/>
    <w:rsid w:val="00CA5CF4"/>
    <w:rsid w:val="00CA6212"/>
    <w:rsid w:val="00CA6279"/>
    <w:rsid w:val="00CA63CB"/>
    <w:rsid w:val="00CA68B6"/>
    <w:rsid w:val="00CA68BB"/>
    <w:rsid w:val="00CA69AC"/>
    <w:rsid w:val="00CA6D90"/>
    <w:rsid w:val="00CA71A1"/>
    <w:rsid w:val="00CA75B3"/>
    <w:rsid w:val="00CA76A7"/>
    <w:rsid w:val="00CA7767"/>
    <w:rsid w:val="00CA7884"/>
    <w:rsid w:val="00CA7AF0"/>
    <w:rsid w:val="00CB007F"/>
    <w:rsid w:val="00CB012F"/>
    <w:rsid w:val="00CB05B9"/>
    <w:rsid w:val="00CB0667"/>
    <w:rsid w:val="00CB07A8"/>
    <w:rsid w:val="00CB0813"/>
    <w:rsid w:val="00CB09E1"/>
    <w:rsid w:val="00CB1414"/>
    <w:rsid w:val="00CB1711"/>
    <w:rsid w:val="00CB17CD"/>
    <w:rsid w:val="00CB1889"/>
    <w:rsid w:val="00CB1ACC"/>
    <w:rsid w:val="00CB2072"/>
    <w:rsid w:val="00CB20FA"/>
    <w:rsid w:val="00CB226B"/>
    <w:rsid w:val="00CB22F5"/>
    <w:rsid w:val="00CB25EE"/>
    <w:rsid w:val="00CB2723"/>
    <w:rsid w:val="00CB2B7B"/>
    <w:rsid w:val="00CB31BE"/>
    <w:rsid w:val="00CB375D"/>
    <w:rsid w:val="00CB3BEB"/>
    <w:rsid w:val="00CB3E84"/>
    <w:rsid w:val="00CB40FA"/>
    <w:rsid w:val="00CB4174"/>
    <w:rsid w:val="00CB4379"/>
    <w:rsid w:val="00CB46C7"/>
    <w:rsid w:val="00CB4802"/>
    <w:rsid w:val="00CB4AA4"/>
    <w:rsid w:val="00CB4EBB"/>
    <w:rsid w:val="00CB5341"/>
    <w:rsid w:val="00CB5389"/>
    <w:rsid w:val="00CB5628"/>
    <w:rsid w:val="00CB5D89"/>
    <w:rsid w:val="00CB5DBA"/>
    <w:rsid w:val="00CB63DD"/>
    <w:rsid w:val="00CB658E"/>
    <w:rsid w:val="00CB6652"/>
    <w:rsid w:val="00CB6DFB"/>
    <w:rsid w:val="00CB6EA4"/>
    <w:rsid w:val="00CB6EDD"/>
    <w:rsid w:val="00CB7072"/>
    <w:rsid w:val="00CB7190"/>
    <w:rsid w:val="00CB71C7"/>
    <w:rsid w:val="00CB76F5"/>
    <w:rsid w:val="00CB7812"/>
    <w:rsid w:val="00CB787F"/>
    <w:rsid w:val="00CB7DBA"/>
    <w:rsid w:val="00CC040C"/>
    <w:rsid w:val="00CC04D9"/>
    <w:rsid w:val="00CC04E2"/>
    <w:rsid w:val="00CC04F7"/>
    <w:rsid w:val="00CC069A"/>
    <w:rsid w:val="00CC0B3B"/>
    <w:rsid w:val="00CC0D1D"/>
    <w:rsid w:val="00CC0F5D"/>
    <w:rsid w:val="00CC10E1"/>
    <w:rsid w:val="00CC187D"/>
    <w:rsid w:val="00CC1D24"/>
    <w:rsid w:val="00CC1FA2"/>
    <w:rsid w:val="00CC1FCD"/>
    <w:rsid w:val="00CC2036"/>
    <w:rsid w:val="00CC2359"/>
    <w:rsid w:val="00CC28DF"/>
    <w:rsid w:val="00CC2CEE"/>
    <w:rsid w:val="00CC2D62"/>
    <w:rsid w:val="00CC2F2A"/>
    <w:rsid w:val="00CC337A"/>
    <w:rsid w:val="00CC33AD"/>
    <w:rsid w:val="00CC33BD"/>
    <w:rsid w:val="00CC3543"/>
    <w:rsid w:val="00CC36A2"/>
    <w:rsid w:val="00CC37EF"/>
    <w:rsid w:val="00CC3CF1"/>
    <w:rsid w:val="00CC3D5B"/>
    <w:rsid w:val="00CC3F44"/>
    <w:rsid w:val="00CC40C9"/>
    <w:rsid w:val="00CC436F"/>
    <w:rsid w:val="00CC48BA"/>
    <w:rsid w:val="00CC48BE"/>
    <w:rsid w:val="00CC512D"/>
    <w:rsid w:val="00CC583C"/>
    <w:rsid w:val="00CC5A12"/>
    <w:rsid w:val="00CC5B2E"/>
    <w:rsid w:val="00CC5BB7"/>
    <w:rsid w:val="00CC5C34"/>
    <w:rsid w:val="00CC5DFB"/>
    <w:rsid w:val="00CC5F3F"/>
    <w:rsid w:val="00CC6904"/>
    <w:rsid w:val="00CC6A65"/>
    <w:rsid w:val="00CC6A83"/>
    <w:rsid w:val="00CC6EEF"/>
    <w:rsid w:val="00CC72CD"/>
    <w:rsid w:val="00CC7807"/>
    <w:rsid w:val="00CC79A7"/>
    <w:rsid w:val="00CC7E12"/>
    <w:rsid w:val="00CC7F3D"/>
    <w:rsid w:val="00CC7FC5"/>
    <w:rsid w:val="00CD0164"/>
    <w:rsid w:val="00CD0180"/>
    <w:rsid w:val="00CD03CE"/>
    <w:rsid w:val="00CD0596"/>
    <w:rsid w:val="00CD06D4"/>
    <w:rsid w:val="00CD0A69"/>
    <w:rsid w:val="00CD0BD9"/>
    <w:rsid w:val="00CD0EDB"/>
    <w:rsid w:val="00CD12E3"/>
    <w:rsid w:val="00CD168C"/>
    <w:rsid w:val="00CD22B4"/>
    <w:rsid w:val="00CD2725"/>
    <w:rsid w:val="00CD2933"/>
    <w:rsid w:val="00CD2AD2"/>
    <w:rsid w:val="00CD2BBC"/>
    <w:rsid w:val="00CD2C3E"/>
    <w:rsid w:val="00CD2EA4"/>
    <w:rsid w:val="00CD3493"/>
    <w:rsid w:val="00CD34E3"/>
    <w:rsid w:val="00CD35B5"/>
    <w:rsid w:val="00CD3934"/>
    <w:rsid w:val="00CD3B5E"/>
    <w:rsid w:val="00CD3E17"/>
    <w:rsid w:val="00CD3E98"/>
    <w:rsid w:val="00CD3FD8"/>
    <w:rsid w:val="00CD4728"/>
    <w:rsid w:val="00CD4806"/>
    <w:rsid w:val="00CD4EE8"/>
    <w:rsid w:val="00CD59DA"/>
    <w:rsid w:val="00CD5BCF"/>
    <w:rsid w:val="00CD5BEE"/>
    <w:rsid w:val="00CD6327"/>
    <w:rsid w:val="00CD6522"/>
    <w:rsid w:val="00CD684C"/>
    <w:rsid w:val="00CD6B41"/>
    <w:rsid w:val="00CD6D39"/>
    <w:rsid w:val="00CD7183"/>
    <w:rsid w:val="00CD7305"/>
    <w:rsid w:val="00CD7445"/>
    <w:rsid w:val="00CD77A4"/>
    <w:rsid w:val="00CD78EA"/>
    <w:rsid w:val="00CD7A48"/>
    <w:rsid w:val="00CD7A84"/>
    <w:rsid w:val="00CD7A91"/>
    <w:rsid w:val="00CD7B1A"/>
    <w:rsid w:val="00CD7DCF"/>
    <w:rsid w:val="00CE03B7"/>
    <w:rsid w:val="00CE0570"/>
    <w:rsid w:val="00CE064F"/>
    <w:rsid w:val="00CE082D"/>
    <w:rsid w:val="00CE0E0A"/>
    <w:rsid w:val="00CE0ED8"/>
    <w:rsid w:val="00CE0F6C"/>
    <w:rsid w:val="00CE1100"/>
    <w:rsid w:val="00CE119E"/>
    <w:rsid w:val="00CE16E0"/>
    <w:rsid w:val="00CE1ABF"/>
    <w:rsid w:val="00CE20DF"/>
    <w:rsid w:val="00CE25D7"/>
    <w:rsid w:val="00CE276B"/>
    <w:rsid w:val="00CE285B"/>
    <w:rsid w:val="00CE2B78"/>
    <w:rsid w:val="00CE2D0B"/>
    <w:rsid w:val="00CE2F11"/>
    <w:rsid w:val="00CE353B"/>
    <w:rsid w:val="00CE355E"/>
    <w:rsid w:val="00CE365F"/>
    <w:rsid w:val="00CE3675"/>
    <w:rsid w:val="00CE3902"/>
    <w:rsid w:val="00CE39C8"/>
    <w:rsid w:val="00CE3A02"/>
    <w:rsid w:val="00CE3B08"/>
    <w:rsid w:val="00CE3EB1"/>
    <w:rsid w:val="00CE43C1"/>
    <w:rsid w:val="00CE4404"/>
    <w:rsid w:val="00CE4479"/>
    <w:rsid w:val="00CE4734"/>
    <w:rsid w:val="00CE47CD"/>
    <w:rsid w:val="00CE4842"/>
    <w:rsid w:val="00CE4882"/>
    <w:rsid w:val="00CE4885"/>
    <w:rsid w:val="00CE5055"/>
    <w:rsid w:val="00CE53F7"/>
    <w:rsid w:val="00CE5430"/>
    <w:rsid w:val="00CE562F"/>
    <w:rsid w:val="00CE57E9"/>
    <w:rsid w:val="00CE5848"/>
    <w:rsid w:val="00CE5A29"/>
    <w:rsid w:val="00CE5DBD"/>
    <w:rsid w:val="00CE5DF2"/>
    <w:rsid w:val="00CE6854"/>
    <w:rsid w:val="00CE6ACC"/>
    <w:rsid w:val="00CE6B84"/>
    <w:rsid w:val="00CE6BBE"/>
    <w:rsid w:val="00CE6C3C"/>
    <w:rsid w:val="00CE6C9B"/>
    <w:rsid w:val="00CE6FA5"/>
    <w:rsid w:val="00CE702F"/>
    <w:rsid w:val="00CE74A3"/>
    <w:rsid w:val="00CE78E6"/>
    <w:rsid w:val="00CE796E"/>
    <w:rsid w:val="00CE7A3F"/>
    <w:rsid w:val="00CE7B89"/>
    <w:rsid w:val="00CF0052"/>
    <w:rsid w:val="00CF0105"/>
    <w:rsid w:val="00CF01B7"/>
    <w:rsid w:val="00CF028E"/>
    <w:rsid w:val="00CF074A"/>
    <w:rsid w:val="00CF074D"/>
    <w:rsid w:val="00CF07C3"/>
    <w:rsid w:val="00CF159E"/>
    <w:rsid w:val="00CF16B6"/>
    <w:rsid w:val="00CF18C3"/>
    <w:rsid w:val="00CF1F35"/>
    <w:rsid w:val="00CF2263"/>
    <w:rsid w:val="00CF259A"/>
    <w:rsid w:val="00CF282C"/>
    <w:rsid w:val="00CF2AF7"/>
    <w:rsid w:val="00CF2B76"/>
    <w:rsid w:val="00CF2BF4"/>
    <w:rsid w:val="00CF2DAA"/>
    <w:rsid w:val="00CF318C"/>
    <w:rsid w:val="00CF31AE"/>
    <w:rsid w:val="00CF3765"/>
    <w:rsid w:val="00CF37AD"/>
    <w:rsid w:val="00CF3903"/>
    <w:rsid w:val="00CF390B"/>
    <w:rsid w:val="00CF3A1A"/>
    <w:rsid w:val="00CF3C52"/>
    <w:rsid w:val="00CF3C5C"/>
    <w:rsid w:val="00CF4240"/>
    <w:rsid w:val="00CF437B"/>
    <w:rsid w:val="00CF4682"/>
    <w:rsid w:val="00CF4EF2"/>
    <w:rsid w:val="00CF4F99"/>
    <w:rsid w:val="00CF515F"/>
    <w:rsid w:val="00CF5245"/>
    <w:rsid w:val="00CF52BF"/>
    <w:rsid w:val="00CF56DC"/>
    <w:rsid w:val="00CF56FB"/>
    <w:rsid w:val="00CF583B"/>
    <w:rsid w:val="00CF5889"/>
    <w:rsid w:val="00CF5AAA"/>
    <w:rsid w:val="00CF5AB6"/>
    <w:rsid w:val="00CF5B00"/>
    <w:rsid w:val="00CF616C"/>
    <w:rsid w:val="00CF6209"/>
    <w:rsid w:val="00CF67E2"/>
    <w:rsid w:val="00CF6D42"/>
    <w:rsid w:val="00CF6DA6"/>
    <w:rsid w:val="00CF7216"/>
    <w:rsid w:val="00CF72AB"/>
    <w:rsid w:val="00CF72EB"/>
    <w:rsid w:val="00CF7462"/>
    <w:rsid w:val="00CF7970"/>
    <w:rsid w:val="00CF7D54"/>
    <w:rsid w:val="00D000FE"/>
    <w:rsid w:val="00D003DE"/>
    <w:rsid w:val="00D0114B"/>
    <w:rsid w:val="00D01184"/>
    <w:rsid w:val="00D01438"/>
    <w:rsid w:val="00D01C1D"/>
    <w:rsid w:val="00D01C22"/>
    <w:rsid w:val="00D0210C"/>
    <w:rsid w:val="00D02292"/>
    <w:rsid w:val="00D0267F"/>
    <w:rsid w:val="00D026F7"/>
    <w:rsid w:val="00D02B5F"/>
    <w:rsid w:val="00D02EFA"/>
    <w:rsid w:val="00D02F9E"/>
    <w:rsid w:val="00D03164"/>
    <w:rsid w:val="00D034DD"/>
    <w:rsid w:val="00D0354C"/>
    <w:rsid w:val="00D03B87"/>
    <w:rsid w:val="00D03D02"/>
    <w:rsid w:val="00D03F74"/>
    <w:rsid w:val="00D0410F"/>
    <w:rsid w:val="00D04463"/>
    <w:rsid w:val="00D0447C"/>
    <w:rsid w:val="00D04952"/>
    <w:rsid w:val="00D04EA1"/>
    <w:rsid w:val="00D04F8D"/>
    <w:rsid w:val="00D05655"/>
    <w:rsid w:val="00D05736"/>
    <w:rsid w:val="00D05B08"/>
    <w:rsid w:val="00D05BB9"/>
    <w:rsid w:val="00D05C5C"/>
    <w:rsid w:val="00D05CC1"/>
    <w:rsid w:val="00D05EDA"/>
    <w:rsid w:val="00D0625B"/>
    <w:rsid w:val="00D062FE"/>
    <w:rsid w:val="00D06343"/>
    <w:rsid w:val="00D06491"/>
    <w:rsid w:val="00D06A0C"/>
    <w:rsid w:val="00D06A16"/>
    <w:rsid w:val="00D06E0A"/>
    <w:rsid w:val="00D06FAA"/>
    <w:rsid w:val="00D0713B"/>
    <w:rsid w:val="00D073C1"/>
    <w:rsid w:val="00D07437"/>
    <w:rsid w:val="00D07706"/>
    <w:rsid w:val="00D07736"/>
    <w:rsid w:val="00D0773A"/>
    <w:rsid w:val="00D07C28"/>
    <w:rsid w:val="00D07D7D"/>
    <w:rsid w:val="00D101D8"/>
    <w:rsid w:val="00D10524"/>
    <w:rsid w:val="00D1060A"/>
    <w:rsid w:val="00D1064D"/>
    <w:rsid w:val="00D1078F"/>
    <w:rsid w:val="00D1095B"/>
    <w:rsid w:val="00D10E60"/>
    <w:rsid w:val="00D11033"/>
    <w:rsid w:val="00D111DF"/>
    <w:rsid w:val="00D1196E"/>
    <w:rsid w:val="00D11B4F"/>
    <w:rsid w:val="00D11D1E"/>
    <w:rsid w:val="00D11F8F"/>
    <w:rsid w:val="00D12251"/>
    <w:rsid w:val="00D12550"/>
    <w:rsid w:val="00D129EC"/>
    <w:rsid w:val="00D12B0F"/>
    <w:rsid w:val="00D12C11"/>
    <w:rsid w:val="00D12CD2"/>
    <w:rsid w:val="00D1308B"/>
    <w:rsid w:val="00D1324B"/>
    <w:rsid w:val="00D13339"/>
    <w:rsid w:val="00D13356"/>
    <w:rsid w:val="00D136A4"/>
    <w:rsid w:val="00D13D0D"/>
    <w:rsid w:val="00D13DAC"/>
    <w:rsid w:val="00D13E33"/>
    <w:rsid w:val="00D13F1D"/>
    <w:rsid w:val="00D13F32"/>
    <w:rsid w:val="00D14095"/>
    <w:rsid w:val="00D14111"/>
    <w:rsid w:val="00D142A9"/>
    <w:rsid w:val="00D1433A"/>
    <w:rsid w:val="00D14577"/>
    <w:rsid w:val="00D145CA"/>
    <w:rsid w:val="00D145CE"/>
    <w:rsid w:val="00D14600"/>
    <w:rsid w:val="00D14BA1"/>
    <w:rsid w:val="00D14C0F"/>
    <w:rsid w:val="00D14C34"/>
    <w:rsid w:val="00D14D23"/>
    <w:rsid w:val="00D1523A"/>
    <w:rsid w:val="00D155BC"/>
    <w:rsid w:val="00D1568C"/>
    <w:rsid w:val="00D15708"/>
    <w:rsid w:val="00D15755"/>
    <w:rsid w:val="00D157F4"/>
    <w:rsid w:val="00D1581A"/>
    <w:rsid w:val="00D158FE"/>
    <w:rsid w:val="00D15A80"/>
    <w:rsid w:val="00D15BB5"/>
    <w:rsid w:val="00D15D8B"/>
    <w:rsid w:val="00D15E18"/>
    <w:rsid w:val="00D1638A"/>
    <w:rsid w:val="00D16670"/>
    <w:rsid w:val="00D1695D"/>
    <w:rsid w:val="00D16F19"/>
    <w:rsid w:val="00D170C7"/>
    <w:rsid w:val="00D17102"/>
    <w:rsid w:val="00D1759D"/>
    <w:rsid w:val="00D178DC"/>
    <w:rsid w:val="00D17984"/>
    <w:rsid w:val="00D17AE7"/>
    <w:rsid w:val="00D17FEB"/>
    <w:rsid w:val="00D20131"/>
    <w:rsid w:val="00D20199"/>
    <w:rsid w:val="00D20362"/>
    <w:rsid w:val="00D20527"/>
    <w:rsid w:val="00D2056E"/>
    <w:rsid w:val="00D205FA"/>
    <w:rsid w:val="00D20A39"/>
    <w:rsid w:val="00D20A8B"/>
    <w:rsid w:val="00D20AF4"/>
    <w:rsid w:val="00D21054"/>
    <w:rsid w:val="00D211EE"/>
    <w:rsid w:val="00D216D1"/>
    <w:rsid w:val="00D218B1"/>
    <w:rsid w:val="00D219E9"/>
    <w:rsid w:val="00D21A81"/>
    <w:rsid w:val="00D21ABE"/>
    <w:rsid w:val="00D21BC0"/>
    <w:rsid w:val="00D21E68"/>
    <w:rsid w:val="00D21F09"/>
    <w:rsid w:val="00D224F0"/>
    <w:rsid w:val="00D2272E"/>
    <w:rsid w:val="00D22BA6"/>
    <w:rsid w:val="00D22F94"/>
    <w:rsid w:val="00D23207"/>
    <w:rsid w:val="00D237B1"/>
    <w:rsid w:val="00D23855"/>
    <w:rsid w:val="00D239C1"/>
    <w:rsid w:val="00D23ADA"/>
    <w:rsid w:val="00D23C19"/>
    <w:rsid w:val="00D242DA"/>
    <w:rsid w:val="00D242F1"/>
    <w:rsid w:val="00D2438C"/>
    <w:rsid w:val="00D244C2"/>
    <w:rsid w:val="00D244F7"/>
    <w:rsid w:val="00D248F9"/>
    <w:rsid w:val="00D2499B"/>
    <w:rsid w:val="00D24B55"/>
    <w:rsid w:val="00D24C8C"/>
    <w:rsid w:val="00D24D4B"/>
    <w:rsid w:val="00D24DAD"/>
    <w:rsid w:val="00D24F01"/>
    <w:rsid w:val="00D25191"/>
    <w:rsid w:val="00D2520D"/>
    <w:rsid w:val="00D25371"/>
    <w:rsid w:val="00D25916"/>
    <w:rsid w:val="00D25CEC"/>
    <w:rsid w:val="00D2628B"/>
    <w:rsid w:val="00D26726"/>
    <w:rsid w:val="00D26D97"/>
    <w:rsid w:val="00D26DB9"/>
    <w:rsid w:val="00D271EE"/>
    <w:rsid w:val="00D27400"/>
    <w:rsid w:val="00D274CF"/>
    <w:rsid w:val="00D27551"/>
    <w:rsid w:val="00D27A81"/>
    <w:rsid w:val="00D27F3D"/>
    <w:rsid w:val="00D28BFF"/>
    <w:rsid w:val="00D301C2"/>
    <w:rsid w:val="00D30787"/>
    <w:rsid w:val="00D30876"/>
    <w:rsid w:val="00D30AA5"/>
    <w:rsid w:val="00D30AF6"/>
    <w:rsid w:val="00D30CC3"/>
    <w:rsid w:val="00D31438"/>
    <w:rsid w:val="00D3167B"/>
    <w:rsid w:val="00D3174A"/>
    <w:rsid w:val="00D32536"/>
    <w:rsid w:val="00D3268F"/>
    <w:rsid w:val="00D326A4"/>
    <w:rsid w:val="00D3293E"/>
    <w:rsid w:val="00D329E6"/>
    <w:rsid w:val="00D32AC1"/>
    <w:rsid w:val="00D32E1C"/>
    <w:rsid w:val="00D32FAC"/>
    <w:rsid w:val="00D330BF"/>
    <w:rsid w:val="00D335B5"/>
    <w:rsid w:val="00D33771"/>
    <w:rsid w:val="00D33838"/>
    <w:rsid w:val="00D33927"/>
    <w:rsid w:val="00D33A34"/>
    <w:rsid w:val="00D33C58"/>
    <w:rsid w:val="00D33E71"/>
    <w:rsid w:val="00D33F2F"/>
    <w:rsid w:val="00D340C0"/>
    <w:rsid w:val="00D346E1"/>
    <w:rsid w:val="00D34BF0"/>
    <w:rsid w:val="00D34C99"/>
    <w:rsid w:val="00D353CE"/>
    <w:rsid w:val="00D355F0"/>
    <w:rsid w:val="00D35725"/>
    <w:rsid w:val="00D358BA"/>
    <w:rsid w:val="00D35AF1"/>
    <w:rsid w:val="00D35D59"/>
    <w:rsid w:val="00D35E61"/>
    <w:rsid w:val="00D36098"/>
    <w:rsid w:val="00D36669"/>
    <w:rsid w:val="00D3677D"/>
    <w:rsid w:val="00D3696A"/>
    <w:rsid w:val="00D36B83"/>
    <w:rsid w:val="00D36CB8"/>
    <w:rsid w:val="00D37972"/>
    <w:rsid w:val="00D37AC7"/>
    <w:rsid w:val="00D37C3A"/>
    <w:rsid w:val="00D40241"/>
    <w:rsid w:val="00D403E2"/>
    <w:rsid w:val="00D405FA"/>
    <w:rsid w:val="00D40896"/>
    <w:rsid w:val="00D409B0"/>
    <w:rsid w:val="00D40BDB"/>
    <w:rsid w:val="00D40F2F"/>
    <w:rsid w:val="00D4119C"/>
    <w:rsid w:val="00D413E2"/>
    <w:rsid w:val="00D41534"/>
    <w:rsid w:val="00D4155F"/>
    <w:rsid w:val="00D4177A"/>
    <w:rsid w:val="00D418B2"/>
    <w:rsid w:val="00D41CE6"/>
    <w:rsid w:val="00D42051"/>
    <w:rsid w:val="00D4297B"/>
    <w:rsid w:val="00D42AAE"/>
    <w:rsid w:val="00D42CE3"/>
    <w:rsid w:val="00D42E50"/>
    <w:rsid w:val="00D42F70"/>
    <w:rsid w:val="00D43AE2"/>
    <w:rsid w:val="00D43B10"/>
    <w:rsid w:val="00D440C5"/>
    <w:rsid w:val="00D44248"/>
    <w:rsid w:val="00D44337"/>
    <w:rsid w:val="00D4474C"/>
    <w:rsid w:val="00D44BA4"/>
    <w:rsid w:val="00D44D4A"/>
    <w:rsid w:val="00D44F9D"/>
    <w:rsid w:val="00D45016"/>
    <w:rsid w:val="00D451FC"/>
    <w:rsid w:val="00D4532E"/>
    <w:rsid w:val="00D45426"/>
    <w:rsid w:val="00D45718"/>
    <w:rsid w:val="00D45CB0"/>
    <w:rsid w:val="00D4616E"/>
    <w:rsid w:val="00D46237"/>
    <w:rsid w:val="00D462FE"/>
    <w:rsid w:val="00D46678"/>
    <w:rsid w:val="00D46C63"/>
    <w:rsid w:val="00D47173"/>
    <w:rsid w:val="00D474D1"/>
    <w:rsid w:val="00D4771A"/>
    <w:rsid w:val="00D477D2"/>
    <w:rsid w:val="00D47AD8"/>
    <w:rsid w:val="00D47D06"/>
    <w:rsid w:val="00D50026"/>
    <w:rsid w:val="00D5035D"/>
    <w:rsid w:val="00D5045D"/>
    <w:rsid w:val="00D509D9"/>
    <w:rsid w:val="00D50D45"/>
    <w:rsid w:val="00D50F47"/>
    <w:rsid w:val="00D510CE"/>
    <w:rsid w:val="00D51418"/>
    <w:rsid w:val="00D51466"/>
    <w:rsid w:val="00D51888"/>
    <w:rsid w:val="00D518F8"/>
    <w:rsid w:val="00D51F5C"/>
    <w:rsid w:val="00D5238F"/>
    <w:rsid w:val="00D52481"/>
    <w:rsid w:val="00D52889"/>
    <w:rsid w:val="00D528D6"/>
    <w:rsid w:val="00D52DE8"/>
    <w:rsid w:val="00D53129"/>
    <w:rsid w:val="00D5330D"/>
    <w:rsid w:val="00D534F0"/>
    <w:rsid w:val="00D539A3"/>
    <w:rsid w:val="00D53CBA"/>
    <w:rsid w:val="00D53DA4"/>
    <w:rsid w:val="00D53F67"/>
    <w:rsid w:val="00D53F99"/>
    <w:rsid w:val="00D5453B"/>
    <w:rsid w:val="00D5470C"/>
    <w:rsid w:val="00D54E41"/>
    <w:rsid w:val="00D54E56"/>
    <w:rsid w:val="00D54FAC"/>
    <w:rsid w:val="00D55124"/>
    <w:rsid w:val="00D55324"/>
    <w:rsid w:val="00D554C3"/>
    <w:rsid w:val="00D555C2"/>
    <w:rsid w:val="00D5565F"/>
    <w:rsid w:val="00D559C9"/>
    <w:rsid w:val="00D55E0F"/>
    <w:rsid w:val="00D55EDD"/>
    <w:rsid w:val="00D55F70"/>
    <w:rsid w:val="00D563F3"/>
    <w:rsid w:val="00D57037"/>
    <w:rsid w:val="00D5729E"/>
    <w:rsid w:val="00D57427"/>
    <w:rsid w:val="00D574FE"/>
    <w:rsid w:val="00D57526"/>
    <w:rsid w:val="00D579E0"/>
    <w:rsid w:val="00D579FE"/>
    <w:rsid w:val="00D57AA7"/>
    <w:rsid w:val="00D57C31"/>
    <w:rsid w:val="00D57EEF"/>
    <w:rsid w:val="00D57F6D"/>
    <w:rsid w:val="00D57FB8"/>
    <w:rsid w:val="00D5C843"/>
    <w:rsid w:val="00D6016B"/>
    <w:rsid w:val="00D601DF"/>
    <w:rsid w:val="00D6060D"/>
    <w:rsid w:val="00D60758"/>
    <w:rsid w:val="00D60EAA"/>
    <w:rsid w:val="00D60F5B"/>
    <w:rsid w:val="00D60FB3"/>
    <w:rsid w:val="00D610CA"/>
    <w:rsid w:val="00D6130D"/>
    <w:rsid w:val="00D6133B"/>
    <w:rsid w:val="00D614F7"/>
    <w:rsid w:val="00D61530"/>
    <w:rsid w:val="00D61684"/>
    <w:rsid w:val="00D61CC0"/>
    <w:rsid w:val="00D61F15"/>
    <w:rsid w:val="00D621AA"/>
    <w:rsid w:val="00D6288D"/>
    <w:rsid w:val="00D62A1B"/>
    <w:rsid w:val="00D62AE5"/>
    <w:rsid w:val="00D62D6B"/>
    <w:rsid w:val="00D62F26"/>
    <w:rsid w:val="00D62F7A"/>
    <w:rsid w:val="00D63544"/>
    <w:rsid w:val="00D637F1"/>
    <w:rsid w:val="00D63879"/>
    <w:rsid w:val="00D638C4"/>
    <w:rsid w:val="00D63AA7"/>
    <w:rsid w:val="00D63C48"/>
    <w:rsid w:val="00D64289"/>
    <w:rsid w:val="00D645A2"/>
    <w:rsid w:val="00D645AB"/>
    <w:rsid w:val="00D64BF3"/>
    <w:rsid w:val="00D65178"/>
    <w:rsid w:val="00D65339"/>
    <w:rsid w:val="00D65452"/>
    <w:rsid w:val="00D65F66"/>
    <w:rsid w:val="00D66072"/>
    <w:rsid w:val="00D6612E"/>
    <w:rsid w:val="00D661E0"/>
    <w:rsid w:val="00D663DC"/>
    <w:rsid w:val="00D6667B"/>
    <w:rsid w:val="00D66AF9"/>
    <w:rsid w:val="00D66B17"/>
    <w:rsid w:val="00D66F79"/>
    <w:rsid w:val="00D67164"/>
    <w:rsid w:val="00D67345"/>
    <w:rsid w:val="00D673D7"/>
    <w:rsid w:val="00D67754"/>
    <w:rsid w:val="00D67953"/>
    <w:rsid w:val="00D67D8F"/>
    <w:rsid w:val="00D700BE"/>
    <w:rsid w:val="00D70493"/>
    <w:rsid w:val="00D70497"/>
    <w:rsid w:val="00D704C3"/>
    <w:rsid w:val="00D70626"/>
    <w:rsid w:val="00D70A8D"/>
    <w:rsid w:val="00D70CCB"/>
    <w:rsid w:val="00D70CD1"/>
    <w:rsid w:val="00D70DD2"/>
    <w:rsid w:val="00D70DF9"/>
    <w:rsid w:val="00D71048"/>
    <w:rsid w:val="00D71194"/>
    <w:rsid w:val="00D71400"/>
    <w:rsid w:val="00D7174E"/>
    <w:rsid w:val="00D72169"/>
    <w:rsid w:val="00D72767"/>
    <w:rsid w:val="00D7280D"/>
    <w:rsid w:val="00D72939"/>
    <w:rsid w:val="00D7296B"/>
    <w:rsid w:val="00D72A59"/>
    <w:rsid w:val="00D72D3F"/>
    <w:rsid w:val="00D72E82"/>
    <w:rsid w:val="00D73555"/>
    <w:rsid w:val="00D73832"/>
    <w:rsid w:val="00D738B3"/>
    <w:rsid w:val="00D738D5"/>
    <w:rsid w:val="00D73AAF"/>
    <w:rsid w:val="00D73BA9"/>
    <w:rsid w:val="00D73BD9"/>
    <w:rsid w:val="00D73D1F"/>
    <w:rsid w:val="00D73D85"/>
    <w:rsid w:val="00D74244"/>
    <w:rsid w:val="00D742B8"/>
    <w:rsid w:val="00D74A49"/>
    <w:rsid w:val="00D74AD1"/>
    <w:rsid w:val="00D74CDB"/>
    <w:rsid w:val="00D74D55"/>
    <w:rsid w:val="00D74E64"/>
    <w:rsid w:val="00D74F78"/>
    <w:rsid w:val="00D75259"/>
    <w:rsid w:val="00D75348"/>
    <w:rsid w:val="00D75575"/>
    <w:rsid w:val="00D756A8"/>
    <w:rsid w:val="00D759A3"/>
    <w:rsid w:val="00D75FE4"/>
    <w:rsid w:val="00D766C1"/>
    <w:rsid w:val="00D7675C"/>
    <w:rsid w:val="00D76E79"/>
    <w:rsid w:val="00D777D6"/>
    <w:rsid w:val="00D77B52"/>
    <w:rsid w:val="00D8001C"/>
    <w:rsid w:val="00D8011F"/>
    <w:rsid w:val="00D80812"/>
    <w:rsid w:val="00D81476"/>
    <w:rsid w:val="00D81486"/>
    <w:rsid w:val="00D8164B"/>
    <w:rsid w:val="00D818F3"/>
    <w:rsid w:val="00D819E7"/>
    <w:rsid w:val="00D81E78"/>
    <w:rsid w:val="00D8208D"/>
    <w:rsid w:val="00D82184"/>
    <w:rsid w:val="00D821C4"/>
    <w:rsid w:val="00D823C8"/>
    <w:rsid w:val="00D8249C"/>
    <w:rsid w:val="00D825D1"/>
    <w:rsid w:val="00D828CA"/>
    <w:rsid w:val="00D82915"/>
    <w:rsid w:val="00D82D12"/>
    <w:rsid w:val="00D82D23"/>
    <w:rsid w:val="00D82F00"/>
    <w:rsid w:val="00D830D3"/>
    <w:rsid w:val="00D83144"/>
    <w:rsid w:val="00D8320A"/>
    <w:rsid w:val="00D83633"/>
    <w:rsid w:val="00D8366C"/>
    <w:rsid w:val="00D83679"/>
    <w:rsid w:val="00D837E6"/>
    <w:rsid w:val="00D8398E"/>
    <w:rsid w:val="00D83CE3"/>
    <w:rsid w:val="00D83DE8"/>
    <w:rsid w:val="00D84332"/>
    <w:rsid w:val="00D8441F"/>
    <w:rsid w:val="00D844C3"/>
    <w:rsid w:val="00D84557"/>
    <w:rsid w:val="00D845E7"/>
    <w:rsid w:val="00D84643"/>
    <w:rsid w:val="00D8477C"/>
    <w:rsid w:val="00D8479E"/>
    <w:rsid w:val="00D84B6C"/>
    <w:rsid w:val="00D84E54"/>
    <w:rsid w:val="00D85049"/>
    <w:rsid w:val="00D8506E"/>
    <w:rsid w:val="00D8586E"/>
    <w:rsid w:val="00D85946"/>
    <w:rsid w:val="00D85BED"/>
    <w:rsid w:val="00D85E61"/>
    <w:rsid w:val="00D85E77"/>
    <w:rsid w:val="00D862CE"/>
    <w:rsid w:val="00D86393"/>
    <w:rsid w:val="00D8660E"/>
    <w:rsid w:val="00D86992"/>
    <w:rsid w:val="00D86E14"/>
    <w:rsid w:val="00D86F0F"/>
    <w:rsid w:val="00D87074"/>
    <w:rsid w:val="00D87507"/>
    <w:rsid w:val="00D877FD"/>
    <w:rsid w:val="00D87EC5"/>
    <w:rsid w:val="00D87FCD"/>
    <w:rsid w:val="00D90409"/>
    <w:rsid w:val="00D90824"/>
    <w:rsid w:val="00D90844"/>
    <w:rsid w:val="00D9090B"/>
    <w:rsid w:val="00D9099F"/>
    <w:rsid w:val="00D90B5D"/>
    <w:rsid w:val="00D90D1F"/>
    <w:rsid w:val="00D90FCD"/>
    <w:rsid w:val="00D910C1"/>
    <w:rsid w:val="00D910E6"/>
    <w:rsid w:val="00D91162"/>
    <w:rsid w:val="00D9118C"/>
    <w:rsid w:val="00D917B4"/>
    <w:rsid w:val="00D91800"/>
    <w:rsid w:val="00D91848"/>
    <w:rsid w:val="00D91969"/>
    <w:rsid w:val="00D919E6"/>
    <w:rsid w:val="00D91C77"/>
    <w:rsid w:val="00D91CAB"/>
    <w:rsid w:val="00D91CDF"/>
    <w:rsid w:val="00D91DBB"/>
    <w:rsid w:val="00D91F54"/>
    <w:rsid w:val="00D92077"/>
    <w:rsid w:val="00D924FD"/>
    <w:rsid w:val="00D92801"/>
    <w:rsid w:val="00D92853"/>
    <w:rsid w:val="00D928C5"/>
    <w:rsid w:val="00D9309E"/>
    <w:rsid w:val="00D931A6"/>
    <w:rsid w:val="00D937F7"/>
    <w:rsid w:val="00D93937"/>
    <w:rsid w:val="00D939C9"/>
    <w:rsid w:val="00D93A1F"/>
    <w:rsid w:val="00D93A45"/>
    <w:rsid w:val="00D93C81"/>
    <w:rsid w:val="00D93C8F"/>
    <w:rsid w:val="00D93D75"/>
    <w:rsid w:val="00D93F83"/>
    <w:rsid w:val="00D940A1"/>
    <w:rsid w:val="00D94923"/>
    <w:rsid w:val="00D94C6A"/>
    <w:rsid w:val="00D94ECD"/>
    <w:rsid w:val="00D94F94"/>
    <w:rsid w:val="00D9512E"/>
    <w:rsid w:val="00D95394"/>
    <w:rsid w:val="00D9546A"/>
    <w:rsid w:val="00D95A56"/>
    <w:rsid w:val="00D95CAB"/>
    <w:rsid w:val="00D95D6D"/>
    <w:rsid w:val="00D96093"/>
    <w:rsid w:val="00D9628E"/>
    <w:rsid w:val="00D96B9C"/>
    <w:rsid w:val="00D96C41"/>
    <w:rsid w:val="00D96F14"/>
    <w:rsid w:val="00D970E7"/>
    <w:rsid w:val="00D970E8"/>
    <w:rsid w:val="00D9768D"/>
    <w:rsid w:val="00D97BAB"/>
    <w:rsid w:val="00DA005B"/>
    <w:rsid w:val="00DA01C7"/>
    <w:rsid w:val="00DA01E5"/>
    <w:rsid w:val="00DA032B"/>
    <w:rsid w:val="00DA0456"/>
    <w:rsid w:val="00DA05A4"/>
    <w:rsid w:val="00DA065E"/>
    <w:rsid w:val="00DA07FA"/>
    <w:rsid w:val="00DA0D67"/>
    <w:rsid w:val="00DA1018"/>
    <w:rsid w:val="00DA1135"/>
    <w:rsid w:val="00DA1328"/>
    <w:rsid w:val="00DA150D"/>
    <w:rsid w:val="00DA159E"/>
    <w:rsid w:val="00DA1771"/>
    <w:rsid w:val="00DA1C30"/>
    <w:rsid w:val="00DA1DE8"/>
    <w:rsid w:val="00DA1EE5"/>
    <w:rsid w:val="00DA221F"/>
    <w:rsid w:val="00DA22FC"/>
    <w:rsid w:val="00DA240E"/>
    <w:rsid w:val="00DA27B2"/>
    <w:rsid w:val="00DA2A10"/>
    <w:rsid w:val="00DA2E58"/>
    <w:rsid w:val="00DA3465"/>
    <w:rsid w:val="00DA39A6"/>
    <w:rsid w:val="00DA408B"/>
    <w:rsid w:val="00DA4529"/>
    <w:rsid w:val="00DA452D"/>
    <w:rsid w:val="00DA45E2"/>
    <w:rsid w:val="00DA4806"/>
    <w:rsid w:val="00DA4A80"/>
    <w:rsid w:val="00DA4ADB"/>
    <w:rsid w:val="00DA5067"/>
    <w:rsid w:val="00DA55BB"/>
    <w:rsid w:val="00DA57FD"/>
    <w:rsid w:val="00DA58DC"/>
    <w:rsid w:val="00DA59E8"/>
    <w:rsid w:val="00DA5AC9"/>
    <w:rsid w:val="00DA5B7B"/>
    <w:rsid w:val="00DA5C91"/>
    <w:rsid w:val="00DA68D2"/>
    <w:rsid w:val="00DA69A1"/>
    <w:rsid w:val="00DA6DEE"/>
    <w:rsid w:val="00DA6E0A"/>
    <w:rsid w:val="00DA6EAE"/>
    <w:rsid w:val="00DA6F90"/>
    <w:rsid w:val="00DA702C"/>
    <w:rsid w:val="00DA709D"/>
    <w:rsid w:val="00DA7113"/>
    <w:rsid w:val="00DA73EE"/>
    <w:rsid w:val="00DA763A"/>
    <w:rsid w:val="00DA763C"/>
    <w:rsid w:val="00DA7785"/>
    <w:rsid w:val="00DA77A5"/>
    <w:rsid w:val="00DB0351"/>
    <w:rsid w:val="00DB0417"/>
    <w:rsid w:val="00DB078E"/>
    <w:rsid w:val="00DB0A1A"/>
    <w:rsid w:val="00DB146C"/>
    <w:rsid w:val="00DB1578"/>
    <w:rsid w:val="00DB19E2"/>
    <w:rsid w:val="00DB1A78"/>
    <w:rsid w:val="00DB21C1"/>
    <w:rsid w:val="00DB242F"/>
    <w:rsid w:val="00DB24A2"/>
    <w:rsid w:val="00DB27FA"/>
    <w:rsid w:val="00DB2A3B"/>
    <w:rsid w:val="00DB3291"/>
    <w:rsid w:val="00DB330C"/>
    <w:rsid w:val="00DB34FA"/>
    <w:rsid w:val="00DB353D"/>
    <w:rsid w:val="00DB35F1"/>
    <w:rsid w:val="00DB3856"/>
    <w:rsid w:val="00DB38B2"/>
    <w:rsid w:val="00DB38F3"/>
    <w:rsid w:val="00DB3A5F"/>
    <w:rsid w:val="00DB3B57"/>
    <w:rsid w:val="00DB3DA2"/>
    <w:rsid w:val="00DB3DE1"/>
    <w:rsid w:val="00DB404C"/>
    <w:rsid w:val="00DB40C7"/>
    <w:rsid w:val="00DB40E1"/>
    <w:rsid w:val="00DB4371"/>
    <w:rsid w:val="00DB4750"/>
    <w:rsid w:val="00DB4780"/>
    <w:rsid w:val="00DB4A8A"/>
    <w:rsid w:val="00DB4C9B"/>
    <w:rsid w:val="00DB4CAC"/>
    <w:rsid w:val="00DB4FCD"/>
    <w:rsid w:val="00DB527E"/>
    <w:rsid w:val="00DB54CF"/>
    <w:rsid w:val="00DB5547"/>
    <w:rsid w:val="00DB5725"/>
    <w:rsid w:val="00DB59F5"/>
    <w:rsid w:val="00DB5B7E"/>
    <w:rsid w:val="00DB5E65"/>
    <w:rsid w:val="00DB5F71"/>
    <w:rsid w:val="00DB600D"/>
    <w:rsid w:val="00DB64BA"/>
    <w:rsid w:val="00DB6746"/>
    <w:rsid w:val="00DB69F5"/>
    <w:rsid w:val="00DB6DF5"/>
    <w:rsid w:val="00DB6E44"/>
    <w:rsid w:val="00DB7138"/>
    <w:rsid w:val="00DB7216"/>
    <w:rsid w:val="00DB7415"/>
    <w:rsid w:val="00DB77E9"/>
    <w:rsid w:val="00DB7806"/>
    <w:rsid w:val="00DB7A51"/>
    <w:rsid w:val="00DB7AE7"/>
    <w:rsid w:val="00DB7BC8"/>
    <w:rsid w:val="00DB7EFA"/>
    <w:rsid w:val="00DB7F14"/>
    <w:rsid w:val="00DB7F65"/>
    <w:rsid w:val="00DB7FDE"/>
    <w:rsid w:val="00DBD6D3"/>
    <w:rsid w:val="00DC035D"/>
    <w:rsid w:val="00DC059C"/>
    <w:rsid w:val="00DC0632"/>
    <w:rsid w:val="00DC0824"/>
    <w:rsid w:val="00DC0973"/>
    <w:rsid w:val="00DC09BB"/>
    <w:rsid w:val="00DC0B87"/>
    <w:rsid w:val="00DC0DC0"/>
    <w:rsid w:val="00DC0FB0"/>
    <w:rsid w:val="00DC130D"/>
    <w:rsid w:val="00DC1743"/>
    <w:rsid w:val="00DC18E2"/>
    <w:rsid w:val="00DC1915"/>
    <w:rsid w:val="00DC1929"/>
    <w:rsid w:val="00DC1B95"/>
    <w:rsid w:val="00DC1F24"/>
    <w:rsid w:val="00DC2075"/>
    <w:rsid w:val="00DC20D2"/>
    <w:rsid w:val="00DC211F"/>
    <w:rsid w:val="00DC213B"/>
    <w:rsid w:val="00DC2433"/>
    <w:rsid w:val="00DC267E"/>
    <w:rsid w:val="00DC273B"/>
    <w:rsid w:val="00DC2D3E"/>
    <w:rsid w:val="00DC2FB1"/>
    <w:rsid w:val="00DC3014"/>
    <w:rsid w:val="00DC38DB"/>
    <w:rsid w:val="00DC3E22"/>
    <w:rsid w:val="00DC406D"/>
    <w:rsid w:val="00DC409A"/>
    <w:rsid w:val="00DC4127"/>
    <w:rsid w:val="00DC45CE"/>
    <w:rsid w:val="00DC4702"/>
    <w:rsid w:val="00DC4B52"/>
    <w:rsid w:val="00DC4CC9"/>
    <w:rsid w:val="00DC54B5"/>
    <w:rsid w:val="00DC5776"/>
    <w:rsid w:val="00DC5ABF"/>
    <w:rsid w:val="00DC60E8"/>
    <w:rsid w:val="00DC6733"/>
    <w:rsid w:val="00DC6946"/>
    <w:rsid w:val="00DC6AB7"/>
    <w:rsid w:val="00DC6F32"/>
    <w:rsid w:val="00DC6F3D"/>
    <w:rsid w:val="00DC6FC8"/>
    <w:rsid w:val="00DC71EC"/>
    <w:rsid w:val="00DC7291"/>
    <w:rsid w:val="00DC74CE"/>
    <w:rsid w:val="00DC7746"/>
    <w:rsid w:val="00DC7CC1"/>
    <w:rsid w:val="00DD00D3"/>
    <w:rsid w:val="00DD01B2"/>
    <w:rsid w:val="00DD07CE"/>
    <w:rsid w:val="00DD0BBE"/>
    <w:rsid w:val="00DD0EB6"/>
    <w:rsid w:val="00DD0FBF"/>
    <w:rsid w:val="00DD10BA"/>
    <w:rsid w:val="00DD113E"/>
    <w:rsid w:val="00DD13B4"/>
    <w:rsid w:val="00DD1709"/>
    <w:rsid w:val="00DD19AB"/>
    <w:rsid w:val="00DD1C38"/>
    <w:rsid w:val="00DD1D12"/>
    <w:rsid w:val="00DD1DD2"/>
    <w:rsid w:val="00DD212C"/>
    <w:rsid w:val="00DD22AD"/>
    <w:rsid w:val="00DD2357"/>
    <w:rsid w:val="00DD2365"/>
    <w:rsid w:val="00DD23C3"/>
    <w:rsid w:val="00DD2409"/>
    <w:rsid w:val="00DD2F6E"/>
    <w:rsid w:val="00DD3049"/>
    <w:rsid w:val="00DD30CC"/>
    <w:rsid w:val="00DD333B"/>
    <w:rsid w:val="00DD342A"/>
    <w:rsid w:val="00DD34A9"/>
    <w:rsid w:val="00DD373C"/>
    <w:rsid w:val="00DD3745"/>
    <w:rsid w:val="00DD4AB8"/>
    <w:rsid w:val="00DD4B3D"/>
    <w:rsid w:val="00DD4B5A"/>
    <w:rsid w:val="00DD4BC3"/>
    <w:rsid w:val="00DD5233"/>
    <w:rsid w:val="00DD5543"/>
    <w:rsid w:val="00DD5714"/>
    <w:rsid w:val="00DD598E"/>
    <w:rsid w:val="00DD5B05"/>
    <w:rsid w:val="00DD624A"/>
    <w:rsid w:val="00DD64BB"/>
    <w:rsid w:val="00DD689F"/>
    <w:rsid w:val="00DD6DA6"/>
    <w:rsid w:val="00DD726E"/>
    <w:rsid w:val="00DD77AF"/>
    <w:rsid w:val="00DD7812"/>
    <w:rsid w:val="00DD78B8"/>
    <w:rsid w:val="00DD7A4D"/>
    <w:rsid w:val="00DD7A81"/>
    <w:rsid w:val="00DE0074"/>
    <w:rsid w:val="00DE009D"/>
    <w:rsid w:val="00DE059B"/>
    <w:rsid w:val="00DE0664"/>
    <w:rsid w:val="00DE07D5"/>
    <w:rsid w:val="00DE0821"/>
    <w:rsid w:val="00DE0F27"/>
    <w:rsid w:val="00DE16D7"/>
    <w:rsid w:val="00DE17A5"/>
    <w:rsid w:val="00DE1DB5"/>
    <w:rsid w:val="00DE1DD5"/>
    <w:rsid w:val="00DE1F04"/>
    <w:rsid w:val="00DE1F52"/>
    <w:rsid w:val="00DE1FBA"/>
    <w:rsid w:val="00DE21D9"/>
    <w:rsid w:val="00DE253B"/>
    <w:rsid w:val="00DE2642"/>
    <w:rsid w:val="00DE26CA"/>
    <w:rsid w:val="00DE2D1D"/>
    <w:rsid w:val="00DE30E2"/>
    <w:rsid w:val="00DE3158"/>
    <w:rsid w:val="00DE31D5"/>
    <w:rsid w:val="00DE3374"/>
    <w:rsid w:val="00DE34B5"/>
    <w:rsid w:val="00DE35D4"/>
    <w:rsid w:val="00DE36FE"/>
    <w:rsid w:val="00DE3A9A"/>
    <w:rsid w:val="00DE3E52"/>
    <w:rsid w:val="00DE498B"/>
    <w:rsid w:val="00DE49EF"/>
    <w:rsid w:val="00DE4C4F"/>
    <w:rsid w:val="00DE4CA2"/>
    <w:rsid w:val="00DE4DC5"/>
    <w:rsid w:val="00DE511D"/>
    <w:rsid w:val="00DE5615"/>
    <w:rsid w:val="00DE58B3"/>
    <w:rsid w:val="00DE5904"/>
    <w:rsid w:val="00DE5A11"/>
    <w:rsid w:val="00DE5B65"/>
    <w:rsid w:val="00DE5DB6"/>
    <w:rsid w:val="00DE5DC6"/>
    <w:rsid w:val="00DE5F7F"/>
    <w:rsid w:val="00DE5FCF"/>
    <w:rsid w:val="00DE6421"/>
    <w:rsid w:val="00DE65D9"/>
    <w:rsid w:val="00DE66F7"/>
    <w:rsid w:val="00DE6AC4"/>
    <w:rsid w:val="00DE6C7A"/>
    <w:rsid w:val="00DE706B"/>
    <w:rsid w:val="00DE7483"/>
    <w:rsid w:val="00DE74A7"/>
    <w:rsid w:val="00DE76BD"/>
    <w:rsid w:val="00DE7A44"/>
    <w:rsid w:val="00DE7E9D"/>
    <w:rsid w:val="00DF0689"/>
    <w:rsid w:val="00DF07C2"/>
    <w:rsid w:val="00DF087D"/>
    <w:rsid w:val="00DF0AC2"/>
    <w:rsid w:val="00DF0F10"/>
    <w:rsid w:val="00DF0FB9"/>
    <w:rsid w:val="00DF1063"/>
    <w:rsid w:val="00DF1070"/>
    <w:rsid w:val="00DF128F"/>
    <w:rsid w:val="00DF1356"/>
    <w:rsid w:val="00DF141C"/>
    <w:rsid w:val="00DF16C0"/>
    <w:rsid w:val="00DF1A90"/>
    <w:rsid w:val="00DF227F"/>
    <w:rsid w:val="00DF22A3"/>
    <w:rsid w:val="00DF22D1"/>
    <w:rsid w:val="00DF2763"/>
    <w:rsid w:val="00DF27D4"/>
    <w:rsid w:val="00DF2BBC"/>
    <w:rsid w:val="00DF2BE5"/>
    <w:rsid w:val="00DF2D1A"/>
    <w:rsid w:val="00DF2D46"/>
    <w:rsid w:val="00DF2EAE"/>
    <w:rsid w:val="00DF2FEC"/>
    <w:rsid w:val="00DF3200"/>
    <w:rsid w:val="00DF32DF"/>
    <w:rsid w:val="00DF33A7"/>
    <w:rsid w:val="00DF36EB"/>
    <w:rsid w:val="00DF3725"/>
    <w:rsid w:val="00DF37D4"/>
    <w:rsid w:val="00DF38DD"/>
    <w:rsid w:val="00DF39BF"/>
    <w:rsid w:val="00DF3A42"/>
    <w:rsid w:val="00DF3B71"/>
    <w:rsid w:val="00DF3EEA"/>
    <w:rsid w:val="00DF4179"/>
    <w:rsid w:val="00DF4B7D"/>
    <w:rsid w:val="00DF518B"/>
    <w:rsid w:val="00DF51EF"/>
    <w:rsid w:val="00DF52B5"/>
    <w:rsid w:val="00DF548B"/>
    <w:rsid w:val="00DF5BD7"/>
    <w:rsid w:val="00DF5CA0"/>
    <w:rsid w:val="00DF6237"/>
    <w:rsid w:val="00DF6614"/>
    <w:rsid w:val="00DF6A9D"/>
    <w:rsid w:val="00DF6BB8"/>
    <w:rsid w:val="00DF6E8A"/>
    <w:rsid w:val="00DF70CC"/>
    <w:rsid w:val="00DF772B"/>
    <w:rsid w:val="00DF7A83"/>
    <w:rsid w:val="00DF7D96"/>
    <w:rsid w:val="00DF7DC0"/>
    <w:rsid w:val="00E0066D"/>
    <w:rsid w:val="00E0066E"/>
    <w:rsid w:val="00E00704"/>
    <w:rsid w:val="00E00A9E"/>
    <w:rsid w:val="00E00E2A"/>
    <w:rsid w:val="00E013F7"/>
    <w:rsid w:val="00E01465"/>
    <w:rsid w:val="00E015DD"/>
    <w:rsid w:val="00E01ACB"/>
    <w:rsid w:val="00E01B40"/>
    <w:rsid w:val="00E01D22"/>
    <w:rsid w:val="00E01D6B"/>
    <w:rsid w:val="00E01E1F"/>
    <w:rsid w:val="00E01EE6"/>
    <w:rsid w:val="00E02069"/>
    <w:rsid w:val="00E020B0"/>
    <w:rsid w:val="00E0210F"/>
    <w:rsid w:val="00E0224B"/>
    <w:rsid w:val="00E02DD8"/>
    <w:rsid w:val="00E02E74"/>
    <w:rsid w:val="00E02E8A"/>
    <w:rsid w:val="00E02EB7"/>
    <w:rsid w:val="00E03483"/>
    <w:rsid w:val="00E03584"/>
    <w:rsid w:val="00E0361A"/>
    <w:rsid w:val="00E036AB"/>
    <w:rsid w:val="00E03969"/>
    <w:rsid w:val="00E03BA1"/>
    <w:rsid w:val="00E03DD5"/>
    <w:rsid w:val="00E040A0"/>
    <w:rsid w:val="00E041E4"/>
    <w:rsid w:val="00E0427B"/>
    <w:rsid w:val="00E04334"/>
    <w:rsid w:val="00E04497"/>
    <w:rsid w:val="00E049F6"/>
    <w:rsid w:val="00E04D3B"/>
    <w:rsid w:val="00E054B9"/>
    <w:rsid w:val="00E0579B"/>
    <w:rsid w:val="00E0586F"/>
    <w:rsid w:val="00E05F28"/>
    <w:rsid w:val="00E05FBC"/>
    <w:rsid w:val="00E06272"/>
    <w:rsid w:val="00E063C8"/>
    <w:rsid w:val="00E0652F"/>
    <w:rsid w:val="00E06592"/>
    <w:rsid w:val="00E065A3"/>
    <w:rsid w:val="00E06612"/>
    <w:rsid w:val="00E06C54"/>
    <w:rsid w:val="00E070A3"/>
    <w:rsid w:val="00E072AA"/>
    <w:rsid w:val="00E0764C"/>
    <w:rsid w:val="00E0778B"/>
    <w:rsid w:val="00E1003A"/>
    <w:rsid w:val="00E100E3"/>
    <w:rsid w:val="00E10538"/>
    <w:rsid w:val="00E10718"/>
    <w:rsid w:val="00E109C9"/>
    <w:rsid w:val="00E10B29"/>
    <w:rsid w:val="00E10B7D"/>
    <w:rsid w:val="00E113E0"/>
    <w:rsid w:val="00E114AD"/>
    <w:rsid w:val="00E11517"/>
    <w:rsid w:val="00E1173F"/>
    <w:rsid w:val="00E11AD1"/>
    <w:rsid w:val="00E11C1E"/>
    <w:rsid w:val="00E11F48"/>
    <w:rsid w:val="00E1207F"/>
    <w:rsid w:val="00E12234"/>
    <w:rsid w:val="00E12751"/>
    <w:rsid w:val="00E12907"/>
    <w:rsid w:val="00E12944"/>
    <w:rsid w:val="00E12B17"/>
    <w:rsid w:val="00E12EC0"/>
    <w:rsid w:val="00E12EF1"/>
    <w:rsid w:val="00E1354B"/>
    <w:rsid w:val="00E13660"/>
    <w:rsid w:val="00E13A7E"/>
    <w:rsid w:val="00E13BFB"/>
    <w:rsid w:val="00E13C1F"/>
    <w:rsid w:val="00E13D45"/>
    <w:rsid w:val="00E13EAD"/>
    <w:rsid w:val="00E1438F"/>
    <w:rsid w:val="00E14730"/>
    <w:rsid w:val="00E147EC"/>
    <w:rsid w:val="00E14A90"/>
    <w:rsid w:val="00E1533C"/>
    <w:rsid w:val="00E154BD"/>
    <w:rsid w:val="00E15525"/>
    <w:rsid w:val="00E15703"/>
    <w:rsid w:val="00E15D02"/>
    <w:rsid w:val="00E15D98"/>
    <w:rsid w:val="00E16007"/>
    <w:rsid w:val="00E1606F"/>
    <w:rsid w:val="00E16245"/>
    <w:rsid w:val="00E1631C"/>
    <w:rsid w:val="00E16405"/>
    <w:rsid w:val="00E16598"/>
    <w:rsid w:val="00E166B5"/>
    <w:rsid w:val="00E166BE"/>
    <w:rsid w:val="00E167D8"/>
    <w:rsid w:val="00E169D5"/>
    <w:rsid w:val="00E16BA9"/>
    <w:rsid w:val="00E16CF7"/>
    <w:rsid w:val="00E1715E"/>
    <w:rsid w:val="00E1742A"/>
    <w:rsid w:val="00E17967"/>
    <w:rsid w:val="00E17ADC"/>
    <w:rsid w:val="00E20111"/>
    <w:rsid w:val="00E2060E"/>
    <w:rsid w:val="00E20705"/>
    <w:rsid w:val="00E2149B"/>
    <w:rsid w:val="00E21557"/>
    <w:rsid w:val="00E21B8B"/>
    <w:rsid w:val="00E21DF0"/>
    <w:rsid w:val="00E21FC5"/>
    <w:rsid w:val="00E220A9"/>
    <w:rsid w:val="00E221B2"/>
    <w:rsid w:val="00E2222E"/>
    <w:rsid w:val="00E22423"/>
    <w:rsid w:val="00E22491"/>
    <w:rsid w:val="00E225D2"/>
    <w:rsid w:val="00E22605"/>
    <w:rsid w:val="00E2267B"/>
    <w:rsid w:val="00E227EA"/>
    <w:rsid w:val="00E228EA"/>
    <w:rsid w:val="00E22A12"/>
    <w:rsid w:val="00E22B04"/>
    <w:rsid w:val="00E232EC"/>
    <w:rsid w:val="00E23426"/>
    <w:rsid w:val="00E23660"/>
    <w:rsid w:val="00E236BF"/>
    <w:rsid w:val="00E236E3"/>
    <w:rsid w:val="00E2381E"/>
    <w:rsid w:val="00E23A28"/>
    <w:rsid w:val="00E24805"/>
    <w:rsid w:val="00E24A1E"/>
    <w:rsid w:val="00E24C81"/>
    <w:rsid w:val="00E25397"/>
    <w:rsid w:val="00E255CB"/>
    <w:rsid w:val="00E25AF3"/>
    <w:rsid w:val="00E264A6"/>
    <w:rsid w:val="00E26521"/>
    <w:rsid w:val="00E267BA"/>
    <w:rsid w:val="00E267CA"/>
    <w:rsid w:val="00E26B7B"/>
    <w:rsid w:val="00E270B6"/>
    <w:rsid w:val="00E272A7"/>
    <w:rsid w:val="00E27575"/>
    <w:rsid w:val="00E2761D"/>
    <w:rsid w:val="00E2778E"/>
    <w:rsid w:val="00E27A86"/>
    <w:rsid w:val="00E27C0E"/>
    <w:rsid w:val="00E27CD8"/>
    <w:rsid w:val="00E27FD3"/>
    <w:rsid w:val="00E30112"/>
    <w:rsid w:val="00E30224"/>
    <w:rsid w:val="00E30C2F"/>
    <w:rsid w:val="00E30D65"/>
    <w:rsid w:val="00E3103C"/>
    <w:rsid w:val="00E31326"/>
    <w:rsid w:val="00E313E1"/>
    <w:rsid w:val="00E31592"/>
    <w:rsid w:val="00E31831"/>
    <w:rsid w:val="00E31884"/>
    <w:rsid w:val="00E31939"/>
    <w:rsid w:val="00E319FB"/>
    <w:rsid w:val="00E31A1E"/>
    <w:rsid w:val="00E31B9C"/>
    <w:rsid w:val="00E31C37"/>
    <w:rsid w:val="00E32128"/>
    <w:rsid w:val="00E32406"/>
    <w:rsid w:val="00E3249A"/>
    <w:rsid w:val="00E325F2"/>
    <w:rsid w:val="00E327D5"/>
    <w:rsid w:val="00E32825"/>
    <w:rsid w:val="00E32A86"/>
    <w:rsid w:val="00E32AF7"/>
    <w:rsid w:val="00E32C18"/>
    <w:rsid w:val="00E33049"/>
    <w:rsid w:val="00E33526"/>
    <w:rsid w:val="00E33599"/>
    <w:rsid w:val="00E336CC"/>
    <w:rsid w:val="00E33925"/>
    <w:rsid w:val="00E3396B"/>
    <w:rsid w:val="00E3398F"/>
    <w:rsid w:val="00E33C68"/>
    <w:rsid w:val="00E33CD1"/>
    <w:rsid w:val="00E34031"/>
    <w:rsid w:val="00E341F9"/>
    <w:rsid w:val="00E34484"/>
    <w:rsid w:val="00E34989"/>
    <w:rsid w:val="00E349EE"/>
    <w:rsid w:val="00E34AC3"/>
    <w:rsid w:val="00E34CE0"/>
    <w:rsid w:val="00E350D0"/>
    <w:rsid w:val="00E35496"/>
    <w:rsid w:val="00E3559F"/>
    <w:rsid w:val="00E355E7"/>
    <w:rsid w:val="00E35C55"/>
    <w:rsid w:val="00E35CD5"/>
    <w:rsid w:val="00E35F96"/>
    <w:rsid w:val="00E36373"/>
    <w:rsid w:val="00E363BC"/>
    <w:rsid w:val="00E3654E"/>
    <w:rsid w:val="00E36C08"/>
    <w:rsid w:val="00E36D00"/>
    <w:rsid w:val="00E36DD2"/>
    <w:rsid w:val="00E36E34"/>
    <w:rsid w:val="00E36F4A"/>
    <w:rsid w:val="00E37037"/>
    <w:rsid w:val="00E37424"/>
    <w:rsid w:val="00E3751B"/>
    <w:rsid w:val="00E37611"/>
    <w:rsid w:val="00E3765B"/>
    <w:rsid w:val="00E37727"/>
    <w:rsid w:val="00E3792C"/>
    <w:rsid w:val="00E3798F"/>
    <w:rsid w:val="00E37A6A"/>
    <w:rsid w:val="00E37AB3"/>
    <w:rsid w:val="00E37D7E"/>
    <w:rsid w:val="00E4002D"/>
    <w:rsid w:val="00E404B6"/>
    <w:rsid w:val="00E40541"/>
    <w:rsid w:val="00E40698"/>
    <w:rsid w:val="00E408BC"/>
    <w:rsid w:val="00E408EE"/>
    <w:rsid w:val="00E409BE"/>
    <w:rsid w:val="00E40CDE"/>
    <w:rsid w:val="00E41774"/>
    <w:rsid w:val="00E41777"/>
    <w:rsid w:val="00E41923"/>
    <w:rsid w:val="00E41A8D"/>
    <w:rsid w:val="00E41BDE"/>
    <w:rsid w:val="00E41E8B"/>
    <w:rsid w:val="00E4259E"/>
    <w:rsid w:val="00E42FEC"/>
    <w:rsid w:val="00E42FEF"/>
    <w:rsid w:val="00E432DD"/>
    <w:rsid w:val="00E434BF"/>
    <w:rsid w:val="00E43565"/>
    <w:rsid w:val="00E43833"/>
    <w:rsid w:val="00E43C43"/>
    <w:rsid w:val="00E449E8"/>
    <w:rsid w:val="00E449EF"/>
    <w:rsid w:val="00E44C0B"/>
    <w:rsid w:val="00E44EFB"/>
    <w:rsid w:val="00E4506A"/>
    <w:rsid w:val="00E45180"/>
    <w:rsid w:val="00E45305"/>
    <w:rsid w:val="00E4568F"/>
    <w:rsid w:val="00E45C1C"/>
    <w:rsid w:val="00E45E41"/>
    <w:rsid w:val="00E45E7E"/>
    <w:rsid w:val="00E46349"/>
    <w:rsid w:val="00E46A59"/>
    <w:rsid w:val="00E46AC9"/>
    <w:rsid w:val="00E46F23"/>
    <w:rsid w:val="00E4733B"/>
    <w:rsid w:val="00E47344"/>
    <w:rsid w:val="00E47436"/>
    <w:rsid w:val="00E474C8"/>
    <w:rsid w:val="00E47867"/>
    <w:rsid w:val="00E479BA"/>
    <w:rsid w:val="00E47D59"/>
    <w:rsid w:val="00E47DA8"/>
    <w:rsid w:val="00E47ED3"/>
    <w:rsid w:val="00E47EF4"/>
    <w:rsid w:val="00E4D2CA"/>
    <w:rsid w:val="00E500E0"/>
    <w:rsid w:val="00E501A3"/>
    <w:rsid w:val="00E505C4"/>
    <w:rsid w:val="00E50E44"/>
    <w:rsid w:val="00E50FE9"/>
    <w:rsid w:val="00E5139C"/>
    <w:rsid w:val="00E516A9"/>
    <w:rsid w:val="00E517B4"/>
    <w:rsid w:val="00E51E7F"/>
    <w:rsid w:val="00E51F12"/>
    <w:rsid w:val="00E520FE"/>
    <w:rsid w:val="00E52201"/>
    <w:rsid w:val="00E523AA"/>
    <w:rsid w:val="00E527B2"/>
    <w:rsid w:val="00E527E2"/>
    <w:rsid w:val="00E52883"/>
    <w:rsid w:val="00E52B09"/>
    <w:rsid w:val="00E52B1A"/>
    <w:rsid w:val="00E52BB3"/>
    <w:rsid w:val="00E52CAA"/>
    <w:rsid w:val="00E5311D"/>
    <w:rsid w:val="00E53407"/>
    <w:rsid w:val="00E53DB6"/>
    <w:rsid w:val="00E53DEE"/>
    <w:rsid w:val="00E53E47"/>
    <w:rsid w:val="00E5422D"/>
    <w:rsid w:val="00E54316"/>
    <w:rsid w:val="00E54409"/>
    <w:rsid w:val="00E54ACA"/>
    <w:rsid w:val="00E54C87"/>
    <w:rsid w:val="00E54FB3"/>
    <w:rsid w:val="00E554A4"/>
    <w:rsid w:val="00E55904"/>
    <w:rsid w:val="00E55916"/>
    <w:rsid w:val="00E55947"/>
    <w:rsid w:val="00E5595F"/>
    <w:rsid w:val="00E55ABE"/>
    <w:rsid w:val="00E55DEE"/>
    <w:rsid w:val="00E55E02"/>
    <w:rsid w:val="00E55E72"/>
    <w:rsid w:val="00E5609E"/>
    <w:rsid w:val="00E56364"/>
    <w:rsid w:val="00E569BD"/>
    <w:rsid w:val="00E57092"/>
    <w:rsid w:val="00E57521"/>
    <w:rsid w:val="00E57650"/>
    <w:rsid w:val="00E57B64"/>
    <w:rsid w:val="00E57DCC"/>
    <w:rsid w:val="00E60005"/>
    <w:rsid w:val="00E600DA"/>
    <w:rsid w:val="00E60156"/>
    <w:rsid w:val="00E6034E"/>
    <w:rsid w:val="00E60616"/>
    <w:rsid w:val="00E60ABB"/>
    <w:rsid w:val="00E60CB2"/>
    <w:rsid w:val="00E6157A"/>
    <w:rsid w:val="00E617F5"/>
    <w:rsid w:val="00E618B3"/>
    <w:rsid w:val="00E61C17"/>
    <w:rsid w:val="00E61D92"/>
    <w:rsid w:val="00E6229A"/>
    <w:rsid w:val="00E6234A"/>
    <w:rsid w:val="00E628DC"/>
    <w:rsid w:val="00E62A8D"/>
    <w:rsid w:val="00E62BD2"/>
    <w:rsid w:val="00E63064"/>
    <w:rsid w:val="00E631AA"/>
    <w:rsid w:val="00E633B6"/>
    <w:rsid w:val="00E6346D"/>
    <w:rsid w:val="00E635B2"/>
    <w:rsid w:val="00E636E1"/>
    <w:rsid w:val="00E639F5"/>
    <w:rsid w:val="00E63DD1"/>
    <w:rsid w:val="00E63E67"/>
    <w:rsid w:val="00E64002"/>
    <w:rsid w:val="00E64084"/>
    <w:rsid w:val="00E640F8"/>
    <w:rsid w:val="00E642D1"/>
    <w:rsid w:val="00E64488"/>
    <w:rsid w:val="00E64551"/>
    <w:rsid w:val="00E64630"/>
    <w:rsid w:val="00E649CB"/>
    <w:rsid w:val="00E64B49"/>
    <w:rsid w:val="00E64D04"/>
    <w:rsid w:val="00E64D47"/>
    <w:rsid w:val="00E65152"/>
    <w:rsid w:val="00E652FC"/>
    <w:rsid w:val="00E65430"/>
    <w:rsid w:val="00E6544B"/>
    <w:rsid w:val="00E6566C"/>
    <w:rsid w:val="00E656F2"/>
    <w:rsid w:val="00E6606A"/>
    <w:rsid w:val="00E66614"/>
    <w:rsid w:val="00E666F9"/>
    <w:rsid w:val="00E66924"/>
    <w:rsid w:val="00E66A20"/>
    <w:rsid w:val="00E66BE4"/>
    <w:rsid w:val="00E66BE5"/>
    <w:rsid w:val="00E679C1"/>
    <w:rsid w:val="00E67A0A"/>
    <w:rsid w:val="00E67DAC"/>
    <w:rsid w:val="00E6DD75"/>
    <w:rsid w:val="00E70800"/>
    <w:rsid w:val="00E709AC"/>
    <w:rsid w:val="00E70D66"/>
    <w:rsid w:val="00E70EEE"/>
    <w:rsid w:val="00E70FAF"/>
    <w:rsid w:val="00E71051"/>
    <w:rsid w:val="00E714C6"/>
    <w:rsid w:val="00E714F0"/>
    <w:rsid w:val="00E71590"/>
    <w:rsid w:val="00E7176C"/>
    <w:rsid w:val="00E71CEB"/>
    <w:rsid w:val="00E71F28"/>
    <w:rsid w:val="00E72093"/>
    <w:rsid w:val="00E727E3"/>
    <w:rsid w:val="00E72B18"/>
    <w:rsid w:val="00E72E15"/>
    <w:rsid w:val="00E72E39"/>
    <w:rsid w:val="00E73032"/>
    <w:rsid w:val="00E73225"/>
    <w:rsid w:val="00E7334A"/>
    <w:rsid w:val="00E73851"/>
    <w:rsid w:val="00E7398B"/>
    <w:rsid w:val="00E74154"/>
    <w:rsid w:val="00E74808"/>
    <w:rsid w:val="00E74844"/>
    <w:rsid w:val="00E7486A"/>
    <w:rsid w:val="00E75343"/>
    <w:rsid w:val="00E754BF"/>
    <w:rsid w:val="00E75596"/>
    <w:rsid w:val="00E7559F"/>
    <w:rsid w:val="00E755FF"/>
    <w:rsid w:val="00E7570A"/>
    <w:rsid w:val="00E75D61"/>
    <w:rsid w:val="00E75F9A"/>
    <w:rsid w:val="00E75FD6"/>
    <w:rsid w:val="00E76029"/>
    <w:rsid w:val="00E761F0"/>
    <w:rsid w:val="00E76486"/>
    <w:rsid w:val="00E767E1"/>
    <w:rsid w:val="00E7681A"/>
    <w:rsid w:val="00E76A74"/>
    <w:rsid w:val="00E76C38"/>
    <w:rsid w:val="00E76D2F"/>
    <w:rsid w:val="00E76DF8"/>
    <w:rsid w:val="00E76F9A"/>
    <w:rsid w:val="00E777C5"/>
    <w:rsid w:val="00E80035"/>
    <w:rsid w:val="00E802AA"/>
    <w:rsid w:val="00E804C7"/>
    <w:rsid w:val="00E80A54"/>
    <w:rsid w:val="00E80AC6"/>
    <w:rsid w:val="00E80DA5"/>
    <w:rsid w:val="00E80DE3"/>
    <w:rsid w:val="00E819C0"/>
    <w:rsid w:val="00E819FB"/>
    <w:rsid w:val="00E82136"/>
    <w:rsid w:val="00E82140"/>
    <w:rsid w:val="00E8269B"/>
    <w:rsid w:val="00E82962"/>
    <w:rsid w:val="00E82B5B"/>
    <w:rsid w:val="00E82C5F"/>
    <w:rsid w:val="00E82D8A"/>
    <w:rsid w:val="00E82EFF"/>
    <w:rsid w:val="00E8319B"/>
    <w:rsid w:val="00E831D3"/>
    <w:rsid w:val="00E834C9"/>
    <w:rsid w:val="00E8353C"/>
    <w:rsid w:val="00E835EA"/>
    <w:rsid w:val="00E83E61"/>
    <w:rsid w:val="00E84985"/>
    <w:rsid w:val="00E849B9"/>
    <w:rsid w:val="00E84A53"/>
    <w:rsid w:val="00E84C05"/>
    <w:rsid w:val="00E85288"/>
    <w:rsid w:val="00E8534A"/>
    <w:rsid w:val="00E85660"/>
    <w:rsid w:val="00E85860"/>
    <w:rsid w:val="00E85D30"/>
    <w:rsid w:val="00E85EA2"/>
    <w:rsid w:val="00E85F13"/>
    <w:rsid w:val="00E85FBF"/>
    <w:rsid w:val="00E864BF"/>
    <w:rsid w:val="00E865A0"/>
    <w:rsid w:val="00E86736"/>
    <w:rsid w:val="00E86E7E"/>
    <w:rsid w:val="00E86F99"/>
    <w:rsid w:val="00E87053"/>
    <w:rsid w:val="00E8707B"/>
    <w:rsid w:val="00E872DB"/>
    <w:rsid w:val="00E87B1A"/>
    <w:rsid w:val="00E87C07"/>
    <w:rsid w:val="00E87CD6"/>
    <w:rsid w:val="00E904A8"/>
    <w:rsid w:val="00E907CF"/>
    <w:rsid w:val="00E90C22"/>
    <w:rsid w:val="00E90CDE"/>
    <w:rsid w:val="00E90DA4"/>
    <w:rsid w:val="00E90F4C"/>
    <w:rsid w:val="00E91142"/>
    <w:rsid w:val="00E913A6"/>
    <w:rsid w:val="00E9144B"/>
    <w:rsid w:val="00E91AA7"/>
    <w:rsid w:val="00E91F43"/>
    <w:rsid w:val="00E9205F"/>
    <w:rsid w:val="00E920C0"/>
    <w:rsid w:val="00E92776"/>
    <w:rsid w:val="00E92857"/>
    <w:rsid w:val="00E92B30"/>
    <w:rsid w:val="00E92EBC"/>
    <w:rsid w:val="00E930FA"/>
    <w:rsid w:val="00E93202"/>
    <w:rsid w:val="00E93480"/>
    <w:rsid w:val="00E93525"/>
    <w:rsid w:val="00E93AED"/>
    <w:rsid w:val="00E93D0F"/>
    <w:rsid w:val="00E942B1"/>
    <w:rsid w:val="00E9438C"/>
    <w:rsid w:val="00E943B5"/>
    <w:rsid w:val="00E94454"/>
    <w:rsid w:val="00E945A9"/>
    <w:rsid w:val="00E94751"/>
    <w:rsid w:val="00E948BD"/>
    <w:rsid w:val="00E948D4"/>
    <w:rsid w:val="00E94AED"/>
    <w:rsid w:val="00E94B09"/>
    <w:rsid w:val="00E94C19"/>
    <w:rsid w:val="00E94C2F"/>
    <w:rsid w:val="00E94C7E"/>
    <w:rsid w:val="00E95558"/>
    <w:rsid w:val="00E955FF"/>
    <w:rsid w:val="00E95608"/>
    <w:rsid w:val="00E959E2"/>
    <w:rsid w:val="00E95E2A"/>
    <w:rsid w:val="00E95FB0"/>
    <w:rsid w:val="00E96056"/>
    <w:rsid w:val="00E966F9"/>
    <w:rsid w:val="00E96756"/>
    <w:rsid w:val="00E96C07"/>
    <w:rsid w:val="00E96CBB"/>
    <w:rsid w:val="00E96F6D"/>
    <w:rsid w:val="00E970F9"/>
    <w:rsid w:val="00E97237"/>
    <w:rsid w:val="00E97599"/>
    <w:rsid w:val="00E976DF"/>
    <w:rsid w:val="00E97805"/>
    <w:rsid w:val="00E97BDB"/>
    <w:rsid w:val="00E9CE2B"/>
    <w:rsid w:val="00EA017A"/>
    <w:rsid w:val="00EA0326"/>
    <w:rsid w:val="00EA03CE"/>
    <w:rsid w:val="00EA0575"/>
    <w:rsid w:val="00EA0823"/>
    <w:rsid w:val="00EA084D"/>
    <w:rsid w:val="00EA094A"/>
    <w:rsid w:val="00EA0BB4"/>
    <w:rsid w:val="00EA0CBD"/>
    <w:rsid w:val="00EA0CDD"/>
    <w:rsid w:val="00EA0D94"/>
    <w:rsid w:val="00EA0E54"/>
    <w:rsid w:val="00EA111F"/>
    <w:rsid w:val="00EA1417"/>
    <w:rsid w:val="00EA145F"/>
    <w:rsid w:val="00EA1490"/>
    <w:rsid w:val="00EA15BA"/>
    <w:rsid w:val="00EA16C6"/>
    <w:rsid w:val="00EA170C"/>
    <w:rsid w:val="00EA1B29"/>
    <w:rsid w:val="00EA1C19"/>
    <w:rsid w:val="00EA1D3E"/>
    <w:rsid w:val="00EA1E1A"/>
    <w:rsid w:val="00EA2348"/>
    <w:rsid w:val="00EA2690"/>
    <w:rsid w:val="00EA2B07"/>
    <w:rsid w:val="00EA2CDA"/>
    <w:rsid w:val="00EA3235"/>
    <w:rsid w:val="00EA3252"/>
    <w:rsid w:val="00EA334C"/>
    <w:rsid w:val="00EA3365"/>
    <w:rsid w:val="00EA344A"/>
    <w:rsid w:val="00EA3C35"/>
    <w:rsid w:val="00EA3C77"/>
    <w:rsid w:val="00EA403F"/>
    <w:rsid w:val="00EA4B76"/>
    <w:rsid w:val="00EA4CAB"/>
    <w:rsid w:val="00EA5552"/>
    <w:rsid w:val="00EA5782"/>
    <w:rsid w:val="00EA5CAE"/>
    <w:rsid w:val="00EA62E4"/>
    <w:rsid w:val="00EA655D"/>
    <w:rsid w:val="00EA6562"/>
    <w:rsid w:val="00EA658C"/>
    <w:rsid w:val="00EA667B"/>
    <w:rsid w:val="00EA66E6"/>
    <w:rsid w:val="00EA68D1"/>
    <w:rsid w:val="00EA69BE"/>
    <w:rsid w:val="00EA69CE"/>
    <w:rsid w:val="00EA6C58"/>
    <w:rsid w:val="00EA701D"/>
    <w:rsid w:val="00EA76F7"/>
    <w:rsid w:val="00EA7B5A"/>
    <w:rsid w:val="00EA7FD7"/>
    <w:rsid w:val="00EB0073"/>
    <w:rsid w:val="00EB00BF"/>
    <w:rsid w:val="00EB0102"/>
    <w:rsid w:val="00EB0338"/>
    <w:rsid w:val="00EB03A6"/>
    <w:rsid w:val="00EB03BB"/>
    <w:rsid w:val="00EB062B"/>
    <w:rsid w:val="00EB0A2F"/>
    <w:rsid w:val="00EB0A55"/>
    <w:rsid w:val="00EB0BA7"/>
    <w:rsid w:val="00EB1122"/>
    <w:rsid w:val="00EB117D"/>
    <w:rsid w:val="00EB13DD"/>
    <w:rsid w:val="00EB150F"/>
    <w:rsid w:val="00EB155E"/>
    <w:rsid w:val="00EB1912"/>
    <w:rsid w:val="00EB1C29"/>
    <w:rsid w:val="00EB22A4"/>
    <w:rsid w:val="00EB23A1"/>
    <w:rsid w:val="00EB252D"/>
    <w:rsid w:val="00EB2885"/>
    <w:rsid w:val="00EB295A"/>
    <w:rsid w:val="00EB2DD9"/>
    <w:rsid w:val="00EB303D"/>
    <w:rsid w:val="00EB360C"/>
    <w:rsid w:val="00EB365A"/>
    <w:rsid w:val="00EB3A8A"/>
    <w:rsid w:val="00EB3BEF"/>
    <w:rsid w:val="00EB418F"/>
    <w:rsid w:val="00EB426B"/>
    <w:rsid w:val="00EB4764"/>
    <w:rsid w:val="00EB478E"/>
    <w:rsid w:val="00EB47B0"/>
    <w:rsid w:val="00EB4AE2"/>
    <w:rsid w:val="00EB4B54"/>
    <w:rsid w:val="00EB4DE0"/>
    <w:rsid w:val="00EB4E02"/>
    <w:rsid w:val="00EB4F2F"/>
    <w:rsid w:val="00EB4F9F"/>
    <w:rsid w:val="00EB5242"/>
    <w:rsid w:val="00EB5418"/>
    <w:rsid w:val="00EB544B"/>
    <w:rsid w:val="00EB5AE8"/>
    <w:rsid w:val="00EB5C7D"/>
    <w:rsid w:val="00EB5E6D"/>
    <w:rsid w:val="00EB5FF8"/>
    <w:rsid w:val="00EB601A"/>
    <w:rsid w:val="00EB6A59"/>
    <w:rsid w:val="00EB6C8B"/>
    <w:rsid w:val="00EB6D14"/>
    <w:rsid w:val="00EB7004"/>
    <w:rsid w:val="00EB750A"/>
    <w:rsid w:val="00EB7546"/>
    <w:rsid w:val="00EB758E"/>
    <w:rsid w:val="00EB767F"/>
    <w:rsid w:val="00EB7719"/>
    <w:rsid w:val="00EB7B46"/>
    <w:rsid w:val="00EB7E28"/>
    <w:rsid w:val="00EC07D5"/>
    <w:rsid w:val="00EC0A8B"/>
    <w:rsid w:val="00EC0E2F"/>
    <w:rsid w:val="00EC0E3C"/>
    <w:rsid w:val="00EC0F9A"/>
    <w:rsid w:val="00EC0FD9"/>
    <w:rsid w:val="00EC1A36"/>
    <w:rsid w:val="00EC20D6"/>
    <w:rsid w:val="00EC2384"/>
    <w:rsid w:val="00EC2503"/>
    <w:rsid w:val="00EC2915"/>
    <w:rsid w:val="00EC2925"/>
    <w:rsid w:val="00EC2C6B"/>
    <w:rsid w:val="00EC2C85"/>
    <w:rsid w:val="00EC300D"/>
    <w:rsid w:val="00EC3050"/>
    <w:rsid w:val="00EC32A5"/>
    <w:rsid w:val="00EC32E7"/>
    <w:rsid w:val="00EC3A64"/>
    <w:rsid w:val="00EC4206"/>
    <w:rsid w:val="00EC444F"/>
    <w:rsid w:val="00EC4758"/>
    <w:rsid w:val="00EC48CA"/>
    <w:rsid w:val="00EC4FE4"/>
    <w:rsid w:val="00EC51C8"/>
    <w:rsid w:val="00EC57D3"/>
    <w:rsid w:val="00EC5EB6"/>
    <w:rsid w:val="00EC640F"/>
    <w:rsid w:val="00EC6724"/>
    <w:rsid w:val="00EC6738"/>
    <w:rsid w:val="00EC6741"/>
    <w:rsid w:val="00EC6AA1"/>
    <w:rsid w:val="00EC6BFB"/>
    <w:rsid w:val="00EC700C"/>
    <w:rsid w:val="00EC70A0"/>
    <w:rsid w:val="00EC757D"/>
    <w:rsid w:val="00EC7805"/>
    <w:rsid w:val="00EC79CD"/>
    <w:rsid w:val="00EC7CB0"/>
    <w:rsid w:val="00EC7E4A"/>
    <w:rsid w:val="00EC7E7E"/>
    <w:rsid w:val="00ED0330"/>
    <w:rsid w:val="00ED0639"/>
    <w:rsid w:val="00ED0B99"/>
    <w:rsid w:val="00ED0E08"/>
    <w:rsid w:val="00ED0EF9"/>
    <w:rsid w:val="00ED0F5F"/>
    <w:rsid w:val="00ED0FF3"/>
    <w:rsid w:val="00ED10E1"/>
    <w:rsid w:val="00ED11A3"/>
    <w:rsid w:val="00ED13F4"/>
    <w:rsid w:val="00ED17A3"/>
    <w:rsid w:val="00ED1C76"/>
    <w:rsid w:val="00ED1F45"/>
    <w:rsid w:val="00ED2099"/>
    <w:rsid w:val="00ED224C"/>
    <w:rsid w:val="00ED2703"/>
    <w:rsid w:val="00ED29A2"/>
    <w:rsid w:val="00ED310E"/>
    <w:rsid w:val="00ED3599"/>
    <w:rsid w:val="00ED38C1"/>
    <w:rsid w:val="00ED3A2B"/>
    <w:rsid w:val="00ED407B"/>
    <w:rsid w:val="00ED4AA9"/>
    <w:rsid w:val="00ED4D64"/>
    <w:rsid w:val="00ED4FE5"/>
    <w:rsid w:val="00ED5042"/>
    <w:rsid w:val="00ED50F3"/>
    <w:rsid w:val="00ED5204"/>
    <w:rsid w:val="00ED53A9"/>
    <w:rsid w:val="00ED53E4"/>
    <w:rsid w:val="00ED56E4"/>
    <w:rsid w:val="00ED5B37"/>
    <w:rsid w:val="00ED5BB3"/>
    <w:rsid w:val="00ED630B"/>
    <w:rsid w:val="00ED6483"/>
    <w:rsid w:val="00ED6619"/>
    <w:rsid w:val="00ED6640"/>
    <w:rsid w:val="00ED7187"/>
    <w:rsid w:val="00ED7509"/>
    <w:rsid w:val="00ED7997"/>
    <w:rsid w:val="00ED7E78"/>
    <w:rsid w:val="00ED9096"/>
    <w:rsid w:val="00EDAB03"/>
    <w:rsid w:val="00EE0145"/>
    <w:rsid w:val="00EE0CB0"/>
    <w:rsid w:val="00EE162D"/>
    <w:rsid w:val="00EE1B6E"/>
    <w:rsid w:val="00EE1BEE"/>
    <w:rsid w:val="00EE1C18"/>
    <w:rsid w:val="00EE1E07"/>
    <w:rsid w:val="00EE20E5"/>
    <w:rsid w:val="00EE244E"/>
    <w:rsid w:val="00EE26DB"/>
    <w:rsid w:val="00EE27F1"/>
    <w:rsid w:val="00EE2852"/>
    <w:rsid w:val="00EE2A9B"/>
    <w:rsid w:val="00EE2CF6"/>
    <w:rsid w:val="00EE316C"/>
    <w:rsid w:val="00EE3211"/>
    <w:rsid w:val="00EE33D3"/>
    <w:rsid w:val="00EE39B1"/>
    <w:rsid w:val="00EE3E75"/>
    <w:rsid w:val="00EE4230"/>
    <w:rsid w:val="00EE42EC"/>
    <w:rsid w:val="00EE431C"/>
    <w:rsid w:val="00EE4775"/>
    <w:rsid w:val="00EE479E"/>
    <w:rsid w:val="00EE4D40"/>
    <w:rsid w:val="00EE5014"/>
    <w:rsid w:val="00EE5098"/>
    <w:rsid w:val="00EE5116"/>
    <w:rsid w:val="00EE5808"/>
    <w:rsid w:val="00EE5B8E"/>
    <w:rsid w:val="00EE5CE5"/>
    <w:rsid w:val="00EE5DF9"/>
    <w:rsid w:val="00EE5E4F"/>
    <w:rsid w:val="00EE5EFF"/>
    <w:rsid w:val="00EE6121"/>
    <w:rsid w:val="00EE61B7"/>
    <w:rsid w:val="00EE62BF"/>
    <w:rsid w:val="00EE63EA"/>
    <w:rsid w:val="00EE64C1"/>
    <w:rsid w:val="00EE65F2"/>
    <w:rsid w:val="00EE67D1"/>
    <w:rsid w:val="00EE6A7D"/>
    <w:rsid w:val="00EE6D27"/>
    <w:rsid w:val="00EE7208"/>
    <w:rsid w:val="00EE7382"/>
    <w:rsid w:val="00EE74F1"/>
    <w:rsid w:val="00EE76A5"/>
    <w:rsid w:val="00EE77BC"/>
    <w:rsid w:val="00EE7A9E"/>
    <w:rsid w:val="00EE7E12"/>
    <w:rsid w:val="00EE7E54"/>
    <w:rsid w:val="00EE7FAC"/>
    <w:rsid w:val="00EE7FEB"/>
    <w:rsid w:val="00EF030A"/>
    <w:rsid w:val="00EF055C"/>
    <w:rsid w:val="00EF1044"/>
    <w:rsid w:val="00EF10C2"/>
    <w:rsid w:val="00EF11C7"/>
    <w:rsid w:val="00EF13DB"/>
    <w:rsid w:val="00EF1632"/>
    <w:rsid w:val="00EF1642"/>
    <w:rsid w:val="00EF1A3D"/>
    <w:rsid w:val="00EF1DC9"/>
    <w:rsid w:val="00EF224E"/>
    <w:rsid w:val="00EF2BAD"/>
    <w:rsid w:val="00EF2C02"/>
    <w:rsid w:val="00EF3039"/>
    <w:rsid w:val="00EF3278"/>
    <w:rsid w:val="00EF3801"/>
    <w:rsid w:val="00EF3B2F"/>
    <w:rsid w:val="00EF3E8B"/>
    <w:rsid w:val="00EF4178"/>
    <w:rsid w:val="00EF41F3"/>
    <w:rsid w:val="00EF48B5"/>
    <w:rsid w:val="00EF4DA0"/>
    <w:rsid w:val="00EF509F"/>
    <w:rsid w:val="00EF50A7"/>
    <w:rsid w:val="00EF537A"/>
    <w:rsid w:val="00EF5446"/>
    <w:rsid w:val="00EF5464"/>
    <w:rsid w:val="00EF547E"/>
    <w:rsid w:val="00EF5C0C"/>
    <w:rsid w:val="00EF5C21"/>
    <w:rsid w:val="00EF61DA"/>
    <w:rsid w:val="00EF63F1"/>
    <w:rsid w:val="00EF6B37"/>
    <w:rsid w:val="00EF6D00"/>
    <w:rsid w:val="00EF6D9A"/>
    <w:rsid w:val="00EF6DD1"/>
    <w:rsid w:val="00EF70E7"/>
    <w:rsid w:val="00EF75B0"/>
    <w:rsid w:val="00EF7BB3"/>
    <w:rsid w:val="00F0003D"/>
    <w:rsid w:val="00F000C9"/>
    <w:rsid w:val="00F0024E"/>
    <w:rsid w:val="00F0062F"/>
    <w:rsid w:val="00F00678"/>
    <w:rsid w:val="00F00DEB"/>
    <w:rsid w:val="00F01134"/>
    <w:rsid w:val="00F0138F"/>
    <w:rsid w:val="00F0152D"/>
    <w:rsid w:val="00F01723"/>
    <w:rsid w:val="00F01A45"/>
    <w:rsid w:val="00F01C5E"/>
    <w:rsid w:val="00F01CB0"/>
    <w:rsid w:val="00F01CE4"/>
    <w:rsid w:val="00F01DE4"/>
    <w:rsid w:val="00F02ECA"/>
    <w:rsid w:val="00F030CF"/>
    <w:rsid w:val="00F03196"/>
    <w:rsid w:val="00F034E1"/>
    <w:rsid w:val="00F03502"/>
    <w:rsid w:val="00F036BB"/>
    <w:rsid w:val="00F03ADE"/>
    <w:rsid w:val="00F03AF7"/>
    <w:rsid w:val="00F040CF"/>
    <w:rsid w:val="00F04490"/>
    <w:rsid w:val="00F044FB"/>
    <w:rsid w:val="00F04618"/>
    <w:rsid w:val="00F0478D"/>
    <w:rsid w:val="00F049EC"/>
    <w:rsid w:val="00F04A83"/>
    <w:rsid w:val="00F04BBA"/>
    <w:rsid w:val="00F04F1F"/>
    <w:rsid w:val="00F05234"/>
    <w:rsid w:val="00F052DF"/>
    <w:rsid w:val="00F0542E"/>
    <w:rsid w:val="00F05788"/>
    <w:rsid w:val="00F05C44"/>
    <w:rsid w:val="00F05D5B"/>
    <w:rsid w:val="00F061E8"/>
    <w:rsid w:val="00F06200"/>
    <w:rsid w:val="00F0624D"/>
    <w:rsid w:val="00F06316"/>
    <w:rsid w:val="00F063AF"/>
    <w:rsid w:val="00F0645B"/>
    <w:rsid w:val="00F06787"/>
    <w:rsid w:val="00F06AF8"/>
    <w:rsid w:val="00F06CA4"/>
    <w:rsid w:val="00F06D4E"/>
    <w:rsid w:val="00F07354"/>
    <w:rsid w:val="00F07480"/>
    <w:rsid w:val="00F07734"/>
    <w:rsid w:val="00F077C2"/>
    <w:rsid w:val="00F07937"/>
    <w:rsid w:val="00F07A63"/>
    <w:rsid w:val="00F07C4B"/>
    <w:rsid w:val="00F07E2B"/>
    <w:rsid w:val="00F101C5"/>
    <w:rsid w:val="00F10383"/>
    <w:rsid w:val="00F10B53"/>
    <w:rsid w:val="00F10D4F"/>
    <w:rsid w:val="00F10E89"/>
    <w:rsid w:val="00F10EAA"/>
    <w:rsid w:val="00F1131A"/>
    <w:rsid w:val="00F11501"/>
    <w:rsid w:val="00F11929"/>
    <w:rsid w:val="00F11B21"/>
    <w:rsid w:val="00F11B71"/>
    <w:rsid w:val="00F11F93"/>
    <w:rsid w:val="00F12215"/>
    <w:rsid w:val="00F12698"/>
    <w:rsid w:val="00F129AC"/>
    <w:rsid w:val="00F12CA2"/>
    <w:rsid w:val="00F12DB6"/>
    <w:rsid w:val="00F12ED0"/>
    <w:rsid w:val="00F1305A"/>
    <w:rsid w:val="00F13258"/>
    <w:rsid w:val="00F13332"/>
    <w:rsid w:val="00F13380"/>
    <w:rsid w:val="00F1381A"/>
    <w:rsid w:val="00F13B1B"/>
    <w:rsid w:val="00F13B2B"/>
    <w:rsid w:val="00F13CAC"/>
    <w:rsid w:val="00F13CFE"/>
    <w:rsid w:val="00F13FE1"/>
    <w:rsid w:val="00F141BE"/>
    <w:rsid w:val="00F14298"/>
    <w:rsid w:val="00F1456A"/>
    <w:rsid w:val="00F145A6"/>
    <w:rsid w:val="00F14649"/>
    <w:rsid w:val="00F14C10"/>
    <w:rsid w:val="00F14C37"/>
    <w:rsid w:val="00F1526E"/>
    <w:rsid w:val="00F1546C"/>
    <w:rsid w:val="00F15A89"/>
    <w:rsid w:val="00F15B1D"/>
    <w:rsid w:val="00F15B86"/>
    <w:rsid w:val="00F15D62"/>
    <w:rsid w:val="00F15E0C"/>
    <w:rsid w:val="00F161E9"/>
    <w:rsid w:val="00F1664C"/>
    <w:rsid w:val="00F167AB"/>
    <w:rsid w:val="00F16853"/>
    <w:rsid w:val="00F168A0"/>
    <w:rsid w:val="00F16DA6"/>
    <w:rsid w:val="00F16EC3"/>
    <w:rsid w:val="00F17306"/>
    <w:rsid w:val="00F17463"/>
    <w:rsid w:val="00F1759B"/>
    <w:rsid w:val="00F1759F"/>
    <w:rsid w:val="00F17A3F"/>
    <w:rsid w:val="00F17DD2"/>
    <w:rsid w:val="00F17EF6"/>
    <w:rsid w:val="00F20158"/>
    <w:rsid w:val="00F2072E"/>
    <w:rsid w:val="00F20987"/>
    <w:rsid w:val="00F20DBF"/>
    <w:rsid w:val="00F215EE"/>
    <w:rsid w:val="00F2188C"/>
    <w:rsid w:val="00F21D9A"/>
    <w:rsid w:val="00F22045"/>
    <w:rsid w:val="00F222BD"/>
    <w:rsid w:val="00F2234D"/>
    <w:rsid w:val="00F22534"/>
    <w:rsid w:val="00F225BB"/>
    <w:rsid w:val="00F226A1"/>
    <w:rsid w:val="00F22870"/>
    <w:rsid w:val="00F22B1F"/>
    <w:rsid w:val="00F22C87"/>
    <w:rsid w:val="00F22E61"/>
    <w:rsid w:val="00F232A6"/>
    <w:rsid w:val="00F23396"/>
    <w:rsid w:val="00F23666"/>
    <w:rsid w:val="00F23C8C"/>
    <w:rsid w:val="00F23CD5"/>
    <w:rsid w:val="00F23FFB"/>
    <w:rsid w:val="00F24134"/>
    <w:rsid w:val="00F24198"/>
    <w:rsid w:val="00F2419B"/>
    <w:rsid w:val="00F2452C"/>
    <w:rsid w:val="00F2498B"/>
    <w:rsid w:val="00F24E73"/>
    <w:rsid w:val="00F24E9D"/>
    <w:rsid w:val="00F25DA7"/>
    <w:rsid w:val="00F26024"/>
    <w:rsid w:val="00F261CA"/>
    <w:rsid w:val="00F263BD"/>
    <w:rsid w:val="00F2661F"/>
    <w:rsid w:val="00F26741"/>
    <w:rsid w:val="00F268DA"/>
    <w:rsid w:val="00F26A7D"/>
    <w:rsid w:val="00F26B4B"/>
    <w:rsid w:val="00F26C88"/>
    <w:rsid w:val="00F26D54"/>
    <w:rsid w:val="00F26DFE"/>
    <w:rsid w:val="00F2706C"/>
    <w:rsid w:val="00F2709E"/>
    <w:rsid w:val="00F27128"/>
    <w:rsid w:val="00F2721A"/>
    <w:rsid w:val="00F272BE"/>
    <w:rsid w:val="00F27300"/>
    <w:rsid w:val="00F276E9"/>
    <w:rsid w:val="00F30020"/>
    <w:rsid w:val="00F300D2"/>
    <w:rsid w:val="00F30372"/>
    <w:rsid w:val="00F3094A"/>
    <w:rsid w:val="00F30A9D"/>
    <w:rsid w:val="00F30D25"/>
    <w:rsid w:val="00F312CC"/>
    <w:rsid w:val="00F31408"/>
    <w:rsid w:val="00F3164B"/>
    <w:rsid w:val="00F317B7"/>
    <w:rsid w:val="00F317E3"/>
    <w:rsid w:val="00F31F29"/>
    <w:rsid w:val="00F31FEB"/>
    <w:rsid w:val="00F321CB"/>
    <w:rsid w:val="00F324CB"/>
    <w:rsid w:val="00F3270C"/>
    <w:rsid w:val="00F3272C"/>
    <w:rsid w:val="00F32F35"/>
    <w:rsid w:val="00F33288"/>
    <w:rsid w:val="00F3381D"/>
    <w:rsid w:val="00F338E3"/>
    <w:rsid w:val="00F33B41"/>
    <w:rsid w:val="00F33FA5"/>
    <w:rsid w:val="00F3428D"/>
    <w:rsid w:val="00F34449"/>
    <w:rsid w:val="00F34533"/>
    <w:rsid w:val="00F345C2"/>
    <w:rsid w:val="00F34785"/>
    <w:rsid w:val="00F349D9"/>
    <w:rsid w:val="00F34A3C"/>
    <w:rsid w:val="00F34AC8"/>
    <w:rsid w:val="00F34CDF"/>
    <w:rsid w:val="00F34D22"/>
    <w:rsid w:val="00F34D71"/>
    <w:rsid w:val="00F34DF3"/>
    <w:rsid w:val="00F34FBC"/>
    <w:rsid w:val="00F352AD"/>
    <w:rsid w:val="00F3531E"/>
    <w:rsid w:val="00F35395"/>
    <w:rsid w:val="00F35464"/>
    <w:rsid w:val="00F355E6"/>
    <w:rsid w:val="00F3569B"/>
    <w:rsid w:val="00F35A08"/>
    <w:rsid w:val="00F35D56"/>
    <w:rsid w:val="00F35D5A"/>
    <w:rsid w:val="00F35E23"/>
    <w:rsid w:val="00F35E6E"/>
    <w:rsid w:val="00F360D4"/>
    <w:rsid w:val="00F362FC"/>
    <w:rsid w:val="00F36331"/>
    <w:rsid w:val="00F36594"/>
    <w:rsid w:val="00F36754"/>
    <w:rsid w:val="00F367F7"/>
    <w:rsid w:val="00F3699E"/>
    <w:rsid w:val="00F36BEC"/>
    <w:rsid w:val="00F370FF"/>
    <w:rsid w:val="00F372B6"/>
    <w:rsid w:val="00F37315"/>
    <w:rsid w:val="00F37497"/>
    <w:rsid w:val="00F37864"/>
    <w:rsid w:val="00F37935"/>
    <w:rsid w:val="00F37A01"/>
    <w:rsid w:val="00F37B33"/>
    <w:rsid w:val="00F37BF4"/>
    <w:rsid w:val="00F37D76"/>
    <w:rsid w:val="00F37EDE"/>
    <w:rsid w:val="00F37F85"/>
    <w:rsid w:val="00F40262"/>
    <w:rsid w:val="00F40307"/>
    <w:rsid w:val="00F40369"/>
    <w:rsid w:val="00F4053B"/>
    <w:rsid w:val="00F40BA0"/>
    <w:rsid w:val="00F40E27"/>
    <w:rsid w:val="00F40FFE"/>
    <w:rsid w:val="00F41162"/>
    <w:rsid w:val="00F4151E"/>
    <w:rsid w:val="00F4181F"/>
    <w:rsid w:val="00F41D32"/>
    <w:rsid w:val="00F42095"/>
    <w:rsid w:val="00F4215F"/>
    <w:rsid w:val="00F422EA"/>
    <w:rsid w:val="00F4233B"/>
    <w:rsid w:val="00F4240B"/>
    <w:rsid w:val="00F42517"/>
    <w:rsid w:val="00F425D3"/>
    <w:rsid w:val="00F425FB"/>
    <w:rsid w:val="00F42EDA"/>
    <w:rsid w:val="00F4304B"/>
    <w:rsid w:val="00F431D5"/>
    <w:rsid w:val="00F432FC"/>
    <w:rsid w:val="00F435A0"/>
    <w:rsid w:val="00F4373F"/>
    <w:rsid w:val="00F43DD2"/>
    <w:rsid w:val="00F43E15"/>
    <w:rsid w:val="00F43FE2"/>
    <w:rsid w:val="00F44015"/>
    <w:rsid w:val="00F440D4"/>
    <w:rsid w:val="00F44179"/>
    <w:rsid w:val="00F44352"/>
    <w:rsid w:val="00F4437D"/>
    <w:rsid w:val="00F4445A"/>
    <w:rsid w:val="00F4446A"/>
    <w:rsid w:val="00F44618"/>
    <w:rsid w:val="00F4467B"/>
    <w:rsid w:val="00F44DA3"/>
    <w:rsid w:val="00F44E17"/>
    <w:rsid w:val="00F44EDC"/>
    <w:rsid w:val="00F45361"/>
    <w:rsid w:val="00F455D2"/>
    <w:rsid w:val="00F45603"/>
    <w:rsid w:val="00F46127"/>
    <w:rsid w:val="00F4641E"/>
    <w:rsid w:val="00F46530"/>
    <w:rsid w:val="00F4691D"/>
    <w:rsid w:val="00F4699F"/>
    <w:rsid w:val="00F46FB3"/>
    <w:rsid w:val="00F46FCD"/>
    <w:rsid w:val="00F47154"/>
    <w:rsid w:val="00F47562"/>
    <w:rsid w:val="00F47CBF"/>
    <w:rsid w:val="00F47DF2"/>
    <w:rsid w:val="00F47FE5"/>
    <w:rsid w:val="00F50049"/>
    <w:rsid w:val="00F5021A"/>
    <w:rsid w:val="00F50568"/>
    <w:rsid w:val="00F5076D"/>
    <w:rsid w:val="00F509E6"/>
    <w:rsid w:val="00F50BCD"/>
    <w:rsid w:val="00F50E64"/>
    <w:rsid w:val="00F50F05"/>
    <w:rsid w:val="00F51188"/>
    <w:rsid w:val="00F512F7"/>
    <w:rsid w:val="00F517C7"/>
    <w:rsid w:val="00F519AE"/>
    <w:rsid w:val="00F519E9"/>
    <w:rsid w:val="00F51A44"/>
    <w:rsid w:val="00F51B90"/>
    <w:rsid w:val="00F51E49"/>
    <w:rsid w:val="00F51EBC"/>
    <w:rsid w:val="00F51EFB"/>
    <w:rsid w:val="00F51FB0"/>
    <w:rsid w:val="00F520C0"/>
    <w:rsid w:val="00F521E6"/>
    <w:rsid w:val="00F52322"/>
    <w:rsid w:val="00F525B4"/>
    <w:rsid w:val="00F5276E"/>
    <w:rsid w:val="00F52A40"/>
    <w:rsid w:val="00F52AE6"/>
    <w:rsid w:val="00F52C18"/>
    <w:rsid w:val="00F52DBE"/>
    <w:rsid w:val="00F52E90"/>
    <w:rsid w:val="00F52FAD"/>
    <w:rsid w:val="00F530BF"/>
    <w:rsid w:val="00F5350B"/>
    <w:rsid w:val="00F53AA4"/>
    <w:rsid w:val="00F53D6E"/>
    <w:rsid w:val="00F53FE5"/>
    <w:rsid w:val="00F54179"/>
    <w:rsid w:val="00F546F6"/>
    <w:rsid w:val="00F54820"/>
    <w:rsid w:val="00F54C85"/>
    <w:rsid w:val="00F55203"/>
    <w:rsid w:val="00F555FD"/>
    <w:rsid w:val="00F55653"/>
    <w:rsid w:val="00F55698"/>
    <w:rsid w:val="00F5576D"/>
    <w:rsid w:val="00F55977"/>
    <w:rsid w:val="00F55A78"/>
    <w:rsid w:val="00F560B9"/>
    <w:rsid w:val="00F561F3"/>
    <w:rsid w:val="00F56314"/>
    <w:rsid w:val="00F56462"/>
    <w:rsid w:val="00F56489"/>
    <w:rsid w:val="00F565B4"/>
    <w:rsid w:val="00F56E55"/>
    <w:rsid w:val="00F56EEF"/>
    <w:rsid w:val="00F573E3"/>
    <w:rsid w:val="00F57585"/>
    <w:rsid w:val="00F577A3"/>
    <w:rsid w:val="00F57940"/>
    <w:rsid w:val="00F57AB0"/>
    <w:rsid w:val="00F57B08"/>
    <w:rsid w:val="00F60018"/>
    <w:rsid w:val="00F600C5"/>
    <w:rsid w:val="00F601D6"/>
    <w:rsid w:val="00F605D5"/>
    <w:rsid w:val="00F6073B"/>
    <w:rsid w:val="00F60C86"/>
    <w:rsid w:val="00F60FF2"/>
    <w:rsid w:val="00F61126"/>
    <w:rsid w:val="00F61237"/>
    <w:rsid w:val="00F6165C"/>
    <w:rsid w:val="00F6177B"/>
    <w:rsid w:val="00F618FE"/>
    <w:rsid w:val="00F619EC"/>
    <w:rsid w:val="00F61A18"/>
    <w:rsid w:val="00F61D52"/>
    <w:rsid w:val="00F61E38"/>
    <w:rsid w:val="00F61FAF"/>
    <w:rsid w:val="00F620AD"/>
    <w:rsid w:val="00F62445"/>
    <w:rsid w:val="00F62525"/>
    <w:rsid w:val="00F625F2"/>
    <w:rsid w:val="00F627CE"/>
    <w:rsid w:val="00F62B15"/>
    <w:rsid w:val="00F630C9"/>
    <w:rsid w:val="00F63166"/>
    <w:rsid w:val="00F63BCA"/>
    <w:rsid w:val="00F63F03"/>
    <w:rsid w:val="00F63F86"/>
    <w:rsid w:val="00F64249"/>
    <w:rsid w:val="00F6461E"/>
    <w:rsid w:val="00F64C19"/>
    <w:rsid w:val="00F64DD5"/>
    <w:rsid w:val="00F64E49"/>
    <w:rsid w:val="00F650BF"/>
    <w:rsid w:val="00F65B2F"/>
    <w:rsid w:val="00F65B90"/>
    <w:rsid w:val="00F65C9E"/>
    <w:rsid w:val="00F663F9"/>
    <w:rsid w:val="00F6654E"/>
    <w:rsid w:val="00F66581"/>
    <w:rsid w:val="00F66709"/>
    <w:rsid w:val="00F667B3"/>
    <w:rsid w:val="00F66ECC"/>
    <w:rsid w:val="00F671C3"/>
    <w:rsid w:val="00F67298"/>
    <w:rsid w:val="00F677E4"/>
    <w:rsid w:val="00F67949"/>
    <w:rsid w:val="00F679DD"/>
    <w:rsid w:val="00F70352"/>
    <w:rsid w:val="00F703C8"/>
    <w:rsid w:val="00F70494"/>
    <w:rsid w:val="00F70777"/>
    <w:rsid w:val="00F70B35"/>
    <w:rsid w:val="00F70EF3"/>
    <w:rsid w:val="00F7107D"/>
    <w:rsid w:val="00F7132A"/>
    <w:rsid w:val="00F71347"/>
    <w:rsid w:val="00F71532"/>
    <w:rsid w:val="00F718F5"/>
    <w:rsid w:val="00F71A89"/>
    <w:rsid w:val="00F71C59"/>
    <w:rsid w:val="00F71C72"/>
    <w:rsid w:val="00F71E2A"/>
    <w:rsid w:val="00F71EF1"/>
    <w:rsid w:val="00F72149"/>
    <w:rsid w:val="00F72414"/>
    <w:rsid w:val="00F72808"/>
    <w:rsid w:val="00F72A60"/>
    <w:rsid w:val="00F72B42"/>
    <w:rsid w:val="00F72B44"/>
    <w:rsid w:val="00F72BB2"/>
    <w:rsid w:val="00F72BF2"/>
    <w:rsid w:val="00F730C9"/>
    <w:rsid w:val="00F73107"/>
    <w:rsid w:val="00F733F3"/>
    <w:rsid w:val="00F73556"/>
    <w:rsid w:val="00F7382D"/>
    <w:rsid w:val="00F7398C"/>
    <w:rsid w:val="00F73A39"/>
    <w:rsid w:val="00F73A7E"/>
    <w:rsid w:val="00F73AE9"/>
    <w:rsid w:val="00F73B0D"/>
    <w:rsid w:val="00F73C0E"/>
    <w:rsid w:val="00F73E47"/>
    <w:rsid w:val="00F73E81"/>
    <w:rsid w:val="00F74344"/>
    <w:rsid w:val="00F74A11"/>
    <w:rsid w:val="00F74FFE"/>
    <w:rsid w:val="00F750C2"/>
    <w:rsid w:val="00F7514B"/>
    <w:rsid w:val="00F75208"/>
    <w:rsid w:val="00F753F9"/>
    <w:rsid w:val="00F7579B"/>
    <w:rsid w:val="00F758FF"/>
    <w:rsid w:val="00F75A16"/>
    <w:rsid w:val="00F75A8F"/>
    <w:rsid w:val="00F75D3A"/>
    <w:rsid w:val="00F75F87"/>
    <w:rsid w:val="00F76128"/>
    <w:rsid w:val="00F764E6"/>
    <w:rsid w:val="00F76D77"/>
    <w:rsid w:val="00F76ECF"/>
    <w:rsid w:val="00F76F30"/>
    <w:rsid w:val="00F7707D"/>
    <w:rsid w:val="00F77175"/>
    <w:rsid w:val="00F77321"/>
    <w:rsid w:val="00F773B2"/>
    <w:rsid w:val="00F776E0"/>
    <w:rsid w:val="00F7781F"/>
    <w:rsid w:val="00F779C8"/>
    <w:rsid w:val="00F77AAB"/>
    <w:rsid w:val="00F77C93"/>
    <w:rsid w:val="00F77FEE"/>
    <w:rsid w:val="00F80139"/>
    <w:rsid w:val="00F8059A"/>
    <w:rsid w:val="00F80D18"/>
    <w:rsid w:val="00F80FA8"/>
    <w:rsid w:val="00F810FF"/>
    <w:rsid w:val="00F8155F"/>
    <w:rsid w:val="00F81687"/>
    <w:rsid w:val="00F8179B"/>
    <w:rsid w:val="00F81DFC"/>
    <w:rsid w:val="00F820E0"/>
    <w:rsid w:val="00F8223F"/>
    <w:rsid w:val="00F82345"/>
    <w:rsid w:val="00F825B5"/>
    <w:rsid w:val="00F82760"/>
    <w:rsid w:val="00F82AC7"/>
    <w:rsid w:val="00F82B12"/>
    <w:rsid w:val="00F82D0D"/>
    <w:rsid w:val="00F82EA5"/>
    <w:rsid w:val="00F8321F"/>
    <w:rsid w:val="00F834DA"/>
    <w:rsid w:val="00F8380E"/>
    <w:rsid w:val="00F839C7"/>
    <w:rsid w:val="00F83ACE"/>
    <w:rsid w:val="00F84000"/>
    <w:rsid w:val="00F841CA"/>
    <w:rsid w:val="00F84AEA"/>
    <w:rsid w:val="00F84C28"/>
    <w:rsid w:val="00F857A5"/>
    <w:rsid w:val="00F85AB9"/>
    <w:rsid w:val="00F85DD9"/>
    <w:rsid w:val="00F85ED9"/>
    <w:rsid w:val="00F8619A"/>
    <w:rsid w:val="00F8635A"/>
    <w:rsid w:val="00F86568"/>
    <w:rsid w:val="00F866FB"/>
    <w:rsid w:val="00F8687C"/>
    <w:rsid w:val="00F86C9C"/>
    <w:rsid w:val="00F86F6C"/>
    <w:rsid w:val="00F87121"/>
    <w:rsid w:val="00F87382"/>
    <w:rsid w:val="00F876BA"/>
    <w:rsid w:val="00F8786F"/>
    <w:rsid w:val="00F8795E"/>
    <w:rsid w:val="00F87C2F"/>
    <w:rsid w:val="00F87C31"/>
    <w:rsid w:val="00F90098"/>
    <w:rsid w:val="00F900E8"/>
    <w:rsid w:val="00F902B7"/>
    <w:rsid w:val="00F904E0"/>
    <w:rsid w:val="00F90569"/>
    <w:rsid w:val="00F9065D"/>
    <w:rsid w:val="00F90880"/>
    <w:rsid w:val="00F90CC2"/>
    <w:rsid w:val="00F90FAE"/>
    <w:rsid w:val="00F9109B"/>
    <w:rsid w:val="00F91688"/>
    <w:rsid w:val="00F917B4"/>
    <w:rsid w:val="00F91923"/>
    <w:rsid w:val="00F91FB5"/>
    <w:rsid w:val="00F9212E"/>
    <w:rsid w:val="00F92178"/>
    <w:rsid w:val="00F9271E"/>
    <w:rsid w:val="00F9284C"/>
    <w:rsid w:val="00F92B15"/>
    <w:rsid w:val="00F9322C"/>
    <w:rsid w:val="00F932D0"/>
    <w:rsid w:val="00F9350F"/>
    <w:rsid w:val="00F935BB"/>
    <w:rsid w:val="00F9375D"/>
    <w:rsid w:val="00F93A2B"/>
    <w:rsid w:val="00F93A68"/>
    <w:rsid w:val="00F93BF3"/>
    <w:rsid w:val="00F93C08"/>
    <w:rsid w:val="00F93EC0"/>
    <w:rsid w:val="00F942C6"/>
    <w:rsid w:val="00F9445F"/>
    <w:rsid w:val="00F94515"/>
    <w:rsid w:val="00F9454B"/>
    <w:rsid w:val="00F94706"/>
    <w:rsid w:val="00F94B89"/>
    <w:rsid w:val="00F94BA6"/>
    <w:rsid w:val="00F94BD0"/>
    <w:rsid w:val="00F94CBD"/>
    <w:rsid w:val="00F94D75"/>
    <w:rsid w:val="00F94EC8"/>
    <w:rsid w:val="00F94F17"/>
    <w:rsid w:val="00F9547D"/>
    <w:rsid w:val="00F957B3"/>
    <w:rsid w:val="00F95881"/>
    <w:rsid w:val="00F958A7"/>
    <w:rsid w:val="00F959A6"/>
    <w:rsid w:val="00F95F0A"/>
    <w:rsid w:val="00F964EF"/>
    <w:rsid w:val="00F969ED"/>
    <w:rsid w:val="00F96A59"/>
    <w:rsid w:val="00F96D1D"/>
    <w:rsid w:val="00F96E21"/>
    <w:rsid w:val="00F9714B"/>
    <w:rsid w:val="00F9717B"/>
    <w:rsid w:val="00F9760E"/>
    <w:rsid w:val="00F977B7"/>
    <w:rsid w:val="00F9786F"/>
    <w:rsid w:val="00F97E2F"/>
    <w:rsid w:val="00F97EE3"/>
    <w:rsid w:val="00FA0329"/>
    <w:rsid w:val="00FA06A9"/>
    <w:rsid w:val="00FA0750"/>
    <w:rsid w:val="00FA0A37"/>
    <w:rsid w:val="00FA0A82"/>
    <w:rsid w:val="00FA0B0E"/>
    <w:rsid w:val="00FA0D1B"/>
    <w:rsid w:val="00FA1A77"/>
    <w:rsid w:val="00FA1B3F"/>
    <w:rsid w:val="00FA1E3D"/>
    <w:rsid w:val="00FA201A"/>
    <w:rsid w:val="00FA2B2B"/>
    <w:rsid w:val="00FA32C0"/>
    <w:rsid w:val="00FA3425"/>
    <w:rsid w:val="00FA3738"/>
    <w:rsid w:val="00FA39F2"/>
    <w:rsid w:val="00FA41B6"/>
    <w:rsid w:val="00FA4F26"/>
    <w:rsid w:val="00FA53FF"/>
    <w:rsid w:val="00FA5476"/>
    <w:rsid w:val="00FA54FC"/>
    <w:rsid w:val="00FA5504"/>
    <w:rsid w:val="00FA5637"/>
    <w:rsid w:val="00FA58F5"/>
    <w:rsid w:val="00FA610B"/>
    <w:rsid w:val="00FA6B1D"/>
    <w:rsid w:val="00FA6B7E"/>
    <w:rsid w:val="00FA6D0D"/>
    <w:rsid w:val="00FA7098"/>
    <w:rsid w:val="00FA7560"/>
    <w:rsid w:val="00FA75FE"/>
    <w:rsid w:val="00FA7819"/>
    <w:rsid w:val="00FA7A24"/>
    <w:rsid w:val="00FA7A44"/>
    <w:rsid w:val="00FA7B53"/>
    <w:rsid w:val="00FA7DB9"/>
    <w:rsid w:val="00FB0043"/>
    <w:rsid w:val="00FB02B3"/>
    <w:rsid w:val="00FB040E"/>
    <w:rsid w:val="00FB1372"/>
    <w:rsid w:val="00FB16A5"/>
    <w:rsid w:val="00FB16C0"/>
    <w:rsid w:val="00FB1D66"/>
    <w:rsid w:val="00FB1E8B"/>
    <w:rsid w:val="00FB30BA"/>
    <w:rsid w:val="00FB3164"/>
    <w:rsid w:val="00FB3347"/>
    <w:rsid w:val="00FB3A85"/>
    <w:rsid w:val="00FB3B2F"/>
    <w:rsid w:val="00FB3CFC"/>
    <w:rsid w:val="00FB467C"/>
    <w:rsid w:val="00FB495B"/>
    <w:rsid w:val="00FB4D96"/>
    <w:rsid w:val="00FB4F6B"/>
    <w:rsid w:val="00FB5550"/>
    <w:rsid w:val="00FB56C6"/>
    <w:rsid w:val="00FB578F"/>
    <w:rsid w:val="00FB57DB"/>
    <w:rsid w:val="00FB57FA"/>
    <w:rsid w:val="00FB5976"/>
    <w:rsid w:val="00FB59F2"/>
    <w:rsid w:val="00FB5B34"/>
    <w:rsid w:val="00FB5C57"/>
    <w:rsid w:val="00FB5DE1"/>
    <w:rsid w:val="00FB60FC"/>
    <w:rsid w:val="00FB6502"/>
    <w:rsid w:val="00FB6669"/>
    <w:rsid w:val="00FB6750"/>
    <w:rsid w:val="00FB6879"/>
    <w:rsid w:val="00FB6CA0"/>
    <w:rsid w:val="00FB6F56"/>
    <w:rsid w:val="00FB725C"/>
    <w:rsid w:val="00FB771D"/>
    <w:rsid w:val="00FB77E7"/>
    <w:rsid w:val="00FB7864"/>
    <w:rsid w:val="00FB789E"/>
    <w:rsid w:val="00FB7C27"/>
    <w:rsid w:val="00FB7E95"/>
    <w:rsid w:val="00FB7FC4"/>
    <w:rsid w:val="00FC04B3"/>
    <w:rsid w:val="00FC05CC"/>
    <w:rsid w:val="00FC06E3"/>
    <w:rsid w:val="00FC0955"/>
    <w:rsid w:val="00FC0A3E"/>
    <w:rsid w:val="00FC0BC1"/>
    <w:rsid w:val="00FC0C53"/>
    <w:rsid w:val="00FC0D58"/>
    <w:rsid w:val="00FC0E23"/>
    <w:rsid w:val="00FC0E86"/>
    <w:rsid w:val="00FC125E"/>
    <w:rsid w:val="00FC1E8F"/>
    <w:rsid w:val="00FC20D1"/>
    <w:rsid w:val="00FC2106"/>
    <w:rsid w:val="00FC22A1"/>
    <w:rsid w:val="00FC22AB"/>
    <w:rsid w:val="00FC272E"/>
    <w:rsid w:val="00FC294A"/>
    <w:rsid w:val="00FC29BC"/>
    <w:rsid w:val="00FC30F3"/>
    <w:rsid w:val="00FC313A"/>
    <w:rsid w:val="00FC3180"/>
    <w:rsid w:val="00FC329C"/>
    <w:rsid w:val="00FC36CF"/>
    <w:rsid w:val="00FC37AA"/>
    <w:rsid w:val="00FC399B"/>
    <w:rsid w:val="00FC3A15"/>
    <w:rsid w:val="00FC3ADA"/>
    <w:rsid w:val="00FC3DAB"/>
    <w:rsid w:val="00FC3E81"/>
    <w:rsid w:val="00FC46BD"/>
    <w:rsid w:val="00FC48D7"/>
    <w:rsid w:val="00FC4932"/>
    <w:rsid w:val="00FC4C0E"/>
    <w:rsid w:val="00FC4D8E"/>
    <w:rsid w:val="00FC4DBD"/>
    <w:rsid w:val="00FC5127"/>
    <w:rsid w:val="00FC5195"/>
    <w:rsid w:val="00FC594B"/>
    <w:rsid w:val="00FC5A2A"/>
    <w:rsid w:val="00FC6180"/>
    <w:rsid w:val="00FC6286"/>
    <w:rsid w:val="00FC6323"/>
    <w:rsid w:val="00FC64B6"/>
    <w:rsid w:val="00FC65B5"/>
    <w:rsid w:val="00FC6A06"/>
    <w:rsid w:val="00FC6AED"/>
    <w:rsid w:val="00FC79DF"/>
    <w:rsid w:val="00FC7DDB"/>
    <w:rsid w:val="00FC7EF4"/>
    <w:rsid w:val="00FC7F21"/>
    <w:rsid w:val="00FD0082"/>
    <w:rsid w:val="00FD039E"/>
    <w:rsid w:val="00FD0547"/>
    <w:rsid w:val="00FD0672"/>
    <w:rsid w:val="00FD079D"/>
    <w:rsid w:val="00FD07C6"/>
    <w:rsid w:val="00FD08ED"/>
    <w:rsid w:val="00FD0BC1"/>
    <w:rsid w:val="00FD0CAA"/>
    <w:rsid w:val="00FD0CD8"/>
    <w:rsid w:val="00FD0CF3"/>
    <w:rsid w:val="00FD0DA5"/>
    <w:rsid w:val="00FD0E8E"/>
    <w:rsid w:val="00FD0EB0"/>
    <w:rsid w:val="00FD1088"/>
    <w:rsid w:val="00FD10C1"/>
    <w:rsid w:val="00FD1296"/>
    <w:rsid w:val="00FD17D1"/>
    <w:rsid w:val="00FD1930"/>
    <w:rsid w:val="00FD1A52"/>
    <w:rsid w:val="00FD1ED1"/>
    <w:rsid w:val="00FD2018"/>
    <w:rsid w:val="00FD2114"/>
    <w:rsid w:val="00FD2394"/>
    <w:rsid w:val="00FD2606"/>
    <w:rsid w:val="00FD2821"/>
    <w:rsid w:val="00FD28C4"/>
    <w:rsid w:val="00FD28ED"/>
    <w:rsid w:val="00FD2992"/>
    <w:rsid w:val="00FD2AD4"/>
    <w:rsid w:val="00FD2E62"/>
    <w:rsid w:val="00FD351A"/>
    <w:rsid w:val="00FD37DD"/>
    <w:rsid w:val="00FD39D0"/>
    <w:rsid w:val="00FD3B6F"/>
    <w:rsid w:val="00FD4211"/>
    <w:rsid w:val="00FD4400"/>
    <w:rsid w:val="00FD44DE"/>
    <w:rsid w:val="00FD476E"/>
    <w:rsid w:val="00FD4B80"/>
    <w:rsid w:val="00FD4F71"/>
    <w:rsid w:val="00FD5033"/>
    <w:rsid w:val="00FD53CD"/>
    <w:rsid w:val="00FD549F"/>
    <w:rsid w:val="00FD5726"/>
    <w:rsid w:val="00FD5F12"/>
    <w:rsid w:val="00FD5FAA"/>
    <w:rsid w:val="00FD6286"/>
    <w:rsid w:val="00FD635A"/>
    <w:rsid w:val="00FD6499"/>
    <w:rsid w:val="00FD6806"/>
    <w:rsid w:val="00FD6988"/>
    <w:rsid w:val="00FD706D"/>
    <w:rsid w:val="00FD7199"/>
    <w:rsid w:val="00FD7224"/>
    <w:rsid w:val="00FD73BD"/>
    <w:rsid w:val="00FD7449"/>
    <w:rsid w:val="00FD7841"/>
    <w:rsid w:val="00FD787D"/>
    <w:rsid w:val="00FD794C"/>
    <w:rsid w:val="00FD79C0"/>
    <w:rsid w:val="00FD7C79"/>
    <w:rsid w:val="00FE0005"/>
    <w:rsid w:val="00FE0209"/>
    <w:rsid w:val="00FE104B"/>
    <w:rsid w:val="00FE10D1"/>
    <w:rsid w:val="00FE1710"/>
    <w:rsid w:val="00FE191F"/>
    <w:rsid w:val="00FE1985"/>
    <w:rsid w:val="00FE1B08"/>
    <w:rsid w:val="00FE1F26"/>
    <w:rsid w:val="00FE2042"/>
    <w:rsid w:val="00FE20BA"/>
    <w:rsid w:val="00FE2431"/>
    <w:rsid w:val="00FE2A24"/>
    <w:rsid w:val="00FE2B66"/>
    <w:rsid w:val="00FE2BAE"/>
    <w:rsid w:val="00FE2F21"/>
    <w:rsid w:val="00FE2F3C"/>
    <w:rsid w:val="00FE3000"/>
    <w:rsid w:val="00FE315E"/>
    <w:rsid w:val="00FE3357"/>
    <w:rsid w:val="00FE3359"/>
    <w:rsid w:val="00FE359A"/>
    <w:rsid w:val="00FE3695"/>
    <w:rsid w:val="00FE36EE"/>
    <w:rsid w:val="00FE3BEE"/>
    <w:rsid w:val="00FE3EEC"/>
    <w:rsid w:val="00FE4291"/>
    <w:rsid w:val="00FE440A"/>
    <w:rsid w:val="00FE47AC"/>
    <w:rsid w:val="00FE48CA"/>
    <w:rsid w:val="00FE4C58"/>
    <w:rsid w:val="00FE4D71"/>
    <w:rsid w:val="00FE4DF3"/>
    <w:rsid w:val="00FE5090"/>
    <w:rsid w:val="00FE50EF"/>
    <w:rsid w:val="00FE5399"/>
    <w:rsid w:val="00FE54F1"/>
    <w:rsid w:val="00FE55A0"/>
    <w:rsid w:val="00FE55AD"/>
    <w:rsid w:val="00FE57DA"/>
    <w:rsid w:val="00FE57FD"/>
    <w:rsid w:val="00FE5925"/>
    <w:rsid w:val="00FE5B12"/>
    <w:rsid w:val="00FE5D4A"/>
    <w:rsid w:val="00FE5F8F"/>
    <w:rsid w:val="00FE63D8"/>
    <w:rsid w:val="00FE645B"/>
    <w:rsid w:val="00FE6746"/>
    <w:rsid w:val="00FE6B21"/>
    <w:rsid w:val="00FE6D0E"/>
    <w:rsid w:val="00FE7801"/>
    <w:rsid w:val="00FE7DF1"/>
    <w:rsid w:val="00FE7EE9"/>
    <w:rsid w:val="00FE7FDC"/>
    <w:rsid w:val="00FF035D"/>
    <w:rsid w:val="00FF0B31"/>
    <w:rsid w:val="00FF0F9C"/>
    <w:rsid w:val="00FF1219"/>
    <w:rsid w:val="00FF1540"/>
    <w:rsid w:val="00FF16FC"/>
    <w:rsid w:val="00FF1CA9"/>
    <w:rsid w:val="00FF2293"/>
    <w:rsid w:val="00FF22A8"/>
    <w:rsid w:val="00FF24FA"/>
    <w:rsid w:val="00FF2550"/>
    <w:rsid w:val="00FF26F0"/>
    <w:rsid w:val="00FF27C5"/>
    <w:rsid w:val="00FF27DF"/>
    <w:rsid w:val="00FF2846"/>
    <w:rsid w:val="00FF2A3F"/>
    <w:rsid w:val="00FF2D71"/>
    <w:rsid w:val="00FF3164"/>
    <w:rsid w:val="00FF321A"/>
    <w:rsid w:val="00FF3358"/>
    <w:rsid w:val="00FF351A"/>
    <w:rsid w:val="00FF3592"/>
    <w:rsid w:val="00FF3614"/>
    <w:rsid w:val="00FF3E2C"/>
    <w:rsid w:val="00FF3FEA"/>
    <w:rsid w:val="00FF449C"/>
    <w:rsid w:val="00FF49A9"/>
    <w:rsid w:val="00FF4AC4"/>
    <w:rsid w:val="00FF4CBE"/>
    <w:rsid w:val="00FF4FE9"/>
    <w:rsid w:val="00FF5176"/>
    <w:rsid w:val="00FF521E"/>
    <w:rsid w:val="00FF5299"/>
    <w:rsid w:val="00FF52B8"/>
    <w:rsid w:val="00FF540A"/>
    <w:rsid w:val="00FF610D"/>
    <w:rsid w:val="00FF61F2"/>
    <w:rsid w:val="00FF6944"/>
    <w:rsid w:val="00FF69F4"/>
    <w:rsid w:val="00FF6AA8"/>
    <w:rsid w:val="00FF6F8B"/>
    <w:rsid w:val="00FF7177"/>
    <w:rsid w:val="00FF71CC"/>
    <w:rsid w:val="00FF71FD"/>
    <w:rsid w:val="00FF77BB"/>
    <w:rsid w:val="00FF7824"/>
    <w:rsid w:val="00FF7B79"/>
    <w:rsid w:val="0100AE3A"/>
    <w:rsid w:val="0105447D"/>
    <w:rsid w:val="0106895F"/>
    <w:rsid w:val="010F76B7"/>
    <w:rsid w:val="01126824"/>
    <w:rsid w:val="0118599E"/>
    <w:rsid w:val="011D167E"/>
    <w:rsid w:val="011DC53F"/>
    <w:rsid w:val="011F64ED"/>
    <w:rsid w:val="0120815B"/>
    <w:rsid w:val="01284812"/>
    <w:rsid w:val="012A0B1F"/>
    <w:rsid w:val="0139FC42"/>
    <w:rsid w:val="0145AA90"/>
    <w:rsid w:val="0146C9D9"/>
    <w:rsid w:val="0147AE93"/>
    <w:rsid w:val="014A6074"/>
    <w:rsid w:val="014C830D"/>
    <w:rsid w:val="014E27E9"/>
    <w:rsid w:val="0150E52C"/>
    <w:rsid w:val="01546E2D"/>
    <w:rsid w:val="01551A4A"/>
    <w:rsid w:val="015A1FCB"/>
    <w:rsid w:val="01626B49"/>
    <w:rsid w:val="01649808"/>
    <w:rsid w:val="016CB8DB"/>
    <w:rsid w:val="016D4810"/>
    <w:rsid w:val="01716569"/>
    <w:rsid w:val="0178A252"/>
    <w:rsid w:val="0194C982"/>
    <w:rsid w:val="019B2BC9"/>
    <w:rsid w:val="01A3E4EC"/>
    <w:rsid w:val="01A7ACC0"/>
    <w:rsid w:val="01A98302"/>
    <w:rsid w:val="01AB8B84"/>
    <w:rsid w:val="01B01AF7"/>
    <w:rsid w:val="01B2393F"/>
    <w:rsid w:val="01C2C4A6"/>
    <w:rsid w:val="01C65F19"/>
    <w:rsid w:val="01C67A06"/>
    <w:rsid w:val="01C773D4"/>
    <w:rsid w:val="01CBF3CD"/>
    <w:rsid w:val="01CF6A81"/>
    <w:rsid w:val="01D5362B"/>
    <w:rsid w:val="01D629CF"/>
    <w:rsid w:val="01DA7631"/>
    <w:rsid w:val="01DA9E36"/>
    <w:rsid w:val="01E0DE45"/>
    <w:rsid w:val="01EA9514"/>
    <w:rsid w:val="01EAE690"/>
    <w:rsid w:val="01EB579A"/>
    <w:rsid w:val="02017801"/>
    <w:rsid w:val="0201FB36"/>
    <w:rsid w:val="02072826"/>
    <w:rsid w:val="020B1337"/>
    <w:rsid w:val="020DF5BC"/>
    <w:rsid w:val="021CA5DF"/>
    <w:rsid w:val="02219DA7"/>
    <w:rsid w:val="0229C476"/>
    <w:rsid w:val="022EC185"/>
    <w:rsid w:val="0234D0E3"/>
    <w:rsid w:val="0238EAEF"/>
    <w:rsid w:val="02397D66"/>
    <w:rsid w:val="023B821B"/>
    <w:rsid w:val="023EE79E"/>
    <w:rsid w:val="023FCFCC"/>
    <w:rsid w:val="024B21CD"/>
    <w:rsid w:val="024D2418"/>
    <w:rsid w:val="0251E52D"/>
    <w:rsid w:val="02658698"/>
    <w:rsid w:val="026ADAC5"/>
    <w:rsid w:val="0270E3DD"/>
    <w:rsid w:val="0272F54E"/>
    <w:rsid w:val="0276F146"/>
    <w:rsid w:val="027F5AFD"/>
    <w:rsid w:val="027FA9B8"/>
    <w:rsid w:val="028A87C4"/>
    <w:rsid w:val="029608AC"/>
    <w:rsid w:val="029A2C75"/>
    <w:rsid w:val="029E359C"/>
    <w:rsid w:val="029FC4A3"/>
    <w:rsid w:val="02A52968"/>
    <w:rsid w:val="02A5E174"/>
    <w:rsid w:val="02B292C0"/>
    <w:rsid w:val="02B975BD"/>
    <w:rsid w:val="02BDB5C4"/>
    <w:rsid w:val="02C3A41D"/>
    <w:rsid w:val="02C608BE"/>
    <w:rsid w:val="02CBF3F3"/>
    <w:rsid w:val="02D28C7B"/>
    <w:rsid w:val="02D9125E"/>
    <w:rsid w:val="02DA19A2"/>
    <w:rsid w:val="02DA6A1D"/>
    <w:rsid w:val="02E3DB9F"/>
    <w:rsid w:val="02E90BCD"/>
    <w:rsid w:val="02E9D757"/>
    <w:rsid w:val="02ED779D"/>
    <w:rsid w:val="02F181D4"/>
    <w:rsid w:val="02F1838C"/>
    <w:rsid w:val="02FD8FAC"/>
    <w:rsid w:val="02FE0458"/>
    <w:rsid w:val="03003F56"/>
    <w:rsid w:val="03103965"/>
    <w:rsid w:val="03131E39"/>
    <w:rsid w:val="0319B667"/>
    <w:rsid w:val="031B0BA6"/>
    <w:rsid w:val="031FC9DA"/>
    <w:rsid w:val="031FE7FC"/>
    <w:rsid w:val="0320FEFF"/>
    <w:rsid w:val="03229518"/>
    <w:rsid w:val="0325FCF3"/>
    <w:rsid w:val="032A48A3"/>
    <w:rsid w:val="032CCF2A"/>
    <w:rsid w:val="032FAC8A"/>
    <w:rsid w:val="03331549"/>
    <w:rsid w:val="03340210"/>
    <w:rsid w:val="03398C9F"/>
    <w:rsid w:val="033C513F"/>
    <w:rsid w:val="03481F7E"/>
    <w:rsid w:val="034D1CD9"/>
    <w:rsid w:val="03566D43"/>
    <w:rsid w:val="036E99D0"/>
    <w:rsid w:val="036F84B0"/>
    <w:rsid w:val="0378CCEC"/>
    <w:rsid w:val="037BBFC8"/>
    <w:rsid w:val="037E337E"/>
    <w:rsid w:val="037F6E59"/>
    <w:rsid w:val="038AC208"/>
    <w:rsid w:val="038DAC0C"/>
    <w:rsid w:val="0391931F"/>
    <w:rsid w:val="03963A41"/>
    <w:rsid w:val="039834CE"/>
    <w:rsid w:val="03998D1B"/>
    <w:rsid w:val="03A09163"/>
    <w:rsid w:val="03A17AA5"/>
    <w:rsid w:val="03A1F224"/>
    <w:rsid w:val="03A200D6"/>
    <w:rsid w:val="03A2BB94"/>
    <w:rsid w:val="03AB4A60"/>
    <w:rsid w:val="03AF9C51"/>
    <w:rsid w:val="03B088A8"/>
    <w:rsid w:val="03B38ED8"/>
    <w:rsid w:val="03B42ED4"/>
    <w:rsid w:val="03BD5E90"/>
    <w:rsid w:val="03C5A1F3"/>
    <w:rsid w:val="03C9CC58"/>
    <w:rsid w:val="03D2BA2A"/>
    <w:rsid w:val="03D53446"/>
    <w:rsid w:val="03D5FBEC"/>
    <w:rsid w:val="03D8FE65"/>
    <w:rsid w:val="03DBB0C4"/>
    <w:rsid w:val="03DC5BCE"/>
    <w:rsid w:val="03E6C985"/>
    <w:rsid w:val="03E99C86"/>
    <w:rsid w:val="03ED713B"/>
    <w:rsid w:val="03ED84C0"/>
    <w:rsid w:val="03EF2A6A"/>
    <w:rsid w:val="03F026E4"/>
    <w:rsid w:val="03F089D8"/>
    <w:rsid w:val="03F503C9"/>
    <w:rsid w:val="03FC93A2"/>
    <w:rsid w:val="0410A567"/>
    <w:rsid w:val="041420CB"/>
    <w:rsid w:val="041F5BFF"/>
    <w:rsid w:val="0422C8A1"/>
    <w:rsid w:val="042A27CF"/>
    <w:rsid w:val="04334E80"/>
    <w:rsid w:val="0433C3F0"/>
    <w:rsid w:val="043A374E"/>
    <w:rsid w:val="043EAA66"/>
    <w:rsid w:val="0442AC00"/>
    <w:rsid w:val="044EA043"/>
    <w:rsid w:val="044EB11E"/>
    <w:rsid w:val="04510B8E"/>
    <w:rsid w:val="045F3DBF"/>
    <w:rsid w:val="04612A35"/>
    <w:rsid w:val="046CE5A9"/>
    <w:rsid w:val="046EDCFE"/>
    <w:rsid w:val="0479B451"/>
    <w:rsid w:val="047E7496"/>
    <w:rsid w:val="0486DF60"/>
    <w:rsid w:val="04887AA4"/>
    <w:rsid w:val="0488C892"/>
    <w:rsid w:val="0490DA21"/>
    <w:rsid w:val="04954DD2"/>
    <w:rsid w:val="049E3E5E"/>
    <w:rsid w:val="04A61111"/>
    <w:rsid w:val="04AB4B8E"/>
    <w:rsid w:val="04B3AA8D"/>
    <w:rsid w:val="04B5992E"/>
    <w:rsid w:val="04BD07AA"/>
    <w:rsid w:val="04C214C4"/>
    <w:rsid w:val="04C86007"/>
    <w:rsid w:val="04CEE844"/>
    <w:rsid w:val="04D661B8"/>
    <w:rsid w:val="04DA8A5A"/>
    <w:rsid w:val="04E683D5"/>
    <w:rsid w:val="04EA96BE"/>
    <w:rsid w:val="04F7C94D"/>
    <w:rsid w:val="04F85F05"/>
    <w:rsid w:val="04FA3F2C"/>
    <w:rsid w:val="04FD5B28"/>
    <w:rsid w:val="04FECF40"/>
    <w:rsid w:val="05007934"/>
    <w:rsid w:val="05044F2B"/>
    <w:rsid w:val="050A6647"/>
    <w:rsid w:val="05190E91"/>
    <w:rsid w:val="05207F3B"/>
    <w:rsid w:val="052229D6"/>
    <w:rsid w:val="052D5A3F"/>
    <w:rsid w:val="053779E4"/>
    <w:rsid w:val="0537CC91"/>
    <w:rsid w:val="05383DA3"/>
    <w:rsid w:val="0539B430"/>
    <w:rsid w:val="053E00BC"/>
    <w:rsid w:val="0543FBF6"/>
    <w:rsid w:val="0546AFAB"/>
    <w:rsid w:val="05472B27"/>
    <w:rsid w:val="054DEEA8"/>
    <w:rsid w:val="05529A84"/>
    <w:rsid w:val="055438B7"/>
    <w:rsid w:val="055A2719"/>
    <w:rsid w:val="055EB6BE"/>
    <w:rsid w:val="055FC29E"/>
    <w:rsid w:val="055FE747"/>
    <w:rsid w:val="0561B02B"/>
    <w:rsid w:val="05641E4F"/>
    <w:rsid w:val="0566CC30"/>
    <w:rsid w:val="0567E7C6"/>
    <w:rsid w:val="056AFA13"/>
    <w:rsid w:val="056DDC0B"/>
    <w:rsid w:val="056E2B74"/>
    <w:rsid w:val="056EC63E"/>
    <w:rsid w:val="0570E908"/>
    <w:rsid w:val="057C21E7"/>
    <w:rsid w:val="057DDC0D"/>
    <w:rsid w:val="057DE48A"/>
    <w:rsid w:val="0593395C"/>
    <w:rsid w:val="0594CF54"/>
    <w:rsid w:val="0595A630"/>
    <w:rsid w:val="059A9F3A"/>
    <w:rsid w:val="059F7CF3"/>
    <w:rsid w:val="05A0E2E1"/>
    <w:rsid w:val="05B62590"/>
    <w:rsid w:val="05BE31BD"/>
    <w:rsid w:val="05C1E42C"/>
    <w:rsid w:val="05D74EA7"/>
    <w:rsid w:val="05E8F8B4"/>
    <w:rsid w:val="05EF9872"/>
    <w:rsid w:val="05F6B167"/>
    <w:rsid w:val="05FABFF9"/>
    <w:rsid w:val="05FB68E5"/>
    <w:rsid w:val="060069FD"/>
    <w:rsid w:val="06045EC8"/>
    <w:rsid w:val="06086250"/>
    <w:rsid w:val="060A8212"/>
    <w:rsid w:val="060AA834"/>
    <w:rsid w:val="060AAF8D"/>
    <w:rsid w:val="0614D213"/>
    <w:rsid w:val="061729C3"/>
    <w:rsid w:val="061765EA"/>
    <w:rsid w:val="0623D600"/>
    <w:rsid w:val="062D44E1"/>
    <w:rsid w:val="0639087B"/>
    <w:rsid w:val="063FA4BE"/>
    <w:rsid w:val="06436343"/>
    <w:rsid w:val="064B9E49"/>
    <w:rsid w:val="06565C6C"/>
    <w:rsid w:val="065726F0"/>
    <w:rsid w:val="065D0B96"/>
    <w:rsid w:val="065D9764"/>
    <w:rsid w:val="06657E42"/>
    <w:rsid w:val="066EF653"/>
    <w:rsid w:val="067123F2"/>
    <w:rsid w:val="067849C9"/>
    <w:rsid w:val="067ECD55"/>
    <w:rsid w:val="068905E9"/>
    <w:rsid w:val="06902B67"/>
    <w:rsid w:val="069C45CF"/>
    <w:rsid w:val="069EE90C"/>
    <w:rsid w:val="06A10BDB"/>
    <w:rsid w:val="06A5F010"/>
    <w:rsid w:val="06A6DEF0"/>
    <w:rsid w:val="06AD3AD0"/>
    <w:rsid w:val="06AF2B43"/>
    <w:rsid w:val="06B0A69D"/>
    <w:rsid w:val="06B9C962"/>
    <w:rsid w:val="06BC62B9"/>
    <w:rsid w:val="06BE8760"/>
    <w:rsid w:val="06C3EFD9"/>
    <w:rsid w:val="06C72E67"/>
    <w:rsid w:val="06DCFAD3"/>
    <w:rsid w:val="06DDCF3C"/>
    <w:rsid w:val="06DE13C8"/>
    <w:rsid w:val="06EAD755"/>
    <w:rsid w:val="06FBFBA0"/>
    <w:rsid w:val="06FD9ABB"/>
    <w:rsid w:val="07068C07"/>
    <w:rsid w:val="07075E0D"/>
    <w:rsid w:val="0709EA10"/>
    <w:rsid w:val="070AA80C"/>
    <w:rsid w:val="070D1CFC"/>
    <w:rsid w:val="070E9C27"/>
    <w:rsid w:val="070EEDCF"/>
    <w:rsid w:val="070F792F"/>
    <w:rsid w:val="07180AD2"/>
    <w:rsid w:val="071B93D0"/>
    <w:rsid w:val="071EA8C7"/>
    <w:rsid w:val="07394B43"/>
    <w:rsid w:val="0739C7D0"/>
    <w:rsid w:val="073BB44B"/>
    <w:rsid w:val="073DFA8A"/>
    <w:rsid w:val="074A7ECD"/>
    <w:rsid w:val="074CFC4E"/>
    <w:rsid w:val="075A85E0"/>
    <w:rsid w:val="075D0699"/>
    <w:rsid w:val="075D4FD7"/>
    <w:rsid w:val="07668574"/>
    <w:rsid w:val="0766F2D8"/>
    <w:rsid w:val="076A5B07"/>
    <w:rsid w:val="076E50B2"/>
    <w:rsid w:val="07704BFF"/>
    <w:rsid w:val="0773F897"/>
    <w:rsid w:val="07781EB9"/>
    <w:rsid w:val="077CC781"/>
    <w:rsid w:val="0788B92D"/>
    <w:rsid w:val="078D4AD5"/>
    <w:rsid w:val="07917009"/>
    <w:rsid w:val="07992540"/>
    <w:rsid w:val="07A0551A"/>
    <w:rsid w:val="07A15019"/>
    <w:rsid w:val="07A19A78"/>
    <w:rsid w:val="07A3BEE3"/>
    <w:rsid w:val="07A43928"/>
    <w:rsid w:val="07A458DE"/>
    <w:rsid w:val="07A8D05A"/>
    <w:rsid w:val="07A986DE"/>
    <w:rsid w:val="07AE3D97"/>
    <w:rsid w:val="07B9C0D9"/>
    <w:rsid w:val="07BD31AF"/>
    <w:rsid w:val="07BF5FE4"/>
    <w:rsid w:val="07C3FA13"/>
    <w:rsid w:val="07C47257"/>
    <w:rsid w:val="07CA57EA"/>
    <w:rsid w:val="07CF1E5B"/>
    <w:rsid w:val="07D09FF3"/>
    <w:rsid w:val="07D6A46C"/>
    <w:rsid w:val="07D9C896"/>
    <w:rsid w:val="07DA4E7F"/>
    <w:rsid w:val="07E2D6B8"/>
    <w:rsid w:val="07E374E3"/>
    <w:rsid w:val="07E7AABB"/>
    <w:rsid w:val="07E9B9DB"/>
    <w:rsid w:val="07EBD4DD"/>
    <w:rsid w:val="08033DD5"/>
    <w:rsid w:val="080523D3"/>
    <w:rsid w:val="0807D5D7"/>
    <w:rsid w:val="080BB3C6"/>
    <w:rsid w:val="0811A339"/>
    <w:rsid w:val="08192CCB"/>
    <w:rsid w:val="082099D1"/>
    <w:rsid w:val="08209F78"/>
    <w:rsid w:val="082DD61E"/>
    <w:rsid w:val="082E36FB"/>
    <w:rsid w:val="082EC6E4"/>
    <w:rsid w:val="083220EA"/>
    <w:rsid w:val="08385BBF"/>
    <w:rsid w:val="08390FB9"/>
    <w:rsid w:val="0839E982"/>
    <w:rsid w:val="083DAE4A"/>
    <w:rsid w:val="083E930E"/>
    <w:rsid w:val="083F4579"/>
    <w:rsid w:val="08433C14"/>
    <w:rsid w:val="0847E6E9"/>
    <w:rsid w:val="0850FBF9"/>
    <w:rsid w:val="08565A70"/>
    <w:rsid w:val="08651510"/>
    <w:rsid w:val="08713B98"/>
    <w:rsid w:val="08721FBA"/>
    <w:rsid w:val="08739654"/>
    <w:rsid w:val="0877B940"/>
    <w:rsid w:val="0887F2C0"/>
    <w:rsid w:val="088CC774"/>
    <w:rsid w:val="088FB2CB"/>
    <w:rsid w:val="08948253"/>
    <w:rsid w:val="0895E696"/>
    <w:rsid w:val="0896FB22"/>
    <w:rsid w:val="089C3173"/>
    <w:rsid w:val="08A17D7C"/>
    <w:rsid w:val="08A36777"/>
    <w:rsid w:val="08A978C0"/>
    <w:rsid w:val="08B343D6"/>
    <w:rsid w:val="08B5C22B"/>
    <w:rsid w:val="08BEA39D"/>
    <w:rsid w:val="08BEEB2D"/>
    <w:rsid w:val="08CC74D0"/>
    <w:rsid w:val="08D2B11B"/>
    <w:rsid w:val="08D2BA3D"/>
    <w:rsid w:val="08D9BC11"/>
    <w:rsid w:val="08F44869"/>
    <w:rsid w:val="08F54E14"/>
    <w:rsid w:val="08F560FD"/>
    <w:rsid w:val="08FADC93"/>
    <w:rsid w:val="08FCD9A0"/>
    <w:rsid w:val="0903CE64"/>
    <w:rsid w:val="090B549D"/>
    <w:rsid w:val="090CB4E3"/>
    <w:rsid w:val="09141D86"/>
    <w:rsid w:val="091D9589"/>
    <w:rsid w:val="091EBEC7"/>
    <w:rsid w:val="09283400"/>
    <w:rsid w:val="0929460F"/>
    <w:rsid w:val="092DC482"/>
    <w:rsid w:val="09312CCE"/>
    <w:rsid w:val="09374EE5"/>
    <w:rsid w:val="093A7E62"/>
    <w:rsid w:val="093DD5DC"/>
    <w:rsid w:val="094F6CA0"/>
    <w:rsid w:val="0950D5FD"/>
    <w:rsid w:val="0955F933"/>
    <w:rsid w:val="095F3EA5"/>
    <w:rsid w:val="0965D140"/>
    <w:rsid w:val="096B5A56"/>
    <w:rsid w:val="096D2A0E"/>
    <w:rsid w:val="097839BB"/>
    <w:rsid w:val="097E6F65"/>
    <w:rsid w:val="098121D1"/>
    <w:rsid w:val="0981C4B2"/>
    <w:rsid w:val="09972A37"/>
    <w:rsid w:val="099B0B0A"/>
    <w:rsid w:val="099F8A81"/>
    <w:rsid w:val="09A642F0"/>
    <w:rsid w:val="09A8AE6A"/>
    <w:rsid w:val="09A9FB55"/>
    <w:rsid w:val="09AF01DB"/>
    <w:rsid w:val="09B14BF4"/>
    <w:rsid w:val="09BEA73B"/>
    <w:rsid w:val="09C06D7A"/>
    <w:rsid w:val="09C0C6A4"/>
    <w:rsid w:val="09C1114D"/>
    <w:rsid w:val="09C62CE7"/>
    <w:rsid w:val="09C97C28"/>
    <w:rsid w:val="09D066D7"/>
    <w:rsid w:val="09D2230C"/>
    <w:rsid w:val="09E2DDD8"/>
    <w:rsid w:val="09E9B636"/>
    <w:rsid w:val="09EA3474"/>
    <w:rsid w:val="09EEEFAA"/>
    <w:rsid w:val="09FF7BE3"/>
    <w:rsid w:val="0A0821B5"/>
    <w:rsid w:val="0A0A9BC2"/>
    <w:rsid w:val="0A0C516C"/>
    <w:rsid w:val="0A0C6F66"/>
    <w:rsid w:val="0A120748"/>
    <w:rsid w:val="0A18DB38"/>
    <w:rsid w:val="0A1D8862"/>
    <w:rsid w:val="0A2A362D"/>
    <w:rsid w:val="0A2C6EB3"/>
    <w:rsid w:val="0A300470"/>
    <w:rsid w:val="0A32B757"/>
    <w:rsid w:val="0A4016CB"/>
    <w:rsid w:val="0A44BB3B"/>
    <w:rsid w:val="0A47FB04"/>
    <w:rsid w:val="0A4D1542"/>
    <w:rsid w:val="0A5065A3"/>
    <w:rsid w:val="0A532DED"/>
    <w:rsid w:val="0A53763B"/>
    <w:rsid w:val="0A56BDCD"/>
    <w:rsid w:val="0A58ECAD"/>
    <w:rsid w:val="0A6604ED"/>
    <w:rsid w:val="0A69AAC7"/>
    <w:rsid w:val="0A6F9B7B"/>
    <w:rsid w:val="0A7334FD"/>
    <w:rsid w:val="0A7438BB"/>
    <w:rsid w:val="0A7BAC39"/>
    <w:rsid w:val="0A7DD754"/>
    <w:rsid w:val="0A7E2C80"/>
    <w:rsid w:val="0A7F88AA"/>
    <w:rsid w:val="0A88CD9E"/>
    <w:rsid w:val="0A89BA0E"/>
    <w:rsid w:val="0A8DACB2"/>
    <w:rsid w:val="0A8ED8C1"/>
    <w:rsid w:val="0A8FCE75"/>
    <w:rsid w:val="0A8FDE47"/>
    <w:rsid w:val="0A973DE8"/>
    <w:rsid w:val="0A9EE200"/>
    <w:rsid w:val="0AA1EFE4"/>
    <w:rsid w:val="0AA339AD"/>
    <w:rsid w:val="0AA3E09D"/>
    <w:rsid w:val="0AA612EA"/>
    <w:rsid w:val="0AABE0C3"/>
    <w:rsid w:val="0AC1FEE8"/>
    <w:rsid w:val="0AC4F31E"/>
    <w:rsid w:val="0AC6D181"/>
    <w:rsid w:val="0ACBCE5E"/>
    <w:rsid w:val="0ACF5DED"/>
    <w:rsid w:val="0AD2F2CF"/>
    <w:rsid w:val="0AD2F994"/>
    <w:rsid w:val="0AD3CB75"/>
    <w:rsid w:val="0AECCF88"/>
    <w:rsid w:val="0AEDF02B"/>
    <w:rsid w:val="0AF17CF2"/>
    <w:rsid w:val="0AF8E688"/>
    <w:rsid w:val="0B06DA62"/>
    <w:rsid w:val="0B0BFD97"/>
    <w:rsid w:val="0B1300A7"/>
    <w:rsid w:val="0B1B4C1B"/>
    <w:rsid w:val="0B1B5F60"/>
    <w:rsid w:val="0B1BA22D"/>
    <w:rsid w:val="0B36DC47"/>
    <w:rsid w:val="0B378DEC"/>
    <w:rsid w:val="0B37E658"/>
    <w:rsid w:val="0B3852F4"/>
    <w:rsid w:val="0B3A6DF9"/>
    <w:rsid w:val="0B43EB15"/>
    <w:rsid w:val="0B444ACE"/>
    <w:rsid w:val="0B45DB13"/>
    <w:rsid w:val="0B480DAD"/>
    <w:rsid w:val="0B497912"/>
    <w:rsid w:val="0B4A9F1A"/>
    <w:rsid w:val="0B519D02"/>
    <w:rsid w:val="0B55D3B4"/>
    <w:rsid w:val="0B61CEE8"/>
    <w:rsid w:val="0B6232A3"/>
    <w:rsid w:val="0B63586B"/>
    <w:rsid w:val="0B636212"/>
    <w:rsid w:val="0B63F8A7"/>
    <w:rsid w:val="0B6DB7FB"/>
    <w:rsid w:val="0B6F9E8B"/>
    <w:rsid w:val="0B7002D8"/>
    <w:rsid w:val="0B741147"/>
    <w:rsid w:val="0B76579D"/>
    <w:rsid w:val="0B7BD7B7"/>
    <w:rsid w:val="0B7F3713"/>
    <w:rsid w:val="0B867B46"/>
    <w:rsid w:val="0B86E121"/>
    <w:rsid w:val="0B9D2AA6"/>
    <w:rsid w:val="0B9FFC6A"/>
    <w:rsid w:val="0BA080E9"/>
    <w:rsid w:val="0BA3CA0A"/>
    <w:rsid w:val="0BA51D6E"/>
    <w:rsid w:val="0BA72660"/>
    <w:rsid w:val="0BB22317"/>
    <w:rsid w:val="0BB53F42"/>
    <w:rsid w:val="0BC067FD"/>
    <w:rsid w:val="0BC3A5FE"/>
    <w:rsid w:val="0BCC60DF"/>
    <w:rsid w:val="0BD21906"/>
    <w:rsid w:val="0BDB1855"/>
    <w:rsid w:val="0BE12F50"/>
    <w:rsid w:val="0BE255D2"/>
    <w:rsid w:val="0BE40BED"/>
    <w:rsid w:val="0BE5FA4C"/>
    <w:rsid w:val="0BEED3CF"/>
    <w:rsid w:val="0BEFF3D6"/>
    <w:rsid w:val="0BF4F179"/>
    <w:rsid w:val="0BF698BE"/>
    <w:rsid w:val="0BF6A957"/>
    <w:rsid w:val="0BFB322C"/>
    <w:rsid w:val="0BFE3D67"/>
    <w:rsid w:val="0BFE85BE"/>
    <w:rsid w:val="0C004472"/>
    <w:rsid w:val="0C00A8DD"/>
    <w:rsid w:val="0C00E597"/>
    <w:rsid w:val="0C0635CB"/>
    <w:rsid w:val="0C0646D0"/>
    <w:rsid w:val="0C12760B"/>
    <w:rsid w:val="0C146959"/>
    <w:rsid w:val="0C1A6576"/>
    <w:rsid w:val="0C1E2095"/>
    <w:rsid w:val="0C21F9E4"/>
    <w:rsid w:val="0C2F1FEE"/>
    <w:rsid w:val="0C31C713"/>
    <w:rsid w:val="0C360529"/>
    <w:rsid w:val="0C3B157F"/>
    <w:rsid w:val="0C3B5F48"/>
    <w:rsid w:val="0C3D057E"/>
    <w:rsid w:val="0C40DC3A"/>
    <w:rsid w:val="0C4328FC"/>
    <w:rsid w:val="0C471151"/>
    <w:rsid w:val="0C47A1C3"/>
    <w:rsid w:val="0C4A2463"/>
    <w:rsid w:val="0C53045D"/>
    <w:rsid w:val="0C53A7D5"/>
    <w:rsid w:val="0C562607"/>
    <w:rsid w:val="0C56FE59"/>
    <w:rsid w:val="0C593CD9"/>
    <w:rsid w:val="0C5F393C"/>
    <w:rsid w:val="0C611C61"/>
    <w:rsid w:val="0C6A8CD2"/>
    <w:rsid w:val="0C76136F"/>
    <w:rsid w:val="0C7CC22D"/>
    <w:rsid w:val="0C7D8985"/>
    <w:rsid w:val="0C7DE03C"/>
    <w:rsid w:val="0C96ACDD"/>
    <w:rsid w:val="0C97CCAC"/>
    <w:rsid w:val="0C9BF136"/>
    <w:rsid w:val="0C9CC7E7"/>
    <w:rsid w:val="0CA2CE22"/>
    <w:rsid w:val="0CA82E6B"/>
    <w:rsid w:val="0CAA4E30"/>
    <w:rsid w:val="0CAAE8F0"/>
    <w:rsid w:val="0CB06792"/>
    <w:rsid w:val="0CB1E4D2"/>
    <w:rsid w:val="0CB2C703"/>
    <w:rsid w:val="0CB39759"/>
    <w:rsid w:val="0CBF5433"/>
    <w:rsid w:val="0CC34F68"/>
    <w:rsid w:val="0CC5F935"/>
    <w:rsid w:val="0CC7221D"/>
    <w:rsid w:val="0CC8833D"/>
    <w:rsid w:val="0CCB6D86"/>
    <w:rsid w:val="0CCC6AAC"/>
    <w:rsid w:val="0CCE953B"/>
    <w:rsid w:val="0CD14917"/>
    <w:rsid w:val="0CD2F35F"/>
    <w:rsid w:val="0CD4AB3A"/>
    <w:rsid w:val="0CD4D3D8"/>
    <w:rsid w:val="0CD78D81"/>
    <w:rsid w:val="0CDABC06"/>
    <w:rsid w:val="0CDD50EE"/>
    <w:rsid w:val="0CDE8E76"/>
    <w:rsid w:val="0CE75957"/>
    <w:rsid w:val="0CE80044"/>
    <w:rsid w:val="0CEB7379"/>
    <w:rsid w:val="0CECC7B4"/>
    <w:rsid w:val="0CEE8999"/>
    <w:rsid w:val="0CF9B9AF"/>
    <w:rsid w:val="0D07D0AF"/>
    <w:rsid w:val="0D07FADB"/>
    <w:rsid w:val="0D095A44"/>
    <w:rsid w:val="0D09B738"/>
    <w:rsid w:val="0D14830F"/>
    <w:rsid w:val="0D17B486"/>
    <w:rsid w:val="0D1C0400"/>
    <w:rsid w:val="0D24BFCE"/>
    <w:rsid w:val="0D2875D4"/>
    <w:rsid w:val="0D3605D4"/>
    <w:rsid w:val="0D38DCD8"/>
    <w:rsid w:val="0D3CB47F"/>
    <w:rsid w:val="0D49EBBD"/>
    <w:rsid w:val="0D4F7AFA"/>
    <w:rsid w:val="0D5801EC"/>
    <w:rsid w:val="0D59192E"/>
    <w:rsid w:val="0D5A64AB"/>
    <w:rsid w:val="0D5C0597"/>
    <w:rsid w:val="0D5D288D"/>
    <w:rsid w:val="0D60C2AF"/>
    <w:rsid w:val="0D61640C"/>
    <w:rsid w:val="0D648B59"/>
    <w:rsid w:val="0D662E4A"/>
    <w:rsid w:val="0D6D5B2E"/>
    <w:rsid w:val="0D6F7E13"/>
    <w:rsid w:val="0D72049C"/>
    <w:rsid w:val="0D756E8A"/>
    <w:rsid w:val="0D79B322"/>
    <w:rsid w:val="0D7F3038"/>
    <w:rsid w:val="0D90C2A8"/>
    <w:rsid w:val="0D992424"/>
    <w:rsid w:val="0DA0E612"/>
    <w:rsid w:val="0DA0F180"/>
    <w:rsid w:val="0DA1C39C"/>
    <w:rsid w:val="0DA64B2E"/>
    <w:rsid w:val="0DA8335F"/>
    <w:rsid w:val="0DAC5B5B"/>
    <w:rsid w:val="0DADB0A5"/>
    <w:rsid w:val="0DAE9602"/>
    <w:rsid w:val="0DBAA854"/>
    <w:rsid w:val="0DBDD575"/>
    <w:rsid w:val="0DBEB1ED"/>
    <w:rsid w:val="0DBEFFFA"/>
    <w:rsid w:val="0DC66D37"/>
    <w:rsid w:val="0DC7F734"/>
    <w:rsid w:val="0DCB8E1F"/>
    <w:rsid w:val="0DCCE661"/>
    <w:rsid w:val="0DD17997"/>
    <w:rsid w:val="0DD353B3"/>
    <w:rsid w:val="0DD5E09F"/>
    <w:rsid w:val="0DD8C42C"/>
    <w:rsid w:val="0DE5B3D5"/>
    <w:rsid w:val="0DE65D1C"/>
    <w:rsid w:val="0DE6A27B"/>
    <w:rsid w:val="0DE99129"/>
    <w:rsid w:val="0DEF6AD0"/>
    <w:rsid w:val="0DF29A72"/>
    <w:rsid w:val="0DF90B37"/>
    <w:rsid w:val="0DFA0914"/>
    <w:rsid w:val="0DFB5EDC"/>
    <w:rsid w:val="0E003CDF"/>
    <w:rsid w:val="0E01966F"/>
    <w:rsid w:val="0E0A8BF1"/>
    <w:rsid w:val="0E0E8EC4"/>
    <w:rsid w:val="0E0EDFA4"/>
    <w:rsid w:val="0E0EF097"/>
    <w:rsid w:val="0E0F9B98"/>
    <w:rsid w:val="0E106882"/>
    <w:rsid w:val="0E16E709"/>
    <w:rsid w:val="0E1B6E02"/>
    <w:rsid w:val="0E1C8FAF"/>
    <w:rsid w:val="0E24D7E7"/>
    <w:rsid w:val="0E2865CB"/>
    <w:rsid w:val="0E2B8780"/>
    <w:rsid w:val="0E2D4751"/>
    <w:rsid w:val="0E2E1BAA"/>
    <w:rsid w:val="0E36DEC9"/>
    <w:rsid w:val="0E371C84"/>
    <w:rsid w:val="0E37A947"/>
    <w:rsid w:val="0E423CCB"/>
    <w:rsid w:val="0E451627"/>
    <w:rsid w:val="0E45FA19"/>
    <w:rsid w:val="0E460418"/>
    <w:rsid w:val="0E479FB9"/>
    <w:rsid w:val="0E598C84"/>
    <w:rsid w:val="0E6110B5"/>
    <w:rsid w:val="0E63AD1C"/>
    <w:rsid w:val="0E675D80"/>
    <w:rsid w:val="0E6AF7BF"/>
    <w:rsid w:val="0E6D7993"/>
    <w:rsid w:val="0E7656CB"/>
    <w:rsid w:val="0E77AD73"/>
    <w:rsid w:val="0E800910"/>
    <w:rsid w:val="0E8A45AE"/>
    <w:rsid w:val="0E912873"/>
    <w:rsid w:val="0E932746"/>
    <w:rsid w:val="0E9AEE65"/>
    <w:rsid w:val="0E9F043A"/>
    <w:rsid w:val="0EA1E41A"/>
    <w:rsid w:val="0EA7B88A"/>
    <w:rsid w:val="0EA8656E"/>
    <w:rsid w:val="0EAD5DB2"/>
    <w:rsid w:val="0EB56224"/>
    <w:rsid w:val="0EBA8EDC"/>
    <w:rsid w:val="0EBDEF2D"/>
    <w:rsid w:val="0EC5288B"/>
    <w:rsid w:val="0EC5B31B"/>
    <w:rsid w:val="0ECFC7E2"/>
    <w:rsid w:val="0ED2645B"/>
    <w:rsid w:val="0ED3BAB6"/>
    <w:rsid w:val="0ED43826"/>
    <w:rsid w:val="0ED72614"/>
    <w:rsid w:val="0ED90B4C"/>
    <w:rsid w:val="0EDAD37F"/>
    <w:rsid w:val="0EDADFAC"/>
    <w:rsid w:val="0EDFFA0D"/>
    <w:rsid w:val="0EE9DD0F"/>
    <w:rsid w:val="0EFA2806"/>
    <w:rsid w:val="0EFB7EE2"/>
    <w:rsid w:val="0F0354E3"/>
    <w:rsid w:val="0F0BB154"/>
    <w:rsid w:val="0F0E514D"/>
    <w:rsid w:val="0F11A057"/>
    <w:rsid w:val="0F172CAC"/>
    <w:rsid w:val="0F1FF238"/>
    <w:rsid w:val="0F206D81"/>
    <w:rsid w:val="0F222F9F"/>
    <w:rsid w:val="0F2F5BB2"/>
    <w:rsid w:val="0F2F6C67"/>
    <w:rsid w:val="0F2FCA75"/>
    <w:rsid w:val="0F3224BC"/>
    <w:rsid w:val="0F33478D"/>
    <w:rsid w:val="0F436F82"/>
    <w:rsid w:val="0F4C32D0"/>
    <w:rsid w:val="0F5D79FF"/>
    <w:rsid w:val="0F5D9588"/>
    <w:rsid w:val="0F62E008"/>
    <w:rsid w:val="0F633758"/>
    <w:rsid w:val="0F69D31D"/>
    <w:rsid w:val="0F6E93F8"/>
    <w:rsid w:val="0F6F7BB2"/>
    <w:rsid w:val="0F762D14"/>
    <w:rsid w:val="0F796827"/>
    <w:rsid w:val="0F7E17E1"/>
    <w:rsid w:val="0F8193A5"/>
    <w:rsid w:val="0F83A363"/>
    <w:rsid w:val="0F84E0C7"/>
    <w:rsid w:val="0F89336E"/>
    <w:rsid w:val="0F8A4472"/>
    <w:rsid w:val="0F9B8A18"/>
    <w:rsid w:val="0FA19D40"/>
    <w:rsid w:val="0FA71A72"/>
    <w:rsid w:val="0FADD833"/>
    <w:rsid w:val="0FAE0652"/>
    <w:rsid w:val="0FB0FDB3"/>
    <w:rsid w:val="0FB8F135"/>
    <w:rsid w:val="0FB99E0F"/>
    <w:rsid w:val="0FBC00BE"/>
    <w:rsid w:val="0FC06CF8"/>
    <w:rsid w:val="0FCE189D"/>
    <w:rsid w:val="0FD20A97"/>
    <w:rsid w:val="0FD32B4D"/>
    <w:rsid w:val="0FDD60A8"/>
    <w:rsid w:val="0FE0D786"/>
    <w:rsid w:val="0FE37065"/>
    <w:rsid w:val="0FE98011"/>
    <w:rsid w:val="0FF2E1B8"/>
    <w:rsid w:val="0FFA2ECF"/>
    <w:rsid w:val="0FFA905D"/>
    <w:rsid w:val="0FFEE323"/>
    <w:rsid w:val="10076638"/>
    <w:rsid w:val="10077AF1"/>
    <w:rsid w:val="10092565"/>
    <w:rsid w:val="100A4801"/>
    <w:rsid w:val="1012FA2A"/>
    <w:rsid w:val="101EAB4A"/>
    <w:rsid w:val="102FFEBD"/>
    <w:rsid w:val="1034E497"/>
    <w:rsid w:val="103A357D"/>
    <w:rsid w:val="1044898D"/>
    <w:rsid w:val="104DFDF0"/>
    <w:rsid w:val="105167DA"/>
    <w:rsid w:val="1051F680"/>
    <w:rsid w:val="1052C515"/>
    <w:rsid w:val="10543A43"/>
    <w:rsid w:val="10554EE6"/>
    <w:rsid w:val="105B8019"/>
    <w:rsid w:val="106659DB"/>
    <w:rsid w:val="106C8692"/>
    <w:rsid w:val="1072DD20"/>
    <w:rsid w:val="107ADBA9"/>
    <w:rsid w:val="1089EE2E"/>
    <w:rsid w:val="108AA0B0"/>
    <w:rsid w:val="108C0343"/>
    <w:rsid w:val="1092A725"/>
    <w:rsid w:val="109C0A79"/>
    <w:rsid w:val="109C2FF8"/>
    <w:rsid w:val="10A0DFF0"/>
    <w:rsid w:val="10A1F3BF"/>
    <w:rsid w:val="10B05311"/>
    <w:rsid w:val="10B41942"/>
    <w:rsid w:val="10B7AE88"/>
    <w:rsid w:val="10BE95BF"/>
    <w:rsid w:val="10C8F52C"/>
    <w:rsid w:val="10DB3291"/>
    <w:rsid w:val="10DBB69F"/>
    <w:rsid w:val="10E4201D"/>
    <w:rsid w:val="10EBF340"/>
    <w:rsid w:val="10F06637"/>
    <w:rsid w:val="10F7D7A6"/>
    <w:rsid w:val="10F9A758"/>
    <w:rsid w:val="1102F606"/>
    <w:rsid w:val="1109E97F"/>
    <w:rsid w:val="1112755E"/>
    <w:rsid w:val="11159CAA"/>
    <w:rsid w:val="1115C4AC"/>
    <w:rsid w:val="11191354"/>
    <w:rsid w:val="11372427"/>
    <w:rsid w:val="113E6A54"/>
    <w:rsid w:val="113FF5CA"/>
    <w:rsid w:val="113FFFB7"/>
    <w:rsid w:val="1144330B"/>
    <w:rsid w:val="1146BBBE"/>
    <w:rsid w:val="11483C94"/>
    <w:rsid w:val="1148955E"/>
    <w:rsid w:val="1157E622"/>
    <w:rsid w:val="11584511"/>
    <w:rsid w:val="115F802D"/>
    <w:rsid w:val="11623988"/>
    <w:rsid w:val="1164EA28"/>
    <w:rsid w:val="1168C809"/>
    <w:rsid w:val="1168F724"/>
    <w:rsid w:val="116DC945"/>
    <w:rsid w:val="1170ED85"/>
    <w:rsid w:val="1172410A"/>
    <w:rsid w:val="1175664C"/>
    <w:rsid w:val="1179F7B1"/>
    <w:rsid w:val="117CD628"/>
    <w:rsid w:val="117E3EB5"/>
    <w:rsid w:val="118941E7"/>
    <w:rsid w:val="118F2322"/>
    <w:rsid w:val="11A07590"/>
    <w:rsid w:val="11A16C6A"/>
    <w:rsid w:val="11A45E9C"/>
    <w:rsid w:val="11A7BCF9"/>
    <w:rsid w:val="11AC216D"/>
    <w:rsid w:val="11AF47AF"/>
    <w:rsid w:val="11AFAF89"/>
    <w:rsid w:val="11B2AC7A"/>
    <w:rsid w:val="11B41148"/>
    <w:rsid w:val="11B69AEA"/>
    <w:rsid w:val="11BC5916"/>
    <w:rsid w:val="11C031AA"/>
    <w:rsid w:val="11C1299E"/>
    <w:rsid w:val="11C251DB"/>
    <w:rsid w:val="11C2DA6B"/>
    <w:rsid w:val="11C2E662"/>
    <w:rsid w:val="11C66495"/>
    <w:rsid w:val="11CC4CD7"/>
    <w:rsid w:val="11DA290B"/>
    <w:rsid w:val="11E23B5E"/>
    <w:rsid w:val="11E60470"/>
    <w:rsid w:val="11E75497"/>
    <w:rsid w:val="11EF0949"/>
    <w:rsid w:val="11F1494A"/>
    <w:rsid w:val="11F41313"/>
    <w:rsid w:val="11F6F327"/>
    <w:rsid w:val="11FB09C4"/>
    <w:rsid w:val="1201E76E"/>
    <w:rsid w:val="12097434"/>
    <w:rsid w:val="120BDCB0"/>
    <w:rsid w:val="1212F8C3"/>
    <w:rsid w:val="12156D8D"/>
    <w:rsid w:val="1220331E"/>
    <w:rsid w:val="122A64BB"/>
    <w:rsid w:val="122AC933"/>
    <w:rsid w:val="122CAD48"/>
    <w:rsid w:val="123230AF"/>
    <w:rsid w:val="12369EC9"/>
    <w:rsid w:val="1247DD52"/>
    <w:rsid w:val="124E63B5"/>
    <w:rsid w:val="124EA883"/>
    <w:rsid w:val="12518F94"/>
    <w:rsid w:val="125DFB9E"/>
    <w:rsid w:val="126828C1"/>
    <w:rsid w:val="127156F9"/>
    <w:rsid w:val="1279A101"/>
    <w:rsid w:val="128259B8"/>
    <w:rsid w:val="128428AC"/>
    <w:rsid w:val="128BE02B"/>
    <w:rsid w:val="129684A4"/>
    <w:rsid w:val="12B437E7"/>
    <w:rsid w:val="12B7B555"/>
    <w:rsid w:val="12B7CB02"/>
    <w:rsid w:val="12B84EB8"/>
    <w:rsid w:val="12BF1702"/>
    <w:rsid w:val="12C343E6"/>
    <w:rsid w:val="12C41E3D"/>
    <w:rsid w:val="12C4E556"/>
    <w:rsid w:val="12C6CF28"/>
    <w:rsid w:val="12C9F305"/>
    <w:rsid w:val="12D58381"/>
    <w:rsid w:val="12D628D5"/>
    <w:rsid w:val="12D95115"/>
    <w:rsid w:val="12E6C3F0"/>
    <w:rsid w:val="12F16F37"/>
    <w:rsid w:val="12F9053F"/>
    <w:rsid w:val="12FA8DAC"/>
    <w:rsid w:val="12FAD912"/>
    <w:rsid w:val="1301C247"/>
    <w:rsid w:val="1302C2BE"/>
    <w:rsid w:val="1303345E"/>
    <w:rsid w:val="1305C6C5"/>
    <w:rsid w:val="1305F17B"/>
    <w:rsid w:val="1307B06D"/>
    <w:rsid w:val="130822BD"/>
    <w:rsid w:val="130B60E5"/>
    <w:rsid w:val="130F3B6A"/>
    <w:rsid w:val="131358D3"/>
    <w:rsid w:val="1314817C"/>
    <w:rsid w:val="1314BE94"/>
    <w:rsid w:val="13173629"/>
    <w:rsid w:val="1317E425"/>
    <w:rsid w:val="13186CF1"/>
    <w:rsid w:val="131D38D0"/>
    <w:rsid w:val="13223414"/>
    <w:rsid w:val="132330DA"/>
    <w:rsid w:val="1323D267"/>
    <w:rsid w:val="13267023"/>
    <w:rsid w:val="132D59E3"/>
    <w:rsid w:val="13358BB5"/>
    <w:rsid w:val="133FDB57"/>
    <w:rsid w:val="13427F23"/>
    <w:rsid w:val="13541CC9"/>
    <w:rsid w:val="135428BD"/>
    <w:rsid w:val="13583EC3"/>
    <w:rsid w:val="1358868F"/>
    <w:rsid w:val="1359449D"/>
    <w:rsid w:val="135A4A21"/>
    <w:rsid w:val="135CE7FC"/>
    <w:rsid w:val="135E403D"/>
    <w:rsid w:val="1360009B"/>
    <w:rsid w:val="1361988F"/>
    <w:rsid w:val="1363F351"/>
    <w:rsid w:val="13697FAE"/>
    <w:rsid w:val="1371A247"/>
    <w:rsid w:val="1372032D"/>
    <w:rsid w:val="1378F479"/>
    <w:rsid w:val="137B49CC"/>
    <w:rsid w:val="1383708D"/>
    <w:rsid w:val="13866A8D"/>
    <w:rsid w:val="138F3C6A"/>
    <w:rsid w:val="13935112"/>
    <w:rsid w:val="1394E85E"/>
    <w:rsid w:val="139E0C6C"/>
    <w:rsid w:val="139E70C4"/>
    <w:rsid w:val="139F287A"/>
    <w:rsid w:val="13A22EE0"/>
    <w:rsid w:val="13A587B9"/>
    <w:rsid w:val="13AA7346"/>
    <w:rsid w:val="13B12BAA"/>
    <w:rsid w:val="13B3B42A"/>
    <w:rsid w:val="13C2FEDD"/>
    <w:rsid w:val="13C9447A"/>
    <w:rsid w:val="13D05CC3"/>
    <w:rsid w:val="13D326C3"/>
    <w:rsid w:val="13DAF149"/>
    <w:rsid w:val="13DE8DF7"/>
    <w:rsid w:val="13E3C523"/>
    <w:rsid w:val="13E7848B"/>
    <w:rsid w:val="13E876E8"/>
    <w:rsid w:val="13EDE5A1"/>
    <w:rsid w:val="13F0E9BC"/>
    <w:rsid w:val="13F4875D"/>
    <w:rsid w:val="13FE6E5B"/>
    <w:rsid w:val="1401DDAA"/>
    <w:rsid w:val="1405741A"/>
    <w:rsid w:val="140ECCE3"/>
    <w:rsid w:val="1411F589"/>
    <w:rsid w:val="141A21F5"/>
    <w:rsid w:val="141E3CCA"/>
    <w:rsid w:val="141F2C78"/>
    <w:rsid w:val="14224144"/>
    <w:rsid w:val="142A7D41"/>
    <w:rsid w:val="143BD4CB"/>
    <w:rsid w:val="14402072"/>
    <w:rsid w:val="14465657"/>
    <w:rsid w:val="14479173"/>
    <w:rsid w:val="144C69D2"/>
    <w:rsid w:val="14581341"/>
    <w:rsid w:val="1458E526"/>
    <w:rsid w:val="145A81DF"/>
    <w:rsid w:val="14608EBE"/>
    <w:rsid w:val="1462CB94"/>
    <w:rsid w:val="1472EF26"/>
    <w:rsid w:val="1478BCB8"/>
    <w:rsid w:val="147D46B7"/>
    <w:rsid w:val="147FE439"/>
    <w:rsid w:val="14808A10"/>
    <w:rsid w:val="1482EAC9"/>
    <w:rsid w:val="14864341"/>
    <w:rsid w:val="14866803"/>
    <w:rsid w:val="1486DA5B"/>
    <w:rsid w:val="148AA042"/>
    <w:rsid w:val="148E4C62"/>
    <w:rsid w:val="14A1C459"/>
    <w:rsid w:val="14A1DB6D"/>
    <w:rsid w:val="14A32E86"/>
    <w:rsid w:val="14A5BF1B"/>
    <w:rsid w:val="14A6BAC0"/>
    <w:rsid w:val="14A6F932"/>
    <w:rsid w:val="14ACAD47"/>
    <w:rsid w:val="14BB3F78"/>
    <w:rsid w:val="14BC6834"/>
    <w:rsid w:val="14C62200"/>
    <w:rsid w:val="14C9EAB4"/>
    <w:rsid w:val="14CCC265"/>
    <w:rsid w:val="14D30E93"/>
    <w:rsid w:val="14D3B552"/>
    <w:rsid w:val="14D58017"/>
    <w:rsid w:val="14E247C5"/>
    <w:rsid w:val="14E481C3"/>
    <w:rsid w:val="14E7FB60"/>
    <w:rsid w:val="14EA4654"/>
    <w:rsid w:val="14ED72BB"/>
    <w:rsid w:val="14EEBDF6"/>
    <w:rsid w:val="14F49B7A"/>
    <w:rsid w:val="14FD4945"/>
    <w:rsid w:val="14FFA422"/>
    <w:rsid w:val="150009F0"/>
    <w:rsid w:val="15044172"/>
    <w:rsid w:val="15045361"/>
    <w:rsid w:val="150460ED"/>
    <w:rsid w:val="150AE0FE"/>
    <w:rsid w:val="151333B6"/>
    <w:rsid w:val="15163C80"/>
    <w:rsid w:val="15189AEB"/>
    <w:rsid w:val="151980E5"/>
    <w:rsid w:val="151A70C5"/>
    <w:rsid w:val="151BCFE4"/>
    <w:rsid w:val="151EE253"/>
    <w:rsid w:val="151FD8A2"/>
    <w:rsid w:val="1520147D"/>
    <w:rsid w:val="15248B78"/>
    <w:rsid w:val="1531E3B5"/>
    <w:rsid w:val="1534A052"/>
    <w:rsid w:val="15370F7B"/>
    <w:rsid w:val="153B9D98"/>
    <w:rsid w:val="153BAF90"/>
    <w:rsid w:val="153ED49F"/>
    <w:rsid w:val="153F3EAF"/>
    <w:rsid w:val="154C1B9B"/>
    <w:rsid w:val="154C9550"/>
    <w:rsid w:val="154F25B7"/>
    <w:rsid w:val="15524FE5"/>
    <w:rsid w:val="155B9A3A"/>
    <w:rsid w:val="155BEA1C"/>
    <w:rsid w:val="1562CEF2"/>
    <w:rsid w:val="1574ADDF"/>
    <w:rsid w:val="15771164"/>
    <w:rsid w:val="157E7DA2"/>
    <w:rsid w:val="1580CA8E"/>
    <w:rsid w:val="15824C95"/>
    <w:rsid w:val="1585E4B9"/>
    <w:rsid w:val="158B691C"/>
    <w:rsid w:val="158DD73C"/>
    <w:rsid w:val="158F31E3"/>
    <w:rsid w:val="15927F32"/>
    <w:rsid w:val="15954B31"/>
    <w:rsid w:val="159E945F"/>
    <w:rsid w:val="159FFE34"/>
    <w:rsid w:val="15A4A66B"/>
    <w:rsid w:val="15AD8FC3"/>
    <w:rsid w:val="15AEB7F1"/>
    <w:rsid w:val="15B812B4"/>
    <w:rsid w:val="15BD463B"/>
    <w:rsid w:val="15C2C2C0"/>
    <w:rsid w:val="15C6D14F"/>
    <w:rsid w:val="15C9F80B"/>
    <w:rsid w:val="15CF2AF5"/>
    <w:rsid w:val="15D14BF7"/>
    <w:rsid w:val="15D25A93"/>
    <w:rsid w:val="15D95AA3"/>
    <w:rsid w:val="15DB38BE"/>
    <w:rsid w:val="15E5A9A6"/>
    <w:rsid w:val="15E9BB2E"/>
    <w:rsid w:val="15F2D254"/>
    <w:rsid w:val="15F4A48C"/>
    <w:rsid w:val="15F67668"/>
    <w:rsid w:val="15F8BCF7"/>
    <w:rsid w:val="15FC9B7A"/>
    <w:rsid w:val="15FF4C33"/>
    <w:rsid w:val="160D647A"/>
    <w:rsid w:val="160D79E2"/>
    <w:rsid w:val="1615E2BA"/>
    <w:rsid w:val="16164715"/>
    <w:rsid w:val="16197FE1"/>
    <w:rsid w:val="162379C2"/>
    <w:rsid w:val="1627EB5E"/>
    <w:rsid w:val="16290FBD"/>
    <w:rsid w:val="1631BCD4"/>
    <w:rsid w:val="16350CCC"/>
    <w:rsid w:val="163C9760"/>
    <w:rsid w:val="16457A1C"/>
    <w:rsid w:val="1648C4A6"/>
    <w:rsid w:val="164D64C8"/>
    <w:rsid w:val="164FB6DE"/>
    <w:rsid w:val="16528703"/>
    <w:rsid w:val="16591DBA"/>
    <w:rsid w:val="165C0D03"/>
    <w:rsid w:val="165CBB09"/>
    <w:rsid w:val="165CEA99"/>
    <w:rsid w:val="1665A894"/>
    <w:rsid w:val="16674A1A"/>
    <w:rsid w:val="166B4C11"/>
    <w:rsid w:val="1671B54A"/>
    <w:rsid w:val="1671DADD"/>
    <w:rsid w:val="16774812"/>
    <w:rsid w:val="167E66FD"/>
    <w:rsid w:val="1683B8EA"/>
    <w:rsid w:val="16861743"/>
    <w:rsid w:val="168882C5"/>
    <w:rsid w:val="168CC96B"/>
    <w:rsid w:val="168CCF16"/>
    <w:rsid w:val="16979A4E"/>
    <w:rsid w:val="169BE1B2"/>
    <w:rsid w:val="169CBED6"/>
    <w:rsid w:val="16A3BCE8"/>
    <w:rsid w:val="16A49177"/>
    <w:rsid w:val="16AABB5D"/>
    <w:rsid w:val="16ABE1E3"/>
    <w:rsid w:val="16AC92F1"/>
    <w:rsid w:val="16AEC9EE"/>
    <w:rsid w:val="16AF0391"/>
    <w:rsid w:val="16AFB0B8"/>
    <w:rsid w:val="16B0FE7A"/>
    <w:rsid w:val="16B768DA"/>
    <w:rsid w:val="16C55BB1"/>
    <w:rsid w:val="16C5F061"/>
    <w:rsid w:val="16CF55CE"/>
    <w:rsid w:val="16D8DBB3"/>
    <w:rsid w:val="16DF2448"/>
    <w:rsid w:val="16DFCC71"/>
    <w:rsid w:val="16E834AA"/>
    <w:rsid w:val="16F003AE"/>
    <w:rsid w:val="16F47143"/>
    <w:rsid w:val="16F567CF"/>
    <w:rsid w:val="16F67B93"/>
    <w:rsid w:val="16F78E9F"/>
    <w:rsid w:val="16F9FDBD"/>
    <w:rsid w:val="17032BED"/>
    <w:rsid w:val="17075122"/>
    <w:rsid w:val="170AF205"/>
    <w:rsid w:val="171248AB"/>
    <w:rsid w:val="171C65C2"/>
    <w:rsid w:val="17284719"/>
    <w:rsid w:val="1728E90A"/>
    <w:rsid w:val="172D3447"/>
    <w:rsid w:val="172D98F8"/>
    <w:rsid w:val="173698E6"/>
    <w:rsid w:val="173880CF"/>
    <w:rsid w:val="1738E73A"/>
    <w:rsid w:val="1759B93F"/>
    <w:rsid w:val="175D0BB9"/>
    <w:rsid w:val="1762A14D"/>
    <w:rsid w:val="17679470"/>
    <w:rsid w:val="1769C98C"/>
    <w:rsid w:val="1773F782"/>
    <w:rsid w:val="177D19AC"/>
    <w:rsid w:val="17837D38"/>
    <w:rsid w:val="178D7CB8"/>
    <w:rsid w:val="17900724"/>
    <w:rsid w:val="179137C0"/>
    <w:rsid w:val="17A06350"/>
    <w:rsid w:val="17A13AC5"/>
    <w:rsid w:val="17A683D8"/>
    <w:rsid w:val="17B0622C"/>
    <w:rsid w:val="17C1369C"/>
    <w:rsid w:val="17C1A203"/>
    <w:rsid w:val="17C29C2F"/>
    <w:rsid w:val="17C32AC7"/>
    <w:rsid w:val="17C389AC"/>
    <w:rsid w:val="17D95036"/>
    <w:rsid w:val="17E7DB23"/>
    <w:rsid w:val="17EE4D44"/>
    <w:rsid w:val="17EFDB5F"/>
    <w:rsid w:val="17F06BAA"/>
    <w:rsid w:val="17F26B48"/>
    <w:rsid w:val="17F4DEEF"/>
    <w:rsid w:val="18002371"/>
    <w:rsid w:val="18079A4C"/>
    <w:rsid w:val="181CF4BC"/>
    <w:rsid w:val="1821542E"/>
    <w:rsid w:val="1825A715"/>
    <w:rsid w:val="1828DD77"/>
    <w:rsid w:val="182BEF71"/>
    <w:rsid w:val="182EB83B"/>
    <w:rsid w:val="183551BA"/>
    <w:rsid w:val="18376FBE"/>
    <w:rsid w:val="183DA4C1"/>
    <w:rsid w:val="183DBA6C"/>
    <w:rsid w:val="183EEB26"/>
    <w:rsid w:val="1840AD65"/>
    <w:rsid w:val="184DD3FB"/>
    <w:rsid w:val="18568DA6"/>
    <w:rsid w:val="18580E30"/>
    <w:rsid w:val="185A0102"/>
    <w:rsid w:val="185E46AE"/>
    <w:rsid w:val="185EC790"/>
    <w:rsid w:val="1869039C"/>
    <w:rsid w:val="186A6F67"/>
    <w:rsid w:val="18776467"/>
    <w:rsid w:val="18794DB9"/>
    <w:rsid w:val="187A5782"/>
    <w:rsid w:val="1887347A"/>
    <w:rsid w:val="18930E7D"/>
    <w:rsid w:val="18981CAA"/>
    <w:rsid w:val="189AEC40"/>
    <w:rsid w:val="189FBFC9"/>
    <w:rsid w:val="18A02AE4"/>
    <w:rsid w:val="18A6EAC6"/>
    <w:rsid w:val="18A7173C"/>
    <w:rsid w:val="18A9FDFD"/>
    <w:rsid w:val="18AB9CD8"/>
    <w:rsid w:val="18AD8428"/>
    <w:rsid w:val="18AF4DF2"/>
    <w:rsid w:val="18BC074A"/>
    <w:rsid w:val="18C19A70"/>
    <w:rsid w:val="18C4EC21"/>
    <w:rsid w:val="18C65AE7"/>
    <w:rsid w:val="18C7AFC9"/>
    <w:rsid w:val="18C8E3D9"/>
    <w:rsid w:val="18C9AC93"/>
    <w:rsid w:val="18CDC288"/>
    <w:rsid w:val="18D8034B"/>
    <w:rsid w:val="18DA14B1"/>
    <w:rsid w:val="18DB8545"/>
    <w:rsid w:val="18DEB32F"/>
    <w:rsid w:val="18EB58E5"/>
    <w:rsid w:val="18F3A25E"/>
    <w:rsid w:val="18FE7AE6"/>
    <w:rsid w:val="19071344"/>
    <w:rsid w:val="190CCC67"/>
    <w:rsid w:val="19114501"/>
    <w:rsid w:val="191A7524"/>
    <w:rsid w:val="191AC72C"/>
    <w:rsid w:val="19241726"/>
    <w:rsid w:val="1928D18F"/>
    <w:rsid w:val="192ABD13"/>
    <w:rsid w:val="192B647B"/>
    <w:rsid w:val="19342AFA"/>
    <w:rsid w:val="1935B910"/>
    <w:rsid w:val="193F1689"/>
    <w:rsid w:val="19444A62"/>
    <w:rsid w:val="194B3786"/>
    <w:rsid w:val="194E2AD1"/>
    <w:rsid w:val="19557017"/>
    <w:rsid w:val="1956A9F5"/>
    <w:rsid w:val="19576E1E"/>
    <w:rsid w:val="1958E261"/>
    <w:rsid w:val="195A2EE7"/>
    <w:rsid w:val="195BC691"/>
    <w:rsid w:val="195D5F2C"/>
    <w:rsid w:val="196715CB"/>
    <w:rsid w:val="196C99E0"/>
    <w:rsid w:val="1975FEFB"/>
    <w:rsid w:val="1977315A"/>
    <w:rsid w:val="197AD734"/>
    <w:rsid w:val="19895FAD"/>
    <w:rsid w:val="19904532"/>
    <w:rsid w:val="1990CBB4"/>
    <w:rsid w:val="1997BA4C"/>
    <w:rsid w:val="199D4D5C"/>
    <w:rsid w:val="199FD6DE"/>
    <w:rsid w:val="19AEA2E3"/>
    <w:rsid w:val="19AF34DB"/>
    <w:rsid w:val="19AFFB32"/>
    <w:rsid w:val="19B0757A"/>
    <w:rsid w:val="19C302B5"/>
    <w:rsid w:val="19C89AE0"/>
    <w:rsid w:val="19CB6695"/>
    <w:rsid w:val="19CD9088"/>
    <w:rsid w:val="19D18E0D"/>
    <w:rsid w:val="19EBC1AA"/>
    <w:rsid w:val="19EBD0F3"/>
    <w:rsid w:val="19EF9ABC"/>
    <w:rsid w:val="19EFFC34"/>
    <w:rsid w:val="19F11661"/>
    <w:rsid w:val="19F56EEF"/>
    <w:rsid w:val="19F66B68"/>
    <w:rsid w:val="19F885FA"/>
    <w:rsid w:val="19FA2E9D"/>
    <w:rsid w:val="1A00284E"/>
    <w:rsid w:val="1A0C9C2B"/>
    <w:rsid w:val="1A11E8AE"/>
    <w:rsid w:val="1A17FBA5"/>
    <w:rsid w:val="1A1D1A4B"/>
    <w:rsid w:val="1A23EC88"/>
    <w:rsid w:val="1A28ACEC"/>
    <w:rsid w:val="1A29F9B3"/>
    <w:rsid w:val="1A33C932"/>
    <w:rsid w:val="1A3606E1"/>
    <w:rsid w:val="1A3934EF"/>
    <w:rsid w:val="1A51D661"/>
    <w:rsid w:val="1A52394D"/>
    <w:rsid w:val="1A5C2014"/>
    <w:rsid w:val="1A624659"/>
    <w:rsid w:val="1A636099"/>
    <w:rsid w:val="1A6906C2"/>
    <w:rsid w:val="1A6BE55C"/>
    <w:rsid w:val="1A6C7E8E"/>
    <w:rsid w:val="1A6E810A"/>
    <w:rsid w:val="1A707FFE"/>
    <w:rsid w:val="1A7135B9"/>
    <w:rsid w:val="1A768614"/>
    <w:rsid w:val="1A78015B"/>
    <w:rsid w:val="1A7EADF9"/>
    <w:rsid w:val="1A807497"/>
    <w:rsid w:val="1A842F19"/>
    <w:rsid w:val="1A84763F"/>
    <w:rsid w:val="1A9791A1"/>
    <w:rsid w:val="1AAC0F22"/>
    <w:rsid w:val="1AB06294"/>
    <w:rsid w:val="1ABE3B4D"/>
    <w:rsid w:val="1ABFEAD8"/>
    <w:rsid w:val="1AC150B3"/>
    <w:rsid w:val="1AC2F1B2"/>
    <w:rsid w:val="1AC33240"/>
    <w:rsid w:val="1ACE725F"/>
    <w:rsid w:val="1AD678EC"/>
    <w:rsid w:val="1ADB25AE"/>
    <w:rsid w:val="1AE2CA97"/>
    <w:rsid w:val="1AE3B77D"/>
    <w:rsid w:val="1AF451AB"/>
    <w:rsid w:val="1AFDB737"/>
    <w:rsid w:val="1AFDFBAA"/>
    <w:rsid w:val="1B0B3F70"/>
    <w:rsid w:val="1B113BFD"/>
    <w:rsid w:val="1B1A61EB"/>
    <w:rsid w:val="1B1EB592"/>
    <w:rsid w:val="1B210CCD"/>
    <w:rsid w:val="1B2252BB"/>
    <w:rsid w:val="1B24E242"/>
    <w:rsid w:val="1B28AC55"/>
    <w:rsid w:val="1B2ABA5B"/>
    <w:rsid w:val="1B318483"/>
    <w:rsid w:val="1B381EE1"/>
    <w:rsid w:val="1B38D3BC"/>
    <w:rsid w:val="1B3C6E01"/>
    <w:rsid w:val="1B3CC134"/>
    <w:rsid w:val="1B435B30"/>
    <w:rsid w:val="1B4405BA"/>
    <w:rsid w:val="1B4BBA40"/>
    <w:rsid w:val="1B50AA5C"/>
    <w:rsid w:val="1B580BC3"/>
    <w:rsid w:val="1B591C3D"/>
    <w:rsid w:val="1B65B198"/>
    <w:rsid w:val="1B70B13F"/>
    <w:rsid w:val="1B7706A8"/>
    <w:rsid w:val="1B770876"/>
    <w:rsid w:val="1B7B02DA"/>
    <w:rsid w:val="1B7D8123"/>
    <w:rsid w:val="1B852678"/>
    <w:rsid w:val="1B8F9877"/>
    <w:rsid w:val="1B93DBC7"/>
    <w:rsid w:val="1B9559B4"/>
    <w:rsid w:val="1BA29EAD"/>
    <w:rsid w:val="1BAB50C0"/>
    <w:rsid w:val="1BABFCB0"/>
    <w:rsid w:val="1BAD0A0C"/>
    <w:rsid w:val="1BB2D904"/>
    <w:rsid w:val="1BB558B2"/>
    <w:rsid w:val="1BBCBEB3"/>
    <w:rsid w:val="1BC0F514"/>
    <w:rsid w:val="1BC31668"/>
    <w:rsid w:val="1BC80BEB"/>
    <w:rsid w:val="1BD5AC4B"/>
    <w:rsid w:val="1BD91915"/>
    <w:rsid w:val="1BD93440"/>
    <w:rsid w:val="1BE5C928"/>
    <w:rsid w:val="1BF864F5"/>
    <w:rsid w:val="1BFA762A"/>
    <w:rsid w:val="1BFFEF2E"/>
    <w:rsid w:val="1C0325E7"/>
    <w:rsid w:val="1C04B127"/>
    <w:rsid w:val="1C07CEB3"/>
    <w:rsid w:val="1C0E3361"/>
    <w:rsid w:val="1C16CED4"/>
    <w:rsid w:val="1C1A6093"/>
    <w:rsid w:val="1C2AE12B"/>
    <w:rsid w:val="1C2E2D1B"/>
    <w:rsid w:val="1C3229F1"/>
    <w:rsid w:val="1C332EBD"/>
    <w:rsid w:val="1C387934"/>
    <w:rsid w:val="1C3AEF1D"/>
    <w:rsid w:val="1C4391F0"/>
    <w:rsid w:val="1C4BE9C5"/>
    <w:rsid w:val="1C4CA9B1"/>
    <w:rsid w:val="1C4D3C83"/>
    <w:rsid w:val="1C51813E"/>
    <w:rsid w:val="1C5FC48B"/>
    <w:rsid w:val="1C65A0E3"/>
    <w:rsid w:val="1C664B31"/>
    <w:rsid w:val="1C721EFC"/>
    <w:rsid w:val="1C7AE1BF"/>
    <w:rsid w:val="1C7BC96C"/>
    <w:rsid w:val="1C7F12F8"/>
    <w:rsid w:val="1C93290C"/>
    <w:rsid w:val="1C9457F6"/>
    <w:rsid w:val="1CA5B6C3"/>
    <w:rsid w:val="1CB4227C"/>
    <w:rsid w:val="1CBB575A"/>
    <w:rsid w:val="1CBE612A"/>
    <w:rsid w:val="1CBF140E"/>
    <w:rsid w:val="1CC38F59"/>
    <w:rsid w:val="1CCAC6BC"/>
    <w:rsid w:val="1CD8D515"/>
    <w:rsid w:val="1CDA8BB7"/>
    <w:rsid w:val="1CDB028F"/>
    <w:rsid w:val="1CE0FF7A"/>
    <w:rsid w:val="1CE2289F"/>
    <w:rsid w:val="1CE53FBF"/>
    <w:rsid w:val="1CE783CB"/>
    <w:rsid w:val="1CEA981D"/>
    <w:rsid w:val="1CFBAC86"/>
    <w:rsid w:val="1CFF478E"/>
    <w:rsid w:val="1D0480AC"/>
    <w:rsid w:val="1D04DC60"/>
    <w:rsid w:val="1D09C142"/>
    <w:rsid w:val="1D0C02B5"/>
    <w:rsid w:val="1D0DCABD"/>
    <w:rsid w:val="1D130E80"/>
    <w:rsid w:val="1D234AED"/>
    <w:rsid w:val="1D26777E"/>
    <w:rsid w:val="1D320F68"/>
    <w:rsid w:val="1D349A08"/>
    <w:rsid w:val="1D35F648"/>
    <w:rsid w:val="1D37B1E5"/>
    <w:rsid w:val="1D3D2C97"/>
    <w:rsid w:val="1D3F12F8"/>
    <w:rsid w:val="1D40971E"/>
    <w:rsid w:val="1D44AEFF"/>
    <w:rsid w:val="1D49ADD9"/>
    <w:rsid w:val="1D510312"/>
    <w:rsid w:val="1D603B5C"/>
    <w:rsid w:val="1D63DA5E"/>
    <w:rsid w:val="1D67A1F5"/>
    <w:rsid w:val="1D73A45F"/>
    <w:rsid w:val="1D7AE9E8"/>
    <w:rsid w:val="1D7B32AF"/>
    <w:rsid w:val="1D7EE67B"/>
    <w:rsid w:val="1D7EEE45"/>
    <w:rsid w:val="1D852427"/>
    <w:rsid w:val="1D872321"/>
    <w:rsid w:val="1D8F6232"/>
    <w:rsid w:val="1D8FBD7A"/>
    <w:rsid w:val="1D9AA342"/>
    <w:rsid w:val="1D9F5CBE"/>
    <w:rsid w:val="1DA0C503"/>
    <w:rsid w:val="1DA22AC8"/>
    <w:rsid w:val="1DA7C21B"/>
    <w:rsid w:val="1DAAFBDF"/>
    <w:rsid w:val="1DAC1F41"/>
    <w:rsid w:val="1DB1B74B"/>
    <w:rsid w:val="1DB6DD64"/>
    <w:rsid w:val="1DB8CE77"/>
    <w:rsid w:val="1DC1B792"/>
    <w:rsid w:val="1DC1E702"/>
    <w:rsid w:val="1DCE5A60"/>
    <w:rsid w:val="1DD28132"/>
    <w:rsid w:val="1DD760B0"/>
    <w:rsid w:val="1DD8C1E1"/>
    <w:rsid w:val="1DDDB4E6"/>
    <w:rsid w:val="1DE31D52"/>
    <w:rsid w:val="1DE7DC75"/>
    <w:rsid w:val="1DEED861"/>
    <w:rsid w:val="1DFB349D"/>
    <w:rsid w:val="1DFDC94A"/>
    <w:rsid w:val="1E00014B"/>
    <w:rsid w:val="1E09D6F1"/>
    <w:rsid w:val="1E0EC576"/>
    <w:rsid w:val="1E110767"/>
    <w:rsid w:val="1E143F51"/>
    <w:rsid w:val="1E15934B"/>
    <w:rsid w:val="1E2805AD"/>
    <w:rsid w:val="1E2D2BCD"/>
    <w:rsid w:val="1E306B77"/>
    <w:rsid w:val="1E32BFBE"/>
    <w:rsid w:val="1E3863BE"/>
    <w:rsid w:val="1E3B11D1"/>
    <w:rsid w:val="1E3BCC13"/>
    <w:rsid w:val="1E3C8F54"/>
    <w:rsid w:val="1E408848"/>
    <w:rsid w:val="1E4284D3"/>
    <w:rsid w:val="1E499918"/>
    <w:rsid w:val="1E66093C"/>
    <w:rsid w:val="1E6BF0ED"/>
    <w:rsid w:val="1E7225AA"/>
    <w:rsid w:val="1E722D67"/>
    <w:rsid w:val="1E83FDD7"/>
    <w:rsid w:val="1E937274"/>
    <w:rsid w:val="1EA49168"/>
    <w:rsid w:val="1EA70736"/>
    <w:rsid w:val="1EA72D32"/>
    <w:rsid w:val="1EA92A85"/>
    <w:rsid w:val="1EAD5ACE"/>
    <w:rsid w:val="1EB0C74F"/>
    <w:rsid w:val="1EB631A3"/>
    <w:rsid w:val="1EBA4BFF"/>
    <w:rsid w:val="1EC40536"/>
    <w:rsid w:val="1EC95404"/>
    <w:rsid w:val="1ECA3810"/>
    <w:rsid w:val="1ECCB0E3"/>
    <w:rsid w:val="1ED0AC38"/>
    <w:rsid w:val="1ED3CEB3"/>
    <w:rsid w:val="1ED86B4E"/>
    <w:rsid w:val="1EDCDD92"/>
    <w:rsid w:val="1EDD667E"/>
    <w:rsid w:val="1EDFA72A"/>
    <w:rsid w:val="1EECB304"/>
    <w:rsid w:val="1EEF4573"/>
    <w:rsid w:val="1EF76DA9"/>
    <w:rsid w:val="1EFEA623"/>
    <w:rsid w:val="1F00DAA0"/>
    <w:rsid w:val="1F00E22F"/>
    <w:rsid w:val="1F13A8BC"/>
    <w:rsid w:val="1F1A5D98"/>
    <w:rsid w:val="1F1F4C13"/>
    <w:rsid w:val="1F2BDD35"/>
    <w:rsid w:val="1F2D08AC"/>
    <w:rsid w:val="1F319969"/>
    <w:rsid w:val="1F370F39"/>
    <w:rsid w:val="1F3BA26B"/>
    <w:rsid w:val="1F3D1975"/>
    <w:rsid w:val="1F46BD8B"/>
    <w:rsid w:val="1F51EF8B"/>
    <w:rsid w:val="1F5FE0E6"/>
    <w:rsid w:val="1F654C33"/>
    <w:rsid w:val="1F6DBD8E"/>
    <w:rsid w:val="1F78771E"/>
    <w:rsid w:val="1F788CAA"/>
    <w:rsid w:val="1F7A6D14"/>
    <w:rsid w:val="1F7ABC98"/>
    <w:rsid w:val="1F8091B2"/>
    <w:rsid w:val="1F81826A"/>
    <w:rsid w:val="1F82DC75"/>
    <w:rsid w:val="1F834CF0"/>
    <w:rsid w:val="1F85A987"/>
    <w:rsid w:val="1F89FEB6"/>
    <w:rsid w:val="1F8B2376"/>
    <w:rsid w:val="1F8C9AD9"/>
    <w:rsid w:val="1F910FEA"/>
    <w:rsid w:val="1F97FA57"/>
    <w:rsid w:val="1F982EF3"/>
    <w:rsid w:val="1F9ADB71"/>
    <w:rsid w:val="1F9CE5DA"/>
    <w:rsid w:val="1FA7A924"/>
    <w:rsid w:val="1FB0030B"/>
    <w:rsid w:val="1FB03146"/>
    <w:rsid w:val="1FB40D13"/>
    <w:rsid w:val="1FB54BBD"/>
    <w:rsid w:val="1FC362B4"/>
    <w:rsid w:val="1FC3DB21"/>
    <w:rsid w:val="1FCCD06D"/>
    <w:rsid w:val="1FCF4EA6"/>
    <w:rsid w:val="1FD1A299"/>
    <w:rsid w:val="1FD42EC4"/>
    <w:rsid w:val="1FD7E406"/>
    <w:rsid w:val="1FE00229"/>
    <w:rsid w:val="1FE02E18"/>
    <w:rsid w:val="1FE26BB7"/>
    <w:rsid w:val="1FE39D69"/>
    <w:rsid w:val="1FE926B7"/>
    <w:rsid w:val="1FECE454"/>
    <w:rsid w:val="1FF32DEC"/>
    <w:rsid w:val="1FF4E060"/>
    <w:rsid w:val="1FF55559"/>
    <w:rsid w:val="1FFAA58D"/>
    <w:rsid w:val="1FFAAADB"/>
    <w:rsid w:val="20037EA8"/>
    <w:rsid w:val="20059C0D"/>
    <w:rsid w:val="2007A4F3"/>
    <w:rsid w:val="200965F7"/>
    <w:rsid w:val="200C1AEB"/>
    <w:rsid w:val="200E3EEC"/>
    <w:rsid w:val="2016A6E8"/>
    <w:rsid w:val="201DDDDC"/>
    <w:rsid w:val="2029274F"/>
    <w:rsid w:val="202DF698"/>
    <w:rsid w:val="2030FC50"/>
    <w:rsid w:val="20332B1F"/>
    <w:rsid w:val="20369FE3"/>
    <w:rsid w:val="203EB279"/>
    <w:rsid w:val="204A194D"/>
    <w:rsid w:val="204BB9BB"/>
    <w:rsid w:val="20504557"/>
    <w:rsid w:val="2052EC64"/>
    <w:rsid w:val="205612C8"/>
    <w:rsid w:val="205B1592"/>
    <w:rsid w:val="205D81E4"/>
    <w:rsid w:val="206023E5"/>
    <w:rsid w:val="2065904B"/>
    <w:rsid w:val="206D43B9"/>
    <w:rsid w:val="2077AB3F"/>
    <w:rsid w:val="20791DBF"/>
    <w:rsid w:val="207C69BD"/>
    <w:rsid w:val="20814322"/>
    <w:rsid w:val="20877BC8"/>
    <w:rsid w:val="208B80E8"/>
    <w:rsid w:val="2095C9A6"/>
    <w:rsid w:val="20983B8C"/>
    <w:rsid w:val="209ABA73"/>
    <w:rsid w:val="209DCD29"/>
    <w:rsid w:val="209E4684"/>
    <w:rsid w:val="20A1F4D7"/>
    <w:rsid w:val="20A405F9"/>
    <w:rsid w:val="20A44A67"/>
    <w:rsid w:val="20A73E7A"/>
    <w:rsid w:val="20AA7EAB"/>
    <w:rsid w:val="20B8B25A"/>
    <w:rsid w:val="20B927B4"/>
    <w:rsid w:val="20C6F190"/>
    <w:rsid w:val="20C8E5AE"/>
    <w:rsid w:val="20CDD41F"/>
    <w:rsid w:val="20CE7F1F"/>
    <w:rsid w:val="20D1287A"/>
    <w:rsid w:val="20D8EAD3"/>
    <w:rsid w:val="20DAEE93"/>
    <w:rsid w:val="20DB7558"/>
    <w:rsid w:val="20DC339F"/>
    <w:rsid w:val="20E26666"/>
    <w:rsid w:val="20EBD972"/>
    <w:rsid w:val="20F0179F"/>
    <w:rsid w:val="20F5E8A7"/>
    <w:rsid w:val="210214C6"/>
    <w:rsid w:val="21052A0A"/>
    <w:rsid w:val="2118CC3A"/>
    <w:rsid w:val="211BCDFC"/>
    <w:rsid w:val="211EF819"/>
    <w:rsid w:val="2127CDC2"/>
    <w:rsid w:val="21289831"/>
    <w:rsid w:val="2131AB8F"/>
    <w:rsid w:val="2134B053"/>
    <w:rsid w:val="2136DFB4"/>
    <w:rsid w:val="2138BACC"/>
    <w:rsid w:val="213FD28C"/>
    <w:rsid w:val="214524A9"/>
    <w:rsid w:val="2156EBB4"/>
    <w:rsid w:val="21570CEC"/>
    <w:rsid w:val="2158F645"/>
    <w:rsid w:val="2166F694"/>
    <w:rsid w:val="216D2C70"/>
    <w:rsid w:val="216DB181"/>
    <w:rsid w:val="2180AAD6"/>
    <w:rsid w:val="218BD933"/>
    <w:rsid w:val="21955E75"/>
    <w:rsid w:val="21994494"/>
    <w:rsid w:val="219980F8"/>
    <w:rsid w:val="219E2E19"/>
    <w:rsid w:val="21A99032"/>
    <w:rsid w:val="21B0C7B4"/>
    <w:rsid w:val="21B9FE7D"/>
    <w:rsid w:val="21C48188"/>
    <w:rsid w:val="21C6B048"/>
    <w:rsid w:val="21C7E452"/>
    <w:rsid w:val="21CD816F"/>
    <w:rsid w:val="21CEA28E"/>
    <w:rsid w:val="21D119E5"/>
    <w:rsid w:val="21D473E7"/>
    <w:rsid w:val="21D5E23E"/>
    <w:rsid w:val="21DAFB76"/>
    <w:rsid w:val="21DF91EE"/>
    <w:rsid w:val="21F2E042"/>
    <w:rsid w:val="21F599AE"/>
    <w:rsid w:val="21FD5E9A"/>
    <w:rsid w:val="21FFAAB8"/>
    <w:rsid w:val="22002081"/>
    <w:rsid w:val="22080A8B"/>
    <w:rsid w:val="220E51C3"/>
    <w:rsid w:val="2216DD15"/>
    <w:rsid w:val="22188976"/>
    <w:rsid w:val="221A12E9"/>
    <w:rsid w:val="221B8133"/>
    <w:rsid w:val="221CE116"/>
    <w:rsid w:val="2223E80A"/>
    <w:rsid w:val="22262313"/>
    <w:rsid w:val="22295B7F"/>
    <w:rsid w:val="22296816"/>
    <w:rsid w:val="22311005"/>
    <w:rsid w:val="223389EB"/>
    <w:rsid w:val="2234B275"/>
    <w:rsid w:val="22355D5D"/>
    <w:rsid w:val="224977D6"/>
    <w:rsid w:val="224A3F0C"/>
    <w:rsid w:val="224F077A"/>
    <w:rsid w:val="2252D753"/>
    <w:rsid w:val="225A1BA3"/>
    <w:rsid w:val="225AD83A"/>
    <w:rsid w:val="225C65C6"/>
    <w:rsid w:val="22645B3F"/>
    <w:rsid w:val="226B3CAE"/>
    <w:rsid w:val="2275026A"/>
    <w:rsid w:val="22774B44"/>
    <w:rsid w:val="22776517"/>
    <w:rsid w:val="227A3426"/>
    <w:rsid w:val="2286E409"/>
    <w:rsid w:val="229677A1"/>
    <w:rsid w:val="2298B6E8"/>
    <w:rsid w:val="2299DEC3"/>
    <w:rsid w:val="229CE082"/>
    <w:rsid w:val="229E7509"/>
    <w:rsid w:val="229EDE6F"/>
    <w:rsid w:val="22A2828C"/>
    <w:rsid w:val="22A8A011"/>
    <w:rsid w:val="22B6A2C3"/>
    <w:rsid w:val="22B888FF"/>
    <w:rsid w:val="22B93BE1"/>
    <w:rsid w:val="22BC1A17"/>
    <w:rsid w:val="22C6182D"/>
    <w:rsid w:val="22E3A4FD"/>
    <w:rsid w:val="22E6CCBB"/>
    <w:rsid w:val="22E9C082"/>
    <w:rsid w:val="22E9CEEF"/>
    <w:rsid w:val="22ED43AF"/>
    <w:rsid w:val="22ED5C11"/>
    <w:rsid w:val="22F29733"/>
    <w:rsid w:val="22F567DE"/>
    <w:rsid w:val="22FBB3AA"/>
    <w:rsid w:val="22FFC7CF"/>
    <w:rsid w:val="2302F76F"/>
    <w:rsid w:val="230398E5"/>
    <w:rsid w:val="23043B9B"/>
    <w:rsid w:val="230749B8"/>
    <w:rsid w:val="2311FACB"/>
    <w:rsid w:val="2314A43F"/>
    <w:rsid w:val="23181539"/>
    <w:rsid w:val="2320493A"/>
    <w:rsid w:val="2324C27D"/>
    <w:rsid w:val="232D7D79"/>
    <w:rsid w:val="2336749F"/>
    <w:rsid w:val="2336978A"/>
    <w:rsid w:val="23408762"/>
    <w:rsid w:val="234173F7"/>
    <w:rsid w:val="234BAF34"/>
    <w:rsid w:val="234D9127"/>
    <w:rsid w:val="234F55CA"/>
    <w:rsid w:val="2350D454"/>
    <w:rsid w:val="23534B98"/>
    <w:rsid w:val="23592985"/>
    <w:rsid w:val="235BDAB3"/>
    <w:rsid w:val="235E7B8B"/>
    <w:rsid w:val="235F4FE4"/>
    <w:rsid w:val="236B1E36"/>
    <w:rsid w:val="236CFD06"/>
    <w:rsid w:val="236F314D"/>
    <w:rsid w:val="236FD531"/>
    <w:rsid w:val="237245D1"/>
    <w:rsid w:val="238071BE"/>
    <w:rsid w:val="238154B9"/>
    <w:rsid w:val="23827098"/>
    <w:rsid w:val="238AB1E3"/>
    <w:rsid w:val="2391C598"/>
    <w:rsid w:val="239675C2"/>
    <w:rsid w:val="2397BAC0"/>
    <w:rsid w:val="23A5B66A"/>
    <w:rsid w:val="23A8F336"/>
    <w:rsid w:val="23AA4CF0"/>
    <w:rsid w:val="23ADB260"/>
    <w:rsid w:val="23B8793C"/>
    <w:rsid w:val="23BC07DC"/>
    <w:rsid w:val="23BE40FB"/>
    <w:rsid w:val="23C347D8"/>
    <w:rsid w:val="23C5AC96"/>
    <w:rsid w:val="23CA7C3F"/>
    <w:rsid w:val="23CC2A31"/>
    <w:rsid w:val="23DA43D7"/>
    <w:rsid w:val="23DAFCC3"/>
    <w:rsid w:val="23DBF980"/>
    <w:rsid w:val="23DDD375"/>
    <w:rsid w:val="23DF191A"/>
    <w:rsid w:val="23E939FE"/>
    <w:rsid w:val="23F805BA"/>
    <w:rsid w:val="23FA6AB6"/>
    <w:rsid w:val="23FE5210"/>
    <w:rsid w:val="24042DD5"/>
    <w:rsid w:val="24044779"/>
    <w:rsid w:val="2405D8E9"/>
    <w:rsid w:val="240877AB"/>
    <w:rsid w:val="240F1A4B"/>
    <w:rsid w:val="24100BBF"/>
    <w:rsid w:val="24135014"/>
    <w:rsid w:val="241932A5"/>
    <w:rsid w:val="24338F1C"/>
    <w:rsid w:val="243DBE57"/>
    <w:rsid w:val="243F64A3"/>
    <w:rsid w:val="24410131"/>
    <w:rsid w:val="2446501C"/>
    <w:rsid w:val="24497ED3"/>
    <w:rsid w:val="245988B4"/>
    <w:rsid w:val="245A12F4"/>
    <w:rsid w:val="245C7935"/>
    <w:rsid w:val="245F250B"/>
    <w:rsid w:val="24710376"/>
    <w:rsid w:val="247135C8"/>
    <w:rsid w:val="247371B9"/>
    <w:rsid w:val="2476B23E"/>
    <w:rsid w:val="247F1B12"/>
    <w:rsid w:val="247F7341"/>
    <w:rsid w:val="24815D1D"/>
    <w:rsid w:val="24847885"/>
    <w:rsid w:val="248EC1EC"/>
    <w:rsid w:val="2496DD7D"/>
    <w:rsid w:val="24986AFC"/>
    <w:rsid w:val="2498CF67"/>
    <w:rsid w:val="24A3E050"/>
    <w:rsid w:val="24A6647E"/>
    <w:rsid w:val="24A72408"/>
    <w:rsid w:val="24A9F1EB"/>
    <w:rsid w:val="24B9E606"/>
    <w:rsid w:val="24C0873E"/>
    <w:rsid w:val="24C35E16"/>
    <w:rsid w:val="24C7EEB4"/>
    <w:rsid w:val="24C8B93F"/>
    <w:rsid w:val="24C9268D"/>
    <w:rsid w:val="24CBDEE6"/>
    <w:rsid w:val="24CCD591"/>
    <w:rsid w:val="24D2D2CB"/>
    <w:rsid w:val="24D7EEB2"/>
    <w:rsid w:val="24DF8157"/>
    <w:rsid w:val="24E33A0D"/>
    <w:rsid w:val="24E44A00"/>
    <w:rsid w:val="24EAA94E"/>
    <w:rsid w:val="24F58DBE"/>
    <w:rsid w:val="24F7CDB4"/>
    <w:rsid w:val="24FEB191"/>
    <w:rsid w:val="24FFE311"/>
    <w:rsid w:val="2501C706"/>
    <w:rsid w:val="25026865"/>
    <w:rsid w:val="250687BC"/>
    <w:rsid w:val="2508CE2A"/>
    <w:rsid w:val="250A2D67"/>
    <w:rsid w:val="250B0E1E"/>
    <w:rsid w:val="250F88DD"/>
    <w:rsid w:val="2511EB0B"/>
    <w:rsid w:val="25126298"/>
    <w:rsid w:val="25132C57"/>
    <w:rsid w:val="251A5FFC"/>
    <w:rsid w:val="251DA609"/>
    <w:rsid w:val="251F0093"/>
    <w:rsid w:val="25270127"/>
    <w:rsid w:val="2527332B"/>
    <w:rsid w:val="253340E5"/>
    <w:rsid w:val="2537A51A"/>
    <w:rsid w:val="253EE84B"/>
    <w:rsid w:val="25411611"/>
    <w:rsid w:val="2547A312"/>
    <w:rsid w:val="2547ED2B"/>
    <w:rsid w:val="255A5540"/>
    <w:rsid w:val="255C68FD"/>
    <w:rsid w:val="255F96CB"/>
    <w:rsid w:val="256A9852"/>
    <w:rsid w:val="25728B59"/>
    <w:rsid w:val="2582D45C"/>
    <w:rsid w:val="2585D223"/>
    <w:rsid w:val="258752C8"/>
    <w:rsid w:val="258EB205"/>
    <w:rsid w:val="259561BE"/>
    <w:rsid w:val="25A80C3A"/>
    <w:rsid w:val="25B0BFB5"/>
    <w:rsid w:val="25B67346"/>
    <w:rsid w:val="25BED42F"/>
    <w:rsid w:val="25C47651"/>
    <w:rsid w:val="25CBD64B"/>
    <w:rsid w:val="25CE9AFC"/>
    <w:rsid w:val="25D1553A"/>
    <w:rsid w:val="25D5D1EE"/>
    <w:rsid w:val="25DC913E"/>
    <w:rsid w:val="25DCD1F7"/>
    <w:rsid w:val="25E25E07"/>
    <w:rsid w:val="25F6A953"/>
    <w:rsid w:val="260EF976"/>
    <w:rsid w:val="2619BCDD"/>
    <w:rsid w:val="261A0ACF"/>
    <w:rsid w:val="261F2320"/>
    <w:rsid w:val="2621A6C0"/>
    <w:rsid w:val="2621F14A"/>
    <w:rsid w:val="2624D363"/>
    <w:rsid w:val="26250552"/>
    <w:rsid w:val="26262D24"/>
    <w:rsid w:val="262C0F8E"/>
    <w:rsid w:val="263436CA"/>
    <w:rsid w:val="263505E0"/>
    <w:rsid w:val="26374C1E"/>
    <w:rsid w:val="2639358B"/>
    <w:rsid w:val="263AB659"/>
    <w:rsid w:val="263D8D64"/>
    <w:rsid w:val="264552AD"/>
    <w:rsid w:val="26563D0E"/>
    <w:rsid w:val="26581316"/>
    <w:rsid w:val="265B5536"/>
    <w:rsid w:val="2662DC59"/>
    <w:rsid w:val="266A6948"/>
    <w:rsid w:val="267E66C2"/>
    <w:rsid w:val="268F95F8"/>
    <w:rsid w:val="269144E6"/>
    <w:rsid w:val="26B1826F"/>
    <w:rsid w:val="26B1D9BC"/>
    <w:rsid w:val="26B3ADED"/>
    <w:rsid w:val="26B73516"/>
    <w:rsid w:val="26BC54F6"/>
    <w:rsid w:val="26BE99EB"/>
    <w:rsid w:val="26BFAA14"/>
    <w:rsid w:val="26C72EF5"/>
    <w:rsid w:val="26D3E73C"/>
    <w:rsid w:val="26DE6E95"/>
    <w:rsid w:val="26DEB82E"/>
    <w:rsid w:val="26E44FD6"/>
    <w:rsid w:val="26F659E6"/>
    <w:rsid w:val="26FC4B54"/>
    <w:rsid w:val="27030E89"/>
    <w:rsid w:val="2704CD71"/>
    <w:rsid w:val="27077C9E"/>
    <w:rsid w:val="2714D769"/>
    <w:rsid w:val="27192501"/>
    <w:rsid w:val="27211451"/>
    <w:rsid w:val="27329B4A"/>
    <w:rsid w:val="2732E43C"/>
    <w:rsid w:val="2734B991"/>
    <w:rsid w:val="2734FE4A"/>
    <w:rsid w:val="27355960"/>
    <w:rsid w:val="273AC5D6"/>
    <w:rsid w:val="273C74C2"/>
    <w:rsid w:val="2745999D"/>
    <w:rsid w:val="27466D43"/>
    <w:rsid w:val="27478559"/>
    <w:rsid w:val="27485A94"/>
    <w:rsid w:val="2749E41C"/>
    <w:rsid w:val="274D79C1"/>
    <w:rsid w:val="275C97BD"/>
    <w:rsid w:val="275EC50F"/>
    <w:rsid w:val="275FDCA8"/>
    <w:rsid w:val="277A28F5"/>
    <w:rsid w:val="277BCC04"/>
    <w:rsid w:val="277BE12F"/>
    <w:rsid w:val="277CE0A3"/>
    <w:rsid w:val="277CEAFE"/>
    <w:rsid w:val="277D76F3"/>
    <w:rsid w:val="278C6985"/>
    <w:rsid w:val="278DC72A"/>
    <w:rsid w:val="278F440E"/>
    <w:rsid w:val="2797F593"/>
    <w:rsid w:val="2799E593"/>
    <w:rsid w:val="279E547B"/>
    <w:rsid w:val="27A03190"/>
    <w:rsid w:val="27ADD88D"/>
    <w:rsid w:val="27B0D01C"/>
    <w:rsid w:val="27B3C8BE"/>
    <w:rsid w:val="27BEA8DA"/>
    <w:rsid w:val="27CCA661"/>
    <w:rsid w:val="27CD1E35"/>
    <w:rsid w:val="27D564A1"/>
    <w:rsid w:val="27D59EAE"/>
    <w:rsid w:val="27D66E01"/>
    <w:rsid w:val="27E32243"/>
    <w:rsid w:val="27E37BC1"/>
    <w:rsid w:val="27E38C83"/>
    <w:rsid w:val="27E3E132"/>
    <w:rsid w:val="27E7A66D"/>
    <w:rsid w:val="27EDE17B"/>
    <w:rsid w:val="27F64B7D"/>
    <w:rsid w:val="2805EA58"/>
    <w:rsid w:val="28118C3C"/>
    <w:rsid w:val="2816373A"/>
    <w:rsid w:val="28204383"/>
    <w:rsid w:val="28223509"/>
    <w:rsid w:val="282582E1"/>
    <w:rsid w:val="2825A119"/>
    <w:rsid w:val="2827E175"/>
    <w:rsid w:val="28450788"/>
    <w:rsid w:val="28584B64"/>
    <w:rsid w:val="28601B0D"/>
    <w:rsid w:val="28694E90"/>
    <w:rsid w:val="286E3F49"/>
    <w:rsid w:val="286F4333"/>
    <w:rsid w:val="286F7849"/>
    <w:rsid w:val="2870187C"/>
    <w:rsid w:val="28755430"/>
    <w:rsid w:val="288FA884"/>
    <w:rsid w:val="28915824"/>
    <w:rsid w:val="2892721A"/>
    <w:rsid w:val="2898D04D"/>
    <w:rsid w:val="289E72A8"/>
    <w:rsid w:val="28A2BDE2"/>
    <w:rsid w:val="28BEB95B"/>
    <w:rsid w:val="28BFF051"/>
    <w:rsid w:val="28C2CD87"/>
    <w:rsid w:val="28C748B0"/>
    <w:rsid w:val="28CAA071"/>
    <w:rsid w:val="28D70885"/>
    <w:rsid w:val="28D8F0FF"/>
    <w:rsid w:val="28E215C0"/>
    <w:rsid w:val="28F4B7AC"/>
    <w:rsid w:val="28F515B9"/>
    <w:rsid w:val="29067C90"/>
    <w:rsid w:val="291A27AA"/>
    <w:rsid w:val="291EF6B3"/>
    <w:rsid w:val="291F2A30"/>
    <w:rsid w:val="29203C7A"/>
    <w:rsid w:val="292229F5"/>
    <w:rsid w:val="29225AA7"/>
    <w:rsid w:val="292282A3"/>
    <w:rsid w:val="29236EA4"/>
    <w:rsid w:val="292B081F"/>
    <w:rsid w:val="292C030E"/>
    <w:rsid w:val="292CC148"/>
    <w:rsid w:val="292E7687"/>
    <w:rsid w:val="293B1F7A"/>
    <w:rsid w:val="2944D107"/>
    <w:rsid w:val="294810F4"/>
    <w:rsid w:val="294C0606"/>
    <w:rsid w:val="294FE1EC"/>
    <w:rsid w:val="295D7E73"/>
    <w:rsid w:val="296DB045"/>
    <w:rsid w:val="29752B49"/>
    <w:rsid w:val="2975F611"/>
    <w:rsid w:val="29777471"/>
    <w:rsid w:val="297782C1"/>
    <w:rsid w:val="29799CD7"/>
    <w:rsid w:val="2979E60C"/>
    <w:rsid w:val="298DAC24"/>
    <w:rsid w:val="298EBAA0"/>
    <w:rsid w:val="29922EA1"/>
    <w:rsid w:val="29A0D2A1"/>
    <w:rsid w:val="29AABB64"/>
    <w:rsid w:val="29B4862F"/>
    <w:rsid w:val="29BEFC06"/>
    <w:rsid w:val="29BFFDB7"/>
    <w:rsid w:val="29C47582"/>
    <w:rsid w:val="29C578A7"/>
    <w:rsid w:val="29D2C0FD"/>
    <w:rsid w:val="29D62C8E"/>
    <w:rsid w:val="29D8229C"/>
    <w:rsid w:val="29D9623B"/>
    <w:rsid w:val="29DD116D"/>
    <w:rsid w:val="29EBDC40"/>
    <w:rsid w:val="29F0E1F6"/>
    <w:rsid w:val="29F1F98A"/>
    <w:rsid w:val="29F66829"/>
    <w:rsid w:val="2A0267A7"/>
    <w:rsid w:val="2A04679C"/>
    <w:rsid w:val="2A069273"/>
    <w:rsid w:val="2A18DAAB"/>
    <w:rsid w:val="2A1FD539"/>
    <w:rsid w:val="2A227E2A"/>
    <w:rsid w:val="2A2813CE"/>
    <w:rsid w:val="2A2A34D1"/>
    <w:rsid w:val="2A2A9063"/>
    <w:rsid w:val="2A2E6E5B"/>
    <w:rsid w:val="2A313505"/>
    <w:rsid w:val="2A31DA48"/>
    <w:rsid w:val="2A39FA46"/>
    <w:rsid w:val="2A3D3360"/>
    <w:rsid w:val="2A3D61BE"/>
    <w:rsid w:val="2A3F9822"/>
    <w:rsid w:val="2A40E3E3"/>
    <w:rsid w:val="2A4644AB"/>
    <w:rsid w:val="2A5601AE"/>
    <w:rsid w:val="2A5A9E1C"/>
    <w:rsid w:val="2A5AB8FA"/>
    <w:rsid w:val="2A5F353D"/>
    <w:rsid w:val="2A5F7C35"/>
    <w:rsid w:val="2A640A8B"/>
    <w:rsid w:val="2A751B8F"/>
    <w:rsid w:val="2A7A0F7F"/>
    <w:rsid w:val="2A7C98C7"/>
    <w:rsid w:val="2A829892"/>
    <w:rsid w:val="2A87E38F"/>
    <w:rsid w:val="2A88D42F"/>
    <w:rsid w:val="2A8A5412"/>
    <w:rsid w:val="2A93C62F"/>
    <w:rsid w:val="2A974A43"/>
    <w:rsid w:val="2A9797DD"/>
    <w:rsid w:val="2A9C3E6F"/>
    <w:rsid w:val="2A9E5D4F"/>
    <w:rsid w:val="2AA440D9"/>
    <w:rsid w:val="2AA72A5C"/>
    <w:rsid w:val="2AAB4F81"/>
    <w:rsid w:val="2AB113D8"/>
    <w:rsid w:val="2AB1289A"/>
    <w:rsid w:val="2ABF850B"/>
    <w:rsid w:val="2AC3079E"/>
    <w:rsid w:val="2AC5C131"/>
    <w:rsid w:val="2AC8F1CA"/>
    <w:rsid w:val="2ACE31DD"/>
    <w:rsid w:val="2AD077FC"/>
    <w:rsid w:val="2AD193B7"/>
    <w:rsid w:val="2ADCEA2C"/>
    <w:rsid w:val="2AE60F86"/>
    <w:rsid w:val="2AEE3E06"/>
    <w:rsid w:val="2AF2288D"/>
    <w:rsid w:val="2AF54FB3"/>
    <w:rsid w:val="2B034B97"/>
    <w:rsid w:val="2B16112B"/>
    <w:rsid w:val="2B1F4EF6"/>
    <w:rsid w:val="2B28EEDF"/>
    <w:rsid w:val="2B2C37D9"/>
    <w:rsid w:val="2B2F92F4"/>
    <w:rsid w:val="2B32125B"/>
    <w:rsid w:val="2B4A2FCB"/>
    <w:rsid w:val="2B515D73"/>
    <w:rsid w:val="2B54700D"/>
    <w:rsid w:val="2B55F9FD"/>
    <w:rsid w:val="2B5683FC"/>
    <w:rsid w:val="2B5FA043"/>
    <w:rsid w:val="2B614FBB"/>
    <w:rsid w:val="2B6ECA05"/>
    <w:rsid w:val="2B736D46"/>
    <w:rsid w:val="2B77D879"/>
    <w:rsid w:val="2B819CCA"/>
    <w:rsid w:val="2B84A22E"/>
    <w:rsid w:val="2B853C35"/>
    <w:rsid w:val="2B856D10"/>
    <w:rsid w:val="2B85875D"/>
    <w:rsid w:val="2B8C6B18"/>
    <w:rsid w:val="2B9053E0"/>
    <w:rsid w:val="2B9388F2"/>
    <w:rsid w:val="2B972167"/>
    <w:rsid w:val="2B97DB1B"/>
    <w:rsid w:val="2B9A3849"/>
    <w:rsid w:val="2B9EBD02"/>
    <w:rsid w:val="2BA8EDB1"/>
    <w:rsid w:val="2BAF5417"/>
    <w:rsid w:val="2BB521B7"/>
    <w:rsid w:val="2BC3BCEE"/>
    <w:rsid w:val="2BCB6BB2"/>
    <w:rsid w:val="2BCD8A96"/>
    <w:rsid w:val="2BD2B355"/>
    <w:rsid w:val="2BE14E5D"/>
    <w:rsid w:val="2BE27DF1"/>
    <w:rsid w:val="2BE755FB"/>
    <w:rsid w:val="2BEEFAD2"/>
    <w:rsid w:val="2BEF134A"/>
    <w:rsid w:val="2BF55228"/>
    <w:rsid w:val="2BF5BD33"/>
    <w:rsid w:val="2BFB09CB"/>
    <w:rsid w:val="2BFCEA93"/>
    <w:rsid w:val="2C02BB48"/>
    <w:rsid w:val="2C02E391"/>
    <w:rsid w:val="2C05A7DA"/>
    <w:rsid w:val="2C071CAF"/>
    <w:rsid w:val="2C0A623F"/>
    <w:rsid w:val="2C1362BE"/>
    <w:rsid w:val="2C16C1AD"/>
    <w:rsid w:val="2C18927C"/>
    <w:rsid w:val="2C1A7A69"/>
    <w:rsid w:val="2C2668A1"/>
    <w:rsid w:val="2C270CFF"/>
    <w:rsid w:val="2C2E0B0C"/>
    <w:rsid w:val="2C2EE031"/>
    <w:rsid w:val="2C415B8D"/>
    <w:rsid w:val="2C4180D4"/>
    <w:rsid w:val="2C489862"/>
    <w:rsid w:val="2C4C9782"/>
    <w:rsid w:val="2C706FAB"/>
    <w:rsid w:val="2C715107"/>
    <w:rsid w:val="2C78FF70"/>
    <w:rsid w:val="2C7A6341"/>
    <w:rsid w:val="2C8F768D"/>
    <w:rsid w:val="2C9485CF"/>
    <w:rsid w:val="2C9CACCE"/>
    <w:rsid w:val="2CBA37FA"/>
    <w:rsid w:val="2CBB7956"/>
    <w:rsid w:val="2CBD5347"/>
    <w:rsid w:val="2CC244C4"/>
    <w:rsid w:val="2CC2BDAA"/>
    <w:rsid w:val="2CD2155F"/>
    <w:rsid w:val="2CD9AE1E"/>
    <w:rsid w:val="2CE5F468"/>
    <w:rsid w:val="2CEA65DF"/>
    <w:rsid w:val="2CEC3F71"/>
    <w:rsid w:val="2CEF859C"/>
    <w:rsid w:val="2CF68B83"/>
    <w:rsid w:val="2CF6B58C"/>
    <w:rsid w:val="2CFDCC7B"/>
    <w:rsid w:val="2D0136C7"/>
    <w:rsid w:val="2D0825BF"/>
    <w:rsid w:val="2D130EF3"/>
    <w:rsid w:val="2D1DAE50"/>
    <w:rsid w:val="2D1EC276"/>
    <w:rsid w:val="2D241E9A"/>
    <w:rsid w:val="2D43C218"/>
    <w:rsid w:val="2D552105"/>
    <w:rsid w:val="2D558E02"/>
    <w:rsid w:val="2D5ADA0D"/>
    <w:rsid w:val="2D5D978F"/>
    <w:rsid w:val="2D5EE827"/>
    <w:rsid w:val="2D620128"/>
    <w:rsid w:val="2D663147"/>
    <w:rsid w:val="2D66DF4C"/>
    <w:rsid w:val="2D6713CA"/>
    <w:rsid w:val="2D67E0E1"/>
    <w:rsid w:val="2D6858F2"/>
    <w:rsid w:val="2D6C404F"/>
    <w:rsid w:val="2D6F28CA"/>
    <w:rsid w:val="2D745C86"/>
    <w:rsid w:val="2D78F192"/>
    <w:rsid w:val="2D7A0614"/>
    <w:rsid w:val="2D7B0B00"/>
    <w:rsid w:val="2D82B410"/>
    <w:rsid w:val="2D8AD887"/>
    <w:rsid w:val="2D92E74F"/>
    <w:rsid w:val="2D95DE6A"/>
    <w:rsid w:val="2D987309"/>
    <w:rsid w:val="2DA0C1ED"/>
    <w:rsid w:val="2DAF9837"/>
    <w:rsid w:val="2DB1A626"/>
    <w:rsid w:val="2DB7AADB"/>
    <w:rsid w:val="2DB9CB12"/>
    <w:rsid w:val="2DBF355C"/>
    <w:rsid w:val="2DC10275"/>
    <w:rsid w:val="2DC5ABB4"/>
    <w:rsid w:val="2DCBEF18"/>
    <w:rsid w:val="2DCD9C26"/>
    <w:rsid w:val="2DD30668"/>
    <w:rsid w:val="2DD47145"/>
    <w:rsid w:val="2DD94E5C"/>
    <w:rsid w:val="2DDCA998"/>
    <w:rsid w:val="2DE5F0A2"/>
    <w:rsid w:val="2DEA718F"/>
    <w:rsid w:val="2DECDB55"/>
    <w:rsid w:val="2DEFA822"/>
    <w:rsid w:val="2DF0381F"/>
    <w:rsid w:val="2DF2D91E"/>
    <w:rsid w:val="2DF3B311"/>
    <w:rsid w:val="2DF451C3"/>
    <w:rsid w:val="2DF7D835"/>
    <w:rsid w:val="2DF7F6AB"/>
    <w:rsid w:val="2E00A12B"/>
    <w:rsid w:val="2E0DE2DD"/>
    <w:rsid w:val="2E0F1300"/>
    <w:rsid w:val="2E1786D1"/>
    <w:rsid w:val="2E1F0CCA"/>
    <w:rsid w:val="2E2404B6"/>
    <w:rsid w:val="2E277EDF"/>
    <w:rsid w:val="2E30174C"/>
    <w:rsid w:val="2E318408"/>
    <w:rsid w:val="2E31FA81"/>
    <w:rsid w:val="2E35A7D1"/>
    <w:rsid w:val="2E36ADC7"/>
    <w:rsid w:val="2E3A0E24"/>
    <w:rsid w:val="2E3B3BF3"/>
    <w:rsid w:val="2E4E7217"/>
    <w:rsid w:val="2E52D52F"/>
    <w:rsid w:val="2E5847D2"/>
    <w:rsid w:val="2E5ADF7A"/>
    <w:rsid w:val="2E612DCE"/>
    <w:rsid w:val="2E6A97C9"/>
    <w:rsid w:val="2E6DD101"/>
    <w:rsid w:val="2E741402"/>
    <w:rsid w:val="2E745C16"/>
    <w:rsid w:val="2E79703D"/>
    <w:rsid w:val="2E798687"/>
    <w:rsid w:val="2E7D3610"/>
    <w:rsid w:val="2E7D93CD"/>
    <w:rsid w:val="2E861C46"/>
    <w:rsid w:val="2E92C876"/>
    <w:rsid w:val="2E93AA49"/>
    <w:rsid w:val="2E94042F"/>
    <w:rsid w:val="2E980622"/>
    <w:rsid w:val="2E994934"/>
    <w:rsid w:val="2E9A1159"/>
    <w:rsid w:val="2E9CFC5F"/>
    <w:rsid w:val="2EACF3B5"/>
    <w:rsid w:val="2EAFCE51"/>
    <w:rsid w:val="2EB2E045"/>
    <w:rsid w:val="2EC11590"/>
    <w:rsid w:val="2EC3561C"/>
    <w:rsid w:val="2EC6785C"/>
    <w:rsid w:val="2EC86951"/>
    <w:rsid w:val="2ECB0483"/>
    <w:rsid w:val="2ECD3797"/>
    <w:rsid w:val="2ED01C92"/>
    <w:rsid w:val="2ED1642E"/>
    <w:rsid w:val="2ED554FD"/>
    <w:rsid w:val="2ED742EF"/>
    <w:rsid w:val="2EE74BBA"/>
    <w:rsid w:val="2EF38493"/>
    <w:rsid w:val="2EF66E38"/>
    <w:rsid w:val="2EF73DD6"/>
    <w:rsid w:val="2EF9197D"/>
    <w:rsid w:val="2F027020"/>
    <w:rsid w:val="2F0F0FF5"/>
    <w:rsid w:val="2F160A12"/>
    <w:rsid w:val="2F162EEC"/>
    <w:rsid w:val="2F1C5208"/>
    <w:rsid w:val="2F1FDC10"/>
    <w:rsid w:val="2F2162EE"/>
    <w:rsid w:val="2F285CF8"/>
    <w:rsid w:val="2F2CAFB9"/>
    <w:rsid w:val="2F2D74FB"/>
    <w:rsid w:val="2F2E8836"/>
    <w:rsid w:val="2F319D79"/>
    <w:rsid w:val="2F358BDC"/>
    <w:rsid w:val="2F3A6DF5"/>
    <w:rsid w:val="2F452C17"/>
    <w:rsid w:val="2F4861E8"/>
    <w:rsid w:val="2F5F394C"/>
    <w:rsid w:val="2F5FBF6B"/>
    <w:rsid w:val="2F6313CC"/>
    <w:rsid w:val="2F6B7787"/>
    <w:rsid w:val="2F6D136D"/>
    <w:rsid w:val="2F707450"/>
    <w:rsid w:val="2F76F704"/>
    <w:rsid w:val="2F7BBB40"/>
    <w:rsid w:val="2F84CA5B"/>
    <w:rsid w:val="2F8F8A0C"/>
    <w:rsid w:val="2F974DDB"/>
    <w:rsid w:val="2F9AD02C"/>
    <w:rsid w:val="2F9E4062"/>
    <w:rsid w:val="2FA4532B"/>
    <w:rsid w:val="2FA77711"/>
    <w:rsid w:val="2FA83FBB"/>
    <w:rsid w:val="2FB7C765"/>
    <w:rsid w:val="2FBCC79E"/>
    <w:rsid w:val="2FD16909"/>
    <w:rsid w:val="2FD592D6"/>
    <w:rsid w:val="2FD884AA"/>
    <w:rsid w:val="2FD9D0DE"/>
    <w:rsid w:val="2FDA9C74"/>
    <w:rsid w:val="2FDF564A"/>
    <w:rsid w:val="2FDFFFFA"/>
    <w:rsid w:val="2FE44F24"/>
    <w:rsid w:val="2FE7BF60"/>
    <w:rsid w:val="2FE9A2C9"/>
    <w:rsid w:val="2FEDE607"/>
    <w:rsid w:val="2FEDFD71"/>
    <w:rsid w:val="300536F8"/>
    <w:rsid w:val="3006E15A"/>
    <w:rsid w:val="3009A303"/>
    <w:rsid w:val="300CE71E"/>
    <w:rsid w:val="300CEA62"/>
    <w:rsid w:val="30105563"/>
    <w:rsid w:val="30112D59"/>
    <w:rsid w:val="30140C09"/>
    <w:rsid w:val="3017712D"/>
    <w:rsid w:val="301B0A48"/>
    <w:rsid w:val="3020BC1B"/>
    <w:rsid w:val="3020E70E"/>
    <w:rsid w:val="30249005"/>
    <w:rsid w:val="302CB181"/>
    <w:rsid w:val="302FE9AF"/>
    <w:rsid w:val="3033AC8B"/>
    <w:rsid w:val="30354914"/>
    <w:rsid w:val="3037EBD7"/>
    <w:rsid w:val="3039CB85"/>
    <w:rsid w:val="303E845A"/>
    <w:rsid w:val="3044440C"/>
    <w:rsid w:val="30463C44"/>
    <w:rsid w:val="3049C507"/>
    <w:rsid w:val="304BDF63"/>
    <w:rsid w:val="304D49AC"/>
    <w:rsid w:val="30539D1C"/>
    <w:rsid w:val="305734A8"/>
    <w:rsid w:val="305DFA51"/>
    <w:rsid w:val="305E2895"/>
    <w:rsid w:val="305EAB2A"/>
    <w:rsid w:val="305EC155"/>
    <w:rsid w:val="305EF39D"/>
    <w:rsid w:val="306C5794"/>
    <w:rsid w:val="307CB73B"/>
    <w:rsid w:val="307F5750"/>
    <w:rsid w:val="3083565E"/>
    <w:rsid w:val="308F27D7"/>
    <w:rsid w:val="3096FC03"/>
    <w:rsid w:val="3099A583"/>
    <w:rsid w:val="309D0377"/>
    <w:rsid w:val="309D9D61"/>
    <w:rsid w:val="309E06A5"/>
    <w:rsid w:val="30AF2697"/>
    <w:rsid w:val="30B0F958"/>
    <w:rsid w:val="30C8FDA1"/>
    <w:rsid w:val="30C95CAC"/>
    <w:rsid w:val="30CBE295"/>
    <w:rsid w:val="30D4C858"/>
    <w:rsid w:val="30DD8CC0"/>
    <w:rsid w:val="30DFBA7D"/>
    <w:rsid w:val="30E5406B"/>
    <w:rsid w:val="30EB04EE"/>
    <w:rsid w:val="30F071FD"/>
    <w:rsid w:val="30F57856"/>
    <w:rsid w:val="3100F1A8"/>
    <w:rsid w:val="31010B6B"/>
    <w:rsid w:val="310AD8C7"/>
    <w:rsid w:val="310E7F73"/>
    <w:rsid w:val="311630B5"/>
    <w:rsid w:val="3129BEFD"/>
    <w:rsid w:val="3139925C"/>
    <w:rsid w:val="313C0469"/>
    <w:rsid w:val="31404E7B"/>
    <w:rsid w:val="31428348"/>
    <w:rsid w:val="3144299C"/>
    <w:rsid w:val="314636AF"/>
    <w:rsid w:val="314CBC83"/>
    <w:rsid w:val="314E62D5"/>
    <w:rsid w:val="31508D50"/>
    <w:rsid w:val="31513242"/>
    <w:rsid w:val="315569A3"/>
    <w:rsid w:val="31587A66"/>
    <w:rsid w:val="315DA59B"/>
    <w:rsid w:val="3168A449"/>
    <w:rsid w:val="31694FBB"/>
    <w:rsid w:val="316A5643"/>
    <w:rsid w:val="316B45B4"/>
    <w:rsid w:val="31760FB7"/>
    <w:rsid w:val="3176952D"/>
    <w:rsid w:val="317750FB"/>
    <w:rsid w:val="3178543B"/>
    <w:rsid w:val="3182254A"/>
    <w:rsid w:val="318BB06A"/>
    <w:rsid w:val="318EE796"/>
    <w:rsid w:val="319247E1"/>
    <w:rsid w:val="31975ECB"/>
    <w:rsid w:val="3199723E"/>
    <w:rsid w:val="319D8D91"/>
    <w:rsid w:val="319F989F"/>
    <w:rsid w:val="31A0A2F8"/>
    <w:rsid w:val="31ADB329"/>
    <w:rsid w:val="31B1E59B"/>
    <w:rsid w:val="31B95994"/>
    <w:rsid w:val="31BE1470"/>
    <w:rsid w:val="31C872FC"/>
    <w:rsid w:val="31C91756"/>
    <w:rsid w:val="31CCBD53"/>
    <w:rsid w:val="31CED573"/>
    <w:rsid w:val="31D1E02B"/>
    <w:rsid w:val="31D3C79C"/>
    <w:rsid w:val="31D47308"/>
    <w:rsid w:val="31D7F6F9"/>
    <w:rsid w:val="31E3144B"/>
    <w:rsid w:val="31E6A2D9"/>
    <w:rsid w:val="31E88D22"/>
    <w:rsid w:val="31E97056"/>
    <w:rsid w:val="31EC901A"/>
    <w:rsid w:val="31F1E051"/>
    <w:rsid w:val="31F7B7D9"/>
    <w:rsid w:val="31FA13B9"/>
    <w:rsid w:val="3204F43A"/>
    <w:rsid w:val="32082FBC"/>
    <w:rsid w:val="32122616"/>
    <w:rsid w:val="3219DCE3"/>
    <w:rsid w:val="321A69DC"/>
    <w:rsid w:val="321B1F1B"/>
    <w:rsid w:val="32236A4E"/>
    <w:rsid w:val="32264677"/>
    <w:rsid w:val="322705D8"/>
    <w:rsid w:val="32324413"/>
    <w:rsid w:val="32367D6D"/>
    <w:rsid w:val="32391A26"/>
    <w:rsid w:val="323DA396"/>
    <w:rsid w:val="3240AC51"/>
    <w:rsid w:val="32411401"/>
    <w:rsid w:val="324254CF"/>
    <w:rsid w:val="32460AC5"/>
    <w:rsid w:val="3247BF5E"/>
    <w:rsid w:val="324BE185"/>
    <w:rsid w:val="324D181E"/>
    <w:rsid w:val="325F3C59"/>
    <w:rsid w:val="325FD41C"/>
    <w:rsid w:val="3267E8CA"/>
    <w:rsid w:val="3268CC7A"/>
    <w:rsid w:val="326A02FC"/>
    <w:rsid w:val="326EAB6A"/>
    <w:rsid w:val="32778606"/>
    <w:rsid w:val="3277BEE4"/>
    <w:rsid w:val="3277CDAC"/>
    <w:rsid w:val="32780280"/>
    <w:rsid w:val="32819D5B"/>
    <w:rsid w:val="32848368"/>
    <w:rsid w:val="3284E196"/>
    <w:rsid w:val="328ABFB6"/>
    <w:rsid w:val="32933DCE"/>
    <w:rsid w:val="329B13E1"/>
    <w:rsid w:val="32A0B170"/>
    <w:rsid w:val="32A3B1D5"/>
    <w:rsid w:val="32A661CD"/>
    <w:rsid w:val="32B7672A"/>
    <w:rsid w:val="32B90367"/>
    <w:rsid w:val="32BA4F6F"/>
    <w:rsid w:val="32BC63FE"/>
    <w:rsid w:val="32BDF4B3"/>
    <w:rsid w:val="32C06E0B"/>
    <w:rsid w:val="32C26ACD"/>
    <w:rsid w:val="32C5FF83"/>
    <w:rsid w:val="32C8E227"/>
    <w:rsid w:val="32CCF2A8"/>
    <w:rsid w:val="32DE2E95"/>
    <w:rsid w:val="32E24821"/>
    <w:rsid w:val="32E6EE06"/>
    <w:rsid w:val="32E75FC0"/>
    <w:rsid w:val="32EDBADE"/>
    <w:rsid w:val="32F193FF"/>
    <w:rsid w:val="32F1DCB4"/>
    <w:rsid w:val="32F4711D"/>
    <w:rsid w:val="32F83768"/>
    <w:rsid w:val="32F8E904"/>
    <w:rsid w:val="32FDE980"/>
    <w:rsid w:val="3303B0C7"/>
    <w:rsid w:val="3304C883"/>
    <w:rsid w:val="33081A48"/>
    <w:rsid w:val="330826C8"/>
    <w:rsid w:val="330F3431"/>
    <w:rsid w:val="3314ABA9"/>
    <w:rsid w:val="33198E7E"/>
    <w:rsid w:val="331C284B"/>
    <w:rsid w:val="3321765E"/>
    <w:rsid w:val="33228B3E"/>
    <w:rsid w:val="3323D87B"/>
    <w:rsid w:val="3328C16A"/>
    <w:rsid w:val="333499D5"/>
    <w:rsid w:val="3339C433"/>
    <w:rsid w:val="333E994B"/>
    <w:rsid w:val="33403F1A"/>
    <w:rsid w:val="334E6B5A"/>
    <w:rsid w:val="336818F0"/>
    <w:rsid w:val="336BDBE4"/>
    <w:rsid w:val="33740E14"/>
    <w:rsid w:val="337821A3"/>
    <w:rsid w:val="33784B1B"/>
    <w:rsid w:val="337941AF"/>
    <w:rsid w:val="337BC1B3"/>
    <w:rsid w:val="33804506"/>
    <w:rsid w:val="3382A99C"/>
    <w:rsid w:val="33865B74"/>
    <w:rsid w:val="339720A0"/>
    <w:rsid w:val="3399684F"/>
    <w:rsid w:val="339A89B4"/>
    <w:rsid w:val="33A1E3DA"/>
    <w:rsid w:val="33A2AC15"/>
    <w:rsid w:val="33AFE37E"/>
    <w:rsid w:val="33B185AE"/>
    <w:rsid w:val="33B367E4"/>
    <w:rsid w:val="33B58231"/>
    <w:rsid w:val="33B60DCD"/>
    <w:rsid w:val="33B7FE4A"/>
    <w:rsid w:val="33BC8D33"/>
    <w:rsid w:val="33C02836"/>
    <w:rsid w:val="33C868E3"/>
    <w:rsid w:val="33D12925"/>
    <w:rsid w:val="33D46FE0"/>
    <w:rsid w:val="33DA16DA"/>
    <w:rsid w:val="33E4580D"/>
    <w:rsid w:val="33E4590F"/>
    <w:rsid w:val="33EA81A3"/>
    <w:rsid w:val="33EAE91F"/>
    <w:rsid w:val="33EB1D4F"/>
    <w:rsid w:val="33EEAF8E"/>
    <w:rsid w:val="33F0AFD2"/>
    <w:rsid w:val="33F6532A"/>
    <w:rsid w:val="33F8FD4F"/>
    <w:rsid w:val="33FF5505"/>
    <w:rsid w:val="34019E70"/>
    <w:rsid w:val="34085D5B"/>
    <w:rsid w:val="340C67B9"/>
    <w:rsid w:val="340F4A9E"/>
    <w:rsid w:val="340F61F8"/>
    <w:rsid w:val="341200E8"/>
    <w:rsid w:val="34129DDA"/>
    <w:rsid w:val="3422C321"/>
    <w:rsid w:val="34279564"/>
    <w:rsid w:val="34281C4C"/>
    <w:rsid w:val="34388F77"/>
    <w:rsid w:val="343A880E"/>
    <w:rsid w:val="343D8851"/>
    <w:rsid w:val="343F995E"/>
    <w:rsid w:val="34432DF6"/>
    <w:rsid w:val="3447A2C1"/>
    <w:rsid w:val="34487F3B"/>
    <w:rsid w:val="344BF90D"/>
    <w:rsid w:val="344DA47D"/>
    <w:rsid w:val="344E8590"/>
    <w:rsid w:val="34513997"/>
    <w:rsid w:val="3454E973"/>
    <w:rsid w:val="34563E25"/>
    <w:rsid w:val="3459F7EC"/>
    <w:rsid w:val="3464A5D3"/>
    <w:rsid w:val="34674AC9"/>
    <w:rsid w:val="3469583E"/>
    <w:rsid w:val="34754ED9"/>
    <w:rsid w:val="347BD46D"/>
    <w:rsid w:val="3485E2CB"/>
    <w:rsid w:val="348970C4"/>
    <w:rsid w:val="348FE735"/>
    <w:rsid w:val="34902A01"/>
    <w:rsid w:val="34930968"/>
    <w:rsid w:val="34936615"/>
    <w:rsid w:val="34AAD647"/>
    <w:rsid w:val="34ADBFF1"/>
    <w:rsid w:val="34AF3F18"/>
    <w:rsid w:val="34B45652"/>
    <w:rsid w:val="34BE239F"/>
    <w:rsid w:val="34CA1848"/>
    <w:rsid w:val="34CFD739"/>
    <w:rsid w:val="34D00624"/>
    <w:rsid w:val="34D191AD"/>
    <w:rsid w:val="34D48C43"/>
    <w:rsid w:val="34D9F39D"/>
    <w:rsid w:val="34DA1DA2"/>
    <w:rsid w:val="34DA8D27"/>
    <w:rsid w:val="34DFBFC1"/>
    <w:rsid w:val="34E4DBAE"/>
    <w:rsid w:val="34E594BC"/>
    <w:rsid w:val="34EBA324"/>
    <w:rsid w:val="34F90C5B"/>
    <w:rsid w:val="34FECDC2"/>
    <w:rsid w:val="3505D4BB"/>
    <w:rsid w:val="350B46EA"/>
    <w:rsid w:val="350E74E4"/>
    <w:rsid w:val="350F9714"/>
    <w:rsid w:val="3512BE10"/>
    <w:rsid w:val="3513C4A4"/>
    <w:rsid w:val="351BF9CE"/>
    <w:rsid w:val="35225C38"/>
    <w:rsid w:val="3526FD6C"/>
    <w:rsid w:val="35282ABA"/>
    <w:rsid w:val="352CEDE0"/>
    <w:rsid w:val="352D0905"/>
    <w:rsid w:val="352F7F81"/>
    <w:rsid w:val="35300781"/>
    <w:rsid w:val="35315C7C"/>
    <w:rsid w:val="3532CCAF"/>
    <w:rsid w:val="3532DCDC"/>
    <w:rsid w:val="353369DB"/>
    <w:rsid w:val="3536603B"/>
    <w:rsid w:val="35388C88"/>
    <w:rsid w:val="3539E814"/>
    <w:rsid w:val="353A159E"/>
    <w:rsid w:val="3541BF79"/>
    <w:rsid w:val="3547F8F8"/>
    <w:rsid w:val="35480C25"/>
    <w:rsid w:val="3549C2F8"/>
    <w:rsid w:val="355003B1"/>
    <w:rsid w:val="35501D1A"/>
    <w:rsid w:val="3554C392"/>
    <w:rsid w:val="355A4F8D"/>
    <w:rsid w:val="3562C2CF"/>
    <w:rsid w:val="3564F978"/>
    <w:rsid w:val="3566234D"/>
    <w:rsid w:val="356979F8"/>
    <w:rsid w:val="3573172F"/>
    <w:rsid w:val="357771D6"/>
    <w:rsid w:val="357A8A26"/>
    <w:rsid w:val="3582BC52"/>
    <w:rsid w:val="358468CD"/>
    <w:rsid w:val="358A22B2"/>
    <w:rsid w:val="358FFBA3"/>
    <w:rsid w:val="35902707"/>
    <w:rsid w:val="359406C7"/>
    <w:rsid w:val="3597344F"/>
    <w:rsid w:val="3597BDE8"/>
    <w:rsid w:val="359D42EF"/>
    <w:rsid w:val="359F9FC0"/>
    <w:rsid w:val="35A05CDC"/>
    <w:rsid w:val="35A94513"/>
    <w:rsid w:val="35A97C09"/>
    <w:rsid w:val="35B3608C"/>
    <w:rsid w:val="35B531D7"/>
    <w:rsid w:val="35B837D9"/>
    <w:rsid w:val="35BDCCBD"/>
    <w:rsid w:val="35CF0467"/>
    <w:rsid w:val="35D03565"/>
    <w:rsid w:val="35D75AEB"/>
    <w:rsid w:val="35DF160C"/>
    <w:rsid w:val="35E12A7F"/>
    <w:rsid w:val="35E38A94"/>
    <w:rsid w:val="35E4B3F5"/>
    <w:rsid w:val="35E5FA00"/>
    <w:rsid w:val="35EFA3F4"/>
    <w:rsid w:val="35EFFB59"/>
    <w:rsid w:val="35F42639"/>
    <w:rsid w:val="35F857CD"/>
    <w:rsid w:val="35F88BBC"/>
    <w:rsid w:val="35FE522B"/>
    <w:rsid w:val="360D7372"/>
    <w:rsid w:val="361120B7"/>
    <w:rsid w:val="36118C95"/>
    <w:rsid w:val="361488C8"/>
    <w:rsid w:val="3615455C"/>
    <w:rsid w:val="36174E0D"/>
    <w:rsid w:val="3626B802"/>
    <w:rsid w:val="363540E7"/>
    <w:rsid w:val="36363A5F"/>
    <w:rsid w:val="363A4F96"/>
    <w:rsid w:val="36421C03"/>
    <w:rsid w:val="3656CA66"/>
    <w:rsid w:val="365CE5AA"/>
    <w:rsid w:val="3660F48F"/>
    <w:rsid w:val="3665D3F9"/>
    <w:rsid w:val="366867E3"/>
    <w:rsid w:val="3668F14A"/>
    <w:rsid w:val="3676A08A"/>
    <w:rsid w:val="3677B659"/>
    <w:rsid w:val="36792646"/>
    <w:rsid w:val="367F9763"/>
    <w:rsid w:val="36803755"/>
    <w:rsid w:val="369006B4"/>
    <w:rsid w:val="3698A9E9"/>
    <w:rsid w:val="369AB938"/>
    <w:rsid w:val="36A1DEB1"/>
    <w:rsid w:val="36A6B4E1"/>
    <w:rsid w:val="36A7DF43"/>
    <w:rsid w:val="36B63B0E"/>
    <w:rsid w:val="36B730AC"/>
    <w:rsid w:val="36BC37A6"/>
    <w:rsid w:val="36BEC773"/>
    <w:rsid w:val="36BFDBDA"/>
    <w:rsid w:val="36C0E192"/>
    <w:rsid w:val="36C1C621"/>
    <w:rsid w:val="36C4E9DA"/>
    <w:rsid w:val="36CA055E"/>
    <w:rsid w:val="36D7454D"/>
    <w:rsid w:val="36DD63AD"/>
    <w:rsid w:val="36DEE763"/>
    <w:rsid w:val="36E0B37E"/>
    <w:rsid w:val="36F29B88"/>
    <w:rsid w:val="36FC7159"/>
    <w:rsid w:val="3700F191"/>
    <w:rsid w:val="3707C758"/>
    <w:rsid w:val="370DFC67"/>
    <w:rsid w:val="37120728"/>
    <w:rsid w:val="37133212"/>
    <w:rsid w:val="37171770"/>
    <w:rsid w:val="37175BC3"/>
    <w:rsid w:val="371A47B7"/>
    <w:rsid w:val="371E8F76"/>
    <w:rsid w:val="37214BB7"/>
    <w:rsid w:val="3723B3D8"/>
    <w:rsid w:val="3725310A"/>
    <w:rsid w:val="37261DFB"/>
    <w:rsid w:val="3728E97F"/>
    <w:rsid w:val="372A3DE8"/>
    <w:rsid w:val="372DE101"/>
    <w:rsid w:val="3730BD2C"/>
    <w:rsid w:val="3731DB91"/>
    <w:rsid w:val="37323E79"/>
    <w:rsid w:val="3736770F"/>
    <w:rsid w:val="37377462"/>
    <w:rsid w:val="3737CD59"/>
    <w:rsid w:val="37391EB2"/>
    <w:rsid w:val="373AA99E"/>
    <w:rsid w:val="374CA528"/>
    <w:rsid w:val="374EC416"/>
    <w:rsid w:val="374F667B"/>
    <w:rsid w:val="3752A21D"/>
    <w:rsid w:val="3755EE30"/>
    <w:rsid w:val="37572DCD"/>
    <w:rsid w:val="375F9A21"/>
    <w:rsid w:val="375FCBF7"/>
    <w:rsid w:val="3763AC6D"/>
    <w:rsid w:val="37676F75"/>
    <w:rsid w:val="377EEC6F"/>
    <w:rsid w:val="37970D20"/>
    <w:rsid w:val="37973C48"/>
    <w:rsid w:val="3797D17D"/>
    <w:rsid w:val="379A2B44"/>
    <w:rsid w:val="37A093EA"/>
    <w:rsid w:val="37A3A5C5"/>
    <w:rsid w:val="37A4AC1F"/>
    <w:rsid w:val="37A531DE"/>
    <w:rsid w:val="37A6C432"/>
    <w:rsid w:val="37A8A9EB"/>
    <w:rsid w:val="37B0DFDA"/>
    <w:rsid w:val="37B46543"/>
    <w:rsid w:val="37BFFDC6"/>
    <w:rsid w:val="37C055E7"/>
    <w:rsid w:val="37C106A7"/>
    <w:rsid w:val="37C4D6BD"/>
    <w:rsid w:val="37C708D2"/>
    <w:rsid w:val="37C8FA47"/>
    <w:rsid w:val="37CEE4A5"/>
    <w:rsid w:val="37D09B99"/>
    <w:rsid w:val="37D2C8CC"/>
    <w:rsid w:val="37D50A02"/>
    <w:rsid w:val="37D59836"/>
    <w:rsid w:val="37D5D76F"/>
    <w:rsid w:val="37D861F9"/>
    <w:rsid w:val="37DB1416"/>
    <w:rsid w:val="37DC352C"/>
    <w:rsid w:val="37EA1E12"/>
    <w:rsid w:val="37EF97CE"/>
    <w:rsid w:val="37F27987"/>
    <w:rsid w:val="37FC71BB"/>
    <w:rsid w:val="37FF60FE"/>
    <w:rsid w:val="38053C9E"/>
    <w:rsid w:val="381644B2"/>
    <w:rsid w:val="381C2426"/>
    <w:rsid w:val="381F6A7B"/>
    <w:rsid w:val="38207003"/>
    <w:rsid w:val="3829C31A"/>
    <w:rsid w:val="382DFB33"/>
    <w:rsid w:val="382E4064"/>
    <w:rsid w:val="38323E3E"/>
    <w:rsid w:val="3833A827"/>
    <w:rsid w:val="383BB1F2"/>
    <w:rsid w:val="384DE4A6"/>
    <w:rsid w:val="3854AB53"/>
    <w:rsid w:val="385BC0A3"/>
    <w:rsid w:val="3860C420"/>
    <w:rsid w:val="386CD7E7"/>
    <w:rsid w:val="386F1C04"/>
    <w:rsid w:val="387210D2"/>
    <w:rsid w:val="387314C0"/>
    <w:rsid w:val="38745EDF"/>
    <w:rsid w:val="38756B30"/>
    <w:rsid w:val="387C5B4B"/>
    <w:rsid w:val="387FDF7D"/>
    <w:rsid w:val="38893ACE"/>
    <w:rsid w:val="388D70DC"/>
    <w:rsid w:val="38915805"/>
    <w:rsid w:val="3895B143"/>
    <w:rsid w:val="38968A64"/>
    <w:rsid w:val="389CE3D0"/>
    <w:rsid w:val="389E6616"/>
    <w:rsid w:val="38A41C8C"/>
    <w:rsid w:val="38A49A4D"/>
    <w:rsid w:val="38A8D03B"/>
    <w:rsid w:val="38ACDCE3"/>
    <w:rsid w:val="38B2880C"/>
    <w:rsid w:val="38B8C053"/>
    <w:rsid w:val="38C3E3B7"/>
    <w:rsid w:val="38CC6F3D"/>
    <w:rsid w:val="38CF231E"/>
    <w:rsid w:val="38D394FD"/>
    <w:rsid w:val="38D4B3B5"/>
    <w:rsid w:val="38DA2D88"/>
    <w:rsid w:val="38E42ED7"/>
    <w:rsid w:val="38EB7C8D"/>
    <w:rsid w:val="38ECCB64"/>
    <w:rsid w:val="38EEA171"/>
    <w:rsid w:val="38F959E1"/>
    <w:rsid w:val="38FCD78C"/>
    <w:rsid w:val="390348CB"/>
    <w:rsid w:val="3912D7FF"/>
    <w:rsid w:val="391748DC"/>
    <w:rsid w:val="391917BC"/>
    <w:rsid w:val="391E2D1F"/>
    <w:rsid w:val="3921A5B1"/>
    <w:rsid w:val="3922B139"/>
    <w:rsid w:val="3927067B"/>
    <w:rsid w:val="392A45AF"/>
    <w:rsid w:val="392BA5F2"/>
    <w:rsid w:val="392DC213"/>
    <w:rsid w:val="3930161C"/>
    <w:rsid w:val="3937C635"/>
    <w:rsid w:val="393841A2"/>
    <w:rsid w:val="393966CD"/>
    <w:rsid w:val="393C65C8"/>
    <w:rsid w:val="393D0F0E"/>
    <w:rsid w:val="394301F0"/>
    <w:rsid w:val="394B7C91"/>
    <w:rsid w:val="394B9670"/>
    <w:rsid w:val="394CEB0A"/>
    <w:rsid w:val="394DFA87"/>
    <w:rsid w:val="3954FDB1"/>
    <w:rsid w:val="396789B7"/>
    <w:rsid w:val="396AE513"/>
    <w:rsid w:val="396DFA03"/>
    <w:rsid w:val="3971F754"/>
    <w:rsid w:val="3975BD38"/>
    <w:rsid w:val="3976C665"/>
    <w:rsid w:val="397B493D"/>
    <w:rsid w:val="397C9D74"/>
    <w:rsid w:val="39822BE0"/>
    <w:rsid w:val="398546AF"/>
    <w:rsid w:val="398617F6"/>
    <w:rsid w:val="39866B67"/>
    <w:rsid w:val="39877E38"/>
    <w:rsid w:val="3987D703"/>
    <w:rsid w:val="3992F3EE"/>
    <w:rsid w:val="39952EFB"/>
    <w:rsid w:val="3999CAA9"/>
    <w:rsid w:val="399ADEB6"/>
    <w:rsid w:val="39A64E83"/>
    <w:rsid w:val="39B39CE5"/>
    <w:rsid w:val="39BA066D"/>
    <w:rsid w:val="39BE7C21"/>
    <w:rsid w:val="39BFB584"/>
    <w:rsid w:val="39C07707"/>
    <w:rsid w:val="39CB7B94"/>
    <w:rsid w:val="39CC70E0"/>
    <w:rsid w:val="39D3F449"/>
    <w:rsid w:val="39D44B84"/>
    <w:rsid w:val="39D47BFC"/>
    <w:rsid w:val="39D7F4D0"/>
    <w:rsid w:val="39E4CED3"/>
    <w:rsid w:val="39E54E82"/>
    <w:rsid w:val="39EC0B4B"/>
    <w:rsid w:val="39EFF13D"/>
    <w:rsid w:val="39F0C099"/>
    <w:rsid w:val="39F50E94"/>
    <w:rsid w:val="3A039C1E"/>
    <w:rsid w:val="3A04F53C"/>
    <w:rsid w:val="3A10813E"/>
    <w:rsid w:val="3A1402EA"/>
    <w:rsid w:val="3A167BEC"/>
    <w:rsid w:val="3A16B943"/>
    <w:rsid w:val="3A1AA264"/>
    <w:rsid w:val="3A201C63"/>
    <w:rsid w:val="3A23D440"/>
    <w:rsid w:val="3A2632E6"/>
    <w:rsid w:val="3A274F8E"/>
    <w:rsid w:val="3A2BCB04"/>
    <w:rsid w:val="3A2E6CBC"/>
    <w:rsid w:val="3A302FD7"/>
    <w:rsid w:val="3A40C495"/>
    <w:rsid w:val="3A40F316"/>
    <w:rsid w:val="3A414341"/>
    <w:rsid w:val="3A438E9D"/>
    <w:rsid w:val="3A4CDCD8"/>
    <w:rsid w:val="3A656893"/>
    <w:rsid w:val="3A68535A"/>
    <w:rsid w:val="3A6C99B8"/>
    <w:rsid w:val="3A6E064F"/>
    <w:rsid w:val="3A7668EF"/>
    <w:rsid w:val="3A7ACA5D"/>
    <w:rsid w:val="3A7BD3CD"/>
    <w:rsid w:val="3A7C1585"/>
    <w:rsid w:val="3A80340F"/>
    <w:rsid w:val="3A83E8D0"/>
    <w:rsid w:val="3A86C7C0"/>
    <w:rsid w:val="3A8CFFEA"/>
    <w:rsid w:val="3A8FEC28"/>
    <w:rsid w:val="3A9418C9"/>
    <w:rsid w:val="3A9900B5"/>
    <w:rsid w:val="3A9A833A"/>
    <w:rsid w:val="3A9B6C25"/>
    <w:rsid w:val="3AA8AE02"/>
    <w:rsid w:val="3AADBE1A"/>
    <w:rsid w:val="3AB0C08D"/>
    <w:rsid w:val="3AB4ADC0"/>
    <w:rsid w:val="3ABEBC8D"/>
    <w:rsid w:val="3AC1C7CE"/>
    <w:rsid w:val="3AC273C6"/>
    <w:rsid w:val="3AC77E2C"/>
    <w:rsid w:val="3AC84BF1"/>
    <w:rsid w:val="3ACA61EC"/>
    <w:rsid w:val="3ACC5307"/>
    <w:rsid w:val="3ACE6115"/>
    <w:rsid w:val="3AD71029"/>
    <w:rsid w:val="3AEB9EA9"/>
    <w:rsid w:val="3AED9407"/>
    <w:rsid w:val="3AEE193C"/>
    <w:rsid w:val="3AF3328A"/>
    <w:rsid w:val="3AF5E0B5"/>
    <w:rsid w:val="3AFBFB2B"/>
    <w:rsid w:val="3AFD3B03"/>
    <w:rsid w:val="3B01BE83"/>
    <w:rsid w:val="3B01C41C"/>
    <w:rsid w:val="3B04C7EF"/>
    <w:rsid w:val="3B095E7F"/>
    <w:rsid w:val="3B1643C8"/>
    <w:rsid w:val="3B1984B9"/>
    <w:rsid w:val="3B1E3FC1"/>
    <w:rsid w:val="3B22DE55"/>
    <w:rsid w:val="3B2BE077"/>
    <w:rsid w:val="3B2FB87D"/>
    <w:rsid w:val="3B346B4D"/>
    <w:rsid w:val="3B36CC25"/>
    <w:rsid w:val="3B3E0D11"/>
    <w:rsid w:val="3B436850"/>
    <w:rsid w:val="3B4F424A"/>
    <w:rsid w:val="3B54CD04"/>
    <w:rsid w:val="3B55FB52"/>
    <w:rsid w:val="3B5B7C40"/>
    <w:rsid w:val="3B5F5C2C"/>
    <w:rsid w:val="3B602FC2"/>
    <w:rsid w:val="3B67552C"/>
    <w:rsid w:val="3B708103"/>
    <w:rsid w:val="3B812E00"/>
    <w:rsid w:val="3B86341C"/>
    <w:rsid w:val="3B87BDE5"/>
    <w:rsid w:val="3B92C798"/>
    <w:rsid w:val="3B930ACF"/>
    <w:rsid w:val="3B931E40"/>
    <w:rsid w:val="3B988D81"/>
    <w:rsid w:val="3BA5633E"/>
    <w:rsid w:val="3BA7750E"/>
    <w:rsid w:val="3BBC0ECE"/>
    <w:rsid w:val="3BBC61F8"/>
    <w:rsid w:val="3BC04602"/>
    <w:rsid w:val="3BC07C29"/>
    <w:rsid w:val="3BC2E8DE"/>
    <w:rsid w:val="3BDFB20D"/>
    <w:rsid w:val="3BEDCA7A"/>
    <w:rsid w:val="3BEE14FF"/>
    <w:rsid w:val="3BEF11BC"/>
    <w:rsid w:val="3BF11DEC"/>
    <w:rsid w:val="3BF64A5A"/>
    <w:rsid w:val="3BF74FF9"/>
    <w:rsid w:val="3BFC7639"/>
    <w:rsid w:val="3C05435C"/>
    <w:rsid w:val="3C1065A6"/>
    <w:rsid w:val="3C11D467"/>
    <w:rsid w:val="3C1F286D"/>
    <w:rsid w:val="3C214039"/>
    <w:rsid w:val="3C257B72"/>
    <w:rsid w:val="3C26B93E"/>
    <w:rsid w:val="3C29DF7C"/>
    <w:rsid w:val="3C2A6068"/>
    <w:rsid w:val="3C2AD218"/>
    <w:rsid w:val="3C2ADD23"/>
    <w:rsid w:val="3C44684C"/>
    <w:rsid w:val="3C484DDA"/>
    <w:rsid w:val="3C4E6019"/>
    <w:rsid w:val="3C5531B1"/>
    <w:rsid w:val="3C65133C"/>
    <w:rsid w:val="3C76EB74"/>
    <w:rsid w:val="3C81850F"/>
    <w:rsid w:val="3C8686D3"/>
    <w:rsid w:val="3C8CF225"/>
    <w:rsid w:val="3C8EEF83"/>
    <w:rsid w:val="3C909BFE"/>
    <w:rsid w:val="3C953FDD"/>
    <w:rsid w:val="3C9558FD"/>
    <w:rsid w:val="3CA2F5FB"/>
    <w:rsid w:val="3CA8FB5D"/>
    <w:rsid w:val="3CAC1566"/>
    <w:rsid w:val="3CB5C9D4"/>
    <w:rsid w:val="3CC0DEE8"/>
    <w:rsid w:val="3CC14CC7"/>
    <w:rsid w:val="3CCD2BA7"/>
    <w:rsid w:val="3CCF652D"/>
    <w:rsid w:val="3CD000AC"/>
    <w:rsid w:val="3CD6D98B"/>
    <w:rsid w:val="3CDBA6B0"/>
    <w:rsid w:val="3CE809D0"/>
    <w:rsid w:val="3CFA4D46"/>
    <w:rsid w:val="3CFEECF4"/>
    <w:rsid w:val="3D0B1281"/>
    <w:rsid w:val="3D10804F"/>
    <w:rsid w:val="3D1AA151"/>
    <w:rsid w:val="3D1D24C2"/>
    <w:rsid w:val="3D248350"/>
    <w:rsid w:val="3D29B4B1"/>
    <w:rsid w:val="3D3C0B17"/>
    <w:rsid w:val="3D42C7A9"/>
    <w:rsid w:val="3D46668B"/>
    <w:rsid w:val="3D48914F"/>
    <w:rsid w:val="3D4CF9B5"/>
    <w:rsid w:val="3D5097C6"/>
    <w:rsid w:val="3D59E255"/>
    <w:rsid w:val="3D5CB646"/>
    <w:rsid w:val="3D617EDD"/>
    <w:rsid w:val="3D62BD8F"/>
    <w:rsid w:val="3D63601B"/>
    <w:rsid w:val="3D692136"/>
    <w:rsid w:val="3D69A26B"/>
    <w:rsid w:val="3D6B11FA"/>
    <w:rsid w:val="3D6B1695"/>
    <w:rsid w:val="3D7663A7"/>
    <w:rsid w:val="3D78D017"/>
    <w:rsid w:val="3D811021"/>
    <w:rsid w:val="3D828F17"/>
    <w:rsid w:val="3D855467"/>
    <w:rsid w:val="3D858251"/>
    <w:rsid w:val="3D897289"/>
    <w:rsid w:val="3D8A30FB"/>
    <w:rsid w:val="3D8B9B7D"/>
    <w:rsid w:val="3D985866"/>
    <w:rsid w:val="3D98D1FB"/>
    <w:rsid w:val="3DA5F77D"/>
    <w:rsid w:val="3DA98485"/>
    <w:rsid w:val="3DAD9DF3"/>
    <w:rsid w:val="3DADDF82"/>
    <w:rsid w:val="3DB4DE8B"/>
    <w:rsid w:val="3DC247D2"/>
    <w:rsid w:val="3DC39026"/>
    <w:rsid w:val="3DCA9A0B"/>
    <w:rsid w:val="3DCD3211"/>
    <w:rsid w:val="3DD3B24A"/>
    <w:rsid w:val="3DD58006"/>
    <w:rsid w:val="3DD7C037"/>
    <w:rsid w:val="3DD80ABD"/>
    <w:rsid w:val="3DDF548D"/>
    <w:rsid w:val="3DE12221"/>
    <w:rsid w:val="3DE16D30"/>
    <w:rsid w:val="3DE33A1D"/>
    <w:rsid w:val="3DE77018"/>
    <w:rsid w:val="3DEA4A1F"/>
    <w:rsid w:val="3DF31B95"/>
    <w:rsid w:val="3DF47178"/>
    <w:rsid w:val="3DF870B4"/>
    <w:rsid w:val="3DFE58B3"/>
    <w:rsid w:val="3DFF61A6"/>
    <w:rsid w:val="3E040821"/>
    <w:rsid w:val="3E0420E9"/>
    <w:rsid w:val="3E062E44"/>
    <w:rsid w:val="3E0CB291"/>
    <w:rsid w:val="3E0F25C1"/>
    <w:rsid w:val="3E10FCBB"/>
    <w:rsid w:val="3E115AFD"/>
    <w:rsid w:val="3E150B62"/>
    <w:rsid w:val="3E173EBF"/>
    <w:rsid w:val="3E18BA85"/>
    <w:rsid w:val="3E1A5A13"/>
    <w:rsid w:val="3E1B24F4"/>
    <w:rsid w:val="3E1CF5B2"/>
    <w:rsid w:val="3E25EA44"/>
    <w:rsid w:val="3E28525A"/>
    <w:rsid w:val="3E29E387"/>
    <w:rsid w:val="3E2A7681"/>
    <w:rsid w:val="3E2D4EE3"/>
    <w:rsid w:val="3E2FC245"/>
    <w:rsid w:val="3E34C285"/>
    <w:rsid w:val="3E39D257"/>
    <w:rsid w:val="3E3D9C5D"/>
    <w:rsid w:val="3E44C398"/>
    <w:rsid w:val="3E485655"/>
    <w:rsid w:val="3E49AA6B"/>
    <w:rsid w:val="3E4AB480"/>
    <w:rsid w:val="3E4C00A8"/>
    <w:rsid w:val="3E4CDADA"/>
    <w:rsid w:val="3E50A61C"/>
    <w:rsid w:val="3E542947"/>
    <w:rsid w:val="3E583D00"/>
    <w:rsid w:val="3E58457C"/>
    <w:rsid w:val="3E5B0052"/>
    <w:rsid w:val="3E5DAEBD"/>
    <w:rsid w:val="3E61A3D0"/>
    <w:rsid w:val="3E651C38"/>
    <w:rsid w:val="3E673DB3"/>
    <w:rsid w:val="3E696A85"/>
    <w:rsid w:val="3E746D29"/>
    <w:rsid w:val="3E7AC3B7"/>
    <w:rsid w:val="3E7B9ADC"/>
    <w:rsid w:val="3E7CC0A2"/>
    <w:rsid w:val="3E82D09E"/>
    <w:rsid w:val="3E83AF23"/>
    <w:rsid w:val="3E896C34"/>
    <w:rsid w:val="3E89D2BF"/>
    <w:rsid w:val="3E8CD503"/>
    <w:rsid w:val="3E9337AE"/>
    <w:rsid w:val="3E9CAD93"/>
    <w:rsid w:val="3EA109C9"/>
    <w:rsid w:val="3EA7DDBD"/>
    <w:rsid w:val="3EAADA38"/>
    <w:rsid w:val="3EABCDC0"/>
    <w:rsid w:val="3EAEDE1B"/>
    <w:rsid w:val="3EB22B58"/>
    <w:rsid w:val="3EB4FA14"/>
    <w:rsid w:val="3EB531EA"/>
    <w:rsid w:val="3EBCDD5C"/>
    <w:rsid w:val="3EBF2AC4"/>
    <w:rsid w:val="3EC302DF"/>
    <w:rsid w:val="3ECA2900"/>
    <w:rsid w:val="3ECBA3A7"/>
    <w:rsid w:val="3ECE9A94"/>
    <w:rsid w:val="3ECEDE9A"/>
    <w:rsid w:val="3ECFCFEB"/>
    <w:rsid w:val="3EEA7802"/>
    <w:rsid w:val="3EEE9E1C"/>
    <w:rsid w:val="3EF11B1A"/>
    <w:rsid w:val="3EF7F93B"/>
    <w:rsid w:val="3EFBA503"/>
    <w:rsid w:val="3EFD7CA7"/>
    <w:rsid w:val="3F010A97"/>
    <w:rsid w:val="3F07C967"/>
    <w:rsid w:val="3F0C4AD6"/>
    <w:rsid w:val="3F0FDA96"/>
    <w:rsid w:val="3F13752D"/>
    <w:rsid w:val="3F13F22A"/>
    <w:rsid w:val="3F15EF12"/>
    <w:rsid w:val="3F1638B7"/>
    <w:rsid w:val="3F244FB5"/>
    <w:rsid w:val="3F2815B5"/>
    <w:rsid w:val="3F285F3F"/>
    <w:rsid w:val="3F31EA3C"/>
    <w:rsid w:val="3F3DB83B"/>
    <w:rsid w:val="3F3F5B9A"/>
    <w:rsid w:val="3F4132E9"/>
    <w:rsid w:val="3F41E9C3"/>
    <w:rsid w:val="3F493680"/>
    <w:rsid w:val="3F4DD39B"/>
    <w:rsid w:val="3F55D426"/>
    <w:rsid w:val="3F6577BB"/>
    <w:rsid w:val="3F665629"/>
    <w:rsid w:val="3F67A2FA"/>
    <w:rsid w:val="3F6D7D29"/>
    <w:rsid w:val="3F6E0E17"/>
    <w:rsid w:val="3F832D13"/>
    <w:rsid w:val="3F861146"/>
    <w:rsid w:val="3F872AF2"/>
    <w:rsid w:val="3F8DDE7B"/>
    <w:rsid w:val="3F954D0E"/>
    <w:rsid w:val="3F9B1E25"/>
    <w:rsid w:val="3F9BA4CE"/>
    <w:rsid w:val="3F9E84EF"/>
    <w:rsid w:val="3FA0FDF2"/>
    <w:rsid w:val="3FA182D4"/>
    <w:rsid w:val="3FAF524A"/>
    <w:rsid w:val="3FAF65A5"/>
    <w:rsid w:val="3FAFBF40"/>
    <w:rsid w:val="3FB044AA"/>
    <w:rsid w:val="3FB852D8"/>
    <w:rsid w:val="3FB8B17A"/>
    <w:rsid w:val="3FBA184E"/>
    <w:rsid w:val="3FBB405A"/>
    <w:rsid w:val="3FBC5F3E"/>
    <w:rsid w:val="3FBF586F"/>
    <w:rsid w:val="3FC13861"/>
    <w:rsid w:val="3FC4A666"/>
    <w:rsid w:val="3FC61DC7"/>
    <w:rsid w:val="3FCCA5DB"/>
    <w:rsid w:val="3FCD20EF"/>
    <w:rsid w:val="3FCF30D7"/>
    <w:rsid w:val="3FD1AA48"/>
    <w:rsid w:val="3FD74B6F"/>
    <w:rsid w:val="3FE2A8BA"/>
    <w:rsid w:val="3FE528A5"/>
    <w:rsid w:val="3FE7230C"/>
    <w:rsid w:val="3FE79822"/>
    <w:rsid w:val="3FFC0F81"/>
    <w:rsid w:val="3FFFD5D8"/>
    <w:rsid w:val="4004D3EA"/>
    <w:rsid w:val="40087CB9"/>
    <w:rsid w:val="400FA61C"/>
    <w:rsid w:val="4017544C"/>
    <w:rsid w:val="401D3C6F"/>
    <w:rsid w:val="4026029B"/>
    <w:rsid w:val="402757B9"/>
    <w:rsid w:val="402A108A"/>
    <w:rsid w:val="402F0C83"/>
    <w:rsid w:val="4032055A"/>
    <w:rsid w:val="4035691C"/>
    <w:rsid w:val="4043F26C"/>
    <w:rsid w:val="404405A5"/>
    <w:rsid w:val="4045D639"/>
    <w:rsid w:val="40593535"/>
    <w:rsid w:val="405E58BF"/>
    <w:rsid w:val="4060997E"/>
    <w:rsid w:val="4060D8FF"/>
    <w:rsid w:val="4062B9FE"/>
    <w:rsid w:val="406429F7"/>
    <w:rsid w:val="406580F6"/>
    <w:rsid w:val="406ABE60"/>
    <w:rsid w:val="406C2629"/>
    <w:rsid w:val="406E859C"/>
    <w:rsid w:val="407AF4BF"/>
    <w:rsid w:val="407C89FD"/>
    <w:rsid w:val="4085194A"/>
    <w:rsid w:val="40920723"/>
    <w:rsid w:val="409A2D18"/>
    <w:rsid w:val="40A85C66"/>
    <w:rsid w:val="40ABABFB"/>
    <w:rsid w:val="40B0B994"/>
    <w:rsid w:val="40B527F6"/>
    <w:rsid w:val="40B6BCF7"/>
    <w:rsid w:val="40C0FC7D"/>
    <w:rsid w:val="40DA83A7"/>
    <w:rsid w:val="40E167F1"/>
    <w:rsid w:val="40FA93DA"/>
    <w:rsid w:val="40FB987C"/>
    <w:rsid w:val="4109A2B4"/>
    <w:rsid w:val="410A5135"/>
    <w:rsid w:val="4112310E"/>
    <w:rsid w:val="41140255"/>
    <w:rsid w:val="41151263"/>
    <w:rsid w:val="411DB81A"/>
    <w:rsid w:val="41343D3D"/>
    <w:rsid w:val="413E5E77"/>
    <w:rsid w:val="4146410E"/>
    <w:rsid w:val="414ADB28"/>
    <w:rsid w:val="4157D163"/>
    <w:rsid w:val="4159ADEC"/>
    <w:rsid w:val="415A50A3"/>
    <w:rsid w:val="415F41B3"/>
    <w:rsid w:val="4162F0E0"/>
    <w:rsid w:val="416563E1"/>
    <w:rsid w:val="41713A80"/>
    <w:rsid w:val="4175D8A0"/>
    <w:rsid w:val="4180AC1D"/>
    <w:rsid w:val="41983ACF"/>
    <w:rsid w:val="419BB107"/>
    <w:rsid w:val="419BE61B"/>
    <w:rsid w:val="419C6AE4"/>
    <w:rsid w:val="41AB2189"/>
    <w:rsid w:val="41AB3CF3"/>
    <w:rsid w:val="41AE99F2"/>
    <w:rsid w:val="41AFB58D"/>
    <w:rsid w:val="41CF96C3"/>
    <w:rsid w:val="41D73191"/>
    <w:rsid w:val="41DDFDEE"/>
    <w:rsid w:val="41E6B3B5"/>
    <w:rsid w:val="41F63DEE"/>
    <w:rsid w:val="41F9B922"/>
    <w:rsid w:val="41FE2713"/>
    <w:rsid w:val="420715A0"/>
    <w:rsid w:val="42093184"/>
    <w:rsid w:val="4209BE77"/>
    <w:rsid w:val="420B007E"/>
    <w:rsid w:val="420C7851"/>
    <w:rsid w:val="4210555F"/>
    <w:rsid w:val="421123C2"/>
    <w:rsid w:val="4221826F"/>
    <w:rsid w:val="422186F7"/>
    <w:rsid w:val="4221DAF1"/>
    <w:rsid w:val="422358FE"/>
    <w:rsid w:val="42261EA9"/>
    <w:rsid w:val="4228F871"/>
    <w:rsid w:val="42373CF0"/>
    <w:rsid w:val="42397FD5"/>
    <w:rsid w:val="423D1DEA"/>
    <w:rsid w:val="423F0445"/>
    <w:rsid w:val="423FB451"/>
    <w:rsid w:val="4244F3E5"/>
    <w:rsid w:val="4246998B"/>
    <w:rsid w:val="4247E3A3"/>
    <w:rsid w:val="4249FC89"/>
    <w:rsid w:val="424BCD34"/>
    <w:rsid w:val="425645F9"/>
    <w:rsid w:val="425C2355"/>
    <w:rsid w:val="42605CF8"/>
    <w:rsid w:val="4268F783"/>
    <w:rsid w:val="426C4B59"/>
    <w:rsid w:val="4270B250"/>
    <w:rsid w:val="4274AD32"/>
    <w:rsid w:val="427F7619"/>
    <w:rsid w:val="42802375"/>
    <w:rsid w:val="428090F3"/>
    <w:rsid w:val="4284F332"/>
    <w:rsid w:val="428B66EA"/>
    <w:rsid w:val="428CAE3E"/>
    <w:rsid w:val="42A10B76"/>
    <w:rsid w:val="42A1AFF6"/>
    <w:rsid w:val="42A6AFEF"/>
    <w:rsid w:val="42A9EBAC"/>
    <w:rsid w:val="42AA0828"/>
    <w:rsid w:val="42B1BC01"/>
    <w:rsid w:val="42B90B53"/>
    <w:rsid w:val="42BC9093"/>
    <w:rsid w:val="42C466E3"/>
    <w:rsid w:val="42CA708F"/>
    <w:rsid w:val="42CA8012"/>
    <w:rsid w:val="42CBCA27"/>
    <w:rsid w:val="42CF7476"/>
    <w:rsid w:val="42D04CD1"/>
    <w:rsid w:val="42DFFE4A"/>
    <w:rsid w:val="42E5BBBC"/>
    <w:rsid w:val="42E93056"/>
    <w:rsid w:val="42E9F3F8"/>
    <w:rsid w:val="42F7F407"/>
    <w:rsid w:val="42F8DC8E"/>
    <w:rsid w:val="42FAF32E"/>
    <w:rsid w:val="430611C0"/>
    <w:rsid w:val="43069549"/>
    <w:rsid w:val="430B14D7"/>
    <w:rsid w:val="430D95BE"/>
    <w:rsid w:val="4312A7C6"/>
    <w:rsid w:val="4312B247"/>
    <w:rsid w:val="43133435"/>
    <w:rsid w:val="431591CC"/>
    <w:rsid w:val="431A8AE8"/>
    <w:rsid w:val="43216B19"/>
    <w:rsid w:val="4323A004"/>
    <w:rsid w:val="4329360A"/>
    <w:rsid w:val="432AE029"/>
    <w:rsid w:val="4339EC09"/>
    <w:rsid w:val="433C54EF"/>
    <w:rsid w:val="433D5D5A"/>
    <w:rsid w:val="433E72D7"/>
    <w:rsid w:val="4343D7F9"/>
    <w:rsid w:val="4348CFDA"/>
    <w:rsid w:val="434961BC"/>
    <w:rsid w:val="434B0A92"/>
    <w:rsid w:val="434F5B8C"/>
    <w:rsid w:val="43537203"/>
    <w:rsid w:val="43558B38"/>
    <w:rsid w:val="4358BDDA"/>
    <w:rsid w:val="435DCC6C"/>
    <w:rsid w:val="43605538"/>
    <w:rsid w:val="4360ADD2"/>
    <w:rsid w:val="4362E569"/>
    <w:rsid w:val="4367AC88"/>
    <w:rsid w:val="43691AD1"/>
    <w:rsid w:val="436CEF38"/>
    <w:rsid w:val="436DBB9B"/>
    <w:rsid w:val="437CA246"/>
    <w:rsid w:val="438058BB"/>
    <w:rsid w:val="4380A96B"/>
    <w:rsid w:val="4382DBFD"/>
    <w:rsid w:val="438ACB87"/>
    <w:rsid w:val="43940773"/>
    <w:rsid w:val="43966539"/>
    <w:rsid w:val="4397BA2C"/>
    <w:rsid w:val="4399FEA0"/>
    <w:rsid w:val="43A1DB5A"/>
    <w:rsid w:val="43A5B63D"/>
    <w:rsid w:val="43A8DB73"/>
    <w:rsid w:val="43AB8D5D"/>
    <w:rsid w:val="43ABDD83"/>
    <w:rsid w:val="43AC0084"/>
    <w:rsid w:val="43B58F8A"/>
    <w:rsid w:val="43BA12A6"/>
    <w:rsid w:val="43BDD4C4"/>
    <w:rsid w:val="43BFE5F4"/>
    <w:rsid w:val="43BFE8D8"/>
    <w:rsid w:val="43C50AB2"/>
    <w:rsid w:val="43D45336"/>
    <w:rsid w:val="43DBE22C"/>
    <w:rsid w:val="43DC42C6"/>
    <w:rsid w:val="43E147A6"/>
    <w:rsid w:val="43E3177B"/>
    <w:rsid w:val="43E56ACF"/>
    <w:rsid w:val="43E8BA72"/>
    <w:rsid w:val="43E92252"/>
    <w:rsid w:val="43EDCC38"/>
    <w:rsid w:val="43F84381"/>
    <w:rsid w:val="43FC1610"/>
    <w:rsid w:val="43FDF072"/>
    <w:rsid w:val="4405083A"/>
    <w:rsid w:val="4405DB79"/>
    <w:rsid w:val="4416AB9E"/>
    <w:rsid w:val="441EF6DB"/>
    <w:rsid w:val="441F6AF4"/>
    <w:rsid w:val="4424BC98"/>
    <w:rsid w:val="4425CA6D"/>
    <w:rsid w:val="44284E9D"/>
    <w:rsid w:val="44287FE4"/>
    <w:rsid w:val="442B1791"/>
    <w:rsid w:val="44337240"/>
    <w:rsid w:val="443768E4"/>
    <w:rsid w:val="443D1F83"/>
    <w:rsid w:val="44479C69"/>
    <w:rsid w:val="44506DDD"/>
    <w:rsid w:val="4455E495"/>
    <w:rsid w:val="44596B99"/>
    <w:rsid w:val="445B4216"/>
    <w:rsid w:val="445D708A"/>
    <w:rsid w:val="446A9FB0"/>
    <w:rsid w:val="4472305E"/>
    <w:rsid w:val="447DDC02"/>
    <w:rsid w:val="447DE63A"/>
    <w:rsid w:val="4489B508"/>
    <w:rsid w:val="449ABCA7"/>
    <w:rsid w:val="449B0DCA"/>
    <w:rsid w:val="449B336F"/>
    <w:rsid w:val="44A42B33"/>
    <w:rsid w:val="44B58113"/>
    <w:rsid w:val="44B5F9C6"/>
    <w:rsid w:val="44B6A7BA"/>
    <w:rsid w:val="44B8A84C"/>
    <w:rsid w:val="44BB17E0"/>
    <w:rsid w:val="44C0B0C3"/>
    <w:rsid w:val="44C30479"/>
    <w:rsid w:val="44C4689A"/>
    <w:rsid w:val="44D19907"/>
    <w:rsid w:val="44D1B22A"/>
    <w:rsid w:val="44D29167"/>
    <w:rsid w:val="44D7512C"/>
    <w:rsid w:val="44D7AD06"/>
    <w:rsid w:val="44DC06C9"/>
    <w:rsid w:val="44DFE733"/>
    <w:rsid w:val="44F7DFB2"/>
    <w:rsid w:val="44F81A32"/>
    <w:rsid w:val="44FA15F4"/>
    <w:rsid w:val="4501AC32"/>
    <w:rsid w:val="450481AE"/>
    <w:rsid w:val="45084D97"/>
    <w:rsid w:val="4508722F"/>
    <w:rsid w:val="450AD9FE"/>
    <w:rsid w:val="450B841C"/>
    <w:rsid w:val="450C63B6"/>
    <w:rsid w:val="450D1657"/>
    <w:rsid w:val="4518B75C"/>
    <w:rsid w:val="451A105E"/>
    <w:rsid w:val="452CDA04"/>
    <w:rsid w:val="452E1FD3"/>
    <w:rsid w:val="45303AE1"/>
    <w:rsid w:val="4530CC25"/>
    <w:rsid w:val="45352488"/>
    <w:rsid w:val="4537DC71"/>
    <w:rsid w:val="4545FE8E"/>
    <w:rsid w:val="4550EF09"/>
    <w:rsid w:val="45516E0C"/>
    <w:rsid w:val="45557DA4"/>
    <w:rsid w:val="4562A6AE"/>
    <w:rsid w:val="45654D00"/>
    <w:rsid w:val="45660B0A"/>
    <w:rsid w:val="45664BCA"/>
    <w:rsid w:val="4569FDEA"/>
    <w:rsid w:val="45730D17"/>
    <w:rsid w:val="457DA860"/>
    <w:rsid w:val="457FBC47"/>
    <w:rsid w:val="45852CC2"/>
    <w:rsid w:val="45880731"/>
    <w:rsid w:val="458CEF53"/>
    <w:rsid w:val="459038EE"/>
    <w:rsid w:val="4593EA59"/>
    <w:rsid w:val="45997FBF"/>
    <w:rsid w:val="45A12FA4"/>
    <w:rsid w:val="45A1D2BF"/>
    <w:rsid w:val="45A77D53"/>
    <w:rsid w:val="45B173F9"/>
    <w:rsid w:val="45B363DF"/>
    <w:rsid w:val="45BFFC4A"/>
    <w:rsid w:val="45C10513"/>
    <w:rsid w:val="45C1A4F7"/>
    <w:rsid w:val="45C3429D"/>
    <w:rsid w:val="45CA51F7"/>
    <w:rsid w:val="45CB10DC"/>
    <w:rsid w:val="45CDEBB5"/>
    <w:rsid w:val="45D44B2C"/>
    <w:rsid w:val="45D6D279"/>
    <w:rsid w:val="45D7C117"/>
    <w:rsid w:val="45DADC56"/>
    <w:rsid w:val="45DC3FF1"/>
    <w:rsid w:val="45E51641"/>
    <w:rsid w:val="45E6BFEB"/>
    <w:rsid w:val="45E6DFFF"/>
    <w:rsid w:val="45E85092"/>
    <w:rsid w:val="45F1243E"/>
    <w:rsid w:val="45F6C1CB"/>
    <w:rsid w:val="45F9FDD7"/>
    <w:rsid w:val="45FBD05A"/>
    <w:rsid w:val="460156F2"/>
    <w:rsid w:val="4602A72E"/>
    <w:rsid w:val="46078545"/>
    <w:rsid w:val="460D0ED9"/>
    <w:rsid w:val="460FB6EA"/>
    <w:rsid w:val="4614B859"/>
    <w:rsid w:val="46165B4A"/>
    <w:rsid w:val="461749FA"/>
    <w:rsid w:val="461A3A6B"/>
    <w:rsid w:val="461D86B3"/>
    <w:rsid w:val="461DA114"/>
    <w:rsid w:val="46220A5D"/>
    <w:rsid w:val="462CA5C1"/>
    <w:rsid w:val="463028AF"/>
    <w:rsid w:val="4638EDBA"/>
    <w:rsid w:val="4639EF26"/>
    <w:rsid w:val="4640B956"/>
    <w:rsid w:val="46458015"/>
    <w:rsid w:val="464C0D71"/>
    <w:rsid w:val="464D11D8"/>
    <w:rsid w:val="464D2A61"/>
    <w:rsid w:val="464F73EB"/>
    <w:rsid w:val="465581D0"/>
    <w:rsid w:val="4661E762"/>
    <w:rsid w:val="4665A53B"/>
    <w:rsid w:val="4667B967"/>
    <w:rsid w:val="4675DABD"/>
    <w:rsid w:val="467DA44E"/>
    <w:rsid w:val="467DA5D2"/>
    <w:rsid w:val="467F281C"/>
    <w:rsid w:val="468E8941"/>
    <w:rsid w:val="46965064"/>
    <w:rsid w:val="46A3B904"/>
    <w:rsid w:val="46A51489"/>
    <w:rsid w:val="46A656BA"/>
    <w:rsid w:val="46B80AB8"/>
    <w:rsid w:val="46B826AA"/>
    <w:rsid w:val="46B8B268"/>
    <w:rsid w:val="46C620DC"/>
    <w:rsid w:val="46C78F33"/>
    <w:rsid w:val="46CD3680"/>
    <w:rsid w:val="46D26DD7"/>
    <w:rsid w:val="46D34BD3"/>
    <w:rsid w:val="46D55989"/>
    <w:rsid w:val="46DE1991"/>
    <w:rsid w:val="46E3A143"/>
    <w:rsid w:val="46EE3EE4"/>
    <w:rsid w:val="46F4FA72"/>
    <w:rsid w:val="46F5DAB3"/>
    <w:rsid w:val="46FDB571"/>
    <w:rsid w:val="470013E5"/>
    <w:rsid w:val="4701E6A2"/>
    <w:rsid w:val="470798D4"/>
    <w:rsid w:val="4707A6D1"/>
    <w:rsid w:val="470C3317"/>
    <w:rsid w:val="47108C34"/>
    <w:rsid w:val="4716ADFC"/>
    <w:rsid w:val="471851B3"/>
    <w:rsid w:val="47199F0B"/>
    <w:rsid w:val="471C6B42"/>
    <w:rsid w:val="471EA155"/>
    <w:rsid w:val="471F8FFB"/>
    <w:rsid w:val="472614A1"/>
    <w:rsid w:val="472A56F7"/>
    <w:rsid w:val="4733D01E"/>
    <w:rsid w:val="47348029"/>
    <w:rsid w:val="4735F540"/>
    <w:rsid w:val="473CF580"/>
    <w:rsid w:val="474C8B80"/>
    <w:rsid w:val="474E8EED"/>
    <w:rsid w:val="474F6E21"/>
    <w:rsid w:val="47500D3F"/>
    <w:rsid w:val="47538BBC"/>
    <w:rsid w:val="475CEC27"/>
    <w:rsid w:val="475D9E7D"/>
    <w:rsid w:val="4762A9B7"/>
    <w:rsid w:val="4768B21A"/>
    <w:rsid w:val="476E031C"/>
    <w:rsid w:val="4772C87B"/>
    <w:rsid w:val="477F497B"/>
    <w:rsid w:val="478608CF"/>
    <w:rsid w:val="47988A08"/>
    <w:rsid w:val="479BCE88"/>
    <w:rsid w:val="47A088A2"/>
    <w:rsid w:val="47B10804"/>
    <w:rsid w:val="47B1F20C"/>
    <w:rsid w:val="47B5604B"/>
    <w:rsid w:val="47B86904"/>
    <w:rsid w:val="47D0D560"/>
    <w:rsid w:val="47D465DF"/>
    <w:rsid w:val="47DC1096"/>
    <w:rsid w:val="47DCB8E6"/>
    <w:rsid w:val="47DE1509"/>
    <w:rsid w:val="47E15C07"/>
    <w:rsid w:val="47E4AA37"/>
    <w:rsid w:val="47E67789"/>
    <w:rsid w:val="47F33C33"/>
    <w:rsid w:val="47F8335B"/>
    <w:rsid w:val="47FAB5FC"/>
    <w:rsid w:val="47FB8D84"/>
    <w:rsid w:val="47FC4339"/>
    <w:rsid w:val="4807BA1F"/>
    <w:rsid w:val="4807C151"/>
    <w:rsid w:val="4810A71A"/>
    <w:rsid w:val="48115AA8"/>
    <w:rsid w:val="48167988"/>
    <w:rsid w:val="4819A4F4"/>
    <w:rsid w:val="481D9454"/>
    <w:rsid w:val="481FD715"/>
    <w:rsid w:val="4827142B"/>
    <w:rsid w:val="482D8C89"/>
    <w:rsid w:val="483395DB"/>
    <w:rsid w:val="4836E0AE"/>
    <w:rsid w:val="4837472A"/>
    <w:rsid w:val="483D959A"/>
    <w:rsid w:val="48436BFF"/>
    <w:rsid w:val="48447AC7"/>
    <w:rsid w:val="48465A7C"/>
    <w:rsid w:val="48496357"/>
    <w:rsid w:val="484CD89F"/>
    <w:rsid w:val="484FE98B"/>
    <w:rsid w:val="485BB447"/>
    <w:rsid w:val="485D0CF4"/>
    <w:rsid w:val="486A48E2"/>
    <w:rsid w:val="4872E4FE"/>
    <w:rsid w:val="4876E312"/>
    <w:rsid w:val="487D93E5"/>
    <w:rsid w:val="4882F483"/>
    <w:rsid w:val="4883820A"/>
    <w:rsid w:val="4884D526"/>
    <w:rsid w:val="488C600B"/>
    <w:rsid w:val="488E038F"/>
    <w:rsid w:val="4893DA24"/>
    <w:rsid w:val="48B2D495"/>
    <w:rsid w:val="48B6A9B3"/>
    <w:rsid w:val="48B81DF7"/>
    <w:rsid w:val="48B979F2"/>
    <w:rsid w:val="48BA540D"/>
    <w:rsid w:val="48BAF036"/>
    <w:rsid w:val="48C128D8"/>
    <w:rsid w:val="48C80C13"/>
    <w:rsid w:val="48C9B48A"/>
    <w:rsid w:val="48CAA608"/>
    <w:rsid w:val="48D2355C"/>
    <w:rsid w:val="48D8FC7E"/>
    <w:rsid w:val="48DE5478"/>
    <w:rsid w:val="48E20DD4"/>
    <w:rsid w:val="48EAD2C6"/>
    <w:rsid w:val="48ED821B"/>
    <w:rsid w:val="48EE0865"/>
    <w:rsid w:val="48F15553"/>
    <w:rsid w:val="48F17CA4"/>
    <w:rsid w:val="48F1A565"/>
    <w:rsid w:val="48F8448A"/>
    <w:rsid w:val="4901D66F"/>
    <w:rsid w:val="4908EF1D"/>
    <w:rsid w:val="490C8EA1"/>
    <w:rsid w:val="490DA453"/>
    <w:rsid w:val="490DD630"/>
    <w:rsid w:val="490FEFF9"/>
    <w:rsid w:val="491041BD"/>
    <w:rsid w:val="491A1A5F"/>
    <w:rsid w:val="4924C637"/>
    <w:rsid w:val="492A6107"/>
    <w:rsid w:val="4937D1A1"/>
    <w:rsid w:val="493817F1"/>
    <w:rsid w:val="49385CEF"/>
    <w:rsid w:val="493B000D"/>
    <w:rsid w:val="49429AE6"/>
    <w:rsid w:val="4954AFC6"/>
    <w:rsid w:val="495999B1"/>
    <w:rsid w:val="49600999"/>
    <w:rsid w:val="49733E81"/>
    <w:rsid w:val="49762483"/>
    <w:rsid w:val="49785B8E"/>
    <w:rsid w:val="49828364"/>
    <w:rsid w:val="498961C7"/>
    <w:rsid w:val="498C696A"/>
    <w:rsid w:val="499BC6BB"/>
    <w:rsid w:val="499C8560"/>
    <w:rsid w:val="49AE5520"/>
    <w:rsid w:val="49BE9C10"/>
    <w:rsid w:val="49BF14B5"/>
    <w:rsid w:val="49C185D2"/>
    <w:rsid w:val="49C643F3"/>
    <w:rsid w:val="49CA7E60"/>
    <w:rsid w:val="49D0D588"/>
    <w:rsid w:val="49D89E9E"/>
    <w:rsid w:val="49DCC912"/>
    <w:rsid w:val="49DF56F4"/>
    <w:rsid w:val="49E6357F"/>
    <w:rsid w:val="49EB76D8"/>
    <w:rsid w:val="49F6A2ED"/>
    <w:rsid w:val="4A06486B"/>
    <w:rsid w:val="4A07B248"/>
    <w:rsid w:val="4A0A75EC"/>
    <w:rsid w:val="4A1D408F"/>
    <w:rsid w:val="4A25F731"/>
    <w:rsid w:val="4A272F36"/>
    <w:rsid w:val="4A2D5A7E"/>
    <w:rsid w:val="4A319289"/>
    <w:rsid w:val="4A3284D4"/>
    <w:rsid w:val="4A40A85C"/>
    <w:rsid w:val="4A4C94B0"/>
    <w:rsid w:val="4A5103EC"/>
    <w:rsid w:val="4A574545"/>
    <w:rsid w:val="4A629077"/>
    <w:rsid w:val="4A6834F6"/>
    <w:rsid w:val="4A68BBE3"/>
    <w:rsid w:val="4A6B6411"/>
    <w:rsid w:val="4A76D857"/>
    <w:rsid w:val="4A7A5E7B"/>
    <w:rsid w:val="4A7DA319"/>
    <w:rsid w:val="4A7EE92A"/>
    <w:rsid w:val="4A8D12BC"/>
    <w:rsid w:val="4A94FD23"/>
    <w:rsid w:val="4A95EF11"/>
    <w:rsid w:val="4A9E2A56"/>
    <w:rsid w:val="4A9EB370"/>
    <w:rsid w:val="4A9F2F4F"/>
    <w:rsid w:val="4AA49C84"/>
    <w:rsid w:val="4AAA8F34"/>
    <w:rsid w:val="4AAF9E6B"/>
    <w:rsid w:val="4AB051AE"/>
    <w:rsid w:val="4AB817C3"/>
    <w:rsid w:val="4AB8379B"/>
    <w:rsid w:val="4ABCFF23"/>
    <w:rsid w:val="4ABD85F7"/>
    <w:rsid w:val="4ABED4F7"/>
    <w:rsid w:val="4AC533D7"/>
    <w:rsid w:val="4AC6FB73"/>
    <w:rsid w:val="4AC962AE"/>
    <w:rsid w:val="4AC9B98E"/>
    <w:rsid w:val="4AD0F9D4"/>
    <w:rsid w:val="4AD64C5B"/>
    <w:rsid w:val="4ADE7746"/>
    <w:rsid w:val="4AED4B05"/>
    <w:rsid w:val="4AF3CB85"/>
    <w:rsid w:val="4AF4634B"/>
    <w:rsid w:val="4AF69AC1"/>
    <w:rsid w:val="4AF6C05C"/>
    <w:rsid w:val="4AF92C34"/>
    <w:rsid w:val="4AFFF4D3"/>
    <w:rsid w:val="4B0941DB"/>
    <w:rsid w:val="4B09CB7C"/>
    <w:rsid w:val="4B0FC45B"/>
    <w:rsid w:val="4B12EBC8"/>
    <w:rsid w:val="4B15A9DF"/>
    <w:rsid w:val="4B17784D"/>
    <w:rsid w:val="4B216261"/>
    <w:rsid w:val="4B223E8E"/>
    <w:rsid w:val="4B2AD0CE"/>
    <w:rsid w:val="4B3C4BC3"/>
    <w:rsid w:val="4B424846"/>
    <w:rsid w:val="4B42B5B6"/>
    <w:rsid w:val="4B4444BE"/>
    <w:rsid w:val="4B479268"/>
    <w:rsid w:val="4B4E41C1"/>
    <w:rsid w:val="4B5EFAC9"/>
    <w:rsid w:val="4B62FD45"/>
    <w:rsid w:val="4B63818F"/>
    <w:rsid w:val="4B641334"/>
    <w:rsid w:val="4B65D347"/>
    <w:rsid w:val="4B73D7F6"/>
    <w:rsid w:val="4B764D59"/>
    <w:rsid w:val="4B83226E"/>
    <w:rsid w:val="4B86495F"/>
    <w:rsid w:val="4B88CF60"/>
    <w:rsid w:val="4B956173"/>
    <w:rsid w:val="4B9B8C6D"/>
    <w:rsid w:val="4BA3C176"/>
    <w:rsid w:val="4BB26669"/>
    <w:rsid w:val="4BB959DE"/>
    <w:rsid w:val="4BBFD582"/>
    <w:rsid w:val="4BC4ADF9"/>
    <w:rsid w:val="4BC9362E"/>
    <w:rsid w:val="4BCEC6D4"/>
    <w:rsid w:val="4BD105C3"/>
    <w:rsid w:val="4BD172ED"/>
    <w:rsid w:val="4BD5E477"/>
    <w:rsid w:val="4BD64185"/>
    <w:rsid w:val="4BD72EE3"/>
    <w:rsid w:val="4BD764EB"/>
    <w:rsid w:val="4BDD27D0"/>
    <w:rsid w:val="4BDE5BE5"/>
    <w:rsid w:val="4BE1CC50"/>
    <w:rsid w:val="4BE4FB76"/>
    <w:rsid w:val="4BE7DDB4"/>
    <w:rsid w:val="4BEFA1E7"/>
    <w:rsid w:val="4BEFBD77"/>
    <w:rsid w:val="4BF4650F"/>
    <w:rsid w:val="4BF71283"/>
    <w:rsid w:val="4BF7D6A0"/>
    <w:rsid w:val="4C0B53DD"/>
    <w:rsid w:val="4C1321F4"/>
    <w:rsid w:val="4C164A18"/>
    <w:rsid w:val="4C21595F"/>
    <w:rsid w:val="4C218A5D"/>
    <w:rsid w:val="4C254EC6"/>
    <w:rsid w:val="4C29AD13"/>
    <w:rsid w:val="4C3023D7"/>
    <w:rsid w:val="4C336917"/>
    <w:rsid w:val="4C3E88BF"/>
    <w:rsid w:val="4C3F9BFC"/>
    <w:rsid w:val="4C4187A8"/>
    <w:rsid w:val="4C41BF03"/>
    <w:rsid w:val="4C47C940"/>
    <w:rsid w:val="4C4992F3"/>
    <w:rsid w:val="4C4B478E"/>
    <w:rsid w:val="4C4D4AF7"/>
    <w:rsid w:val="4C54563F"/>
    <w:rsid w:val="4C5E8687"/>
    <w:rsid w:val="4C6C3D92"/>
    <w:rsid w:val="4C70A75C"/>
    <w:rsid w:val="4C7C0414"/>
    <w:rsid w:val="4C819412"/>
    <w:rsid w:val="4C81D202"/>
    <w:rsid w:val="4C92C29C"/>
    <w:rsid w:val="4C968F6A"/>
    <w:rsid w:val="4C98C56F"/>
    <w:rsid w:val="4CA20847"/>
    <w:rsid w:val="4CA41B28"/>
    <w:rsid w:val="4CB189A4"/>
    <w:rsid w:val="4CB21BBE"/>
    <w:rsid w:val="4CB714FB"/>
    <w:rsid w:val="4CC1FBBA"/>
    <w:rsid w:val="4CC50E41"/>
    <w:rsid w:val="4CC9BBF9"/>
    <w:rsid w:val="4CD1BED3"/>
    <w:rsid w:val="4CD6113A"/>
    <w:rsid w:val="4CDD6E43"/>
    <w:rsid w:val="4CDE8A9E"/>
    <w:rsid w:val="4CE150FC"/>
    <w:rsid w:val="4CE1CA08"/>
    <w:rsid w:val="4CE51F99"/>
    <w:rsid w:val="4CE8342C"/>
    <w:rsid w:val="4CECAB14"/>
    <w:rsid w:val="4CF8E6A6"/>
    <w:rsid w:val="4CF8F30D"/>
    <w:rsid w:val="4CFBEAEC"/>
    <w:rsid w:val="4D036022"/>
    <w:rsid w:val="4D0390D8"/>
    <w:rsid w:val="4D0451E6"/>
    <w:rsid w:val="4D063F4B"/>
    <w:rsid w:val="4D0AFBC3"/>
    <w:rsid w:val="4D1225FE"/>
    <w:rsid w:val="4D186B67"/>
    <w:rsid w:val="4D1FDE65"/>
    <w:rsid w:val="4D2CD5CE"/>
    <w:rsid w:val="4D2D6242"/>
    <w:rsid w:val="4D30F248"/>
    <w:rsid w:val="4D33F678"/>
    <w:rsid w:val="4D3611EC"/>
    <w:rsid w:val="4D367DC1"/>
    <w:rsid w:val="4D39A996"/>
    <w:rsid w:val="4D40D2BB"/>
    <w:rsid w:val="4D41F3B2"/>
    <w:rsid w:val="4D445BF9"/>
    <w:rsid w:val="4D555249"/>
    <w:rsid w:val="4D56629A"/>
    <w:rsid w:val="4D583544"/>
    <w:rsid w:val="4D59B563"/>
    <w:rsid w:val="4D660F96"/>
    <w:rsid w:val="4D689ED3"/>
    <w:rsid w:val="4D7DE2BF"/>
    <w:rsid w:val="4D7F21B9"/>
    <w:rsid w:val="4D81CAA2"/>
    <w:rsid w:val="4D8404FD"/>
    <w:rsid w:val="4D8DB8BA"/>
    <w:rsid w:val="4D8EA40E"/>
    <w:rsid w:val="4D93D2E1"/>
    <w:rsid w:val="4D982D5C"/>
    <w:rsid w:val="4DA11A7E"/>
    <w:rsid w:val="4DA89D58"/>
    <w:rsid w:val="4DB7987D"/>
    <w:rsid w:val="4DB8E7DE"/>
    <w:rsid w:val="4DBF76C3"/>
    <w:rsid w:val="4DC47007"/>
    <w:rsid w:val="4DC5B4DC"/>
    <w:rsid w:val="4DC9C8AB"/>
    <w:rsid w:val="4DD4263B"/>
    <w:rsid w:val="4DE15B7D"/>
    <w:rsid w:val="4DF7359E"/>
    <w:rsid w:val="4DF7BB13"/>
    <w:rsid w:val="4DFEAA16"/>
    <w:rsid w:val="4E027EBE"/>
    <w:rsid w:val="4E036C07"/>
    <w:rsid w:val="4E04F8D0"/>
    <w:rsid w:val="4E0BFF50"/>
    <w:rsid w:val="4E0F47FE"/>
    <w:rsid w:val="4E0FC798"/>
    <w:rsid w:val="4E102E7F"/>
    <w:rsid w:val="4E11FDE1"/>
    <w:rsid w:val="4E20D5DD"/>
    <w:rsid w:val="4E2369BF"/>
    <w:rsid w:val="4E282749"/>
    <w:rsid w:val="4E298295"/>
    <w:rsid w:val="4E2E6489"/>
    <w:rsid w:val="4E2FBDB6"/>
    <w:rsid w:val="4E30CC8F"/>
    <w:rsid w:val="4E35AB88"/>
    <w:rsid w:val="4E3BE546"/>
    <w:rsid w:val="4E400098"/>
    <w:rsid w:val="4E43754D"/>
    <w:rsid w:val="4E43C438"/>
    <w:rsid w:val="4E4463E9"/>
    <w:rsid w:val="4E47244D"/>
    <w:rsid w:val="4E4A9D83"/>
    <w:rsid w:val="4E557A93"/>
    <w:rsid w:val="4E5675BD"/>
    <w:rsid w:val="4E58BB23"/>
    <w:rsid w:val="4E5DF01A"/>
    <w:rsid w:val="4E624DE9"/>
    <w:rsid w:val="4E6B8F1C"/>
    <w:rsid w:val="4E6E5EE8"/>
    <w:rsid w:val="4E76DB3E"/>
    <w:rsid w:val="4E7BF558"/>
    <w:rsid w:val="4E83EDE5"/>
    <w:rsid w:val="4E85454F"/>
    <w:rsid w:val="4E8BA7DC"/>
    <w:rsid w:val="4E935207"/>
    <w:rsid w:val="4E9A2138"/>
    <w:rsid w:val="4E9E845B"/>
    <w:rsid w:val="4EA2BA60"/>
    <w:rsid w:val="4EB743B0"/>
    <w:rsid w:val="4EBA14E9"/>
    <w:rsid w:val="4EBB6706"/>
    <w:rsid w:val="4EC00443"/>
    <w:rsid w:val="4EC886E0"/>
    <w:rsid w:val="4ECC17B4"/>
    <w:rsid w:val="4ED3DEC7"/>
    <w:rsid w:val="4EDA7BD0"/>
    <w:rsid w:val="4EDD2833"/>
    <w:rsid w:val="4EDE398A"/>
    <w:rsid w:val="4EE6D05D"/>
    <w:rsid w:val="4EEFD5AF"/>
    <w:rsid w:val="4EF629BD"/>
    <w:rsid w:val="4EF7D5B6"/>
    <w:rsid w:val="4EFC12C8"/>
    <w:rsid w:val="4F018FFB"/>
    <w:rsid w:val="4F03328E"/>
    <w:rsid w:val="4F071BE7"/>
    <w:rsid w:val="4F09A486"/>
    <w:rsid w:val="4F0A6C0B"/>
    <w:rsid w:val="4F122BEC"/>
    <w:rsid w:val="4F1D9B53"/>
    <w:rsid w:val="4F23F7F8"/>
    <w:rsid w:val="4F247B0C"/>
    <w:rsid w:val="4F25B517"/>
    <w:rsid w:val="4F30447A"/>
    <w:rsid w:val="4F361A13"/>
    <w:rsid w:val="4F38295E"/>
    <w:rsid w:val="4F3B3129"/>
    <w:rsid w:val="4F444F40"/>
    <w:rsid w:val="4F45F278"/>
    <w:rsid w:val="4F4645CE"/>
    <w:rsid w:val="4F4E03D1"/>
    <w:rsid w:val="4F4FBE54"/>
    <w:rsid w:val="4F51175C"/>
    <w:rsid w:val="4F56165E"/>
    <w:rsid w:val="4F62D00F"/>
    <w:rsid w:val="4F6F8859"/>
    <w:rsid w:val="4F74D6DB"/>
    <w:rsid w:val="4F7CEB87"/>
    <w:rsid w:val="4F8659FB"/>
    <w:rsid w:val="4F8EE840"/>
    <w:rsid w:val="4F94209C"/>
    <w:rsid w:val="4FA5F3DF"/>
    <w:rsid w:val="4FA81045"/>
    <w:rsid w:val="4FB8A590"/>
    <w:rsid w:val="4FC7B219"/>
    <w:rsid w:val="4FD23917"/>
    <w:rsid w:val="4FD59954"/>
    <w:rsid w:val="4FD61735"/>
    <w:rsid w:val="4FD8FBE3"/>
    <w:rsid w:val="4FD9FE32"/>
    <w:rsid w:val="4FDA2237"/>
    <w:rsid w:val="4FDABF54"/>
    <w:rsid w:val="4FDBD4A9"/>
    <w:rsid w:val="4FDD6DFE"/>
    <w:rsid w:val="4FDDB6B4"/>
    <w:rsid w:val="4FE5848E"/>
    <w:rsid w:val="4FE9F182"/>
    <w:rsid w:val="4FEAFD58"/>
    <w:rsid w:val="4FEE37D9"/>
    <w:rsid w:val="4FEEC0C9"/>
    <w:rsid w:val="4FF1A792"/>
    <w:rsid w:val="4FF1EE0A"/>
    <w:rsid w:val="4FF2FE88"/>
    <w:rsid w:val="4FF7DE3D"/>
    <w:rsid w:val="4FF90C28"/>
    <w:rsid w:val="500E7A84"/>
    <w:rsid w:val="50135C4C"/>
    <w:rsid w:val="5018619C"/>
    <w:rsid w:val="501B9035"/>
    <w:rsid w:val="502406AD"/>
    <w:rsid w:val="5034AD84"/>
    <w:rsid w:val="503E0226"/>
    <w:rsid w:val="50432DF0"/>
    <w:rsid w:val="504A0023"/>
    <w:rsid w:val="504D4389"/>
    <w:rsid w:val="5052121D"/>
    <w:rsid w:val="5053FA42"/>
    <w:rsid w:val="50576F5C"/>
    <w:rsid w:val="5059C2AD"/>
    <w:rsid w:val="5059E4DB"/>
    <w:rsid w:val="50654567"/>
    <w:rsid w:val="506EDA09"/>
    <w:rsid w:val="5070D375"/>
    <w:rsid w:val="5075C72F"/>
    <w:rsid w:val="50771172"/>
    <w:rsid w:val="507743E9"/>
    <w:rsid w:val="50827B29"/>
    <w:rsid w:val="5085497F"/>
    <w:rsid w:val="5088CC48"/>
    <w:rsid w:val="509D0B29"/>
    <w:rsid w:val="509D8720"/>
    <w:rsid w:val="50A3A4AA"/>
    <w:rsid w:val="50ACC10B"/>
    <w:rsid w:val="50B6B8E8"/>
    <w:rsid w:val="50C0F413"/>
    <w:rsid w:val="50C2D1D7"/>
    <w:rsid w:val="50C3BB26"/>
    <w:rsid w:val="50C82EED"/>
    <w:rsid w:val="50CDBC4C"/>
    <w:rsid w:val="50CDD2C0"/>
    <w:rsid w:val="50DA5DEE"/>
    <w:rsid w:val="50DD63E3"/>
    <w:rsid w:val="50E90EB3"/>
    <w:rsid w:val="50EB5025"/>
    <w:rsid w:val="50F0C4BD"/>
    <w:rsid w:val="5108A9F2"/>
    <w:rsid w:val="51141368"/>
    <w:rsid w:val="5115D92F"/>
    <w:rsid w:val="5122FC57"/>
    <w:rsid w:val="51275DA2"/>
    <w:rsid w:val="51352DCA"/>
    <w:rsid w:val="51357CAE"/>
    <w:rsid w:val="513873CC"/>
    <w:rsid w:val="51405704"/>
    <w:rsid w:val="51436430"/>
    <w:rsid w:val="51486090"/>
    <w:rsid w:val="514A029B"/>
    <w:rsid w:val="514DF750"/>
    <w:rsid w:val="51514FAC"/>
    <w:rsid w:val="5157EF83"/>
    <w:rsid w:val="5157F099"/>
    <w:rsid w:val="515D186D"/>
    <w:rsid w:val="51696039"/>
    <w:rsid w:val="516E4D02"/>
    <w:rsid w:val="517907D7"/>
    <w:rsid w:val="517DB14C"/>
    <w:rsid w:val="5189EF76"/>
    <w:rsid w:val="518E0075"/>
    <w:rsid w:val="519C6C8D"/>
    <w:rsid w:val="51A42B8E"/>
    <w:rsid w:val="51A8CC3A"/>
    <w:rsid w:val="51AAAAB6"/>
    <w:rsid w:val="51AB7F98"/>
    <w:rsid w:val="51AF5CDD"/>
    <w:rsid w:val="51B4AE37"/>
    <w:rsid w:val="51B5662E"/>
    <w:rsid w:val="51B78532"/>
    <w:rsid w:val="51C2BE2B"/>
    <w:rsid w:val="51C886DE"/>
    <w:rsid w:val="51CA6A19"/>
    <w:rsid w:val="51CFDB08"/>
    <w:rsid w:val="51D7D2DD"/>
    <w:rsid w:val="51DB8E21"/>
    <w:rsid w:val="51DBDE11"/>
    <w:rsid w:val="51DE83ED"/>
    <w:rsid w:val="51E21623"/>
    <w:rsid w:val="51E638DB"/>
    <w:rsid w:val="51F001B5"/>
    <w:rsid w:val="51F7584B"/>
    <w:rsid w:val="51F83992"/>
    <w:rsid w:val="51F905A4"/>
    <w:rsid w:val="51FDA150"/>
    <w:rsid w:val="51FDDE78"/>
    <w:rsid w:val="51FEE1D4"/>
    <w:rsid w:val="520E7079"/>
    <w:rsid w:val="521304BA"/>
    <w:rsid w:val="5215EE89"/>
    <w:rsid w:val="5219148E"/>
    <w:rsid w:val="52198ED2"/>
    <w:rsid w:val="521A409D"/>
    <w:rsid w:val="521FE198"/>
    <w:rsid w:val="522718A1"/>
    <w:rsid w:val="52273637"/>
    <w:rsid w:val="5227558F"/>
    <w:rsid w:val="5228F670"/>
    <w:rsid w:val="523573F0"/>
    <w:rsid w:val="5236D157"/>
    <w:rsid w:val="5241B5A4"/>
    <w:rsid w:val="5242DC52"/>
    <w:rsid w:val="52456006"/>
    <w:rsid w:val="524B15C6"/>
    <w:rsid w:val="525A5B0D"/>
    <w:rsid w:val="52647260"/>
    <w:rsid w:val="52660F5E"/>
    <w:rsid w:val="5273C44A"/>
    <w:rsid w:val="52781B6A"/>
    <w:rsid w:val="5285FFBD"/>
    <w:rsid w:val="5286E48B"/>
    <w:rsid w:val="5287EDDE"/>
    <w:rsid w:val="5288258C"/>
    <w:rsid w:val="5289BE5A"/>
    <w:rsid w:val="528AA10A"/>
    <w:rsid w:val="528AC14F"/>
    <w:rsid w:val="528C89E1"/>
    <w:rsid w:val="52999609"/>
    <w:rsid w:val="52A3CF41"/>
    <w:rsid w:val="52B06396"/>
    <w:rsid w:val="52BD6E8F"/>
    <w:rsid w:val="52CE53F7"/>
    <w:rsid w:val="52D4380F"/>
    <w:rsid w:val="52DC87FA"/>
    <w:rsid w:val="52DCBAC7"/>
    <w:rsid w:val="52DE25AF"/>
    <w:rsid w:val="52DEB99C"/>
    <w:rsid w:val="52DF38A1"/>
    <w:rsid w:val="52E368D6"/>
    <w:rsid w:val="52E6B0F6"/>
    <w:rsid w:val="52F38499"/>
    <w:rsid w:val="530779D0"/>
    <w:rsid w:val="530CF0CB"/>
    <w:rsid w:val="5318B79E"/>
    <w:rsid w:val="532416D3"/>
    <w:rsid w:val="532F31B6"/>
    <w:rsid w:val="5331919A"/>
    <w:rsid w:val="53394583"/>
    <w:rsid w:val="53405A56"/>
    <w:rsid w:val="5347D10B"/>
    <w:rsid w:val="534852B2"/>
    <w:rsid w:val="534BF3E1"/>
    <w:rsid w:val="534ECC67"/>
    <w:rsid w:val="534F4645"/>
    <w:rsid w:val="534FCF0B"/>
    <w:rsid w:val="5354AEFD"/>
    <w:rsid w:val="53562DA5"/>
    <w:rsid w:val="5359DFED"/>
    <w:rsid w:val="535A7716"/>
    <w:rsid w:val="535C245E"/>
    <w:rsid w:val="535C60EB"/>
    <w:rsid w:val="53622DA8"/>
    <w:rsid w:val="5365CC69"/>
    <w:rsid w:val="5366749C"/>
    <w:rsid w:val="536AF1D1"/>
    <w:rsid w:val="536EB463"/>
    <w:rsid w:val="536FEE13"/>
    <w:rsid w:val="53758FBC"/>
    <w:rsid w:val="5377EAA5"/>
    <w:rsid w:val="537F1E30"/>
    <w:rsid w:val="53846C37"/>
    <w:rsid w:val="53880FE5"/>
    <w:rsid w:val="538AA8AF"/>
    <w:rsid w:val="538B1AE8"/>
    <w:rsid w:val="5392DEDA"/>
    <w:rsid w:val="5394EF21"/>
    <w:rsid w:val="539A3330"/>
    <w:rsid w:val="539B24BE"/>
    <w:rsid w:val="53A00489"/>
    <w:rsid w:val="53A12C3D"/>
    <w:rsid w:val="53A50A2D"/>
    <w:rsid w:val="53AA0985"/>
    <w:rsid w:val="53AEF2D0"/>
    <w:rsid w:val="53AF6F4D"/>
    <w:rsid w:val="53B0619A"/>
    <w:rsid w:val="53B0F814"/>
    <w:rsid w:val="53B1B961"/>
    <w:rsid w:val="53B6A0BA"/>
    <w:rsid w:val="53BD4964"/>
    <w:rsid w:val="53BF0182"/>
    <w:rsid w:val="53C1EDED"/>
    <w:rsid w:val="53CAE858"/>
    <w:rsid w:val="53CCFE3C"/>
    <w:rsid w:val="53CDC81F"/>
    <w:rsid w:val="53CEE9D5"/>
    <w:rsid w:val="53D6607A"/>
    <w:rsid w:val="53D6E576"/>
    <w:rsid w:val="53D995E7"/>
    <w:rsid w:val="53DDD4E5"/>
    <w:rsid w:val="53DFF6C5"/>
    <w:rsid w:val="53E0C6A4"/>
    <w:rsid w:val="53E40C5C"/>
    <w:rsid w:val="53E6BB68"/>
    <w:rsid w:val="53E6FA1B"/>
    <w:rsid w:val="53E9A64A"/>
    <w:rsid w:val="53EA6671"/>
    <w:rsid w:val="53ED1177"/>
    <w:rsid w:val="53F128A1"/>
    <w:rsid w:val="53F3D909"/>
    <w:rsid w:val="53FA44F4"/>
    <w:rsid w:val="53FB71D1"/>
    <w:rsid w:val="53FEBE06"/>
    <w:rsid w:val="5400F1F0"/>
    <w:rsid w:val="5402C9BD"/>
    <w:rsid w:val="541142A3"/>
    <w:rsid w:val="54139B3A"/>
    <w:rsid w:val="542237BF"/>
    <w:rsid w:val="5430ED14"/>
    <w:rsid w:val="5434047B"/>
    <w:rsid w:val="54343D84"/>
    <w:rsid w:val="5436C6CA"/>
    <w:rsid w:val="543C4F79"/>
    <w:rsid w:val="543F14C1"/>
    <w:rsid w:val="5440B380"/>
    <w:rsid w:val="5444293F"/>
    <w:rsid w:val="544968F6"/>
    <w:rsid w:val="544BE4A5"/>
    <w:rsid w:val="545452CC"/>
    <w:rsid w:val="545B9DBB"/>
    <w:rsid w:val="545F1F70"/>
    <w:rsid w:val="546C08EB"/>
    <w:rsid w:val="5475C35A"/>
    <w:rsid w:val="54795C32"/>
    <w:rsid w:val="547A1A9D"/>
    <w:rsid w:val="547BA7F7"/>
    <w:rsid w:val="54834A9C"/>
    <w:rsid w:val="5483D2EA"/>
    <w:rsid w:val="54858006"/>
    <w:rsid w:val="548612A7"/>
    <w:rsid w:val="54881696"/>
    <w:rsid w:val="548BC909"/>
    <w:rsid w:val="548C5CDA"/>
    <w:rsid w:val="54903846"/>
    <w:rsid w:val="549BD910"/>
    <w:rsid w:val="549FA759"/>
    <w:rsid w:val="54A7E46F"/>
    <w:rsid w:val="54A9EAA1"/>
    <w:rsid w:val="54BDC61B"/>
    <w:rsid w:val="54BEA0D3"/>
    <w:rsid w:val="54C115DB"/>
    <w:rsid w:val="54C2B1A1"/>
    <w:rsid w:val="54CB85A3"/>
    <w:rsid w:val="54D754C3"/>
    <w:rsid w:val="54DF6917"/>
    <w:rsid w:val="54DF8E9D"/>
    <w:rsid w:val="54E1FB7E"/>
    <w:rsid w:val="54E558EB"/>
    <w:rsid w:val="54EB61B9"/>
    <w:rsid w:val="54EBEA07"/>
    <w:rsid w:val="54F030D4"/>
    <w:rsid w:val="54F2B001"/>
    <w:rsid w:val="54F5D4E2"/>
    <w:rsid w:val="54F984B5"/>
    <w:rsid w:val="55102585"/>
    <w:rsid w:val="5515F60E"/>
    <w:rsid w:val="551690BA"/>
    <w:rsid w:val="5516A35F"/>
    <w:rsid w:val="551C9E86"/>
    <w:rsid w:val="551D427E"/>
    <w:rsid w:val="551DD7B5"/>
    <w:rsid w:val="551EB70C"/>
    <w:rsid w:val="552254B3"/>
    <w:rsid w:val="5524884F"/>
    <w:rsid w:val="553A03FA"/>
    <w:rsid w:val="5543EE77"/>
    <w:rsid w:val="55503B6E"/>
    <w:rsid w:val="555131D1"/>
    <w:rsid w:val="55579FA5"/>
    <w:rsid w:val="5558A665"/>
    <w:rsid w:val="55591361"/>
    <w:rsid w:val="555A8143"/>
    <w:rsid w:val="555BEF18"/>
    <w:rsid w:val="55630358"/>
    <w:rsid w:val="5563078E"/>
    <w:rsid w:val="55691E2A"/>
    <w:rsid w:val="556DED26"/>
    <w:rsid w:val="55741A10"/>
    <w:rsid w:val="5588EB72"/>
    <w:rsid w:val="558A1109"/>
    <w:rsid w:val="5590E77A"/>
    <w:rsid w:val="559780D0"/>
    <w:rsid w:val="559E8515"/>
    <w:rsid w:val="55A017D1"/>
    <w:rsid w:val="55B3A9F3"/>
    <w:rsid w:val="55B40A37"/>
    <w:rsid w:val="55C3081B"/>
    <w:rsid w:val="55C9DC54"/>
    <w:rsid w:val="55CC2725"/>
    <w:rsid w:val="55D1101F"/>
    <w:rsid w:val="55D775A6"/>
    <w:rsid w:val="55DF8AED"/>
    <w:rsid w:val="55E56E91"/>
    <w:rsid w:val="55EFA837"/>
    <w:rsid w:val="55F5F6CC"/>
    <w:rsid w:val="55F8D1D2"/>
    <w:rsid w:val="55F99457"/>
    <w:rsid w:val="55FB38A4"/>
    <w:rsid w:val="55FC2BC0"/>
    <w:rsid w:val="5602D88F"/>
    <w:rsid w:val="560F33BB"/>
    <w:rsid w:val="5610E58C"/>
    <w:rsid w:val="5610ECA2"/>
    <w:rsid w:val="5616AF95"/>
    <w:rsid w:val="56187032"/>
    <w:rsid w:val="561DCC6F"/>
    <w:rsid w:val="56257FC5"/>
    <w:rsid w:val="56263DD0"/>
    <w:rsid w:val="5626904E"/>
    <w:rsid w:val="5629132A"/>
    <w:rsid w:val="5629D625"/>
    <w:rsid w:val="562F6C42"/>
    <w:rsid w:val="5634B4D6"/>
    <w:rsid w:val="563A710D"/>
    <w:rsid w:val="563D4A9F"/>
    <w:rsid w:val="563DCA62"/>
    <w:rsid w:val="56406370"/>
    <w:rsid w:val="564F4562"/>
    <w:rsid w:val="56532E4C"/>
    <w:rsid w:val="565FCBF1"/>
    <w:rsid w:val="56625C2A"/>
    <w:rsid w:val="56645FF4"/>
    <w:rsid w:val="566486B5"/>
    <w:rsid w:val="566A9CA6"/>
    <w:rsid w:val="566BA451"/>
    <w:rsid w:val="566C1C60"/>
    <w:rsid w:val="5672E614"/>
    <w:rsid w:val="5679A123"/>
    <w:rsid w:val="56810056"/>
    <w:rsid w:val="56824C59"/>
    <w:rsid w:val="5682DB27"/>
    <w:rsid w:val="56853C4A"/>
    <w:rsid w:val="5685977F"/>
    <w:rsid w:val="5688AE5D"/>
    <w:rsid w:val="568BED05"/>
    <w:rsid w:val="5690D9F7"/>
    <w:rsid w:val="56929864"/>
    <w:rsid w:val="56943A19"/>
    <w:rsid w:val="56996827"/>
    <w:rsid w:val="569BCE7A"/>
    <w:rsid w:val="56A2C835"/>
    <w:rsid w:val="56A421E4"/>
    <w:rsid w:val="56A6013E"/>
    <w:rsid w:val="56B2925D"/>
    <w:rsid w:val="56B4F44A"/>
    <w:rsid w:val="56C385F8"/>
    <w:rsid w:val="56C54112"/>
    <w:rsid w:val="56C99CB0"/>
    <w:rsid w:val="56CB0C6D"/>
    <w:rsid w:val="56D0A931"/>
    <w:rsid w:val="56D1559F"/>
    <w:rsid w:val="56D41A02"/>
    <w:rsid w:val="56DDBB26"/>
    <w:rsid w:val="56E49E90"/>
    <w:rsid w:val="56E6B8A8"/>
    <w:rsid w:val="56E7C942"/>
    <w:rsid w:val="56E9EEBC"/>
    <w:rsid w:val="56F11FB1"/>
    <w:rsid w:val="56F4203F"/>
    <w:rsid w:val="56F989BD"/>
    <w:rsid w:val="56F9DD4F"/>
    <w:rsid w:val="5709C2B0"/>
    <w:rsid w:val="5715E9B6"/>
    <w:rsid w:val="5720C66B"/>
    <w:rsid w:val="5728B545"/>
    <w:rsid w:val="573C6034"/>
    <w:rsid w:val="57464DB1"/>
    <w:rsid w:val="57464E06"/>
    <w:rsid w:val="574AB3C5"/>
    <w:rsid w:val="574D351D"/>
    <w:rsid w:val="57544801"/>
    <w:rsid w:val="575683B7"/>
    <w:rsid w:val="575C04EA"/>
    <w:rsid w:val="576565C0"/>
    <w:rsid w:val="5766D08A"/>
    <w:rsid w:val="5766DE6D"/>
    <w:rsid w:val="5778BD1F"/>
    <w:rsid w:val="577AAE11"/>
    <w:rsid w:val="577AC844"/>
    <w:rsid w:val="577D44DC"/>
    <w:rsid w:val="57820E4F"/>
    <w:rsid w:val="5785CBEF"/>
    <w:rsid w:val="579DCA7E"/>
    <w:rsid w:val="57A2283A"/>
    <w:rsid w:val="57AC16E3"/>
    <w:rsid w:val="57B2EAE9"/>
    <w:rsid w:val="57B4A371"/>
    <w:rsid w:val="57B5EFCA"/>
    <w:rsid w:val="57B88415"/>
    <w:rsid w:val="57BD634D"/>
    <w:rsid w:val="57C1F1AB"/>
    <w:rsid w:val="57C6DF68"/>
    <w:rsid w:val="57E2DFB6"/>
    <w:rsid w:val="57F01781"/>
    <w:rsid w:val="57F191B4"/>
    <w:rsid w:val="57F38803"/>
    <w:rsid w:val="5800A47D"/>
    <w:rsid w:val="58019CF2"/>
    <w:rsid w:val="580A2CDE"/>
    <w:rsid w:val="580D0E7C"/>
    <w:rsid w:val="58115611"/>
    <w:rsid w:val="5815DBF8"/>
    <w:rsid w:val="5816C160"/>
    <w:rsid w:val="5817F645"/>
    <w:rsid w:val="5818366B"/>
    <w:rsid w:val="5818AE63"/>
    <w:rsid w:val="5819E413"/>
    <w:rsid w:val="5819E6B9"/>
    <w:rsid w:val="58248096"/>
    <w:rsid w:val="582631D6"/>
    <w:rsid w:val="5827ECD6"/>
    <w:rsid w:val="5829C6B7"/>
    <w:rsid w:val="583691ED"/>
    <w:rsid w:val="58369648"/>
    <w:rsid w:val="5837C435"/>
    <w:rsid w:val="583CBA15"/>
    <w:rsid w:val="583F8ED0"/>
    <w:rsid w:val="5840E49F"/>
    <w:rsid w:val="5847356B"/>
    <w:rsid w:val="5849B4BA"/>
    <w:rsid w:val="58557CE0"/>
    <w:rsid w:val="5857ADB9"/>
    <w:rsid w:val="585D66D7"/>
    <w:rsid w:val="586252EF"/>
    <w:rsid w:val="5866BE15"/>
    <w:rsid w:val="586A462E"/>
    <w:rsid w:val="586D0A32"/>
    <w:rsid w:val="58777AF1"/>
    <w:rsid w:val="587C3C6A"/>
    <w:rsid w:val="58838D23"/>
    <w:rsid w:val="58889D22"/>
    <w:rsid w:val="588E1C7D"/>
    <w:rsid w:val="58906804"/>
    <w:rsid w:val="5893BEA9"/>
    <w:rsid w:val="5898C31B"/>
    <w:rsid w:val="589D2251"/>
    <w:rsid w:val="589EAC4D"/>
    <w:rsid w:val="58B008AC"/>
    <w:rsid w:val="58B0771B"/>
    <w:rsid w:val="58C06914"/>
    <w:rsid w:val="58D38F35"/>
    <w:rsid w:val="58D7259D"/>
    <w:rsid w:val="58EA6A46"/>
    <w:rsid w:val="58EA9F93"/>
    <w:rsid w:val="58EF89FF"/>
    <w:rsid w:val="58FA1F6D"/>
    <w:rsid w:val="58FCE044"/>
    <w:rsid w:val="5905C4C0"/>
    <w:rsid w:val="590802AB"/>
    <w:rsid w:val="5908858D"/>
    <w:rsid w:val="590D0E65"/>
    <w:rsid w:val="590F6145"/>
    <w:rsid w:val="5910DE77"/>
    <w:rsid w:val="591577EF"/>
    <w:rsid w:val="5915A19B"/>
    <w:rsid w:val="5925C491"/>
    <w:rsid w:val="59274644"/>
    <w:rsid w:val="592B63B3"/>
    <w:rsid w:val="592D5727"/>
    <w:rsid w:val="592F5514"/>
    <w:rsid w:val="593CE14B"/>
    <w:rsid w:val="593EBCD5"/>
    <w:rsid w:val="5943DD59"/>
    <w:rsid w:val="5946BCE0"/>
    <w:rsid w:val="5947B132"/>
    <w:rsid w:val="594B77A7"/>
    <w:rsid w:val="59512E42"/>
    <w:rsid w:val="59536050"/>
    <w:rsid w:val="596201DC"/>
    <w:rsid w:val="5964AD6F"/>
    <w:rsid w:val="5967C7C6"/>
    <w:rsid w:val="597434EF"/>
    <w:rsid w:val="597526A0"/>
    <w:rsid w:val="59771D33"/>
    <w:rsid w:val="597C2E7E"/>
    <w:rsid w:val="597E1780"/>
    <w:rsid w:val="597E7825"/>
    <w:rsid w:val="59826709"/>
    <w:rsid w:val="5984D185"/>
    <w:rsid w:val="598804C0"/>
    <w:rsid w:val="59886CBB"/>
    <w:rsid w:val="59888CE7"/>
    <w:rsid w:val="598B78E7"/>
    <w:rsid w:val="598E33C0"/>
    <w:rsid w:val="599B23A9"/>
    <w:rsid w:val="59A30083"/>
    <w:rsid w:val="59A6029F"/>
    <w:rsid w:val="59A68CDB"/>
    <w:rsid w:val="59B171A4"/>
    <w:rsid w:val="59B20DBF"/>
    <w:rsid w:val="59B50395"/>
    <w:rsid w:val="59B6C2C4"/>
    <w:rsid w:val="59B72590"/>
    <w:rsid w:val="59B74D27"/>
    <w:rsid w:val="59C55333"/>
    <w:rsid w:val="59C8EE95"/>
    <w:rsid w:val="59CADB06"/>
    <w:rsid w:val="59CD9D0B"/>
    <w:rsid w:val="59CFBA3A"/>
    <w:rsid w:val="59D2A7C8"/>
    <w:rsid w:val="59D425B0"/>
    <w:rsid w:val="59DF98F5"/>
    <w:rsid w:val="59ECC214"/>
    <w:rsid w:val="59EF01E0"/>
    <w:rsid w:val="59F0F580"/>
    <w:rsid w:val="59F5698A"/>
    <w:rsid w:val="59FEF2E1"/>
    <w:rsid w:val="5A0AF5B9"/>
    <w:rsid w:val="5A10B550"/>
    <w:rsid w:val="5A113129"/>
    <w:rsid w:val="5A195DE9"/>
    <w:rsid w:val="5A1EB6D4"/>
    <w:rsid w:val="5A204A41"/>
    <w:rsid w:val="5A28EF88"/>
    <w:rsid w:val="5A2BF4B1"/>
    <w:rsid w:val="5A2D22AB"/>
    <w:rsid w:val="5A314EC8"/>
    <w:rsid w:val="5A377E74"/>
    <w:rsid w:val="5A37DA6E"/>
    <w:rsid w:val="5A39B200"/>
    <w:rsid w:val="5A3C696C"/>
    <w:rsid w:val="5A3E7DAD"/>
    <w:rsid w:val="5A412BFD"/>
    <w:rsid w:val="5A41A2C1"/>
    <w:rsid w:val="5A424B74"/>
    <w:rsid w:val="5A43B77E"/>
    <w:rsid w:val="5A45FD47"/>
    <w:rsid w:val="5A462310"/>
    <w:rsid w:val="5A489AE8"/>
    <w:rsid w:val="5A5CA996"/>
    <w:rsid w:val="5A5DAA54"/>
    <w:rsid w:val="5A65E62D"/>
    <w:rsid w:val="5A692E21"/>
    <w:rsid w:val="5A6D6411"/>
    <w:rsid w:val="5A6D7F00"/>
    <w:rsid w:val="5A79AF5A"/>
    <w:rsid w:val="5A7F0757"/>
    <w:rsid w:val="5A86604B"/>
    <w:rsid w:val="5AA9C768"/>
    <w:rsid w:val="5AAA73CC"/>
    <w:rsid w:val="5AAD854B"/>
    <w:rsid w:val="5AB4BD61"/>
    <w:rsid w:val="5AB8D4ED"/>
    <w:rsid w:val="5ABC304F"/>
    <w:rsid w:val="5AC25139"/>
    <w:rsid w:val="5AC2A701"/>
    <w:rsid w:val="5AC8BBE0"/>
    <w:rsid w:val="5AD793D2"/>
    <w:rsid w:val="5ADF57CB"/>
    <w:rsid w:val="5AF0200B"/>
    <w:rsid w:val="5AF041F3"/>
    <w:rsid w:val="5AF1620E"/>
    <w:rsid w:val="5AF2ECCA"/>
    <w:rsid w:val="5AF6493E"/>
    <w:rsid w:val="5AF6C2C0"/>
    <w:rsid w:val="5B04A427"/>
    <w:rsid w:val="5B0625FD"/>
    <w:rsid w:val="5B0AFEF7"/>
    <w:rsid w:val="5B0EC4BD"/>
    <w:rsid w:val="5B0F189F"/>
    <w:rsid w:val="5B11E436"/>
    <w:rsid w:val="5B17C02C"/>
    <w:rsid w:val="5B19A557"/>
    <w:rsid w:val="5B22B140"/>
    <w:rsid w:val="5B284431"/>
    <w:rsid w:val="5B28D26B"/>
    <w:rsid w:val="5B2C5647"/>
    <w:rsid w:val="5B35BCF4"/>
    <w:rsid w:val="5B3AC7D0"/>
    <w:rsid w:val="5B3CE632"/>
    <w:rsid w:val="5B401A24"/>
    <w:rsid w:val="5B421D28"/>
    <w:rsid w:val="5B425870"/>
    <w:rsid w:val="5B44314D"/>
    <w:rsid w:val="5B4A3AAE"/>
    <w:rsid w:val="5B4FD38E"/>
    <w:rsid w:val="5B53FB10"/>
    <w:rsid w:val="5B5433AC"/>
    <w:rsid w:val="5B594753"/>
    <w:rsid w:val="5B5D1462"/>
    <w:rsid w:val="5B5D757A"/>
    <w:rsid w:val="5B60C2C5"/>
    <w:rsid w:val="5B61D8DE"/>
    <w:rsid w:val="5B648AE3"/>
    <w:rsid w:val="5B6492CA"/>
    <w:rsid w:val="5B6546F7"/>
    <w:rsid w:val="5B74F127"/>
    <w:rsid w:val="5B76337C"/>
    <w:rsid w:val="5B771434"/>
    <w:rsid w:val="5B784960"/>
    <w:rsid w:val="5B78BAB4"/>
    <w:rsid w:val="5B7B02E0"/>
    <w:rsid w:val="5B7B7872"/>
    <w:rsid w:val="5B7C11F8"/>
    <w:rsid w:val="5B829720"/>
    <w:rsid w:val="5B8AE4F7"/>
    <w:rsid w:val="5B959A91"/>
    <w:rsid w:val="5BA29CE0"/>
    <w:rsid w:val="5BA2FFD8"/>
    <w:rsid w:val="5BAC1C08"/>
    <w:rsid w:val="5BB21612"/>
    <w:rsid w:val="5BB54DC1"/>
    <w:rsid w:val="5BC062D8"/>
    <w:rsid w:val="5BC43C53"/>
    <w:rsid w:val="5BC90FBD"/>
    <w:rsid w:val="5BCC7889"/>
    <w:rsid w:val="5BD0566A"/>
    <w:rsid w:val="5BD065B4"/>
    <w:rsid w:val="5BD089C0"/>
    <w:rsid w:val="5BE18769"/>
    <w:rsid w:val="5BE3FA42"/>
    <w:rsid w:val="5BEBA912"/>
    <w:rsid w:val="5BEECE92"/>
    <w:rsid w:val="5BF0E4A6"/>
    <w:rsid w:val="5C10DA77"/>
    <w:rsid w:val="5C16BFB8"/>
    <w:rsid w:val="5C201F13"/>
    <w:rsid w:val="5C234495"/>
    <w:rsid w:val="5C240E5A"/>
    <w:rsid w:val="5C297E20"/>
    <w:rsid w:val="5C2A636B"/>
    <w:rsid w:val="5C2ACD4B"/>
    <w:rsid w:val="5C38173A"/>
    <w:rsid w:val="5C3CA9DF"/>
    <w:rsid w:val="5C3D7583"/>
    <w:rsid w:val="5C408780"/>
    <w:rsid w:val="5C4322B3"/>
    <w:rsid w:val="5C499A44"/>
    <w:rsid w:val="5C4EF765"/>
    <w:rsid w:val="5C4F088A"/>
    <w:rsid w:val="5C534A2F"/>
    <w:rsid w:val="5C552C35"/>
    <w:rsid w:val="5C5DCF21"/>
    <w:rsid w:val="5C5E0DE8"/>
    <w:rsid w:val="5C5FCF6B"/>
    <w:rsid w:val="5C645C98"/>
    <w:rsid w:val="5C6589AC"/>
    <w:rsid w:val="5C66B11F"/>
    <w:rsid w:val="5C6CB567"/>
    <w:rsid w:val="5C717BE3"/>
    <w:rsid w:val="5C767FC3"/>
    <w:rsid w:val="5C76F20C"/>
    <w:rsid w:val="5C7A1007"/>
    <w:rsid w:val="5C7E14AF"/>
    <w:rsid w:val="5C801E22"/>
    <w:rsid w:val="5C87A1B0"/>
    <w:rsid w:val="5C884505"/>
    <w:rsid w:val="5C8E14D6"/>
    <w:rsid w:val="5C95442B"/>
    <w:rsid w:val="5C972ABB"/>
    <w:rsid w:val="5C9A4660"/>
    <w:rsid w:val="5C9FCE94"/>
    <w:rsid w:val="5CA3D6F9"/>
    <w:rsid w:val="5CA44F4E"/>
    <w:rsid w:val="5CA49354"/>
    <w:rsid w:val="5CA6181B"/>
    <w:rsid w:val="5CA84749"/>
    <w:rsid w:val="5CAD772E"/>
    <w:rsid w:val="5CBB0FFF"/>
    <w:rsid w:val="5CBE7CA0"/>
    <w:rsid w:val="5CC515DC"/>
    <w:rsid w:val="5CCC999A"/>
    <w:rsid w:val="5CD22494"/>
    <w:rsid w:val="5CD671BE"/>
    <w:rsid w:val="5CD6DD61"/>
    <w:rsid w:val="5CDB3037"/>
    <w:rsid w:val="5CF4BCE2"/>
    <w:rsid w:val="5CF6C878"/>
    <w:rsid w:val="5CF874F4"/>
    <w:rsid w:val="5CFD3B03"/>
    <w:rsid w:val="5D025466"/>
    <w:rsid w:val="5D127B71"/>
    <w:rsid w:val="5D161B9E"/>
    <w:rsid w:val="5D1B5CA2"/>
    <w:rsid w:val="5D1CE7FC"/>
    <w:rsid w:val="5D21D750"/>
    <w:rsid w:val="5D24A0CC"/>
    <w:rsid w:val="5D2552D4"/>
    <w:rsid w:val="5D263A38"/>
    <w:rsid w:val="5D280403"/>
    <w:rsid w:val="5D2DAFEC"/>
    <w:rsid w:val="5D3943CC"/>
    <w:rsid w:val="5D3C5214"/>
    <w:rsid w:val="5D41E8EF"/>
    <w:rsid w:val="5D45D131"/>
    <w:rsid w:val="5D4D3947"/>
    <w:rsid w:val="5D51B07E"/>
    <w:rsid w:val="5D54156F"/>
    <w:rsid w:val="5D5485D4"/>
    <w:rsid w:val="5D58AF31"/>
    <w:rsid w:val="5D5B1967"/>
    <w:rsid w:val="5D61432E"/>
    <w:rsid w:val="5D64A7E7"/>
    <w:rsid w:val="5D6D047D"/>
    <w:rsid w:val="5D7D78B8"/>
    <w:rsid w:val="5D81FB3C"/>
    <w:rsid w:val="5D8432BA"/>
    <w:rsid w:val="5D89C2FB"/>
    <w:rsid w:val="5D8C0EB5"/>
    <w:rsid w:val="5D96C937"/>
    <w:rsid w:val="5D98AACE"/>
    <w:rsid w:val="5D9B255E"/>
    <w:rsid w:val="5D9F4B72"/>
    <w:rsid w:val="5DA8330D"/>
    <w:rsid w:val="5DAD29CB"/>
    <w:rsid w:val="5DB05614"/>
    <w:rsid w:val="5DB392F0"/>
    <w:rsid w:val="5DBD33E4"/>
    <w:rsid w:val="5DC450A0"/>
    <w:rsid w:val="5DD3C076"/>
    <w:rsid w:val="5DD5BEFE"/>
    <w:rsid w:val="5DDBEFA9"/>
    <w:rsid w:val="5DE6573C"/>
    <w:rsid w:val="5DE89DBA"/>
    <w:rsid w:val="5DEA351B"/>
    <w:rsid w:val="5DEAF1F3"/>
    <w:rsid w:val="5DEFF329"/>
    <w:rsid w:val="5DF8B3C1"/>
    <w:rsid w:val="5DFF765B"/>
    <w:rsid w:val="5E0359E9"/>
    <w:rsid w:val="5E046E90"/>
    <w:rsid w:val="5E0AF2DB"/>
    <w:rsid w:val="5E117093"/>
    <w:rsid w:val="5E1450E2"/>
    <w:rsid w:val="5E1690A3"/>
    <w:rsid w:val="5E19067B"/>
    <w:rsid w:val="5E223F28"/>
    <w:rsid w:val="5E22DD8F"/>
    <w:rsid w:val="5E247E18"/>
    <w:rsid w:val="5E285A8E"/>
    <w:rsid w:val="5E2B4313"/>
    <w:rsid w:val="5E2BDB7B"/>
    <w:rsid w:val="5E2F5FC3"/>
    <w:rsid w:val="5E3163AB"/>
    <w:rsid w:val="5E346557"/>
    <w:rsid w:val="5E353A94"/>
    <w:rsid w:val="5E358106"/>
    <w:rsid w:val="5E409729"/>
    <w:rsid w:val="5E4762CA"/>
    <w:rsid w:val="5E4B4CC6"/>
    <w:rsid w:val="5E58A490"/>
    <w:rsid w:val="5E5BD3CE"/>
    <w:rsid w:val="5E6E1343"/>
    <w:rsid w:val="5E74BB21"/>
    <w:rsid w:val="5E783850"/>
    <w:rsid w:val="5E78F77E"/>
    <w:rsid w:val="5E7FE7D2"/>
    <w:rsid w:val="5E819913"/>
    <w:rsid w:val="5E841BD6"/>
    <w:rsid w:val="5E86E9D5"/>
    <w:rsid w:val="5E86F008"/>
    <w:rsid w:val="5E87E172"/>
    <w:rsid w:val="5E88E733"/>
    <w:rsid w:val="5E8B2557"/>
    <w:rsid w:val="5E8E01EB"/>
    <w:rsid w:val="5E960D7A"/>
    <w:rsid w:val="5EA085A8"/>
    <w:rsid w:val="5EA280FF"/>
    <w:rsid w:val="5EA4C9CF"/>
    <w:rsid w:val="5EA83D11"/>
    <w:rsid w:val="5EB2383A"/>
    <w:rsid w:val="5EB67007"/>
    <w:rsid w:val="5EC7D944"/>
    <w:rsid w:val="5ECBAB6C"/>
    <w:rsid w:val="5EDA6C8E"/>
    <w:rsid w:val="5EDBBB84"/>
    <w:rsid w:val="5EDDAB74"/>
    <w:rsid w:val="5EDDBA59"/>
    <w:rsid w:val="5EDEB647"/>
    <w:rsid w:val="5EDFA367"/>
    <w:rsid w:val="5EE182D2"/>
    <w:rsid w:val="5EEBCC1B"/>
    <w:rsid w:val="5EEE16BB"/>
    <w:rsid w:val="5EF20D76"/>
    <w:rsid w:val="5EF3C28D"/>
    <w:rsid w:val="5EFD50E7"/>
    <w:rsid w:val="5EFD68C9"/>
    <w:rsid w:val="5F008344"/>
    <w:rsid w:val="5F0B7E49"/>
    <w:rsid w:val="5F113F1C"/>
    <w:rsid w:val="5F123737"/>
    <w:rsid w:val="5F128D4D"/>
    <w:rsid w:val="5F3968A1"/>
    <w:rsid w:val="5F3B5D6C"/>
    <w:rsid w:val="5F41EB19"/>
    <w:rsid w:val="5F457796"/>
    <w:rsid w:val="5F479540"/>
    <w:rsid w:val="5F4AB463"/>
    <w:rsid w:val="5F4CB735"/>
    <w:rsid w:val="5F4D402F"/>
    <w:rsid w:val="5F4D7F9A"/>
    <w:rsid w:val="5F5408A2"/>
    <w:rsid w:val="5F59B7A9"/>
    <w:rsid w:val="5F59DE55"/>
    <w:rsid w:val="5F5DDEC0"/>
    <w:rsid w:val="5F60C57E"/>
    <w:rsid w:val="5F65E522"/>
    <w:rsid w:val="5F69930F"/>
    <w:rsid w:val="5F6BE5F6"/>
    <w:rsid w:val="5F6C0C27"/>
    <w:rsid w:val="5F736CA8"/>
    <w:rsid w:val="5F745AAA"/>
    <w:rsid w:val="5F75FB0D"/>
    <w:rsid w:val="5F773328"/>
    <w:rsid w:val="5F78E0C3"/>
    <w:rsid w:val="5F796772"/>
    <w:rsid w:val="5F7B1B09"/>
    <w:rsid w:val="5F7C72A2"/>
    <w:rsid w:val="5F829617"/>
    <w:rsid w:val="5F897940"/>
    <w:rsid w:val="5F89B481"/>
    <w:rsid w:val="5F90C3BB"/>
    <w:rsid w:val="5F91ED84"/>
    <w:rsid w:val="5F99B98D"/>
    <w:rsid w:val="5F9ADA24"/>
    <w:rsid w:val="5FAB0091"/>
    <w:rsid w:val="5FAF8A6C"/>
    <w:rsid w:val="5FB5A052"/>
    <w:rsid w:val="5FBB5FB0"/>
    <w:rsid w:val="5FBBF995"/>
    <w:rsid w:val="5FC0C3C6"/>
    <w:rsid w:val="5FC33144"/>
    <w:rsid w:val="5FCEDBCA"/>
    <w:rsid w:val="5FD1CEF9"/>
    <w:rsid w:val="5FD5DA04"/>
    <w:rsid w:val="5FD8121D"/>
    <w:rsid w:val="5FDE4DFF"/>
    <w:rsid w:val="5FDF916F"/>
    <w:rsid w:val="5FE0D3B7"/>
    <w:rsid w:val="5FE39133"/>
    <w:rsid w:val="5FE9E50C"/>
    <w:rsid w:val="5FED6DD4"/>
    <w:rsid w:val="5FEF3117"/>
    <w:rsid w:val="5FF498EF"/>
    <w:rsid w:val="5FFA6993"/>
    <w:rsid w:val="5FFC4CE8"/>
    <w:rsid w:val="60087502"/>
    <w:rsid w:val="600B990D"/>
    <w:rsid w:val="601DCA67"/>
    <w:rsid w:val="602009E5"/>
    <w:rsid w:val="60242B7B"/>
    <w:rsid w:val="602497E9"/>
    <w:rsid w:val="602BF8FD"/>
    <w:rsid w:val="6030CAB1"/>
    <w:rsid w:val="603B03D1"/>
    <w:rsid w:val="603C64ED"/>
    <w:rsid w:val="603F6033"/>
    <w:rsid w:val="60429579"/>
    <w:rsid w:val="60571B57"/>
    <w:rsid w:val="6057E5AB"/>
    <w:rsid w:val="6060A34E"/>
    <w:rsid w:val="60653155"/>
    <w:rsid w:val="6069CFF8"/>
    <w:rsid w:val="606BF7BA"/>
    <w:rsid w:val="606D58D7"/>
    <w:rsid w:val="606EEBB5"/>
    <w:rsid w:val="6071CFD7"/>
    <w:rsid w:val="60732454"/>
    <w:rsid w:val="60737B32"/>
    <w:rsid w:val="6079B040"/>
    <w:rsid w:val="607CE3EE"/>
    <w:rsid w:val="6080C70B"/>
    <w:rsid w:val="60882653"/>
    <w:rsid w:val="608D5CA0"/>
    <w:rsid w:val="609529C4"/>
    <w:rsid w:val="60956D6F"/>
    <w:rsid w:val="6095E756"/>
    <w:rsid w:val="609892CF"/>
    <w:rsid w:val="609D2321"/>
    <w:rsid w:val="609F4BF7"/>
    <w:rsid w:val="60A29D67"/>
    <w:rsid w:val="60A3C6CC"/>
    <w:rsid w:val="60ACB4EE"/>
    <w:rsid w:val="60B1E570"/>
    <w:rsid w:val="60B23847"/>
    <w:rsid w:val="60B48D44"/>
    <w:rsid w:val="60B75C8C"/>
    <w:rsid w:val="60BE1333"/>
    <w:rsid w:val="60C7960A"/>
    <w:rsid w:val="60CB7932"/>
    <w:rsid w:val="60CBF288"/>
    <w:rsid w:val="60D311B6"/>
    <w:rsid w:val="60D66F75"/>
    <w:rsid w:val="60DAF239"/>
    <w:rsid w:val="60DBB0F0"/>
    <w:rsid w:val="60E4EDEE"/>
    <w:rsid w:val="60E75441"/>
    <w:rsid w:val="60ED1DCA"/>
    <w:rsid w:val="60F1FAB8"/>
    <w:rsid w:val="60F2E851"/>
    <w:rsid w:val="60FBF58C"/>
    <w:rsid w:val="60FF92C0"/>
    <w:rsid w:val="610085A2"/>
    <w:rsid w:val="61036D81"/>
    <w:rsid w:val="61077B38"/>
    <w:rsid w:val="610912BA"/>
    <w:rsid w:val="611296E7"/>
    <w:rsid w:val="61130BB8"/>
    <w:rsid w:val="611C976E"/>
    <w:rsid w:val="6120B911"/>
    <w:rsid w:val="61229DDB"/>
    <w:rsid w:val="61295F79"/>
    <w:rsid w:val="612CB06B"/>
    <w:rsid w:val="612F92A5"/>
    <w:rsid w:val="61306720"/>
    <w:rsid w:val="61357E96"/>
    <w:rsid w:val="61463425"/>
    <w:rsid w:val="6147C68E"/>
    <w:rsid w:val="6149648B"/>
    <w:rsid w:val="61514E00"/>
    <w:rsid w:val="615AB961"/>
    <w:rsid w:val="615EF9D8"/>
    <w:rsid w:val="616BB42E"/>
    <w:rsid w:val="616F1B47"/>
    <w:rsid w:val="617E6A39"/>
    <w:rsid w:val="61876E7D"/>
    <w:rsid w:val="618E3CFD"/>
    <w:rsid w:val="61916441"/>
    <w:rsid w:val="6196FC27"/>
    <w:rsid w:val="619C6AAF"/>
    <w:rsid w:val="61A7460D"/>
    <w:rsid w:val="61A7D98E"/>
    <w:rsid w:val="61AAB501"/>
    <w:rsid w:val="61AC22C5"/>
    <w:rsid w:val="61B45A01"/>
    <w:rsid w:val="61BB1FAC"/>
    <w:rsid w:val="61BC594E"/>
    <w:rsid w:val="61BCFCE4"/>
    <w:rsid w:val="61BD07DC"/>
    <w:rsid w:val="61BD316E"/>
    <w:rsid w:val="61C56BA7"/>
    <w:rsid w:val="61CA1156"/>
    <w:rsid w:val="61D14565"/>
    <w:rsid w:val="61D742F1"/>
    <w:rsid w:val="61DB8C38"/>
    <w:rsid w:val="61DDD355"/>
    <w:rsid w:val="61DF6897"/>
    <w:rsid w:val="61E07468"/>
    <w:rsid w:val="61ECC674"/>
    <w:rsid w:val="61EF567E"/>
    <w:rsid w:val="61F36A9B"/>
    <w:rsid w:val="61F52CD8"/>
    <w:rsid w:val="61FA4697"/>
    <w:rsid w:val="61FB1D9C"/>
    <w:rsid w:val="61FF5EDB"/>
    <w:rsid w:val="621009A4"/>
    <w:rsid w:val="621E151D"/>
    <w:rsid w:val="62225582"/>
    <w:rsid w:val="6228DE5B"/>
    <w:rsid w:val="62297CE9"/>
    <w:rsid w:val="622C6B95"/>
    <w:rsid w:val="622E7B1A"/>
    <w:rsid w:val="6233695A"/>
    <w:rsid w:val="623ABFB6"/>
    <w:rsid w:val="6241B6DD"/>
    <w:rsid w:val="6248D113"/>
    <w:rsid w:val="624A2EC1"/>
    <w:rsid w:val="624FBB29"/>
    <w:rsid w:val="62510D7B"/>
    <w:rsid w:val="62534DDB"/>
    <w:rsid w:val="625764AC"/>
    <w:rsid w:val="625AF68B"/>
    <w:rsid w:val="626EBBCD"/>
    <w:rsid w:val="626F7BB8"/>
    <w:rsid w:val="62723C71"/>
    <w:rsid w:val="6279B532"/>
    <w:rsid w:val="627C3963"/>
    <w:rsid w:val="6286C9FC"/>
    <w:rsid w:val="62884E19"/>
    <w:rsid w:val="6292FBCB"/>
    <w:rsid w:val="629350DC"/>
    <w:rsid w:val="629629FD"/>
    <w:rsid w:val="62967036"/>
    <w:rsid w:val="62A7AB4F"/>
    <w:rsid w:val="62AF16EE"/>
    <w:rsid w:val="62AF47AE"/>
    <w:rsid w:val="62AF8995"/>
    <w:rsid w:val="62B4B229"/>
    <w:rsid w:val="62B684FC"/>
    <w:rsid w:val="62B89395"/>
    <w:rsid w:val="62C2DCFB"/>
    <w:rsid w:val="62C7046F"/>
    <w:rsid w:val="62C810A4"/>
    <w:rsid w:val="62C83B5D"/>
    <w:rsid w:val="62CCFFDA"/>
    <w:rsid w:val="62D1F435"/>
    <w:rsid w:val="62D6017C"/>
    <w:rsid w:val="62D6D1B4"/>
    <w:rsid w:val="62F19793"/>
    <w:rsid w:val="62F58025"/>
    <w:rsid w:val="62F8AACB"/>
    <w:rsid w:val="62FBE5F0"/>
    <w:rsid w:val="62FD431F"/>
    <w:rsid w:val="6301E643"/>
    <w:rsid w:val="63086454"/>
    <w:rsid w:val="630CD026"/>
    <w:rsid w:val="630E0BB5"/>
    <w:rsid w:val="632A0A83"/>
    <w:rsid w:val="632F235D"/>
    <w:rsid w:val="6332C666"/>
    <w:rsid w:val="6334D74E"/>
    <w:rsid w:val="633C2C13"/>
    <w:rsid w:val="633F5872"/>
    <w:rsid w:val="63581DD1"/>
    <w:rsid w:val="635E5044"/>
    <w:rsid w:val="63640F1E"/>
    <w:rsid w:val="63656EEA"/>
    <w:rsid w:val="6365A2C0"/>
    <w:rsid w:val="6375AD95"/>
    <w:rsid w:val="6376CA81"/>
    <w:rsid w:val="6376DF41"/>
    <w:rsid w:val="637C0312"/>
    <w:rsid w:val="637E0906"/>
    <w:rsid w:val="637EC442"/>
    <w:rsid w:val="638257B6"/>
    <w:rsid w:val="638B8382"/>
    <w:rsid w:val="638ECA20"/>
    <w:rsid w:val="63969814"/>
    <w:rsid w:val="63981DC8"/>
    <w:rsid w:val="63A579C0"/>
    <w:rsid w:val="63A73089"/>
    <w:rsid w:val="63B40806"/>
    <w:rsid w:val="63B909EF"/>
    <w:rsid w:val="63BA03A8"/>
    <w:rsid w:val="63BC7492"/>
    <w:rsid w:val="63C1E9B1"/>
    <w:rsid w:val="63C3D482"/>
    <w:rsid w:val="63C5DC47"/>
    <w:rsid w:val="63CD56A9"/>
    <w:rsid w:val="63D19AA1"/>
    <w:rsid w:val="63DAEA48"/>
    <w:rsid w:val="63DC3A2C"/>
    <w:rsid w:val="6404B7E5"/>
    <w:rsid w:val="64187BC3"/>
    <w:rsid w:val="642D12C5"/>
    <w:rsid w:val="6433DD0C"/>
    <w:rsid w:val="64395AA0"/>
    <w:rsid w:val="643ACEB5"/>
    <w:rsid w:val="64443B00"/>
    <w:rsid w:val="644AFE3D"/>
    <w:rsid w:val="6457AC2A"/>
    <w:rsid w:val="6457C254"/>
    <w:rsid w:val="645AE76A"/>
    <w:rsid w:val="645C7ACB"/>
    <w:rsid w:val="645C9A04"/>
    <w:rsid w:val="645CA506"/>
    <w:rsid w:val="64610F93"/>
    <w:rsid w:val="646143E4"/>
    <w:rsid w:val="6469CE53"/>
    <w:rsid w:val="6478DDEC"/>
    <w:rsid w:val="6479B8C7"/>
    <w:rsid w:val="647CE8C3"/>
    <w:rsid w:val="6496CF48"/>
    <w:rsid w:val="6498860E"/>
    <w:rsid w:val="6498A3D9"/>
    <w:rsid w:val="649FC7E7"/>
    <w:rsid w:val="64A2A0A7"/>
    <w:rsid w:val="64A837CD"/>
    <w:rsid w:val="64A89E38"/>
    <w:rsid w:val="64AB9CE4"/>
    <w:rsid w:val="64AD16C0"/>
    <w:rsid w:val="64B4B6B2"/>
    <w:rsid w:val="64C0B2AA"/>
    <w:rsid w:val="64C15794"/>
    <w:rsid w:val="64C37BC3"/>
    <w:rsid w:val="64C3B9E1"/>
    <w:rsid w:val="64CACD74"/>
    <w:rsid w:val="64D0587F"/>
    <w:rsid w:val="64D1EE8A"/>
    <w:rsid w:val="64D4ACD3"/>
    <w:rsid w:val="64D5228B"/>
    <w:rsid w:val="64D5AF56"/>
    <w:rsid w:val="64D67435"/>
    <w:rsid w:val="64EBD4E5"/>
    <w:rsid w:val="64EDA80E"/>
    <w:rsid w:val="64F84103"/>
    <w:rsid w:val="64FA8DB1"/>
    <w:rsid w:val="6505E53A"/>
    <w:rsid w:val="6514A93D"/>
    <w:rsid w:val="6525A659"/>
    <w:rsid w:val="6527BDE8"/>
    <w:rsid w:val="65364703"/>
    <w:rsid w:val="654216EC"/>
    <w:rsid w:val="6543E7B7"/>
    <w:rsid w:val="6545FC22"/>
    <w:rsid w:val="65493FBF"/>
    <w:rsid w:val="654FE9BE"/>
    <w:rsid w:val="6552BE71"/>
    <w:rsid w:val="6561DB1F"/>
    <w:rsid w:val="65655529"/>
    <w:rsid w:val="65655E3F"/>
    <w:rsid w:val="656A6A2F"/>
    <w:rsid w:val="656BF586"/>
    <w:rsid w:val="656FE6DB"/>
    <w:rsid w:val="657A66FA"/>
    <w:rsid w:val="658C1D37"/>
    <w:rsid w:val="6593D4F8"/>
    <w:rsid w:val="6596652B"/>
    <w:rsid w:val="6598A447"/>
    <w:rsid w:val="659A0180"/>
    <w:rsid w:val="659A06EB"/>
    <w:rsid w:val="65A24F5E"/>
    <w:rsid w:val="65A33B2C"/>
    <w:rsid w:val="65A3C05D"/>
    <w:rsid w:val="65AB1A69"/>
    <w:rsid w:val="65AED908"/>
    <w:rsid w:val="65B06827"/>
    <w:rsid w:val="65B2A3D9"/>
    <w:rsid w:val="65B5D8E3"/>
    <w:rsid w:val="65BE8738"/>
    <w:rsid w:val="65C8A3F6"/>
    <w:rsid w:val="65C9611E"/>
    <w:rsid w:val="65C9DB18"/>
    <w:rsid w:val="65CEA4A1"/>
    <w:rsid w:val="65D8C6EE"/>
    <w:rsid w:val="65E16790"/>
    <w:rsid w:val="65E62AFE"/>
    <w:rsid w:val="65E7D14E"/>
    <w:rsid w:val="65ECC73C"/>
    <w:rsid w:val="66001605"/>
    <w:rsid w:val="660389CE"/>
    <w:rsid w:val="66077C3B"/>
    <w:rsid w:val="6609274B"/>
    <w:rsid w:val="660BCB69"/>
    <w:rsid w:val="660CFECF"/>
    <w:rsid w:val="660EBF8C"/>
    <w:rsid w:val="6610F362"/>
    <w:rsid w:val="66183FEB"/>
    <w:rsid w:val="6619F156"/>
    <w:rsid w:val="66215DBF"/>
    <w:rsid w:val="662400A4"/>
    <w:rsid w:val="66271B67"/>
    <w:rsid w:val="66288616"/>
    <w:rsid w:val="662ACECD"/>
    <w:rsid w:val="6638ABFE"/>
    <w:rsid w:val="6641B69D"/>
    <w:rsid w:val="66441B56"/>
    <w:rsid w:val="664D6948"/>
    <w:rsid w:val="664E415B"/>
    <w:rsid w:val="6652669E"/>
    <w:rsid w:val="66542EAE"/>
    <w:rsid w:val="66566214"/>
    <w:rsid w:val="66585783"/>
    <w:rsid w:val="66672A98"/>
    <w:rsid w:val="666A379E"/>
    <w:rsid w:val="666B631B"/>
    <w:rsid w:val="66727755"/>
    <w:rsid w:val="66745ABC"/>
    <w:rsid w:val="66776FF6"/>
    <w:rsid w:val="667DF50D"/>
    <w:rsid w:val="6686B815"/>
    <w:rsid w:val="668A4471"/>
    <w:rsid w:val="6691B3E7"/>
    <w:rsid w:val="669B16BE"/>
    <w:rsid w:val="669B8742"/>
    <w:rsid w:val="66A54D5E"/>
    <w:rsid w:val="66A8EE2A"/>
    <w:rsid w:val="66AD27F2"/>
    <w:rsid w:val="66B2C934"/>
    <w:rsid w:val="66B3F952"/>
    <w:rsid w:val="66BC232F"/>
    <w:rsid w:val="66C1B14F"/>
    <w:rsid w:val="66C43A1C"/>
    <w:rsid w:val="66CAFDB6"/>
    <w:rsid w:val="66CBD1CF"/>
    <w:rsid w:val="66D3A953"/>
    <w:rsid w:val="66D3B83E"/>
    <w:rsid w:val="66DA997B"/>
    <w:rsid w:val="66F37A4E"/>
    <w:rsid w:val="66F4A45C"/>
    <w:rsid w:val="66F4A651"/>
    <w:rsid w:val="66F95A05"/>
    <w:rsid w:val="66FB293E"/>
    <w:rsid w:val="67029CF5"/>
    <w:rsid w:val="670927F3"/>
    <w:rsid w:val="67093586"/>
    <w:rsid w:val="6709B908"/>
    <w:rsid w:val="670BC9B0"/>
    <w:rsid w:val="670F1994"/>
    <w:rsid w:val="670F2360"/>
    <w:rsid w:val="671051C4"/>
    <w:rsid w:val="67108420"/>
    <w:rsid w:val="671EECC2"/>
    <w:rsid w:val="67263869"/>
    <w:rsid w:val="672CA35E"/>
    <w:rsid w:val="672D7BDB"/>
    <w:rsid w:val="673AA8E7"/>
    <w:rsid w:val="673AF5CA"/>
    <w:rsid w:val="6741A6AB"/>
    <w:rsid w:val="674C36DA"/>
    <w:rsid w:val="67518D25"/>
    <w:rsid w:val="675313E1"/>
    <w:rsid w:val="6756B3F4"/>
    <w:rsid w:val="675AA8E2"/>
    <w:rsid w:val="675CB151"/>
    <w:rsid w:val="675D153B"/>
    <w:rsid w:val="676214E2"/>
    <w:rsid w:val="67689FB8"/>
    <w:rsid w:val="677DF14C"/>
    <w:rsid w:val="678A4635"/>
    <w:rsid w:val="678CFD82"/>
    <w:rsid w:val="678D59B3"/>
    <w:rsid w:val="678E0D9B"/>
    <w:rsid w:val="6792CB58"/>
    <w:rsid w:val="67962B96"/>
    <w:rsid w:val="6798EC1A"/>
    <w:rsid w:val="679D20A7"/>
    <w:rsid w:val="679E1696"/>
    <w:rsid w:val="679FC4B0"/>
    <w:rsid w:val="67A142EC"/>
    <w:rsid w:val="67A2433A"/>
    <w:rsid w:val="67B788B3"/>
    <w:rsid w:val="67B7EE0E"/>
    <w:rsid w:val="67BA1C74"/>
    <w:rsid w:val="67C26F89"/>
    <w:rsid w:val="67D2A65B"/>
    <w:rsid w:val="67DA23CC"/>
    <w:rsid w:val="67DA881B"/>
    <w:rsid w:val="67E3C717"/>
    <w:rsid w:val="67E507BE"/>
    <w:rsid w:val="67E71DC5"/>
    <w:rsid w:val="67EBD07C"/>
    <w:rsid w:val="67F0F58B"/>
    <w:rsid w:val="67F195FF"/>
    <w:rsid w:val="67F33BF8"/>
    <w:rsid w:val="67F94092"/>
    <w:rsid w:val="67FD2C93"/>
    <w:rsid w:val="68065FEC"/>
    <w:rsid w:val="681074E4"/>
    <w:rsid w:val="681548B1"/>
    <w:rsid w:val="681E2829"/>
    <w:rsid w:val="68255FA2"/>
    <w:rsid w:val="68298718"/>
    <w:rsid w:val="682B067E"/>
    <w:rsid w:val="683044FA"/>
    <w:rsid w:val="68387BB2"/>
    <w:rsid w:val="68409A24"/>
    <w:rsid w:val="684351AB"/>
    <w:rsid w:val="68488E67"/>
    <w:rsid w:val="684C9CF8"/>
    <w:rsid w:val="684DBD8E"/>
    <w:rsid w:val="684EBD14"/>
    <w:rsid w:val="68560B40"/>
    <w:rsid w:val="685B0B41"/>
    <w:rsid w:val="685E60DA"/>
    <w:rsid w:val="68639036"/>
    <w:rsid w:val="6864A344"/>
    <w:rsid w:val="68658542"/>
    <w:rsid w:val="6867B7AD"/>
    <w:rsid w:val="686B4777"/>
    <w:rsid w:val="68711BB6"/>
    <w:rsid w:val="68744A07"/>
    <w:rsid w:val="68763E67"/>
    <w:rsid w:val="68768A82"/>
    <w:rsid w:val="68771631"/>
    <w:rsid w:val="687CD63E"/>
    <w:rsid w:val="689155DA"/>
    <w:rsid w:val="6893462F"/>
    <w:rsid w:val="689DACCE"/>
    <w:rsid w:val="689DC4CB"/>
    <w:rsid w:val="68A7BF49"/>
    <w:rsid w:val="68A821C2"/>
    <w:rsid w:val="68A977E0"/>
    <w:rsid w:val="68AFB992"/>
    <w:rsid w:val="68B4781B"/>
    <w:rsid w:val="68B63437"/>
    <w:rsid w:val="68B6493B"/>
    <w:rsid w:val="68B64967"/>
    <w:rsid w:val="68CC6B15"/>
    <w:rsid w:val="68CE2269"/>
    <w:rsid w:val="68CE696D"/>
    <w:rsid w:val="68D4EB8F"/>
    <w:rsid w:val="68D683A8"/>
    <w:rsid w:val="68D98B09"/>
    <w:rsid w:val="68E6E032"/>
    <w:rsid w:val="68ECC548"/>
    <w:rsid w:val="691A1490"/>
    <w:rsid w:val="691B4824"/>
    <w:rsid w:val="692700C5"/>
    <w:rsid w:val="6933569F"/>
    <w:rsid w:val="693E887A"/>
    <w:rsid w:val="693EC712"/>
    <w:rsid w:val="6941CCB1"/>
    <w:rsid w:val="694767E9"/>
    <w:rsid w:val="694E5429"/>
    <w:rsid w:val="694FF5E4"/>
    <w:rsid w:val="6950A13E"/>
    <w:rsid w:val="6956C3F8"/>
    <w:rsid w:val="69586397"/>
    <w:rsid w:val="695A239B"/>
    <w:rsid w:val="695D79D8"/>
    <w:rsid w:val="696E9F24"/>
    <w:rsid w:val="69718685"/>
    <w:rsid w:val="6972CF6E"/>
    <w:rsid w:val="697B932F"/>
    <w:rsid w:val="697DE198"/>
    <w:rsid w:val="69802C70"/>
    <w:rsid w:val="698216EE"/>
    <w:rsid w:val="6982752C"/>
    <w:rsid w:val="6983E8A5"/>
    <w:rsid w:val="6986325E"/>
    <w:rsid w:val="69924745"/>
    <w:rsid w:val="6995B068"/>
    <w:rsid w:val="6999B1E8"/>
    <w:rsid w:val="699AA895"/>
    <w:rsid w:val="69A4B522"/>
    <w:rsid w:val="69A50DB2"/>
    <w:rsid w:val="69A625D7"/>
    <w:rsid w:val="69A99E24"/>
    <w:rsid w:val="69B1BE6D"/>
    <w:rsid w:val="69B2D093"/>
    <w:rsid w:val="69B3D4C9"/>
    <w:rsid w:val="69B605EA"/>
    <w:rsid w:val="69BAB189"/>
    <w:rsid w:val="69C07C51"/>
    <w:rsid w:val="69C5ABA8"/>
    <w:rsid w:val="69CAB778"/>
    <w:rsid w:val="69D44021"/>
    <w:rsid w:val="69D4B71D"/>
    <w:rsid w:val="69DCC6C7"/>
    <w:rsid w:val="69E1D10B"/>
    <w:rsid w:val="69F1FF4E"/>
    <w:rsid w:val="69F39D34"/>
    <w:rsid w:val="69F45C29"/>
    <w:rsid w:val="6A051A32"/>
    <w:rsid w:val="6A05302C"/>
    <w:rsid w:val="6A05CF56"/>
    <w:rsid w:val="6A09BFD4"/>
    <w:rsid w:val="6A0C329F"/>
    <w:rsid w:val="6A108061"/>
    <w:rsid w:val="6A129199"/>
    <w:rsid w:val="6A131231"/>
    <w:rsid w:val="6A1AF331"/>
    <w:rsid w:val="6A1DD995"/>
    <w:rsid w:val="6A20518F"/>
    <w:rsid w:val="6A232777"/>
    <w:rsid w:val="6A26B83E"/>
    <w:rsid w:val="6A2B793C"/>
    <w:rsid w:val="6A2DDDDA"/>
    <w:rsid w:val="6A2F74C2"/>
    <w:rsid w:val="6A369058"/>
    <w:rsid w:val="6A3B21F3"/>
    <w:rsid w:val="6A3F7C22"/>
    <w:rsid w:val="6A4A9694"/>
    <w:rsid w:val="6A588729"/>
    <w:rsid w:val="6A5D8176"/>
    <w:rsid w:val="6A5E3649"/>
    <w:rsid w:val="6A6FABA0"/>
    <w:rsid w:val="6A6FAD1A"/>
    <w:rsid w:val="6A72EBCA"/>
    <w:rsid w:val="6A77639E"/>
    <w:rsid w:val="6A7B9E2B"/>
    <w:rsid w:val="6A7EAA31"/>
    <w:rsid w:val="6A9650BE"/>
    <w:rsid w:val="6A9A3F42"/>
    <w:rsid w:val="6A9AADA1"/>
    <w:rsid w:val="6AB39415"/>
    <w:rsid w:val="6AB8116E"/>
    <w:rsid w:val="6AB92F43"/>
    <w:rsid w:val="6ABEA245"/>
    <w:rsid w:val="6AC4FC07"/>
    <w:rsid w:val="6AC7DE82"/>
    <w:rsid w:val="6ACD18CE"/>
    <w:rsid w:val="6ACE689D"/>
    <w:rsid w:val="6AD2E0CB"/>
    <w:rsid w:val="6AD3CFFF"/>
    <w:rsid w:val="6AD5CA43"/>
    <w:rsid w:val="6AD679E4"/>
    <w:rsid w:val="6AE9561E"/>
    <w:rsid w:val="6AEE04D4"/>
    <w:rsid w:val="6AF1726F"/>
    <w:rsid w:val="6AF65332"/>
    <w:rsid w:val="6AFD8C51"/>
    <w:rsid w:val="6B0349A4"/>
    <w:rsid w:val="6B0425D3"/>
    <w:rsid w:val="6B0491FA"/>
    <w:rsid w:val="6B0B8E67"/>
    <w:rsid w:val="6B0FE452"/>
    <w:rsid w:val="6B10B609"/>
    <w:rsid w:val="6B1397E7"/>
    <w:rsid w:val="6B166EB9"/>
    <w:rsid w:val="6B18DFA8"/>
    <w:rsid w:val="6B193768"/>
    <w:rsid w:val="6B1DE335"/>
    <w:rsid w:val="6B1E5EC6"/>
    <w:rsid w:val="6B266C56"/>
    <w:rsid w:val="6B2797F4"/>
    <w:rsid w:val="6B2A1101"/>
    <w:rsid w:val="6B2BDBBA"/>
    <w:rsid w:val="6B355DB0"/>
    <w:rsid w:val="6B3B0D12"/>
    <w:rsid w:val="6B43CA4E"/>
    <w:rsid w:val="6B51D0F1"/>
    <w:rsid w:val="6B521313"/>
    <w:rsid w:val="6B52BCFB"/>
    <w:rsid w:val="6B5C2777"/>
    <w:rsid w:val="6B5E06F4"/>
    <w:rsid w:val="6B635E0E"/>
    <w:rsid w:val="6B675AF7"/>
    <w:rsid w:val="6B6D2DA9"/>
    <w:rsid w:val="6B7599AD"/>
    <w:rsid w:val="6B767769"/>
    <w:rsid w:val="6B7D4D65"/>
    <w:rsid w:val="6B818D48"/>
    <w:rsid w:val="6B88968D"/>
    <w:rsid w:val="6B8964DA"/>
    <w:rsid w:val="6B8BDAD7"/>
    <w:rsid w:val="6B8E4259"/>
    <w:rsid w:val="6B9328CA"/>
    <w:rsid w:val="6B9FE48A"/>
    <w:rsid w:val="6BA0E2C1"/>
    <w:rsid w:val="6BAC5093"/>
    <w:rsid w:val="6BB1BF14"/>
    <w:rsid w:val="6BB5F9B0"/>
    <w:rsid w:val="6BDE356F"/>
    <w:rsid w:val="6BE1A7B4"/>
    <w:rsid w:val="6BE90CD3"/>
    <w:rsid w:val="6BEE486D"/>
    <w:rsid w:val="6BF10CF1"/>
    <w:rsid w:val="6C005EFA"/>
    <w:rsid w:val="6C0844E6"/>
    <w:rsid w:val="6C0B1571"/>
    <w:rsid w:val="6C16C8C2"/>
    <w:rsid w:val="6C16F517"/>
    <w:rsid w:val="6C1A5F32"/>
    <w:rsid w:val="6C1FBCE3"/>
    <w:rsid w:val="6C21EBFD"/>
    <w:rsid w:val="6C27C8A2"/>
    <w:rsid w:val="6C350EEE"/>
    <w:rsid w:val="6C3CA978"/>
    <w:rsid w:val="6C3EEAC2"/>
    <w:rsid w:val="6C4254E0"/>
    <w:rsid w:val="6C4F32DB"/>
    <w:rsid w:val="6C52F0DD"/>
    <w:rsid w:val="6C56D81D"/>
    <w:rsid w:val="6C5C73DB"/>
    <w:rsid w:val="6C61085B"/>
    <w:rsid w:val="6C6D33C4"/>
    <w:rsid w:val="6C6D6B96"/>
    <w:rsid w:val="6C6EAFAA"/>
    <w:rsid w:val="6C732F94"/>
    <w:rsid w:val="6C78F9A0"/>
    <w:rsid w:val="6C7BC5AD"/>
    <w:rsid w:val="6C80101A"/>
    <w:rsid w:val="6C81EEC7"/>
    <w:rsid w:val="6C882A15"/>
    <w:rsid w:val="6C8CB90C"/>
    <w:rsid w:val="6C9C4BA0"/>
    <w:rsid w:val="6C9C5301"/>
    <w:rsid w:val="6CA7781C"/>
    <w:rsid w:val="6CB6DA62"/>
    <w:rsid w:val="6CB84EC0"/>
    <w:rsid w:val="6CBADEA7"/>
    <w:rsid w:val="6CC2B5C1"/>
    <w:rsid w:val="6CC2C81F"/>
    <w:rsid w:val="6CC8E7A7"/>
    <w:rsid w:val="6CCD63F8"/>
    <w:rsid w:val="6CCFC190"/>
    <w:rsid w:val="6CD80E46"/>
    <w:rsid w:val="6CDBD492"/>
    <w:rsid w:val="6CDBEA5C"/>
    <w:rsid w:val="6CDED93F"/>
    <w:rsid w:val="6CE1406B"/>
    <w:rsid w:val="6CEB33A7"/>
    <w:rsid w:val="6CF23CE7"/>
    <w:rsid w:val="6CF67545"/>
    <w:rsid w:val="6D017687"/>
    <w:rsid w:val="6D061546"/>
    <w:rsid w:val="6D0866B0"/>
    <w:rsid w:val="6D128833"/>
    <w:rsid w:val="6D147586"/>
    <w:rsid w:val="6D1C9324"/>
    <w:rsid w:val="6D1CEA89"/>
    <w:rsid w:val="6D1EFE4D"/>
    <w:rsid w:val="6D20D56B"/>
    <w:rsid w:val="6D2957A9"/>
    <w:rsid w:val="6D296E70"/>
    <w:rsid w:val="6D2ED06A"/>
    <w:rsid w:val="6D38B2A4"/>
    <w:rsid w:val="6D4016BE"/>
    <w:rsid w:val="6D497A5D"/>
    <w:rsid w:val="6D584AF9"/>
    <w:rsid w:val="6D6656FC"/>
    <w:rsid w:val="6D6C17A2"/>
    <w:rsid w:val="6D6EDCAF"/>
    <w:rsid w:val="6D9B006F"/>
    <w:rsid w:val="6D9EBAD3"/>
    <w:rsid w:val="6DA3389C"/>
    <w:rsid w:val="6DA3A254"/>
    <w:rsid w:val="6DA44D33"/>
    <w:rsid w:val="6DAB4455"/>
    <w:rsid w:val="6DAE8B6E"/>
    <w:rsid w:val="6DAF0B05"/>
    <w:rsid w:val="6DAFC266"/>
    <w:rsid w:val="6DB169AF"/>
    <w:rsid w:val="6DB5F636"/>
    <w:rsid w:val="6DB7727C"/>
    <w:rsid w:val="6DB96658"/>
    <w:rsid w:val="6DBEAE5C"/>
    <w:rsid w:val="6DC443BD"/>
    <w:rsid w:val="6DC5B1E8"/>
    <w:rsid w:val="6DCF10DD"/>
    <w:rsid w:val="6DD116BA"/>
    <w:rsid w:val="6DD129E3"/>
    <w:rsid w:val="6DD881F4"/>
    <w:rsid w:val="6DE7CE44"/>
    <w:rsid w:val="6DEE8F17"/>
    <w:rsid w:val="6DF7372F"/>
    <w:rsid w:val="6DFC1FF3"/>
    <w:rsid w:val="6DFE0D46"/>
    <w:rsid w:val="6E0089BB"/>
    <w:rsid w:val="6E03CFEB"/>
    <w:rsid w:val="6E06E778"/>
    <w:rsid w:val="6E0A79BA"/>
    <w:rsid w:val="6E0CE64A"/>
    <w:rsid w:val="6E1CCE77"/>
    <w:rsid w:val="6E1D2134"/>
    <w:rsid w:val="6E1EB58E"/>
    <w:rsid w:val="6E26D755"/>
    <w:rsid w:val="6E26F75C"/>
    <w:rsid w:val="6E2A8B01"/>
    <w:rsid w:val="6E2BD482"/>
    <w:rsid w:val="6E2D8CF0"/>
    <w:rsid w:val="6E4B9A0B"/>
    <w:rsid w:val="6E4D633F"/>
    <w:rsid w:val="6E507ED6"/>
    <w:rsid w:val="6E544CFB"/>
    <w:rsid w:val="6E552170"/>
    <w:rsid w:val="6E5F7AE5"/>
    <w:rsid w:val="6E6677B7"/>
    <w:rsid w:val="6E6EF1FC"/>
    <w:rsid w:val="6E70D222"/>
    <w:rsid w:val="6E720477"/>
    <w:rsid w:val="6E759919"/>
    <w:rsid w:val="6E761C30"/>
    <w:rsid w:val="6E7B73BE"/>
    <w:rsid w:val="6E7C70CE"/>
    <w:rsid w:val="6E7F835B"/>
    <w:rsid w:val="6E82A6E6"/>
    <w:rsid w:val="6E896E4B"/>
    <w:rsid w:val="6E8AD7AA"/>
    <w:rsid w:val="6E8DDE6F"/>
    <w:rsid w:val="6E8F352B"/>
    <w:rsid w:val="6EAFBF62"/>
    <w:rsid w:val="6EB3F392"/>
    <w:rsid w:val="6EB6A908"/>
    <w:rsid w:val="6EBA5101"/>
    <w:rsid w:val="6EBC34BD"/>
    <w:rsid w:val="6EBF6F28"/>
    <w:rsid w:val="6ED0EB56"/>
    <w:rsid w:val="6EDAE485"/>
    <w:rsid w:val="6EDC66A1"/>
    <w:rsid w:val="6EDD4269"/>
    <w:rsid w:val="6EEF2398"/>
    <w:rsid w:val="6EF3B63E"/>
    <w:rsid w:val="6EF953F6"/>
    <w:rsid w:val="6F003B13"/>
    <w:rsid w:val="6F021DD4"/>
    <w:rsid w:val="6F03BDA0"/>
    <w:rsid w:val="6F08562C"/>
    <w:rsid w:val="6F0A9847"/>
    <w:rsid w:val="6F0B4779"/>
    <w:rsid w:val="6F0BF91A"/>
    <w:rsid w:val="6F0E0D8C"/>
    <w:rsid w:val="6F0EB9E6"/>
    <w:rsid w:val="6F1626F6"/>
    <w:rsid w:val="6F194700"/>
    <w:rsid w:val="6F1EB01A"/>
    <w:rsid w:val="6F23B04C"/>
    <w:rsid w:val="6F2A7AE3"/>
    <w:rsid w:val="6F30F94C"/>
    <w:rsid w:val="6F35EC35"/>
    <w:rsid w:val="6F3C81F6"/>
    <w:rsid w:val="6F3D1550"/>
    <w:rsid w:val="6F44BE1E"/>
    <w:rsid w:val="6F456FF8"/>
    <w:rsid w:val="6F45C767"/>
    <w:rsid w:val="6F480C92"/>
    <w:rsid w:val="6F4EBEAD"/>
    <w:rsid w:val="6F5A8B7A"/>
    <w:rsid w:val="6F64D52D"/>
    <w:rsid w:val="6F66D2BC"/>
    <w:rsid w:val="6F6C99E6"/>
    <w:rsid w:val="6F77F421"/>
    <w:rsid w:val="6F7A6C8F"/>
    <w:rsid w:val="6F7EF4A2"/>
    <w:rsid w:val="6F81A19B"/>
    <w:rsid w:val="6F850907"/>
    <w:rsid w:val="6F879317"/>
    <w:rsid w:val="6F896E21"/>
    <w:rsid w:val="6F8B9F4F"/>
    <w:rsid w:val="6F969933"/>
    <w:rsid w:val="6F9AEFC7"/>
    <w:rsid w:val="6F9B85B2"/>
    <w:rsid w:val="6F9EDC27"/>
    <w:rsid w:val="6F9FAAEE"/>
    <w:rsid w:val="6FA28F1D"/>
    <w:rsid w:val="6FAC4CB0"/>
    <w:rsid w:val="6FB1B545"/>
    <w:rsid w:val="6FB21698"/>
    <w:rsid w:val="6FB27215"/>
    <w:rsid w:val="6FB54DF0"/>
    <w:rsid w:val="6FB5A744"/>
    <w:rsid w:val="6FB5D679"/>
    <w:rsid w:val="6FBBA156"/>
    <w:rsid w:val="6FBC5975"/>
    <w:rsid w:val="6FBDBC00"/>
    <w:rsid w:val="6FC64570"/>
    <w:rsid w:val="6FC9675C"/>
    <w:rsid w:val="6FD5F457"/>
    <w:rsid w:val="6FD5FC2D"/>
    <w:rsid w:val="6FE5EE7C"/>
    <w:rsid w:val="6FEFE597"/>
    <w:rsid w:val="6FF8641B"/>
    <w:rsid w:val="6FFFD32C"/>
    <w:rsid w:val="70014738"/>
    <w:rsid w:val="700394F6"/>
    <w:rsid w:val="700E2BA9"/>
    <w:rsid w:val="701F9367"/>
    <w:rsid w:val="702187C1"/>
    <w:rsid w:val="702535DF"/>
    <w:rsid w:val="702BE839"/>
    <w:rsid w:val="7037C4C5"/>
    <w:rsid w:val="70423E2F"/>
    <w:rsid w:val="7043E15B"/>
    <w:rsid w:val="70444CF2"/>
    <w:rsid w:val="704AC268"/>
    <w:rsid w:val="704B76D1"/>
    <w:rsid w:val="704C830D"/>
    <w:rsid w:val="7056A5EB"/>
    <w:rsid w:val="70581569"/>
    <w:rsid w:val="705B2405"/>
    <w:rsid w:val="7064D803"/>
    <w:rsid w:val="7066929D"/>
    <w:rsid w:val="7066CEAA"/>
    <w:rsid w:val="70683696"/>
    <w:rsid w:val="706A5979"/>
    <w:rsid w:val="706D75E8"/>
    <w:rsid w:val="706F719E"/>
    <w:rsid w:val="7071DA59"/>
    <w:rsid w:val="70767068"/>
    <w:rsid w:val="70799C4E"/>
    <w:rsid w:val="707EF535"/>
    <w:rsid w:val="708204DB"/>
    <w:rsid w:val="70838735"/>
    <w:rsid w:val="7086A612"/>
    <w:rsid w:val="70894BEF"/>
    <w:rsid w:val="70962C86"/>
    <w:rsid w:val="709A580E"/>
    <w:rsid w:val="709B1B12"/>
    <w:rsid w:val="70A3EA6A"/>
    <w:rsid w:val="70AB10CC"/>
    <w:rsid w:val="70B0533F"/>
    <w:rsid w:val="70B0F5B7"/>
    <w:rsid w:val="70C43AC8"/>
    <w:rsid w:val="70C8F232"/>
    <w:rsid w:val="70CE9BF5"/>
    <w:rsid w:val="70CEF36F"/>
    <w:rsid w:val="70D5016C"/>
    <w:rsid w:val="70DA3C11"/>
    <w:rsid w:val="70DB936B"/>
    <w:rsid w:val="70DC1017"/>
    <w:rsid w:val="70DED575"/>
    <w:rsid w:val="70E554B2"/>
    <w:rsid w:val="70E9D50D"/>
    <w:rsid w:val="70EE276E"/>
    <w:rsid w:val="70F7AE2F"/>
    <w:rsid w:val="70FBB7EA"/>
    <w:rsid w:val="70FDEDE2"/>
    <w:rsid w:val="70FFB162"/>
    <w:rsid w:val="71027976"/>
    <w:rsid w:val="7102873F"/>
    <w:rsid w:val="71124378"/>
    <w:rsid w:val="7115683A"/>
    <w:rsid w:val="7118434B"/>
    <w:rsid w:val="711AFF6C"/>
    <w:rsid w:val="711C30BD"/>
    <w:rsid w:val="712512CF"/>
    <w:rsid w:val="712A5074"/>
    <w:rsid w:val="713337FE"/>
    <w:rsid w:val="7135A0E0"/>
    <w:rsid w:val="7136B0B4"/>
    <w:rsid w:val="713ED02A"/>
    <w:rsid w:val="714DDE4E"/>
    <w:rsid w:val="714FC74E"/>
    <w:rsid w:val="7150A743"/>
    <w:rsid w:val="715430DF"/>
    <w:rsid w:val="715780B8"/>
    <w:rsid w:val="715A1D40"/>
    <w:rsid w:val="715A6E9D"/>
    <w:rsid w:val="715F356B"/>
    <w:rsid w:val="715F75A5"/>
    <w:rsid w:val="717053AF"/>
    <w:rsid w:val="717C73AF"/>
    <w:rsid w:val="717DD0A7"/>
    <w:rsid w:val="717ECA7B"/>
    <w:rsid w:val="718B1844"/>
    <w:rsid w:val="7198B052"/>
    <w:rsid w:val="71A02186"/>
    <w:rsid w:val="71ACA316"/>
    <w:rsid w:val="71ACD956"/>
    <w:rsid w:val="71AE9146"/>
    <w:rsid w:val="71B0F5BF"/>
    <w:rsid w:val="71B3F412"/>
    <w:rsid w:val="71B96C34"/>
    <w:rsid w:val="71BD7B2C"/>
    <w:rsid w:val="71BDDA12"/>
    <w:rsid w:val="71CA324B"/>
    <w:rsid w:val="71CADD57"/>
    <w:rsid w:val="71CB8699"/>
    <w:rsid w:val="71D43B3B"/>
    <w:rsid w:val="71D60668"/>
    <w:rsid w:val="71D9D592"/>
    <w:rsid w:val="71DA5DCE"/>
    <w:rsid w:val="71DCFE79"/>
    <w:rsid w:val="71DF8293"/>
    <w:rsid w:val="71E9F5E6"/>
    <w:rsid w:val="71EA2F29"/>
    <w:rsid w:val="71ED7D2D"/>
    <w:rsid w:val="71EF603C"/>
    <w:rsid w:val="71F1EE56"/>
    <w:rsid w:val="71F86EE6"/>
    <w:rsid w:val="71FA2A55"/>
    <w:rsid w:val="7200DAC3"/>
    <w:rsid w:val="72036F60"/>
    <w:rsid w:val="720A4943"/>
    <w:rsid w:val="720A9298"/>
    <w:rsid w:val="720EAA17"/>
    <w:rsid w:val="720F5274"/>
    <w:rsid w:val="7212BEAC"/>
    <w:rsid w:val="721FF41B"/>
    <w:rsid w:val="72217E69"/>
    <w:rsid w:val="72273207"/>
    <w:rsid w:val="72276023"/>
    <w:rsid w:val="7229E072"/>
    <w:rsid w:val="722A5824"/>
    <w:rsid w:val="722B0B2D"/>
    <w:rsid w:val="7248412B"/>
    <w:rsid w:val="724C8A9C"/>
    <w:rsid w:val="724DC02A"/>
    <w:rsid w:val="72566E97"/>
    <w:rsid w:val="7256DE92"/>
    <w:rsid w:val="7256F585"/>
    <w:rsid w:val="7257B51D"/>
    <w:rsid w:val="7257E7BD"/>
    <w:rsid w:val="725AEAD0"/>
    <w:rsid w:val="725B4093"/>
    <w:rsid w:val="725BAA56"/>
    <w:rsid w:val="725D07A4"/>
    <w:rsid w:val="725F71C9"/>
    <w:rsid w:val="7262BC3A"/>
    <w:rsid w:val="7267ED26"/>
    <w:rsid w:val="726A3480"/>
    <w:rsid w:val="726BCDA0"/>
    <w:rsid w:val="726DD2BF"/>
    <w:rsid w:val="726E821F"/>
    <w:rsid w:val="72784E17"/>
    <w:rsid w:val="727A558E"/>
    <w:rsid w:val="728D6D1F"/>
    <w:rsid w:val="7297E18B"/>
    <w:rsid w:val="7298B859"/>
    <w:rsid w:val="7298F1A3"/>
    <w:rsid w:val="72997B37"/>
    <w:rsid w:val="72A4AC24"/>
    <w:rsid w:val="72A5E1D1"/>
    <w:rsid w:val="72A9622F"/>
    <w:rsid w:val="72A98D9B"/>
    <w:rsid w:val="72ADE49F"/>
    <w:rsid w:val="72AF883A"/>
    <w:rsid w:val="72C61AB8"/>
    <w:rsid w:val="72D02AC7"/>
    <w:rsid w:val="72D111F9"/>
    <w:rsid w:val="72D3F835"/>
    <w:rsid w:val="72DD578A"/>
    <w:rsid w:val="72E0AF69"/>
    <w:rsid w:val="72E238B1"/>
    <w:rsid w:val="72EA4EFE"/>
    <w:rsid w:val="72EC15F5"/>
    <w:rsid w:val="72EEF061"/>
    <w:rsid w:val="72F418E1"/>
    <w:rsid w:val="72FC067B"/>
    <w:rsid w:val="73091F01"/>
    <w:rsid w:val="7309FA89"/>
    <w:rsid w:val="730E8C3D"/>
    <w:rsid w:val="730EDE19"/>
    <w:rsid w:val="73109B5F"/>
    <w:rsid w:val="7310D031"/>
    <w:rsid w:val="7317B403"/>
    <w:rsid w:val="731B4204"/>
    <w:rsid w:val="73274DC1"/>
    <w:rsid w:val="732B6A2A"/>
    <w:rsid w:val="7339F21C"/>
    <w:rsid w:val="73409873"/>
    <w:rsid w:val="734115A7"/>
    <w:rsid w:val="7346D6AA"/>
    <w:rsid w:val="7349179B"/>
    <w:rsid w:val="734CC4BA"/>
    <w:rsid w:val="734DD319"/>
    <w:rsid w:val="73532089"/>
    <w:rsid w:val="73534227"/>
    <w:rsid w:val="73534AE7"/>
    <w:rsid w:val="735614FD"/>
    <w:rsid w:val="7356EBD8"/>
    <w:rsid w:val="735D1C7E"/>
    <w:rsid w:val="735FF169"/>
    <w:rsid w:val="736720C7"/>
    <w:rsid w:val="736DBB84"/>
    <w:rsid w:val="73715D08"/>
    <w:rsid w:val="737483C7"/>
    <w:rsid w:val="7377BC30"/>
    <w:rsid w:val="73788159"/>
    <w:rsid w:val="73865CAA"/>
    <w:rsid w:val="73866C02"/>
    <w:rsid w:val="738C0F68"/>
    <w:rsid w:val="738E546B"/>
    <w:rsid w:val="7397579E"/>
    <w:rsid w:val="7398F58F"/>
    <w:rsid w:val="739AF545"/>
    <w:rsid w:val="739E3BA6"/>
    <w:rsid w:val="73A057FC"/>
    <w:rsid w:val="73A630FD"/>
    <w:rsid w:val="73A7D467"/>
    <w:rsid w:val="73A7E87F"/>
    <w:rsid w:val="73B220BC"/>
    <w:rsid w:val="73B71ED1"/>
    <w:rsid w:val="73BD4FAE"/>
    <w:rsid w:val="73BFE745"/>
    <w:rsid w:val="73C2356E"/>
    <w:rsid w:val="73CAE885"/>
    <w:rsid w:val="73D28FCD"/>
    <w:rsid w:val="73D34E4A"/>
    <w:rsid w:val="73D9180E"/>
    <w:rsid w:val="73DF2180"/>
    <w:rsid w:val="73E12380"/>
    <w:rsid w:val="73E63E9E"/>
    <w:rsid w:val="73EBE1C8"/>
    <w:rsid w:val="73ECA07A"/>
    <w:rsid w:val="73F86100"/>
    <w:rsid w:val="74060A24"/>
    <w:rsid w:val="740627CA"/>
    <w:rsid w:val="74186929"/>
    <w:rsid w:val="741CC541"/>
    <w:rsid w:val="74213A96"/>
    <w:rsid w:val="7423FC96"/>
    <w:rsid w:val="7424249D"/>
    <w:rsid w:val="74268B7D"/>
    <w:rsid w:val="742B1507"/>
    <w:rsid w:val="742D417A"/>
    <w:rsid w:val="742FC8B7"/>
    <w:rsid w:val="7432F681"/>
    <w:rsid w:val="74416F13"/>
    <w:rsid w:val="7441ED59"/>
    <w:rsid w:val="74443F55"/>
    <w:rsid w:val="74460A21"/>
    <w:rsid w:val="74467BBA"/>
    <w:rsid w:val="744708A5"/>
    <w:rsid w:val="744A9F12"/>
    <w:rsid w:val="74533932"/>
    <w:rsid w:val="746065A3"/>
    <w:rsid w:val="74607D28"/>
    <w:rsid w:val="7460CBE6"/>
    <w:rsid w:val="7475EA9B"/>
    <w:rsid w:val="747ECBE0"/>
    <w:rsid w:val="74877A7E"/>
    <w:rsid w:val="748B1B05"/>
    <w:rsid w:val="748E6717"/>
    <w:rsid w:val="74905C66"/>
    <w:rsid w:val="74913B10"/>
    <w:rsid w:val="7493F0E9"/>
    <w:rsid w:val="749B6B25"/>
    <w:rsid w:val="74B27AB3"/>
    <w:rsid w:val="74B38159"/>
    <w:rsid w:val="74B4946A"/>
    <w:rsid w:val="74B81D38"/>
    <w:rsid w:val="74C99748"/>
    <w:rsid w:val="74D09D8F"/>
    <w:rsid w:val="74D33937"/>
    <w:rsid w:val="74DEFE22"/>
    <w:rsid w:val="74E179AE"/>
    <w:rsid w:val="74E46423"/>
    <w:rsid w:val="74EC7592"/>
    <w:rsid w:val="74F30BD3"/>
    <w:rsid w:val="74F485BA"/>
    <w:rsid w:val="74F5F6B8"/>
    <w:rsid w:val="74F61F33"/>
    <w:rsid w:val="74F87BDE"/>
    <w:rsid w:val="74FAACF3"/>
    <w:rsid w:val="750307AF"/>
    <w:rsid w:val="75058B37"/>
    <w:rsid w:val="750B0887"/>
    <w:rsid w:val="750FF097"/>
    <w:rsid w:val="75176F98"/>
    <w:rsid w:val="751829C1"/>
    <w:rsid w:val="7518422E"/>
    <w:rsid w:val="751BE576"/>
    <w:rsid w:val="75215614"/>
    <w:rsid w:val="7522B682"/>
    <w:rsid w:val="7525A704"/>
    <w:rsid w:val="75260725"/>
    <w:rsid w:val="7526931A"/>
    <w:rsid w:val="7528FD52"/>
    <w:rsid w:val="75295230"/>
    <w:rsid w:val="7547F611"/>
    <w:rsid w:val="754A217C"/>
    <w:rsid w:val="754B3616"/>
    <w:rsid w:val="754B8512"/>
    <w:rsid w:val="754DE420"/>
    <w:rsid w:val="754E58C9"/>
    <w:rsid w:val="754E9C28"/>
    <w:rsid w:val="7553348B"/>
    <w:rsid w:val="755D1330"/>
    <w:rsid w:val="755E13C6"/>
    <w:rsid w:val="755ED299"/>
    <w:rsid w:val="756126FA"/>
    <w:rsid w:val="75660EEE"/>
    <w:rsid w:val="7567D4A3"/>
    <w:rsid w:val="756ABBE2"/>
    <w:rsid w:val="7573F83D"/>
    <w:rsid w:val="7581E53D"/>
    <w:rsid w:val="758AF39F"/>
    <w:rsid w:val="759040C2"/>
    <w:rsid w:val="75934389"/>
    <w:rsid w:val="7594A047"/>
    <w:rsid w:val="75990456"/>
    <w:rsid w:val="7599D676"/>
    <w:rsid w:val="75A52C7A"/>
    <w:rsid w:val="75B272BE"/>
    <w:rsid w:val="75B2A987"/>
    <w:rsid w:val="75BEAC1C"/>
    <w:rsid w:val="75BEDE25"/>
    <w:rsid w:val="75C66BC7"/>
    <w:rsid w:val="75C8E9EC"/>
    <w:rsid w:val="75CB1158"/>
    <w:rsid w:val="75CC629D"/>
    <w:rsid w:val="75CF2E53"/>
    <w:rsid w:val="75D219AC"/>
    <w:rsid w:val="75D35FC4"/>
    <w:rsid w:val="75D548D0"/>
    <w:rsid w:val="75D773CA"/>
    <w:rsid w:val="75DA27E7"/>
    <w:rsid w:val="75DF6670"/>
    <w:rsid w:val="75E3D855"/>
    <w:rsid w:val="75E45F7C"/>
    <w:rsid w:val="760308DA"/>
    <w:rsid w:val="76080C90"/>
    <w:rsid w:val="760F4B91"/>
    <w:rsid w:val="7616F773"/>
    <w:rsid w:val="7624E454"/>
    <w:rsid w:val="763E88CE"/>
    <w:rsid w:val="763F951C"/>
    <w:rsid w:val="764029BA"/>
    <w:rsid w:val="76404851"/>
    <w:rsid w:val="76449BD0"/>
    <w:rsid w:val="7649797D"/>
    <w:rsid w:val="764FC02B"/>
    <w:rsid w:val="7650F815"/>
    <w:rsid w:val="76555A09"/>
    <w:rsid w:val="76560BD6"/>
    <w:rsid w:val="765F8B2C"/>
    <w:rsid w:val="766137F2"/>
    <w:rsid w:val="76623BBE"/>
    <w:rsid w:val="7662DCF4"/>
    <w:rsid w:val="766468B2"/>
    <w:rsid w:val="766810F9"/>
    <w:rsid w:val="766943CB"/>
    <w:rsid w:val="766AAAB2"/>
    <w:rsid w:val="766B4C21"/>
    <w:rsid w:val="7678A65F"/>
    <w:rsid w:val="7679D3CD"/>
    <w:rsid w:val="768101B8"/>
    <w:rsid w:val="7681A79F"/>
    <w:rsid w:val="7683BBAF"/>
    <w:rsid w:val="7684A752"/>
    <w:rsid w:val="7687BB8C"/>
    <w:rsid w:val="768B8529"/>
    <w:rsid w:val="768C2541"/>
    <w:rsid w:val="768D88D1"/>
    <w:rsid w:val="7692B5C6"/>
    <w:rsid w:val="7692BECF"/>
    <w:rsid w:val="769331C9"/>
    <w:rsid w:val="769445DD"/>
    <w:rsid w:val="769992F3"/>
    <w:rsid w:val="769A0A62"/>
    <w:rsid w:val="769CBBC0"/>
    <w:rsid w:val="76A19A04"/>
    <w:rsid w:val="76AD98F1"/>
    <w:rsid w:val="76B12008"/>
    <w:rsid w:val="76BBBC51"/>
    <w:rsid w:val="76BDBEC9"/>
    <w:rsid w:val="76BF9685"/>
    <w:rsid w:val="76C23193"/>
    <w:rsid w:val="76C269AB"/>
    <w:rsid w:val="76C894E3"/>
    <w:rsid w:val="76CA8EC9"/>
    <w:rsid w:val="76CAC45D"/>
    <w:rsid w:val="76D1AE08"/>
    <w:rsid w:val="76D837D7"/>
    <w:rsid w:val="76D9A24B"/>
    <w:rsid w:val="76E15ECE"/>
    <w:rsid w:val="76E66B7D"/>
    <w:rsid w:val="76E785CF"/>
    <w:rsid w:val="76EC25C4"/>
    <w:rsid w:val="76ECB199"/>
    <w:rsid w:val="76F25D84"/>
    <w:rsid w:val="76F572CB"/>
    <w:rsid w:val="76FB6A28"/>
    <w:rsid w:val="76FC0E5B"/>
    <w:rsid w:val="7705D19E"/>
    <w:rsid w:val="77069A7D"/>
    <w:rsid w:val="77157AD8"/>
    <w:rsid w:val="7715CA11"/>
    <w:rsid w:val="7717ECED"/>
    <w:rsid w:val="771C7F3B"/>
    <w:rsid w:val="771D7A40"/>
    <w:rsid w:val="772E0EF9"/>
    <w:rsid w:val="772EB39F"/>
    <w:rsid w:val="77309D13"/>
    <w:rsid w:val="7731D536"/>
    <w:rsid w:val="7734DB82"/>
    <w:rsid w:val="77351D14"/>
    <w:rsid w:val="77352476"/>
    <w:rsid w:val="773F5990"/>
    <w:rsid w:val="7743E2C3"/>
    <w:rsid w:val="77441142"/>
    <w:rsid w:val="77521E9E"/>
    <w:rsid w:val="7753A446"/>
    <w:rsid w:val="7756F344"/>
    <w:rsid w:val="775F5467"/>
    <w:rsid w:val="775FDCE0"/>
    <w:rsid w:val="77638788"/>
    <w:rsid w:val="77723428"/>
    <w:rsid w:val="777684CF"/>
    <w:rsid w:val="7776E56F"/>
    <w:rsid w:val="77779469"/>
    <w:rsid w:val="7789A1FD"/>
    <w:rsid w:val="778A438D"/>
    <w:rsid w:val="778C12C9"/>
    <w:rsid w:val="77923C12"/>
    <w:rsid w:val="77985BB9"/>
    <w:rsid w:val="779B5703"/>
    <w:rsid w:val="779CCCC5"/>
    <w:rsid w:val="779DA0AC"/>
    <w:rsid w:val="779F04EC"/>
    <w:rsid w:val="779F5460"/>
    <w:rsid w:val="77A06E08"/>
    <w:rsid w:val="77A3CD51"/>
    <w:rsid w:val="77A5059B"/>
    <w:rsid w:val="77B01998"/>
    <w:rsid w:val="77B2CC0C"/>
    <w:rsid w:val="77B6AB7F"/>
    <w:rsid w:val="77C479D6"/>
    <w:rsid w:val="77CBAD74"/>
    <w:rsid w:val="77CE2994"/>
    <w:rsid w:val="77D5E783"/>
    <w:rsid w:val="77DB4701"/>
    <w:rsid w:val="77E09AB0"/>
    <w:rsid w:val="77E1D4C5"/>
    <w:rsid w:val="77E2DCBB"/>
    <w:rsid w:val="77EA2679"/>
    <w:rsid w:val="77EC46BC"/>
    <w:rsid w:val="77EC71A8"/>
    <w:rsid w:val="77EFE3BF"/>
    <w:rsid w:val="77F1FEC4"/>
    <w:rsid w:val="77F8977E"/>
    <w:rsid w:val="780CA315"/>
    <w:rsid w:val="780D5574"/>
    <w:rsid w:val="781398B7"/>
    <w:rsid w:val="782344AC"/>
    <w:rsid w:val="78286495"/>
    <w:rsid w:val="782A3E1C"/>
    <w:rsid w:val="782C6FCD"/>
    <w:rsid w:val="782EDB47"/>
    <w:rsid w:val="7830179E"/>
    <w:rsid w:val="78348697"/>
    <w:rsid w:val="783F2484"/>
    <w:rsid w:val="78403AEE"/>
    <w:rsid w:val="78440ABC"/>
    <w:rsid w:val="7857C561"/>
    <w:rsid w:val="785A9A5F"/>
    <w:rsid w:val="785FC613"/>
    <w:rsid w:val="78713E9C"/>
    <w:rsid w:val="7873B3CC"/>
    <w:rsid w:val="787CDD58"/>
    <w:rsid w:val="787DAC69"/>
    <w:rsid w:val="7888DC52"/>
    <w:rsid w:val="788964ED"/>
    <w:rsid w:val="78939F05"/>
    <w:rsid w:val="7899BF16"/>
    <w:rsid w:val="789C63DA"/>
    <w:rsid w:val="78A21573"/>
    <w:rsid w:val="78A32F7D"/>
    <w:rsid w:val="78A45C8A"/>
    <w:rsid w:val="78A7349F"/>
    <w:rsid w:val="78AAB3F3"/>
    <w:rsid w:val="78AB1667"/>
    <w:rsid w:val="78BA9272"/>
    <w:rsid w:val="78C8CE7E"/>
    <w:rsid w:val="78D14BA7"/>
    <w:rsid w:val="78D50E8B"/>
    <w:rsid w:val="78D6B0A0"/>
    <w:rsid w:val="78DA8318"/>
    <w:rsid w:val="78DBA979"/>
    <w:rsid w:val="78DC8963"/>
    <w:rsid w:val="78DF351C"/>
    <w:rsid w:val="78E7504E"/>
    <w:rsid w:val="78ECE0FE"/>
    <w:rsid w:val="78EE4696"/>
    <w:rsid w:val="78EEB3CC"/>
    <w:rsid w:val="78F6652E"/>
    <w:rsid w:val="78F81951"/>
    <w:rsid w:val="78FE4FF2"/>
    <w:rsid w:val="78FF36F3"/>
    <w:rsid w:val="790315E4"/>
    <w:rsid w:val="79057B68"/>
    <w:rsid w:val="7905A65F"/>
    <w:rsid w:val="79061D11"/>
    <w:rsid w:val="79064AD9"/>
    <w:rsid w:val="79079908"/>
    <w:rsid w:val="79085637"/>
    <w:rsid w:val="790F57D7"/>
    <w:rsid w:val="7916D307"/>
    <w:rsid w:val="791779FD"/>
    <w:rsid w:val="79197FC8"/>
    <w:rsid w:val="791F9687"/>
    <w:rsid w:val="79207574"/>
    <w:rsid w:val="792BD632"/>
    <w:rsid w:val="79346F5F"/>
    <w:rsid w:val="79449214"/>
    <w:rsid w:val="794703C0"/>
    <w:rsid w:val="794A6138"/>
    <w:rsid w:val="7952CF75"/>
    <w:rsid w:val="79534A16"/>
    <w:rsid w:val="7956383C"/>
    <w:rsid w:val="795797EA"/>
    <w:rsid w:val="7958B853"/>
    <w:rsid w:val="795AE646"/>
    <w:rsid w:val="795C411F"/>
    <w:rsid w:val="795F07F2"/>
    <w:rsid w:val="796863A9"/>
    <w:rsid w:val="796BC159"/>
    <w:rsid w:val="796F7159"/>
    <w:rsid w:val="7977E92D"/>
    <w:rsid w:val="797DCBE2"/>
    <w:rsid w:val="797DDDA4"/>
    <w:rsid w:val="7982B24D"/>
    <w:rsid w:val="7982D4B2"/>
    <w:rsid w:val="7983C971"/>
    <w:rsid w:val="798F3923"/>
    <w:rsid w:val="7992BCD1"/>
    <w:rsid w:val="799385B2"/>
    <w:rsid w:val="799564EA"/>
    <w:rsid w:val="799BA9FA"/>
    <w:rsid w:val="799E7ADC"/>
    <w:rsid w:val="799F396F"/>
    <w:rsid w:val="79A35413"/>
    <w:rsid w:val="79A9AA64"/>
    <w:rsid w:val="79B7009D"/>
    <w:rsid w:val="79BF1EBE"/>
    <w:rsid w:val="79C04CC0"/>
    <w:rsid w:val="79C1A0E3"/>
    <w:rsid w:val="79C37217"/>
    <w:rsid w:val="79C5A6CA"/>
    <w:rsid w:val="79CD1392"/>
    <w:rsid w:val="79D17291"/>
    <w:rsid w:val="79D3329C"/>
    <w:rsid w:val="79D9A791"/>
    <w:rsid w:val="79DBBC91"/>
    <w:rsid w:val="79DCC056"/>
    <w:rsid w:val="79DF609C"/>
    <w:rsid w:val="79E80A71"/>
    <w:rsid w:val="79ED4DA5"/>
    <w:rsid w:val="79F20909"/>
    <w:rsid w:val="79F91354"/>
    <w:rsid w:val="79F9B2D4"/>
    <w:rsid w:val="79FD7805"/>
    <w:rsid w:val="79FFDB10"/>
    <w:rsid w:val="7A0B4ACB"/>
    <w:rsid w:val="7A123BFE"/>
    <w:rsid w:val="7A1498BE"/>
    <w:rsid w:val="7A192C20"/>
    <w:rsid w:val="7A1A47A9"/>
    <w:rsid w:val="7A1B7BC7"/>
    <w:rsid w:val="7A4A194C"/>
    <w:rsid w:val="7A4D662C"/>
    <w:rsid w:val="7A4F46E3"/>
    <w:rsid w:val="7A5270FE"/>
    <w:rsid w:val="7A59875E"/>
    <w:rsid w:val="7A5C5D59"/>
    <w:rsid w:val="7A5F5F8B"/>
    <w:rsid w:val="7A5FC3E7"/>
    <w:rsid w:val="7A662877"/>
    <w:rsid w:val="7A67039F"/>
    <w:rsid w:val="7A692051"/>
    <w:rsid w:val="7A6C8E08"/>
    <w:rsid w:val="7A710A82"/>
    <w:rsid w:val="7A788435"/>
    <w:rsid w:val="7A84C0DF"/>
    <w:rsid w:val="7A8E8544"/>
    <w:rsid w:val="7A9C8C61"/>
    <w:rsid w:val="7AA16D76"/>
    <w:rsid w:val="7AA9B00C"/>
    <w:rsid w:val="7AAC97E1"/>
    <w:rsid w:val="7AB65C1A"/>
    <w:rsid w:val="7AB6D538"/>
    <w:rsid w:val="7AB975F2"/>
    <w:rsid w:val="7AC202CE"/>
    <w:rsid w:val="7AC3A97C"/>
    <w:rsid w:val="7AC63031"/>
    <w:rsid w:val="7ACF9208"/>
    <w:rsid w:val="7ADD13C4"/>
    <w:rsid w:val="7AE1BE1A"/>
    <w:rsid w:val="7AE749A8"/>
    <w:rsid w:val="7AEB05AA"/>
    <w:rsid w:val="7AF06C5F"/>
    <w:rsid w:val="7AFF60F4"/>
    <w:rsid w:val="7B03E164"/>
    <w:rsid w:val="7B09051C"/>
    <w:rsid w:val="7B09DFD6"/>
    <w:rsid w:val="7B0B41F1"/>
    <w:rsid w:val="7B0D3165"/>
    <w:rsid w:val="7B109EB3"/>
    <w:rsid w:val="7B11A219"/>
    <w:rsid w:val="7B24BC77"/>
    <w:rsid w:val="7B285A1D"/>
    <w:rsid w:val="7B2B5E28"/>
    <w:rsid w:val="7B32681B"/>
    <w:rsid w:val="7B33F3BB"/>
    <w:rsid w:val="7B37AE34"/>
    <w:rsid w:val="7B415D6D"/>
    <w:rsid w:val="7B41C190"/>
    <w:rsid w:val="7B45EEAC"/>
    <w:rsid w:val="7B46C94B"/>
    <w:rsid w:val="7B493612"/>
    <w:rsid w:val="7B513AC0"/>
    <w:rsid w:val="7B638239"/>
    <w:rsid w:val="7B76D308"/>
    <w:rsid w:val="7B7C156C"/>
    <w:rsid w:val="7B82D44B"/>
    <w:rsid w:val="7B8402DE"/>
    <w:rsid w:val="7B86BDB7"/>
    <w:rsid w:val="7B87B9BF"/>
    <w:rsid w:val="7B89E5FD"/>
    <w:rsid w:val="7B97A38C"/>
    <w:rsid w:val="7B9816F5"/>
    <w:rsid w:val="7BA3E0AE"/>
    <w:rsid w:val="7BA63525"/>
    <w:rsid w:val="7BA6A8FB"/>
    <w:rsid w:val="7BA9522B"/>
    <w:rsid w:val="7BABC304"/>
    <w:rsid w:val="7BAFE4A4"/>
    <w:rsid w:val="7BB85758"/>
    <w:rsid w:val="7BBAB198"/>
    <w:rsid w:val="7BBB4AF5"/>
    <w:rsid w:val="7BBE8BEE"/>
    <w:rsid w:val="7BC3C10A"/>
    <w:rsid w:val="7BD4A81B"/>
    <w:rsid w:val="7BD72968"/>
    <w:rsid w:val="7BDC5CD4"/>
    <w:rsid w:val="7BDFD0B3"/>
    <w:rsid w:val="7BDFF30C"/>
    <w:rsid w:val="7BE46518"/>
    <w:rsid w:val="7BE739E8"/>
    <w:rsid w:val="7BE788F3"/>
    <w:rsid w:val="7BEF0AE5"/>
    <w:rsid w:val="7BEFF11A"/>
    <w:rsid w:val="7BF2343D"/>
    <w:rsid w:val="7BF42513"/>
    <w:rsid w:val="7BF5BE71"/>
    <w:rsid w:val="7BFCE9BF"/>
    <w:rsid w:val="7C047CEC"/>
    <w:rsid w:val="7C05A199"/>
    <w:rsid w:val="7C0A59E9"/>
    <w:rsid w:val="7C12C0F0"/>
    <w:rsid w:val="7C16AFAD"/>
    <w:rsid w:val="7C17911F"/>
    <w:rsid w:val="7C1BD232"/>
    <w:rsid w:val="7C1DE8AC"/>
    <w:rsid w:val="7C1FABDE"/>
    <w:rsid w:val="7C21444B"/>
    <w:rsid w:val="7C2A95EF"/>
    <w:rsid w:val="7C35362D"/>
    <w:rsid w:val="7C36048A"/>
    <w:rsid w:val="7C36A5D3"/>
    <w:rsid w:val="7C4F6FDF"/>
    <w:rsid w:val="7C5625C9"/>
    <w:rsid w:val="7C575404"/>
    <w:rsid w:val="7C61BC68"/>
    <w:rsid w:val="7C685F3A"/>
    <w:rsid w:val="7C690634"/>
    <w:rsid w:val="7C6DABED"/>
    <w:rsid w:val="7C6EC1A5"/>
    <w:rsid w:val="7C7CB90E"/>
    <w:rsid w:val="7C7D622D"/>
    <w:rsid w:val="7C7E824D"/>
    <w:rsid w:val="7C83D17B"/>
    <w:rsid w:val="7C86FE3B"/>
    <w:rsid w:val="7C8B62A0"/>
    <w:rsid w:val="7C8C66F6"/>
    <w:rsid w:val="7C94A15F"/>
    <w:rsid w:val="7C9DF549"/>
    <w:rsid w:val="7CA03339"/>
    <w:rsid w:val="7CA217B7"/>
    <w:rsid w:val="7CB15A89"/>
    <w:rsid w:val="7CB37B74"/>
    <w:rsid w:val="7CBB386E"/>
    <w:rsid w:val="7CBB6924"/>
    <w:rsid w:val="7CC6A70B"/>
    <w:rsid w:val="7CCA809A"/>
    <w:rsid w:val="7CCD4F9A"/>
    <w:rsid w:val="7CCDE51C"/>
    <w:rsid w:val="7CDDF0B6"/>
    <w:rsid w:val="7CEB51CC"/>
    <w:rsid w:val="7CF05BD6"/>
    <w:rsid w:val="7CF752CC"/>
    <w:rsid w:val="7CF97398"/>
    <w:rsid w:val="7CFA31C9"/>
    <w:rsid w:val="7CFE5233"/>
    <w:rsid w:val="7D06A7ED"/>
    <w:rsid w:val="7D07DC2C"/>
    <w:rsid w:val="7D0D0609"/>
    <w:rsid w:val="7D144051"/>
    <w:rsid w:val="7D18BA94"/>
    <w:rsid w:val="7D1B177F"/>
    <w:rsid w:val="7D2F37AA"/>
    <w:rsid w:val="7D2F8491"/>
    <w:rsid w:val="7D3B5436"/>
    <w:rsid w:val="7D3C89EC"/>
    <w:rsid w:val="7D3DAD27"/>
    <w:rsid w:val="7D3FA806"/>
    <w:rsid w:val="7D51CBC8"/>
    <w:rsid w:val="7D55E78B"/>
    <w:rsid w:val="7D56717D"/>
    <w:rsid w:val="7D626C4F"/>
    <w:rsid w:val="7D6860FE"/>
    <w:rsid w:val="7D750DA4"/>
    <w:rsid w:val="7D789841"/>
    <w:rsid w:val="7D856338"/>
    <w:rsid w:val="7D88F834"/>
    <w:rsid w:val="7D8D3C32"/>
    <w:rsid w:val="7D90D719"/>
    <w:rsid w:val="7D9D5E53"/>
    <w:rsid w:val="7D9D69C7"/>
    <w:rsid w:val="7DB79718"/>
    <w:rsid w:val="7DBC5C3C"/>
    <w:rsid w:val="7DBDF2D8"/>
    <w:rsid w:val="7DC04D4B"/>
    <w:rsid w:val="7DC18EA2"/>
    <w:rsid w:val="7DC6635C"/>
    <w:rsid w:val="7DC8E415"/>
    <w:rsid w:val="7DCD4F6A"/>
    <w:rsid w:val="7DCDED15"/>
    <w:rsid w:val="7DD8AFF4"/>
    <w:rsid w:val="7DE4449B"/>
    <w:rsid w:val="7DE986F0"/>
    <w:rsid w:val="7DF24672"/>
    <w:rsid w:val="7DF4930C"/>
    <w:rsid w:val="7DF5FCD3"/>
    <w:rsid w:val="7DF91194"/>
    <w:rsid w:val="7E00C934"/>
    <w:rsid w:val="7E0362F3"/>
    <w:rsid w:val="7E04DE8D"/>
    <w:rsid w:val="7E0C4A21"/>
    <w:rsid w:val="7E0D5CFD"/>
    <w:rsid w:val="7E256FA3"/>
    <w:rsid w:val="7E2635AD"/>
    <w:rsid w:val="7E27750E"/>
    <w:rsid w:val="7E331624"/>
    <w:rsid w:val="7E38992D"/>
    <w:rsid w:val="7E3F16D9"/>
    <w:rsid w:val="7E424E77"/>
    <w:rsid w:val="7E431A57"/>
    <w:rsid w:val="7E434A6B"/>
    <w:rsid w:val="7E4F2299"/>
    <w:rsid w:val="7E571841"/>
    <w:rsid w:val="7E59B783"/>
    <w:rsid w:val="7E60B396"/>
    <w:rsid w:val="7E610565"/>
    <w:rsid w:val="7E65DBF5"/>
    <w:rsid w:val="7E6AA640"/>
    <w:rsid w:val="7E71CF84"/>
    <w:rsid w:val="7E732327"/>
    <w:rsid w:val="7E74F7AE"/>
    <w:rsid w:val="7E7E07B2"/>
    <w:rsid w:val="7E8092DD"/>
    <w:rsid w:val="7E8286E2"/>
    <w:rsid w:val="7E8CF391"/>
    <w:rsid w:val="7E926892"/>
    <w:rsid w:val="7E96D42B"/>
    <w:rsid w:val="7E98FE75"/>
    <w:rsid w:val="7EA4CD2E"/>
    <w:rsid w:val="7EA78C46"/>
    <w:rsid w:val="7EA8563B"/>
    <w:rsid w:val="7EAE6599"/>
    <w:rsid w:val="7EB2FDBD"/>
    <w:rsid w:val="7EBD7103"/>
    <w:rsid w:val="7EC6AF55"/>
    <w:rsid w:val="7ED2EB34"/>
    <w:rsid w:val="7ED35143"/>
    <w:rsid w:val="7EEBC8C2"/>
    <w:rsid w:val="7EF0D799"/>
    <w:rsid w:val="7EF9B381"/>
    <w:rsid w:val="7F05C5FB"/>
    <w:rsid w:val="7F158B75"/>
    <w:rsid w:val="7F1DF8EC"/>
    <w:rsid w:val="7F22BB9F"/>
    <w:rsid w:val="7F239D92"/>
    <w:rsid w:val="7F2710CE"/>
    <w:rsid w:val="7F3E80CD"/>
    <w:rsid w:val="7F4031C1"/>
    <w:rsid w:val="7F48EC40"/>
    <w:rsid w:val="7F4AFDB9"/>
    <w:rsid w:val="7F4B4693"/>
    <w:rsid w:val="7F4B473D"/>
    <w:rsid w:val="7F513AE0"/>
    <w:rsid w:val="7F518A14"/>
    <w:rsid w:val="7F53D121"/>
    <w:rsid w:val="7F5516CD"/>
    <w:rsid w:val="7F57D87A"/>
    <w:rsid w:val="7F60270E"/>
    <w:rsid w:val="7F63A413"/>
    <w:rsid w:val="7F694C48"/>
    <w:rsid w:val="7F6D9835"/>
    <w:rsid w:val="7F7BA2BA"/>
    <w:rsid w:val="7F7EE854"/>
    <w:rsid w:val="7F8264DD"/>
    <w:rsid w:val="7F88C24F"/>
    <w:rsid w:val="7F8A1FB9"/>
    <w:rsid w:val="7F8B1C87"/>
    <w:rsid w:val="7F8BACE4"/>
    <w:rsid w:val="7F959435"/>
    <w:rsid w:val="7F98870B"/>
    <w:rsid w:val="7F9E8A01"/>
    <w:rsid w:val="7FA11231"/>
    <w:rsid w:val="7FA6DD10"/>
    <w:rsid w:val="7FACDAC0"/>
    <w:rsid w:val="7FB0B7AE"/>
    <w:rsid w:val="7FB0C6D0"/>
    <w:rsid w:val="7FBA0495"/>
    <w:rsid w:val="7FC0A8E6"/>
    <w:rsid w:val="7FC152D3"/>
    <w:rsid w:val="7FC27FA1"/>
    <w:rsid w:val="7FC33796"/>
    <w:rsid w:val="7FCA1269"/>
    <w:rsid w:val="7FCB7B8C"/>
    <w:rsid w:val="7FD004F5"/>
    <w:rsid w:val="7FD72BBE"/>
    <w:rsid w:val="7FE11978"/>
    <w:rsid w:val="7FEA9A62"/>
    <w:rsid w:val="7FEE97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5"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qFormat="1"/>
    <w:lsdException w:name="List Number 4" w:semiHidden="1"/>
    <w:lsdException w:name="List Number 5" w:semiHidden="1"/>
    <w:lsdException w:name="Title" w:semiHidden="1" w:uiPriority="0" w:unhideWhenUsed="1"/>
    <w:lsdException w:name="Closing" w:semiHidden="1"/>
    <w:lsdException w:name="Signature" w:semiHidden="1"/>
    <w:lsdException w:name="Default Paragraph Font" w:semiHidden="1" w:uiPriority="1" w:unhideWhenUsed="1"/>
    <w:lsdException w:name="Body Text" w:semiHidden="1" w:uiPriority="4" w:unhideWhenUsed="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qFormat="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6AA"/>
    <w:pPr>
      <w:spacing w:before="120"/>
    </w:pPr>
    <w:rPr>
      <w:rFonts w:ascii="Franklin Gothic Book" w:hAnsi="Franklin Gothic Book"/>
      <w:color w:val="000000" w:themeColor="text1"/>
    </w:rPr>
  </w:style>
  <w:style w:type="paragraph" w:styleId="Heading1">
    <w:name w:val="heading 1"/>
    <w:next w:val="MSACESParagraph"/>
    <w:link w:val="Heading1Char"/>
    <w:uiPriority w:val="2"/>
    <w:qFormat/>
    <w:rsid w:val="005C2085"/>
    <w:pPr>
      <w:keepNext/>
      <w:keepLines/>
      <w:numPr>
        <w:numId w:val="9"/>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spacing w:before="360" w:after="120"/>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9"/>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rsid w:val="003B095E"/>
    <w:pPr>
      <w:outlineLvl w:val="4"/>
    </w:pPr>
  </w:style>
  <w:style w:type="paragraph" w:styleId="Heading6">
    <w:name w:val="heading 6"/>
    <w:aliases w:val="Heading 3 - Body"/>
    <w:basedOn w:val="Heading3"/>
    <w:next w:val="Normal"/>
    <w:link w:val="Heading6Char"/>
    <w:uiPriority w:val="12"/>
    <w:rsid w:val="00624315"/>
    <w:pPr>
      <w:outlineLvl w:val="5"/>
    </w:pPr>
    <w:rPr>
      <w:sz w:val="24"/>
    </w:rPr>
  </w:style>
  <w:style w:type="paragraph" w:styleId="Heading7">
    <w:name w:val="heading 7"/>
    <w:basedOn w:val="Heading1"/>
    <w:next w:val="Normal"/>
    <w:link w:val="Heading7Char"/>
    <w:uiPriority w:val="12"/>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qFormat/>
    <w:rsid w:val="002B5D7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Normal: Bullets,Table Legend,Bullet1,Bullet 1,Bullet List,Section 5,List Table,BULL"/>
    <w:basedOn w:val="Normal"/>
    <w:link w:val="ListParagraphChar"/>
    <w:uiPriority w:val="34"/>
    <w:qFormat/>
    <w:rsid w:val="004908B7"/>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rsid w:val="00481549"/>
    <w:rPr>
      <w:rFonts w:eastAsiaTheme="majorEastAsia" w:cstheme="majorBidi"/>
      <w:b/>
      <w:sz w:val="24"/>
      <w:szCs w:val="28"/>
    </w:rPr>
  </w:style>
  <w:style w:type="character" w:customStyle="1" w:styleId="Heading7Char">
    <w:name w:val="Heading 7 Char"/>
    <w:basedOn w:val="DefaultParagraphFont"/>
    <w:link w:val="Heading7"/>
    <w:uiPriority w:val="12"/>
    <w:rsid w:val="00481549"/>
    <w:rPr>
      <w:rFonts w:eastAsiaTheme="majorEastAsia" w:cstheme="majorBidi"/>
      <w:b/>
      <w:i/>
      <w:sz w:val="24"/>
      <w:szCs w:val="24"/>
    </w:rPr>
  </w:style>
  <w:style w:type="character" w:customStyle="1" w:styleId="Heading8Char">
    <w:name w:val="Heading 8 Char"/>
    <w:basedOn w:val="DefaultParagraphFont"/>
    <w:link w:val="Heading8"/>
    <w:uiPriority w:val="7"/>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HealthConsult,HTAtableplain,PBAC table,Dossier table,Summary Table,PHE Table Grid,Lash Style Table,Section 3- footnotes"/>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
    <w:next w:val="Normal"/>
    <w:link w:val="CaptionChar"/>
    <w:autoRedefine/>
    <w:uiPriority w:val="99"/>
    <w:qFormat/>
    <w:rsid w:val="00FA75FE"/>
    <w:pPr>
      <w:keepNext/>
      <w:tabs>
        <w:tab w:val="left" w:pos="1418"/>
      </w:tabs>
      <w:spacing w:before="240" w:after="0"/>
      <w:contextualSpacing/>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pPr>
    <w:rPr>
      <w:rFonts w:ascii="Arial Narrow" w:hAnsi="Arial Narrow"/>
      <w:sz w:val="20"/>
    </w:rPr>
  </w:style>
  <w:style w:type="character" w:styleId="Hyperlink">
    <w:name w:val="Hyperlink"/>
    <w:aliases w:val="Hyperlink - H39"/>
    <w:basedOn w:val="DefaultParagraphFont"/>
    <w:uiPriority w:val="99"/>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rsid w:val="004E6CFF"/>
    <w:rPr>
      <w:b/>
      <w:bCs/>
      <w:sz w:val="20"/>
      <w:szCs w:val="20"/>
    </w:rPr>
  </w:style>
  <w:style w:type="character" w:customStyle="1" w:styleId="CommentSubjectChar">
    <w:name w:val="Comment Subject Char"/>
    <w:basedOn w:val="DefaultParagraphFont"/>
    <w:link w:val="CommentSubject"/>
    <w:uiPriority w:val="99"/>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uiPriority w:val="99"/>
    <w:rsid w:val="00FA75FE"/>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qFormat/>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qFormat/>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qFormat/>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qFormat/>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Normal: Bullets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8"/>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12"/>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rPr>
      <w:i w:val="0"/>
      <w:smallCaps/>
      <w:sz w:val="32"/>
    </w:rPr>
  </w:style>
  <w:style w:type="paragraph" w:customStyle="1" w:styleId="PBACESHeading3">
    <w:name w:val="PBAC ES Heading 3"/>
    <w:basedOn w:val="PBACESHeading2"/>
    <w:link w:val="PBACESHeading3Char"/>
    <w:uiPriority w:val="1"/>
    <w:qFormat/>
    <w:rsid w:val="00396339"/>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numId w:val="13"/>
      </w:numPr>
      <w:spacing w:after="120"/>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2C71"/>
    <w:pPr>
      <w:numPr>
        <w:numId w:val="45"/>
      </w:numPr>
      <w:spacing w:before="160" w:after="240"/>
      <w:ind w:hanging="720"/>
    </w:pPr>
    <w:rPr>
      <w:rFonts w:ascii="Arial" w:hAnsi="Arial"/>
      <w:sz w:val="24"/>
    </w:rPr>
  </w:style>
  <w:style w:type="paragraph" w:customStyle="1" w:styleId="MSACESParagraph">
    <w:name w:val="MSAC ES Paragraph"/>
    <w:link w:val="MSACESParagraphChar"/>
    <w:uiPriority w:val="1"/>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6"/>
      </w:numPr>
      <w:spacing w:before="120" w:after="120"/>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10"/>
      </w:numPr>
    </w:pPr>
  </w:style>
  <w:style w:type="paragraph" w:customStyle="1" w:styleId="MainBodyBulletPoint">
    <w:name w:val="MainBody Bullet Point"/>
    <w:basedOn w:val="InstructionBulletpoint"/>
    <w:link w:val="MainBodyBulletPointChar"/>
    <w:uiPriority w:val="1"/>
    <w:qFormat/>
    <w:rsid w:val="002532B4"/>
    <w:pPr>
      <w:numPr>
        <w:numId w:val="11"/>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4"/>
      </w:numPr>
    </w:pPr>
  </w:style>
  <w:style w:type="numbering" w:customStyle="1" w:styleId="Style2">
    <w:name w:val="Style2"/>
    <w:uiPriority w:val="99"/>
    <w:rsid w:val="002A391F"/>
    <w:pPr>
      <w:numPr>
        <w:numId w:val="15"/>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6"/>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basedOn w:val="Normal"/>
    <w:link w:val="CommentTextChar"/>
    <w:uiPriority w:val="99"/>
    <w:unhideWhenUsed/>
    <w:qFormat/>
    <w:rsid w:val="001952BB"/>
    <w:rPr>
      <w:sz w:val="20"/>
      <w:szCs w:val="20"/>
    </w:rPr>
  </w:style>
  <w:style w:type="character" w:customStyle="1" w:styleId="CommentTextChar">
    <w:name w:val="Comment Text Char"/>
    <w:basedOn w:val="DefaultParagraphFont"/>
    <w:link w:val="CommentText"/>
    <w:uiPriority w:val="99"/>
    <w:qFormat/>
    <w:rsid w:val="001952BB"/>
    <w:rPr>
      <w:sz w:val="20"/>
      <w:szCs w:val="20"/>
    </w:rPr>
  </w:style>
  <w:style w:type="paragraph" w:customStyle="1" w:styleId="Guidelinescross-ref">
    <w:name w:val="Guidelines cross-ref"/>
    <w:basedOn w:val="Normal"/>
    <w:rsid w:val="001952BB"/>
    <w:pPr>
      <w:spacing w:before="240" w:after="240"/>
    </w:pPr>
    <w:rPr>
      <w:b/>
      <w:color w:val="0070C0"/>
    </w:rPr>
  </w:style>
  <w:style w:type="paragraph" w:customStyle="1" w:styleId="Instructionaltext0">
    <w:name w:val="Instructional text"/>
    <w:basedOn w:val="Normal"/>
    <w:link w:val="InstructionaltextChar0"/>
    <w:qFormat/>
    <w:rsid w:val="001952BB"/>
    <w:rPr>
      <w:color w:val="258221"/>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qFormat/>
    <w:rsid w:val="008A41CD"/>
    <w:pPr>
      <w:spacing w:before="360"/>
    </w:pPr>
  </w:style>
  <w:style w:type="paragraph" w:customStyle="1" w:styleId="Instructionaltext-bullet">
    <w:name w:val="Instructional text - bullet"/>
    <w:basedOn w:val="Instructionaltext0"/>
    <w:rsid w:val="00FD07C6"/>
    <w:pPr>
      <w:numPr>
        <w:numId w:val="17"/>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20"/>
      </w:numPr>
      <w:spacing w:after="120"/>
    </w:pPr>
  </w:style>
  <w:style w:type="paragraph" w:customStyle="1" w:styleId="Summaryboxheading">
    <w:name w:val="Summary box heading"/>
    <w:basedOn w:val="Normal"/>
    <w:rsid w:val="00276C8F"/>
    <w:pPr>
      <w:spacing w:after="100" w:afterAutospacing="1"/>
    </w:pPr>
    <w:rPr>
      <w:rFonts w:ascii="Arial Narrow" w:eastAsia="Times New Roman" w:hAnsi="Arial Narrow" w:cs="Tahoma"/>
      <w:b/>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qFormat/>
    <w:rsid w:val="00F4445A"/>
    <w:pPr>
      <w:spacing w:before="0" w:after="0"/>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numId w:val="21"/>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unhideWhenUsed/>
    <w:rsid w:val="009E2636"/>
    <w:pPr>
      <w:spacing w:after="120"/>
    </w:pPr>
  </w:style>
  <w:style w:type="character" w:customStyle="1" w:styleId="BodyTextChar">
    <w:name w:val="Body Text Char"/>
    <w:basedOn w:val="DefaultParagraphFont"/>
    <w:link w:val="BodyText"/>
    <w:uiPriority w:val="4"/>
    <w:rsid w:val="009E2636"/>
    <w:rPr>
      <w:sz w:val="24"/>
    </w:rPr>
  </w:style>
  <w:style w:type="paragraph" w:customStyle="1" w:styleId="4-SubsectionHeading">
    <w:name w:val="4-Subsection Heading"/>
    <w:basedOn w:val="Heading2"/>
    <w:next w:val="3-BodyText"/>
    <w:link w:val="4-SubsectionHeadingChar"/>
    <w:qFormat/>
    <w:rsid w:val="00C15EDC"/>
    <w:pPr>
      <w:keepLines w:val="0"/>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character" w:styleId="UnresolvedMention">
    <w:name w:val="Unresolved Mention"/>
    <w:basedOn w:val="DefaultParagraphFont"/>
    <w:uiPriority w:val="99"/>
    <w:unhideWhenUsed/>
    <w:rsid w:val="007C5313"/>
    <w:rPr>
      <w:color w:val="605E5C"/>
      <w:shd w:val="clear" w:color="auto" w:fill="E1DFDD"/>
    </w:rPr>
  </w:style>
  <w:style w:type="paragraph" w:customStyle="1" w:styleId="ExecSumBodyText">
    <w:name w:val="Exec Sum Body Text"/>
    <w:basedOn w:val="Normal"/>
    <w:link w:val="ExecSumBodyTextChar"/>
    <w:uiPriority w:val="99"/>
    <w:rsid w:val="000E0CF4"/>
    <w:pPr>
      <w:spacing w:before="0" w:after="120"/>
      <w:ind w:left="720" w:hanging="720"/>
    </w:pPr>
    <w:rPr>
      <w:rFonts w:eastAsia="Times New Roman" w:cs="Arial"/>
      <w:snapToGrid w:val="0"/>
      <w:szCs w:val="24"/>
      <w:lang w:eastAsia="en-AU"/>
    </w:rPr>
  </w:style>
  <w:style w:type="character" w:customStyle="1" w:styleId="ExecSumBodyTextChar">
    <w:name w:val="Exec Sum Body Text Char"/>
    <w:basedOn w:val="DefaultParagraphFont"/>
    <w:link w:val="ExecSumBodyText"/>
    <w:uiPriority w:val="99"/>
    <w:rsid w:val="000E0CF4"/>
    <w:rPr>
      <w:rFonts w:eastAsia="Times New Roman" w:cs="Arial"/>
      <w:snapToGrid w:val="0"/>
      <w:sz w:val="24"/>
      <w:szCs w:val="24"/>
      <w:lang w:eastAsia="en-AU"/>
    </w:rPr>
  </w:style>
  <w:style w:type="paragraph" w:customStyle="1" w:styleId="FooterTableFigure">
    <w:name w:val="Footer Table/Figure"/>
    <w:basedOn w:val="Normal"/>
    <w:link w:val="FooterTableFigureChar"/>
    <w:qFormat/>
    <w:rsid w:val="00C905D6"/>
    <w:pPr>
      <w:spacing w:before="0" w:after="120"/>
      <w:contextualSpacing/>
    </w:pPr>
    <w:rPr>
      <w:rFonts w:ascii="Arial Narrow" w:eastAsia="Times New Roman" w:hAnsi="Arial Narrow" w:cs="Times New Roman"/>
      <w:snapToGrid w:val="0"/>
      <w:sz w:val="18"/>
      <w:lang w:eastAsia="en-GB"/>
    </w:rPr>
  </w:style>
  <w:style w:type="character" w:customStyle="1" w:styleId="FooterTableFigureChar">
    <w:name w:val="Footer Table/Figure Char"/>
    <w:link w:val="FooterTableFigure"/>
    <w:rsid w:val="00C905D6"/>
    <w:rPr>
      <w:rFonts w:ascii="Arial Narrow" w:eastAsia="Times New Roman" w:hAnsi="Arial Narrow" w:cs="Times New Roman"/>
      <w:snapToGrid w:val="0"/>
      <w:sz w:val="18"/>
      <w:lang w:eastAsia="en-GB"/>
    </w:rPr>
  </w:style>
  <w:style w:type="paragraph" w:styleId="Bibliography">
    <w:name w:val="Bibliography"/>
    <w:basedOn w:val="Normal"/>
    <w:next w:val="Normal"/>
    <w:uiPriority w:val="37"/>
    <w:unhideWhenUsed/>
    <w:rsid w:val="00C905D6"/>
  </w:style>
  <w:style w:type="table" w:customStyle="1" w:styleId="PBACTableStyle1">
    <w:name w:val="PBAC Table Style1"/>
    <w:basedOn w:val="TableGrid1"/>
    <w:uiPriority w:val="99"/>
    <w:rsid w:val="00C905D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character" w:customStyle="1" w:styleId="SmallItalics">
    <w:name w:val="Small Italics"/>
    <w:basedOn w:val="DefaultParagraphFont"/>
    <w:uiPriority w:val="4"/>
    <w:qFormat/>
    <w:rsid w:val="00C905D6"/>
    <w:rPr>
      <w:rFonts w:ascii="Calibri" w:hAnsi="Calibri"/>
      <w:i/>
      <w:sz w:val="20"/>
    </w:rPr>
  </w:style>
  <w:style w:type="paragraph" w:customStyle="1" w:styleId="TableText1">
    <w:name w:val="TableText"/>
    <w:basedOn w:val="Normal"/>
    <w:link w:val="TableTextChar1"/>
    <w:uiPriority w:val="1"/>
    <w:qFormat/>
    <w:rsid w:val="00C905D6"/>
    <w:pPr>
      <w:keepNext/>
      <w:spacing w:before="60" w:after="60"/>
    </w:pPr>
    <w:rPr>
      <w:rFonts w:ascii="Times New Roman" w:eastAsia="Times New Roman" w:hAnsi="Times New Roman" w:cs="Times New Roman"/>
      <w:sz w:val="21"/>
      <w:szCs w:val="21"/>
      <w:lang w:eastAsia="en-AU"/>
    </w:rPr>
  </w:style>
  <w:style w:type="character" w:customStyle="1" w:styleId="TableTextChar1">
    <w:name w:val="TableText Char"/>
    <w:basedOn w:val="DefaultParagraphFont"/>
    <w:link w:val="TableText1"/>
    <w:uiPriority w:val="1"/>
    <w:rsid w:val="00C905D6"/>
    <w:rPr>
      <w:rFonts w:ascii="Times New Roman" w:eastAsia="Times New Roman" w:hAnsi="Times New Roman" w:cs="Times New Roman"/>
      <w:color w:val="000000" w:themeColor="text1"/>
      <w:sz w:val="21"/>
      <w:szCs w:val="21"/>
      <w:lang w:eastAsia="en-AU"/>
    </w:rPr>
  </w:style>
  <w:style w:type="character" w:customStyle="1" w:styleId="normaltextrun">
    <w:name w:val="normaltextrun"/>
    <w:basedOn w:val="DefaultParagraphFont"/>
    <w:rsid w:val="00C905D6"/>
  </w:style>
  <w:style w:type="character" w:customStyle="1" w:styleId="Small">
    <w:name w:val="Small"/>
    <w:basedOn w:val="DefaultParagraphFont"/>
    <w:uiPriority w:val="4"/>
    <w:qFormat/>
    <w:rsid w:val="00C905D6"/>
    <w:rPr>
      <w:rFonts w:ascii="Calibri" w:hAnsi="Calibri"/>
      <w:sz w:val="20"/>
    </w:rPr>
  </w:style>
  <w:style w:type="paragraph" w:customStyle="1" w:styleId="TableLeft">
    <w:name w:val="Table Left"/>
    <w:basedOn w:val="Normal"/>
    <w:link w:val="TableLeftChar"/>
    <w:uiPriority w:val="99"/>
    <w:qFormat/>
    <w:rsid w:val="00C905D6"/>
    <w:pPr>
      <w:spacing w:before="0" w:after="0"/>
    </w:pPr>
    <w:rPr>
      <w:rFonts w:ascii="Calibri" w:eastAsiaTheme="majorEastAsia" w:hAnsi="Calibri" w:cstheme="majorBidi"/>
      <w:sz w:val="18"/>
      <w:szCs w:val="18"/>
      <w:lang w:bidi="en-US"/>
    </w:rPr>
  </w:style>
  <w:style w:type="character" w:customStyle="1" w:styleId="TableLeftChar">
    <w:name w:val="Table Left Char"/>
    <w:basedOn w:val="DefaultParagraphFont"/>
    <w:link w:val="TableLeft"/>
    <w:uiPriority w:val="99"/>
    <w:locked/>
    <w:rsid w:val="00C905D6"/>
    <w:rPr>
      <w:rFonts w:ascii="Calibri" w:eastAsiaTheme="majorEastAsia" w:hAnsi="Calibri" w:cstheme="majorBidi"/>
      <w:sz w:val="18"/>
      <w:szCs w:val="18"/>
      <w:lang w:bidi="en-US"/>
    </w:rPr>
  </w:style>
  <w:style w:type="table" w:customStyle="1" w:styleId="PBACTableStyle11">
    <w:name w:val="PBAC Table Style11"/>
    <w:basedOn w:val="TableGrid1"/>
    <w:uiPriority w:val="99"/>
    <w:rsid w:val="00C905D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
    <w:name w:val="PBAC Table Style2"/>
    <w:basedOn w:val="TableGrid1"/>
    <w:uiPriority w:val="99"/>
    <w:rsid w:val="00C905D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character" w:styleId="Mention">
    <w:name w:val="Mention"/>
    <w:basedOn w:val="DefaultParagraphFont"/>
    <w:uiPriority w:val="99"/>
    <w:unhideWhenUsed/>
    <w:rsid w:val="00C905D6"/>
    <w:rPr>
      <w:color w:val="2B579A"/>
      <w:shd w:val="clear" w:color="auto" w:fill="E1DFDD"/>
    </w:rPr>
  </w:style>
  <w:style w:type="character" w:customStyle="1" w:styleId="CaptionFootnoteChar">
    <w:name w:val="Caption Footnote Char"/>
    <w:basedOn w:val="DefaultParagraphFont"/>
    <w:link w:val="CaptionFootnote"/>
    <w:rsid w:val="00C905D6"/>
    <w:rPr>
      <w:rFonts w:eastAsia="Times New Roman" w:cs="Times New Roman"/>
      <w:kern w:val="28"/>
      <w:sz w:val="16"/>
      <w:szCs w:val="24"/>
      <w:lang w:val="fr-CH" w:eastAsia="en-GB"/>
    </w:rPr>
  </w:style>
  <w:style w:type="paragraph" w:customStyle="1" w:styleId="CaptionFootnote">
    <w:name w:val="Caption Footnote"/>
    <w:basedOn w:val="Normal"/>
    <w:link w:val="CaptionFootnoteChar"/>
    <w:uiPriority w:val="1"/>
    <w:qFormat/>
    <w:rsid w:val="00C905D6"/>
    <w:pPr>
      <w:spacing w:before="0" w:after="0"/>
    </w:pPr>
    <w:rPr>
      <w:rFonts w:eastAsia="Times New Roman" w:cs="Times New Roman"/>
      <w:kern w:val="28"/>
      <w:sz w:val="16"/>
      <w:szCs w:val="24"/>
      <w:lang w:val="fr-CH" w:eastAsia="en-GB"/>
    </w:rPr>
  </w:style>
  <w:style w:type="table" w:customStyle="1" w:styleId="PBACTableStyle3">
    <w:name w:val="PBAC Table Style3"/>
    <w:basedOn w:val="TableGrid1"/>
    <w:uiPriority w:val="99"/>
    <w:rsid w:val="00C905D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1">
    <w:name w:val="PBAC Table Style21"/>
    <w:basedOn w:val="TableGrid1"/>
    <w:uiPriority w:val="99"/>
    <w:rsid w:val="009E18C3"/>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0">
    <w:name w:val="Table Grid1"/>
    <w:basedOn w:val="TableNormal"/>
    <w:next w:val="TableGrid"/>
    <w:uiPriority w:val="59"/>
    <w:rsid w:val="00910C44"/>
    <w:pPr>
      <w:spacing w:after="0" w:line="240" w:lineRule="auto"/>
    </w:pPr>
    <w:rPr>
      <w:rFonts w:ascii="Times New Roman" w:eastAsia="Batang"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TATableshaded">
    <w:name w:val="HTA Table shaded"/>
    <w:basedOn w:val="TableNormal"/>
    <w:rsid w:val="00D16670"/>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ootnotesAbbreviations">
    <w:name w:val="Table Footnotes/Abbreviations"/>
    <w:basedOn w:val="BodyText"/>
    <w:link w:val="TableFootnotesAbbreviationsChar"/>
    <w:qFormat/>
    <w:rsid w:val="00D16670"/>
    <w:pPr>
      <w:spacing w:before="60" w:after="0"/>
    </w:pPr>
    <w:rPr>
      <w:rFonts w:ascii="Arial" w:eastAsia="Times New Roman" w:hAnsi="Arial" w:cs="Times New Roman"/>
      <w:sz w:val="18"/>
      <w:szCs w:val="20"/>
      <w:lang w:val="en-GB"/>
    </w:rPr>
  </w:style>
  <w:style w:type="character" w:customStyle="1" w:styleId="TableFootnotesAbbreviationsChar">
    <w:name w:val="Table Footnotes/Abbreviations Char"/>
    <w:basedOn w:val="BodyTextChar"/>
    <w:link w:val="TableFootnotesAbbreviations"/>
    <w:rsid w:val="00D16670"/>
    <w:rPr>
      <w:rFonts w:ascii="Arial" w:eastAsia="Times New Roman" w:hAnsi="Arial" w:cs="Times New Roman"/>
      <w:sz w:val="18"/>
      <w:szCs w:val="20"/>
      <w:lang w:val="en-GB"/>
    </w:rPr>
  </w:style>
  <w:style w:type="numbering" w:customStyle="1" w:styleId="Style21">
    <w:name w:val="Style21"/>
    <w:uiPriority w:val="99"/>
    <w:rsid w:val="00BF3A82"/>
    <w:pPr>
      <w:numPr>
        <w:numId w:val="32"/>
      </w:numPr>
    </w:pPr>
  </w:style>
  <w:style w:type="table" w:customStyle="1" w:styleId="Submissionstandard">
    <w:name w:val="Submission standard"/>
    <w:basedOn w:val="TableNormal"/>
    <w:uiPriority w:val="99"/>
    <w:qFormat/>
    <w:rsid w:val="00601D6C"/>
    <w:pPr>
      <w:spacing w:after="0" w:line="240" w:lineRule="auto"/>
    </w:pPr>
    <w:rPr>
      <w:rFonts w:ascii="Arial Narrow" w:eastAsiaTheme="majorEastAsia" w:hAnsi="Arial Narrow"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Emoji" w:hAnsi="Segoe UI Emoji"/>
        <w:b/>
        <w:sz w:val="20"/>
      </w:rPr>
      <w:tblPr/>
      <w:tcPr>
        <w:shd w:val="clear" w:color="auto" w:fill="BFBFBF" w:themeFill="background1" w:themeFillShade="BF"/>
      </w:tcPr>
    </w:tblStylePr>
  </w:style>
  <w:style w:type="table" w:customStyle="1" w:styleId="Evidera-2019">
    <w:name w:val="Evidera - 2019"/>
    <w:basedOn w:val="TableNormal"/>
    <w:uiPriority w:val="99"/>
    <w:qFormat/>
    <w:rsid w:val="00170854"/>
    <w:pPr>
      <w:spacing w:before="40" w:after="40" w:line="240" w:lineRule="auto"/>
    </w:pPr>
    <w:rPr>
      <w:rFonts w:ascii="Calibri Light" w:hAnsi="Calibri Light"/>
      <w:sz w:val="18"/>
      <w:lang w:val="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rPr>
      <w:cantSplit/>
    </w:trPr>
    <w:tcPr>
      <w:shd w:val="clear" w:color="auto" w:fill="auto"/>
    </w:tcPr>
    <w:tblStylePr w:type="firstRow">
      <w:pPr>
        <w:jc w:val="left"/>
      </w:pPr>
      <w:rPr>
        <w:rFonts w:ascii="Calibri Light" w:hAnsi="Calibri Light"/>
        <w:b w:val="0"/>
        <w:color w:val="70AD47" w:themeColor="accent6"/>
        <w:sz w:val="18"/>
      </w:rPr>
      <w:tblPr/>
      <w:trPr>
        <w:cantSplit w:val="0"/>
        <w:tblHeader/>
      </w:trPr>
      <w:tcPr>
        <w:shd w:val="clear" w:color="auto" w:fill="27AAE1"/>
      </w:tcPr>
    </w:tblStylePr>
    <w:tblStylePr w:type="firstCol">
      <w:pPr>
        <w:jc w:val="left"/>
      </w:pPr>
    </w:tblStylePr>
    <w:tblStylePr w:type="band1Horz">
      <w:pPr>
        <w:jc w:val="left"/>
      </w:pPr>
    </w:tblStylePr>
    <w:tblStylePr w:type="band2Horz">
      <w:pPr>
        <w:jc w:val="left"/>
      </w:pPr>
    </w:tblStylePr>
    <w:tblStylePr w:type="nwCell">
      <w:pPr>
        <w:jc w:val="left"/>
      </w:pPr>
      <w:rPr>
        <w:rFonts w:ascii="Calibri Light" w:hAnsi="Calibri Light"/>
        <w:color w:val="70AD47" w:themeColor="accent6"/>
        <w:sz w:val="18"/>
      </w:rPr>
      <w:tblPr/>
      <w:tcPr>
        <w:vAlign w:val="center"/>
      </w:tcPr>
    </w:tblStylePr>
  </w:style>
  <w:style w:type="character" w:customStyle="1" w:styleId="SmallBold">
    <w:name w:val="Small Bold"/>
    <w:basedOn w:val="Small"/>
    <w:uiPriority w:val="4"/>
    <w:qFormat/>
    <w:rsid w:val="0065235B"/>
    <w:rPr>
      <w:rFonts w:ascii="Calibri" w:hAnsi="Calibri"/>
      <w:b/>
      <w:sz w:val="20"/>
      <w:lang w:val="en-AU"/>
    </w:rPr>
  </w:style>
  <w:style w:type="numbering" w:customStyle="1" w:styleId="Style211">
    <w:name w:val="Style211"/>
    <w:uiPriority w:val="99"/>
    <w:rsid w:val="0065235B"/>
  </w:style>
  <w:style w:type="numbering" w:customStyle="1" w:styleId="Headings1">
    <w:name w:val="Headings1"/>
    <w:uiPriority w:val="99"/>
    <w:rsid w:val="0065235B"/>
  </w:style>
  <w:style w:type="paragraph" w:styleId="ListBullet">
    <w:name w:val="List Bullet"/>
    <w:basedOn w:val="Normal"/>
    <w:uiPriority w:val="15"/>
    <w:qFormat/>
    <w:rsid w:val="0065235B"/>
    <w:pPr>
      <w:numPr>
        <w:numId w:val="35"/>
      </w:numPr>
      <w:spacing w:before="0" w:after="120"/>
      <w:contextualSpacing/>
    </w:pPr>
    <w:rPr>
      <w:rFonts w:ascii="Arial" w:eastAsia="Times New Roman" w:hAnsi="Arial" w:cs="Times New Roman"/>
    </w:rPr>
  </w:style>
  <w:style w:type="table" w:customStyle="1" w:styleId="TableGrid14">
    <w:name w:val="Table Grid14"/>
    <w:basedOn w:val="TableNormal"/>
    <w:next w:val="TableGrid"/>
    <w:uiPriority w:val="39"/>
    <w:rsid w:val="0065235B"/>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5235B"/>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5235B"/>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5235B"/>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5235B"/>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65235B"/>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12">
    <w:name w:val="PBAC Table Style12"/>
    <w:basedOn w:val="TableGrid1"/>
    <w:uiPriority w:val="99"/>
    <w:rsid w:val="0065235B"/>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25">
    <w:name w:val="Table Grid25"/>
    <w:basedOn w:val="TableNormal"/>
    <w:next w:val="TableGrid"/>
    <w:uiPriority w:val="39"/>
    <w:rsid w:val="0065235B"/>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unhideWhenUsed/>
    <w:qFormat/>
    <w:rsid w:val="0065235B"/>
    <w:pPr>
      <w:spacing w:before="0" w:after="200" w:line="276" w:lineRule="auto"/>
      <w:ind w:left="720" w:hanging="360"/>
      <w:contextualSpacing/>
    </w:pPr>
    <w:rPr>
      <w:rFonts w:ascii="Calibri" w:eastAsiaTheme="majorEastAsia" w:hAnsi="Calibri" w:cstheme="majorBidi"/>
      <w:lang w:bidi="en-US"/>
    </w:rPr>
  </w:style>
  <w:style w:type="table" w:customStyle="1" w:styleId="TableGrid28">
    <w:name w:val="Table Grid28"/>
    <w:basedOn w:val="TableNormal"/>
    <w:next w:val="TableGrid"/>
    <w:uiPriority w:val="39"/>
    <w:rsid w:val="0065235B"/>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22">
    <w:name w:val="PBAC Table Style22"/>
    <w:basedOn w:val="TableGrid1"/>
    <w:uiPriority w:val="99"/>
    <w:rsid w:val="0065235B"/>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Submissionstandard1">
    <w:name w:val="Submission standard1"/>
    <w:basedOn w:val="TableNormal"/>
    <w:uiPriority w:val="99"/>
    <w:qFormat/>
    <w:rsid w:val="0065235B"/>
    <w:pPr>
      <w:spacing w:after="0" w:line="240" w:lineRule="auto"/>
    </w:pPr>
    <w:rPr>
      <w:rFonts w:ascii="Arial Narrow" w:eastAsiaTheme="majorEastAsia" w:hAnsi="Arial Narrow"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Emoji" w:hAnsi="Segoe UI Emoji"/>
        <w:b/>
        <w:sz w:val="20"/>
      </w:rPr>
      <w:tblPr/>
      <w:tcPr>
        <w:shd w:val="clear" w:color="auto" w:fill="BFBFBF" w:themeFill="background1" w:themeFillShade="BF"/>
      </w:tcPr>
    </w:tblStylePr>
  </w:style>
  <w:style w:type="table" w:customStyle="1" w:styleId="TableGrid9">
    <w:name w:val="Table Grid9"/>
    <w:basedOn w:val="TableNormal"/>
    <w:next w:val="TableGrid"/>
    <w:uiPriority w:val="39"/>
    <w:rsid w:val="0065235B"/>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31">
    <w:name w:val="PBAC Table Style31"/>
    <w:basedOn w:val="TableGrid1"/>
    <w:uiPriority w:val="99"/>
    <w:rsid w:val="0065235B"/>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Submissionstandard2">
    <w:name w:val="Submission standard2"/>
    <w:basedOn w:val="TableNormal"/>
    <w:uiPriority w:val="99"/>
    <w:qFormat/>
    <w:rsid w:val="0065235B"/>
    <w:pPr>
      <w:spacing w:after="0" w:line="240" w:lineRule="auto"/>
    </w:pPr>
    <w:rPr>
      <w:rFonts w:ascii="Arial Narrow" w:eastAsiaTheme="majorEastAsia" w:hAnsi="Arial Narrow"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Emoji" w:hAnsi="Segoe UI Emoji"/>
        <w:b/>
        <w:sz w:val="20"/>
      </w:rPr>
      <w:tblPr/>
      <w:tcPr>
        <w:shd w:val="clear" w:color="auto" w:fill="BFBFBF" w:themeFill="background1" w:themeFillShade="BF"/>
      </w:tcPr>
    </w:tblStylePr>
  </w:style>
  <w:style w:type="numbering" w:customStyle="1" w:styleId="NoList1">
    <w:name w:val="No List1"/>
    <w:next w:val="NoList"/>
    <w:uiPriority w:val="99"/>
    <w:semiHidden/>
    <w:unhideWhenUsed/>
    <w:rsid w:val="0065235B"/>
  </w:style>
  <w:style w:type="paragraph" w:customStyle="1" w:styleId="1-MainHeading">
    <w:name w:val="1-Main Heading"/>
    <w:link w:val="1-MainHeadingChar"/>
    <w:qFormat/>
    <w:rsid w:val="0065235B"/>
    <w:pPr>
      <w:keepNext/>
      <w:spacing w:before="120" w:line="240" w:lineRule="auto"/>
      <w:ind w:left="720" w:hanging="720"/>
      <w:outlineLvl w:val="0"/>
    </w:pPr>
    <w:rPr>
      <w:rFonts w:eastAsia="Times New Roman" w:cs="Times New Roman"/>
      <w:b/>
      <w:spacing w:val="5"/>
      <w:kern w:val="28"/>
      <w:sz w:val="36"/>
      <w:szCs w:val="36"/>
      <w:lang w:eastAsia="en-AU"/>
    </w:rPr>
  </w:style>
  <w:style w:type="character" w:customStyle="1" w:styleId="1-MainHeadingChar">
    <w:name w:val="1-Main Heading Char"/>
    <w:basedOn w:val="DefaultParagraphFont"/>
    <w:link w:val="1-MainHeading"/>
    <w:rsid w:val="0065235B"/>
    <w:rPr>
      <w:rFonts w:eastAsia="Times New Roman" w:cs="Times New Roman"/>
      <w:b/>
      <w:spacing w:val="5"/>
      <w:kern w:val="28"/>
      <w:sz w:val="36"/>
      <w:szCs w:val="36"/>
      <w:lang w:eastAsia="en-AU"/>
    </w:rPr>
  </w:style>
  <w:style w:type="paragraph" w:customStyle="1" w:styleId="5-SubsectionSubheading">
    <w:name w:val="5-Subsection Subheading"/>
    <w:basedOn w:val="Heading3"/>
    <w:next w:val="3-BodyText"/>
    <w:link w:val="5-SubsectionSubheadingChar"/>
    <w:qFormat/>
    <w:rsid w:val="0065235B"/>
    <w:pPr>
      <w:numPr>
        <w:ilvl w:val="0"/>
        <w:numId w:val="0"/>
      </w:numPr>
      <w:spacing w:before="160"/>
    </w:pPr>
    <w:rPr>
      <w:color w:val="000000"/>
      <w:sz w:val="24"/>
      <w:szCs w:val="24"/>
      <w:lang w:eastAsia="en-AU"/>
    </w:rPr>
  </w:style>
  <w:style w:type="character" w:customStyle="1" w:styleId="5-SubsectionSubheadingChar">
    <w:name w:val="5-Subsection Subheading Char"/>
    <w:basedOn w:val="DefaultParagraphFont"/>
    <w:link w:val="5-SubsectionSubheading"/>
    <w:rsid w:val="0065235B"/>
    <w:rPr>
      <w:rFonts w:eastAsiaTheme="majorEastAsia" w:cstheme="majorBidi"/>
      <w:b/>
      <w:color w:val="000000"/>
      <w:sz w:val="24"/>
      <w:szCs w:val="24"/>
      <w:lang w:eastAsia="en-AU"/>
    </w:rPr>
  </w:style>
  <w:style w:type="paragraph" w:styleId="BodyTextIndent">
    <w:name w:val="Body Text Indent"/>
    <w:basedOn w:val="Normal"/>
    <w:link w:val="BodyTextIndentChar"/>
    <w:rsid w:val="0065235B"/>
    <w:pPr>
      <w:spacing w:before="0" w:after="120"/>
      <w:ind w:left="283"/>
    </w:pPr>
    <w:rPr>
      <w:rFonts w:ascii="Calibri" w:eastAsia="Times New Roman" w:hAnsi="Calibri" w:cs="Arial"/>
      <w:szCs w:val="24"/>
      <w:lang w:eastAsia="en-AU"/>
    </w:rPr>
  </w:style>
  <w:style w:type="character" w:customStyle="1" w:styleId="BodyTextIndentChar">
    <w:name w:val="Body Text Indent Char"/>
    <w:basedOn w:val="DefaultParagraphFont"/>
    <w:link w:val="BodyTextIndent"/>
    <w:rsid w:val="0065235B"/>
    <w:rPr>
      <w:rFonts w:ascii="Calibri" w:eastAsia="Times New Roman" w:hAnsi="Calibri" w:cs="Arial"/>
      <w:sz w:val="24"/>
      <w:szCs w:val="24"/>
      <w:lang w:eastAsia="en-AU"/>
    </w:rPr>
  </w:style>
  <w:style w:type="paragraph" w:customStyle="1" w:styleId="bullet0">
    <w:name w:val="bullet"/>
    <w:basedOn w:val="ListParagraph"/>
    <w:link w:val="bulletChar"/>
    <w:rsid w:val="0065235B"/>
    <w:pPr>
      <w:numPr>
        <w:numId w:val="37"/>
      </w:numPr>
      <w:spacing w:before="0" w:after="120"/>
    </w:pPr>
    <w:rPr>
      <w:rFonts w:ascii="Calibri" w:eastAsia="Times New Roman" w:hAnsi="Calibri"/>
      <w:i/>
      <w:color w:val="auto"/>
    </w:rPr>
  </w:style>
  <w:style w:type="character" w:customStyle="1" w:styleId="bulletChar">
    <w:name w:val="bullet Char"/>
    <w:basedOn w:val="DefaultParagraphFont"/>
    <w:link w:val="bullet0"/>
    <w:rsid w:val="0065235B"/>
    <w:rPr>
      <w:rFonts w:ascii="Calibri" w:eastAsia="Times New Roman" w:hAnsi="Calibri"/>
      <w:i/>
    </w:rPr>
  </w:style>
  <w:style w:type="paragraph" w:customStyle="1" w:styleId="Char1CharCharChar">
    <w:name w:val="Char1 Char Char Char"/>
    <w:basedOn w:val="Normal"/>
    <w:rsid w:val="0065235B"/>
    <w:pPr>
      <w:spacing w:before="0" w:line="240" w:lineRule="exact"/>
    </w:pPr>
    <w:rPr>
      <w:rFonts w:ascii="Verdana" w:eastAsia="MS Mincho" w:hAnsi="Verdana" w:cs="Verdana"/>
      <w:snapToGrid w:val="0"/>
      <w:sz w:val="20"/>
      <w:szCs w:val="24"/>
      <w:lang w:val="en-US" w:eastAsia="en-AU"/>
    </w:rPr>
  </w:style>
  <w:style w:type="character" w:customStyle="1" w:styleId="contentcontrolboundarysink">
    <w:name w:val="contentcontrolboundarysink"/>
    <w:basedOn w:val="DefaultParagraphFont"/>
    <w:rsid w:val="0065235B"/>
  </w:style>
  <w:style w:type="paragraph" w:customStyle="1" w:styleId="Corpsdetextemarge">
    <w:name w:val="Corps de texte marge"/>
    <w:basedOn w:val="BodyText"/>
    <w:uiPriority w:val="99"/>
    <w:rsid w:val="0065235B"/>
    <w:pPr>
      <w:spacing w:before="0" w:after="0"/>
    </w:pPr>
    <w:rPr>
      <w:rFonts w:ascii="Times" w:eastAsia="Times New Roman" w:hAnsi="Times" w:cs="Times New Roman"/>
      <w:snapToGrid w:val="0"/>
      <w:szCs w:val="24"/>
      <w:lang w:val="en-US" w:eastAsia="en-AU"/>
    </w:rPr>
  </w:style>
  <w:style w:type="paragraph" w:customStyle="1" w:styleId="Default">
    <w:name w:val="Default"/>
    <w:rsid w:val="0065235B"/>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eop">
    <w:name w:val="eop"/>
    <w:basedOn w:val="DefaultParagraphFont"/>
    <w:rsid w:val="0065235B"/>
  </w:style>
  <w:style w:type="paragraph" w:customStyle="1" w:styleId="GeneralHeading">
    <w:name w:val="General Heading"/>
    <w:qFormat/>
    <w:rsid w:val="0065235B"/>
    <w:pPr>
      <w:keepNext/>
      <w:spacing w:before="120" w:after="120" w:line="240" w:lineRule="auto"/>
      <w:ind w:left="720" w:hanging="720"/>
      <w:outlineLvl w:val="0"/>
    </w:pPr>
    <w:rPr>
      <w:rFonts w:ascii="Calibri" w:eastAsia="Times New Roman" w:hAnsi="Calibri" w:cs="Arial"/>
      <w:b/>
      <w:snapToGrid w:val="0"/>
      <w:sz w:val="28"/>
      <w:lang w:eastAsia="en-AU"/>
    </w:rPr>
  </w:style>
  <w:style w:type="paragraph" w:customStyle="1" w:styleId="PageFooter">
    <w:name w:val="Page Footer"/>
    <w:basedOn w:val="Normal"/>
    <w:link w:val="PageFooterChar"/>
    <w:qFormat/>
    <w:rsid w:val="0065235B"/>
    <w:pPr>
      <w:keepNext/>
      <w:tabs>
        <w:tab w:val="center" w:pos="4153"/>
        <w:tab w:val="center" w:pos="4513"/>
        <w:tab w:val="right" w:pos="8306"/>
        <w:tab w:val="right" w:pos="9026"/>
      </w:tabs>
      <w:spacing w:before="0" w:after="0"/>
      <w:jc w:val="center"/>
    </w:pPr>
    <w:rPr>
      <w:rFonts w:ascii="Calibri" w:eastAsia="Times New Roman" w:hAnsi="Calibri" w:cs="Arial"/>
      <w:b/>
      <w:szCs w:val="24"/>
      <w:lang w:eastAsia="en-AU"/>
    </w:rPr>
  </w:style>
  <w:style w:type="character" w:customStyle="1" w:styleId="PageFooterChar">
    <w:name w:val="Page Footer Char"/>
    <w:basedOn w:val="DefaultParagraphFont"/>
    <w:link w:val="PageFooter"/>
    <w:rsid w:val="0065235B"/>
    <w:rPr>
      <w:rFonts w:ascii="Calibri" w:eastAsia="Times New Roman" w:hAnsi="Calibri" w:cs="Arial"/>
      <w:b/>
      <w:sz w:val="24"/>
      <w:szCs w:val="24"/>
      <w:lang w:eastAsia="en-AU"/>
    </w:rPr>
  </w:style>
  <w:style w:type="character" w:styleId="PageNumber">
    <w:name w:val="page number"/>
    <w:basedOn w:val="DefaultParagraphFont"/>
    <w:semiHidden/>
    <w:unhideWhenUsed/>
    <w:rsid w:val="0065235B"/>
  </w:style>
  <w:style w:type="paragraph" w:customStyle="1" w:styleId="paragraph">
    <w:name w:val="paragraph"/>
    <w:basedOn w:val="Normal"/>
    <w:rsid w:val="0065235B"/>
    <w:pPr>
      <w:spacing w:before="100" w:beforeAutospacing="1" w:after="100" w:afterAutospacing="1"/>
    </w:pPr>
    <w:rPr>
      <w:rFonts w:ascii="Times New Roman" w:eastAsia="Times New Roman" w:hAnsi="Times New Roman" w:cs="Times New Roman"/>
      <w:szCs w:val="24"/>
      <w:lang w:eastAsia="en-AU"/>
    </w:rPr>
  </w:style>
  <w:style w:type="paragraph" w:customStyle="1" w:styleId="PBACHeading1">
    <w:name w:val="PBAC Heading 1"/>
    <w:qFormat/>
    <w:rsid w:val="0065235B"/>
    <w:pPr>
      <w:spacing w:after="0" w:line="240" w:lineRule="auto"/>
      <w:outlineLvl w:val="0"/>
    </w:pPr>
    <w:rPr>
      <w:rFonts w:ascii="Calibri" w:eastAsia="Times New Roman" w:hAnsi="Calibri" w:cs="Arial"/>
      <w:b/>
      <w:snapToGrid w:val="0"/>
      <w:sz w:val="32"/>
    </w:rPr>
  </w:style>
  <w:style w:type="table" w:customStyle="1" w:styleId="PlainTable21">
    <w:name w:val="Plain Table 21"/>
    <w:basedOn w:val="TableNormal"/>
    <w:uiPriority w:val="42"/>
    <w:rsid w:val="0065235B"/>
    <w:pPr>
      <w:spacing w:after="0" w:line="240" w:lineRule="auto"/>
    </w:pPr>
    <w:rPr>
      <w:rFonts w:eastAsia="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ubtitle">
    <w:name w:val="Subtitle"/>
    <w:basedOn w:val="Normal"/>
    <w:link w:val="SubtitleChar"/>
    <w:qFormat/>
    <w:rsid w:val="0065235B"/>
    <w:pPr>
      <w:spacing w:before="0" w:after="0"/>
    </w:pPr>
    <w:rPr>
      <w:rFonts w:ascii="Times New Roman" w:eastAsia="Times New Roman" w:hAnsi="Times New Roman" w:cs="Times New Roman"/>
      <w:snapToGrid w:val="0"/>
      <w:sz w:val="20"/>
      <w:szCs w:val="24"/>
      <w:lang w:eastAsia="en-AU"/>
    </w:rPr>
  </w:style>
  <w:style w:type="character" w:customStyle="1" w:styleId="SubtitleChar">
    <w:name w:val="Subtitle Char"/>
    <w:basedOn w:val="DefaultParagraphFont"/>
    <w:link w:val="Subtitle"/>
    <w:rsid w:val="0065235B"/>
    <w:rPr>
      <w:rFonts w:ascii="Times New Roman" w:eastAsia="Times New Roman" w:hAnsi="Times New Roman" w:cs="Times New Roman"/>
      <w:snapToGrid w:val="0"/>
      <w:sz w:val="20"/>
      <w:szCs w:val="24"/>
      <w:lang w:eastAsia="en-AU"/>
    </w:rPr>
  </w:style>
  <w:style w:type="character" w:customStyle="1" w:styleId="SubtitleChar1">
    <w:name w:val="Subtitle Char1"/>
    <w:basedOn w:val="DefaultParagraphFont"/>
    <w:rsid w:val="0065235B"/>
    <w:rPr>
      <w:rFonts w:ascii="Aptos Display" w:eastAsia="Times New Roman" w:hAnsi="Aptos Display" w:cs="Times New Roman"/>
      <w:i/>
      <w:iCs/>
      <w:snapToGrid w:val="0"/>
      <w:color w:val="156082"/>
      <w:spacing w:val="15"/>
      <w:sz w:val="24"/>
      <w:szCs w:val="24"/>
      <w:lang w:eastAsia="en-US"/>
    </w:rPr>
  </w:style>
  <w:style w:type="table" w:customStyle="1" w:styleId="ASDTable2">
    <w:name w:val="ASD Table2"/>
    <w:basedOn w:val="TableNormal"/>
    <w:next w:val="TableGrid"/>
    <w:uiPriority w:val="39"/>
    <w:rsid w:val="0065235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uiPriority w:val="3"/>
    <w:rsid w:val="0065235B"/>
    <w:pPr>
      <w:spacing w:before="0" w:after="0"/>
    </w:pPr>
    <w:rPr>
      <w:rFonts w:ascii="Calibri" w:eastAsia="Times New Roman" w:hAnsi="Calibri" w:cs="Arial"/>
      <w:b/>
      <w:sz w:val="20"/>
      <w:szCs w:val="24"/>
      <w:lang w:eastAsia="en-AU"/>
    </w:rPr>
  </w:style>
  <w:style w:type="paragraph" w:customStyle="1" w:styleId="TableName">
    <w:name w:val="TableName"/>
    <w:basedOn w:val="Normal"/>
    <w:rsid w:val="0065235B"/>
    <w:pPr>
      <w:keepNext/>
      <w:spacing w:after="120"/>
      <w:ind w:left="1800" w:hanging="1080"/>
    </w:pPr>
    <w:rPr>
      <w:rFonts w:ascii="Arial Narrow" w:eastAsia="Times New Roman" w:hAnsi="Arial Narrow" w:cs="Arial Narrow"/>
      <w:b/>
      <w:bCs/>
      <w:snapToGrid w:val="0"/>
      <w:szCs w:val="24"/>
      <w:lang w:eastAsia="en-AU"/>
    </w:rPr>
  </w:style>
  <w:style w:type="paragraph" w:customStyle="1" w:styleId="TableNotes18">
    <w:name w:val="TableNotes+18"/>
    <w:basedOn w:val="Normal"/>
    <w:rsid w:val="0065235B"/>
    <w:pPr>
      <w:keepLines/>
      <w:spacing w:before="0" w:after="360"/>
      <w:ind w:left="720"/>
    </w:pPr>
    <w:rPr>
      <w:rFonts w:ascii="Arial Narrow" w:eastAsia="Times New Roman" w:hAnsi="Arial Narrow" w:cs="Arial Narrow"/>
      <w:snapToGrid w:val="0"/>
      <w:sz w:val="18"/>
      <w:szCs w:val="18"/>
      <w:lang w:eastAsia="en-AU"/>
    </w:rPr>
  </w:style>
  <w:style w:type="paragraph" w:customStyle="1" w:styleId="TableNotes0">
    <w:name w:val="TableNotes+0"/>
    <w:basedOn w:val="TableNotes18"/>
    <w:rsid w:val="0065235B"/>
    <w:pPr>
      <w:keepNext/>
      <w:spacing w:after="0"/>
    </w:pPr>
  </w:style>
  <w:style w:type="paragraph" w:styleId="Title">
    <w:name w:val="Title"/>
    <w:basedOn w:val="Normal"/>
    <w:next w:val="Normal"/>
    <w:link w:val="TitleChar"/>
    <w:rsid w:val="0065235B"/>
    <w:pPr>
      <w:spacing w:before="240" w:after="60"/>
      <w:jc w:val="center"/>
      <w:outlineLvl w:val="0"/>
    </w:pPr>
    <w:rPr>
      <w:rFonts w:ascii="Cambria" w:eastAsia="Times New Roman" w:hAnsi="Cambria" w:cs="Arial"/>
      <w:b/>
      <w:bCs/>
      <w:kern w:val="28"/>
      <w:sz w:val="32"/>
      <w:szCs w:val="32"/>
      <w:lang w:eastAsia="en-AU"/>
    </w:rPr>
  </w:style>
  <w:style w:type="character" w:customStyle="1" w:styleId="TitleChar">
    <w:name w:val="Title Char"/>
    <w:basedOn w:val="DefaultParagraphFont"/>
    <w:link w:val="Title"/>
    <w:rsid w:val="0065235B"/>
    <w:rPr>
      <w:rFonts w:ascii="Cambria" w:eastAsia="Times New Roman" w:hAnsi="Cambria" w:cs="Arial"/>
      <w:b/>
      <w:bCs/>
      <w:kern w:val="28"/>
      <w:sz w:val="32"/>
      <w:szCs w:val="32"/>
      <w:lang w:eastAsia="en-AU"/>
    </w:rPr>
  </w:style>
  <w:style w:type="paragraph" w:customStyle="1" w:styleId="V50Tablename">
    <w:name w:val="V5.0 Table name"/>
    <w:basedOn w:val="Normal"/>
    <w:link w:val="V50TablenameChar"/>
    <w:rsid w:val="0065235B"/>
    <w:pPr>
      <w:keepNext/>
      <w:spacing w:before="0" w:after="0"/>
    </w:pPr>
    <w:rPr>
      <w:b/>
      <w:snapToGrid w:val="0"/>
      <w:sz w:val="20"/>
      <w:szCs w:val="24"/>
      <w:lang w:val="en-US" w:eastAsia="en-AU"/>
    </w:rPr>
  </w:style>
  <w:style w:type="character" w:customStyle="1" w:styleId="V50TablenameChar">
    <w:name w:val="V5.0 Table name Char"/>
    <w:basedOn w:val="DefaultParagraphFont"/>
    <w:link w:val="V50Tablename"/>
    <w:rsid w:val="0065235B"/>
    <w:rPr>
      <w:b/>
      <w:snapToGrid w:val="0"/>
      <w:sz w:val="20"/>
      <w:szCs w:val="24"/>
      <w:lang w:val="en-US" w:eastAsia="en-AU"/>
    </w:rPr>
  </w:style>
  <w:style w:type="paragraph" w:customStyle="1" w:styleId="Quote1">
    <w:name w:val="Quote1"/>
    <w:basedOn w:val="Normal"/>
    <w:next w:val="Normal"/>
    <w:uiPriority w:val="29"/>
    <w:qFormat/>
    <w:rsid w:val="0065235B"/>
    <w:pPr>
      <w:spacing w:before="160"/>
      <w:jc w:val="center"/>
    </w:pPr>
    <w:rPr>
      <w:rFonts w:ascii="Calibri" w:eastAsia="Times New Roman" w:hAnsi="Calibri" w:cs="Arial"/>
      <w:i/>
      <w:iCs/>
      <w:color w:val="404040"/>
      <w:szCs w:val="24"/>
      <w:lang w:eastAsia="en-AU"/>
    </w:rPr>
  </w:style>
  <w:style w:type="character" w:customStyle="1" w:styleId="QuoteChar">
    <w:name w:val="Quote Char"/>
    <w:basedOn w:val="DefaultParagraphFont"/>
    <w:link w:val="Quote"/>
    <w:uiPriority w:val="29"/>
    <w:rsid w:val="0065235B"/>
    <w:rPr>
      <w:rFonts w:ascii="Calibri" w:hAnsi="Calibri" w:cs="Arial"/>
      <w:i/>
      <w:iCs/>
      <w:color w:val="404040"/>
      <w:sz w:val="24"/>
      <w:szCs w:val="24"/>
      <w:lang w:eastAsia="en-AU"/>
    </w:rPr>
  </w:style>
  <w:style w:type="character" w:customStyle="1" w:styleId="IntenseEmphasis1">
    <w:name w:val="Intense Emphasis1"/>
    <w:basedOn w:val="DefaultParagraphFont"/>
    <w:uiPriority w:val="21"/>
    <w:qFormat/>
    <w:rsid w:val="0065235B"/>
    <w:rPr>
      <w:i/>
      <w:iCs/>
      <w:color w:val="0F4761"/>
    </w:rPr>
  </w:style>
  <w:style w:type="paragraph" w:customStyle="1" w:styleId="IntenseQuote1">
    <w:name w:val="Intense Quote1"/>
    <w:basedOn w:val="Normal"/>
    <w:next w:val="Normal"/>
    <w:uiPriority w:val="30"/>
    <w:qFormat/>
    <w:rsid w:val="0065235B"/>
    <w:pPr>
      <w:pBdr>
        <w:top w:val="single" w:sz="4" w:space="10" w:color="0F4761"/>
        <w:bottom w:val="single" w:sz="4" w:space="10" w:color="0F4761"/>
      </w:pBdr>
      <w:spacing w:before="360" w:after="360"/>
      <w:ind w:left="864" w:right="864"/>
      <w:jc w:val="center"/>
    </w:pPr>
    <w:rPr>
      <w:rFonts w:ascii="Calibri" w:eastAsia="Times New Roman" w:hAnsi="Calibri" w:cs="Arial"/>
      <w:i/>
      <w:iCs/>
      <w:color w:val="0F4761"/>
      <w:szCs w:val="24"/>
      <w:lang w:eastAsia="en-AU"/>
    </w:rPr>
  </w:style>
  <w:style w:type="character" w:customStyle="1" w:styleId="IntenseQuoteChar">
    <w:name w:val="Intense Quote Char"/>
    <w:basedOn w:val="DefaultParagraphFont"/>
    <w:link w:val="IntenseQuote"/>
    <w:uiPriority w:val="30"/>
    <w:rsid w:val="0065235B"/>
    <w:rPr>
      <w:rFonts w:ascii="Calibri" w:hAnsi="Calibri" w:cs="Arial"/>
      <w:i/>
      <w:iCs/>
      <w:color w:val="0F4761"/>
      <w:sz w:val="24"/>
      <w:szCs w:val="24"/>
      <w:lang w:eastAsia="en-AU"/>
    </w:rPr>
  </w:style>
  <w:style w:type="character" w:customStyle="1" w:styleId="IntenseReference1">
    <w:name w:val="Intense Reference1"/>
    <w:basedOn w:val="DefaultParagraphFont"/>
    <w:uiPriority w:val="32"/>
    <w:qFormat/>
    <w:rsid w:val="0065235B"/>
    <w:rPr>
      <w:b/>
      <w:bCs/>
      <w:smallCaps/>
      <w:color w:val="0F4761"/>
      <w:spacing w:val="5"/>
    </w:rPr>
  </w:style>
  <w:style w:type="numbering" w:customStyle="1" w:styleId="NoList11">
    <w:name w:val="No List11"/>
    <w:next w:val="NoList"/>
    <w:uiPriority w:val="99"/>
    <w:semiHidden/>
    <w:unhideWhenUsed/>
    <w:rsid w:val="0065235B"/>
  </w:style>
  <w:style w:type="table" w:customStyle="1" w:styleId="Section3-footnotes1">
    <w:name w:val="Section 3- footnotes1"/>
    <w:basedOn w:val="TableNormal"/>
    <w:next w:val="TableGrid"/>
    <w:uiPriority w:val="59"/>
    <w:rsid w:val="0065235B"/>
    <w:pPr>
      <w:spacing w:after="0" w:line="240" w:lineRule="auto"/>
    </w:pPr>
    <w:rPr>
      <w:rFonts w:eastAsia="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Style4">
    <w:name w:val="PBAC Table Style4"/>
    <w:basedOn w:val="TableGrid1"/>
    <w:uiPriority w:val="99"/>
    <w:rsid w:val="0065235B"/>
    <w:pPr>
      <w:widowControl w:val="0"/>
      <w:spacing w:after="0"/>
      <w:contextualSpacing/>
      <w:jc w:val="center"/>
    </w:pPr>
    <w:rPr>
      <w:rFonts w:ascii="Arial Narrow" w:eastAsia="Calibri" w:hAnsi="Arial Narrow"/>
      <w:color w:val="000000"/>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11">
    <w:name w:val="List Table 1 Light11"/>
    <w:basedOn w:val="TableNormal"/>
    <w:next w:val="ListTable1Light"/>
    <w:uiPriority w:val="46"/>
    <w:rsid w:val="0065235B"/>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611">
    <w:name w:val="List Table 7 Colorful - Accent 611"/>
    <w:basedOn w:val="TableNormal"/>
    <w:next w:val="ListTable7Colorful-Accent6"/>
    <w:uiPriority w:val="52"/>
    <w:rsid w:val="0065235B"/>
    <w:pPr>
      <w:spacing w:after="0" w:line="240" w:lineRule="auto"/>
    </w:pPr>
    <w:rPr>
      <w:rFonts w:eastAsia="Calibri"/>
      <w:color w:val="538135"/>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
    <w:name w:val="Table Grid 11"/>
    <w:basedOn w:val="TableNormal"/>
    <w:next w:val="TableGrid1"/>
    <w:uiPriority w:val="99"/>
    <w:semiHidden/>
    <w:unhideWhenUsed/>
    <w:rsid w:val="0065235B"/>
    <w:pPr>
      <w:spacing w:before="120" w:line="240" w:lineRule="auto"/>
      <w:jc w:val="both"/>
    </w:pPr>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MSACESBulletpoints1">
    <w:name w:val="MSAC ES Bullet points1"/>
    <w:uiPriority w:val="99"/>
    <w:rsid w:val="0065235B"/>
    <w:pPr>
      <w:numPr>
        <w:numId w:val="34"/>
      </w:numPr>
    </w:pPr>
  </w:style>
  <w:style w:type="numbering" w:customStyle="1" w:styleId="Style11">
    <w:name w:val="Style11"/>
    <w:uiPriority w:val="99"/>
    <w:rsid w:val="0065235B"/>
  </w:style>
  <w:style w:type="numbering" w:customStyle="1" w:styleId="Style22">
    <w:name w:val="Style22"/>
    <w:uiPriority w:val="99"/>
    <w:rsid w:val="0065235B"/>
    <w:pPr>
      <w:numPr>
        <w:numId w:val="33"/>
      </w:numPr>
    </w:pPr>
  </w:style>
  <w:style w:type="numbering" w:customStyle="1" w:styleId="Style31">
    <w:name w:val="Style31"/>
    <w:uiPriority w:val="99"/>
    <w:rsid w:val="0065235B"/>
    <w:pPr>
      <w:numPr>
        <w:numId w:val="43"/>
      </w:numPr>
    </w:pPr>
  </w:style>
  <w:style w:type="paragraph" w:customStyle="1" w:styleId="CrossRef">
    <w:name w:val="CrossRef"/>
    <w:basedOn w:val="BodyText"/>
    <w:link w:val="CrossRefChar"/>
    <w:qFormat/>
    <w:rsid w:val="0065235B"/>
    <w:pPr>
      <w:spacing w:before="180" w:after="60" w:line="264" w:lineRule="auto"/>
    </w:pPr>
    <w:rPr>
      <w:rFonts w:ascii="Arial" w:eastAsia="Calibri" w:hAnsi="Arial" w:cs="Arial"/>
      <w:color w:val="0000FF"/>
      <w:szCs w:val="24"/>
      <w:u w:val="single"/>
      <w:lang w:val="en-GB" w:eastAsia="en-AU"/>
    </w:rPr>
  </w:style>
  <w:style w:type="character" w:customStyle="1" w:styleId="CrossRefChar">
    <w:name w:val="CrossRef Char"/>
    <w:basedOn w:val="BodyTextChar"/>
    <w:link w:val="CrossRef"/>
    <w:rsid w:val="0065235B"/>
    <w:rPr>
      <w:rFonts w:ascii="Arial" w:eastAsia="Calibri" w:hAnsi="Arial" w:cs="Arial"/>
      <w:color w:val="0000FF"/>
      <w:sz w:val="24"/>
      <w:szCs w:val="24"/>
      <w:u w:val="single"/>
      <w:lang w:val="en-GB" w:eastAsia="en-AU"/>
    </w:rPr>
  </w:style>
  <w:style w:type="paragraph" w:customStyle="1" w:styleId="TableCentre">
    <w:name w:val="Table Centre"/>
    <w:basedOn w:val="Normal"/>
    <w:uiPriority w:val="1"/>
    <w:qFormat/>
    <w:rsid w:val="0065235B"/>
    <w:pPr>
      <w:spacing w:before="0" w:after="0"/>
      <w:jc w:val="center"/>
    </w:pPr>
    <w:rPr>
      <w:rFonts w:ascii="Calibri" w:eastAsia="SimSun" w:hAnsi="Calibri" w:cs="Times New Roman"/>
      <w:sz w:val="18"/>
      <w:szCs w:val="18"/>
      <w:lang w:bidi="en-US"/>
    </w:rPr>
  </w:style>
  <w:style w:type="paragraph" w:customStyle="1" w:styleId="FigureFootnotes">
    <w:name w:val="Figure Footnotes"/>
    <w:next w:val="Normal"/>
    <w:qFormat/>
    <w:rsid w:val="0065235B"/>
    <w:pPr>
      <w:keepLines/>
      <w:spacing w:after="0" w:line="240" w:lineRule="auto"/>
    </w:pPr>
    <w:rPr>
      <w:rFonts w:ascii="Calibri" w:eastAsia="Times New Roman" w:hAnsi="Calibri" w:cs="Calibri"/>
      <w:sz w:val="18"/>
      <w:szCs w:val="24"/>
      <w:lang w:val="en-US"/>
    </w:rPr>
  </w:style>
  <w:style w:type="table" w:customStyle="1" w:styleId="TableGrid110">
    <w:name w:val="Table Grid11"/>
    <w:basedOn w:val="TableNormal"/>
    <w:next w:val="TableGrid"/>
    <w:uiPriority w:val="59"/>
    <w:rsid w:val="0065235B"/>
    <w:pPr>
      <w:spacing w:after="0" w:line="240" w:lineRule="auto"/>
    </w:pPr>
    <w:rPr>
      <w:rFonts w:ascii="Times New Roman" w:eastAsia="Batang"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TATableshaded1">
    <w:name w:val="HTA Table shaded1"/>
    <w:basedOn w:val="TableNormal"/>
    <w:rsid w:val="0065235B"/>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Style2111">
    <w:name w:val="Style2111"/>
    <w:uiPriority w:val="99"/>
    <w:rsid w:val="0065235B"/>
    <w:pPr>
      <w:numPr>
        <w:numId w:val="36"/>
      </w:numPr>
    </w:pPr>
  </w:style>
  <w:style w:type="table" w:customStyle="1" w:styleId="Submissionstandard3">
    <w:name w:val="Submission standard3"/>
    <w:basedOn w:val="TableNormal"/>
    <w:uiPriority w:val="99"/>
    <w:qFormat/>
    <w:rsid w:val="0065235B"/>
    <w:pPr>
      <w:spacing w:after="0" w:line="240" w:lineRule="auto"/>
    </w:pPr>
    <w:rPr>
      <w:rFonts w:ascii="Arial Narrow" w:eastAsia="SimSun" w:hAnsi="Arial Narrow"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Segoe UI Emoji" w:hAnsi="Segoe UI Emoji"/>
        <w:b/>
        <w:sz w:val="20"/>
      </w:rPr>
      <w:tblPr/>
      <w:tcPr>
        <w:shd w:val="clear" w:color="auto" w:fill="BFBFBF"/>
      </w:tcPr>
    </w:tblStylePr>
  </w:style>
  <w:style w:type="paragraph" w:customStyle="1" w:styleId="TableParagraph">
    <w:name w:val="Table Paragraph"/>
    <w:basedOn w:val="Normal"/>
    <w:uiPriority w:val="1"/>
    <w:qFormat/>
    <w:rsid w:val="0065235B"/>
    <w:pPr>
      <w:widowControl w:val="0"/>
      <w:spacing w:before="0" w:after="0"/>
      <w:ind w:left="431"/>
    </w:pPr>
    <w:rPr>
      <w:rFonts w:ascii="Calibri" w:eastAsia="Calibri" w:hAnsi="Calibri" w:cs="Calibri"/>
      <w:lang w:val="en-US"/>
    </w:rPr>
  </w:style>
  <w:style w:type="paragraph" w:customStyle="1" w:styleId="ListNumber31">
    <w:name w:val="List Number 31"/>
    <w:basedOn w:val="Normal"/>
    <w:next w:val="ListNumber3"/>
    <w:uiPriority w:val="99"/>
    <w:unhideWhenUsed/>
    <w:qFormat/>
    <w:rsid w:val="0065235B"/>
    <w:pPr>
      <w:tabs>
        <w:tab w:val="num" w:pos="360"/>
      </w:tabs>
      <w:spacing w:before="0" w:after="200" w:line="276" w:lineRule="auto"/>
      <w:contextualSpacing/>
    </w:pPr>
    <w:rPr>
      <w:rFonts w:ascii="Calibri" w:eastAsia="SimSun" w:hAnsi="Calibri" w:cs="Times New Roman"/>
      <w:lang w:bidi="en-US"/>
    </w:rPr>
  </w:style>
  <w:style w:type="table" w:customStyle="1" w:styleId="Submissionstandard11">
    <w:name w:val="Submission standard11"/>
    <w:basedOn w:val="TableNormal"/>
    <w:uiPriority w:val="99"/>
    <w:qFormat/>
    <w:rsid w:val="0065235B"/>
    <w:pPr>
      <w:spacing w:after="0" w:line="240" w:lineRule="auto"/>
    </w:pPr>
    <w:rPr>
      <w:rFonts w:ascii="Arial Narrow" w:eastAsia="SimSun" w:hAnsi="Arial Narrow"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Segoe UI Emoji" w:hAnsi="Segoe UI Emoji"/>
        <w:b/>
        <w:sz w:val="20"/>
      </w:rPr>
      <w:tblPr/>
      <w:tcPr>
        <w:shd w:val="clear" w:color="auto" w:fill="BFBFBF"/>
      </w:tcPr>
    </w:tblStylePr>
  </w:style>
  <w:style w:type="paragraph" w:customStyle="1" w:styleId="MSACS2Heading1">
    <w:name w:val="MSAC S2 Heading 1"/>
    <w:next w:val="Normal"/>
    <w:uiPriority w:val="1"/>
    <w:qFormat/>
    <w:rsid w:val="0065235B"/>
    <w:pPr>
      <w:spacing w:after="200" w:line="276" w:lineRule="auto"/>
      <w:ind w:left="1077" w:hanging="1077"/>
      <w:outlineLvl w:val="1"/>
    </w:pPr>
    <w:rPr>
      <w:rFonts w:ascii="Calibri" w:eastAsia="SimSun" w:hAnsi="Calibri" w:cs="Times New Roman"/>
      <w:b/>
      <w:spacing w:val="5"/>
      <w:sz w:val="32"/>
      <w:szCs w:val="36"/>
      <w:lang w:bidi="en-US"/>
    </w:rPr>
  </w:style>
  <w:style w:type="paragraph" w:customStyle="1" w:styleId="MSACS2Heading2">
    <w:name w:val="MSAC S2 Heading 2"/>
    <w:basedOn w:val="MSACS2Heading1"/>
    <w:next w:val="Normal"/>
    <w:uiPriority w:val="1"/>
    <w:qFormat/>
    <w:rsid w:val="0065235B"/>
    <w:pPr>
      <w:pageBreakBefore/>
      <w:ind w:left="720" w:hanging="720"/>
      <w:outlineLvl w:val="2"/>
    </w:pPr>
    <w:rPr>
      <w:sz w:val="28"/>
    </w:rPr>
  </w:style>
  <w:style w:type="paragraph" w:customStyle="1" w:styleId="MSACS2Heading3">
    <w:name w:val="MSAC S2 Heading 3"/>
    <w:basedOn w:val="MSACS2Heading2"/>
    <w:next w:val="Normal"/>
    <w:uiPriority w:val="1"/>
    <w:qFormat/>
    <w:rsid w:val="0065235B"/>
    <w:pPr>
      <w:pageBreakBefore w:val="0"/>
      <w:outlineLvl w:val="3"/>
    </w:pPr>
    <w:rPr>
      <w:sz w:val="26"/>
      <w:szCs w:val="26"/>
    </w:rPr>
  </w:style>
  <w:style w:type="paragraph" w:customStyle="1" w:styleId="MSACS2Heading4">
    <w:name w:val="MSAC S2 Heading 4"/>
    <w:basedOn w:val="MSACS2Heading3"/>
    <w:next w:val="Normal"/>
    <w:link w:val="MSACS2Heading4Char"/>
    <w:uiPriority w:val="1"/>
    <w:qFormat/>
    <w:rsid w:val="0065235B"/>
    <w:pPr>
      <w:ind w:left="1080" w:hanging="1080"/>
      <w:outlineLvl w:val="4"/>
    </w:pPr>
    <w:rPr>
      <w:sz w:val="24"/>
      <w:szCs w:val="24"/>
    </w:rPr>
  </w:style>
  <w:style w:type="paragraph" w:customStyle="1" w:styleId="MSACS2Heading5">
    <w:name w:val="MSAC S2 Heading 5"/>
    <w:basedOn w:val="MSACS2Heading4"/>
    <w:next w:val="Normal"/>
    <w:link w:val="MSACS2Heading5Char"/>
    <w:uiPriority w:val="1"/>
    <w:qFormat/>
    <w:rsid w:val="0065235B"/>
    <w:pPr>
      <w:ind w:left="3600" w:hanging="360"/>
      <w:outlineLvl w:val="5"/>
    </w:pPr>
    <w:rPr>
      <w:sz w:val="22"/>
    </w:rPr>
  </w:style>
  <w:style w:type="paragraph" w:customStyle="1" w:styleId="MSACS2Heading6">
    <w:name w:val="MSAC S2 Heading 6"/>
    <w:basedOn w:val="MSACS2Heading5"/>
    <w:next w:val="Normal"/>
    <w:link w:val="MSACS2Heading6Char"/>
    <w:uiPriority w:val="1"/>
    <w:qFormat/>
    <w:rsid w:val="0065235B"/>
    <w:pPr>
      <w:ind w:left="4320"/>
      <w:outlineLvl w:val="6"/>
    </w:pPr>
    <w:rPr>
      <w:b w:val="0"/>
      <w:bCs/>
      <w:i/>
      <w:iCs/>
    </w:rPr>
  </w:style>
  <w:style w:type="paragraph" w:customStyle="1" w:styleId="MSACS2Heading7">
    <w:name w:val="MSAC S2 Heading 7"/>
    <w:basedOn w:val="MSACS2Heading6"/>
    <w:uiPriority w:val="1"/>
    <w:qFormat/>
    <w:rsid w:val="0065235B"/>
    <w:pPr>
      <w:ind w:left="5040"/>
    </w:pPr>
  </w:style>
  <w:style w:type="paragraph" w:customStyle="1" w:styleId="MSACS2Heading8">
    <w:name w:val="MSAC S2 Heading 8"/>
    <w:basedOn w:val="MSACS2Heading7"/>
    <w:next w:val="Normal"/>
    <w:uiPriority w:val="1"/>
    <w:qFormat/>
    <w:rsid w:val="0065235B"/>
    <w:pPr>
      <w:ind w:left="5760"/>
      <w:outlineLvl w:val="8"/>
    </w:pPr>
  </w:style>
  <w:style w:type="character" w:customStyle="1" w:styleId="MSACS2Heading5Char">
    <w:name w:val="MSAC S2 Heading 5 Char"/>
    <w:basedOn w:val="DefaultParagraphFont"/>
    <w:link w:val="MSACS2Heading5"/>
    <w:uiPriority w:val="1"/>
    <w:rsid w:val="0065235B"/>
    <w:rPr>
      <w:rFonts w:ascii="Calibri" w:eastAsia="SimSun" w:hAnsi="Calibri" w:cs="Times New Roman"/>
      <w:b/>
      <w:spacing w:val="5"/>
      <w:szCs w:val="24"/>
      <w:lang w:bidi="en-US"/>
    </w:rPr>
  </w:style>
  <w:style w:type="paragraph" w:customStyle="1" w:styleId="ListAlphabeticalLevel1">
    <w:name w:val="List Alphabetical Level 1"/>
    <w:basedOn w:val="Normal"/>
    <w:uiPriority w:val="1"/>
    <w:rsid w:val="0065235B"/>
    <w:pPr>
      <w:spacing w:after="0"/>
      <w:ind w:left="717" w:hanging="360"/>
    </w:pPr>
    <w:rPr>
      <w:rFonts w:ascii="Times New Roman" w:eastAsia="MS Mincho" w:hAnsi="Times New Roman" w:cs="Times New Roman"/>
      <w:color w:val="000000"/>
      <w:szCs w:val="24"/>
      <w:lang w:val="en-US"/>
    </w:rPr>
  </w:style>
  <w:style w:type="table" w:customStyle="1" w:styleId="Evidera-20191">
    <w:name w:val="Evidera - 20191"/>
    <w:basedOn w:val="TableNormal"/>
    <w:uiPriority w:val="99"/>
    <w:qFormat/>
    <w:rsid w:val="0065235B"/>
    <w:pPr>
      <w:spacing w:before="40" w:after="40" w:line="240" w:lineRule="auto"/>
    </w:pPr>
    <w:rPr>
      <w:rFonts w:ascii="Calibri Light" w:eastAsia="Calibri" w:hAnsi="Calibri Light"/>
      <w:sz w:val="18"/>
      <w:lang w:val="en-US"/>
    </w:rPr>
    <w:tblPr>
      <w:tblStyleRowBandSize w:val="1"/>
      <w:tblBorders>
        <w:top w:val="single" w:sz="12" w:space="0" w:color="FFFFFF"/>
        <w:left w:val="single" w:sz="12" w:space="0" w:color="FFFFFF"/>
        <w:bottom w:val="single" w:sz="12" w:space="0" w:color="FFFFFF"/>
        <w:right w:val="single" w:sz="12" w:space="0" w:color="FFFFFF"/>
        <w:insideH w:val="single" w:sz="4" w:space="0" w:color="FFFFFF"/>
        <w:insideV w:val="single" w:sz="4" w:space="0" w:color="FFFFFF"/>
      </w:tblBorders>
    </w:tblPr>
    <w:trPr>
      <w:cantSplit/>
    </w:trPr>
    <w:tcPr>
      <w:shd w:val="clear" w:color="auto" w:fill="auto"/>
    </w:tcPr>
    <w:tblStylePr w:type="firstRow">
      <w:pPr>
        <w:jc w:val="left"/>
      </w:pPr>
      <w:rPr>
        <w:rFonts w:ascii="Calibri Light" w:hAnsi="Calibri Light"/>
        <w:b w:val="0"/>
        <w:color w:val="70AD47"/>
        <w:sz w:val="18"/>
      </w:rPr>
      <w:tblPr/>
      <w:trPr>
        <w:cantSplit w:val="0"/>
        <w:tblHeader/>
      </w:trPr>
      <w:tcPr>
        <w:shd w:val="clear" w:color="auto" w:fill="27AAE1"/>
      </w:tcPr>
    </w:tblStylePr>
    <w:tblStylePr w:type="firstCol">
      <w:pPr>
        <w:jc w:val="left"/>
      </w:pPr>
    </w:tblStylePr>
    <w:tblStylePr w:type="band1Horz">
      <w:pPr>
        <w:jc w:val="left"/>
      </w:pPr>
    </w:tblStylePr>
    <w:tblStylePr w:type="band2Horz">
      <w:pPr>
        <w:jc w:val="left"/>
      </w:pPr>
    </w:tblStylePr>
    <w:tblStylePr w:type="nwCell">
      <w:pPr>
        <w:jc w:val="left"/>
      </w:pPr>
      <w:rPr>
        <w:rFonts w:ascii="Calibri Light" w:hAnsi="Calibri Light"/>
        <w:color w:val="70AD47"/>
        <w:sz w:val="18"/>
      </w:rPr>
      <w:tblPr/>
      <w:tcPr>
        <w:vAlign w:val="center"/>
      </w:tcPr>
    </w:tblStylePr>
  </w:style>
  <w:style w:type="character" w:customStyle="1" w:styleId="MSACS2Heading6Char">
    <w:name w:val="MSAC S2 Heading 6 Char"/>
    <w:basedOn w:val="DefaultParagraphFont"/>
    <w:link w:val="MSACS2Heading6"/>
    <w:uiPriority w:val="1"/>
    <w:rsid w:val="0065235B"/>
    <w:rPr>
      <w:rFonts w:ascii="Calibri" w:eastAsia="SimSun" w:hAnsi="Calibri" w:cs="Times New Roman"/>
      <w:bCs/>
      <w:i/>
      <w:iCs/>
      <w:spacing w:val="5"/>
      <w:szCs w:val="24"/>
      <w:lang w:bidi="en-US"/>
    </w:rPr>
  </w:style>
  <w:style w:type="table" w:customStyle="1" w:styleId="TableGrid111">
    <w:name w:val="Table Grid111"/>
    <w:basedOn w:val="TableNormal"/>
    <w:next w:val="TableGrid"/>
    <w:uiPriority w:val="59"/>
    <w:rsid w:val="0065235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235B"/>
    <w:rPr>
      <w:rFonts w:ascii="Segoe UI" w:hAnsi="Segoe UI" w:cs="Segoe UI" w:hint="default"/>
      <w:sz w:val="18"/>
      <w:szCs w:val="18"/>
    </w:rPr>
  </w:style>
  <w:style w:type="paragraph" w:customStyle="1" w:styleId="Bulletlist">
    <w:name w:val="Bullet list"/>
    <w:basedOn w:val="Normal"/>
    <w:qFormat/>
    <w:rsid w:val="0065235B"/>
    <w:pPr>
      <w:numPr>
        <w:numId w:val="38"/>
      </w:numPr>
      <w:tabs>
        <w:tab w:val="num" w:pos="360"/>
        <w:tab w:val="left" w:pos="720"/>
      </w:tabs>
      <w:spacing w:after="0" w:line="276" w:lineRule="auto"/>
    </w:pPr>
    <w:rPr>
      <w:rFonts w:ascii="Calibri" w:eastAsia="Calibri" w:hAnsi="Calibri" w:cs="Calibri"/>
      <w:noProof/>
      <w:sz w:val="26"/>
      <w:szCs w:val="18"/>
    </w:rPr>
  </w:style>
  <w:style w:type="character" w:customStyle="1" w:styleId="off-screen">
    <w:name w:val="off-screen"/>
    <w:basedOn w:val="DefaultParagraphFont"/>
    <w:rsid w:val="0065235B"/>
  </w:style>
  <w:style w:type="character" w:customStyle="1" w:styleId="MSACS2Heading4Char">
    <w:name w:val="MSAC S2 Heading 4 Char"/>
    <w:basedOn w:val="DefaultParagraphFont"/>
    <w:link w:val="MSACS2Heading4"/>
    <w:uiPriority w:val="1"/>
    <w:rsid w:val="0065235B"/>
    <w:rPr>
      <w:rFonts w:ascii="Calibri" w:eastAsia="SimSun" w:hAnsi="Calibri" w:cs="Times New Roman"/>
      <w:b/>
      <w:spacing w:val="5"/>
      <w:sz w:val="24"/>
      <w:szCs w:val="24"/>
      <w:lang w:bidi="en-US"/>
    </w:rPr>
  </w:style>
  <w:style w:type="table" w:customStyle="1" w:styleId="ListTable1Light2">
    <w:name w:val="List Table 1 Light2"/>
    <w:basedOn w:val="TableNormal"/>
    <w:next w:val="ListTable1Light"/>
    <w:uiPriority w:val="46"/>
    <w:rsid w:val="0065235B"/>
    <w:pPr>
      <w:spacing w:after="0" w:line="240" w:lineRule="auto"/>
    </w:pPr>
    <w:rPr>
      <w:rFonts w:eastAsia="Times New Roman"/>
      <w:kern w:val="2"/>
      <w14:ligatures w14:val="standardContextua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62">
    <w:name w:val="List Table 7 Colorful - Accent 62"/>
    <w:basedOn w:val="TableNormal"/>
    <w:next w:val="ListTable7Colorful-Accent6"/>
    <w:uiPriority w:val="52"/>
    <w:rsid w:val="0065235B"/>
    <w:pPr>
      <w:spacing w:after="0" w:line="240" w:lineRule="auto"/>
    </w:pPr>
    <w:rPr>
      <w:rFonts w:eastAsia="Times New Roman"/>
      <w:color w:val="3A7C22"/>
      <w:kern w:val="2"/>
      <w14:ligatures w14:val="standardContextual"/>
    </w:rPr>
    <w:tblPr>
      <w:tblStyleRowBandSize w:val="1"/>
      <w:tblStyleColBandSize w:val="1"/>
    </w:tblPr>
    <w:tblStylePr w:type="firstRow">
      <w:rPr>
        <w:rFonts w:ascii="Segoe UI Emoji" w:eastAsia="Times New Roman" w:hAnsi="Segoe UI Emoji" w:cs="Times New Roman"/>
        <w:i/>
        <w:iCs/>
        <w:sz w:val="26"/>
      </w:rPr>
      <w:tblPr/>
      <w:tcPr>
        <w:tcBorders>
          <w:bottom w:val="single" w:sz="4" w:space="0" w:color="4EA72E"/>
        </w:tcBorders>
        <w:shd w:val="clear" w:color="auto" w:fill="FFFFFF"/>
      </w:tcPr>
    </w:tblStylePr>
    <w:tblStylePr w:type="lastRow">
      <w:rPr>
        <w:rFonts w:ascii="Segoe UI Emoji" w:eastAsia="Times New Roman" w:hAnsi="Segoe UI Emoji" w:cs="Times New Roman"/>
        <w:i/>
        <w:iCs/>
        <w:sz w:val="26"/>
      </w:rPr>
      <w:tblPr/>
      <w:tcPr>
        <w:tcBorders>
          <w:top w:val="single" w:sz="4" w:space="0" w:color="4EA72E"/>
        </w:tcBorders>
        <w:shd w:val="clear" w:color="auto" w:fill="FFFFFF"/>
      </w:tcPr>
    </w:tblStylePr>
    <w:tblStylePr w:type="firstCol">
      <w:pPr>
        <w:jc w:val="right"/>
      </w:pPr>
      <w:rPr>
        <w:rFonts w:ascii="Segoe UI Emoji" w:eastAsia="Times New Roman" w:hAnsi="Segoe UI Emoji" w:cs="Times New Roman"/>
        <w:i/>
        <w:iCs/>
        <w:sz w:val="26"/>
      </w:rPr>
      <w:tblPr/>
      <w:tcPr>
        <w:tcBorders>
          <w:right w:val="single" w:sz="4" w:space="0" w:color="4EA72E"/>
        </w:tcBorders>
        <w:shd w:val="clear" w:color="auto" w:fill="FFFFFF"/>
      </w:tcPr>
    </w:tblStylePr>
    <w:tblStylePr w:type="lastCol">
      <w:rPr>
        <w:rFonts w:ascii="Segoe UI Emoji" w:eastAsia="Times New Roman" w:hAnsi="Segoe UI Emoji" w:cs="Times New Roman"/>
        <w:i/>
        <w:iCs/>
        <w:sz w:val="26"/>
      </w:rPr>
      <w:tblPr/>
      <w:tcPr>
        <w:tcBorders>
          <w:left w:val="single" w:sz="4" w:space="0" w:color="4EA72E"/>
        </w:tcBorders>
        <w:shd w:val="clear" w:color="auto" w:fill="FFFFFF"/>
      </w:tcPr>
    </w:tblStylePr>
    <w:tblStylePr w:type="band1Vert">
      <w:tblPr/>
      <w:tcPr>
        <w:shd w:val="clear" w:color="auto" w:fill="D9F2D0"/>
      </w:tcPr>
    </w:tblStylePr>
    <w:tblStylePr w:type="band1Horz">
      <w:tblPr/>
      <w:tcPr>
        <w:shd w:val="clear" w:color="auto" w:fill="D9F2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semiHidden/>
    <w:rsid w:val="0065235B"/>
    <w:pPr>
      <w:spacing w:before="200"/>
      <w:ind w:left="864" w:right="864"/>
      <w:jc w:val="center"/>
    </w:pPr>
    <w:rPr>
      <w:rFonts w:ascii="Calibri" w:hAnsi="Calibri" w:cs="Arial"/>
      <w:i/>
      <w:iCs/>
      <w:color w:val="404040"/>
      <w:szCs w:val="24"/>
      <w:lang w:eastAsia="en-AU"/>
    </w:rPr>
  </w:style>
  <w:style w:type="character" w:customStyle="1" w:styleId="QuoteChar1">
    <w:name w:val="Quote Char1"/>
    <w:basedOn w:val="DefaultParagraphFont"/>
    <w:uiPriority w:val="32"/>
    <w:semiHidden/>
    <w:rsid w:val="0065235B"/>
    <w:rPr>
      <w:i/>
      <w:iCs/>
      <w:color w:val="404040" w:themeColor="text1" w:themeTint="BF"/>
      <w:sz w:val="24"/>
    </w:rPr>
  </w:style>
  <w:style w:type="character" w:styleId="IntenseEmphasis">
    <w:name w:val="Intense Emphasis"/>
    <w:basedOn w:val="DefaultParagraphFont"/>
    <w:uiPriority w:val="24"/>
    <w:semiHidden/>
    <w:rsid w:val="0065235B"/>
    <w:rPr>
      <w:i/>
      <w:iCs/>
      <w:color w:val="5B9BD5" w:themeColor="accent1"/>
    </w:rPr>
  </w:style>
  <w:style w:type="paragraph" w:styleId="IntenseQuote">
    <w:name w:val="Intense Quote"/>
    <w:basedOn w:val="Normal"/>
    <w:next w:val="Normal"/>
    <w:link w:val="IntenseQuoteChar"/>
    <w:uiPriority w:val="30"/>
    <w:semiHidden/>
    <w:rsid w:val="0065235B"/>
    <w:pPr>
      <w:pBdr>
        <w:top w:val="single" w:sz="4" w:space="10" w:color="5B9BD5" w:themeColor="accent1"/>
        <w:bottom w:val="single" w:sz="4" w:space="10" w:color="5B9BD5" w:themeColor="accent1"/>
      </w:pBdr>
      <w:spacing w:before="360" w:after="360"/>
      <w:ind w:left="864" w:right="864"/>
      <w:jc w:val="center"/>
    </w:pPr>
    <w:rPr>
      <w:rFonts w:ascii="Calibri" w:hAnsi="Calibri" w:cs="Arial"/>
      <w:i/>
      <w:iCs/>
      <w:color w:val="0F4761"/>
      <w:szCs w:val="24"/>
      <w:lang w:eastAsia="en-AU"/>
    </w:rPr>
  </w:style>
  <w:style w:type="character" w:customStyle="1" w:styleId="IntenseQuoteChar1">
    <w:name w:val="Intense Quote Char1"/>
    <w:basedOn w:val="DefaultParagraphFont"/>
    <w:uiPriority w:val="33"/>
    <w:semiHidden/>
    <w:rsid w:val="0065235B"/>
    <w:rPr>
      <w:i/>
      <w:iCs/>
      <w:color w:val="5B9BD5" w:themeColor="accent1"/>
      <w:sz w:val="24"/>
    </w:rPr>
  </w:style>
  <w:style w:type="character" w:styleId="IntenseReference">
    <w:name w:val="Intense Reference"/>
    <w:basedOn w:val="DefaultParagraphFont"/>
    <w:uiPriority w:val="35"/>
    <w:semiHidden/>
    <w:rsid w:val="0065235B"/>
    <w:rPr>
      <w:b/>
      <w:bCs/>
      <w:smallCaps/>
      <w:color w:val="5B9BD5" w:themeColor="accent1"/>
      <w:spacing w:val="5"/>
    </w:rPr>
  </w:style>
  <w:style w:type="table" w:customStyle="1" w:styleId="PBACTableStyle13">
    <w:name w:val="PBAC Table Style13"/>
    <w:basedOn w:val="TableGrid1"/>
    <w:uiPriority w:val="99"/>
    <w:rsid w:val="00167E58"/>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Style212">
    <w:name w:val="Style212"/>
    <w:uiPriority w:val="99"/>
    <w:rsid w:val="005A5134"/>
  </w:style>
  <w:style w:type="numbering" w:customStyle="1" w:styleId="Headings11">
    <w:name w:val="Headings11"/>
    <w:uiPriority w:val="99"/>
    <w:rsid w:val="005A5134"/>
  </w:style>
  <w:style w:type="table" w:customStyle="1" w:styleId="PBACTableStyle14">
    <w:name w:val="PBAC Table Style14"/>
    <w:basedOn w:val="TableGrid1"/>
    <w:uiPriority w:val="99"/>
    <w:rsid w:val="005A5134"/>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3">
    <w:name w:val="PBAC Table Style23"/>
    <w:basedOn w:val="TableGrid1"/>
    <w:uiPriority w:val="99"/>
    <w:rsid w:val="005A5134"/>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32">
    <w:name w:val="PBAC Table Style32"/>
    <w:basedOn w:val="TableGrid1"/>
    <w:uiPriority w:val="99"/>
    <w:rsid w:val="005A5134"/>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41">
    <w:name w:val="PBAC Table Style41"/>
    <w:basedOn w:val="TableGrid1"/>
    <w:uiPriority w:val="99"/>
    <w:rsid w:val="005A5134"/>
    <w:pPr>
      <w:widowControl w:val="0"/>
      <w:spacing w:after="0"/>
      <w:contextualSpacing/>
      <w:jc w:val="center"/>
    </w:pPr>
    <w:rPr>
      <w:rFonts w:ascii="Arial Narrow" w:eastAsia="Calibri" w:hAnsi="Arial Narrow"/>
      <w:color w:val="000000"/>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MSACESBulletpoints11">
    <w:name w:val="MSAC ES Bullet points11"/>
    <w:uiPriority w:val="99"/>
    <w:rsid w:val="005A5134"/>
  </w:style>
  <w:style w:type="numbering" w:customStyle="1" w:styleId="Style221">
    <w:name w:val="Style221"/>
    <w:uiPriority w:val="99"/>
    <w:rsid w:val="005A5134"/>
  </w:style>
  <w:style w:type="numbering" w:customStyle="1" w:styleId="Style311">
    <w:name w:val="Style311"/>
    <w:uiPriority w:val="99"/>
    <w:rsid w:val="005A5134"/>
  </w:style>
  <w:style w:type="numbering" w:customStyle="1" w:styleId="Style2112">
    <w:name w:val="Style2112"/>
    <w:uiPriority w:val="99"/>
    <w:rsid w:val="005A5134"/>
  </w:style>
  <w:style w:type="numbering" w:customStyle="1" w:styleId="Style213">
    <w:name w:val="Style213"/>
    <w:uiPriority w:val="99"/>
    <w:rsid w:val="000D335F"/>
    <w:pPr>
      <w:numPr>
        <w:numId w:val="27"/>
      </w:numPr>
    </w:pPr>
  </w:style>
  <w:style w:type="numbering" w:customStyle="1" w:styleId="Headings12">
    <w:name w:val="Headings12"/>
    <w:uiPriority w:val="99"/>
    <w:rsid w:val="000D335F"/>
    <w:pPr>
      <w:numPr>
        <w:numId w:val="7"/>
      </w:numPr>
    </w:pPr>
  </w:style>
  <w:style w:type="table" w:customStyle="1" w:styleId="PBACTableStyle15">
    <w:name w:val="PBAC Table Style15"/>
    <w:basedOn w:val="TableGrid1"/>
    <w:uiPriority w:val="99"/>
    <w:rsid w:val="000D335F"/>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4">
    <w:name w:val="PBAC Table Style24"/>
    <w:basedOn w:val="TableGrid1"/>
    <w:uiPriority w:val="99"/>
    <w:rsid w:val="000D335F"/>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33">
    <w:name w:val="PBAC Table Style33"/>
    <w:basedOn w:val="TableGrid1"/>
    <w:uiPriority w:val="99"/>
    <w:rsid w:val="000D335F"/>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42">
    <w:name w:val="PBAC Table Style42"/>
    <w:basedOn w:val="TableGrid1"/>
    <w:uiPriority w:val="99"/>
    <w:rsid w:val="000D335F"/>
    <w:pPr>
      <w:widowControl w:val="0"/>
      <w:spacing w:after="0"/>
      <w:contextualSpacing/>
      <w:jc w:val="center"/>
    </w:pPr>
    <w:rPr>
      <w:rFonts w:ascii="Arial Narrow" w:eastAsia="Calibri" w:hAnsi="Arial Narrow"/>
      <w:color w:val="000000"/>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numbering" w:customStyle="1" w:styleId="MSACESBulletpoints12">
    <w:name w:val="MSAC ES Bullet points12"/>
    <w:uiPriority w:val="99"/>
    <w:rsid w:val="000D335F"/>
    <w:pPr>
      <w:numPr>
        <w:numId w:val="42"/>
      </w:numPr>
    </w:pPr>
  </w:style>
  <w:style w:type="numbering" w:customStyle="1" w:styleId="Style222">
    <w:name w:val="Style222"/>
    <w:uiPriority w:val="99"/>
    <w:rsid w:val="000D335F"/>
    <w:pPr>
      <w:numPr>
        <w:numId w:val="30"/>
      </w:numPr>
    </w:pPr>
  </w:style>
  <w:style w:type="numbering" w:customStyle="1" w:styleId="Style312">
    <w:name w:val="Style312"/>
    <w:uiPriority w:val="99"/>
    <w:rsid w:val="000D335F"/>
    <w:pPr>
      <w:numPr>
        <w:numId w:val="29"/>
      </w:numPr>
    </w:pPr>
  </w:style>
  <w:style w:type="numbering" w:customStyle="1" w:styleId="Style2113">
    <w:name w:val="Style2113"/>
    <w:uiPriority w:val="99"/>
    <w:rsid w:val="000D335F"/>
    <w:pPr>
      <w:numPr>
        <w:numId w:val="31"/>
      </w:numPr>
    </w:pPr>
  </w:style>
  <w:style w:type="table" w:customStyle="1" w:styleId="PBACTableStyle5">
    <w:name w:val="PBAC Table Style5"/>
    <w:basedOn w:val="TableGrid1"/>
    <w:uiPriority w:val="99"/>
    <w:rsid w:val="00B1053E"/>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2">
    <w:name w:val="Table Grid2"/>
    <w:basedOn w:val="TableNormal"/>
    <w:next w:val="TableGrid"/>
    <w:uiPriority w:val="39"/>
    <w:rsid w:val="00FF351A"/>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L2">
    <w:name w:val="Table bullet L2"/>
    <w:basedOn w:val="Normal"/>
    <w:qFormat/>
    <w:rsid w:val="003A6157"/>
    <w:pPr>
      <w:numPr>
        <w:numId w:val="44"/>
      </w:numPr>
      <w:spacing w:before="40" w:after="40"/>
      <w:ind w:left="744"/>
    </w:pPr>
    <w:rPr>
      <w:rFonts w:ascii="Arial" w:eastAsiaTheme="minorEastAsia" w:hAnsi="Arial" w:cs="Arial"/>
      <w:sz w:val="18"/>
      <w:szCs w:val="18"/>
    </w:rPr>
  </w:style>
  <w:style w:type="table" w:styleId="GridTable6Colorful-Accent1">
    <w:name w:val="Grid Table 6 Colorful Accent 1"/>
    <w:basedOn w:val="TableNormal"/>
    <w:uiPriority w:val="51"/>
    <w:rsid w:val="00477D83"/>
    <w:pPr>
      <w:spacing w:after="0" w:line="240" w:lineRule="auto"/>
    </w:pPr>
    <w:rPr>
      <w:rFonts w:ascii="Times New Roman" w:hAnsi="Times New Roman" w:cs="Times New Roman"/>
      <w:color w:val="2E74B5" w:themeColor="accent1" w:themeShade="BF"/>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ection3-footnot1">
    <w:name w:val="Section 3- footnot1"/>
    <w:basedOn w:val="TableNormal"/>
    <w:next w:val="TableGrid"/>
    <w:uiPriority w:val="59"/>
    <w:rsid w:val="00F4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11502206">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58506731">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47623150">
      <w:bodyDiv w:val="1"/>
      <w:marLeft w:val="0"/>
      <w:marRight w:val="0"/>
      <w:marTop w:val="0"/>
      <w:marBottom w:val="0"/>
      <w:divBdr>
        <w:top w:val="none" w:sz="0" w:space="0" w:color="auto"/>
        <w:left w:val="none" w:sz="0" w:space="0" w:color="auto"/>
        <w:bottom w:val="none" w:sz="0" w:space="0" w:color="auto"/>
        <w:right w:val="none" w:sz="0" w:space="0" w:color="auto"/>
      </w:divBdr>
      <w:divsChild>
        <w:div w:id="1109163324">
          <w:marLeft w:val="0"/>
          <w:marRight w:val="0"/>
          <w:marTop w:val="0"/>
          <w:marBottom w:val="0"/>
          <w:divBdr>
            <w:top w:val="none" w:sz="0" w:space="0" w:color="auto"/>
            <w:left w:val="none" w:sz="0" w:space="0" w:color="auto"/>
            <w:bottom w:val="none" w:sz="0" w:space="0" w:color="auto"/>
            <w:right w:val="none" w:sz="0" w:space="0" w:color="auto"/>
          </w:divBdr>
        </w:div>
      </w:divsChild>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0694">
      <w:bodyDiv w:val="1"/>
      <w:marLeft w:val="0"/>
      <w:marRight w:val="0"/>
      <w:marTop w:val="0"/>
      <w:marBottom w:val="0"/>
      <w:divBdr>
        <w:top w:val="none" w:sz="0" w:space="0" w:color="auto"/>
        <w:left w:val="none" w:sz="0" w:space="0" w:color="auto"/>
        <w:bottom w:val="none" w:sz="0" w:space="0" w:color="auto"/>
        <w:right w:val="none" w:sz="0" w:space="0" w:color="auto"/>
      </w:divBdr>
    </w:div>
    <w:div w:id="553009379">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66977752">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956">
      <w:bodyDiv w:val="1"/>
      <w:marLeft w:val="0"/>
      <w:marRight w:val="0"/>
      <w:marTop w:val="0"/>
      <w:marBottom w:val="0"/>
      <w:divBdr>
        <w:top w:val="none" w:sz="0" w:space="0" w:color="auto"/>
        <w:left w:val="none" w:sz="0" w:space="0" w:color="auto"/>
        <w:bottom w:val="none" w:sz="0" w:space="0" w:color="auto"/>
        <w:right w:val="none" w:sz="0" w:space="0" w:color="auto"/>
      </w:divBdr>
    </w:div>
    <w:div w:id="713043750">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3735224">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34686137">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84235345">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8292">
      <w:bodyDiv w:val="1"/>
      <w:marLeft w:val="0"/>
      <w:marRight w:val="0"/>
      <w:marTop w:val="0"/>
      <w:marBottom w:val="0"/>
      <w:divBdr>
        <w:top w:val="none" w:sz="0" w:space="0" w:color="auto"/>
        <w:left w:val="none" w:sz="0" w:space="0" w:color="auto"/>
        <w:bottom w:val="none" w:sz="0" w:space="0" w:color="auto"/>
        <w:right w:val="none" w:sz="0" w:space="0" w:color="auto"/>
      </w:divBdr>
    </w:div>
    <w:div w:id="1035036791">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6019940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05823625">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27885417">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44754870">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04896478">
      <w:bodyDiv w:val="1"/>
      <w:marLeft w:val="0"/>
      <w:marRight w:val="0"/>
      <w:marTop w:val="0"/>
      <w:marBottom w:val="0"/>
      <w:divBdr>
        <w:top w:val="none" w:sz="0" w:space="0" w:color="auto"/>
        <w:left w:val="none" w:sz="0" w:space="0" w:color="auto"/>
        <w:bottom w:val="none" w:sz="0" w:space="0" w:color="auto"/>
        <w:right w:val="none" w:sz="0" w:space="0" w:color="auto"/>
      </w:divBdr>
    </w:div>
    <w:div w:id="1330644166">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196773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69333692">
      <w:bodyDiv w:val="1"/>
      <w:marLeft w:val="0"/>
      <w:marRight w:val="0"/>
      <w:marTop w:val="0"/>
      <w:marBottom w:val="0"/>
      <w:divBdr>
        <w:top w:val="none" w:sz="0" w:space="0" w:color="auto"/>
        <w:left w:val="none" w:sz="0" w:space="0" w:color="auto"/>
        <w:bottom w:val="none" w:sz="0" w:space="0" w:color="auto"/>
        <w:right w:val="none" w:sz="0" w:space="0" w:color="auto"/>
      </w:divBdr>
    </w:div>
    <w:div w:id="1677033028">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21514518">
      <w:bodyDiv w:val="1"/>
      <w:marLeft w:val="0"/>
      <w:marRight w:val="0"/>
      <w:marTop w:val="0"/>
      <w:marBottom w:val="0"/>
      <w:divBdr>
        <w:top w:val="none" w:sz="0" w:space="0" w:color="auto"/>
        <w:left w:val="none" w:sz="0" w:space="0" w:color="auto"/>
        <w:bottom w:val="none" w:sz="0" w:space="0" w:color="auto"/>
        <w:right w:val="none" w:sz="0" w:space="0" w:color="auto"/>
      </w:divBdr>
    </w:div>
    <w:div w:id="1726760416">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785734371">
      <w:bodyDiv w:val="1"/>
      <w:marLeft w:val="0"/>
      <w:marRight w:val="0"/>
      <w:marTop w:val="0"/>
      <w:marBottom w:val="0"/>
      <w:divBdr>
        <w:top w:val="none" w:sz="0" w:space="0" w:color="auto"/>
        <w:left w:val="none" w:sz="0" w:space="0" w:color="auto"/>
        <w:bottom w:val="none" w:sz="0" w:space="0" w:color="auto"/>
        <w:right w:val="none" w:sz="0" w:space="0" w:color="auto"/>
      </w:divBdr>
    </w:div>
    <w:div w:id="1819028868">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897888270">
      <w:bodyDiv w:val="1"/>
      <w:marLeft w:val="0"/>
      <w:marRight w:val="0"/>
      <w:marTop w:val="0"/>
      <w:marBottom w:val="0"/>
      <w:divBdr>
        <w:top w:val="none" w:sz="0" w:space="0" w:color="auto"/>
        <w:left w:val="none" w:sz="0" w:space="0" w:color="auto"/>
        <w:bottom w:val="none" w:sz="0" w:space="0" w:color="auto"/>
        <w:right w:val="none" w:sz="0" w:space="0" w:color="auto"/>
      </w:divBdr>
      <w:divsChild>
        <w:div w:id="1173301277">
          <w:marLeft w:val="0"/>
          <w:marRight w:val="0"/>
          <w:marTop w:val="0"/>
          <w:marBottom w:val="0"/>
          <w:divBdr>
            <w:top w:val="none" w:sz="0" w:space="0" w:color="auto"/>
            <w:left w:val="none" w:sz="0" w:space="0" w:color="auto"/>
            <w:bottom w:val="none" w:sz="0" w:space="0" w:color="auto"/>
            <w:right w:val="none" w:sz="0" w:space="0" w:color="auto"/>
          </w:divBdr>
        </w:div>
      </w:divsChild>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6333">
      <w:bodyDiv w:val="1"/>
      <w:marLeft w:val="0"/>
      <w:marRight w:val="0"/>
      <w:marTop w:val="0"/>
      <w:marBottom w:val="0"/>
      <w:divBdr>
        <w:top w:val="none" w:sz="0" w:space="0" w:color="auto"/>
        <w:left w:val="none" w:sz="0" w:space="0" w:color="auto"/>
        <w:bottom w:val="none" w:sz="0" w:space="0" w:color="auto"/>
        <w:right w:val="none" w:sz="0" w:space="0" w:color="auto"/>
      </w:divBdr>
    </w:div>
    <w:div w:id="1941184276">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healthgov-my.sharepoint.com/personal/elizabeth_seil_health_gov_au/Documents/Documents/Project_202410-202504_1782_ESR1-elacestrant_lamBC_iCodep/20250110_FinalCOM_frAG/5.05%201782%20elacestrant%20ESR1%20variant%20COM%20combined_v1%20to%20AG%2020250106_UoMrevisions%20-%20Copy.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equencing.roche.com/global/en/products/group/avenio-ctdna-expanded-kits.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healthgov-my.sharepoint.com/personal/elizabeth_seil_health_gov_au/Documents/Documents/Project_202410-202504_1782_ESR1-elacestrant_lamBC_iCodep/20250110_FinalCOM_frAG/5.05%201782%20elacestrant%20ESR1%20variant%20COM%20combined_v1%20to%20AG%2020250106_UoMrevisions%20-%20Copy.docx" TargetMode="External"/><Relationship Id="rId25" Type="http://schemas.openxmlformats.org/officeDocument/2006/relationships/hyperlink" Target="http://msac.gov.au/internet/msac/publishing.nsf/Content/Home-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althgov-my.sharepoint.com/personal/elizabeth_seil_health_gov_au/Documents/Documents/Project_202410-202504_1782_ESR1-elacestrant_lamBC_iCodep/20250110_FinalCOM_frAG/5.05%201782%20elacestrant%20ESR1%20variant%20COM%20combined_v1%20to%20AG%2020250106_UoMrevisions%20-%20Copy.docx" TargetMode="External"/><Relationship Id="rId20" Type="http://schemas.openxmlformats.org/officeDocument/2006/relationships/hyperlink" Target="https://www.thermofisher.com/ch/en/home/clinical/preclinical-companion-diagnostic-development/oncomine-oncology/oncomine-precision-assay.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hyperlink" Target="https://clinicaltrials.gov/study/NCT0377893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althgov-my.sharepoint.com/personal/elizabeth_seil_health_gov_au/Documents/Documents/Project_202410-202504_1782_ESR1-elacestrant_lamBC_iCodep/20250110_FinalCOM_frAG/5.05%201782%20elacestrant%20ESR1%20variant%20COM%20combined_v1%20to%20AG%2020250106_UoMrevisions%20-%20Copy.docx" TargetMode="Externa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hermofisher.com/order/catalog/product/A35865"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aacrjournals.org/cancerres/article/80/16_Supplement/3114/642448/Abstract-3114-Analytical-validation-of-Illumina-s"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58/2159-8290.CD-18-0264" TargetMode="External"/><Relationship Id="rId3" Type="http://schemas.openxmlformats.org/officeDocument/2006/relationships/hyperlink" Target="https://doi.org/10.1016/j.annonc.2021.09.019" TargetMode="External"/><Relationship Id="rId7" Type="http://schemas.openxmlformats.org/officeDocument/2006/relationships/hyperlink" Target="http://www.clinicallabs.com.au/aspect/" TargetMode="External"/><Relationship Id="rId2" Type="http://schemas.openxmlformats.org/officeDocument/2006/relationships/hyperlink" Target="https://www.msac.gov.au/applications/1783" TargetMode="External"/><Relationship Id="rId1" Type="http://schemas.openxmlformats.org/officeDocument/2006/relationships/hyperlink" Target="https://www.msac.gov.au/applications/1604" TargetMode="External"/><Relationship Id="rId6" Type="http://schemas.openxmlformats.org/officeDocument/2006/relationships/hyperlink" Target="https://www.clinicallabs.com.au/about-us/doctor-media-releases/aspect-liquid-biopsy-analysis-of-circulating-tumour-dna-ctdna-in-cancer-patients-national/" TargetMode="External"/><Relationship Id="rId5" Type="http://schemas.openxmlformats.org/officeDocument/2006/relationships/hyperlink" Target="https://www.nccn.org/professionals/physician_gls/pdf/breast.pdf" TargetMode="External"/><Relationship Id="rId4" Type="http://schemas.openxmlformats.org/officeDocument/2006/relationships/hyperlink" Target="https://www.esmo.org/living-guidelines/esmo-metastatic-breast-cancer-living-guideline/er-positive-her2-negative-breast-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Llo06</b:Tag>
    <b:SourceType>JournalArticle</b:SourceType>
    <b:Guid>{EE9CCC90-C757-4815-A341-BA8484D8C18C}</b:Guid>
    <b:Author>
      <b:Author>
        <b:NameList>
          <b:Person>
            <b:Last>Lloyd A</b:Last>
            <b:First>Nafees</b:First>
            <b:Middle>B, Narewska J, Dewilde S, Watkins J.</b:Middle>
          </b:Person>
        </b:NameList>
      </b:Author>
    </b:Author>
    <b:Title>Health state utilities for metastatic breast cancer  </b:Title>
    <b:JournalName>Br J Cancer. </b:JournalName>
    <b:Year>2006</b:Year>
    <b:Pages>Sep 18;95(6):683-90. doi: 10.1038/sj.bjc.6603326. </b:Pages>
    <b:RefOrder>1</b:RefOrder>
  </b:Source>
  <b:Source>
    <b:Tag>Gua21</b:Tag>
    <b:SourceType>Report</b:SourceType>
    <b:Guid>{D7F9AF8F-6677-4C77-AB05-D21E6EB7435A}</b:Guid>
    <b:Author>
      <b:Author>
        <b:Corporate>Guardant Health, Inc</b:Corporate>
      </b:Author>
    </b:Author>
    <b:Title>Guardant360® CDx Technical Information (D-001590 R3)</b:Title>
    <b:Year>2021</b:Year>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3" ma:contentTypeDescription="Create a new document." ma:contentTypeScope="" ma:versionID="b67814db4cbf52fde07137e7d49b245e">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ea1ae2ed431f796c5177aed60a9a2d6"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C103F-AD48-42FD-AC6B-242F610B8EA3}">
  <ds:schemaRefs>
    <ds:schemaRef ds:uri="http://schemas.openxmlformats.org/officeDocument/2006/bibliography"/>
  </ds:schemaRefs>
</ds:datastoreItem>
</file>

<file path=customXml/itemProps2.xml><?xml version="1.0" encoding="utf-8"?>
<ds:datastoreItem xmlns:ds="http://schemas.openxmlformats.org/officeDocument/2006/customXml" ds:itemID="{34E336B0-9DB0-443C-B697-24F76502E704}">
  <ds:schemaRefs>
    <ds:schemaRef ds:uri="http://schemas.microsoft.com/sharepoint/v3/contenttype/forms"/>
  </ds:schemaRefs>
</ds:datastoreItem>
</file>

<file path=customXml/itemProps3.xml><?xml version="1.0" encoding="utf-8"?>
<ds:datastoreItem xmlns:ds="http://schemas.openxmlformats.org/officeDocument/2006/customXml" ds:itemID="{1756E219-0B04-4406-B5DE-BB9B8AFD6F42}">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customXml/itemProps4.xml><?xml version="1.0" encoding="utf-8"?>
<ds:datastoreItem xmlns:ds="http://schemas.openxmlformats.org/officeDocument/2006/customXml" ds:itemID="{84361A48-AD43-4BE1-B1D7-A25E0BAD8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19184</Words>
  <Characters>109353</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128281</CharactersWithSpaces>
  <SharedDoc>false</SharedDoc>
  <HLinks>
    <vt:vector size="198" baseType="variant">
      <vt:variant>
        <vt:i4>6684716</vt:i4>
      </vt:variant>
      <vt:variant>
        <vt:i4>141</vt:i4>
      </vt:variant>
      <vt:variant>
        <vt:i4>0</vt:i4>
      </vt:variant>
      <vt:variant>
        <vt:i4>5</vt:i4>
      </vt:variant>
      <vt:variant>
        <vt:lpwstr>http://msac.gov.au/internet/msac/publishing.nsf/Content/Home-1</vt:lpwstr>
      </vt:variant>
      <vt:variant>
        <vt:lpwstr/>
      </vt:variant>
      <vt:variant>
        <vt:i4>262157</vt:i4>
      </vt:variant>
      <vt:variant>
        <vt:i4>87</vt:i4>
      </vt:variant>
      <vt:variant>
        <vt:i4>0</vt:i4>
      </vt:variant>
      <vt:variant>
        <vt:i4>5</vt:i4>
      </vt:variant>
      <vt:variant>
        <vt:lpwstr>https://clinicaltrials.gov/study/NCT03778931</vt:lpwstr>
      </vt:variant>
      <vt:variant>
        <vt:lpwstr/>
      </vt:variant>
      <vt:variant>
        <vt:i4>5701694</vt:i4>
      </vt:variant>
      <vt:variant>
        <vt:i4>30</vt:i4>
      </vt:variant>
      <vt:variant>
        <vt:i4>0</vt:i4>
      </vt:variant>
      <vt:variant>
        <vt:i4>5</vt:i4>
      </vt:variant>
      <vt:variant>
        <vt:lpwstr>https://aacrjournals.org/cancerres/article/80/16_Supplement/3114/642448/Abstract-3114-Analytical-validation-of-Illumina-s</vt:lpwstr>
      </vt:variant>
      <vt:variant>
        <vt:lpwstr/>
      </vt:variant>
      <vt:variant>
        <vt:i4>1507344</vt:i4>
      </vt:variant>
      <vt:variant>
        <vt:i4>27</vt:i4>
      </vt:variant>
      <vt:variant>
        <vt:i4>0</vt:i4>
      </vt:variant>
      <vt:variant>
        <vt:i4>5</vt:i4>
      </vt:variant>
      <vt:variant>
        <vt:lpwstr>https://sequencing.roche.com/global/en/products/group/avenio-ctdna-expanded-kits.html</vt:lpwstr>
      </vt:variant>
      <vt:variant>
        <vt:lpwstr/>
      </vt:variant>
      <vt:variant>
        <vt:i4>1507423</vt:i4>
      </vt:variant>
      <vt:variant>
        <vt:i4>24</vt:i4>
      </vt:variant>
      <vt:variant>
        <vt:i4>0</vt:i4>
      </vt:variant>
      <vt:variant>
        <vt:i4>5</vt:i4>
      </vt:variant>
      <vt:variant>
        <vt:lpwstr>https://www.thermofisher.com/ch/en/home/clinical/preclinical-companion-diagnostic-development/oncomine-oncology/oncomine-precision-assay.html</vt:lpwstr>
      </vt:variant>
      <vt:variant>
        <vt:lpwstr/>
      </vt:variant>
      <vt:variant>
        <vt:i4>5570625</vt:i4>
      </vt:variant>
      <vt:variant>
        <vt:i4>21</vt:i4>
      </vt:variant>
      <vt:variant>
        <vt:i4>0</vt:i4>
      </vt:variant>
      <vt:variant>
        <vt:i4>5</vt:i4>
      </vt:variant>
      <vt:variant>
        <vt:lpwstr>http://www.thermofisher.com/order/catalog/product/A35865</vt:lpwstr>
      </vt:variant>
      <vt:variant>
        <vt:lpwstr/>
      </vt:variant>
      <vt:variant>
        <vt:i4>6160473</vt:i4>
      </vt:variant>
      <vt:variant>
        <vt:i4>18</vt:i4>
      </vt:variant>
      <vt:variant>
        <vt:i4>0</vt:i4>
      </vt:variant>
      <vt:variant>
        <vt:i4>5</vt:i4>
      </vt:variant>
      <vt:variant>
        <vt:lpwstr>https://healthgov-my.sharepoint.com/personal/elizabeth_seil_health_gov_au/Documents/Documents/Project_202410-202504_1782_ESR1-elacestrant_lamBC_iCodep/20250110_FinalCOM_frAG/5.05 1782 elacestrant ESR1 variant COM combined_v1 to AG 20250106_UoMrevisions - Copy.docx</vt:lpwstr>
      </vt:variant>
      <vt:variant>
        <vt:lpwstr>_bookmark2</vt:lpwstr>
      </vt:variant>
      <vt:variant>
        <vt:i4>6160473</vt:i4>
      </vt:variant>
      <vt:variant>
        <vt:i4>15</vt:i4>
      </vt:variant>
      <vt:variant>
        <vt:i4>0</vt:i4>
      </vt:variant>
      <vt:variant>
        <vt:i4>5</vt:i4>
      </vt:variant>
      <vt:variant>
        <vt:lpwstr>https://healthgov-my.sharepoint.com/personal/elizabeth_seil_health_gov_au/Documents/Documents/Project_202410-202504_1782_ESR1-elacestrant_lamBC_iCodep/20250110_FinalCOM_frAG/5.05 1782 elacestrant ESR1 variant COM combined_v1 to AG 20250106_UoMrevisions - Copy.docx</vt:lpwstr>
      </vt:variant>
      <vt:variant>
        <vt:lpwstr>_bookmark2</vt:lpwstr>
      </vt:variant>
      <vt:variant>
        <vt:i4>6094937</vt:i4>
      </vt:variant>
      <vt:variant>
        <vt:i4>12</vt:i4>
      </vt:variant>
      <vt:variant>
        <vt:i4>0</vt:i4>
      </vt:variant>
      <vt:variant>
        <vt:i4>5</vt:i4>
      </vt:variant>
      <vt:variant>
        <vt:lpwstr>https://healthgov-my.sharepoint.com/personal/elizabeth_seil_health_gov_au/Documents/Documents/Project_202410-202504_1782_ESR1-elacestrant_lamBC_iCodep/20250110_FinalCOM_frAG/5.05 1782 elacestrant ESR1 variant COM combined_v1 to AG 20250106_UoMrevisions - Copy.docx</vt:lpwstr>
      </vt:variant>
      <vt:variant>
        <vt:lpwstr>_bookmark1</vt:lpwstr>
      </vt:variant>
      <vt:variant>
        <vt:i4>6029401</vt:i4>
      </vt:variant>
      <vt:variant>
        <vt:i4>9</vt:i4>
      </vt:variant>
      <vt:variant>
        <vt:i4>0</vt:i4>
      </vt:variant>
      <vt:variant>
        <vt:i4>5</vt:i4>
      </vt:variant>
      <vt:variant>
        <vt:lpwstr>https://healthgov-my.sharepoint.com/personal/elizabeth_seil_health_gov_au/Documents/Documents/Project_202410-202504_1782_ESR1-elacestrant_lamBC_iCodep/20250110_FinalCOM_frAG/5.05 1782 elacestrant ESR1 variant COM combined_v1 to AG 20250106_UoMrevisions - Copy.docx</vt:lpwstr>
      </vt:variant>
      <vt:variant>
        <vt:lpwstr>_bookmark0</vt:lpwstr>
      </vt:variant>
      <vt:variant>
        <vt:i4>3997744</vt:i4>
      </vt:variant>
      <vt:variant>
        <vt:i4>0</vt:i4>
      </vt:variant>
      <vt:variant>
        <vt:i4>0</vt:i4>
      </vt:variant>
      <vt:variant>
        <vt:i4>5</vt:i4>
      </vt:variant>
      <vt:variant>
        <vt:lpwstr>http://www.msac.gov.au/</vt:lpwstr>
      </vt:variant>
      <vt:variant>
        <vt:lpwstr/>
      </vt:variant>
      <vt:variant>
        <vt:i4>5177355</vt:i4>
      </vt:variant>
      <vt:variant>
        <vt:i4>21</vt:i4>
      </vt:variant>
      <vt:variant>
        <vt:i4>0</vt:i4>
      </vt:variant>
      <vt:variant>
        <vt:i4>5</vt:i4>
      </vt:variant>
      <vt:variant>
        <vt:lpwstr>https://doi.org/10.1158/2159-8290.CD-18-0264</vt:lpwstr>
      </vt:variant>
      <vt:variant>
        <vt:lpwstr/>
      </vt:variant>
      <vt:variant>
        <vt:i4>6291565</vt:i4>
      </vt:variant>
      <vt:variant>
        <vt:i4>18</vt:i4>
      </vt:variant>
      <vt:variant>
        <vt:i4>0</vt:i4>
      </vt:variant>
      <vt:variant>
        <vt:i4>5</vt:i4>
      </vt:variant>
      <vt:variant>
        <vt:lpwstr>http://www.clinicallabs.com.au/aspect/</vt:lpwstr>
      </vt:variant>
      <vt:variant>
        <vt:lpwstr/>
      </vt:variant>
      <vt:variant>
        <vt:i4>5374038</vt:i4>
      </vt:variant>
      <vt:variant>
        <vt:i4>15</vt:i4>
      </vt:variant>
      <vt:variant>
        <vt:i4>0</vt:i4>
      </vt:variant>
      <vt:variant>
        <vt:i4>5</vt:i4>
      </vt:variant>
      <vt:variant>
        <vt:lpwstr>https://www.clinicallabs.com.au/about-us/doctor-media-releases/aspect-liquid-biopsy-analysis-of-circulating-tumour-dna-ctdna-in-cancer-patients-national/</vt:lpwstr>
      </vt:variant>
      <vt:variant>
        <vt:lpwstr/>
      </vt:variant>
      <vt:variant>
        <vt:i4>6422596</vt:i4>
      </vt:variant>
      <vt:variant>
        <vt:i4>12</vt:i4>
      </vt:variant>
      <vt:variant>
        <vt:i4>0</vt:i4>
      </vt:variant>
      <vt:variant>
        <vt:i4>5</vt:i4>
      </vt:variant>
      <vt:variant>
        <vt:lpwstr>https://www.nccn.org/professionals/physician_gls/pdf/breast.pdf</vt:lpwstr>
      </vt:variant>
      <vt:variant>
        <vt:lpwstr/>
      </vt:variant>
      <vt:variant>
        <vt:i4>4915267</vt:i4>
      </vt:variant>
      <vt:variant>
        <vt:i4>9</vt:i4>
      </vt:variant>
      <vt:variant>
        <vt:i4>0</vt:i4>
      </vt:variant>
      <vt:variant>
        <vt:i4>5</vt:i4>
      </vt:variant>
      <vt:variant>
        <vt:lpwstr>https://www.esmo.org/living-guidelines/esmo-metastatic-breast-cancer-living-guideline/er-positive-her2-negative-breast-cancer</vt:lpwstr>
      </vt:variant>
      <vt:variant>
        <vt:lpwstr/>
      </vt:variant>
      <vt:variant>
        <vt:i4>4194391</vt:i4>
      </vt:variant>
      <vt:variant>
        <vt:i4>6</vt:i4>
      </vt:variant>
      <vt:variant>
        <vt:i4>0</vt:i4>
      </vt:variant>
      <vt:variant>
        <vt:i4>5</vt:i4>
      </vt:variant>
      <vt:variant>
        <vt:lpwstr>https://doi.org/10.1016/j.annonc.2021.09.019</vt:lpwstr>
      </vt:variant>
      <vt:variant>
        <vt:lpwstr/>
      </vt:variant>
      <vt:variant>
        <vt:i4>1638480</vt:i4>
      </vt:variant>
      <vt:variant>
        <vt:i4>3</vt:i4>
      </vt:variant>
      <vt:variant>
        <vt:i4>0</vt:i4>
      </vt:variant>
      <vt:variant>
        <vt:i4>5</vt:i4>
      </vt:variant>
      <vt:variant>
        <vt:lpwstr>https://www.msac.gov.au/applications/1783</vt:lpwstr>
      </vt:variant>
      <vt:variant>
        <vt:lpwstr/>
      </vt:variant>
      <vt:variant>
        <vt:i4>1114193</vt:i4>
      </vt:variant>
      <vt:variant>
        <vt:i4>0</vt:i4>
      </vt:variant>
      <vt:variant>
        <vt:i4>0</vt:i4>
      </vt:variant>
      <vt:variant>
        <vt:i4>5</vt:i4>
      </vt:variant>
      <vt:variant>
        <vt:lpwstr>https://www.msac.gov.au/applications/1604</vt:lpwstr>
      </vt:variant>
      <vt:variant>
        <vt:lpwstr/>
      </vt:variant>
      <vt:variant>
        <vt:i4>7864425</vt:i4>
      </vt:variant>
      <vt:variant>
        <vt:i4>39</vt:i4>
      </vt:variant>
      <vt:variant>
        <vt:i4>0</vt:i4>
      </vt:variant>
      <vt:variant>
        <vt:i4>5</vt:i4>
      </vt:variant>
      <vt:variant>
        <vt:lpwstr>https://www.health.gov.au/topics/medicare/about/safety-nets</vt:lpwstr>
      </vt:variant>
      <vt:variant>
        <vt:lpwstr>:~:text=From%201%20November%202024%2C%20the%20GPG%20is%20set,is%20greater%20than%2085%25%20of%20the%20MBS%20fee.</vt:lpwstr>
      </vt:variant>
      <vt:variant>
        <vt:i4>196674</vt:i4>
      </vt:variant>
      <vt:variant>
        <vt:i4>36</vt:i4>
      </vt:variant>
      <vt:variant>
        <vt:i4>0</vt:i4>
      </vt:variant>
      <vt:variant>
        <vt:i4>5</vt:i4>
      </vt:variant>
      <vt:variant>
        <vt:lpwstr>https://www.pbs.gov.au/info/industry/listing/procedure-guidance/7-post-pbac-decision-procedures-sponsors/7-4-public-summary-documents</vt:lpwstr>
      </vt:variant>
      <vt:variant>
        <vt:lpwstr/>
      </vt:variant>
      <vt:variant>
        <vt:i4>5374038</vt:i4>
      </vt:variant>
      <vt:variant>
        <vt:i4>33</vt:i4>
      </vt:variant>
      <vt:variant>
        <vt:i4>0</vt:i4>
      </vt:variant>
      <vt:variant>
        <vt:i4>5</vt:i4>
      </vt:variant>
      <vt:variant>
        <vt:lpwstr>https://www.clinicallabs.com.au/about-us/doctor-media-releases/aspect-liquid-biopsy-analysis-of-circulating-tumour-dna-ctdna-in-cancer-patients-national/</vt:lpwstr>
      </vt:variant>
      <vt:variant>
        <vt:lpwstr/>
      </vt:variant>
      <vt:variant>
        <vt:i4>5374038</vt:i4>
      </vt:variant>
      <vt:variant>
        <vt:i4>30</vt:i4>
      </vt:variant>
      <vt:variant>
        <vt:i4>0</vt:i4>
      </vt:variant>
      <vt:variant>
        <vt:i4>5</vt:i4>
      </vt:variant>
      <vt:variant>
        <vt:lpwstr>https://www.clinicallabs.com.au/about-us/doctor-media-releases/aspect-liquid-biopsy-analysis-of-circulating-tumour-dna-ctdna-in-cancer-patients-national/</vt:lpwstr>
      </vt:variant>
      <vt:variant>
        <vt:lpwstr/>
      </vt:variant>
      <vt:variant>
        <vt:i4>5374038</vt:i4>
      </vt:variant>
      <vt:variant>
        <vt:i4>27</vt:i4>
      </vt:variant>
      <vt:variant>
        <vt:i4>0</vt:i4>
      </vt:variant>
      <vt:variant>
        <vt:i4>5</vt:i4>
      </vt:variant>
      <vt:variant>
        <vt:lpwstr>https://www.clinicallabs.com.au/about-us/doctor-media-releases/aspect-liquid-biopsy-analysis-of-circulating-tumour-dna-ctdna-in-cancer-patients-national/</vt:lpwstr>
      </vt:variant>
      <vt:variant>
        <vt:lpwstr/>
      </vt:variant>
      <vt:variant>
        <vt:i4>196674</vt:i4>
      </vt:variant>
      <vt:variant>
        <vt:i4>24</vt:i4>
      </vt:variant>
      <vt:variant>
        <vt:i4>0</vt:i4>
      </vt:variant>
      <vt:variant>
        <vt:i4>5</vt:i4>
      </vt:variant>
      <vt:variant>
        <vt:lpwstr>https://www.pbs.gov.au/info/industry/listing/procedure-guidance/7-post-pbac-decision-procedures-sponsors/7-4-public-summary-documents</vt:lpwstr>
      </vt:variant>
      <vt:variant>
        <vt:lpwstr/>
      </vt:variant>
      <vt:variant>
        <vt:i4>7864425</vt:i4>
      </vt:variant>
      <vt:variant>
        <vt:i4>21</vt:i4>
      </vt:variant>
      <vt:variant>
        <vt:i4>0</vt:i4>
      </vt:variant>
      <vt:variant>
        <vt:i4>5</vt:i4>
      </vt:variant>
      <vt:variant>
        <vt:lpwstr>https://www.health.gov.au/topics/medicare/about/safety-nets</vt:lpwstr>
      </vt:variant>
      <vt:variant>
        <vt:lpwstr>:~:text=From%201%20November%202024%2C%20the%20GPG%20is%20set,is%20greater%20than%2085%25%20of%20the%20MBS%20fee.</vt:lpwstr>
      </vt:variant>
      <vt:variant>
        <vt:i4>5374038</vt:i4>
      </vt:variant>
      <vt:variant>
        <vt:i4>18</vt:i4>
      </vt:variant>
      <vt:variant>
        <vt:i4>0</vt:i4>
      </vt:variant>
      <vt:variant>
        <vt:i4>5</vt:i4>
      </vt:variant>
      <vt:variant>
        <vt:lpwstr>https://www.clinicallabs.com.au/about-us/doctor-media-releases/aspect-liquid-biopsy-analysis-of-circulating-tumour-dna-ctdna-in-cancer-patients-national/</vt:lpwstr>
      </vt:variant>
      <vt:variant>
        <vt:lpwstr/>
      </vt:variant>
      <vt:variant>
        <vt:i4>196674</vt:i4>
      </vt:variant>
      <vt:variant>
        <vt:i4>15</vt:i4>
      </vt:variant>
      <vt:variant>
        <vt:i4>0</vt:i4>
      </vt:variant>
      <vt:variant>
        <vt:i4>5</vt:i4>
      </vt:variant>
      <vt:variant>
        <vt:lpwstr>https://www.pbs.gov.au/info/industry/listing/procedure-guidance/7-post-pbac-decision-procedures-sponsors/7-4-public-summary-documents</vt:lpwstr>
      </vt:variant>
      <vt:variant>
        <vt:lpwstr/>
      </vt:variant>
      <vt:variant>
        <vt:i4>6881403</vt:i4>
      </vt:variant>
      <vt:variant>
        <vt:i4>12</vt:i4>
      </vt:variant>
      <vt:variant>
        <vt:i4>0</vt:i4>
      </vt:variant>
      <vt:variant>
        <vt:i4>5</vt:i4>
      </vt:variant>
      <vt:variant>
        <vt:lpwstr>https://www.icmje.org/recommendations/browse/publishing-and-editorial-issues/overlapping-publications.html</vt:lpwstr>
      </vt:variant>
      <vt:variant>
        <vt:lpwstr/>
      </vt:variant>
      <vt:variant>
        <vt:i4>1966081</vt:i4>
      </vt:variant>
      <vt:variant>
        <vt:i4>9</vt:i4>
      </vt:variant>
      <vt:variant>
        <vt:i4>0</vt:i4>
      </vt:variant>
      <vt:variant>
        <vt:i4>5</vt:i4>
      </vt:variant>
      <vt:variant>
        <vt:lpwstr>https://www.guardantcomplete.com/assets/pdf/Guardant360-CDx-Technical-Information-US.pdf</vt:lpwstr>
      </vt:variant>
      <vt:variant>
        <vt:lpwstr/>
      </vt:variant>
      <vt:variant>
        <vt:i4>6881403</vt:i4>
      </vt:variant>
      <vt:variant>
        <vt:i4>6</vt:i4>
      </vt:variant>
      <vt:variant>
        <vt:i4>0</vt:i4>
      </vt:variant>
      <vt:variant>
        <vt:i4>5</vt:i4>
      </vt:variant>
      <vt:variant>
        <vt:lpwstr>https://www.icmje.org/recommendations/browse/publishing-and-editorial-issues/overlapping-publications.html</vt:lpwstr>
      </vt:variant>
      <vt:variant>
        <vt:lpwstr/>
      </vt:variant>
      <vt:variant>
        <vt:i4>6881403</vt:i4>
      </vt:variant>
      <vt:variant>
        <vt:i4>3</vt:i4>
      </vt:variant>
      <vt:variant>
        <vt:i4>0</vt:i4>
      </vt:variant>
      <vt:variant>
        <vt:i4>5</vt:i4>
      </vt:variant>
      <vt:variant>
        <vt:lpwstr>https://www.icmje.org/recommendations/browse/publishing-and-editorial-issues/overlapping-publications.html</vt:lpwstr>
      </vt:variant>
      <vt:variant>
        <vt:lpwstr/>
      </vt:variant>
      <vt:variant>
        <vt:i4>131146</vt:i4>
      </vt:variant>
      <vt:variant>
        <vt:i4>0</vt:i4>
      </vt:variant>
      <vt:variant>
        <vt:i4>0</vt:i4>
      </vt:variant>
      <vt:variant>
        <vt:i4>5</vt:i4>
      </vt:variant>
      <vt:variant>
        <vt:lpwstr>https://pmc.ncbi.nlm.nih.gov/articles/PMC9553388/pdf/jco-40-3246.pdf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2025-09-03T00:59:00Z</dcterms:created>
  <dcterms:modified xsi:type="dcterms:W3CDTF">2025-09-03T02:31:00Z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