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68B6A" w14:textId="77777777" w:rsidR="00A11CE8" w:rsidRDefault="00A11CE8" w:rsidP="00A11CE8">
      <w:pPr>
        <w:spacing w:line="240" w:lineRule="auto"/>
        <w:contextualSpacing/>
        <w:jc w:val="center"/>
        <w:rPr>
          <w:rFonts w:eastAsia="Times New Roman"/>
          <w:b/>
          <w:bCs/>
          <w:spacing w:val="-10"/>
          <w:kern w:val="28"/>
          <w:sz w:val="56"/>
          <w:szCs w:val="56"/>
          <w:lang w:eastAsia="en-US"/>
        </w:rPr>
      </w:pPr>
    </w:p>
    <w:p w14:paraId="34AFF748" w14:textId="77777777" w:rsidR="00A11CE8" w:rsidRDefault="00A11CE8" w:rsidP="00A11CE8">
      <w:pPr>
        <w:spacing w:line="240" w:lineRule="auto"/>
        <w:contextualSpacing/>
        <w:jc w:val="center"/>
        <w:rPr>
          <w:rFonts w:eastAsia="Times New Roman"/>
          <w:b/>
          <w:bCs/>
          <w:spacing w:val="-10"/>
          <w:kern w:val="28"/>
          <w:sz w:val="56"/>
          <w:szCs w:val="56"/>
          <w:lang w:eastAsia="en-US"/>
        </w:rPr>
      </w:pPr>
    </w:p>
    <w:p w14:paraId="7094A2F2" w14:textId="046F161D" w:rsidR="00A11CE8" w:rsidRPr="00A11CE8" w:rsidRDefault="00A11CE8" w:rsidP="00A11CE8">
      <w:pPr>
        <w:spacing w:line="240" w:lineRule="auto"/>
        <w:contextualSpacing/>
        <w:jc w:val="center"/>
        <w:rPr>
          <w:rFonts w:eastAsia="Times New Roman"/>
          <w:b/>
          <w:bCs/>
          <w:spacing w:val="-10"/>
          <w:kern w:val="28"/>
          <w:sz w:val="56"/>
          <w:szCs w:val="56"/>
          <w:lang w:eastAsia="en-US"/>
        </w:rPr>
      </w:pPr>
      <w:r w:rsidRPr="00A11CE8">
        <w:rPr>
          <w:rFonts w:eastAsia="Times New Roman"/>
          <w:b/>
          <w:bCs/>
          <w:spacing w:val="-10"/>
          <w:kern w:val="28"/>
          <w:sz w:val="56"/>
          <w:szCs w:val="56"/>
          <w:lang w:eastAsia="en-US"/>
        </w:rPr>
        <w:t>MSAC Application 1</w:t>
      </w:r>
      <w:r>
        <w:rPr>
          <w:rFonts w:eastAsia="Times New Roman"/>
          <w:b/>
          <w:bCs/>
          <w:spacing w:val="-10"/>
          <w:kern w:val="28"/>
          <w:sz w:val="56"/>
          <w:szCs w:val="56"/>
          <w:lang w:eastAsia="en-US"/>
        </w:rPr>
        <w:t>812</w:t>
      </w:r>
    </w:p>
    <w:p w14:paraId="113C00BF" w14:textId="77777777" w:rsidR="00A11CE8" w:rsidRPr="00A11CE8" w:rsidRDefault="00A11CE8" w:rsidP="00A11CE8">
      <w:pPr>
        <w:spacing w:after="120" w:line="240" w:lineRule="auto"/>
        <w:rPr>
          <w:rFonts w:eastAsia="Calibri"/>
          <w:lang w:eastAsia="en-US"/>
        </w:rPr>
      </w:pPr>
    </w:p>
    <w:p w14:paraId="45F56957" w14:textId="0D469695" w:rsidR="00A11CE8" w:rsidRPr="00A11CE8" w:rsidRDefault="00A11CE8" w:rsidP="00A11CE8">
      <w:pPr>
        <w:spacing w:after="160" w:line="240" w:lineRule="auto"/>
        <w:jc w:val="center"/>
        <w:rPr>
          <w:rFonts w:eastAsia="Times New Roman"/>
          <w:b/>
          <w:bCs/>
          <w:color w:val="002060"/>
          <w:spacing w:val="15"/>
          <w:sz w:val="48"/>
          <w:szCs w:val="48"/>
          <w:lang w:eastAsia="en-US"/>
        </w:rPr>
      </w:pPr>
      <w:r w:rsidRPr="00A11CE8">
        <w:rPr>
          <w:rFonts w:ascii="Calibri" w:eastAsia="Times New Roman" w:hAnsi="Calibri" w:cs="Times New Roman"/>
          <w:color w:val="0070C0"/>
          <w:spacing w:val="15"/>
          <w:lang w:eastAsia="en-US"/>
        </w:rPr>
        <w:br/>
      </w:r>
      <w:r w:rsidRPr="00A11CE8">
        <w:rPr>
          <w:rFonts w:eastAsia="Times New Roman"/>
          <w:b/>
          <w:bCs/>
          <w:color w:val="002060"/>
          <w:spacing w:val="15"/>
          <w:sz w:val="48"/>
          <w:szCs w:val="48"/>
          <w:lang w:eastAsia="en-US"/>
        </w:rPr>
        <w:t xml:space="preserve">Transcatheter Edge-To-Edge Repair </w:t>
      </w:r>
      <w:r w:rsidR="001C1F2E">
        <w:rPr>
          <w:rFonts w:eastAsia="Times New Roman"/>
          <w:b/>
          <w:bCs/>
          <w:color w:val="002060"/>
          <w:spacing w:val="15"/>
          <w:sz w:val="48"/>
          <w:szCs w:val="48"/>
          <w:lang w:eastAsia="en-US"/>
        </w:rPr>
        <w:t xml:space="preserve">(TEER) </w:t>
      </w:r>
      <w:r w:rsidRPr="00A11CE8">
        <w:rPr>
          <w:rFonts w:eastAsia="Times New Roman"/>
          <w:b/>
          <w:bCs/>
          <w:color w:val="002060"/>
          <w:spacing w:val="15"/>
          <w:sz w:val="48"/>
          <w:szCs w:val="48"/>
          <w:lang w:eastAsia="en-US"/>
        </w:rPr>
        <w:t xml:space="preserve">for the treatment of severe tricuspid regurgitation </w:t>
      </w:r>
      <w:r w:rsidR="001C1F2E">
        <w:rPr>
          <w:rFonts w:eastAsia="Times New Roman"/>
          <w:b/>
          <w:bCs/>
          <w:color w:val="002060"/>
          <w:spacing w:val="15"/>
          <w:sz w:val="48"/>
          <w:szCs w:val="48"/>
          <w:lang w:eastAsia="en-US"/>
        </w:rPr>
        <w:t xml:space="preserve">(TR) </w:t>
      </w:r>
      <w:r w:rsidRPr="00A11CE8">
        <w:rPr>
          <w:rFonts w:eastAsia="Times New Roman"/>
          <w:b/>
          <w:bCs/>
          <w:color w:val="002060"/>
          <w:spacing w:val="15"/>
          <w:sz w:val="48"/>
          <w:szCs w:val="48"/>
          <w:lang w:eastAsia="en-US"/>
        </w:rPr>
        <w:t>using the TriClip device</w:t>
      </w:r>
    </w:p>
    <w:p w14:paraId="72D71328" w14:textId="77777777" w:rsidR="00A11CE8" w:rsidRPr="00A11CE8" w:rsidRDefault="00A11CE8" w:rsidP="00A11CE8">
      <w:pPr>
        <w:spacing w:after="160" w:line="240" w:lineRule="auto"/>
        <w:jc w:val="center"/>
        <w:rPr>
          <w:rFonts w:eastAsia="Times New Roman"/>
          <w:b/>
          <w:bCs/>
          <w:color w:val="002060"/>
          <w:spacing w:val="15"/>
          <w:sz w:val="48"/>
          <w:szCs w:val="48"/>
          <w:lang w:eastAsia="en-US"/>
        </w:rPr>
      </w:pPr>
    </w:p>
    <w:p w14:paraId="2F4CB089" w14:textId="4006DC98" w:rsidR="00A11CE8" w:rsidRDefault="00A11CE8" w:rsidP="00A11CE8">
      <w:pPr>
        <w:pStyle w:val="Heading1"/>
        <w:jc w:val="center"/>
        <w:sectPr w:rsidR="00A11CE8" w:rsidSect="00452657">
          <w:headerReference w:type="even" r:id="rId8"/>
          <w:headerReference w:type="default" r:id="rId9"/>
          <w:footerReference w:type="even" r:id="rId10"/>
          <w:footerReference w:type="default" r:id="rId11"/>
          <w:headerReference w:type="first" r:id="rId12"/>
          <w:footerReference w:type="first" r:id="rId13"/>
          <w:pgSz w:w="11906" w:h="16838"/>
          <w:pgMar w:top="1440" w:right="991" w:bottom="1135" w:left="1440" w:header="426" w:footer="252" w:gutter="0"/>
          <w:cols w:space="708"/>
          <w:docGrid w:linePitch="360"/>
        </w:sectPr>
      </w:pPr>
      <w:r w:rsidRPr="00A11CE8">
        <w:rPr>
          <w:rFonts w:eastAsia="Calibri"/>
          <w:color w:val="002060"/>
          <w:sz w:val="48"/>
          <w:szCs w:val="48"/>
          <w:lang w:eastAsia="en-US"/>
        </w:rPr>
        <w:t>PICO Set</w:t>
      </w:r>
    </w:p>
    <w:p w14:paraId="15562299" w14:textId="48F67C89" w:rsidR="00146E2B" w:rsidRDefault="00146E2B" w:rsidP="00375FD9">
      <w:pPr>
        <w:pStyle w:val="Heading1"/>
      </w:pPr>
      <w:r>
        <w:lastRenderedPageBreak/>
        <w:t>Context</w:t>
      </w:r>
    </w:p>
    <w:p w14:paraId="01144C27" w14:textId="502F222A" w:rsidR="007F622D" w:rsidRDefault="00146E2B" w:rsidP="008B0FEC">
      <w:pPr>
        <w:pStyle w:val="BodyText"/>
      </w:pPr>
      <w:r w:rsidRPr="00652D0D">
        <w:t xml:space="preserve">This Application is seeking listing of </w:t>
      </w:r>
      <w:r w:rsidR="00C27126" w:rsidRPr="00652D0D">
        <w:t xml:space="preserve">transcatheter edge-to-edge repair </w:t>
      </w:r>
      <w:r w:rsidR="006332F1" w:rsidRPr="00652D0D">
        <w:t>(</w:t>
      </w:r>
      <w:r w:rsidR="00C27126" w:rsidRPr="00652D0D">
        <w:t>TEER</w:t>
      </w:r>
      <w:r w:rsidR="006332F1" w:rsidRPr="00652D0D">
        <w:t>)</w:t>
      </w:r>
      <w:r w:rsidR="00C27126" w:rsidRPr="00652D0D">
        <w:t xml:space="preserve"> using the TriClip device, for the treatment of patients with severe tricuspid regurgitation (TR), that are symptomatic despite treatment with optimal medical </w:t>
      </w:r>
      <w:r w:rsidR="00055976" w:rsidRPr="00652D0D">
        <w:t>therapy (OMT)</w:t>
      </w:r>
      <w:r w:rsidR="00C27126" w:rsidRPr="00652D0D">
        <w:t xml:space="preserve">, </w:t>
      </w:r>
      <w:r w:rsidR="00247A90" w:rsidRPr="00652D0D">
        <w:t xml:space="preserve">with a left </w:t>
      </w:r>
      <w:r w:rsidR="00D82A86" w:rsidRPr="00652D0D">
        <w:t xml:space="preserve">ventricular ejection </w:t>
      </w:r>
      <w:r w:rsidR="00EB7319" w:rsidRPr="00652D0D">
        <w:t>fraction</w:t>
      </w:r>
      <w:r w:rsidR="00D82A86" w:rsidRPr="00652D0D">
        <w:t xml:space="preserve"> </w:t>
      </w:r>
      <w:r w:rsidR="00EE1A0F" w:rsidRPr="00652D0D">
        <w:t xml:space="preserve">(LVEF) </w:t>
      </w:r>
      <w:r w:rsidR="00D82A86" w:rsidRPr="00652D0D">
        <w:t xml:space="preserve">of </w:t>
      </w:r>
      <w:r w:rsidR="00DA4F14" w:rsidRPr="00652D0D">
        <w:t>20% or more</w:t>
      </w:r>
      <w:r w:rsidR="00192D2D" w:rsidRPr="00652D0D">
        <w:t xml:space="preserve"> and</w:t>
      </w:r>
      <w:r w:rsidR="00DA4F14" w:rsidRPr="00652D0D">
        <w:t xml:space="preserve"> </w:t>
      </w:r>
      <w:r w:rsidR="00EB7319" w:rsidRPr="00652D0D">
        <w:t>systolic pulmonary arterial pressure (sPAP) of less than 70</w:t>
      </w:r>
      <w:r w:rsidR="00EE1A0F" w:rsidRPr="00652D0D">
        <w:t xml:space="preserve"> </w:t>
      </w:r>
      <w:r w:rsidR="00EB7319" w:rsidRPr="00652D0D">
        <w:t xml:space="preserve">mmHg. </w:t>
      </w:r>
      <w:r w:rsidR="00EE1A0F" w:rsidRPr="00652D0D">
        <w:t>Additionally</w:t>
      </w:r>
      <w:r w:rsidR="007A7882">
        <w:t>,</w:t>
      </w:r>
      <w:r w:rsidR="00EE1A0F" w:rsidRPr="00652D0D">
        <w:t xml:space="preserve"> the patient must be</w:t>
      </w:r>
      <w:r w:rsidR="004C6F4D" w:rsidRPr="00652D0D">
        <w:t xml:space="preserve"> deemed </w:t>
      </w:r>
      <w:r w:rsidR="00DE527F" w:rsidRPr="00652D0D">
        <w:t xml:space="preserve">suitable for </w:t>
      </w:r>
      <w:r w:rsidR="00801166" w:rsidRPr="00652D0D">
        <w:t xml:space="preserve">TEER </w:t>
      </w:r>
      <w:r w:rsidR="004C6F4D" w:rsidRPr="00652D0D">
        <w:t xml:space="preserve">by a qualified multidisciplinary heart team </w:t>
      </w:r>
      <w:r w:rsidR="00801166" w:rsidRPr="00652D0D">
        <w:t>(MD</w:t>
      </w:r>
      <w:r w:rsidR="002A5C11">
        <w:t>H</w:t>
      </w:r>
      <w:r w:rsidR="00801166" w:rsidRPr="00652D0D">
        <w:t>T) to ensure appropriate patient selection</w:t>
      </w:r>
      <w:r w:rsidR="00882827">
        <w:t xml:space="preserve">, reflecting those not suitable </w:t>
      </w:r>
      <w:r w:rsidR="00295FCC">
        <w:t>for</w:t>
      </w:r>
      <w:r w:rsidR="00882827">
        <w:t xml:space="preserve"> surgery</w:t>
      </w:r>
      <w:r w:rsidR="00801166" w:rsidRPr="00652D0D">
        <w:t>.</w:t>
      </w:r>
      <w:r w:rsidR="00801166">
        <w:t xml:space="preserve"> </w:t>
      </w:r>
      <w:r w:rsidR="007F622D">
        <w:t>The patient population is</w:t>
      </w:r>
      <w:r w:rsidR="000618F9">
        <w:t xml:space="preserve"> in line with the population for which evidence exists, TRILUMINATE Pivotal</w:t>
      </w:r>
      <w:r w:rsidR="004C3505">
        <w:t>.</w:t>
      </w:r>
      <w:r w:rsidR="003E0951">
        <w:t xml:space="preserve"> </w:t>
      </w:r>
    </w:p>
    <w:p w14:paraId="3F721285" w14:textId="44FE8EB7" w:rsidR="001F5A22" w:rsidRDefault="001F5A22" w:rsidP="008B0FEC">
      <w:pPr>
        <w:pStyle w:val="BodyText"/>
      </w:pPr>
      <w:r>
        <w:t xml:space="preserve">Owing to relatively high risk of surgical mortality, the mainstay management of </w:t>
      </w:r>
      <w:r w:rsidR="00114F61">
        <w:t xml:space="preserve">patients </w:t>
      </w:r>
      <w:r w:rsidR="00FA6E7F">
        <w:t>with severe</w:t>
      </w:r>
      <w:r w:rsidR="00E562C4">
        <w:t>, symptomatic</w:t>
      </w:r>
      <w:r w:rsidR="00FA6E7F">
        <w:t xml:space="preserve"> TR </w:t>
      </w:r>
      <w:r w:rsidR="00114F61">
        <w:t>consists of OMT.</w:t>
      </w:r>
      <w:r w:rsidR="009E1CCC">
        <w:t xml:space="preserve"> </w:t>
      </w:r>
      <w:r w:rsidR="001023EB">
        <w:t>However, c</w:t>
      </w:r>
      <w:r w:rsidR="00472E4A">
        <w:t xml:space="preserve">ontinued management of OMT does not treat the underlying pathology of TR, rather attempts to manage symptoms. </w:t>
      </w:r>
      <w:r w:rsidR="00CD4A91">
        <w:t xml:space="preserve">In contrast, </w:t>
      </w:r>
      <w:r w:rsidR="00190F4F">
        <w:t xml:space="preserve">the mechanism of action of the TEER procedure </w:t>
      </w:r>
      <w:r w:rsidR="00695523">
        <w:t xml:space="preserve">includes </w:t>
      </w:r>
      <w:r w:rsidR="00CD4A91" w:rsidRPr="00F826A1">
        <w:t>reconstruction of the insufficient tricuspid valve through tissue approximation</w:t>
      </w:r>
      <w:r w:rsidR="007F4788">
        <w:t xml:space="preserve">, thereby </w:t>
      </w:r>
      <w:r w:rsidR="00AF0AF6">
        <w:t>minimising regurgitation</w:t>
      </w:r>
      <w:r w:rsidR="00D11DD0">
        <w:t xml:space="preserve"> into the right atrium</w:t>
      </w:r>
      <w:r w:rsidR="00CD4A91">
        <w:t>.</w:t>
      </w:r>
      <w:r w:rsidR="00AF0AF6">
        <w:t xml:space="preserve"> </w:t>
      </w:r>
      <w:r w:rsidR="009E1CCC">
        <w:t xml:space="preserve">Based on the pivotal study, TRILUMINATE Pivotal, </w:t>
      </w:r>
      <w:r w:rsidR="00DB26DC">
        <w:t>TEER is associated with superior efficacy outcomes</w:t>
      </w:r>
      <w:r w:rsidR="002A09A1">
        <w:t xml:space="preserve"> including but not limited to improved TR severity</w:t>
      </w:r>
      <w:r w:rsidR="004A26E5">
        <w:t xml:space="preserve">, </w:t>
      </w:r>
      <w:r w:rsidR="001C4027">
        <w:t>reduced heart failure hospitalisations,</w:t>
      </w:r>
      <w:r w:rsidR="002A09A1">
        <w:t xml:space="preserve"> and quality of life. </w:t>
      </w:r>
      <w:r w:rsidR="00C22750">
        <w:t>Studies have shown that worsening in TR severity is associated with increased mortality</w:t>
      </w:r>
      <w:r w:rsidR="001A75CB">
        <w:t xml:space="preserve"> (Topilsky 2014; Offen 2022)</w:t>
      </w:r>
      <w:r w:rsidR="00C22750">
        <w:t xml:space="preserve">. Thus, by improving TR severity, </w:t>
      </w:r>
      <w:r w:rsidR="00B51028">
        <w:t>it is expected that</w:t>
      </w:r>
      <w:r w:rsidR="00C26122">
        <w:t xml:space="preserve"> TEER will </w:t>
      </w:r>
      <w:r w:rsidR="003D2224">
        <w:t xml:space="preserve">improve survival of the proposed patients relative to continued management of OMT. </w:t>
      </w:r>
    </w:p>
    <w:p w14:paraId="70A859BD" w14:textId="77777777" w:rsidR="001C6BCD" w:rsidRDefault="001C6BCD" w:rsidP="00146E2B"/>
    <w:p w14:paraId="5BEAFFDE" w14:textId="41173861" w:rsidR="00051843" w:rsidRPr="00B3266F" w:rsidRDefault="00051843" w:rsidP="00375FD9">
      <w:pPr>
        <w:pStyle w:val="Heading1"/>
      </w:pPr>
      <w:r w:rsidRPr="00B3266F">
        <w:t>Population</w:t>
      </w:r>
    </w:p>
    <w:p w14:paraId="5057D004" w14:textId="77777777" w:rsidR="000D419E" w:rsidRDefault="000D419E" w:rsidP="008B0FEC">
      <w:pPr>
        <w:pStyle w:val="BodyText"/>
        <w:rPr>
          <w:b/>
          <w:bCs/>
          <w:i/>
          <w:iCs/>
        </w:rPr>
      </w:pPr>
    </w:p>
    <w:p w14:paraId="1F7BE20B" w14:textId="1EE19D2F" w:rsidR="00384BD0" w:rsidRPr="008B0FEC" w:rsidRDefault="00384BD0" w:rsidP="008B0FEC">
      <w:pPr>
        <w:pStyle w:val="BodyText"/>
        <w:rPr>
          <w:b/>
          <w:bCs/>
          <w:i/>
          <w:iCs/>
        </w:rPr>
      </w:pPr>
      <w:r w:rsidRPr="008B0FEC">
        <w:rPr>
          <w:b/>
          <w:bCs/>
          <w:i/>
          <w:iCs/>
        </w:rPr>
        <w:t>Tricuspid valve regurgitation</w:t>
      </w:r>
    </w:p>
    <w:p w14:paraId="6DCCD7DB" w14:textId="0041B9E4" w:rsidR="00715A69" w:rsidRDefault="00384BD0" w:rsidP="008B0FEC">
      <w:pPr>
        <w:pStyle w:val="BodyText"/>
      </w:pPr>
      <w:r w:rsidRPr="00FF0C50">
        <w:t xml:space="preserve">Tricuspid valve regurgitation is when the tricuspid valve doesn’t close properly leading to backflow of the blood into the right atrium. Approximately 29.1% of adults investigated for heart disease </w:t>
      </w:r>
      <w:r w:rsidR="0080719D">
        <w:t xml:space="preserve">in Australia </w:t>
      </w:r>
      <w:r w:rsidRPr="00FF0C50">
        <w:t xml:space="preserve">had TR, with 1.8% presenting with severe </w:t>
      </w:r>
      <w:r w:rsidR="00AB7038">
        <w:t>TR</w:t>
      </w:r>
      <w:r w:rsidRPr="00FF0C50">
        <w:t>, according to a study done using the National Echocardiography Database of Australia (Offen 2022).</w:t>
      </w:r>
    </w:p>
    <w:p w14:paraId="5DC08E15" w14:textId="482FF22F" w:rsidR="00384BD0" w:rsidRDefault="00384BD0" w:rsidP="008B0FEC">
      <w:pPr>
        <w:pStyle w:val="BodyText"/>
      </w:pPr>
      <w:r w:rsidRPr="00FF0C50">
        <w:t>The aetiology of TR can be classified into primary and secondary. Primary TR is related to intrinsic abnormalities in the overall tricuspid valve apparatus, such as infective endocarditis or rheumatic valve disease. Secondary TR refers to valve pathology that is a consequence of some other pathology, such as right ventricular dysfunction or annular dilation (</w:t>
      </w:r>
      <w:r w:rsidR="00EA12A0">
        <w:fldChar w:fldCharType="begin"/>
      </w:r>
      <w:r w:rsidR="00EA12A0">
        <w:instrText xml:space="preserve"> REF _Ref203485573 \h </w:instrText>
      </w:r>
      <w:r w:rsidR="00A10159">
        <w:instrText xml:space="preserve"> \* MERGEFORMAT </w:instrText>
      </w:r>
      <w:r w:rsidR="00EA12A0">
        <w:fldChar w:fldCharType="separate"/>
      </w:r>
      <w:r w:rsidR="00EA12A0">
        <w:t xml:space="preserve">Table </w:t>
      </w:r>
      <w:r w:rsidR="00EA12A0">
        <w:rPr>
          <w:noProof/>
        </w:rPr>
        <w:t>1</w:t>
      </w:r>
      <w:r w:rsidR="00EA12A0">
        <w:fldChar w:fldCharType="end"/>
      </w:r>
      <w:r w:rsidRPr="00FF0C50">
        <w:t xml:space="preserve">; Otto 2021). The majority of TR in adults is due to </w:t>
      </w:r>
      <w:r w:rsidR="0008427C">
        <w:t>secondary</w:t>
      </w:r>
      <w:r w:rsidRPr="00FF0C50">
        <w:t xml:space="preserve"> causes (&gt; 90%; Matli 2022). </w:t>
      </w:r>
    </w:p>
    <w:p w14:paraId="6628DB4C" w14:textId="77777777" w:rsidR="00415EAF" w:rsidRDefault="00415EAF" w:rsidP="00715A69"/>
    <w:p w14:paraId="3F17AB59" w14:textId="511F1533" w:rsidR="00384BD0" w:rsidRPr="00094587" w:rsidRDefault="00EA12A0" w:rsidP="00EA12A0">
      <w:pPr>
        <w:pStyle w:val="Caption"/>
      </w:pPr>
      <w:bookmarkStart w:id="0" w:name="_Ref203485573"/>
      <w:r>
        <w:lastRenderedPageBreak/>
        <w:t xml:space="preserve">Table </w:t>
      </w:r>
      <w:r w:rsidR="00271544">
        <w:fldChar w:fldCharType="begin"/>
      </w:r>
      <w:r w:rsidR="00271544">
        <w:instrText xml:space="preserve"> SEQ Table \* ARABIC </w:instrText>
      </w:r>
      <w:r w:rsidR="00271544">
        <w:fldChar w:fldCharType="separate"/>
      </w:r>
      <w:r w:rsidR="00271544">
        <w:rPr>
          <w:noProof/>
        </w:rPr>
        <w:t>1</w:t>
      </w:r>
      <w:r w:rsidR="00271544">
        <w:rPr>
          <w:noProof/>
        </w:rPr>
        <w:fldChar w:fldCharType="end"/>
      </w:r>
      <w:bookmarkEnd w:id="0"/>
      <w:r w:rsidR="00384BD0" w:rsidRPr="00094587">
        <w:tab/>
        <w:t>Classification of TR</w:t>
      </w:r>
    </w:p>
    <w:tbl>
      <w:tblPr>
        <w:tblStyle w:val="TableGrid"/>
        <w:tblW w:w="0" w:type="auto"/>
        <w:tblLook w:val="04A0" w:firstRow="1" w:lastRow="0" w:firstColumn="1" w:lastColumn="0" w:noHBand="0" w:noVBand="1"/>
      </w:tblPr>
      <w:tblGrid>
        <w:gridCol w:w="4733"/>
        <w:gridCol w:w="4732"/>
      </w:tblGrid>
      <w:tr w:rsidR="00384BD0" w:rsidRPr="00E71F35" w14:paraId="135C6228" w14:textId="77777777">
        <w:trPr>
          <w:trHeight w:val="328"/>
          <w:tblHeader/>
        </w:trPr>
        <w:tc>
          <w:tcPr>
            <w:tcW w:w="4814" w:type="dxa"/>
            <w:shd w:val="clear" w:color="auto" w:fill="D9D9D9" w:themeFill="background1" w:themeFillShade="D9"/>
          </w:tcPr>
          <w:p w14:paraId="0A154882" w14:textId="77777777" w:rsidR="00384BD0" w:rsidRPr="00E71F35" w:rsidRDefault="00384BD0" w:rsidP="00E71F35">
            <w:pPr>
              <w:pStyle w:val="Tabletext1"/>
              <w:rPr>
                <w:b/>
                <w:bCs/>
              </w:rPr>
            </w:pPr>
            <w:r w:rsidRPr="00E71F35">
              <w:rPr>
                <w:b/>
                <w:bCs/>
              </w:rPr>
              <w:t>Primary</w:t>
            </w:r>
          </w:p>
        </w:tc>
        <w:tc>
          <w:tcPr>
            <w:tcW w:w="4814" w:type="dxa"/>
            <w:shd w:val="clear" w:color="auto" w:fill="D9D9D9" w:themeFill="background1" w:themeFillShade="D9"/>
          </w:tcPr>
          <w:p w14:paraId="6D8B482A" w14:textId="77777777" w:rsidR="00384BD0" w:rsidRPr="00E71F35" w:rsidRDefault="00384BD0" w:rsidP="00E71F35">
            <w:pPr>
              <w:pStyle w:val="Tabletext1"/>
              <w:rPr>
                <w:b/>
                <w:bCs/>
              </w:rPr>
            </w:pPr>
            <w:r w:rsidRPr="00E71F35">
              <w:rPr>
                <w:b/>
                <w:bCs/>
              </w:rPr>
              <w:t>Secondary</w:t>
            </w:r>
          </w:p>
        </w:tc>
      </w:tr>
      <w:tr w:rsidR="00384BD0" w:rsidRPr="00094587" w14:paraId="000D437A" w14:textId="77777777">
        <w:trPr>
          <w:trHeight w:val="803"/>
        </w:trPr>
        <w:tc>
          <w:tcPr>
            <w:tcW w:w="4814" w:type="dxa"/>
          </w:tcPr>
          <w:p w14:paraId="5A2E4569" w14:textId="77777777" w:rsidR="00384BD0" w:rsidRPr="00094587" w:rsidRDefault="00384BD0" w:rsidP="00E71F35">
            <w:pPr>
              <w:pStyle w:val="Tabletext1"/>
            </w:pPr>
            <w:r w:rsidRPr="00094587">
              <w:t xml:space="preserve">Rheumatic </w:t>
            </w:r>
            <w:r>
              <w:t>i</w:t>
            </w:r>
            <w:r w:rsidRPr="00094587">
              <w:t>nfective endocarditis</w:t>
            </w:r>
          </w:p>
          <w:p w14:paraId="3C29C5C8" w14:textId="77777777" w:rsidR="00384BD0" w:rsidRPr="00094587" w:rsidRDefault="00384BD0" w:rsidP="00E71F35">
            <w:pPr>
              <w:pStyle w:val="Tabletext1"/>
            </w:pPr>
            <w:r w:rsidRPr="00094587">
              <w:t>Iatrogenic (device leads, endomyocardial biopsy)</w:t>
            </w:r>
          </w:p>
          <w:p w14:paraId="29954E11" w14:textId="77777777" w:rsidR="00384BD0" w:rsidRPr="00094587" w:rsidRDefault="00384BD0" w:rsidP="00E71F35">
            <w:pPr>
              <w:pStyle w:val="Tabletext1"/>
            </w:pPr>
            <w:r w:rsidRPr="00094587">
              <w:t>Congenital (eg, Ebstein’s, levo</w:t>
            </w:r>
            <w:r>
              <w:t>-</w:t>
            </w:r>
            <w:r w:rsidRPr="00094587">
              <w:t>transposition of the great arteries)</w:t>
            </w:r>
          </w:p>
          <w:p w14:paraId="5FE0B5CB" w14:textId="77777777" w:rsidR="00384BD0" w:rsidRPr="00094587" w:rsidRDefault="00384BD0" w:rsidP="00E71F35">
            <w:pPr>
              <w:pStyle w:val="Tabletext1"/>
            </w:pPr>
            <w:r w:rsidRPr="00094587">
              <w:t>Other (eg, trauma, carcinoid, drugs, irradiation)</w:t>
            </w:r>
          </w:p>
        </w:tc>
        <w:tc>
          <w:tcPr>
            <w:tcW w:w="4814" w:type="dxa"/>
          </w:tcPr>
          <w:p w14:paraId="4AAB21DC" w14:textId="481F47DA" w:rsidR="00384BD0" w:rsidRPr="00094587" w:rsidRDefault="00384BD0" w:rsidP="00E71F35">
            <w:pPr>
              <w:pStyle w:val="Tabletext1"/>
            </w:pPr>
            <w:r w:rsidRPr="00094587">
              <w:t xml:space="preserve">Pulmonary hypertension with RV </w:t>
            </w:r>
            <w:r w:rsidR="001E2F2D" w:rsidRPr="00094587">
              <w:t>remodelling</w:t>
            </w:r>
            <w:r w:rsidRPr="00094587">
              <w:t xml:space="preserve"> (primary or secondary to left-sided heart disease)</w:t>
            </w:r>
          </w:p>
          <w:p w14:paraId="223ECB17" w14:textId="77777777" w:rsidR="00384BD0" w:rsidRPr="00094587" w:rsidRDefault="00384BD0" w:rsidP="00E71F35">
            <w:pPr>
              <w:pStyle w:val="Tabletext1"/>
            </w:pPr>
            <w:r w:rsidRPr="00094587">
              <w:t>Dilated cardiomyopathy</w:t>
            </w:r>
          </w:p>
          <w:p w14:paraId="5E0206D9" w14:textId="77777777" w:rsidR="00384BD0" w:rsidRPr="00094587" w:rsidRDefault="00384BD0" w:rsidP="00E71F35">
            <w:pPr>
              <w:pStyle w:val="Tabletext1"/>
            </w:pPr>
            <w:r w:rsidRPr="00094587">
              <w:t>Annular dilation (associated with AF)*</w:t>
            </w:r>
          </w:p>
          <w:p w14:paraId="0ECD9657" w14:textId="77777777" w:rsidR="00384BD0" w:rsidRPr="00094587" w:rsidRDefault="00384BD0" w:rsidP="00E71F35">
            <w:pPr>
              <w:pStyle w:val="Tabletext1"/>
            </w:pPr>
            <w:r w:rsidRPr="00094587">
              <w:t>RV volume overload (shunts/high output)</w:t>
            </w:r>
          </w:p>
        </w:tc>
      </w:tr>
    </w:tbl>
    <w:p w14:paraId="105ED978" w14:textId="77777777" w:rsidR="00343937" w:rsidRDefault="00384BD0" w:rsidP="00384BD0">
      <w:pPr>
        <w:pStyle w:val="NoteHeading"/>
      </w:pPr>
      <w:r w:rsidRPr="00094587">
        <w:t xml:space="preserve">Abbreviations: AF, atrial fibrillation; LVEF, left ventricular ejection fraction; RV, right ventricular; TR, tricuspid </w:t>
      </w:r>
      <w:r>
        <w:t xml:space="preserve">valve </w:t>
      </w:r>
      <w:r w:rsidRPr="00094587">
        <w:t>regurgitation.</w:t>
      </w:r>
    </w:p>
    <w:p w14:paraId="17E257D2" w14:textId="21C98A71" w:rsidR="00384BD0" w:rsidRDefault="00343937" w:rsidP="00384BD0">
      <w:pPr>
        <w:pStyle w:val="NoteHeading"/>
      </w:pPr>
      <w:r w:rsidRPr="00094587">
        <w:t>*Isolated TR is associated with AF and has LVEF &gt;60%, pulmonary artery systolic pressure &lt;50 mm</w:t>
      </w:r>
      <w:r>
        <w:t>H</w:t>
      </w:r>
      <w:r w:rsidRPr="00094587">
        <w:t>g, and no left-sided valve disease, with normal appearing tricuspid valve leaflets.</w:t>
      </w:r>
      <w:r w:rsidR="00384BD0" w:rsidRPr="00094587">
        <w:br/>
        <w:t>Source: Otto (202</w:t>
      </w:r>
      <w:r w:rsidR="00384BD0">
        <w:t>1</w:t>
      </w:r>
      <w:r w:rsidR="00384BD0" w:rsidRPr="00094587">
        <w:t>)</w:t>
      </w:r>
      <w:r w:rsidR="00384BD0">
        <w:t xml:space="preserve"> Table 19, pg. e131</w:t>
      </w:r>
    </w:p>
    <w:p w14:paraId="75F195B7" w14:textId="77777777" w:rsidR="00753E7E" w:rsidRDefault="00753E7E" w:rsidP="00715A69"/>
    <w:p w14:paraId="6703A65F" w14:textId="67B387F6" w:rsidR="00715A69" w:rsidRDefault="009E46A9" w:rsidP="008B0FEC">
      <w:pPr>
        <w:pStyle w:val="BodyText"/>
      </w:pPr>
      <w:r>
        <w:t xml:space="preserve">Isolated TR is a morphologic </w:t>
      </w:r>
      <w:r w:rsidR="00633572">
        <w:t>sub</w:t>
      </w:r>
      <w:r>
        <w:t xml:space="preserve">type of TR which is increasingly recognised as a separate entity. </w:t>
      </w:r>
      <w:r w:rsidR="00384BD0">
        <w:t>As per the American College of Cardiology / American Heart Association (</w:t>
      </w:r>
      <w:r w:rsidR="00384BD0" w:rsidRPr="00AC1AB2">
        <w:t>ACC/AHA) 2020</w:t>
      </w:r>
      <w:r w:rsidR="00384BD0">
        <w:t xml:space="preserve"> guidelines, i</w:t>
      </w:r>
      <w:r w:rsidR="00384BD0" w:rsidRPr="00864977">
        <w:t xml:space="preserve">solated TR is </w:t>
      </w:r>
      <w:r w:rsidR="00384BD0">
        <w:t xml:space="preserve">characterised by dilation of the right ventricle base and tricuspid annulus, </w:t>
      </w:r>
      <w:r w:rsidR="00384BD0" w:rsidRPr="00864977">
        <w:t xml:space="preserve">associated with </w:t>
      </w:r>
      <w:r w:rsidR="00384BD0">
        <w:t>atrial fibrillation (</w:t>
      </w:r>
      <w:r w:rsidR="00384BD0" w:rsidRPr="00864977">
        <w:t>AF</w:t>
      </w:r>
      <w:r w:rsidR="00384BD0">
        <w:t xml:space="preserve">), </w:t>
      </w:r>
      <w:r w:rsidR="003F7658">
        <w:t>with</w:t>
      </w:r>
      <w:r w:rsidR="00384BD0" w:rsidRPr="00864977">
        <w:t xml:space="preserve"> </w:t>
      </w:r>
      <w:r w:rsidR="00384BD0">
        <w:t>left ventricular ejection fraction (</w:t>
      </w:r>
      <w:r w:rsidR="00384BD0" w:rsidRPr="00864977">
        <w:t>LVEF</w:t>
      </w:r>
      <w:r w:rsidR="00384BD0">
        <w:t>)</w:t>
      </w:r>
      <w:r w:rsidR="00384BD0" w:rsidRPr="00864977">
        <w:t xml:space="preserve"> &gt;</w:t>
      </w:r>
      <w:r w:rsidR="00384BD0">
        <w:t xml:space="preserve"> </w:t>
      </w:r>
      <w:r w:rsidR="00384BD0" w:rsidRPr="00864977">
        <w:t>60%, pulmonary artery systolic pressure &lt;</w:t>
      </w:r>
      <w:r w:rsidR="00384BD0">
        <w:t xml:space="preserve"> </w:t>
      </w:r>
      <w:r w:rsidR="00384BD0" w:rsidRPr="00864977">
        <w:t>50 mmHg, no left-sided valve disease</w:t>
      </w:r>
      <w:r w:rsidR="00384BD0">
        <w:t xml:space="preserve"> and</w:t>
      </w:r>
      <w:r w:rsidR="00384BD0" w:rsidRPr="00864977">
        <w:t xml:space="preserve"> with normal appearing tricuspid valve leaflets</w:t>
      </w:r>
      <w:r w:rsidR="00384BD0">
        <w:t xml:space="preserve"> (Otto 2021)</w:t>
      </w:r>
      <w:r w:rsidR="00384BD0" w:rsidRPr="00864977">
        <w:t>.</w:t>
      </w:r>
      <w:r w:rsidR="00110711">
        <w:t xml:space="preserve"> </w:t>
      </w:r>
      <w:r w:rsidR="00F40138">
        <w:t>In the absence of concomitant pulmonary hypertension or co-existing left-sided</w:t>
      </w:r>
      <w:r w:rsidR="00110711">
        <w:t xml:space="preserve"> </w:t>
      </w:r>
      <w:r w:rsidR="00F40138">
        <w:t>heart disease, isolated TR is mainly present in elderly patients with a high prevalence of</w:t>
      </w:r>
      <w:r w:rsidR="00110711">
        <w:t xml:space="preserve"> </w:t>
      </w:r>
      <w:r w:rsidR="00F40138">
        <w:t xml:space="preserve">AF causing </w:t>
      </w:r>
      <w:r w:rsidR="00110711">
        <w:t>right atrial (</w:t>
      </w:r>
      <w:r w:rsidR="00F40138">
        <w:t>RA</w:t>
      </w:r>
      <w:r w:rsidR="00110711">
        <w:t>)</w:t>
      </w:r>
      <w:r w:rsidR="00F40138">
        <w:t xml:space="preserve"> dilation, </w:t>
      </w:r>
      <w:r w:rsidR="002978BD">
        <w:t>tricuspid valve</w:t>
      </w:r>
      <w:r w:rsidR="00F40138">
        <w:t xml:space="preserve"> annulus dilation, and </w:t>
      </w:r>
      <w:r w:rsidR="002978BD">
        <w:t>tricuspid valve</w:t>
      </w:r>
      <w:r w:rsidR="00F40138">
        <w:t xml:space="preserve"> leaflets</w:t>
      </w:r>
      <w:r w:rsidR="002978BD">
        <w:t xml:space="preserve"> </w:t>
      </w:r>
      <w:r w:rsidR="00F40138">
        <w:t>malcoaptation</w:t>
      </w:r>
      <w:r w:rsidR="002978BD">
        <w:t xml:space="preserve"> (</w:t>
      </w:r>
      <w:r w:rsidR="009F7621">
        <w:t xml:space="preserve">Prihadi 2019; </w:t>
      </w:r>
      <w:r w:rsidR="00B7549C">
        <w:t xml:space="preserve">Mutlak 2007; </w:t>
      </w:r>
      <w:r w:rsidR="003059D7">
        <w:t xml:space="preserve">Topilsky 2012; </w:t>
      </w:r>
      <w:r w:rsidR="00704757">
        <w:t>Park 2015</w:t>
      </w:r>
      <w:r w:rsidR="00DF401F">
        <w:t>)</w:t>
      </w:r>
      <w:r w:rsidR="00F40138">
        <w:t>.</w:t>
      </w:r>
      <w:r w:rsidR="00511EB4">
        <w:t xml:space="preserve"> In i</w:t>
      </w:r>
      <w:r w:rsidR="00F40138">
        <w:t>solated TR</w:t>
      </w:r>
      <w:r w:rsidR="005C6ED7">
        <w:t>,</w:t>
      </w:r>
      <w:r w:rsidR="00F40138">
        <w:t xml:space="preserve"> prognosis </w:t>
      </w:r>
      <w:r w:rsidR="00511EB4">
        <w:t xml:space="preserve">is </w:t>
      </w:r>
      <w:r w:rsidR="00F40138">
        <w:t>strongly depend</w:t>
      </w:r>
      <w:r w:rsidR="00F4764F">
        <w:t>ent</w:t>
      </w:r>
      <w:r w:rsidR="00F40138">
        <w:t xml:space="preserve"> on TR severity (10-year</w:t>
      </w:r>
      <w:r w:rsidR="00E94F47">
        <w:t xml:space="preserve"> </w:t>
      </w:r>
      <w:r w:rsidR="00F40138">
        <w:t>survival of 38% vs. 70% in patients with severe and non-severe TR, respectively)</w:t>
      </w:r>
      <w:r w:rsidR="009D0A9B">
        <w:t xml:space="preserve"> (Topilsky 2014)</w:t>
      </w:r>
      <w:r w:rsidR="008F04A4">
        <w:t xml:space="preserve">. </w:t>
      </w:r>
    </w:p>
    <w:p w14:paraId="4B711795" w14:textId="5D78C64F" w:rsidR="00384BD0" w:rsidRDefault="00384BD0" w:rsidP="008B0FEC">
      <w:pPr>
        <w:pStyle w:val="BodyText"/>
      </w:pPr>
      <w:r w:rsidRPr="00864977">
        <w:t xml:space="preserve">The stages of TR are provided in </w:t>
      </w:r>
      <w:r w:rsidR="001D5B00">
        <w:fldChar w:fldCharType="begin"/>
      </w:r>
      <w:r w:rsidR="001D5B00">
        <w:instrText xml:space="preserve"> REF _Ref203485654 \h </w:instrText>
      </w:r>
      <w:r w:rsidR="00A10159">
        <w:instrText xml:space="preserve"> \* MERGEFORMAT </w:instrText>
      </w:r>
      <w:r w:rsidR="001D5B00">
        <w:fldChar w:fldCharType="separate"/>
      </w:r>
      <w:r w:rsidR="001D5B00">
        <w:t xml:space="preserve">Table </w:t>
      </w:r>
      <w:r w:rsidR="001D5B00">
        <w:rPr>
          <w:noProof/>
        </w:rPr>
        <w:t>2</w:t>
      </w:r>
      <w:r w:rsidR="001D5B00">
        <w:fldChar w:fldCharType="end"/>
      </w:r>
      <w:r w:rsidR="001D5B00">
        <w:t xml:space="preserve">. </w:t>
      </w:r>
      <w:r w:rsidRPr="00864977">
        <w:t>Both asymptomatic and symptomatic patients with severe TR (Stages C and D, respectively) present with elevated venous pressure, but symptomatic patients also have symptoms of fatigue, dyspnoea, abdominal bloating, and oedema. Stage D TR may also lead to adverse events such as end-organ damage, particularly hepatic or renal failure. TR severity can shift according to changes in preload and pulmonary pressure (Otto 202</w:t>
      </w:r>
      <w:r>
        <w:t>1</w:t>
      </w:r>
      <w:r w:rsidRPr="00864977">
        <w:t>).</w:t>
      </w:r>
    </w:p>
    <w:p w14:paraId="73D90848" w14:textId="77777777" w:rsidR="00297C61" w:rsidRDefault="00297C61" w:rsidP="000C453F"/>
    <w:p w14:paraId="095B113B" w14:textId="77777777" w:rsidR="000D419E" w:rsidRDefault="000D419E">
      <w:pPr>
        <w:spacing w:after="160"/>
        <w:rPr>
          <w:rFonts w:ascii="Arial" w:eastAsiaTheme="minorEastAsia" w:hAnsi="Arial"/>
          <w:b/>
          <w:bCs/>
        </w:rPr>
      </w:pPr>
      <w:bookmarkStart w:id="1" w:name="_Ref203485654"/>
      <w:r>
        <w:br w:type="page"/>
      </w:r>
    </w:p>
    <w:p w14:paraId="4CA28393" w14:textId="53D40F48" w:rsidR="00384BD0" w:rsidRDefault="001D5B00" w:rsidP="001D5B00">
      <w:pPr>
        <w:pStyle w:val="Caption"/>
      </w:pPr>
      <w:r>
        <w:t xml:space="preserve">Table </w:t>
      </w:r>
      <w:r w:rsidR="00271544">
        <w:fldChar w:fldCharType="begin"/>
      </w:r>
      <w:r w:rsidR="00271544">
        <w:instrText xml:space="preserve"> SEQ Table \* ARABIC </w:instrText>
      </w:r>
      <w:r w:rsidR="00271544">
        <w:fldChar w:fldCharType="separate"/>
      </w:r>
      <w:r w:rsidR="00271544">
        <w:rPr>
          <w:noProof/>
        </w:rPr>
        <w:t>2</w:t>
      </w:r>
      <w:r w:rsidR="00271544">
        <w:rPr>
          <w:noProof/>
        </w:rPr>
        <w:fldChar w:fldCharType="end"/>
      </w:r>
      <w:bookmarkEnd w:id="1"/>
      <w:r w:rsidR="00384BD0">
        <w:tab/>
        <w:t>Stages of TR</w:t>
      </w:r>
    </w:p>
    <w:tbl>
      <w:tblPr>
        <w:tblStyle w:val="TableGrid"/>
        <w:tblW w:w="9072" w:type="dxa"/>
        <w:tblInd w:w="-5" w:type="dxa"/>
        <w:tblLook w:val="04A0" w:firstRow="1" w:lastRow="0" w:firstColumn="1" w:lastColumn="0" w:noHBand="0" w:noVBand="1"/>
      </w:tblPr>
      <w:tblGrid>
        <w:gridCol w:w="798"/>
        <w:gridCol w:w="2321"/>
        <w:gridCol w:w="2410"/>
        <w:gridCol w:w="1842"/>
        <w:gridCol w:w="1701"/>
      </w:tblGrid>
      <w:tr w:rsidR="00384BD0" w:rsidRPr="00E71F35" w14:paraId="61FDDD57" w14:textId="77777777" w:rsidTr="0038436E">
        <w:trPr>
          <w:trHeight w:val="472"/>
          <w:tblHeader/>
        </w:trPr>
        <w:tc>
          <w:tcPr>
            <w:tcW w:w="798" w:type="dxa"/>
            <w:shd w:val="clear" w:color="auto" w:fill="D9D9D9" w:themeFill="background1" w:themeFillShade="D9"/>
          </w:tcPr>
          <w:p w14:paraId="119E6D15" w14:textId="77777777" w:rsidR="00384BD0" w:rsidRPr="00E71F35" w:rsidRDefault="00384BD0" w:rsidP="00E71F35">
            <w:pPr>
              <w:pStyle w:val="Tabletext1"/>
              <w:rPr>
                <w:b/>
                <w:bCs/>
              </w:rPr>
            </w:pPr>
            <w:r w:rsidRPr="00E71F35">
              <w:rPr>
                <w:b/>
                <w:bCs/>
              </w:rPr>
              <w:t>Stage</w:t>
            </w:r>
          </w:p>
        </w:tc>
        <w:tc>
          <w:tcPr>
            <w:tcW w:w="2321" w:type="dxa"/>
            <w:shd w:val="clear" w:color="auto" w:fill="D9D9D9" w:themeFill="background1" w:themeFillShade="D9"/>
          </w:tcPr>
          <w:p w14:paraId="05CB6778" w14:textId="77777777" w:rsidR="00384BD0" w:rsidRPr="00E71F35" w:rsidRDefault="00384BD0" w:rsidP="00E71F35">
            <w:pPr>
              <w:pStyle w:val="Tabletext1"/>
              <w:rPr>
                <w:b/>
                <w:bCs/>
              </w:rPr>
            </w:pPr>
            <w:r w:rsidRPr="00E71F35">
              <w:rPr>
                <w:b/>
                <w:bCs/>
              </w:rPr>
              <w:t>Definition</w:t>
            </w:r>
          </w:p>
        </w:tc>
        <w:tc>
          <w:tcPr>
            <w:tcW w:w="2410" w:type="dxa"/>
            <w:shd w:val="clear" w:color="auto" w:fill="D9D9D9" w:themeFill="background1" w:themeFillShade="D9"/>
          </w:tcPr>
          <w:p w14:paraId="674D19D8" w14:textId="77777777" w:rsidR="00384BD0" w:rsidRPr="00E71F35" w:rsidRDefault="00384BD0" w:rsidP="00E71F35">
            <w:pPr>
              <w:pStyle w:val="Tabletext1"/>
              <w:rPr>
                <w:b/>
                <w:bCs/>
              </w:rPr>
            </w:pPr>
            <w:r w:rsidRPr="00E71F35">
              <w:rPr>
                <w:b/>
                <w:bCs/>
              </w:rPr>
              <w:t>Valve haemodynamics</w:t>
            </w:r>
          </w:p>
        </w:tc>
        <w:tc>
          <w:tcPr>
            <w:tcW w:w="1842" w:type="dxa"/>
            <w:shd w:val="clear" w:color="auto" w:fill="D9D9D9" w:themeFill="background1" w:themeFillShade="D9"/>
          </w:tcPr>
          <w:p w14:paraId="13E5569A" w14:textId="77777777" w:rsidR="00384BD0" w:rsidRPr="00E71F35" w:rsidRDefault="00384BD0" w:rsidP="00E71F35">
            <w:pPr>
              <w:pStyle w:val="Tabletext1"/>
              <w:rPr>
                <w:b/>
                <w:bCs/>
              </w:rPr>
            </w:pPr>
            <w:r w:rsidRPr="00E71F35">
              <w:rPr>
                <w:b/>
                <w:bCs/>
              </w:rPr>
              <w:t>Haemodynamic consequences</w:t>
            </w:r>
          </w:p>
        </w:tc>
        <w:tc>
          <w:tcPr>
            <w:tcW w:w="1701" w:type="dxa"/>
            <w:shd w:val="clear" w:color="auto" w:fill="D9D9D9" w:themeFill="background1" w:themeFillShade="D9"/>
          </w:tcPr>
          <w:p w14:paraId="60381155" w14:textId="77777777" w:rsidR="00384BD0" w:rsidRPr="00E71F35" w:rsidRDefault="00384BD0" w:rsidP="00E71F35">
            <w:pPr>
              <w:pStyle w:val="Tabletext1"/>
              <w:rPr>
                <w:b/>
                <w:bCs/>
              </w:rPr>
            </w:pPr>
            <w:r w:rsidRPr="00E71F35">
              <w:rPr>
                <w:b/>
                <w:bCs/>
              </w:rPr>
              <w:t>Clinical symptoms and presentation</w:t>
            </w:r>
          </w:p>
        </w:tc>
      </w:tr>
      <w:tr w:rsidR="00384BD0" w14:paraId="45C7501C" w14:textId="77777777" w:rsidTr="0038436E">
        <w:trPr>
          <w:trHeight w:val="1188"/>
        </w:trPr>
        <w:tc>
          <w:tcPr>
            <w:tcW w:w="798" w:type="dxa"/>
          </w:tcPr>
          <w:p w14:paraId="63214F49" w14:textId="77777777" w:rsidR="00384BD0" w:rsidRPr="00E061F2" w:rsidRDefault="00384BD0" w:rsidP="00E71F35">
            <w:pPr>
              <w:pStyle w:val="Tabletext1"/>
              <w:rPr>
                <w:b/>
                <w:bCs/>
              </w:rPr>
            </w:pPr>
            <w:r w:rsidRPr="00E061F2">
              <w:rPr>
                <w:b/>
                <w:bCs/>
              </w:rPr>
              <w:t>B</w:t>
            </w:r>
          </w:p>
        </w:tc>
        <w:tc>
          <w:tcPr>
            <w:tcW w:w="2321" w:type="dxa"/>
          </w:tcPr>
          <w:p w14:paraId="0FEB86F4" w14:textId="77777777" w:rsidR="00384BD0" w:rsidRPr="009F47BB" w:rsidRDefault="00384BD0" w:rsidP="00E71F35">
            <w:pPr>
              <w:pStyle w:val="Tabletext1"/>
            </w:pPr>
            <w:r w:rsidRPr="009F47BB">
              <w:t>Progressive TR</w:t>
            </w:r>
          </w:p>
        </w:tc>
        <w:tc>
          <w:tcPr>
            <w:tcW w:w="2410" w:type="dxa"/>
          </w:tcPr>
          <w:p w14:paraId="59A4F38A" w14:textId="77777777" w:rsidR="00384BD0" w:rsidRPr="009F47BB" w:rsidRDefault="00384BD0" w:rsidP="00E71F35">
            <w:pPr>
              <w:pStyle w:val="Tabletext1"/>
            </w:pPr>
            <w:r w:rsidRPr="009F47BB">
              <w:t>Central jet &lt;50% RA</w:t>
            </w:r>
          </w:p>
          <w:p w14:paraId="281FD81D" w14:textId="77777777" w:rsidR="00384BD0" w:rsidRPr="009F47BB" w:rsidRDefault="00384BD0" w:rsidP="00E71F35">
            <w:pPr>
              <w:pStyle w:val="Tabletext1"/>
            </w:pPr>
            <w:r w:rsidRPr="009F47BB">
              <w:t>Vena contracta width &lt;0.7cm</w:t>
            </w:r>
          </w:p>
          <w:p w14:paraId="68B2A859" w14:textId="77777777" w:rsidR="00384BD0" w:rsidRPr="009F47BB" w:rsidRDefault="00384BD0" w:rsidP="00E71F35">
            <w:pPr>
              <w:pStyle w:val="Tabletext1"/>
            </w:pPr>
            <w:r w:rsidRPr="009F47BB">
              <w:t>ERO &lt;0.40cm</w:t>
            </w:r>
            <w:r w:rsidRPr="009F47BB">
              <w:rPr>
                <w:vertAlign w:val="superscript"/>
              </w:rPr>
              <w:t>2</w:t>
            </w:r>
          </w:p>
          <w:p w14:paraId="28F15A0A" w14:textId="77777777" w:rsidR="00384BD0" w:rsidRPr="009F47BB" w:rsidRDefault="00384BD0" w:rsidP="00E71F35">
            <w:pPr>
              <w:pStyle w:val="Tabletext1"/>
            </w:pPr>
            <w:r w:rsidRPr="009F47BB">
              <w:t>Regurgitant volume &lt;45mL</w:t>
            </w:r>
          </w:p>
        </w:tc>
        <w:tc>
          <w:tcPr>
            <w:tcW w:w="1842" w:type="dxa"/>
          </w:tcPr>
          <w:p w14:paraId="4E180733" w14:textId="77777777" w:rsidR="00384BD0" w:rsidRPr="009F47BB" w:rsidRDefault="00384BD0" w:rsidP="00E71F35">
            <w:pPr>
              <w:pStyle w:val="Tabletext1"/>
            </w:pPr>
            <w:r w:rsidRPr="009F47BB">
              <w:t>None</w:t>
            </w:r>
          </w:p>
        </w:tc>
        <w:tc>
          <w:tcPr>
            <w:tcW w:w="1701" w:type="dxa"/>
          </w:tcPr>
          <w:p w14:paraId="0AD91A01" w14:textId="77777777" w:rsidR="00384BD0" w:rsidRPr="009F47BB" w:rsidRDefault="00384BD0" w:rsidP="00E71F35">
            <w:pPr>
              <w:pStyle w:val="Tabletext1"/>
            </w:pPr>
            <w:r w:rsidRPr="009F47BB">
              <w:t>None</w:t>
            </w:r>
          </w:p>
        </w:tc>
      </w:tr>
      <w:tr w:rsidR="00384BD0" w14:paraId="08F53871" w14:textId="77777777" w:rsidTr="0038436E">
        <w:trPr>
          <w:trHeight w:val="2093"/>
        </w:trPr>
        <w:tc>
          <w:tcPr>
            <w:tcW w:w="798" w:type="dxa"/>
          </w:tcPr>
          <w:p w14:paraId="0A592169" w14:textId="77777777" w:rsidR="00384BD0" w:rsidRPr="00E061F2" w:rsidRDefault="00384BD0" w:rsidP="00E71F35">
            <w:pPr>
              <w:pStyle w:val="Tabletext1"/>
              <w:rPr>
                <w:b/>
                <w:bCs/>
              </w:rPr>
            </w:pPr>
            <w:r w:rsidRPr="00E061F2">
              <w:rPr>
                <w:b/>
                <w:bCs/>
              </w:rPr>
              <w:t>C</w:t>
            </w:r>
          </w:p>
        </w:tc>
        <w:tc>
          <w:tcPr>
            <w:tcW w:w="2321" w:type="dxa"/>
          </w:tcPr>
          <w:p w14:paraId="18636774" w14:textId="77777777" w:rsidR="00384BD0" w:rsidRPr="009F47BB" w:rsidRDefault="00384BD0" w:rsidP="00E71F35">
            <w:pPr>
              <w:pStyle w:val="Tabletext1"/>
            </w:pPr>
            <w:r w:rsidRPr="009F47BB">
              <w:t>Asymptomatic severe TR</w:t>
            </w:r>
          </w:p>
        </w:tc>
        <w:tc>
          <w:tcPr>
            <w:tcW w:w="2410" w:type="dxa"/>
          </w:tcPr>
          <w:p w14:paraId="38848A5C" w14:textId="77777777" w:rsidR="00384BD0" w:rsidRPr="009F47BB" w:rsidRDefault="00384BD0" w:rsidP="00E71F35">
            <w:pPr>
              <w:pStyle w:val="Tabletext1"/>
            </w:pPr>
            <w:r w:rsidRPr="009F47BB">
              <w:t xml:space="preserve">Central jet </w:t>
            </w:r>
            <w:r w:rsidRPr="009F47BB">
              <w:rPr>
                <w:rFonts w:cs="Arial"/>
              </w:rPr>
              <w:t>≥</w:t>
            </w:r>
            <w:r w:rsidRPr="009F47BB">
              <w:t>50% RA</w:t>
            </w:r>
          </w:p>
          <w:p w14:paraId="4FBCAE42" w14:textId="77777777" w:rsidR="00384BD0" w:rsidRPr="009F47BB" w:rsidRDefault="00384BD0" w:rsidP="00E71F35">
            <w:pPr>
              <w:pStyle w:val="Tabletext1"/>
              <w:rPr>
                <w:rFonts w:cs="Arial"/>
              </w:rPr>
            </w:pPr>
            <w:r w:rsidRPr="009F47BB">
              <w:t xml:space="preserve">Vena contracta width </w:t>
            </w:r>
            <w:r w:rsidRPr="009F47BB">
              <w:rPr>
                <w:rFonts w:cs="Arial"/>
              </w:rPr>
              <w:t>≥0.7cm</w:t>
            </w:r>
          </w:p>
          <w:p w14:paraId="1475F4B8" w14:textId="77777777" w:rsidR="00384BD0" w:rsidRPr="009F47BB" w:rsidRDefault="00384BD0" w:rsidP="00E71F35">
            <w:pPr>
              <w:pStyle w:val="Tabletext1"/>
              <w:rPr>
                <w:rFonts w:cs="Arial"/>
              </w:rPr>
            </w:pPr>
            <w:r w:rsidRPr="009F47BB">
              <w:t xml:space="preserve">ERO </w:t>
            </w:r>
            <w:r w:rsidRPr="009F47BB">
              <w:rPr>
                <w:rFonts w:cs="Arial"/>
              </w:rPr>
              <w:t>≥0.40cm2</w:t>
            </w:r>
          </w:p>
          <w:p w14:paraId="0C39E90D" w14:textId="77777777" w:rsidR="00384BD0" w:rsidRPr="009F47BB" w:rsidRDefault="00384BD0" w:rsidP="00E71F35">
            <w:pPr>
              <w:pStyle w:val="Tabletext1"/>
              <w:rPr>
                <w:rFonts w:cs="Arial"/>
              </w:rPr>
            </w:pPr>
            <w:r w:rsidRPr="009F47BB">
              <w:t xml:space="preserve">Regurgitant volume </w:t>
            </w:r>
            <w:r w:rsidRPr="009F47BB">
              <w:rPr>
                <w:rFonts w:cs="Arial"/>
              </w:rPr>
              <w:t>≥45mL</w:t>
            </w:r>
          </w:p>
          <w:p w14:paraId="24AE3FA9" w14:textId="77777777" w:rsidR="00384BD0" w:rsidRPr="009F47BB" w:rsidRDefault="00384BD0" w:rsidP="00E71F35">
            <w:pPr>
              <w:pStyle w:val="Tabletext1"/>
              <w:rPr>
                <w:rFonts w:cs="Arial"/>
              </w:rPr>
            </w:pPr>
            <w:r w:rsidRPr="009F47BB">
              <w:rPr>
                <w:rFonts w:cs="Arial"/>
              </w:rPr>
              <w:t>Dense continuous wave signal with triangular shape</w:t>
            </w:r>
          </w:p>
          <w:p w14:paraId="4BCD091D" w14:textId="77777777" w:rsidR="00384BD0" w:rsidRPr="009F47BB" w:rsidRDefault="00384BD0" w:rsidP="00E71F35">
            <w:pPr>
              <w:pStyle w:val="Tabletext1"/>
              <w:rPr>
                <w:rFonts w:cs="Arial"/>
              </w:rPr>
            </w:pPr>
            <w:r w:rsidRPr="009F47BB">
              <w:rPr>
                <w:rFonts w:cs="Arial"/>
              </w:rPr>
              <w:t>Hepatic vein systolic flow reversal</w:t>
            </w:r>
          </w:p>
        </w:tc>
        <w:tc>
          <w:tcPr>
            <w:tcW w:w="1842" w:type="dxa"/>
          </w:tcPr>
          <w:p w14:paraId="13E38BC2" w14:textId="77777777" w:rsidR="00384BD0" w:rsidRPr="009F47BB" w:rsidRDefault="00384BD0" w:rsidP="00E71F35">
            <w:pPr>
              <w:pStyle w:val="Tabletext1"/>
            </w:pPr>
            <w:r w:rsidRPr="009F47BB">
              <w:t>Dilated RV and RA</w:t>
            </w:r>
          </w:p>
          <w:p w14:paraId="1B754C5F" w14:textId="77777777" w:rsidR="00384BD0" w:rsidRPr="009F47BB" w:rsidRDefault="00384BD0" w:rsidP="00E71F35">
            <w:pPr>
              <w:pStyle w:val="Tabletext1"/>
            </w:pPr>
            <w:r w:rsidRPr="009F47BB">
              <w:t xml:space="preserve">Elevated </w:t>
            </w:r>
            <w:r>
              <w:t>R</w:t>
            </w:r>
            <w:r w:rsidRPr="009F47BB">
              <w:t>A with “c-V” wave</w:t>
            </w:r>
          </w:p>
        </w:tc>
        <w:tc>
          <w:tcPr>
            <w:tcW w:w="1701" w:type="dxa"/>
          </w:tcPr>
          <w:p w14:paraId="7DFFA981" w14:textId="77777777" w:rsidR="00384BD0" w:rsidRPr="009F47BB" w:rsidRDefault="00384BD0" w:rsidP="00E71F35">
            <w:pPr>
              <w:pStyle w:val="Tabletext1"/>
            </w:pPr>
            <w:r w:rsidRPr="009F47BB">
              <w:t>Elevated venous pressure</w:t>
            </w:r>
          </w:p>
          <w:p w14:paraId="5416C7A0" w14:textId="77777777" w:rsidR="00384BD0" w:rsidRPr="009F47BB" w:rsidRDefault="00384BD0" w:rsidP="00E71F35">
            <w:pPr>
              <w:pStyle w:val="Tabletext1"/>
            </w:pPr>
            <w:r w:rsidRPr="009F47BB">
              <w:t>No symptoms</w:t>
            </w:r>
          </w:p>
        </w:tc>
      </w:tr>
      <w:tr w:rsidR="00384BD0" w14:paraId="5441A67E" w14:textId="77777777" w:rsidTr="0038436E">
        <w:trPr>
          <w:trHeight w:val="1551"/>
        </w:trPr>
        <w:tc>
          <w:tcPr>
            <w:tcW w:w="798" w:type="dxa"/>
          </w:tcPr>
          <w:p w14:paraId="42830F6F" w14:textId="77777777" w:rsidR="00384BD0" w:rsidRPr="00E061F2" w:rsidRDefault="00384BD0" w:rsidP="00E71F35">
            <w:pPr>
              <w:pStyle w:val="Tabletext1"/>
              <w:rPr>
                <w:b/>
                <w:bCs/>
              </w:rPr>
            </w:pPr>
            <w:r w:rsidRPr="00E061F2">
              <w:rPr>
                <w:b/>
                <w:bCs/>
              </w:rPr>
              <w:t>D</w:t>
            </w:r>
          </w:p>
        </w:tc>
        <w:tc>
          <w:tcPr>
            <w:tcW w:w="2321" w:type="dxa"/>
          </w:tcPr>
          <w:p w14:paraId="38F3DAA2" w14:textId="77777777" w:rsidR="00384BD0" w:rsidRPr="009F47BB" w:rsidRDefault="00384BD0" w:rsidP="00E71F35">
            <w:pPr>
              <w:pStyle w:val="Tabletext1"/>
            </w:pPr>
            <w:r w:rsidRPr="009F47BB">
              <w:t>Symptomatic severe TR</w:t>
            </w:r>
          </w:p>
        </w:tc>
        <w:tc>
          <w:tcPr>
            <w:tcW w:w="2410" w:type="dxa"/>
          </w:tcPr>
          <w:p w14:paraId="7E17535D" w14:textId="77777777" w:rsidR="00384BD0" w:rsidRPr="009F47BB" w:rsidRDefault="00384BD0" w:rsidP="00E71F35">
            <w:pPr>
              <w:pStyle w:val="Tabletext1"/>
              <w:rPr>
                <w:rFonts w:cs="Arial"/>
              </w:rPr>
            </w:pPr>
            <w:r w:rsidRPr="009F47BB">
              <w:t xml:space="preserve">Central jet </w:t>
            </w:r>
            <w:r w:rsidRPr="009F47BB">
              <w:rPr>
                <w:rFonts w:cs="Arial"/>
              </w:rPr>
              <w:t>≥50% RA</w:t>
            </w:r>
          </w:p>
          <w:p w14:paraId="5FE600CF" w14:textId="77777777" w:rsidR="00384BD0" w:rsidRPr="009F47BB" w:rsidRDefault="00384BD0" w:rsidP="00E71F35">
            <w:pPr>
              <w:pStyle w:val="Tabletext1"/>
              <w:rPr>
                <w:rFonts w:cs="Arial"/>
              </w:rPr>
            </w:pPr>
            <w:r w:rsidRPr="009F47BB">
              <w:t xml:space="preserve">Vena contracta width </w:t>
            </w:r>
            <w:r w:rsidRPr="009F47BB">
              <w:rPr>
                <w:rFonts w:cs="Arial"/>
              </w:rPr>
              <w:t>≥0.7cm</w:t>
            </w:r>
          </w:p>
          <w:p w14:paraId="15B9DFF1" w14:textId="77777777" w:rsidR="00384BD0" w:rsidRPr="009F47BB" w:rsidRDefault="00384BD0" w:rsidP="00E71F35">
            <w:pPr>
              <w:pStyle w:val="Tabletext1"/>
              <w:rPr>
                <w:rFonts w:cs="Arial"/>
              </w:rPr>
            </w:pPr>
            <w:r w:rsidRPr="009F47BB">
              <w:rPr>
                <w:rFonts w:cs="Arial"/>
              </w:rPr>
              <w:t>ERO ≥0.40cm</w:t>
            </w:r>
            <w:r w:rsidRPr="00C35865">
              <w:rPr>
                <w:rFonts w:cs="Arial"/>
                <w:vertAlign w:val="superscript"/>
              </w:rPr>
              <w:t>2</w:t>
            </w:r>
          </w:p>
          <w:p w14:paraId="16D0D2C1" w14:textId="77777777" w:rsidR="00384BD0" w:rsidRPr="009F47BB" w:rsidRDefault="00384BD0" w:rsidP="00E71F35">
            <w:pPr>
              <w:pStyle w:val="Tabletext1"/>
              <w:rPr>
                <w:rFonts w:cs="Arial"/>
              </w:rPr>
            </w:pPr>
            <w:r w:rsidRPr="009F47BB">
              <w:rPr>
                <w:rFonts w:cs="Arial"/>
              </w:rPr>
              <w:t>Regurgitant volume ≥45mL</w:t>
            </w:r>
          </w:p>
          <w:p w14:paraId="64320469" w14:textId="77777777" w:rsidR="00384BD0" w:rsidRPr="009F47BB" w:rsidRDefault="00384BD0" w:rsidP="00E71F35">
            <w:pPr>
              <w:pStyle w:val="Tabletext1"/>
            </w:pPr>
            <w:r w:rsidRPr="009F47BB">
              <w:t>Dense continuous wave signal with triangular shape</w:t>
            </w:r>
          </w:p>
          <w:p w14:paraId="6DE0293A" w14:textId="77777777" w:rsidR="00384BD0" w:rsidRPr="009F47BB" w:rsidRDefault="00384BD0" w:rsidP="00E71F35">
            <w:pPr>
              <w:pStyle w:val="Tabletext1"/>
            </w:pPr>
            <w:r w:rsidRPr="009F47BB">
              <w:t>Hepatic vein systolic flow reversal</w:t>
            </w:r>
          </w:p>
        </w:tc>
        <w:tc>
          <w:tcPr>
            <w:tcW w:w="1842" w:type="dxa"/>
          </w:tcPr>
          <w:p w14:paraId="4B9A844A" w14:textId="77777777" w:rsidR="00384BD0" w:rsidRPr="009F47BB" w:rsidRDefault="00384BD0" w:rsidP="00E71F35">
            <w:pPr>
              <w:pStyle w:val="Tabletext1"/>
            </w:pPr>
            <w:r w:rsidRPr="009F47BB">
              <w:t>Dilated RV and RA</w:t>
            </w:r>
          </w:p>
          <w:p w14:paraId="01D1EC38" w14:textId="77777777" w:rsidR="00384BD0" w:rsidRPr="009F47BB" w:rsidRDefault="00384BD0" w:rsidP="00E71F35">
            <w:pPr>
              <w:pStyle w:val="Tabletext1"/>
            </w:pPr>
            <w:r w:rsidRPr="009F47BB">
              <w:t>Elevated RA with “c-V” wave</w:t>
            </w:r>
          </w:p>
        </w:tc>
        <w:tc>
          <w:tcPr>
            <w:tcW w:w="1701" w:type="dxa"/>
          </w:tcPr>
          <w:p w14:paraId="6D5FD1F2" w14:textId="77777777" w:rsidR="00384BD0" w:rsidRPr="009F47BB" w:rsidRDefault="00384BD0" w:rsidP="00E71F35">
            <w:pPr>
              <w:pStyle w:val="Tabletext1"/>
            </w:pPr>
            <w:r w:rsidRPr="009F47BB">
              <w:t>Elevated venous pressure</w:t>
            </w:r>
          </w:p>
          <w:p w14:paraId="10061433" w14:textId="77777777" w:rsidR="00384BD0" w:rsidRPr="009F47BB" w:rsidRDefault="00384BD0" w:rsidP="00E71F35">
            <w:pPr>
              <w:pStyle w:val="Tabletext1"/>
            </w:pPr>
            <w:r w:rsidRPr="009F47BB">
              <w:t>Dyspnoea on exertion, fatigue, ascites, oedema</w:t>
            </w:r>
          </w:p>
        </w:tc>
      </w:tr>
    </w:tbl>
    <w:p w14:paraId="759D11ED" w14:textId="71372E48" w:rsidR="00384BD0" w:rsidRDefault="00384BD0" w:rsidP="00384BD0">
      <w:pPr>
        <w:pStyle w:val="NoteHeading"/>
      </w:pPr>
      <w:r w:rsidRPr="001831C3">
        <w:t xml:space="preserve">Abbreviations: </w:t>
      </w:r>
      <w:r>
        <w:t>c-V wave, systolic positive wave; ERO, effective regurgitant orifice; RA, right atrial; RV, right ventricular; TR, tricuspid valve regurgitation</w:t>
      </w:r>
    </w:p>
    <w:p w14:paraId="25C5AF5B" w14:textId="77777777" w:rsidR="00384BD0" w:rsidRDefault="00384BD0" w:rsidP="00384BD0">
      <w:pPr>
        <w:pStyle w:val="NoteHeading"/>
      </w:pPr>
      <w:r>
        <w:t>Source: Otto (2021) pg. e132</w:t>
      </w:r>
    </w:p>
    <w:p w14:paraId="2BE4EC15" w14:textId="77777777" w:rsidR="00384BD0" w:rsidRPr="00250D50" w:rsidRDefault="00384BD0" w:rsidP="00C41C0E">
      <w:pPr>
        <w:pStyle w:val="BodyText"/>
        <w:rPr>
          <w:rStyle w:val="CommentReference"/>
        </w:rPr>
      </w:pPr>
    </w:p>
    <w:p w14:paraId="198A71C0" w14:textId="4786CB21" w:rsidR="00715A69" w:rsidRDefault="00384BD0" w:rsidP="008B0FEC">
      <w:pPr>
        <w:pStyle w:val="BodyText"/>
      </w:pPr>
      <w:r>
        <w:t>TR is traditionally graded by severity, from mild to severe based on the American Society of Echocardiography (ASE) guidelines (2017) (see</w:t>
      </w:r>
      <w:r w:rsidR="001D5B00">
        <w:t xml:space="preserve"> </w:t>
      </w:r>
      <w:r w:rsidR="001D5B00">
        <w:fldChar w:fldCharType="begin"/>
      </w:r>
      <w:r w:rsidR="001D5B00">
        <w:instrText xml:space="preserve"> REF _Ref203485695 \h </w:instrText>
      </w:r>
      <w:r w:rsidR="00A10159">
        <w:instrText xml:space="preserve"> \* MERGEFORMAT </w:instrText>
      </w:r>
      <w:r w:rsidR="001D5B00">
        <w:fldChar w:fldCharType="separate"/>
      </w:r>
      <w:r w:rsidR="001D5B00">
        <w:t xml:space="preserve">Table </w:t>
      </w:r>
      <w:r w:rsidR="001D5B00">
        <w:rPr>
          <w:noProof/>
        </w:rPr>
        <w:t>3</w:t>
      </w:r>
      <w:r w:rsidR="001D5B00">
        <w:fldChar w:fldCharType="end"/>
      </w:r>
      <w:r>
        <w:t xml:space="preserve">). However, an updated grading system has been proposed by Hahn (2017) which follows the 2017 ASE guidelines </w:t>
      </w:r>
      <w:r w:rsidR="00A74C26" w:rsidRPr="00A74C26">
        <w:t xml:space="preserve">for mild/moderate/severe cut-offs </w:t>
      </w:r>
      <w:r>
        <w:t xml:space="preserve">(Zoghbi 2017), </w:t>
      </w:r>
      <w:r w:rsidR="00A74C26" w:rsidRPr="00A74C26">
        <w:t xml:space="preserve">and further </w:t>
      </w:r>
      <w:r>
        <w:t xml:space="preserve">stratifies severe into three categories (severe, massive, and torrential) to encompass TR severity more accurately (Hahn 2017), see </w:t>
      </w:r>
      <w:r w:rsidR="001D5B00">
        <w:fldChar w:fldCharType="begin"/>
      </w:r>
      <w:r w:rsidR="001D5B00">
        <w:instrText xml:space="preserve"> REF _Ref203485695 \h </w:instrText>
      </w:r>
      <w:r w:rsidR="00A10159">
        <w:instrText xml:space="preserve"> \* MERGEFORMAT </w:instrText>
      </w:r>
      <w:r w:rsidR="001D5B00">
        <w:fldChar w:fldCharType="separate"/>
      </w:r>
      <w:r w:rsidR="001D5B00">
        <w:t xml:space="preserve">Table </w:t>
      </w:r>
      <w:r w:rsidR="001D5B00">
        <w:rPr>
          <w:noProof/>
        </w:rPr>
        <w:t>3</w:t>
      </w:r>
      <w:r w:rsidR="001D5B00">
        <w:fldChar w:fldCharType="end"/>
      </w:r>
      <w:r w:rsidR="001D5B00">
        <w:t xml:space="preserve">. </w:t>
      </w:r>
    </w:p>
    <w:p w14:paraId="42F5D557" w14:textId="04045659" w:rsidR="00F863A3" w:rsidRDefault="0039532D" w:rsidP="008B0FEC">
      <w:pPr>
        <w:pStyle w:val="BodyText"/>
      </w:pPr>
      <w:r>
        <w:t xml:space="preserve">Based on the National Echocardiography Database of Australia, </w:t>
      </w:r>
      <w:r w:rsidR="00384BD0">
        <w:t>21.4% of adults investigated for heart disease presented with mild TR, 5.9% presented with moderate TR, and 1.8% presented with severe TR (Offen 2022).</w:t>
      </w:r>
      <w:r w:rsidR="00F863A3">
        <w:t xml:space="preserve"> </w:t>
      </w:r>
      <w:r w:rsidR="005C5AF6">
        <w:t xml:space="preserve">A relationship exists </w:t>
      </w:r>
      <w:r w:rsidR="00757C98">
        <w:t>whereby</w:t>
      </w:r>
      <w:r w:rsidR="005C5AF6">
        <w:t xml:space="preserve"> increasing grades of TR are indepen</w:t>
      </w:r>
      <w:r w:rsidR="0029254A">
        <w:t xml:space="preserve">dently associated with increasing risk of </w:t>
      </w:r>
      <w:r w:rsidR="00757C98">
        <w:t>cardiovascular</w:t>
      </w:r>
      <w:r w:rsidR="0029254A">
        <w:t xml:space="preserve"> and all-cause </w:t>
      </w:r>
      <w:r w:rsidR="00757C98">
        <w:t>mortality</w:t>
      </w:r>
      <w:r w:rsidR="00F863A3">
        <w:t xml:space="preserve"> (Topilsky 2014; Offen 2022</w:t>
      </w:r>
      <w:r w:rsidR="00282705">
        <w:t>; Chorin 2020</w:t>
      </w:r>
      <w:r w:rsidR="00F863A3">
        <w:t>).</w:t>
      </w:r>
      <w:r w:rsidR="00C366B7">
        <w:t xml:space="preserve"> </w:t>
      </w:r>
      <w:r w:rsidR="00E24C4C">
        <w:t xml:space="preserve">One-year mortality in patients with </w:t>
      </w:r>
      <w:r w:rsidR="00B50E31">
        <w:t xml:space="preserve">severe (or worse) TR </w:t>
      </w:r>
      <w:r w:rsidR="003F17E3">
        <w:t>is</w:t>
      </w:r>
      <w:r w:rsidR="00363F3E">
        <w:t xml:space="preserve"> reported to be </w:t>
      </w:r>
      <w:r w:rsidR="006F36B4">
        <w:t>between 41.</w:t>
      </w:r>
      <w:r w:rsidR="00C41827">
        <w:t>7-51.6%</w:t>
      </w:r>
      <w:r w:rsidR="00A23938">
        <w:t>,</w:t>
      </w:r>
      <w:r w:rsidR="00C41827">
        <w:t xml:space="preserve"> while </w:t>
      </w:r>
      <w:r w:rsidR="00BA7C11">
        <w:t xml:space="preserve">long-term mortality rates are even higher </w:t>
      </w:r>
      <w:r w:rsidR="00A23938">
        <w:t>(Offen 2022; Chorin 2020).</w:t>
      </w:r>
      <w:r w:rsidR="000F1FEF">
        <w:t xml:space="preserve"> </w:t>
      </w:r>
      <w:r w:rsidR="00227416">
        <w:t xml:space="preserve">Additionally, </w:t>
      </w:r>
      <w:r w:rsidR="00900605">
        <w:t xml:space="preserve">increasing grades of TR are associated with increased heart-failure hospitalisations and </w:t>
      </w:r>
      <w:r w:rsidR="002A6E33">
        <w:t xml:space="preserve">reduced quality of life </w:t>
      </w:r>
      <w:r w:rsidR="006E0878">
        <w:t xml:space="preserve">(Chorin 2020; </w:t>
      </w:r>
      <w:r w:rsidR="00F70E8E">
        <w:t>Fujisawa 2022).</w:t>
      </w:r>
    </w:p>
    <w:p w14:paraId="64D8C41E" w14:textId="77777777" w:rsidR="00C366B7" w:rsidRDefault="00C366B7" w:rsidP="00715A69"/>
    <w:p w14:paraId="60267A2B" w14:textId="78DCDC94" w:rsidR="00384BD0" w:rsidRDefault="001D5B00" w:rsidP="001D5B00">
      <w:pPr>
        <w:pStyle w:val="Caption"/>
      </w:pPr>
      <w:bookmarkStart w:id="2" w:name="_Ref203485695"/>
      <w:r>
        <w:t xml:space="preserve">Table </w:t>
      </w:r>
      <w:r w:rsidR="00271544">
        <w:fldChar w:fldCharType="begin"/>
      </w:r>
      <w:r w:rsidR="00271544">
        <w:instrText xml:space="preserve"> SEQ Table \* ARABIC </w:instrText>
      </w:r>
      <w:r w:rsidR="00271544">
        <w:fldChar w:fldCharType="separate"/>
      </w:r>
      <w:r w:rsidR="00271544">
        <w:rPr>
          <w:noProof/>
        </w:rPr>
        <w:t>3</w:t>
      </w:r>
      <w:r w:rsidR="00271544">
        <w:rPr>
          <w:noProof/>
        </w:rPr>
        <w:fldChar w:fldCharType="end"/>
      </w:r>
      <w:bookmarkEnd w:id="2"/>
      <w:r w:rsidR="00384BD0">
        <w:tab/>
        <w:t>TR grades of severity</w:t>
      </w:r>
    </w:p>
    <w:tbl>
      <w:tblPr>
        <w:tblStyle w:val="TableGrid"/>
        <w:tblpPr w:leftFromText="180" w:rightFromText="180" w:vertAnchor="text" w:horzAnchor="margin" w:tblpY="-67"/>
        <w:tblW w:w="9255" w:type="dxa"/>
        <w:tblLook w:val="04A0" w:firstRow="1" w:lastRow="0" w:firstColumn="1" w:lastColumn="0" w:noHBand="0" w:noVBand="1"/>
      </w:tblPr>
      <w:tblGrid>
        <w:gridCol w:w="2078"/>
        <w:gridCol w:w="1369"/>
        <w:gridCol w:w="1413"/>
        <w:gridCol w:w="1412"/>
        <w:gridCol w:w="1413"/>
        <w:gridCol w:w="1570"/>
      </w:tblGrid>
      <w:tr w:rsidR="00384BD0" w:rsidRPr="00E71F35" w14:paraId="745DF13C" w14:textId="77777777">
        <w:trPr>
          <w:trHeight w:val="557"/>
          <w:tblHeader/>
        </w:trPr>
        <w:tc>
          <w:tcPr>
            <w:tcW w:w="2078" w:type="dxa"/>
            <w:shd w:val="clear" w:color="auto" w:fill="D9D9D9" w:themeFill="background1" w:themeFillShade="D9"/>
          </w:tcPr>
          <w:p w14:paraId="3F29B117" w14:textId="77777777" w:rsidR="00384BD0" w:rsidRPr="00E71F35" w:rsidRDefault="00384BD0" w:rsidP="00E71F35">
            <w:pPr>
              <w:pStyle w:val="Tabletext1"/>
              <w:rPr>
                <w:b/>
                <w:bCs/>
              </w:rPr>
            </w:pPr>
            <w:r w:rsidRPr="00E71F35">
              <w:rPr>
                <w:b/>
                <w:bCs/>
              </w:rPr>
              <w:t>Variable/Grade</w:t>
            </w:r>
          </w:p>
        </w:tc>
        <w:tc>
          <w:tcPr>
            <w:tcW w:w="1369" w:type="dxa"/>
            <w:shd w:val="clear" w:color="auto" w:fill="D9D9D9" w:themeFill="background1" w:themeFillShade="D9"/>
          </w:tcPr>
          <w:p w14:paraId="3D7BA7A8" w14:textId="77777777" w:rsidR="00384BD0" w:rsidRPr="00E71F35" w:rsidRDefault="00384BD0" w:rsidP="00E71F35">
            <w:pPr>
              <w:pStyle w:val="Tabletext1"/>
              <w:rPr>
                <w:b/>
                <w:bCs/>
              </w:rPr>
            </w:pPr>
            <w:r w:rsidRPr="00E71F35">
              <w:rPr>
                <w:b/>
                <w:bCs/>
              </w:rPr>
              <w:t>Mild</w:t>
            </w:r>
          </w:p>
        </w:tc>
        <w:tc>
          <w:tcPr>
            <w:tcW w:w="1413" w:type="dxa"/>
            <w:shd w:val="clear" w:color="auto" w:fill="D9D9D9" w:themeFill="background1" w:themeFillShade="D9"/>
          </w:tcPr>
          <w:p w14:paraId="4BDBABE0" w14:textId="77777777" w:rsidR="00384BD0" w:rsidRPr="00E71F35" w:rsidRDefault="00384BD0" w:rsidP="00E71F35">
            <w:pPr>
              <w:pStyle w:val="Tabletext1"/>
              <w:rPr>
                <w:b/>
                <w:bCs/>
              </w:rPr>
            </w:pPr>
            <w:r w:rsidRPr="00E71F35">
              <w:rPr>
                <w:b/>
                <w:bCs/>
              </w:rPr>
              <w:t>Moderate</w:t>
            </w:r>
          </w:p>
        </w:tc>
        <w:tc>
          <w:tcPr>
            <w:tcW w:w="1412" w:type="dxa"/>
            <w:shd w:val="clear" w:color="auto" w:fill="D9D9D9" w:themeFill="background1" w:themeFillShade="D9"/>
          </w:tcPr>
          <w:p w14:paraId="72712C94" w14:textId="77777777" w:rsidR="00C30695" w:rsidRDefault="00384BD0" w:rsidP="00E71F35">
            <w:pPr>
              <w:pStyle w:val="Tabletext1"/>
              <w:rPr>
                <w:b/>
                <w:bCs/>
              </w:rPr>
            </w:pPr>
            <w:r w:rsidRPr="00E71F35">
              <w:rPr>
                <w:b/>
                <w:bCs/>
              </w:rPr>
              <w:t xml:space="preserve">Severe </w:t>
            </w:r>
          </w:p>
          <w:p w14:paraId="455D9408" w14:textId="374F25FD" w:rsidR="00384BD0" w:rsidRPr="00E71F35" w:rsidRDefault="00384BD0" w:rsidP="00E71F35">
            <w:pPr>
              <w:pStyle w:val="Tabletext1"/>
              <w:rPr>
                <w:b/>
                <w:bCs/>
              </w:rPr>
            </w:pPr>
            <w:r w:rsidRPr="00E71F35">
              <w:rPr>
                <w:b/>
                <w:bCs/>
              </w:rPr>
              <w:t>(Severe 3)</w:t>
            </w:r>
          </w:p>
        </w:tc>
        <w:tc>
          <w:tcPr>
            <w:tcW w:w="1413" w:type="dxa"/>
            <w:shd w:val="clear" w:color="auto" w:fill="D9D9D9" w:themeFill="background1" w:themeFillShade="D9"/>
          </w:tcPr>
          <w:p w14:paraId="6BEDA19D" w14:textId="77777777" w:rsidR="00C30695" w:rsidRDefault="00384BD0" w:rsidP="00E71F35">
            <w:pPr>
              <w:pStyle w:val="Tabletext1"/>
              <w:rPr>
                <w:b/>
                <w:bCs/>
              </w:rPr>
            </w:pPr>
            <w:r w:rsidRPr="00E71F35">
              <w:rPr>
                <w:b/>
                <w:bCs/>
              </w:rPr>
              <w:t xml:space="preserve">Massive </w:t>
            </w:r>
          </w:p>
          <w:p w14:paraId="3204C0B6" w14:textId="7AC82984" w:rsidR="00384BD0" w:rsidRPr="00E71F35" w:rsidRDefault="00384BD0" w:rsidP="00E71F35">
            <w:pPr>
              <w:pStyle w:val="Tabletext1"/>
              <w:rPr>
                <w:b/>
                <w:bCs/>
              </w:rPr>
            </w:pPr>
            <w:r w:rsidRPr="00E71F35">
              <w:rPr>
                <w:b/>
                <w:bCs/>
              </w:rPr>
              <w:t>(Severe 4)</w:t>
            </w:r>
          </w:p>
        </w:tc>
        <w:tc>
          <w:tcPr>
            <w:tcW w:w="1570" w:type="dxa"/>
            <w:shd w:val="clear" w:color="auto" w:fill="D9D9D9" w:themeFill="background1" w:themeFillShade="D9"/>
          </w:tcPr>
          <w:p w14:paraId="2EC73611" w14:textId="77777777" w:rsidR="00C30695" w:rsidRDefault="00384BD0" w:rsidP="00E71F35">
            <w:pPr>
              <w:pStyle w:val="Tabletext1"/>
              <w:rPr>
                <w:b/>
                <w:bCs/>
              </w:rPr>
            </w:pPr>
            <w:r w:rsidRPr="00E71F35">
              <w:rPr>
                <w:b/>
                <w:bCs/>
              </w:rPr>
              <w:t xml:space="preserve">Torrential </w:t>
            </w:r>
          </w:p>
          <w:p w14:paraId="7B61DCBB" w14:textId="165DFD32" w:rsidR="00384BD0" w:rsidRPr="00E71F35" w:rsidRDefault="00384BD0" w:rsidP="00E71F35">
            <w:pPr>
              <w:pStyle w:val="Tabletext1"/>
              <w:rPr>
                <w:b/>
                <w:bCs/>
              </w:rPr>
            </w:pPr>
            <w:r w:rsidRPr="00E71F35">
              <w:rPr>
                <w:b/>
                <w:bCs/>
              </w:rPr>
              <w:t>(Severe 5)</w:t>
            </w:r>
          </w:p>
        </w:tc>
      </w:tr>
      <w:tr w:rsidR="00384BD0" w14:paraId="3CE32927" w14:textId="77777777">
        <w:trPr>
          <w:trHeight w:val="557"/>
        </w:trPr>
        <w:tc>
          <w:tcPr>
            <w:tcW w:w="2078" w:type="dxa"/>
          </w:tcPr>
          <w:p w14:paraId="52FC7C03" w14:textId="77777777" w:rsidR="00384BD0" w:rsidRPr="00E061F2" w:rsidRDefault="00384BD0" w:rsidP="00E71F35">
            <w:pPr>
              <w:pStyle w:val="Tabletext1"/>
              <w:rPr>
                <w:b/>
                <w:bCs/>
              </w:rPr>
            </w:pPr>
            <w:r w:rsidRPr="00E061F2">
              <w:rPr>
                <w:b/>
                <w:bCs/>
              </w:rPr>
              <w:t>Vena contracta (biplane, mm)</w:t>
            </w:r>
          </w:p>
        </w:tc>
        <w:tc>
          <w:tcPr>
            <w:tcW w:w="1369" w:type="dxa"/>
          </w:tcPr>
          <w:p w14:paraId="3B2E6A9D" w14:textId="77777777" w:rsidR="00384BD0" w:rsidRPr="00BA4A0D" w:rsidRDefault="00384BD0" w:rsidP="00E71F35">
            <w:pPr>
              <w:pStyle w:val="Tabletext1"/>
            </w:pPr>
            <w:r>
              <w:t>&lt;3</w:t>
            </w:r>
          </w:p>
        </w:tc>
        <w:tc>
          <w:tcPr>
            <w:tcW w:w="1413" w:type="dxa"/>
          </w:tcPr>
          <w:p w14:paraId="7EBCD59C" w14:textId="77777777" w:rsidR="00384BD0" w:rsidRPr="00BA4A0D" w:rsidRDefault="00384BD0" w:rsidP="00E71F35">
            <w:pPr>
              <w:pStyle w:val="Tabletext1"/>
            </w:pPr>
            <w:r>
              <w:t>3-6.9</w:t>
            </w:r>
          </w:p>
        </w:tc>
        <w:tc>
          <w:tcPr>
            <w:tcW w:w="1412" w:type="dxa"/>
          </w:tcPr>
          <w:p w14:paraId="2D5BB3F0" w14:textId="77777777" w:rsidR="00384BD0" w:rsidRPr="00BA4A0D" w:rsidRDefault="00384BD0" w:rsidP="00E71F35">
            <w:pPr>
              <w:pStyle w:val="Tabletext1"/>
            </w:pPr>
            <w:r>
              <w:t>7-13</w:t>
            </w:r>
          </w:p>
        </w:tc>
        <w:tc>
          <w:tcPr>
            <w:tcW w:w="1413" w:type="dxa"/>
          </w:tcPr>
          <w:p w14:paraId="3212D82D" w14:textId="77777777" w:rsidR="00384BD0" w:rsidRPr="00BA4A0D" w:rsidRDefault="00384BD0" w:rsidP="00E71F35">
            <w:pPr>
              <w:pStyle w:val="Tabletext1"/>
            </w:pPr>
            <w:r>
              <w:t>14-20</w:t>
            </w:r>
          </w:p>
        </w:tc>
        <w:tc>
          <w:tcPr>
            <w:tcW w:w="1570" w:type="dxa"/>
          </w:tcPr>
          <w:p w14:paraId="17FC15F5" w14:textId="77777777" w:rsidR="00384BD0" w:rsidRPr="00BA4A0D" w:rsidRDefault="00384BD0" w:rsidP="00E71F35">
            <w:pPr>
              <w:pStyle w:val="Tabletext1"/>
            </w:pPr>
            <w:r>
              <w:rPr>
                <w:rFonts w:cs="Arial"/>
              </w:rPr>
              <w:t>≥21</w:t>
            </w:r>
          </w:p>
        </w:tc>
      </w:tr>
      <w:tr w:rsidR="00384BD0" w14:paraId="7C7B688F" w14:textId="77777777">
        <w:trPr>
          <w:trHeight w:val="557"/>
        </w:trPr>
        <w:tc>
          <w:tcPr>
            <w:tcW w:w="2078" w:type="dxa"/>
          </w:tcPr>
          <w:p w14:paraId="71AE8C24" w14:textId="77777777" w:rsidR="00384BD0" w:rsidRPr="00E061F2" w:rsidRDefault="00384BD0" w:rsidP="00E71F35">
            <w:pPr>
              <w:pStyle w:val="Tabletext1"/>
              <w:rPr>
                <w:b/>
                <w:bCs/>
              </w:rPr>
            </w:pPr>
            <w:r w:rsidRPr="00E061F2">
              <w:rPr>
                <w:b/>
                <w:bCs/>
              </w:rPr>
              <w:t>EROA (mm</w:t>
            </w:r>
            <w:r w:rsidRPr="00E061F2">
              <w:rPr>
                <w:b/>
                <w:bCs/>
                <w:vertAlign w:val="superscript"/>
              </w:rPr>
              <w:t>2</w:t>
            </w:r>
            <w:r w:rsidRPr="00E061F2">
              <w:rPr>
                <w:b/>
                <w:bCs/>
              </w:rPr>
              <w:t>)</w:t>
            </w:r>
          </w:p>
        </w:tc>
        <w:tc>
          <w:tcPr>
            <w:tcW w:w="1369" w:type="dxa"/>
          </w:tcPr>
          <w:p w14:paraId="50432C26" w14:textId="77777777" w:rsidR="00384BD0" w:rsidRPr="00BA4A0D" w:rsidRDefault="00384BD0" w:rsidP="00E71F35">
            <w:pPr>
              <w:pStyle w:val="Tabletext1"/>
            </w:pPr>
            <w:r>
              <w:t>&lt;20</w:t>
            </w:r>
          </w:p>
        </w:tc>
        <w:tc>
          <w:tcPr>
            <w:tcW w:w="1413" w:type="dxa"/>
          </w:tcPr>
          <w:p w14:paraId="3C019D60" w14:textId="77777777" w:rsidR="00384BD0" w:rsidRPr="00BA4A0D" w:rsidRDefault="00384BD0" w:rsidP="00E71F35">
            <w:pPr>
              <w:pStyle w:val="Tabletext1"/>
            </w:pPr>
            <w:r>
              <w:t>20-39</w:t>
            </w:r>
          </w:p>
        </w:tc>
        <w:tc>
          <w:tcPr>
            <w:tcW w:w="1412" w:type="dxa"/>
          </w:tcPr>
          <w:p w14:paraId="24FF311C" w14:textId="77777777" w:rsidR="00384BD0" w:rsidRPr="00BA4A0D" w:rsidRDefault="00384BD0" w:rsidP="00E71F35">
            <w:pPr>
              <w:pStyle w:val="Tabletext1"/>
            </w:pPr>
            <w:r>
              <w:t>40-59</w:t>
            </w:r>
          </w:p>
        </w:tc>
        <w:tc>
          <w:tcPr>
            <w:tcW w:w="1413" w:type="dxa"/>
          </w:tcPr>
          <w:p w14:paraId="6D0BD2B7" w14:textId="77777777" w:rsidR="00384BD0" w:rsidRPr="00BA4A0D" w:rsidRDefault="00384BD0" w:rsidP="00E71F35">
            <w:pPr>
              <w:pStyle w:val="Tabletext1"/>
            </w:pPr>
            <w:r>
              <w:t>60-79</w:t>
            </w:r>
          </w:p>
        </w:tc>
        <w:tc>
          <w:tcPr>
            <w:tcW w:w="1570" w:type="dxa"/>
          </w:tcPr>
          <w:p w14:paraId="799FA49F" w14:textId="77777777" w:rsidR="00384BD0" w:rsidRPr="00BA4A0D" w:rsidRDefault="00384BD0" w:rsidP="00E71F35">
            <w:pPr>
              <w:pStyle w:val="Tabletext1"/>
            </w:pPr>
            <w:r>
              <w:rPr>
                <w:rFonts w:cs="Arial"/>
              </w:rPr>
              <w:t>≥80</w:t>
            </w:r>
          </w:p>
        </w:tc>
      </w:tr>
      <w:tr w:rsidR="00384BD0" w14:paraId="39E3C201" w14:textId="77777777">
        <w:trPr>
          <w:trHeight w:val="557"/>
        </w:trPr>
        <w:tc>
          <w:tcPr>
            <w:tcW w:w="2078" w:type="dxa"/>
          </w:tcPr>
          <w:p w14:paraId="25673F72" w14:textId="77777777" w:rsidR="00384BD0" w:rsidRPr="00E061F2" w:rsidRDefault="00384BD0" w:rsidP="00E71F35">
            <w:pPr>
              <w:pStyle w:val="Tabletext1"/>
              <w:rPr>
                <w:b/>
                <w:bCs/>
              </w:rPr>
            </w:pPr>
            <w:r w:rsidRPr="00E061F2">
              <w:rPr>
                <w:b/>
                <w:bCs/>
              </w:rPr>
              <w:t>3D VCA or quantitative EROA (mm</w:t>
            </w:r>
            <w:r w:rsidRPr="00E061F2">
              <w:rPr>
                <w:b/>
                <w:bCs/>
                <w:vertAlign w:val="superscript"/>
              </w:rPr>
              <w:t>2</w:t>
            </w:r>
            <w:r w:rsidRPr="00E061F2">
              <w:rPr>
                <w:b/>
                <w:bCs/>
              </w:rPr>
              <w:t>)</w:t>
            </w:r>
          </w:p>
        </w:tc>
        <w:tc>
          <w:tcPr>
            <w:tcW w:w="1369" w:type="dxa"/>
          </w:tcPr>
          <w:p w14:paraId="04F9B7E2" w14:textId="2C4CC847" w:rsidR="00384BD0" w:rsidRPr="00BA4A0D" w:rsidRDefault="00550CFC" w:rsidP="00E71F35">
            <w:pPr>
              <w:pStyle w:val="Tabletext1"/>
            </w:pPr>
            <w:r>
              <w:t>–</w:t>
            </w:r>
          </w:p>
        </w:tc>
        <w:tc>
          <w:tcPr>
            <w:tcW w:w="1413" w:type="dxa"/>
          </w:tcPr>
          <w:p w14:paraId="7B1006CE" w14:textId="046DADC6" w:rsidR="00384BD0" w:rsidRPr="00BA4A0D" w:rsidRDefault="00550CFC" w:rsidP="00E71F35">
            <w:pPr>
              <w:pStyle w:val="Tabletext1"/>
            </w:pPr>
            <w:r>
              <w:t>–</w:t>
            </w:r>
          </w:p>
        </w:tc>
        <w:tc>
          <w:tcPr>
            <w:tcW w:w="1412" w:type="dxa"/>
          </w:tcPr>
          <w:p w14:paraId="30E20566" w14:textId="77777777" w:rsidR="00384BD0" w:rsidRPr="00BA4A0D" w:rsidRDefault="00384BD0" w:rsidP="00E71F35">
            <w:pPr>
              <w:pStyle w:val="Tabletext1"/>
            </w:pPr>
            <w:r>
              <w:t>75-94</w:t>
            </w:r>
          </w:p>
        </w:tc>
        <w:tc>
          <w:tcPr>
            <w:tcW w:w="1413" w:type="dxa"/>
          </w:tcPr>
          <w:p w14:paraId="69F5D792" w14:textId="77777777" w:rsidR="00384BD0" w:rsidRDefault="00384BD0" w:rsidP="00E71F35">
            <w:pPr>
              <w:pStyle w:val="Tabletext1"/>
            </w:pPr>
            <w:r>
              <w:t>95-114</w:t>
            </w:r>
          </w:p>
        </w:tc>
        <w:tc>
          <w:tcPr>
            <w:tcW w:w="1570" w:type="dxa"/>
          </w:tcPr>
          <w:p w14:paraId="175BDAC0" w14:textId="77777777" w:rsidR="00384BD0" w:rsidRDefault="00384BD0" w:rsidP="00E71F35">
            <w:pPr>
              <w:pStyle w:val="Tabletext1"/>
            </w:pPr>
            <w:r>
              <w:rPr>
                <w:rFonts w:cs="Arial"/>
              </w:rPr>
              <w:t>≥115</w:t>
            </w:r>
          </w:p>
        </w:tc>
      </w:tr>
    </w:tbl>
    <w:p w14:paraId="71967A6D" w14:textId="77777777" w:rsidR="00384BD0" w:rsidRDefault="00384BD0" w:rsidP="00384BD0">
      <w:pPr>
        <w:pStyle w:val="NoteHeading"/>
      </w:pPr>
      <w:r w:rsidRPr="001831C3">
        <w:t>Abbreviations: EROA, effective regurgitant orifice area; VCA, vena contracta area</w:t>
      </w:r>
    </w:p>
    <w:p w14:paraId="34E38E2D" w14:textId="77777777" w:rsidR="00384BD0" w:rsidRPr="0015545A" w:rsidRDefault="00384BD0" w:rsidP="00384BD0">
      <w:pPr>
        <w:pStyle w:val="NoteHeading"/>
      </w:pPr>
      <w:r>
        <w:t>Source: Hahn (2017) Table 1 pg. 1342</w:t>
      </w:r>
    </w:p>
    <w:p w14:paraId="7F69A47E" w14:textId="77777777" w:rsidR="00384BD0" w:rsidRDefault="00384BD0" w:rsidP="00384BD0"/>
    <w:p w14:paraId="36BE581C" w14:textId="05236349" w:rsidR="00E71F35" w:rsidRDefault="00E71F35" w:rsidP="008B0FEC">
      <w:pPr>
        <w:pStyle w:val="BodyText"/>
      </w:pPr>
      <w:r w:rsidRPr="008B0FEC">
        <w:rPr>
          <w:b/>
          <w:bCs/>
          <w:i/>
          <w:iCs/>
        </w:rPr>
        <w:t>Management</w:t>
      </w:r>
      <w:r w:rsidR="000D419E">
        <w:rPr>
          <w:b/>
          <w:bCs/>
          <w:i/>
          <w:iCs/>
        </w:rPr>
        <w:br/>
      </w:r>
      <w:r>
        <w:t xml:space="preserve">There are currently no Australian guidelines regarding the management of TR, however the AHA guidelines for the management of patients with valvular disease (Otto 2021) and the European Society of Cardiology (ESC) guidelines for the management of valvular heart disease (Vahanian 2022) exist. Recommendations for TR from AHA and ESC guidelines are provided according to severity and presentation of the disease, see </w:t>
      </w:r>
      <w:r w:rsidR="00D50EDB">
        <w:fldChar w:fldCharType="begin"/>
      </w:r>
      <w:r w:rsidR="00D50EDB">
        <w:instrText xml:space="preserve"> REF _Ref203488180 \h </w:instrText>
      </w:r>
      <w:r w:rsidR="00C41C0E">
        <w:instrText xml:space="preserve"> \* MERGEFORMAT </w:instrText>
      </w:r>
      <w:r w:rsidR="00D50EDB">
        <w:fldChar w:fldCharType="separate"/>
      </w:r>
      <w:r w:rsidR="00D50EDB">
        <w:t xml:space="preserve">Table </w:t>
      </w:r>
      <w:r w:rsidR="00D50EDB">
        <w:rPr>
          <w:noProof/>
        </w:rPr>
        <w:t>4</w:t>
      </w:r>
      <w:r w:rsidR="00D50EDB">
        <w:fldChar w:fldCharType="end"/>
      </w:r>
      <w:r w:rsidR="00D50EDB">
        <w:t>.</w:t>
      </w:r>
      <w:r>
        <w:rPr>
          <w:highlight w:val="yellow"/>
        </w:rPr>
        <w:fldChar w:fldCharType="begin"/>
      </w:r>
      <w:r>
        <w:instrText xml:space="preserve"> REF _Ref139464577 \h </w:instrText>
      </w:r>
      <w:r>
        <w:rPr>
          <w:highlight w:val="yellow"/>
        </w:rPr>
        <w:instrText xml:space="preserve"> \* MERGEFORMAT </w:instrText>
      </w:r>
      <w:r>
        <w:rPr>
          <w:highlight w:val="yellow"/>
        </w:rPr>
      </w:r>
      <w:r>
        <w:rPr>
          <w:highlight w:val="yellow"/>
        </w:rPr>
        <w:fldChar w:fldCharType="separate"/>
      </w:r>
      <w:r>
        <w:rPr>
          <w:highlight w:val="yellow"/>
        </w:rPr>
        <w:fldChar w:fldCharType="end"/>
      </w:r>
    </w:p>
    <w:p w14:paraId="2DDD23D6" w14:textId="3699E548" w:rsidR="00AF04B5" w:rsidRDefault="00E71F35" w:rsidP="008B0FEC">
      <w:pPr>
        <w:pStyle w:val="BodyText"/>
      </w:pPr>
      <w:r>
        <w:t xml:space="preserve">The AHA guidelines state surgery can be beneficial in </w:t>
      </w:r>
      <w:r w:rsidR="001840C0">
        <w:t xml:space="preserve">patients with severe TR, including </w:t>
      </w:r>
      <w:r>
        <w:t>those with severe isolated TR attributable to annular dilation, in the absence of pulmonary hypertension/left-sided disease (Otto 2021). Similarly, the ESC guidelines recommend s</w:t>
      </w:r>
      <w:r w:rsidRPr="00C34697">
        <w:t>urgery be considered in patients with severe</w:t>
      </w:r>
      <w:r w:rsidR="00DF3C20">
        <w:t>,</w:t>
      </w:r>
      <w:r w:rsidRPr="00C34697">
        <w:t xml:space="preserve"> secondary TR</w:t>
      </w:r>
      <w:r>
        <w:t xml:space="preserve"> </w:t>
      </w:r>
      <w:r w:rsidRPr="00C34697">
        <w:t>who are symptomatic or have RV dilation in the absence of severe RV/LV dysfunction and severe pulmonary vascular disease/hypertension</w:t>
      </w:r>
      <w:r>
        <w:t xml:space="preserve"> (e</w:t>
      </w:r>
      <w:r w:rsidR="00030FA2">
        <w:t>.</w:t>
      </w:r>
      <w:r>
        <w:t>g</w:t>
      </w:r>
      <w:r w:rsidR="00030FA2">
        <w:t>.</w:t>
      </w:r>
      <w:r>
        <w:t>, isolated TR) (Vahanian 2022).</w:t>
      </w:r>
    </w:p>
    <w:p w14:paraId="1A532E86" w14:textId="5254B7BA" w:rsidR="00715A69" w:rsidRDefault="00AF04B5" w:rsidP="008B0FEC">
      <w:pPr>
        <w:pStyle w:val="BodyText"/>
      </w:pPr>
      <w:r>
        <w:t xml:space="preserve">However, </w:t>
      </w:r>
      <w:r w:rsidR="00786525">
        <w:t xml:space="preserve">only a small proportion of </w:t>
      </w:r>
      <w:r w:rsidR="002B1883">
        <w:t>patient</w:t>
      </w:r>
      <w:r w:rsidR="00DD277F">
        <w:t xml:space="preserve">s with TR </w:t>
      </w:r>
      <w:r w:rsidR="00A85932">
        <w:t>are offered sur</w:t>
      </w:r>
      <w:r w:rsidR="00DD277F">
        <w:t xml:space="preserve">gical intervention due to high operative risk related to multiple comorbidities and </w:t>
      </w:r>
      <w:r w:rsidR="00513015">
        <w:t xml:space="preserve">late </w:t>
      </w:r>
      <w:r w:rsidR="0061450E">
        <w:t xml:space="preserve">disease presentation or </w:t>
      </w:r>
      <w:r w:rsidR="001533C7">
        <w:t xml:space="preserve">referral for intervention (Latib 2018). </w:t>
      </w:r>
      <w:r w:rsidR="000933E8">
        <w:t>T</w:t>
      </w:r>
      <w:r w:rsidR="00A558EF">
        <w:t>ricuspid valve</w:t>
      </w:r>
      <w:r w:rsidR="000933E8">
        <w:t xml:space="preserve"> surgery</w:t>
      </w:r>
      <w:r w:rsidR="00503C4C">
        <w:t>, also known as surgical tricuspid valve replacement,</w:t>
      </w:r>
      <w:r w:rsidR="000933E8">
        <w:t xml:space="preserve"> </w:t>
      </w:r>
      <w:r w:rsidR="00C64324">
        <w:t>is associated with high mortali</w:t>
      </w:r>
      <w:r w:rsidR="00A438F3">
        <w:t>ty risk</w:t>
      </w:r>
      <w:r w:rsidR="00A84279">
        <w:t xml:space="preserve"> of </w:t>
      </w:r>
      <w:r w:rsidR="00883E01">
        <w:t>approximately 12% in patients</w:t>
      </w:r>
      <w:r w:rsidR="00F16BBF">
        <w:t xml:space="preserve"> with TR (</w:t>
      </w:r>
      <w:r w:rsidR="00DF0696">
        <w:t xml:space="preserve">Scotti </w:t>
      </w:r>
      <w:r w:rsidR="00F03C75">
        <w:t xml:space="preserve">2022); with mortality rates rising </w:t>
      </w:r>
      <w:r w:rsidR="00C05E82">
        <w:t>in patients with additional</w:t>
      </w:r>
      <w:r w:rsidR="00E17090">
        <w:t xml:space="preserve"> </w:t>
      </w:r>
      <w:r w:rsidR="00F12D2B">
        <w:t>risk factors and comorbidities (</w:t>
      </w:r>
      <w:r w:rsidR="00A903CB">
        <w:t>Fender 201</w:t>
      </w:r>
      <w:r w:rsidR="00A77BDE">
        <w:t>8</w:t>
      </w:r>
      <w:r w:rsidR="00A903CB">
        <w:t>).</w:t>
      </w:r>
    </w:p>
    <w:p w14:paraId="24707EB2" w14:textId="1C777548" w:rsidR="00715A69" w:rsidRDefault="00E71F35" w:rsidP="008B0FEC">
      <w:pPr>
        <w:pStyle w:val="BodyText"/>
      </w:pPr>
      <w:r>
        <w:t xml:space="preserve">For those patients </w:t>
      </w:r>
      <w:r w:rsidR="00E1575F">
        <w:t xml:space="preserve">with severe, symptomatic secondary TR </w:t>
      </w:r>
      <w:r>
        <w:t>who are deemed inoperable or at high risk of surgery</w:t>
      </w:r>
      <w:r w:rsidR="00AC4561">
        <w:t xml:space="preserve">, </w:t>
      </w:r>
      <w:r>
        <w:t>evaluation of transcatheter therapy</w:t>
      </w:r>
      <w:r w:rsidR="001B3A3D">
        <w:t>, including TEER,</w:t>
      </w:r>
      <w:r>
        <w:t xml:space="preserve"> is recommended (Vahanian 2022). As per the AHA/ACC 2020 guidelines d</w:t>
      </w:r>
      <w:r w:rsidRPr="001F42E2">
        <w:t>iuretics may be used in patients with signs/symptoms of right-sided HF attributable to severe TR (Stages C and D)</w:t>
      </w:r>
      <w:r>
        <w:t xml:space="preserve"> (Vahanian 2022)</w:t>
      </w:r>
      <w:r w:rsidRPr="001F42E2">
        <w:t>.</w:t>
      </w:r>
      <w:r>
        <w:t xml:space="preserve"> Additionally, </w:t>
      </w:r>
      <w:r w:rsidRPr="000E2F08">
        <w:t>therapies to treat the primary cause of HF (e</w:t>
      </w:r>
      <w:r w:rsidR="000465F3">
        <w:t>.</w:t>
      </w:r>
      <w:r w:rsidRPr="000E2F08">
        <w:t>g</w:t>
      </w:r>
      <w:r w:rsidR="000465F3">
        <w:t>.</w:t>
      </w:r>
      <w:r w:rsidRPr="000E2F08">
        <w:t xml:space="preserve">, pulmonary vasodilators to reduce elevated pulmonary artery pressures, </w:t>
      </w:r>
      <w:r w:rsidR="008E6A6C">
        <w:t xml:space="preserve">guideline directed </w:t>
      </w:r>
      <w:r w:rsidR="00F955CD" w:rsidRPr="00F955CD">
        <w:t>management and</w:t>
      </w:r>
      <w:r w:rsidR="008E6A6C">
        <w:t xml:space="preserve"> therapy </w:t>
      </w:r>
      <w:r w:rsidR="00FD49B5">
        <w:t>[</w:t>
      </w:r>
      <w:r w:rsidRPr="000E2F08">
        <w:t>GDMT</w:t>
      </w:r>
      <w:r w:rsidR="00FD49B5">
        <w:t>]</w:t>
      </w:r>
      <w:r w:rsidRPr="000E2F08">
        <w:t xml:space="preserve"> for </w:t>
      </w:r>
      <w:r>
        <w:t>heart failure</w:t>
      </w:r>
      <w:r w:rsidRPr="000E2F08">
        <w:t xml:space="preserve"> with reduced LVEF</w:t>
      </w:r>
      <w:r>
        <w:t>,</w:t>
      </w:r>
      <w:r w:rsidRPr="000E2F08">
        <w:t xml:space="preserve"> or rhythm control of AF) can be useful</w:t>
      </w:r>
      <w:r>
        <w:t xml:space="preserve"> in these patients.</w:t>
      </w:r>
    </w:p>
    <w:p w14:paraId="1D694D27" w14:textId="05B0B045" w:rsidR="00E71F35" w:rsidRDefault="008B7B4A" w:rsidP="008B0FEC">
      <w:pPr>
        <w:pStyle w:val="BodyText"/>
      </w:pPr>
      <w:r>
        <w:t>In Australia, transcatheter therapy</w:t>
      </w:r>
      <w:r w:rsidR="00FD49B5">
        <w:t>,</w:t>
      </w:r>
      <w:r>
        <w:t xml:space="preserve"> including </w:t>
      </w:r>
      <w:r w:rsidR="008402CC">
        <w:t>TEER</w:t>
      </w:r>
      <w:r w:rsidR="00003620">
        <w:t xml:space="preserve"> (proposed intervention) and </w:t>
      </w:r>
      <w:r>
        <w:t xml:space="preserve">transcatheter </w:t>
      </w:r>
      <w:r w:rsidR="000749BD" w:rsidRPr="000749BD">
        <w:t xml:space="preserve">tricuspid valve </w:t>
      </w:r>
      <w:r w:rsidR="00146E2B">
        <w:t xml:space="preserve">(TTV) </w:t>
      </w:r>
      <w:r w:rsidR="000749BD" w:rsidRPr="000749BD">
        <w:t>replacement</w:t>
      </w:r>
      <w:r w:rsidR="00FD49B5">
        <w:t>,</w:t>
      </w:r>
      <w:r w:rsidR="00410CE0">
        <w:t xml:space="preserve"> is not reimbursed for patients via the MBS. </w:t>
      </w:r>
      <w:r w:rsidR="00F91D90">
        <w:t xml:space="preserve">To this end, the mainstay management </w:t>
      </w:r>
      <w:r w:rsidR="009E7E18">
        <w:t xml:space="preserve">of patients with severe TR </w:t>
      </w:r>
      <w:r w:rsidR="00310611">
        <w:t>at high</w:t>
      </w:r>
      <w:r w:rsidR="00310611" w:rsidRPr="00310611">
        <w:t xml:space="preserve"> estimated risk for mortality or morbidity with tricuspid valve surgery </w:t>
      </w:r>
      <w:r w:rsidR="009E7E18">
        <w:t xml:space="preserve">consists of OMT. </w:t>
      </w:r>
    </w:p>
    <w:p w14:paraId="6BC18E88" w14:textId="39EAD06F" w:rsidR="00E71F35" w:rsidRDefault="00D50EDB" w:rsidP="00D50EDB">
      <w:pPr>
        <w:pStyle w:val="Caption"/>
      </w:pPr>
      <w:bookmarkStart w:id="3" w:name="_Ref203488180"/>
      <w:bookmarkStart w:id="4" w:name="_Toc142054857"/>
      <w:r>
        <w:t xml:space="preserve">Table </w:t>
      </w:r>
      <w:r w:rsidR="00271544">
        <w:fldChar w:fldCharType="begin"/>
      </w:r>
      <w:r w:rsidR="00271544">
        <w:instrText xml:space="preserve"> SEQ Table \* ARABIC </w:instrText>
      </w:r>
      <w:r w:rsidR="00271544">
        <w:fldChar w:fldCharType="separate"/>
      </w:r>
      <w:r w:rsidR="00271544">
        <w:rPr>
          <w:noProof/>
        </w:rPr>
        <w:t>4</w:t>
      </w:r>
      <w:r w:rsidR="00271544">
        <w:rPr>
          <w:noProof/>
        </w:rPr>
        <w:fldChar w:fldCharType="end"/>
      </w:r>
      <w:bookmarkEnd w:id="3"/>
      <w:r w:rsidR="00E71F35">
        <w:tab/>
        <w:t>Summarised r</w:t>
      </w:r>
      <w:r w:rsidR="00E71F35" w:rsidRPr="00F35131">
        <w:t xml:space="preserve">ecommendations for management of </w:t>
      </w:r>
      <w:r w:rsidR="00E71F35">
        <w:t xml:space="preserve">functional </w:t>
      </w:r>
      <w:r w:rsidR="00E71F35" w:rsidRPr="00F35131">
        <w:t>TR</w:t>
      </w:r>
      <w:r w:rsidR="00E71F35">
        <w:t xml:space="preserve"> relevant to the proposed population</w:t>
      </w:r>
      <w:bookmarkEnd w:id="4"/>
    </w:p>
    <w:tbl>
      <w:tblPr>
        <w:tblStyle w:val="TableGrid"/>
        <w:tblpPr w:leftFromText="180" w:rightFromText="180" w:vertAnchor="text" w:horzAnchor="margin" w:tblpY="-19"/>
        <w:tblW w:w="9209" w:type="dxa"/>
        <w:tblLook w:val="04A0" w:firstRow="1" w:lastRow="0" w:firstColumn="1" w:lastColumn="0" w:noHBand="0" w:noVBand="1"/>
      </w:tblPr>
      <w:tblGrid>
        <w:gridCol w:w="1195"/>
        <w:gridCol w:w="1134"/>
        <w:gridCol w:w="567"/>
        <w:gridCol w:w="236"/>
        <w:gridCol w:w="6077"/>
      </w:tblGrid>
      <w:tr w:rsidR="00E71F35" w:rsidRPr="00834D54" w14:paraId="1C4EBCC4" w14:textId="77777777">
        <w:tc>
          <w:tcPr>
            <w:tcW w:w="2896" w:type="dxa"/>
            <w:gridSpan w:val="3"/>
            <w:tcBorders>
              <w:right w:val="nil"/>
            </w:tcBorders>
            <w:shd w:val="clear" w:color="auto" w:fill="D9D9D9" w:themeFill="background1" w:themeFillShade="D9"/>
          </w:tcPr>
          <w:p w14:paraId="7B85EE8A" w14:textId="77777777" w:rsidR="00E71F35" w:rsidRPr="00124FC7" w:rsidRDefault="00E71F35" w:rsidP="00D62343">
            <w:pPr>
              <w:pStyle w:val="Tabletext1"/>
              <w:rPr>
                <w:b/>
                <w:sz w:val="22"/>
              </w:rPr>
            </w:pPr>
            <w:r w:rsidRPr="00124FC7">
              <w:rPr>
                <w:b/>
                <w:sz w:val="22"/>
              </w:rPr>
              <w:t>AHA 2020 (Otto 2021)</w:t>
            </w:r>
          </w:p>
        </w:tc>
        <w:tc>
          <w:tcPr>
            <w:tcW w:w="236" w:type="dxa"/>
            <w:tcBorders>
              <w:left w:val="nil"/>
              <w:right w:val="nil"/>
            </w:tcBorders>
            <w:shd w:val="clear" w:color="auto" w:fill="D9D9D9" w:themeFill="background1" w:themeFillShade="D9"/>
          </w:tcPr>
          <w:p w14:paraId="5C1D1D24" w14:textId="77777777" w:rsidR="00E71F35" w:rsidRPr="00834D54" w:rsidRDefault="00E71F35" w:rsidP="00D62343">
            <w:pPr>
              <w:pStyle w:val="Tabletext1"/>
            </w:pPr>
          </w:p>
        </w:tc>
        <w:tc>
          <w:tcPr>
            <w:tcW w:w="6077" w:type="dxa"/>
            <w:tcBorders>
              <w:left w:val="nil"/>
            </w:tcBorders>
            <w:shd w:val="clear" w:color="auto" w:fill="D9D9D9" w:themeFill="background1" w:themeFillShade="D9"/>
          </w:tcPr>
          <w:p w14:paraId="63F3D567" w14:textId="77777777" w:rsidR="00E71F35" w:rsidRPr="00834D54" w:rsidRDefault="00E71F35" w:rsidP="00D62343">
            <w:pPr>
              <w:pStyle w:val="Tabletext1"/>
            </w:pPr>
          </w:p>
        </w:tc>
      </w:tr>
      <w:tr w:rsidR="00E71F35" w:rsidRPr="00834D54" w14:paraId="617DA8B9" w14:textId="77777777">
        <w:tc>
          <w:tcPr>
            <w:tcW w:w="1195" w:type="dxa"/>
            <w:shd w:val="clear" w:color="auto" w:fill="D9D9D9" w:themeFill="background1" w:themeFillShade="D9"/>
          </w:tcPr>
          <w:p w14:paraId="13AC77B5" w14:textId="77777777" w:rsidR="00E71F35" w:rsidRPr="00E061F2" w:rsidRDefault="00E71F35" w:rsidP="00D62343">
            <w:pPr>
              <w:pStyle w:val="Tabletext1"/>
              <w:rPr>
                <w:b/>
                <w:bCs/>
              </w:rPr>
            </w:pPr>
            <w:r w:rsidRPr="00E061F2">
              <w:rPr>
                <w:b/>
                <w:bCs/>
              </w:rPr>
              <w:t>COR</w:t>
            </w:r>
          </w:p>
        </w:tc>
        <w:tc>
          <w:tcPr>
            <w:tcW w:w="1134" w:type="dxa"/>
            <w:shd w:val="clear" w:color="auto" w:fill="D9D9D9" w:themeFill="background1" w:themeFillShade="D9"/>
          </w:tcPr>
          <w:p w14:paraId="5A791FB0" w14:textId="77777777" w:rsidR="00E71F35" w:rsidRPr="00E061F2" w:rsidRDefault="00E71F35" w:rsidP="00D62343">
            <w:pPr>
              <w:pStyle w:val="Tabletext1"/>
              <w:rPr>
                <w:b/>
                <w:bCs/>
              </w:rPr>
            </w:pPr>
            <w:r w:rsidRPr="00E061F2">
              <w:rPr>
                <w:b/>
                <w:bCs/>
              </w:rPr>
              <w:t>LOE</w:t>
            </w:r>
          </w:p>
        </w:tc>
        <w:tc>
          <w:tcPr>
            <w:tcW w:w="6880" w:type="dxa"/>
            <w:gridSpan w:val="3"/>
            <w:shd w:val="clear" w:color="auto" w:fill="D9D9D9" w:themeFill="background1" w:themeFillShade="D9"/>
          </w:tcPr>
          <w:p w14:paraId="73C180F8" w14:textId="77777777" w:rsidR="00E71F35" w:rsidRPr="00E061F2" w:rsidRDefault="00E71F35" w:rsidP="00D62343">
            <w:pPr>
              <w:pStyle w:val="Tabletext1"/>
              <w:rPr>
                <w:b/>
                <w:bCs/>
              </w:rPr>
            </w:pPr>
            <w:r w:rsidRPr="00E061F2">
              <w:rPr>
                <w:b/>
                <w:bCs/>
              </w:rPr>
              <w:t>Recommendation</w:t>
            </w:r>
          </w:p>
        </w:tc>
      </w:tr>
      <w:tr w:rsidR="00E71F35" w:rsidRPr="00834D54" w14:paraId="272C6E96" w14:textId="77777777">
        <w:tc>
          <w:tcPr>
            <w:tcW w:w="9209" w:type="dxa"/>
            <w:gridSpan w:val="5"/>
            <w:tcBorders>
              <w:bottom w:val="single" w:sz="4" w:space="0" w:color="auto"/>
            </w:tcBorders>
          </w:tcPr>
          <w:p w14:paraId="2CBE9A26" w14:textId="77777777" w:rsidR="00E71F35" w:rsidRPr="008031B3" w:rsidRDefault="00E71F35" w:rsidP="00D62343">
            <w:pPr>
              <w:pStyle w:val="Tabletext1"/>
              <w:rPr>
                <w:i/>
                <w:iCs/>
              </w:rPr>
            </w:pPr>
            <w:r w:rsidRPr="008031B3">
              <w:rPr>
                <w:i/>
                <w:iCs/>
              </w:rPr>
              <w:t xml:space="preserve">Recommendations for </w:t>
            </w:r>
            <w:r>
              <w:rPr>
                <w:i/>
                <w:iCs/>
              </w:rPr>
              <w:t>m</w:t>
            </w:r>
            <w:r w:rsidRPr="008031B3">
              <w:rPr>
                <w:i/>
                <w:iCs/>
              </w:rPr>
              <w:t xml:space="preserve">edical </w:t>
            </w:r>
            <w:r>
              <w:rPr>
                <w:i/>
                <w:iCs/>
              </w:rPr>
              <w:t>t</w:t>
            </w:r>
            <w:r w:rsidRPr="008031B3">
              <w:rPr>
                <w:i/>
                <w:iCs/>
              </w:rPr>
              <w:t>herapy of TR</w:t>
            </w:r>
          </w:p>
        </w:tc>
      </w:tr>
      <w:tr w:rsidR="00E71F35" w:rsidRPr="00834D54" w14:paraId="4D0B2C3C" w14:textId="77777777">
        <w:tc>
          <w:tcPr>
            <w:tcW w:w="1195" w:type="dxa"/>
            <w:tcBorders>
              <w:bottom w:val="single" w:sz="4" w:space="0" w:color="auto"/>
            </w:tcBorders>
          </w:tcPr>
          <w:p w14:paraId="6E9B2E9B" w14:textId="77777777" w:rsidR="00E71F35" w:rsidRPr="00834D54" w:rsidRDefault="00E71F35" w:rsidP="00D62343">
            <w:pPr>
              <w:pStyle w:val="Tabletext1"/>
            </w:pPr>
            <w:r>
              <w:t>2a</w:t>
            </w:r>
          </w:p>
        </w:tc>
        <w:tc>
          <w:tcPr>
            <w:tcW w:w="1134" w:type="dxa"/>
            <w:tcBorders>
              <w:bottom w:val="single" w:sz="4" w:space="0" w:color="auto"/>
            </w:tcBorders>
          </w:tcPr>
          <w:p w14:paraId="5257E067" w14:textId="77777777" w:rsidR="00E71F35" w:rsidRPr="00834D54" w:rsidRDefault="00E71F35" w:rsidP="00D62343">
            <w:pPr>
              <w:pStyle w:val="Tabletext1"/>
            </w:pPr>
            <w:r>
              <w:t>C-EO</w:t>
            </w:r>
          </w:p>
        </w:tc>
        <w:tc>
          <w:tcPr>
            <w:tcW w:w="6880" w:type="dxa"/>
            <w:gridSpan w:val="3"/>
            <w:tcBorders>
              <w:bottom w:val="single" w:sz="4" w:space="0" w:color="auto"/>
            </w:tcBorders>
          </w:tcPr>
          <w:p w14:paraId="10489F12" w14:textId="77777777" w:rsidR="00E71F35" w:rsidRPr="00834D54" w:rsidRDefault="00E71F35" w:rsidP="00D62343">
            <w:pPr>
              <w:pStyle w:val="Tabletext1"/>
            </w:pPr>
            <w:r>
              <w:t>Diuretics may be used in patients with signs/symptoms of right-sided HF attributable to severe TR (Stages C and D).</w:t>
            </w:r>
          </w:p>
        </w:tc>
      </w:tr>
      <w:tr w:rsidR="00E71F35" w:rsidRPr="00834D54" w14:paraId="237593D5" w14:textId="77777777">
        <w:tc>
          <w:tcPr>
            <w:tcW w:w="1195" w:type="dxa"/>
            <w:tcBorders>
              <w:bottom w:val="single" w:sz="4" w:space="0" w:color="auto"/>
            </w:tcBorders>
          </w:tcPr>
          <w:p w14:paraId="40ACEA90" w14:textId="77777777" w:rsidR="00E71F35" w:rsidRPr="00834D54" w:rsidRDefault="00E71F35" w:rsidP="00D62343">
            <w:pPr>
              <w:pStyle w:val="Tabletext1"/>
            </w:pPr>
            <w:r>
              <w:t>2a</w:t>
            </w:r>
          </w:p>
        </w:tc>
        <w:tc>
          <w:tcPr>
            <w:tcW w:w="1134" w:type="dxa"/>
            <w:tcBorders>
              <w:bottom w:val="single" w:sz="4" w:space="0" w:color="auto"/>
            </w:tcBorders>
          </w:tcPr>
          <w:p w14:paraId="44AF7E50" w14:textId="77777777" w:rsidR="00E71F35" w:rsidRPr="00834D54" w:rsidRDefault="00E71F35" w:rsidP="00D62343">
            <w:pPr>
              <w:pStyle w:val="Tabletext1"/>
            </w:pPr>
            <w:r>
              <w:t>C-EO</w:t>
            </w:r>
          </w:p>
        </w:tc>
        <w:tc>
          <w:tcPr>
            <w:tcW w:w="6880" w:type="dxa"/>
            <w:gridSpan w:val="3"/>
            <w:tcBorders>
              <w:bottom w:val="single" w:sz="4" w:space="0" w:color="auto"/>
            </w:tcBorders>
          </w:tcPr>
          <w:p w14:paraId="1B8DA166" w14:textId="267705D4" w:rsidR="00E71F35" w:rsidRPr="00834D54" w:rsidRDefault="00E71F35" w:rsidP="00D62343">
            <w:pPr>
              <w:pStyle w:val="Tabletext1"/>
            </w:pPr>
            <w:r>
              <w:t>In patients with signs and symptoms of right-sided HF attributable to severe secondary TR (Stages C and D), therapies to treat the primary cause of HF (e</w:t>
            </w:r>
            <w:r w:rsidR="0090662D">
              <w:t>.</w:t>
            </w:r>
            <w:r>
              <w:t>g</w:t>
            </w:r>
            <w:r w:rsidR="0090662D">
              <w:t>.</w:t>
            </w:r>
            <w:r>
              <w:t>, pulmonary vasodilators to reduce elevated pulmonary artery pressures, GDMT for HF with reduced LVEF, or rhythm control of AF) can be useful</w:t>
            </w:r>
          </w:p>
        </w:tc>
      </w:tr>
      <w:tr w:rsidR="00E71F35" w:rsidRPr="00834D54" w14:paraId="6ECD9046" w14:textId="77777777">
        <w:tc>
          <w:tcPr>
            <w:tcW w:w="9209" w:type="dxa"/>
            <w:gridSpan w:val="5"/>
            <w:tcBorders>
              <w:bottom w:val="single" w:sz="4" w:space="0" w:color="auto"/>
            </w:tcBorders>
          </w:tcPr>
          <w:p w14:paraId="70B51AAF" w14:textId="77777777" w:rsidR="00E71F35" w:rsidRPr="008031B3" w:rsidRDefault="00E71F35" w:rsidP="00D62343">
            <w:pPr>
              <w:pStyle w:val="Tabletext1"/>
              <w:rPr>
                <w:i/>
                <w:iCs/>
              </w:rPr>
            </w:pPr>
            <w:r w:rsidRPr="008031B3">
              <w:rPr>
                <w:i/>
                <w:iCs/>
              </w:rPr>
              <w:t xml:space="preserve">Recommendations for </w:t>
            </w:r>
            <w:r>
              <w:rPr>
                <w:i/>
                <w:iCs/>
              </w:rPr>
              <w:t>ti</w:t>
            </w:r>
            <w:r w:rsidRPr="008031B3">
              <w:rPr>
                <w:i/>
                <w:iCs/>
              </w:rPr>
              <w:t xml:space="preserve">ming of </w:t>
            </w:r>
            <w:r>
              <w:rPr>
                <w:i/>
                <w:iCs/>
              </w:rPr>
              <w:t>i</w:t>
            </w:r>
            <w:r w:rsidRPr="008031B3">
              <w:rPr>
                <w:i/>
                <w:iCs/>
              </w:rPr>
              <w:t>ntervention</w:t>
            </w:r>
          </w:p>
        </w:tc>
      </w:tr>
      <w:tr w:rsidR="005C7F3A" w:rsidRPr="00834D54" w14:paraId="3A0D3FC4" w14:textId="77777777">
        <w:tc>
          <w:tcPr>
            <w:tcW w:w="1195" w:type="dxa"/>
            <w:tcBorders>
              <w:bottom w:val="single" w:sz="4" w:space="0" w:color="auto"/>
            </w:tcBorders>
          </w:tcPr>
          <w:p w14:paraId="62FDB570" w14:textId="322C6AEF" w:rsidR="005C7F3A" w:rsidRDefault="008B55B4" w:rsidP="00D62343">
            <w:pPr>
              <w:pStyle w:val="Tabletext1"/>
            </w:pPr>
            <w:r>
              <w:t>1</w:t>
            </w:r>
          </w:p>
        </w:tc>
        <w:tc>
          <w:tcPr>
            <w:tcW w:w="1134" w:type="dxa"/>
            <w:tcBorders>
              <w:bottom w:val="single" w:sz="4" w:space="0" w:color="auto"/>
            </w:tcBorders>
          </w:tcPr>
          <w:p w14:paraId="3A266866" w14:textId="278AD2DB" w:rsidR="005C7F3A" w:rsidRDefault="008B55B4" w:rsidP="00D62343">
            <w:pPr>
              <w:pStyle w:val="Tabletext1"/>
            </w:pPr>
            <w:r>
              <w:t>B-NR</w:t>
            </w:r>
          </w:p>
        </w:tc>
        <w:tc>
          <w:tcPr>
            <w:tcW w:w="6880" w:type="dxa"/>
            <w:gridSpan w:val="3"/>
            <w:tcBorders>
              <w:bottom w:val="single" w:sz="4" w:space="0" w:color="auto"/>
            </w:tcBorders>
          </w:tcPr>
          <w:p w14:paraId="6E7FDB4E" w14:textId="1DE89000" w:rsidR="005C7F3A" w:rsidRDefault="008B55B4" w:rsidP="00D62343">
            <w:pPr>
              <w:pStyle w:val="Tabletext1"/>
            </w:pPr>
            <w:r>
              <w:t>In patients with severe TR (Stages C and D) undergoing left-sided valve surgery, tricuspid valve surgery is recommended.</w:t>
            </w:r>
          </w:p>
        </w:tc>
      </w:tr>
      <w:tr w:rsidR="00E71F35" w:rsidRPr="00834D54" w14:paraId="486C46A2" w14:textId="77777777">
        <w:tc>
          <w:tcPr>
            <w:tcW w:w="1195" w:type="dxa"/>
            <w:tcBorders>
              <w:bottom w:val="single" w:sz="4" w:space="0" w:color="auto"/>
            </w:tcBorders>
          </w:tcPr>
          <w:p w14:paraId="5F24D26D" w14:textId="77777777" w:rsidR="00E71F35" w:rsidRPr="00834D54" w:rsidRDefault="00E71F35" w:rsidP="00D62343">
            <w:pPr>
              <w:pStyle w:val="Tabletext1"/>
            </w:pPr>
            <w:r>
              <w:t>2a</w:t>
            </w:r>
          </w:p>
        </w:tc>
        <w:tc>
          <w:tcPr>
            <w:tcW w:w="1134" w:type="dxa"/>
            <w:tcBorders>
              <w:bottom w:val="single" w:sz="4" w:space="0" w:color="auto"/>
            </w:tcBorders>
          </w:tcPr>
          <w:p w14:paraId="22A98953" w14:textId="77777777" w:rsidR="00E71F35" w:rsidRPr="00834D54" w:rsidRDefault="00E71F35" w:rsidP="00D62343">
            <w:pPr>
              <w:pStyle w:val="Tabletext1"/>
            </w:pPr>
            <w:r>
              <w:t>B-NR</w:t>
            </w:r>
          </w:p>
        </w:tc>
        <w:tc>
          <w:tcPr>
            <w:tcW w:w="6880" w:type="dxa"/>
            <w:gridSpan w:val="3"/>
            <w:tcBorders>
              <w:bottom w:val="single" w:sz="4" w:space="0" w:color="auto"/>
            </w:tcBorders>
          </w:tcPr>
          <w:p w14:paraId="5D05F3F1" w14:textId="0C5A63F0" w:rsidR="00E71F35" w:rsidRPr="00834D54" w:rsidRDefault="00ED62DB" w:rsidP="00D62343">
            <w:pPr>
              <w:pStyle w:val="Tabletext1"/>
            </w:pPr>
            <w:r>
              <w:t>In patients with progressive TR (Stage B) undergoing left-sided valve surgery, tricuspid valve surgery can be beneficial in the context of either 1) tricuspid annular dilation (tricuspid annulus end diastolic diameter &gt;4.0 cm) or 2) prior signs and symptoms of right-sided HF.</w:t>
            </w:r>
          </w:p>
        </w:tc>
      </w:tr>
      <w:tr w:rsidR="00E56043" w:rsidRPr="00834D54" w14:paraId="364DD877" w14:textId="77777777">
        <w:tc>
          <w:tcPr>
            <w:tcW w:w="1195" w:type="dxa"/>
            <w:tcBorders>
              <w:bottom w:val="single" w:sz="4" w:space="0" w:color="auto"/>
            </w:tcBorders>
          </w:tcPr>
          <w:p w14:paraId="65DD7073" w14:textId="54F8B30F" w:rsidR="00E56043" w:rsidRDefault="00E56043" w:rsidP="00D62343">
            <w:pPr>
              <w:pStyle w:val="Tabletext1"/>
            </w:pPr>
            <w:r>
              <w:t>2a</w:t>
            </w:r>
          </w:p>
        </w:tc>
        <w:tc>
          <w:tcPr>
            <w:tcW w:w="1134" w:type="dxa"/>
            <w:tcBorders>
              <w:bottom w:val="single" w:sz="4" w:space="0" w:color="auto"/>
            </w:tcBorders>
          </w:tcPr>
          <w:p w14:paraId="7B2FD460" w14:textId="53E20CB7" w:rsidR="00E56043" w:rsidRDefault="00E56043" w:rsidP="00D62343">
            <w:pPr>
              <w:pStyle w:val="Tabletext1"/>
            </w:pPr>
            <w:r>
              <w:t>B-NR</w:t>
            </w:r>
          </w:p>
        </w:tc>
        <w:tc>
          <w:tcPr>
            <w:tcW w:w="6880" w:type="dxa"/>
            <w:gridSpan w:val="3"/>
            <w:tcBorders>
              <w:bottom w:val="single" w:sz="4" w:space="0" w:color="auto"/>
            </w:tcBorders>
          </w:tcPr>
          <w:p w14:paraId="74F35697" w14:textId="132D36B5" w:rsidR="00E56043" w:rsidRDefault="00E56043" w:rsidP="00D62343">
            <w:pPr>
              <w:pStyle w:val="Tabletext1"/>
            </w:pPr>
            <w:r>
              <w:t>In patients with signs and symptoms of right-sided HF and severe primary TR (Stage D), isolated tricuspid valve surgery can be beneficial to reduce symptoms and recurrent hospitalizations.</w:t>
            </w:r>
          </w:p>
        </w:tc>
      </w:tr>
      <w:tr w:rsidR="00E71F35" w:rsidRPr="00834D54" w14:paraId="056CE4E1" w14:textId="77777777">
        <w:tc>
          <w:tcPr>
            <w:tcW w:w="1195" w:type="dxa"/>
            <w:tcBorders>
              <w:bottom w:val="single" w:sz="4" w:space="0" w:color="auto"/>
            </w:tcBorders>
          </w:tcPr>
          <w:p w14:paraId="7CDE85C5" w14:textId="77777777" w:rsidR="00E71F35" w:rsidRPr="00834D54" w:rsidRDefault="00E71F35" w:rsidP="00D62343">
            <w:pPr>
              <w:pStyle w:val="Tabletext1"/>
            </w:pPr>
            <w:r>
              <w:t>2a</w:t>
            </w:r>
          </w:p>
        </w:tc>
        <w:tc>
          <w:tcPr>
            <w:tcW w:w="1134" w:type="dxa"/>
            <w:tcBorders>
              <w:bottom w:val="single" w:sz="4" w:space="0" w:color="auto"/>
            </w:tcBorders>
          </w:tcPr>
          <w:p w14:paraId="7FBEDD5C" w14:textId="77777777" w:rsidR="00E71F35" w:rsidRPr="00834D54" w:rsidRDefault="00E71F35" w:rsidP="00D62343">
            <w:pPr>
              <w:pStyle w:val="Tabletext1"/>
            </w:pPr>
            <w:r>
              <w:t>B-NR</w:t>
            </w:r>
          </w:p>
        </w:tc>
        <w:tc>
          <w:tcPr>
            <w:tcW w:w="6880" w:type="dxa"/>
            <w:gridSpan w:val="3"/>
            <w:tcBorders>
              <w:bottom w:val="single" w:sz="4" w:space="0" w:color="auto"/>
            </w:tcBorders>
          </w:tcPr>
          <w:p w14:paraId="583F09EE" w14:textId="795CD42D" w:rsidR="00E71F35" w:rsidRPr="00834D54" w:rsidRDefault="0039102D" w:rsidP="00D62343">
            <w:pPr>
              <w:pStyle w:val="Tabletext1"/>
            </w:pPr>
            <w:r>
              <w:t>In patients with signs and symptoms of right sided HF and severe isolated secondary TR attributable to annular dilation (in the absence of pulmonary hypertension or left-sided disease) who are poorly responsive to medical therapy (Stage D), isolated tricuspid valve surgery can be beneficial to reduce symptoms and recurrent hospitalizations</w:t>
            </w:r>
          </w:p>
        </w:tc>
      </w:tr>
      <w:tr w:rsidR="00B77FC5" w:rsidRPr="00834D54" w14:paraId="7A5D273C" w14:textId="77777777">
        <w:tc>
          <w:tcPr>
            <w:tcW w:w="1195" w:type="dxa"/>
            <w:tcBorders>
              <w:bottom w:val="single" w:sz="4" w:space="0" w:color="auto"/>
            </w:tcBorders>
          </w:tcPr>
          <w:p w14:paraId="08D221F4" w14:textId="4016D7AC" w:rsidR="00B77FC5" w:rsidRDefault="005952F2" w:rsidP="00D62343">
            <w:pPr>
              <w:pStyle w:val="Tabletext1"/>
            </w:pPr>
            <w:r>
              <w:t>2b</w:t>
            </w:r>
          </w:p>
        </w:tc>
        <w:tc>
          <w:tcPr>
            <w:tcW w:w="1134" w:type="dxa"/>
            <w:tcBorders>
              <w:bottom w:val="single" w:sz="4" w:space="0" w:color="auto"/>
            </w:tcBorders>
          </w:tcPr>
          <w:p w14:paraId="006D3907" w14:textId="6E7F55F8" w:rsidR="00B77FC5" w:rsidRDefault="005952F2" w:rsidP="00D62343">
            <w:pPr>
              <w:pStyle w:val="Tabletext1"/>
            </w:pPr>
            <w:r>
              <w:t>C-LD</w:t>
            </w:r>
          </w:p>
        </w:tc>
        <w:tc>
          <w:tcPr>
            <w:tcW w:w="6880" w:type="dxa"/>
            <w:gridSpan w:val="3"/>
            <w:tcBorders>
              <w:bottom w:val="single" w:sz="4" w:space="0" w:color="auto"/>
            </w:tcBorders>
          </w:tcPr>
          <w:p w14:paraId="79317B89" w14:textId="5C2729BF" w:rsidR="00B77FC5" w:rsidRDefault="00B77FC5" w:rsidP="00D62343">
            <w:pPr>
              <w:pStyle w:val="Tabletext1"/>
            </w:pPr>
            <w:r>
              <w:t>In asymptomatic patients with severe primary TR (Stage C) and progressive RV dilation or systolic dysfunction, isolated tricuspid valve surgery may be considered.</w:t>
            </w:r>
          </w:p>
        </w:tc>
      </w:tr>
      <w:tr w:rsidR="00E71F35" w:rsidRPr="00834D54" w14:paraId="759DAB73" w14:textId="77777777">
        <w:tc>
          <w:tcPr>
            <w:tcW w:w="1195" w:type="dxa"/>
            <w:tcBorders>
              <w:bottom w:val="single" w:sz="4" w:space="0" w:color="auto"/>
            </w:tcBorders>
          </w:tcPr>
          <w:p w14:paraId="393D0ADC" w14:textId="77777777" w:rsidR="00E71F35" w:rsidRPr="00834D54" w:rsidRDefault="00E71F35" w:rsidP="00D62343">
            <w:pPr>
              <w:pStyle w:val="Tabletext1"/>
            </w:pPr>
            <w:r>
              <w:t>2b</w:t>
            </w:r>
          </w:p>
        </w:tc>
        <w:tc>
          <w:tcPr>
            <w:tcW w:w="1134" w:type="dxa"/>
            <w:tcBorders>
              <w:bottom w:val="single" w:sz="4" w:space="0" w:color="auto"/>
            </w:tcBorders>
          </w:tcPr>
          <w:p w14:paraId="75D6799A" w14:textId="77777777" w:rsidR="00E71F35" w:rsidRPr="00834D54" w:rsidRDefault="00E71F35" w:rsidP="00D62343">
            <w:pPr>
              <w:pStyle w:val="Tabletext1"/>
            </w:pPr>
            <w:r>
              <w:t>B-NR</w:t>
            </w:r>
          </w:p>
        </w:tc>
        <w:tc>
          <w:tcPr>
            <w:tcW w:w="6880" w:type="dxa"/>
            <w:gridSpan w:val="3"/>
            <w:tcBorders>
              <w:bottom w:val="single" w:sz="4" w:space="0" w:color="auto"/>
            </w:tcBorders>
          </w:tcPr>
          <w:p w14:paraId="4004076D" w14:textId="3E6D7751" w:rsidR="00E71F35" w:rsidRPr="00834D54" w:rsidRDefault="0020649C" w:rsidP="00D62343">
            <w:pPr>
              <w:pStyle w:val="Tabletext1"/>
            </w:pPr>
            <w:r>
              <w:t>In patients with signs and symptoms of right sided HF and severe TR (Stage D) who have undergone previous left-sided valve surgery, reoperation with isolated tricuspid valve surgery may be considered in the absence of severe pulmonary hypertension or severe RV systolic dysfunction</w:t>
            </w:r>
          </w:p>
        </w:tc>
      </w:tr>
      <w:tr w:rsidR="00E71F35" w:rsidRPr="00834D54" w14:paraId="43DDE4D4" w14:textId="77777777">
        <w:tc>
          <w:tcPr>
            <w:tcW w:w="9209" w:type="dxa"/>
            <w:gridSpan w:val="5"/>
            <w:tcBorders>
              <w:right w:val="nil"/>
            </w:tcBorders>
            <w:shd w:val="clear" w:color="auto" w:fill="D9D9D9" w:themeFill="background1" w:themeFillShade="D9"/>
          </w:tcPr>
          <w:p w14:paraId="3CC7463A" w14:textId="77777777" w:rsidR="00E71F35" w:rsidRPr="00D62343" w:rsidRDefault="00E71F35" w:rsidP="00D62343">
            <w:pPr>
              <w:pStyle w:val="Tabletext1"/>
              <w:rPr>
                <w:b/>
                <w:sz w:val="22"/>
              </w:rPr>
            </w:pPr>
            <w:r w:rsidRPr="00D62343">
              <w:rPr>
                <w:b/>
                <w:sz w:val="22"/>
              </w:rPr>
              <w:t>ESC 2021 (Vahanian 2022)</w:t>
            </w:r>
          </w:p>
        </w:tc>
      </w:tr>
      <w:tr w:rsidR="00E71F35" w:rsidRPr="00834D54" w14:paraId="50F0CD07" w14:textId="77777777">
        <w:tc>
          <w:tcPr>
            <w:tcW w:w="1195" w:type="dxa"/>
            <w:shd w:val="clear" w:color="auto" w:fill="D9D9D9" w:themeFill="background1" w:themeFillShade="D9"/>
          </w:tcPr>
          <w:p w14:paraId="32A076FA" w14:textId="77777777" w:rsidR="00E71F35" w:rsidRDefault="00E71F35" w:rsidP="00D62343">
            <w:pPr>
              <w:pStyle w:val="Tabletext1"/>
            </w:pPr>
            <w:r w:rsidRPr="00E061F2">
              <w:rPr>
                <w:b/>
                <w:bCs/>
              </w:rPr>
              <w:t>COR</w:t>
            </w:r>
          </w:p>
        </w:tc>
        <w:tc>
          <w:tcPr>
            <w:tcW w:w="1134" w:type="dxa"/>
            <w:shd w:val="clear" w:color="auto" w:fill="D9D9D9" w:themeFill="background1" w:themeFillShade="D9"/>
          </w:tcPr>
          <w:p w14:paraId="5101261E" w14:textId="77777777" w:rsidR="00E71F35" w:rsidRDefault="00E71F35" w:rsidP="00D62343">
            <w:pPr>
              <w:pStyle w:val="Tabletext1"/>
            </w:pPr>
            <w:r w:rsidRPr="00E061F2">
              <w:rPr>
                <w:b/>
                <w:bCs/>
              </w:rPr>
              <w:t>LOE</w:t>
            </w:r>
          </w:p>
        </w:tc>
        <w:tc>
          <w:tcPr>
            <w:tcW w:w="6880" w:type="dxa"/>
            <w:gridSpan w:val="3"/>
            <w:shd w:val="clear" w:color="auto" w:fill="D9D9D9" w:themeFill="background1" w:themeFillShade="D9"/>
          </w:tcPr>
          <w:p w14:paraId="342029D0" w14:textId="77777777" w:rsidR="00E71F35" w:rsidRDefault="00E71F35" w:rsidP="00D62343">
            <w:pPr>
              <w:pStyle w:val="Tabletext1"/>
            </w:pPr>
            <w:r w:rsidRPr="00E061F2">
              <w:rPr>
                <w:b/>
                <w:bCs/>
              </w:rPr>
              <w:t>Recommendation</w:t>
            </w:r>
          </w:p>
        </w:tc>
      </w:tr>
      <w:tr w:rsidR="00E71F35" w:rsidRPr="00834D54" w14:paraId="4A117D9B" w14:textId="77777777">
        <w:tc>
          <w:tcPr>
            <w:tcW w:w="9209" w:type="dxa"/>
            <w:gridSpan w:val="5"/>
          </w:tcPr>
          <w:p w14:paraId="40F675C9" w14:textId="77777777" w:rsidR="00E71F35" w:rsidRDefault="00E71F35" w:rsidP="00D62343">
            <w:pPr>
              <w:pStyle w:val="Tabletext1"/>
            </w:pPr>
            <w:r w:rsidRPr="00DA15F4">
              <w:rPr>
                <w:i/>
                <w:iCs/>
              </w:rPr>
              <w:t>Recommendations on secondary TR</w:t>
            </w:r>
          </w:p>
        </w:tc>
      </w:tr>
      <w:tr w:rsidR="00E71F35" w:rsidRPr="00834D54" w14:paraId="358A5FC2" w14:textId="77777777">
        <w:tc>
          <w:tcPr>
            <w:tcW w:w="1195" w:type="dxa"/>
          </w:tcPr>
          <w:p w14:paraId="1C0C7821" w14:textId="77777777" w:rsidR="00E71F35" w:rsidRPr="00834D54" w:rsidRDefault="00E71F35" w:rsidP="00D62343">
            <w:pPr>
              <w:pStyle w:val="Tabletext1"/>
            </w:pPr>
            <w:r>
              <w:t>I</w:t>
            </w:r>
          </w:p>
        </w:tc>
        <w:tc>
          <w:tcPr>
            <w:tcW w:w="1134" w:type="dxa"/>
          </w:tcPr>
          <w:p w14:paraId="25695525" w14:textId="77777777" w:rsidR="00E71F35" w:rsidRPr="00834D54" w:rsidRDefault="00E71F35" w:rsidP="00D62343">
            <w:pPr>
              <w:pStyle w:val="Tabletext1"/>
            </w:pPr>
            <w:r>
              <w:t>B</w:t>
            </w:r>
          </w:p>
        </w:tc>
        <w:tc>
          <w:tcPr>
            <w:tcW w:w="6880" w:type="dxa"/>
            <w:gridSpan w:val="3"/>
          </w:tcPr>
          <w:p w14:paraId="54F42709" w14:textId="77777777" w:rsidR="00E71F35" w:rsidRPr="00834D54" w:rsidRDefault="00E71F35" w:rsidP="00D62343">
            <w:pPr>
              <w:pStyle w:val="Tabletext1"/>
            </w:pPr>
            <w:r>
              <w:t>Surgery is recommended in patients with severe secondary TR undergoing left-sided valve surgery</w:t>
            </w:r>
          </w:p>
        </w:tc>
      </w:tr>
      <w:tr w:rsidR="00E71F35" w:rsidRPr="00834D54" w14:paraId="057AE9AE" w14:textId="77777777">
        <w:tc>
          <w:tcPr>
            <w:tcW w:w="1195" w:type="dxa"/>
          </w:tcPr>
          <w:p w14:paraId="18886700" w14:textId="77777777" w:rsidR="00E71F35" w:rsidRPr="00834D54" w:rsidRDefault="00E71F35" w:rsidP="00D62343">
            <w:pPr>
              <w:pStyle w:val="Tabletext1"/>
            </w:pPr>
            <w:r>
              <w:t>IIa</w:t>
            </w:r>
          </w:p>
        </w:tc>
        <w:tc>
          <w:tcPr>
            <w:tcW w:w="1134" w:type="dxa"/>
          </w:tcPr>
          <w:p w14:paraId="43E43674" w14:textId="77777777" w:rsidR="00E71F35" w:rsidRPr="00834D54" w:rsidRDefault="00E71F35" w:rsidP="00D62343">
            <w:pPr>
              <w:pStyle w:val="Tabletext1"/>
            </w:pPr>
            <w:r>
              <w:t>B</w:t>
            </w:r>
          </w:p>
        </w:tc>
        <w:tc>
          <w:tcPr>
            <w:tcW w:w="6880" w:type="dxa"/>
            <w:gridSpan w:val="3"/>
          </w:tcPr>
          <w:p w14:paraId="2509D69C" w14:textId="77777777" w:rsidR="00E71F35" w:rsidRPr="00DA15F4" w:rsidRDefault="00E71F35" w:rsidP="00D62343">
            <w:pPr>
              <w:pStyle w:val="Tabletext1"/>
            </w:pPr>
            <w:r>
              <w:t>Surgery should be considered in patients with mild/moderate secondary TR with a dilated annulus (≥40mm or &gt;21mm/m</w:t>
            </w:r>
            <w:r w:rsidRPr="00DA15F4">
              <w:rPr>
                <w:vertAlign w:val="superscript"/>
              </w:rPr>
              <w:t>2</w:t>
            </w:r>
            <w:r>
              <w:rPr>
                <w:vertAlign w:val="superscript"/>
              </w:rPr>
              <w:t xml:space="preserve"> </w:t>
            </w:r>
            <w:r>
              <w:t>by 2D echocardiography) undergoing left-sided valve surgery.</w:t>
            </w:r>
          </w:p>
        </w:tc>
      </w:tr>
      <w:tr w:rsidR="00E71F35" w:rsidRPr="00834D54" w14:paraId="0D2F5397" w14:textId="77777777">
        <w:tc>
          <w:tcPr>
            <w:tcW w:w="1195" w:type="dxa"/>
          </w:tcPr>
          <w:p w14:paraId="576364DE" w14:textId="77777777" w:rsidR="00E71F35" w:rsidRPr="009E7E18" w:rsidRDefault="00E71F35" w:rsidP="00D62343">
            <w:pPr>
              <w:pStyle w:val="Tabletext1"/>
              <w:rPr>
                <w:bCs/>
              </w:rPr>
            </w:pPr>
            <w:r w:rsidRPr="009E7E18">
              <w:rPr>
                <w:bCs/>
              </w:rPr>
              <w:t>IIa</w:t>
            </w:r>
          </w:p>
        </w:tc>
        <w:tc>
          <w:tcPr>
            <w:tcW w:w="1134" w:type="dxa"/>
          </w:tcPr>
          <w:p w14:paraId="1B217C61" w14:textId="77777777" w:rsidR="00E71F35" w:rsidRPr="009E7E18" w:rsidRDefault="00E71F35" w:rsidP="00D62343">
            <w:pPr>
              <w:pStyle w:val="Tabletext1"/>
              <w:rPr>
                <w:bCs/>
              </w:rPr>
            </w:pPr>
            <w:r w:rsidRPr="009E7E18">
              <w:rPr>
                <w:bCs/>
              </w:rPr>
              <w:t>B</w:t>
            </w:r>
          </w:p>
        </w:tc>
        <w:tc>
          <w:tcPr>
            <w:tcW w:w="6880" w:type="dxa"/>
            <w:gridSpan w:val="3"/>
          </w:tcPr>
          <w:p w14:paraId="6EAD6602" w14:textId="77777777" w:rsidR="00E71F35" w:rsidRPr="009E7E18" w:rsidRDefault="00E71F35" w:rsidP="00D62343">
            <w:pPr>
              <w:pStyle w:val="Tabletext1"/>
              <w:rPr>
                <w:bCs/>
              </w:rPr>
            </w:pPr>
            <w:r w:rsidRPr="009E7E18">
              <w:rPr>
                <w:bCs/>
              </w:rPr>
              <w:t>Surgery should be considered in patients with severe secondary TR with or without previous left-sided surgery) who are symptomatic or have RV dilation, in the absence of severe RV/LV dysfunction and severe pulmonary vascular disease/hypertension.</w:t>
            </w:r>
          </w:p>
        </w:tc>
      </w:tr>
      <w:tr w:rsidR="00E71F35" w:rsidRPr="00834D54" w14:paraId="100D2B1F" w14:textId="77777777">
        <w:tc>
          <w:tcPr>
            <w:tcW w:w="1195" w:type="dxa"/>
          </w:tcPr>
          <w:p w14:paraId="6BA67AE1" w14:textId="77777777" w:rsidR="00E71F35" w:rsidRPr="009E7E18" w:rsidRDefault="00E71F35" w:rsidP="00D62343">
            <w:pPr>
              <w:pStyle w:val="Tabletext1"/>
              <w:rPr>
                <w:bCs/>
              </w:rPr>
            </w:pPr>
            <w:r w:rsidRPr="009E7E18">
              <w:rPr>
                <w:bCs/>
              </w:rPr>
              <w:t>IIb</w:t>
            </w:r>
          </w:p>
        </w:tc>
        <w:tc>
          <w:tcPr>
            <w:tcW w:w="1134" w:type="dxa"/>
          </w:tcPr>
          <w:p w14:paraId="6CC4FE53" w14:textId="77777777" w:rsidR="00E71F35" w:rsidRPr="009E7E18" w:rsidRDefault="00E71F35" w:rsidP="00D62343">
            <w:pPr>
              <w:pStyle w:val="Tabletext1"/>
              <w:rPr>
                <w:bCs/>
              </w:rPr>
            </w:pPr>
            <w:r w:rsidRPr="009E7E18">
              <w:rPr>
                <w:bCs/>
              </w:rPr>
              <w:t>C</w:t>
            </w:r>
          </w:p>
        </w:tc>
        <w:tc>
          <w:tcPr>
            <w:tcW w:w="6880" w:type="dxa"/>
            <w:gridSpan w:val="3"/>
          </w:tcPr>
          <w:p w14:paraId="5C5DA844" w14:textId="77777777" w:rsidR="00E71F35" w:rsidRPr="00D05799" w:rsidRDefault="00E71F35" w:rsidP="00D62343">
            <w:pPr>
              <w:pStyle w:val="Tabletext1"/>
              <w:rPr>
                <w:b/>
              </w:rPr>
            </w:pPr>
            <w:r w:rsidRPr="00D05799">
              <w:rPr>
                <w:b/>
              </w:rPr>
              <w:t>Transcatheter treatment of symptomatic secondary severe TR may be considered in inoperable patients at a Heart Valve Centre with expertise in the treatment of tricuspid valve disease.</w:t>
            </w:r>
          </w:p>
        </w:tc>
      </w:tr>
    </w:tbl>
    <w:p w14:paraId="643C05BF" w14:textId="5D99BC50" w:rsidR="00E71F35" w:rsidRDefault="00E71F35" w:rsidP="00E71F35">
      <w:pPr>
        <w:pStyle w:val="NoteHeading"/>
      </w:pPr>
      <w:r>
        <w:t xml:space="preserve">Abbreviations: </w:t>
      </w:r>
      <w:r w:rsidR="0034573D">
        <w:t xml:space="preserve">AF, atrial fibrillation; </w:t>
      </w:r>
      <w:r w:rsidRPr="00B60172">
        <w:t>COR</w:t>
      </w:r>
      <w:r>
        <w:t xml:space="preserve">, </w:t>
      </w:r>
      <w:r w:rsidRPr="00B60172">
        <w:t xml:space="preserve">Class of Recommendation; </w:t>
      </w:r>
      <w:r w:rsidR="001D13E6" w:rsidRPr="00B60172">
        <w:t>HF</w:t>
      </w:r>
      <w:r w:rsidR="001D13E6">
        <w:t>,</w:t>
      </w:r>
      <w:r w:rsidR="001D13E6" w:rsidRPr="00B60172">
        <w:t xml:space="preserve"> </w:t>
      </w:r>
      <w:r w:rsidR="001D13E6">
        <w:t>h</w:t>
      </w:r>
      <w:r w:rsidR="001D13E6" w:rsidRPr="00B60172">
        <w:t xml:space="preserve">eart </w:t>
      </w:r>
      <w:r w:rsidR="001D13E6">
        <w:t>f</w:t>
      </w:r>
      <w:r w:rsidR="001D13E6" w:rsidRPr="00B60172">
        <w:t>ailure; GDMT</w:t>
      </w:r>
      <w:r w:rsidR="001D13E6">
        <w:t>,</w:t>
      </w:r>
      <w:r w:rsidR="001D13E6" w:rsidRPr="00B60172">
        <w:t xml:space="preserve"> </w:t>
      </w:r>
      <w:r w:rsidR="001D13E6">
        <w:t>g</w:t>
      </w:r>
      <w:r w:rsidR="001D13E6" w:rsidRPr="00B60172">
        <w:t>uideline</w:t>
      </w:r>
      <w:r w:rsidR="001D13E6" w:rsidRPr="00F955CD">
        <w:t xml:space="preserve"> </w:t>
      </w:r>
      <w:r w:rsidR="001D13E6">
        <w:t>d</w:t>
      </w:r>
      <w:r w:rsidR="001D13E6" w:rsidRPr="00B60172">
        <w:t xml:space="preserve">irected </w:t>
      </w:r>
      <w:r w:rsidR="001D13E6" w:rsidRPr="00F955CD">
        <w:t>management and</w:t>
      </w:r>
      <w:r w:rsidR="001D13E6" w:rsidRPr="00B60172">
        <w:t xml:space="preserve"> </w:t>
      </w:r>
      <w:r w:rsidR="001D13E6">
        <w:t>t</w:t>
      </w:r>
      <w:r w:rsidR="001D13E6" w:rsidRPr="00B60172">
        <w:t>herapy</w:t>
      </w:r>
      <w:r w:rsidR="001D13E6">
        <w:t xml:space="preserve">; </w:t>
      </w:r>
      <w:r w:rsidRPr="00B60172">
        <w:t>LOE</w:t>
      </w:r>
      <w:r>
        <w:t>,</w:t>
      </w:r>
      <w:r w:rsidRPr="00B60172">
        <w:t xml:space="preserve"> Level of Evidence; TR</w:t>
      </w:r>
      <w:r>
        <w:t>, t</w:t>
      </w:r>
      <w:r w:rsidRPr="00B60172">
        <w:t>ricuspid</w:t>
      </w:r>
      <w:r>
        <w:t xml:space="preserve"> valve</w:t>
      </w:r>
      <w:r w:rsidRPr="00B60172">
        <w:t xml:space="preserve"> </w:t>
      </w:r>
      <w:r>
        <w:t>r</w:t>
      </w:r>
      <w:r w:rsidRPr="00B60172">
        <w:t>egurgitation</w:t>
      </w:r>
      <w:r>
        <w:t>;</w:t>
      </w:r>
      <w:r w:rsidRPr="00B60172">
        <w:t xml:space="preserve"> RV</w:t>
      </w:r>
      <w:r>
        <w:t>,</w:t>
      </w:r>
      <w:r w:rsidRPr="00B60172">
        <w:t xml:space="preserve"> </w:t>
      </w:r>
      <w:r>
        <w:t>r</w:t>
      </w:r>
      <w:r w:rsidRPr="00B60172">
        <w:t xml:space="preserve">ight </w:t>
      </w:r>
      <w:r>
        <w:t>v</w:t>
      </w:r>
      <w:r w:rsidRPr="00B60172">
        <w:t>entricular</w:t>
      </w:r>
    </w:p>
    <w:p w14:paraId="6DB56725" w14:textId="77777777" w:rsidR="00E71F35" w:rsidRPr="00412170" w:rsidRDefault="00E71F35" w:rsidP="00E71F35">
      <w:pPr>
        <w:pStyle w:val="NoteHeading"/>
      </w:pPr>
      <w:r w:rsidRPr="00412170">
        <w:t>AHA Guidelines classes of recommendation</w:t>
      </w:r>
      <w:r>
        <w:t xml:space="preserve"> and levels of evidence:</w:t>
      </w:r>
    </w:p>
    <w:p w14:paraId="6342F2D2" w14:textId="77777777" w:rsidR="00E71F35" w:rsidRPr="00412170" w:rsidRDefault="00E71F35" w:rsidP="00E71F35">
      <w:pPr>
        <w:pStyle w:val="NoteHeading"/>
      </w:pPr>
      <w:r w:rsidRPr="00412170">
        <w:t>Class 2a: moderate. Suggested phrases for writing recommendations: is reasonable; can be useful/effective/beneficial; comparative-effectiveness phrases: treatment/strategy A is probably recommended/indicated in preference to treatment B, it is reasonable to choose treatment A over treatment B</w:t>
      </w:r>
    </w:p>
    <w:p w14:paraId="1A6A5036" w14:textId="77777777" w:rsidR="00E71F35" w:rsidRPr="00412170" w:rsidRDefault="00E71F35" w:rsidP="00E71F35">
      <w:pPr>
        <w:pStyle w:val="NoteHeading"/>
      </w:pPr>
      <w:r w:rsidRPr="00412170">
        <w:t>Class 2b: weak. Suggested phrases for writing recommendations: may/might be reasonable; may/might be considered; usefulness/effectiveness is unknown/unclear/uncertain or not well established</w:t>
      </w:r>
    </w:p>
    <w:p w14:paraId="7B93ECFF" w14:textId="77777777" w:rsidR="00E71F35" w:rsidRPr="00412170" w:rsidRDefault="00E71F35" w:rsidP="00E71F35">
      <w:pPr>
        <w:pStyle w:val="NoteHeading"/>
      </w:pPr>
      <w:r w:rsidRPr="00412170">
        <w:t>Level of Evidence C-EO: expert opinion. Consensus of expert opinion based on clinical experience</w:t>
      </w:r>
    </w:p>
    <w:p w14:paraId="74F7FA7B" w14:textId="77777777" w:rsidR="00E71F35" w:rsidRPr="00412170" w:rsidRDefault="00E71F35" w:rsidP="00E71F35">
      <w:pPr>
        <w:pStyle w:val="NoteHeading"/>
      </w:pPr>
      <w:r w:rsidRPr="00412170">
        <w:t xml:space="preserve">Level of Evidence B-NR: nonrandomised. Moderate-quality evidence from </w:t>
      </w:r>
      <w:r>
        <w:t>one</w:t>
      </w:r>
      <w:r w:rsidRPr="00412170">
        <w:t xml:space="preserve"> or more well-designed, well-executed nonrandomised studies, observational studies, or registry studies; meta-analyses of such studies</w:t>
      </w:r>
    </w:p>
    <w:p w14:paraId="685126A9" w14:textId="77777777" w:rsidR="00E71F35" w:rsidRPr="00412170" w:rsidRDefault="00E71F35" w:rsidP="00E71F35">
      <w:pPr>
        <w:pStyle w:val="NoteHeading"/>
      </w:pPr>
      <w:r w:rsidRPr="00412170">
        <w:t>ESC guidelines class of recommendations</w:t>
      </w:r>
      <w:r>
        <w:t xml:space="preserve"> and levels of evidence:</w:t>
      </w:r>
    </w:p>
    <w:p w14:paraId="0C45037B" w14:textId="77777777" w:rsidR="00E71F35" w:rsidRPr="00412170" w:rsidRDefault="00E71F35" w:rsidP="00E71F35">
      <w:pPr>
        <w:pStyle w:val="NoteHeading"/>
      </w:pPr>
      <w:r w:rsidRPr="00412170">
        <w:t>Class I: conditions for which there is evidence and/or general agreement that a given procedure or treatment is beneficial, useful, and effective</w:t>
      </w:r>
    </w:p>
    <w:p w14:paraId="4EA3303E" w14:textId="77777777" w:rsidR="00E71F35" w:rsidRPr="00412170" w:rsidRDefault="00E71F35" w:rsidP="00E71F35">
      <w:pPr>
        <w:pStyle w:val="NoteHeading"/>
      </w:pPr>
      <w:r w:rsidRPr="00412170">
        <w:t>Ia: conditions for which there is conflicting evidence and/or a divergence of opinion about the usefulness/efficacy of a procedure or treatment. Weight of evidence/opinion is in favour of usefulness/efficacy</w:t>
      </w:r>
    </w:p>
    <w:p w14:paraId="657E9AF4" w14:textId="77777777" w:rsidR="00E71F35" w:rsidRPr="00412170" w:rsidRDefault="00E71F35" w:rsidP="00E71F35">
      <w:pPr>
        <w:pStyle w:val="NoteHeading"/>
      </w:pPr>
      <w:r w:rsidRPr="00412170">
        <w:t>IIb: conditions for which there is conflicting evidence and/or divergence of opinion about the usefulness/efficacy of a procedure or treatment; usefulness/efficacy is less well established by evidence/opinion</w:t>
      </w:r>
    </w:p>
    <w:p w14:paraId="450B7A14" w14:textId="77777777" w:rsidR="00E71F35" w:rsidRPr="00412170" w:rsidRDefault="00E71F35" w:rsidP="00E71F35">
      <w:pPr>
        <w:pStyle w:val="NoteHeading"/>
      </w:pPr>
      <w:r w:rsidRPr="00412170">
        <w:t>Level of Evidence B: data derived from one or more randomised/nonrandomised trials or meta-analysis of such studies</w:t>
      </w:r>
    </w:p>
    <w:p w14:paraId="64571945" w14:textId="77777777" w:rsidR="00E71F35" w:rsidRDefault="00E71F35" w:rsidP="00E71F35">
      <w:pPr>
        <w:pStyle w:val="NoteHeading"/>
      </w:pPr>
      <w:r w:rsidRPr="00412170">
        <w:t xml:space="preserve">Level of Evidence </w:t>
      </w:r>
      <w:r>
        <w:t>C</w:t>
      </w:r>
      <w:r w:rsidRPr="00412170">
        <w:t>: nonrandomised observational studies with limitations in design or execution or meta-analysis of such studies; consensus opinions of experts based on clinical experience</w:t>
      </w:r>
    </w:p>
    <w:p w14:paraId="7C715B42" w14:textId="77777777" w:rsidR="00E71F35" w:rsidRDefault="00E71F35" w:rsidP="00E71F35">
      <w:pPr>
        <w:pStyle w:val="NoteHeading"/>
      </w:pPr>
      <w:r>
        <w:t>Source: Otto (2021) Section 8 Table 8.2.2 pg. e132; Otto (2021) Section 8 Table 8.2.3 pg. e133; Vahanian (2022) Section 10 Table pg. 599</w:t>
      </w:r>
    </w:p>
    <w:p w14:paraId="23C6E219" w14:textId="77777777" w:rsidR="00E71F35" w:rsidRDefault="00E71F35" w:rsidP="00E71F35">
      <w:pPr>
        <w:pStyle w:val="Body"/>
      </w:pPr>
    </w:p>
    <w:p w14:paraId="78A3A6BB" w14:textId="637EFC34" w:rsidR="00443465" w:rsidRDefault="000B5609" w:rsidP="008B0FEC">
      <w:pPr>
        <w:pStyle w:val="BodyText"/>
      </w:pPr>
      <w:r>
        <w:t>A number of</w:t>
      </w:r>
      <w:r w:rsidR="00307F70">
        <w:t xml:space="preserve"> </w:t>
      </w:r>
      <w:r w:rsidR="00307F70" w:rsidRPr="00CE215F">
        <w:t xml:space="preserve">surgical risk assessment tools are available, </w:t>
      </w:r>
      <w:r w:rsidRPr="00CE215F">
        <w:t xml:space="preserve">to establish </w:t>
      </w:r>
      <w:r w:rsidR="001F2469" w:rsidRPr="00CE215F">
        <w:t xml:space="preserve">mortality </w:t>
      </w:r>
      <w:r w:rsidR="00A52A90" w:rsidRPr="00CE215F">
        <w:t xml:space="preserve">and morbidity risk of </w:t>
      </w:r>
      <w:r w:rsidR="00191973" w:rsidRPr="00CE215F">
        <w:t>TV surgery. These include</w:t>
      </w:r>
      <w:r w:rsidR="00307F70" w:rsidRPr="00CE215F">
        <w:t xml:space="preserve"> the EuroSCORE, the Society of Thoracic Surgeons (STS) Risk Score, and the TRI-SCORE scoring system (Gröger 2023).</w:t>
      </w:r>
      <w:r w:rsidR="00435678">
        <w:t xml:space="preserve"> In the Ratified PICO for Application 1799, PASC expressed </w:t>
      </w:r>
      <w:r w:rsidR="00435678" w:rsidRPr="00435678">
        <w:rPr>
          <w:i/>
          <w:iCs/>
        </w:rPr>
        <w:t>“concerns around the reliability of surgical risk prediction tools in this patient cohort”</w:t>
      </w:r>
      <w:r w:rsidR="00191986">
        <w:rPr>
          <w:i/>
          <w:iCs/>
        </w:rPr>
        <w:t xml:space="preserve"> </w:t>
      </w:r>
      <w:r w:rsidR="00435678">
        <w:t xml:space="preserve">(p. 15). </w:t>
      </w:r>
    </w:p>
    <w:p w14:paraId="0E9168DC" w14:textId="77777777" w:rsidR="00051843" w:rsidRDefault="00051843" w:rsidP="00375FD9">
      <w:pPr>
        <w:pStyle w:val="Heading3"/>
      </w:pPr>
      <w:r w:rsidRPr="00E353DD">
        <w:t>Specify any characteristics of patients with the medical condition, or suspected of, who are proposed to be eligible for the proposed health technology, describing how a patient would be investigated, managed and referred within the Australian health care system in the lead up to being considered eligible for the technology:</w:t>
      </w:r>
    </w:p>
    <w:p w14:paraId="19D8BC4E" w14:textId="77777777" w:rsidR="00A81550" w:rsidRPr="00A81550" w:rsidRDefault="00A81550" w:rsidP="00A81550"/>
    <w:tbl>
      <w:tblPr>
        <w:tblStyle w:val="TableGrid"/>
        <w:tblW w:w="0" w:type="auto"/>
        <w:shd w:val="clear" w:color="auto" w:fill="D9D9D9" w:themeFill="background1" w:themeFillShade="D9"/>
        <w:tblLook w:val="04A0" w:firstRow="1" w:lastRow="0" w:firstColumn="1" w:lastColumn="0" w:noHBand="0" w:noVBand="1"/>
      </w:tblPr>
      <w:tblGrid>
        <w:gridCol w:w="9465"/>
      </w:tblGrid>
      <w:tr w:rsidR="00A81550" w14:paraId="486F8033" w14:textId="77777777" w:rsidTr="00A81550">
        <w:tc>
          <w:tcPr>
            <w:tcW w:w="9465" w:type="dxa"/>
            <w:shd w:val="clear" w:color="auto" w:fill="D9D9D9" w:themeFill="background1" w:themeFillShade="D9"/>
          </w:tcPr>
          <w:p w14:paraId="4B0F198A" w14:textId="77777777" w:rsidR="00A81550" w:rsidRPr="008B0FEC" w:rsidRDefault="00A81550" w:rsidP="008B0FEC">
            <w:pPr>
              <w:pStyle w:val="BodyText"/>
              <w:rPr>
                <w:b/>
                <w:bCs/>
                <w:i/>
                <w:iCs/>
              </w:rPr>
            </w:pPr>
            <w:r w:rsidRPr="008B0FEC">
              <w:rPr>
                <w:b/>
                <w:bCs/>
                <w:i/>
                <w:iCs/>
              </w:rPr>
              <w:t>Proposed population</w:t>
            </w:r>
          </w:p>
          <w:p w14:paraId="4016DED6" w14:textId="75495F59" w:rsidR="00A81550" w:rsidRDefault="00A81550" w:rsidP="008B0FEC">
            <w:pPr>
              <w:pStyle w:val="BodyText"/>
            </w:pPr>
            <w:r w:rsidRPr="008D7814">
              <w:t xml:space="preserve">The proposed population for whom listing of TEER is sought on the Medicare Benefits Schedule includes patients with severe TR who are symptomatic (NYHA Functional Class II, III or ambulatory class IV) despite treatment with OMT, with sPAP&lt;70mmHg, LVEF &gt;20%, </w:t>
            </w:r>
            <w:r w:rsidR="00B9174A" w:rsidRPr="00B9174A">
              <w:t>and are deemed by a qualified multidisciplinary heart team to be suitable for</w:t>
            </w:r>
            <w:r w:rsidR="00B9174A">
              <w:t xml:space="preserve"> TEER.</w:t>
            </w:r>
          </w:p>
        </w:tc>
      </w:tr>
    </w:tbl>
    <w:p w14:paraId="7B644E42" w14:textId="77777777" w:rsidR="00A81550" w:rsidRDefault="00A81550" w:rsidP="00715A69"/>
    <w:p w14:paraId="5EA5E945" w14:textId="795838A8" w:rsidR="00A81550" w:rsidRDefault="00A81550" w:rsidP="008B0FEC">
      <w:pPr>
        <w:pStyle w:val="BodyText"/>
        <w:rPr>
          <w:rFonts w:eastAsia="Arial"/>
          <w:szCs w:val="24"/>
          <w:lang w:eastAsia="en-US"/>
        </w:rPr>
      </w:pPr>
      <w:r>
        <w:t>The proposed population is informed by the pivotal study, TRILUMINATE Pivotal (Sorajja 2023)</w:t>
      </w:r>
      <w:r w:rsidR="003639AE">
        <w:t xml:space="preserve">. </w:t>
      </w:r>
      <w:r>
        <w:t xml:space="preserve">An overview of the eligibility criteria of TRILUMINATE Pivotal is provided in </w:t>
      </w:r>
      <w:r>
        <w:fldChar w:fldCharType="begin"/>
      </w:r>
      <w:r>
        <w:instrText xml:space="preserve"> REF _Ref203489756 \h  \* MERGEFORMAT </w:instrText>
      </w:r>
      <w:r>
        <w:fldChar w:fldCharType="separate"/>
      </w:r>
      <w:r>
        <w:t xml:space="preserve">Table </w:t>
      </w:r>
      <w:r>
        <w:rPr>
          <w:noProof/>
        </w:rPr>
        <w:t>5</w:t>
      </w:r>
      <w:r>
        <w:fldChar w:fldCharType="end"/>
      </w:r>
      <w:r>
        <w:t xml:space="preserve">. </w:t>
      </w:r>
      <w:r>
        <w:rPr>
          <w:rFonts w:eastAsia="Arial"/>
          <w:szCs w:val="24"/>
          <w:lang w:eastAsia="en-US"/>
        </w:rPr>
        <w:t>Patients were eligible if they presented with severe TR, were symptomatic (</w:t>
      </w:r>
      <w:r w:rsidRPr="000A4B2B">
        <w:rPr>
          <w:rFonts w:eastAsia="Arial"/>
          <w:szCs w:val="24"/>
          <w:lang w:eastAsia="en-US"/>
        </w:rPr>
        <w:t>NYHA</w:t>
      </w:r>
      <w:r>
        <w:rPr>
          <w:rFonts w:eastAsia="Arial"/>
          <w:szCs w:val="24"/>
          <w:lang w:eastAsia="en-US"/>
        </w:rPr>
        <w:t xml:space="preserve"> </w:t>
      </w:r>
      <w:r w:rsidRPr="000A4B2B">
        <w:rPr>
          <w:rFonts w:eastAsia="Arial"/>
          <w:szCs w:val="24"/>
          <w:lang w:eastAsia="en-US"/>
        </w:rPr>
        <w:t>class</w:t>
      </w:r>
      <w:r>
        <w:rPr>
          <w:rFonts w:eastAsia="Arial"/>
          <w:szCs w:val="24"/>
          <w:lang w:eastAsia="en-US"/>
        </w:rPr>
        <w:t xml:space="preserve"> </w:t>
      </w:r>
      <w:r w:rsidRPr="000A4B2B">
        <w:rPr>
          <w:rFonts w:eastAsia="Arial"/>
          <w:szCs w:val="24"/>
          <w:lang w:eastAsia="en-US"/>
        </w:rPr>
        <w:t xml:space="preserve">II, III, or IVa), </w:t>
      </w:r>
      <w:r>
        <w:rPr>
          <w:rFonts w:eastAsia="Arial"/>
          <w:szCs w:val="24"/>
          <w:lang w:eastAsia="en-US"/>
        </w:rPr>
        <w:t>with</w:t>
      </w:r>
      <w:r w:rsidRPr="000A4B2B">
        <w:rPr>
          <w:rFonts w:eastAsia="Arial"/>
          <w:szCs w:val="24"/>
          <w:lang w:eastAsia="en-US"/>
        </w:rPr>
        <w:t xml:space="preserve"> a pulmonary artery systolic</w:t>
      </w:r>
      <w:r>
        <w:rPr>
          <w:rFonts w:eastAsia="Arial"/>
          <w:szCs w:val="24"/>
          <w:lang w:eastAsia="en-US"/>
        </w:rPr>
        <w:t xml:space="preserve"> </w:t>
      </w:r>
      <w:r w:rsidRPr="000A4B2B">
        <w:rPr>
          <w:rFonts w:eastAsia="Arial"/>
          <w:szCs w:val="24"/>
          <w:lang w:eastAsia="en-US"/>
        </w:rPr>
        <w:t xml:space="preserve">pressure of </w:t>
      </w:r>
      <w:r>
        <w:rPr>
          <w:rFonts w:eastAsia="Arial"/>
          <w:szCs w:val="24"/>
          <w:lang w:eastAsia="en-US"/>
        </w:rPr>
        <w:t xml:space="preserve">&lt; </w:t>
      </w:r>
      <w:r w:rsidRPr="000A4B2B">
        <w:rPr>
          <w:rFonts w:eastAsia="Arial"/>
          <w:szCs w:val="24"/>
          <w:lang w:eastAsia="en-US"/>
        </w:rPr>
        <w:t>70 mmHg and</w:t>
      </w:r>
      <w:r>
        <w:rPr>
          <w:rFonts w:eastAsia="Arial"/>
          <w:szCs w:val="24"/>
          <w:lang w:eastAsia="en-US"/>
        </w:rPr>
        <w:t xml:space="preserve"> </w:t>
      </w:r>
      <w:r w:rsidRPr="000A4B2B">
        <w:rPr>
          <w:rFonts w:eastAsia="Arial"/>
          <w:szCs w:val="24"/>
          <w:lang w:eastAsia="en-US"/>
        </w:rPr>
        <w:t>were receiving</w:t>
      </w:r>
      <w:r>
        <w:rPr>
          <w:rFonts w:eastAsia="Arial"/>
          <w:szCs w:val="24"/>
          <w:lang w:eastAsia="en-US"/>
        </w:rPr>
        <w:t xml:space="preserve"> </w:t>
      </w:r>
      <w:r w:rsidRPr="000A4B2B">
        <w:rPr>
          <w:rFonts w:eastAsia="Arial"/>
          <w:szCs w:val="24"/>
          <w:lang w:eastAsia="en-US"/>
        </w:rPr>
        <w:t>stable (≥</w:t>
      </w:r>
      <w:r>
        <w:rPr>
          <w:rFonts w:eastAsia="Arial"/>
          <w:szCs w:val="24"/>
          <w:lang w:eastAsia="en-US"/>
        </w:rPr>
        <w:t xml:space="preserve"> </w:t>
      </w:r>
      <w:r w:rsidRPr="000A4B2B">
        <w:rPr>
          <w:rFonts w:eastAsia="Arial"/>
          <w:szCs w:val="24"/>
          <w:lang w:eastAsia="en-US"/>
        </w:rPr>
        <w:t xml:space="preserve">30 days) </w:t>
      </w:r>
      <w:r>
        <w:rPr>
          <w:rFonts w:eastAsia="Arial"/>
          <w:szCs w:val="24"/>
          <w:lang w:eastAsia="en-US"/>
        </w:rPr>
        <w:t>OMT</w:t>
      </w:r>
      <w:r w:rsidRPr="000A4B2B">
        <w:rPr>
          <w:rFonts w:eastAsia="Arial"/>
          <w:szCs w:val="24"/>
          <w:lang w:eastAsia="en-US"/>
        </w:rPr>
        <w:t xml:space="preserve">, </w:t>
      </w:r>
      <w:r>
        <w:rPr>
          <w:rFonts w:eastAsia="Arial"/>
          <w:szCs w:val="24"/>
          <w:lang w:eastAsia="en-US"/>
        </w:rPr>
        <w:t xml:space="preserve">without </w:t>
      </w:r>
      <w:r w:rsidRPr="000A4B2B">
        <w:rPr>
          <w:rFonts w:eastAsia="Arial"/>
          <w:szCs w:val="24"/>
          <w:lang w:eastAsia="en-US"/>
        </w:rPr>
        <w:t>other cardiovascular</w:t>
      </w:r>
      <w:r>
        <w:rPr>
          <w:rFonts w:eastAsia="Arial"/>
          <w:szCs w:val="24"/>
          <w:lang w:eastAsia="en-US"/>
        </w:rPr>
        <w:t xml:space="preserve"> </w:t>
      </w:r>
      <w:r w:rsidRPr="000A4B2B">
        <w:rPr>
          <w:rFonts w:eastAsia="Arial"/>
          <w:szCs w:val="24"/>
          <w:lang w:eastAsia="en-US"/>
        </w:rPr>
        <w:t xml:space="preserve">conditions </w:t>
      </w:r>
      <w:r>
        <w:rPr>
          <w:rFonts w:eastAsia="Arial"/>
          <w:szCs w:val="24"/>
          <w:lang w:eastAsia="en-US"/>
        </w:rPr>
        <w:t xml:space="preserve">warranting </w:t>
      </w:r>
      <w:r w:rsidRPr="000A4B2B">
        <w:rPr>
          <w:rFonts w:eastAsia="Arial"/>
          <w:szCs w:val="24"/>
          <w:lang w:eastAsia="en-US"/>
        </w:rPr>
        <w:t>interventional or</w:t>
      </w:r>
      <w:r>
        <w:rPr>
          <w:rFonts w:eastAsia="Arial"/>
          <w:szCs w:val="24"/>
          <w:lang w:eastAsia="en-US"/>
        </w:rPr>
        <w:t xml:space="preserve"> </w:t>
      </w:r>
      <w:r w:rsidRPr="000A4B2B">
        <w:rPr>
          <w:rFonts w:eastAsia="Arial"/>
          <w:szCs w:val="24"/>
          <w:lang w:eastAsia="en-US"/>
        </w:rPr>
        <w:t>surgical correction</w:t>
      </w:r>
      <w:r w:rsidR="004A3A1C">
        <w:rPr>
          <w:rFonts w:eastAsia="Arial"/>
          <w:szCs w:val="24"/>
          <w:lang w:eastAsia="en-US"/>
        </w:rPr>
        <w:t>,</w:t>
      </w:r>
      <w:r>
        <w:rPr>
          <w:rFonts w:eastAsia="Arial"/>
          <w:szCs w:val="24"/>
          <w:lang w:eastAsia="en-US"/>
        </w:rPr>
        <w:t xml:space="preserve"> </w:t>
      </w:r>
      <w:r w:rsidRPr="000A4B2B">
        <w:rPr>
          <w:rFonts w:eastAsia="Arial"/>
          <w:szCs w:val="24"/>
          <w:lang w:eastAsia="en-US"/>
        </w:rPr>
        <w:t>and were at intermediate</w:t>
      </w:r>
      <w:r>
        <w:rPr>
          <w:rFonts w:eastAsia="Arial"/>
          <w:szCs w:val="24"/>
          <w:lang w:eastAsia="en-US"/>
        </w:rPr>
        <w:t xml:space="preserve"> </w:t>
      </w:r>
      <w:r w:rsidRPr="000A4B2B">
        <w:rPr>
          <w:rFonts w:eastAsia="Arial"/>
          <w:szCs w:val="24"/>
          <w:lang w:eastAsia="en-US"/>
        </w:rPr>
        <w:t>or greater surgical risk as determined by the local</w:t>
      </w:r>
      <w:r>
        <w:rPr>
          <w:rFonts w:eastAsia="Arial"/>
          <w:szCs w:val="24"/>
          <w:lang w:eastAsia="en-US"/>
        </w:rPr>
        <w:t xml:space="preserve"> </w:t>
      </w:r>
      <w:r w:rsidRPr="000A4B2B">
        <w:rPr>
          <w:rFonts w:eastAsia="Arial"/>
          <w:szCs w:val="24"/>
          <w:lang w:eastAsia="en-US"/>
        </w:rPr>
        <w:t>heart team</w:t>
      </w:r>
      <w:r>
        <w:rPr>
          <w:rFonts w:eastAsia="Arial"/>
          <w:szCs w:val="24"/>
          <w:lang w:eastAsia="en-US"/>
        </w:rPr>
        <w:t xml:space="preserve"> (Sorajja 2023).</w:t>
      </w:r>
    </w:p>
    <w:p w14:paraId="476076EB" w14:textId="77777777" w:rsidR="00715A69" w:rsidRPr="004A3A1C" w:rsidRDefault="00715A69" w:rsidP="00715A69">
      <w:pPr>
        <w:rPr>
          <w:rFonts w:eastAsia="Arial"/>
          <w:szCs w:val="24"/>
          <w:lang w:val="en-GB" w:eastAsia="en-US"/>
        </w:rPr>
      </w:pPr>
    </w:p>
    <w:p w14:paraId="01B27F30" w14:textId="6F4A0EAD" w:rsidR="00A81550" w:rsidRPr="001600EF" w:rsidRDefault="00A81550" w:rsidP="00A81550">
      <w:pPr>
        <w:pStyle w:val="Caption"/>
      </w:pPr>
      <w:bookmarkStart w:id="5" w:name="_Ref203489756"/>
      <w:bookmarkStart w:id="6" w:name="_Ref138773863"/>
      <w:bookmarkStart w:id="7" w:name="_Toc142054859"/>
      <w:r>
        <w:t xml:space="preserve">Table </w:t>
      </w:r>
      <w:r w:rsidR="00271544">
        <w:fldChar w:fldCharType="begin"/>
      </w:r>
      <w:r w:rsidR="00271544">
        <w:instrText xml:space="preserve"> SEQ Table \* ARABIC </w:instrText>
      </w:r>
      <w:r w:rsidR="00271544">
        <w:fldChar w:fldCharType="separate"/>
      </w:r>
      <w:r w:rsidR="00271544">
        <w:rPr>
          <w:noProof/>
        </w:rPr>
        <w:t>5</w:t>
      </w:r>
      <w:r w:rsidR="00271544">
        <w:rPr>
          <w:noProof/>
        </w:rPr>
        <w:fldChar w:fldCharType="end"/>
      </w:r>
      <w:bookmarkEnd w:id="5"/>
      <w:r w:rsidRPr="001600EF">
        <w:tab/>
      </w:r>
      <w:r>
        <w:t>Eligibility criteria of TRILUMINATE Pivotal trial</w:t>
      </w:r>
      <w:bookmarkEnd w:id="6"/>
      <w:bookmarkEnd w:id="7"/>
    </w:p>
    <w:tbl>
      <w:tblPr>
        <w:tblStyle w:val="TableGrid"/>
        <w:tblW w:w="9351" w:type="dxa"/>
        <w:tblLook w:val="04A0" w:firstRow="1" w:lastRow="0" w:firstColumn="1" w:lastColumn="0" w:noHBand="0" w:noVBand="1"/>
      </w:tblPr>
      <w:tblGrid>
        <w:gridCol w:w="4530"/>
        <w:gridCol w:w="4821"/>
      </w:tblGrid>
      <w:tr w:rsidR="00A81550" w:rsidRPr="00AF2CF8" w14:paraId="1CBCF9BA" w14:textId="77777777">
        <w:trPr>
          <w:tblHeader/>
        </w:trPr>
        <w:tc>
          <w:tcPr>
            <w:tcW w:w="4530" w:type="dxa"/>
            <w:shd w:val="clear" w:color="auto" w:fill="D9D9D9" w:themeFill="background1" w:themeFillShade="D9"/>
          </w:tcPr>
          <w:p w14:paraId="37C5FEEC" w14:textId="77777777" w:rsidR="00A81550" w:rsidRPr="00AF2CF8" w:rsidRDefault="00A81550" w:rsidP="00D62343">
            <w:pPr>
              <w:pStyle w:val="Tabletext1"/>
              <w:rPr>
                <w:b/>
              </w:rPr>
            </w:pPr>
            <w:r w:rsidRPr="00D62343">
              <w:rPr>
                <w:b/>
              </w:rPr>
              <w:t>Inclusion criteria</w:t>
            </w:r>
          </w:p>
        </w:tc>
        <w:tc>
          <w:tcPr>
            <w:tcW w:w="4821" w:type="dxa"/>
            <w:shd w:val="clear" w:color="auto" w:fill="D9D9D9" w:themeFill="background1" w:themeFillShade="D9"/>
          </w:tcPr>
          <w:p w14:paraId="41D17D34" w14:textId="77777777" w:rsidR="00A81550" w:rsidRPr="00AF2CF8" w:rsidRDefault="00A81550" w:rsidP="00D62343">
            <w:pPr>
              <w:pStyle w:val="Tabletext1"/>
              <w:rPr>
                <w:b/>
              </w:rPr>
            </w:pPr>
            <w:r w:rsidRPr="00D62343">
              <w:rPr>
                <w:b/>
              </w:rPr>
              <w:t>Exclusion criteria</w:t>
            </w:r>
          </w:p>
        </w:tc>
      </w:tr>
      <w:tr w:rsidR="00A81550" w:rsidRPr="001600EF" w14:paraId="5CF3E644" w14:textId="77777777">
        <w:trPr>
          <w:trHeight w:val="357"/>
        </w:trPr>
        <w:tc>
          <w:tcPr>
            <w:tcW w:w="4530" w:type="dxa"/>
            <w:vMerge w:val="restart"/>
          </w:tcPr>
          <w:p w14:paraId="18C51323" w14:textId="77777777" w:rsidR="00A81550" w:rsidRDefault="00A81550" w:rsidP="00D62343">
            <w:pPr>
              <w:pStyle w:val="Tabletext1"/>
              <w:rPr>
                <w:lang w:eastAsia="en-US"/>
              </w:rPr>
            </w:pPr>
            <w:r>
              <w:rPr>
                <w:lang w:eastAsia="en-US"/>
              </w:rPr>
              <w:t>In the judgement of the site local heart team, subject has been adequately treated per applicable standards (including medical managements) and stable for at least 30 days as follows:</w:t>
            </w:r>
          </w:p>
          <w:p w14:paraId="5B7BF2E4" w14:textId="21A14EE0" w:rsidR="00A81550" w:rsidRDefault="00A81550" w:rsidP="00D62343">
            <w:pPr>
              <w:pStyle w:val="Tabletext1"/>
              <w:rPr>
                <w:lang w:eastAsia="en-US"/>
              </w:rPr>
            </w:pPr>
            <w:r>
              <w:rPr>
                <w:lang w:eastAsia="en-US"/>
              </w:rPr>
              <w:t>Optimised medical therapy for treatment of TR (e</w:t>
            </w:r>
            <w:r w:rsidR="00BD7B47">
              <w:rPr>
                <w:lang w:eastAsia="en-US"/>
              </w:rPr>
              <w:t>.</w:t>
            </w:r>
            <w:r>
              <w:rPr>
                <w:lang w:eastAsia="en-US"/>
              </w:rPr>
              <w:t>g</w:t>
            </w:r>
            <w:r w:rsidR="0083522C">
              <w:rPr>
                <w:lang w:eastAsia="en-US"/>
              </w:rPr>
              <w:t>.</w:t>
            </w:r>
            <w:r>
              <w:rPr>
                <w:lang w:eastAsia="en-US"/>
              </w:rPr>
              <w:t>, diuretics)</w:t>
            </w:r>
          </w:p>
          <w:p w14:paraId="3D21F21D" w14:textId="77777777" w:rsidR="00A81550" w:rsidRDefault="00A81550" w:rsidP="00D62343">
            <w:pPr>
              <w:pStyle w:val="Tabletext1"/>
              <w:rPr>
                <w:lang w:eastAsia="en-US"/>
              </w:rPr>
            </w:pPr>
            <w:r>
              <w:rPr>
                <w:lang w:eastAsia="en-US"/>
              </w:rPr>
              <w:t>Medical and/or device therapy, for MR, AF, CAD, and HF</w:t>
            </w:r>
          </w:p>
          <w:p w14:paraId="5A5221D8" w14:textId="77777777" w:rsidR="00A81550" w:rsidRPr="001600EF" w:rsidRDefault="00A81550" w:rsidP="00D62343">
            <w:pPr>
              <w:pStyle w:val="Tabletext1"/>
              <w:rPr>
                <w:lang w:eastAsia="en-US"/>
              </w:rPr>
            </w:pPr>
            <w:r>
              <w:rPr>
                <w:lang w:eastAsia="en-US"/>
              </w:rPr>
              <w:t>The EC will confirm that the subject has been adequately treated medically</w:t>
            </w:r>
          </w:p>
        </w:tc>
        <w:tc>
          <w:tcPr>
            <w:tcW w:w="4821" w:type="dxa"/>
          </w:tcPr>
          <w:p w14:paraId="1BE9371C" w14:textId="77777777" w:rsidR="00A81550" w:rsidRPr="001600EF" w:rsidRDefault="00A81550" w:rsidP="00D62343">
            <w:pPr>
              <w:pStyle w:val="Tabletext1"/>
              <w:rPr>
                <w:lang w:eastAsia="en-US"/>
              </w:rPr>
            </w:pPr>
            <w:r>
              <w:rPr>
                <w:lang w:eastAsia="en-US"/>
              </w:rPr>
              <w:t>sPAP &gt;70mmHg or fixed pre-capillary pulmonary hypertension as assessed by RHC.</w:t>
            </w:r>
          </w:p>
        </w:tc>
      </w:tr>
      <w:tr w:rsidR="00A81550" w:rsidRPr="001600EF" w14:paraId="169FCE0D" w14:textId="77777777">
        <w:trPr>
          <w:trHeight w:val="377"/>
        </w:trPr>
        <w:tc>
          <w:tcPr>
            <w:tcW w:w="4530" w:type="dxa"/>
            <w:vMerge/>
          </w:tcPr>
          <w:p w14:paraId="13D5A848" w14:textId="77777777" w:rsidR="00A81550" w:rsidRDefault="00A81550" w:rsidP="00D62343">
            <w:pPr>
              <w:pStyle w:val="Tabletext1"/>
              <w:rPr>
                <w:lang w:eastAsia="en-US"/>
              </w:rPr>
            </w:pPr>
          </w:p>
        </w:tc>
        <w:tc>
          <w:tcPr>
            <w:tcW w:w="4821" w:type="dxa"/>
          </w:tcPr>
          <w:p w14:paraId="06A58303" w14:textId="77777777" w:rsidR="00A81550" w:rsidRDefault="00A81550" w:rsidP="00D62343">
            <w:pPr>
              <w:pStyle w:val="Tabletext1"/>
              <w:rPr>
                <w:lang w:eastAsia="en-US"/>
              </w:rPr>
            </w:pPr>
            <w:r>
              <w:rPr>
                <w:lang w:eastAsia="en-US"/>
              </w:rPr>
              <w:t>Severe uncontrolled hypertension SBP ≥180mmHg and/or DBP ≥110mmHg</w:t>
            </w:r>
          </w:p>
        </w:tc>
      </w:tr>
      <w:tr w:rsidR="00A81550" w:rsidRPr="001600EF" w14:paraId="737D240A" w14:textId="77777777">
        <w:trPr>
          <w:trHeight w:val="377"/>
        </w:trPr>
        <w:tc>
          <w:tcPr>
            <w:tcW w:w="4530" w:type="dxa"/>
            <w:vMerge/>
          </w:tcPr>
          <w:p w14:paraId="0BB098E6" w14:textId="77777777" w:rsidR="00A81550" w:rsidRDefault="00A81550" w:rsidP="00D62343">
            <w:pPr>
              <w:pStyle w:val="Tabletext1"/>
              <w:rPr>
                <w:lang w:eastAsia="en-US"/>
              </w:rPr>
            </w:pPr>
          </w:p>
        </w:tc>
        <w:tc>
          <w:tcPr>
            <w:tcW w:w="4821" w:type="dxa"/>
          </w:tcPr>
          <w:p w14:paraId="10E670AC" w14:textId="77777777" w:rsidR="00A81550" w:rsidRDefault="00A81550" w:rsidP="00D62343">
            <w:pPr>
              <w:pStyle w:val="Tabletext1"/>
              <w:rPr>
                <w:lang w:eastAsia="en-US"/>
              </w:rPr>
            </w:pPr>
            <w:r>
              <w:rPr>
                <w:lang w:eastAsia="en-US"/>
              </w:rPr>
              <w:t>Any prior tricuspid valve procedure that would interfere with placement of the TriClip</w:t>
            </w:r>
            <w:r w:rsidRPr="0075624D">
              <w:rPr>
                <w:vertAlign w:val="superscript"/>
                <w:lang w:eastAsia="en-US"/>
              </w:rPr>
              <w:t>TM</w:t>
            </w:r>
            <w:r>
              <w:rPr>
                <w:lang w:eastAsia="en-US"/>
              </w:rPr>
              <w:t xml:space="preserve"> device</w:t>
            </w:r>
          </w:p>
        </w:tc>
      </w:tr>
      <w:tr w:rsidR="00A81550" w:rsidRPr="001600EF" w14:paraId="799F5D41" w14:textId="77777777">
        <w:trPr>
          <w:trHeight w:val="377"/>
        </w:trPr>
        <w:tc>
          <w:tcPr>
            <w:tcW w:w="4530" w:type="dxa"/>
            <w:vMerge/>
          </w:tcPr>
          <w:p w14:paraId="22DC7E42" w14:textId="77777777" w:rsidR="00A81550" w:rsidRDefault="00A81550" w:rsidP="00D62343">
            <w:pPr>
              <w:pStyle w:val="Tabletext1"/>
              <w:rPr>
                <w:lang w:eastAsia="en-US"/>
              </w:rPr>
            </w:pPr>
          </w:p>
        </w:tc>
        <w:tc>
          <w:tcPr>
            <w:tcW w:w="4821" w:type="dxa"/>
          </w:tcPr>
          <w:p w14:paraId="7FE46FBB" w14:textId="385B5B9D" w:rsidR="00A81550" w:rsidRDefault="00A81550" w:rsidP="00D62343">
            <w:pPr>
              <w:pStyle w:val="Tabletext1"/>
              <w:rPr>
                <w:lang w:eastAsia="en-US"/>
              </w:rPr>
            </w:pPr>
            <w:r>
              <w:rPr>
                <w:lang w:eastAsia="en-US"/>
              </w:rPr>
              <w:t>Indication for left-sided (e</w:t>
            </w:r>
            <w:r w:rsidR="001E2ECA">
              <w:rPr>
                <w:lang w:eastAsia="en-US"/>
              </w:rPr>
              <w:t>.</w:t>
            </w:r>
            <w:r>
              <w:rPr>
                <w:lang w:eastAsia="en-US"/>
              </w:rPr>
              <w:t>g</w:t>
            </w:r>
            <w:r w:rsidR="001E2ECA">
              <w:rPr>
                <w:lang w:eastAsia="en-US"/>
              </w:rPr>
              <w:t>.</w:t>
            </w:r>
            <w:r>
              <w:rPr>
                <w:lang w:eastAsia="en-US"/>
              </w:rPr>
              <w:t>, severe aortic stenosis, severe MR) or pulmonary valve correction prior 60 days. Note: Patients with concomitant mitral and tricuspid valve disease will have the option of getting their MR treated, and wait 60 days prior to being reassessed for the trial</w:t>
            </w:r>
            <w:r w:rsidR="00652D0D">
              <w:rPr>
                <w:lang w:eastAsia="en-US"/>
              </w:rPr>
              <w:t>.</w:t>
            </w:r>
          </w:p>
        </w:tc>
      </w:tr>
      <w:tr w:rsidR="00A81550" w:rsidRPr="001600EF" w14:paraId="61BB4029" w14:textId="77777777">
        <w:trPr>
          <w:trHeight w:val="355"/>
        </w:trPr>
        <w:tc>
          <w:tcPr>
            <w:tcW w:w="4530" w:type="dxa"/>
          </w:tcPr>
          <w:p w14:paraId="71C97E6C" w14:textId="77777777" w:rsidR="00A81550" w:rsidRDefault="00A81550" w:rsidP="00D62343">
            <w:pPr>
              <w:pStyle w:val="Tabletext1"/>
              <w:rPr>
                <w:lang w:eastAsia="en-US"/>
              </w:rPr>
            </w:pPr>
            <w:r>
              <w:rPr>
                <w:lang w:eastAsia="en-US"/>
              </w:rPr>
              <w:t>Subject is symptomatic with severe TR despite being optimally treated. TR severity is determined by the assessment of a qualifying TTE and confirmed by the ECL. The ECL will also request a TEE to confirm TR aetiology</w:t>
            </w:r>
          </w:p>
        </w:tc>
        <w:tc>
          <w:tcPr>
            <w:tcW w:w="4821" w:type="dxa"/>
          </w:tcPr>
          <w:p w14:paraId="5A03E028" w14:textId="77777777" w:rsidR="00A81550" w:rsidRDefault="00A81550" w:rsidP="00D62343">
            <w:pPr>
              <w:pStyle w:val="Tabletext1"/>
              <w:rPr>
                <w:lang w:eastAsia="en-US"/>
              </w:rPr>
            </w:pPr>
            <w:r>
              <w:rPr>
                <w:lang w:eastAsia="en-US"/>
              </w:rPr>
              <w:t>Pacemaker or ICD leads that would prevent appropriate placements of the TriClip</w:t>
            </w:r>
            <w:r w:rsidRPr="0075624D">
              <w:rPr>
                <w:vertAlign w:val="superscript"/>
                <w:lang w:eastAsia="en-US"/>
              </w:rPr>
              <w:t>TM</w:t>
            </w:r>
            <w:r>
              <w:rPr>
                <w:lang w:eastAsia="en-US"/>
              </w:rPr>
              <w:t xml:space="preserve"> Clip.</w:t>
            </w:r>
          </w:p>
        </w:tc>
      </w:tr>
      <w:tr w:rsidR="00A81550" w:rsidRPr="001600EF" w14:paraId="442D228B" w14:textId="77777777">
        <w:trPr>
          <w:trHeight w:val="415"/>
        </w:trPr>
        <w:tc>
          <w:tcPr>
            <w:tcW w:w="4530" w:type="dxa"/>
          </w:tcPr>
          <w:p w14:paraId="679958BB" w14:textId="77777777" w:rsidR="00A81550" w:rsidRDefault="00A81550" w:rsidP="00D62343">
            <w:pPr>
              <w:pStyle w:val="Tabletext1"/>
              <w:rPr>
                <w:lang w:eastAsia="en-US"/>
              </w:rPr>
            </w:pPr>
            <w:r>
              <w:rPr>
                <w:lang w:eastAsia="en-US"/>
              </w:rPr>
              <w:t>The cardiac surgeon of the site local heart team occur that the patient is at intermediate or greater estimated risk for mortality or morbidity with tricuspid valve surgery</w:t>
            </w:r>
          </w:p>
        </w:tc>
        <w:tc>
          <w:tcPr>
            <w:tcW w:w="4821" w:type="dxa"/>
          </w:tcPr>
          <w:p w14:paraId="00EDF719" w14:textId="77777777" w:rsidR="00A81550" w:rsidRDefault="00A81550" w:rsidP="00D62343">
            <w:pPr>
              <w:pStyle w:val="Tabletext1"/>
              <w:rPr>
                <w:lang w:eastAsia="en-US"/>
              </w:rPr>
            </w:pPr>
            <w:r>
              <w:rPr>
                <w:lang w:eastAsia="en-US"/>
              </w:rPr>
              <w:t>Tricuspid valve stenosis – defined as a tricuspid valve orifice of ≤1.0cm</w:t>
            </w:r>
            <w:r w:rsidRPr="0075624D">
              <w:rPr>
                <w:vertAlign w:val="superscript"/>
                <w:lang w:eastAsia="en-US"/>
              </w:rPr>
              <w:t>2</w:t>
            </w:r>
            <w:r>
              <w:rPr>
                <w:lang w:eastAsia="en-US"/>
              </w:rPr>
              <w:t xml:space="preserve"> and/or mean gradient ≥5mmHg as measured by the ECL</w:t>
            </w:r>
          </w:p>
        </w:tc>
      </w:tr>
      <w:tr w:rsidR="00A81550" w:rsidRPr="001600EF" w14:paraId="546995CC" w14:textId="77777777">
        <w:trPr>
          <w:trHeight w:val="415"/>
        </w:trPr>
        <w:tc>
          <w:tcPr>
            <w:tcW w:w="4530" w:type="dxa"/>
          </w:tcPr>
          <w:p w14:paraId="12930BA3" w14:textId="77777777" w:rsidR="00A81550" w:rsidRDefault="00A81550" w:rsidP="00D62343">
            <w:pPr>
              <w:pStyle w:val="Tabletext1"/>
              <w:rPr>
                <w:lang w:eastAsia="en-US"/>
              </w:rPr>
            </w:pPr>
            <w:r>
              <w:rPr>
                <w:lang w:eastAsia="en-US"/>
              </w:rPr>
              <w:t>NYHA Functional Class II, III or ambulatory class IV</w:t>
            </w:r>
          </w:p>
        </w:tc>
        <w:tc>
          <w:tcPr>
            <w:tcW w:w="4821" w:type="dxa"/>
          </w:tcPr>
          <w:p w14:paraId="2E3222B0" w14:textId="77777777" w:rsidR="00A81550" w:rsidRDefault="00A81550" w:rsidP="00D62343">
            <w:pPr>
              <w:pStyle w:val="Tabletext1"/>
              <w:rPr>
                <w:lang w:eastAsia="en-US"/>
              </w:rPr>
            </w:pPr>
            <w:r>
              <w:rPr>
                <w:lang w:eastAsia="en-US"/>
              </w:rPr>
              <w:t>LVEF≤20%</w:t>
            </w:r>
          </w:p>
        </w:tc>
      </w:tr>
      <w:tr w:rsidR="00A81550" w:rsidRPr="001600EF" w14:paraId="64E7C66F" w14:textId="77777777">
        <w:trPr>
          <w:trHeight w:val="324"/>
        </w:trPr>
        <w:tc>
          <w:tcPr>
            <w:tcW w:w="4530" w:type="dxa"/>
          </w:tcPr>
          <w:p w14:paraId="71A4A778" w14:textId="77777777" w:rsidR="00A81550" w:rsidRPr="001600EF" w:rsidRDefault="00A81550" w:rsidP="00D62343">
            <w:pPr>
              <w:pStyle w:val="Tabletext1"/>
              <w:rPr>
                <w:lang w:eastAsia="en-US"/>
              </w:rPr>
            </w:pPr>
            <w:r>
              <w:rPr>
                <w:lang w:eastAsia="en-US"/>
              </w:rPr>
              <w:t>In the judgement of the TriClip</w:t>
            </w:r>
            <w:r w:rsidRPr="00610116">
              <w:rPr>
                <w:vertAlign w:val="superscript"/>
                <w:lang w:eastAsia="en-US"/>
              </w:rPr>
              <w:t>TM</w:t>
            </w:r>
            <w:r>
              <w:rPr>
                <w:lang w:eastAsia="en-US"/>
              </w:rPr>
              <w:t xml:space="preserve"> implanting Investigator, femoral vein access is determined to be feasible and can accommodate a 25 French catheter</w:t>
            </w:r>
          </w:p>
        </w:tc>
        <w:tc>
          <w:tcPr>
            <w:tcW w:w="4821" w:type="dxa"/>
          </w:tcPr>
          <w:p w14:paraId="54B9AA2B" w14:textId="77777777" w:rsidR="00A81550" w:rsidRDefault="00A81550" w:rsidP="00D62343">
            <w:pPr>
              <w:pStyle w:val="Tabletext1"/>
              <w:rPr>
                <w:lang w:eastAsia="en-US"/>
              </w:rPr>
            </w:pPr>
            <w:r>
              <w:rPr>
                <w:lang w:eastAsia="en-US"/>
              </w:rPr>
              <w:t>Tricuspid valve leaflet anatomy which may preclude clip implantation, proper clip positioning on the leaflets or sufficient reduction in TR. This may include:</w:t>
            </w:r>
          </w:p>
          <w:p w14:paraId="71C20BF5" w14:textId="77777777" w:rsidR="00A81550" w:rsidRDefault="00A81550" w:rsidP="00D62343">
            <w:pPr>
              <w:pStyle w:val="Tabletext1"/>
              <w:rPr>
                <w:lang w:eastAsia="en-US"/>
              </w:rPr>
            </w:pPr>
            <w:r>
              <w:rPr>
                <w:lang w:eastAsia="en-US"/>
              </w:rPr>
              <w:t>Evidence of calcification in the grasping area</w:t>
            </w:r>
          </w:p>
          <w:p w14:paraId="3C51BC20" w14:textId="77777777" w:rsidR="00A81550" w:rsidRDefault="00A81550" w:rsidP="00D62343">
            <w:pPr>
              <w:pStyle w:val="Tabletext1"/>
              <w:rPr>
                <w:lang w:eastAsia="en-US"/>
              </w:rPr>
            </w:pPr>
            <w:r>
              <w:rPr>
                <w:lang w:eastAsia="en-US"/>
              </w:rPr>
              <w:t xml:space="preserve">Presence of a severe coaptation defect </w:t>
            </w:r>
            <w:r>
              <w:rPr>
                <w:lang w:eastAsia="en-US"/>
              </w:rPr>
              <w:br/>
              <w:t>(&gt;2cm) of the tricuspid leaflets</w:t>
            </w:r>
          </w:p>
          <w:p w14:paraId="26AAF6DC" w14:textId="77777777" w:rsidR="00A81550" w:rsidRDefault="00A81550" w:rsidP="00D62343">
            <w:pPr>
              <w:pStyle w:val="Tabletext1"/>
              <w:rPr>
                <w:lang w:eastAsia="en-US"/>
              </w:rPr>
            </w:pPr>
            <w:r>
              <w:rPr>
                <w:lang w:eastAsia="en-US"/>
              </w:rPr>
              <w:t>Severe leaflet defect(s) preventing proper device placement</w:t>
            </w:r>
          </w:p>
          <w:p w14:paraId="07CD2A98" w14:textId="77777777" w:rsidR="00A81550" w:rsidRPr="001600EF" w:rsidRDefault="00A81550" w:rsidP="00D62343">
            <w:pPr>
              <w:pStyle w:val="Tabletext1"/>
              <w:rPr>
                <w:lang w:eastAsia="en-US"/>
              </w:rPr>
            </w:pPr>
            <w:r>
              <w:rPr>
                <w:lang w:eastAsia="en-US"/>
              </w:rPr>
              <w:t>Ebstein Anomaly – identified by having a normal annulus position while the valve leaflets are attached to the walls and septum of the RV.</w:t>
            </w:r>
          </w:p>
        </w:tc>
      </w:tr>
      <w:tr w:rsidR="00A81550" w:rsidRPr="001600EF" w14:paraId="6595B56F" w14:textId="77777777">
        <w:trPr>
          <w:trHeight w:val="324"/>
        </w:trPr>
        <w:tc>
          <w:tcPr>
            <w:tcW w:w="4530" w:type="dxa"/>
          </w:tcPr>
          <w:p w14:paraId="2AB47986" w14:textId="77777777" w:rsidR="00A81550" w:rsidRDefault="00A81550" w:rsidP="00D62343">
            <w:pPr>
              <w:pStyle w:val="Tabletext1"/>
              <w:rPr>
                <w:lang w:eastAsia="en-US"/>
              </w:rPr>
            </w:pPr>
            <w:r>
              <w:rPr>
                <w:lang w:eastAsia="en-US"/>
              </w:rPr>
              <w:t>Age ≥18 years at time of consent</w:t>
            </w:r>
          </w:p>
        </w:tc>
        <w:tc>
          <w:tcPr>
            <w:tcW w:w="4821" w:type="dxa"/>
          </w:tcPr>
          <w:p w14:paraId="68A6E46A" w14:textId="77777777" w:rsidR="00A81550" w:rsidRDefault="00A81550" w:rsidP="00D62343">
            <w:pPr>
              <w:pStyle w:val="Tabletext1"/>
              <w:rPr>
                <w:lang w:eastAsia="en-US"/>
              </w:rPr>
            </w:pPr>
            <w:r>
              <w:rPr>
                <w:lang w:eastAsia="en-US"/>
              </w:rPr>
              <w:t>Tricuspid valve anatomy not evaluable by the TTE and TEE</w:t>
            </w:r>
          </w:p>
        </w:tc>
      </w:tr>
    </w:tbl>
    <w:p w14:paraId="3B5E57FD" w14:textId="3B533738" w:rsidR="00A81550" w:rsidRDefault="00A81550" w:rsidP="00A81550">
      <w:pPr>
        <w:pStyle w:val="NoteHeading"/>
      </w:pPr>
      <w:bookmarkStart w:id="8" w:name="_Hlk136601129"/>
      <w:r w:rsidRPr="001F7AF1">
        <w:t>Abbreviations</w:t>
      </w:r>
      <w:bookmarkEnd w:id="8"/>
      <w:r>
        <w:t xml:space="preserve">: </w:t>
      </w:r>
      <w:r w:rsidR="0094319D">
        <w:t xml:space="preserve">AF, atrial fibrillation; CAD, coronary artery disease; </w:t>
      </w:r>
      <w:r w:rsidR="001D13E6">
        <w:t xml:space="preserve">DBP, Diastolic Blood Pressure; </w:t>
      </w:r>
      <w:r w:rsidR="0094319D">
        <w:t>EC, executive committee; ECL, Echocardiography Core Lab;</w:t>
      </w:r>
      <w:r w:rsidR="001D13E6" w:rsidRPr="001D13E6">
        <w:t xml:space="preserve"> </w:t>
      </w:r>
      <w:r w:rsidR="001D13E6">
        <w:t>GI, gastrointestinal;</w:t>
      </w:r>
      <w:r w:rsidR="0094319D">
        <w:t xml:space="preserve"> HF, heart disease; </w:t>
      </w:r>
      <w:r w:rsidR="001D13E6">
        <w:t xml:space="preserve">ICD, implantable cardioverter-defibrillator; IVC, inferior vena cava; LVEF, Left Ventricular Ejection Fraction; MI, myocardial infarction; </w:t>
      </w:r>
      <w:r>
        <w:t xml:space="preserve">MR, mitral valve regurgitation; </w:t>
      </w:r>
      <w:r w:rsidR="00085CB2">
        <w:t>NYHA, New York Heart Association;</w:t>
      </w:r>
      <w:r w:rsidR="00085CB2" w:rsidRPr="00085CB2">
        <w:t xml:space="preserve"> </w:t>
      </w:r>
      <w:r w:rsidR="00085CB2">
        <w:t xml:space="preserve">RHC, right heart catheterisation; </w:t>
      </w:r>
      <w:r w:rsidR="001D13E6">
        <w:t xml:space="preserve">RV, right ventricle; </w:t>
      </w:r>
      <w:r w:rsidR="00085CB2">
        <w:t xml:space="preserve">SBP, Systolic Blood Pressure; sPAP, systolic pulmonary arterial pressure; TEE, transesophageal echocardiogram; TR, tricuspid regurgitation; </w:t>
      </w:r>
      <w:r>
        <w:t>TTE, transthoracic echocardiogram</w:t>
      </w:r>
    </w:p>
    <w:p w14:paraId="2D6257A2" w14:textId="77777777" w:rsidR="00A81550" w:rsidRDefault="00A81550" w:rsidP="00A81550">
      <w:pPr>
        <w:pStyle w:val="NoteHeading"/>
        <w:rPr>
          <w:szCs w:val="18"/>
        </w:rPr>
      </w:pPr>
      <w:r>
        <w:rPr>
          <w:szCs w:val="18"/>
        </w:rPr>
        <w:t>Source: Sorajja (2023), Supplementary Appendix Table S2 pg. 25-26</w:t>
      </w:r>
    </w:p>
    <w:p w14:paraId="30C8A9B6" w14:textId="77777777" w:rsidR="00A81550" w:rsidRDefault="00A81550" w:rsidP="00715A69"/>
    <w:p w14:paraId="25BFE335" w14:textId="7772410E" w:rsidR="00A81550" w:rsidRDefault="00A81550" w:rsidP="008B0FEC">
      <w:pPr>
        <w:pStyle w:val="BodyText"/>
      </w:pPr>
      <w:r>
        <w:t xml:space="preserve">The baseline characteristics of the trial population </w:t>
      </w:r>
      <w:r w:rsidR="00E23A57">
        <w:t xml:space="preserve">is provided in </w:t>
      </w:r>
      <w:r w:rsidR="00135627">
        <w:fldChar w:fldCharType="begin"/>
      </w:r>
      <w:r w:rsidR="00135627">
        <w:instrText xml:space="preserve"> REF _Ref203981262 \h </w:instrText>
      </w:r>
      <w:r w:rsidR="00715A69">
        <w:instrText xml:space="preserve"> \* MERGEFORMAT </w:instrText>
      </w:r>
      <w:r w:rsidR="00135627">
        <w:fldChar w:fldCharType="separate"/>
      </w:r>
      <w:r w:rsidR="00135627">
        <w:t xml:space="preserve">Table </w:t>
      </w:r>
      <w:r w:rsidR="00135627">
        <w:rPr>
          <w:noProof/>
        </w:rPr>
        <w:t>6</w:t>
      </w:r>
      <w:r w:rsidR="00135627">
        <w:fldChar w:fldCharType="end"/>
      </w:r>
      <w:r>
        <w:t xml:space="preserve">. Most patients in the trial </w:t>
      </w:r>
      <w:r w:rsidR="00E23A57" w:rsidRPr="00B80718">
        <w:t>had functional TR (</w:t>
      </w:r>
      <w:r w:rsidR="00B80718" w:rsidRPr="00B80718">
        <w:t xml:space="preserve">TriClip vs OMT: </w:t>
      </w:r>
      <w:r w:rsidR="00B271EB" w:rsidRPr="00B80718">
        <w:t xml:space="preserve">94.8% </w:t>
      </w:r>
      <w:r w:rsidR="00B80718" w:rsidRPr="00B80718">
        <w:t>vs</w:t>
      </w:r>
      <w:r w:rsidR="00B271EB" w:rsidRPr="00B80718">
        <w:t xml:space="preserve"> 92.9%)</w:t>
      </w:r>
      <w:r w:rsidR="00C6483B" w:rsidRPr="00B80718">
        <w:t>,</w:t>
      </w:r>
      <w:r w:rsidR="00E23A57" w:rsidRPr="00B80718">
        <w:t xml:space="preserve"> </w:t>
      </w:r>
      <w:r w:rsidRPr="00B80718">
        <w:t>experienced AF (87.5%</w:t>
      </w:r>
      <w:r w:rsidR="00B80718" w:rsidRPr="00B80718">
        <w:t xml:space="preserve"> vs</w:t>
      </w:r>
      <w:r w:rsidRPr="00B80718">
        <w:t xml:space="preserve"> 92.6%)</w:t>
      </w:r>
      <w:r w:rsidR="00C6483B" w:rsidRPr="00B80718">
        <w:t xml:space="preserve">, had </w:t>
      </w:r>
      <w:r w:rsidRPr="00B80718">
        <w:t>LVEF</w:t>
      </w:r>
      <w:r w:rsidRPr="00C33FF8">
        <w:t xml:space="preserve"> </w:t>
      </w:r>
      <w:r w:rsidR="00B80718">
        <w:t>around 60% (</w:t>
      </w:r>
      <w:r w:rsidRPr="00C33FF8">
        <w:t xml:space="preserve">levels </w:t>
      </w:r>
      <w:r>
        <w:t>59.3%</w:t>
      </w:r>
      <w:r w:rsidR="0039002E">
        <w:t xml:space="preserve"> </w:t>
      </w:r>
      <w:r w:rsidR="00B80718">
        <w:t>vs</w:t>
      </w:r>
      <w:r>
        <w:t xml:space="preserve"> 58.7%</w:t>
      </w:r>
      <w:r w:rsidR="00B80718">
        <w:t>)</w:t>
      </w:r>
      <w:r>
        <w:t xml:space="preserve"> and sPAP </w:t>
      </w:r>
      <w:r w:rsidR="0039002E">
        <w:t>of</w:t>
      </w:r>
      <w:r>
        <w:t xml:space="preserve"> </w:t>
      </w:r>
      <w:r w:rsidR="00B80718">
        <w:t>around 40 mmHg (</w:t>
      </w:r>
      <w:r>
        <w:t>39.7 mmHg</w:t>
      </w:r>
      <w:r w:rsidR="0039002E">
        <w:t xml:space="preserve"> </w:t>
      </w:r>
      <w:r w:rsidR="00B80718">
        <w:t xml:space="preserve">vs </w:t>
      </w:r>
      <w:r>
        <w:t>40.1 mmHg</w:t>
      </w:r>
      <w:r w:rsidR="00B80718">
        <w:t>).</w:t>
      </w:r>
    </w:p>
    <w:p w14:paraId="29142097" w14:textId="77777777" w:rsidR="00E23A57" w:rsidRDefault="00E23A57" w:rsidP="00715A69"/>
    <w:p w14:paraId="720D5216" w14:textId="6C3147D9" w:rsidR="00A81550" w:rsidRPr="001600EF" w:rsidRDefault="00A81550" w:rsidP="00A81550">
      <w:pPr>
        <w:pStyle w:val="Caption"/>
      </w:pPr>
      <w:bookmarkStart w:id="9" w:name="_Ref203981262"/>
      <w:bookmarkStart w:id="10" w:name="_Ref138773864"/>
      <w:bookmarkStart w:id="11" w:name="_Toc142054860"/>
      <w:r>
        <w:t xml:space="preserve">Table </w:t>
      </w:r>
      <w:r w:rsidR="00271544">
        <w:fldChar w:fldCharType="begin"/>
      </w:r>
      <w:r w:rsidR="00271544">
        <w:instrText xml:space="preserve"> SEQ Table \* ARABIC </w:instrText>
      </w:r>
      <w:r w:rsidR="00271544">
        <w:fldChar w:fldCharType="separate"/>
      </w:r>
      <w:r w:rsidR="00271544">
        <w:rPr>
          <w:noProof/>
        </w:rPr>
        <w:t>6</w:t>
      </w:r>
      <w:r w:rsidR="00271544">
        <w:rPr>
          <w:noProof/>
        </w:rPr>
        <w:fldChar w:fldCharType="end"/>
      </w:r>
      <w:bookmarkEnd w:id="9"/>
      <w:r w:rsidRPr="001600EF">
        <w:tab/>
      </w:r>
      <w:r>
        <w:t>Baseline characteristics: TRILUMINATE Pivotal</w:t>
      </w:r>
      <w:bookmarkEnd w:id="10"/>
      <w:bookmarkEnd w:id="11"/>
    </w:p>
    <w:tbl>
      <w:tblPr>
        <w:tblStyle w:val="TableGrid"/>
        <w:tblW w:w="0" w:type="auto"/>
        <w:tblLook w:val="04A0" w:firstRow="1" w:lastRow="0" w:firstColumn="1" w:lastColumn="0" w:noHBand="0" w:noVBand="1"/>
      </w:tblPr>
      <w:tblGrid>
        <w:gridCol w:w="5240"/>
        <w:gridCol w:w="1985"/>
        <w:gridCol w:w="1791"/>
      </w:tblGrid>
      <w:tr w:rsidR="00A81550" w:rsidRPr="00AF2CF8" w14:paraId="336E0776" w14:textId="77777777">
        <w:trPr>
          <w:tblHeader/>
        </w:trPr>
        <w:tc>
          <w:tcPr>
            <w:tcW w:w="5240" w:type="dxa"/>
            <w:shd w:val="clear" w:color="auto" w:fill="D9D9D9" w:themeFill="background1" w:themeFillShade="D9"/>
          </w:tcPr>
          <w:p w14:paraId="0412FD66" w14:textId="77777777" w:rsidR="00A81550" w:rsidRPr="00AF2CF8" w:rsidRDefault="00A81550" w:rsidP="00D62343">
            <w:pPr>
              <w:pStyle w:val="Tabletext1"/>
              <w:rPr>
                <w:b/>
              </w:rPr>
            </w:pPr>
            <w:r w:rsidRPr="00D62343">
              <w:rPr>
                <w:b/>
              </w:rPr>
              <w:t>Characteristics of</w:t>
            </w:r>
            <w:r w:rsidRPr="00463B80">
              <w:rPr>
                <w:b/>
              </w:rPr>
              <w:t xml:space="preserve"> the Patients at Baseline</w:t>
            </w:r>
          </w:p>
        </w:tc>
        <w:tc>
          <w:tcPr>
            <w:tcW w:w="1985" w:type="dxa"/>
            <w:shd w:val="clear" w:color="auto" w:fill="D9D9D9" w:themeFill="background1" w:themeFillShade="D9"/>
          </w:tcPr>
          <w:p w14:paraId="678FD8A4" w14:textId="77777777" w:rsidR="00A81550" w:rsidRPr="00AF2CF8" w:rsidRDefault="00A81550" w:rsidP="00D62343">
            <w:pPr>
              <w:pStyle w:val="Tabletext1"/>
              <w:rPr>
                <w:b/>
              </w:rPr>
            </w:pPr>
            <w:r w:rsidRPr="00D62343">
              <w:rPr>
                <w:b/>
              </w:rPr>
              <w:t>TriClip</w:t>
            </w:r>
            <w:r w:rsidRPr="0075624D">
              <w:rPr>
                <w:vertAlign w:val="superscript"/>
              </w:rPr>
              <w:t>TM</w:t>
            </w:r>
          </w:p>
        </w:tc>
        <w:tc>
          <w:tcPr>
            <w:tcW w:w="1791" w:type="dxa"/>
            <w:shd w:val="clear" w:color="auto" w:fill="D9D9D9" w:themeFill="background1" w:themeFillShade="D9"/>
          </w:tcPr>
          <w:p w14:paraId="1476FA53" w14:textId="77777777" w:rsidR="00A81550" w:rsidRDefault="00A81550" w:rsidP="00D62343">
            <w:pPr>
              <w:pStyle w:val="Tabletext1"/>
              <w:rPr>
                <w:b/>
              </w:rPr>
            </w:pPr>
            <w:r w:rsidRPr="00D62343">
              <w:rPr>
                <w:b/>
              </w:rPr>
              <w:t>OMT</w:t>
            </w:r>
          </w:p>
        </w:tc>
      </w:tr>
      <w:tr w:rsidR="00A81550" w:rsidRPr="001600EF" w14:paraId="2115D7F6" w14:textId="77777777">
        <w:trPr>
          <w:trHeight w:val="275"/>
        </w:trPr>
        <w:tc>
          <w:tcPr>
            <w:tcW w:w="5240" w:type="dxa"/>
          </w:tcPr>
          <w:p w14:paraId="1F211462" w14:textId="77777777" w:rsidR="00A81550" w:rsidRPr="001600EF" w:rsidRDefault="00A81550" w:rsidP="00D62343">
            <w:pPr>
              <w:pStyle w:val="Tabletext1"/>
              <w:rPr>
                <w:lang w:eastAsia="en-US"/>
              </w:rPr>
            </w:pPr>
            <w:r>
              <w:rPr>
                <w:lang w:eastAsia="en-US"/>
              </w:rPr>
              <w:t>Age (years), mean ± SD</w:t>
            </w:r>
          </w:p>
        </w:tc>
        <w:tc>
          <w:tcPr>
            <w:tcW w:w="1985" w:type="dxa"/>
          </w:tcPr>
          <w:p w14:paraId="5317B743" w14:textId="77777777" w:rsidR="00A81550" w:rsidRPr="001600EF" w:rsidRDefault="00A81550" w:rsidP="00D62343">
            <w:pPr>
              <w:pStyle w:val="Tabletext1"/>
              <w:rPr>
                <w:lang w:eastAsia="en-US"/>
              </w:rPr>
            </w:pPr>
            <w:r>
              <w:rPr>
                <w:lang w:eastAsia="en-US"/>
              </w:rPr>
              <w:t>78.0±7.4</w:t>
            </w:r>
          </w:p>
        </w:tc>
        <w:tc>
          <w:tcPr>
            <w:tcW w:w="1791" w:type="dxa"/>
          </w:tcPr>
          <w:p w14:paraId="4FDE6001" w14:textId="77777777" w:rsidR="00A81550" w:rsidRPr="001600EF" w:rsidRDefault="00A81550" w:rsidP="00D62343">
            <w:pPr>
              <w:pStyle w:val="Tabletext1"/>
              <w:rPr>
                <w:lang w:eastAsia="en-US"/>
              </w:rPr>
            </w:pPr>
            <w:r>
              <w:rPr>
                <w:lang w:eastAsia="en-US"/>
              </w:rPr>
              <w:t>77.8±7.2</w:t>
            </w:r>
          </w:p>
        </w:tc>
      </w:tr>
      <w:tr w:rsidR="00A81550" w:rsidRPr="001600EF" w14:paraId="17C8BA90" w14:textId="77777777">
        <w:trPr>
          <w:trHeight w:val="70"/>
        </w:trPr>
        <w:tc>
          <w:tcPr>
            <w:tcW w:w="5240" w:type="dxa"/>
          </w:tcPr>
          <w:p w14:paraId="5E0ACAC9" w14:textId="77777777" w:rsidR="00A81550" w:rsidRPr="001600EF" w:rsidRDefault="00A81550" w:rsidP="00D62343">
            <w:pPr>
              <w:pStyle w:val="Tabletext1"/>
              <w:rPr>
                <w:lang w:eastAsia="en-US"/>
              </w:rPr>
            </w:pPr>
            <w:r>
              <w:rPr>
                <w:lang w:eastAsia="en-US"/>
              </w:rPr>
              <w:t>Female sex, n (%)</w:t>
            </w:r>
          </w:p>
        </w:tc>
        <w:tc>
          <w:tcPr>
            <w:tcW w:w="1985" w:type="dxa"/>
          </w:tcPr>
          <w:p w14:paraId="5F1279BA" w14:textId="77777777" w:rsidR="00A81550" w:rsidRPr="001600EF" w:rsidRDefault="00A81550" w:rsidP="00D62343">
            <w:pPr>
              <w:pStyle w:val="Tabletext1"/>
              <w:rPr>
                <w:lang w:eastAsia="en-US"/>
              </w:rPr>
            </w:pPr>
            <w:r>
              <w:rPr>
                <w:lang w:eastAsia="en-US"/>
              </w:rPr>
              <w:t>98 (56.0)</w:t>
            </w:r>
          </w:p>
        </w:tc>
        <w:tc>
          <w:tcPr>
            <w:tcW w:w="1791" w:type="dxa"/>
          </w:tcPr>
          <w:p w14:paraId="62D4C64F" w14:textId="77777777" w:rsidR="00A81550" w:rsidRPr="001600EF" w:rsidRDefault="00A81550" w:rsidP="00D62343">
            <w:pPr>
              <w:pStyle w:val="Tabletext1"/>
              <w:rPr>
                <w:lang w:eastAsia="en-US"/>
              </w:rPr>
            </w:pPr>
            <w:r>
              <w:rPr>
                <w:lang w:eastAsia="en-US"/>
              </w:rPr>
              <w:t>94 (53.7)</w:t>
            </w:r>
          </w:p>
        </w:tc>
      </w:tr>
      <w:tr w:rsidR="00A81550" w:rsidRPr="001600EF" w14:paraId="7821E75D" w14:textId="77777777">
        <w:tc>
          <w:tcPr>
            <w:tcW w:w="5240" w:type="dxa"/>
          </w:tcPr>
          <w:p w14:paraId="0AA9F571" w14:textId="77777777" w:rsidR="00A81550" w:rsidRPr="001600EF" w:rsidRDefault="00A81550" w:rsidP="00D62343">
            <w:pPr>
              <w:pStyle w:val="Tabletext1"/>
              <w:rPr>
                <w:lang w:eastAsia="en-US"/>
              </w:rPr>
            </w:pPr>
            <w:r>
              <w:rPr>
                <w:lang w:eastAsia="en-US"/>
              </w:rPr>
              <w:t>New York Heart Association Class III or IV, n (%)</w:t>
            </w:r>
          </w:p>
        </w:tc>
        <w:tc>
          <w:tcPr>
            <w:tcW w:w="1985" w:type="dxa"/>
          </w:tcPr>
          <w:p w14:paraId="35399C56" w14:textId="77777777" w:rsidR="00A81550" w:rsidRPr="001600EF" w:rsidRDefault="00A81550" w:rsidP="00D62343">
            <w:pPr>
              <w:pStyle w:val="Tabletext1"/>
              <w:rPr>
                <w:lang w:eastAsia="en-US"/>
              </w:rPr>
            </w:pPr>
            <w:r>
              <w:rPr>
                <w:lang w:eastAsia="en-US"/>
              </w:rPr>
              <w:t>104 (59.4)</w:t>
            </w:r>
          </w:p>
        </w:tc>
        <w:tc>
          <w:tcPr>
            <w:tcW w:w="1791" w:type="dxa"/>
          </w:tcPr>
          <w:p w14:paraId="7E2F5020" w14:textId="77777777" w:rsidR="00A81550" w:rsidRPr="001600EF" w:rsidRDefault="00A81550" w:rsidP="00D62343">
            <w:pPr>
              <w:pStyle w:val="Tabletext1"/>
              <w:rPr>
                <w:lang w:eastAsia="en-US"/>
              </w:rPr>
            </w:pPr>
            <w:r>
              <w:rPr>
                <w:lang w:eastAsia="en-US"/>
              </w:rPr>
              <w:t>97 (55.4)</w:t>
            </w:r>
          </w:p>
        </w:tc>
      </w:tr>
      <w:tr w:rsidR="00A81550" w:rsidRPr="001600EF" w14:paraId="063F5BB3" w14:textId="77777777">
        <w:tc>
          <w:tcPr>
            <w:tcW w:w="5240" w:type="dxa"/>
          </w:tcPr>
          <w:p w14:paraId="47B5D1D9" w14:textId="77777777" w:rsidR="00A81550" w:rsidRPr="001600EF" w:rsidRDefault="00A81550" w:rsidP="00D62343">
            <w:pPr>
              <w:pStyle w:val="Tabletext1"/>
              <w:rPr>
                <w:lang w:eastAsia="en-US"/>
              </w:rPr>
            </w:pPr>
            <w:r>
              <w:rPr>
                <w:lang w:eastAsia="en-US"/>
              </w:rPr>
              <w:t>Atrial fibrillation, n (%)</w:t>
            </w:r>
          </w:p>
        </w:tc>
        <w:tc>
          <w:tcPr>
            <w:tcW w:w="1985" w:type="dxa"/>
          </w:tcPr>
          <w:p w14:paraId="25403D70" w14:textId="77777777" w:rsidR="00A81550" w:rsidRPr="001600EF" w:rsidRDefault="00A81550" w:rsidP="00D62343">
            <w:pPr>
              <w:pStyle w:val="Tabletext1"/>
              <w:rPr>
                <w:lang w:eastAsia="en-US"/>
              </w:rPr>
            </w:pPr>
            <w:r>
              <w:rPr>
                <w:lang w:eastAsia="en-US"/>
              </w:rPr>
              <w:t>153 (87.4)</w:t>
            </w:r>
          </w:p>
        </w:tc>
        <w:tc>
          <w:tcPr>
            <w:tcW w:w="1791" w:type="dxa"/>
          </w:tcPr>
          <w:p w14:paraId="2C81AFBB" w14:textId="77777777" w:rsidR="00A81550" w:rsidRPr="001600EF" w:rsidRDefault="00A81550" w:rsidP="00D62343">
            <w:pPr>
              <w:pStyle w:val="Tabletext1"/>
              <w:rPr>
                <w:lang w:eastAsia="en-US"/>
              </w:rPr>
            </w:pPr>
            <w:r>
              <w:rPr>
                <w:lang w:eastAsia="en-US"/>
              </w:rPr>
              <w:t>162 (92.6)</w:t>
            </w:r>
          </w:p>
        </w:tc>
      </w:tr>
      <w:tr w:rsidR="00A81550" w:rsidRPr="001600EF" w14:paraId="138B8EB3" w14:textId="77777777">
        <w:tc>
          <w:tcPr>
            <w:tcW w:w="5240" w:type="dxa"/>
          </w:tcPr>
          <w:p w14:paraId="47AD8F6F" w14:textId="77777777" w:rsidR="00A81550" w:rsidRPr="001600EF" w:rsidRDefault="00A81550" w:rsidP="00D62343">
            <w:pPr>
              <w:pStyle w:val="Tabletext1"/>
              <w:rPr>
                <w:lang w:eastAsia="en-US"/>
              </w:rPr>
            </w:pPr>
            <w:r>
              <w:rPr>
                <w:lang w:eastAsia="en-US"/>
              </w:rPr>
              <w:t>Atrial flutter, n/total (%)</w:t>
            </w:r>
          </w:p>
        </w:tc>
        <w:tc>
          <w:tcPr>
            <w:tcW w:w="1985" w:type="dxa"/>
          </w:tcPr>
          <w:p w14:paraId="68647202" w14:textId="77777777" w:rsidR="00A81550" w:rsidRPr="001600EF" w:rsidRDefault="00A81550" w:rsidP="00D62343">
            <w:pPr>
              <w:pStyle w:val="Tabletext1"/>
              <w:rPr>
                <w:lang w:eastAsia="en-US"/>
              </w:rPr>
            </w:pPr>
            <w:r>
              <w:rPr>
                <w:lang w:eastAsia="en-US"/>
              </w:rPr>
              <w:t>20/174 (11.4)</w:t>
            </w:r>
          </w:p>
        </w:tc>
        <w:tc>
          <w:tcPr>
            <w:tcW w:w="1791" w:type="dxa"/>
          </w:tcPr>
          <w:p w14:paraId="7076AB03" w14:textId="77777777" w:rsidR="00A81550" w:rsidRPr="001600EF" w:rsidRDefault="00A81550" w:rsidP="00D62343">
            <w:pPr>
              <w:pStyle w:val="Tabletext1"/>
              <w:rPr>
                <w:lang w:eastAsia="en-US"/>
              </w:rPr>
            </w:pPr>
            <w:r>
              <w:rPr>
                <w:lang w:eastAsia="en-US"/>
              </w:rPr>
              <w:t>22/174 (12.6)</w:t>
            </w:r>
          </w:p>
        </w:tc>
      </w:tr>
      <w:tr w:rsidR="00A81550" w:rsidRPr="001600EF" w14:paraId="792C9928" w14:textId="77777777">
        <w:tc>
          <w:tcPr>
            <w:tcW w:w="5240" w:type="dxa"/>
          </w:tcPr>
          <w:p w14:paraId="6BEE1F33" w14:textId="77777777" w:rsidR="00A81550" w:rsidRDefault="00A81550" w:rsidP="00D62343">
            <w:pPr>
              <w:pStyle w:val="Tabletext1"/>
              <w:rPr>
                <w:lang w:eastAsia="en-US"/>
              </w:rPr>
            </w:pPr>
            <w:r>
              <w:rPr>
                <w:lang w:eastAsia="en-US"/>
              </w:rPr>
              <w:t>Dyslipidemia, n (%)</w:t>
            </w:r>
          </w:p>
        </w:tc>
        <w:tc>
          <w:tcPr>
            <w:tcW w:w="1985" w:type="dxa"/>
          </w:tcPr>
          <w:p w14:paraId="292FCDE2" w14:textId="77777777" w:rsidR="00A81550" w:rsidRPr="001600EF" w:rsidRDefault="00A81550" w:rsidP="00D62343">
            <w:pPr>
              <w:pStyle w:val="Tabletext1"/>
              <w:rPr>
                <w:lang w:eastAsia="en-US"/>
              </w:rPr>
            </w:pPr>
            <w:r>
              <w:rPr>
                <w:lang w:eastAsia="en-US"/>
              </w:rPr>
              <w:t>117 (66.9)</w:t>
            </w:r>
          </w:p>
        </w:tc>
        <w:tc>
          <w:tcPr>
            <w:tcW w:w="1791" w:type="dxa"/>
          </w:tcPr>
          <w:p w14:paraId="29FA0F60" w14:textId="77777777" w:rsidR="00A81550" w:rsidRPr="001600EF" w:rsidRDefault="00A81550" w:rsidP="00D62343">
            <w:pPr>
              <w:pStyle w:val="Tabletext1"/>
              <w:rPr>
                <w:lang w:eastAsia="en-US"/>
              </w:rPr>
            </w:pPr>
            <w:r>
              <w:rPr>
                <w:lang w:eastAsia="en-US"/>
              </w:rPr>
              <w:t>92 (52.6)</w:t>
            </w:r>
          </w:p>
        </w:tc>
      </w:tr>
      <w:tr w:rsidR="00A81550" w:rsidRPr="001600EF" w14:paraId="260B93ED" w14:textId="77777777">
        <w:tc>
          <w:tcPr>
            <w:tcW w:w="5240" w:type="dxa"/>
          </w:tcPr>
          <w:p w14:paraId="3EFC9814" w14:textId="77777777" w:rsidR="00A81550" w:rsidRDefault="00A81550" w:rsidP="00D62343">
            <w:pPr>
              <w:pStyle w:val="Tabletext1"/>
              <w:rPr>
                <w:lang w:eastAsia="en-US"/>
              </w:rPr>
            </w:pPr>
            <w:r>
              <w:rPr>
                <w:lang w:eastAsia="en-US"/>
              </w:rPr>
              <w:t>Hypertension, n (%)</w:t>
            </w:r>
          </w:p>
        </w:tc>
        <w:tc>
          <w:tcPr>
            <w:tcW w:w="1985" w:type="dxa"/>
          </w:tcPr>
          <w:p w14:paraId="7B631D8A" w14:textId="77777777" w:rsidR="00A81550" w:rsidRPr="001600EF" w:rsidRDefault="00A81550" w:rsidP="00D62343">
            <w:pPr>
              <w:pStyle w:val="Tabletext1"/>
              <w:rPr>
                <w:lang w:eastAsia="en-US"/>
              </w:rPr>
            </w:pPr>
            <w:r>
              <w:rPr>
                <w:lang w:eastAsia="en-US"/>
              </w:rPr>
              <w:t>142 (81.1)</w:t>
            </w:r>
          </w:p>
        </w:tc>
        <w:tc>
          <w:tcPr>
            <w:tcW w:w="1791" w:type="dxa"/>
          </w:tcPr>
          <w:p w14:paraId="24713504" w14:textId="77777777" w:rsidR="00A81550" w:rsidRPr="001600EF" w:rsidRDefault="00A81550" w:rsidP="00D62343">
            <w:pPr>
              <w:pStyle w:val="Tabletext1"/>
              <w:rPr>
                <w:lang w:eastAsia="en-US"/>
              </w:rPr>
            </w:pPr>
            <w:r>
              <w:rPr>
                <w:lang w:eastAsia="en-US"/>
              </w:rPr>
              <w:t>141 (80.6)</w:t>
            </w:r>
          </w:p>
        </w:tc>
      </w:tr>
      <w:tr w:rsidR="00A81550" w:rsidRPr="001600EF" w14:paraId="6CE13D85" w14:textId="77777777">
        <w:tc>
          <w:tcPr>
            <w:tcW w:w="5240" w:type="dxa"/>
          </w:tcPr>
          <w:p w14:paraId="2536AACA" w14:textId="77777777" w:rsidR="00A81550" w:rsidRDefault="00A81550" w:rsidP="00D62343">
            <w:pPr>
              <w:pStyle w:val="Tabletext1"/>
              <w:rPr>
                <w:lang w:eastAsia="en-US"/>
              </w:rPr>
            </w:pPr>
            <w:r>
              <w:rPr>
                <w:lang w:eastAsia="en-US"/>
              </w:rPr>
              <w:t>Stroke, n (%)</w:t>
            </w:r>
          </w:p>
        </w:tc>
        <w:tc>
          <w:tcPr>
            <w:tcW w:w="1985" w:type="dxa"/>
          </w:tcPr>
          <w:p w14:paraId="3D42C9FF" w14:textId="77777777" w:rsidR="00A81550" w:rsidRPr="001600EF" w:rsidRDefault="00A81550" w:rsidP="00D62343">
            <w:pPr>
              <w:pStyle w:val="Tabletext1"/>
              <w:rPr>
                <w:lang w:eastAsia="en-US"/>
              </w:rPr>
            </w:pPr>
            <w:r>
              <w:rPr>
                <w:lang w:eastAsia="en-US"/>
              </w:rPr>
              <w:t>11 (6.3)</w:t>
            </w:r>
          </w:p>
        </w:tc>
        <w:tc>
          <w:tcPr>
            <w:tcW w:w="1791" w:type="dxa"/>
          </w:tcPr>
          <w:p w14:paraId="464C0178" w14:textId="77777777" w:rsidR="00A81550" w:rsidRPr="001600EF" w:rsidRDefault="00A81550" w:rsidP="00D62343">
            <w:pPr>
              <w:pStyle w:val="Tabletext1"/>
              <w:rPr>
                <w:lang w:eastAsia="en-US"/>
              </w:rPr>
            </w:pPr>
            <w:r>
              <w:rPr>
                <w:lang w:eastAsia="en-US"/>
              </w:rPr>
              <w:t>19 (10.9)</w:t>
            </w:r>
          </w:p>
        </w:tc>
      </w:tr>
      <w:tr w:rsidR="00A81550" w:rsidRPr="001600EF" w14:paraId="3E627AB6" w14:textId="77777777">
        <w:tc>
          <w:tcPr>
            <w:tcW w:w="5240" w:type="dxa"/>
          </w:tcPr>
          <w:p w14:paraId="18020ADC" w14:textId="77777777" w:rsidR="00A81550" w:rsidRDefault="00A81550" w:rsidP="00D62343">
            <w:pPr>
              <w:pStyle w:val="Tabletext1"/>
              <w:rPr>
                <w:lang w:eastAsia="en-US"/>
              </w:rPr>
            </w:pPr>
            <w:r>
              <w:rPr>
                <w:lang w:eastAsia="en-US"/>
              </w:rPr>
              <w:t>Transient ischemic attack, n (%)</w:t>
            </w:r>
          </w:p>
        </w:tc>
        <w:tc>
          <w:tcPr>
            <w:tcW w:w="1985" w:type="dxa"/>
          </w:tcPr>
          <w:p w14:paraId="216750FF" w14:textId="77777777" w:rsidR="00A81550" w:rsidRPr="001600EF" w:rsidRDefault="00A81550" w:rsidP="00D62343">
            <w:pPr>
              <w:pStyle w:val="Tabletext1"/>
              <w:rPr>
                <w:lang w:eastAsia="en-US"/>
              </w:rPr>
            </w:pPr>
            <w:r>
              <w:rPr>
                <w:lang w:eastAsia="en-US"/>
              </w:rPr>
              <w:t>13 (7.4)</w:t>
            </w:r>
          </w:p>
        </w:tc>
        <w:tc>
          <w:tcPr>
            <w:tcW w:w="1791" w:type="dxa"/>
          </w:tcPr>
          <w:p w14:paraId="139B0D86" w14:textId="77777777" w:rsidR="00A81550" w:rsidRPr="001600EF" w:rsidRDefault="00A81550" w:rsidP="00D62343">
            <w:pPr>
              <w:pStyle w:val="Tabletext1"/>
              <w:rPr>
                <w:lang w:eastAsia="en-US"/>
              </w:rPr>
            </w:pPr>
            <w:r>
              <w:rPr>
                <w:lang w:eastAsia="en-US"/>
              </w:rPr>
              <w:t>17 (9.7)</w:t>
            </w:r>
          </w:p>
        </w:tc>
      </w:tr>
      <w:tr w:rsidR="00A81550" w:rsidRPr="001600EF" w14:paraId="6FAE7E9E" w14:textId="77777777">
        <w:tc>
          <w:tcPr>
            <w:tcW w:w="5240" w:type="dxa"/>
          </w:tcPr>
          <w:p w14:paraId="630A7853" w14:textId="77777777" w:rsidR="00A81550" w:rsidRDefault="00A81550" w:rsidP="00D62343">
            <w:pPr>
              <w:pStyle w:val="Tabletext1"/>
              <w:rPr>
                <w:lang w:eastAsia="en-US"/>
              </w:rPr>
            </w:pPr>
            <w:r>
              <w:rPr>
                <w:lang w:eastAsia="en-US"/>
              </w:rPr>
              <w:t>Diabetes mellitus, n (%)</w:t>
            </w:r>
          </w:p>
        </w:tc>
        <w:tc>
          <w:tcPr>
            <w:tcW w:w="1985" w:type="dxa"/>
          </w:tcPr>
          <w:p w14:paraId="23B6EAAF" w14:textId="77777777" w:rsidR="00A81550" w:rsidRPr="001600EF" w:rsidRDefault="00A81550" w:rsidP="00D62343">
            <w:pPr>
              <w:pStyle w:val="Tabletext1"/>
              <w:rPr>
                <w:lang w:eastAsia="en-US"/>
              </w:rPr>
            </w:pPr>
            <w:r>
              <w:rPr>
                <w:lang w:eastAsia="en-US"/>
              </w:rPr>
              <w:t>28 (16.0)</w:t>
            </w:r>
          </w:p>
        </w:tc>
        <w:tc>
          <w:tcPr>
            <w:tcW w:w="1791" w:type="dxa"/>
          </w:tcPr>
          <w:p w14:paraId="3B560FF2" w14:textId="77777777" w:rsidR="00A81550" w:rsidRPr="001600EF" w:rsidRDefault="00A81550" w:rsidP="00D62343">
            <w:pPr>
              <w:pStyle w:val="Tabletext1"/>
              <w:rPr>
                <w:lang w:eastAsia="en-US"/>
              </w:rPr>
            </w:pPr>
            <w:r>
              <w:rPr>
                <w:lang w:eastAsia="en-US"/>
              </w:rPr>
              <w:t>27 (15.4)</w:t>
            </w:r>
          </w:p>
        </w:tc>
      </w:tr>
      <w:tr w:rsidR="00A81550" w:rsidRPr="001600EF" w14:paraId="56AA8C1E" w14:textId="77777777">
        <w:tc>
          <w:tcPr>
            <w:tcW w:w="5240" w:type="dxa"/>
          </w:tcPr>
          <w:p w14:paraId="143C6D16" w14:textId="77777777" w:rsidR="00A81550" w:rsidRDefault="00A81550" w:rsidP="00D62343">
            <w:pPr>
              <w:pStyle w:val="Tabletext1"/>
              <w:rPr>
                <w:lang w:eastAsia="en-US"/>
              </w:rPr>
            </w:pPr>
            <w:r>
              <w:rPr>
                <w:lang w:eastAsia="en-US"/>
              </w:rPr>
              <w:t>Peripheral vascular disease, n (%)</w:t>
            </w:r>
          </w:p>
        </w:tc>
        <w:tc>
          <w:tcPr>
            <w:tcW w:w="1985" w:type="dxa"/>
          </w:tcPr>
          <w:p w14:paraId="6D3197DE" w14:textId="77777777" w:rsidR="00A81550" w:rsidRPr="001600EF" w:rsidRDefault="00A81550" w:rsidP="00D62343">
            <w:pPr>
              <w:pStyle w:val="Tabletext1"/>
              <w:rPr>
                <w:lang w:eastAsia="en-US"/>
              </w:rPr>
            </w:pPr>
            <w:r>
              <w:rPr>
                <w:lang w:eastAsia="en-US"/>
              </w:rPr>
              <w:t>16 (9.1)</w:t>
            </w:r>
          </w:p>
        </w:tc>
        <w:tc>
          <w:tcPr>
            <w:tcW w:w="1791" w:type="dxa"/>
          </w:tcPr>
          <w:p w14:paraId="229C064D" w14:textId="77777777" w:rsidR="00A81550" w:rsidRPr="001600EF" w:rsidRDefault="00A81550" w:rsidP="00D62343">
            <w:pPr>
              <w:pStyle w:val="Tabletext1"/>
              <w:rPr>
                <w:lang w:eastAsia="en-US"/>
              </w:rPr>
            </w:pPr>
            <w:r>
              <w:rPr>
                <w:lang w:eastAsia="en-US"/>
              </w:rPr>
              <w:t>18 (10.3)</w:t>
            </w:r>
          </w:p>
        </w:tc>
      </w:tr>
      <w:tr w:rsidR="00A81550" w:rsidRPr="001600EF" w14:paraId="2C801978" w14:textId="77777777">
        <w:tc>
          <w:tcPr>
            <w:tcW w:w="5240" w:type="dxa"/>
          </w:tcPr>
          <w:p w14:paraId="67CE3410" w14:textId="77777777" w:rsidR="00A81550" w:rsidRDefault="00A81550" w:rsidP="00D62343">
            <w:pPr>
              <w:pStyle w:val="Tabletext1"/>
              <w:rPr>
                <w:lang w:eastAsia="en-US"/>
              </w:rPr>
            </w:pPr>
            <w:r>
              <w:rPr>
                <w:lang w:eastAsia="en-US"/>
              </w:rPr>
              <w:t>Coronary artery bypass grafting, n (%)</w:t>
            </w:r>
          </w:p>
        </w:tc>
        <w:tc>
          <w:tcPr>
            <w:tcW w:w="1985" w:type="dxa"/>
          </w:tcPr>
          <w:p w14:paraId="6CB0297E" w14:textId="77777777" w:rsidR="00A81550" w:rsidRPr="001600EF" w:rsidRDefault="00A81550" w:rsidP="00D62343">
            <w:pPr>
              <w:pStyle w:val="Tabletext1"/>
              <w:rPr>
                <w:lang w:eastAsia="en-US"/>
              </w:rPr>
            </w:pPr>
            <w:r>
              <w:rPr>
                <w:lang w:eastAsia="en-US"/>
              </w:rPr>
              <w:t>31 (17.7)</w:t>
            </w:r>
          </w:p>
        </w:tc>
        <w:tc>
          <w:tcPr>
            <w:tcW w:w="1791" w:type="dxa"/>
          </w:tcPr>
          <w:p w14:paraId="3D34C541" w14:textId="77777777" w:rsidR="00A81550" w:rsidRPr="001600EF" w:rsidRDefault="00A81550" w:rsidP="00D62343">
            <w:pPr>
              <w:pStyle w:val="Tabletext1"/>
              <w:rPr>
                <w:lang w:eastAsia="en-US"/>
              </w:rPr>
            </w:pPr>
            <w:r>
              <w:rPr>
                <w:lang w:eastAsia="en-US"/>
              </w:rPr>
              <w:t>36 (20.6)</w:t>
            </w:r>
          </w:p>
        </w:tc>
      </w:tr>
      <w:tr w:rsidR="00A81550" w:rsidRPr="001600EF" w14:paraId="0013BF9B" w14:textId="77777777">
        <w:tc>
          <w:tcPr>
            <w:tcW w:w="5240" w:type="dxa"/>
          </w:tcPr>
          <w:p w14:paraId="495DD5AD" w14:textId="77777777" w:rsidR="00A81550" w:rsidRDefault="00A81550" w:rsidP="00D62343">
            <w:pPr>
              <w:pStyle w:val="Tabletext1"/>
              <w:rPr>
                <w:lang w:eastAsia="en-US"/>
              </w:rPr>
            </w:pPr>
            <w:r>
              <w:rPr>
                <w:lang w:eastAsia="en-US"/>
              </w:rPr>
              <w:t>Percutaneous coronary intervention, n (%)</w:t>
            </w:r>
          </w:p>
        </w:tc>
        <w:tc>
          <w:tcPr>
            <w:tcW w:w="1985" w:type="dxa"/>
          </w:tcPr>
          <w:p w14:paraId="2FDB39D2" w14:textId="77777777" w:rsidR="00A81550" w:rsidRPr="001600EF" w:rsidRDefault="00A81550" w:rsidP="00D62343">
            <w:pPr>
              <w:pStyle w:val="Tabletext1"/>
              <w:rPr>
                <w:lang w:eastAsia="en-US"/>
              </w:rPr>
            </w:pPr>
            <w:r>
              <w:rPr>
                <w:lang w:eastAsia="en-US"/>
              </w:rPr>
              <w:t>26 (14.9)</w:t>
            </w:r>
          </w:p>
        </w:tc>
        <w:tc>
          <w:tcPr>
            <w:tcW w:w="1791" w:type="dxa"/>
          </w:tcPr>
          <w:p w14:paraId="0845FD51" w14:textId="77777777" w:rsidR="00A81550" w:rsidRPr="001600EF" w:rsidRDefault="00A81550" w:rsidP="00D62343">
            <w:pPr>
              <w:pStyle w:val="Tabletext1"/>
              <w:rPr>
                <w:lang w:eastAsia="en-US"/>
              </w:rPr>
            </w:pPr>
            <w:r>
              <w:rPr>
                <w:lang w:eastAsia="en-US"/>
              </w:rPr>
              <w:t>23 (13.1)</w:t>
            </w:r>
          </w:p>
        </w:tc>
      </w:tr>
      <w:tr w:rsidR="00A81550" w:rsidRPr="001600EF" w14:paraId="22926E4D" w14:textId="77777777">
        <w:tc>
          <w:tcPr>
            <w:tcW w:w="5240" w:type="dxa"/>
          </w:tcPr>
          <w:p w14:paraId="10AA531C" w14:textId="77777777" w:rsidR="00A81550" w:rsidRDefault="00A81550" w:rsidP="00D62343">
            <w:pPr>
              <w:pStyle w:val="Tabletext1"/>
              <w:rPr>
                <w:lang w:eastAsia="en-US"/>
              </w:rPr>
            </w:pPr>
            <w:r>
              <w:rPr>
                <w:lang w:eastAsia="en-US"/>
              </w:rPr>
              <w:t>Kidney disease, n (%)</w:t>
            </w:r>
          </w:p>
        </w:tc>
        <w:tc>
          <w:tcPr>
            <w:tcW w:w="1985" w:type="dxa"/>
          </w:tcPr>
          <w:p w14:paraId="71431CAE" w14:textId="77777777" w:rsidR="00A81550" w:rsidRPr="001600EF" w:rsidRDefault="00A81550" w:rsidP="00D62343">
            <w:pPr>
              <w:pStyle w:val="Tabletext1"/>
              <w:rPr>
                <w:lang w:eastAsia="en-US"/>
              </w:rPr>
            </w:pPr>
            <w:r>
              <w:rPr>
                <w:lang w:eastAsia="en-US"/>
              </w:rPr>
              <w:t>62 (35.4)</w:t>
            </w:r>
          </w:p>
        </w:tc>
        <w:tc>
          <w:tcPr>
            <w:tcW w:w="1791" w:type="dxa"/>
          </w:tcPr>
          <w:p w14:paraId="36B03FF5" w14:textId="77777777" w:rsidR="00A81550" w:rsidRPr="001600EF" w:rsidRDefault="00A81550" w:rsidP="00D62343">
            <w:pPr>
              <w:pStyle w:val="Tabletext1"/>
              <w:rPr>
                <w:lang w:eastAsia="en-US"/>
              </w:rPr>
            </w:pPr>
            <w:r>
              <w:rPr>
                <w:lang w:eastAsia="en-US"/>
              </w:rPr>
              <w:t>62 (35.4)</w:t>
            </w:r>
          </w:p>
        </w:tc>
      </w:tr>
      <w:tr w:rsidR="00A81550" w:rsidRPr="001600EF" w14:paraId="030288BD" w14:textId="77777777">
        <w:tc>
          <w:tcPr>
            <w:tcW w:w="5240" w:type="dxa"/>
          </w:tcPr>
          <w:p w14:paraId="669E40B5" w14:textId="77777777" w:rsidR="00A81550" w:rsidRDefault="00A81550" w:rsidP="00D62343">
            <w:pPr>
              <w:pStyle w:val="Tabletext1"/>
              <w:rPr>
                <w:lang w:eastAsia="en-US"/>
              </w:rPr>
            </w:pPr>
            <w:r>
              <w:rPr>
                <w:lang w:eastAsia="en-US"/>
              </w:rPr>
              <w:t>Liver disease, n (%)</w:t>
            </w:r>
          </w:p>
        </w:tc>
        <w:tc>
          <w:tcPr>
            <w:tcW w:w="1985" w:type="dxa"/>
          </w:tcPr>
          <w:p w14:paraId="60255D8F" w14:textId="77777777" w:rsidR="00A81550" w:rsidRPr="001600EF" w:rsidRDefault="00A81550" w:rsidP="00D62343">
            <w:pPr>
              <w:pStyle w:val="Tabletext1"/>
              <w:rPr>
                <w:lang w:eastAsia="en-US"/>
              </w:rPr>
            </w:pPr>
            <w:r>
              <w:rPr>
                <w:lang w:eastAsia="en-US"/>
              </w:rPr>
              <w:t>11 (6.3)</w:t>
            </w:r>
          </w:p>
        </w:tc>
        <w:tc>
          <w:tcPr>
            <w:tcW w:w="1791" w:type="dxa"/>
          </w:tcPr>
          <w:p w14:paraId="14830FD1" w14:textId="77777777" w:rsidR="00A81550" w:rsidRPr="001600EF" w:rsidRDefault="00A81550" w:rsidP="00D62343">
            <w:pPr>
              <w:pStyle w:val="Tabletext1"/>
              <w:rPr>
                <w:lang w:eastAsia="en-US"/>
              </w:rPr>
            </w:pPr>
            <w:r>
              <w:rPr>
                <w:lang w:eastAsia="en-US"/>
              </w:rPr>
              <w:t>16 (9.1)</w:t>
            </w:r>
          </w:p>
        </w:tc>
      </w:tr>
      <w:tr w:rsidR="00A81550" w:rsidRPr="001600EF" w14:paraId="2493EA87" w14:textId="77777777">
        <w:tc>
          <w:tcPr>
            <w:tcW w:w="5240" w:type="dxa"/>
          </w:tcPr>
          <w:p w14:paraId="13447CE6" w14:textId="77777777" w:rsidR="00A81550" w:rsidRDefault="00A81550" w:rsidP="00D62343">
            <w:pPr>
              <w:pStyle w:val="Tabletext1"/>
              <w:rPr>
                <w:lang w:eastAsia="en-US"/>
              </w:rPr>
            </w:pPr>
            <w:r>
              <w:rPr>
                <w:lang w:eastAsia="en-US"/>
              </w:rPr>
              <w:t>Chronic obstructive pulmonary disease, n (%)</w:t>
            </w:r>
          </w:p>
        </w:tc>
        <w:tc>
          <w:tcPr>
            <w:tcW w:w="1985" w:type="dxa"/>
          </w:tcPr>
          <w:p w14:paraId="45784CE9" w14:textId="77777777" w:rsidR="00A81550" w:rsidRPr="001600EF" w:rsidRDefault="00A81550" w:rsidP="00D62343">
            <w:pPr>
              <w:pStyle w:val="Tabletext1"/>
              <w:rPr>
                <w:lang w:eastAsia="en-US"/>
              </w:rPr>
            </w:pPr>
            <w:r>
              <w:rPr>
                <w:lang w:eastAsia="en-US"/>
              </w:rPr>
              <w:t>19 (10.9)</w:t>
            </w:r>
          </w:p>
        </w:tc>
        <w:tc>
          <w:tcPr>
            <w:tcW w:w="1791" w:type="dxa"/>
          </w:tcPr>
          <w:p w14:paraId="332B70D2" w14:textId="77777777" w:rsidR="00A81550" w:rsidRPr="001600EF" w:rsidRDefault="00A81550" w:rsidP="00D62343">
            <w:pPr>
              <w:pStyle w:val="Tabletext1"/>
              <w:rPr>
                <w:lang w:eastAsia="en-US"/>
              </w:rPr>
            </w:pPr>
            <w:r>
              <w:rPr>
                <w:lang w:eastAsia="en-US"/>
              </w:rPr>
              <w:t>24 (13.7)</w:t>
            </w:r>
          </w:p>
        </w:tc>
      </w:tr>
      <w:tr w:rsidR="00A81550" w:rsidRPr="001600EF" w14:paraId="4EBC5168" w14:textId="77777777">
        <w:tc>
          <w:tcPr>
            <w:tcW w:w="5240" w:type="dxa"/>
          </w:tcPr>
          <w:p w14:paraId="59990666" w14:textId="77777777" w:rsidR="00A81550" w:rsidRDefault="00A81550" w:rsidP="00D62343">
            <w:pPr>
              <w:pStyle w:val="Tabletext1"/>
              <w:rPr>
                <w:lang w:eastAsia="en-US"/>
              </w:rPr>
            </w:pPr>
            <w:r>
              <w:rPr>
                <w:lang w:eastAsia="en-US"/>
              </w:rPr>
              <w:t>CRT, CRT-D, ICD, or permanent pacemaker, n (%)</w:t>
            </w:r>
          </w:p>
        </w:tc>
        <w:tc>
          <w:tcPr>
            <w:tcW w:w="1985" w:type="dxa"/>
          </w:tcPr>
          <w:p w14:paraId="5E974A39" w14:textId="77777777" w:rsidR="00A81550" w:rsidRPr="001600EF" w:rsidRDefault="00A81550" w:rsidP="00D62343">
            <w:pPr>
              <w:pStyle w:val="Tabletext1"/>
              <w:rPr>
                <w:lang w:eastAsia="en-US"/>
              </w:rPr>
            </w:pPr>
            <w:r>
              <w:rPr>
                <w:lang w:eastAsia="en-US"/>
              </w:rPr>
              <w:t>28 (16.0)</w:t>
            </w:r>
          </w:p>
        </w:tc>
        <w:tc>
          <w:tcPr>
            <w:tcW w:w="1791" w:type="dxa"/>
          </w:tcPr>
          <w:p w14:paraId="6D075E5F" w14:textId="77777777" w:rsidR="00A81550" w:rsidRPr="001600EF" w:rsidRDefault="00A81550" w:rsidP="00D62343">
            <w:pPr>
              <w:pStyle w:val="Tabletext1"/>
              <w:rPr>
                <w:lang w:eastAsia="en-US"/>
              </w:rPr>
            </w:pPr>
            <w:r>
              <w:rPr>
                <w:lang w:eastAsia="en-US"/>
              </w:rPr>
              <w:t>24 (13.7)</w:t>
            </w:r>
          </w:p>
        </w:tc>
      </w:tr>
      <w:tr w:rsidR="00A81550" w:rsidRPr="001600EF" w14:paraId="749E9CD0" w14:textId="77777777">
        <w:tc>
          <w:tcPr>
            <w:tcW w:w="9016" w:type="dxa"/>
            <w:gridSpan w:val="3"/>
          </w:tcPr>
          <w:p w14:paraId="298BD607" w14:textId="77777777" w:rsidR="00A81550" w:rsidRPr="001600EF" w:rsidRDefault="00A81550" w:rsidP="00D62343">
            <w:pPr>
              <w:pStyle w:val="Tabletext1"/>
              <w:rPr>
                <w:lang w:eastAsia="en-US"/>
              </w:rPr>
            </w:pPr>
            <w:r>
              <w:rPr>
                <w:lang w:eastAsia="en-US"/>
              </w:rPr>
              <w:t>Previous cardiac or transcatheter therapy, n (%)</w:t>
            </w:r>
          </w:p>
        </w:tc>
      </w:tr>
      <w:tr w:rsidR="00A81550" w:rsidRPr="001600EF" w14:paraId="680D6253" w14:textId="77777777">
        <w:tc>
          <w:tcPr>
            <w:tcW w:w="5240" w:type="dxa"/>
          </w:tcPr>
          <w:p w14:paraId="03F2C257" w14:textId="77777777" w:rsidR="00A81550" w:rsidRDefault="00A81550" w:rsidP="00D62343">
            <w:pPr>
              <w:pStyle w:val="Tabletext1"/>
              <w:rPr>
                <w:lang w:eastAsia="en-US"/>
              </w:rPr>
            </w:pPr>
            <w:r>
              <w:rPr>
                <w:lang w:eastAsia="en-US"/>
              </w:rPr>
              <w:t xml:space="preserve">  Aortic-valve intervention</w:t>
            </w:r>
          </w:p>
        </w:tc>
        <w:tc>
          <w:tcPr>
            <w:tcW w:w="1985" w:type="dxa"/>
          </w:tcPr>
          <w:p w14:paraId="131630F1" w14:textId="77777777" w:rsidR="00A81550" w:rsidRPr="001600EF" w:rsidRDefault="00A81550" w:rsidP="00D62343">
            <w:pPr>
              <w:pStyle w:val="Tabletext1"/>
              <w:rPr>
                <w:lang w:eastAsia="en-US"/>
              </w:rPr>
            </w:pPr>
            <w:r>
              <w:rPr>
                <w:lang w:eastAsia="en-US"/>
              </w:rPr>
              <w:t>27 (15.4)</w:t>
            </w:r>
          </w:p>
        </w:tc>
        <w:tc>
          <w:tcPr>
            <w:tcW w:w="1791" w:type="dxa"/>
          </w:tcPr>
          <w:p w14:paraId="55603CE8" w14:textId="77777777" w:rsidR="00A81550" w:rsidRPr="001600EF" w:rsidRDefault="00A81550" w:rsidP="00D62343">
            <w:pPr>
              <w:pStyle w:val="Tabletext1"/>
              <w:rPr>
                <w:lang w:eastAsia="en-US"/>
              </w:rPr>
            </w:pPr>
            <w:r>
              <w:rPr>
                <w:lang w:eastAsia="en-US"/>
              </w:rPr>
              <w:t>27 (15.4)</w:t>
            </w:r>
          </w:p>
        </w:tc>
      </w:tr>
      <w:tr w:rsidR="00A81550" w:rsidRPr="001600EF" w14:paraId="0302ECA3" w14:textId="77777777">
        <w:tc>
          <w:tcPr>
            <w:tcW w:w="5240" w:type="dxa"/>
          </w:tcPr>
          <w:p w14:paraId="64820662" w14:textId="77777777" w:rsidR="00A81550" w:rsidRDefault="00A81550" w:rsidP="00D62343">
            <w:pPr>
              <w:pStyle w:val="Tabletext1"/>
              <w:rPr>
                <w:lang w:eastAsia="en-US"/>
              </w:rPr>
            </w:pPr>
            <w:r>
              <w:rPr>
                <w:lang w:eastAsia="en-US"/>
              </w:rPr>
              <w:t xml:space="preserve">  Surgical mitral valve repair</w:t>
            </w:r>
          </w:p>
        </w:tc>
        <w:tc>
          <w:tcPr>
            <w:tcW w:w="1985" w:type="dxa"/>
          </w:tcPr>
          <w:p w14:paraId="6B3BBD95" w14:textId="77777777" w:rsidR="00A81550" w:rsidRPr="001600EF" w:rsidRDefault="00A81550" w:rsidP="00D62343">
            <w:pPr>
              <w:pStyle w:val="Tabletext1"/>
              <w:rPr>
                <w:lang w:eastAsia="en-US"/>
              </w:rPr>
            </w:pPr>
            <w:r>
              <w:rPr>
                <w:lang w:eastAsia="en-US"/>
              </w:rPr>
              <w:t>14 (8.0)</w:t>
            </w:r>
          </w:p>
        </w:tc>
        <w:tc>
          <w:tcPr>
            <w:tcW w:w="1791" w:type="dxa"/>
          </w:tcPr>
          <w:p w14:paraId="6DE4F11E" w14:textId="77777777" w:rsidR="00A81550" w:rsidRPr="001600EF" w:rsidRDefault="00A81550" w:rsidP="00D62343">
            <w:pPr>
              <w:pStyle w:val="Tabletext1"/>
              <w:rPr>
                <w:lang w:eastAsia="en-US"/>
              </w:rPr>
            </w:pPr>
            <w:r>
              <w:rPr>
                <w:lang w:eastAsia="en-US"/>
              </w:rPr>
              <w:t>9 (5.1)</w:t>
            </w:r>
          </w:p>
        </w:tc>
      </w:tr>
      <w:tr w:rsidR="00A81550" w:rsidRPr="001600EF" w14:paraId="76CD1771" w14:textId="77777777">
        <w:tc>
          <w:tcPr>
            <w:tcW w:w="5240" w:type="dxa"/>
          </w:tcPr>
          <w:p w14:paraId="223CC983" w14:textId="77777777" w:rsidR="00A81550" w:rsidRDefault="00A81550" w:rsidP="00D62343">
            <w:pPr>
              <w:pStyle w:val="Tabletext1"/>
              <w:rPr>
                <w:lang w:eastAsia="en-US"/>
              </w:rPr>
            </w:pPr>
            <w:r>
              <w:rPr>
                <w:lang w:eastAsia="en-US"/>
              </w:rPr>
              <w:t xml:space="preserve">  Percutaneous mitral valve repair</w:t>
            </w:r>
          </w:p>
        </w:tc>
        <w:tc>
          <w:tcPr>
            <w:tcW w:w="1985" w:type="dxa"/>
          </w:tcPr>
          <w:p w14:paraId="110B6516" w14:textId="77777777" w:rsidR="00A81550" w:rsidRPr="001600EF" w:rsidRDefault="00A81550" w:rsidP="00D62343">
            <w:pPr>
              <w:pStyle w:val="Tabletext1"/>
              <w:rPr>
                <w:lang w:eastAsia="en-US"/>
              </w:rPr>
            </w:pPr>
            <w:r>
              <w:rPr>
                <w:lang w:eastAsia="en-US"/>
              </w:rPr>
              <w:t>18 (10.3)</w:t>
            </w:r>
          </w:p>
        </w:tc>
        <w:tc>
          <w:tcPr>
            <w:tcW w:w="1791" w:type="dxa"/>
          </w:tcPr>
          <w:p w14:paraId="7D31B3D6" w14:textId="77777777" w:rsidR="00A81550" w:rsidRPr="001600EF" w:rsidRDefault="00A81550" w:rsidP="00D62343">
            <w:pPr>
              <w:pStyle w:val="Tabletext1"/>
              <w:rPr>
                <w:lang w:eastAsia="en-US"/>
              </w:rPr>
            </w:pPr>
            <w:r>
              <w:rPr>
                <w:lang w:eastAsia="en-US"/>
              </w:rPr>
              <w:t>22 (12.6)</w:t>
            </w:r>
          </w:p>
        </w:tc>
      </w:tr>
      <w:tr w:rsidR="00A81550" w:rsidRPr="001600EF" w14:paraId="5710F0FB" w14:textId="77777777">
        <w:tc>
          <w:tcPr>
            <w:tcW w:w="5240" w:type="dxa"/>
          </w:tcPr>
          <w:p w14:paraId="35095040" w14:textId="77777777" w:rsidR="00A81550" w:rsidRDefault="00A81550" w:rsidP="00D62343">
            <w:pPr>
              <w:pStyle w:val="Tabletext1"/>
              <w:rPr>
                <w:lang w:eastAsia="en-US"/>
              </w:rPr>
            </w:pPr>
            <w:r>
              <w:rPr>
                <w:lang w:eastAsia="en-US"/>
              </w:rPr>
              <w:t xml:space="preserve">  Mitral valve repair</w:t>
            </w:r>
          </w:p>
        </w:tc>
        <w:tc>
          <w:tcPr>
            <w:tcW w:w="1985" w:type="dxa"/>
          </w:tcPr>
          <w:p w14:paraId="41586704" w14:textId="77777777" w:rsidR="00A81550" w:rsidRPr="001600EF" w:rsidRDefault="00A81550" w:rsidP="00D62343">
            <w:pPr>
              <w:pStyle w:val="Tabletext1"/>
              <w:rPr>
                <w:lang w:eastAsia="en-US"/>
              </w:rPr>
            </w:pPr>
            <w:r>
              <w:rPr>
                <w:lang w:eastAsia="en-US"/>
              </w:rPr>
              <w:t>10 (5.7)</w:t>
            </w:r>
          </w:p>
        </w:tc>
        <w:tc>
          <w:tcPr>
            <w:tcW w:w="1791" w:type="dxa"/>
          </w:tcPr>
          <w:p w14:paraId="7774CE08" w14:textId="40AA4848" w:rsidR="00A81550" w:rsidRPr="001600EF" w:rsidRDefault="00A81550" w:rsidP="00D62343">
            <w:pPr>
              <w:pStyle w:val="Tabletext1"/>
              <w:rPr>
                <w:lang w:eastAsia="en-US"/>
              </w:rPr>
            </w:pPr>
            <w:r>
              <w:rPr>
                <w:lang w:eastAsia="en-US"/>
              </w:rPr>
              <w:t>9 (5.1)</w:t>
            </w:r>
          </w:p>
        </w:tc>
      </w:tr>
      <w:tr w:rsidR="00A81550" w:rsidRPr="001600EF" w14:paraId="0E646DF2" w14:textId="77777777">
        <w:tc>
          <w:tcPr>
            <w:tcW w:w="5240" w:type="dxa"/>
          </w:tcPr>
          <w:p w14:paraId="3FF9B290" w14:textId="77777777" w:rsidR="00A81550" w:rsidRDefault="00A81550" w:rsidP="00D62343">
            <w:pPr>
              <w:pStyle w:val="Tabletext1"/>
              <w:rPr>
                <w:lang w:eastAsia="en-US"/>
              </w:rPr>
            </w:pPr>
            <w:r>
              <w:rPr>
                <w:lang w:eastAsia="en-US"/>
              </w:rPr>
              <w:t xml:space="preserve">  Tricuspid valve repair</w:t>
            </w:r>
          </w:p>
        </w:tc>
        <w:tc>
          <w:tcPr>
            <w:tcW w:w="1985" w:type="dxa"/>
          </w:tcPr>
          <w:p w14:paraId="69440EEF" w14:textId="77777777" w:rsidR="00A81550" w:rsidRPr="001600EF" w:rsidRDefault="00A81550" w:rsidP="00D62343">
            <w:pPr>
              <w:pStyle w:val="Tabletext1"/>
              <w:rPr>
                <w:lang w:eastAsia="en-US"/>
              </w:rPr>
            </w:pPr>
            <w:r>
              <w:rPr>
                <w:lang w:eastAsia="en-US"/>
              </w:rPr>
              <w:t>1 (0.6)</w:t>
            </w:r>
          </w:p>
        </w:tc>
        <w:tc>
          <w:tcPr>
            <w:tcW w:w="1791" w:type="dxa"/>
          </w:tcPr>
          <w:p w14:paraId="72FDD1BE" w14:textId="77777777" w:rsidR="00A81550" w:rsidRPr="001600EF" w:rsidRDefault="00A81550" w:rsidP="00D62343">
            <w:pPr>
              <w:pStyle w:val="Tabletext1"/>
              <w:rPr>
                <w:lang w:eastAsia="en-US"/>
              </w:rPr>
            </w:pPr>
            <w:r>
              <w:rPr>
                <w:lang w:eastAsia="en-US"/>
              </w:rPr>
              <w:t>0</w:t>
            </w:r>
          </w:p>
        </w:tc>
      </w:tr>
      <w:tr w:rsidR="00A81550" w:rsidRPr="001600EF" w14:paraId="4AFC6176" w14:textId="77777777">
        <w:tc>
          <w:tcPr>
            <w:tcW w:w="5240" w:type="dxa"/>
          </w:tcPr>
          <w:p w14:paraId="3DDAA392" w14:textId="77777777" w:rsidR="00A81550" w:rsidRDefault="00A81550" w:rsidP="00D62343">
            <w:pPr>
              <w:pStyle w:val="Tabletext1"/>
              <w:rPr>
                <w:lang w:eastAsia="en-US"/>
              </w:rPr>
            </w:pPr>
            <w:r>
              <w:rPr>
                <w:lang w:eastAsia="en-US"/>
              </w:rPr>
              <w:t>Hospitalisation for heart failure within 1 year before enrolment, n (%)</w:t>
            </w:r>
          </w:p>
        </w:tc>
        <w:tc>
          <w:tcPr>
            <w:tcW w:w="1985" w:type="dxa"/>
          </w:tcPr>
          <w:p w14:paraId="07C1FCE5" w14:textId="77777777" w:rsidR="00A81550" w:rsidRPr="001600EF" w:rsidRDefault="00A81550" w:rsidP="00D62343">
            <w:pPr>
              <w:pStyle w:val="Tabletext1"/>
              <w:rPr>
                <w:lang w:eastAsia="en-US"/>
              </w:rPr>
            </w:pPr>
            <w:r>
              <w:rPr>
                <w:lang w:eastAsia="en-US"/>
              </w:rPr>
              <w:t>44 (25.1)</w:t>
            </w:r>
          </w:p>
        </w:tc>
        <w:tc>
          <w:tcPr>
            <w:tcW w:w="1791" w:type="dxa"/>
          </w:tcPr>
          <w:p w14:paraId="380FA366" w14:textId="77777777" w:rsidR="00A81550" w:rsidRPr="001600EF" w:rsidRDefault="00A81550" w:rsidP="00D62343">
            <w:pPr>
              <w:pStyle w:val="Tabletext1"/>
              <w:rPr>
                <w:lang w:eastAsia="en-US"/>
              </w:rPr>
            </w:pPr>
            <w:r>
              <w:rPr>
                <w:lang w:eastAsia="en-US"/>
              </w:rPr>
              <w:t>44 (25.1)</w:t>
            </w:r>
          </w:p>
        </w:tc>
      </w:tr>
      <w:tr w:rsidR="00A81550" w:rsidRPr="001600EF" w14:paraId="2519CDED" w14:textId="77777777">
        <w:tc>
          <w:tcPr>
            <w:tcW w:w="5240" w:type="dxa"/>
          </w:tcPr>
          <w:p w14:paraId="4F33CACD" w14:textId="77777777" w:rsidR="00A81550" w:rsidRDefault="00A81550" w:rsidP="00D62343">
            <w:pPr>
              <w:pStyle w:val="Tabletext1"/>
              <w:rPr>
                <w:lang w:eastAsia="en-US"/>
              </w:rPr>
            </w:pPr>
            <w:r>
              <w:rPr>
                <w:lang w:eastAsia="en-US"/>
              </w:rPr>
              <w:t>KCCQ score, mean ± SD</w:t>
            </w:r>
          </w:p>
        </w:tc>
        <w:tc>
          <w:tcPr>
            <w:tcW w:w="1985" w:type="dxa"/>
          </w:tcPr>
          <w:p w14:paraId="10F7F9A3" w14:textId="77777777" w:rsidR="00A81550" w:rsidRPr="001600EF" w:rsidRDefault="00A81550" w:rsidP="00D62343">
            <w:pPr>
              <w:pStyle w:val="Tabletext1"/>
              <w:rPr>
                <w:lang w:eastAsia="en-US"/>
              </w:rPr>
            </w:pPr>
            <w:r>
              <w:rPr>
                <w:lang w:eastAsia="en-US"/>
              </w:rPr>
              <w:t>56.0±23.4</w:t>
            </w:r>
          </w:p>
        </w:tc>
        <w:tc>
          <w:tcPr>
            <w:tcW w:w="1791" w:type="dxa"/>
          </w:tcPr>
          <w:p w14:paraId="1430898E" w14:textId="77777777" w:rsidR="00A81550" w:rsidRPr="001600EF" w:rsidRDefault="00A81550" w:rsidP="00D62343">
            <w:pPr>
              <w:pStyle w:val="Tabletext1"/>
              <w:rPr>
                <w:lang w:eastAsia="en-US"/>
              </w:rPr>
            </w:pPr>
            <w:r>
              <w:rPr>
                <w:lang w:eastAsia="en-US"/>
              </w:rPr>
              <w:t>54.1±24.2</w:t>
            </w:r>
          </w:p>
        </w:tc>
      </w:tr>
      <w:tr w:rsidR="00A81550" w:rsidRPr="001600EF" w14:paraId="1ADC2F07" w14:textId="77777777">
        <w:tc>
          <w:tcPr>
            <w:tcW w:w="5240" w:type="dxa"/>
          </w:tcPr>
          <w:p w14:paraId="69FDBF8F" w14:textId="77777777" w:rsidR="00A81550" w:rsidRDefault="00A81550" w:rsidP="00D62343">
            <w:pPr>
              <w:pStyle w:val="Tabletext1"/>
              <w:rPr>
                <w:lang w:eastAsia="en-US"/>
              </w:rPr>
            </w:pPr>
            <w:r>
              <w:rPr>
                <w:lang w:eastAsia="en-US"/>
              </w:rPr>
              <w:t>B-type natriuretic peptide level – pg/mL, mean ± SD</w:t>
            </w:r>
          </w:p>
        </w:tc>
        <w:tc>
          <w:tcPr>
            <w:tcW w:w="1985" w:type="dxa"/>
          </w:tcPr>
          <w:p w14:paraId="46AAAF35" w14:textId="77777777" w:rsidR="00A81550" w:rsidRPr="001600EF" w:rsidRDefault="00A81550" w:rsidP="00D62343">
            <w:pPr>
              <w:pStyle w:val="Tabletext1"/>
              <w:rPr>
                <w:lang w:eastAsia="en-US"/>
              </w:rPr>
            </w:pPr>
            <w:r>
              <w:rPr>
                <w:lang w:eastAsia="en-US"/>
              </w:rPr>
              <w:t>382.0±347.5</w:t>
            </w:r>
          </w:p>
        </w:tc>
        <w:tc>
          <w:tcPr>
            <w:tcW w:w="1791" w:type="dxa"/>
          </w:tcPr>
          <w:p w14:paraId="1D10716D" w14:textId="77777777" w:rsidR="00A81550" w:rsidRPr="001600EF" w:rsidRDefault="00A81550" w:rsidP="00D62343">
            <w:pPr>
              <w:pStyle w:val="Tabletext1"/>
              <w:rPr>
                <w:lang w:eastAsia="en-US"/>
              </w:rPr>
            </w:pPr>
            <w:r>
              <w:rPr>
                <w:lang w:eastAsia="en-US"/>
              </w:rPr>
              <w:t>355.4±283.4</w:t>
            </w:r>
          </w:p>
        </w:tc>
      </w:tr>
      <w:tr w:rsidR="00A81550" w:rsidRPr="001600EF" w14:paraId="4DFC1F16" w14:textId="77777777">
        <w:tc>
          <w:tcPr>
            <w:tcW w:w="5240" w:type="dxa"/>
          </w:tcPr>
          <w:p w14:paraId="0C04DD83" w14:textId="77777777" w:rsidR="00A81550" w:rsidRDefault="00A81550" w:rsidP="00D62343">
            <w:pPr>
              <w:pStyle w:val="Tabletext1"/>
              <w:rPr>
                <w:lang w:eastAsia="en-US"/>
              </w:rPr>
            </w:pPr>
            <w:r>
              <w:rPr>
                <w:lang w:eastAsia="en-US"/>
              </w:rPr>
              <w:t>Body-mass index, mean ± SD</w:t>
            </w:r>
          </w:p>
        </w:tc>
        <w:tc>
          <w:tcPr>
            <w:tcW w:w="1985" w:type="dxa"/>
          </w:tcPr>
          <w:p w14:paraId="31B2A662" w14:textId="77777777" w:rsidR="00A81550" w:rsidRPr="001600EF" w:rsidRDefault="00A81550" w:rsidP="00D62343">
            <w:pPr>
              <w:pStyle w:val="Tabletext1"/>
              <w:rPr>
                <w:lang w:eastAsia="en-US"/>
              </w:rPr>
            </w:pPr>
            <w:r>
              <w:rPr>
                <w:lang w:eastAsia="en-US"/>
              </w:rPr>
              <w:t>27.0±5.8</w:t>
            </w:r>
          </w:p>
        </w:tc>
        <w:tc>
          <w:tcPr>
            <w:tcW w:w="1791" w:type="dxa"/>
          </w:tcPr>
          <w:p w14:paraId="2DA5D57E" w14:textId="77777777" w:rsidR="00A81550" w:rsidRPr="001600EF" w:rsidRDefault="00A81550" w:rsidP="00D62343">
            <w:pPr>
              <w:pStyle w:val="Tabletext1"/>
              <w:rPr>
                <w:lang w:eastAsia="en-US"/>
              </w:rPr>
            </w:pPr>
            <w:r>
              <w:rPr>
                <w:lang w:eastAsia="en-US"/>
              </w:rPr>
              <w:t>26.9±5.2</w:t>
            </w:r>
          </w:p>
        </w:tc>
      </w:tr>
      <w:tr w:rsidR="00A81550" w:rsidRPr="001600EF" w14:paraId="2F86990D" w14:textId="77777777">
        <w:tc>
          <w:tcPr>
            <w:tcW w:w="5240" w:type="dxa"/>
          </w:tcPr>
          <w:p w14:paraId="5C416070" w14:textId="77777777" w:rsidR="00A81550" w:rsidRDefault="00A81550" w:rsidP="00D62343">
            <w:pPr>
              <w:pStyle w:val="Tabletext1"/>
              <w:rPr>
                <w:lang w:eastAsia="en-US"/>
              </w:rPr>
            </w:pPr>
            <w:r>
              <w:rPr>
                <w:lang w:eastAsia="en-US"/>
              </w:rPr>
              <w:t>6-minute walk distance – m, mean ± SD</w:t>
            </w:r>
          </w:p>
        </w:tc>
        <w:tc>
          <w:tcPr>
            <w:tcW w:w="1985" w:type="dxa"/>
          </w:tcPr>
          <w:p w14:paraId="531D9389" w14:textId="77777777" w:rsidR="00A81550" w:rsidRPr="001600EF" w:rsidRDefault="00A81550" w:rsidP="00D62343">
            <w:pPr>
              <w:pStyle w:val="Tabletext1"/>
              <w:rPr>
                <w:lang w:eastAsia="en-US"/>
              </w:rPr>
            </w:pPr>
            <w:r>
              <w:rPr>
                <w:lang w:eastAsia="en-US"/>
              </w:rPr>
              <w:t>240.5±117.1</w:t>
            </w:r>
          </w:p>
        </w:tc>
        <w:tc>
          <w:tcPr>
            <w:tcW w:w="1791" w:type="dxa"/>
          </w:tcPr>
          <w:p w14:paraId="30B1C95C" w14:textId="77777777" w:rsidR="00A81550" w:rsidRPr="001600EF" w:rsidRDefault="00A81550" w:rsidP="00D62343">
            <w:pPr>
              <w:pStyle w:val="Tabletext1"/>
              <w:rPr>
                <w:lang w:eastAsia="en-US"/>
              </w:rPr>
            </w:pPr>
            <w:r>
              <w:rPr>
                <w:lang w:eastAsia="en-US"/>
              </w:rPr>
              <w:t>253.6±129.1</w:t>
            </w:r>
          </w:p>
        </w:tc>
      </w:tr>
      <w:tr w:rsidR="00A81550" w:rsidRPr="001600EF" w14:paraId="4B4BDA91" w14:textId="77777777">
        <w:tc>
          <w:tcPr>
            <w:tcW w:w="5240" w:type="dxa"/>
          </w:tcPr>
          <w:p w14:paraId="59AA5E43" w14:textId="77777777" w:rsidR="00A81550" w:rsidRDefault="00A81550" w:rsidP="00D62343">
            <w:pPr>
              <w:pStyle w:val="Tabletext1"/>
              <w:rPr>
                <w:lang w:eastAsia="en-US"/>
              </w:rPr>
            </w:pPr>
            <w:r>
              <w:rPr>
                <w:lang w:eastAsia="en-US"/>
              </w:rPr>
              <w:t>Glomerular filtration rate, mL/min/1.73m</w:t>
            </w:r>
            <w:r w:rsidRPr="00431E1E">
              <w:rPr>
                <w:vertAlign w:val="superscript"/>
                <w:lang w:eastAsia="en-US"/>
              </w:rPr>
              <w:t>2</w:t>
            </w:r>
            <w:r>
              <w:rPr>
                <w:lang w:eastAsia="en-US"/>
              </w:rPr>
              <w:t>, mean ± SD</w:t>
            </w:r>
          </w:p>
        </w:tc>
        <w:tc>
          <w:tcPr>
            <w:tcW w:w="1985" w:type="dxa"/>
          </w:tcPr>
          <w:p w14:paraId="77EF28AC" w14:textId="77777777" w:rsidR="00A81550" w:rsidRPr="001600EF" w:rsidRDefault="00A81550" w:rsidP="00D62343">
            <w:pPr>
              <w:pStyle w:val="Tabletext1"/>
              <w:rPr>
                <w:lang w:eastAsia="en-US"/>
              </w:rPr>
            </w:pPr>
            <w:r>
              <w:rPr>
                <w:lang w:eastAsia="en-US"/>
              </w:rPr>
              <w:t>54.1±20.4</w:t>
            </w:r>
          </w:p>
        </w:tc>
        <w:tc>
          <w:tcPr>
            <w:tcW w:w="1791" w:type="dxa"/>
          </w:tcPr>
          <w:p w14:paraId="2CF843C0" w14:textId="77777777" w:rsidR="00A81550" w:rsidRPr="001600EF" w:rsidRDefault="00A81550" w:rsidP="00D62343">
            <w:pPr>
              <w:pStyle w:val="Tabletext1"/>
              <w:rPr>
                <w:lang w:eastAsia="en-US"/>
              </w:rPr>
            </w:pPr>
            <w:r>
              <w:rPr>
                <w:lang w:eastAsia="en-US"/>
              </w:rPr>
              <w:t>56.9±20.0</w:t>
            </w:r>
          </w:p>
        </w:tc>
      </w:tr>
      <w:tr w:rsidR="00A81550" w:rsidRPr="001600EF" w14:paraId="5C50F153" w14:textId="77777777">
        <w:tc>
          <w:tcPr>
            <w:tcW w:w="9016" w:type="dxa"/>
            <w:gridSpan w:val="3"/>
          </w:tcPr>
          <w:p w14:paraId="380CC0E5" w14:textId="77777777" w:rsidR="00A81550" w:rsidRPr="001600EF" w:rsidRDefault="00A81550" w:rsidP="00D62343">
            <w:pPr>
              <w:pStyle w:val="Tabletext1"/>
              <w:rPr>
                <w:lang w:eastAsia="en-US"/>
              </w:rPr>
            </w:pPr>
            <w:r>
              <w:rPr>
                <w:lang w:eastAsia="en-US"/>
              </w:rPr>
              <w:t>Medications, n (%)</w:t>
            </w:r>
          </w:p>
        </w:tc>
      </w:tr>
      <w:tr w:rsidR="00A81550" w:rsidRPr="001600EF" w14:paraId="5EBB1339" w14:textId="77777777">
        <w:tc>
          <w:tcPr>
            <w:tcW w:w="5240" w:type="dxa"/>
          </w:tcPr>
          <w:p w14:paraId="2846D8B7" w14:textId="77777777" w:rsidR="00A81550" w:rsidRDefault="00A81550" w:rsidP="00D62343">
            <w:pPr>
              <w:pStyle w:val="Tabletext1"/>
              <w:rPr>
                <w:lang w:eastAsia="en-US"/>
              </w:rPr>
            </w:pPr>
            <w:r>
              <w:rPr>
                <w:lang w:eastAsia="en-US"/>
              </w:rPr>
              <w:t xml:space="preserve"> β-receptor antagonist</w:t>
            </w:r>
          </w:p>
        </w:tc>
        <w:tc>
          <w:tcPr>
            <w:tcW w:w="1985" w:type="dxa"/>
          </w:tcPr>
          <w:p w14:paraId="40F4BCF9" w14:textId="77777777" w:rsidR="00A81550" w:rsidRPr="001600EF" w:rsidRDefault="00A81550" w:rsidP="00D62343">
            <w:pPr>
              <w:pStyle w:val="Tabletext1"/>
              <w:rPr>
                <w:lang w:eastAsia="en-US"/>
              </w:rPr>
            </w:pPr>
            <w:r>
              <w:rPr>
                <w:lang w:eastAsia="en-US"/>
              </w:rPr>
              <w:t>114 (65.1)</w:t>
            </w:r>
          </w:p>
        </w:tc>
        <w:tc>
          <w:tcPr>
            <w:tcW w:w="1791" w:type="dxa"/>
          </w:tcPr>
          <w:p w14:paraId="080263CB" w14:textId="77777777" w:rsidR="00A81550" w:rsidRPr="001600EF" w:rsidRDefault="00A81550" w:rsidP="00D62343">
            <w:pPr>
              <w:pStyle w:val="Tabletext1"/>
              <w:rPr>
                <w:lang w:eastAsia="en-US"/>
              </w:rPr>
            </w:pPr>
            <w:r>
              <w:rPr>
                <w:lang w:eastAsia="en-US"/>
              </w:rPr>
              <w:t>115 (65.7)</w:t>
            </w:r>
          </w:p>
        </w:tc>
      </w:tr>
      <w:tr w:rsidR="00A81550" w:rsidRPr="001600EF" w14:paraId="6F80BB78" w14:textId="77777777">
        <w:tc>
          <w:tcPr>
            <w:tcW w:w="5240" w:type="dxa"/>
          </w:tcPr>
          <w:p w14:paraId="49DD5F8D" w14:textId="77777777" w:rsidR="00A81550" w:rsidRDefault="00A81550" w:rsidP="00D62343">
            <w:pPr>
              <w:pStyle w:val="Tabletext1"/>
              <w:rPr>
                <w:lang w:eastAsia="en-US"/>
              </w:rPr>
            </w:pPr>
            <w:r>
              <w:rPr>
                <w:lang w:eastAsia="en-US"/>
              </w:rPr>
              <w:t xml:space="preserve">  ACE-I, ARB, or ARNI</w:t>
            </w:r>
          </w:p>
        </w:tc>
        <w:tc>
          <w:tcPr>
            <w:tcW w:w="1985" w:type="dxa"/>
          </w:tcPr>
          <w:p w14:paraId="4CA78900" w14:textId="77777777" w:rsidR="00A81550" w:rsidRPr="001600EF" w:rsidRDefault="00A81550" w:rsidP="00D62343">
            <w:pPr>
              <w:pStyle w:val="Tabletext1"/>
              <w:rPr>
                <w:lang w:eastAsia="en-US"/>
              </w:rPr>
            </w:pPr>
            <w:r>
              <w:rPr>
                <w:lang w:eastAsia="en-US"/>
              </w:rPr>
              <w:t>68 (38.9)</w:t>
            </w:r>
          </w:p>
        </w:tc>
        <w:tc>
          <w:tcPr>
            <w:tcW w:w="1791" w:type="dxa"/>
          </w:tcPr>
          <w:p w14:paraId="523FAA9A" w14:textId="77777777" w:rsidR="00A81550" w:rsidRPr="001600EF" w:rsidRDefault="00A81550" w:rsidP="00D62343">
            <w:pPr>
              <w:pStyle w:val="Tabletext1"/>
              <w:rPr>
                <w:lang w:eastAsia="en-US"/>
              </w:rPr>
            </w:pPr>
            <w:r>
              <w:rPr>
                <w:lang w:eastAsia="en-US"/>
              </w:rPr>
              <w:t>66 (37.7)</w:t>
            </w:r>
          </w:p>
        </w:tc>
      </w:tr>
      <w:tr w:rsidR="00A81550" w:rsidRPr="001600EF" w14:paraId="0B4DC225" w14:textId="77777777">
        <w:tc>
          <w:tcPr>
            <w:tcW w:w="5240" w:type="dxa"/>
          </w:tcPr>
          <w:p w14:paraId="38A4EF84" w14:textId="77777777" w:rsidR="00A81550" w:rsidRDefault="00A81550" w:rsidP="00D62343">
            <w:pPr>
              <w:pStyle w:val="Tabletext1"/>
              <w:rPr>
                <w:lang w:eastAsia="en-US"/>
              </w:rPr>
            </w:pPr>
            <w:r>
              <w:rPr>
                <w:lang w:eastAsia="en-US"/>
              </w:rPr>
              <w:t xml:space="preserve">  Vasodilator</w:t>
            </w:r>
          </w:p>
        </w:tc>
        <w:tc>
          <w:tcPr>
            <w:tcW w:w="1985" w:type="dxa"/>
          </w:tcPr>
          <w:p w14:paraId="2A857DC9" w14:textId="77777777" w:rsidR="00A81550" w:rsidRPr="001600EF" w:rsidRDefault="00A81550" w:rsidP="00D62343">
            <w:pPr>
              <w:pStyle w:val="Tabletext1"/>
              <w:rPr>
                <w:lang w:eastAsia="en-US"/>
              </w:rPr>
            </w:pPr>
            <w:r>
              <w:rPr>
                <w:lang w:eastAsia="en-US"/>
              </w:rPr>
              <w:t>14 (8.0)</w:t>
            </w:r>
          </w:p>
        </w:tc>
        <w:tc>
          <w:tcPr>
            <w:tcW w:w="1791" w:type="dxa"/>
          </w:tcPr>
          <w:p w14:paraId="5E3751E6" w14:textId="77777777" w:rsidR="00A81550" w:rsidRPr="001600EF" w:rsidRDefault="00A81550" w:rsidP="00D62343">
            <w:pPr>
              <w:pStyle w:val="Tabletext1"/>
              <w:rPr>
                <w:lang w:eastAsia="en-US"/>
              </w:rPr>
            </w:pPr>
            <w:r>
              <w:rPr>
                <w:lang w:eastAsia="en-US"/>
              </w:rPr>
              <w:t>17 (9.7)</w:t>
            </w:r>
          </w:p>
        </w:tc>
      </w:tr>
      <w:tr w:rsidR="00A81550" w:rsidRPr="001600EF" w14:paraId="64F1729A" w14:textId="77777777">
        <w:tc>
          <w:tcPr>
            <w:tcW w:w="5240" w:type="dxa"/>
          </w:tcPr>
          <w:p w14:paraId="411DB3E6" w14:textId="77777777" w:rsidR="00A81550" w:rsidRDefault="00A81550" w:rsidP="00D62343">
            <w:pPr>
              <w:pStyle w:val="Tabletext1"/>
              <w:rPr>
                <w:lang w:eastAsia="en-US"/>
              </w:rPr>
            </w:pPr>
            <w:r>
              <w:rPr>
                <w:lang w:eastAsia="en-US"/>
              </w:rPr>
              <w:t xml:space="preserve">  Diuretic</w:t>
            </w:r>
          </w:p>
        </w:tc>
        <w:tc>
          <w:tcPr>
            <w:tcW w:w="1985" w:type="dxa"/>
          </w:tcPr>
          <w:p w14:paraId="2B8B49B6" w14:textId="77777777" w:rsidR="00A81550" w:rsidRPr="001600EF" w:rsidRDefault="00A81550" w:rsidP="00D62343">
            <w:pPr>
              <w:pStyle w:val="Tabletext1"/>
              <w:rPr>
                <w:lang w:eastAsia="en-US"/>
              </w:rPr>
            </w:pPr>
            <w:r>
              <w:rPr>
                <w:lang w:eastAsia="en-US"/>
              </w:rPr>
              <w:t>152 (86.9)</w:t>
            </w:r>
          </w:p>
        </w:tc>
        <w:tc>
          <w:tcPr>
            <w:tcW w:w="1791" w:type="dxa"/>
          </w:tcPr>
          <w:p w14:paraId="199785B7" w14:textId="77777777" w:rsidR="00A81550" w:rsidRPr="001600EF" w:rsidRDefault="00A81550" w:rsidP="00D62343">
            <w:pPr>
              <w:pStyle w:val="Tabletext1"/>
              <w:rPr>
                <w:lang w:eastAsia="en-US"/>
              </w:rPr>
            </w:pPr>
            <w:r>
              <w:rPr>
                <w:lang w:eastAsia="en-US"/>
              </w:rPr>
              <w:t>161 (92.0)</w:t>
            </w:r>
          </w:p>
        </w:tc>
      </w:tr>
      <w:tr w:rsidR="00A81550" w:rsidRPr="001600EF" w14:paraId="50D69BD6" w14:textId="77777777">
        <w:tc>
          <w:tcPr>
            <w:tcW w:w="5240" w:type="dxa"/>
          </w:tcPr>
          <w:p w14:paraId="1DC675D5" w14:textId="77777777" w:rsidR="00A81550" w:rsidRDefault="00A81550" w:rsidP="00D62343">
            <w:pPr>
              <w:pStyle w:val="Tabletext1"/>
              <w:rPr>
                <w:lang w:eastAsia="en-US"/>
              </w:rPr>
            </w:pPr>
            <w:r>
              <w:rPr>
                <w:lang w:eastAsia="en-US"/>
              </w:rPr>
              <w:t>Left ventricular ejection fraction - %, mean ± SD</w:t>
            </w:r>
          </w:p>
        </w:tc>
        <w:tc>
          <w:tcPr>
            <w:tcW w:w="1985" w:type="dxa"/>
          </w:tcPr>
          <w:p w14:paraId="61A337D4" w14:textId="77777777" w:rsidR="00A81550" w:rsidRPr="001600EF" w:rsidRDefault="00A81550" w:rsidP="00D62343">
            <w:pPr>
              <w:pStyle w:val="Tabletext1"/>
              <w:rPr>
                <w:lang w:eastAsia="en-US"/>
              </w:rPr>
            </w:pPr>
            <w:r>
              <w:rPr>
                <w:lang w:eastAsia="en-US"/>
              </w:rPr>
              <w:t>59.3±9.3</w:t>
            </w:r>
          </w:p>
        </w:tc>
        <w:tc>
          <w:tcPr>
            <w:tcW w:w="1791" w:type="dxa"/>
          </w:tcPr>
          <w:p w14:paraId="4DA1BCD8" w14:textId="77777777" w:rsidR="00A81550" w:rsidRPr="001600EF" w:rsidRDefault="00A81550" w:rsidP="00D62343">
            <w:pPr>
              <w:pStyle w:val="Tabletext1"/>
              <w:rPr>
                <w:lang w:eastAsia="en-US"/>
              </w:rPr>
            </w:pPr>
            <w:r>
              <w:rPr>
                <w:lang w:eastAsia="en-US"/>
              </w:rPr>
              <w:t>58.7±10.5</w:t>
            </w:r>
          </w:p>
        </w:tc>
      </w:tr>
      <w:tr w:rsidR="00A81550" w:rsidRPr="001600EF" w14:paraId="295A460F" w14:textId="77777777">
        <w:tc>
          <w:tcPr>
            <w:tcW w:w="5240" w:type="dxa"/>
          </w:tcPr>
          <w:p w14:paraId="542533C3" w14:textId="77777777" w:rsidR="00A81550" w:rsidRDefault="00A81550" w:rsidP="00D62343">
            <w:pPr>
              <w:pStyle w:val="Tabletext1"/>
              <w:rPr>
                <w:lang w:eastAsia="en-US"/>
              </w:rPr>
            </w:pPr>
            <w:r>
              <w:rPr>
                <w:lang w:eastAsia="en-US"/>
              </w:rPr>
              <w:t xml:space="preserve">Left ventricular ejection fraction &lt;50%, n (%) </w:t>
            </w:r>
          </w:p>
        </w:tc>
        <w:tc>
          <w:tcPr>
            <w:tcW w:w="1985" w:type="dxa"/>
          </w:tcPr>
          <w:p w14:paraId="323FA392" w14:textId="77777777" w:rsidR="00A81550" w:rsidRPr="001600EF" w:rsidRDefault="00A81550" w:rsidP="00D62343">
            <w:pPr>
              <w:pStyle w:val="Tabletext1"/>
              <w:rPr>
                <w:lang w:eastAsia="en-US"/>
              </w:rPr>
            </w:pPr>
            <w:r>
              <w:rPr>
                <w:lang w:eastAsia="en-US"/>
              </w:rPr>
              <w:t>23 (14)</w:t>
            </w:r>
          </w:p>
        </w:tc>
        <w:tc>
          <w:tcPr>
            <w:tcW w:w="1791" w:type="dxa"/>
          </w:tcPr>
          <w:p w14:paraId="4E72E8D0" w14:textId="77777777" w:rsidR="00A81550" w:rsidRPr="001600EF" w:rsidRDefault="00A81550" w:rsidP="00D62343">
            <w:pPr>
              <w:pStyle w:val="Tabletext1"/>
              <w:rPr>
                <w:lang w:eastAsia="en-US"/>
              </w:rPr>
            </w:pPr>
            <w:r>
              <w:rPr>
                <w:lang w:eastAsia="en-US"/>
              </w:rPr>
              <w:t>21 (14)</w:t>
            </w:r>
          </w:p>
        </w:tc>
      </w:tr>
      <w:tr w:rsidR="00A81550" w:rsidRPr="001600EF" w14:paraId="36FF7EA1" w14:textId="77777777">
        <w:tc>
          <w:tcPr>
            <w:tcW w:w="5240" w:type="dxa"/>
          </w:tcPr>
          <w:p w14:paraId="073E86C4" w14:textId="77777777" w:rsidR="00A81550" w:rsidRDefault="00A81550" w:rsidP="00D62343">
            <w:pPr>
              <w:pStyle w:val="Tabletext1"/>
              <w:rPr>
                <w:lang w:eastAsia="en-US"/>
              </w:rPr>
            </w:pPr>
            <w:r>
              <w:rPr>
                <w:lang w:eastAsia="en-US"/>
              </w:rPr>
              <w:t>Left ventricular end diastolic volume – mL, mean ± SD</w:t>
            </w:r>
          </w:p>
        </w:tc>
        <w:tc>
          <w:tcPr>
            <w:tcW w:w="1985" w:type="dxa"/>
          </w:tcPr>
          <w:p w14:paraId="04C4D477" w14:textId="77777777" w:rsidR="00A81550" w:rsidRPr="001600EF" w:rsidRDefault="00A81550" w:rsidP="00D62343">
            <w:pPr>
              <w:pStyle w:val="Tabletext1"/>
              <w:rPr>
                <w:lang w:eastAsia="en-US"/>
              </w:rPr>
            </w:pPr>
            <w:r>
              <w:rPr>
                <w:lang w:eastAsia="en-US"/>
              </w:rPr>
              <w:t>81.5±33.2</w:t>
            </w:r>
          </w:p>
        </w:tc>
        <w:tc>
          <w:tcPr>
            <w:tcW w:w="1791" w:type="dxa"/>
          </w:tcPr>
          <w:p w14:paraId="0E1782BE" w14:textId="77777777" w:rsidR="00A81550" w:rsidRPr="001600EF" w:rsidRDefault="00A81550" w:rsidP="00D62343">
            <w:pPr>
              <w:pStyle w:val="Tabletext1"/>
              <w:rPr>
                <w:lang w:eastAsia="en-US"/>
              </w:rPr>
            </w:pPr>
            <w:r>
              <w:rPr>
                <w:lang w:eastAsia="en-US"/>
              </w:rPr>
              <w:t>84.5±37.2</w:t>
            </w:r>
          </w:p>
        </w:tc>
      </w:tr>
      <w:tr w:rsidR="00A81550" w:rsidRPr="001600EF" w14:paraId="2F637905" w14:textId="77777777">
        <w:tc>
          <w:tcPr>
            <w:tcW w:w="5240" w:type="dxa"/>
          </w:tcPr>
          <w:p w14:paraId="02A9A488" w14:textId="77777777" w:rsidR="00A81550" w:rsidRDefault="00A81550" w:rsidP="00D62343">
            <w:pPr>
              <w:pStyle w:val="Tabletext1"/>
              <w:rPr>
                <w:lang w:eastAsia="en-US"/>
              </w:rPr>
            </w:pPr>
            <w:r>
              <w:rPr>
                <w:lang w:eastAsia="en-US"/>
              </w:rPr>
              <w:t>Left ventricular end systolic volume – mL, mean ± SD</w:t>
            </w:r>
          </w:p>
        </w:tc>
        <w:tc>
          <w:tcPr>
            <w:tcW w:w="1985" w:type="dxa"/>
          </w:tcPr>
          <w:p w14:paraId="4119B82B" w14:textId="77777777" w:rsidR="00A81550" w:rsidRPr="001600EF" w:rsidRDefault="00A81550" w:rsidP="00D62343">
            <w:pPr>
              <w:pStyle w:val="Tabletext1"/>
              <w:rPr>
                <w:lang w:eastAsia="en-US"/>
              </w:rPr>
            </w:pPr>
            <w:r>
              <w:rPr>
                <w:lang w:eastAsia="en-US"/>
              </w:rPr>
              <w:t>34.1±18.4</w:t>
            </w:r>
          </w:p>
        </w:tc>
        <w:tc>
          <w:tcPr>
            <w:tcW w:w="1791" w:type="dxa"/>
          </w:tcPr>
          <w:p w14:paraId="12BB1D65" w14:textId="77777777" w:rsidR="00A81550" w:rsidRPr="001600EF" w:rsidRDefault="00A81550" w:rsidP="00D62343">
            <w:pPr>
              <w:pStyle w:val="Tabletext1"/>
              <w:rPr>
                <w:lang w:eastAsia="en-US"/>
              </w:rPr>
            </w:pPr>
            <w:r>
              <w:rPr>
                <w:lang w:eastAsia="en-US"/>
              </w:rPr>
              <w:t>36.8±26.0</w:t>
            </w:r>
          </w:p>
        </w:tc>
      </w:tr>
      <w:tr w:rsidR="00A81550" w:rsidRPr="001600EF" w14:paraId="3D618C1B" w14:textId="77777777">
        <w:tc>
          <w:tcPr>
            <w:tcW w:w="5240" w:type="dxa"/>
          </w:tcPr>
          <w:p w14:paraId="162679AE" w14:textId="77777777" w:rsidR="00A81550" w:rsidRDefault="00A81550" w:rsidP="00D62343">
            <w:pPr>
              <w:pStyle w:val="Tabletext1"/>
              <w:rPr>
                <w:lang w:eastAsia="en-US"/>
              </w:rPr>
            </w:pPr>
            <w:r>
              <w:rPr>
                <w:lang w:eastAsia="en-US"/>
              </w:rPr>
              <w:t>Functional aetiology of TR, n (%)</w:t>
            </w:r>
          </w:p>
        </w:tc>
        <w:tc>
          <w:tcPr>
            <w:tcW w:w="1985" w:type="dxa"/>
          </w:tcPr>
          <w:p w14:paraId="5D16B8EA" w14:textId="77777777" w:rsidR="00A81550" w:rsidRPr="001600EF" w:rsidRDefault="00A81550" w:rsidP="00D62343">
            <w:pPr>
              <w:pStyle w:val="Tabletext1"/>
              <w:rPr>
                <w:lang w:eastAsia="en-US"/>
              </w:rPr>
            </w:pPr>
            <w:r>
              <w:rPr>
                <w:lang w:eastAsia="en-US"/>
              </w:rPr>
              <w:t>165 (94.8)</w:t>
            </w:r>
          </w:p>
        </w:tc>
        <w:tc>
          <w:tcPr>
            <w:tcW w:w="1791" w:type="dxa"/>
          </w:tcPr>
          <w:p w14:paraId="4BC0C565" w14:textId="77777777" w:rsidR="00A81550" w:rsidRPr="001600EF" w:rsidRDefault="00A81550" w:rsidP="00D62343">
            <w:pPr>
              <w:pStyle w:val="Tabletext1"/>
              <w:rPr>
                <w:lang w:eastAsia="en-US"/>
              </w:rPr>
            </w:pPr>
            <w:r>
              <w:rPr>
                <w:lang w:eastAsia="en-US"/>
              </w:rPr>
              <w:t>158 (92.9)</w:t>
            </w:r>
          </w:p>
        </w:tc>
      </w:tr>
      <w:tr w:rsidR="00A81550" w:rsidRPr="001600EF" w14:paraId="1E2838BC" w14:textId="77777777">
        <w:tc>
          <w:tcPr>
            <w:tcW w:w="9016" w:type="dxa"/>
            <w:gridSpan w:val="3"/>
          </w:tcPr>
          <w:p w14:paraId="6248CE89" w14:textId="77777777" w:rsidR="00A81550" w:rsidRPr="001600EF" w:rsidRDefault="00A81550" w:rsidP="00D62343">
            <w:pPr>
              <w:pStyle w:val="Tabletext1"/>
              <w:rPr>
                <w:lang w:eastAsia="en-US"/>
              </w:rPr>
            </w:pPr>
            <w:r>
              <w:rPr>
                <w:lang w:eastAsia="en-US"/>
              </w:rPr>
              <w:t>Severity of TR, n (%)</w:t>
            </w:r>
          </w:p>
        </w:tc>
      </w:tr>
      <w:tr w:rsidR="00A81550" w:rsidRPr="001600EF" w14:paraId="32761798" w14:textId="77777777">
        <w:tc>
          <w:tcPr>
            <w:tcW w:w="5240" w:type="dxa"/>
          </w:tcPr>
          <w:p w14:paraId="08154B68" w14:textId="77777777" w:rsidR="00A81550" w:rsidRDefault="00A81550" w:rsidP="00D62343">
            <w:pPr>
              <w:pStyle w:val="Tabletext1"/>
              <w:rPr>
                <w:lang w:eastAsia="en-US"/>
              </w:rPr>
            </w:pPr>
            <w:r>
              <w:rPr>
                <w:lang w:eastAsia="en-US"/>
              </w:rPr>
              <w:t xml:space="preserve">  Moderate</w:t>
            </w:r>
          </w:p>
        </w:tc>
        <w:tc>
          <w:tcPr>
            <w:tcW w:w="1985" w:type="dxa"/>
          </w:tcPr>
          <w:p w14:paraId="33FA96B8" w14:textId="77777777" w:rsidR="00A81550" w:rsidRPr="001600EF" w:rsidRDefault="00A81550" w:rsidP="00D62343">
            <w:pPr>
              <w:pStyle w:val="Tabletext1"/>
              <w:rPr>
                <w:lang w:eastAsia="en-US"/>
              </w:rPr>
            </w:pPr>
            <w:r>
              <w:rPr>
                <w:lang w:eastAsia="en-US"/>
              </w:rPr>
              <w:t>4 (2.3)</w:t>
            </w:r>
          </w:p>
        </w:tc>
        <w:tc>
          <w:tcPr>
            <w:tcW w:w="1791" w:type="dxa"/>
          </w:tcPr>
          <w:p w14:paraId="2F74E4B1" w14:textId="77777777" w:rsidR="00A81550" w:rsidRPr="001600EF" w:rsidRDefault="00A81550" w:rsidP="00D62343">
            <w:pPr>
              <w:pStyle w:val="Tabletext1"/>
              <w:rPr>
                <w:lang w:eastAsia="en-US"/>
              </w:rPr>
            </w:pPr>
            <w:r>
              <w:rPr>
                <w:lang w:eastAsia="en-US"/>
              </w:rPr>
              <w:t>2 (1.2)</w:t>
            </w:r>
          </w:p>
        </w:tc>
      </w:tr>
      <w:tr w:rsidR="00A81550" w:rsidRPr="001600EF" w14:paraId="7AEED47F" w14:textId="77777777">
        <w:tc>
          <w:tcPr>
            <w:tcW w:w="5240" w:type="dxa"/>
          </w:tcPr>
          <w:p w14:paraId="7773EC05" w14:textId="77777777" w:rsidR="00A81550" w:rsidRDefault="00A81550" w:rsidP="00D62343">
            <w:pPr>
              <w:pStyle w:val="Tabletext1"/>
              <w:rPr>
                <w:lang w:eastAsia="en-US"/>
              </w:rPr>
            </w:pPr>
            <w:r>
              <w:rPr>
                <w:lang w:eastAsia="en-US"/>
              </w:rPr>
              <w:t xml:space="preserve">  Severe</w:t>
            </w:r>
          </w:p>
        </w:tc>
        <w:tc>
          <w:tcPr>
            <w:tcW w:w="1985" w:type="dxa"/>
          </w:tcPr>
          <w:p w14:paraId="353278CC" w14:textId="77777777" w:rsidR="00A81550" w:rsidRPr="001600EF" w:rsidRDefault="00A81550" w:rsidP="00D62343">
            <w:pPr>
              <w:pStyle w:val="Tabletext1"/>
              <w:rPr>
                <w:lang w:eastAsia="en-US"/>
              </w:rPr>
            </w:pPr>
            <w:r>
              <w:rPr>
                <w:lang w:eastAsia="en-US"/>
              </w:rPr>
              <w:t>44 (25.4)</w:t>
            </w:r>
          </w:p>
        </w:tc>
        <w:tc>
          <w:tcPr>
            <w:tcW w:w="1791" w:type="dxa"/>
          </w:tcPr>
          <w:p w14:paraId="6C51030C" w14:textId="77777777" w:rsidR="00A81550" w:rsidRPr="001600EF" w:rsidRDefault="00A81550" w:rsidP="00D62343">
            <w:pPr>
              <w:pStyle w:val="Tabletext1"/>
              <w:rPr>
                <w:lang w:eastAsia="en-US"/>
              </w:rPr>
            </w:pPr>
            <w:r>
              <w:rPr>
                <w:lang w:eastAsia="en-US"/>
              </w:rPr>
              <w:t>49 (29.7)</w:t>
            </w:r>
          </w:p>
        </w:tc>
      </w:tr>
      <w:tr w:rsidR="00A81550" w:rsidRPr="001600EF" w14:paraId="1580F864" w14:textId="77777777">
        <w:tc>
          <w:tcPr>
            <w:tcW w:w="5240" w:type="dxa"/>
          </w:tcPr>
          <w:p w14:paraId="375B1721" w14:textId="77777777" w:rsidR="00A81550" w:rsidRDefault="00A81550" w:rsidP="00D62343">
            <w:pPr>
              <w:pStyle w:val="Tabletext1"/>
              <w:rPr>
                <w:lang w:eastAsia="en-US"/>
              </w:rPr>
            </w:pPr>
            <w:r>
              <w:rPr>
                <w:lang w:eastAsia="en-US"/>
              </w:rPr>
              <w:t xml:space="preserve">  Massive</w:t>
            </w:r>
          </w:p>
        </w:tc>
        <w:tc>
          <w:tcPr>
            <w:tcW w:w="1985" w:type="dxa"/>
          </w:tcPr>
          <w:p w14:paraId="3C9324BB" w14:textId="77777777" w:rsidR="00A81550" w:rsidRPr="001600EF" w:rsidRDefault="00A81550" w:rsidP="00D62343">
            <w:pPr>
              <w:pStyle w:val="Tabletext1"/>
              <w:rPr>
                <w:lang w:eastAsia="en-US"/>
              </w:rPr>
            </w:pPr>
            <w:r>
              <w:rPr>
                <w:lang w:eastAsia="en-US"/>
              </w:rPr>
              <w:t>37 (21.4)</w:t>
            </w:r>
          </w:p>
        </w:tc>
        <w:tc>
          <w:tcPr>
            <w:tcW w:w="1791" w:type="dxa"/>
          </w:tcPr>
          <w:p w14:paraId="73F4E84E" w14:textId="77777777" w:rsidR="00A81550" w:rsidRPr="001600EF" w:rsidRDefault="00A81550" w:rsidP="00D62343">
            <w:pPr>
              <w:pStyle w:val="Tabletext1"/>
              <w:rPr>
                <w:lang w:eastAsia="en-US"/>
              </w:rPr>
            </w:pPr>
            <w:r>
              <w:rPr>
                <w:lang w:eastAsia="en-US"/>
              </w:rPr>
              <w:t>30 (18.2)</w:t>
            </w:r>
          </w:p>
        </w:tc>
      </w:tr>
      <w:tr w:rsidR="00A81550" w:rsidRPr="001600EF" w14:paraId="4EE95ED3" w14:textId="77777777">
        <w:tc>
          <w:tcPr>
            <w:tcW w:w="5240" w:type="dxa"/>
          </w:tcPr>
          <w:p w14:paraId="0FC5D824" w14:textId="77777777" w:rsidR="00A81550" w:rsidRDefault="00A81550" w:rsidP="00D62343">
            <w:pPr>
              <w:pStyle w:val="Tabletext1"/>
              <w:rPr>
                <w:lang w:eastAsia="en-US"/>
              </w:rPr>
            </w:pPr>
            <w:r>
              <w:rPr>
                <w:lang w:eastAsia="en-US"/>
              </w:rPr>
              <w:t xml:space="preserve">  Torrential</w:t>
            </w:r>
          </w:p>
        </w:tc>
        <w:tc>
          <w:tcPr>
            <w:tcW w:w="1985" w:type="dxa"/>
          </w:tcPr>
          <w:p w14:paraId="34019F51" w14:textId="77777777" w:rsidR="00A81550" w:rsidRPr="001600EF" w:rsidRDefault="00A81550" w:rsidP="00D62343">
            <w:pPr>
              <w:pStyle w:val="Tabletext1"/>
              <w:rPr>
                <w:lang w:eastAsia="en-US"/>
              </w:rPr>
            </w:pPr>
            <w:r>
              <w:rPr>
                <w:lang w:eastAsia="en-US"/>
              </w:rPr>
              <w:t>88 (50.9)</w:t>
            </w:r>
          </w:p>
        </w:tc>
        <w:tc>
          <w:tcPr>
            <w:tcW w:w="1791" w:type="dxa"/>
          </w:tcPr>
          <w:p w14:paraId="3D49AFC8" w14:textId="77777777" w:rsidR="00A81550" w:rsidRPr="001600EF" w:rsidRDefault="00A81550" w:rsidP="00D62343">
            <w:pPr>
              <w:pStyle w:val="Tabletext1"/>
              <w:rPr>
                <w:lang w:eastAsia="en-US"/>
              </w:rPr>
            </w:pPr>
            <w:r>
              <w:rPr>
                <w:lang w:eastAsia="en-US"/>
              </w:rPr>
              <w:t>84 (50.9)</w:t>
            </w:r>
          </w:p>
        </w:tc>
      </w:tr>
      <w:tr w:rsidR="00A81550" w:rsidRPr="001600EF" w14:paraId="7E2B649D" w14:textId="77777777">
        <w:tc>
          <w:tcPr>
            <w:tcW w:w="5240" w:type="dxa"/>
          </w:tcPr>
          <w:p w14:paraId="69E7B651" w14:textId="77777777" w:rsidR="00A81550" w:rsidRDefault="00A81550" w:rsidP="00D62343">
            <w:pPr>
              <w:pStyle w:val="Tabletext1"/>
              <w:rPr>
                <w:lang w:eastAsia="en-US"/>
              </w:rPr>
            </w:pPr>
            <w:r>
              <w:rPr>
                <w:lang w:eastAsia="en-US"/>
              </w:rPr>
              <w:t>Coaptation gap – mm, mean ± SD</w:t>
            </w:r>
          </w:p>
        </w:tc>
        <w:tc>
          <w:tcPr>
            <w:tcW w:w="1985" w:type="dxa"/>
          </w:tcPr>
          <w:p w14:paraId="794A3051" w14:textId="77777777" w:rsidR="00A81550" w:rsidRPr="001600EF" w:rsidRDefault="00A81550" w:rsidP="00D62343">
            <w:pPr>
              <w:pStyle w:val="Tabletext1"/>
              <w:rPr>
                <w:lang w:eastAsia="en-US"/>
              </w:rPr>
            </w:pPr>
            <w:r>
              <w:rPr>
                <w:lang w:eastAsia="en-US"/>
              </w:rPr>
              <w:t>5.5±1.8</w:t>
            </w:r>
          </w:p>
        </w:tc>
        <w:tc>
          <w:tcPr>
            <w:tcW w:w="1791" w:type="dxa"/>
          </w:tcPr>
          <w:p w14:paraId="2E2C8D09" w14:textId="77777777" w:rsidR="00A81550" w:rsidRPr="001600EF" w:rsidRDefault="00A81550" w:rsidP="00D62343">
            <w:pPr>
              <w:pStyle w:val="Tabletext1"/>
              <w:rPr>
                <w:lang w:eastAsia="en-US"/>
              </w:rPr>
            </w:pPr>
            <w:r>
              <w:rPr>
                <w:lang w:eastAsia="en-US"/>
              </w:rPr>
              <w:t>5.2±1.7</w:t>
            </w:r>
          </w:p>
        </w:tc>
      </w:tr>
      <w:tr w:rsidR="00A81550" w:rsidRPr="001600EF" w14:paraId="117F8871" w14:textId="77777777">
        <w:tc>
          <w:tcPr>
            <w:tcW w:w="5240" w:type="dxa"/>
          </w:tcPr>
          <w:p w14:paraId="61BFCCC6" w14:textId="77777777" w:rsidR="00A81550" w:rsidRDefault="00A81550" w:rsidP="00D62343">
            <w:pPr>
              <w:pStyle w:val="Tabletext1"/>
              <w:rPr>
                <w:lang w:eastAsia="en-US"/>
              </w:rPr>
            </w:pPr>
            <w:r>
              <w:rPr>
                <w:lang w:eastAsia="en-US"/>
              </w:rPr>
              <w:t>Tricuspid annular plane systolic excursion ≥1.7cm, n (%)</w:t>
            </w:r>
          </w:p>
        </w:tc>
        <w:tc>
          <w:tcPr>
            <w:tcW w:w="1985" w:type="dxa"/>
          </w:tcPr>
          <w:p w14:paraId="161FBDF2" w14:textId="77777777" w:rsidR="00A81550" w:rsidRPr="001600EF" w:rsidRDefault="00A81550" w:rsidP="00D62343">
            <w:pPr>
              <w:pStyle w:val="Tabletext1"/>
              <w:rPr>
                <w:lang w:eastAsia="en-US"/>
              </w:rPr>
            </w:pPr>
            <w:r>
              <w:rPr>
                <w:lang w:eastAsia="en-US"/>
              </w:rPr>
              <w:t>83 (48.0)</w:t>
            </w:r>
          </w:p>
        </w:tc>
        <w:tc>
          <w:tcPr>
            <w:tcW w:w="1791" w:type="dxa"/>
          </w:tcPr>
          <w:p w14:paraId="5AC6A39C" w14:textId="77777777" w:rsidR="00A81550" w:rsidRPr="001600EF" w:rsidRDefault="00A81550" w:rsidP="00D62343">
            <w:pPr>
              <w:pStyle w:val="Tabletext1"/>
              <w:rPr>
                <w:lang w:eastAsia="en-US"/>
              </w:rPr>
            </w:pPr>
            <w:r>
              <w:rPr>
                <w:lang w:eastAsia="en-US"/>
              </w:rPr>
              <w:t>68 (41.2)</w:t>
            </w:r>
          </w:p>
        </w:tc>
      </w:tr>
      <w:tr w:rsidR="00A81550" w:rsidRPr="001600EF" w14:paraId="562D1E8F" w14:textId="77777777">
        <w:tc>
          <w:tcPr>
            <w:tcW w:w="5240" w:type="dxa"/>
          </w:tcPr>
          <w:p w14:paraId="64A218B0" w14:textId="77777777" w:rsidR="00A81550" w:rsidRDefault="00A81550" w:rsidP="00D62343">
            <w:pPr>
              <w:pStyle w:val="Tabletext1"/>
              <w:rPr>
                <w:lang w:eastAsia="en-US"/>
              </w:rPr>
            </w:pPr>
            <w:r>
              <w:rPr>
                <w:lang w:eastAsia="en-US"/>
              </w:rPr>
              <w:t>Right ventricular fractional area change - %, mean ± SD</w:t>
            </w:r>
          </w:p>
        </w:tc>
        <w:tc>
          <w:tcPr>
            <w:tcW w:w="1985" w:type="dxa"/>
          </w:tcPr>
          <w:p w14:paraId="3999F646" w14:textId="77777777" w:rsidR="00A81550" w:rsidRPr="001600EF" w:rsidRDefault="00A81550" w:rsidP="00D62343">
            <w:pPr>
              <w:pStyle w:val="Tabletext1"/>
              <w:rPr>
                <w:lang w:eastAsia="en-US"/>
              </w:rPr>
            </w:pPr>
            <w:r>
              <w:rPr>
                <w:lang w:eastAsia="en-US"/>
              </w:rPr>
              <w:t>36.6±5.5</w:t>
            </w:r>
          </w:p>
        </w:tc>
        <w:tc>
          <w:tcPr>
            <w:tcW w:w="1791" w:type="dxa"/>
          </w:tcPr>
          <w:p w14:paraId="6289A934" w14:textId="77777777" w:rsidR="00A81550" w:rsidRPr="001600EF" w:rsidRDefault="00A81550" w:rsidP="00D62343">
            <w:pPr>
              <w:pStyle w:val="Tabletext1"/>
              <w:rPr>
                <w:lang w:eastAsia="en-US"/>
              </w:rPr>
            </w:pPr>
            <w:r>
              <w:rPr>
                <w:lang w:eastAsia="en-US"/>
              </w:rPr>
              <w:t>37.2±6.3</w:t>
            </w:r>
          </w:p>
        </w:tc>
      </w:tr>
      <w:tr w:rsidR="00A81550" w:rsidRPr="001600EF" w14:paraId="698D5DF2" w14:textId="77777777">
        <w:tc>
          <w:tcPr>
            <w:tcW w:w="5240" w:type="dxa"/>
          </w:tcPr>
          <w:p w14:paraId="1BFA38A8" w14:textId="77777777" w:rsidR="00A81550" w:rsidRDefault="00A81550" w:rsidP="00D62343">
            <w:pPr>
              <w:pStyle w:val="Tabletext1"/>
              <w:rPr>
                <w:lang w:eastAsia="en-US"/>
              </w:rPr>
            </w:pPr>
            <w:r>
              <w:rPr>
                <w:lang w:eastAsia="en-US"/>
              </w:rPr>
              <w:t>Right ventricular end diastolic diameter – cm, mean ± SD</w:t>
            </w:r>
          </w:p>
        </w:tc>
        <w:tc>
          <w:tcPr>
            <w:tcW w:w="1985" w:type="dxa"/>
          </w:tcPr>
          <w:p w14:paraId="695C3D4D" w14:textId="77777777" w:rsidR="00A81550" w:rsidRPr="001600EF" w:rsidRDefault="00A81550" w:rsidP="00D62343">
            <w:pPr>
              <w:pStyle w:val="Tabletext1"/>
              <w:rPr>
                <w:lang w:eastAsia="en-US"/>
              </w:rPr>
            </w:pPr>
            <w:r>
              <w:rPr>
                <w:lang w:eastAsia="en-US"/>
              </w:rPr>
              <w:t>5.0±0.8</w:t>
            </w:r>
          </w:p>
        </w:tc>
        <w:tc>
          <w:tcPr>
            <w:tcW w:w="1791" w:type="dxa"/>
          </w:tcPr>
          <w:p w14:paraId="12A89CA0" w14:textId="77777777" w:rsidR="00A81550" w:rsidRPr="001600EF" w:rsidRDefault="00A81550" w:rsidP="00D62343">
            <w:pPr>
              <w:pStyle w:val="Tabletext1"/>
              <w:rPr>
                <w:lang w:eastAsia="en-US"/>
              </w:rPr>
            </w:pPr>
            <w:r>
              <w:rPr>
                <w:lang w:eastAsia="en-US"/>
              </w:rPr>
              <w:t>5.2±0.8</w:t>
            </w:r>
          </w:p>
        </w:tc>
      </w:tr>
      <w:tr w:rsidR="00A81550" w:rsidRPr="001600EF" w14:paraId="1C7B16B3" w14:textId="77777777">
        <w:tc>
          <w:tcPr>
            <w:tcW w:w="5240" w:type="dxa"/>
          </w:tcPr>
          <w:p w14:paraId="6F59F31D" w14:textId="77777777" w:rsidR="00A81550" w:rsidRDefault="00A81550" w:rsidP="00D62343">
            <w:pPr>
              <w:pStyle w:val="Tabletext1"/>
              <w:rPr>
                <w:lang w:eastAsia="en-US"/>
              </w:rPr>
            </w:pPr>
            <w:r>
              <w:rPr>
                <w:lang w:eastAsia="en-US"/>
              </w:rPr>
              <w:t>Right atrial volume – mL, mean ± SD</w:t>
            </w:r>
          </w:p>
        </w:tc>
        <w:tc>
          <w:tcPr>
            <w:tcW w:w="1985" w:type="dxa"/>
          </w:tcPr>
          <w:p w14:paraId="68D09672" w14:textId="77777777" w:rsidR="00A81550" w:rsidRPr="001600EF" w:rsidRDefault="00A81550" w:rsidP="00D62343">
            <w:pPr>
              <w:pStyle w:val="Tabletext1"/>
              <w:rPr>
                <w:lang w:eastAsia="en-US"/>
              </w:rPr>
            </w:pPr>
            <w:r>
              <w:rPr>
                <w:lang w:eastAsia="en-US"/>
              </w:rPr>
              <w:t>143.2±85.4</w:t>
            </w:r>
          </w:p>
        </w:tc>
        <w:tc>
          <w:tcPr>
            <w:tcW w:w="1791" w:type="dxa"/>
          </w:tcPr>
          <w:p w14:paraId="25287772" w14:textId="77777777" w:rsidR="00A81550" w:rsidRPr="001600EF" w:rsidRDefault="00A81550" w:rsidP="00D62343">
            <w:pPr>
              <w:pStyle w:val="Tabletext1"/>
              <w:rPr>
                <w:lang w:eastAsia="en-US"/>
              </w:rPr>
            </w:pPr>
            <w:r>
              <w:rPr>
                <w:lang w:eastAsia="en-US"/>
              </w:rPr>
              <w:t>153.2±83.2</w:t>
            </w:r>
          </w:p>
        </w:tc>
      </w:tr>
      <w:tr w:rsidR="00A81550" w:rsidRPr="001600EF" w14:paraId="2D866188" w14:textId="77777777">
        <w:tc>
          <w:tcPr>
            <w:tcW w:w="5240" w:type="dxa"/>
          </w:tcPr>
          <w:p w14:paraId="3922930A" w14:textId="77777777" w:rsidR="00A81550" w:rsidRDefault="00A81550" w:rsidP="00D62343">
            <w:pPr>
              <w:pStyle w:val="Tabletext1"/>
              <w:rPr>
                <w:lang w:eastAsia="en-US"/>
              </w:rPr>
            </w:pPr>
            <w:r>
              <w:rPr>
                <w:lang w:eastAsia="en-US"/>
              </w:rPr>
              <w:t>Tricuspid annular diameter – cm, mean ± SD</w:t>
            </w:r>
          </w:p>
        </w:tc>
        <w:tc>
          <w:tcPr>
            <w:tcW w:w="1985" w:type="dxa"/>
          </w:tcPr>
          <w:p w14:paraId="7E6FC171" w14:textId="77777777" w:rsidR="00A81550" w:rsidRPr="001600EF" w:rsidRDefault="00A81550" w:rsidP="00D62343">
            <w:pPr>
              <w:pStyle w:val="Tabletext1"/>
              <w:rPr>
                <w:lang w:eastAsia="en-US"/>
              </w:rPr>
            </w:pPr>
            <w:r>
              <w:rPr>
                <w:lang w:eastAsia="en-US"/>
              </w:rPr>
              <w:t>4.3±0.7</w:t>
            </w:r>
          </w:p>
        </w:tc>
        <w:tc>
          <w:tcPr>
            <w:tcW w:w="1791" w:type="dxa"/>
          </w:tcPr>
          <w:p w14:paraId="205D11F3" w14:textId="77777777" w:rsidR="00A81550" w:rsidRPr="001600EF" w:rsidRDefault="00A81550" w:rsidP="00D62343">
            <w:pPr>
              <w:pStyle w:val="Tabletext1"/>
              <w:rPr>
                <w:lang w:eastAsia="en-US"/>
              </w:rPr>
            </w:pPr>
            <w:r>
              <w:rPr>
                <w:lang w:eastAsia="en-US"/>
              </w:rPr>
              <w:t>4.5±0.8</w:t>
            </w:r>
          </w:p>
        </w:tc>
      </w:tr>
      <w:tr w:rsidR="00A81550" w:rsidRPr="001600EF" w14:paraId="02AABD71" w14:textId="77777777">
        <w:tc>
          <w:tcPr>
            <w:tcW w:w="5240" w:type="dxa"/>
          </w:tcPr>
          <w:p w14:paraId="17587879" w14:textId="77777777" w:rsidR="00A81550" w:rsidRDefault="00A81550" w:rsidP="00D62343">
            <w:pPr>
              <w:pStyle w:val="Tabletext1"/>
              <w:rPr>
                <w:lang w:eastAsia="en-US"/>
              </w:rPr>
            </w:pPr>
            <w:r>
              <w:rPr>
                <w:lang w:eastAsia="en-US"/>
              </w:rPr>
              <w:t>Cardiac output – L/min, mean ± SD</w:t>
            </w:r>
          </w:p>
        </w:tc>
        <w:tc>
          <w:tcPr>
            <w:tcW w:w="1985" w:type="dxa"/>
          </w:tcPr>
          <w:p w14:paraId="38127A2C" w14:textId="77777777" w:rsidR="00A81550" w:rsidRPr="001600EF" w:rsidRDefault="00A81550" w:rsidP="00D62343">
            <w:pPr>
              <w:pStyle w:val="Tabletext1"/>
              <w:rPr>
                <w:lang w:eastAsia="en-US"/>
              </w:rPr>
            </w:pPr>
            <w:r>
              <w:rPr>
                <w:lang w:eastAsia="en-US"/>
              </w:rPr>
              <w:t>4.1±1.2</w:t>
            </w:r>
          </w:p>
        </w:tc>
        <w:tc>
          <w:tcPr>
            <w:tcW w:w="1791" w:type="dxa"/>
          </w:tcPr>
          <w:p w14:paraId="37E5B703" w14:textId="77777777" w:rsidR="00A81550" w:rsidRPr="001600EF" w:rsidRDefault="00A81550" w:rsidP="00D62343">
            <w:pPr>
              <w:pStyle w:val="Tabletext1"/>
              <w:rPr>
                <w:lang w:eastAsia="en-US"/>
              </w:rPr>
            </w:pPr>
            <w:r>
              <w:rPr>
                <w:lang w:eastAsia="en-US"/>
              </w:rPr>
              <w:t>4.2±1.1</w:t>
            </w:r>
          </w:p>
        </w:tc>
      </w:tr>
      <w:tr w:rsidR="00A81550" w:rsidRPr="001600EF" w14:paraId="2C6EFAA4" w14:textId="77777777">
        <w:tc>
          <w:tcPr>
            <w:tcW w:w="5240" w:type="dxa"/>
          </w:tcPr>
          <w:p w14:paraId="6B32593C" w14:textId="77777777" w:rsidR="00A81550" w:rsidRDefault="00A81550" w:rsidP="00D62343">
            <w:pPr>
              <w:pStyle w:val="Tabletext1"/>
              <w:rPr>
                <w:lang w:eastAsia="en-US"/>
              </w:rPr>
            </w:pPr>
            <w:r>
              <w:rPr>
                <w:lang w:eastAsia="en-US"/>
              </w:rPr>
              <w:t>Central venous pressure – mmHg, mean ± SD</w:t>
            </w:r>
          </w:p>
        </w:tc>
        <w:tc>
          <w:tcPr>
            <w:tcW w:w="1985" w:type="dxa"/>
          </w:tcPr>
          <w:p w14:paraId="0596540E" w14:textId="77777777" w:rsidR="00A81550" w:rsidRPr="001600EF" w:rsidRDefault="00A81550" w:rsidP="00D62343">
            <w:pPr>
              <w:pStyle w:val="Tabletext1"/>
              <w:rPr>
                <w:lang w:eastAsia="en-US"/>
              </w:rPr>
            </w:pPr>
            <w:r>
              <w:rPr>
                <w:lang w:eastAsia="en-US"/>
              </w:rPr>
              <w:t>11.7±5.2</w:t>
            </w:r>
          </w:p>
        </w:tc>
        <w:tc>
          <w:tcPr>
            <w:tcW w:w="1791" w:type="dxa"/>
          </w:tcPr>
          <w:p w14:paraId="73234DDD" w14:textId="77777777" w:rsidR="00A81550" w:rsidRPr="001600EF" w:rsidRDefault="00A81550" w:rsidP="00D62343">
            <w:pPr>
              <w:pStyle w:val="Tabletext1"/>
              <w:rPr>
                <w:lang w:eastAsia="en-US"/>
              </w:rPr>
            </w:pPr>
            <w:r>
              <w:rPr>
                <w:lang w:eastAsia="en-US"/>
              </w:rPr>
              <w:t>12.0±6.0</w:t>
            </w:r>
          </w:p>
        </w:tc>
      </w:tr>
      <w:tr w:rsidR="00A81550" w:rsidRPr="001600EF" w14:paraId="0E4E8218" w14:textId="77777777">
        <w:tc>
          <w:tcPr>
            <w:tcW w:w="5240" w:type="dxa"/>
          </w:tcPr>
          <w:p w14:paraId="38923A06" w14:textId="77777777" w:rsidR="00A81550" w:rsidRDefault="00A81550" w:rsidP="00D62343">
            <w:pPr>
              <w:pStyle w:val="Tabletext1"/>
              <w:rPr>
                <w:lang w:eastAsia="en-US"/>
              </w:rPr>
            </w:pPr>
            <w:r>
              <w:rPr>
                <w:lang w:eastAsia="en-US"/>
              </w:rPr>
              <w:t>Pulmonary artery systolic pressure – mmHg, mean ± SD</w:t>
            </w:r>
          </w:p>
        </w:tc>
        <w:tc>
          <w:tcPr>
            <w:tcW w:w="1985" w:type="dxa"/>
          </w:tcPr>
          <w:p w14:paraId="5CC8C6DA" w14:textId="77777777" w:rsidR="00A81550" w:rsidRPr="001600EF" w:rsidRDefault="00A81550" w:rsidP="00D62343">
            <w:pPr>
              <w:pStyle w:val="Tabletext1"/>
              <w:rPr>
                <w:lang w:eastAsia="en-US"/>
              </w:rPr>
            </w:pPr>
            <w:r>
              <w:rPr>
                <w:lang w:eastAsia="en-US"/>
              </w:rPr>
              <w:t>39.7±9.2</w:t>
            </w:r>
          </w:p>
        </w:tc>
        <w:tc>
          <w:tcPr>
            <w:tcW w:w="1791" w:type="dxa"/>
          </w:tcPr>
          <w:p w14:paraId="1D818EC3" w14:textId="77777777" w:rsidR="00A81550" w:rsidRPr="001600EF" w:rsidRDefault="00A81550" w:rsidP="00D62343">
            <w:pPr>
              <w:pStyle w:val="Tabletext1"/>
              <w:rPr>
                <w:lang w:eastAsia="en-US"/>
              </w:rPr>
            </w:pPr>
            <w:r>
              <w:rPr>
                <w:lang w:eastAsia="en-US"/>
              </w:rPr>
              <w:t>40.1±10.1</w:t>
            </w:r>
          </w:p>
        </w:tc>
      </w:tr>
      <w:tr w:rsidR="00A81550" w:rsidRPr="001600EF" w14:paraId="5B9E8376" w14:textId="77777777">
        <w:tc>
          <w:tcPr>
            <w:tcW w:w="5240" w:type="dxa"/>
          </w:tcPr>
          <w:p w14:paraId="74E18F7C" w14:textId="77777777" w:rsidR="00A81550" w:rsidRDefault="00A81550" w:rsidP="00D62343">
            <w:pPr>
              <w:pStyle w:val="Tabletext1"/>
              <w:rPr>
                <w:lang w:eastAsia="en-US"/>
              </w:rPr>
            </w:pPr>
            <w:r>
              <w:rPr>
                <w:lang w:eastAsia="en-US"/>
              </w:rPr>
              <w:t>Mean pulmonary artery pressure – mmHg, mean ± SD</w:t>
            </w:r>
          </w:p>
        </w:tc>
        <w:tc>
          <w:tcPr>
            <w:tcW w:w="1985" w:type="dxa"/>
          </w:tcPr>
          <w:p w14:paraId="0C4A6DCE" w14:textId="77777777" w:rsidR="00A81550" w:rsidRPr="001600EF" w:rsidRDefault="00A81550" w:rsidP="00D62343">
            <w:pPr>
              <w:pStyle w:val="Tabletext1"/>
              <w:rPr>
                <w:lang w:eastAsia="en-US"/>
              </w:rPr>
            </w:pPr>
            <w:r>
              <w:rPr>
                <w:lang w:eastAsia="en-US"/>
              </w:rPr>
              <w:t>25.5±5.7</w:t>
            </w:r>
          </w:p>
        </w:tc>
        <w:tc>
          <w:tcPr>
            <w:tcW w:w="1791" w:type="dxa"/>
          </w:tcPr>
          <w:p w14:paraId="1E631EBA" w14:textId="77777777" w:rsidR="00A81550" w:rsidRPr="001600EF" w:rsidRDefault="00A81550" w:rsidP="00D62343">
            <w:pPr>
              <w:pStyle w:val="Tabletext1"/>
              <w:rPr>
                <w:lang w:eastAsia="en-US"/>
              </w:rPr>
            </w:pPr>
            <w:r>
              <w:rPr>
                <w:lang w:eastAsia="en-US"/>
              </w:rPr>
              <w:t>25.6±6.4</w:t>
            </w:r>
          </w:p>
        </w:tc>
      </w:tr>
      <w:tr w:rsidR="00A81550" w:rsidRPr="001600EF" w14:paraId="103DE5CA" w14:textId="77777777">
        <w:tc>
          <w:tcPr>
            <w:tcW w:w="5240" w:type="dxa"/>
          </w:tcPr>
          <w:p w14:paraId="6B26210D" w14:textId="77777777" w:rsidR="00A81550" w:rsidRDefault="00A81550" w:rsidP="00D62343">
            <w:pPr>
              <w:pStyle w:val="Tabletext1"/>
              <w:rPr>
                <w:lang w:eastAsia="en-US"/>
              </w:rPr>
            </w:pPr>
            <w:r>
              <w:rPr>
                <w:lang w:eastAsia="en-US"/>
              </w:rPr>
              <w:t>Pulmonary capillary wedge pressure – mmHg, mean ± SD</w:t>
            </w:r>
          </w:p>
        </w:tc>
        <w:tc>
          <w:tcPr>
            <w:tcW w:w="1985" w:type="dxa"/>
          </w:tcPr>
          <w:p w14:paraId="30CEF219" w14:textId="77777777" w:rsidR="00A81550" w:rsidRPr="001600EF" w:rsidRDefault="00A81550" w:rsidP="00D62343">
            <w:pPr>
              <w:pStyle w:val="Tabletext1"/>
              <w:rPr>
                <w:lang w:eastAsia="en-US"/>
              </w:rPr>
            </w:pPr>
            <w:r>
              <w:rPr>
                <w:lang w:eastAsia="en-US"/>
              </w:rPr>
              <w:t>14.8±4.6</w:t>
            </w:r>
          </w:p>
        </w:tc>
        <w:tc>
          <w:tcPr>
            <w:tcW w:w="1791" w:type="dxa"/>
          </w:tcPr>
          <w:p w14:paraId="0E2A8506" w14:textId="77777777" w:rsidR="00A81550" w:rsidRPr="001600EF" w:rsidRDefault="00A81550" w:rsidP="00D62343">
            <w:pPr>
              <w:pStyle w:val="Tabletext1"/>
              <w:rPr>
                <w:lang w:eastAsia="en-US"/>
              </w:rPr>
            </w:pPr>
            <w:r>
              <w:rPr>
                <w:lang w:eastAsia="en-US"/>
              </w:rPr>
              <w:t>15.1±4.3</w:t>
            </w:r>
          </w:p>
        </w:tc>
      </w:tr>
      <w:tr w:rsidR="00A81550" w:rsidRPr="001600EF" w14:paraId="0673CAE0" w14:textId="77777777">
        <w:tc>
          <w:tcPr>
            <w:tcW w:w="5240" w:type="dxa"/>
          </w:tcPr>
          <w:p w14:paraId="31A5291C" w14:textId="77777777" w:rsidR="00A81550" w:rsidRDefault="00A81550" w:rsidP="00D62343">
            <w:pPr>
              <w:pStyle w:val="Tabletext1"/>
              <w:rPr>
                <w:lang w:eastAsia="en-US"/>
              </w:rPr>
            </w:pPr>
            <w:r>
              <w:rPr>
                <w:lang w:eastAsia="en-US"/>
              </w:rPr>
              <w:t>Systolic blood pressure – mmHg, mean ± SD</w:t>
            </w:r>
          </w:p>
        </w:tc>
        <w:tc>
          <w:tcPr>
            <w:tcW w:w="1985" w:type="dxa"/>
          </w:tcPr>
          <w:p w14:paraId="2826EFE4" w14:textId="77777777" w:rsidR="00A81550" w:rsidRPr="001600EF" w:rsidRDefault="00A81550" w:rsidP="00D62343">
            <w:pPr>
              <w:pStyle w:val="Tabletext1"/>
              <w:rPr>
                <w:lang w:eastAsia="en-US"/>
              </w:rPr>
            </w:pPr>
            <w:r>
              <w:rPr>
                <w:lang w:eastAsia="en-US"/>
              </w:rPr>
              <w:t>121.4±13.1</w:t>
            </w:r>
          </w:p>
        </w:tc>
        <w:tc>
          <w:tcPr>
            <w:tcW w:w="1791" w:type="dxa"/>
          </w:tcPr>
          <w:p w14:paraId="78CDB3B3" w14:textId="77777777" w:rsidR="00A81550" w:rsidRPr="001600EF" w:rsidRDefault="00A81550" w:rsidP="00D62343">
            <w:pPr>
              <w:pStyle w:val="Tabletext1"/>
              <w:rPr>
                <w:lang w:eastAsia="en-US"/>
              </w:rPr>
            </w:pPr>
            <w:r>
              <w:rPr>
                <w:lang w:eastAsia="en-US"/>
              </w:rPr>
              <w:t>122.1±12.8</w:t>
            </w:r>
          </w:p>
        </w:tc>
      </w:tr>
      <w:tr w:rsidR="00A81550" w:rsidRPr="001600EF" w14:paraId="26635FA1" w14:textId="77777777">
        <w:tc>
          <w:tcPr>
            <w:tcW w:w="5240" w:type="dxa"/>
          </w:tcPr>
          <w:p w14:paraId="233A95C5" w14:textId="77777777" w:rsidR="00A81550" w:rsidRDefault="00A81550" w:rsidP="00D62343">
            <w:pPr>
              <w:pStyle w:val="Tabletext1"/>
              <w:rPr>
                <w:lang w:eastAsia="en-US"/>
              </w:rPr>
            </w:pPr>
            <w:r>
              <w:rPr>
                <w:lang w:eastAsia="en-US"/>
              </w:rPr>
              <w:t>Pulmonary vascular resistance – Wood units, mean ± SD</w:t>
            </w:r>
          </w:p>
        </w:tc>
        <w:tc>
          <w:tcPr>
            <w:tcW w:w="1985" w:type="dxa"/>
          </w:tcPr>
          <w:p w14:paraId="1990685B" w14:textId="77777777" w:rsidR="00A81550" w:rsidRPr="001600EF" w:rsidRDefault="00A81550" w:rsidP="00D62343">
            <w:pPr>
              <w:pStyle w:val="Tabletext1"/>
              <w:rPr>
                <w:lang w:eastAsia="en-US"/>
              </w:rPr>
            </w:pPr>
            <w:r>
              <w:rPr>
                <w:lang w:eastAsia="en-US"/>
              </w:rPr>
              <w:t>2.5±1.1</w:t>
            </w:r>
          </w:p>
        </w:tc>
        <w:tc>
          <w:tcPr>
            <w:tcW w:w="1791" w:type="dxa"/>
          </w:tcPr>
          <w:p w14:paraId="540030F7" w14:textId="77777777" w:rsidR="00A81550" w:rsidRPr="001600EF" w:rsidRDefault="00A81550" w:rsidP="00D62343">
            <w:pPr>
              <w:pStyle w:val="Tabletext1"/>
              <w:rPr>
                <w:lang w:eastAsia="en-US"/>
              </w:rPr>
            </w:pPr>
            <w:r>
              <w:rPr>
                <w:lang w:eastAsia="en-US"/>
              </w:rPr>
              <w:t>2.4±1.1</w:t>
            </w:r>
          </w:p>
        </w:tc>
      </w:tr>
    </w:tbl>
    <w:p w14:paraId="4D586C8B" w14:textId="07A3137C" w:rsidR="00A81550" w:rsidRDefault="00A81550" w:rsidP="00A81550">
      <w:pPr>
        <w:pStyle w:val="NoteHeading"/>
        <w:widowControl w:val="0"/>
      </w:pPr>
      <w:r w:rsidRPr="001F7AF1">
        <w:t>Abbreviations:</w:t>
      </w:r>
      <w:r w:rsidRPr="001600EF">
        <w:t xml:space="preserve"> </w:t>
      </w:r>
      <w:r w:rsidR="001D13E6">
        <w:t xml:space="preserve">ACE-I, angiotensin-converting enzyme inhibitor; ARB, angiotensin receptor blockers; ARNI, angiotensin receptor/neprilysin inhibitor; </w:t>
      </w:r>
      <w:r>
        <w:t xml:space="preserve">CRT, Cardiac Resynchronisation Therapy; CRT-D, Cardiac Resynchronisation Therapy defibrillator; ICD, implantable cardioverter-defibrillators; KCCQ, Kansas City Cardiomyopathy Questionnaire; </w:t>
      </w:r>
      <w:r w:rsidR="001D13E6">
        <w:t xml:space="preserve">n, number; SD, standard deviation; </w:t>
      </w:r>
      <w:r>
        <w:t>TR, tricuspid valve regurgitation</w:t>
      </w:r>
    </w:p>
    <w:p w14:paraId="5448EE28" w14:textId="77777777" w:rsidR="00A81550" w:rsidRDefault="00A81550" w:rsidP="00A81550">
      <w:pPr>
        <w:pStyle w:val="NoteHeading"/>
        <w:widowControl w:val="0"/>
      </w:pPr>
      <w:r>
        <w:t>Source: Sorajja (2023), Table 1 pg. 5; Sorajja (2023), Supplementary Appendix Table S4 pg. 28</w:t>
      </w:r>
    </w:p>
    <w:p w14:paraId="6666ECAF" w14:textId="77777777" w:rsidR="00A81550" w:rsidRPr="00C41C0E" w:rsidRDefault="00A81550" w:rsidP="00C41C0E">
      <w:pPr>
        <w:pStyle w:val="BodyText"/>
      </w:pPr>
    </w:p>
    <w:p w14:paraId="2718A40C" w14:textId="2A2324E6" w:rsidR="00405666" w:rsidRPr="00405666" w:rsidRDefault="00405666" w:rsidP="0012696D">
      <w:pPr>
        <w:pStyle w:val="BodyText"/>
        <w:spacing w:after="0"/>
        <w:rPr>
          <w:b/>
          <w:bCs/>
          <w:i/>
          <w:iCs/>
        </w:rPr>
      </w:pPr>
      <w:r w:rsidRPr="00405666">
        <w:rPr>
          <w:b/>
          <w:bCs/>
          <w:i/>
          <w:iCs/>
        </w:rPr>
        <w:t>How a patient is investigated leading up to the proposed procedure</w:t>
      </w:r>
    </w:p>
    <w:p w14:paraId="64DF60F7" w14:textId="09BE2043" w:rsidR="00405666" w:rsidRPr="0012696D" w:rsidRDefault="00811F12" w:rsidP="00C41C0E">
      <w:pPr>
        <w:pStyle w:val="BodyText"/>
        <w:rPr>
          <w:b/>
          <w:i/>
        </w:rPr>
      </w:pPr>
      <w:r>
        <w:t>TR is commonly identified in asymptomatic patients during routine</w:t>
      </w:r>
      <w:r w:rsidR="000E49E9">
        <w:t xml:space="preserve"> echocardiography </w:t>
      </w:r>
      <w:r w:rsidR="0023553E">
        <w:t xml:space="preserve">owing to other causes. </w:t>
      </w:r>
      <w:r>
        <w:t>Meanwhile, symptomatic</w:t>
      </w:r>
      <w:r w:rsidR="005A2FDB">
        <w:t xml:space="preserve"> patients may present with </w:t>
      </w:r>
      <w:r w:rsidR="00211C6F">
        <w:t>fatigue,</w:t>
      </w:r>
      <w:r w:rsidR="00B8503C">
        <w:t xml:space="preserve"> dyspnoea on exertion</w:t>
      </w:r>
      <w:r w:rsidR="00FD1047">
        <w:t>, peripheral</w:t>
      </w:r>
      <w:r w:rsidR="0040771F">
        <w:t xml:space="preserve"> oedema</w:t>
      </w:r>
      <w:r w:rsidR="00FD1047">
        <w:t>, ascites, gastrointestinal symptoms</w:t>
      </w:r>
      <w:r w:rsidR="00906728">
        <w:t>, and right heart failure</w:t>
      </w:r>
      <w:r>
        <w:t>;</w:t>
      </w:r>
      <w:r w:rsidR="00906728">
        <w:t xml:space="preserve"> with renal and </w:t>
      </w:r>
      <w:r w:rsidR="00276D49">
        <w:t>hepatic</w:t>
      </w:r>
      <w:r>
        <w:t xml:space="preserve"> </w:t>
      </w:r>
      <w:r w:rsidR="00276D49">
        <w:t>failure</w:t>
      </w:r>
      <w:r>
        <w:t xml:space="preserve"> also presenting in patients </w:t>
      </w:r>
      <w:r w:rsidR="00906728">
        <w:t>with advanced disease</w:t>
      </w:r>
      <w:r w:rsidR="002C3A28">
        <w:t xml:space="preserve"> (</w:t>
      </w:r>
      <w:r w:rsidR="00276D49">
        <w:t>Otto 2021).</w:t>
      </w:r>
    </w:p>
    <w:p w14:paraId="0BE845B9" w14:textId="432CE369" w:rsidR="001111A9" w:rsidRDefault="00B71F5F" w:rsidP="00FB1154">
      <w:pPr>
        <w:pStyle w:val="BodyText"/>
      </w:pPr>
      <w:r>
        <w:t xml:space="preserve">An evaluation </w:t>
      </w:r>
      <w:r w:rsidR="006D55F8">
        <w:t>pathway for these patients in Australia has been reviewed and accepted by P</w:t>
      </w:r>
      <w:r w:rsidR="00FD38D0">
        <w:t>ASC</w:t>
      </w:r>
      <w:r w:rsidR="00393555">
        <w:t xml:space="preserve"> in </w:t>
      </w:r>
      <w:r w:rsidR="00CD1A61">
        <w:t xml:space="preserve">MSAC Application </w:t>
      </w:r>
      <w:r w:rsidR="003F2400">
        <w:t xml:space="preserve">1799 </w:t>
      </w:r>
      <w:r w:rsidR="00CD1A61">
        <w:t xml:space="preserve">for </w:t>
      </w:r>
      <w:r w:rsidR="00CD1A61">
        <w:rPr>
          <w:i/>
          <w:iCs/>
        </w:rPr>
        <w:t>‘Transcatheter tricuspid valve replacement in patients with severe, symptomatic tricuspid regurgitation despite optimal medical therapy’</w:t>
      </w:r>
      <w:r w:rsidR="00CD1A61">
        <w:t xml:space="preserve">. </w:t>
      </w:r>
      <w:r w:rsidR="00F7254B">
        <w:t>P</w:t>
      </w:r>
      <w:r w:rsidR="00076EEB">
        <w:t>atients</w:t>
      </w:r>
      <w:r w:rsidR="001111A9">
        <w:t xml:space="preserve"> eligible for TEER </w:t>
      </w:r>
      <w:r w:rsidR="00076EEB">
        <w:t xml:space="preserve">will undergo </w:t>
      </w:r>
      <w:r w:rsidR="00F7254B">
        <w:t>similar</w:t>
      </w:r>
      <w:r w:rsidR="00076EEB">
        <w:t xml:space="preserve"> </w:t>
      </w:r>
      <w:r>
        <w:t>tests and procedures to be diagnosed with TR</w:t>
      </w:r>
      <w:r w:rsidR="00076EEB">
        <w:t xml:space="preserve">; thus, this pathway </w:t>
      </w:r>
      <w:r>
        <w:t>remains</w:t>
      </w:r>
      <w:r w:rsidR="00076EEB">
        <w:t xml:space="preserve"> applicable to </w:t>
      </w:r>
      <w:r w:rsidR="001111A9">
        <w:t>this</w:t>
      </w:r>
      <w:r w:rsidR="00076EEB">
        <w:t xml:space="preserve"> current Application</w:t>
      </w:r>
      <w:r w:rsidR="001111A9">
        <w:t>.</w:t>
      </w:r>
    </w:p>
    <w:p w14:paraId="1825C8BF" w14:textId="4794A905" w:rsidR="001111A9" w:rsidRDefault="00BD0783" w:rsidP="00FB1154">
      <w:pPr>
        <w:pStyle w:val="BodyText"/>
      </w:pPr>
      <w:r>
        <w:t>An initial clinical evaluation assessment will</w:t>
      </w:r>
      <w:r w:rsidR="00615B65">
        <w:t xml:space="preserve"> be undertaken by a </w:t>
      </w:r>
      <w:r w:rsidR="008C0DFF">
        <w:t>general practitioner (</w:t>
      </w:r>
      <w:r w:rsidR="00615B65">
        <w:t>GP</w:t>
      </w:r>
      <w:r w:rsidR="008C0DFF">
        <w:t>)</w:t>
      </w:r>
      <w:r w:rsidR="00615B65">
        <w:t xml:space="preserve"> to review medical history for conditions associated with TR, including heart failure and other comorbidities. The GP will t</w:t>
      </w:r>
      <w:r w:rsidR="005A576F">
        <w:t>h</w:t>
      </w:r>
      <w:r w:rsidR="00615B65">
        <w:t xml:space="preserve">en refer </w:t>
      </w:r>
      <w:r w:rsidR="00820D98">
        <w:t>the patient to a cardiologist if the presence of TR is suspected</w:t>
      </w:r>
      <w:r w:rsidR="00456704">
        <w:t>.</w:t>
      </w:r>
    </w:p>
    <w:p w14:paraId="1A343EAA" w14:textId="77777777" w:rsidR="000D419E" w:rsidRDefault="000D419E">
      <w:pPr>
        <w:spacing w:after="160"/>
        <w:rPr>
          <w:rFonts w:eastAsiaTheme="minorEastAsia"/>
          <w:szCs w:val="20"/>
          <w:lang w:val="en-GB"/>
        </w:rPr>
      </w:pPr>
      <w:r>
        <w:br w:type="page"/>
      </w:r>
    </w:p>
    <w:p w14:paraId="3541777C" w14:textId="0C89B6BE" w:rsidR="00C91AF9" w:rsidRDefault="004D7A7E" w:rsidP="00FB1154">
      <w:pPr>
        <w:pStyle w:val="BodyText"/>
      </w:pPr>
      <w:r>
        <w:t xml:space="preserve">A TR diagnosis is confirmed </w:t>
      </w:r>
      <w:r w:rsidR="00C91AF9">
        <w:t xml:space="preserve">using </w:t>
      </w:r>
      <w:r>
        <w:t xml:space="preserve">imaging </w:t>
      </w:r>
      <w:r w:rsidR="00C91AF9">
        <w:t>techniques</w:t>
      </w:r>
      <w:r>
        <w:t>:</w:t>
      </w:r>
    </w:p>
    <w:p w14:paraId="05FE7690" w14:textId="30AA1BEC" w:rsidR="00C91AF9" w:rsidRDefault="008C6B0F" w:rsidP="008B0FEC">
      <w:pPr>
        <w:pStyle w:val="ListParagraph"/>
        <w:numPr>
          <w:ilvl w:val="0"/>
          <w:numId w:val="30"/>
        </w:numPr>
      </w:pPr>
      <w:r>
        <w:t xml:space="preserve">Transthoracic echocardiography </w:t>
      </w:r>
      <w:r w:rsidR="00C91AF9">
        <w:t xml:space="preserve">(TTE) </w:t>
      </w:r>
      <w:r>
        <w:t xml:space="preserve">is the primary imaging technique used for </w:t>
      </w:r>
      <w:r w:rsidR="0048047D">
        <w:t xml:space="preserve">screening TR, </w:t>
      </w:r>
      <w:r w:rsidR="00DA20F2">
        <w:t xml:space="preserve">used to evaluate valve structure and TR severity. </w:t>
      </w:r>
    </w:p>
    <w:p w14:paraId="62DD14F9" w14:textId="2E6FF850" w:rsidR="005A576F" w:rsidRDefault="00DA20F2" w:rsidP="008B0FEC">
      <w:pPr>
        <w:pStyle w:val="ListParagraph"/>
        <w:numPr>
          <w:ilvl w:val="0"/>
          <w:numId w:val="30"/>
        </w:numPr>
        <w:spacing w:after="240"/>
      </w:pPr>
      <w:r>
        <w:t xml:space="preserve">Transoesophageal </w:t>
      </w:r>
      <w:r w:rsidR="00114456">
        <w:t xml:space="preserve">echocardiography </w:t>
      </w:r>
      <w:r w:rsidR="00C91AF9">
        <w:t>(TOE)</w:t>
      </w:r>
      <w:r w:rsidR="00114456">
        <w:t xml:space="preserve"> </w:t>
      </w:r>
      <w:r w:rsidR="007E1EB8">
        <w:t xml:space="preserve">provides detailed images and can be used to confirm the diagnosis, </w:t>
      </w:r>
      <w:r w:rsidR="00C91AF9">
        <w:t>particularly when TTE results are inconclusive</w:t>
      </w:r>
    </w:p>
    <w:p w14:paraId="104BEE44" w14:textId="2BA38792" w:rsidR="00B940FA" w:rsidRPr="003824DF" w:rsidRDefault="00106BA2" w:rsidP="00C41C0E">
      <w:pPr>
        <w:pStyle w:val="BodyText"/>
      </w:pPr>
      <w:r>
        <w:t>Following confirmation of the presence of T</w:t>
      </w:r>
      <w:r w:rsidR="005C3415">
        <w:t xml:space="preserve">R and severity of disease, patients are then evaluated by a multidisciplinary heart team consisting of an interventional cardiologist, cardiac imaging specialist, </w:t>
      </w:r>
      <w:r w:rsidR="005D76AF">
        <w:t xml:space="preserve">and potentially a cardiothoracic </w:t>
      </w:r>
      <w:r w:rsidR="00883814">
        <w:t xml:space="preserve">surgeon, </w:t>
      </w:r>
      <w:r w:rsidR="00AC63A0">
        <w:t xml:space="preserve">assessing the patient’s overall risk, anatomy, and suitability for further intervention. More details of the </w:t>
      </w:r>
      <w:r w:rsidR="00F32CA4">
        <w:t>treatment algorithm are provided later in the Application.</w:t>
      </w:r>
    </w:p>
    <w:p w14:paraId="0EB432EF" w14:textId="2C847C50" w:rsidR="00051843" w:rsidRDefault="00051843" w:rsidP="0012696D">
      <w:pPr>
        <w:pStyle w:val="Heading3"/>
      </w:pPr>
      <w:r>
        <w:t>Provide a rationale for the specifics of the eligible population:</w:t>
      </w:r>
    </w:p>
    <w:p w14:paraId="6F1E260D" w14:textId="089E1BBC" w:rsidR="00A2138D" w:rsidRDefault="005D12BB" w:rsidP="001143CE">
      <w:pPr>
        <w:pStyle w:val="BodyText"/>
      </w:pPr>
      <w:r>
        <w:t>The proposed population is consistent with the population from the pivotal TRILUMINATE Pivotal trial</w:t>
      </w:r>
      <w:r w:rsidR="002B25AA">
        <w:t xml:space="preserve"> and </w:t>
      </w:r>
      <w:r w:rsidR="00A2221C">
        <w:t xml:space="preserve">hence for whom evidence exists. </w:t>
      </w:r>
      <w:r w:rsidR="00F52EDC">
        <w:t xml:space="preserve">A high clinical need for an effective </w:t>
      </w:r>
      <w:r w:rsidR="006B7593">
        <w:t xml:space="preserve">intervention exists in these patients given the mainstay management consists of OMT, which merely manages symptoms and does not address the underlying pathology of TR. </w:t>
      </w:r>
    </w:p>
    <w:p w14:paraId="2860A9BA" w14:textId="452DF340" w:rsidR="00336D94" w:rsidRPr="00601083" w:rsidRDefault="00991236" w:rsidP="001143CE">
      <w:pPr>
        <w:pStyle w:val="BodyText"/>
      </w:pPr>
      <w:r>
        <w:t>T</w:t>
      </w:r>
      <w:r w:rsidR="007A3A65">
        <w:t xml:space="preserve">he proposed population for TEER does not </w:t>
      </w:r>
      <w:r>
        <w:t xml:space="preserve">limit eligibility to those </w:t>
      </w:r>
      <w:r>
        <w:rPr>
          <w:lang w:eastAsia="en-US"/>
        </w:rPr>
        <w:t>at intermediate or greater estimated risk for mortality or morbidity with tricuspid valve surgery</w:t>
      </w:r>
      <w:r w:rsidR="00C930FA">
        <w:rPr>
          <w:lang w:eastAsia="en-US"/>
        </w:rPr>
        <w:t xml:space="preserve"> as stipulated in the TRILUMINATE Pivotal trial</w:t>
      </w:r>
      <w:r w:rsidR="008F0A3C">
        <w:rPr>
          <w:lang w:eastAsia="en-US"/>
        </w:rPr>
        <w:t xml:space="preserve">; however, </w:t>
      </w:r>
      <w:r w:rsidR="00FD08B5">
        <w:rPr>
          <w:lang w:eastAsia="en-US"/>
        </w:rPr>
        <w:t xml:space="preserve">suitability will be confirmed via a multidisciplinary </w:t>
      </w:r>
      <w:r w:rsidR="00A2221C">
        <w:rPr>
          <w:lang w:eastAsia="en-US"/>
        </w:rPr>
        <w:t>case conference to ensure appropriate patient selection</w:t>
      </w:r>
      <w:r>
        <w:rPr>
          <w:lang w:eastAsia="en-US"/>
        </w:rPr>
        <w:t>. This is</w:t>
      </w:r>
      <w:r w:rsidR="00A2221C">
        <w:rPr>
          <w:lang w:eastAsia="en-US"/>
        </w:rPr>
        <w:t xml:space="preserve"> also</w:t>
      </w:r>
      <w:r>
        <w:rPr>
          <w:lang w:eastAsia="en-US"/>
        </w:rPr>
        <w:t xml:space="preserve"> consistent with PASC’s deliberation of </w:t>
      </w:r>
      <w:r w:rsidR="001B06F1">
        <w:rPr>
          <w:lang w:eastAsia="en-US"/>
        </w:rPr>
        <w:t>Application 1799</w:t>
      </w:r>
      <w:r w:rsidR="00222E05">
        <w:rPr>
          <w:lang w:eastAsia="en-US"/>
        </w:rPr>
        <w:t xml:space="preserve">. </w:t>
      </w:r>
      <w:r w:rsidR="00336D94" w:rsidRPr="00336D94">
        <w:rPr>
          <w:i/>
          <w:iCs/>
        </w:rPr>
        <w:t>“PASC discussed whether surgical ineligibility should be specified in the population, noting that isolated tricuspid valve surgery is a high-risk operation and surgical risk prediction tools are not accurate for assessing that risk. PASC acknowledged that clinical practice guidelines advise that surgery should be offered in patients with severe, symptomatic TR; however, current guidelines do not provide clear advice on patient selection nor the threshold for surgical intervention. PASC noted that surgeons are often reluctant to offer isolated tricuspid valve surgery because of the high mortality risk and uncertain outcomes in this cohort of patients. PASC decided that surgical ineligibility or risk should not be a criterion for the population and any decisions about suitability for surgical or transcatheter intervention should be at the discretion of the multidisciplinary heart team”</w:t>
      </w:r>
      <w:r w:rsidR="00601083">
        <w:t xml:space="preserve"> (pg. 4).</w:t>
      </w:r>
    </w:p>
    <w:p w14:paraId="5D2CAB7B" w14:textId="77777777" w:rsidR="003C7DA5" w:rsidRDefault="003C7DA5" w:rsidP="00375FD9"/>
    <w:p w14:paraId="409AB389" w14:textId="114973A4" w:rsidR="00051843" w:rsidRPr="00FC76BF" w:rsidRDefault="00051843" w:rsidP="00375FD9">
      <w:pPr>
        <w:pStyle w:val="Heading3"/>
      </w:pPr>
      <w:r w:rsidRPr="00FC76BF">
        <w:rPr>
          <w:rStyle w:val="Heading2Char"/>
          <w:b/>
          <w:bCs/>
          <w:u w:val="none"/>
        </w:rPr>
        <w:t>Are there any prerequisite tests</w:t>
      </w:r>
      <w:r w:rsidR="00E353DD">
        <w:rPr>
          <w:rStyle w:val="Heading2Char"/>
          <w:b/>
          <w:bCs/>
          <w:u w:val="none"/>
        </w:rPr>
        <w:t xml:space="preserve">? </w:t>
      </w:r>
    </w:p>
    <w:p w14:paraId="64EC5580" w14:textId="6BCB69AD" w:rsidR="00051843" w:rsidRDefault="00FC76BF" w:rsidP="00C41C0E">
      <w:pPr>
        <w:pStyle w:val="BodyText"/>
        <w:rPr>
          <w:rFonts w:eastAsia="Segoe UI"/>
        </w:rPr>
      </w:pPr>
      <w:r>
        <w:rPr>
          <w:rFonts w:eastAsia="Segoe UI"/>
        </w:rPr>
        <w:t>Yes</w:t>
      </w:r>
    </w:p>
    <w:p w14:paraId="5998FE51" w14:textId="49E60BA8" w:rsidR="00051843" w:rsidRPr="00E353DD" w:rsidRDefault="00051843" w:rsidP="00375FD9">
      <w:pPr>
        <w:pStyle w:val="Heading3"/>
        <w:rPr>
          <w:color w:val="000000"/>
        </w:rPr>
      </w:pPr>
      <w:r w:rsidRPr="00E353DD">
        <w:rPr>
          <w:rStyle w:val="Heading2Char"/>
          <w:b/>
          <w:bCs/>
          <w:u w:val="none"/>
        </w:rPr>
        <w:t>Are the prerequisite tests MBS funded</w:t>
      </w:r>
      <w:r w:rsidR="00517B9C" w:rsidRPr="00E353DD">
        <w:rPr>
          <w:rStyle w:val="Heading2Char"/>
          <w:b/>
          <w:bCs/>
          <w:u w:val="none"/>
        </w:rPr>
        <w:t>?</w:t>
      </w:r>
      <w:r w:rsidR="00FC76BF" w:rsidRPr="00E353DD">
        <w:rPr>
          <w:rStyle w:val="Heading2Char"/>
          <w:b/>
          <w:bCs/>
          <w:u w:val="none"/>
        </w:rPr>
        <w:t xml:space="preserve"> </w:t>
      </w:r>
    </w:p>
    <w:p w14:paraId="5D615C11" w14:textId="1A16C84F" w:rsidR="00051843" w:rsidRDefault="00FC76BF" w:rsidP="001143CE">
      <w:pPr>
        <w:pStyle w:val="BodyText"/>
        <w:rPr>
          <w:rFonts w:eastAsia="Segoe UI"/>
        </w:rPr>
      </w:pPr>
      <w:r>
        <w:rPr>
          <w:rFonts w:eastAsia="Segoe UI"/>
        </w:rPr>
        <w:t>Yes</w:t>
      </w:r>
    </w:p>
    <w:p w14:paraId="09AE6551" w14:textId="30A626B1" w:rsidR="00F00EDD" w:rsidRDefault="00F00EDD" w:rsidP="001143CE">
      <w:pPr>
        <w:pStyle w:val="BodyText"/>
        <w:rPr>
          <w:rFonts w:eastAsia="Segoe UI"/>
        </w:rPr>
      </w:pPr>
      <w:r w:rsidRPr="00F00EDD">
        <w:rPr>
          <w:rFonts w:eastAsia="Segoe UI"/>
        </w:rPr>
        <w:t xml:space="preserve">Anatomical suitability for TEER needs to be established, using echocardiographic imaging, prior to patients accessing the proposed service. All required work up tests are currently funded via the MBS, as outlined </w:t>
      </w:r>
      <w:r w:rsidR="00082913">
        <w:rPr>
          <w:rFonts w:eastAsia="Segoe UI"/>
        </w:rPr>
        <w:t xml:space="preserve">in </w:t>
      </w:r>
      <w:r w:rsidR="00082913">
        <w:fldChar w:fldCharType="begin"/>
      </w:r>
      <w:r w:rsidR="00082913">
        <w:instrText xml:space="preserve"> REF _Ref203564958 \h </w:instrText>
      </w:r>
      <w:r w:rsidR="00DC48F1">
        <w:instrText xml:space="preserve"> \* MERGEFORMAT </w:instrText>
      </w:r>
      <w:r w:rsidR="00082913">
        <w:fldChar w:fldCharType="separate"/>
      </w:r>
      <w:r w:rsidR="00082913">
        <w:t xml:space="preserve">Table </w:t>
      </w:r>
      <w:r w:rsidR="00082913">
        <w:rPr>
          <w:noProof/>
        </w:rPr>
        <w:t>8</w:t>
      </w:r>
      <w:r w:rsidR="00082913">
        <w:fldChar w:fldCharType="end"/>
      </w:r>
      <w:r w:rsidRPr="00F00EDD">
        <w:rPr>
          <w:rFonts w:eastAsia="Segoe UI"/>
        </w:rPr>
        <w:t>.</w:t>
      </w:r>
    </w:p>
    <w:p w14:paraId="5B59C5B1" w14:textId="77777777" w:rsidR="00264ADA" w:rsidRDefault="00264ADA" w:rsidP="00B96694">
      <w:pPr>
        <w:pStyle w:val="Caption"/>
      </w:pPr>
      <w:bookmarkStart w:id="12" w:name="_Ref203564958"/>
    </w:p>
    <w:p w14:paraId="70C6151A" w14:textId="1E01F557" w:rsidR="00B96694" w:rsidRPr="00F00EDD" w:rsidRDefault="00B96694" w:rsidP="00B96694">
      <w:pPr>
        <w:pStyle w:val="Caption"/>
        <w:rPr>
          <w:rFonts w:eastAsia="Segoe UI"/>
        </w:rPr>
      </w:pPr>
      <w:r>
        <w:t xml:space="preserve">Table </w:t>
      </w:r>
      <w:r w:rsidR="00271544">
        <w:fldChar w:fldCharType="begin"/>
      </w:r>
      <w:r w:rsidR="00271544">
        <w:instrText xml:space="preserve"> SEQ Table \* ARABIC </w:instrText>
      </w:r>
      <w:r w:rsidR="00271544">
        <w:fldChar w:fldCharType="separate"/>
      </w:r>
      <w:r w:rsidR="00271544">
        <w:rPr>
          <w:noProof/>
        </w:rPr>
        <w:t>8</w:t>
      </w:r>
      <w:r w:rsidR="00271544">
        <w:rPr>
          <w:noProof/>
        </w:rPr>
        <w:fldChar w:fldCharType="end"/>
      </w:r>
      <w:bookmarkEnd w:id="12"/>
      <w:r>
        <w:tab/>
      </w:r>
      <w:r w:rsidR="00791201">
        <w:t>Work up test</w:t>
      </w:r>
      <w:r w:rsidR="00082913">
        <w:t>s funding on the MBS</w:t>
      </w:r>
    </w:p>
    <w:tbl>
      <w:tblPr>
        <w:tblStyle w:val="TableGrid"/>
        <w:tblW w:w="0" w:type="auto"/>
        <w:tblLook w:val="04A0" w:firstRow="1" w:lastRow="0" w:firstColumn="1" w:lastColumn="0" w:noHBand="0" w:noVBand="1"/>
      </w:tblPr>
      <w:tblGrid>
        <w:gridCol w:w="1271"/>
        <w:gridCol w:w="5039"/>
        <w:gridCol w:w="3155"/>
      </w:tblGrid>
      <w:tr w:rsidR="00F00EDD" w:rsidRPr="00F00EDD" w14:paraId="0439694F" w14:textId="77777777" w:rsidTr="00D62343">
        <w:trPr>
          <w:tblHeader/>
        </w:trPr>
        <w:tc>
          <w:tcPr>
            <w:tcW w:w="1271" w:type="dxa"/>
            <w:shd w:val="clear" w:color="auto" w:fill="D9D9D9" w:themeFill="background1" w:themeFillShade="D9"/>
          </w:tcPr>
          <w:p w14:paraId="5638820C" w14:textId="690B6568" w:rsidR="00F00EDD" w:rsidRPr="00F00EDD" w:rsidRDefault="00F00EDD" w:rsidP="00F00EDD">
            <w:pPr>
              <w:pStyle w:val="Tabletext1"/>
              <w:rPr>
                <w:b/>
                <w:bCs/>
              </w:rPr>
            </w:pPr>
            <w:r w:rsidRPr="00F00EDD">
              <w:rPr>
                <w:b/>
                <w:bCs/>
              </w:rPr>
              <w:t>MBS item</w:t>
            </w:r>
          </w:p>
        </w:tc>
        <w:tc>
          <w:tcPr>
            <w:tcW w:w="5039" w:type="dxa"/>
            <w:shd w:val="clear" w:color="auto" w:fill="D9D9D9" w:themeFill="background1" w:themeFillShade="D9"/>
          </w:tcPr>
          <w:p w14:paraId="50E1DDE0" w14:textId="50C07A07" w:rsidR="00F00EDD" w:rsidRPr="00F00EDD" w:rsidRDefault="00207319" w:rsidP="00F00EDD">
            <w:pPr>
              <w:pStyle w:val="Tabletext1"/>
              <w:rPr>
                <w:b/>
                <w:bCs/>
              </w:rPr>
            </w:pPr>
            <w:r>
              <w:rPr>
                <w:b/>
                <w:bCs/>
              </w:rPr>
              <w:t>Item d</w:t>
            </w:r>
            <w:r w:rsidR="00F00EDD">
              <w:rPr>
                <w:b/>
                <w:bCs/>
              </w:rPr>
              <w:t>escriptor</w:t>
            </w:r>
          </w:p>
        </w:tc>
        <w:tc>
          <w:tcPr>
            <w:tcW w:w="3155" w:type="dxa"/>
            <w:shd w:val="clear" w:color="auto" w:fill="D9D9D9" w:themeFill="background1" w:themeFillShade="D9"/>
          </w:tcPr>
          <w:p w14:paraId="0409BA36" w14:textId="23038FA9" w:rsidR="00F00EDD" w:rsidRPr="00F00EDD" w:rsidRDefault="00F00EDD" w:rsidP="00F00EDD">
            <w:pPr>
              <w:pStyle w:val="Tabletext1"/>
              <w:rPr>
                <w:b/>
                <w:bCs/>
              </w:rPr>
            </w:pPr>
            <w:r>
              <w:rPr>
                <w:b/>
                <w:bCs/>
              </w:rPr>
              <w:t>Fee</w:t>
            </w:r>
          </w:p>
        </w:tc>
      </w:tr>
      <w:tr w:rsidR="00F00EDD" w:rsidRPr="00F00EDD" w14:paraId="4528E190" w14:textId="77777777" w:rsidTr="00F00EDD">
        <w:tc>
          <w:tcPr>
            <w:tcW w:w="1271" w:type="dxa"/>
          </w:tcPr>
          <w:p w14:paraId="5E415DF9" w14:textId="7B8349F7" w:rsidR="00F00EDD" w:rsidRPr="00F00EDD" w:rsidRDefault="00F00EDD" w:rsidP="00F00EDD">
            <w:pPr>
              <w:pStyle w:val="Tabletext1"/>
            </w:pPr>
            <w:r w:rsidRPr="00F00EDD">
              <w:rPr>
                <w:rFonts w:eastAsia="Segoe UI"/>
              </w:rPr>
              <w:t>55126</w:t>
            </w:r>
          </w:p>
        </w:tc>
        <w:tc>
          <w:tcPr>
            <w:tcW w:w="5039" w:type="dxa"/>
          </w:tcPr>
          <w:p w14:paraId="1A680600" w14:textId="5C12A3EA" w:rsidR="00244566" w:rsidRDefault="00244566" w:rsidP="00244566">
            <w:pPr>
              <w:pStyle w:val="Tabletext1"/>
            </w:pPr>
            <w:r>
              <w:t>Initial real time transthoracic echocardiographic examination of the heart with real time colour flow mapping from at least 3 acoustic windows, with recordings on digital media, if the service:</w:t>
            </w:r>
          </w:p>
          <w:p w14:paraId="5784E7A8" w14:textId="77777777" w:rsidR="00244566" w:rsidRDefault="00244566" w:rsidP="00244566">
            <w:pPr>
              <w:pStyle w:val="Tabletext1"/>
            </w:pPr>
            <w:r>
              <w:t>(a) is for the investigation of any of the following:</w:t>
            </w:r>
          </w:p>
          <w:p w14:paraId="4FA39D32" w14:textId="77777777" w:rsidR="00244566" w:rsidRDefault="00244566" w:rsidP="00244566">
            <w:pPr>
              <w:pStyle w:val="Tabletext1"/>
            </w:pPr>
            <w:r>
              <w:t>(i) symptoms or signs of cardiac failure;</w:t>
            </w:r>
          </w:p>
          <w:p w14:paraId="6C13F2B4" w14:textId="77777777" w:rsidR="00244566" w:rsidRDefault="00244566" w:rsidP="00244566">
            <w:pPr>
              <w:pStyle w:val="Tabletext1"/>
            </w:pPr>
            <w:r>
              <w:t>(ii) suspected or known ventricular hypertrophy or dysfunction;</w:t>
            </w:r>
          </w:p>
          <w:p w14:paraId="0B428C59" w14:textId="77777777" w:rsidR="00244566" w:rsidRDefault="00244566" w:rsidP="00244566">
            <w:pPr>
              <w:pStyle w:val="Tabletext1"/>
            </w:pPr>
            <w:r>
              <w:t>(iii) pulmonary hypertension;</w:t>
            </w:r>
          </w:p>
          <w:p w14:paraId="3E819D23" w14:textId="77777777" w:rsidR="00244566" w:rsidRDefault="00244566" w:rsidP="00244566">
            <w:pPr>
              <w:pStyle w:val="Tabletext1"/>
            </w:pPr>
            <w:r>
              <w:t>(iv) valvular, aortic, pericardial, thrombotic or embolic disease;</w:t>
            </w:r>
          </w:p>
          <w:p w14:paraId="085C717A" w14:textId="77777777" w:rsidR="00244566" w:rsidRDefault="00244566" w:rsidP="00244566">
            <w:pPr>
              <w:pStyle w:val="Tabletext1"/>
            </w:pPr>
            <w:r>
              <w:t>(v) heart tumour;</w:t>
            </w:r>
          </w:p>
          <w:p w14:paraId="2DC46AE1" w14:textId="77777777" w:rsidR="00244566" w:rsidRDefault="00244566" w:rsidP="00244566">
            <w:pPr>
              <w:pStyle w:val="Tabletext1"/>
            </w:pPr>
            <w:r>
              <w:t>(vi) symptoms or signs of congenital heart disease;</w:t>
            </w:r>
          </w:p>
          <w:p w14:paraId="67A8F900" w14:textId="77777777" w:rsidR="00244566" w:rsidRDefault="00244566" w:rsidP="00244566">
            <w:pPr>
              <w:pStyle w:val="Tabletext1"/>
            </w:pPr>
            <w:r>
              <w:t>(vii) other rare indications; and</w:t>
            </w:r>
          </w:p>
          <w:p w14:paraId="473FBE35" w14:textId="77777777" w:rsidR="00244566" w:rsidRDefault="00244566" w:rsidP="00244566">
            <w:pPr>
              <w:pStyle w:val="Tabletext1"/>
            </w:pPr>
            <w:r>
              <w:t>(b) is not associated with a service to which:</w:t>
            </w:r>
          </w:p>
          <w:p w14:paraId="4D17949A" w14:textId="77777777" w:rsidR="00244566" w:rsidRDefault="00244566" w:rsidP="00244566">
            <w:pPr>
              <w:pStyle w:val="Tabletext1"/>
            </w:pPr>
            <w:r>
              <w:t>(i) another item in this Subgroup applies (except items 55137, 55141, 55143, 55145 and 55146); or</w:t>
            </w:r>
          </w:p>
          <w:p w14:paraId="28B7377C" w14:textId="77777777" w:rsidR="00244566" w:rsidRDefault="00244566" w:rsidP="00244566">
            <w:pPr>
              <w:pStyle w:val="Tabletext1"/>
            </w:pPr>
            <w:r>
              <w:t>(ii) an item in Subgroup 2 applies (except items 55118 and 55130); or</w:t>
            </w:r>
          </w:p>
          <w:p w14:paraId="636BC642" w14:textId="77777777" w:rsidR="00244566" w:rsidRDefault="00244566" w:rsidP="00244566">
            <w:pPr>
              <w:pStyle w:val="Tabletext1"/>
            </w:pPr>
            <w:r>
              <w:t>(iii) an item in Subgroup 3 applies</w:t>
            </w:r>
          </w:p>
          <w:p w14:paraId="0CBEF8C5" w14:textId="2E96B399" w:rsidR="00F00EDD" w:rsidRPr="00F00EDD" w:rsidRDefault="00244566" w:rsidP="00244566">
            <w:pPr>
              <w:pStyle w:val="Tabletext1"/>
            </w:pPr>
            <w:r>
              <w:t>Applicable not more than once in a 24 month period (R)</w:t>
            </w:r>
          </w:p>
        </w:tc>
        <w:tc>
          <w:tcPr>
            <w:tcW w:w="3155" w:type="dxa"/>
          </w:tcPr>
          <w:p w14:paraId="3D3C1246" w14:textId="77777777" w:rsidR="00244566" w:rsidRDefault="00244566" w:rsidP="00F00EDD">
            <w:pPr>
              <w:pStyle w:val="Tabletext1"/>
            </w:pPr>
            <w:r w:rsidRPr="00244566">
              <w:t xml:space="preserve">Fee: $264.90 </w:t>
            </w:r>
          </w:p>
          <w:p w14:paraId="457CBF67" w14:textId="77777777" w:rsidR="00244566" w:rsidRDefault="00244566" w:rsidP="00F00EDD">
            <w:pPr>
              <w:pStyle w:val="Tabletext1"/>
            </w:pPr>
            <w:r w:rsidRPr="00244566">
              <w:t xml:space="preserve">Benefit: </w:t>
            </w:r>
          </w:p>
          <w:p w14:paraId="4E92E3E2" w14:textId="77777777" w:rsidR="00244566" w:rsidRDefault="00244566" w:rsidP="00F00EDD">
            <w:pPr>
              <w:pStyle w:val="Tabletext1"/>
            </w:pPr>
            <w:r w:rsidRPr="00244566">
              <w:t xml:space="preserve">75% = $198.70 </w:t>
            </w:r>
          </w:p>
          <w:p w14:paraId="155A52D8" w14:textId="5DC7A1B1" w:rsidR="00F00EDD" w:rsidRPr="00F00EDD" w:rsidRDefault="00244566" w:rsidP="00F00EDD">
            <w:pPr>
              <w:pStyle w:val="Tabletext1"/>
            </w:pPr>
            <w:r w:rsidRPr="00244566">
              <w:t>85% = $225.20</w:t>
            </w:r>
          </w:p>
        </w:tc>
      </w:tr>
      <w:tr w:rsidR="00F00EDD" w:rsidRPr="00F00EDD" w14:paraId="1F8D5605" w14:textId="77777777" w:rsidTr="00F00EDD">
        <w:tc>
          <w:tcPr>
            <w:tcW w:w="1271" w:type="dxa"/>
          </w:tcPr>
          <w:p w14:paraId="4C623AE3" w14:textId="7B0C1AB0" w:rsidR="00F00EDD" w:rsidRPr="00F00EDD" w:rsidRDefault="00F00EDD" w:rsidP="00F00EDD">
            <w:pPr>
              <w:pStyle w:val="Tabletext1"/>
            </w:pPr>
            <w:r w:rsidRPr="00F00EDD">
              <w:t>22051</w:t>
            </w:r>
          </w:p>
        </w:tc>
        <w:tc>
          <w:tcPr>
            <w:tcW w:w="5039" w:type="dxa"/>
          </w:tcPr>
          <w:p w14:paraId="6F79EDAE" w14:textId="2219DAF1" w:rsidR="00F00EDD" w:rsidRPr="00F00EDD" w:rsidRDefault="00470C05" w:rsidP="00F00EDD">
            <w:pPr>
              <w:pStyle w:val="Tabletext1"/>
            </w:pPr>
            <w:r>
              <w:t>I</w:t>
            </w:r>
            <w:r w:rsidRPr="00470C05">
              <w:t>ntra</w:t>
            </w:r>
            <w:r w:rsidRPr="00470C05">
              <w:rPr>
                <w:rFonts w:ascii="Cambria Math" w:hAnsi="Cambria Math" w:cs="Cambria Math"/>
              </w:rPr>
              <w:t>‑</w:t>
            </w:r>
            <w:r w:rsidRPr="00470C05">
              <w:t>operative transoesophageal echocardiography</w:t>
            </w:r>
            <w:r w:rsidRPr="00470C05">
              <w:rPr>
                <w:rFonts w:cs="Arial Narrow"/>
              </w:rPr>
              <w:t>—</w:t>
            </w:r>
            <w:r w:rsidRPr="00470C05">
              <w:t>monitoring in real time the structure and function of the heart chambers, valves and surrounding structures, including assessment of blood flow, with appropriate permanent recording during procedures on the heart, pericardium or great vessels of the chest, other than a service associated with a service to which item 55130, 55135 or 21936 applies (H)</w:t>
            </w:r>
          </w:p>
        </w:tc>
        <w:tc>
          <w:tcPr>
            <w:tcW w:w="3155" w:type="dxa"/>
          </w:tcPr>
          <w:p w14:paraId="5DBAF910" w14:textId="77777777" w:rsidR="00A76C2C" w:rsidRDefault="00A76C2C" w:rsidP="00F00EDD">
            <w:pPr>
              <w:pStyle w:val="Tabletext1"/>
            </w:pPr>
            <w:r w:rsidRPr="00A76C2C">
              <w:t xml:space="preserve">Fee: $207.90 </w:t>
            </w:r>
          </w:p>
          <w:p w14:paraId="33A01689" w14:textId="6A6FCA90" w:rsidR="00F00EDD" w:rsidRPr="00F00EDD" w:rsidRDefault="00A76C2C" w:rsidP="00F00EDD">
            <w:pPr>
              <w:pStyle w:val="Tabletext1"/>
            </w:pPr>
            <w:r w:rsidRPr="00A76C2C">
              <w:t>Benefit: 75% = $155.95</w:t>
            </w:r>
          </w:p>
        </w:tc>
      </w:tr>
    </w:tbl>
    <w:p w14:paraId="05E4F658" w14:textId="77777777" w:rsidR="00F00EDD" w:rsidRPr="00F00EDD" w:rsidRDefault="00F00EDD" w:rsidP="00F00EDD">
      <w:pPr>
        <w:pStyle w:val="BodyText"/>
        <w:rPr>
          <w:rFonts w:eastAsia="Segoe UI"/>
        </w:rPr>
      </w:pPr>
    </w:p>
    <w:p w14:paraId="0EA27B14" w14:textId="0F2BEA3A" w:rsidR="00051843" w:rsidRDefault="00051843" w:rsidP="00375FD9">
      <w:pPr>
        <w:pStyle w:val="Heading3"/>
      </w:pPr>
      <w:r>
        <w:t>Please provide details to fund the prerequisite tests:</w:t>
      </w:r>
    </w:p>
    <w:p w14:paraId="19F42368" w14:textId="7F9CA8B5" w:rsidR="00051843" w:rsidRDefault="00082913" w:rsidP="00A43FF0">
      <w:pPr>
        <w:pStyle w:val="BodyText"/>
      </w:pPr>
      <w:r w:rsidRPr="00FD4C55">
        <w:t>Not applicable</w:t>
      </w:r>
      <w:r w:rsidR="00623BE1" w:rsidRPr="00FD4C55">
        <w:t>, as all prerequisite tests are funded on the MBS</w:t>
      </w:r>
      <w:r w:rsidRPr="00FD4C55">
        <w:t xml:space="preserve">. </w:t>
      </w:r>
      <w:r w:rsidR="00051843">
        <w:br w:type="page"/>
      </w:r>
    </w:p>
    <w:p w14:paraId="730114B1" w14:textId="17224D17" w:rsidR="00280050" w:rsidRDefault="00051843" w:rsidP="00375FD9">
      <w:pPr>
        <w:pStyle w:val="Heading1"/>
      </w:pPr>
      <w:r>
        <w:t>Intervention</w:t>
      </w:r>
    </w:p>
    <w:p w14:paraId="14667EFE" w14:textId="3F80E52D" w:rsidR="00BE6B22" w:rsidRDefault="00665487" w:rsidP="00375FD9">
      <w:pPr>
        <w:pStyle w:val="Heading3"/>
      </w:pPr>
      <w:r w:rsidRPr="00B15CDF">
        <w:t>Name of the proposed health technology:</w:t>
      </w:r>
    </w:p>
    <w:p w14:paraId="5CC78437" w14:textId="16C5FAB1" w:rsidR="001D753D" w:rsidRPr="001143CE" w:rsidRDefault="001D753D" w:rsidP="001143CE">
      <w:pPr>
        <w:pStyle w:val="BodyText"/>
      </w:pPr>
      <w:r w:rsidRPr="001143CE">
        <w:t>Transcatheter edge-to-edge repair (TEER)</w:t>
      </w:r>
      <w:r w:rsidR="00155A73" w:rsidRPr="001143CE">
        <w:t>.</w:t>
      </w:r>
    </w:p>
    <w:p w14:paraId="4CBAB540" w14:textId="200574D7" w:rsidR="00121C75" w:rsidRPr="001143CE" w:rsidRDefault="00121C75" w:rsidP="001143CE">
      <w:pPr>
        <w:pStyle w:val="BodyText"/>
      </w:pPr>
      <w:r w:rsidRPr="001143CE">
        <w:t xml:space="preserve">TEER will be used with continued OMT. </w:t>
      </w:r>
    </w:p>
    <w:p w14:paraId="1A686F8C" w14:textId="1808E38A" w:rsidR="00155A73" w:rsidRDefault="00665487" w:rsidP="0012696D">
      <w:pPr>
        <w:pStyle w:val="Heading3"/>
      </w:pPr>
      <w:r w:rsidRPr="00B15CDF">
        <w:t>Describe the key components and clinical steps involved in delivering the proposed health technology</w:t>
      </w:r>
      <w:r w:rsidR="00BE6B22">
        <w:t>:</w:t>
      </w:r>
    </w:p>
    <w:p w14:paraId="50DD3C34" w14:textId="7492BE32" w:rsidR="008B5F42" w:rsidRDefault="0034383B" w:rsidP="001143CE">
      <w:pPr>
        <w:pStyle w:val="BodyText"/>
      </w:pPr>
      <w:r>
        <w:t>The proposed intervention involves the use of one of two device</w:t>
      </w:r>
      <w:r w:rsidR="000D053C">
        <w:t xml:space="preserve"> systems</w:t>
      </w:r>
      <w:r>
        <w:t>, TriClip™ (Abbott) or PASCAL (Edwards)</w:t>
      </w:r>
      <w:r w:rsidR="004026F1">
        <w:t>, registered for use in TR in Australia</w:t>
      </w:r>
      <w:r>
        <w:t>.</w:t>
      </w:r>
      <w:r w:rsidR="000C4019">
        <w:t xml:space="preserve"> To note however, and as </w:t>
      </w:r>
      <w:r w:rsidR="00E9762D">
        <w:t xml:space="preserve">shown in the Summary of Evidence Section, to date, no randomised controlled trials (RCTs) of the PASCAL system </w:t>
      </w:r>
      <w:r w:rsidR="005C7AD9">
        <w:t xml:space="preserve">versus OMT in the proposed population </w:t>
      </w:r>
      <w:r w:rsidR="00E9762D">
        <w:t xml:space="preserve">exist. A forthcoming </w:t>
      </w:r>
      <w:r w:rsidR="001A4617">
        <w:t xml:space="preserve">RCT comparing TEER using the PASCAL system with OMT </w:t>
      </w:r>
      <w:r w:rsidR="006D5974">
        <w:t>(</w:t>
      </w:r>
      <w:r w:rsidR="006D5974" w:rsidRPr="006D5974">
        <w:t>CLASP II TR</w:t>
      </w:r>
      <w:r w:rsidR="006D5974">
        <w:t xml:space="preserve">; </w:t>
      </w:r>
      <w:r w:rsidR="00A178E1" w:rsidRPr="00A178E1">
        <w:t>NCT04097145</w:t>
      </w:r>
      <w:r w:rsidR="00A178E1">
        <w:t xml:space="preserve">) </w:t>
      </w:r>
      <w:r w:rsidR="008359F5">
        <w:t>has an expected primary completion date in December 2027. To this end, the comparative evidence of TEER versus OMT that will be provided in the forthcoming Applicant Developed Assessment Report (ADAR) will</w:t>
      </w:r>
      <w:r w:rsidR="008B5F42">
        <w:t xml:space="preserve"> pertain to the TriClip device. </w:t>
      </w:r>
      <w:r w:rsidR="00BE0210">
        <w:t xml:space="preserve">Details provided in this section of the intervention therefore </w:t>
      </w:r>
      <w:r w:rsidR="005C7AD9">
        <w:t xml:space="preserve">related to the TriClip system only. </w:t>
      </w:r>
    </w:p>
    <w:p w14:paraId="204DD22E" w14:textId="6C6FC3C4" w:rsidR="004026F1" w:rsidRDefault="003015CD" w:rsidP="003015CD">
      <w:pPr>
        <w:pStyle w:val="Caption"/>
      </w:pPr>
      <w:r>
        <w:t xml:space="preserve">Table </w:t>
      </w:r>
      <w:r>
        <w:fldChar w:fldCharType="begin"/>
      </w:r>
      <w:r>
        <w:instrText xml:space="preserve"> SEQ Table \* ARABIC </w:instrText>
      </w:r>
      <w:r>
        <w:fldChar w:fldCharType="separate"/>
      </w:r>
      <w:r>
        <w:rPr>
          <w:noProof/>
        </w:rPr>
        <w:t>9</w:t>
      </w:r>
      <w:r>
        <w:rPr>
          <w:noProof/>
        </w:rPr>
        <w:fldChar w:fldCharType="end"/>
      </w:r>
      <w:r>
        <w:tab/>
      </w:r>
      <w:r w:rsidR="00FF4BF6">
        <w:t>TEER systems included in the ARTG</w:t>
      </w:r>
    </w:p>
    <w:tbl>
      <w:tblPr>
        <w:tblStyle w:val="TableGrid"/>
        <w:tblW w:w="0" w:type="auto"/>
        <w:tblLook w:val="04A0" w:firstRow="1" w:lastRow="0" w:firstColumn="1" w:lastColumn="0" w:noHBand="0" w:noVBand="1"/>
        <w:tblCaption w:val="TTVI systems included in the ARTG"/>
        <w:tblDescription w:val="The table shows the regulatory details for the PASCAL Prescision System and the TriClip, taken from the ARTG Public Summary."/>
      </w:tblPr>
      <w:tblGrid>
        <w:gridCol w:w="3155"/>
        <w:gridCol w:w="3155"/>
        <w:gridCol w:w="3155"/>
      </w:tblGrid>
      <w:tr w:rsidR="00BD05EF" w:rsidRPr="00F50ADD" w14:paraId="371050C1" w14:textId="77777777" w:rsidTr="0038436E">
        <w:trPr>
          <w:tblHeader/>
        </w:trPr>
        <w:tc>
          <w:tcPr>
            <w:tcW w:w="3155" w:type="dxa"/>
            <w:shd w:val="clear" w:color="auto" w:fill="D9D9D9" w:themeFill="background1" w:themeFillShade="D9"/>
          </w:tcPr>
          <w:p w14:paraId="440DCA23" w14:textId="43626CE1" w:rsidR="00BD05EF" w:rsidRPr="00BD05EF" w:rsidRDefault="00BD05EF" w:rsidP="00F50ADD">
            <w:pPr>
              <w:pStyle w:val="Tabletext1"/>
              <w:rPr>
                <w:b/>
                <w:bCs/>
              </w:rPr>
            </w:pPr>
            <w:r w:rsidRPr="00BD05EF">
              <w:rPr>
                <w:b/>
                <w:bCs/>
                <w:lang w:eastAsia="en-US"/>
              </w:rPr>
              <w:t>Product Name</w:t>
            </w:r>
          </w:p>
        </w:tc>
        <w:tc>
          <w:tcPr>
            <w:tcW w:w="3155" w:type="dxa"/>
            <w:shd w:val="clear" w:color="auto" w:fill="D9D9D9" w:themeFill="background1" w:themeFillShade="D9"/>
          </w:tcPr>
          <w:p w14:paraId="6010736F" w14:textId="31F7D2D3" w:rsidR="00BD05EF" w:rsidRPr="00BD05EF" w:rsidRDefault="00BD05EF" w:rsidP="00F50ADD">
            <w:pPr>
              <w:pStyle w:val="Tabletext1"/>
              <w:rPr>
                <w:b/>
                <w:bCs/>
              </w:rPr>
            </w:pPr>
            <w:r w:rsidRPr="00BD05EF">
              <w:rPr>
                <w:b/>
                <w:bCs/>
                <w:lang w:eastAsia="en-US"/>
              </w:rPr>
              <w:t xml:space="preserve">PASCAL Precision System </w:t>
            </w:r>
          </w:p>
        </w:tc>
        <w:tc>
          <w:tcPr>
            <w:tcW w:w="3155" w:type="dxa"/>
            <w:shd w:val="clear" w:color="auto" w:fill="D9D9D9" w:themeFill="background1" w:themeFillShade="D9"/>
          </w:tcPr>
          <w:p w14:paraId="7229578A" w14:textId="0B5FAF63" w:rsidR="00BD05EF" w:rsidRPr="00BD05EF" w:rsidRDefault="00BD05EF" w:rsidP="00F50ADD">
            <w:pPr>
              <w:pStyle w:val="Tabletext1"/>
              <w:rPr>
                <w:b/>
                <w:bCs/>
              </w:rPr>
            </w:pPr>
            <w:r w:rsidRPr="00BD05EF">
              <w:rPr>
                <w:b/>
                <w:bCs/>
                <w:lang w:eastAsia="en-US"/>
              </w:rPr>
              <w:t>TriClip Transcatheter Tricuspid Valve Repair System</w:t>
            </w:r>
          </w:p>
        </w:tc>
      </w:tr>
      <w:tr w:rsidR="00BD05EF" w14:paraId="1EADB1D9" w14:textId="77777777" w:rsidTr="00C45A0B">
        <w:tc>
          <w:tcPr>
            <w:tcW w:w="3155" w:type="dxa"/>
          </w:tcPr>
          <w:p w14:paraId="07F6CD44" w14:textId="70D82E6C" w:rsidR="00BD05EF" w:rsidRDefault="00BD05EF" w:rsidP="00F50ADD">
            <w:pPr>
              <w:pStyle w:val="Tabletext1"/>
            </w:pPr>
            <w:r>
              <w:rPr>
                <w:lang w:eastAsia="en-US"/>
              </w:rPr>
              <w:t>Sponsor</w:t>
            </w:r>
          </w:p>
        </w:tc>
        <w:tc>
          <w:tcPr>
            <w:tcW w:w="3155" w:type="dxa"/>
          </w:tcPr>
          <w:p w14:paraId="222D5251" w14:textId="3079CDB0" w:rsidR="00BD05EF" w:rsidRPr="0012486A" w:rsidRDefault="00BD05EF" w:rsidP="00F50ADD">
            <w:pPr>
              <w:pStyle w:val="Tabletext1"/>
              <w:rPr>
                <w:lang w:eastAsia="en-US"/>
              </w:rPr>
            </w:pPr>
            <w:r w:rsidRPr="0012486A">
              <w:rPr>
                <w:lang w:eastAsia="en-US"/>
              </w:rPr>
              <w:t>Edwards Lifesciences Pty Ltd</w:t>
            </w:r>
          </w:p>
        </w:tc>
        <w:tc>
          <w:tcPr>
            <w:tcW w:w="3155" w:type="dxa"/>
          </w:tcPr>
          <w:p w14:paraId="3FBBB223" w14:textId="4BD49481" w:rsidR="00BD05EF" w:rsidRPr="0012486A" w:rsidRDefault="00BD05EF" w:rsidP="00F50ADD">
            <w:pPr>
              <w:pStyle w:val="Tabletext1"/>
              <w:rPr>
                <w:lang w:eastAsia="en-US"/>
              </w:rPr>
            </w:pPr>
            <w:r w:rsidRPr="0012486A">
              <w:rPr>
                <w:lang w:eastAsia="en-US"/>
              </w:rPr>
              <w:t>Abbott Medical Australia Pty Ltd</w:t>
            </w:r>
          </w:p>
        </w:tc>
      </w:tr>
      <w:tr w:rsidR="00BD05EF" w14:paraId="381BAB58" w14:textId="77777777" w:rsidTr="00C45A0B">
        <w:tc>
          <w:tcPr>
            <w:tcW w:w="3155" w:type="dxa"/>
          </w:tcPr>
          <w:p w14:paraId="088C901A" w14:textId="35520237" w:rsidR="00BD05EF" w:rsidRDefault="00BD05EF" w:rsidP="00F50ADD">
            <w:pPr>
              <w:pStyle w:val="Tabletext1"/>
            </w:pPr>
            <w:r>
              <w:rPr>
                <w:lang w:eastAsia="en-US"/>
              </w:rPr>
              <w:t>ARTG ID</w:t>
            </w:r>
          </w:p>
        </w:tc>
        <w:tc>
          <w:tcPr>
            <w:tcW w:w="3155" w:type="dxa"/>
          </w:tcPr>
          <w:p w14:paraId="262BBA4B" w14:textId="77777777" w:rsidR="00BD05EF" w:rsidRDefault="00BD05EF" w:rsidP="00BD05EF">
            <w:pPr>
              <w:pStyle w:val="Tabletext1"/>
              <w:rPr>
                <w:lang w:eastAsia="en-US"/>
              </w:rPr>
            </w:pPr>
            <w:hyperlink r:id="rId14" w:tooltip="Hyperlink to ARTG entry for 410289" w:history="1">
              <w:r>
                <w:rPr>
                  <w:rStyle w:val="Hyperlink"/>
                  <w:rFonts w:cs="Tahoma"/>
                  <w:lang w:eastAsia="en-US"/>
                </w:rPr>
                <w:t>410289</w:t>
              </w:r>
            </w:hyperlink>
            <w:r>
              <w:rPr>
                <w:lang w:eastAsia="en-US"/>
              </w:rPr>
              <w:t xml:space="preserve"> – PASCAL Precision System – PASCAL ACE Implant System – Heart valve clip</w:t>
            </w:r>
          </w:p>
          <w:p w14:paraId="76969F91" w14:textId="77777777" w:rsidR="00BD05EF" w:rsidRDefault="00BD05EF" w:rsidP="00BD05EF">
            <w:pPr>
              <w:pStyle w:val="Tabletext1"/>
              <w:rPr>
                <w:lang w:eastAsia="en-US"/>
              </w:rPr>
            </w:pPr>
            <w:hyperlink r:id="rId15" w:tooltip="Hperlink to ARTG entry for 410288" w:history="1">
              <w:r>
                <w:rPr>
                  <w:rStyle w:val="Hyperlink"/>
                  <w:rFonts w:cs="Tahoma"/>
                  <w:lang w:eastAsia="en-US"/>
                </w:rPr>
                <w:t>410288</w:t>
              </w:r>
            </w:hyperlink>
            <w:r>
              <w:rPr>
                <w:lang w:eastAsia="en-US"/>
              </w:rPr>
              <w:t xml:space="preserve"> – PASCAL Precision System – Implant System – Heart valve clip </w:t>
            </w:r>
          </w:p>
          <w:p w14:paraId="1380E6C0" w14:textId="0B747318" w:rsidR="00BD05EF" w:rsidRDefault="00BD05EF" w:rsidP="00F50ADD">
            <w:pPr>
              <w:pStyle w:val="Tabletext1"/>
            </w:pPr>
            <w:hyperlink r:id="rId16" w:tooltip="Hyperlink to ARTG entry for 410290" w:history="1">
              <w:r>
                <w:rPr>
                  <w:rStyle w:val="Hyperlink"/>
                  <w:rFonts w:cs="Tahoma"/>
                  <w:lang w:eastAsia="en-US"/>
                </w:rPr>
                <w:t>410290</w:t>
              </w:r>
            </w:hyperlink>
            <w:r>
              <w:rPr>
                <w:lang w:eastAsia="en-US"/>
              </w:rPr>
              <w:t xml:space="preserve"> </w:t>
            </w:r>
            <w:r w:rsidRPr="00BD05EF">
              <w:rPr>
                <w:lang w:eastAsia="en-US"/>
              </w:rPr>
              <w:t>– PASCAL Precision System – Guide Sheath – Heart valve clip</w:t>
            </w:r>
          </w:p>
        </w:tc>
        <w:tc>
          <w:tcPr>
            <w:tcW w:w="3155" w:type="dxa"/>
          </w:tcPr>
          <w:p w14:paraId="619AE484" w14:textId="11B419B6" w:rsidR="004D60DB" w:rsidRDefault="00093C83" w:rsidP="00BD05EF">
            <w:pPr>
              <w:pStyle w:val="Tabletext1"/>
            </w:pPr>
            <w:hyperlink r:id="rId17" w:history="1">
              <w:r w:rsidRPr="00093C83">
                <w:rPr>
                  <w:rStyle w:val="Hyperlink"/>
                </w:rPr>
                <w:t>373218</w:t>
              </w:r>
            </w:hyperlink>
            <w:r>
              <w:t xml:space="preserve"> - </w:t>
            </w:r>
            <w:r w:rsidRPr="00093C83">
              <w:t>TriClip Delivery System - Mitral valve clip</w:t>
            </w:r>
          </w:p>
          <w:p w14:paraId="624BE961" w14:textId="653F4D1D" w:rsidR="00BC3FA0" w:rsidRDefault="00BC3FA0" w:rsidP="00BD05EF">
            <w:pPr>
              <w:pStyle w:val="Tabletext1"/>
            </w:pPr>
            <w:hyperlink r:id="rId18" w:history="1">
              <w:r w:rsidRPr="00BC3FA0">
                <w:rPr>
                  <w:rStyle w:val="Hyperlink"/>
                </w:rPr>
                <w:t>373219</w:t>
              </w:r>
            </w:hyperlink>
            <w:r>
              <w:t xml:space="preserve"> - </w:t>
            </w:r>
            <w:r w:rsidRPr="00BC3FA0">
              <w:t>TriClip Steerable Guide Catheter Model Number TSGC0205 - Catheter, intravascular, guiding</w:t>
            </w:r>
          </w:p>
          <w:p w14:paraId="687DA2AB" w14:textId="23F43383" w:rsidR="004D60DB" w:rsidRDefault="00F16501" w:rsidP="00BD05EF">
            <w:pPr>
              <w:pStyle w:val="Tabletext1"/>
            </w:pPr>
            <w:hyperlink r:id="rId19" w:history="1">
              <w:r w:rsidRPr="00F16501">
                <w:rPr>
                  <w:rStyle w:val="Hyperlink"/>
                </w:rPr>
                <w:t>401430</w:t>
              </w:r>
            </w:hyperlink>
            <w:r>
              <w:t xml:space="preserve"> - </w:t>
            </w:r>
            <w:r w:rsidR="00947CB1" w:rsidRPr="00947CB1">
              <w:t>TriClip G4 Delivery System - Mitral valve clip</w:t>
            </w:r>
          </w:p>
          <w:p w14:paraId="49A50C41" w14:textId="2BDFF972" w:rsidR="00F16501" w:rsidRDefault="00947CB1" w:rsidP="00BD05EF">
            <w:pPr>
              <w:pStyle w:val="Tabletext1"/>
            </w:pPr>
            <w:hyperlink r:id="rId20" w:history="1">
              <w:r w:rsidRPr="00947CB1">
                <w:rPr>
                  <w:rStyle w:val="Hyperlink"/>
                </w:rPr>
                <w:t>401431</w:t>
              </w:r>
            </w:hyperlink>
            <w:r>
              <w:t xml:space="preserve"> - </w:t>
            </w:r>
            <w:r w:rsidRPr="00947CB1">
              <w:t>TriClip G4 Steerable Guide Catheter - Catheter, intravascular, guiding</w:t>
            </w:r>
          </w:p>
          <w:p w14:paraId="0D70051D" w14:textId="5E2A2C2C" w:rsidR="00BD05EF" w:rsidRDefault="00BD05EF" w:rsidP="00BD05EF">
            <w:pPr>
              <w:pStyle w:val="Tabletext1"/>
              <w:rPr>
                <w:lang w:eastAsia="en-US"/>
              </w:rPr>
            </w:pPr>
            <w:hyperlink r:id="rId21" w:tooltip="Hyperlink to ARTG entry for 444061" w:history="1">
              <w:r>
                <w:rPr>
                  <w:rStyle w:val="Hyperlink"/>
                  <w:rFonts w:cs="Tahoma"/>
                  <w:lang w:eastAsia="en-US"/>
                </w:rPr>
                <w:t>444061</w:t>
              </w:r>
            </w:hyperlink>
            <w:r>
              <w:rPr>
                <w:lang w:eastAsia="en-US"/>
              </w:rPr>
              <w:t xml:space="preserve"> – TriClip G4 Clip Delivery System – Mitral valve clip</w:t>
            </w:r>
          </w:p>
          <w:p w14:paraId="79C9D2AC" w14:textId="77777777" w:rsidR="00BD05EF" w:rsidRDefault="00BD05EF" w:rsidP="00F50ADD">
            <w:pPr>
              <w:pStyle w:val="Tabletext1"/>
              <w:rPr>
                <w:lang w:eastAsia="en-US"/>
              </w:rPr>
            </w:pPr>
            <w:hyperlink r:id="rId22" w:tooltip="Hyperlink to ARTG entry for 444062" w:history="1">
              <w:r>
                <w:rPr>
                  <w:rStyle w:val="Hyperlink"/>
                  <w:rFonts w:cs="Tahoma"/>
                  <w:lang w:eastAsia="en-US"/>
                </w:rPr>
                <w:t>444062</w:t>
              </w:r>
            </w:hyperlink>
            <w:r>
              <w:rPr>
                <w:lang w:eastAsia="en-US"/>
              </w:rPr>
              <w:t xml:space="preserve"> – </w:t>
            </w:r>
            <w:r w:rsidRPr="00BD05EF">
              <w:rPr>
                <w:lang w:eastAsia="en-US"/>
              </w:rPr>
              <w:t xml:space="preserve">TriClip Steerable Guide Catheter </w:t>
            </w:r>
            <w:r w:rsidR="004B5281">
              <w:rPr>
                <w:lang w:eastAsia="en-US"/>
              </w:rPr>
              <w:t>–</w:t>
            </w:r>
            <w:r w:rsidRPr="00BD05EF">
              <w:rPr>
                <w:lang w:eastAsia="en-US"/>
              </w:rPr>
              <w:t xml:space="preserve"> Catheter, intravascular, guiding</w:t>
            </w:r>
          </w:p>
          <w:p w14:paraId="374C8E8E" w14:textId="77777777" w:rsidR="000770AC" w:rsidRDefault="000770AC" w:rsidP="00F50ADD">
            <w:pPr>
              <w:pStyle w:val="Tabletext1"/>
            </w:pPr>
            <w:hyperlink r:id="rId23" w:history="1">
              <w:r w:rsidRPr="000770AC">
                <w:rPr>
                  <w:rStyle w:val="Hyperlink"/>
                </w:rPr>
                <w:t>498645</w:t>
              </w:r>
            </w:hyperlink>
            <w:r>
              <w:t xml:space="preserve"> - </w:t>
            </w:r>
            <w:r w:rsidRPr="000770AC">
              <w:t>TriClip G5 Delivery System - Heart valve clip</w:t>
            </w:r>
          </w:p>
          <w:p w14:paraId="53211B28" w14:textId="06130DF4" w:rsidR="000770AC" w:rsidRPr="0006268D" w:rsidRDefault="0006268D" w:rsidP="00F50ADD">
            <w:pPr>
              <w:pStyle w:val="Tabletext1"/>
            </w:pPr>
            <w:hyperlink r:id="rId24" w:history="1">
              <w:r w:rsidRPr="0006268D">
                <w:rPr>
                  <w:rStyle w:val="Hyperlink"/>
                </w:rPr>
                <w:t>498646</w:t>
              </w:r>
            </w:hyperlink>
            <w:r w:rsidRPr="0006268D">
              <w:t xml:space="preserve"> - TriClip G5 Steerable Guide Catheter - Catheter, intravascular, guiding</w:t>
            </w:r>
          </w:p>
        </w:tc>
      </w:tr>
      <w:tr w:rsidR="00BD05EF" w14:paraId="71EBC2CF" w14:textId="77777777" w:rsidTr="00C45A0B">
        <w:tc>
          <w:tcPr>
            <w:tcW w:w="3155" w:type="dxa"/>
          </w:tcPr>
          <w:p w14:paraId="18891255" w14:textId="7197C5AF" w:rsidR="00BD05EF" w:rsidRDefault="00BD05EF" w:rsidP="00F50ADD">
            <w:pPr>
              <w:pStyle w:val="Tabletext1"/>
            </w:pPr>
            <w:r>
              <w:rPr>
                <w:lang w:eastAsia="en-US"/>
              </w:rPr>
              <w:t>GMDN</w:t>
            </w:r>
          </w:p>
        </w:tc>
        <w:tc>
          <w:tcPr>
            <w:tcW w:w="3155" w:type="dxa"/>
          </w:tcPr>
          <w:p w14:paraId="5D9105AB" w14:textId="6687C574" w:rsidR="00BD05EF" w:rsidRPr="00BD05EF" w:rsidRDefault="00BD05EF" w:rsidP="00F50ADD">
            <w:pPr>
              <w:pStyle w:val="Tabletext1"/>
              <w:rPr>
                <w:lang w:eastAsia="en-US"/>
              </w:rPr>
            </w:pPr>
            <w:r w:rsidRPr="00BD05EF">
              <w:rPr>
                <w:lang w:eastAsia="en-US"/>
              </w:rPr>
              <w:t>57790 Heart valve clip</w:t>
            </w:r>
          </w:p>
        </w:tc>
        <w:tc>
          <w:tcPr>
            <w:tcW w:w="3155" w:type="dxa"/>
          </w:tcPr>
          <w:p w14:paraId="01AEEF27" w14:textId="77777777" w:rsidR="00BD05EF" w:rsidRDefault="00BD05EF" w:rsidP="00BD05EF">
            <w:pPr>
              <w:pStyle w:val="Tabletext1"/>
              <w:rPr>
                <w:lang w:eastAsia="en-US"/>
              </w:rPr>
            </w:pPr>
            <w:r>
              <w:rPr>
                <w:lang w:eastAsia="en-US"/>
              </w:rPr>
              <w:t>57790 Heart valve clip</w:t>
            </w:r>
          </w:p>
          <w:p w14:paraId="1F935334" w14:textId="2F194FE2" w:rsidR="00BD05EF" w:rsidRDefault="00BD05EF" w:rsidP="00F50ADD">
            <w:pPr>
              <w:pStyle w:val="Tabletext1"/>
            </w:pPr>
            <w:r w:rsidRPr="00BD05EF">
              <w:rPr>
                <w:lang w:eastAsia="en-US"/>
              </w:rPr>
              <w:t>17846 Catheter, intravascular, guiding</w:t>
            </w:r>
          </w:p>
        </w:tc>
      </w:tr>
      <w:tr w:rsidR="00BD05EF" w14:paraId="37330C38" w14:textId="77777777" w:rsidTr="00C45A0B">
        <w:tc>
          <w:tcPr>
            <w:tcW w:w="3155" w:type="dxa"/>
          </w:tcPr>
          <w:p w14:paraId="7C9D85FE" w14:textId="791A6B17" w:rsidR="00BD05EF" w:rsidRDefault="00BD05EF" w:rsidP="00F50ADD">
            <w:pPr>
              <w:pStyle w:val="Tabletext1"/>
            </w:pPr>
            <w:r>
              <w:rPr>
                <w:lang w:eastAsia="en-US"/>
              </w:rPr>
              <w:t xml:space="preserve">Category </w:t>
            </w:r>
          </w:p>
        </w:tc>
        <w:tc>
          <w:tcPr>
            <w:tcW w:w="3155" w:type="dxa"/>
          </w:tcPr>
          <w:p w14:paraId="422A58C9" w14:textId="058B47F9" w:rsidR="00BD05EF" w:rsidRPr="00BD05EF" w:rsidRDefault="00BD05EF" w:rsidP="00F50ADD">
            <w:pPr>
              <w:pStyle w:val="Tabletext1"/>
              <w:rPr>
                <w:lang w:eastAsia="en-US"/>
              </w:rPr>
            </w:pPr>
            <w:r w:rsidRPr="00BD05EF">
              <w:rPr>
                <w:lang w:eastAsia="en-US"/>
              </w:rPr>
              <w:t>Medical Device Class III</w:t>
            </w:r>
          </w:p>
        </w:tc>
        <w:tc>
          <w:tcPr>
            <w:tcW w:w="3155" w:type="dxa"/>
          </w:tcPr>
          <w:p w14:paraId="6D9CE611" w14:textId="4B54BD40" w:rsidR="00BD05EF" w:rsidRPr="00BD05EF" w:rsidRDefault="00BD05EF" w:rsidP="00F50ADD">
            <w:pPr>
              <w:pStyle w:val="Tabletext1"/>
              <w:rPr>
                <w:lang w:eastAsia="en-US"/>
              </w:rPr>
            </w:pPr>
            <w:r w:rsidRPr="00BD05EF">
              <w:rPr>
                <w:lang w:eastAsia="en-US"/>
              </w:rPr>
              <w:t>Medical Device Class III</w:t>
            </w:r>
          </w:p>
        </w:tc>
      </w:tr>
      <w:tr w:rsidR="00BD05EF" w14:paraId="77237E8D" w14:textId="77777777" w:rsidTr="00C45A0B">
        <w:tc>
          <w:tcPr>
            <w:tcW w:w="3155" w:type="dxa"/>
          </w:tcPr>
          <w:p w14:paraId="3C688581" w14:textId="0CED1705" w:rsidR="00BD05EF" w:rsidRDefault="00BD05EF" w:rsidP="00F50ADD">
            <w:pPr>
              <w:pStyle w:val="Tabletext1"/>
            </w:pPr>
            <w:r>
              <w:rPr>
                <w:lang w:eastAsia="en-US"/>
              </w:rPr>
              <w:t>Effective Date</w:t>
            </w:r>
          </w:p>
        </w:tc>
        <w:tc>
          <w:tcPr>
            <w:tcW w:w="3155" w:type="dxa"/>
          </w:tcPr>
          <w:p w14:paraId="10D67271" w14:textId="7E98DB54" w:rsidR="00BD05EF" w:rsidRPr="00BD05EF" w:rsidRDefault="00BD05EF" w:rsidP="00F50ADD">
            <w:pPr>
              <w:pStyle w:val="Tabletext1"/>
              <w:rPr>
                <w:lang w:eastAsia="en-US"/>
              </w:rPr>
            </w:pPr>
            <w:r w:rsidRPr="00BD05EF">
              <w:rPr>
                <w:lang w:eastAsia="en-US"/>
              </w:rPr>
              <w:t>9 June 2023</w:t>
            </w:r>
          </w:p>
        </w:tc>
        <w:tc>
          <w:tcPr>
            <w:tcW w:w="3155" w:type="dxa"/>
          </w:tcPr>
          <w:p w14:paraId="0DF124F5" w14:textId="49230E6A" w:rsidR="00BD05EF" w:rsidRPr="00BD05EF" w:rsidRDefault="00BD05EF" w:rsidP="00F50ADD">
            <w:pPr>
              <w:pStyle w:val="Tabletext1"/>
              <w:rPr>
                <w:lang w:eastAsia="en-US"/>
              </w:rPr>
            </w:pPr>
            <w:r w:rsidRPr="00BD05EF">
              <w:rPr>
                <w:lang w:eastAsia="en-US"/>
              </w:rPr>
              <w:t>20 March 2024</w:t>
            </w:r>
          </w:p>
        </w:tc>
      </w:tr>
      <w:tr w:rsidR="00BD05EF" w14:paraId="0B89A5A4" w14:textId="77777777" w:rsidTr="00C45A0B">
        <w:tc>
          <w:tcPr>
            <w:tcW w:w="3155" w:type="dxa"/>
          </w:tcPr>
          <w:p w14:paraId="08405408" w14:textId="0BCC4A8F" w:rsidR="00BD05EF" w:rsidRDefault="00BD05EF" w:rsidP="00F50ADD">
            <w:pPr>
              <w:pStyle w:val="Tabletext1"/>
              <w:rPr>
                <w:lang w:eastAsia="en-US"/>
              </w:rPr>
            </w:pPr>
            <w:r>
              <w:rPr>
                <w:lang w:eastAsia="en-US"/>
              </w:rPr>
              <w:t>Intended purpose</w:t>
            </w:r>
          </w:p>
        </w:tc>
        <w:tc>
          <w:tcPr>
            <w:tcW w:w="3155" w:type="dxa"/>
          </w:tcPr>
          <w:p w14:paraId="26E47579" w14:textId="5FD0C29D" w:rsidR="00BD05EF" w:rsidRPr="00BD05EF" w:rsidRDefault="00573F93" w:rsidP="00F50ADD">
            <w:pPr>
              <w:pStyle w:val="Tabletext1"/>
              <w:rPr>
                <w:lang w:eastAsia="en-US"/>
              </w:rPr>
            </w:pPr>
            <w:r w:rsidRPr="00573F93">
              <w:rPr>
                <w:lang w:eastAsia="en-US"/>
              </w:rPr>
              <w:t>The PASCAL Precision system is intended to repair an insufficient mitral and/or tricuspid valve via percutaneous reconstruction through tissue approximation. The PASCAL Precision system percutaneously delivers the implant to the valve via a femoral vein access using a transvenous, transseptal (mitral) and transvenous (tricuspid) approach.</w:t>
            </w:r>
          </w:p>
        </w:tc>
        <w:tc>
          <w:tcPr>
            <w:tcW w:w="3155" w:type="dxa"/>
          </w:tcPr>
          <w:p w14:paraId="257B7023" w14:textId="7087B744" w:rsidR="00BD05EF" w:rsidRPr="00BD05EF" w:rsidRDefault="00EA6FB0" w:rsidP="00F50ADD">
            <w:pPr>
              <w:pStyle w:val="Tabletext1"/>
              <w:rPr>
                <w:lang w:eastAsia="en-US"/>
              </w:rPr>
            </w:pPr>
            <w:r w:rsidRPr="00EA6FB0">
              <w:rPr>
                <w:lang w:eastAsia="en-US"/>
              </w:rPr>
              <w:t>The TriClip™ G4 System is intended for reconstruction of the insufficient tricuspid valve through tissue approximation. The TriClip device is indicated for patients with severe tricuspid regurgitation who are symptomatic despite medical therapy with valve anatomies that are conducive for transcatheter repair and who have been determined to be at high or greater estimated risk for tricuspid valve surgery by a Heart Team</w:t>
            </w:r>
            <w:r>
              <w:rPr>
                <w:lang w:eastAsia="en-US"/>
              </w:rPr>
              <w:t>.</w:t>
            </w:r>
          </w:p>
        </w:tc>
      </w:tr>
      <w:tr w:rsidR="00C45A0B" w14:paraId="1E1A3A97" w14:textId="77777777" w:rsidTr="00C45A0B">
        <w:tc>
          <w:tcPr>
            <w:tcW w:w="3155" w:type="dxa"/>
            <w:hideMark/>
          </w:tcPr>
          <w:p w14:paraId="2603F4D8" w14:textId="77777777" w:rsidR="00C45A0B" w:rsidRDefault="00C45A0B">
            <w:pPr>
              <w:pStyle w:val="Tabletext1"/>
              <w:rPr>
                <w:rFonts w:cs="Tahoma"/>
                <w:szCs w:val="20"/>
                <w:lang w:eastAsia="en-US"/>
              </w:rPr>
            </w:pPr>
            <w:r>
              <w:rPr>
                <w:lang w:eastAsia="en-US"/>
              </w:rPr>
              <w:t>Specific Conditions</w:t>
            </w:r>
          </w:p>
        </w:tc>
        <w:tc>
          <w:tcPr>
            <w:tcW w:w="3155" w:type="dxa"/>
            <w:hideMark/>
          </w:tcPr>
          <w:p w14:paraId="00D4BC51" w14:textId="77777777" w:rsidR="00C45A0B" w:rsidRDefault="00C45A0B">
            <w:pPr>
              <w:pStyle w:val="Tabletext1"/>
              <w:rPr>
                <w:lang w:eastAsia="en-US"/>
              </w:rPr>
            </w:pPr>
            <w:r>
              <w:rPr>
                <w:lang w:eastAsia="en-US"/>
              </w:rPr>
              <w:t>No specific conditions</w:t>
            </w:r>
          </w:p>
        </w:tc>
        <w:tc>
          <w:tcPr>
            <w:tcW w:w="3155" w:type="dxa"/>
            <w:hideMark/>
          </w:tcPr>
          <w:p w14:paraId="7C492B97" w14:textId="77777777" w:rsidR="00C45A0B" w:rsidRDefault="00C45A0B">
            <w:pPr>
              <w:pStyle w:val="Tabletext1"/>
              <w:rPr>
                <w:lang w:eastAsia="en-US"/>
              </w:rPr>
            </w:pPr>
            <w:r>
              <w:rPr>
                <w:lang w:eastAsia="en-US"/>
              </w:rPr>
              <w:t>Final study reports of the 'TRILUMINATE Pivotal Study' and 'bRIGHT EU Post Approval Study' with a 5-year follow-up must be provided by 31st July 2028. The final study reports must be accompanied by the manufacturer's analysis of the data, with redlined changes made to the clinical evaluation report (CER) and risk management documents based on the final study results.</w:t>
            </w:r>
          </w:p>
        </w:tc>
      </w:tr>
    </w:tbl>
    <w:p w14:paraId="7243EE1B" w14:textId="187A9542" w:rsidR="001B353C" w:rsidRDefault="001B353C" w:rsidP="001B353C">
      <w:pPr>
        <w:pStyle w:val="NoteHeading"/>
      </w:pPr>
      <w:r>
        <w:t xml:space="preserve">Abbreviations: </w:t>
      </w:r>
      <w:r w:rsidR="00494BB5">
        <w:t xml:space="preserve">ARTG, Australian Register of Therapeutic Goods; </w:t>
      </w:r>
      <w:r w:rsidR="00790E94">
        <w:t>GMDN, Global Medical Device Nomenclature</w:t>
      </w:r>
    </w:p>
    <w:p w14:paraId="402C1D7A" w14:textId="1EF9DA99" w:rsidR="00155A73" w:rsidRDefault="00FF4BF6" w:rsidP="001B353C">
      <w:pPr>
        <w:pStyle w:val="NoteHeading"/>
      </w:pPr>
      <w:r>
        <w:t>Source</w:t>
      </w:r>
      <w:r w:rsidR="001B353C">
        <w:t>:</w:t>
      </w:r>
      <w:r>
        <w:t xml:space="preserve"> Table 4 of Application 1799 Ratified PICO.</w:t>
      </w:r>
    </w:p>
    <w:p w14:paraId="0583A687" w14:textId="77777777" w:rsidR="00155A73" w:rsidRPr="00155A73" w:rsidRDefault="00155A73" w:rsidP="00155A73"/>
    <w:p w14:paraId="7342ECD7" w14:textId="0314056C" w:rsidR="006165FE" w:rsidRDefault="006165FE" w:rsidP="00C41C0E">
      <w:pPr>
        <w:pStyle w:val="BodyText"/>
      </w:pPr>
      <w:r>
        <w:t>The TriClip</w:t>
      </w:r>
      <w:r w:rsidR="00360F42">
        <w:t xml:space="preserve"> G4 system consists of two parts: the TriClip G4 Delivery System, and the TriClip Steerable Guide Catheter. The delivery system itself consists of three major components (the Delivery Catheter, the Steerable Sleeve, and the TriClip G4 implant) while the </w:t>
      </w:r>
      <w:r w:rsidR="00E95D92">
        <w:t xml:space="preserve">Steerable Guide Catheter includes a dilator. </w:t>
      </w:r>
    </w:p>
    <w:p w14:paraId="7D43D609" w14:textId="77777777" w:rsidR="00D437AF" w:rsidRDefault="00D437AF" w:rsidP="00E808B0">
      <w:pPr>
        <w:pStyle w:val="BodyText"/>
        <w:keepNext/>
      </w:pPr>
      <w:r w:rsidRPr="00D437AF">
        <w:rPr>
          <w:noProof/>
        </w:rPr>
        <w:drawing>
          <wp:inline distT="0" distB="0" distL="0" distR="0" wp14:anchorId="64012A12" wp14:editId="19F84E2A">
            <wp:extent cx="4791075" cy="2411834"/>
            <wp:effectExtent l="0" t="0" r="0" b="7620"/>
            <wp:docPr id="1168164767" name="Picture 1" descr="The figure shows the TriClip G4 System components as described in the text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164767" name="Picture 1" descr="The figure shows the TriClip G4 System components as described in the text above."/>
                    <pic:cNvPicPr/>
                  </pic:nvPicPr>
                  <pic:blipFill>
                    <a:blip r:embed="rId25"/>
                    <a:stretch>
                      <a:fillRect/>
                    </a:stretch>
                  </pic:blipFill>
                  <pic:spPr>
                    <a:xfrm>
                      <a:off x="0" y="0"/>
                      <a:ext cx="4793107" cy="2412857"/>
                    </a:xfrm>
                    <a:prstGeom prst="rect">
                      <a:avLst/>
                    </a:prstGeom>
                  </pic:spPr>
                </pic:pic>
              </a:graphicData>
            </a:graphic>
          </wp:inline>
        </w:drawing>
      </w:r>
    </w:p>
    <w:p w14:paraId="4FCB7141" w14:textId="3187BA0D" w:rsidR="00E95D92" w:rsidRDefault="00D437AF" w:rsidP="00375FD9">
      <w:pPr>
        <w:pStyle w:val="Caption"/>
      </w:pPr>
      <w:r>
        <w:t xml:space="preserve">Figure </w:t>
      </w:r>
      <w:r w:rsidR="00411A43">
        <w:fldChar w:fldCharType="begin"/>
      </w:r>
      <w:r w:rsidR="00411A43">
        <w:instrText xml:space="preserve"> SEQ Figure \* ARABIC </w:instrText>
      </w:r>
      <w:r w:rsidR="00411A43">
        <w:fldChar w:fldCharType="separate"/>
      </w:r>
      <w:r w:rsidR="00A55944">
        <w:rPr>
          <w:noProof/>
        </w:rPr>
        <w:t>1</w:t>
      </w:r>
      <w:r w:rsidR="00411A43">
        <w:rPr>
          <w:noProof/>
        </w:rPr>
        <w:fldChar w:fldCharType="end"/>
      </w:r>
      <w:r>
        <w:t xml:space="preserve"> TriClip G4 System components</w:t>
      </w:r>
    </w:p>
    <w:p w14:paraId="584B76EF" w14:textId="43B563A9" w:rsidR="00845F4F" w:rsidRPr="00A43FF0" w:rsidRDefault="005464DA" w:rsidP="00E808B0">
      <w:pPr>
        <w:pStyle w:val="NoteHeading"/>
        <w:keepNext/>
        <w:rPr>
          <w:rStyle w:val="CommentReference"/>
          <w:sz w:val="18"/>
          <w:szCs w:val="22"/>
        </w:rPr>
      </w:pPr>
      <w:r w:rsidRPr="00A43FF0">
        <w:rPr>
          <w:rStyle w:val="CommentReference"/>
          <w:sz w:val="18"/>
          <w:szCs w:val="22"/>
        </w:rPr>
        <w:t>Source: TriClip G4 System Instructions for Use</w:t>
      </w:r>
      <w:r w:rsidR="0029090C">
        <w:rPr>
          <w:rStyle w:val="CommentReference"/>
          <w:sz w:val="18"/>
          <w:szCs w:val="22"/>
        </w:rPr>
        <w:t xml:space="preserve"> (EL</w:t>
      </w:r>
      <w:r w:rsidR="0015017B">
        <w:rPr>
          <w:rStyle w:val="CommentReference"/>
          <w:sz w:val="18"/>
          <w:szCs w:val="22"/>
        </w:rPr>
        <w:t>2143121 Rev. A)</w:t>
      </w:r>
      <w:r w:rsidR="00867940">
        <w:rPr>
          <w:rStyle w:val="CommentReference"/>
          <w:sz w:val="18"/>
          <w:szCs w:val="22"/>
        </w:rPr>
        <w:t xml:space="preserve"> pg. 3</w:t>
      </w:r>
    </w:p>
    <w:p w14:paraId="50E3B318" w14:textId="77777777" w:rsidR="00563D24" w:rsidRDefault="00563D24" w:rsidP="00C41C0E">
      <w:pPr>
        <w:pStyle w:val="BodyText"/>
      </w:pPr>
    </w:p>
    <w:p w14:paraId="6CB24F7B" w14:textId="77777777" w:rsidR="0027018E" w:rsidRPr="0027018E" w:rsidRDefault="005D5E65" w:rsidP="00C41C0E">
      <w:pPr>
        <w:pStyle w:val="BodyText"/>
      </w:pPr>
      <w:r w:rsidRPr="0027018E">
        <w:t>The TriClip G4 Delivery System is introduced into the body through the TriClip Steerable Guide Catheter.</w:t>
      </w:r>
      <w:r w:rsidR="002E43BD" w:rsidRPr="0027018E">
        <w:t xml:space="preserve"> The TriClip G4 Delivery System advanced and manipulates the TriClip G4 Implant for proper positioning and placement on the tricuspid valve leaflets</w:t>
      </w:r>
      <w:r w:rsidR="00037117" w:rsidRPr="0027018E">
        <w:t xml:space="preserve">. The outer surfaces of the Delivery Catheter and the TriClip Steerable Guide Catheter have a hydrophilic </w:t>
      </w:r>
      <w:r w:rsidR="0024170E" w:rsidRPr="0027018E">
        <w:t xml:space="preserve">coating, </w:t>
      </w:r>
      <w:r w:rsidR="00037117" w:rsidRPr="0027018E">
        <w:t>intended to decrease friction</w:t>
      </w:r>
      <w:r w:rsidR="00005949" w:rsidRPr="0027018E">
        <w:t xml:space="preserve"> during insertion into the vasculature (Steerable Guide Catheter) and decrease friction between the Steerable Sleeve and the Delivery Catheter.</w:t>
      </w:r>
    </w:p>
    <w:p w14:paraId="2012BC85" w14:textId="00F12DF7" w:rsidR="009D6012" w:rsidRPr="0027018E" w:rsidRDefault="008F6DE1" w:rsidP="00C41C0E">
      <w:pPr>
        <w:pStyle w:val="BodyText"/>
        <w:rPr>
          <w:sz w:val="16"/>
          <w:szCs w:val="16"/>
        </w:rPr>
      </w:pPr>
      <w:r>
        <w:t xml:space="preserve">The TriClip G4 Implant is a percutaneously implanted mechanical implant </w:t>
      </w:r>
      <w:r w:rsidR="008B5D18">
        <w:t xml:space="preserve">that </w:t>
      </w:r>
      <w:r w:rsidR="007C6BCF">
        <w:t xml:space="preserve">comes in four sizes (G4 NT, G4 XT, G4 NTW, G4 XTW). </w:t>
      </w:r>
      <w:r w:rsidR="009D6012">
        <w:t>The dimensions of these implant sizes are presented in</w:t>
      </w:r>
      <w:r w:rsidR="00836F80">
        <w:t xml:space="preserve"> </w:t>
      </w:r>
      <w:r w:rsidR="00A8579A">
        <w:fldChar w:fldCharType="begin"/>
      </w:r>
      <w:r w:rsidR="00A8579A">
        <w:instrText xml:space="preserve"> REF _Ref201746199 \h </w:instrText>
      </w:r>
      <w:r w:rsidR="00A8579A">
        <w:fldChar w:fldCharType="separate"/>
      </w:r>
      <w:r w:rsidR="00A8579A">
        <w:t xml:space="preserve">Table </w:t>
      </w:r>
      <w:r w:rsidR="00A8579A">
        <w:rPr>
          <w:noProof/>
        </w:rPr>
        <w:t>10</w:t>
      </w:r>
      <w:r w:rsidR="00A8579A">
        <w:fldChar w:fldCharType="end"/>
      </w:r>
      <w:r w:rsidR="00836F80">
        <w:t>.</w:t>
      </w:r>
    </w:p>
    <w:p w14:paraId="414C71ED" w14:textId="71A0867C" w:rsidR="00836F80" w:rsidRDefault="00836F80" w:rsidP="00836F80">
      <w:pPr>
        <w:pStyle w:val="Caption"/>
      </w:pPr>
      <w:bookmarkStart w:id="13" w:name="_Ref201746199"/>
      <w:r>
        <w:t xml:space="preserve">Table </w:t>
      </w:r>
      <w:r w:rsidR="003015CD">
        <w:fldChar w:fldCharType="begin"/>
      </w:r>
      <w:r w:rsidR="003015CD">
        <w:instrText xml:space="preserve"> SEQ Table \* ARABIC </w:instrText>
      </w:r>
      <w:r w:rsidR="003015CD">
        <w:fldChar w:fldCharType="separate"/>
      </w:r>
      <w:r w:rsidR="003015CD">
        <w:rPr>
          <w:noProof/>
        </w:rPr>
        <w:t>10</w:t>
      </w:r>
      <w:r w:rsidR="003015CD">
        <w:rPr>
          <w:noProof/>
        </w:rPr>
        <w:fldChar w:fldCharType="end"/>
      </w:r>
      <w:bookmarkEnd w:id="13"/>
      <w:r>
        <w:t xml:space="preserve"> TriClip G4 Implant Dimensions</w:t>
      </w:r>
    </w:p>
    <w:tbl>
      <w:tblPr>
        <w:tblStyle w:val="TableGrid"/>
        <w:tblW w:w="0" w:type="auto"/>
        <w:tblLook w:val="04A0" w:firstRow="1" w:lastRow="0" w:firstColumn="1" w:lastColumn="0" w:noHBand="0" w:noVBand="1"/>
      </w:tblPr>
      <w:tblGrid>
        <w:gridCol w:w="2972"/>
        <w:gridCol w:w="1623"/>
        <w:gridCol w:w="1623"/>
        <w:gridCol w:w="1623"/>
        <w:gridCol w:w="1624"/>
      </w:tblGrid>
      <w:tr w:rsidR="009D6012" w14:paraId="01A14A7B" w14:textId="77777777" w:rsidTr="00832F16">
        <w:tc>
          <w:tcPr>
            <w:tcW w:w="2972" w:type="dxa"/>
            <w:shd w:val="clear" w:color="auto" w:fill="D9D9D9" w:themeFill="background1" w:themeFillShade="D9"/>
          </w:tcPr>
          <w:p w14:paraId="38C134D7" w14:textId="5AA3FAE4" w:rsidR="009D6012" w:rsidRPr="00832F16" w:rsidRDefault="009D6012" w:rsidP="00563D24">
            <w:pPr>
              <w:pStyle w:val="Tabletext1"/>
              <w:rPr>
                <w:b/>
                <w:bCs/>
              </w:rPr>
            </w:pPr>
            <w:r w:rsidRPr="00832F16">
              <w:rPr>
                <w:b/>
                <w:bCs/>
              </w:rPr>
              <w:t>TriClip G4 Implant</w:t>
            </w:r>
          </w:p>
        </w:tc>
        <w:tc>
          <w:tcPr>
            <w:tcW w:w="1623" w:type="dxa"/>
            <w:shd w:val="clear" w:color="auto" w:fill="D9D9D9" w:themeFill="background1" w:themeFillShade="D9"/>
          </w:tcPr>
          <w:p w14:paraId="6714F2B8" w14:textId="2CA9E4A5" w:rsidR="009D6012" w:rsidRPr="00832F16" w:rsidRDefault="009D6012" w:rsidP="00563D24">
            <w:pPr>
              <w:pStyle w:val="Tabletext1"/>
              <w:rPr>
                <w:b/>
                <w:bCs/>
              </w:rPr>
            </w:pPr>
            <w:r w:rsidRPr="00832F16">
              <w:rPr>
                <w:b/>
                <w:bCs/>
              </w:rPr>
              <w:t>G4 NT</w:t>
            </w:r>
          </w:p>
        </w:tc>
        <w:tc>
          <w:tcPr>
            <w:tcW w:w="1623" w:type="dxa"/>
            <w:shd w:val="clear" w:color="auto" w:fill="D9D9D9" w:themeFill="background1" w:themeFillShade="D9"/>
          </w:tcPr>
          <w:p w14:paraId="29B07C26" w14:textId="324C37ED" w:rsidR="009D6012" w:rsidRPr="00832F16" w:rsidRDefault="009D6012" w:rsidP="00563D24">
            <w:pPr>
              <w:pStyle w:val="Tabletext1"/>
              <w:rPr>
                <w:b/>
                <w:bCs/>
              </w:rPr>
            </w:pPr>
            <w:r w:rsidRPr="00832F16">
              <w:rPr>
                <w:b/>
                <w:bCs/>
              </w:rPr>
              <w:t>G4 NTW</w:t>
            </w:r>
          </w:p>
        </w:tc>
        <w:tc>
          <w:tcPr>
            <w:tcW w:w="1623" w:type="dxa"/>
            <w:shd w:val="clear" w:color="auto" w:fill="D9D9D9" w:themeFill="background1" w:themeFillShade="D9"/>
          </w:tcPr>
          <w:p w14:paraId="72978895" w14:textId="2C4B8F99" w:rsidR="009D6012" w:rsidRPr="00832F16" w:rsidRDefault="009D6012" w:rsidP="00563D24">
            <w:pPr>
              <w:pStyle w:val="Tabletext1"/>
              <w:rPr>
                <w:b/>
                <w:bCs/>
              </w:rPr>
            </w:pPr>
            <w:r w:rsidRPr="00832F16">
              <w:rPr>
                <w:b/>
                <w:bCs/>
              </w:rPr>
              <w:t>G4 XT</w:t>
            </w:r>
          </w:p>
        </w:tc>
        <w:tc>
          <w:tcPr>
            <w:tcW w:w="1624" w:type="dxa"/>
            <w:shd w:val="clear" w:color="auto" w:fill="D9D9D9" w:themeFill="background1" w:themeFillShade="D9"/>
          </w:tcPr>
          <w:p w14:paraId="3A5FA09C" w14:textId="5F80E69D" w:rsidR="009D6012" w:rsidRPr="00832F16" w:rsidRDefault="009D6012" w:rsidP="00563D24">
            <w:pPr>
              <w:pStyle w:val="Tabletext1"/>
              <w:rPr>
                <w:b/>
                <w:bCs/>
              </w:rPr>
            </w:pPr>
            <w:r w:rsidRPr="00832F16">
              <w:rPr>
                <w:b/>
                <w:bCs/>
              </w:rPr>
              <w:t>G4 XTW</w:t>
            </w:r>
          </w:p>
        </w:tc>
      </w:tr>
      <w:tr w:rsidR="00637AAA" w14:paraId="2F19350C" w14:textId="77777777" w:rsidTr="00FA166B">
        <w:tc>
          <w:tcPr>
            <w:tcW w:w="2972" w:type="dxa"/>
          </w:tcPr>
          <w:p w14:paraId="23B300F1" w14:textId="2CC89C05" w:rsidR="00637AAA" w:rsidRDefault="00637AAA" w:rsidP="00563D24">
            <w:pPr>
              <w:pStyle w:val="Tabletext1"/>
            </w:pPr>
            <w:r>
              <w:t>Grasping Width at 120 degrees</w:t>
            </w:r>
          </w:p>
        </w:tc>
        <w:tc>
          <w:tcPr>
            <w:tcW w:w="3246" w:type="dxa"/>
            <w:gridSpan w:val="2"/>
          </w:tcPr>
          <w:p w14:paraId="69385844" w14:textId="045A1D1C" w:rsidR="00637AAA" w:rsidRDefault="00637AAA" w:rsidP="00563D24">
            <w:pPr>
              <w:pStyle w:val="Tabletext1"/>
            </w:pPr>
            <w:r>
              <w:t>17 mm minimum</w:t>
            </w:r>
          </w:p>
        </w:tc>
        <w:tc>
          <w:tcPr>
            <w:tcW w:w="3247" w:type="dxa"/>
            <w:gridSpan w:val="2"/>
          </w:tcPr>
          <w:p w14:paraId="3FFB848F" w14:textId="1D12140A" w:rsidR="00637AAA" w:rsidRDefault="00637AAA" w:rsidP="00563D24">
            <w:pPr>
              <w:pStyle w:val="Tabletext1"/>
            </w:pPr>
            <w:r>
              <w:t>22 mm minimum</w:t>
            </w:r>
          </w:p>
        </w:tc>
      </w:tr>
      <w:tr w:rsidR="00637AAA" w14:paraId="0BD0C147" w14:textId="77777777" w:rsidTr="00FA166B">
        <w:tc>
          <w:tcPr>
            <w:tcW w:w="2972" w:type="dxa"/>
          </w:tcPr>
          <w:p w14:paraId="7514D1B1" w14:textId="75E7A0CA" w:rsidR="00637AAA" w:rsidRDefault="00637AAA" w:rsidP="00563D24">
            <w:pPr>
              <w:pStyle w:val="Tabletext1"/>
            </w:pPr>
            <w:r>
              <w:t>Implant Width at 180 degrees</w:t>
            </w:r>
          </w:p>
        </w:tc>
        <w:tc>
          <w:tcPr>
            <w:tcW w:w="3246" w:type="dxa"/>
            <w:gridSpan w:val="2"/>
          </w:tcPr>
          <w:p w14:paraId="0F0B0460" w14:textId="33D7F997" w:rsidR="00637AAA" w:rsidRDefault="00637AAA" w:rsidP="00563D24">
            <w:pPr>
              <w:pStyle w:val="Tabletext1"/>
            </w:pPr>
            <w:r>
              <w:t>20 mm nominal</w:t>
            </w:r>
          </w:p>
        </w:tc>
        <w:tc>
          <w:tcPr>
            <w:tcW w:w="3247" w:type="dxa"/>
            <w:gridSpan w:val="2"/>
          </w:tcPr>
          <w:p w14:paraId="673F8B52" w14:textId="1B46A389" w:rsidR="00637AAA" w:rsidRDefault="00637AAA" w:rsidP="00563D24">
            <w:pPr>
              <w:pStyle w:val="Tabletext1"/>
            </w:pPr>
            <w:r>
              <w:t>25 mm nominal</w:t>
            </w:r>
          </w:p>
        </w:tc>
      </w:tr>
      <w:tr w:rsidR="009D6012" w14:paraId="4521B924" w14:textId="77777777" w:rsidTr="009D6012">
        <w:tc>
          <w:tcPr>
            <w:tcW w:w="2972" w:type="dxa"/>
          </w:tcPr>
          <w:p w14:paraId="62937744" w14:textId="634ADC99" w:rsidR="009D6012" w:rsidRDefault="00637AAA" w:rsidP="00563D24">
            <w:pPr>
              <w:pStyle w:val="Tabletext1"/>
            </w:pPr>
            <w:r>
              <w:t>Arm Width</w:t>
            </w:r>
          </w:p>
        </w:tc>
        <w:tc>
          <w:tcPr>
            <w:tcW w:w="1623" w:type="dxa"/>
          </w:tcPr>
          <w:p w14:paraId="4E534791" w14:textId="0F83116F" w:rsidR="009D6012" w:rsidRDefault="00637AAA" w:rsidP="00563D24">
            <w:pPr>
              <w:pStyle w:val="Tabletext1"/>
            </w:pPr>
            <w:r>
              <w:t>4 mm maximum</w:t>
            </w:r>
          </w:p>
        </w:tc>
        <w:tc>
          <w:tcPr>
            <w:tcW w:w="1623" w:type="dxa"/>
          </w:tcPr>
          <w:p w14:paraId="6BED53AC" w14:textId="19AEBF8E" w:rsidR="009D6012" w:rsidRDefault="00637AAA" w:rsidP="00563D24">
            <w:pPr>
              <w:pStyle w:val="Tabletext1"/>
            </w:pPr>
            <w:r>
              <w:t>6 mm maximum</w:t>
            </w:r>
          </w:p>
        </w:tc>
        <w:tc>
          <w:tcPr>
            <w:tcW w:w="1623" w:type="dxa"/>
          </w:tcPr>
          <w:p w14:paraId="0AAFF110" w14:textId="78956766" w:rsidR="009D6012" w:rsidRDefault="00832F16" w:rsidP="00563D24">
            <w:pPr>
              <w:pStyle w:val="Tabletext1"/>
            </w:pPr>
            <w:r>
              <w:t>4 mm maximum</w:t>
            </w:r>
          </w:p>
        </w:tc>
        <w:tc>
          <w:tcPr>
            <w:tcW w:w="1624" w:type="dxa"/>
          </w:tcPr>
          <w:p w14:paraId="1ABFA4CB" w14:textId="3AEC531F" w:rsidR="009D6012" w:rsidRDefault="00832F16" w:rsidP="00563D24">
            <w:pPr>
              <w:pStyle w:val="Tabletext1"/>
            </w:pPr>
            <w:r>
              <w:t>6 mm maximum</w:t>
            </w:r>
          </w:p>
        </w:tc>
      </w:tr>
      <w:tr w:rsidR="00832F16" w14:paraId="51C5E4C1" w14:textId="77777777" w:rsidTr="00FA166B">
        <w:tc>
          <w:tcPr>
            <w:tcW w:w="2972" w:type="dxa"/>
          </w:tcPr>
          <w:p w14:paraId="39C8792A" w14:textId="01DF9555" w:rsidR="00832F16" w:rsidRDefault="00832F16" w:rsidP="00563D24">
            <w:pPr>
              <w:pStyle w:val="Tabletext1"/>
            </w:pPr>
            <w:r>
              <w:t>Arm Length (Coaptation length)</w:t>
            </w:r>
          </w:p>
        </w:tc>
        <w:tc>
          <w:tcPr>
            <w:tcW w:w="3246" w:type="dxa"/>
            <w:gridSpan w:val="2"/>
          </w:tcPr>
          <w:p w14:paraId="6C6203BB" w14:textId="2C546D4C" w:rsidR="00832F16" w:rsidRPr="00832F16" w:rsidRDefault="00832F16" w:rsidP="00563D24">
            <w:pPr>
              <w:pStyle w:val="Tabletext1"/>
            </w:pPr>
            <w:r w:rsidRPr="00832F16">
              <w:t>9 mm maximum</w:t>
            </w:r>
          </w:p>
        </w:tc>
        <w:tc>
          <w:tcPr>
            <w:tcW w:w="3247" w:type="dxa"/>
            <w:gridSpan w:val="2"/>
          </w:tcPr>
          <w:p w14:paraId="3E796289" w14:textId="34A7168D" w:rsidR="00832F16" w:rsidRPr="00832F16" w:rsidRDefault="00832F16" w:rsidP="00563D24">
            <w:pPr>
              <w:pStyle w:val="Tabletext1"/>
            </w:pPr>
            <w:r w:rsidRPr="00832F16">
              <w:t>12 mm maximum</w:t>
            </w:r>
          </w:p>
        </w:tc>
      </w:tr>
    </w:tbl>
    <w:p w14:paraId="61A32AEF" w14:textId="0AA61C0E" w:rsidR="009D6012" w:rsidRPr="00A43FF0" w:rsidRDefault="00832F16" w:rsidP="00563D24">
      <w:pPr>
        <w:pStyle w:val="NoteHeading"/>
        <w:rPr>
          <w:rStyle w:val="CommentReference"/>
          <w:sz w:val="18"/>
          <w:szCs w:val="22"/>
        </w:rPr>
      </w:pPr>
      <w:r w:rsidRPr="00A43FF0">
        <w:rPr>
          <w:rStyle w:val="CommentReference"/>
          <w:sz w:val="18"/>
          <w:szCs w:val="22"/>
        </w:rPr>
        <w:t xml:space="preserve">Source: </w:t>
      </w:r>
      <w:r w:rsidR="00836F80" w:rsidRPr="00A43FF0">
        <w:rPr>
          <w:rStyle w:val="CommentReference"/>
          <w:sz w:val="18"/>
          <w:szCs w:val="22"/>
        </w:rPr>
        <w:t>TriClip G4 System Instructions for Use</w:t>
      </w:r>
      <w:r w:rsidR="002A0B34">
        <w:rPr>
          <w:rStyle w:val="CommentReference"/>
          <w:sz w:val="18"/>
          <w:szCs w:val="22"/>
        </w:rPr>
        <w:t xml:space="preserve"> (EL2143121 Rev. A)</w:t>
      </w:r>
      <w:r w:rsidR="00B103BA">
        <w:rPr>
          <w:rStyle w:val="CommentReference"/>
          <w:sz w:val="18"/>
          <w:szCs w:val="22"/>
        </w:rPr>
        <w:t xml:space="preserve"> pg. 2</w:t>
      </w:r>
    </w:p>
    <w:p w14:paraId="0060722B" w14:textId="77777777" w:rsidR="00563D24" w:rsidRDefault="00563D24" w:rsidP="00930FD5"/>
    <w:p w14:paraId="60410109" w14:textId="09D70480" w:rsidR="00D437AF" w:rsidRDefault="00884C39" w:rsidP="00327734">
      <w:pPr>
        <w:pStyle w:val="BodyText"/>
      </w:pPr>
      <w:r>
        <w:t xml:space="preserve">The TriClip G4 Implant grasps and coapts the tricuspid valve leaflets resulting in fixed approximation of the tricuspid leaflets through the cardiac cycle. The TriClip </w:t>
      </w:r>
      <w:r w:rsidR="003F4F94">
        <w:t>G4 is manufactured with metal alloys and polyester fabric (TriClip G4 Implant cover) that are commonly used in cardiovascular implants.</w:t>
      </w:r>
      <w:r w:rsidR="008C176F">
        <w:t xml:space="preserve"> The TriClip G4 Implant Arms can be adjusted to any position from fully opened, fully inverted and fully closed to allow the implant to grasp and approximate the leaflets of the tricuspid valve using controls on the Delivery Catheter Handle. The TriClip G4 Implant can be locked, unlocked and repeatedly opened and closed</w:t>
      </w:r>
      <w:r w:rsidR="00987BB4">
        <w:t>.</w:t>
      </w:r>
    </w:p>
    <w:p w14:paraId="1D4759E8" w14:textId="77777777" w:rsidR="00930FD5" w:rsidRDefault="00930FD5" w:rsidP="00930FD5"/>
    <w:p w14:paraId="15A74961" w14:textId="77777777" w:rsidR="00411A43" w:rsidRDefault="005F4300" w:rsidP="00C41C0E">
      <w:pPr>
        <w:pStyle w:val="BodyText"/>
      </w:pPr>
      <w:r w:rsidRPr="005F4300">
        <w:rPr>
          <w:noProof/>
        </w:rPr>
        <w:drawing>
          <wp:inline distT="0" distB="0" distL="0" distR="0" wp14:anchorId="6B4E9F2C" wp14:editId="774D545B">
            <wp:extent cx="4705350" cy="3375408"/>
            <wp:effectExtent l="0" t="0" r="0" b="0"/>
            <wp:docPr id="322432659" name="Picture 1" descr="A collage of images showing the TriClip G4 Implant fully closed and fully inverted, and at various stages between fully closed and fully i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432659" name="Picture 1" descr="A collage of images showing the TriClip G4 Implant fully closed and fully inverted, and at various stages between fully closed and fully inverted."/>
                    <pic:cNvPicPr/>
                  </pic:nvPicPr>
                  <pic:blipFill>
                    <a:blip r:embed="rId26"/>
                    <a:stretch>
                      <a:fillRect/>
                    </a:stretch>
                  </pic:blipFill>
                  <pic:spPr>
                    <a:xfrm>
                      <a:off x="0" y="0"/>
                      <a:ext cx="4708308" cy="3377530"/>
                    </a:xfrm>
                    <a:prstGeom prst="rect">
                      <a:avLst/>
                    </a:prstGeom>
                  </pic:spPr>
                </pic:pic>
              </a:graphicData>
            </a:graphic>
          </wp:inline>
        </w:drawing>
      </w:r>
    </w:p>
    <w:p w14:paraId="3E758A99" w14:textId="63645130" w:rsidR="005F4300" w:rsidRDefault="00411A43" w:rsidP="00411A43">
      <w:pPr>
        <w:pStyle w:val="Caption"/>
        <w:jc w:val="both"/>
      </w:pPr>
      <w:r>
        <w:t xml:space="preserve">Figure </w:t>
      </w:r>
      <w:r>
        <w:fldChar w:fldCharType="begin"/>
      </w:r>
      <w:r>
        <w:instrText xml:space="preserve"> SEQ Figure \* ARABIC </w:instrText>
      </w:r>
      <w:r>
        <w:fldChar w:fldCharType="separate"/>
      </w:r>
      <w:r w:rsidR="00A55944">
        <w:rPr>
          <w:noProof/>
        </w:rPr>
        <w:t>2</w:t>
      </w:r>
      <w:r>
        <w:rPr>
          <w:noProof/>
        </w:rPr>
        <w:fldChar w:fldCharType="end"/>
      </w:r>
      <w:r>
        <w:t xml:space="preserve"> TriClip G4 Implant positions</w:t>
      </w:r>
    </w:p>
    <w:p w14:paraId="3D2BCC0A" w14:textId="5022A685" w:rsidR="00411A43" w:rsidRPr="00845F4F" w:rsidRDefault="00411A43" w:rsidP="00A43FF0">
      <w:pPr>
        <w:pStyle w:val="NoteHeading"/>
      </w:pPr>
      <w:r w:rsidRPr="0012696D">
        <w:rPr>
          <w:rStyle w:val="CommentReference"/>
          <w:sz w:val="18"/>
          <w:szCs w:val="22"/>
        </w:rPr>
        <w:t>Source: TriClip G4 System Instructions for Use</w:t>
      </w:r>
      <w:r w:rsidR="002A0B34">
        <w:rPr>
          <w:rStyle w:val="CommentReference"/>
          <w:sz w:val="18"/>
          <w:szCs w:val="22"/>
        </w:rPr>
        <w:t xml:space="preserve"> (EL2143121 Rev. A)</w:t>
      </w:r>
      <w:r w:rsidR="00B103BA">
        <w:rPr>
          <w:rStyle w:val="CommentReference"/>
          <w:sz w:val="18"/>
          <w:szCs w:val="22"/>
        </w:rPr>
        <w:t xml:space="preserve"> Figure 7</w:t>
      </w:r>
    </w:p>
    <w:p w14:paraId="11D1A6AB" w14:textId="77777777" w:rsidR="00A43FF0" w:rsidRDefault="00A43FF0" w:rsidP="00930FD5"/>
    <w:p w14:paraId="7A0398D5" w14:textId="1966092F" w:rsidR="00987BB4" w:rsidRDefault="00987BB4" w:rsidP="00327734">
      <w:pPr>
        <w:pStyle w:val="BodyText"/>
      </w:pPr>
      <w:r>
        <w:t xml:space="preserve">The TriClip Steerable Guide Catheter is used to introduce the TriClip G4 Delivery System into the right side of the heart. The TriClip Steerable Guide Catheter is also used to position and orient the TriClip G4 Delivery System </w:t>
      </w:r>
      <w:r w:rsidR="00824A72">
        <w:t>to the appropriate location above the tricuspid valve. The Dilator is used for the introduction of the TriClip Steerable Guide Catheter into the femoral vein and right atrium.</w:t>
      </w:r>
    </w:p>
    <w:p w14:paraId="2B02244B" w14:textId="3416F9A3" w:rsidR="00D20E01" w:rsidRPr="00327734" w:rsidRDefault="004C7474" w:rsidP="00327734">
      <w:pPr>
        <w:pStyle w:val="BodyText"/>
        <w:rPr>
          <w:b/>
          <w:bCs/>
        </w:rPr>
      </w:pPr>
      <w:r w:rsidRPr="00327734">
        <w:rPr>
          <w:b/>
          <w:bCs/>
        </w:rPr>
        <w:t xml:space="preserve">Steps </w:t>
      </w:r>
    </w:p>
    <w:p w14:paraId="457A0E11" w14:textId="51F42842" w:rsidR="00381C1A" w:rsidRDefault="00B35925" w:rsidP="00327734">
      <w:pPr>
        <w:pStyle w:val="BodyText"/>
      </w:pPr>
      <w:r>
        <w:t xml:space="preserve">The device is </w:t>
      </w:r>
      <w:r w:rsidR="00C7365B">
        <w:t xml:space="preserve">delivered through </w:t>
      </w:r>
      <w:r w:rsidR="00710982">
        <w:t>the femoral vein</w:t>
      </w:r>
      <w:r w:rsidR="00C7365B">
        <w:t xml:space="preserve">. </w:t>
      </w:r>
      <w:r w:rsidR="003B2E78">
        <w:t>The patient is prepared for transfe</w:t>
      </w:r>
      <w:r w:rsidR="00710982">
        <w:t>moral catheterisation per institution’s standard practice, and the patient</w:t>
      </w:r>
      <w:r w:rsidR="00381C1A">
        <w:t xml:space="preserve"> is monitored using invasive haemodynamic monitoring techniques.</w:t>
      </w:r>
    </w:p>
    <w:p w14:paraId="6800913D" w14:textId="49983E5A" w:rsidR="00381C1A" w:rsidRPr="00375FD9" w:rsidRDefault="00381C1A" w:rsidP="00327734">
      <w:pPr>
        <w:pStyle w:val="BodyText"/>
      </w:pPr>
      <w:r>
        <w:t>All components of the device are sterilised, and all Catheter components are flushed and de-aired prior to the procedure.</w:t>
      </w:r>
    </w:p>
    <w:p w14:paraId="7FDEEE76" w14:textId="26670190" w:rsidR="008C6189" w:rsidRDefault="00D14E2A" w:rsidP="00327734">
      <w:pPr>
        <w:pStyle w:val="BodyText"/>
      </w:pPr>
      <w:r>
        <w:t>Steps to the procedure:</w:t>
      </w:r>
    </w:p>
    <w:p w14:paraId="01AB49B1" w14:textId="02688C7D" w:rsidR="00D14E2A" w:rsidRDefault="00D14E2A" w:rsidP="00D14E2A">
      <w:pPr>
        <w:pStyle w:val="ListParagraph"/>
        <w:numPr>
          <w:ilvl w:val="0"/>
          <w:numId w:val="11"/>
        </w:numPr>
      </w:pPr>
      <w:r w:rsidRPr="006A2222">
        <w:rPr>
          <w:b/>
          <w:bCs/>
        </w:rPr>
        <w:t>Access to the tricuspid valve:</w:t>
      </w:r>
      <w:r>
        <w:t xml:space="preserve"> </w:t>
      </w:r>
      <w:r w:rsidR="002C142A">
        <w:t xml:space="preserve">the Guide Catheter is </w:t>
      </w:r>
      <w:r w:rsidR="00BC0313">
        <w:t>extended through the femoral vein</w:t>
      </w:r>
      <w:r w:rsidR="002310C4">
        <w:t xml:space="preserve"> using a guidewire</w:t>
      </w:r>
      <w:r w:rsidR="00BC0313">
        <w:t>, to the superior vena cava from where it accesses the right atrium</w:t>
      </w:r>
      <w:r w:rsidR="003C0EA8">
        <w:t>.</w:t>
      </w:r>
      <w:r w:rsidR="001452D0">
        <w:t xml:space="preserve"> The Dilator </w:t>
      </w:r>
      <w:r w:rsidR="00BB7062">
        <w:t>is used to dilate the subcutaneous tissue and femoral vein to accommodate the Guide shaft.</w:t>
      </w:r>
    </w:p>
    <w:p w14:paraId="2BDA3125" w14:textId="360ABD7C" w:rsidR="006A2222" w:rsidRDefault="003C0EA8" w:rsidP="00D14E2A">
      <w:pPr>
        <w:pStyle w:val="ListParagraph"/>
        <w:numPr>
          <w:ilvl w:val="0"/>
          <w:numId w:val="11"/>
        </w:numPr>
      </w:pPr>
      <w:r w:rsidRPr="006A2222">
        <w:rPr>
          <w:b/>
          <w:bCs/>
        </w:rPr>
        <w:t>Steerable Guide Catheter insertion:</w:t>
      </w:r>
      <w:r>
        <w:t xml:space="preserve"> the Guide</w:t>
      </w:r>
      <w:r w:rsidR="001C2B91">
        <w:t>-Dilator assembly is advanced into the right atrium</w:t>
      </w:r>
      <w:r w:rsidR="000C7251">
        <w:t xml:space="preserve"> with </w:t>
      </w:r>
      <w:r w:rsidR="002310C4">
        <w:t>the</w:t>
      </w:r>
      <w:r w:rsidR="000C7251">
        <w:t xml:space="preserve"> guidewire</w:t>
      </w:r>
      <w:r w:rsidR="005B6C9D">
        <w:t xml:space="preserve">, and a Stabiliser is secured to the Guide. </w:t>
      </w:r>
      <w:r w:rsidR="00D42BDF">
        <w:t>Both the</w:t>
      </w:r>
      <w:r w:rsidR="005B6C9D">
        <w:t xml:space="preserve"> Dilator </w:t>
      </w:r>
      <w:r w:rsidR="00D42BDF">
        <w:t>and guidewire are</w:t>
      </w:r>
      <w:r w:rsidR="005B6C9D">
        <w:t xml:space="preserve"> retracted</w:t>
      </w:r>
      <w:r w:rsidR="00D42BDF">
        <w:t xml:space="preserve"> while gently aspirating the Guide using a 50-60 cc </w:t>
      </w:r>
      <w:r w:rsidR="006A2222">
        <w:t>syringe.</w:t>
      </w:r>
    </w:p>
    <w:p w14:paraId="43251B56" w14:textId="15000ABA" w:rsidR="003C0EA8" w:rsidRDefault="006A2222" w:rsidP="00D14E2A">
      <w:pPr>
        <w:pStyle w:val="ListParagraph"/>
        <w:numPr>
          <w:ilvl w:val="0"/>
          <w:numId w:val="11"/>
        </w:numPr>
      </w:pPr>
      <w:r w:rsidRPr="00B4363B">
        <w:rPr>
          <w:b/>
          <w:bCs/>
        </w:rPr>
        <w:t>TriClip G4 Delivery System insertion:</w:t>
      </w:r>
      <w:r>
        <w:t xml:space="preserve"> </w:t>
      </w:r>
      <w:r w:rsidR="00EA6A52">
        <w:t>The Delivery system</w:t>
      </w:r>
      <w:r w:rsidR="002D7624">
        <w:t xml:space="preserve"> is advanced through the Guide carefully under fluoroscopic guidance until the top of the Implant is even with the tip of the Guide.</w:t>
      </w:r>
      <w:r w:rsidR="00CC46BC">
        <w:t xml:space="preserve"> </w:t>
      </w:r>
      <w:r w:rsidR="002634D8">
        <w:t>Under echocardiographic and fluoroscopic guidance, the Delivery System is advanced</w:t>
      </w:r>
      <w:r w:rsidR="00A5536C">
        <w:t>, and the Guide is iteratively retracted whilst maintaining position in the Right Atrium</w:t>
      </w:r>
      <w:r w:rsidR="00295121">
        <w:t>.</w:t>
      </w:r>
    </w:p>
    <w:p w14:paraId="798EF8F3" w14:textId="7E890194" w:rsidR="00295121" w:rsidRDefault="00295121" w:rsidP="00D14E2A">
      <w:pPr>
        <w:pStyle w:val="ListParagraph"/>
        <w:numPr>
          <w:ilvl w:val="0"/>
          <w:numId w:val="11"/>
        </w:numPr>
      </w:pPr>
      <w:r w:rsidRPr="00B4363B">
        <w:rPr>
          <w:b/>
          <w:bCs/>
        </w:rPr>
        <w:t>Initial TriClip G4 System positioning in right atrium:</w:t>
      </w:r>
      <w:r>
        <w:t xml:space="preserve"> </w:t>
      </w:r>
      <w:r w:rsidR="00386104">
        <w:t>The system is positioned centrally over the val</w:t>
      </w:r>
      <w:r w:rsidR="00E73B7E">
        <w:t>v</w:t>
      </w:r>
      <w:r w:rsidR="00386104">
        <w:t xml:space="preserve">e and aligned so the Implant </w:t>
      </w:r>
      <w:r w:rsidR="0017041F">
        <w:t>Delivery Catheter</w:t>
      </w:r>
      <w:r w:rsidR="00386104">
        <w:t xml:space="preserve"> shaft is perpendicular to the plane of the tricuspid valve</w:t>
      </w:r>
      <w:r w:rsidR="00D60000">
        <w:t xml:space="preserve">, positioning the distal tip of the Implant above the leaflets. </w:t>
      </w:r>
      <w:r w:rsidR="00283932">
        <w:t xml:space="preserve">The Implant must be free from adjacent tissue. </w:t>
      </w:r>
    </w:p>
    <w:p w14:paraId="49AABF60" w14:textId="052E508B" w:rsidR="00283932" w:rsidRDefault="00283932" w:rsidP="00D14E2A">
      <w:pPr>
        <w:pStyle w:val="ListParagraph"/>
        <w:numPr>
          <w:ilvl w:val="0"/>
          <w:numId w:val="11"/>
        </w:numPr>
      </w:pPr>
      <w:r w:rsidRPr="00B4363B">
        <w:rPr>
          <w:b/>
          <w:bCs/>
        </w:rPr>
        <w:t>Final TriClip G4 System positioning:</w:t>
      </w:r>
      <w:r>
        <w:t xml:space="preserve"> </w:t>
      </w:r>
      <w:r w:rsidR="00F84897">
        <w:t>The Grippers are raised, the Implant arms are unlocked and opened to approximately 180 degrees, and the Implant is positioned so the distal tip of the Implant is above the leaflets and the Implant arms are perpendicular to the line of coaptation.</w:t>
      </w:r>
      <w:r w:rsidR="00B4363B">
        <w:t xml:space="preserve"> The Implant arms are then closed to approximately 60 degrees.</w:t>
      </w:r>
    </w:p>
    <w:p w14:paraId="59A10B35" w14:textId="4D18AEBB" w:rsidR="00B4363B" w:rsidRPr="00542CC9" w:rsidRDefault="00B4363B" w:rsidP="00D14E2A">
      <w:pPr>
        <w:pStyle w:val="ListParagraph"/>
        <w:numPr>
          <w:ilvl w:val="0"/>
          <w:numId w:val="11"/>
        </w:numPr>
        <w:rPr>
          <w:b/>
          <w:bCs/>
        </w:rPr>
      </w:pPr>
      <w:r w:rsidRPr="00B4363B">
        <w:rPr>
          <w:b/>
          <w:bCs/>
        </w:rPr>
        <w:t xml:space="preserve">Grasping the leaflets and verifying the grasp: </w:t>
      </w:r>
      <w:r w:rsidR="00E73B7E">
        <w:t xml:space="preserve">The </w:t>
      </w:r>
      <w:r w:rsidR="0017041F">
        <w:t>Delivery Catheter is advanced distally to position the Implant below the valve, and the Implant Arms are oriented perpendicul</w:t>
      </w:r>
      <w:r w:rsidR="005E546C">
        <w:t xml:space="preserve">ar to the line of coaptation. </w:t>
      </w:r>
      <w:r w:rsidR="00E52A5B">
        <w:t>The Implant arms are opened to the grasping arm angle</w:t>
      </w:r>
      <w:r w:rsidR="0019063F">
        <w:t xml:space="preserve"> of 120 degrees</w:t>
      </w:r>
      <w:r w:rsidR="00E52A5B">
        <w:t xml:space="preserve">, and the Delivery Catheter is retracted to grasp both leaflets. </w:t>
      </w:r>
      <w:r w:rsidR="00405637">
        <w:t>The Implant is closed to approximately 60 degrees and the Delivery Catheter Fastener is secured</w:t>
      </w:r>
      <w:r w:rsidR="006D35DE">
        <w:t>. Echocardiographic imaging</w:t>
      </w:r>
      <w:r w:rsidR="00204C9E">
        <w:t xml:space="preserve"> verifies insertion of both leaflets and satisfactory grasp by observation of leaflet immobilisation, single or multiple valve orifices, limited leaflet mobility relative to the tips of both Implant Arms, and adequate TR reduction.</w:t>
      </w:r>
    </w:p>
    <w:p w14:paraId="4DD29F7F" w14:textId="14D5287D" w:rsidR="00542CC9" w:rsidRPr="008040BE" w:rsidRDefault="00542CC9" w:rsidP="00D14E2A">
      <w:pPr>
        <w:pStyle w:val="ListParagraph"/>
        <w:numPr>
          <w:ilvl w:val="0"/>
          <w:numId w:val="11"/>
        </w:numPr>
        <w:rPr>
          <w:b/>
          <w:bCs/>
        </w:rPr>
      </w:pPr>
      <w:r>
        <w:rPr>
          <w:b/>
          <w:bCs/>
        </w:rPr>
        <w:t xml:space="preserve">Closing the TriClip G4 Implant and evaluating position: </w:t>
      </w:r>
      <w:r>
        <w:t>The Implant is locked and closed until the leaflets are coapted and TR is sufficiently reduced. It is noted that the Implant should maintain a distinct “V” shape. Echo</w:t>
      </w:r>
      <w:r w:rsidR="00677889">
        <w:t>cardiographic imaging is used to verify valve function, satisfactory coaptation, and insertion of both leaflets as above.</w:t>
      </w:r>
    </w:p>
    <w:p w14:paraId="62836E05" w14:textId="204953CE" w:rsidR="008040BE" w:rsidRPr="000D3070" w:rsidRDefault="000D3070" w:rsidP="00D14E2A">
      <w:pPr>
        <w:pStyle w:val="ListParagraph"/>
        <w:numPr>
          <w:ilvl w:val="0"/>
          <w:numId w:val="11"/>
        </w:numPr>
        <w:rPr>
          <w:b/>
          <w:bCs/>
        </w:rPr>
      </w:pPr>
      <w:r>
        <w:rPr>
          <w:b/>
          <w:bCs/>
        </w:rPr>
        <w:t xml:space="preserve">Implant assessment: </w:t>
      </w:r>
      <w:r>
        <w:t>The Implant angles are assessed and finalised.</w:t>
      </w:r>
    </w:p>
    <w:p w14:paraId="5F76E9ED" w14:textId="7CBB404D" w:rsidR="000D3070" w:rsidRPr="008836A4" w:rsidRDefault="0044468C" w:rsidP="00D14E2A">
      <w:pPr>
        <w:pStyle w:val="ListParagraph"/>
        <w:numPr>
          <w:ilvl w:val="0"/>
          <w:numId w:val="11"/>
        </w:numPr>
        <w:rPr>
          <w:b/>
          <w:bCs/>
        </w:rPr>
      </w:pPr>
      <w:r>
        <w:rPr>
          <w:b/>
          <w:bCs/>
        </w:rPr>
        <w:t xml:space="preserve">TriClip G4 Implant Deployment: </w:t>
      </w:r>
      <w:r w:rsidR="003B171F">
        <w:t>The Lo</w:t>
      </w:r>
      <w:r w:rsidR="00AA6CB1">
        <w:t xml:space="preserve">ck Line is removed, and the final arm angle is established so that Implant arms may open a maximum of 5 degrees </w:t>
      </w:r>
      <w:r w:rsidR="00FB2F16">
        <w:t>after which it remains in a stable position. The Delivery Catheter Shaft is detached</w:t>
      </w:r>
      <w:r w:rsidR="00BD2F56">
        <w:t xml:space="preserve"> ensuring that the Implant position remains stable. </w:t>
      </w:r>
    </w:p>
    <w:p w14:paraId="1B0AA6F4" w14:textId="5A6E4AF5" w:rsidR="008836A4" w:rsidRPr="00B4363B" w:rsidRDefault="004C57F5" w:rsidP="00D14E2A">
      <w:pPr>
        <w:pStyle w:val="ListParagraph"/>
        <w:numPr>
          <w:ilvl w:val="0"/>
          <w:numId w:val="11"/>
        </w:numPr>
        <w:rPr>
          <w:b/>
          <w:bCs/>
        </w:rPr>
      </w:pPr>
      <w:r>
        <w:rPr>
          <w:b/>
          <w:bCs/>
        </w:rPr>
        <w:t xml:space="preserve">TriClip G4 Delivery </w:t>
      </w:r>
      <w:r w:rsidR="008836A4">
        <w:rPr>
          <w:b/>
          <w:bCs/>
        </w:rPr>
        <w:t>System removal</w:t>
      </w:r>
      <w:r w:rsidR="00B82215">
        <w:rPr>
          <w:b/>
          <w:bCs/>
        </w:rPr>
        <w:t>.</w:t>
      </w:r>
      <w:r w:rsidR="00683735">
        <w:t xml:space="preserve"> </w:t>
      </w:r>
    </w:p>
    <w:p w14:paraId="48FDDDA8" w14:textId="77777777" w:rsidR="00375FD9" w:rsidRDefault="00375FD9" w:rsidP="00C41C0E">
      <w:pPr>
        <w:pStyle w:val="BodyText"/>
      </w:pPr>
    </w:p>
    <w:p w14:paraId="01111955" w14:textId="01AAB0CE" w:rsidR="00BE6B22" w:rsidRDefault="00665487" w:rsidP="00375FD9">
      <w:pPr>
        <w:pStyle w:val="Heading3"/>
      </w:pPr>
      <w:r w:rsidRPr="00B15CDF">
        <w:t>Identify how the proposed technology achieves the intended patient outcomes</w:t>
      </w:r>
      <w:r w:rsidR="00BE6B22">
        <w:t>:</w:t>
      </w:r>
    </w:p>
    <w:p w14:paraId="10294B6E" w14:textId="12A05C05" w:rsidR="00E52C75" w:rsidRDefault="00E52C75" w:rsidP="00554152">
      <w:pPr>
        <w:pStyle w:val="BodyText"/>
        <w:rPr>
          <w:b/>
          <w:bCs/>
        </w:rPr>
      </w:pPr>
      <w:r w:rsidRPr="00E52C75">
        <w:t xml:space="preserve">The TriClip device, used for </w:t>
      </w:r>
      <w:r w:rsidRPr="00601083">
        <w:t>TEER</w:t>
      </w:r>
      <w:r w:rsidRPr="00E52C75">
        <w:t xml:space="preserve">, works by clipping together the leaflets of the tricuspid valve to reduce or prevent backward blood flow (regurgitation) from the right ventricle to the right atrium. This edge-to-edge repair technique aims to improve the valve's ability to close properly, thus reducing the workload on the heart. By approximating the leaflets, the clip reduces the amount of blood that leaks backward during ventricular contraction, hence improves TR severity, which in turn has positive implications on mortality and quality of life of the patient. </w:t>
      </w:r>
    </w:p>
    <w:p w14:paraId="0F9D3230" w14:textId="292BFC46" w:rsidR="00BE6B22" w:rsidRPr="00665487" w:rsidRDefault="00665487" w:rsidP="00375FD9">
      <w:pPr>
        <w:pStyle w:val="Heading3"/>
      </w:pPr>
      <w:r w:rsidRPr="00B15CDF">
        <w:t>Does the proposed health technology include a registered trademark component with characteristics that distinguishes it from other similar health components</w:t>
      </w:r>
      <w:r w:rsidR="00BE6B22">
        <w:t>?</w:t>
      </w:r>
    </w:p>
    <w:p w14:paraId="6F3B5B06" w14:textId="3250A028" w:rsidR="00BE6B22" w:rsidRDefault="009F0DB1" w:rsidP="00C41C0E">
      <w:pPr>
        <w:pStyle w:val="BodyText"/>
        <w:rPr>
          <w:rFonts w:eastAsia="Segoe UI"/>
        </w:rPr>
      </w:pPr>
      <w:r>
        <w:rPr>
          <w:rFonts w:eastAsia="Segoe UI"/>
        </w:rPr>
        <w:t>Yes</w:t>
      </w:r>
    </w:p>
    <w:p w14:paraId="1D12A8E7" w14:textId="7C8A4546" w:rsidR="00B759D1" w:rsidRDefault="00665487" w:rsidP="00375FD9">
      <w:pPr>
        <w:pStyle w:val="Heading3"/>
      </w:pPr>
      <w:r w:rsidRPr="00B15CDF">
        <w:t>Explain whether it is essential to have this trademark component or whether there would be other components that would be suitable</w:t>
      </w:r>
      <w:r w:rsidR="00B759D1">
        <w:t>:</w:t>
      </w:r>
    </w:p>
    <w:p w14:paraId="77951498" w14:textId="444EEB1B" w:rsidR="00B759D1" w:rsidRDefault="00DD573F" w:rsidP="00C41C0E">
      <w:pPr>
        <w:pStyle w:val="BodyText"/>
        <w:rPr>
          <w:rFonts w:asciiTheme="minorHAnsi" w:eastAsia="Segoe UI" w:hAnsiTheme="minorHAnsi" w:cstheme="minorHAnsi"/>
          <w:color w:val="000000"/>
        </w:rPr>
      </w:pPr>
      <w:r>
        <w:t xml:space="preserve">Given </w:t>
      </w:r>
      <w:r w:rsidR="00FB797E">
        <w:t xml:space="preserve">the available </w:t>
      </w:r>
      <w:r w:rsidR="00A26D1C">
        <w:t xml:space="preserve">comparative evidence of TEER versus OMT is limited to the TriClip™ system, </w:t>
      </w:r>
      <w:r w:rsidR="003B505C">
        <w:t xml:space="preserve">and to date no RCT evidence exists for the PASCAL system, </w:t>
      </w:r>
      <w:r w:rsidR="00A26D1C">
        <w:t xml:space="preserve">it may be </w:t>
      </w:r>
      <w:r w:rsidR="00035384">
        <w:t>necessary to specify the TriC</w:t>
      </w:r>
      <w:r w:rsidR="008171B5">
        <w:t>lip™ device in</w:t>
      </w:r>
      <w:r w:rsidR="00C35783">
        <w:t xml:space="preserve"> the MBS item </w:t>
      </w:r>
      <w:r w:rsidR="008171B5">
        <w:t xml:space="preserve">descriptor, similar to the MitraClip™ device being </w:t>
      </w:r>
      <w:r w:rsidR="00410C0C">
        <w:t xml:space="preserve">included in the </w:t>
      </w:r>
      <w:r w:rsidR="003B505C">
        <w:t xml:space="preserve">item descriptor for the </w:t>
      </w:r>
      <w:r w:rsidR="00410C0C">
        <w:t>TMVr procedure for functional mitral regurgitation</w:t>
      </w:r>
      <w:r w:rsidR="003B505C">
        <w:t xml:space="preserve"> (MBS item 38463)</w:t>
      </w:r>
      <w:r w:rsidR="00410C0C">
        <w:t xml:space="preserve">. </w:t>
      </w:r>
    </w:p>
    <w:p w14:paraId="46AD8179" w14:textId="1D84DCC9" w:rsidR="00665487" w:rsidRDefault="00EA7B42" w:rsidP="00375FD9">
      <w:pPr>
        <w:pStyle w:val="Heading3"/>
      </w:pPr>
      <w:r w:rsidRPr="00B15CDF">
        <w:t>Are there any proposed limitations on the provision of the proposed health technology delivered to the patient (For example: accessibility, dosage, quantity, duration or frequency)</w:t>
      </w:r>
      <w:r>
        <w:t>:</w:t>
      </w:r>
      <w:r w:rsidR="00665487">
        <w:t xml:space="preserve"> </w:t>
      </w:r>
      <w:r w:rsidR="00665487" w:rsidRPr="00B63A61">
        <w:t xml:space="preserve">(please </w:t>
      </w:r>
      <w:r w:rsidR="00665487">
        <w:t>highlight</w:t>
      </w:r>
      <w:r w:rsidR="00665487" w:rsidRPr="00B63A61">
        <w:t xml:space="preserve"> your response)</w:t>
      </w:r>
    </w:p>
    <w:p w14:paraId="094CE936" w14:textId="3EEFFB0C" w:rsidR="00665487" w:rsidRPr="00DF2D79" w:rsidRDefault="00665487" w:rsidP="00C41C0E">
      <w:pPr>
        <w:pStyle w:val="BodyText"/>
        <w:rPr>
          <w:rFonts w:eastAsia="Segoe UI"/>
        </w:rPr>
      </w:pPr>
      <w:r w:rsidRPr="00DF2D79">
        <w:rPr>
          <w:rFonts w:eastAsia="Segoe UI"/>
        </w:rPr>
        <w:t>Yes</w:t>
      </w:r>
    </w:p>
    <w:p w14:paraId="71A9F719" w14:textId="30914161" w:rsidR="00665487" w:rsidRDefault="00EA7B42" w:rsidP="00375FD9">
      <w:pPr>
        <w:pStyle w:val="Heading3"/>
      </w:pPr>
      <w:r>
        <w:t>Provide details and explain</w:t>
      </w:r>
      <w:r w:rsidR="00665487">
        <w:t>:</w:t>
      </w:r>
    </w:p>
    <w:p w14:paraId="0EADA330" w14:textId="0E6D20EF" w:rsidR="006C26F2" w:rsidRDefault="006C26F2" w:rsidP="00C41C0E">
      <w:pPr>
        <w:pStyle w:val="BodyText"/>
        <w:rPr>
          <w:rFonts w:asciiTheme="minorHAnsi" w:eastAsia="Segoe UI" w:hAnsiTheme="minorHAnsi" w:cstheme="minorHAnsi"/>
          <w:color w:val="000000"/>
        </w:rPr>
      </w:pPr>
      <w:r w:rsidRPr="00042FB3">
        <w:t xml:space="preserve">The TEER procedure is performed exclusively at specialised cardiac centres by accredited heart specialists with expertise in structural heart interventions. Patients must meet defined eligibility criteria </w:t>
      </w:r>
      <w:r w:rsidR="00AD75A5">
        <w:t>stipulated in</w:t>
      </w:r>
      <w:r w:rsidRPr="00042FB3">
        <w:t xml:space="preserve"> the proposed MBS </w:t>
      </w:r>
      <w:r w:rsidR="00AD75A5">
        <w:t xml:space="preserve">item </w:t>
      </w:r>
      <w:r w:rsidRPr="00042FB3">
        <w:t>descriptor</w:t>
      </w:r>
      <w:r>
        <w:t xml:space="preserve">. </w:t>
      </w:r>
      <w:r w:rsidRPr="00BA0E58">
        <w:rPr>
          <w:lang w:val="en-AU"/>
        </w:rPr>
        <w:t xml:space="preserve"> To ensure </w:t>
      </w:r>
      <w:r w:rsidR="00AD75A5">
        <w:rPr>
          <w:lang w:val="en-AU"/>
        </w:rPr>
        <w:t>appropriate patient selection</w:t>
      </w:r>
      <w:r w:rsidRPr="00BA0E58">
        <w:rPr>
          <w:lang w:val="en-AU"/>
        </w:rPr>
        <w:t>, a multidisciplinary heart team</w:t>
      </w:r>
      <w:r>
        <w:rPr>
          <w:lang w:val="en-AU"/>
        </w:rPr>
        <w:t xml:space="preserve"> </w:t>
      </w:r>
      <w:r w:rsidRPr="00BA0E58">
        <w:rPr>
          <w:lang w:val="en-AU"/>
        </w:rPr>
        <w:t>must thoroughly assess each patient to determine their suitability for TEER.</w:t>
      </w:r>
    </w:p>
    <w:p w14:paraId="277ADD85" w14:textId="59994BEE" w:rsidR="006227EF" w:rsidRDefault="006227EF" w:rsidP="00375FD9">
      <w:pPr>
        <w:pStyle w:val="Heading3"/>
      </w:pPr>
      <w:r>
        <w:t>If applicable, advise which health professionals will be needed to provide the proposed health technology:</w:t>
      </w:r>
    </w:p>
    <w:p w14:paraId="3A68A637" w14:textId="77777777" w:rsidR="009A5F96" w:rsidRDefault="00DE4E91" w:rsidP="00C41C0E">
      <w:pPr>
        <w:pStyle w:val="BodyText"/>
      </w:pPr>
      <w:r w:rsidRPr="00DE4E91">
        <w:t xml:space="preserve">The TEER procedure </w:t>
      </w:r>
      <w:r>
        <w:t>will</w:t>
      </w:r>
      <w:r w:rsidRPr="00DE4E91">
        <w:t xml:space="preserve"> be primarily performed by appropriately trained interventional cardiologists or cardiothoracic surgeons. </w:t>
      </w:r>
    </w:p>
    <w:p w14:paraId="48A91AD2" w14:textId="7E98790B" w:rsidR="00DE4E91" w:rsidRPr="00DE4E91" w:rsidRDefault="00DE4E91" w:rsidP="00C41C0E">
      <w:pPr>
        <w:pStyle w:val="BodyText"/>
      </w:pPr>
      <w:r w:rsidRPr="00DE4E91">
        <w:t>Cardiac Imaging Specialist (e.g., Echocardiographer): Provides real-time imaging guidance. Anaesthetist: Provides sedation or general anaesthesia.</w:t>
      </w:r>
    </w:p>
    <w:p w14:paraId="1618878E" w14:textId="3213AAEC" w:rsidR="006227EF" w:rsidRDefault="006227EF" w:rsidP="00375FD9">
      <w:pPr>
        <w:pStyle w:val="Heading3"/>
      </w:pPr>
      <w:r w:rsidRPr="00BE0612">
        <w:t xml:space="preserve">If applicable, advise </w:t>
      </w:r>
      <w:r w:rsidR="00BE0612" w:rsidRPr="00BE0612">
        <w:t>whether delivery of the proposed health technology can be delegated to another</w:t>
      </w:r>
      <w:r w:rsidRPr="00BE0612">
        <w:t xml:space="preserve"> health professional:</w:t>
      </w:r>
    </w:p>
    <w:p w14:paraId="5A95FA3B" w14:textId="2A98CEF3" w:rsidR="00665487" w:rsidRPr="00F826A1" w:rsidRDefault="0038060C" w:rsidP="00C41C0E">
      <w:pPr>
        <w:pStyle w:val="BodyText"/>
        <w:rPr>
          <w:rFonts w:asciiTheme="minorHAnsi" w:eastAsia="Segoe UI" w:hAnsiTheme="minorHAnsi" w:cstheme="minorHAnsi"/>
          <w:color w:val="000000"/>
        </w:rPr>
      </w:pPr>
      <w:r>
        <w:t>No</w:t>
      </w:r>
    </w:p>
    <w:p w14:paraId="5E38BA3B" w14:textId="5598DC0C" w:rsidR="006227EF" w:rsidRDefault="006227EF" w:rsidP="00375FD9">
      <w:pPr>
        <w:pStyle w:val="Heading3"/>
      </w:pPr>
      <w:r w:rsidRPr="00BE0612">
        <w:t xml:space="preserve">If applicable, advise </w:t>
      </w:r>
      <w:r w:rsidR="00BE0612" w:rsidRPr="00BE0612">
        <w:t>if there are any limitations on which health professionals might provide a referral for</w:t>
      </w:r>
      <w:r w:rsidRPr="00BE0612">
        <w:t xml:space="preserve"> the proposed health technology:</w:t>
      </w:r>
    </w:p>
    <w:p w14:paraId="4E3FC467" w14:textId="0BD4C307" w:rsidR="006227EF" w:rsidRPr="00046CB9" w:rsidRDefault="00046CB9" w:rsidP="00C41C0E">
      <w:pPr>
        <w:pStyle w:val="BodyText"/>
      </w:pPr>
      <w:r w:rsidRPr="00046CB9">
        <w:t xml:space="preserve">Referral for TEER is typically initiated by the patient’s specialist, most often a cardiologist. Eligibility for TEER is determined by a </w:t>
      </w:r>
      <w:r w:rsidR="00D52E64">
        <w:t>MDHT</w:t>
      </w:r>
      <w:r w:rsidRPr="00046CB9">
        <w:t xml:space="preserve">, which must include at least an interventional cardiologist or cardiothoracic surgeon, </w:t>
      </w:r>
      <w:r w:rsidR="00713108">
        <w:t xml:space="preserve">and </w:t>
      </w:r>
      <w:r w:rsidR="00713108" w:rsidRPr="00713108">
        <w:t>a specialist or consultant physician</w:t>
      </w:r>
      <w:r w:rsidR="00713108">
        <w:t xml:space="preserve"> other than the</w:t>
      </w:r>
      <w:r w:rsidR="00147C6A">
        <w:t xml:space="preserve"> </w:t>
      </w:r>
      <w:r w:rsidR="00130082">
        <w:t>specialist performing the</w:t>
      </w:r>
      <w:r w:rsidRPr="00046CB9">
        <w:t xml:space="preserve"> procedure </w:t>
      </w:r>
      <w:r w:rsidR="00130082">
        <w:t>(e.</w:t>
      </w:r>
      <w:r w:rsidR="004656E5">
        <w:t xml:space="preserve">g., </w:t>
      </w:r>
      <w:r w:rsidR="00186410">
        <w:t>other than</w:t>
      </w:r>
      <w:r w:rsidRPr="00046CB9">
        <w:t xml:space="preserve"> interventional cardiologist or surgeon</w:t>
      </w:r>
      <w:r w:rsidR="006310E1">
        <w:t xml:space="preserve">). </w:t>
      </w:r>
    </w:p>
    <w:p w14:paraId="30AC00A8" w14:textId="2732ABB5" w:rsidR="00380C41" w:rsidRDefault="00380C41" w:rsidP="00375FD9">
      <w:pPr>
        <w:pStyle w:val="Heading3"/>
      </w:pPr>
      <w:r>
        <w:t xml:space="preserve">Is there specific training or qualifications required to provide or deliver the proposed service, and/or any accreditation requirements to support delivery of the health technology? </w:t>
      </w:r>
      <w:r w:rsidRPr="00B63A61">
        <w:t xml:space="preserve">(please </w:t>
      </w:r>
      <w:r>
        <w:t>highlight</w:t>
      </w:r>
      <w:r w:rsidRPr="00B63A61">
        <w:t xml:space="preserve"> your response)</w:t>
      </w:r>
    </w:p>
    <w:p w14:paraId="4E1F9F81" w14:textId="42BBBA0D" w:rsidR="00380C41" w:rsidRPr="00F826A1" w:rsidRDefault="00380C41" w:rsidP="00C41C0E">
      <w:pPr>
        <w:pStyle w:val="BodyText"/>
      </w:pPr>
      <w:r w:rsidRPr="00F826A1">
        <w:t>Yes</w:t>
      </w:r>
    </w:p>
    <w:p w14:paraId="2E36FC91" w14:textId="62325928" w:rsidR="00380C41" w:rsidRDefault="00380C41" w:rsidP="00375FD9">
      <w:pPr>
        <w:pStyle w:val="Heading3"/>
      </w:pPr>
      <w:r>
        <w:t>Provide details and explain:</w:t>
      </w:r>
    </w:p>
    <w:p w14:paraId="7E983158" w14:textId="6946367B" w:rsidR="00380C41" w:rsidRPr="0046746E" w:rsidRDefault="0046746E" w:rsidP="00C41C0E">
      <w:pPr>
        <w:pStyle w:val="BodyText"/>
      </w:pPr>
      <w:r w:rsidRPr="0046746E">
        <w:t>Interventional cardiologists must undergo specific training in transcatheter tricuspid valve repair, including proctoring and certification by Abbott. Hospitals must be accredited structural heart centres as per Cardiac Accreditation Criteria for other complex Structural Heart therapies (e.g.</w:t>
      </w:r>
      <w:r w:rsidR="00B10E7C">
        <w:t>,</w:t>
      </w:r>
      <w:r w:rsidRPr="0046746E">
        <w:t xml:space="preserve"> TAVI, MitraClip).</w:t>
      </w:r>
    </w:p>
    <w:p w14:paraId="40213484" w14:textId="51048A62" w:rsidR="00380C41" w:rsidRDefault="00BB494A" w:rsidP="00375FD9">
      <w:pPr>
        <w:pStyle w:val="Heading3"/>
      </w:pPr>
      <w:r>
        <w:t xml:space="preserve">Indicate the proposed setting(s) in which the proposed health technology will be delivered: </w:t>
      </w:r>
      <w:r w:rsidRPr="00B63A61">
        <w:t>(</w:t>
      </w:r>
      <w:r>
        <w:t>select all relevant settings</w:t>
      </w:r>
      <w:r w:rsidRPr="00B63A61">
        <w:t>)</w:t>
      </w:r>
    </w:p>
    <w:p w14:paraId="020AC503" w14:textId="1C0A9CCC" w:rsidR="00380C41" w:rsidRPr="00327734" w:rsidRDefault="00BB494A" w:rsidP="00E30E5A">
      <w:pPr>
        <w:pStyle w:val="BodyText"/>
        <w:numPr>
          <w:ilvl w:val="0"/>
          <w:numId w:val="34"/>
        </w:numPr>
      </w:pPr>
      <w:r w:rsidRPr="00327734">
        <w:t>Inpatient private hospital</w:t>
      </w:r>
    </w:p>
    <w:p w14:paraId="6E8C6D7D" w14:textId="016EE3F2" w:rsidR="00BB494A" w:rsidRPr="00327734" w:rsidRDefault="00BB494A" w:rsidP="00E30E5A">
      <w:pPr>
        <w:pStyle w:val="BodyText"/>
        <w:numPr>
          <w:ilvl w:val="0"/>
          <w:numId w:val="34"/>
        </w:numPr>
      </w:pPr>
      <w:r w:rsidRPr="00327734">
        <w:t xml:space="preserve">Inpatient public hospital </w:t>
      </w:r>
    </w:p>
    <w:p w14:paraId="0F836FFC" w14:textId="023025D1" w:rsidR="00C6266B" w:rsidRPr="00F826A1" w:rsidRDefault="00C6266B" w:rsidP="00C41C0E">
      <w:pPr>
        <w:pStyle w:val="BodyText"/>
        <w:rPr>
          <w:rStyle w:val="BodyTextChar"/>
        </w:rPr>
      </w:pPr>
      <w:r>
        <w:t xml:space="preserve">The proposed medical service can be provided at a </w:t>
      </w:r>
      <w:r w:rsidR="00F3686C">
        <w:t>public or private hospital as an inpatient procedure.</w:t>
      </w:r>
    </w:p>
    <w:p w14:paraId="2A1C0D0A" w14:textId="195A04E6" w:rsidR="002D7216" w:rsidRDefault="002D7216" w:rsidP="00375FD9">
      <w:pPr>
        <w:pStyle w:val="Heading3"/>
      </w:pPr>
      <w:r>
        <w:t xml:space="preserve">Is the proposed health technology intended to be entirely rendered inside Australia? </w:t>
      </w:r>
    </w:p>
    <w:p w14:paraId="0478F3B1" w14:textId="79470035" w:rsidR="002D7216" w:rsidRDefault="00D8497D" w:rsidP="00C41C0E">
      <w:pPr>
        <w:pStyle w:val="BodyText"/>
      </w:pPr>
      <w:r>
        <w:t>Yes</w:t>
      </w:r>
    </w:p>
    <w:p w14:paraId="2F297C95" w14:textId="518F319E" w:rsidR="002D7216" w:rsidRDefault="002D7216" w:rsidP="00375FD9">
      <w:pPr>
        <w:pStyle w:val="Heading3"/>
      </w:pPr>
      <w:r>
        <w:t>Please provide additional details on the proposed health technology to be rendered outside of Australia:</w:t>
      </w:r>
    </w:p>
    <w:p w14:paraId="6DEBAC21" w14:textId="7858EB2E" w:rsidR="002D7216" w:rsidRDefault="002F6C9C" w:rsidP="00C41C0E">
      <w:pPr>
        <w:pStyle w:val="BodyText"/>
      </w:pPr>
      <w:r>
        <w:t>N/A</w:t>
      </w:r>
    </w:p>
    <w:p w14:paraId="50B7B1F9" w14:textId="77777777" w:rsidR="00BE0612" w:rsidRDefault="00BE0612" w:rsidP="00375FD9"/>
    <w:p w14:paraId="5B9D9A2F" w14:textId="61DEB7C8" w:rsidR="00FE257E" w:rsidRDefault="00FE257E" w:rsidP="00375FD9">
      <w:pPr>
        <w:pStyle w:val="Heading1"/>
      </w:pPr>
      <w:r>
        <w:t>Comparator</w:t>
      </w:r>
    </w:p>
    <w:p w14:paraId="4F6ED005" w14:textId="5E2EFAA4" w:rsidR="0081038C" w:rsidRDefault="00FE257E" w:rsidP="0012696D">
      <w:pPr>
        <w:pStyle w:val="Heading3"/>
      </w:pPr>
      <w:r w:rsidRPr="00FE257E">
        <w:t>Nominate the appropriate comparator(s) for the proposed medical service (i.e. how is the proposed population currently managed in the absence of the proposed medical service being available in the Australian health care system). This includes identifying health care resources that are needed to be delivered at the same time as the comparator service</w:t>
      </w:r>
      <w:r>
        <w:t>:</w:t>
      </w:r>
    </w:p>
    <w:p w14:paraId="79AEA3BB" w14:textId="116025F9" w:rsidR="001C2AE6" w:rsidRDefault="005927C5" w:rsidP="00327734">
      <w:pPr>
        <w:pStyle w:val="BodyText"/>
      </w:pPr>
      <w:r>
        <w:t>The nominated comparator to TEER in the proposed population is c</w:t>
      </w:r>
      <w:r w:rsidR="0081038C">
        <w:t xml:space="preserve">ontinued </w:t>
      </w:r>
      <w:r w:rsidR="00360F47">
        <w:t>OMT</w:t>
      </w:r>
      <w:r w:rsidR="008F21A8">
        <w:t xml:space="preserve"> alone</w:t>
      </w:r>
      <w:r w:rsidR="00433F23">
        <w:t>.</w:t>
      </w:r>
      <w:r w:rsidR="00DD2BCC">
        <w:t xml:space="preserve"> </w:t>
      </w:r>
      <w:r w:rsidR="00723A8A">
        <w:t>T</w:t>
      </w:r>
      <w:r w:rsidR="00C95666">
        <w:t xml:space="preserve">he comparator </w:t>
      </w:r>
      <w:r w:rsidR="004A6D95">
        <w:t>to TEER in the pivotal study (</w:t>
      </w:r>
      <w:r w:rsidR="00550379">
        <w:t>TRILUMINATE</w:t>
      </w:r>
      <w:r w:rsidR="004A6D95">
        <w:t xml:space="preserve"> Pivotal) is OMT. </w:t>
      </w:r>
      <w:r w:rsidR="00E31CC1">
        <w:t xml:space="preserve">Whilst surgery is </w:t>
      </w:r>
      <w:r w:rsidR="00484BB1">
        <w:t xml:space="preserve">included in </w:t>
      </w:r>
      <w:r w:rsidR="00E31CC1">
        <w:t>guidelines, o</w:t>
      </w:r>
      <w:r w:rsidR="00D437DD">
        <w:t>nly selected</w:t>
      </w:r>
      <w:r w:rsidR="00D437DD" w:rsidRPr="002E2A52">
        <w:t xml:space="preserve"> patients are currently being offered surgical intervention, </w:t>
      </w:r>
      <w:r w:rsidR="00D437DD">
        <w:t>mainly</w:t>
      </w:r>
      <w:r w:rsidR="00D437DD" w:rsidRPr="002E2A52">
        <w:t xml:space="preserve"> due to high operative risk </w:t>
      </w:r>
      <w:r w:rsidR="00024A3C">
        <w:t>owing</w:t>
      </w:r>
      <w:r w:rsidR="00D437DD" w:rsidRPr="002E2A52">
        <w:t xml:space="preserve"> to </w:t>
      </w:r>
      <w:r w:rsidR="00024A3C">
        <w:t xml:space="preserve">a multitude of </w:t>
      </w:r>
      <w:r w:rsidR="00D437DD" w:rsidRPr="002E2A52">
        <w:t>comorbidities and late presentation or referral for intervention</w:t>
      </w:r>
      <w:r w:rsidR="00D437DD">
        <w:t xml:space="preserve"> (Latib</w:t>
      </w:r>
      <w:r w:rsidR="00E31CC1">
        <w:t xml:space="preserve"> 2018)</w:t>
      </w:r>
      <w:r w:rsidR="00D437DD" w:rsidRPr="002E2A52">
        <w:t>.</w:t>
      </w:r>
    </w:p>
    <w:p w14:paraId="2335D1C7" w14:textId="735276DD" w:rsidR="001C2AE6" w:rsidRDefault="0073650C" w:rsidP="00327734">
      <w:pPr>
        <w:pStyle w:val="BodyText"/>
      </w:pPr>
      <w:r>
        <w:t>As per t</w:t>
      </w:r>
      <w:r w:rsidR="00433F23">
        <w:t>he</w:t>
      </w:r>
      <w:r w:rsidR="00DD3BC9">
        <w:t xml:space="preserve"> ESC and AHA guidelines </w:t>
      </w:r>
      <w:r w:rsidR="00653BAD">
        <w:t xml:space="preserve">diuretics </w:t>
      </w:r>
      <w:r>
        <w:t xml:space="preserve">is the mainstay treatment </w:t>
      </w:r>
      <w:r w:rsidR="00CF415E">
        <w:t>for patients with TR in the presence of right heart failure</w:t>
      </w:r>
      <w:r w:rsidR="00C211DA">
        <w:t xml:space="preserve"> (Vahanian 2022; Otto 2021)</w:t>
      </w:r>
      <w:r w:rsidR="00CF415E">
        <w:t>.</w:t>
      </w:r>
      <w:r w:rsidR="002E001E">
        <w:t xml:space="preserve"> </w:t>
      </w:r>
    </w:p>
    <w:p w14:paraId="32CAF9DD" w14:textId="58F75420" w:rsidR="00F955CD" w:rsidRDefault="00D72DA2" w:rsidP="00327734">
      <w:pPr>
        <w:pStyle w:val="BodyText"/>
      </w:pPr>
      <w:r>
        <w:t xml:space="preserve">Other medical therapies are </w:t>
      </w:r>
      <w:r w:rsidR="002C188A">
        <w:t>tailored according to patients’ comorbidities. That is</w:t>
      </w:r>
      <w:r w:rsidR="00304A36">
        <w:t>,</w:t>
      </w:r>
      <w:r w:rsidR="002C188A">
        <w:t xml:space="preserve"> </w:t>
      </w:r>
      <w:r w:rsidR="000854CB">
        <w:t xml:space="preserve">patients with </w:t>
      </w:r>
      <w:r w:rsidR="00A86221">
        <w:t xml:space="preserve">signs and symptoms of right sided heart failure due to severe secondary TR, </w:t>
      </w:r>
      <w:r w:rsidR="00F31D5B">
        <w:t xml:space="preserve">may also </w:t>
      </w:r>
      <w:r w:rsidR="005700B5">
        <w:t>receive therapies to treat the primary cause of heart failure (such as pulmonary vasodilators</w:t>
      </w:r>
      <w:r w:rsidR="00A23D67">
        <w:t xml:space="preserve"> to reduce elevated pulmonary artery pressures, guideline directed management and therapy for </w:t>
      </w:r>
      <w:r w:rsidR="00A86221">
        <w:t>heart failure</w:t>
      </w:r>
      <w:r w:rsidR="000854CB">
        <w:t xml:space="preserve"> with reduced LVEF, or rhythm control for AF</w:t>
      </w:r>
      <w:r w:rsidR="00A86221">
        <w:t>) (Otto 2021)</w:t>
      </w:r>
      <w:r w:rsidR="000854CB">
        <w:t xml:space="preserve">. </w:t>
      </w:r>
      <w:r w:rsidR="00F07E65">
        <w:t xml:space="preserve">According to the ESC guidelines, </w:t>
      </w:r>
      <w:r w:rsidR="00F07E65" w:rsidRPr="00F07E65">
        <w:t>the addition of an aldosterone antagonist may be considered</w:t>
      </w:r>
      <w:r w:rsidR="00F07E65">
        <w:t xml:space="preserve"> to </w:t>
      </w:r>
      <w:r w:rsidR="00F07E65" w:rsidRPr="00F07E65">
        <w:t>counter</w:t>
      </w:r>
      <w:r w:rsidR="00F07E65">
        <w:t>act</w:t>
      </w:r>
      <w:r w:rsidR="00F07E65" w:rsidRPr="00F07E65">
        <w:t xml:space="preserve"> the activation of the renin-angiotensin-aldosterone system associated with hepatic congestion</w:t>
      </w:r>
      <w:r w:rsidR="00F07E65">
        <w:t xml:space="preserve">. The ESC guidelines also note </w:t>
      </w:r>
      <w:r w:rsidR="00F07E65" w:rsidRPr="0074397A">
        <w:t xml:space="preserve">rhythm control may help to </w:t>
      </w:r>
      <w:r w:rsidR="005D5CB8">
        <w:t>reduce TR</w:t>
      </w:r>
      <w:r w:rsidR="00F07E65" w:rsidRPr="0074397A">
        <w:t xml:space="preserve"> and</w:t>
      </w:r>
      <w:r w:rsidR="00F07E65">
        <w:t xml:space="preserve"> </w:t>
      </w:r>
      <w:r w:rsidR="00F07E65" w:rsidRPr="0074397A">
        <w:t>contain annular dilatation in patients with chronic AF</w:t>
      </w:r>
      <w:r w:rsidR="0000053D">
        <w:t>, although data are limited (Vahanian 202</w:t>
      </w:r>
      <w:r w:rsidR="00C211DA">
        <w:t>2</w:t>
      </w:r>
      <w:r w:rsidR="0000053D">
        <w:t>).</w:t>
      </w:r>
    </w:p>
    <w:p w14:paraId="2046B12A" w14:textId="1D73544F" w:rsidR="00463863" w:rsidRDefault="00463863" w:rsidP="00327734">
      <w:pPr>
        <w:pStyle w:val="BodyText"/>
      </w:pPr>
      <w:r>
        <w:t xml:space="preserve">The AHA 2020 </w:t>
      </w:r>
      <w:r w:rsidR="00C1664F">
        <w:t xml:space="preserve">guideline recommendations for medical therapy for TR is provided in </w:t>
      </w:r>
      <w:r w:rsidR="00C1664F">
        <w:fldChar w:fldCharType="begin"/>
      </w:r>
      <w:r w:rsidR="00C1664F">
        <w:instrText xml:space="preserve"> REF _Ref204008881 \h </w:instrText>
      </w:r>
      <w:r w:rsidR="00327734">
        <w:instrText xml:space="preserve"> \* MERGEFORMAT </w:instrText>
      </w:r>
      <w:r w:rsidR="00C1664F">
        <w:fldChar w:fldCharType="separate"/>
      </w:r>
      <w:r w:rsidR="00C1664F">
        <w:t xml:space="preserve">Table </w:t>
      </w:r>
      <w:r w:rsidR="002F38B7">
        <w:rPr>
          <w:noProof/>
        </w:rPr>
        <w:t>11</w:t>
      </w:r>
      <w:r w:rsidR="00C1664F">
        <w:fldChar w:fldCharType="end"/>
      </w:r>
      <w:r w:rsidR="00C1664F">
        <w:t>.</w:t>
      </w:r>
    </w:p>
    <w:p w14:paraId="647EC20A" w14:textId="437A216D" w:rsidR="009F2B2D" w:rsidRDefault="00B60FD3" w:rsidP="00B60FD3">
      <w:pPr>
        <w:pStyle w:val="Caption"/>
        <w:rPr>
          <w:rFonts w:eastAsia="Segoe UI"/>
        </w:rPr>
      </w:pPr>
      <w:bookmarkStart w:id="14" w:name="_Ref204008881"/>
      <w:r>
        <w:t xml:space="preserve">Table </w:t>
      </w:r>
      <w:r w:rsidR="003015CD">
        <w:fldChar w:fldCharType="begin"/>
      </w:r>
      <w:r w:rsidR="003015CD">
        <w:instrText xml:space="preserve"> SEQ Table \* ARABIC </w:instrText>
      </w:r>
      <w:r w:rsidR="003015CD">
        <w:fldChar w:fldCharType="separate"/>
      </w:r>
      <w:r w:rsidR="003015CD">
        <w:rPr>
          <w:noProof/>
        </w:rPr>
        <w:t>11</w:t>
      </w:r>
      <w:r w:rsidR="003015CD">
        <w:rPr>
          <w:noProof/>
        </w:rPr>
        <w:fldChar w:fldCharType="end"/>
      </w:r>
      <w:bookmarkEnd w:id="14"/>
      <w:r>
        <w:tab/>
      </w:r>
      <w:r w:rsidR="00515B97" w:rsidRPr="00E061F2">
        <w:t xml:space="preserve">AHA </w:t>
      </w:r>
      <w:r w:rsidR="00515B97" w:rsidRPr="000E5696">
        <w:t xml:space="preserve">2020 </w:t>
      </w:r>
      <w:r w:rsidR="00515B97">
        <w:t xml:space="preserve">guideline </w:t>
      </w:r>
      <w:r w:rsidR="00C1664F">
        <w:t>r</w:t>
      </w:r>
      <w:r w:rsidR="009F2B2D">
        <w:rPr>
          <w:rFonts w:eastAsia="Segoe UI"/>
        </w:rPr>
        <w:t xml:space="preserve">ecommendations </w:t>
      </w:r>
      <w:r w:rsidR="00E4299B">
        <w:rPr>
          <w:rFonts w:eastAsia="Segoe UI"/>
        </w:rPr>
        <w:t>for</w:t>
      </w:r>
      <w:r w:rsidR="009F2B2D">
        <w:rPr>
          <w:rFonts w:eastAsia="Segoe UI"/>
        </w:rPr>
        <w:t xml:space="preserve"> medical therapy </w:t>
      </w:r>
      <w:r w:rsidR="00E4299B">
        <w:rPr>
          <w:rFonts w:eastAsia="Segoe UI"/>
        </w:rPr>
        <w:t>for TR</w:t>
      </w:r>
    </w:p>
    <w:tbl>
      <w:tblPr>
        <w:tblStyle w:val="TableGrid"/>
        <w:tblW w:w="0" w:type="auto"/>
        <w:tblLook w:val="04A0" w:firstRow="1" w:lastRow="0" w:firstColumn="1" w:lastColumn="0" w:noHBand="0" w:noVBand="1"/>
      </w:tblPr>
      <w:tblGrid>
        <w:gridCol w:w="1555"/>
        <w:gridCol w:w="1417"/>
        <w:gridCol w:w="6493"/>
      </w:tblGrid>
      <w:tr w:rsidR="00E4299B" w:rsidRPr="00C211DA" w14:paraId="6024DAB6" w14:textId="77777777" w:rsidTr="0038436E">
        <w:tc>
          <w:tcPr>
            <w:tcW w:w="1555" w:type="dxa"/>
            <w:shd w:val="clear" w:color="auto" w:fill="D9D9D9" w:themeFill="background1" w:themeFillShade="D9"/>
          </w:tcPr>
          <w:p w14:paraId="48E552E3" w14:textId="1B68D735" w:rsidR="00E4299B" w:rsidRPr="00C211DA" w:rsidRDefault="00E4299B" w:rsidP="00C540F9">
            <w:pPr>
              <w:pStyle w:val="Tabletext1"/>
              <w:keepNext/>
              <w:rPr>
                <w:b/>
                <w:bCs/>
              </w:rPr>
            </w:pPr>
            <w:r w:rsidRPr="00C211DA">
              <w:rPr>
                <w:b/>
                <w:bCs/>
              </w:rPr>
              <w:t>COR</w:t>
            </w:r>
          </w:p>
        </w:tc>
        <w:tc>
          <w:tcPr>
            <w:tcW w:w="1417" w:type="dxa"/>
            <w:shd w:val="clear" w:color="auto" w:fill="D9D9D9" w:themeFill="background1" w:themeFillShade="D9"/>
          </w:tcPr>
          <w:p w14:paraId="20A9AEC0" w14:textId="618CE624" w:rsidR="00E4299B" w:rsidRPr="00C211DA" w:rsidRDefault="00E4299B" w:rsidP="00C540F9">
            <w:pPr>
              <w:pStyle w:val="Tabletext1"/>
              <w:keepNext/>
              <w:rPr>
                <w:b/>
                <w:bCs/>
              </w:rPr>
            </w:pPr>
            <w:r w:rsidRPr="00C211DA">
              <w:rPr>
                <w:b/>
                <w:bCs/>
              </w:rPr>
              <w:t>LOE</w:t>
            </w:r>
          </w:p>
        </w:tc>
        <w:tc>
          <w:tcPr>
            <w:tcW w:w="6493" w:type="dxa"/>
            <w:shd w:val="clear" w:color="auto" w:fill="D9D9D9" w:themeFill="background1" w:themeFillShade="D9"/>
          </w:tcPr>
          <w:p w14:paraId="28A1BEE3" w14:textId="237E6741" w:rsidR="00E4299B" w:rsidRPr="00C211DA" w:rsidRDefault="00E4299B" w:rsidP="00C540F9">
            <w:pPr>
              <w:pStyle w:val="Tabletext1"/>
              <w:keepNext/>
              <w:rPr>
                <w:b/>
                <w:bCs/>
              </w:rPr>
            </w:pPr>
            <w:r w:rsidRPr="00C211DA">
              <w:rPr>
                <w:b/>
                <w:bCs/>
              </w:rPr>
              <w:t>Recommendation</w:t>
            </w:r>
          </w:p>
        </w:tc>
      </w:tr>
      <w:tr w:rsidR="00E4299B" w14:paraId="26A2709D" w14:textId="77777777" w:rsidTr="00E74CB2">
        <w:tc>
          <w:tcPr>
            <w:tcW w:w="1555" w:type="dxa"/>
          </w:tcPr>
          <w:p w14:paraId="00E76691" w14:textId="3AC47477" w:rsidR="00E4299B" w:rsidRDefault="00E74CB2" w:rsidP="00C540F9">
            <w:pPr>
              <w:pStyle w:val="Tabletext1"/>
              <w:keepNext/>
            </w:pPr>
            <w:r>
              <w:t>2a</w:t>
            </w:r>
          </w:p>
        </w:tc>
        <w:tc>
          <w:tcPr>
            <w:tcW w:w="1417" w:type="dxa"/>
          </w:tcPr>
          <w:p w14:paraId="4856721C" w14:textId="2C9EDE12" w:rsidR="00E4299B" w:rsidRDefault="00E74CB2" w:rsidP="00C540F9">
            <w:pPr>
              <w:pStyle w:val="Tabletext1"/>
              <w:keepNext/>
            </w:pPr>
            <w:r>
              <w:t>C-EO</w:t>
            </w:r>
          </w:p>
        </w:tc>
        <w:tc>
          <w:tcPr>
            <w:tcW w:w="6493" w:type="dxa"/>
          </w:tcPr>
          <w:p w14:paraId="3764872C" w14:textId="49A7C036" w:rsidR="00E4299B" w:rsidRDefault="00C13469" w:rsidP="00C540F9">
            <w:pPr>
              <w:pStyle w:val="Tabletext1"/>
              <w:keepNext/>
            </w:pPr>
            <w:r>
              <w:t>In patients with signs and symptoms of right-sided HF attributable to severe TR (Stages C and D), diuretics can be useful.</w:t>
            </w:r>
          </w:p>
        </w:tc>
      </w:tr>
      <w:tr w:rsidR="00E4299B" w14:paraId="1EABFAD1" w14:textId="77777777" w:rsidTr="00E74CB2">
        <w:tc>
          <w:tcPr>
            <w:tcW w:w="1555" w:type="dxa"/>
          </w:tcPr>
          <w:p w14:paraId="40C6F168" w14:textId="1DC3F3EF" w:rsidR="00E4299B" w:rsidRDefault="00E74CB2" w:rsidP="00C540F9">
            <w:pPr>
              <w:pStyle w:val="Tabletext1"/>
              <w:keepNext/>
            </w:pPr>
            <w:r>
              <w:t>2a</w:t>
            </w:r>
          </w:p>
        </w:tc>
        <w:tc>
          <w:tcPr>
            <w:tcW w:w="1417" w:type="dxa"/>
          </w:tcPr>
          <w:p w14:paraId="2B27E95E" w14:textId="5D2BA499" w:rsidR="00E4299B" w:rsidRDefault="00E74CB2" w:rsidP="00C540F9">
            <w:pPr>
              <w:pStyle w:val="Tabletext1"/>
              <w:keepNext/>
            </w:pPr>
            <w:r>
              <w:t>C-EO</w:t>
            </w:r>
          </w:p>
        </w:tc>
        <w:tc>
          <w:tcPr>
            <w:tcW w:w="6493" w:type="dxa"/>
          </w:tcPr>
          <w:p w14:paraId="353072AC" w14:textId="3FB4B2FD" w:rsidR="00E4299B" w:rsidRDefault="006458C2" w:rsidP="00C540F9">
            <w:pPr>
              <w:pStyle w:val="Tabletext1"/>
              <w:keepNext/>
            </w:pPr>
            <w:r>
              <w:t>In patients with signs and symptoms of right-sided HF attributable to severe secondary TR (Stages C and D), therapies to treat the primary cause of HF (eg, pulmonary vasodilators to reduce elevated pulmonary artery pressures, GDMT for HF with reduced LVEF, or rhythm control of AF) can be useful.</w:t>
            </w:r>
          </w:p>
        </w:tc>
      </w:tr>
    </w:tbl>
    <w:p w14:paraId="0D69617F" w14:textId="77777777" w:rsidR="00880FC9" w:rsidRDefault="00880FC9" w:rsidP="00C540F9">
      <w:pPr>
        <w:pStyle w:val="NoteHeading"/>
        <w:keepNext/>
      </w:pPr>
      <w:r>
        <w:t xml:space="preserve">Abbreviations: </w:t>
      </w:r>
      <w:r w:rsidR="00881FF8">
        <w:rPr>
          <w:rFonts w:eastAsia="Segoe UI"/>
        </w:rPr>
        <w:t>AF, atrial fibrillation</w:t>
      </w:r>
      <w:r w:rsidR="00B17AF2">
        <w:rPr>
          <w:rFonts w:eastAsia="Segoe UI"/>
        </w:rPr>
        <w:t xml:space="preserve">; </w:t>
      </w:r>
      <w:r w:rsidR="006458C2">
        <w:rPr>
          <w:rFonts w:eastAsia="Segoe UI"/>
        </w:rPr>
        <w:t xml:space="preserve">GDMT, </w:t>
      </w:r>
      <w:r w:rsidR="006070FF">
        <w:rPr>
          <w:rFonts w:eastAsia="Segoe UI"/>
        </w:rPr>
        <w:t xml:space="preserve">guideline directed management and therapy; </w:t>
      </w:r>
      <w:r w:rsidR="00BE512C">
        <w:rPr>
          <w:rFonts w:eastAsia="Segoe UI"/>
        </w:rPr>
        <w:t>HF, heart failure; LVEF, left ventricular ejection fraction</w:t>
      </w:r>
    </w:p>
    <w:p w14:paraId="25C0F333" w14:textId="0821A2A6" w:rsidR="00E4299B" w:rsidRDefault="00E4299B" w:rsidP="00C540F9">
      <w:pPr>
        <w:pStyle w:val="NoteHeading"/>
        <w:keepNext/>
        <w:rPr>
          <w:rFonts w:eastAsia="Segoe UI"/>
        </w:rPr>
      </w:pPr>
      <w:r>
        <w:rPr>
          <w:rFonts w:eastAsia="Segoe UI"/>
        </w:rPr>
        <w:t>Source</w:t>
      </w:r>
      <w:r w:rsidR="00515B97">
        <w:rPr>
          <w:rFonts w:eastAsia="Segoe UI"/>
        </w:rPr>
        <w:t xml:space="preserve">: </w:t>
      </w:r>
      <w:r w:rsidR="00515B97" w:rsidRPr="000E5696">
        <w:t xml:space="preserve">Otto </w:t>
      </w:r>
      <w:r w:rsidR="00515B97">
        <w:t>(</w:t>
      </w:r>
      <w:r w:rsidR="00515B97" w:rsidRPr="000E5696">
        <w:t>202</w:t>
      </w:r>
      <w:r w:rsidR="00515B97">
        <w:t>1) Section 8.2.2</w:t>
      </w:r>
    </w:p>
    <w:p w14:paraId="47B88084" w14:textId="77777777" w:rsidR="0074397A" w:rsidRDefault="0074397A" w:rsidP="00623BE1">
      <w:pPr>
        <w:pStyle w:val="BodyText"/>
        <w:rPr>
          <w:rFonts w:eastAsia="Segoe UI"/>
        </w:rPr>
      </w:pPr>
    </w:p>
    <w:p w14:paraId="3E3431F7" w14:textId="5F954AA9" w:rsidR="00FE257E" w:rsidRDefault="00955904" w:rsidP="00375FD9">
      <w:pPr>
        <w:pStyle w:val="Heading3"/>
      </w:pPr>
      <w:r>
        <w:t>List any existing MBS item numbers that are relevant for the nominated comparators</w:t>
      </w:r>
      <w:r w:rsidR="000627EF">
        <w:t>:</w:t>
      </w:r>
      <w:r w:rsidR="00FE257E">
        <w:t xml:space="preserve"> </w:t>
      </w:r>
    </w:p>
    <w:p w14:paraId="3AFCB345" w14:textId="75837603" w:rsidR="00955904" w:rsidRPr="00BE6B22" w:rsidRDefault="007524A0" w:rsidP="00C41C0E">
      <w:pPr>
        <w:pStyle w:val="BodyText"/>
        <w:rPr>
          <w:rFonts w:asciiTheme="minorHAnsi" w:eastAsia="Segoe UI" w:hAnsiTheme="minorHAnsi" w:cstheme="minorHAnsi"/>
          <w:color w:val="000000"/>
        </w:rPr>
      </w:pPr>
      <w:r>
        <w:t>None.</w:t>
      </w:r>
    </w:p>
    <w:p w14:paraId="24FC375A" w14:textId="16C38F6E" w:rsidR="00FE257E" w:rsidRDefault="005B5A58" w:rsidP="00375FD9">
      <w:pPr>
        <w:pStyle w:val="Heading3"/>
      </w:pPr>
      <w:r>
        <w:t>Please provide a rationale for why this is a comparator</w:t>
      </w:r>
      <w:r w:rsidR="000627EF">
        <w:t>:</w:t>
      </w:r>
    </w:p>
    <w:p w14:paraId="575D705C" w14:textId="67C34A87" w:rsidR="001C2AE6" w:rsidRDefault="00FB3B64" w:rsidP="00327734">
      <w:pPr>
        <w:pStyle w:val="BodyText"/>
      </w:pPr>
      <w:r>
        <w:t>OMT is the mainstay treatment of the proposed patient</w:t>
      </w:r>
      <w:r w:rsidR="00723A8A">
        <w:t>s</w:t>
      </w:r>
      <w:r>
        <w:t xml:space="preserve"> </w:t>
      </w:r>
      <w:r w:rsidR="00723A8A" w:rsidRPr="00AC153D">
        <w:t xml:space="preserve">with severe, symptomatic TR </w:t>
      </w:r>
      <w:r w:rsidR="00723A8A">
        <w:t xml:space="preserve">given </w:t>
      </w:r>
      <w:r w:rsidR="00723A8A" w:rsidRPr="00433F23">
        <w:t xml:space="preserve">open heart surgery would be an unsafe or unacceptable option for the majority of </w:t>
      </w:r>
      <w:r w:rsidR="00723A8A">
        <w:t xml:space="preserve">these </w:t>
      </w:r>
      <w:r w:rsidR="00723A8A" w:rsidRPr="00433F23">
        <w:t>patients</w:t>
      </w:r>
      <w:r w:rsidR="00723A8A">
        <w:t>.</w:t>
      </w:r>
      <w:r w:rsidR="002E2A52">
        <w:t xml:space="preserve"> </w:t>
      </w:r>
    </w:p>
    <w:p w14:paraId="4C984885" w14:textId="29F42866" w:rsidR="00723A8A" w:rsidRPr="00716CD8" w:rsidRDefault="00723A8A" w:rsidP="00327734">
      <w:pPr>
        <w:pStyle w:val="BodyText"/>
      </w:pPr>
      <w:r>
        <w:t>OMT was similarl</w:t>
      </w:r>
      <w:r w:rsidR="00796797">
        <w:t>y the comparator to TTV replacement as per the Ratified PICO for Application 1799</w:t>
      </w:r>
      <w:r w:rsidR="00FF0EDB">
        <w:t xml:space="preserve">. </w:t>
      </w:r>
      <w:r w:rsidR="00C47F9C">
        <w:t xml:space="preserve">Given this </w:t>
      </w:r>
      <w:r>
        <w:t xml:space="preserve">application seeking listing on the MBS for TTV </w:t>
      </w:r>
      <w:r w:rsidRPr="000749BD">
        <w:t>replacement</w:t>
      </w:r>
      <w:r>
        <w:t xml:space="preserve"> is currently going through the MSAC process, TTV replacement could potentially be a near to market comparator to TEER. However, as per the Ratified PICO, </w:t>
      </w:r>
      <w:r>
        <w:rPr>
          <w:i/>
          <w:iCs/>
        </w:rPr>
        <w:t>“</w:t>
      </w:r>
      <w:r w:rsidRPr="00EA14E5">
        <w:rPr>
          <w:i/>
          <w:iCs/>
        </w:rPr>
        <w:t>PASC agreed that TTV repair is not an appropriate comparator because it was unlikely to be replaced in clinical practice, having only recently been adopted in Australia. Additionally, PASC noted advice from the applicant’s clinical experts that the anatomy and pathology of patients who would undergo TTV repair differ from those who would receive TTVR</w:t>
      </w:r>
      <w:r>
        <w:rPr>
          <w:i/>
          <w:iCs/>
        </w:rPr>
        <w:t xml:space="preserve">” </w:t>
      </w:r>
      <w:r w:rsidRPr="00AA12A7">
        <w:t>(1799 PICO)</w:t>
      </w:r>
      <w:r w:rsidRPr="00EA14E5">
        <w:rPr>
          <w:i/>
          <w:iCs/>
        </w:rPr>
        <w:t>.</w:t>
      </w:r>
      <w:r>
        <w:t xml:space="preserve"> To this end, TTV replacement is not nominated as a near to market comparator. </w:t>
      </w:r>
    </w:p>
    <w:p w14:paraId="3BE3CF30" w14:textId="2D7AAF5E" w:rsidR="005B5A58" w:rsidRDefault="005B5A58" w:rsidP="00375FD9">
      <w:pPr>
        <w:pStyle w:val="Heading3"/>
      </w:pPr>
      <w:r>
        <w:t xml:space="preserve">Pattern of substitution – Will the proposed health technology wholly replace the proposed comparator, partially replace </w:t>
      </w:r>
      <w:r w:rsidR="000627EF">
        <w:t>the proposed comparator, displace the proposed comparator or be used in combination with the proposed comparator?</w:t>
      </w:r>
      <w:r w:rsidR="00DB2D53">
        <w:t xml:space="preserve"> </w:t>
      </w:r>
    </w:p>
    <w:p w14:paraId="32AA0FD6" w14:textId="719803EC" w:rsidR="000627EF" w:rsidRDefault="000627EF" w:rsidP="00E30E5A">
      <w:pPr>
        <w:pStyle w:val="BodyText"/>
      </w:pPr>
      <w:r w:rsidRPr="000627EF">
        <w:t xml:space="preserve">None – used with the comparator </w:t>
      </w:r>
    </w:p>
    <w:p w14:paraId="5565CDF0" w14:textId="0BCDE2AD" w:rsidR="000627EF" w:rsidRDefault="000627EF" w:rsidP="00375FD9">
      <w:pPr>
        <w:pStyle w:val="Heading3"/>
      </w:pPr>
      <w:r>
        <w:t>Please outline and explain the extent to which the current comparator is expected to be substituted:</w:t>
      </w:r>
    </w:p>
    <w:p w14:paraId="6549A5AD" w14:textId="74B6B2AF" w:rsidR="000627EF" w:rsidRDefault="004B09CA" w:rsidP="00C41C0E">
      <w:pPr>
        <w:pStyle w:val="BodyText"/>
        <w:rPr>
          <w:rFonts w:eastAsia="Segoe UI"/>
        </w:rPr>
      </w:pPr>
      <w:r>
        <w:t xml:space="preserve">The </w:t>
      </w:r>
      <w:r w:rsidR="002012D7">
        <w:t>proposed intervention, TEER, will be used alongside the comparator OMT</w:t>
      </w:r>
      <w:r w:rsidR="008A1231">
        <w:t xml:space="preserve">. </w:t>
      </w:r>
      <w:r w:rsidR="00EF6024">
        <w:t>S</w:t>
      </w:r>
      <w:r w:rsidR="008A1231">
        <w:t xml:space="preserve">ome patients may be able to </w:t>
      </w:r>
      <w:r w:rsidR="00EF6024">
        <w:t>reduce the dose or intensity of the OMT regimen after TE</w:t>
      </w:r>
      <w:r w:rsidR="001E4090">
        <w:t>ER</w:t>
      </w:r>
      <w:r w:rsidR="00EF6024">
        <w:t>.</w:t>
      </w:r>
      <w:r w:rsidR="00D53A68">
        <w:t xml:space="preserve"> </w:t>
      </w:r>
    </w:p>
    <w:p w14:paraId="119D6DF0" w14:textId="77777777" w:rsidR="00360F47" w:rsidRDefault="00360F47" w:rsidP="00375FD9">
      <w:pPr>
        <w:rPr>
          <w:rFonts w:eastAsia="Segoe UI"/>
          <w:sz w:val="32"/>
          <w:szCs w:val="32"/>
        </w:rPr>
      </w:pPr>
      <w:r>
        <w:br w:type="page"/>
      </w:r>
    </w:p>
    <w:p w14:paraId="68475C50" w14:textId="7581DA37" w:rsidR="0016065A" w:rsidRDefault="0016065A" w:rsidP="00375FD9">
      <w:pPr>
        <w:pStyle w:val="Heading1"/>
      </w:pPr>
      <w:r>
        <w:t>Outcome</w:t>
      </w:r>
      <w:r w:rsidR="00770FA6">
        <w:t>s</w:t>
      </w:r>
    </w:p>
    <w:p w14:paraId="11303CD6" w14:textId="56A66B62" w:rsidR="004C02B7" w:rsidRDefault="004C02B7" w:rsidP="00375FD9">
      <w:pPr>
        <w:pStyle w:val="Heading3"/>
      </w:pPr>
      <w:r>
        <w:t>List the key health outcomes (major and minor – prioritising major key health outcomes first) that will need to be measured in assessing the clinical claim for the proposed medical service/technology (versus the comparator):</w:t>
      </w:r>
      <w:r w:rsidR="00DB2D53">
        <w:t xml:space="preserve"> </w:t>
      </w:r>
    </w:p>
    <w:p w14:paraId="2BA09AC5" w14:textId="6CD42B6F" w:rsidR="004C02B7" w:rsidRPr="000627EF" w:rsidRDefault="004C02B7" w:rsidP="00E30E5A">
      <w:pPr>
        <w:pStyle w:val="BodyText"/>
        <w:numPr>
          <w:ilvl w:val="0"/>
          <w:numId w:val="34"/>
        </w:numPr>
      </w:pPr>
      <w:r>
        <w:t>Health benefits</w:t>
      </w:r>
      <w:r w:rsidRPr="000627EF">
        <w:t xml:space="preserve"> </w:t>
      </w:r>
    </w:p>
    <w:p w14:paraId="4B5E35E8" w14:textId="3DF579E9" w:rsidR="004C02B7" w:rsidRPr="000627EF" w:rsidRDefault="004C02B7" w:rsidP="00E30E5A">
      <w:pPr>
        <w:pStyle w:val="BodyText"/>
        <w:numPr>
          <w:ilvl w:val="0"/>
          <w:numId w:val="34"/>
        </w:numPr>
      </w:pPr>
      <w:r>
        <w:t>Health harms</w:t>
      </w:r>
    </w:p>
    <w:p w14:paraId="7846E3EA" w14:textId="3BBDA1AC" w:rsidR="004C02B7" w:rsidRPr="000627EF" w:rsidRDefault="004C02B7" w:rsidP="00E30E5A">
      <w:pPr>
        <w:pStyle w:val="BodyText"/>
        <w:numPr>
          <w:ilvl w:val="0"/>
          <w:numId w:val="34"/>
        </w:numPr>
      </w:pPr>
      <w:r w:rsidRPr="007B7361">
        <w:t>Resources</w:t>
      </w:r>
      <w:r w:rsidRPr="000627EF">
        <w:t xml:space="preserve"> </w:t>
      </w:r>
    </w:p>
    <w:tbl>
      <w:tblPr>
        <w:tblStyle w:val="TableGrid"/>
        <w:tblW w:w="0" w:type="auto"/>
        <w:tblLook w:val="04A0" w:firstRow="1" w:lastRow="0" w:firstColumn="1" w:lastColumn="0" w:noHBand="0" w:noVBand="1"/>
      </w:tblPr>
      <w:tblGrid>
        <w:gridCol w:w="1265"/>
        <w:gridCol w:w="7661"/>
      </w:tblGrid>
      <w:tr w:rsidR="00542EEB" w:rsidRPr="00D15A0F" w14:paraId="300DA0A4" w14:textId="77777777" w:rsidTr="0038436E">
        <w:tc>
          <w:tcPr>
            <w:tcW w:w="1265" w:type="dxa"/>
            <w:tcBorders>
              <w:bottom w:val="single" w:sz="4" w:space="0" w:color="auto"/>
            </w:tcBorders>
            <w:shd w:val="clear" w:color="auto" w:fill="D9D9D9" w:themeFill="background1" w:themeFillShade="D9"/>
          </w:tcPr>
          <w:p w14:paraId="55537302" w14:textId="77777777" w:rsidR="00542EEB" w:rsidRPr="00D15A0F" w:rsidRDefault="00542EEB" w:rsidP="00880FC9">
            <w:pPr>
              <w:pStyle w:val="Tabletext1"/>
              <w:rPr>
                <w:b/>
                <w:bCs/>
              </w:rPr>
            </w:pPr>
            <w:r w:rsidRPr="00D15A0F">
              <w:rPr>
                <w:b/>
                <w:bCs/>
              </w:rPr>
              <w:t>Type</w:t>
            </w:r>
          </w:p>
        </w:tc>
        <w:tc>
          <w:tcPr>
            <w:tcW w:w="7661" w:type="dxa"/>
            <w:shd w:val="clear" w:color="auto" w:fill="D9D9D9" w:themeFill="background1" w:themeFillShade="D9"/>
          </w:tcPr>
          <w:p w14:paraId="7D70064A" w14:textId="7475158E" w:rsidR="00542EEB" w:rsidRPr="00D15A0F" w:rsidRDefault="00542EEB" w:rsidP="00880FC9">
            <w:pPr>
              <w:pStyle w:val="Tabletext1"/>
              <w:rPr>
                <w:b/>
                <w:bCs/>
              </w:rPr>
            </w:pPr>
            <w:r w:rsidRPr="00D15A0F">
              <w:rPr>
                <w:b/>
                <w:bCs/>
              </w:rPr>
              <w:t>Outcome</w:t>
            </w:r>
          </w:p>
        </w:tc>
      </w:tr>
      <w:tr w:rsidR="00542EEB" w14:paraId="0FBF394E" w14:textId="77777777" w:rsidTr="00200E59">
        <w:tc>
          <w:tcPr>
            <w:tcW w:w="1265" w:type="dxa"/>
            <w:tcBorders>
              <w:bottom w:val="nil"/>
            </w:tcBorders>
          </w:tcPr>
          <w:p w14:paraId="15D88A59" w14:textId="77777777" w:rsidR="00542EEB" w:rsidRPr="00537CFD" w:rsidRDefault="00542EEB" w:rsidP="00880FC9">
            <w:pPr>
              <w:pStyle w:val="Tabletext1"/>
            </w:pPr>
            <w:r>
              <w:t>Health benefit</w:t>
            </w:r>
          </w:p>
        </w:tc>
        <w:tc>
          <w:tcPr>
            <w:tcW w:w="7661" w:type="dxa"/>
          </w:tcPr>
          <w:p w14:paraId="08F7BAC5" w14:textId="77777777" w:rsidR="00542EEB" w:rsidRDefault="00542EEB" w:rsidP="00880FC9">
            <w:pPr>
              <w:pStyle w:val="Tabletext1"/>
            </w:pPr>
            <w:r>
              <w:t xml:space="preserve">Hierarchical composite primary outcome </w:t>
            </w:r>
            <w:r w:rsidRPr="00B97B21">
              <w:t>that included</w:t>
            </w:r>
            <w:r>
              <w:t>:</w:t>
            </w:r>
          </w:p>
          <w:p w14:paraId="14DF8D2B" w14:textId="77777777" w:rsidR="00542EEB" w:rsidRPr="0066295D" w:rsidRDefault="00542EEB" w:rsidP="00880FC9">
            <w:pPr>
              <w:pStyle w:val="Tabletext1"/>
              <w:numPr>
                <w:ilvl w:val="0"/>
                <w:numId w:val="27"/>
              </w:numPr>
              <w:ind w:left="471"/>
            </w:pPr>
            <w:r w:rsidRPr="00B97B21">
              <w:t xml:space="preserve">death from any cause or tricuspid valve-surgery; </w:t>
            </w:r>
          </w:p>
          <w:p w14:paraId="6D6ED0BB" w14:textId="77777777" w:rsidR="00542EEB" w:rsidRPr="0066295D" w:rsidRDefault="00542EEB" w:rsidP="00880FC9">
            <w:pPr>
              <w:pStyle w:val="Tabletext1"/>
              <w:numPr>
                <w:ilvl w:val="0"/>
                <w:numId w:val="27"/>
              </w:numPr>
              <w:ind w:left="471"/>
            </w:pPr>
            <w:r w:rsidRPr="00B97B21">
              <w:t xml:space="preserve">hospitalisation for heart failure; and </w:t>
            </w:r>
          </w:p>
          <w:p w14:paraId="664A1FBD" w14:textId="77777777" w:rsidR="00542EEB" w:rsidRDefault="00542EEB" w:rsidP="00880FC9">
            <w:pPr>
              <w:pStyle w:val="Tabletext1"/>
              <w:numPr>
                <w:ilvl w:val="0"/>
                <w:numId w:val="27"/>
              </w:numPr>
              <w:ind w:left="471"/>
            </w:pPr>
            <w:r w:rsidRPr="00B97B21">
              <w:t>an improvement in quality of life defined as a ≥15 point increase in the KCCQ</w:t>
            </w:r>
            <w:r>
              <w:t>.</w:t>
            </w:r>
          </w:p>
          <w:p w14:paraId="500ABE0C" w14:textId="5DB3DE14" w:rsidR="00542EEB" w:rsidRPr="00E42227" w:rsidRDefault="00542EEB" w:rsidP="00880FC9">
            <w:pPr>
              <w:pStyle w:val="Tabletext1"/>
            </w:pPr>
            <w:r>
              <w:t>A</w:t>
            </w:r>
            <w:r w:rsidRPr="0066295D">
              <w:t>ssessed at 1 year</w:t>
            </w:r>
          </w:p>
        </w:tc>
      </w:tr>
      <w:tr w:rsidR="00542EEB" w14:paraId="7973C634" w14:textId="77777777" w:rsidTr="00200E59">
        <w:tc>
          <w:tcPr>
            <w:tcW w:w="1265" w:type="dxa"/>
            <w:tcBorders>
              <w:top w:val="nil"/>
              <w:bottom w:val="nil"/>
            </w:tcBorders>
          </w:tcPr>
          <w:p w14:paraId="4B3C3EB2" w14:textId="3CF9A589" w:rsidR="00542EEB" w:rsidRDefault="00542EEB" w:rsidP="00880FC9">
            <w:pPr>
              <w:pStyle w:val="Tabletext1"/>
            </w:pPr>
          </w:p>
        </w:tc>
        <w:tc>
          <w:tcPr>
            <w:tcW w:w="7661" w:type="dxa"/>
          </w:tcPr>
          <w:p w14:paraId="613E0E86" w14:textId="0504C036" w:rsidR="00542EEB" w:rsidRDefault="00542EEB" w:rsidP="00880FC9">
            <w:pPr>
              <w:pStyle w:val="Tabletext1"/>
            </w:pPr>
            <w:r>
              <w:t>Mortality (all cause, cardiovascular)</w:t>
            </w:r>
          </w:p>
        </w:tc>
      </w:tr>
      <w:tr w:rsidR="00542EEB" w14:paraId="0E55175C" w14:textId="77777777" w:rsidTr="00200E59">
        <w:tc>
          <w:tcPr>
            <w:tcW w:w="1265" w:type="dxa"/>
            <w:tcBorders>
              <w:top w:val="nil"/>
              <w:bottom w:val="nil"/>
            </w:tcBorders>
          </w:tcPr>
          <w:p w14:paraId="65177C93" w14:textId="5050529C" w:rsidR="00542EEB" w:rsidRDefault="00542EEB" w:rsidP="00880FC9">
            <w:pPr>
              <w:pStyle w:val="Tabletext1"/>
            </w:pPr>
          </w:p>
        </w:tc>
        <w:tc>
          <w:tcPr>
            <w:tcW w:w="7661" w:type="dxa"/>
          </w:tcPr>
          <w:p w14:paraId="5112F7A8" w14:textId="77777777" w:rsidR="00542EEB" w:rsidRDefault="00542EEB" w:rsidP="00880FC9">
            <w:pPr>
              <w:pStyle w:val="Tabletext1"/>
            </w:pPr>
            <w:r>
              <w:t>Change in TR severity (severe, massive or torrential)</w:t>
            </w:r>
          </w:p>
        </w:tc>
      </w:tr>
      <w:tr w:rsidR="00542EEB" w14:paraId="252945F8" w14:textId="77777777" w:rsidTr="00200E59">
        <w:tc>
          <w:tcPr>
            <w:tcW w:w="1265" w:type="dxa"/>
            <w:tcBorders>
              <w:top w:val="nil"/>
              <w:bottom w:val="nil"/>
            </w:tcBorders>
          </w:tcPr>
          <w:p w14:paraId="43684976" w14:textId="347DFC58" w:rsidR="00542EEB" w:rsidRDefault="00542EEB" w:rsidP="00880FC9">
            <w:pPr>
              <w:pStyle w:val="Tabletext1"/>
            </w:pPr>
          </w:p>
        </w:tc>
        <w:tc>
          <w:tcPr>
            <w:tcW w:w="7661" w:type="dxa"/>
          </w:tcPr>
          <w:p w14:paraId="12D70372" w14:textId="3DC9AB12" w:rsidR="00542EEB" w:rsidRDefault="00542EEB" w:rsidP="00880FC9">
            <w:pPr>
              <w:pStyle w:val="Tabletext1"/>
            </w:pPr>
            <w:r>
              <w:t>Quality of life assessed via c</w:t>
            </w:r>
            <w:r w:rsidRPr="00815855">
              <w:t>hange</w:t>
            </w:r>
            <w:r>
              <w:t xml:space="preserve"> in KCCQ score</w:t>
            </w:r>
            <w:r w:rsidR="00464224">
              <w:t xml:space="preserve"> and other measures</w:t>
            </w:r>
          </w:p>
        </w:tc>
      </w:tr>
      <w:tr w:rsidR="00542EEB" w14:paraId="040EFA6D" w14:textId="77777777" w:rsidTr="00200E59">
        <w:tc>
          <w:tcPr>
            <w:tcW w:w="1265" w:type="dxa"/>
            <w:tcBorders>
              <w:top w:val="nil"/>
              <w:bottom w:val="nil"/>
            </w:tcBorders>
          </w:tcPr>
          <w:p w14:paraId="5AB0A086" w14:textId="6046955B" w:rsidR="00542EEB" w:rsidRDefault="00542EEB" w:rsidP="00880FC9">
            <w:pPr>
              <w:pStyle w:val="Tabletext1"/>
            </w:pPr>
          </w:p>
        </w:tc>
        <w:tc>
          <w:tcPr>
            <w:tcW w:w="7661" w:type="dxa"/>
          </w:tcPr>
          <w:p w14:paraId="450B0A53" w14:textId="509D7122" w:rsidR="00542EEB" w:rsidRDefault="00542EEB" w:rsidP="00880FC9">
            <w:pPr>
              <w:pStyle w:val="Tabletext1"/>
            </w:pPr>
            <w:r>
              <w:t>Heart failure hospitalisation</w:t>
            </w:r>
          </w:p>
        </w:tc>
      </w:tr>
      <w:tr w:rsidR="00542EEB" w14:paraId="1B611A81" w14:textId="77777777" w:rsidTr="00200E59">
        <w:tc>
          <w:tcPr>
            <w:tcW w:w="1265" w:type="dxa"/>
            <w:tcBorders>
              <w:top w:val="nil"/>
              <w:bottom w:val="nil"/>
            </w:tcBorders>
          </w:tcPr>
          <w:p w14:paraId="2864E962" w14:textId="0EDCB8A6" w:rsidR="00542EEB" w:rsidRDefault="00542EEB" w:rsidP="00880FC9">
            <w:pPr>
              <w:pStyle w:val="Tabletext1"/>
            </w:pPr>
          </w:p>
        </w:tc>
        <w:tc>
          <w:tcPr>
            <w:tcW w:w="7661" w:type="dxa"/>
          </w:tcPr>
          <w:p w14:paraId="425A2A65" w14:textId="533671CF" w:rsidR="00542EEB" w:rsidRDefault="00542EEB" w:rsidP="00880FC9">
            <w:pPr>
              <w:pStyle w:val="Tabletext1"/>
            </w:pPr>
            <w:r>
              <w:t>Health status (NYHA functional class and 6-minute walk distance</w:t>
            </w:r>
            <w:r w:rsidR="00146A43">
              <w:t>)</w:t>
            </w:r>
          </w:p>
        </w:tc>
      </w:tr>
      <w:tr w:rsidR="00542EEB" w14:paraId="4B382AD8" w14:textId="77777777" w:rsidTr="00200E59">
        <w:tc>
          <w:tcPr>
            <w:tcW w:w="1265" w:type="dxa"/>
            <w:tcBorders>
              <w:top w:val="nil"/>
              <w:bottom w:val="single" w:sz="4" w:space="0" w:color="auto"/>
            </w:tcBorders>
          </w:tcPr>
          <w:p w14:paraId="7E5DD06A" w14:textId="44A4840F" w:rsidR="00542EEB" w:rsidRDefault="00542EEB" w:rsidP="00880FC9">
            <w:pPr>
              <w:pStyle w:val="Tabletext1"/>
            </w:pPr>
          </w:p>
        </w:tc>
        <w:tc>
          <w:tcPr>
            <w:tcW w:w="7661" w:type="dxa"/>
          </w:tcPr>
          <w:p w14:paraId="7011734F" w14:textId="599B088F" w:rsidR="00542EEB" w:rsidRDefault="00542EEB" w:rsidP="00880FC9">
            <w:pPr>
              <w:pStyle w:val="Tabletext1"/>
            </w:pPr>
            <w:r>
              <w:t>Change in medical therapy (dose, frequency, type)</w:t>
            </w:r>
          </w:p>
        </w:tc>
      </w:tr>
      <w:tr w:rsidR="00542EEB" w14:paraId="5C1C48FD" w14:textId="77777777" w:rsidTr="00200E59">
        <w:tc>
          <w:tcPr>
            <w:tcW w:w="1265" w:type="dxa"/>
            <w:tcBorders>
              <w:bottom w:val="nil"/>
            </w:tcBorders>
          </w:tcPr>
          <w:p w14:paraId="43BDC5F0" w14:textId="77777777" w:rsidR="00542EEB" w:rsidRDefault="004D736C" w:rsidP="00880FC9">
            <w:pPr>
              <w:pStyle w:val="Tabletext1"/>
            </w:pPr>
            <w:r>
              <w:t>Health harm</w:t>
            </w:r>
          </w:p>
        </w:tc>
        <w:tc>
          <w:tcPr>
            <w:tcW w:w="7661" w:type="dxa"/>
          </w:tcPr>
          <w:p w14:paraId="04E970D4" w14:textId="77777777" w:rsidR="00542EEB" w:rsidRDefault="00542EEB" w:rsidP="00880FC9">
            <w:pPr>
              <w:pStyle w:val="Tabletext1"/>
            </w:pPr>
            <w:r>
              <w:t>Freedom from major adverse events within 30 days (TEER group only). Defined as:</w:t>
            </w:r>
          </w:p>
          <w:p w14:paraId="068290E0" w14:textId="77777777" w:rsidR="00542EEB" w:rsidRDefault="00542EEB" w:rsidP="00880FC9">
            <w:pPr>
              <w:pStyle w:val="Tabletext1"/>
              <w:numPr>
                <w:ilvl w:val="0"/>
                <w:numId w:val="28"/>
              </w:numPr>
              <w:ind w:left="471"/>
            </w:pPr>
            <w:r>
              <w:t xml:space="preserve">death from cardiovascular causes, </w:t>
            </w:r>
          </w:p>
          <w:p w14:paraId="5B6A2ECA" w14:textId="77777777" w:rsidR="00542EEB" w:rsidRDefault="00542EEB" w:rsidP="00880FC9">
            <w:pPr>
              <w:pStyle w:val="Tabletext1"/>
              <w:numPr>
                <w:ilvl w:val="0"/>
                <w:numId w:val="28"/>
              </w:numPr>
              <w:ind w:left="471"/>
            </w:pPr>
            <w:r>
              <w:t xml:space="preserve">new-onset kidney failure, </w:t>
            </w:r>
          </w:p>
          <w:p w14:paraId="625F5B6E" w14:textId="2694AEF0" w:rsidR="00542EEB" w:rsidRDefault="00542EEB" w:rsidP="00880FC9">
            <w:pPr>
              <w:pStyle w:val="Tabletext1"/>
              <w:numPr>
                <w:ilvl w:val="0"/>
                <w:numId w:val="28"/>
              </w:numPr>
              <w:ind w:left="471"/>
            </w:pPr>
            <w:r>
              <w:t>endocarditis treated with surgery, and nonelective cardiovascular surgery for a TriClip device–related adverse event</w:t>
            </w:r>
          </w:p>
        </w:tc>
      </w:tr>
      <w:tr w:rsidR="00542EEB" w14:paraId="646959F1" w14:textId="77777777" w:rsidTr="00200E59">
        <w:tc>
          <w:tcPr>
            <w:tcW w:w="1265" w:type="dxa"/>
            <w:tcBorders>
              <w:top w:val="nil"/>
              <w:bottom w:val="nil"/>
            </w:tcBorders>
          </w:tcPr>
          <w:p w14:paraId="477F988B" w14:textId="6C5B6208" w:rsidR="00542EEB" w:rsidRDefault="00542EEB" w:rsidP="00880FC9">
            <w:pPr>
              <w:pStyle w:val="Tabletext1"/>
            </w:pPr>
          </w:p>
        </w:tc>
        <w:tc>
          <w:tcPr>
            <w:tcW w:w="7661" w:type="dxa"/>
          </w:tcPr>
          <w:p w14:paraId="050BE12B" w14:textId="5DE0FAC4" w:rsidR="00542EEB" w:rsidRDefault="00542EEB" w:rsidP="00880FC9">
            <w:pPr>
              <w:pStyle w:val="Tabletext1"/>
            </w:pPr>
            <w:r>
              <w:t>Procedural complications</w:t>
            </w:r>
          </w:p>
        </w:tc>
      </w:tr>
      <w:tr w:rsidR="00542EEB" w14:paraId="36E99E13" w14:textId="77777777" w:rsidTr="00200E59">
        <w:tc>
          <w:tcPr>
            <w:tcW w:w="1265" w:type="dxa"/>
            <w:tcBorders>
              <w:top w:val="nil"/>
              <w:bottom w:val="nil"/>
            </w:tcBorders>
          </w:tcPr>
          <w:p w14:paraId="4BF2B283" w14:textId="2F92CEC9" w:rsidR="00542EEB" w:rsidRDefault="00542EEB" w:rsidP="00880FC9">
            <w:pPr>
              <w:pStyle w:val="Tabletext1"/>
            </w:pPr>
          </w:p>
        </w:tc>
        <w:tc>
          <w:tcPr>
            <w:tcW w:w="7661" w:type="dxa"/>
          </w:tcPr>
          <w:p w14:paraId="38B72C66" w14:textId="1B0120EC" w:rsidR="00542EEB" w:rsidRDefault="00542EEB" w:rsidP="00880FC9">
            <w:pPr>
              <w:pStyle w:val="Tabletext1"/>
            </w:pPr>
            <w:r>
              <w:t>Tricuspid valve reinterventions</w:t>
            </w:r>
          </w:p>
        </w:tc>
      </w:tr>
      <w:tr w:rsidR="00542EEB" w14:paraId="111457AB" w14:textId="77777777" w:rsidTr="00200E59">
        <w:tc>
          <w:tcPr>
            <w:tcW w:w="1265" w:type="dxa"/>
            <w:tcBorders>
              <w:top w:val="nil"/>
            </w:tcBorders>
          </w:tcPr>
          <w:p w14:paraId="550FC88D" w14:textId="2E13C3B2" w:rsidR="00542EEB" w:rsidRDefault="00542EEB" w:rsidP="00880FC9">
            <w:pPr>
              <w:pStyle w:val="Tabletext1"/>
            </w:pPr>
          </w:p>
        </w:tc>
        <w:tc>
          <w:tcPr>
            <w:tcW w:w="7661" w:type="dxa"/>
          </w:tcPr>
          <w:p w14:paraId="598D99FE" w14:textId="20852911" w:rsidR="00542EEB" w:rsidRDefault="00542EEB" w:rsidP="00880FC9">
            <w:pPr>
              <w:pStyle w:val="Tabletext1"/>
            </w:pPr>
            <w:r>
              <w:t>Serious and non-serious adverse event</w:t>
            </w:r>
          </w:p>
        </w:tc>
      </w:tr>
      <w:tr w:rsidR="001B2C6B" w14:paraId="6ADB27C5" w14:textId="77777777" w:rsidTr="00200E59">
        <w:tc>
          <w:tcPr>
            <w:tcW w:w="1265" w:type="dxa"/>
          </w:tcPr>
          <w:p w14:paraId="59AB7E18" w14:textId="769B402B" w:rsidR="001B2C6B" w:rsidRDefault="001B2C6B" w:rsidP="00880FC9">
            <w:pPr>
              <w:pStyle w:val="Tabletext1"/>
            </w:pPr>
            <w:r w:rsidRPr="001B2C6B">
              <w:t>Health care resources</w:t>
            </w:r>
          </w:p>
        </w:tc>
        <w:tc>
          <w:tcPr>
            <w:tcW w:w="7661" w:type="dxa"/>
          </w:tcPr>
          <w:p w14:paraId="42B4C44C" w14:textId="3187263A" w:rsidR="004D736C" w:rsidRPr="004D736C" w:rsidRDefault="004D736C" w:rsidP="00880FC9">
            <w:pPr>
              <w:pStyle w:val="Tabletext1"/>
              <w:numPr>
                <w:ilvl w:val="0"/>
                <w:numId w:val="29"/>
              </w:numPr>
              <w:ind w:left="471"/>
            </w:pPr>
            <w:r w:rsidRPr="004D736C">
              <w:t xml:space="preserve">Cost of </w:t>
            </w:r>
            <w:r>
              <w:t>TEER</w:t>
            </w:r>
            <w:r w:rsidRPr="004D736C">
              <w:t xml:space="preserve"> prosthesis and other consumables</w:t>
            </w:r>
          </w:p>
          <w:p w14:paraId="2BDB714D" w14:textId="35F6A271" w:rsidR="004D736C" w:rsidRPr="004D736C" w:rsidRDefault="004D736C" w:rsidP="00880FC9">
            <w:pPr>
              <w:pStyle w:val="Tabletext1"/>
              <w:numPr>
                <w:ilvl w:val="0"/>
                <w:numId w:val="29"/>
              </w:numPr>
              <w:ind w:left="471"/>
            </w:pPr>
            <w:r w:rsidRPr="004D736C">
              <w:t xml:space="preserve">Cost to deliver </w:t>
            </w:r>
            <w:r>
              <w:t>TEER</w:t>
            </w:r>
            <w:r w:rsidRPr="004D736C">
              <w:t xml:space="preserve"> intervention</w:t>
            </w:r>
          </w:p>
          <w:p w14:paraId="1C965AB6" w14:textId="07246D1D" w:rsidR="004D736C" w:rsidRPr="004D736C" w:rsidRDefault="004D736C" w:rsidP="00880FC9">
            <w:pPr>
              <w:pStyle w:val="Tabletext1"/>
              <w:numPr>
                <w:ilvl w:val="0"/>
                <w:numId w:val="29"/>
              </w:numPr>
              <w:ind w:left="471"/>
            </w:pPr>
            <w:r w:rsidRPr="004D736C">
              <w:t>Cost associated with changes in clinical management (testing required before the procedure, length of hospital stay, post-discharge rehabilitation)</w:t>
            </w:r>
          </w:p>
          <w:p w14:paraId="23115449" w14:textId="59E38A47" w:rsidR="001B2C6B" w:rsidRDefault="004D736C" w:rsidP="00880FC9">
            <w:pPr>
              <w:pStyle w:val="Tabletext1"/>
              <w:numPr>
                <w:ilvl w:val="0"/>
                <w:numId w:val="29"/>
              </w:numPr>
              <w:ind w:left="471"/>
            </w:pPr>
            <w:r w:rsidRPr="004D736C">
              <w:t>Cost associated with management of complications (including reintervention)</w:t>
            </w:r>
          </w:p>
        </w:tc>
      </w:tr>
    </w:tbl>
    <w:p w14:paraId="4A3C8161" w14:textId="29AB845F" w:rsidR="00E00CD3" w:rsidRPr="00BC321D" w:rsidRDefault="005D15AA" w:rsidP="00880FC9">
      <w:pPr>
        <w:pStyle w:val="NoteHeading"/>
        <w:rPr>
          <w:rFonts w:eastAsia="Segoe UI"/>
        </w:rPr>
      </w:pPr>
      <w:r w:rsidRPr="005D15AA">
        <w:t xml:space="preserve">Abbreviation: </w:t>
      </w:r>
      <w:r w:rsidR="004B7B88">
        <w:t xml:space="preserve">6MWD, 6 minute walk distance; </w:t>
      </w:r>
      <w:r w:rsidRPr="005D15AA">
        <w:t>KCCQ, Kansas City Cardiomyopathy Questionnaire;</w:t>
      </w:r>
      <w:r>
        <w:t xml:space="preserve"> </w:t>
      </w:r>
      <w:r w:rsidRPr="008931E0">
        <w:t>OMT, optimised medical therapy</w:t>
      </w:r>
      <w:r>
        <w:t>;</w:t>
      </w:r>
      <w:r w:rsidRPr="008931E0">
        <w:t xml:space="preserve"> TEER, tricuspid transcatheter edge-to-edge repair; TR, tricuspid regurgitation</w:t>
      </w:r>
    </w:p>
    <w:p w14:paraId="68BF9517" w14:textId="77777777" w:rsidR="00360F47" w:rsidRDefault="00360F47" w:rsidP="00C41C0E">
      <w:pPr>
        <w:pStyle w:val="BodyText"/>
        <w:rPr>
          <w:rFonts w:eastAsia="Segoe UI"/>
        </w:rPr>
      </w:pPr>
    </w:p>
    <w:p w14:paraId="3B869BED" w14:textId="15B522BC" w:rsidR="004C02B7" w:rsidRDefault="00E00CD3" w:rsidP="00375FD9">
      <w:pPr>
        <w:pStyle w:val="Heading3"/>
      </w:pPr>
      <w:r>
        <w:t>O</w:t>
      </w:r>
      <w:r w:rsidR="00CB5480">
        <w:t>utcome description</w:t>
      </w:r>
      <w:r>
        <w:t xml:space="preserve"> – please include information about whether a change in patient management, or prognosis, occurs as a result of the test information</w:t>
      </w:r>
      <w:r w:rsidR="004C02B7">
        <w:t>:</w:t>
      </w:r>
    </w:p>
    <w:p w14:paraId="0F33880B" w14:textId="04264746" w:rsidR="00566CF9" w:rsidRDefault="003810E5" w:rsidP="004D736C">
      <w:pPr>
        <w:pStyle w:val="BodyText"/>
      </w:pPr>
      <w:r>
        <w:t>N/A</w:t>
      </w:r>
      <w:r w:rsidR="00566CF9">
        <w:br w:type="page"/>
      </w:r>
    </w:p>
    <w:p w14:paraId="51234613" w14:textId="244CDB64" w:rsidR="00566CF9" w:rsidRDefault="00566CF9" w:rsidP="00375FD9">
      <w:pPr>
        <w:pStyle w:val="Heading1"/>
      </w:pPr>
      <w:r>
        <w:t>Proposed MBS items</w:t>
      </w:r>
    </w:p>
    <w:p w14:paraId="65E4A37C" w14:textId="39325C07" w:rsidR="009C0554" w:rsidRDefault="009C0554" w:rsidP="00375FD9">
      <w:pPr>
        <w:pStyle w:val="Heading3"/>
      </w:pPr>
      <w:r>
        <w:t xml:space="preserve">How is the technology/service funded at present? (for example: research funding; State-based funding; self-funded by patients; no funding or payments): </w:t>
      </w:r>
    </w:p>
    <w:p w14:paraId="0F60C13D" w14:textId="6E45CBEE" w:rsidR="009C0554" w:rsidRDefault="000B15C6" w:rsidP="00327734">
      <w:pPr>
        <w:pStyle w:val="BodyText"/>
      </w:pPr>
      <w:r>
        <w:t xml:space="preserve">TEER is not funded </w:t>
      </w:r>
      <w:r w:rsidR="003E3CF8">
        <w:t xml:space="preserve">in Australia </w:t>
      </w:r>
      <w:r>
        <w:t>at present.</w:t>
      </w:r>
    </w:p>
    <w:p w14:paraId="7DF7CBFB" w14:textId="52B6BF2B" w:rsidR="009E6FD8" w:rsidRDefault="009E6FD8" w:rsidP="00327734">
      <w:pPr>
        <w:pStyle w:val="BodyText"/>
      </w:pPr>
      <w:r>
        <w:t>(</w:t>
      </w:r>
      <w:r w:rsidR="0009191D">
        <w:t xml:space="preserve">Note. </w:t>
      </w:r>
      <w:r w:rsidR="005B78A0">
        <w:t>Except for</w:t>
      </w:r>
      <w:r w:rsidR="0009191D">
        <w:t xml:space="preserve"> limited ex-gratia funding by the private health insurers for the eligible patients</w:t>
      </w:r>
      <w:r w:rsidR="00DF48CA">
        <w:t xml:space="preserve"> </w:t>
      </w:r>
      <w:r w:rsidR="005B78A0">
        <w:t xml:space="preserve">in private sector </w:t>
      </w:r>
      <w:r w:rsidR="00DF48CA">
        <w:t xml:space="preserve">as well as </w:t>
      </w:r>
      <w:r w:rsidR="005B78A0">
        <w:t>in public hospitals</w:t>
      </w:r>
      <w:r w:rsidR="009A7530">
        <w:t xml:space="preserve">. Also, the </w:t>
      </w:r>
      <w:r w:rsidR="00D1753F">
        <w:t xml:space="preserve">Ratified PICO for </w:t>
      </w:r>
      <w:r w:rsidR="00A732EC">
        <w:t xml:space="preserve">the TTV replacement Application 1799 </w:t>
      </w:r>
      <w:r w:rsidR="00EE6E4A">
        <w:t>notes</w:t>
      </w:r>
      <w:r w:rsidR="00A732EC">
        <w:t xml:space="preserve"> that TTV repair is currently used in public hospitals</w:t>
      </w:r>
      <w:r w:rsidR="0009191D">
        <w:t xml:space="preserve">). </w:t>
      </w:r>
    </w:p>
    <w:p w14:paraId="51442769" w14:textId="49727E52" w:rsidR="00566CF9" w:rsidRDefault="00566CF9" w:rsidP="00375FD9">
      <w:pPr>
        <w:pStyle w:val="Heading3"/>
      </w:pPr>
      <w:r>
        <w:t xml:space="preserve">Please provide at least one proposed item with their descriptor and associated costs, for each population/Intervention: </w:t>
      </w:r>
    </w:p>
    <w:p w14:paraId="0B1930FE" w14:textId="4A5037AA" w:rsidR="003B505C" w:rsidRDefault="004F2617" w:rsidP="00327734">
      <w:pPr>
        <w:pStyle w:val="BodyText"/>
      </w:pPr>
      <w:r>
        <w:t xml:space="preserve">The proposed MBS item for the TEER service is provided </w:t>
      </w:r>
      <w:r w:rsidR="00AB2D63">
        <w:t xml:space="preserve">in </w:t>
      </w:r>
      <w:r w:rsidR="00AB2D63">
        <w:fldChar w:fldCharType="begin"/>
      </w:r>
      <w:r w:rsidR="00AB2D63">
        <w:instrText xml:space="preserve"> REF _Ref204071673 \h </w:instrText>
      </w:r>
      <w:r w:rsidR="00327734">
        <w:instrText xml:space="preserve"> \* MERGEFORMAT </w:instrText>
      </w:r>
      <w:r w:rsidR="00AB2D63">
        <w:fldChar w:fldCharType="separate"/>
      </w:r>
      <w:r w:rsidR="00AB2D63">
        <w:t xml:space="preserve">Table </w:t>
      </w:r>
      <w:r w:rsidR="00F76E64">
        <w:rPr>
          <w:noProof/>
        </w:rPr>
        <w:t>12</w:t>
      </w:r>
      <w:r w:rsidR="00AB2D63">
        <w:fldChar w:fldCharType="end"/>
      </w:r>
      <w:r>
        <w:t xml:space="preserve">. The proposed descriptor </w:t>
      </w:r>
      <w:r w:rsidR="0034257E">
        <w:t xml:space="preserve">is broadly consistent with the eligibility criteria of the </w:t>
      </w:r>
      <w:r w:rsidR="006F06F4">
        <w:t xml:space="preserve">TRILUMINATE </w:t>
      </w:r>
      <w:r w:rsidR="00305D8A">
        <w:t xml:space="preserve">Pivotal </w:t>
      </w:r>
      <w:r w:rsidR="006F06F4">
        <w:t>trial</w:t>
      </w:r>
      <w:r w:rsidR="00F41E90">
        <w:t xml:space="preserve">. </w:t>
      </w:r>
    </w:p>
    <w:p w14:paraId="7BC865D7" w14:textId="0A08E0C8" w:rsidR="004D736C" w:rsidRDefault="003B505C" w:rsidP="00327734">
      <w:pPr>
        <w:pStyle w:val="BodyText"/>
      </w:pPr>
      <w:r w:rsidRPr="003B505C">
        <w:t xml:space="preserve">Given the available comparative evidence of TEER versus OMT is limited to the TriClip™ system, and to date no RCT evidence exists for the PASCAL system, </w:t>
      </w:r>
      <w:r>
        <w:t xml:space="preserve">the proposed </w:t>
      </w:r>
      <w:r w:rsidR="002B436B">
        <w:t xml:space="preserve">MBS </w:t>
      </w:r>
      <w:r>
        <w:t xml:space="preserve">item descriptor is not device agnostic </w:t>
      </w:r>
      <w:r w:rsidR="000C2DB1">
        <w:t>rather</w:t>
      </w:r>
      <w:r w:rsidRPr="003B505C">
        <w:t xml:space="preserve"> specif</w:t>
      </w:r>
      <w:r>
        <w:t>ies</w:t>
      </w:r>
      <w:r w:rsidRPr="003B505C">
        <w:t xml:space="preserve"> the TriClip™ device</w:t>
      </w:r>
      <w:r w:rsidR="002B436B">
        <w:t xml:space="preserve">. This is </w:t>
      </w:r>
      <w:r w:rsidR="00942FC7">
        <w:t>consistent with</w:t>
      </w:r>
      <w:r w:rsidRPr="003B505C">
        <w:t xml:space="preserve"> the MitraClip™ device being included in the item descriptor for the TMVr procedure for functional mitral regurgitation (MBS item 38463). </w:t>
      </w:r>
    </w:p>
    <w:p w14:paraId="277A639C" w14:textId="19D9E321" w:rsidR="004D736C" w:rsidRPr="00327734" w:rsidRDefault="00CF1E15" w:rsidP="00327734">
      <w:pPr>
        <w:pStyle w:val="BodyText"/>
        <w:rPr>
          <w:i/>
        </w:rPr>
      </w:pPr>
      <w:r>
        <w:t xml:space="preserve">Intermediate or high surgical risk was omitted from the descriptor (and from the proposed population) </w:t>
      </w:r>
      <w:r w:rsidR="00441E0B">
        <w:t xml:space="preserve">based on PASC’s </w:t>
      </w:r>
      <w:r w:rsidR="00D25D43">
        <w:t>feedback in the Ratified PICO for Application 1799 for t</w:t>
      </w:r>
      <w:r w:rsidR="00D25D43" w:rsidRPr="00D25D43">
        <w:t>ranscatheter tricuspid valve replacement</w:t>
      </w:r>
      <w:r w:rsidR="003A3276">
        <w:t xml:space="preserve">. </w:t>
      </w:r>
      <w:r w:rsidR="003A3276" w:rsidRPr="003A3276">
        <w:rPr>
          <w:i/>
        </w:rPr>
        <w:t>“PASC discussed whether surgical ineligibility should be specified in the population, noting that isolated tricuspid valve surgery is a high-risk operation and surgical risk prediction tools are not accurate for assessing that risk. PASC acknowledged that clinical practice guidelines advise that surgery should be offered in patients with severe, symptomatic TR; however, current guidelines do not provide clear advice on patient selection nor the threshold for surgical intervention. PASC noted that surgeons are often reluctant to offer isolated tricuspid valve surgery because of the high mortality risk and uncertain outcomes in this cohort of patients. PASC decided that surgical ineligibility or risk should not be a criterion for the population and any decisions about suitability for surgical or transcatheter intervention should be at the discretion of the multidisciplinary heart team”</w:t>
      </w:r>
      <w:r w:rsidR="003A3276">
        <w:rPr>
          <w:i/>
        </w:rPr>
        <w:t xml:space="preserve"> </w:t>
      </w:r>
      <w:r w:rsidR="00E35A4C">
        <w:t>(</w:t>
      </w:r>
      <w:r w:rsidR="00E267BD">
        <w:t>Ratified PICO Application 1799</w:t>
      </w:r>
      <w:r w:rsidR="00F31C33">
        <w:t xml:space="preserve"> pg. 4</w:t>
      </w:r>
      <w:r w:rsidR="00E267BD">
        <w:t>)</w:t>
      </w:r>
      <w:r w:rsidR="003A3276" w:rsidRPr="003A3276">
        <w:rPr>
          <w:i/>
        </w:rPr>
        <w:t>.</w:t>
      </w:r>
    </w:p>
    <w:p w14:paraId="1394CDEF" w14:textId="0404535B" w:rsidR="004D736C" w:rsidRPr="00407E35" w:rsidRDefault="00407E35" w:rsidP="00327734">
      <w:pPr>
        <w:pStyle w:val="BodyText"/>
      </w:pPr>
      <w:r>
        <w:t>The proposed fee for the TEER service is consistent with that of the TMVr procedure using the MitraClip device (</w:t>
      </w:r>
      <w:r w:rsidR="006305C0">
        <w:t>38461)</w:t>
      </w:r>
      <w:r w:rsidR="00840B7A">
        <w:t xml:space="preserve">, because the procedures are </w:t>
      </w:r>
      <w:r w:rsidR="00F35BD8">
        <w:t>similar in terms of complexity, duration and resource utilisation</w:t>
      </w:r>
      <w:r w:rsidR="006305C0">
        <w:t>.</w:t>
      </w:r>
    </w:p>
    <w:p w14:paraId="3C35DDB8" w14:textId="33812C91" w:rsidR="00E267BD" w:rsidRDefault="00E267BD" w:rsidP="00327734">
      <w:pPr>
        <w:pStyle w:val="BodyText"/>
      </w:pPr>
      <w:r>
        <w:t xml:space="preserve">Consistent with the </w:t>
      </w:r>
      <w:r w:rsidR="00005C29">
        <w:t>MBS item for TMVr and the propos</w:t>
      </w:r>
      <w:r w:rsidR="00620683">
        <w:t xml:space="preserve">al for public funding </w:t>
      </w:r>
      <w:r w:rsidR="00F35BD8">
        <w:t>TTV</w:t>
      </w:r>
      <w:r w:rsidR="00620683" w:rsidRPr="00D25D43">
        <w:t xml:space="preserve"> replacement</w:t>
      </w:r>
      <w:r w:rsidR="00620683">
        <w:t xml:space="preserve"> as per Application 1799, </w:t>
      </w:r>
      <w:r w:rsidR="00F35BD8">
        <w:t>new MBS items</w:t>
      </w:r>
      <w:r w:rsidR="00CB76C3">
        <w:t xml:space="preserve"> for TEER case </w:t>
      </w:r>
      <w:r w:rsidR="00E178BB">
        <w:t>conferences</w:t>
      </w:r>
      <w:r w:rsidR="00CB76C3">
        <w:t xml:space="preserve"> are proposed </w:t>
      </w:r>
      <w:r w:rsidR="00E178BB">
        <w:t xml:space="preserve">enabling </w:t>
      </w:r>
      <w:r w:rsidR="00AD5ABA">
        <w:t xml:space="preserve">suitability </w:t>
      </w:r>
      <w:r w:rsidR="00AD3223">
        <w:t xml:space="preserve">for TEER be established </w:t>
      </w:r>
      <w:r w:rsidR="00FE00FE">
        <w:t>v</w:t>
      </w:r>
      <w:r w:rsidR="00A14211">
        <w:t>ia a multidisciplinary heart team</w:t>
      </w:r>
      <w:r w:rsidR="00F30A32">
        <w:t xml:space="preserve"> (</w:t>
      </w:r>
      <w:r w:rsidR="00F30A32">
        <w:fldChar w:fldCharType="begin"/>
      </w:r>
      <w:r w:rsidR="00F30A32">
        <w:instrText xml:space="preserve"> REF _Ref204072286 \h </w:instrText>
      </w:r>
      <w:r w:rsidR="00327734">
        <w:instrText xml:space="preserve"> \* MERGEFORMAT </w:instrText>
      </w:r>
      <w:r w:rsidR="00F30A32">
        <w:fldChar w:fldCharType="separate"/>
      </w:r>
      <w:r w:rsidR="00F30A32">
        <w:t xml:space="preserve">Table </w:t>
      </w:r>
      <w:r w:rsidR="00A335F5">
        <w:rPr>
          <w:noProof/>
        </w:rPr>
        <w:t>13</w:t>
      </w:r>
      <w:r w:rsidR="00F30A32">
        <w:fldChar w:fldCharType="end"/>
      </w:r>
      <w:r w:rsidR="00F30A32">
        <w:t>)</w:t>
      </w:r>
      <w:r w:rsidR="00FE00FE">
        <w:t xml:space="preserve">. </w:t>
      </w:r>
    </w:p>
    <w:p w14:paraId="17C1E836" w14:textId="082F3BDB" w:rsidR="00836A15" w:rsidRDefault="00271544" w:rsidP="0012696D">
      <w:pPr>
        <w:pStyle w:val="Caption"/>
        <w:ind w:left="0" w:firstLine="0"/>
      </w:pPr>
      <w:bookmarkStart w:id="15" w:name="_Ref204071673"/>
      <w:r>
        <w:t xml:space="preserve">Table </w:t>
      </w:r>
      <w:r w:rsidR="003015CD">
        <w:fldChar w:fldCharType="begin"/>
      </w:r>
      <w:r w:rsidR="003015CD">
        <w:instrText xml:space="preserve"> SEQ Table \* ARABIC </w:instrText>
      </w:r>
      <w:r w:rsidR="003015CD">
        <w:fldChar w:fldCharType="separate"/>
      </w:r>
      <w:r w:rsidR="003015CD">
        <w:rPr>
          <w:noProof/>
        </w:rPr>
        <w:t>12</w:t>
      </w:r>
      <w:r w:rsidR="003015CD">
        <w:rPr>
          <w:noProof/>
        </w:rPr>
        <w:fldChar w:fldCharType="end"/>
      </w:r>
      <w:bookmarkEnd w:id="15"/>
      <w:r>
        <w:tab/>
        <w:t>Proposed MBS item for TEER</w:t>
      </w:r>
    </w:p>
    <w:tbl>
      <w:tblPr>
        <w:tblStyle w:val="TableGrid"/>
        <w:tblW w:w="0" w:type="auto"/>
        <w:tblLook w:val="04A0" w:firstRow="1" w:lastRow="0" w:firstColumn="1" w:lastColumn="0" w:noHBand="0" w:noVBand="1"/>
      </w:tblPr>
      <w:tblGrid>
        <w:gridCol w:w="3256"/>
        <w:gridCol w:w="6209"/>
      </w:tblGrid>
      <w:tr w:rsidR="00A05B4D" w14:paraId="28C30EF6" w14:textId="77777777" w:rsidTr="00A05B4D">
        <w:tc>
          <w:tcPr>
            <w:tcW w:w="3256" w:type="dxa"/>
          </w:tcPr>
          <w:p w14:paraId="6164541B" w14:textId="67698528" w:rsidR="00A05B4D" w:rsidRPr="00A05B4D" w:rsidRDefault="00A05B4D" w:rsidP="0012696D">
            <w:pPr>
              <w:pStyle w:val="Tabletext1"/>
              <w:keepNext/>
              <w:keepLines/>
            </w:pPr>
            <w:bookmarkStart w:id="16" w:name="_Hlk121232719"/>
            <w:r w:rsidRPr="00A05B4D">
              <w:t>Category number</w:t>
            </w:r>
          </w:p>
        </w:tc>
        <w:tc>
          <w:tcPr>
            <w:tcW w:w="6209" w:type="dxa"/>
          </w:tcPr>
          <w:p w14:paraId="60FB6E4B" w14:textId="7882AAA6" w:rsidR="00A05B4D" w:rsidRPr="00A05B4D" w:rsidRDefault="008F7F2E" w:rsidP="0012696D">
            <w:pPr>
              <w:pStyle w:val="Tabletext1"/>
              <w:keepNext/>
              <w:keepLines/>
            </w:pPr>
            <w:r>
              <w:t>3</w:t>
            </w:r>
          </w:p>
        </w:tc>
      </w:tr>
      <w:tr w:rsidR="00A05B4D" w14:paraId="27CB821A" w14:textId="77777777" w:rsidTr="00A05B4D">
        <w:tc>
          <w:tcPr>
            <w:tcW w:w="3256" w:type="dxa"/>
          </w:tcPr>
          <w:p w14:paraId="5E21B36E" w14:textId="39749155" w:rsidR="00A05B4D" w:rsidRPr="00A05B4D" w:rsidRDefault="00A05B4D" w:rsidP="0012696D">
            <w:pPr>
              <w:pStyle w:val="Tabletext1"/>
              <w:keepNext/>
              <w:keepLines/>
            </w:pPr>
            <w:r w:rsidRPr="00A05B4D">
              <w:t>Category description</w:t>
            </w:r>
          </w:p>
        </w:tc>
        <w:tc>
          <w:tcPr>
            <w:tcW w:w="6209" w:type="dxa"/>
          </w:tcPr>
          <w:p w14:paraId="4DED686A" w14:textId="50FDF9E7" w:rsidR="00A05B4D" w:rsidRPr="00A05B4D" w:rsidRDefault="008F7F2E" w:rsidP="0012696D">
            <w:pPr>
              <w:pStyle w:val="Tabletext1"/>
              <w:keepNext/>
              <w:keepLines/>
            </w:pPr>
            <w:r>
              <w:t>Therapeutic procedure</w:t>
            </w:r>
          </w:p>
        </w:tc>
      </w:tr>
      <w:tr w:rsidR="00A05B4D" w14:paraId="7AF5F341" w14:textId="77777777" w:rsidTr="00A05B4D">
        <w:tc>
          <w:tcPr>
            <w:tcW w:w="3256" w:type="dxa"/>
          </w:tcPr>
          <w:p w14:paraId="454ADFE2" w14:textId="5F0060E6" w:rsidR="00A05B4D" w:rsidRPr="00A05B4D" w:rsidRDefault="00A05B4D" w:rsidP="0012696D">
            <w:pPr>
              <w:pStyle w:val="Tabletext1"/>
              <w:keepNext/>
              <w:keepLines/>
            </w:pPr>
            <w:r w:rsidRPr="00A05B4D">
              <w:t>Proposed item descriptor</w:t>
            </w:r>
          </w:p>
        </w:tc>
        <w:tc>
          <w:tcPr>
            <w:tcW w:w="6209" w:type="dxa"/>
          </w:tcPr>
          <w:p w14:paraId="1B0E56D5" w14:textId="2BDB4281" w:rsidR="00A93FBC" w:rsidRDefault="00A93FBC" w:rsidP="0012696D">
            <w:pPr>
              <w:pStyle w:val="Tabletext1"/>
              <w:keepNext/>
              <w:keepLines/>
            </w:pPr>
            <w:r>
              <w:t>Transcatheter edge to edge repair (TEER</w:t>
            </w:r>
            <w:r w:rsidR="00176312" w:rsidRPr="00176312">
              <w:t>), by transvenous techniques, for permanent coaptation of tricuspid valve leaflets</w:t>
            </w:r>
            <w:r>
              <w:t xml:space="preserve"> </w:t>
            </w:r>
            <w:r w:rsidR="003D7632">
              <w:t>using</w:t>
            </w:r>
            <w:r w:rsidR="00D23972">
              <w:t xml:space="preserve"> one or more </w:t>
            </w:r>
            <w:r w:rsidR="00176312" w:rsidRPr="00176312">
              <w:t>Triclips™</w:t>
            </w:r>
            <w:r w:rsidR="00F27CF5">
              <w:t xml:space="preserve"> </w:t>
            </w:r>
            <w:r>
              <w:t xml:space="preserve">including intraoperative diagnostic imaging if: </w:t>
            </w:r>
          </w:p>
          <w:p w14:paraId="2736FF08" w14:textId="77777777" w:rsidR="00D0297A" w:rsidRDefault="00D0297A" w:rsidP="0012696D">
            <w:pPr>
              <w:pStyle w:val="Tabletext1"/>
              <w:keepNext/>
              <w:keepLines/>
            </w:pPr>
          </w:p>
          <w:p w14:paraId="1025D9A3" w14:textId="77777777" w:rsidR="00A93FBC" w:rsidRDefault="00A93FBC" w:rsidP="0012696D">
            <w:pPr>
              <w:pStyle w:val="Tabletext1"/>
              <w:keepNext/>
              <w:keepLines/>
            </w:pPr>
            <w:r>
              <w:t>(a) the patient has:</w:t>
            </w:r>
          </w:p>
          <w:p w14:paraId="171AF4CB" w14:textId="77777777" w:rsidR="00A93FBC" w:rsidRDefault="00A93FBC" w:rsidP="0012696D">
            <w:pPr>
              <w:pStyle w:val="Tabletext1"/>
              <w:keepNext/>
              <w:keepLines/>
            </w:pPr>
            <w:r>
              <w:t>(i) severe or greater tricuspid regurgitation, as determined by echocardiography;</w:t>
            </w:r>
          </w:p>
          <w:p w14:paraId="002DDA87" w14:textId="77777777" w:rsidR="00A93FBC" w:rsidRDefault="00A93FBC" w:rsidP="0012696D">
            <w:pPr>
              <w:pStyle w:val="Tabletext1"/>
              <w:keepNext/>
              <w:keepLines/>
            </w:pPr>
            <w:r>
              <w:t>(ii) symptoms (New York Heart Association functional class II or greater) despite optimal medical therapy;</w:t>
            </w:r>
          </w:p>
          <w:p w14:paraId="35358D88" w14:textId="77777777" w:rsidR="00A93FBC" w:rsidRDefault="00A93FBC" w:rsidP="0012696D">
            <w:pPr>
              <w:pStyle w:val="Tabletext1"/>
              <w:keepNext/>
              <w:keepLines/>
            </w:pPr>
            <w:r>
              <w:t>(ii) left ventricular ejection fraction of 20% or more;</w:t>
            </w:r>
          </w:p>
          <w:p w14:paraId="22560A26" w14:textId="77777777" w:rsidR="005F1FC8" w:rsidRDefault="00A93FBC" w:rsidP="0012696D">
            <w:pPr>
              <w:pStyle w:val="Tabletext1"/>
              <w:keepNext/>
              <w:keepLines/>
            </w:pPr>
            <w:r>
              <w:t xml:space="preserve">(iii) </w:t>
            </w:r>
            <w:r w:rsidR="00500EC5">
              <w:t>systolic pulmonary artery pressure of less than 7</w:t>
            </w:r>
            <w:r w:rsidRPr="00A93FBC">
              <w:t>0mmHg,</w:t>
            </w:r>
            <w:r w:rsidR="00246A5A">
              <w:t xml:space="preserve"> </w:t>
            </w:r>
          </w:p>
          <w:p w14:paraId="7A252B28" w14:textId="02753140" w:rsidR="00A93FBC" w:rsidRDefault="00A93FBC" w:rsidP="0012696D">
            <w:pPr>
              <w:pStyle w:val="Tabletext1"/>
              <w:keepNext/>
              <w:keepLines/>
            </w:pPr>
            <w:r>
              <w:t>and</w:t>
            </w:r>
          </w:p>
          <w:p w14:paraId="7EF58D9F" w14:textId="6FC978DC" w:rsidR="00A93FBC" w:rsidRDefault="00A93FBC" w:rsidP="0012696D">
            <w:pPr>
              <w:pStyle w:val="Tabletext1"/>
              <w:keepNext/>
              <w:keepLines/>
            </w:pPr>
            <w:r>
              <w:t>(b) the patient is deemed suitable for TEER by a qualified multidisciplinary heart team, following a detailed assessment of comorbidities and expected benefits; and</w:t>
            </w:r>
          </w:p>
          <w:p w14:paraId="2D471129" w14:textId="77777777" w:rsidR="00A93FBC" w:rsidRPr="00AC2B05" w:rsidRDefault="00A93FBC" w:rsidP="0012696D">
            <w:pPr>
              <w:pStyle w:val="Tabletext1"/>
              <w:keepNext/>
              <w:keepLines/>
            </w:pPr>
            <w:r>
              <w:t>(</w:t>
            </w:r>
            <w:r w:rsidRPr="00AC2B05">
              <w:t>c) the service is performed:</w:t>
            </w:r>
          </w:p>
          <w:p w14:paraId="1A6A2A3D" w14:textId="10E203DB" w:rsidR="00A93FBC" w:rsidRPr="00AC2B05" w:rsidRDefault="00A93FBC" w:rsidP="0012696D">
            <w:pPr>
              <w:pStyle w:val="Tabletext1"/>
              <w:keepNext/>
              <w:keepLines/>
            </w:pPr>
            <w:r w:rsidRPr="00AC2B05">
              <w:t>(i) by an accredited interventional cardiologist or cardiothoracic surgeon trained and certified by the TEER accreditation committee;</w:t>
            </w:r>
          </w:p>
          <w:p w14:paraId="75E31F8D" w14:textId="4B26F3D1" w:rsidR="00A93FBC" w:rsidRPr="00AC2B05" w:rsidRDefault="00A93FBC" w:rsidP="0012696D">
            <w:pPr>
              <w:pStyle w:val="Tabletext1"/>
              <w:keepNext/>
              <w:keepLines/>
            </w:pPr>
            <w:r w:rsidRPr="00AC2B05">
              <w:t>(ii) in a hospital accredited by the TEER accreditation committee to ensure appropriate facilities, personnel, and postoperative care; and</w:t>
            </w:r>
          </w:p>
          <w:p w14:paraId="253E69AC" w14:textId="77777777" w:rsidR="00A93FBC" w:rsidRDefault="00A93FBC" w:rsidP="0012696D">
            <w:pPr>
              <w:pStyle w:val="Tabletext1"/>
              <w:keepNext/>
              <w:keepLines/>
            </w:pPr>
            <w:r w:rsidRPr="00AC2B05">
              <w:t>(d) the service is not associated with a service to which item 38516, 38517 applies</w:t>
            </w:r>
          </w:p>
          <w:p w14:paraId="6668B24A" w14:textId="1B780764" w:rsidR="00A93FBC" w:rsidRDefault="00A93FBC" w:rsidP="0012696D">
            <w:pPr>
              <w:pStyle w:val="Tabletext1"/>
              <w:keepNext/>
              <w:keepLines/>
            </w:pPr>
            <w:r>
              <w:t>(H)</w:t>
            </w:r>
          </w:p>
          <w:p w14:paraId="598CB3AC" w14:textId="77777777" w:rsidR="00A93FBC" w:rsidRDefault="00A93FBC" w:rsidP="0012696D">
            <w:pPr>
              <w:pStyle w:val="Tabletext1"/>
              <w:keepNext/>
              <w:keepLines/>
            </w:pPr>
            <w:r>
              <w:t>Multiple Operation Rule</w:t>
            </w:r>
          </w:p>
          <w:p w14:paraId="647BC308" w14:textId="05D5B1D1" w:rsidR="00A05B4D" w:rsidRPr="00A05B4D" w:rsidRDefault="00A93FBC" w:rsidP="0012696D">
            <w:pPr>
              <w:pStyle w:val="Tabletext1"/>
              <w:keepNext/>
              <w:keepLines/>
            </w:pPr>
            <w:r>
              <w:t>(Anaes.) (Assist.)</w:t>
            </w:r>
          </w:p>
        </w:tc>
      </w:tr>
      <w:tr w:rsidR="00A05B4D" w14:paraId="2C0CA02D" w14:textId="77777777" w:rsidTr="00A05B4D">
        <w:tc>
          <w:tcPr>
            <w:tcW w:w="3256" w:type="dxa"/>
          </w:tcPr>
          <w:p w14:paraId="4881ED4A" w14:textId="6F25EF4B" w:rsidR="00A05B4D" w:rsidRPr="00A05B4D" w:rsidRDefault="00A05B4D" w:rsidP="0012696D">
            <w:pPr>
              <w:pStyle w:val="Tabletext1"/>
              <w:keepNext/>
              <w:keepLines/>
            </w:pPr>
            <w:r w:rsidRPr="00A05B4D">
              <w:t>Proposed MBS fee</w:t>
            </w:r>
          </w:p>
        </w:tc>
        <w:tc>
          <w:tcPr>
            <w:tcW w:w="6209" w:type="dxa"/>
          </w:tcPr>
          <w:p w14:paraId="3B790048" w14:textId="175AD3C1" w:rsidR="00A05B4D" w:rsidRPr="00A05B4D" w:rsidRDefault="004F2617" w:rsidP="0012696D">
            <w:pPr>
              <w:pStyle w:val="Tabletext1"/>
              <w:keepNext/>
              <w:keepLines/>
            </w:pPr>
            <w:r w:rsidRPr="004F2617">
              <w:rPr>
                <w:b/>
                <w:bCs/>
              </w:rPr>
              <w:t>Fee:</w:t>
            </w:r>
            <w:r w:rsidRPr="004F2617">
              <w:t> $1,670.80 </w:t>
            </w:r>
            <w:r w:rsidRPr="004F2617">
              <w:rPr>
                <w:b/>
                <w:bCs/>
              </w:rPr>
              <w:t>Benefit:</w:t>
            </w:r>
            <w:r w:rsidRPr="004F2617">
              <w:t> 75% = $1,253.10</w:t>
            </w:r>
          </w:p>
        </w:tc>
      </w:tr>
      <w:tr w:rsidR="00A05B4D" w14:paraId="0984AD65" w14:textId="77777777" w:rsidTr="00A05B4D">
        <w:tc>
          <w:tcPr>
            <w:tcW w:w="3256" w:type="dxa"/>
          </w:tcPr>
          <w:p w14:paraId="7B69A5E7" w14:textId="0C7AED59" w:rsidR="00A05B4D" w:rsidRPr="00A05B4D" w:rsidRDefault="00A05B4D" w:rsidP="0012696D">
            <w:pPr>
              <w:pStyle w:val="Tabletext1"/>
              <w:keepNext/>
              <w:keepLines/>
            </w:pPr>
            <w:r w:rsidRPr="00A05B4D">
              <w:t>Indicate the overall cost per patient of providing the proposed health technology</w:t>
            </w:r>
          </w:p>
        </w:tc>
        <w:tc>
          <w:tcPr>
            <w:tcW w:w="6209" w:type="dxa"/>
          </w:tcPr>
          <w:p w14:paraId="1F0E7AAB" w14:textId="66F2B60E" w:rsidR="00A05B4D" w:rsidRPr="00A05B4D" w:rsidRDefault="00C46F1A" w:rsidP="0012696D">
            <w:pPr>
              <w:pStyle w:val="Tabletext1"/>
              <w:keepNext/>
              <w:keepLines/>
            </w:pPr>
            <w:r>
              <w:t>$</w:t>
            </w:r>
            <w:r w:rsidR="00E500EB">
              <w:t>REDACTED</w:t>
            </w:r>
          </w:p>
        </w:tc>
      </w:tr>
      <w:tr w:rsidR="00A05B4D" w14:paraId="273F94AE" w14:textId="77777777" w:rsidTr="00A05B4D">
        <w:tc>
          <w:tcPr>
            <w:tcW w:w="3256" w:type="dxa"/>
          </w:tcPr>
          <w:p w14:paraId="41FCA2CE" w14:textId="1F2EB5A8" w:rsidR="00A05B4D" w:rsidRPr="00A05B4D" w:rsidRDefault="00A05B4D" w:rsidP="0012696D">
            <w:pPr>
              <w:pStyle w:val="Tabletext1"/>
              <w:keepNext/>
              <w:keepLines/>
            </w:pPr>
            <w:r w:rsidRPr="00A05B4D">
              <w:t>Please specify any anticipated out of pocket expenses</w:t>
            </w:r>
          </w:p>
        </w:tc>
        <w:tc>
          <w:tcPr>
            <w:tcW w:w="6209" w:type="dxa"/>
          </w:tcPr>
          <w:p w14:paraId="13FE8BA2" w14:textId="6E015F14" w:rsidR="00A05B4D" w:rsidRDefault="00F30A32" w:rsidP="0012696D">
            <w:pPr>
              <w:pStyle w:val="Tabletext1"/>
              <w:keepNext/>
              <w:keepLines/>
              <w:rPr>
                <w:rFonts w:eastAsia="Segoe UI"/>
                <w:bCs/>
                <w:color w:val="000000"/>
              </w:rPr>
            </w:pPr>
            <w:r>
              <w:rPr>
                <w:rFonts w:eastAsia="Segoe UI"/>
                <w:bCs/>
                <w:color w:val="000000"/>
              </w:rPr>
              <w:t>$0</w:t>
            </w:r>
          </w:p>
        </w:tc>
      </w:tr>
      <w:tr w:rsidR="00A05B4D" w14:paraId="553E9440" w14:textId="77777777" w:rsidTr="00A05B4D">
        <w:tc>
          <w:tcPr>
            <w:tcW w:w="3256" w:type="dxa"/>
          </w:tcPr>
          <w:p w14:paraId="4D378DFC" w14:textId="4C67A6B8" w:rsidR="00A05B4D" w:rsidRPr="00A05B4D" w:rsidRDefault="00A05B4D" w:rsidP="0012696D">
            <w:pPr>
              <w:pStyle w:val="Tabletext1"/>
              <w:keepNext/>
              <w:keepLines/>
            </w:pPr>
            <w:r w:rsidRPr="00A05B4D">
              <w:t>Provide any further details and explain</w:t>
            </w:r>
          </w:p>
        </w:tc>
        <w:tc>
          <w:tcPr>
            <w:tcW w:w="6209" w:type="dxa"/>
          </w:tcPr>
          <w:p w14:paraId="674ECDEB" w14:textId="080D0EA0" w:rsidR="00A05B4D" w:rsidRDefault="00F30A32" w:rsidP="0012696D">
            <w:pPr>
              <w:pStyle w:val="Tabletext1"/>
              <w:keepNext/>
              <w:keepLines/>
              <w:rPr>
                <w:rFonts w:eastAsia="Segoe UI"/>
                <w:bCs/>
                <w:color w:val="000000"/>
              </w:rPr>
            </w:pPr>
            <w:r>
              <w:rPr>
                <w:rFonts w:eastAsia="Segoe UI"/>
                <w:bCs/>
                <w:color w:val="000000"/>
              </w:rPr>
              <w:t>Out of pocket expenses are unknown.</w:t>
            </w:r>
            <w:r w:rsidR="006A7416">
              <w:rPr>
                <w:rFonts w:eastAsia="Segoe UI"/>
                <w:bCs/>
                <w:color w:val="000000"/>
              </w:rPr>
              <w:t xml:space="preserve"> For breakdown of costs of the overall cost per patient of the TEER procedure, refer to </w:t>
            </w:r>
            <w:r w:rsidR="000B71D6">
              <w:rPr>
                <w:rFonts w:eastAsia="Segoe UI"/>
                <w:bCs/>
                <w:color w:val="000000"/>
              </w:rPr>
              <w:t xml:space="preserve">TEER </w:t>
            </w:r>
            <w:r w:rsidR="006A7416">
              <w:rPr>
                <w:rFonts w:eastAsia="Segoe UI"/>
                <w:bCs/>
                <w:color w:val="000000"/>
              </w:rPr>
              <w:t xml:space="preserve">Cost Breakdown </w:t>
            </w:r>
            <w:r w:rsidR="00923671">
              <w:rPr>
                <w:rFonts w:eastAsia="Segoe UI"/>
                <w:bCs/>
                <w:color w:val="000000"/>
              </w:rPr>
              <w:t>attachment</w:t>
            </w:r>
            <w:r w:rsidR="000B71D6">
              <w:rPr>
                <w:rFonts w:eastAsia="Segoe UI"/>
                <w:bCs/>
                <w:color w:val="000000"/>
              </w:rPr>
              <w:t xml:space="preserve">. </w:t>
            </w:r>
            <w:r w:rsidR="006A7416">
              <w:rPr>
                <w:rFonts w:eastAsia="Segoe UI"/>
                <w:bCs/>
                <w:color w:val="000000"/>
              </w:rPr>
              <w:t xml:space="preserve"> </w:t>
            </w:r>
          </w:p>
        </w:tc>
      </w:tr>
    </w:tbl>
    <w:p w14:paraId="6BCB3F21" w14:textId="6F41CA79" w:rsidR="00A05B4D" w:rsidRDefault="00A05B4D" w:rsidP="00375FD9"/>
    <w:p w14:paraId="4A017CF7" w14:textId="73E8DDAC" w:rsidR="00A05B4D" w:rsidRDefault="00271544" w:rsidP="00271544">
      <w:pPr>
        <w:pStyle w:val="Caption"/>
      </w:pPr>
      <w:bookmarkStart w:id="17" w:name="_Ref204072286"/>
      <w:bookmarkEnd w:id="16"/>
      <w:r>
        <w:t xml:space="preserve">Table </w:t>
      </w:r>
      <w:r w:rsidR="003015CD">
        <w:fldChar w:fldCharType="begin"/>
      </w:r>
      <w:r w:rsidR="003015CD">
        <w:instrText xml:space="preserve"> SEQ Table \* ARABIC </w:instrText>
      </w:r>
      <w:r w:rsidR="003015CD">
        <w:fldChar w:fldCharType="separate"/>
      </w:r>
      <w:r w:rsidR="003015CD">
        <w:rPr>
          <w:noProof/>
        </w:rPr>
        <w:t>13</w:t>
      </w:r>
      <w:r w:rsidR="003015CD">
        <w:rPr>
          <w:noProof/>
        </w:rPr>
        <w:fldChar w:fldCharType="end"/>
      </w:r>
      <w:bookmarkEnd w:id="17"/>
      <w:r>
        <w:tab/>
        <w:t>Proposed</w:t>
      </w:r>
      <w:r w:rsidR="00F152CB">
        <w:t xml:space="preserve"> new </w:t>
      </w:r>
      <w:r>
        <w:t>MBS item</w:t>
      </w:r>
      <w:r w:rsidR="00F152CB">
        <w:t>s</w:t>
      </w:r>
      <w:r>
        <w:t xml:space="preserve"> for </w:t>
      </w:r>
      <w:r w:rsidR="00F152CB">
        <w:t xml:space="preserve">case conferences </w:t>
      </w:r>
      <w:r w:rsidR="00AB2D63">
        <w:t xml:space="preserve">for </w:t>
      </w:r>
      <w:r>
        <w:t>TEER</w:t>
      </w:r>
    </w:p>
    <w:tbl>
      <w:tblPr>
        <w:tblStyle w:val="TableGrid"/>
        <w:tblW w:w="0" w:type="auto"/>
        <w:tblLook w:val="04A0" w:firstRow="1" w:lastRow="0" w:firstColumn="1" w:lastColumn="0" w:noHBand="0" w:noVBand="1"/>
      </w:tblPr>
      <w:tblGrid>
        <w:gridCol w:w="3256"/>
        <w:gridCol w:w="6209"/>
      </w:tblGrid>
      <w:tr w:rsidR="008C6C9A" w14:paraId="2A4909C7" w14:textId="77777777">
        <w:tc>
          <w:tcPr>
            <w:tcW w:w="3256" w:type="dxa"/>
          </w:tcPr>
          <w:p w14:paraId="08C65B32" w14:textId="77777777" w:rsidR="008C6C9A" w:rsidRPr="00A05B4D" w:rsidRDefault="008C6C9A" w:rsidP="00FF2A55">
            <w:pPr>
              <w:pStyle w:val="Tabletext1"/>
              <w:keepNext/>
              <w:keepLines/>
            </w:pPr>
            <w:r w:rsidRPr="00A05B4D">
              <w:t>MBS item number (where used as a template for the proposed item)</w:t>
            </w:r>
          </w:p>
        </w:tc>
        <w:tc>
          <w:tcPr>
            <w:tcW w:w="6209" w:type="dxa"/>
          </w:tcPr>
          <w:p w14:paraId="3CA53E05" w14:textId="1C7C4E44" w:rsidR="008C6C9A" w:rsidRPr="00A05B4D" w:rsidRDefault="00035BA1" w:rsidP="00FF2A55">
            <w:pPr>
              <w:pStyle w:val="Tabletext1"/>
              <w:keepNext/>
              <w:keepLines/>
            </w:pPr>
            <w:r>
              <w:t>6082; 6084</w:t>
            </w:r>
          </w:p>
        </w:tc>
      </w:tr>
      <w:tr w:rsidR="008C6C9A" w14:paraId="7EC29EAC" w14:textId="77777777">
        <w:tc>
          <w:tcPr>
            <w:tcW w:w="3256" w:type="dxa"/>
          </w:tcPr>
          <w:p w14:paraId="4F08E777" w14:textId="77777777" w:rsidR="008C6C9A" w:rsidRPr="00A05B4D" w:rsidRDefault="008C6C9A" w:rsidP="00FF2A55">
            <w:pPr>
              <w:pStyle w:val="Tabletext1"/>
              <w:keepNext/>
              <w:keepLines/>
            </w:pPr>
            <w:r w:rsidRPr="00A05B4D">
              <w:t>Category number</w:t>
            </w:r>
          </w:p>
        </w:tc>
        <w:tc>
          <w:tcPr>
            <w:tcW w:w="6209" w:type="dxa"/>
          </w:tcPr>
          <w:p w14:paraId="23A4A7B5" w14:textId="4BE227ED" w:rsidR="008C6C9A" w:rsidRPr="00A05B4D" w:rsidRDefault="00B12712" w:rsidP="00FF2A55">
            <w:pPr>
              <w:pStyle w:val="Tabletext1"/>
              <w:keepNext/>
              <w:keepLines/>
            </w:pPr>
            <w:r>
              <w:t>1</w:t>
            </w:r>
          </w:p>
        </w:tc>
      </w:tr>
      <w:tr w:rsidR="008C6C9A" w14:paraId="254F526C" w14:textId="77777777">
        <w:tc>
          <w:tcPr>
            <w:tcW w:w="3256" w:type="dxa"/>
          </w:tcPr>
          <w:p w14:paraId="0B4E171C" w14:textId="77777777" w:rsidR="008C6C9A" w:rsidRPr="00A05B4D" w:rsidRDefault="008C6C9A" w:rsidP="00FF2A55">
            <w:pPr>
              <w:pStyle w:val="Tabletext1"/>
              <w:keepNext/>
              <w:keepLines/>
            </w:pPr>
            <w:r w:rsidRPr="00A05B4D">
              <w:t>Category description</w:t>
            </w:r>
          </w:p>
        </w:tc>
        <w:tc>
          <w:tcPr>
            <w:tcW w:w="6209" w:type="dxa"/>
          </w:tcPr>
          <w:p w14:paraId="4DD952EE" w14:textId="2404A7E4" w:rsidR="008C6C9A" w:rsidRPr="00A05B4D" w:rsidRDefault="00B12712" w:rsidP="00FF2A55">
            <w:pPr>
              <w:pStyle w:val="Tabletext1"/>
              <w:keepNext/>
              <w:keepLines/>
            </w:pPr>
            <w:r>
              <w:t>PROFESSIONAL ATTENDANCE</w:t>
            </w:r>
          </w:p>
        </w:tc>
      </w:tr>
      <w:tr w:rsidR="007612A6" w14:paraId="49F35DA2" w14:textId="77777777">
        <w:tc>
          <w:tcPr>
            <w:tcW w:w="3256" w:type="dxa"/>
          </w:tcPr>
          <w:p w14:paraId="3DB648E8" w14:textId="000B78B1" w:rsidR="007612A6" w:rsidRPr="00A05B4D" w:rsidRDefault="007612A6" w:rsidP="00FF2A55">
            <w:pPr>
              <w:pStyle w:val="Tabletext1"/>
              <w:keepNext/>
              <w:keepLines/>
            </w:pPr>
            <w:r w:rsidRPr="00A05B4D">
              <w:t>Proposed item descriptor</w:t>
            </w:r>
          </w:p>
        </w:tc>
        <w:tc>
          <w:tcPr>
            <w:tcW w:w="6209" w:type="dxa"/>
          </w:tcPr>
          <w:p w14:paraId="0F0CE2DF" w14:textId="77777777" w:rsidR="0055476F" w:rsidRDefault="0055476F" w:rsidP="00FF2A55">
            <w:pPr>
              <w:pStyle w:val="Tabletext1"/>
              <w:keepNext/>
              <w:keepLines/>
            </w:pPr>
            <w:r>
              <w:t>MBS item YYYY</w:t>
            </w:r>
          </w:p>
          <w:p w14:paraId="1517B7D0" w14:textId="77DF5775" w:rsidR="007612A6" w:rsidRDefault="007612A6" w:rsidP="00FF2A55">
            <w:pPr>
              <w:pStyle w:val="Tabletext1"/>
              <w:keepNext/>
              <w:keepLines/>
            </w:pPr>
            <w:r w:rsidRPr="007612A6">
              <w:t>Attendance at a T</w:t>
            </w:r>
            <w:r w:rsidR="009831D3">
              <w:t>EER</w:t>
            </w:r>
            <w:r w:rsidRPr="007612A6">
              <w:t xml:space="preserve"> suitability case conference, by a cardiothoracic surgeon or an interventional cardiologist, to coordinate the conference, if: (a) the attendance lasts at least 10 minutes; and (b) the surgeon or cardiologist is accredited by the T</w:t>
            </w:r>
            <w:r w:rsidR="009831D3">
              <w:t>EE</w:t>
            </w:r>
            <w:r w:rsidRPr="007612A6">
              <w:t>R accreditation committee to perform the service Applicable once per patient per lifetime</w:t>
            </w:r>
          </w:p>
        </w:tc>
      </w:tr>
      <w:tr w:rsidR="007612A6" w14:paraId="45F2FCCF" w14:textId="77777777">
        <w:tc>
          <w:tcPr>
            <w:tcW w:w="3256" w:type="dxa"/>
          </w:tcPr>
          <w:p w14:paraId="15E7A1B8" w14:textId="5321D539" w:rsidR="007612A6" w:rsidRPr="00A05B4D" w:rsidRDefault="007612A6" w:rsidP="00FF2A55">
            <w:pPr>
              <w:pStyle w:val="Tabletext1"/>
              <w:keepNext/>
              <w:keepLines/>
            </w:pPr>
            <w:r w:rsidRPr="00A05B4D">
              <w:t>Proposed MBS fee</w:t>
            </w:r>
          </w:p>
        </w:tc>
        <w:tc>
          <w:tcPr>
            <w:tcW w:w="6209" w:type="dxa"/>
          </w:tcPr>
          <w:p w14:paraId="7233BD53" w14:textId="0C3FEB06" w:rsidR="007612A6" w:rsidRDefault="006C4C5A" w:rsidP="00FF2A55">
            <w:pPr>
              <w:pStyle w:val="Tabletext1"/>
              <w:keepNext/>
              <w:keepLines/>
            </w:pPr>
            <w:r w:rsidRPr="006C4C5A">
              <w:t>Fee: $59.40 Benefit: 75% = $44.55 85% = $50.50</w:t>
            </w:r>
          </w:p>
        </w:tc>
      </w:tr>
      <w:tr w:rsidR="00ED01BB" w14:paraId="3844D8BC" w14:textId="77777777">
        <w:tc>
          <w:tcPr>
            <w:tcW w:w="3256" w:type="dxa"/>
          </w:tcPr>
          <w:p w14:paraId="77769B7F" w14:textId="47A7E64A" w:rsidR="00ED01BB" w:rsidRPr="00A05B4D" w:rsidRDefault="00ED01BB" w:rsidP="00FF2A55">
            <w:pPr>
              <w:pStyle w:val="Tabletext1"/>
              <w:keepNext/>
              <w:keepLines/>
            </w:pPr>
            <w:r w:rsidRPr="00A05B4D">
              <w:t>Proposed item descriptor</w:t>
            </w:r>
          </w:p>
        </w:tc>
        <w:tc>
          <w:tcPr>
            <w:tcW w:w="6209" w:type="dxa"/>
          </w:tcPr>
          <w:p w14:paraId="03960E0B" w14:textId="77777777" w:rsidR="005B6D46" w:rsidRDefault="005B6D46" w:rsidP="00FF2A55">
            <w:pPr>
              <w:pStyle w:val="Tabletext1"/>
              <w:keepNext/>
              <w:keepLines/>
            </w:pPr>
            <w:r w:rsidRPr="005B6D46">
              <w:t xml:space="preserve">MBS item ZZZZ </w:t>
            </w:r>
          </w:p>
          <w:p w14:paraId="1C3855EB" w14:textId="17AAD674" w:rsidR="00ED01BB" w:rsidRDefault="005B6D46" w:rsidP="00FF2A55">
            <w:pPr>
              <w:pStyle w:val="Tabletext1"/>
              <w:keepNext/>
              <w:keepLines/>
            </w:pPr>
            <w:r w:rsidRPr="005B6D46">
              <w:t>Attendance at a T</w:t>
            </w:r>
            <w:r>
              <w:t>EE</w:t>
            </w:r>
            <w:r w:rsidRPr="005B6D46">
              <w:t>R suitability case conference, by a specialist or consultant physician, other than to coordinate the conference, if the attendance lasts at least 10 minutes Applicable once per patient per lifetime</w:t>
            </w:r>
          </w:p>
        </w:tc>
      </w:tr>
      <w:tr w:rsidR="00ED01BB" w14:paraId="60640B2D" w14:textId="77777777">
        <w:tc>
          <w:tcPr>
            <w:tcW w:w="3256" w:type="dxa"/>
          </w:tcPr>
          <w:p w14:paraId="4C84AB40" w14:textId="0F3A8E3C" w:rsidR="00ED01BB" w:rsidRPr="00A05B4D" w:rsidRDefault="00ED01BB" w:rsidP="00FF2A55">
            <w:pPr>
              <w:pStyle w:val="Tabletext1"/>
              <w:keepNext/>
              <w:keepLines/>
            </w:pPr>
            <w:r w:rsidRPr="00A05B4D">
              <w:t>Proposed MBS fee</w:t>
            </w:r>
          </w:p>
        </w:tc>
        <w:tc>
          <w:tcPr>
            <w:tcW w:w="6209" w:type="dxa"/>
          </w:tcPr>
          <w:p w14:paraId="18AA82AE" w14:textId="769964F4" w:rsidR="00ED01BB" w:rsidRDefault="00271544" w:rsidP="00FF2A55">
            <w:pPr>
              <w:pStyle w:val="Tabletext1"/>
              <w:keepNext/>
              <w:keepLines/>
            </w:pPr>
            <w:r w:rsidRPr="00271544">
              <w:t>Fee: $44.30 Benefit: 75% = $33.25 85% = $37.70</w:t>
            </w:r>
          </w:p>
        </w:tc>
      </w:tr>
    </w:tbl>
    <w:p w14:paraId="6F0CDD95" w14:textId="596B7B81" w:rsidR="00FE257E" w:rsidRDefault="00FE257E" w:rsidP="00375FD9"/>
    <w:p w14:paraId="321449D0" w14:textId="41BE35E0" w:rsidR="005E1CFB" w:rsidRDefault="0090168B" w:rsidP="00B05659">
      <w:pPr>
        <w:pStyle w:val="Heading1"/>
        <w:tabs>
          <w:tab w:val="left" w:pos="1134"/>
        </w:tabs>
      </w:pPr>
      <w:r>
        <w:t>Algorithms</w:t>
      </w:r>
    </w:p>
    <w:p w14:paraId="7EDD3EB5" w14:textId="0FB2261E" w:rsidR="0090168B" w:rsidRPr="00DE5C0B" w:rsidRDefault="0090168B" w:rsidP="00375FD9">
      <w:pPr>
        <w:pStyle w:val="Heading2"/>
      </w:pPr>
      <w:r w:rsidRPr="00DE5C0B">
        <w:t>Preparation for using the health technology</w:t>
      </w:r>
    </w:p>
    <w:p w14:paraId="4F608E4C" w14:textId="7499F42D" w:rsidR="005E1CFB" w:rsidRDefault="0090168B" w:rsidP="00375FD9">
      <w:pPr>
        <w:pStyle w:val="Heading3"/>
      </w:pPr>
      <w:r>
        <w:t xml:space="preserve">Define and summarise the clinical management algorithm, including any required tests or healthcare resources, before patients would be eligible for the </w:t>
      </w:r>
      <w:r w:rsidRPr="007033E9">
        <w:rPr>
          <w:u w:val="single"/>
        </w:rPr>
        <w:t>proposed health technology</w:t>
      </w:r>
      <w:r w:rsidR="005E1CFB">
        <w:t>:</w:t>
      </w:r>
    </w:p>
    <w:p w14:paraId="6A599BB3" w14:textId="79383F92" w:rsidR="00125157" w:rsidRDefault="00FF3B70" w:rsidP="00C41C0E">
      <w:pPr>
        <w:pStyle w:val="BodyText"/>
      </w:pPr>
      <w:r>
        <w:t>The</w:t>
      </w:r>
      <w:r w:rsidR="002B7C39">
        <w:t xml:space="preserve"> clinical management algorithm for patients with </w:t>
      </w:r>
      <w:r w:rsidR="00132624">
        <w:t xml:space="preserve">severe, symptomatic </w:t>
      </w:r>
      <w:r w:rsidR="002B7C39">
        <w:t xml:space="preserve">TR </w:t>
      </w:r>
      <w:r>
        <w:t>including TEER,</w:t>
      </w:r>
      <w:r w:rsidR="002B7C39">
        <w:t xml:space="preserve"> </w:t>
      </w:r>
      <w:r w:rsidR="00B81A81">
        <w:t>has</w:t>
      </w:r>
      <w:r w:rsidR="002B7C39">
        <w:t xml:space="preserve"> been </w:t>
      </w:r>
      <w:r w:rsidR="00132624">
        <w:t>Ratified</w:t>
      </w:r>
      <w:r w:rsidR="002B7C39">
        <w:t xml:space="preserve"> by PASC in the 1799 MSAC Application </w:t>
      </w:r>
      <w:r w:rsidR="00132624">
        <w:t xml:space="preserve">for </w:t>
      </w:r>
      <w:r w:rsidR="003911C5">
        <w:rPr>
          <w:i/>
          <w:iCs/>
        </w:rPr>
        <w:t>‘</w:t>
      </w:r>
      <w:r w:rsidR="00B02EF2">
        <w:rPr>
          <w:i/>
          <w:iCs/>
        </w:rPr>
        <w:t>Transcatheter tricuspid valve replacement in patients with severe, symptomatic tricuspid regurgitation despite optimal medical therapy’</w:t>
      </w:r>
      <w:r w:rsidR="000E1BCA">
        <w:t xml:space="preserve">. </w:t>
      </w:r>
      <w:r w:rsidR="00132624">
        <w:t>P</w:t>
      </w:r>
      <w:r w:rsidR="00125157">
        <w:t xml:space="preserve">atients eligible for TEER using TriClip™ will undergo the same </w:t>
      </w:r>
      <w:r w:rsidR="00CA13FF">
        <w:t xml:space="preserve">evaluation pathway </w:t>
      </w:r>
      <w:r w:rsidR="00102E24">
        <w:t xml:space="preserve">to </w:t>
      </w:r>
      <w:r w:rsidR="00BB1D2E">
        <w:t>determine eligibility for treatment with a transcatheter intervention; thus,</w:t>
      </w:r>
      <w:r w:rsidR="00A0093C">
        <w:t xml:space="preserve"> the clinical management </w:t>
      </w:r>
      <w:r w:rsidR="00BB1D2E">
        <w:t>algorithm</w:t>
      </w:r>
      <w:r w:rsidR="003A5E7D">
        <w:t xml:space="preserve">s </w:t>
      </w:r>
      <w:r w:rsidR="00AB2FC0">
        <w:t>provided in the Ratified PICO for Application 1799</w:t>
      </w:r>
      <w:r w:rsidR="00A0093C">
        <w:t xml:space="preserve"> </w:t>
      </w:r>
      <w:r w:rsidR="00B26B90">
        <w:t>remain</w:t>
      </w:r>
      <w:r w:rsidR="007D1747">
        <w:t xml:space="preserve"> mostly</w:t>
      </w:r>
      <w:r w:rsidR="00B26B90">
        <w:t xml:space="preserve"> applicable to this current Application.</w:t>
      </w:r>
      <w:r w:rsidR="002109FA">
        <w:t xml:space="preserve"> </w:t>
      </w:r>
      <w:r w:rsidR="002109FA" w:rsidRPr="008E1016">
        <w:t>To this end, the proposed algorithm</w:t>
      </w:r>
      <w:r w:rsidR="00B81A81">
        <w:t>s</w:t>
      </w:r>
      <w:r w:rsidR="002109FA" w:rsidRPr="008E1016">
        <w:t xml:space="preserve"> in the PICO for Application 1799 have been adapted</w:t>
      </w:r>
      <w:r w:rsidR="00471E63" w:rsidRPr="008E1016">
        <w:t xml:space="preserve"> to the proposed population </w:t>
      </w:r>
      <w:r w:rsidR="00D66AF8" w:rsidRPr="008E1016">
        <w:t>for TEER</w:t>
      </w:r>
      <w:r w:rsidR="00D80D71" w:rsidRPr="008E1016">
        <w:t xml:space="preserve"> and </w:t>
      </w:r>
      <w:r w:rsidR="008E1016" w:rsidRPr="008E1016">
        <w:t>is</w:t>
      </w:r>
      <w:r w:rsidR="00D80D71" w:rsidRPr="008E1016">
        <w:t xml:space="preserve"> provided in</w:t>
      </w:r>
      <w:r w:rsidR="005B2A66">
        <w:t xml:space="preserve"> </w:t>
      </w:r>
      <w:r w:rsidR="005B2A66">
        <w:fldChar w:fldCharType="begin"/>
      </w:r>
      <w:r w:rsidR="005B2A66">
        <w:instrText xml:space="preserve"> REF _Ref204238763 \h </w:instrText>
      </w:r>
      <w:r w:rsidR="005B2A66">
        <w:fldChar w:fldCharType="separate"/>
      </w:r>
      <w:r w:rsidR="005B2A66">
        <w:t xml:space="preserve">Figure </w:t>
      </w:r>
      <w:r w:rsidR="005B2A66">
        <w:rPr>
          <w:noProof/>
        </w:rPr>
        <w:t>3</w:t>
      </w:r>
      <w:r w:rsidR="005B2A66">
        <w:fldChar w:fldCharType="end"/>
      </w:r>
      <w:r w:rsidR="008E1016" w:rsidRPr="008E1016">
        <w:t>.</w:t>
      </w:r>
    </w:p>
    <w:p w14:paraId="602F6F8E" w14:textId="5391D685" w:rsidR="00EC225D" w:rsidRDefault="00EC225D" w:rsidP="00EC225D">
      <w:pPr>
        <w:pStyle w:val="BodyText"/>
      </w:pPr>
      <w:r>
        <w:t xml:space="preserve">Relative to the clinical algorithm provided in the Ratified PICO for Application 1799, the following changes have been made in </w:t>
      </w:r>
      <w:r w:rsidR="006664BD">
        <w:t xml:space="preserve">the </w:t>
      </w:r>
      <w:r>
        <w:t>clinical algorithm provided in this application</w:t>
      </w:r>
      <w:r w:rsidR="00E7669D">
        <w:t xml:space="preserve"> </w:t>
      </w:r>
      <w:r w:rsidR="0024028D">
        <w:t xml:space="preserve">in </w:t>
      </w:r>
      <w:r w:rsidR="005B2A66">
        <w:fldChar w:fldCharType="begin"/>
      </w:r>
      <w:r w:rsidR="005B2A66">
        <w:instrText xml:space="preserve"> REF _Ref204238763 \h </w:instrText>
      </w:r>
      <w:r w:rsidR="005B2A66">
        <w:fldChar w:fldCharType="separate"/>
      </w:r>
      <w:r w:rsidR="005B2A66">
        <w:t xml:space="preserve">Figure </w:t>
      </w:r>
      <w:r w:rsidR="005B2A66">
        <w:rPr>
          <w:noProof/>
        </w:rPr>
        <w:t>3</w:t>
      </w:r>
      <w:r w:rsidR="005B2A66">
        <w:fldChar w:fldCharType="end"/>
      </w:r>
      <w:r w:rsidR="005B2A66">
        <w:t xml:space="preserve"> </w:t>
      </w:r>
      <w:r w:rsidR="00E7669D">
        <w:t>to align with the proposed population</w:t>
      </w:r>
      <w:r>
        <w:t>:</w:t>
      </w:r>
    </w:p>
    <w:p w14:paraId="00891018" w14:textId="6CCD6F6D" w:rsidR="00990F73" w:rsidRDefault="00861794" w:rsidP="00327734">
      <w:pPr>
        <w:pStyle w:val="ListParagraph"/>
        <w:numPr>
          <w:ilvl w:val="0"/>
          <w:numId w:val="31"/>
        </w:numPr>
      </w:pPr>
      <w:r>
        <w:t>a</w:t>
      </w:r>
      <w:r w:rsidR="007F5B83">
        <w:t>n additional criteri</w:t>
      </w:r>
      <w:r w:rsidR="00E54F98">
        <w:t>on</w:t>
      </w:r>
      <w:r w:rsidR="00362F9A">
        <w:t xml:space="preserve"> </w:t>
      </w:r>
      <w:r w:rsidR="00990F73">
        <w:t xml:space="preserve">is </w:t>
      </w:r>
      <w:r w:rsidR="007F5B83">
        <w:t>included</w:t>
      </w:r>
      <w:r w:rsidR="00C54A78">
        <w:t xml:space="preserve"> whereby patients must have</w:t>
      </w:r>
      <w:r w:rsidR="007F5B83">
        <w:t xml:space="preserve"> sPAP of </w:t>
      </w:r>
      <w:r w:rsidR="00067ED8">
        <w:t>&lt;</w:t>
      </w:r>
      <w:r w:rsidR="007F5B83">
        <w:t xml:space="preserve">70 mmHg, </w:t>
      </w:r>
      <w:r w:rsidR="00CE6802">
        <w:t>and</w:t>
      </w:r>
    </w:p>
    <w:p w14:paraId="0FDFA9F9" w14:textId="39943D75" w:rsidR="00EC225D" w:rsidRDefault="00861794" w:rsidP="00327734">
      <w:pPr>
        <w:pStyle w:val="ListParagraph"/>
        <w:numPr>
          <w:ilvl w:val="0"/>
          <w:numId w:val="31"/>
        </w:numPr>
      </w:pPr>
      <w:r>
        <w:t>m</w:t>
      </w:r>
      <w:r w:rsidR="0011497D">
        <w:t xml:space="preserve">ust have </w:t>
      </w:r>
      <w:r w:rsidR="00990F73">
        <w:t>LVEF &gt;20% (&gt;25% in Application 1799)</w:t>
      </w:r>
      <w:r>
        <w:t>.</w:t>
      </w:r>
    </w:p>
    <w:p w14:paraId="52E61694" w14:textId="396AF255" w:rsidR="00861794" w:rsidRDefault="00861794" w:rsidP="00327734">
      <w:pPr>
        <w:pStyle w:val="ListParagraph"/>
        <w:numPr>
          <w:ilvl w:val="0"/>
          <w:numId w:val="31"/>
        </w:numPr>
      </w:pPr>
      <w:r>
        <w:t>The proposed intervention is referred to as TEER in this application (T</w:t>
      </w:r>
      <w:r w:rsidR="008D3C39">
        <w:t>TV</w:t>
      </w:r>
      <w:r w:rsidR="00DE316B">
        <w:t xml:space="preserve"> repair in Application 1799)</w:t>
      </w:r>
    </w:p>
    <w:p w14:paraId="53ECEAFF" w14:textId="27970662" w:rsidR="00125157" w:rsidRDefault="00236EB5" w:rsidP="00C41C0E">
      <w:pPr>
        <w:pStyle w:val="BodyText"/>
      </w:pPr>
      <w:r>
        <w:t xml:space="preserve">Patients will undergo testing </w:t>
      </w:r>
      <w:r w:rsidR="00CC0005">
        <w:t xml:space="preserve">to determine </w:t>
      </w:r>
      <w:r w:rsidR="004541BA">
        <w:t xml:space="preserve">eligibility for </w:t>
      </w:r>
      <w:r w:rsidR="000F49D5">
        <w:t xml:space="preserve">TR intervention (surgical, transcatheter, or medical therapies) </w:t>
      </w:r>
      <w:r w:rsidR="004541BA">
        <w:t>using the following</w:t>
      </w:r>
      <w:r w:rsidR="00717699">
        <w:t>:</w:t>
      </w:r>
    </w:p>
    <w:p w14:paraId="487380D1" w14:textId="01889FFA" w:rsidR="00717699" w:rsidRDefault="00717699" w:rsidP="00327734">
      <w:pPr>
        <w:pStyle w:val="ListParagraph"/>
        <w:numPr>
          <w:ilvl w:val="0"/>
          <w:numId w:val="32"/>
        </w:numPr>
      </w:pPr>
      <w:r>
        <w:t>Initial clinical evaluation will be conducted by a GP, reviewing medical history for conditions associated with TR such as heart failure and other comorbidities</w:t>
      </w:r>
    </w:p>
    <w:p w14:paraId="26022AB8" w14:textId="60609F12" w:rsidR="00717699" w:rsidRDefault="00717699" w:rsidP="00327734">
      <w:pPr>
        <w:pStyle w:val="ListParagraph"/>
        <w:numPr>
          <w:ilvl w:val="0"/>
          <w:numId w:val="32"/>
        </w:numPr>
      </w:pPr>
      <w:r>
        <w:t>Patient will undergo diagnostic imaging:</w:t>
      </w:r>
    </w:p>
    <w:p w14:paraId="0AAB8272" w14:textId="73DD8C25" w:rsidR="00C36BFC" w:rsidRDefault="00C36BFC" w:rsidP="00327734">
      <w:pPr>
        <w:pStyle w:val="ListParagraph"/>
        <w:numPr>
          <w:ilvl w:val="1"/>
          <w:numId w:val="32"/>
        </w:numPr>
      </w:pPr>
      <w:r>
        <w:t xml:space="preserve">TTE </w:t>
      </w:r>
      <w:r w:rsidR="00DE77D1">
        <w:t xml:space="preserve">for screening, </w:t>
      </w:r>
      <w:r w:rsidR="00C32436">
        <w:t xml:space="preserve">used </w:t>
      </w:r>
      <w:r>
        <w:t>to evaluate valve structure and TR severity</w:t>
      </w:r>
    </w:p>
    <w:p w14:paraId="5D0339C7" w14:textId="566B701F" w:rsidR="00C36BFC" w:rsidRDefault="00C36BFC" w:rsidP="00327734">
      <w:pPr>
        <w:pStyle w:val="ListParagraph"/>
        <w:numPr>
          <w:ilvl w:val="1"/>
          <w:numId w:val="32"/>
        </w:numPr>
      </w:pPr>
      <w:r>
        <w:t xml:space="preserve">TOE </w:t>
      </w:r>
      <w:r w:rsidR="00356F70">
        <w:t>to confirm the diagnosis using detailed imaging, particularly when TTE results are inconclusive</w:t>
      </w:r>
    </w:p>
    <w:p w14:paraId="670C734C" w14:textId="28E7DB6D" w:rsidR="00F53005" w:rsidRDefault="00F53005" w:rsidP="00327734">
      <w:pPr>
        <w:pStyle w:val="ListParagraph"/>
        <w:numPr>
          <w:ilvl w:val="1"/>
          <w:numId w:val="32"/>
        </w:numPr>
      </w:pPr>
      <w:r>
        <w:t>[Note computer tomography would only be necessary for the</w:t>
      </w:r>
      <w:r w:rsidR="0021441C">
        <w:t xml:space="preserve"> determination of </w:t>
      </w:r>
      <w:r w:rsidR="008D7594">
        <w:t xml:space="preserve">suitability for </w:t>
      </w:r>
      <w:r w:rsidR="0021441C">
        <w:t xml:space="preserve">TEER versus </w:t>
      </w:r>
      <w:r w:rsidR="005D487E">
        <w:t>TTV replacement].</w:t>
      </w:r>
    </w:p>
    <w:p w14:paraId="02A331AB" w14:textId="59AD318E" w:rsidR="00902C5E" w:rsidRDefault="00DE77D1" w:rsidP="00327734">
      <w:pPr>
        <w:pStyle w:val="ListParagraph"/>
        <w:numPr>
          <w:ilvl w:val="0"/>
          <w:numId w:val="32"/>
        </w:numPr>
        <w:spacing w:after="240"/>
      </w:pPr>
      <w:r>
        <w:t>A multidisciplinary heart team (MDHT) will evaluate the patient’s overall risk, anatomy, and suitability for further intervention.</w:t>
      </w:r>
    </w:p>
    <w:p w14:paraId="6C33FE4A" w14:textId="572A45C4" w:rsidR="00B310BD" w:rsidRDefault="00EE4255" w:rsidP="00327734">
      <w:pPr>
        <w:pStyle w:val="BodyText"/>
      </w:pPr>
      <w:r>
        <w:t>The MDHT will also assess the patient for surgical risk using one of many available tools such as the EuroSCORE, the STS Risk Score, and the TRI-SCORE scoring system</w:t>
      </w:r>
      <w:r w:rsidR="004A7790">
        <w:t xml:space="preserve">. However, </w:t>
      </w:r>
      <w:r w:rsidR="009E1DDD">
        <w:t>as per the Ratified PICO for Application 1799</w:t>
      </w:r>
      <w:r w:rsidR="004A7790">
        <w:t xml:space="preserve">, PASC noted that patients who are deemed appropriate for surgery may still not receive surgical intervention </w:t>
      </w:r>
      <w:r w:rsidR="00976041">
        <w:t xml:space="preserve">as: </w:t>
      </w:r>
      <w:r w:rsidR="00D55F9C">
        <w:rPr>
          <w:i/>
          <w:iCs/>
        </w:rPr>
        <w:t>“</w:t>
      </w:r>
      <w:r w:rsidR="00976041">
        <w:rPr>
          <w:i/>
          <w:iCs/>
        </w:rPr>
        <w:t>… [patients] may decline it, or not be offered it due to surgeon reluctance, given the high morbidity and mortality associated with isolated tricuspid valve surgical intervention and concerns around the reliability of surgical risk prediction tools in this patient cohort</w:t>
      </w:r>
      <w:r w:rsidR="00D55F9C">
        <w:rPr>
          <w:i/>
          <w:iCs/>
        </w:rPr>
        <w:t>”</w:t>
      </w:r>
      <w:r w:rsidR="00682A41">
        <w:t xml:space="preserve"> (pg. 15).</w:t>
      </w:r>
    </w:p>
    <w:p w14:paraId="211C506E" w14:textId="74246668" w:rsidR="00EC225D" w:rsidRDefault="00976041" w:rsidP="00327734">
      <w:pPr>
        <w:pStyle w:val="BodyText"/>
      </w:pPr>
      <w:r>
        <w:t xml:space="preserve">As a result, it is assumed that most patients will be assessed for suitability </w:t>
      </w:r>
      <w:r w:rsidR="00905E89">
        <w:t xml:space="preserve">for transcatheter tricuspid valve intervention (TTVI). As noted in the </w:t>
      </w:r>
      <w:r w:rsidR="008F7A72">
        <w:t xml:space="preserve">PICO for Application </w:t>
      </w:r>
      <w:r w:rsidR="00905E89">
        <w:t xml:space="preserve">1799, </w:t>
      </w:r>
      <w:r w:rsidR="00146FD6">
        <w:t xml:space="preserve">standard practice determines that patients </w:t>
      </w:r>
      <w:r w:rsidR="00DC5E7E">
        <w:t>with severe, symptomatic TR may be considered for</w:t>
      </w:r>
      <w:r w:rsidR="008F7A72">
        <w:t xml:space="preserve"> </w:t>
      </w:r>
      <w:r w:rsidR="00F51498">
        <w:t>TEER</w:t>
      </w:r>
      <w:r w:rsidR="00765951">
        <w:t xml:space="preserve"> (referred to as TTV repair in Application 1799)</w:t>
      </w:r>
      <w:r w:rsidR="00B04B00">
        <w:t xml:space="preserve">. </w:t>
      </w:r>
      <w:r w:rsidR="00A965F5">
        <w:t xml:space="preserve">PASC </w:t>
      </w:r>
      <w:r w:rsidR="00A73A9F">
        <w:t>noted</w:t>
      </w:r>
      <w:r w:rsidR="00A965F5">
        <w:t xml:space="preserve"> that </w:t>
      </w:r>
      <w:r w:rsidR="00D55F9C">
        <w:rPr>
          <w:i/>
          <w:iCs/>
        </w:rPr>
        <w:t>“</w:t>
      </w:r>
      <w:r w:rsidR="00D542DC">
        <w:rPr>
          <w:i/>
          <w:iCs/>
        </w:rPr>
        <w:t>TTV repair is currently being undertaken in the public setting in Australia and to a limited extent in the private setting</w:t>
      </w:r>
      <w:r w:rsidR="00D55F9C">
        <w:rPr>
          <w:i/>
          <w:iCs/>
        </w:rPr>
        <w:t>”</w:t>
      </w:r>
      <w:r w:rsidR="008259F8">
        <w:t xml:space="preserve">; and noted that </w:t>
      </w:r>
      <w:r w:rsidR="00D55F9C">
        <w:t>“</w:t>
      </w:r>
      <w:r w:rsidR="00D855F8">
        <w:rPr>
          <w:i/>
          <w:iCs/>
        </w:rPr>
        <w:t>the optimal TTVI approach would be determined by the multidisciplinary heart team on a case-by-case basis; some patients may be more suited to one technique than the other</w:t>
      </w:r>
      <w:r w:rsidR="00D55F9C">
        <w:rPr>
          <w:i/>
          <w:iCs/>
        </w:rPr>
        <w:t>”</w:t>
      </w:r>
      <w:r w:rsidR="00A2107F">
        <w:t xml:space="preserve"> </w:t>
      </w:r>
      <w:r w:rsidR="00227608">
        <w:t>(pg. 15).</w:t>
      </w:r>
    </w:p>
    <w:p w14:paraId="2FEEB752" w14:textId="37CDDFCF" w:rsidR="00DF110D" w:rsidRDefault="0044156B" w:rsidP="00327734">
      <w:pPr>
        <w:pStyle w:val="BodyText"/>
      </w:pPr>
      <w:r>
        <w:t>It is noted that a</w:t>
      </w:r>
      <w:r w:rsidR="00DF110D" w:rsidRPr="00DF110D">
        <w:t>lthough TTV replacement is not currently funded in Australia, it has been included in this clinical algorithm for completion due to the ongoing application status for the EVOQUE device in this setting</w:t>
      </w:r>
      <w:r w:rsidR="00A73A9F">
        <w:t xml:space="preserve"> (depicted as dotted box in algorithm)</w:t>
      </w:r>
      <w:r w:rsidR="00DF110D" w:rsidRPr="00DF110D">
        <w:t>.</w:t>
      </w:r>
    </w:p>
    <w:p w14:paraId="26AF1ECE" w14:textId="05B56427" w:rsidR="0049327C" w:rsidRDefault="0049327C" w:rsidP="00327734">
      <w:pPr>
        <w:pStyle w:val="BodyText"/>
      </w:pPr>
      <w:r>
        <w:t>Funding the proposed health technology</w:t>
      </w:r>
      <w:r w:rsidR="00A73A9F">
        <w:t>, TEER,</w:t>
      </w:r>
      <w:r>
        <w:t xml:space="preserve"> would increase the uptake of an intervention that is already being used, albeit to a limited extent, in the Australian public and private systems</w:t>
      </w:r>
      <w:r w:rsidR="00A73A9F">
        <w:t xml:space="preserve"> allowing equity in the access of this procedure</w:t>
      </w:r>
      <w:r>
        <w:t>.</w:t>
      </w:r>
    </w:p>
    <w:p w14:paraId="76D94B8A" w14:textId="273D7D7C" w:rsidR="0049327C" w:rsidRDefault="0049327C" w:rsidP="00327734">
      <w:pPr>
        <w:pStyle w:val="BodyText"/>
      </w:pPr>
      <w:r>
        <w:t>Without the proposed health technology, a small proportion of patients would receive the intervention without reimbursement, thus paying out-of-pocket; while most patients would remain on OMT, continuing to receive suboptimal benefits and experience poor long-term outcomes.</w:t>
      </w:r>
    </w:p>
    <w:p w14:paraId="4131E93D" w14:textId="4864E2F6" w:rsidR="005E1CFB" w:rsidRDefault="0090168B" w:rsidP="00375FD9">
      <w:pPr>
        <w:pStyle w:val="Heading3"/>
      </w:pPr>
      <w:r>
        <w:t xml:space="preserve">Is there any expectation that the clinical management algorithm </w:t>
      </w:r>
      <w:r w:rsidRPr="00B10A36">
        <w:rPr>
          <w:i/>
          <w:iCs/>
        </w:rPr>
        <w:t>before</w:t>
      </w:r>
      <w:r>
        <w:t xml:space="preserve"> the health technology is used will change due to the introduction of the </w:t>
      </w:r>
      <w:r w:rsidRPr="00DD0A06">
        <w:rPr>
          <w:u w:val="single"/>
        </w:rPr>
        <w:t>proposed health technology</w:t>
      </w:r>
      <w:r w:rsidR="005E1CFB">
        <w:t xml:space="preserve">? </w:t>
      </w:r>
    </w:p>
    <w:p w14:paraId="1546906F" w14:textId="2CF1AE7F" w:rsidR="005E1CFB" w:rsidRDefault="00360F47" w:rsidP="00C41C0E">
      <w:pPr>
        <w:pStyle w:val="BodyText"/>
      </w:pPr>
      <w:r>
        <w:t>No</w:t>
      </w:r>
    </w:p>
    <w:p w14:paraId="4F1FB66F" w14:textId="6FDB4A99" w:rsidR="005E1CFB" w:rsidRDefault="0090168B" w:rsidP="00375FD9">
      <w:pPr>
        <w:pStyle w:val="Heading3"/>
      </w:pPr>
      <w:r>
        <w:t xml:space="preserve">Describe and explain any differences in the clinical management algorithm prior to the use of the </w:t>
      </w:r>
      <w:r w:rsidRPr="00DD0A06">
        <w:rPr>
          <w:u w:val="single"/>
        </w:rPr>
        <w:t>proposed health technology</w:t>
      </w:r>
      <w:r>
        <w:t xml:space="preserve"> vs. the </w:t>
      </w:r>
      <w:r w:rsidRPr="00DD0A06">
        <w:rPr>
          <w:u w:val="single"/>
        </w:rPr>
        <w:t>comparator health technology</w:t>
      </w:r>
      <w:r w:rsidR="005E1CFB">
        <w:t>:</w:t>
      </w:r>
    </w:p>
    <w:p w14:paraId="3A536DD7" w14:textId="1BE0F4BD" w:rsidR="00D4560A" w:rsidRDefault="006C025B" w:rsidP="00327734">
      <w:pPr>
        <w:pStyle w:val="BodyText"/>
      </w:pPr>
      <w:r>
        <w:t xml:space="preserve">N/A. </w:t>
      </w:r>
      <w:r w:rsidR="00DE75BC">
        <w:t>T</w:t>
      </w:r>
      <w:r w:rsidR="009F07B2">
        <w:t xml:space="preserve">he </w:t>
      </w:r>
      <w:r w:rsidR="006972EB">
        <w:t xml:space="preserve">work up to determine </w:t>
      </w:r>
      <w:r w:rsidR="009F07B2">
        <w:t xml:space="preserve">suitability for TEER </w:t>
      </w:r>
      <w:r w:rsidR="006972EB">
        <w:t>including tests and assessments</w:t>
      </w:r>
      <w:r w:rsidR="009F07B2">
        <w:t xml:space="preserve"> </w:t>
      </w:r>
      <w:r w:rsidR="005249EB">
        <w:t>are</w:t>
      </w:r>
      <w:r w:rsidR="009F07B2">
        <w:t xml:space="preserve"> outlined above</w:t>
      </w:r>
      <w:r w:rsidR="00FC2765">
        <w:t xml:space="preserve"> </w:t>
      </w:r>
      <w:r w:rsidR="006972EB">
        <w:t xml:space="preserve">(and include </w:t>
      </w:r>
      <w:r w:rsidR="00250230">
        <w:t xml:space="preserve">medical history, </w:t>
      </w:r>
      <w:r w:rsidR="00A3282D">
        <w:t>imaging</w:t>
      </w:r>
      <w:r w:rsidR="00250230">
        <w:t xml:space="preserve"> and</w:t>
      </w:r>
      <w:r w:rsidR="00A3282D">
        <w:t xml:space="preserve"> MDHT</w:t>
      </w:r>
      <w:r w:rsidR="0017272E">
        <w:t>)</w:t>
      </w:r>
      <w:r w:rsidR="005249EB">
        <w:t>.</w:t>
      </w:r>
      <w:r w:rsidR="00FC2765">
        <w:t xml:space="preserve"> </w:t>
      </w:r>
    </w:p>
    <w:p w14:paraId="62B137DD" w14:textId="77777777" w:rsidR="00E67B74" w:rsidRDefault="00E67B74" w:rsidP="00D4560A"/>
    <w:p w14:paraId="2AEB8C28" w14:textId="3FC6B1BC" w:rsidR="00F16239" w:rsidRPr="00360F47" w:rsidRDefault="00F16239" w:rsidP="00375FD9">
      <w:pPr>
        <w:pStyle w:val="Heading2"/>
      </w:pPr>
      <w:r>
        <w:t>Use of</w:t>
      </w:r>
      <w:r w:rsidRPr="0090168B">
        <w:t xml:space="preserve"> the health technology</w:t>
      </w:r>
    </w:p>
    <w:p w14:paraId="025745FB" w14:textId="378EAE90" w:rsidR="0090168B" w:rsidRDefault="00F16239" w:rsidP="0012696D">
      <w:pPr>
        <w:pStyle w:val="Heading3"/>
      </w:pPr>
      <w:r>
        <w:t xml:space="preserve">Explain what other healthcare resources are used in conjunction with delivering the </w:t>
      </w:r>
      <w:r w:rsidRPr="00DD0A06">
        <w:rPr>
          <w:u w:val="single"/>
        </w:rPr>
        <w:t>proposed health technology</w:t>
      </w:r>
      <w:r w:rsidR="0090168B">
        <w:t>:</w:t>
      </w:r>
    </w:p>
    <w:p w14:paraId="63249047" w14:textId="742863CF" w:rsidR="005249EB" w:rsidRDefault="005249EB" w:rsidP="00C41C0E">
      <w:pPr>
        <w:pStyle w:val="BodyText"/>
      </w:pPr>
      <w:r>
        <w:t>The following healthcare resources are used in conjunction with delivering the TEER procedure:</w:t>
      </w:r>
    </w:p>
    <w:p w14:paraId="70F81245" w14:textId="16C71152" w:rsidR="005249EB" w:rsidRDefault="00962F3F" w:rsidP="00327734">
      <w:pPr>
        <w:pStyle w:val="ListParagraph"/>
        <w:numPr>
          <w:ilvl w:val="0"/>
          <w:numId w:val="33"/>
        </w:numPr>
      </w:pPr>
      <w:r>
        <w:t>TEER procedure cost (</w:t>
      </w:r>
      <w:r w:rsidR="007C1838">
        <w:t>proposed MBS item fee)</w:t>
      </w:r>
    </w:p>
    <w:p w14:paraId="0CF07545" w14:textId="59C02BC8" w:rsidR="004A0814" w:rsidRDefault="004A0814" w:rsidP="00327734">
      <w:pPr>
        <w:pStyle w:val="ListParagraph"/>
        <w:numPr>
          <w:ilvl w:val="0"/>
          <w:numId w:val="33"/>
        </w:numPr>
      </w:pPr>
      <w:r>
        <w:t>TriClip™ prosthesis</w:t>
      </w:r>
    </w:p>
    <w:p w14:paraId="36C22077" w14:textId="765C9F05" w:rsidR="007C1838" w:rsidRDefault="007C1838" w:rsidP="00327734">
      <w:pPr>
        <w:pStyle w:val="ListParagraph"/>
        <w:numPr>
          <w:ilvl w:val="0"/>
          <w:numId w:val="33"/>
        </w:numPr>
      </w:pPr>
      <w:r>
        <w:t>Anaesthesia</w:t>
      </w:r>
    </w:p>
    <w:p w14:paraId="737A5800" w14:textId="6D77C2E5" w:rsidR="007C1838" w:rsidRDefault="007C1838" w:rsidP="00327734">
      <w:pPr>
        <w:pStyle w:val="ListParagraph"/>
        <w:numPr>
          <w:ilvl w:val="0"/>
          <w:numId w:val="33"/>
        </w:numPr>
      </w:pPr>
      <w:r>
        <w:t>Intra-operative transoesophageal echocardiography</w:t>
      </w:r>
    </w:p>
    <w:p w14:paraId="3D09A728" w14:textId="537060FF" w:rsidR="007C1838" w:rsidRDefault="00712EF5" w:rsidP="00327734">
      <w:pPr>
        <w:pStyle w:val="ListParagraph"/>
        <w:numPr>
          <w:ilvl w:val="0"/>
          <w:numId w:val="33"/>
        </w:numPr>
      </w:pPr>
      <w:r>
        <w:t>F</w:t>
      </w:r>
      <w:r w:rsidR="007C1838">
        <w:t>lu</w:t>
      </w:r>
      <w:r w:rsidR="00463026">
        <w:t>oroscopy</w:t>
      </w:r>
    </w:p>
    <w:p w14:paraId="6596A91E" w14:textId="79107950" w:rsidR="003B2F3D" w:rsidDel="00DC5CD3" w:rsidRDefault="00B45A13" w:rsidP="00327734">
      <w:pPr>
        <w:pStyle w:val="ListParagraph"/>
        <w:numPr>
          <w:ilvl w:val="0"/>
          <w:numId w:val="33"/>
        </w:numPr>
        <w:spacing w:after="240"/>
      </w:pPr>
      <w:r>
        <w:t>Hospital associated costs</w:t>
      </w:r>
    </w:p>
    <w:p w14:paraId="30F4C267" w14:textId="3EFA6DF1" w:rsidR="0090168B" w:rsidRDefault="00F16239" w:rsidP="00375FD9">
      <w:pPr>
        <w:pStyle w:val="Heading3"/>
      </w:pPr>
      <w:r>
        <w:t xml:space="preserve">Explain what other healthcare resources are used in conjunction with the </w:t>
      </w:r>
      <w:r w:rsidRPr="00DD0A06">
        <w:rPr>
          <w:u w:val="single"/>
        </w:rPr>
        <w:t>comparator health technology</w:t>
      </w:r>
      <w:r w:rsidR="0090168B">
        <w:t>:</w:t>
      </w:r>
    </w:p>
    <w:p w14:paraId="11A1E357" w14:textId="6FB15320" w:rsidR="006561C5" w:rsidRDefault="00FE109B" w:rsidP="00C41C0E">
      <w:pPr>
        <w:pStyle w:val="BodyText"/>
      </w:pPr>
      <w:r>
        <w:t xml:space="preserve">As the comparator is </w:t>
      </w:r>
      <w:r w:rsidR="004A0814">
        <w:t>OMT</w:t>
      </w:r>
      <w:r>
        <w:t xml:space="preserve">, the </w:t>
      </w:r>
      <w:r w:rsidR="00CF7569">
        <w:t>key</w:t>
      </w:r>
      <w:r w:rsidR="00C82E54">
        <w:t xml:space="preserve"> healthcare resources used to deliver this technology </w:t>
      </w:r>
      <w:r w:rsidR="003560B0">
        <w:t xml:space="preserve">involve ongoing </w:t>
      </w:r>
      <w:r w:rsidR="00432EB5">
        <w:t>consultations with cardiologists and specialists, and pharmaceuticals.</w:t>
      </w:r>
    </w:p>
    <w:p w14:paraId="2538706B" w14:textId="1B6D5CF2" w:rsidR="004A0814" w:rsidRDefault="00F16239" w:rsidP="0012696D">
      <w:pPr>
        <w:pStyle w:val="Heading3"/>
      </w:pPr>
      <w:r>
        <w:t xml:space="preserve">Describe and explain any differences in the healthcare resources used in conjunction with the </w:t>
      </w:r>
      <w:r w:rsidRPr="00DD0A06">
        <w:rPr>
          <w:u w:val="single"/>
        </w:rPr>
        <w:t>proposed health technology</w:t>
      </w:r>
      <w:r>
        <w:t xml:space="preserve"> vs. the </w:t>
      </w:r>
      <w:r w:rsidRPr="00DD0A06">
        <w:rPr>
          <w:u w:val="single"/>
        </w:rPr>
        <w:t>comparator health technology</w:t>
      </w:r>
      <w:r>
        <w:t>:</w:t>
      </w:r>
    </w:p>
    <w:p w14:paraId="4DD8E7FD" w14:textId="03BDDE19" w:rsidR="004A0814" w:rsidRPr="00327734" w:rsidRDefault="005E3786" w:rsidP="00327734">
      <w:pPr>
        <w:pStyle w:val="BodyText"/>
      </w:pPr>
      <w:r w:rsidRPr="00327734">
        <w:t>As outline</w:t>
      </w:r>
      <w:r w:rsidR="00227608" w:rsidRPr="00327734">
        <w:t>d</w:t>
      </w:r>
      <w:r w:rsidRPr="00327734">
        <w:t xml:space="preserve"> above, a number of healthcare resources are used in conjunction with TEER</w:t>
      </w:r>
      <w:r w:rsidR="00D87ACF" w:rsidRPr="00327734">
        <w:t xml:space="preserve"> (including the procedure </w:t>
      </w:r>
      <w:r w:rsidR="00357D55" w:rsidRPr="00327734">
        <w:t>itself</w:t>
      </w:r>
      <w:r w:rsidR="00D87ACF" w:rsidRPr="00327734">
        <w:t xml:space="preserve">, the device, anaesthetics, imaging and hospitalisation associated resources), compared with the comparator, OMT, </w:t>
      </w:r>
      <w:r w:rsidR="00D37BD0" w:rsidRPr="00327734">
        <w:t xml:space="preserve">which requires ongoing </w:t>
      </w:r>
      <w:r w:rsidR="006967CE" w:rsidRPr="00327734">
        <w:t xml:space="preserve">consultation with specialists </w:t>
      </w:r>
      <w:r w:rsidR="008820F6" w:rsidRPr="00327734">
        <w:t xml:space="preserve">and pharmaceuticals. Notably, patients undergoing TEER will continue OMT after the procedure. </w:t>
      </w:r>
    </w:p>
    <w:p w14:paraId="2BE17ED5" w14:textId="3C303841" w:rsidR="00F16239" w:rsidRPr="002C3472" w:rsidRDefault="00DD0A06" w:rsidP="00375FD9">
      <w:pPr>
        <w:pStyle w:val="Heading2"/>
      </w:pPr>
      <w:r>
        <w:t>Clinical management after the use of</w:t>
      </w:r>
      <w:r w:rsidR="00F16239" w:rsidRPr="0090168B">
        <w:t xml:space="preserve"> health technology</w:t>
      </w:r>
    </w:p>
    <w:p w14:paraId="0F9746E5" w14:textId="6D182753" w:rsidR="00585045" w:rsidRDefault="00F16239" w:rsidP="0012696D">
      <w:pPr>
        <w:pStyle w:val="Heading3"/>
      </w:pPr>
      <w:r>
        <w:t xml:space="preserve">Define and summarise the clinical management algorithm, including any required tests or healthcare resources, </w:t>
      </w:r>
      <w:r w:rsidRPr="00DD0A06">
        <w:rPr>
          <w:i/>
          <w:iCs/>
        </w:rPr>
        <w:t>after</w:t>
      </w:r>
      <w:r>
        <w:t xml:space="preserve"> the use of the </w:t>
      </w:r>
      <w:r w:rsidRPr="00DD0A06">
        <w:rPr>
          <w:u w:val="single"/>
        </w:rPr>
        <w:t>proposed health technology</w:t>
      </w:r>
      <w:r>
        <w:t>:</w:t>
      </w:r>
    </w:p>
    <w:p w14:paraId="2EFD0C6B" w14:textId="2B2978BE" w:rsidR="00F01E2B" w:rsidRPr="00585045" w:rsidRDefault="00AC65B3" w:rsidP="00327734">
      <w:pPr>
        <w:pStyle w:val="BodyText"/>
      </w:pPr>
      <w:r>
        <w:t>According to the Applicant, f</w:t>
      </w:r>
      <w:r w:rsidR="00F01E2B">
        <w:t>ollow up after TEER is as follows:</w:t>
      </w:r>
    </w:p>
    <w:p w14:paraId="34D98036" w14:textId="77777777" w:rsidR="00F01E2B" w:rsidRDefault="00585045" w:rsidP="00FE09B0">
      <w:pPr>
        <w:pStyle w:val="ListParagraph"/>
        <w:numPr>
          <w:ilvl w:val="0"/>
          <w:numId w:val="19"/>
        </w:numPr>
      </w:pPr>
      <w:r w:rsidRPr="00F01E2B">
        <w:t>Follow up echo (TTE) prior to discharge and then follow up every 1 to 2 years.</w:t>
      </w:r>
    </w:p>
    <w:p w14:paraId="12E01071" w14:textId="77777777" w:rsidR="00F01E2B" w:rsidRDefault="00585045" w:rsidP="00FE09B0">
      <w:pPr>
        <w:pStyle w:val="ListParagraph"/>
        <w:numPr>
          <w:ilvl w:val="0"/>
          <w:numId w:val="19"/>
        </w:numPr>
      </w:pPr>
      <w:r w:rsidRPr="00F01E2B">
        <w:t>Clinical manifestations of TR can be non-cardiac (tests may include ultrasound and blood tests to assess liver and kidneys).</w:t>
      </w:r>
    </w:p>
    <w:p w14:paraId="184FEACC" w14:textId="6D29EAFD" w:rsidR="00FE09B0" w:rsidRDefault="005D7733" w:rsidP="00FE09B0">
      <w:pPr>
        <w:pStyle w:val="ListParagraph"/>
        <w:numPr>
          <w:ilvl w:val="0"/>
          <w:numId w:val="19"/>
        </w:numPr>
      </w:pPr>
      <w:r>
        <w:t>C</w:t>
      </w:r>
      <w:r w:rsidR="001A1AF8">
        <w:t>ontinued use of diuretics post-procedure for some patients.</w:t>
      </w:r>
    </w:p>
    <w:p w14:paraId="5592657C" w14:textId="77777777" w:rsidR="00CA39A2" w:rsidRDefault="00CA39A2" w:rsidP="00CA39A2"/>
    <w:p w14:paraId="3AAC8FD3" w14:textId="2047FC90" w:rsidR="00F16239" w:rsidRDefault="00F16239" w:rsidP="00375FD9">
      <w:pPr>
        <w:pStyle w:val="Heading3"/>
      </w:pPr>
      <w:r>
        <w:t xml:space="preserve">Define and summarise the clinical management algorithm, including any required tests or healthcare resources, </w:t>
      </w:r>
      <w:r w:rsidRPr="00545A4C">
        <w:rPr>
          <w:i/>
          <w:iCs/>
        </w:rPr>
        <w:t>after</w:t>
      </w:r>
      <w:r>
        <w:t xml:space="preserve"> the use of the </w:t>
      </w:r>
      <w:r w:rsidRPr="00545A4C">
        <w:rPr>
          <w:u w:val="single"/>
        </w:rPr>
        <w:t>comparator health technology</w:t>
      </w:r>
      <w:r>
        <w:t>:</w:t>
      </w:r>
    </w:p>
    <w:p w14:paraId="2589317B" w14:textId="488BF76E" w:rsidR="00961EC9" w:rsidRPr="00BE6B22" w:rsidRDefault="00961EC9" w:rsidP="00C41C0E">
      <w:pPr>
        <w:pStyle w:val="BodyText"/>
        <w:rPr>
          <w:rFonts w:asciiTheme="minorHAnsi" w:eastAsia="Segoe UI" w:hAnsiTheme="minorHAnsi" w:cstheme="minorHAnsi"/>
        </w:rPr>
      </w:pPr>
      <w:r>
        <w:t xml:space="preserve">As </w:t>
      </w:r>
      <w:r w:rsidR="00D3479F">
        <w:t>specified in the Ratified PICO of</w:t>
      </w:r>
      <w:r>
        <w:t xml:space="preserve"> </w:t>
      </w:r>
      <w:r w:rsidR="00F32017">
        <w:t>Application</w:t>
      </w:r>
      <w:r>
        <w:t xml:space="preserve"> 1799, </w:t>
      </w:r>
      <w:r w:rsidR="007D3B0E">
        <w:t>patients who receive OMT require ongoing monitoring of weight, blood pressure and symptom exacerbation, alongside full blood tests for renal function and electrolytes.</w:t>
      </w:r>
    </w:p>
    <w:p w14:paraId="344880EF" w14:textId="0D1EE335" w:rsidR="00F16239" w:rsidRDefault="00F16239" w:rsidP="00375FD9">
      <w:pPr>
        <w:pStyle w:val="Heading3"/>
      </w:pPr>
      <w:r>
        <w:t xml:space="preserve">Describe and explain any differences in the healthcare resources used </w:t>
      </w:r>
      <w:r w:rsidRPr="00545A4C">
        <w:rPr>
          <w:i/>
          <w:iCs/>
        </w:rPr>
        <w:t>after</w:t>
      </w:r>
      <w:r>
        <w:t xml:space="preserve"> the </w:t>
      </w:r>
      <w:r w:rsidRPr="00545A4C">
        <w:rPr>
          <w:u w:val="single"/>
        </w:rPr>
        <w:t>proposed health technology</w:t>
      </w:r>
      <w:r>
        <w:t xml:space="preserve"> vs. the </w:t>
      </w:r>
      <w:r w:rsidRPr="00545A4C">
        <w:rPr>
          <w:u w:val="single"/>
        </w:rPr>
        <w:t>comparator health technology</w:t>
      </w:r>
      <w:r>
        <w:t>:</w:t>
      </w:r>
    </w:p>
    <w:p w14:paraId="16DE65E1" w14:textId="0DBC2F6B" w:rsidR="00F90123" w:rsidRDefault="0033733C" w:rsidP="00421E32">
      <w:pPr>
        <w:pStyle w:val="BodyText"/>
        <w:rPr>
          <w:rFonts w:eastAsia="Segoe UI"/>
        </w:rPr>
      </w:pPr>
      <w:r>
        <w:rPr>
          <w:rFonts w:eastAsia="Segoe UI"/>
        </w:rPr>
        <w:t xml:space="preserve">The main difference </w:t>
      </w:r>
      <w:r w:rsidR="00D21E46">
        <w:rPr>
          <w:rFonts w:eastAsia="Segoe UI"/>
        </w:rPr>
        <w:t>in the healthcare resources used after TEER vs OMT is f</w:t>
      </w:r>
      <w:r w:rsidR="00D21E46" w:rsidRPr="00D21E46">
        <w:rPr>
          <w:rFonts w:eastAsia="Segoe UI"/>
        </w:rPr>
        <w:t>ollow up TTE prior to discharge and then follow up every 1 to 2 years</w:t>
      </w:r>
      <w:r w:rsidR="00F90123">
        <w:rPr>
          <w:rFonts w:eastAsia="Segoe UI"/>
        </w:rPr>
        <w:t xml:space="preserve"> after the procedure</w:t>
      </w:r>
      <w:r w:rsidR="00D21E46" w:rsidRPr="00D21E46">
        <w:rPr>
          <w:rFonts w:eastAsia="Segoe UI"/>
        </w:rPr>
        <w:t>.</w:t>
      </w:r>
    </w:p>
    <w:p w14:paraId="778CA512" w14:textId="2BEF500A" w:rsidR="00F16239" w:rsidRPr="00F16239" w:rsidRDefault="00F16239" w:rsidP="00375FD9">
      <w:pPr>
        <w:pStyle w:val="Heading2"/>
      </w:pPr>
      <w:r w:rsidRPr="00F16239">
        <w:t>Algorithms</w:t>
      </w:r>
    </w:p>
    <w:p w14:paraId="29944CD7" w14:textId="5EDE36A1" w:rsidR="00545A4C" w:rsidRDefault="00364572" w:rsidP="00375FD9">
      <w:pPr>
        <w:pStyle w:val="Heading3"/>
      </w:pPr>
      <w:r>
        <w:t xml:space="preserve">Insert </w:t>
      </w:r>
      <w:r w:rsidR="00545A4C">
        <w:t>diagrams demonstrating the clinical management algorithm with and without the proposed health technology:</w:t>
      </w:r>
    </w:p>
    <w:p w14:paraId="0EB5EB03" w14:textId="77777777" w:rsidR="005837E9" w:rsidRDefault="005837E9" w:rsidP="00C41C0E">
      <w:pPr>
        <w:pStyle w:val="BodyText"/>
        <w:rPr>
          <w:rFonts w:eastAsia="Segoe UI"/>
        </w:rPr>
      </w:pPr>
    </w:p>
    <w:p w14:paraId="7354F091" w14:textId="77777777" w:rsidR="005B2A66" w:rsidRDefault="00DB109B" w:rsidP="005B2A66">
      <w:pPr>
        <w:pStyle w:val="BodyText"/>
        <w:keepNext/>
      </w:pPr>
      <w:r>
        <w:rPr>
          <w:noProof/>
        </w:rPr>
        <w:drawing>
          <wp:inline distT="0" distB="0" distL="0" distR="0" wp14:anchorId="44DA171A" wp14:editId="3C1E1029">
            <wp:extent cx="4809392" cy="4681898"/>
            <wp:effectExtent l="0" t="0" r="0" b="4445"/>
            <wp:docPr id="207661065" name="Picture 2" descr="Flow chart showing the current clinical management of patients with TR, including surgical repair or replacement and optimal medical manag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61065" name="Picture 2" descr="Flow chart showing the current clinical management of patients with TR, including surgical repair or replacement and optimal medical management. "/>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a:stretch>
                      <a:fillRect/>
                    </a:stretch>
                  </pic:blipFill>
                  <pic:spPr bwMode="auto">
                    <a:xfrm>
                      <a:off x="0" y="0"/>
                      <a:ext cx="4816981" cy="4689286"/>
                    </a:xfrm>
                    <a:prstGeom prst="rect">
                      <a:avLst/>
                    </a:prstGeom>
                    <a:noFill/>
                    <a:ln>
                      <a:noFill/>
                    </a:ln>
                    <a:extLst>
                      <a:ext uri="{53640926-AAD7-44D8-BBD7-CCE9431645EC}">
                        <a14:shadowObscured xmlns:a14="http://schemas.microsoft.com/office/drawing/2010/main"/>
                      </a:ext>
                    </a:extLst>
                  </pic:spPr>
                </pic:pic>
              </a:graphicData>
            </a:graphic>
          </wp:inline>
        </w:drawing>
      </w:r>
    </w:p>
    <w:p w14:paraId="5A962CD0" w14:textId="42AB144E" w:rsidR="00267F84" w:rsidRDefault="005B2A66" w:rsidP="005B2A66">
      <w:pPr>
        <w:pStyle w:val="Caption"/>
      </w:pPr>
      <w:bookmarkStart w:id="18" w:name="_Ref204238763"/>
      <w:r>
        <w:t xml:space="preserve">Figure </w:t>
      </w:r>
      <w:r>
        <w:fldChar w:fldCharType="begin"/>
      </w:r>
      <w:r>
        <w:instrText xml:space="preserve"> SEQ Figure \* ARABIC </w:instrText>
      </w:r>
      <w:r>
        <w:fldChar w:fldCharType="separate"/>
      </w:r>
      <w:r w:rsidR="00A55944">
        <w:rPr>
          <w:noProof/>
        </w:rPr>
        <w:t>3</w:t>
      </w:r>
      <w:r>
        <w:fldChar w:fldCharType="end"/>
      </w:r>
      <w:bookmarkEnd w:id="18"/>
      <w:r>
        <w:t xml:space="preserve"> </w:t>
      </w:r>
      <w:r w:rsidRPr="00377029">
        <w:t>Clinical algorithm for tricuspid regurgitation (adapted from Figure 2 of Ratified PICO for Application 1799)</w:t>
      </w:r>
    </w:p>
    <w:p w14:paraId="4A3D3148" w14:textId="59808909" w:rsidR="00EA4C0C" w:rsidRDefault="00EA4C0C" w:rsidP="00267F84">
      <w:pPr>
        <w:pStyle w:val="NoteHeading"/>
      </w:pPr>
      <w:r>
        <w:t xml:space="preserve">Abbreviations: </w:t>
      </w:r>
      <w:r w:rsidR="00944547">
        <w:t xml:space="preserve">LVEF, left ventricular ejection fraction; OMT, optimal medical management; sPAP, systolic pulmonary arterial pressure; </w:t>
      </w:r>
      <w:r w:rsidR="00754FDC">
        <w:t>TEER, tr</w:t>
      </w:r>
      <w:r w:rsidR="002618B8">
        <w:t xml:space="preserve">anscatheter edge-to-edge repair; </w:t>
      </w:r>
      <w:r>
        <w:t>TR, tricuspid regurgitation</w:t>
      </w:r>
      <w:r w:rsidR="00944547">
        <w:t xml:space="preserve">; </w:t>
      </w:r>
      <w:r w:rsidR="00754FDC">
        <w:t xml:space="preserve">TTV, transcatheter tricuspid valve; </w:t>
      </w:r>
      <w:r w:rsidR="00944547">
        <w:t>TTVI, transcatheter tricuspid valve intervention</w:t>
      </w:r>
    </w:p>
    <w:p w14:paraId="54B68C4F" w14:textId="14CDD643" w:rsidR="00F16239" w:rsidRDefault="00761212" w:rsidP="00267F84">
      <w:pPr>
        <w:pStyle w:val="NoteHeading"/>
      </w:pPr>
      <w:r>
        <w:t xml:space="preserve">a </w:t>
      </w:r>
      <w:r w:rsidR="00C101D3">
        <w:t>Severity determined by echocardiography using American Society of Echocardiography (ASE) grading</w:t>
      </w:r>
    </w:p>
    <w:p w14:paraId="07BEE932" w14:textId="2084478E" w:rsidR="00C101D3" w:rsidRDefault="00C101D3" w:rsidP="00C101D3">
      <w:pPr>
        <w:pStyle w:val="NoteHeading"/>
      </w:pPr>
      <w:r>
        <w:t xml:space="preserve">b </w:t>
      </w:r>
      <w:r w:rsidR="00055024">
        <w:t>Symptomatic = NYHA Class II, III or ambulatory class IV</w:t>
      </w:r>
    </w:p>
    <w:p w14:paraId="0AAF5BC1" w14:textId="47AAFBFB" w:rsidR="00055024" w:rsidRDefault="00055024" w:rsidP="00055024">
      <w:pPr>
        <w:pStyle w:val="NoteHeading"/>
      </w:pPr>
      <w:r>
        <w:t xml:space="preserve">c </w:t>
      </w:r>
      <w:r w:rsidR="00964BAB">
        <w:t>OMT refers to stable diuretic therapy at a minimum</w:t>
      </w:r>
    </w:p>
    <w:p w14:paraId="783FD667" w14:textId="16543C5F" w:rsidR="00964BAB" w:rsidRDefault="00964BAB" w:rsidP="00964BAB">
      <w:pPr>
        <w:pStyle w:val="NoteHeading"/>
      </w:pPr>
      <w:r>
        <w:t>d Patients are considered for surgery by a multidisciplinary heart team, combining surgical risk assessment, frailty, major organ dysfunction and procedure-specific impediments</w:t>
      </w:r>
    </w:p>
    <w:p w14:paraId="1BDD43B8" w14:textId="77777777" w:rsidR="002859B0" w:rsidRDefault="00964BAB" w:rsidP="00964BAB">
      <w:pPr>
        <w:pStyle w:val="NoteHeading"/>
      </w:pPr>
      <w:r>
        <w:t>e Patients are considered for TEER based on clinical and technical factors.</w:t>
      </w:r>
    </w:p>
    <w:p w14:paraId="419E25C6" w14:textId="4ECA6B01" w:rsidR="00964BAB" w:rsidRDefault="002859B0" w:rsidP="00964BAB">
      <w:pPr>
        <w:pStyle w:val="NoteHeading"/>
      </w:pPr>
      <w:r>
        <w:t xml:space="preserve">Note: </w:t>
      </w:r>
      <w:r w:rsidR="00964BAB">
        <w:t xml:space="preserve">Although TTV replacement is not currently funded in </w:t>
      </w:r>
      <w:r>
        <w:t xml:space="preserve">Australia, it has been included in this clinical algorithm for completion due to the </w:t>
      </w:r>
      <w:r w:rsidR="00EA4C0C">
        <w:t>ongoing application status for the EVOQUE device in this setting.</w:t>
      </w:r>
    </w:p>
    <w:p w14:paraId="6B0CE0D7" w14:textId="38545B95" w:rsidR="002618B8" w:rsidRPr="00E2184C" w:rsidRDefault="002618B8" w:rsidP="002618B8">
      <w:pPr>
        <w:pStyle w:val="NoteHeading"/>
        <w:rPr>
          <w:i/>
        </w:rPr>
      </w:pPr>
      <w:r>
        <w:t xml:space="preserve">Source: adapted from the </w:t>
      </w:r>
      <w:r w:rsidR="0086741F">
        <w:t xml:space="preserve">Ratified PICO of </w:t>
      </w:r>
      <w:r>
        <w:t>MSAC application</w:t>
      </w:r>
      <w:r w:rsidR="008A2E4C">
        <w:t xml:space="preserve"> 1799</w:t>
      </w:r>
    </w:p>
    <w:p w14:paraId="6C9858E7" w14:textId="77777777" w:rsidR="00636E95" w:rsidRDefault="00636E95" w:rsidP="00375FD9"/>
    <w:p w14:paraId="5C94C69B" w14:textId="25FE12DD" w:rsidR="004A45BE" w:rsidRDefault="004A45BE" w:rsidP="00375FD9">
      <w:pPr>
        <w:pStyle w:val="Heading1"/>
      </w:pPr>
      <w:r>
        <w:t>Claims</w:t>
      </w:r>
    </w:p>
    <w:p w14:paraId="48DF0F99" w14:textId="798AD5A2" w:rsidR="004A45BE" w:rsidRDefault="004A45BE" w:rsidP="00375FD9">
      <w:pPr>
        <w:pStyle w:val="Heading3"/>
      </w:pPr>
      <w:bookmarkStart w:id="19" w:name="_Hlk121218597"/>
      <w:r>
        <w:t xml:space="preserve">In terms of health outcomes (comparative benefits and harms), is the proposed technology claimed to be superior, non-inferior or inferior to the comparator(s)? </w:t>
      </w:r>
    </w:p>
    <w:p w14:paraId="137243BD" w14:textId="3D7D76B2" w:rsidR="004209FC" w:rsidRPr="000627EF" w:rsidRDefault="00521E3C" w:rsidP="0043567E">
      <w:pPr>
        <w:pStyle w:val="BodyText"/>
        <w:spacing w:after="0"/>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4209FC" w:rsidRPr="000627EF">
        <w:t xml:space="preserve"> </w:t>
      </w:r>
      <w:r w:rsidR="004209FC">
        <w:t>Superior</w:t>
      </w:r>
      <w:r w:rsidR="004209FC" w:rsidRPr="000627EF">
        <w:t xml:space="preserve"> </w:t>
      </w:r>
    </w:p>
    <w:p w14:paraId="219D6AC6" w14:textId="77777777" w:rsidR="004209FC" w:rsidRPr="000627EF" w:rsidRDefault="004209FC" w:rsidP="0043567E">
      <w:pPr>
        <w:pStyle w:val="BodyText"/>
        <w:spacing w:after="0"/>
      </w:pPr>
      <w:r w:rsidRPr="000627EF">
        <w:fldChar w:fldCharType="begin">
          <w:ffData>
            <w:name w:val="Check2"/>
            <w:enabled/>
            <w:calcOnExit w:val="0"/>
            <w:checkBox>
              <w:sizeAuto/>
              <w:default w:val="0"/>
            </w:checkBox>
          </w:ffData>
        </w:fldChar>
      </w:r>
      <w:r w:rsidRPr="000627EF">
        <w:instrText xml:space="preserve"> FORMCHECKBOX </w:instrText>
      </w:r>
      <w:r w:rsidRPr="000627EF">
        <w:fldChar w:fldCharType="separate"/>
      </w:r>
      <w:r w:rsidRPr="000627EF">
        <w:fldChar w:fldCharType="end"/>
      </w:r>
      <w:r w:rsidRPr="000627EF">
        <w:t xml:space="preserve"> </w:t>
      </w:r>
      <w:r>
        <w:t>Non-inferior</w:t>
      </w:r>
    </w:p>
    <w:p w14:paraId="2F1601DA" w14:textId="5D1CB753" w:rsidR="004209FC" w:rsidRPr="000627EF" w:rsidRDefault="007E3BAF" w:rsidP="0043567E">
      <w:pPr>
        <w:pStyle w:val="BodyText"/>
        <w:spacing w:after="0"/>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4209FC" w:rsidRPr="000627EF">
        <w:t xml:space="preserve"> </w:t>
      </w:r>
      <w:r w:rsidR="004209FC">
        <w:t>Inferior</w:t>
      </w:r>
      <w:r w:rsidR="004209FC" w:rsidRPr="000627EF">
        <w:t xml:space="preserve"> </w:t>
      </w:r>
    </w:p>
    <w:p w14:paraId="0A260CA0" w14:textId="2E8DE7C0" w:rsidR="00364572" w:rsidRPr="00364572" w:rsidRDefault="00364572" w:rsidP="00375FD9">
      <w:pPr>
        <w:pStyle w:val="Heading3"/>
      </w:pPr>
      <w:r w:rsidRPr="0026282C">
        <w:t>Please state what the overall claim is, and provide a rationale</w:t>
      </w:r>
      <w:r w:rsidRPr="00B15CDF">
        <w:t>:</w:t>
      </w:r>
    </w:p>
    <w:p w14:paraId="590FAF85" w14:textId="77777777" w:rsidR="00AE0F1E" w:rsidRDefault="00AE0F1E" w:rsidP="00AE0F1E"/>
    <w:p w14:paraId="6953BAFD" w14:textId="479B220E" w:rsidR="00AE0F1E" w:rsidRPr="00AE0F1E" w:rsidRDefault="00B17AA1" w:rsidP="00AA1AEE">
      <w:pPr>
        <w:pStyle w:val="BodyText"/>
      </w:pPr>
      <w:r>
        <w:t>Overall, t</w:t>
      </w:r>
      <w:r w:rsidR="00AE0F1E">
        <w:t>he expected clinical claim</w:t>
      </w:r>
      <w:r w:rsidR="00DB5F79">
        <w:t xml:space="preserve"> is that relative to OMT, TEER </w:t>
      </w:r>
      <w:r w:rsidR="001B539E">
        <w:t xml:space="preserve">+ OMT </w:t>
      </w:r>
      <w:r w:rsidR="00DB5F79">
        <w:t>is</w:t>
      </w:r>
      <w:r w:rsidR="006851CE">
        <w:t>:</w:t>
      </w:r>
    </w:p>
    <w:p w14:paraId="4E8AB9C1" w14:textId="77777777" w:rsidR="001C4027" w:rsidRDefault="00F346ED" w:rsidP="00F346ED">
      <w:pPr>
        <w:pStyle w:val="ListParagraph"/>
        <w:numPr>
          <w:ilvl w:val="0"/>
          <w:numId w:val="22"/>
        </w:numPr>
      </w:pPr>
      <w:r>
        <w:t>Superior with respect to change in TR severity</w:t>
      </w:r>
    </w:p>
    <w:p w14:paraId="5224FCE8" w14:textId="6B8298E5" w:rsidR="00F631CC" w:rsidRDefault="00042D73" w:rsidP="00F631CC">
      <w:pPr>
        <w:pStyle w:val="ListParagraph"/>
        <w:numPr>
          <w:ilvl w:val="0"/>
          <w:numId w:val="22"/>
        </w:numPr>
      </w:pPr>
      <w:r>
        <w:t xml:space="preserve">Superior with respect to </w:t>
      </w:r>
      <w:r w:rsidR="00450029">
        <w:t>mortality.</w:t>
      </w:r>
    </w:p>
    <w:p w14:paraId="5409AF95" w14:textId="0C6E53D2" w:rsidR="000C0897" w:rsidRDefault="000C0897" w:rsidP="00042D73">
      <w:pPr>
        <w:pStyle w:val="ListParagraph"/>
        <w:numPr>
          <w:ilvl w:val="0"/>
          <w:numId w:val="22"/>
        </w:numPr>
      </w:pPr>
      <w:r>
        <w:t>Superior with respect to quality of life</w:t>
      </w:r>
      <w:r w:rsidR="007929F2">
        <w:t>.</w:t>
      </w:r>
    </w:p>
    <w:p w14:paraId="3906F20C" w14:textId="77777777" w:rsidR="00F631CC" w:rsidRDefault="00F631CC" w:rsidP="007B24CC">
      <w:pPr>
        <w:pStyle w:val="ListParagraph"/>
        <w:numPr>
          <w:ilvl w:val="0"/>
          <w:numId w:val="22"/>
        </w:numPr>
      </w:pPr>
      <w:r>
        <w:t>Superior with respect to heart failure hospitalisation.</w:t>
      </w:r>
    </w:p>
    <w:p w14:paraId="1EE72227" w14:textId="7C1B2929" w:rsidR="002E2C22" w:rsidRPr="002E2C22" w:rsidRDefault="00E71EAE" w:rsidP="007B24CC">
      <w:pPr>
        <w:pStyle w:val="ListParagraph"/>
        <w:numPr>
          <w:ilvl w:val="0"/>
          <w:numId w:val="22"/>
        </w:numPr>
      </w:pPr>
      <w:r>
        <w:t xml:space="preserve">Inferior </w:t>
      </w:r>
      <w:r w:rsidR="00C8696D">
        <w:t xml:space="preserve">with respect </w:t>
      </w:r>
      <w:r>
        <w:t>to</w:t>
      </w:r>
      <w:r w:rsidR="00903836">
        <w:t xml:space="preserve"> </w:t>
      </w:r>
      <w:r w:rsidR="00F346ED">
        <w:t xml:space="preserve">safety </w:t>
      </w:r>
      <w:r w:rsidR="008960D2">
        <w:t xml:space="preserve">such as </w:t>
      </w:r>
      <w:r w:rsidR="00BB5AD3">
        <w:t>procedural complica</w:t>
      </w:r>
      <w:r w:rsidR="00BB5AD3" w:rsidRPr="00F41138">
        <w:t>tions</w:t>
      </w:r>
      <w:r w:rsidR="007B24CC">
        <w:t>.</w:t>
      </w:r>
    </w:p>
    <w:bookmarkEnd w:id="19"/>
    <w:p w14:paraId="3AFF5ADE" w14:textId="77777777" w:rsidR="007B24CC" w:rsidRDefault="007B24CC" w:rsidP="007B24CC">
      <w:pPr>
        <w:pStyle w:val="ListParagraph"/>
      </w:pPr>
    </w:p>
    <w:p w14:paraId="49B2323A" w14:textId="4A20A05C" w:rsidR="007C31CA" w:rsidRDefault="007D1C9F" w:rsidP="00416F98">
      <w:pPr>
        <w:pStyle w:val="BodyText"/>
        <w:rPr>
          <w:rFonts w:eastAsia="Segoe UI"/>
        </w:rPr>
      </w:pPr>
      <w:r>
        <w:rPr>
          <w:rFonts w:eastAsia="Segoe UI"/>
        </w:rPr>
        <w:t xml:space="preserve">The </w:t>
      </w:r>
      <w:r w:rsidR="00416F98" w:rsidRPr="00416F98">
        <w:rPr>
          <w:rFonts w:eastAsia="Segoe UI"/>
        </w:rPr>
        <w:t>primary end point</w:t>
      </w:r>
      <w:r w:rsidR="00416F98">
        <w:rPr>
          <w:rFonts w:eastAsia="Segoe UI"/>
        </w:rPr>
        <w:t xml:space="preserve"> </w:t>
      </w:r>
      <w:r>
        <w:rPr>
          <w:rFonts w:eastAsia="Segoe UI"/>
        </w:rPr>
        <w:t xml:space="preserve">from the </w:t>
      </w:r>
      <w:r w:rsidR="003B3105">
        <w:rPr>
          <w:rFonts w:eastAsia="Segoe UI"/>
        </w:rPr>
        <w:t xml:space="preserve">TRILUMINATE </w:t>
      </w:r>
      <w:r w:rsidR="00F60BEB">
        <w:rPr>
          <w:rFonts w:eastAsia="Segoe UI"/>
        </w:rPr>
        <w:t>Pivotal trial</w:t>
      </w:r>
      <w:r w:rsidR="00416F98" w:rsidRPr="00416F98">
        <w:rPr>
          <w:rFonts w:eastAsia="Segoe UI"/>
        </w:rPr>
        <w:t xml:space="preserve"> was a hierarchical composite</w:t>
      </w:r>
      <w:r w:rsidR="00416F98">
        <w:rPr>
          <w:rFonts w:eastAsia="Segoe UI"/>
        </w:rPr>
        <w:t xml:space="preserve"> </w:t>
      </w:r>
      <w:r w:rsidR="00416F98" w:rsidRPr="00416F98">
        <w:rPr>
          <w:rFonts w:eastAsia="Segoe UI"/>
        </w:rPr>
        <w:t>that</w:t>
      </w:r>
      <w:r w:rsidR="005B604F">
        <w:rPr>
          <w:rFonts w:eastAsia="Segoe UI"/>
        </w:rPr>
        <w:t xml:space="preserve"> </w:t>
      </w:r>
      <w:r w:rsidR="005B604F" w:rsidRPr="005B604F">
        <w:rPr>
          <w:rFonts w:eastAsia="Segoe UI"/>
        </w:rPr>
        <w:t>included death from any cause or tricuspid</w:t>
      </w:r>
      <w:r w:rsidR="00416F98" w:rsidRPr="00416F98">
        <w:rPr>
          <w:rFonts w:eastAsia="Segoe UI"/>
        </w:rPr>
        <w:t>-</w:t>
      </w:r>
      <w:r w:rsidR="005B604F" w:rsidRPr="005B604F">
        <w:rPr>
          <w:rFonts w:eastAsia="Segoe UI"/>
        </w:rPr>
        <w:t>valve</w:t>
      </w:r>
      <w:r w:rsidR="00416F98" w:rsidRPr="00416F98">
        <w:rPr>
          <w:rFonts w:eastAsia="Segoe UI"/>
        </w:rPr>
        <w:t xml:space="preserve"> </w:t>
      </w:r>
      <w:r w:rsidR="005B604F" w:rsidRPr="005B604F">
        <w:rPr>
          <w:rFonts w:eastAsia="Segoe UI"/>
        </w:rPr>
        <w:t xml:space="preserve">surgery; hospitalisation for heart failure; and an improvement in quality of life </w:t>
      </w:r>
      <w:r w:rsidR="00416F98" w:rsidRPr="00416F98">
        <w:rPr>
          <w:rFonts w:eastAsia="Segoe UI"/>
        </w:rPr>
        <w:t>as</w:t>
      </w:r>
      <w:r w:rsidR="00416F98">
        <w:rPr>
          <w:rFonts w:eastAsia="Segoe UI"/>
        </w:rPr>
        <w:t xml:space="preserve"> </w:t>
      </w:r>
      <w:r w:rsidR="00416F98" w:rsidRPr="00416F98">
        <w:rPr>
          <w:rFonts w:eastAsia="Segoe UI"/>
        </w:rPr>
        <w:t>measured with the KCCQ, with an improvement</w:t>
      </w:r>
      <w:r w:rsidR="00416F98">
        <w:rPr>
          <w:rFonts w:eastAsia="Segoe UI"/>
        </w:rPr>
        <w:t xml:space="preserve"> </w:t>
      </w:r>
      <w:r w:rsidR="005B604F" w:rsidRPr="005B604F">
        <w:rPr>
          <w:rFonts w:eastAsia="Segoe UI"/>
        </w:rPr>
        <w:t xml:space="preserve">defined as </w:t>
      </w:r>
      <w:r w:rsidR="00416F98" w:rsidRPr="00416F98">
        <w:rPr>
          <w:rFonts w:eastAsia="Segoe UI"/>
        </w:rPr>
        <w:t xml:space="preserve">an </w:t>
      </w:r>
      <w:r w:rsidR="005B604F" w:rsidRPr="005B604F">
        <w:rPr>
          <w:rFonts w:eastAsia="Segoe UI"/>
        </w:rPr>
        <w:t xml:space="preserve">increase </w:t>
      </w:r>
      <w:r w:rsidR="00416F98" w:rsidRPr="00416F98">
        <w:rPr>
          <w:rFonts w:eastAsia="Segoe UI"/>
        </w:rPr>
        <w:t>of at least 15 points</w:t>
      </w:r>
      <w:r w:rsidR="005B604F" w:rsidRPr="005B604F">
        <w:rPr>
          <w:rFonts w:eastAsia="Segoe UI"/>
        </w:rPr>
        <w:t xml:space="preserve"> assessed at </w:t>
      </w:r>
      <w:r w:rsidR="00416F98" w:rsidRPr="00416F98">
        <w:rPr>
          <w:rFonts w:eastAsia="Segoe UI"/>
        </w:rPr>
        <w:t xml:space="preserve">the </w:t>
      </w:r>
      <w:r w:rsidR="005B604F" w:rsidRPr="005B604F">
        <w:rPr>
          <w:rFonts w:eastAsia="Segoe UI"/>
        </w:rPr>
        <w:t>1</w:t>
      </w:r>
      <w:r w:rsidR="00416F98" w:rsidRPr="00416F98">
        <w:rPr>
          <w:rFonts w:eastAsia="Segoe UI"/>
        </w:rPr>
        <w:t>-</w:t>
      </w:r>
      <w:r w:rsidR="005B604F" w:rsidRPr="005B604F">
        <w:rPr>
          <w:rFonts w:eastAsia="Segoe UI"/>
        </w:rPr>
        <w:t>year</w:t>
      </w:r>
      <w:r w:rsidR="00416F98" w:rsidRPr="00416F98">
        <w:rPr>
          <w:rFonts w:eastAsia="Segoe UI"/>
        </w:rPr>
        <w:t xml:space="preserve"> follow-up.</w:t>
      </w:r>
      <w:r w:rsidR="00416F98">
        <w:rPr>
          <w:rFonts w:eastAsia="Segoe UI"/>
        </w:rPr>
        <w:t xml:space="preserve"> </w:t>
      </w:r>
      <w:r w:rsidR="00A50850">
        <w:rPr>
          <w:rFonts w:eastAsia="Segoe UI"/>
        </w:rPr>
        <w:t xml:space="preserve">The </w:t>
      </w:r>
      <w:r w:rsidR="00E66815">
        <w:rPr>
          <w:rFonts w:eastAsia="Segoe UI"/>
        </w:rPr>
        <w:t>primary endpoint was met and</w:t>
      </w:r>
      <w:r w:rsidR="003B3105">
        <w:rPr>
          <w:rFonts w:eastAsia="Segoe UI"/>
        </w:rPr>
        <w:t xml:space="preserve"> </w:t>
      </w:r>
      <w:r w:rsidR="007853F1">
        <w:rPr>
          <w:rFonts w:eastAsia="Segoe UI"/>
        </w:rPr>
        <w:t>demonstrated</w:t>
      </w:r>
      <w:r w:rsidR="003B3105">
        <w:rPr>
          <w:rFonts w:eastAsia="Segoe UI"/>
        </w:rPr>
        <w:t xml:space="preserve"> that TEER </w:t>
      </w:r>
      <w:r w:rsidR="00121C75">
        <w:rPr>
          <w:rFonts w:eastAsia="Segoe UI"/>
        </w:rPr>
        <w:t>+ OMT</w:t>
      </w:r>
      <w:r w:rsidR="003B3105">
        <w:rPr>
          <w:rFonts w:eastAsia="Segoe UI"/>
        </w:rPr>
        <w:t xml:space="preserve"> was superior in terms </w:t>
      </w:r>
      <w:r w:rsidR="005B604F">
        <w:rPr>
          <w:rFonts w:eastAsia="Segoe UI"/>
        </w:rPr>
        <w:t>of the hierarchical composite outcome compared to OMT</w:t>
      </w:r>
      <w:r w:rsidR="00D53435">
        <w:rPr>
          <w:rFonts w:eastAsia="Segoe UI"/>
        </w:rPr>
        <w:t xml:space="preserve"> alone</w:t>
      </w:r>
      <w:r w:rsidR="00437116">
        <w:rPr>
          <w:rFonts w:eastAsia="Segoe UI"/>
        </w:rPr>
        <w:t>, with a</w:t>
      </w:r>
      <w:r w:rsidR="00A80A57">
        <w:rPr>
          <w:rFonts w:eastAsia="Segoe UI"/>
        </w:rPr>
        <w:t xml:space="preserve"> win ratio </w:t>
      </w:r>
      <w:r w:rsidR="005765CA">
        <w:rPr>
          <w:rFonts w:eastAsia="Segoe UI"/>
        </w:rPr>
        <w:t>favour</w:t>
      </w:r>
      <w:r w:rsidR="00437116">
        <w:rPr>
          <w:rFonts w:eastAsia="Segoe UI"/>
        </w:rPr>
        <w:t>ing</w:t>
      </w:r>
      <w:r w:rsidR="005765CA">
        <w:rPr>
          <w:rFonts w:eastAsia="Segoe UI"/>
        </w:rPr>
        <w:t xml:space="preserve"> the TEER </w:t>
      </w:r>
      <w:r w:rsidR="00D53435">
        <w:rPr>
          <w:rFonts w:eastAsia="Segoe UI"/>
        </w:rPr>
        <w:t>+ OMT</w:t>
      </w:r>
      <w:r w:rsidR="005765CA">
        <w:rPr>
          <w:rFonts w:eastAsia="Segoe UI"/>
        </w:rPr>
        <w:t xml:space="preserve"> group (</w:t>
      </w:r>
      <w:r w:rsidR="00A80A57">
        <w:rPr>
          <w:rFonts w:eastAsia="Segoe UI"/>
        </w:rPr>
        <w:t xml:space="preserve">1.48 </w:t>
      </w:r>
      <w:r w:rsidR="00CE1C59">
        <w:rPr>
          <w:rFonts w:eastAsia="Segoe UI"/>
        </w:rPr>
        <w:t>[</w:t>
      </w:r>
      <w:r w:rsidR="00A80A57" w:rsidRPr="00A80A57">
        <w:rPr>
          <w:rFonts w:eastAsia="Segoe UI"/>
        </w:rPr>
        <w:t>95% CI: 1.06, 2.13</w:t>
      </w:r>
      <w:r w:rsidR="00B01BE5">
        <w:rPr>
          <w:rFonts w:eastAsia="Segoe UI"/>
        </w:rPr>
        <w:t>]</w:t>
      </w:r>
      <w:r w:rsidR="00A80A57" w:rsidRPr="00A80A57">
        <w:rPr>
          <w:rFonts w:eastAsia="Segoe UI"/>
        </w:rPr>
        <w:t>; p = 0.02</w:t>
      </w:r>
      <w:r w:rsidR="005937C7">
        <w:rPr>
          <w:rFonts w:eastAsia="Segoe UI"/>
        </w:rPr>
        <w:t>)</w:t>
      </w:r>
      <w:r w:rsidR="00B3732E">
        <w:rPr>
          <w:rFonts w:eastAsia="Segoe UI"/>
        </w:rPr>
        <w:t>.</w:t>
      </w:r>
      <w:r w:rsidR="004833ED">
        <w:rPr>
          <w:rFonts w:eastAsia="Segoe UI"/>
        </w:rPr>
        <w:t xml:space="preserve"> </w:t>
      </w:r>
      <w:r w:rsidR="00137E49">
        <w:rPr>
          <w:rFonts w:eastAsia="Segoe UI"/>
        </w:rPr>
        <w:t xml:space="preserve">The trial was not powered on </w:t>
      </w:r>
      <w:r w:rsidR="003E619C">
        <w:rPr>
          <w:rFonts w:eastAsia="Segoe UI"/>
        </w:rPr>
        <w:t xml:space="preserve">the </w:t>
      </w:r>
      <w:r w:rsidR="00137E49">
        <w:rPr>
          <w:rFonts w:eastAsia="Segoe UI"/>
        </w:rPr>
        <w:t xml:space="preserve">individual events included in the </w:t>
      </w:r>
      <w:r w:rsidR="003E619C">
        <w:rPr>
          <w:rFonts w:eastAsia="Segoe UI"/>
        </w:rPr>
        <w:t xml:space="preserve">composite endpoint, </w:t>
      </w:r>
      <w:r w:rsidR="00137E49">
        <w:rPr>
          <w:rFonts w:eastAsia="Segoe UI"/>
        </w:rPr>
        <w:t xml:space="preserve">nevertheless the ADAR will present </w:t>
      </w:r>
      <w:r w:rsidR="007C31CA">
        <w:rPr>
          <w:rFonts w:eastAsia="Segoe UI"/>
        </w:rPr>
        <w:t xml:space="preserve">individual events. </w:t>
      </w:r>
    </w:p>
    <w:p w14:paraId="00B44D93" w14:textId="2B7F3FA2" w:rsidR="00A1592B" w:rsidRPr="0027687B" w:rsidRDefault="00E37839" w:rsidP="00C41C0E">
      <w:pPr>
        <w:pStyle w:val="BodyText"/>
        <w:rPr>
          <w:rFonts w:eastAsia="Segoe UI"/>
        </w:rPr>
      </w:pPr>
      <w:r>
        <w:rPr>
          <w:rFonts w:eastAsia="Segoe UI"/>
        </w:rPr>
        <w:t xml:space="preserve">A statistically significant improvement in </w:t>
      </w:r>
      <w:r w:rsidR="00C342B6" w:rsidRPr="00C342B6">
        <w:rPr>
          <w:rFonts w:eastAsia="Segoe UI"/>
        </w:rPr>
        <w:t>quality</w:t>
      </w:r>
      <w:r>
        <w:rPr>
          <w:rFonts w:eastAsia="Segoe UI"/>
        </w:rPr>
        <w:t xml:space="preserve"> </w:t>
      </w:r>
      <w:r w:rsidR="00C342B6" w:rsidRPr="00C342B6">
        <w:rPr>
          <w:rFonts w:eastAsia="Segoe UI"/>
        </w:rPr>
        <w:t>of</w:t>
      </w:r>
      <w:r>
        <w:rPr>
          <w:rFonts w:eastAsia="Segoe UI"/>
        </w:rPr>
        <w:t xml:space="preserve"> </w:t>
      </w:r>
      <w:r w:rsidR="00C342B6" w:rsidRPr="00C342B6">
        <w:rPr>
          <w:rFonts w:eastAsia="Segoe UI"/>
        </w:rPr>
        <w:t>life</w:t>
      </w:r>
      <w:r>
        <w:rPr>
          <w:rFonts w:eastAsia="Segoe UI"/>
        </w:rPr>
        <w:t>, as assessed</w:t>
      </w:r>
      <w:r w:rsidR="00C342B6" w:rsidRPr="00C342B6">
        <w:rPr>
          <w:rFonts w:eastAsia="Segoe UI"/>
        </w:rPr>
        <w:t xml:space="preserve"> by </w:t>
      </w:r>
      <w:r>
        <w:rPr>
          <w:rFonts w:eastAsia="Segoe UI"/>
        </w:rPr>
        <w:t xml:space="preserve">the </w:t>
      </w:r>
      <w:r w:rsidR="003E619C" w:rsidRPr="003E619C">
        <w:rPr>
          <w:rFonts w:eastAsia="Segoe UI"/>
        </w:rPr>
        <w:t>KCC</w:t>
      </w:r>
      <w:r>
        <w:rPr>
          <w:rFonts w:eastAsia="Segoe UI"/>
        </w:rPr>
        <w:t>Q</w:t>
      </w:r>
      <w:r w:rsidR="003F31CD">
        <w:rPr>
          <w:rFonts w:eastAsia="Segoe UI"/>
        </w:rPr>
        <w:t>,</w:t>
      </w:r>
      <w:r>
        <w:rPr>
          <w:rFonts w:eastAsia="Segoe UI"/>
        </w:rPr>
        <w:t xml:space="preserve"> was observed with TEER </w:t>
      </w:r>
      <w:r w:rsidR="00D53435">
        <w:rPr>
          <w:rFonts w:eastAsia="Segoe UI"/>
        </w:rPr>
        <w:t>+ OMT</w:t>
      </w:r>
      <w:r>
        <w:rPr>
          <w:rFonts w:eastAsia="Segoe UI"/>
        </w:rPr>
        <w:t xml:space="preserve"> </w:t>
      </w:r>
      <w:r w:rsidR="003F31CD">
        <w:rPr>
          <w:rFonts w:eastAsia="Segoe UI"/>
        </w:rPr>
        <w:t>relative to OMT</w:t>
      </w:r>
      <w:r w:rsidR="00896B4C">
        <w:rPr>
          <w:rFonts w:eastAsia="Segoe UI"/>
        </w:rPr>
        <w:t xml:space="preserve"> alone</w:t>
      </w:r>
      <w:r w:rsidR="0005339D">
        <w:rPr>
          <w:rFonts w:eastAsia="Segoe UI"/>
        </w:rPr>
        <w:t>;</w:t>
      </w:r>
      <w:r w:rsidR="003F31CD">
        <w:rPr>
          <w:rFonts w:eastAsia="Segoe UI"/>
        </w:rPr>
        <w:t xml:space="preserve"> </w:t>
      </w:r>
      <w:r w:rsidR="001D7C22">
        <w:rPr>
          <w:rFonts w:eastAsia="Segoe UI"/>
        </w:rPr>
        <w:t>with</w:t>
      </w:r>
      <w:r w:rsidR="00C342B6" w:rsidRPr="00C342B6">
        <w:rPr>
          <w:rFonts w:eastAsia="Segoe UI"/>
        </w:rPr>
        <w:t xml:space="preserve"> </w:t>
      </w:r>
      <w:r w:rsidR="003E619C" w:rsidRPr="003E619C">
        <w:rPr>
          <w:rFonts w:eastAsia="Segoe UI"/>
        </w:rPr>
        <w:t xml:space="preserve">mean </w:t>
      </w:r>
      <w:r w:rsidR="00C342B6" w:rsidRPr="00C342B6">
        <w:rPr>
          <w:rFonts w:eastAsia="Segoe UI"/>
        </w:rPr>
        <w:t>(±</w:t>
      </w:r>
      <w:r w:rsidR="003E619C" w:rsidRPr="003E619C">
        <w:rPr>
          <w:rFonts w:eastAsia="Segoe UI"/>
        </w:rPr>
        <w:t>SD</w:t>
      </w:r>
      <w:r w:rsidR="00C342B6" w:rsidRPr="00C342B6">
        <w:rPr>
          <w:rFonts w:eastAsia="Segoe UI"/>
        </w:rPr>
        <w:t xml:space="preserve">) </w:t>
      </w:r>
      <w:r w:rsidR="001D7C22">
        <w:rPr>
          <w:rFonts w:eastAsia="Segoe UI"/>
        </w:rPr>
        <w:t xml:space="preserve">change from baseline </w:t>
      </w:r>
      <w:r w:rsidR="00C342B6" w:rsidRPr="004F7CCA">
        <w:rPr>
          <w:rFonts w:eastAsia="Segoe UI"/>
        </w:rPr>
        <w:t xml:space="preserve">of </w:t>
      </w:r>
      <w:r w:rsidR="003E619C" w:rsidRPr="004F7CCA">
        <w:rPr>
          <w:rFonts w:eastAsia="Segoe UI"/>
        </w:rPr>
        <w:t>12.3±</w:t>
      </w:r>
      <w:r w:rsidR="00C342B6" w:rsidRPr="004F7CCA">
        <w:rPr>
          <w:rFonts w:eastAsia="Segoe UI"/>
        </w:rPr>
        <w:t>1.8 points</w:t>
      </w:r>
      <w:r w:rsidR="00C342B6" w:rsidRPr="00C342B6">
        <w:rPr>
          <w:rFonts w:eastAsia="Segoe UI"/>
        </w:rPr>
        <w:t xml:space="preserve"> in the TEER </w:t>
      </w:r>
      <w:r w:rsidR="00896B4C">
        <w:rPr>
          <w:rFonts w:eastAsia="Segoe UI"/>
        </w:rPr>
        <w:t>+ OMT</w:t>
      </w:r>
      <w:r w:rsidR="00C342B6" w:rsidRPr="00C342B6">
        <w:rPr>
          <w:rFonts w:eastAsia="Segoe UI"/>
        </w:rPr>
        <w:t xml:space="preserve"> group compared with 0.6±1.8 points in the control</w:t>
      </w:r>
      <w:r w:rsidR="003E619C" w:rsidRPr="00C342B6">
        <w:rPr>
          <w:rFonts w:eastAsia="Segoe UI"/>
        </w:rPr>
        <w:t xml:space="preserve"> group</w:t>
      </w:r>
      <w:r w:rsidR="003E619C">
        <w:rPr>
          <w:rFonts w:eastAsia="Segoe UI"/>
        </w:rPr>
        <w:t xml:space="preserve"> </w:t>
      </w:r>
      <w:r w:rsidR="003E619C" w:rsidRPr="00C342B6">
        <w:rPr>
          <w:rFonts w:eastAsia="Segoe UI"/>
        </w:rPr>
        <w:t>(</w:t>
      </w:r>
      <w:r w:rsidR="00943D65">
        <w:rPr>
          <w:rFonts w:eastAsia="Segoe UI"/>
        </w:rPr>
        <w:t>p</w:t>
      </w:r>
      <w:r w:rsidR="00C342B6" w:rsidRPr="00C342B6">
        <w:rPr>
          <w:rFonts w:eastAsia="Segoe UI"/>
        </w:rPr>
        <w:t>&lt;0.001</w:t>
      </w:r>
      <w:r w:rsidR="003E619C" w:rsidRPr="00C342B6">
        <w:rPr>
          <w:rFonts w:eastAsia="Segoe UI"/>
        </w:rPr>
        <w:t>)</w:t>
      </w:r>
      <w:r w:rsidR="00786782">
        <w:rPr>
          <w:rFonts w:eastAsia="Segoe UI"/>
        </w:rPr>
        <w:t xml:space="preserve">. </w:t>
      </w:r>
    </w:p>
    <w:p w14:paraId="33D1CE81" w14:textId="4DAC84AD" w:rsidR="00C16947" w:rsidRDefault="00F45069" w:rsidP="0027018E">
      <w:pPr>
        <w:pStyle w:val="BodyText"/>
        <w:rPr>
          <w:rFonts w:eastAsia="Segoe UI"/>
        </w:rPr>
      </w:pPr>
      <w:r>
        <w:rPr>
          <w:rFonts w:eastAsia="Segoe UI"/>
        </w:rPr>
        <w:t>As shown in</w:t>
      </w:r>
      <w:r w:rsidR="00A55944">
        <w:rPr>
          <w:rFonts w:eastAsia="Segoe UI"/>
        </w:rPr>
        <w:t xml:space="preserve"> </w:t>
      </w:r>
      <w:r w:rsidR="00A55944">
        <w:rPr>
          <w:rFonts w:eastAsia="Segoe UI"/>
        </w:rPr>
        <w:fldChar w:fldCharType="begin"/>
      </w:r>
      <w:r w:rsidR="00A55944">
        <w:rPr>
          <w:rFonts w:eastAsia="Segoe UI"/>
        </w:rPr>
        <w:instrText xml:space="preserve"> REF _Ref204238818 \h </w:instrText>
      </w:r>
      <w:r w:rsidR="00A55944">
        <w:rPr>
          <w:rFonts w:eastAsia="Segoe UI"/>
        </w:rPr>
      </w:r>
      <w:r w:rsidR="00A55944">
        <w:rPr>
          <w:rFonts w:eastAsia="Segoe UI"/>
        </w:rPr>
        <w:fldChar w:fldCharType="separate"/>
      </w:r>
      <w:r w:rsidR="00A55944">
        <w:t xml:space="preserve">Figure </w:t>
      </w:r>
      <w:r w:rsidR="00A55944">
        <w:rPr>
          <w:noProof/>
        </w:rPr>
        <w:t>4</w:t>
      </w:r>
      <w:r w:rsidR="00A55944">
        <w:rPr>
          <w:rFonts w:eastAsia="Segoe UI"/>
        </w:rPr>
        <w:fldChar w:fldCharType="end"/>
      </w:r>
      <w:r>
        <w:rPr>
          <w:rFonts w:eastAsia="Segoe UI"/>
        </w:rPr>
        <w:t>, w</w:t>
      </w:r>
      <w:r w:rsidR="00BB0F4C">
        <w:rPr>
          <w:rFonts w:eastAsia="Segoe UI"/>
        </w:rPr>
        <w:t xml:space="preserve">hilst almost </w:t>
      </w:r>
      <w:r w:rsidR="006E5001">
        <w:rPr>
          <w:rFonts w:eastAsia="Segoe UI"/>
        </w:rPr>
        <w:t xml:space="preserve">all subjects had severe TR at baseline, </w:t>
      </w:r>
      <w:r w:rsidR="00F60100">
        <w:rPr>
          <w:rFonts w:eastAsia="Segoe UI"/>
        </w:rPr>
        <w:t>one year after int</w:t>
      </w:r>
      <w:r w:rsidR="00B2471F">
        <w:rPr>
          <w:rFonts w:eastAsia="Segoe UI"/>
        </w:rPr>
        <w:t>ervention</w:t>
      </w:r>
      <w:r>
        <w:rPr>
          <w:rFonts w:eastAsia="Segoe UI"/>
        </w:rPr>
        <w:t xml:space="preserve">, the majority of TEER </w:t>
      </w:r>
      <w:r w:rsidR="00896B4C">
        <w:rPr>
          <w:rFonts w:eastAsia="Segoe UI"/>
        </w:rPr>
        <w:t xml:space="preserve">+ OMT </w:t>
      </w:r>
      <w:r>
        <w:rPr>
          <w:rFonts w:eastAsia="Segoe UI"/>
        </w:rPr>
        <w:t>subjects were trace/mild/moderate</w:t>
      </w:r>
      <w:r w:rsidR="007C0192">
        <w:rPr>
          <w:rFonts w:eastAsia="Segoe UI"/>
        </w:rPr>
        <w:t xml:space="preserve"> (</w:t>
      </w:r>
      <w:r w:rsidR="00C37764">
        <w:rPr>
          <w:rFonts w:eastAsia="Segoe UI"/>
        </w:rPr>
        <w:t xml:space="preserve">89%) the majority of OMT patients remained </w:t>
      </w:r>
      <w:r w:rsidR="003472ED">
        <w:rPr>
          <w:rFonts w:eastAsia="Segoe UI"/>
        </w:rPr>
        <w:t>severe (</w:t>
      </w:r>
      <w:r w:rsidR="0098222B">
        <w:rPr>
          <w:rFonts w:eastAsia="Segoe UI"/>
        </w:rPr>
        <w:t xml:space="preserve">95%). </w:t>
      </w:r>
    </w:p>
    <w:p w14:paraId="044C3483" w14:textId="77777777" w:rsidR="00A55944" w:rsidRDefault="00C16947" w:rsidP="00A55944">
      <w:pPr>
        <w:pStyle w:val="BodyText"/>
        <w:keepNext/>
      </w:pPr>
      <w:r w:rsidRPr="00C16947">
        <w:rPr>
          <w:rFonts w:eastAsia="Segoe UI"/>
          <w:noProof/>
        </w:rPr>
        <w:drawing>
          <wp:inline distT="0" distB="0" distL="0" distR="0" wp14:anchorId="6FBF1AE5" wp14:editId="4BFCCA91">
            <wp:extent cx="4455020" cy="2304386"/>
            <wp:effectExtent l="0" t="0" r="3175" b="1270"/>
            <wp:docPr id="729543505" name="Picture 1" descr="A graph showing severity of TR at baseline, 30 days and 1 yr for TEER patients and a control group. In both 30 day and 1 year results TEER patients have mostly mild or moderate TR while control patients have mostly sev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543505" name="Picture 1" descr="A graph showing severity of TR at baseline, 30 days and 1 yr for TEER patients and a control group. In both 30 day and 1 year results TEER patients have mostly mild or moderate TR while control patients have mostly severe."/>
                    <pic:cNvPicPr/>
                  </pic:nvPicPr>
                  <pic:blipFill>
                    <a:blip r:embed="rId28"/>
                    <a:stretch>
                      <a:fillRect/>
                    </a:stretch>
                  </pic:blipFill>
                  <pic:spPr>
                    <a:xfrm>
                      <a:off x="0" y="0"/>
                      <a:ext cx="4457994" cy="2305924"/>
                    </a:xfrm>
                    <a:prstGeom prst="rect">
                      <a:avLst/>
                    </a:prstGeom>
                  </pic:spPr>
                </pic:pic>
              </a:graphicData>
            </a:graphic>
          </wp:inline>
        </w:drawing>
      </w:r>
    </w:p>
    <w:p w14:paraId="000DA6A4" w14:textId="4C09A263" w:rsidR="00C16947" w:rsidRDefault="00A55944" w:rsidP="00A55944">
      <w:pPr>
        <w:pStyle w:val="Caption"/>
        <w:rPr>
          <w:rFonts w:eastAsia="Segoe UI"/>
        </w:rPr>
      </w:pPr>
      <w:bookmarkStart w:id="20" w:name="_Ref204238818"/>
      <w:r>
        <w:t xml:space="preserve">Figure </w:t>
      </w:r>
      <w:r>
        <w:fldChar w:fldCharType="begin"/>
      </w:r>
      <w:r>
        <w:instrText xml:space="preserve"> SEQ Figure \* ARABIC </w:instrText>
      </w:r>
      <w:r>
        <w:fldChar w:fldCharType="separate"/>
      </w:r>
      <w:r>
        <w:rPr>
          <w:noProof/>
        </w:rPr>
        <w:t>4</w:t>
      </w:r>
      <w:r>
        <w:fldChar w:fldCharType="end"/>
      </w:r>
      <w:bookmarkEnd w:id="20"/>
      <w:r>
        <w:t xml:space="preserve"> </w:t>
      </w:r>
      <w:r w:rsidRPr="00B66BD5">
        <w:t>Severity of TR at baseline, 30 days and 1- year</w:t>
      </w:r>
    </w:p>
    <w:p w14:paraId="65A79AD7" w14:textId="7E6CFD04" w:rsidR="003B2F37" w:rsidRDefault="003B2F37" w:rsidP="003B2F37">
      <w:pPr>
        <w:pStyle w:val="NoteHeading"/>
      </w:pPr>
      <w:r>
        <w:t>Abbreviations: TEER, transcatheter edge-to-edge repair; TR, tricuspid regurgitation</w:t>
      </w:r>
    </w:p>
    <w:p w14:paraId="3327D6AA" w14:textId="3E8A95F5" w:rsidR="00FC3311" w:rsidRDefault="00FC3311" w:rsidP="003B2F37">
      <w:pPr>
        <w:pStyle w:val="NoteHeading"/>
      </w:pPr>
      <w:r>
        <w:t>Source: Sorajja 2023 Figure S4</w:t>
      </w:r>
      <w:r w:rsidR="00F45069">
        <w:t>.</w:t>
      </w:r>
    </w:p>
    <w:p w14:paraId="23D7D8D4" w14:textId="77777777" w:rsidR="00FC3311" w:rsidRPr="00FC3311" w:rsidRDefault="00FC3311" w:rsidP="001765BB">
      <w:pPr>
        <w:pStyle w:val="BodyText"/>
      </w:pPr>
    </w:p>
    <w:p w14:paraId="5AA9B214" w14:textId="37A5013D" w:rsidR="008C0F47" w:rsidRPr="008E0C6A" w:rsidRDefault="006C1C01" w:rsidP="00AA1AEE">
      <w:pPr>
        <w:pStyle w:val="BodyText"/>
      </w:pPr>
      <w:r>
        <w:rPr>
          <w:rFonts w:eastAsia="Segoe UI"/>
        </w:rPr>
        <w:t xml:space="preserve">TR severity </w:t>
      </w:r>
      <w:r w:rsidR="00F92DEA">
        <w:rPr>
          <w:rFonts w:eastAsia="Segoe UI"/>
        </w:rPr>
        <w:t xml:space="preserve">is </w:t>
      </w:r>
      <w:r w:rsidR="005918CB" w:rsidRPr="00F2799E">
        <w:rPr>
          <w:rFonts w:eastAsia="Segoe UI"/>
        </w:rPr>
        <w:t>strongly associated with mortality risk</w:t>
      </w:r>
      <w:r w:rsidR="00017AA7">
        <w:rPr>
          <w:rFonts w:eastAsia="Segoe UI"/>
        </w:rPr>
        <w:t xml:space="preserve"> </w:t>
      </w:r>
      <w:r w:rsidR="00DD5346">
        <w:rPr>
          <w:rFonts w:eastAsia="Segoe UI"/>
        </w:rPr>
        <w:t>hence</w:t>
      </w:r>
      <w:r w:rsidR="00017AA7">
        <w:rPr>
          <w:rFonts w:eastAsia="Segoe UI"/>
        </w:rPr>
        <w:t xml:space="preserve"> </w:t>
      </w:r>
      <w:r w:rsidR="005918CB" w:rsidRPr="00F2799E">
        <w:rPr>
          <w:rFonts w:eastAsia="Segoe UI"/>
        </w:rPr>
        <w:t xml:space="preserve">serves as a predictor of patient outcomes, including survival </w:t>
      </w:r>
      <w:r w:rsidR="00BD1DB3">
        <w:rPr>
          <w:rFonts w:eastAsia="Segoe UI"/>
        </w:rPr>
        <w:t>and quality of life</w:t>
      </w:r>
      <w:r w:rsidR="00770D2C">
        <w:rPr>
          <w:rFonts w:eastAsia="Segoe UI"/>
        </w:rPr>
        <w:t xml:space="preserve"> (Nath 2004</w:t>
      </w:r>
      <w:r w:rsidR="004E66F8">
        <w:rPr>
          <w:rFonts w:eastAsia="Segoe UI"/>
        </w:rPr>
        <w:t>;</w:t>
      </w:r>
      <w:r w:rsidR="00770D2C">
        <w:rPr>
          <w:rFonts w:eastAsia="Segoe UI"/>
        </w:rPr>
        <w:t xml:space="preserve"> Wang </w:t>
      </w:r>
      <w:r w:rsidR="00237BDB">
        <w:rPr>
          <w:rFonts w:eastAsia="Segoe UI"/>
        </w:rPr>
        <w:t>2019)</w:t>
      </w:r>
      <w:r>
        <w:rPr>
          <w:rFonts w:eastAsia="Segoe UI"/>
        </w:rPr>
        <w:t>.</w:t>
      </w:r>
      <w:r w:rsidR="00483A6A">
        <w:rPr>
          <w:rFonts w:eastAsia="Segoe UI"/>
        </w:rPr>
        <w:t xml:space="preserve"> </w:t>
      </w:r>
      <w:r w:rsidR="00483A6A" w:rsidRPr="00F2799E">
        <w:rPr>
          <w:rFonts w:eastAsia="Segoe UI"/>
        </w:rPr>
        <w:t xml:space="preserve">Studies have consistently demonstrated </w:t>
      </w:r>
      <w:r w:rsidR="00017AA7">
        <w:rPr>
          <w:rFonts w:eastAsia="Segoe UI"/>
        </w:rPr>
        <w:t>that as</w:t>
      </w:r>
      <w:r w:rsidR="00483A6A">
        <w:rPr>
          <w:rFonts w:eastAsia="Segoe UI"/>
        </w:rPr>
        <w:t xml:space="preserve"> the</w:t>
      </w:r>
      <w:r w:rsidR="00483A6A" w:rsidRPr="00F2799E">
        <w:rPr>
          <w:rFonts w:eastAsia="Segoe UI"/>
        </w:rPr>
        <w:t xml:space="preserve"> severity of TR increases (from mild to moderate to severe), the risk of mortality also increases</w:t>
      </w:r>
      <w:r w:rsidR="00AB6F08">
        <w:rPr>
          <w:rFonts w:eastAsia="Segoe UI"/>
        </w:rPr>
        <w:t xml:space="preserve"> (Offen 2022</w:t>
      </w:r>
      <w:r w:rsidR="004E66F8">
        <w:rPr>
          <w:rFonts w:eastAsia="Segoe UI"/>
        </w:rPr>
        <w:t xml:space="preserve">; </w:t>
      </w:r>
      <w:r w:rsidR="00AB6F08">
        <w:rPr>
          <w:rFonts w:eastAsia="Segoe UI"/>
        </w:rPr>
        <w:t>To</w:t>
      </w:r>
      <w:r w:rsidR="00393C45">
        <w:rPr>
          <w:rFonts w:eastAsia="Segoe UI"/>
        </w:rPr>
        <w:t>pil</w:t>
      </w:r>
      <w:r w:rsidR="00AB6F08">
        <w:rPr>
          <w:rFonts w:eastAsia="Segoe UI"/>
        </w:rPr>
        <w:t>sky 2014)</w:t>
      </w:r>
      <w:r w:rsidR="00483A6A" w:rsidRPr="00F2799E">
        <w:rPr>
          <w:rFonts w:eastAsia="Segoe UI"/>
        </w:rPr>
        <w:t>.</w:t>
      </w:r>
      <w:r w:rsidR="003B29BA">
        <w:rPr>
          <w:rFonts w:eastAsia="Segoe UI"/>
        </w:rPr>
        <w:t xml:space="preserve"> </w:t>
      </w:r>
      <w:r w:rsidR="00FC7D3E" w:rsidRPr="00465EE4">
        <w:rPr>
          <w:rFonts w:eastAsia="Segoe UI"/>
        </w:rPr>
        <w:t>This</w:t>
      </w:r>
      <w:r w:rsidR="00F92DEA">
        <w:rPr>
          <w:rFonts w:eastAsia="Segoe UI"/>
        </w:rPr>
        <w:t xml:space="preserve"> surrogate</w:t>
      </w:r>
      <w:r w:rsidR="00FC7D3E" w:rsidRPr="00465EE4">
        <w:rPr>
          <w:rFonts w:eastAsia="Segoe UI"/>
        </w:rPr>
        <w:t xml:space="preserve"> relationship between TR severity and mortality</w:t>
      </w:r>
      <w:r w:rsidR="005C00CF">
        <w:rPr>
          <w:rFonts w:eastAsia="Segoe UI"/>
        </w:rPr>
        <w:t xml:space="preserve">, </w:t>
      </w:r>
      <w:r w:rsidR="00250366">
        <w:rPr>
          <w:rFonts w:eastAsia="Segoe UI"/>
        </w:rPr>
        <w:t xml:space="preserve">has </w:t>
      </w:r>
      <w:r w:rsidR="00C14822">
        <w:rPr>
          <w:rFonts w:eastAsia="Segoe UI"/>
        </w:rPr>
        <w:t>additionally</w:t>
      </w:r>
      <w:r w:rsidR="00250366">
        <w:rPr>
          <w:rFonts w:eastAsia="Segoe UI"/>
        </w:rPr>
        <w:t xml:space="preserve"> been confirmed by four leading experts in the management of </w:t>
      </w:r>
      <w:r w:rsidR="00F92DEA">
        <w:rPr>
          <w:rFonts w:eastAsia="Segoe UI"/>
        </w:rPr>
        <w:t>TR</w:t>
      </w:r>
      <w:r w:rsidR="00706C69">
        <w:rPr>
          <w:rFonts w:eastAsia="Segoe UI"/>
        </w:rPr>
        <w:t xml:space="preserve"> consulted in the preparation of this Application</w:t>
      </w:r>
      <w:r w:rsidR="00C14822">
        <w:rPr>
          <w:rFonts w:eastAsia="Segoe UI"/>
        </w:rPr>
        <w:t xml:space="preserve">. The </w:t>
      </w:r>
      <w:r w:rsidR="005C702E" w:rsidRPr="00465EE4">
        <w:rPr>
          <w:rFonts w:eastAsia="Segoe UI"/>
        </w:rPr>
        <w:t>clinicians</w:t>
      </w:r>
      <w:r w:rsidR="00362F9A">
        <w:rPr>
          <w:rFonts w:eastAsia="Segoe UI"/>
        </w:rPr>
        <w:t>’</w:t>
      </w:r>
      <w:r w:rsidR="005C702E" w:rsidRPr="00465EE4">
        <w:rPr>
          <w:rFonts w:eastAsia="Segoe UI"/>
        </w:rPr>
        <w:t xml:space="preserve"> </w:t>
      </w:r>
      <w:r w:rsidR="00C14822">
        <w:rPr>
          <w:rFonts w:eastAsia="Segoe UI"/>
        </w:rPr>
        <w:t xml:space="preserve">advice </w:t>
      </w:r>
      <w:r w:rsidR="00754E1F">
        <w:rPr>
          <w:rFonts w:eastAsia="Segoe UI"/>
        </w:rPr>
        <w:t>is</w:t>
      </w:r>
      <w:r w:rsidR="00C14822">
        <w:rPr>
          <w:rFonts w:eastAsia="Segoe UI"/>
        </w:rPr>
        <w:t xml:space="preserve"> that reducing the severity of TR is the goal of treatment</w:t>
      </w:r>
      <w:r w:rsidR="00461A16">
        <w:rPr>
          <w:rFonts w:eastAsia="Segoe UI"/>
        </w:rPr>
        <w:t>;</w:t>
      </w:r>
      <w:r w:rsidR="00C14822">
        <w:rPr>
          <w:rFonts w:eastAsia="Segoe UI"/>
        </w:rPr>
        <w:t xml:space="preserve"> hence </w:t>
      </w:r>
      <w:r w:rsidR="00A72502">
        <w:rPr>
          <w:rFonts w:eastAsia="Segoe UI"/>
        </w:rPr>
        <w:t>TR severity is</w:t>
      </w:r>
      <w:r w:rsidR="005C702E" w:rsidRPr="00465EE4">
        <w:rPr>
          <w:rFonts w:eastAsia="Segoe UI"/>
        </w:rPr>
        <w:t xml:space="preserve"> carefully evaluate</w:t>
      </w:r>
      <w:r w:rsidR="00A72502">
        <w:rPr>
          <w:rFonts w:eastAsia="Segoe UI"/>
        </w:rPr>
        <w:t>d</w:t>
      </w:r>
      <w:r w:rsidR="005C702E" w:rsidRPr="00465EE4">
        <w:rPr>
          <w:rFonts w:eastAsia="Segoe UI"/>
        </w:rPr>
        <w:t xml:space="preserve"> when assessing a patient's prognosis and making treatment decisions.</w:t>
      </w:r>
      <w:r w:rsidR="00FC7D3E">
        <w:rPr>
          <w:rFonts w:eastAsia="Segoe UI"/>
        </w:rPr>
        <w:t xml:space="preserve"> </w:t>
      </w:r>
      <w:r w:rsidR="00664354">
        <w:rPr>
          <w:rFonts w:eastAsia="Segoe UI"/>
        </w:rPr>
        <w:t xml:space="preserve">Results from a </w:t>
      </w:r>
      <w:r w:rsidR="004355A0" w:rsidRPr="005A6479">
        <w:rPr>
          <w:rFonts w:eastAsia="Segoe UI"/>
        </w:rPr>
        <w:t>cohort of 439,558 indi</w:t>
      </w:r>
      <w:r w:rsidR="005A6479" w:rsidRPr="005A6479">
        <w:rPr>
          <w:rFonts w:eastAsia="Segoe UI"/>
        </w:rPr>
        <w:t>viduals with at least one echocardiographic investigation</w:t>
      </w:r>
      <w:r w:rsidR="00AD509D">
        <w:rPr>
          <w:rFonts w:eastAsia="Segoe UI"/>
        </w:rPr>
        <w:t xml:space="preserve"> </w:t>
      </w:r>
      <w:r w:rsidR="00C857A0">
        <w:rPr>
          <w:rFonts w:eastAsia="Segoe UI"/>
        </w:rPr>
        <w:t>from</w:t>
      </w:r>
      <w:r w:rsidR="00D845EE">
        <w:rPr>
          <w:rFonts w:eastAsia="Segoe UI"/>
        </w:rPr>
        <w:t xml:space="preserve"> National Echocardiography Database of Australia (</w:t>
      </w:r>
      <w:r w:rsidR="00C857A0">
        <w:rPr>
          <w:rFonts w:eastAsia="Segoe UI"/>
        </w:rPr>
        <w:t>NEDA</w:t>
      </w:r>
      <w:r w:rsidR="00D845EE">
        <w:rPr>
          <w:rFonts w:eastAsia="Segoe UI"/>
        </w:rPr>
        <w:t>)</w:t>
      </w:r>
      <w:r w:rsidR="00664354">
        <w:rPr>
          <w:rFonts w:eastAsia="Segoe UI"/>
        </w:rPr>
        <w:t xml:space="preserve"> </w:t>
      </w:r>
      <w:r w:rsidR="00646362">
        <w:rPr>
          <w:rFonts w:eastAsia="Segoe UI"/>
        </w:rPr>
        <w:t>showed that</w:t>
      </w:r>
      <w:r w:rsidR="008A767B">
        <w:rPr>
          <w:rFonts w:eastAsia="Segoe UI"/>
        </w:rPr>
        <w:t xml:space="preserve"> individuals </w:t>
      </w:r>
      <w:r w:rsidR="00AF31E2">
        <w:rPr>
          <w:rFonts w:eastAsia="Segoe UI"/>
        </w:rPr>
        <w:t>with moderate and severe TR</w:t>
      </w:r>
      <w:r w:rsidR="00623EB9">
        <w:rPr>
          <w:rFonts w:eastAsia="Segoe UI"/>
        </w:rPr>
        <w:t xml:space="preserve"> ha</w:t>
      </w:r>
      <w:r w:rsidR="004E69B9">
        <w:rPr>
          <w:rFonts w:eastAsia="Segoe UI"/>
        </w:rPr>
        <w:t xml:space="preserve">d a significant increase in the risk </w:t>
      </w:r>
      <w:r w:rsidR="00465EE4">
        <w:rPr>
          <w:rFonts w:eastAsia="Segoe UI"/>
        </w:rPr>
        <w:t xml:space="preserve">of </w:t>
      </w:r>
      <w:r w:rsidR="00692150">
        <w:rPr>
          <w:rFonts w:eastAsia="Segoe UI"/>
        </w:rPr>
        <w:t>all</w:t>
      </w:r>
      <w:r w:rsidR="008C0F47">
        <w:rPr>
          <w:rFonts w:eastAsia="Segoe UI"/>
        </w:rPr>
        <w:t>-</w:t>
      </w:r>
      <w:r w:rsidR="00692150">
        <w:rPr>
          <w:rFonts w:eastAsia="Segoe UI"/>
        </w:rPr>
        <w:t>cause</w:t>
      </w:r>
      <w:r w:rsidR="001B57E4">
        <w:rPr>
          <w:rFonts w:eastAsia="Segoe UI"/>
        </w:rPr>
        <w:t xml:space="preserve"> mortality</w:t>
      </w:r>
      <w:r w:rsidR="004E69B9">
        <w:rPr>
          <w:rFonts w:eastAsia="Segoe UI"/>
        </w:rPr>
        <w:t xml:space="preserve"> by 2.0-3.2-fold</w:t>
      </w:r>
      <w:r w:rsidR="001B57E4">
        <w:rPr>
          <w:rFonts w:eastAsia="Segoe UI"/>
        </w:rPr>
        <w:t xml:space="preserve"> compared with those with no</w:t>
      </w:r>
      <w:r w:rsidR="00371E02">
        <w:rPr>
          <w:rFonts w:eastAsia="Segoe UI"/>
        </w:rPr>
        <w:t xml:space="preserve"> </w:t>
      </w:r>
      <w:r w:rsidR="004E69B9">
        <w:rPr>
          <w:rFonts w:eastAsia="Segoe UI"/>
        </w:rPr>
        <w:t>TR</w:t>
      </w:r>
      <w:r w:rsidR="00445FA2">
        <w:rPr>
          <w:rFonts w:eastAsia="Segoe UI"/>
        </w:rPr>
        <w:t xml:space="preserve"> (</w:t>
      </w:r>
      <w:r w:rsidR="00BB0F4C">
        <w:rPr>
          <w:rFonts w:eastAsia="Segoe UI"/>
        </w:rPr>
        <w:t>p</w:t>
      </w:r>
      <w:r w:rsidR="00445FA2">
        <w:rPr>
          <w:rFonts w:eastAsia="Segoe UI"/>
        </w:rPr>
        <w:t xml:space="preserve">&lt;0.001 </w:t>
      </w:r>
      <w:r w:rsidR="00482A1F">
        <w:rPr>
          <w:rFonts w:eastAsia="Segoe UI"/>
        </w:rPr>
        <w:t>for both moderate and severe TR)</w:t>
      </w:r>
      <w:r w:rsidR="00465EE4">
        <w:rPr>
          <w:rFonts w:eastAsia="Segoe UI"/>
        </w:rPr>
        <w:t xml:space="preserve"> (Offen 2022, </w:t>
      </w:r>
      <w:r w:rsidR="00465EE4">
        <w:rPr>
          <w:rFonts w:eastAsia="Segoe UI"/>
        </w:rPr>
        <w:fldChar w:fldCharType="begin"/>
      </w:r>
      <w:r w:rsidR="00465EE4">
        <w:rPr>
          <w:rFonts w:eastAsia="Segoe UI"/>
        </w:rPr>
        <w:instrText xml:space="preserve"> REF _Ref203658433 \h </w:instrText>
      </w:r>
      <w:r w:rsidR="00AA1AEE">
        <w:rPr>
          <w:rFonts w:eastAsia="Segoe UI"/>
        </w:rPr>
        <w:instrText xml:space="preserve"> \* MERGEFORMAT </w:instrText>
      </w:r>
      <w:r w:rsidR="00465EE4">
        <w:rPr>
          <w:rFonts w:eastAsia="Segoe UI"/>
        </w:rPr>
      </w:r>
      <w:r w:rsidR="00465EE4">
        <w:rPr>
          <w:rFonts w:eastAsia="Segoe UI"/>
        </w:rPr>
        <w:fldChar w:fldCharType="separate"/>
      </w:r>
      <w:r w:rsidR="00465EE4">
        <w:t xml:space="preserve">Figure </w:t>
      </w:r>
      <w:r w:rsidR="00465EE4">
        <w:rPr>
          <w:noProof/>
        </w:rPr>
        <w:t>3</w:t>
      </w:r>
      <w:r w:rsidR="00465EE4">
        <w:rPr>
          <w:rFonts w:eastAsia="Segoe UI"/>
        </w:rPr>
        <w:fldChar w:fldCharType="end"/>
      </w:r>
      <w:r w:rsidR="00465EE4">
        <w:rPr>
          <w:rFonts w:eastAsia="Segoe UI"/>
        </w:rPr>
        <w:t>).</w:t>
      </w:r>
      <w:r w:rsidR="00482A1F">
        <w:rPr>
          <w:rFonts w:eastAsia="Segoe UI"/>
        </w:rPr>
        <w:t xml:space="preserve"> </w:t>
      </w:r>
      <w:r w:rsidR="008C0F47">
        <w:t>Similarly, in a study of 353 patients with isolated TR,</w:t>
      </w:r>
      <w:r w:rsidR="008C0F47" w:rsidRPr="008E0C6A">
        <w:t xml:space="preserve"> </w:t>
      </w:r>
      <w:r w:rsidR="008C0F47">
        <w:t xml:space="preserve">the survival rate of </w:t>
      </w:r>
      <w:r w:rsidR="008C0F47" w:rsidRPr="008E0C6A">
        <w:t xml:space="preserve">individuals with </w:t>
      </w:r>
      <w:r w:rsidR="008C0F47">
        <w:t xml:space="preserve">moderate or less TR at 5 and 10 years (87% and 70%, respectively) far exceeded those of severe or greater TR (66% and 38% respectively) (Topilsky 2014, </w:t>
      </w:r>
      <w:r w:rsidR="008C0F47">
        <w:fldChar w:fldCharType="begin"/>
      </w:r>
      <w:r w:rsidR="008C0F47">
        <w:instrText xml:space="preserve"> REF _Ref204097545 \h </w:instrText>
      </w:r>
      <w:r w:rsidR="00AA1AEE">
        <w:instrText xml:space="preserve"> \* MERGEFORMAT </w:instrText>
      </w:r>
      <w:r w:rsidR="008C0F47">
        <w:fldChar w:fldCharType="separate"/>
      </w:r>
      <w:r w:rsidR="008C0F47">
        <w:t xml:space="preserve">Figure </w:t>
      </w:r>
      <w:r w:rsidR="008C0F47">
        <w:rPr>
          <w:noProof/>
        </w:rPr>
        <w:t>6</w:t>
      </w:r>
      <w:r w:rsidR="008C0F47">
        <w:fldChar w:fldCharType="end"/>
      </w:r>
      <w:r w:rsidR="008C0F47">
        <w:t xml:space="preserve">). </w:t>
      </w:r>
    </w:p>
    <w:p w14:paraId="55E71814" w14:textId="2A0B5638" w:rsidR="0067215E" w:rsidRPr="005A6479" w:rsidRDefault="00161F90" w:rsidP="0027018E">
      <w:pPr>
        <w:pStyle w:val="BodyText"/>
        <w:rPr>
          <w:rFonts w:eastAsia="Segoe UI"/>
        </w:rPr>
      </w:pPr>
      <w:r>
        <w:rPr>
          <w:rFonts w:eastAsia="Segoe UI"/>
        </w:rPr>
        <w:t xml:space="preserve">Given the improvement in TR severity with TEER </w:t>
      </w:r>
      <w:r w:rsidR="00FA2A99">
        <w:rPr>
          <w:rFonts w:eastAsia="Segoe UI"/>
        </w:rPr>
        <w:t>+</w:t>
      </w:r>
      <w:r w:rsidR="003B1E4F">
        <w:rPr>
          <w:rFonts w:eastAsia="Segoe UI"/>
        </w:rPr>
        <w:t xml:space="preserve"> </w:t>
      </w:r>
      <w:r w:rsidR="00FA2A99">
        <w:rPr>
          <w:rFonts w:eastAsia="Segoe UI"/>
        </w:rPr>
        <w:t>OMT</w:t>
      </w:r>
      <w:r>
        <w:rPr>
          <w:rFonts w:eastAsia="Segoe UI"/>
        </w:rPr>
        <w:t xml:space="preserve"> relative to OMT</w:t>
      </w:r>
      <w:r w:rsidR="00FA2A99">
        <w:rPr>
          <w:rFonts w:eastAsia="Segoe UI"/>
        </w:rPr>
        <w:t xml:space="preserve"> alone</w:t>
      </w:r>
      <w:r>
        <w:rPr>
          <w:rFonts w:eastAsia="Segoe UI"/>
        </w:rPr>
        <w:t xml:space="preserve">, </w:t>
      </w:r>
      <w:r w:rsidR="00F95EFA">
        <w:rPr>
          <w:rFonts w:eastAsia="Segoe UI"/>
        </w:rPr>
        <w:t>and the relationship between increasing TR severity and mortality, it is exp</w:t>
      </w:r>
      <w:r w:rsidR="00EF0D00">
        <w:rPr>
          <w:rFonts w:eastAsia="Segoe UI"/>
        </w:rPr>
        <w:t xml:space="preserve">ected that TEER </w:t>
      </w:r>
      <w:r w:rsidR="00FA2A99">
        <w:rPr>
          <w:rFonts w:eastAsia="Segoe UI"/>
        </w:rPr>
        <w:t xml:space="preserve">+ OMT </w:t>
      </w:r>
      <w:r w:rsidR="00EF0D00">
        <w:rPr>
          <w:rFonts w:eastAsia="Segoe UI"/>
        </w:rPr>
        <w:t xml:space="preserve">will result in improved survival </w:t>
      </w:r>
      <w:r w:rsidR="00EB79F4">
        <w:rPr>
          <w:rFonts w:eastAsia="Segoe UI"/>
        </w:rPr>
        <w:t xml:space="preserve">relative to OMT. The translation of </w:t>
      </w:r>
      <w:r w:rsidR="00FC6213">
        <w:rPr>
          <w:rFonts w:eastAsia="Segoe UI"/>
        </w:rPr>
        <w:t xml:space="preserve">TR severity to mortality will be </w:t>
      </w:r>
      <w:r w:rsidR="00461A16">
        <w:rPr>
          <w:rFonts w:eastAsia="Segoe UI"/>
        </w:rPr>
        <w:t xml:space="preserve">conducted in the ADAR and incorporated in the economic evaluation. </w:t>
      </w:r>
    </w:p>
    <w:p w14:paraId="36485398" w14:textId="32A2E37F" w:rsidR="00182B8A" w:rsidRDefault="00CD45D9" w:rsidP="00182B8A">
      <w:pPr>
        <w:pStyle w:val="BodyText"/>
        <w:keepNext/>
      </w:pPr>
      <w:r w:rsidRPr="00CD45D9">
        <w:rPr>
          <w:noProof/>
        </w:rPr>
        <w:drawing>
          <wp:inline distT="0" distB="0" distL="0" distR="0" wp14:anchorId="2DFE4113" wp14:editId="79AD12C6">
            <wp:extent cx="3369023" cy="2337515"/>
            <wp:effectExtent l="0" t="0" r="3175" b="5715"/>
            <wp:docPr id="438593310" name="Picture 1" descr="A graph showing adjusted hazard for all cause mortality by severity of TR. The graph shows that as the severity of TR increases survival decre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593310" name="Picture 1" descr="A graph showing adjusted hazard for all cause mortality by severity of TR. The graph shows that as the severity of TR increases survival decreases."/>
                    <pic:cNvPicPr/>
                  </pic:nvPicPr>
                  <pic:blipFill>
                    <a:blip r:embed="rId29"/>
                    <a:stretch>
                      <a:fillRect/>
                    </a:stretch>
                  </pic:blipFill>
                  <pic:spPr>
                    <a:xfrm>
                      <a:off x="0" y="0"/>
                      <a:ext cx="3387582" cy="2350392"/>
                    </a:xfrm>
                    <a:prstGeom prst="rect">
                      <a:avLst/>
                    </a:prstGeom>
                  </pic:spPr>
                </pic:pic>
              </a:graphicData>
            </a:graphic>
          </wp:inline>
        </w:drawing>
      </w:r>
    </w:p>
    <w:p w14:paraId="7BA9EFC8" w14:textId="1E3EA24E" w:rsidR="00627C44" w:rsidRDefault="00182B8A" w:rsidP="00182B8A">
      <w:pPr>
        <w:pStyle w:val="Caption"/>
      </w:pPr>
      <w:r>
        <w:t xml:space="preserve">Figure </w:t>
      </w:r>
      <w:r w:rsidR="00627C44">
        <w:fldChar w:fldCharType="begin"/>
      </w:r>
      <w:r w:rsidR="00627C44">
        <w:instrText xml:space="preserve"> SEQ Figure \* ARABIC </w:instrText>
      </w:r>
      <w:r w:rsidR="00627C44">
        <w:fldChar w:fldCharType="separate"/>
      </w:r>
      <w:r w:rsidR="00A55944">
        <w:rPr>
          <w:noProof/>
        </w:rPr>
        <w:t>5</w:t>
      </w:r>
      <w:r w:rsidR="00627C44">
        <w:fldChar w:fldCharType="end"/>
      </w:r>
      <w:r>
        <w:t xml:space="preserve"> </w:t>
      </w:r>
      <w:r w:rsidRPr="0086729D">
        <w:t>Long-term, all-cause mortality, according to TR severity</w:t>
      </w:r>
    </w:p>
    <w:p w14:paraId="2E6689A6" w14:textId="4049B161" w:rsidR="00CD45D9" w:rsidRDefault="00CD45D9" w:rsidP="00FF2A55">
      <w:pPr>
        <w:pStyle w:val="NoteHeading"/>
      </w:pPr>
      <w:r>
        <w:t xml:space="preserve">Abbreviations: </w:t>
      </w:r>
      <w:r w:rsidR="00415B06">
        <w:t xml:space="preserve">CI, confidence interval; HR, hazard ratio; </w:t>
      </w:r>
      <w:r>
        <w:t>TR, tricuspid regurgitation</w:t>
      </w:r>
    </w:p>
    <w:p w14:paraId="7B0E3260" w14:textId="2BCCB54A" w:rsidR="00312EC9" w:rsidRPr="00312EC9" w:rsidRDefault="00312EC9" w:rsidP="00FF2A55">
      <w:pPr>
        <w:pStyle w:val="NoteHeading"/>
      </w:pPr>
      <w:r>
        <w:t>Source: Offen 2022, Figure 2</w:t>
      </w:r>
    </w:p>
    <w:p w14:paraId="780D9376" w14:textId="77777777" w:rsidR="00221272" w:rsidRPr="00312EC9" w:rsidRDefault="00221272" w:rsidP="00312EC9"/>
    <w:p w14:paraId="5C13EC93" w14:textId="77777777" w:rsidR="00182B8A" w:rsidRDefault="00A723E3" w:rsidP="00182B8A">
      <w:pPr>
        <w:pStyle w:val="BodyText"/>
        <w:keepNext/>
      </w:pPr>
      <w:r w:rsidRPr="00A723E3">
        <w:rPr>
          <w:rFonts w:eastAsia="Segoe UI"/>
          <w:noProof/>
        </w:rPr>
        <w:drawing>
          <wp:inline distT="0" distB="0" distL="0" distR="0" wp14:anchorId="588FB0C3" wp14:editId="24B79CF9">
            <wp:extent cx="3362325" cy="2833127"/>
            <wp:effectExtent l="0" t="0" r="0" b="5715"/>
            <wp:docPr id="1968132361" name="Picture 2" descr="Graph showing that survival is worse in patients with more severe 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2361" name="Picture 2" descr="Graph showing that survival is worse in patients with more severe T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62858" cy="2833576"/>
                    </a:xfrm>
                    <a:prstGeom prst="rect">
                      <a:avLst/>
                    </a:prstGeom>
                    <a:noFill/>
                    <a:ln>
                      <a:noFill/>
                    </a:ln>
                  </pic:spPr>
                </pic:pic>
              </a:graphicData>
            </a:graphic>
          </wp:inline>
        </w:drawing>
      </w:r>
    </w:p>
    <w:p w14:paraId="7796129C" w14:textId="7DEBF739" w:rsidR="00A723E3" w:rsidRDefault="00182B8A" w:rsidP="00182B8A">
      <w:pPr>
        <w:pStyle w:val="Caption"/>
      </w:pPr>
      <w:bookmarkStart w:id="21" w:name="_Ref204097545"/>
      <w:r>
        <w:t xml:space="preserve">Figure </w:t>
      </w:r>
      <w:r w:rsidR="00A723E3">
        <w:fldChar w:fldCharType="begin"/>
      </w:r>
      <w:r w:rsidR="00A723E3">
        <w:instrText xml:space="preserve"> SEQ Figure \* ARABIC </w:instrText>
      </w:r>
      <w:r w:rsidR="00A723E3">
        <w:fldChar w:fldCharType="separate"/>
      </w:r>
      <w:r w:rsidR="00A55944">
        <w:rPr>
          <w:noProof/>
        </w:rPr>
        <w:t>6</w:t>
      </w:r>
      <w:r w:rsidR="00A723E3">
        <w:fldChar w:fldCharType="end"/>
      </w:r>
      <w:bookmarkEnd w:id="21"/>
      <w:r>
        <w:t xml:space="preserve"> </w:t>
      </w:r>
      <w:r w:rsidRPr="00585A7A">
        <w:t>Survival in patients with isolated TR (stratified by severity)</w:t>
      </w:r>
    </w:p>
    <w:p w14:paraId="77124BDB" w14:textId="60A895E0" w:rsidR="00415B06" w:rsidRDefault="00415B06" w:rsidP="00FF2A55">
      <w:pPr>
        <w:pStyle w:val="NoteHeading"/>
      </w:pPr>
      <w:r>
        <w:t xml:space="preserve">Abbreviations: ERO, </w:t>
      </w:r>
      <w:r w:rsidR="003B2F37">
        <w:t>effective regurgitant orifice</w:t>
      </w:r>
    </w:p>
    <w:p w14:paraId="540FC809" w14:textId="397DD2BB" w:rsidR="005D59D9" w:rsidRDefault="005D59D9" w:rsidP="00FF2A55">
      <w:pPr>
        <w:pStyle w:val="NoteHeading"/>
      </w:pPr>
      <w:r>
        <w:t>Source: Topilsky 2014, Figure 1</w:t>
      </w:r>
    </w:p>
    <w:p w14:paraId="2586AA95" w14:textId="77777777" w:rsidR="00953DAB" w:rsidRDefault="00953DAB" w:rsidP="005D59D9"/>
    <w:p w14:paraId="3CE5B9F6" w14:textId="57B59119" w:rsidR="00953DAB" w:rsidRPr="00C0157A" w:rsidRDefault="00A60FD2" w:rsidP="008B0FEC">
      <w:pPr>
        <w:pStyle w:val="BodyText"/>
      </w:pPr>
      <w:r w:rsidRPr="00A60FD2">
        <w:t>T</w:t>
      </w:r>
      <w:r w:rsidR="00953DAB" w:rsidRPr="00A60FD2">
        <w:t>he 2-year follow-up of TRILUMINATE Pivotal (Kar 2025)</w:t>
      </w:r>
      <w:r w:rsidRPr="00A60FD2">
        <w:t xml:space="preserve"> also showed that i</w:t>
      </w:r>
      <w:r w:rsidR="00953DAB" w:rsidRPr="00A60FD2">
        <w:t xml:space="preserve">mprovements in TR severity and quality of life were sustained through 2 years in </w:t>
      </w:r>
      <w:r w:rsidR="00461A16">
        <w:t>TEER</w:t>
      </w:r>
      <w:r w:rsidR="00953DAB" w:rsidRPr="00A60FD2">
        <w:t xml:space="preserve"> </w:t>
      </w:r>
      <w:r w:rsidR="001D705E">
        <w:t>+ OMT</w:t>
      </w:r>
      <w:r w:rsidR="00953DAB" w:rsidRPr="00A60FD2">
        <w:t xml:space="preserve"> patients.</w:t>
      </w:r>
      <w:r w:rsidR="00D6450D">
        <w:t xml:space="preserve"> </w:t>
      </w:r>
      <w:r w:rsidR="00BE73F6">
        <w:t>Although</w:t>
      </w:r>
      <w:r w:rsidR="00D6450D" w:rsidRPr="00D6450D">
        <w:t xml:space="preserve"> </w:t>
      </w:r>
      <w:r w:rsidR="00D6450D">
        <w:t xml:space="preserve">59% (n=142) crossed over </w:t>
      </w:r>
      <w:r w:rsidR="00856B54">
        <w:t xml:space="preserve">from </w:t>
      </w:r>
      <w:r w:rsidR="00D6450D">
        <w:t xml:space="preserve">the </w:t>
      </w:r>
      <w:r w:rsidR="00E35C4C">
        <w:t>OMT to TEER</w:t>
      </w:r>
      <w:r w:rsidR="00D6450D">
        <w:t xml:space="preserve"> before the 2-year follow-up</w:t>
      </w:r>
      <w:r w:rsidR="00BE73F6">
        <w:t>, re</w:t>
      </w:r>
      <w:r w:rsidR="005707F8">
        <w:t xml:space="preserve">sults were maintained and </w:t>
      </w:r>
      <w:r w:rsidR="00662166">
        <w:t xml:space="preserve">TR severity was significantly reduced in the </w:t>
      </w:r>
      <w:r w:rsidR="001B63D2">
        <w:t xml:space="preserve">TEER </w:t>
      </w:r>
      <w:r w:rsidR="00662166">
        <w:t xml:space="preserve">group, with 84% of patients having moderate or less TR at 2 years. </w:t>
      </w:r>
      <w:r w:rsidR="00953DAB" w:rsidRPr="00A60FD2">
        <w:t xml:space="preserve">Improvement in health status assessed by the KCCQ was sustained through 2 years in the TEER group, with a </w:t>
      </w:r>
      <w:r w:rsidR="00953DAB" w:rsidRPr="00461A16">
        <w:t>15.4±23.4–point improvement</w:t>
      </w:r>
      <w:r w:rsidR="00953DAB" w:rsidRPr="00A60FD2">
        <w:t xml:space="preserve"> from baseline to the 2-year follow-up.</w:t>
      </w:r>
      <w:r w:rsidR="00953DAB">
        <w:t xml:space="preserve"> </w:t>
      </w:r>
      <w:r w:rsidR="005239F8">
        <w:t xml:space="preserve">Furthermore, a statistically significant difference in favour of </w:t>
      </w:r>
      <w:r w:rsidR="00D0066E">
        <w:t xml:space="preserve">TEER + OMT versus OMT alone was observed in the rate of heart failure hospitalisations at 2 years (p&lt;0.05). </w:t>
      </w:r>
    </w:p>
    <w:p w14:paraId="7BC596D0" w14:textId="389E5368" w:rsidR="00953DAB" w:rsidRDefault="00953DAB" w:rsidP="008B0FEC">
      <w:pPr>
        <w:pStyle w:val="BodyText"/>
        <w:rPr>
          <w:rFonts w:eastAsia="Segoe UI"/>
        </w:rPr>
      </w:pPr>
      <w:r>
        <w:rPr>
          <w:rFonts w:eastAsia="Segoe UI"/>
        </w:rPr>
        <w:t xml:space="preserve">The claim of superior efficacy is further supported by the TRI-FR clinical trial (Donal 2025), a </w:t>
      </w:r>
      <w:r w:rsidRPr="00F41029">
        <w:rPr>
          <w:rFonts w:eastAsia="Segoe UI"/>
        </w:rPr>
        <w:t>randomi</w:t>
      </w:r>
      <w:r>
        <w:rPr>
          <w:rFonts w:eastAsia="Segoe UI"/>
        </w:rPr>
        <w:t>s</w:t>
      </w:r>
      <w:r w:rsidRPr="00F41029">
        <w:rPr>
          <w:rFonts w:eastAsia="Segoe UI"/>
        </w:rPr>
        <w:t xml:space="preserve">ed (1:1) trial involving 300 patients with severe, symptomatic </w:t>
      </w:r>
      <w:r w:rsidR="00FD1B60">
        <w:rPr>
          <w:rFonts w:eastAsia="Segoe UI"/>
        </w:rPr>
        <w:t>TR</w:t>
      </w:r>
      <w:r>
        <w:rPr>
          <w:rFonts w:eastAsia="Segoe UI"/>
        </w:rPr>
        <w:t xml:space="preserve">. The </w:t>
      </w:r>
      <w:r w:rsidR="008D7CFE">
        <w:rPr>
          <w:rFonts w:eastAsia="Segoe UI"/>
        </w:rPr>
        <w:t>primary endpoint</w:t>
      </w:r>
      <w:r w:rsidR="007634EB">
        <w:rPr>
          <w:rFonts w:eastAsia="Segoe UI"/>
        </w:rPr>
        <w:t>,</w:t>
      </w:r>
      <w:r w:rsidR="008D7CFE">
        <w:rPr>
          <w:rFonts w:eastAsia="Segoe UI"/>
        </w:rPr>
        <w:t xml:space="preserve"> a </w:t>
      </w:r>
      <w:r>
        <w:rPr>
          <w:rFonts w:eastAsia="Segoe UI"/>
        </w:rPr>
        <w:t xml:space="preserve">composite </w:t>
      </w:r>
      <w:r w:rsidR="00283359">
        <w:rPr>
          <w:rFonts w:eastAsia="Segoe UI"/>
        </w:rPr>
        <w:t>outcome</w:t>
      </w:r>
      <w:r>
        <w:rPr>
          <w:rFonts w:eastAsia="Segoe UI"/>
        </w:rPr>
        <w:t xml:space="preserve">, </w:t>
      </w:r>
      <w:r w:rsidRPr="00FA4F78">
        <w:rPr>
          <w:rFonts w:eastAsia="Segoe UI"/>
        </w:rPr>
        <w:t xml:space="preserve">comprising change in NYHA class, change in patient global assessment, or occurrence of major cardiovascular events assessed during a </w:t>
      </w:r>
      <w:r>
        <w:rPr>
          <w:rFonts w:eastAsia="Segoe UI"/>
        </w:rPr>
        <w:t>1-year</w:t>
      </w:r>
      <w:r w:rsidRPr="00FA4F78">
        <w:rPr>
          <w:rFonts w:eastAsia="Segoe UI"/>
        </w:rPr>
        <w:t xml:space="preserve"> period after randomisation</w:t>
      </w:r>
      <w:r w:rsidR="00517749">
        <w:rPr>
          <w:rFonts w:eastAsia="Segoe UI"/>
        </w:rPr>
        <w:t>. T</w:t>
      </w:r>
      <w:r w:rsidR="00517749" w:rsidRPr="00517749">
        <w:rPr>
          <w:rFonts w:eastAsia="Segoe UI"/>
        </w:rPr>
        <w:t>he score was a 3-level, ordered, categorical outcome, with each patient being classified as improved, unchanged, or worsened at each follow-up visit.</w:t>
      </w:r>
      <w:r w:rsidR="00517749">
        <w:rPr>
          <w:rFonts w:eastAsia="Segoe UI"/>
        </w:rPr>
        <w:t xml:space="preserve"> The results from the primary endpoint</w:t>
      </w:r>
      <w:r>
        <w:rPr>
          <w:rFonts w:eastAsia="Segoe UI"/>
        </w:rPr>
        <w:t xml:space="preserve"> </w:t>
      </w:r>
      <w:r w:rsidR="00517749">
        <w:rPr>
          <w:rFonts w:eastAsia="Segoe UI"/>
        </w:rPr>
        <w:t>statistically significantly</w:t>
      </w:r>
      <w:r>
        <w:rPr>
          <w:rFonts w:eastAsia="Segoe UI"/>
        </w:rPr>
        <w:t xml:space="preserve"> favoured TEER (effect estimate = 0.67; 95% CI: 0.61, 0.72; p&lt;0.001). </w:t>
      </w:r>
      <w:r w:rsidRPr="005B266E">
        <w:rPr>
          <w:rFonts w:eastAsia="Segoe UI"/>
        </w:rPr>
        <w:t>At 1 year, 109 patients (74.1%) in the TEER + OMT group had an improved composite score compared with 58 patients (40.6%) in the OMT-alone group</w:t>
      </w:r>
      <w:r>
        <w:rPr>
          <w:rFonts w:eastAsia="Segoe UI"/>
        </w:rPr>
        <w:t>. Massive or torrential TR was found in 6.8% of patients in the TEER group compared with 53.4% in the OMT group (p&lt;0.001). The absolute difference in mean (</w:t>
      </w:r>
      <w:r w:rsidRPr="00E6108F">
        <w:rPr>
          <w:rFonts w:eastAsia="Segoe UI"/>
        </w:rPr>
        <w:t>±</w:t>
      </w:r>
      <w:r>
        <w:rPr>
          <w:rFonts w:eastAsia="Segoe UI"/>
        </w:rPr>
        <w:t xml:space="preserve">SD) KCCQ score was </w:t>
      </w:r>
      <w:r w:rsidRPr="00E6108F">
        <w:rPr>
          <w:rFonts w:eastAsia="Segoe UI"/>
        </w:rPr>
        <w:t>14.5±27.2 points</w:t>
      </w:r>
      <w:r>
        <w:rPr>
          <w:rFonts w:eastAsia="Segoe UI"/>
        </w:rPr>
        <w:t xml:space="preserve"> </w:t>
      </w:r>
      <w:r w:rsidRPr="00E6108F">
        <w:rPr>
          <w:rFonts w:eastAsia="Segoe UI"/>
        </w:rPr>
        <w:t>favouring TEER</w:t>
      </w:r>
      <w:r>
        <w:rPr>
          <w:rFonts w:eastAsia="Segoe UI"/>
        </w:rPr>
        <w:t xml:space="preserve"> (p&lt;0.001). </w:t>
      </w:r>
    </w:p>
    <w:p w14:paraId="0C16F8B8" w14:textId="2F40A84A" w:rsidR="00AB2CDB" w:rsidRDefault="0020541C" w:rsidP="008B0FEC">
      <w:pPr>
        <w:pStyle w:val="BodyText"/>
      </w:pPr>
      <w:r>
        <w:t xml:space="preserve">In terms of safety, given TEER is an interventional procedure used upfront with ongoing OMT management, compared with continued OMT, it is concluded that TEER is inferior relative to OMT alone. Nevertheless, </w:t>
      </w:r>
      <w:r w:rsidR="00257EFF">
        <w:t>as per the TRILUMINATE Pivotal study</w:t>
      </w:r>
      <w:r>
        <w:t>, 98.</w:t>
      </w:r>
      <w:r w:rsidR="009262DE">
        <w:t>3</w:t>
      </w:r>
      <w:r>
        <w:t>% of TEER patients were free from major adverse events</w:t>
      </w:r>
      <w:r w:rsidR="00D10735">
        <w:t xml:space="preserve"> at 30 days (exceeding the performance goal </w:t>
      </w:r>
      <w:r w:rsidR="00330524">
        <w:t xml:space="preserve">of 90%). The </w:t>
      </w:r>
      <w:r w:rsidR="00257EFF">
        <w:t xml:space="preserve">2 year follow up of </w:t>
      </w:r>
      <w:r w:rsidR="00D77486">
        <w:t>the TRILUMINATE Pivotal study</w:t>
      </w:r>
      <w:r w:rsidR="00257EFF">
        <w:t xml:space="preserve"> </w:t>
      </w:r>
      <w:r w:rsidR="00257EFF" w:rsidRPr="00361CE2">
        <w:t>support the longer-term safety of TEER.</w:t>
      </w:r>
      <w:r w:rsidR="00CF30F9">
        <w:t xml:space="preserve"> </w:t>
      </w:r>
      <w:r w:rsidR="00AB2CDB">
        <w:t>Adverse events through 2 years</w:t>
      </w:r>
      <w:r w:rsidR="00D01645">
        <w:t xml:space="preserve"> were generally infrequent and </w:t>
      </w:r>
      <w:r w:rsidR="005E45B0">
        <w:t xml:space="preserve">comparable to rates observed in the control </w:t>
      </w:r>
      <w:r w:rsidR="00C21792">
        <w:t>group</w:t>
      </w:r>
      <w:r w:rsidR="00AB2CDB">
        <w:t xml:space="preserve"> including</w:t>
      </w:r>
      <w:r w:rsidR="0017633D">
        <w:t xml:space="preserve"> </w:t>
      </w:r>
      <w:r w:rsidR="00AB2CDB">
        <w:t>stroke (1.9%</w:t>
      </w:r>
      <w:r w:rsidR="004E4F6C">
        <w:t xml:space="preserve"> vs 2.5</w:t>
      </w:r>
      <w:r w:rsidR="00AB2CDB">
        <w:t>%), transient ischemic attack (1.7%</w:t>
      </w:r>
      <w:r w:rsidR="005420B7">
        <w:t xml:space="preserve"> vs 1.0</w:t>
      </w:r>
      <w:r w:rsidR="00AB2CDB">
        <w:t>%),</w:t>
      </w:r>
      <w:r w:rsidR="0017633D">
        <w:t xml:space="preserve"> </w:t>
      </w:r>
      <w:r w:rsidR="00AB2CDB">
        <w:t>tricuspid valve surgery (2.3%</w:t>
      </w:r>
      <w:r w:rsidR="005420B7">
        <w:t xml:space="preserve"> vs 4.3</w:t>
      </w:r>
      <w:r w:rsidR="00AB2CDB">
        <w:t>%), cardiogenic shock (0.4%</w:t>
      </w:r>
      <w:r w:rsidR="005420B7">
        <w:t xml:space="preserve"> vs 1.3</w:t>
      </w:r>
      <w:r w:rsidR="00AB2CDB">
        <w:t>%),</w:t>
      </w:r>
      <w:r w:rsidR="0017633D">
        <w:t xml:space="preserve"> </w:t>
      </w:r>
      <w:r w:rsidR="00AB2CDB">
        <w:t>and new conduction disturbance requiring permanent</w:t>
      </w:r>
      <w:r w:rsidR="0017633D">
        <w:t xml:space="preserve"> </w:t>
      </w:r>
      <w:r w:rsidR="00AB2CDB">
        <w:t>pacemaker (7.4%</w:t>
      </w:r>
      <w:r w:rsidR="005420B7">
        <w:t xml:space="preserve"> vs 5.7</w:t>
      </w:r>
      <w:r w:rsidR="00AB2CDB">
        <w:t>%)</w:t>
      </w:r>
      <w:r w:rsidR="00B03EEF">
        <w:t xml:space="preserve">. </w:t>
      </w:r>
    </w:p>
    <w:p w14:paraId="71301666" w14:textId="77777777" w:rsidR="005D59D9" w:rsidRPr="005D59D9" w:rsidRDefault="005D59D9" w:rsidP="005D59D9"/>
    <w:p w14:paraId="1EB6D795" w14:textId="77777777" w:rsidR="004A45BE" w:rsidRDefault="004A45BE" w:rsidP="00375FD9">
      <w:pPr>
        <w:pStyle w:val="Heading3"/>
      </w:pPr>
      <w:r w:rsidRPr="00B15CDF">
        <w:t>Identify how the proposed technology achieves the intended patient outcomes</w:t>
      </w:r>
      <w:r>
        <w:t>:</w:t>
      </w:r>
    </w:p>
    <w:p w14:paraId="488827DF" w14:textId="2EC7350C" w:rsidR="003E398F" w:rsidRDefault="003E398F" w:rsidP="00AA1AEE">
      <w:pPr>
        <w:pStyle w:val="BodyText"/>
      </w:pPr>
      <w:r w:rsidRPr="003E398F">
        <w:t>The TriClip device, used for transcatheter tricuspid valve repair, works by clipping together the leaflets of the tricuspid valve to reduce or prevent backward blood flow (regurgitation) from the right ventricle to the right atrium. This edge-to-edge repair technique aims to improve the valve's ability to close properly, thus reducing the workload on the heart.</w:t>
      </w:r>
      <w:r w:rsidR="00990AE2">
        <w:t xml:space="preserve"> </w:t>
      </w:r>
      <w:r w:rsidR="00F12FB0" w:rsidRPr="00F12FB0">
        <w:t>By approximating the leaflets, the clip reduces the amount of blood that leaks backward during ventricular contraction</w:t>
      </w:r>
      <w:r w:rsidR="00F12FB0">
        <w:t xml:space="preserve">, hence improves </w:t>
      </w:r>
      <w:r w:rsidR="00CE735F">
        <w:t>TR severity, which</w:t>
      </w:r>
      <w:r w:rsidR="00F12FB0">
        <w:t xml:space="preserve"> in turn has positive implications on mortality and quality of life of the patient. </w:t>
      </w:r>
      <w:r w:rsidR="00CE735F">
        <w:t xml:space="preserve"> </w:t>
      </w:r>
    </w:p>
    <w:p w14:paraId="7CE3F795" w14:textId="77777777" w:rsidR="0012696D" w:rsidRDefault="0012696D" w:rsidP="003E398F"/>
    <w:p w14:paraId="57EA5851" w14:textId="77777777" w:rsidR="000D419E" w:rsidRDefault="000D419E">
      <w:pPr>
        <w:spacing w:after="160"/>
        <w:rPr>
          <w:rFonts w:eastAsia="Segoe UI"/>
          <w:b/>
          <w:bCs/>
        </w:rPr>
      </w:pPr>
      <w:r>
        <w:br w:type="page"/>
      </w:r>
    </w:p>
    <w:p w14:paraId="1CAE3F41" w14:textId="5E32A4D5" w:rsidR="004A45BE" w:rsidRDefault="009D5D20" w:rsidP="00375FD9">
      <w:pPr>
        <w:pStyle w:val="Heading3"/>
      </w:pPr>
      <w:r>
        <w:t>In terms of the immediate costs of the proposed technology (and immediate cost consequences, such as procedural costs, testing costs etc.), is the proposed technology claimed to be more costly, the same cost or less costly than the comparator?</w:t>
      </w:r>
      <w:r w:rsidR="004A45BE">
        <w:t xml:space="preserve"> </w:t>
      </w:r>
      <w:r w:rsidR="004A45BE" w:rsidRPr="00B63A61">
        <w:t xml:space="preserve">(please </w:t>
      </w:r>
      <w:r w:rsidR="00DB2D53">
        <w:t>select</w:t>
      </w:r>
      <w:r w:rsidR="004A45BE" w:rsidRPr="00B63A61">
        <w:t xml:space="preserve"> your response)</w:t>
      </w:r>
    </w:p>
    <w:p w14:paraId="0EB954C3" w14:textId="3B59C28C" w:rsidR="006437E6" w:rsidRPr="000627EF" w:rsidRDefault="006437E6" w:rsidP="00C41C0E">
      <w:pPr>
        <w:pStyle w:val="BodyText"/>
      </w:pPr>
      <w:r>
        <w:t>More costly</w:t>
      </w:r>
      <w:r w:rsidRPr="000627EF">
        <w:t xml:space="preserve"> </w:t>
      </w:r>
    </w:p>
    <w:p w14:paraId="164A331A" w14:textId="613BA0E6" w:rsidR="004A45BE" w:rsidRDefault="009D5D20" w:rsidP="00375FD9">
      <w:pPr>
        <w:pStyle w:val="Heading3"/>
      </w:pPr>
      <w:r>
        <w:t>Provide a brief rationale for the claim</w:t>
      </w:r>
      <w:r w:rsidR="004A45BE">
        <w:t>:</w:t>
      </w:r>
    </w:p>
    <w:p w14:paraId="17152D78" w14:textId="5D714DEC" w:rsidR="006E44FC" w:rsidRDefault="006D03A7" w:rsidP="00C41C0E">
      <w:pPr>
        <w:pStyle w:val="BodyText"/>
      </w:pPr>
      <w:r>
        <w:t xml:space="preserve">By definition, </w:t>
      </w:r>
      <w:r w:rsidR="006E44FC">
        <w:t xml:space="preserve">as </w:t>
      </w:r>
      <w:r w:rsidR="00116376">
        <w:t xml:space="preserve">the </w:t>
      </w:r>
      <w:r w:rsidR="00A27644">
        <w:t>intervention is</w:t>
      </w:r>
      <w:r w:rsidR="00620FE0">
        <w:t xml:space="preserve"> </w:t>
      </w:r>
      <w:r w:rsidR="006E44FC">
        <w:t>defined as TEER plus OMT</w:t>
      </w:r>
      <w:r w:rsidR="00893651">
        <w:t xml:space="preserve">, </w:t>
      </w:r>
      <w:r w:rsidR="00D8703A">
        <w:t>TEER</w:t>
      </w:r>
      <w:r w:rsidR="00F5745F">
        <w:t xml:space="preserve"> will </w:t>
      </w:r>
      <w:r w:rsidR="00E9384E">
        <w:t>be associated with additional costs</w:t>
      </w:r>
      <w:r w:rsidR="001F0832">
        <w:t xml:space="preserve"> </w:t>
      </w:r>
      <w:r w:rsidR="001A004E">
        <w:t xml:space="preserve">relative to the comparator of OMT alone. </w:t>
      </w:r>
      <w:r w:rsidR="00A62A93">
        <w:t>Additional costs</w:t>
      </w:r>
      <w:r w:rsidR="005B53AE">
        <w:t xml:space="preserve"> include the </w:t>
      </w:r>
      <w:r w:rsidR="00DA4993">
        <w:t xml:space="preserve">costs of the </w:t>
      </w:r>
      <w:r w:rsidR="00FD506E">
        <w:t xml:space="preserve">TEER </w:t>
      </w:r>
      <w:r w:rsidR="007263EB">
        <w:t>prosthesis</w:t>
      </w:r>
      <w:r w:rsidR="00FD506E">
        <w:t xml:space="preserve">, </w:t>
      </w:r>
      <w:r w:rsidR="00612F65">
        <w:t xml:space="preserve">procedural based </w:t>
      </w:r>
      <w:r w:rsidR="00D8063E">
        <w:t xml:space="preserve">implantation </w:t>
      </w:r>
      <w:r w:rsidR="00612F65">
        <w:t>costs</w:t>
      </w:r>
      <w:r w:rsidR="00722116">
        <w:t xml:space="preserve"> including </w:t>
      </w:r>
      <w:r w:rsidR="00223C6B">
        <w:t xml:space="preserve">the cost </w:t>
      </w:r>
      <w:r w:rsidR="00BF1372">
        <w:t xml:space="preserve">of </w:t>
      </w:r>
      <w:r w:rsidR="000E7064">
        <w:t>operating room</w:t>
      </w:r>
      <w:r w:rsidR="00BF1372">
        <w:t>s</w:t>
      </w:r>
      <w:r w:rsidR="0015015F">
        <w:t xml:space="preserve"> and surgical staff</w:t>
      </w:r>
      <w:r w:rsidR="002566F0">
        <w:t>,</w:t>
      </w:r>
      <w:r w:rsidR="001F71CA">
        <w:t xml:space="preserve"> </w:t>
      </w:r>
      <w:r w:rsidR="000E7064">
        <w:t xml:space="preserve">and </w:t>
      </w:r>
      <w:r w:rsidR="00845653">
        <w:t xml:space="preserve">post-implantation </w:t>
      </w:r>
      <w:r w:rsidR="00722116">
        <w:t>hospitalisation</w:t>
      </w:r>
      <w:r w:rsidR="00F97A72">
        <w:t xml:space="preserve"> costs</w:t>
      </w:r>
      <w:r w:rsidR="00722116">
        <w:t>.</w:t>
      </w:r>
    </w:p>
    <w:p w14:paraId="35847D79" w14:textId="77777777" w:rsidR="006B03E6" w:rsidRDefault="006B03E6" w:rsidP="00375FD9">
      <w:pPr>
        <w:rPr>
          <w:rFonts w:eastAsia="Segoe UI"/>
          <w:sz w:val="32"/>
          <w:szCs w:val="32"/>
        </w:rPr>
      </w:pPr>
      <w:bookmarkStart w:id="22" w:name="_Hlk122532620"/>
      <w:r>
        <w:br w:type="page"/>
      </w:r>
    </w:p>
    <w:p w14:paraId="40EF6013" w14:textId="77777777" w:rsidR="003C3719" w:rsidRDefault="003C3719" w:rsidP="00375FD9">
      <w:pPr>
        <w:pStyle w:val="Heading1"/>
        <w:sectPr w:rsidR="003C3719" w:rsidSect="00E500EB">
          <w:headerReference w:type="default" r:id="rId31"/>
          <w:footerReference w:type="default" r:id="rId32"/>
          <w:pgSz w:w="11906" w:h="16838"/>
          <w:pgMar w:top="1440" w:right="991" w:bottom="1135" w:left="1440" w:header="426" w:footer="252" w:gutter="0"/>
          <w:pgNumType w:start="1"/>
          <w:cols w:space="708"/>
          <w:docGrid w:linePitch="360"/>
        </w:sectPr>
      </w:pPr>
    </w:p>
    <w:p w14:paraId="78D9C328" w14:textId="7E16388D" w:rsidR="0030566C" w:rsidRDefault="0030566C" w:rsidP="00375FD9">
      <w:pPr>
        <w:pStyle w:val="Heading1"/>
      </w:pPr>
      <w:r>
        <w:t>Summary of Evidence</w:t>
      </w:r>
    </w:p>
    <w:p w14:paraId="30B8B45A" w14:textId="5D63635B" w:rsidR="0030566C" w:rsidRDefault="0030566C" w:rsidP="00632919">
      <w:pPr>
        <w:pStyle w:val="Heading3"/>
        <w:keepNext w:val="0"/>
        <w:keepLines w:val="0"/>
        <w:widowControl w:val="0"/>
      </w:pPr>
      <w:r w:rsidRPr="0030566C">
        <w:t>Provide one or more recent (published) high quality clinical studies that support use of the proposed health service/technology. At ‘Application Form lodgement’, please do not attach full text articles; just provide a summary</w:t>
      </w:r>
      <w:r>
        <w:t xml:space="preserve"> (repeat columns as required)</w:t>
      </w:r>
      <w:r w:rsidRPr="0030566C">
        <w:t>.</w:t>
      </w:r>
    </w:p>
    <w:tbl>
      <w:tblPr>
        <w:tblStyle w:val="TableGrid"/>
        <w:tblW w:w="5000" w:type="pct"/>
        <w:tblLook w:val="04A0" w:firstRow="1" w:lastRow="0" w:firstColumn="1" w:lastColumn="0" w:noHBand="0" w:noVBand="1"/>
        <w:tblCaption w:val="Summary of Evidence - Published"/>
      </w:tblPr>
      <w:tblGrid>
        <w:gridCol w:w="363"/>
        <w:gridCol w:w="1785"/>
        <w:gridCol w:w="1890"/>
        <w:gridCol w:w="4347"/>
        <w:gridCol w:w="4635"/>
        <w:gridCol w:w="1234"/>
      </w:tblGrid>
      <w:tr w:rsidR="00F41589" w:rsidRPr="0030566C" w14:paraId="408A7DD7" w14:textId="77777777">
        <w:trPr>
          <w:cantSplit/>
          <w:tblHeader/>
        </w:trPr>
        <w:tc>
          <w:tcPr>
            <w:tcW w:w="127" w:type="pct"/>
          </w:tcPr>
          <w:p w14:paraId="0608F8F9" w14:textId="77777777" w:rsidR="00F41589" w:rsidRPr="0030566C" w:rsidRDefault="00F41589">
            <w:pPr>
              <w:pStyle w:val="Tabletext1"/>
              <w:widowControl w:val="0"/>
            </w:pPr>
          </w:p>
        </w:tc>
        <w:tc>
          <w:tcPr>
            <w:tcW w:w="626" w:type="pct"/>
          </w:tcPr>
          <w:p w14:paraId="21442048" w14:textId="77777777" w:rsidR="00F41589" w:rsidRPr="002C19C8" w:rsidRDefault="00F41589">
            <w:pPr>
              <w:pStyle w:val="Tabletext1"/>
              <w:widowControl w:val="0"/>
              <w:rPr>
                <w:b/>
                <w:bCs/>
              </w:rPr>
            </w:pPr>
            <w:r w:rsidRPr="002C19C8">
              <w:rPr>
                <w:b/>
                <w:bCs/>
              </w:rPr>
              <w:t>Type of study design*</w:t>
            </w:r>
          </w:p>
        </w:tc>
        <w:tc>
          <w:tcPr>
            <w:tcW w:w="663" w:type="pct"/>
          </w:tcPr>
          <w:p w14:paraId="4D9729FF" w14:textId="77777777" w:rsidR="00F41589" w:rsidRPr="002C19C8" w:rsidRDefault="00F41589">
            <w:pPr>
              <w:pStyle w:val="Tabletext1"/>
              <w:widowControl w:val="0"/>
              <w:rPr>
                <w:b/>
                <w:bCs/>
              </w:rPr>
            </w:pPr>
            <w:r w:rsidRPr="002C19C8">
              <w:rPr>
                <w:b/>
                <w:bCs/>
              </w:rPr>
              <w:t>Title of journal article or research project (including any trial identifier or study lead if relevant)</w:t>
            </w:r>
          </w:p>
        </w:tc>
        <w:tc>
          <w:tcPr>
            <w:tcW w:w="1525" w:type="pct"/>
          </w:tcPr>
          <w:p w14:paraId="3B32EC2F" w14:textId="77777777" w:rsidR="00F41589" w:rsidRPr="002C19C8" w:rsidRDefault="00F41589">
            <w:pPr>
              <w:pStyle w:val="Tabletext1"/>
              <w:widowControl w:val="0"/>
              <w:rPr>
                <w:b/>
                <w:bCs/>
              </w:rPr>
            </w:pPr>
            <w:r w:rsidRPr="002C19C8">
              <w:rPr>
                <w:b/>
                <w:bCs/>
              </w:rPr>
              <w:t>Short description of research (max 50 words)**</w:t>
            </w:r>
          </w:p>
        </w:tc>
        <w:tc>
          <w:tcPr>
            <w:tcW w:w="1626" w:type="pct"/>
          </w:tcPr>
          <w:p w14:paraId="2B9BAB08" w14:textId="77777777" w:rsidR="00F41589" w:rsidRPr="002C19C8" w:rsidRDefault="00F41589">
            <w:pPr>
              <w:pStyle w:val="Tabletext1"/>
              <w:widowControl w:val="0"/>
              <w:rPr>
                <w:b/>
                <w:bCs/>
              </w:rPr>
            </w:pPr>
            <w:r w:rsidRPr="002C19C8">
              <w:rPr>
                <w:b/>
                <w:bCs/>
              </w:rPr>
              <w:t>Website link to journal article or research (if available)</w:t>
            </w:r>
          </w:p>
        </w:tc>
        <w:tc>
          <w:tcPr>
            <w:tcW w:w="433" w:type="pct"/>
          </w:tcPr>
          <w:p w14:paraId="0DFD1139" w14:textId="77777777" w:rsidR="00F41589" w:rsidRPr="002C19C8" w:rsidRDefault="00F41589">
            <w:pPr>
              <w:pStyle w:val="Tabletext1"/>
              <w:widowControl w:val="0"/>
              <w:rPr>
                <w:b/>
                <w:bCs/>
              </w:rPr>
            </w:pPr>
            <w:r w:rsidRPr="002C19C8">
              <w:rPr>
                <w:b/>
                <w:bCs/>
              </w:rPr>
              <w:t>Date of publication</w:t>
            </w:r>
          </w:p>
        </w:tc>
      </w:tr>
      <w:tr w:rsidR="006B74B5" w:rsidRPr="0030566C" w14:paraId="3A7C4E6B" w14:textId="77777777">
        <w:trPr>
          <w:cantSplit/>
        </w:trPr>
        <w:tc>
          <w:tcPr>
            <w:tcW w:w="127" w:type="pct"/>
            <w:vMerge w:val="restart"/>
          </w:tcPr>
          <w:p w14:paraId="1C0A7B8C" w14:textId="77777777" w:rsidR="006B74B5" w:rsidRPr="0030566C" w:rsidRDefault="006B74B5">
            <w:pPr>
              <w:pStyle w:val="Tabletext1"/>
              <w:widowControl w:val="0"/>
            </w:pPr>
            <w:r>
              <w:t>1.</w:t>
            </w:r>
          </w:p>
        </w:tc>
        <w:tc>
          <w:tcPr>
            <w:tcW w:w="626" w:type="pct"/>
            <w:vMerge w:val="restart"/>
          </w:tcPr>
          <w:p w14:paraId="5932668D" w14:textId="77777777" w:rsidR="006B74B5" w:rsidRDefault="006B74B5">
            <w:pPr>
              <w:pStyle w:val="Tabletext1"/>
              <w:widowControl w:val="0"/>
            </w:pPr>
            <w:r>
              <w:t>Prospective RCT</w:t>
            </w:r>
          </w:p>
          <w:p w14:paraId="7D950E01" w14:textId="77777777" w:rsidR="006B74B5" w:rsidRPr="00250DA2" w:rsidRDefault="006B74B5">
            <w:pPr>
              <w:pStyle w:val="Tabletext1"/>
              <w:widowControl w:val="0"/>
            </w:pPr>
            <w:r>
              <w:t>TEER (TriClip) vs OMT; 1:1</w:t>
            </w:r>
          </w:p>
        </w:tc>
        <w:tc>
          <w:tcPr>
            <w:tcW w:w="663" w:type="pct"/>
          </w:tcPr>
          <w:p w14:paraId="5A4733F3" w14:textId="77777777" w:rsidR="006B74B5" w:rsidRDefault="006B74B5">
            <w:pPr>
              <w:pStyle w:val="Tabletext1"/>
              <w:widowControl w:val="0"/>
              <w:rPr>
                <w:b/>
                <w:bCs/>
              </w:rPr>
            </w:pPr>
            <w:r>
              <w:rPr>
                <w:b/>
                <w:bCs/>
              </w:rPr>
              <w:t>TRILUMINATE Pivotal (NCT03904147)</w:t>
            </w:r>
          </w:p>
          <w:p w14:paraId="78A0C738" w14:textId="77777777" w:rsidR="006B74B5" w:rsidRPr="0030566C" w:rsidRDefault="006B74B5">
            <w:pPr>
              <w:pStyle w:val="Tabletext1"/>
              <w:widowControl w:val="0"/>
            </w:pPr>
            <w:r>
              <w:t>Sorajja (2023). Transcatheter repair for patients with tricuspid regurgitation.</w:t>
            </w:r>
          </w:p>
        </w:tc>
        <w:tc>
          <w:tcPr>
            <w:tcW w:w="1525" w:type="pct"/>
          </w:tcPr>
          <w:p w14:paraId="4B07964B" w14:textId="017E6100" w:rsidR="006B74B5" w:rsidRDefault="006B74B5">
            <w:pPr>
              <w:pStyle w:val="Tabletext1"/>
              <w:widowControl w:val="0"/>
            </w:pPr>
            <w:r>
              <w:rPr>
                <w:i/>
                <w:iCs/>
                <w:u w:val="single"/>
              </w:rPr>
              <w:t>Population</w:t>
            </w:r>
            <w:r w:rsidRPr="001677D4">
              <w:rPr>
                <w:b/>
                <w:bCs/>
                <w:i/>
                <w:iCs/>
                <w:u w:val="single"/>
              </w:rPr>
              <w:t>:</w:t>
            </w:r>
            <w:r w:rsidRPr="001677D4">
              <w:t xml:space="preserve"> </w:t>
            </w:r>
            <w:r>
              <w:t xml:space="preserve">Severe tricuspid regurgitation, symptomatic (NYHA functional class II, III, or IVa), </w:t>
            </w:r>
            <w:r w:rsidR="004264A6">
              <w:t>sPAP</w:t>
            </w:r>
            <w:r>
              <w:t xml:space="preserve"> &lt; 70 mmHg, who were receiving stable (≥ 30 days) guideline-directed medical therapy for heart failure, and had no other cardiovascular conditions in need of interventional or surgical correction. Patients must be of intermediate or greater surgical risk as determined by the local heart team (n=350).</w:t>
            </w:r>
          </w:p>
          <w:p w14:paraId="7D1DAB43" w14:textId="77777777" w:rsidR="006B74B5" w:rsidRDefault="006B74B5">
            <w:pPr>
              <w:pStyle w:val="Tabletext1"/>
              <w:widowControl w:val="0"/>
            </w:pPr>
            <w:r>
              <w:t>TEER group (N=175)</w:t>
            </w:r>
          </w:p>
          <w:p w14:paraId="76401861" w14:textId="77777777" w:rsidR="006B74B5" w:rsidRDefault="006B74B5">
            <w:pPr>
              <w:pStyle w:val="Tabletext1"/>
              <w:widowControl w:val="0"/>
            </w:pPr>
            <w:r>
              <w:t>OMT (N=175</w:t>
            </w:r>
          </w:p>
          <w:p w14:paraId="1D9ED0DE" w14:textId="77777777" w:rsidR="006B74B5" w:rsidRPr="0053338D" w:rsidRDefault="006B74B5">
            <w:pPr>
              <w:pStyle w:val="Tabletext1"/>
              <w:widowControl w:val="0"/>
              <w:rPr>
                <w:b/>
                <w:bCs/>
              </w:rPr>
            </w:pPr>
            <w:r w:rsidRPr="0053338D">
              <w:rPr>
                <w:b/>
                <w:bCs/>
              </w:rPr>
              <w:t>Results</w:t>
            </w:r>
          </w:p>
          <w:p w14:paraId="70BF9888" w14:textId="7D2FB7B3" w:rsidR="006B74B5" w:rsidRDefault="006B74B5">
            <w:pPr>
              <w:rPr>
                <w:rFonts w:ascii="Arial Narrow" w:hAnsi="Arial Narrow"/>
                <w:sz w:val="20"/>
              </w:rPr>
            </w:pPr>
            <w:r w:rsidRPr="00B97B21">
              <w:rPr>
                <w:rFonts w:ascii="Arial Narrow" w:hAnsi="Arial Narrow"/>
                <w:sz w:val="20"/>
              </w:rPr>
              <w:t xml:space="preserve">Win ratio (a hierarchical composite that included death from any cause or tricuspid valve-surgery; hospitalisation for heart failure; and an improvement in quality of life defined as a ≥15 point increase in the KCCQ assessed at 1 year): 1.48 </w:t>
            </w:r>
            <w:r>
              <w:rPr>
                <w:rFonts w:ascii="Arial Narrow" w:hAnsi="Arial Narrow"/>
                <w:sz w:val="20"/>
              </w:rPr>
              <w:t>(</w:t>
            </w:r>
            <w:r w:rsidRPr="00B97B21">
              <w:rPr>
                <w:rFonts w:ascii="Arial Narrow" w:hAnsi="Arial Narrow"/>
                <w:sz w:val="20"/>
              </w:rPr>
              <w:t>95% CI: 1.06, 2.13</w:t>
            </w:r>
            <w:r>
              <w:rPr>
                <w:rFonts w:ascii="Arial Narrow" w:hAnsi="Arial Narrow"/>
                <w:sz w:val="20"/>
              </w:rPr>
              <w:t>)</w:t>
            </w:r>
            <w:r w:rsidRPr="00B97B21">
              <w:rPr>
                <w:rFonts w:ascii="Arial Narrow" w:hAnsi="Arial Narrow"/>
                <w:sz w:val="20"/>
              </w:rPr>
              <w:t>; p = 0.02</w:t>
            </w:r>
            <w:r>
              <w:rPr>
                <w:rFonts w:ascii="Arial Narrow" w:hAnsi="Arial Narrow"/>
                <w:sz w:val="20"/>
              </w:rPr>
              <w:t>, favouring the TEER group</w:t>
            </w:r>
          </w:p>
          <w:p w14:paraId="48F05B36" w14:textId="11695555" w:rsidR="006B74B5" w:rsidRDefault="006B74B5">
            <w:pPr>
              <w:rPr>
                <w:rFonts w:ascii="Arial Narrow" w:hAnsi="Arial Narrow"/>
                <w:sz w:val="20"/>
              </w:rPr>
            </w:pPr>
            <w:r>
              <w:rPr>
                <w:rFonts w:ascii="Arial Narrow" w:hAnsi="Arial Narrow"/>
                <w:sz w:val="20"/>
              </w:rPr>
              <w:t>TR severe, massive or torrential at 30 days: TEER 13.0% v OMT 95.2%; p&lt;0.001</w:t>
            </w:r>
          </w:p>
          <w:p w14:paraId="5E1E3BFE" w14:textId="77777777" w:rsidR="006B74B5" w:rsidRDefault="006B74B5">
            <w:pPr>
              <w:rPr>
                <w:rFonts w:ascii="Arial Narrow" w:hAnsi="Arial Narrow"/>
                <w:sz w:val="20"/>
              </w:rPr>
            </w:pPr>
          </w:p>
          <w:p w14:paraId="014B88FB" w14:textId="77777777" w:rsidR="006B74B5" w:rsidRPr="001E7C7B" w:rsidRDefault="006B74B5">
            <w:pPr>
              <w:pStyle w:val="Tabletext1"/>
              <w:widowControl w:val="0"/>
              <w:rPr>
                <w:u w:val="single"/>
              </w:rPr>
            </w:pPr>
            <w:r w:rsidRPr="001E7C7B">
              <w:rPr>
                <w:u w:val="single"/>
              </w:rPr>
              <w:t>Results at 1 year</w:t>
            </w:r>
            <w:r>
              <w:rPr>
                <w:u w:val="single"/>
              </w:rPr>
              <w:t xml:space="preserve"> TEER v OMT</w:t>
            </w:r>
          </w:p>
          <w:p w14:paraId="49D2A421" w14:textId="77777777" w:rsidR="006B74B5" w:rsidRPr="00B97B21" w:rsidRDefault="006B74B5">
            <w:pPr>
              <w:pStyle w:val="Tabletext1"/>
              <w:widowControl w:val="0"/>
            </w:pPr>
            <w:r w:rsidRPr="00B97B21">
              <w:t>Change in KCCQ score: 12.3±1.8 v 0.6±1.8; p&lt;0.001</w:t>
            </w:r>
          </w:p>
          <w:p w14:paraId="6A5603FC" w14:textId="77777777" w:rsidR="006B74B5" w:rsidRPr="00B97B21" w:rsidRDefault="006B74B5">
            <w:pPr>
              <w:pStyle w:val="Tabletext1"/>
              <w:widowControl w:val="0"/>
            </w:pPr>
            <w:r w:rsidRPr="00B97B21">
              <w:t>Change in 6MWD: -8.1±10.6 m v -25.2±10.3m; p=0.25</w:t>
            </w:r>
          </w:p>
          <w:p w14:paraId="00E3D38F" w14:textId="2A6C48B8" w:rsidR="006B74B5" w:rsidRPr="00444647" w:rsidRDefault="006B74B5">
            <w:pPr>
              <w:pStyle w:val="Tabletext1"/>
              <w:widowControl w:val="0"/>
            </w:pPr>
            <w:r w:rsidRPr="00B97B21">
              <w:t xml:space="preserve">Free from </w:t>
            </w:r>
            <w:r>
              <w:t>M</w:t>
            </w:r>
            <w:r w:rsidRPr="00B97B21">
              <w:t>AE at 30 days: 98.3% (TEER group)</w:t>
            </w:r>
          </w:p>
        </w:tc>
        <w:tc>
          <w:tcPr>
            <w:tcW w:w="1626" w:type="pct"/>
          </w:tcPr>
          <w:p w14:paraId="3F37D5D6" w14:textId="77777777" w:rsidR="006B74B5" w:rsidRDefault="006B74B5">
            <w:pPr>
              <w:pStyle w:val="Tabletext1"/>
              <w:widowControl w:val="0"/>
            </w:pPr>
            <w:hyperlink r:id="rId33" w:history="1">
              <w:r w:rsidRPr="008A56D8">
                <w:rPr>
                  <w:rStyle w:val="Hyperlink"/>
                </w:rPr>
                <w:t>https://www.nejm.org/doi/full/10.1056/NEJMoa2300525</w:t>
              </w:r>
            </w:hyperlink>
            <w:r>
              <w:t xml:space="preserve"> (main trial publication)</w:t>
            </w:r>
          </w:p>
          <w:p w14:paraId="5C13581F" w14:textId="77777777" w:rsidR="006B74B5" w:rsidRDefault="006B74B5">
            <w:pPr>
              <w:pStyle w:val="Tabletext1"/>
              <w:widowControl w:val="0"/>
            </w:pPr>
            <w:hyperlink r:id="rId34" w:history="1">
              <w:r w:rsidRPr="00C92C4E">
                <w:rPr>
                  <w:rStyle w:val="Hyperlink"/>
                </w:rPr>
                <w:t>https://www.jacc.org/doi/10.1016/j.jacc.2024.08.044</w:t>
              </w:r>
            </w:hyperlink>
            <w:r>
              <w:t xml:space="preserve"> (impact of renal and liver function)</w:t>
            </w:r>
          </w:p>
          <w:p w14:paraId="6D287959" w14:textId="77777777" w:rsidR="006B74B5" w:rsidRDefault="006B74B5">
            <w:pPr>
              <w:pStyle w:val="Tabletext1"/>
              <w:widowControl w:val="0"/>
            </w:pPr>
            <w:hyperlink r:id="rId35" w:history="1">
              <w:r w:rsidRPr="00C92C4E">
                <w:rPr>
                  <w:rStyle w:val="Hyperlink"/>
                </w:rPr>
                <w:t>jacc.org/doi/10.1016/j/jacc/2024.09.009</w:t>
              </w:r>
            </w:hyperlink>
            <w:r>
              <w:t xml:space="preserve"> (imaging sub study)</w:t>
            </w:r>
          </w:p>
          <w:p w14:paraId="44C42E3D" w14:textId="77777777" w:rsidR="006B74B5" w:rsidRPr="0030566C" w:rsidRDefault="006B74B5">
            <w:pPr>
              <w:pStyle w:val="Tabletext1"/>
              <w:widowControl w:val="0"/>
            </w:pPr>
            <w:hyperlink r:id="rId36" w:history="1">
              <w:r w:rsidRPr="00C92C4E">
                <w:rPr>
                  <w:rStyle w:val="Hyperlink"/>
                </w:rPr>
                <w:t>jacc.org/doi/10.1016/j.jacep.2025.01.001</w:t>
              </w:r>
            </w:hyperlink>
            <w:r>
              <w:t xml:space="preserve"> (patients with </w:t>
            </w:r>
            <w:r w:rsidRPr="00A75F08">
              <w:t>transvalvular cardiac implantable electronic device</w:t>
            </w:r>
            <w:r>
              <w:t xml:space="preserve"> leads)</w:t>
            </w:r>
          </w:p>
        </w:tc>
        <w:tc>
          <w:tcPr>
            <w:tcW w:w="433" w:type="pct"/>
          </w:tcPr>
          <w:p w14:paraId="352EAB02" w14:textId="77777777" w:rsidR="006B74B5" w:rsidRDefault="006B74B5">
            <w:pPr>
              <w:pStyle w:val="Tabletext1"/>
              <w:widowControl w:val="0"/>
            </w:pPr>
            <w:r>
              <w:t>2023</w:t>
            </w:r>
          </w:p>
          <w:p w14:paraId="5A634531" w14:textId="77777777" w:rsidR="006B74B5" w:rsidRDefault="006B74B5">
            <w:pPr>
              <w:pStyle w:val="Tabletext1"/>
              <w:widowControl w:val="0"/>
            </w:pPr>
            <w:r>
              <w:t>2024</w:t>
            </w:r>
          </w:p>
          <w:p w14:paraId="2D623DFF" w14:textId="77777777" w:rsidR="006B74B5" w:rsidRDefault="006B74B5">
            <w:pPr>
              <w:pStyle w:val="Tabletext1"/>
              <w:widowControl w:val="0"/>
            </w:pPr>
            <w:r>
              <w:t>2025</w:t>
            </w:r>
          </w:p>
          <w:p w14:paraId="2CF12745" w14:textId="77777777" w:rsidR="006B74B5" w:rsidRPr="0030566C" w:rsidRDefault="006B74B5">
            <w:pPr>
              <w:pStyle w:val="Tabletext1"/>
              <w:widowControl w:val="0"/>
            </w:pPr>
            <w:r>
              <w:t>2025</w:t>
            </w:r>
          </w:p>
        </w:tc>
      </w:tr>
      <w:tr w:rsidR="006B74B5" w:rsidRPr="00755E37" w14:paraId="3F049521" w14:textId="77777777">
        <w:trPr>
          <w:cantSplit/>
        </w:trPr>
        <w:tc>
          <w:tcPr>
            <w:tcW w:w="127" w:type="pct"/>
            <w:vMerge/>
          </w:tcPr>
          <w:p w14:paraId="19998873" w14:textId="77777777" w:rsidR="006B74B5" w:rsidRDefault="006B74B5">
            <w:pPr>
              <w:pStyle w:val="Tabletext1"/>
              <w:widowControl w:val="0"/>
            </w:pPr>
          </w:p>
        </w:tc>
        <w:tc>
          <w:tcPr>
            <w:tcW w:w="626" w:type="pct"/>
            <w:vMerge/>
          </w:tcPr>
          <w:p w14:paraId="32145B4D" w14:textId="77777777" w:rsidR="006B74B5" w:rsidRDefault="006B74B5">
            <w:pPr>
              <w:pStyle w:val="Tabletext1"/>
              <w:widowControl w:val="0"/>
            </w:pPr>
          </w:p>
        </w:tc>
        <w:tc>
          <w:tcPr>
            <w:tcW w:w="663" w:type="pct"/>
          </w:tcPr>
          <w:p w14:paraId="6A8D7413" w14:textId="77777777" w:rsidR="006B74B5" w:rsidRDefault="006B74B5" w:rsidP="00544CC1">
            <w:pPr>
              <w:pStyle w:val="Tabletext1"/>
              <w:widowControl w:val="0"/>
              <w:rPr>
                <w:b/>
                <w:bCs/>
              </w:rPr>
            </w:pPr>
            <w:r>
              <w:rPr>
                <w:b/>
                <w:bCs/>
              </w:rPr>
              <w:t>TRILUMINATE Pivotal (NCT03904147)</w:t>
            </w:r>
          </w:p>
          <w:p w14:paraId="316E8E73" w14:textId="77777777" w:rsidR="006B74B5" w:rsidRDefault="006B74B5">
            <w:pPr>
              <w:pStyle w:val="Tabletext1"/>
              <w:widowControl w:val="0"/>
            </w:pPr>
            <w:r>
              <w:t>Arnold (2024).</w:t>
            </w:r>
          </w:p>
          <w:p w14:paraId="51FF634D" w14:textId="6E3DC0A9" w:rsidR="006B74B5" w:rsidRPr="001176B0" w:rsidRDefault="006B74B5">
            <w:pPr>
              <w:pStyle w:val="Tabletext1"/>
              <w:widowControl w:val="0"/>
            </w:pPr>
            <w:r>
              <w:t>Health status after transcatheter tricuspid-valve repair in patients with severe tricuspid regurgitation.</w:t>
            </w:r>
          </w:p>
        </w:tc>
        <w:tc>
          <w:tcPr>
            <w:tcW w:w="1525" w:type="pct"/>
          </w:tcPr>
          <w:p w14:paraId="3551C3F8" w14:textId="1C859BFB" w:rsidR="00C12DE5" w:rsidRPr="00E2184C" w:rsidRDefault="00C12DE5">
            <w:pPr>
              <w:pStyle w:val="Tabletext1"/>
              <w:widowControl w:val="0"/>
            </w:pPr>
            <w:r>
              <w:rPr>
                <w:bCs/>
              </w:rPr>
              <w:t>Measures quality of life using KCCQ and SF-36, and overall health status</w:t>
            </w:r>
            <w:r w:rsidR="00D47255">
              <w:rPr>
                <w:bCs/>
              </w:rPr>
              <w:t xml:space="preserve">. An improved health status defined as </w:t>
            </w:r>
            <w:r w:rsidR="007E551D">
              <w:rPr>
                <w:bCs/>
              </w:rPr>
              <w:t>KCCQ OS score</w:t>
            </w:r>
            <w:r w:rsidR="00136E52">
              <w:rPr>
                <w:bCs/>
              </w:rPr>
              <w:t xml:space="preserve"> ≥ 60 and no decline </w:t>
            </w:r>
            <w:r w:rsidR="004A1F5C">
              <w:rPr>
                <w:bCs/>
              </w:rPr>
              <w:t>from baseline</w:t>
            </w:r>
            <w:r w:rsidR="002D29A2">
              <w:rPr>
                <w:bCs/>
              </w:rPr>
              <w:t xml:space="preserve"> of &gt;10 points at 1 year.</w:t>
            </w:r>
          </w:p>
          <w:p w14:paraId="04A5B051" w14:textId="77777777" w:rsidR="00C12DE5" w:rsidRDefault="00C12DE5">
            <w:pPr>
              <w:pStyle w:val="Tabletext1"/>
              <w:widowControl w:val="0"/>
              <w:rPr>
                <w:b/>
              </w:rPr>
            </w:pPr>
          </w:p>
          <w:p w14:paraId="56D391A0" w14:textId="7A5BF84E" w:rsidR="006B74B5" w:rsidRPr="001176B0" w:rsidRDefault="00C82331">
            <w:pPr>
              <w:pStyle w:val="Tabletext1"/>
              <w:widowControl w:val="0"/>
              <w:rPr>
                <w:b/>
              </w:rPr>
            </w:pPr>
            <w:r w:rsidRPr="001176B0">
              <w:rPr>
                <w:b/>
              </w:rPr>
              <w:t>Results</w:t>
            </w:r>
          </w:p>
          <w:p w14:paraId="0DB59035" w14:textId="5435ED5F" w:rsidR="00813307" w:rsidRPr="001176B0" w:rsidRDefault="004C2BEB">
            <w:pPr>
              <w:pStyle w:val="Tabletext1"/>
              <w:widowControl w:val="0"/>
              <w:rPr>
                <w:u w:val="single"/>
              </w:rPr>
            </w:pPr>
            <w:r w:rsidRPr="001176B0">
              <w:rPr>
                <w:u w:val="single"/>
              </w:rPr>
              <w:t>30 day</w:t>
            </w:r>
            <w:r>
              <w:rPr>
                <w:u w:val="single"/>
              </w:rPr>
              <w:t>s</w:t>
            </w:r>
          </w:p>
          <w:p w14:paraId="0921262D" w14:textId="354E4A10" w:rsidR="006B74B5" w:rsidRDefault="004506BD">
            <w:pPr>
              <w:pStyle w:val="Tabletext1"/>
              <w:widowControl w:val="0"/>
            </w:pPr>
            <w:r>
              <w:t xml:space="preserve">CFB </w:t>
            </w:r>
            <w:r w:rsidR="006B74B5" w:rsidRPr="004C2BEB">
              <w:t>KCCQ</w:t>
            </w:r>
            <w:r w:rsidR="00111BB8" w:rsidRPr="004C2BEB">
              <w:t xml:space="preserve"> OS</w:t>
            </w:r>
            <w:r w:rsidR="004C2BEB">
              <w:t xml:space="preserve">: </w:t>
            </w:r>
            <w:r w:rsidR="005C28BB">
              <w:t>TriClip 14.3 points v OMT 4.8 points</w:t>
            </w:r>
          </w:p>
          <w:p w14:paraId="322D1611" w14:textId="763ACFC3" w:rsidR="005C28BB" w:rsidRDefault="004506BD">
            <w:pPr>
              <w:pStyle w:val="Tabletext1"/>
              <w:widowControl w:val="0"/>
            </w:pPr>
            <w:r>
              <w:t xml:space="preserve">CFB </w:t>
            </w:r>
            <w:r w:rsidR="005C28BB">
              <w:t>SF-36 physical component</w:t>
            </w:r>
            <w:r w:rsidR="003A237E">
              <w:t>: TriClip 4.9 points v OMT 1.2 points</w:t>
            </w:r>
          </w:p>
          <w:p w14:paraId="1E91B16C" w14:textId="0BB8FECC" w:rsidR="00AD38F5" w:rsidRDefault="004506BD">
            <w:pPr>
              <w:pStyle w:val="Tabletext1"/>
              <w:widowControl w:val="0"/>
            </w:pPr>
            <w:r>
              <w:t xml:space="preserve">CFB </w:t>
            </w:r>
            <w:r w:rsidR="00AD38F5">
              <w:t xml:space="preserve">SF-36 mental component: TriClip </w:t>
            </w:r>
            <w:r w:rsidR="00755E37">
              <w:t>2.0 points v OMT 0.9 points</w:t>
            </w:r>
          </w:p>
          <w:p w14:paraId="28EFE3C6" w14:textId="1E0A07C0" w:rsidR="00755E37" w:rsidRDefault="00755E37">
            <w:pPr>
              <w:pStyle w:val="Tabletext1"/>
              <w:widowControl w:val="0"/>
              <w:rPr>
                <w:u w:val="single"/>
              </w:rPr>
            </w:pPr>
            <w:r>
              <w:rPr>
                <w:u w:val="single"/>
              </w:rPr>
              <w:t>1 year</w:t>
            </w:r>
          </w:p>
          <w:p w14:paraId="129DF34C" w14:textId="4922BB81" w:rsidR="00DA25B2" w:rsidRDefault="00DA25B2">
            <w:pPr>
              <w:pStyle w:val="Tabletext1"/>
              <w:widowControl w:val="0"/>
            </w:pPr>
            <w:r>
              <w:rPr>
                <w:u w:val="single"/>
              </w:rPr>
              <w:t xml:space="preserve">Alive and well: TriClip </w:t>
            </w:r>
            <w:r w:rsidR="005546E7">
              <w:rPr>
                <w:u w:val="single"/>
              </w:rPr>
              <w:t xml:space="preserve">74.8% v OMT </w:t>
            </w:r>
            <w:r w:rsidR="00643294">
              <w:rPr>
                <w:u w:val="single"/>
              </w:rPr>
              <w:t>45.9% (p &lt; 0.001)</w:t>
            </w:r>
          </w:p>
          <w:p w14:paraId="61DE0A88" w14:textId="27468050" w:rsidR="00755E37" w:rsidRDefault="004506BD">
            <w:pPr>
              <w:pStyle w:val="Tabletext1"/>
              <w:widowControl w:val="0"/>
            </w:pPr>
            <w:r>
              <w:t xml:space="preserve">CFB </w:t>
            </w:r>
            <w:r w:rsidR="00755E37" w:rsidRPr="00755E37">
              <w:t>KCCQ OS</w:t>
            </w:r>
            <w:r w:rsidR="00755E37" w:rsidRPr="001176B0">
              <w:t>: T</w:t>
            </w:r>
            <w:r w:rsidR="00755E37">
              <w:t xml:space="preserve">riClip </w:t>
            </w:r>
            <w:r w:rsidR="00337421">
              <w:t xml:space="preserve">15.2 points v </w:t>
            </w:r>
            <w:r w:rsidR="005C3A2D">
              <w:t>OMT 4.8 points</w:t>
            </w:r>
          </w:p>
          <w:p w14:paraId="41DF8DFC" w14:textId="2964C664" w:rsidR="005C3A2D" w:rsidRDefault="004506BD">
            <w:pPr>
              <w:pStyle w:val="Tabletext1"/>
              <w:widowControl w:val="0"/>
            </w:pPr>
            <w:r>
              <w:t xml:space="preserve">CFB </w:t>
            </w:r>
            <w:r w:rsidR="00C82331">
              <w:t xml:space="preserve">SF-36 physical component: TriClip </w:t>
            </w:r>
            <w:r w:rsidR="00D657E0">
              <w:t>4.1 points v OMT -1.2 points</w:t>
            </w:r>
          </w:p>
          <w:p w14:paraId="4D916201" w14:textId="4ECBC3E9" w:rsidR="00D657E0" w:rsidRPr="001176B0" w:rsidRDefault="004506BD">
            <w:pPr>
              <w:pStyle w:val="Tabletext1"/>
              <w:widowControl w:val="0"/>
            </w:pPr>
            <w:r>
              <w:t xml:space="preserve">CFB </w:t>
            </w:r>
            <w:r w:rsidR="00D657E0">
              <w:t>SF-36 mental component: TriClip 3.3 points v OMT 1.4 points</w:t>
            </w:r>
          </w:p>
        </w:tc>
        <w:tc>
          <w:tcPr>
            <w:tcW w:w="1626" w:type="pct"/>
          </w:tcPr>
          <w:p w14:paraId="5D69A2D1" w14:textId="07B308CF" w:rsidR="006B74B5" w:rsidRPr="00755E37" w:rsidRDefault="001176B0">
            <w:pPr>
              <w:pStyle w:val="Tabletext1"/>
              <w:widowControl w:val="0"/>
            </w:pPr>
            <w:hyperlink r:id="rId37" w:history="1">
              <w:r w:rsidRPr="00333E11">
                <w:rPr>
                  <w:rStyle w:val="Hyperlink"/>
                </w:rPr>
                <w:t>https://www.jacc.org/doi/10.1016/j.jacc.2023.10.008</w:t>
              </w:r>
            </w:hyperlink>
            <w:r>
              <w:t xml:space="preserve"> </w:t>
            </w:r>
          </w:p>
        </w:tc>
        <w:tc>
          <w:tcPr>
            <w:tcW w:w="433" w:type="pct"/>
          </w:tcPr>
          <w:p w14:paraId="38981FB1" w14:textId="5C4EAFD6" w:rsidR="006B74B5" w:rsidRPr="00755E37" w:rsidRDefault="001176B0">
            <w:pPr>
              <w:pStyle w:val="Tabletext1"/>
              <w:widowControl w:val="0"/>
            </w:pPr>
            <w:r>
              <w:t>2024</w:t>
            </w:r>
          </w:p>
        </w:tc>
      </w:tr>
      <w:tr w:rsidR="006B74B5" w:rsidRPr="0030566C" w14:paraId="3F68FBA4" w14:textId="77777777">
        <w:trPr>
          <w:cantSplit/>
        </w:trPr>
        <w:tc>
          <w:tcPr>
            <w:tcW w:w="127" w:type="pct"/>
            <w:vMerge/>
          </w:tcPr>
          <w:p w14:paraId="0E605796" w14:textId="77777777" w:rsidR="006B74B5" w:rsidRPr="00755E37" w:rsidRDefault="006B74B5">
            <w:pPr>
              <w:pStyle w:val="Tabletext1"/>
              <w:widowControl w:val="0"/>
            </w:pPr>
          </w:p>
        </w:tc>
        <w:tc>
          <w:tcPr>
            <w:tcW w:w="626" w:type="pct"/>
            <w:vMerge/>
          </w:tcPr>
          <w:p w14:paraId="210CC646" w14:textId="77967FBC" w:rsidR="006B74B5" w:rsidRPr="00755E37" w:rsidRDefault="006B74B5">
            <w:pPr>
              <w:pStyle w:val="Tabletext1"/>
              <w:widowControl w:val="0"/>
            </w:pPr>
          </w:p>
        </w:tc>
        <w:tc>
          <w:tcPr>
            <w:tcW w:w="663" w:type="pct"/>
          </w:tcPr>
          <w:p w14:paraId="485F5D4A" w14:textId="77777777" w:rsidR="006B74B5" w:rsidRDefault="006B74B5" w:rsidP="009C2617">
            <w:pPr>
              <w:pStyle w:val="Tabletext1"/>
              <w:widowControl w:val="0"/>
              <w:rPr>
                <w:b/>
                <w:bCs/>
              </w:rPr>
            </w:pPr>
            <w:r>
              <w:rPr>
                <w:b/>
                <w:bCs/>
              </w:rPr>
              <w:t>TRILUMINATE Pivotal (NCT03904147)</w:t>
            </w:r>
          </w:p>
          <w:p w14:paraId="5D34942D" w14:textId="77777777" w:rsidR="006B74B5" w:rsidRDefault="006B74B5" w:rsidP="009C2617">
            <w:pPr>
              <w:pStyle w:val="Tabletext1"/>
              <w:widowControl w:val="0"/>
            </w:pPr>
            <w:r>
              <w:t>Kar (2025).</w:t>
            </w:r>
          </w:p>
          <w:p w14:paraId="021F286D" w14:textId="694AF407" w:rsidR="006B74B5" w:rsidRPr="00D30AB3" w:rsidRDefault="006B74B5" w:rsidP="009C2617">
            <w:pPr>
              <w:pStyle w:val="Tabletext1"/>
              <w:widowControl w:val="0"/>
            </w:pPr>
            <w:r>
              <w:t>Two-year outcomes of transcatheter edge-to-edge repair for severe tricuspid regurgitation: the TRILUMINATE Pivotal randomised controlled trial.</w:t>
            </w:r>
          </w:p>
        </w:tc>
        <w:tc>
          <w:tcPr>
            <w:tcW w:w="1525" w:type="pct"/>
          </w:tcPr>
          <w:p w14:paraId="638EABE3" w14:textId="7BDD91B5" w:rsidR="006B74B5" w:rsidRDefault="006B74B5">
            <w:pPr>
              <w:pStyle w:val="Tabletext1"/>
              <w:widowControl w:val="0"/>
              <w:rPr>
                <w:b/>
                <w:bCs/>
              </w:rPr>
            </w:pPr>
            <w:r>
              <w:rPr>
                <w:b/>
                <w:bCs/>
              </w:rPr>
              <w:t>Results (at 2 years)</w:t>
            </w:r>
          </w:p>
          <w:p w14:paraId="7C2A4DFD" w14:textId="3F5C1EDC" w:rsidR="006B74B5" w:rsidRDefault="006B74B5">
            <w:pPr>
              <w:pStyle w:val="Tabletext1"/>
              <w:widowControl w:val="0"/>
            </w:pPr>
            <w:r>
              <w:t>Annualised heart failure hospitalisation (HFH) HR: 0.72 (95% CI: 0.53, 0.98; p=0.04), favouring the TEER group</w:t>
            </w:r>
          </w:p>
          <w:p w14:paraId="23DF8A54" w14:textId="6B8BADE6" w:rsidR="006B74B5" w:rsidRDefault="006B74B5">
            <w:pPr>
              <w:pStyle w:val="Tabletext1"/>
              <w:widowControl w:val="0"/>
            </w:pPr>
            <w:r>
              <w:t>Annualised rate of recurrent HFH: TEER 0.19 events per patient year (95% CI: 0.15, 0.23) v OMT 0.26 events per patient year (95% CI: 0.22, 0.31); p=0.02</w:t>
            </w:r>
          </w:p>
          <w:p w14:paraId="13CAFFBA" w14:textId="173F1EC2" w:rsidR="006B74B5" w:rsidRDefault="006B74B5">
            <w:pPr>
              <w:pStyle w:val="Tabletext1"/>
              <w:widowControl w:val="0"/>
            </w:pPr>
            <w:r>
              <w:t>Composite freedom from all-cause mortality, tricuspid valve surgery, and tricuspid valve intervention: TEER 77.6% (95% CI: 72.2, 82.1) v OMT 29.3% (95% CI: 23.8, 34.9), p&lt;0.0001</w:t>
            </w:r>
          </w:p>
          <w:p w14:paraId="696B9B3C" w14:textId="2C70A2C1" w:rsidR="006B74B5" w:rsidRDefault="006B74B5">
            <w:pPr>
              <w:pStyle w:val="Tabletext1"/>
              <w:widowControl w:val="0"/>
            </w:pPr>
            <w:r>
              <w:t>Freedom from all</w:t>
            </w:r>
            <w:r w:rsidR="00F10C04">
              <w:t>-</w:t>
            </w:r>
            <w:r>
              <w:t>cause mortality: TEER 82.1% v OMT 82.9%</w:t>
            </w:r>
          </w:p>
          <w:p w14:paraId="558A4D1F" w14:textId="29684EB6" w:rsidR="006B74B5" w:rsidRDefault="006B74B5">
            <w:pPr>
              <w:pStyle w:val="Tabletext1"/>
              <w:widowControl w:val="0"/>
            </w:pPr>
            <w:r>
              <w:t>Freedom from tricuspid valve surgery: TEER 97.7% v OMT 95.7%</w:t>
            </w:r>
          </w:p>
          <w:p w14:paraId="005E8B88" w14:textId="3DA8C93B" w:rsidR="006B74B5" w:rsidRPr="00712813" w:rsidRDefault="006B74B5">
            <w:pPr>
              <w:pStyle w:val="Tabletext1"/>
              <w:widowControl w:val="0"/>
            </w:pPr>
            <w:r>
              <w:t>TR severity ≤ moderate: TEER 84% v pure OMT 21%</w:t>
            </w:r>
          </w:p>
        </w:tc>
        <w:tc>
          <w:tcPr>
            <w:tcW w:w="1626" w:type="pct"/>
          </w:tcPr>
          <w:p w14:paraId="461BA126" w14:textId="5496B85E" w:rsidR="006B74B5" w:rsidRPr="009F6490" w:rsidRDefault="006B74B5">
            <w:pPr>
              <w:pStyle w:val="Tabletext1"/>
              <w:widowControl w:val="0"/>
            </w:pPr>
            <w:hyperlink r:id="rId38" w:history="1">
              <w:r w:rsidRPr="009F6490">
                <w:rPr>
                  <w:rStyle w:val="Hyperlink"/>
                </w:rPr>
                <w:t>https://doi.org/10.1161/CIRCULATIONAHA.125.074536</w:t>
              </w:r>
            </w:hyperlink>
          </w:p>
        </w:tc>
        <w:tc>
          <w:tcPr>
            <w:tcW w:w="433" w:type="pct"/>
          </w:tcPr>
          <w:p w14:paraId="2D01F6E2" w14:textId="21D46214" w:rsidR="006B74B5" w:rsidRDefault="006B74B5">
            <w:pPr>
              <w:pStyle w:val="Tabletext1"/>
              <w:widowControl w:val="0"/>
            </w:pPr>
            <w:r>
              <w:t>2025</w:t>
            </w:r>
          </w:p>
        </w:tc>
      </w:tr>
      <w:tr w:rsidR="00F41589" w:rsidRPr="0030566C" w14:paraId="7E48481F" w14:textId="77777777">
        <w:trPr>
          <w:cantSplit/>
        </w:trPr>
        <w:tc>
          <w:tcPr>
            <w:tcW w:w="127" w:type="pct"/>
          </w:tcPr>
          <w:p w14:paraId="4DD93C3B" w14:textId="77777777" w:rsidR="00F41589" w:rsidRDefault="00F41589">
            <w:pPr>
              <w:pStyle w:val="Tabletext1"/>
              <w:widowControl w:val="0"/>
            </w:pPr>
            <w:r>
              <w:t>2</w:t>
            </w:r>
          </w:p>
        </w:tc>
        <w:tc>
          <w:tcPr>
            <w:tcW w:w="626" w:type="pct"/>
          </w:tcPr>
          <w:p w14:paraId="21E889B6" w14:textId="77777777" w:rsidR="00F41589" w:rsidRDefault="00F41589">
            <w:pPr>
              <w:pStyle w:val="Tabletext1"/>
              <w:widowControl w:val="0"/>
            </w:pPr>
            <w:r>
              <w:t>Prospective RCT</w:t>
            </w:r>
          </w:p>
          <w:p w14:paraId="70F7E2A1" w14:textId="77777777" w:rsidR="00F41589" w:rsidRDefault="00F41589">
            <w:pPr>
              <w:pStyle w:val="Tabletext1"/>
              <w:widowControl w:val="0"/>
              <w:rPr>
                <w:b/>
                <w:bCs/>
              </w:rPr>
            </w:pPr>
            <w:r>
              <w:t>TEER vs OMT; 1:1</w:t>
            </w:r>
          </w:p>
        </w:tc>
        <w:tc>
          <w:tcPr>
            <w:tcW w:w="663" w:type="pct"/>
          </w:tcPr>
          <w:p w14:paraId="70BE40AF" w14:textId="77777777" w:rsidR="00F41589" w:rsidRDefault="00F41589">
            <w:pPr>
              <w:pStyle w:val="Tabletext1"/>
              <w:widowControl w:val="0"/>
            </w:pPr>
            <w:r>
              <w:rPr>
                <w:b/>
                <w:bCs/>
              </w:rPr>
              <w:t>TRI-FR (NCT04646811)</w:t>
            </w:r>
          </w:p>
          <w:p w14:paraId="4DC45FB3" w14:textId="77777777" w:rsidR="00F41589" w:rsidRDefault="00F41589">
            <w:pPr>
              <w:pStyle w:val="Tabletext1"/>
              <w:widowControl w:val="0"/>
            </w:pPr>
            <w:r>
              <w:t>Donal (2025). Transcatheter edge-to-edge repair for severe isolated tricuspid regurgitation.</w:t>
            </w:r>
          </w:p>
        </w:tc>
        <w:tc>
          <w:tcPr>
            <w:tcW w:w="1525" w:type="pct"/>
          </w:tcPr>
          <w:p w14:paraId="0198460D" w14:textId="77777777" w:rsidR="00F41589" w:rsidRDefault="00F41589">
            <w:pPr>
              <w:pStyle w:val="Tabletext1"/>
              <w:widowControl w:val="0"/>
            </w:pPr>
            <w:r>
              <w:rPr>
                <w:i/>
                <w:iCs/>
                <w:u w:val="single"/>
              </w:rPr>
              <w:t>Population:</w:t>
            </w:r>
            <w:r>
              <w:t xml:space="preserve"> Severe, symptomatic tricuspid regurgitation, NYHA functional class II-IV, despite stable (≥30 days) guideline-directed OMT for heart failure who are free from other cardiovascular conditions requiring intervention. Subjects must be ineligible for corrective action on valve by surgical approach (n=300).</w:t>
            </w:r>
          </w:p>
          <w:p w14:paraId="49C4030A" w14:textId="77777777" w:rsidR="00F41589" w:rsidRDefault="00F41589">
            <w:pPr>
              <w:pStyle w:val="Tabletext1"/>
              <w:widowControl w:val="0"/>
            </w:pPr>
            <w:r>
              <w:t>TEER+OMT (N=152)</w:t>
            </w:r>
          </w:p>
          <w:p w14:paraId="7FB577D0" w14:textId="66CAF800" w:rsidR="00F41589" w:rsidRDefault="00F41589">
            <w:pPr>
              <w:pStyle w:val="Tabletext1"/>
              <w:widowControl w:val="0"/>
            </w:pPr>
            <w:r>
              <w:t>OMT-alone (N=148</w:t>
            </w:r>
            <w:r w:rsidR="00F54AA8">
              <w:t>)</w:t>
            </w:r>
          </w:p>
          <w:p w14:paraId="0F468674" w14:textId="77777777" w:rsidR="00F41589" w:rsidRPr="0053338D" w:rsidRDefault="00F41589">
            <w:pPr>
              <w:pStyle w:val="Tabletext1"/>
              <w:widowControl w:val="0"/>
              <w:rPr>
                <w:b/>
                <w:bCs/>
              </w:rPr>
            </w:pPr>
            <w:r w:rsidRPr="0053338D">
              <w:rPr>
                <w:b/>
                <w:bCs/>
              </w:rPr>
              <w:t>Results</w:t>
            </w:r>
          </w:p>
          <w:p w14:paraId="1FA0D30E" w14:textId="77777777" w:rsidR="00F41589" w:rsidRDefault="00F41589">
            <w:pPr>
              <w:pStyle w:val="Tabletext1"/>
              <w:widowControl w:val="0"/>
            </w:pPr>
            <w:r>
              <w:t>Effect estimate of clinical composite score (</w:t>
            </w:r>
            <w:r w:rsidRPr="0085589E">
              <w:t>comprising change in NYHA class, change in patient global assessment, or occurrence of major cardiovascular events assessed during a 12-month period after randomisation)</w:t>
            </w:r>
            <w:r>
              <w:t>: 0.67 (95% CI: 0.61, 0.72); p&lt;0.001, favouring TEER</w:t>
            </w:r>
          </w:p>
          <w:p w14:paraId="77CD7B6D" w14:textId="77777777" w:rsidR="00F41589" w:rsidRDefault="00F41589">
            <w:pPr>
              <w:pStyle w:val="Tabletext1"/>
              <w:widowControl w:val="0"/>
            </w:pPr>
            <w:r>
              <w:t>W</w:t>
            </w:r>
            <w:r w:rsidRPr="0085589E">
              <w:t>in ratio</w:t>
            </w:r>
            <w:r>
              <w:t xml:space="preserve"> for composite secondary outcome (c</w:t>
            </w:r>
            <w:r w:rsidRPr="004670AA">
              <w:t>omposite outcome of all-cause death, tricuspid valve surgery, KCCQ score improvement, or time to hospitalization for heart failure</w:t>
            </w:r>
            <w:r>
              <w:t xml:space="preserve"> at 12 months)</w:t>
            </w:r>
            <w:r w:rsidRPr="0085589E">
              <w:t>: 2.06 [95% CI: 1.38, 3.08]; p&lt;0.001</w:t>
            </w:r>
            <w:r>
              <w:t>, favouring TEER</w:t>
            </w:r>
          </w:p>
          <w:p w14:paraId="2104FF68" w14:textId="77777777" w:rsidR="00F41589" w:rsidRPr="001E7C7B" w:rsidRDefault="00F41589">
            <w:pPr>
              <w:pStyle w:val="Tabletext1"/>
              <w:widowControl w:val="0"/>
              <w:rPr>
                <w:u w:val="single"/>
              </w:rPr>
            </w:pPr>
            <w:r w:rsidRPr="001E7C7B">
              <w:rPr>
                <w:u w:val="single"/>
              </w:rPr>
              <w:t>Results at 1 year</w:t>
            </w:r>
            <w:r>
              <w:rPr>
                <w:u w:val="single"/>
              </w:rPr>
              <w:t xml:space="preserve"> TEER v OMT</w:t>
            </w:r>
          </w:p>
          <w:p w14:paraId="57C70788" w14:textId="77777777" w:rsidR="00F41589" w:rsidRPr="0085589E" w:rsidRDefault="00F41589">
            <w:pPr>
              <w:pStyle w:val="Tabletext1"/>
              <w:widowControl w:val="0"/>
            </w:pPr>
            <w:r w:rsidRPr="0085589E">
              <w:t>TR Massive or torrential: 6.8% v 53.4%; p&lt;0.001</w:t>
            </w:r>
          </w:p>
          <w:p w14:paraId="0978C294" w14:textId="4B6DE3A8" w:rsidR="00F41589" w:rsidRPr="00087084" w:rsidRDefault="0080083D">
            <w:pPr>
              <w:pStyle w:val="Tabletext1"/>
              <w:widowControl w:val="0"/>
            </w:pPr>
            <w:r>
              <w:t xml:space="preserve">Mean </w:t>
            </w:r>
            <w:r w:rsidR="00F41589" w:rsidRPr="0085589E">
              <w:t>KCCQ score</w:t>
            </w:r>
            <w:r w:rsidR="00F41589">
              <w:t>:</w:t>
            </w:r>
            <w:r w:rsidR="00F41589" w:rsidRPr="0085589E">
              <w:t xml:space="preserve"> </w:t>
            </w:r>
            <w:r w:rsidR="00BD01A8" w:rsidRPr="00BD01A8">
              <w:t>12.3±1.8</w:t>
            </w:r>
            <w:r w:rsidR="00F41589">
              <w:t xml:space="preserve"> v </w:t>
            </w:r>
            <w:r w:rsidRPr="0080083D">
              <w:t>0.6±1.8</w:t>
            </w:r>
            <w:r w:rsidR="00F41589">
              <w:t>. A</w:t>
            </w:r>
            <w:r w:rsidR="00F41589" w:rsidRPr="0085589E">
              <w:t>bsolute difference: 14.5±27.2 points; p&lt;0.001</w:t>
            </w:r>
            <w:r w:rsidR="00F41589">
              <w:t>, favouring TEER</w:t>
            </w:r>
          </w:p>
        </w:tc>
        <w:tc>
          <w:tcPr>
            <w:tcW w:w="1626" w:type="pct"/>
          </w:tcPr>
          <w:p w14:paraId="78CD56E4" w14:textId="77777777" w:rsidR="00F41589" w:rsidRDefault="00F41589">
            <w:pPr>
              <w:pStyle w:val="Tabletext1"/>
              <w:widowControl w:val="0"/>
            </w:pPr>
            <w:hyperlink r:id="rId39" w:history="1">
              <w:r w:rsidRPr="00981C5B">
                <w:rPr>
                  <w:rStyle w:val="Hyperlink"/>
                </w:rPr>
                <w:t>https://jamanetwork.com/journals/jama/fullarticle/2827209</w:t>
              </w:r>
            </w:hyperlink>
          </w:p>
          <w:p w14:paraId="788B72B1" w14:textId="77777777" w:rsidR="00F41589" w:rsidRDefault="00F41589">
            <w:pPr>
              <w:pStyle w:val="Tabletext1"/>
              <w:widowControl w:val="0"/>
            </w:pPr>
          </w:p>
        </w:tc>
        <w:tc>
          <w:tcPr>
            <w:tcW w:w="433" w:type="pct"/>
          </w:tcPr>
          <w:p w14:paraId="18BBF8E6" w14:textId="77777777" w:rsidR="00F41589" w:rsidRDefault="00F41589">
            <w:pPr>
              <w:pStyle w:val="Tabletext1"/>
              <w:widowControl w:val="0"/>
            </w:pPr>
            <w:r>
              <w:t>2025</w:t>
            </w:r>
          </w:p>
        </w:tc>
      </w:tr>
      <w:tr w:rsidR="00F41589" w:rsidRPr="0030566C" w14:paraId="05E00BCD" w14:textId="77777777">
        <w:trPr>
          <w:cantSplit/>
        </w:trPr>
        <w:tc>
          <w:tcPr>
            <w:tcW w:w="127" w:type="pct"/>
          </w:tcPr>
          <w:p w14:paraId="3603D2C9" w14:textId="77777777" w:rsidR="00F41589" w:rsidRDefault="00F41589">
            <w:pPr>
              <w:pStyle w:val="Tabletext1"/>
              <w:widowControl w:val="0"/>
            </w:pPr>
            <w:r>
              <w:t>3</w:t>
            </w:r>
          </w:p>
        </w:tc>
        <w:tc>
          <w:tcPr>
            <w:tcW w:w="626" w:type="pct"/>
          </w:tcPr>
          <w:p w14:paraId="4BBA36DF" w14:textId="77777777" w:rsidR="00F41589" w:rsidRDefault="00F41589">
            <w:pPr>
              <w:pStyle w:val="Tabletext1"/>
              <w:widowControl w:val="0"/>
              <w:rPr>
                <w:b/>
                <w:bCs/>
              </w:rPr>
            </w:pPr>
            <w:r>
              <w:t>Prospective, single-arm trial</w:t>
            </w:r>
          </w:p>
        </w:tc>
        <w:tc>
          <w:tcPr>
            <w:tcW w:w="663" w:type="pct"/>
          </w:tcPr>
          <w:p w14:paraId="41D7D849" w14:textId="77777777" w:rsidR="00F41589" w:rsidRDefault="00F41589">
            <w:pPr>
              <w:pStyle w:val="Tabletext1"/>
              <w:widowControl w:val="0"/>
              <w:rPr>
                <w:b/>
                <w:bCs/>
              </w:rPr>
            </w:pPr>
            <w:r>
              <w:rPr>
                <w:b/>
                <w:bCs/>
              </w:rPr>
              <w:t>TRILUMINATE (NCT03227757)</w:t>
            </w:r>
          </w:p>
          <w:p w14:paraId="1091491B" w14:textId="77777777" w:rsidR="00F41589" w:rsidRDefault="00F41589">
            <w:pPr>
              <w:pStyle w:val="Tabletext1"/>
              <w:widowControl w:val="0"/>
            </w:pPr>
            <w:r>
              <w:t>Nickenig (2019). Transcatheter edge-to-edge repair for reduction of tricuspid regurgitation: 6-month outcomes of the TRILUMINATE single-arm study.</w:t>
            </w:r>
          </w:p>
        </w:tc>
        <w:tc>
          <w:tcPr>
            <w:tcW w:w="1525" w:type="pct"/>
          </w:tcPr>
          <w:p w14:paraId="30AE4975" w14:textId="77777777" w:rsidR="00F41589" w:rsidRDefault="00F41589">
            <w:pPr>
              <w:pStyle w:val="Tabletext1"/>
              <w:widowControl w:val="0"/>
            </w:pPr>
            <w:r>
              <w:rPr>
                <w:i/>
                <w:iCs/>
                <w:u w:val="single"/>
              </w:rPr>
              <w:t>Population</w:t>
            </w:r>
            <w:r>
              <w:t xml:space="preserve">: Moderate or greater tricuspid regurgitation, NYHA Class II or higher, and who were adequately treated per applicable standards (n=85). </w:t>
            </w:r>
          </w:p>
          <w:p w14:paraId="4F8399A5" w14:textId="77777777" w:rsidR="00F41589" w:rsidRPr="0053338D" w:rsidRDefault="00F41589">
            <w:pPr>
              <w:pStyle w:val="Tabletext1"/>
              <w:widowControl w:val="0"/>
              <w:rPr>
                <w:b/>
                <w:bCs/>
              </w:rPr>
            </w:pPr>
            <w:r w:rsidRPr="0053338D">
              <w:rPr>
                <w:b/>
                <w:bCs/>
              </w:rPr>
              <w:t>Results</w:t>
            </w:r>
          </w:p>
          <w:p w14:paraId="06AA3705" w14:textId="77777777" w:rsidR="00F41589" w:rsidRDefault="00F41589">
            <w:pPr>
              <w:pStyle w:val="Tabletext1"/>
              <w:widowControl w:val="0"/>
            </w:pPr>
            <w:r>
              <w:t>Reduction in tricuspid regurgitation severity by at least one grade at 30 days post-procedure: 71/83 (86%); 97.5% CI: 76%; p&lt;0.0001</w:t>
            </w:r>
          </w:p>
          <w:p w14:paraId="4B0D79C1" w14:textId="77777777" w:rsidR="00F41589" w:rsidRDefault="00F41589">
            <w:pPr>
              <w:pStyle w:val="Tabletext1"/>
              <w:widowControl w:val="0"/>
            </w:pPr>
            <w:r>
              <w:t>MAE at 6 months post-procedure: 5/84 (6%); p&lt;0.0001</w:t>
            </w:r>
          </w:p>
          <w:p w14:paraId="5F04D121" w14:textId="77777777" w:rsidR="00F41589" w:rsidRDefault="00F41589">
            <w:pPr>
              <w:pStyle w:val="Tabletext1"/>
              <w:widowControl w:val="0"/>
            </w:pPr>
            <w:r>
              <w:t>All-cause mortality: 4/84 (5%)</w:t>
            </w:r>
          </w:p>
          <w:p w14:paraId="56D7CE08" w14:textId="77777777" w:rsidR="00F41589" w:rsidRPr="008D3465" w:rsidRDefault="00F41589">
            <w:pPr>
              <w:pStyle w:val="Tabletext1"/>
              <w:widowControl w:val="0"/>
              <w:rPr>
                <w:u w:val="single"/>
              </w:rPr>
            </w:pPr>
            <w:r w:rsidRPr="008D3465">
              <w:rPr>
                <w:u w:val="single"/>
              </w:rPr>
              <w:t>TR reduced to moderate or less at:</w:t>
            </w:r>
          </w:p>
          <w:p w14:paraId="3007EA17" w14:textId="77777777" w:rsidR="00F41589" w:rsidRDefault="00F41589">
            <w:pPr>
              <w:pStyle w:val="Tabletext1"/>
              <w:widowControl w:val="0"/>
            </w:pPr>
            <w:r>
              <w:t>1 year: 40/63 (71%) (p&lt;0.0001 compared to baseline)</w:t>
            </w:r>
          </w:p>
          <w:p w14:paraId="3AAC3E63" w14:textId="77777777" w:rsidR="00F41589" w:rsidRDefault="00F41589">
            <w:pPr>
              <w:pStyle w:val="Tabletext1"/>
              <w:widowControl w:val="0"/>
            </w:pPr>
            <w:r>
              <w:t>2 years: 29/48 (60%) (p&lt;0.0001 compared to baseline)</w:t>
            </w:r>
          </w:p>
          <w:p w14:paraId="7CE2211F" w14:textId="77777777" w:rsidR="00F41589" w:rsidRDefault="00F41589">
            <w:pPr>
              <w:pStyle w:val="Tabletext1"/>
              <w:widowControl w:val="0"/>
            </w:pPr>
            <w:r>
              <w:t>3 years: 79%</w:t>
            </w:r>
          </w:p>
          <w:p w14:paraId="0A1D9535" w14:textId="77777777" w:rsidR="00F41589" w:rsidRPr="001E7C7B" w:rsidRDefault="00F41589">
            <w:pPr>
              <w:pStyle w:val="Tabletext1"/>
              <w:widowControl w:val="0"/>
              <w:rPr>
                <w:u w:val="single"/>
              </w:rPr>
            </w:pPr>
            <w:r w:rsidRPr="001E7C7B">
              <w:rPr>
                <w:u w:val="single"/>
              </w:rPr>
              <w:t>All-cause mortality at:</w:t>
            </w:r>
          </w:p>
          <w:p w14:paraId="2BF1B7F2" w14:textId="77777777" w:rsidR="00F41589" w:rsidRDefault="00F41589">
            <w:pPr>
              <w:pStyle w:val="Tabletext1"/>
              <w:widowControl w:val="0"/>
            </w:pPr>
            <w:r>
              <w:t>1 year: 6/84 (7.1%)</w:t>
            </w:r>
          </w:p>
          <w:p w14:paraId="732A8066" w14:textId="77777777" w:rsidR="00F41589" w:rsidRDefault="00F41589">
            <w:pPr>
              <w:pStyle w:val="Tabletext1"/>
              <w:widowControl w:val="0"/>
              <w:rPr>
                <w:i/>
                <w:iCs/>
                <w:u w:val="single"/>
              </w:rPr>
            </w:pPr>
            <w:r>
              <w:t>2 years: 14/84 (18.7%)</w:t>
            </w:r>
          </w:p>
        </w:tc>
        <w:tc>
          <w:tcPr>
            <w:tcW w:w="1626" w:type="pct"/>
          </w:tcPr>
          <w:p w14:paraId="408CBFD1" w14:textId="77777777" w:rsidR="00F41589" w:rsidRDefault="00F41589">
            <w:pPr>
              <w:pStyle w:val="Tabletext1"/>
              <w:widowControl w:val="0"/>
            </w:pPr>
            <w:hyperlink r:id="rId40" w:history="1">
              <w:r w:rsidRPr="00DC009C">
                <w:rPr>
                  <w:rStyle w:val="Hyperlink"/>
                </w:rPr>
                <w:t>https://doi.org/10.1016/S0140-6736(19)32600-5</w:t>
              </w:r>
            </w:hyperlink>
            <w:r>
              <w:t xml:space="preserve"> (6-month FU)</w:t>
            </w:r>
          </w:p>
          <w:p w14:paraId="72A78B04" w14:textId="77777777" w:rsidR="00F41589" w:rsidRDefault="00F41589">
            <w:pPr>
              <w:pStyle w:val="Tabletext1"/>
              <w:widowControl w:val="0"/>
            </w:pPr>
            <w:hyperlink r:id="rId41" w:history="1">
              <w:r w:rsidRPr="00E50A7F">
                <w:rPr>
                  <w:rStyle w:val="Hyperlink"/>
                </w:rPr>
                <w:t>https://doi.org/10.1016/j.jacc.2020.11.038</w:t>
              </w:r>
            </w:hyperlink>
            <w:r>
              <w:t xml:space="preserve"> (1-year FU)</w:t>
            </w:r>
          </w:p>
          <w:p w14:paraId="208D0D58" w14:textId="77777777" w:rsidR="00F41589" w:rsidRDefault="00F41589">
            <w:pPr>
              <w:pStyle w:val="Tabletext1"/>
              <w:widowControl w:val="0"/>
            </w:pPr>
            <w:hyperlink r:id="rId42" w:history="1">
              <w:r w:rsidRPr="002C19C8">
                <w:rPr>
                  <w:rStyle w:val="Hyperlink"/>
                </w:rPr>
                <w:t>https://doi.org/10.1161/CIRCINTERVENTIONS.122.012888</w:t>
              </w:r>
            </w:hyperlink>
            <w:r>
              <w:t xml:space="preserve"> (2-year FU)</w:t>
            </w:r>
          </w:p>
          <w:p w14:paraId="5E45AA3B" w14:textId="77777777" w:rsidR="00F41589" w:rsidRDefault="00F41589">
            <w:pPr>
              <w:pStyle w:val="Tabletext1"/>
              <w:widowControl w:val="0"/>
            </w:pPr>
            <w:hyperlink r:id="rId43" w:history="1">
              <w:r w:rsidRPr="00981C5B">
                <w:rPr>
                  <w:rStyle w:val="Hyperlink"/>
                </w:rPr>
                <w:t>https://doi.org/10.1016/j.jcin.2024.05.036</w:t>
              </w:r>
            </w:hyperlink>
            <w:r>
              <w:t xml:space="preserve"> (3-year FU)</w:t>
            </w:r>
          </w:p>
          <w:p w14:paraId="31A07B4B" w14:textId="77777777" w:rsidR="00F41589" w:rsidRDefault="00F41589">
            <w:pPr>
              <w:pStyle w:val="Tabletext1"/>
              <w:widowControl w:val="0"/>
            </w:pPr>
          </w:p>
        </w:tc>
        <w:tc>
          <w:tcPr>
            <w:tcW w:w="433" w:type="pct"/>
          </w:tcPr>
          <w:p w14:paraId="74A6A843" w14:textId="77777777" w:rsidR="00F41589" w:rsidRDefault="00F41589">
            <w:pPr>
              <w:pStyle w:val="Tabletext1"/>
              <w:widowControl w:val="0"/>
            </w:pPr>
            <w:r>
              <w:t>2019</w:t>
            </w:r>
          </w:p>
          <w:p w14:paraId="3891FF23" w14:textId="77777777" w:rsidR="00F41589" w:rsidRDefault="00F41589">
            <w:pPr>
              <w:pStyle w:val="Tabletext1"/>
              <w:widowControl w:val="0"/>
            </w:pPr>
            <w:r>
              <w:t>2021</w:t>
            </w:r>
          </w:p>
          <w:p w14:paraId="53F5B1AA" w14:textId="77777777" w:rsidR="00F41589" w:rsidRDefault="00F41589">
            <w:pPr>
              <w:pStyle w:val="Tabletext1"/>
              <w:widowControl w:val="0"/>
            </w:pPr>
            <w:r>
              <w:t>2023</w:t>
            </w:r>
          </w:p>
          <w:p w14:paraId="13AD9955" w14:textId="77777777" w:rsidR="00F41589" w:rsidRDefault="00F41589">
            <w:pPr>
              <w:pStyle w:val="Tabletext1"/>
              <w:widowControl w:val="0"/>
            </w:pPr>
            <w:r>
              <w:t>2024</w:t>
            </w:r>
          </w:p>
        </w:tc>
      </w:tr>
      <w:tr w:rsidR="00F41589" w:rsidRPr="0030566C" w14:paraId="20F3D28F" w14:textId="77777777">
        <w:trPr>
          <w:cantSplit/>
        </w:trPr>
        <w:tc>
          <w:tcPr>
            <w:tcW w:w="127" w:type="pct"/>
          </w:tcPr>
          <w:p w14:paraId="7F317A9B" w14:textId="77777777" w:rsidR="00F41589" w:rsidRDefault="00F41589">
            <w:pPr>
              <w:pStyle w:val="Tabletext1"/>
              <w:widowControl w:val="0"/>
            </w:pPr>
            <w:r>
              <w:t>4.</w:t>
            </w:r>
          </w:p>
        </w:tc>
        <w:tc>
          <w:tcPr>
            <w:tcW w:w="626" w:type="pct"/>
          </w:tcPr>
          <w:p w14:paraId="283982EC" w14:textId="77777777" w:rsidR="00F41589" w:rsidRPr="005979C4" w:rsidRDefault="00F41589">
            <w:pPr>
              <w:pStyle w:val="Tabletext1"/>
              <w:widowControl w:val="0"/>
            </w:pPr>
            <w:r>
              <w:t>Prospective, single-arm, open-label, post-market registry</w:t>
            </w:r>
          </w:p>
        </w:tc>
        <w:tc>
          <w:tcPr>
            <w:tcW w:w="663" w:type="pct"/>
          </w:tcPr>
          <w:p w14:paraId="41605FE4" w14:textId="77777777" w:rsidR="00F41589" w:rsidRDefault="00F41589">
            <w:pPr>
              <w:pStyle w:val="Tabletext1"/>
              <w:widowControl w:val="0"/>
            </w:pPr>
            <w:r>
              <w:rPr>
                <w:b/>
                <w:bCs/>
              </w:rPr>
              <w:t>bRIGHT (NCT04483089)</w:t>
            </w:r>
          </w:p>
          <w:p w14:paraId="294B8499" w14:textId="77777777" w:rsidR="00F41589" w:rsidRDefault="00F41589">
            <w:pPr>
              <w:pStyle w:val="Tabletext1"/>
              <w:widowControl w:val="0"/>
            </w:pPr>
            <w:r>
              <w:t>Lurz (2023). Short-term outcomes of tricuspid edge-to-edge repair in clinical practice.</w:t>
            </w:r>
          </w:p>
        </w:tc>
        <w:tc>
          <w:tcPr>
            <w:tcW w:w="1525" w:type="pct"/>
          </w:tcPr>
          <w:p w14:paraId="512AA218" w14:textId="492CD70C" w:rsidR="00F41589" w:rsidRDefault="00F41589">
            <w:pPr>
              <w:pStyle w:val="Tabletext1"/>
              <w:widowControl w:val="0"/>
            </w:pPr>
            <w:r>
              <w:rPr>
                <w:i/>
                <w:iCs/>
                <w:u w:val="single"/>
              </w:rPr>
              <w:t>Population:</w:t>
            </w:r>
            <w:r>
              <w:t xml:space="preserve"> ≥ 18 years of age with severe, symptomatic TR despite medical therapy, eligible to receive TEER </w:t>
            </w:r>
            <w:r w:rsidR="00BA14DB" w:rsidRPr="00BA14DB">
              <w:t>in subjects with endocardial leads</w:t>
            </w:r>
            <w:r>
              <w:t xml:space="preserve"> (n=511).</w:t>
            </w:r>
          </w:p>
          <w:p w14:paraId="755CA1A0" w14:textId="77777777" w:rsidR="00F41589" w:rsidRPr="0053338D" w:rsidRDefault="00F41589">
            <w:pPr>
              <w:pStyle w:val="Tabletext1"/>
              <w:widowControl w:val="0"/>
              <w:rPr>
                <w:b/>
                <w:bCs/>
              </w:rPr>
            </w:pPr>
            <w:r w:rsidRPr="0053338D">
              <w:rPr>
                <w:b/>
                <w:bCs/>
              </w:rPr>
              <w:t>Results</w:t>
            </w:r>
          </w:p>
          <w:p w14:paraId="7DB1603F" w14:textId="77777777" w:rsidR="00F41589" w:rsidRPr="001D73C8" w:rsidRDefault="00F41589">
            <w:pPr>
              <w:pStyle w:val="Tabletext1"/>
              <w:widowControl w:val="0"/>
              <w:rPr>
                <w:u w:val="single"/>
              </w:rPr>
            </w:pPr>
            <w:r>
              <w:rPr>
                <w:u w:val="single"/>
              </w:rPr>
              <w:t>Results</w:t>
            </w:r>
            <w:r w:rsidRPr="001D73C8">
              <w:rPr>
                <w:u w:val="single"/>
              </w:rPr>
              <w:t xml:space="preserve"> at 30 days post procedure</w:t>
            </w:r>
          </w:p>
          <w:p w14:paraId="18C64B19" w14:textId="77777777" w:rsidR="00F41589" w:rsidRDefault="00F41589">
            <w:pPr>
              <w:pStyle w:val="Tabletext1"/>
              <w:widowControl w:val="0"/>
            </w:pPr>
            <w:r>
              <w:t>Acute procedural success: 92.0% of subjects, meeting the performance goal of 75% (p&lt;0.0001)</w:t>
            </w:r>
          </w:p>
          <w:p w14:paraId="0A3BBB74" w14:textId="77777777" w:rsidR="00F41589" w:rsidRPr="006B362D" w:rsidRDefault="00F41589">
            <w:pPr>
              <w:pStyle w:val="Tabletext1"/>
              <w:widowControl w:val="0"/>
            </w:pPr>
            <w:r w:rsidRPr="006B362D">
              <w:t>Implantation success: 504/511 (99%)</w:t>
            </w:r>
          </w:p>
          <w:p w14:paraId="3092FB8D" w14:textId="77777777" w:rsidR="00F41589" w:rsidRPr="006B362D" w:rsidRDefault="00F41589">
            <w:pPr>
              <w:pStyle w:val="Tabletext1"/>
              <w:widowControl w:val="0"/>
            </w:pPr>
            <w:r w:rsidRPr="006B362D">
              <w:t>Procedural success: 451/496 (91%)</w:t>
            </w:r>
          </w:p>
          <w:p w14:paraId="11C922B9" w14:textId="5C880925" w:rsidR="00F41589" w:rsidRPr="006B362D" w:rsidRDefault="00F41589">
            <w:pPr>
              <w:pStyle w:val="Tabletext1"/>
              <w:widowControl w:val="0"/>
            </w:pPr>
            <w:r w:rsidRPr="006B362D">
              <w:t>TR severity moderate or less: 77% (compared with 2% at baseline).</w:t>
            </w:r>
          </w:p>
          <w:p w14:paraId="6C45C628" w14:textId="77777777" w:rsidR="00F41589" w:rsidRPr="006B362D" w:rsidRDefault="00F41589">
            <w:pPr>
              <w:pStyle w:val="Tabletext1"/>
              <w:widowControl w:val="0"/>
            </w:pPr>
            <w:r w:rsidRPr="006B362D">
              <w:t>All-cause mortality: 5/511 (1%)</w:t>
            </w:r>
          </w:p>
          <w:p w14:paraId="4BCFDA27" w14:textId="77777777" w:rsidR="00F41589" w:rsidRPr="006B362D" w:rsidRDefault="00F41589">
            <w:pPr>
              <w:pStyle w:val="Tabletext1"/>
              <w:widowControl w:val="0"/>
            </w:pPr>
            <w:r w:rsidRPr="006B362D">
              <w:t>MAE: 14/511 (2.5%)</w:t>
            </w:r>
          </w:p>
          <w:p w14:paraId="7FF0DA1D" w14:textId="77777777" w:rsidR="00F41589" w:rsidRPr="006B362D" w:rsidRDefault="00F41589">
            <w:pPr>
              <w:pStyle w:val="Tabletext1"/>
              <w:widowControl w:val="0"/>
              <w:rPr>
                <w:u w:val="single"/>
              </w:rPr>
            </w:pPr>
            <w:r w:rsidRPr="006B362D">
              <w:rPr>
                <w:u w:val="single"/>
              </w:rPr>
              <w:t>Baseline v 30-day results</w:t>
            </w:r>
          </w:p>
          <w:p w14:paraId="55EC8378" w14:textId="77777777" w:rsidR="00F41589" w:rsidRPr="006B362D" w:rsidRDefault="00F41589">
            <w:pPr>
              <w:pStyle w:val="Tabletext1"/>
              <w:widowControl w:val="0"/>
            </w:pPr>
            <w:r w:rsidRPr="006B362D">
              <w:t>NYHA function class I/II: 20% v 79%</w:t>
            </w:r>
          </w:p>
          <w:p w14:paraId="6D7C7306" w14:textId="77777777" w:rsidR="00F41589" w:rsidRPr="006B362D" w:rsidRDefault="00F41589">
            <w:pPr>
              <w:pStyle w:val="Tabletext1"/>
              <w:widowControl w:val="0"/>
            </w:pPr>
            <w:r w:rsidRPr="006B362D">
              <w:t>KCCQ mean improvement: 19±23</w:t>
            </w:r>
          </w:p>
          <w:p w14:paraId="5A55A49D" w14:textId="77777777" w:rsidR="00F41589" w:rsidRPr="006B362D" w:rsidRDefault="00F41589">
            <w:pPr>
              <w:pStyle w:val="Tabletext1"/>
              <w:widowControl w:val="0"/>
              <w:rPr>
                <w:u w:val="single"/>
              </w:rPr>
            </w:pPr>
            <w:r w:rsidRPr="006B362D">
              <w:rPr>
                <w:u w:val="single"/>
              </w:rPr>
              <w:t>Baseline v 1 year results</w:t>
            </w:r>
          </w:p>
          <w:p w14:paraId="2299098E" w14:textId="77777777" w:rsidR="00F41589" w:rsidRPr="006B362D" w:rsidRDefault="00F41589">
            <w:pPr>
              <w:pStyle w:val="Tabletext1"/>
              <w:widowControl w:val="0"/>
            </w:pPr>
            <w:r w:rsidRPr="006B362D">
              <w:t>TR grade moderate or less: 12% v 81%</w:t>
            </w:r>
          </w:p>
          <w:p w14:paraId="6410635A" w14:textId="77777777" w:rsidR="00F41589" w:rsidRPr="006B362D" w:rsidRDefault="00F41589">
            <w:pPr>
              <w:pStyle w:val="Tabletext1"/>
              <w:widowControl w:val="0"/>
            </w:pPr>
            <w:r w:rsidRPr="006B362D">
              <w:t>NYHA class I/II: 21% v 75%</w:t>
            </w:r>
          </w:p>
          <w:p w14:paraId="63C05A92" w14:textId="77777777" w:rsidR="00F41589" w:rsidRPr="005979C4" w:rsidRDefault="00F41589">
            <w:pPr>
              <w:pStyle w:val="Tabletext1"/>
              <w:widowControl w:val="0"/>
            </w:pPr>
            <w:r w:rsidRPr="006B362D">
              <w:t>KCCQ score improvement: 19±26 points; p&lt;0.001</w:t>
            </w:r>
          </w:p>
        </w:tc>
        <w:tc>
          <w:tcPr>
            <w:tcW w:w="1626" w:type="pct"/>
          </w:tcPr>
          <w:p w14:paraId="655F7BF0" w14:textId="77777777" w:rsidR="00F41589" w:rsidRDefault="00F41589">
            <w:pPr>
              <w:pStyle w:val="Tabletext1"/>
              <w:widowControl w:val="0"/>
            </w:pPr>
            <w:hyperlink r:id="rId44" w:history="1">
              <w:r w:rsidRPr="00981C5B">
                <w:rPr>
                  <w:rStyle w:val="Hyperlink"/>
                </w:rPr>
                <w:t>https://www.jacc.org/doi/10.1016/j.jacc.2023.05.008</w:t>
              </w:r>
            </w:hyperlink>
            <w:r>
              <w:t xml:space="preserve"> (30-days FU)</w:t>
            </w:r>
          </w:p>
          <w:p w14:paraId="1B228B6B" w14:textId="77777777" w:rsidR="00F41589" w:rsidRDefault="00F41589">
            <w:pPr>
              <w:pStyle w:val="Tabletext1"/>
              <w:widowControl w:val="0"/>
            </w:pPr>
            <w:hyperlink r:id="rId45" w:history="1">
              <w:r w:rsidRPr="00981C5B">
                <w:rPr>
                  <w:rStyle w:val="Hyperlink"/>
                </w:rPr>
                <w:t>https://www.jacc.org/doi/10.1016/j.jacc.2024.05.006</w:t>
              </w:r>
            </w:hyperlink>
            <w:r>
              <w:t xml:space="preserve"> (1-year FU)</w:t>
            </w:r>
          </w:p>
        </w:tc>
        <w:tc>
          <w:tcPr>
            <w:tcW w:w="433" w:type="pct"/>
          </w:tcPr>
          <w:p w14:paraId="174B4A8F" w14:textId="77777777" w:rsidR="00F41589" w:rsidRDefault="00F41589">
            <w:pPr>
              <w:pStyle w:val="Tabletext1"/>
              <w:widowControl w:val="0"/>
            </w:pPr>
            <w:r>
              <w:t>2023</w:t>
            </w:r>
          </w:p>
          <w:p w14:paraId="3E781CC0" w14:textId="77777777" w:rsidR="00F41589" w:rsidRDefault="00F41589">
            <w:pPr>
              <w:pStyle w:val="Tabletext1"/>
              <w:widowControl w:val="0"/>
            </w:pPr>
            <w:r>
              <w:t>2024</w:t>
            </w:r>
          </w:p>
        </w:tc>
      </w:tr>
      <w:tr w:rsidR="00F41589" w:rsidRPr="00882CBB" w14:paraId="597AFB6E" w14:textId="77777777">
        <w:trPr>
          <w:cantSplit/>
        </w:trPr>
        <w:tc>
          <w:tcPr>
            <w:tcW w:w="127" w:type="pct"/>
          </w:tcPr>
          <w:p w14:paraId="44E18580" w14:textId="77777777" w:rsidR="00F41589" w:rsidRDefault="00F41589">
            <w:pPr>
              <w:pStyle w:val="Tabletext1"/>
              <w:widowControl w:val="0"/>
            </w:pPr>
            <w:r>
              <w:t>5.</w:t>
            </w:r>
          </w:p>
        </w:tc>
        <w:tc>
          <w:tcPr>
            <w:tcW w:w="626" w:type="pct"/>
          </w:tcPr>
          <w:p w14:paraId="1ACB5944" w14:textId="77777777" w:rsidR="00F41589" w:rsidRPr="007D649F" w:rsidRDefault="00F41589">
            <w:pPr>
              <w:pStyle w:val="Tabletext1"/>
              <w:widowControl w:val="0"/>
            </w:pPr>
            <w:r>
              <w:t>Patient registry</w:t>
            </w:r>
          </w:p>
        </w:tc>
        <w:tc>
          <w:tcPr>
            <w:tcW w:w="663" w:type="pct"/>
          </w:tcPr>
          <w:p w14:paraId="062C5069" w14:textId="77777777" w:rsidR="00F41589" w:rsidRDefault="00F41589">
            <w:pPr>
              <w:pStyle w:val="Tabletext1"/>
              <w:widowControl w:val="0"/>
            </w:pPr>
            <w:r w:rsidRPr="007D649F">
              <w:rPr>
                <w:b/>
                <w:bCs/>
              </w:rPr>
              <w:t>Pforzheim Tricuspid Valve Registry</w:t>
            </w:r>
            <w:r>
              <w:rPr>
                <w:b/>
                <w:bCs/>
              </w:rPr>
              <w:t xml:space="preserve"> (NCT05179616)</w:t>
            </w:r>
          </w:p>
          <w:p w14:paraId="6D15834A" w14:textId="77777777" w:rsidR="00F41589" w:rsidRPr="00882CBB" w:rsidRDefault="00F41589">
            <w:pPr>
              <w:pStyle w:val="Tabletext1"/>
              <w:widowControl w:val="0"/>
            </w:pPr>
            <w:r w:rsidRPr="00D52036">
              <w:t xml:space="preserve">Patrascu (2022). </w:t>
            </w:r>
            <w:r w:rsidRPr="00882CBB">
              <w:t>Transcatheter tri</w:t>
            </w:r>
            <w:r>
              <w:t>cuspid repair in prohibitive risk patients: impact on quality of life and major organ systems.</w:t>
            </w:r>
          </w:p>
        </w:tc>
        <w:tc>
          <w:tcPr>
            <w:tcW w:w="1525" w:type="pct"/>
          </w:tcPr>
          <w:p w14:paraId="6D5AA218" w14:textId="77777777" w:rsidR="00F41589" w:rsidRDefault="00F41589">
            <w:pPr>
              <w:pStyle w:val="Tabletext1"/>
              <w:widowControl w:val="0"/>
            </w:pPr>
            <w:r>
              <w:rPr>
                <w:i/>
                <w:iCs/>
                <w:u w:val="single"/>
              </w:rPr>
              <w:t>Population:</w:t>
            </w:r>
            <w:r>
              <w:t xml:space="preserve"> Patients undergoing TTVR with the TriClip system, deemed to be ineligible for conventional surgery (N=33; expected to enrol 260). Divided into the following two subgroups: patients with prohibitive surgical risk (PR), and patients with high surgical risk (HR).</w:t>
            </w:r>
          </w:p>
          <w:p w14:paraId="08F82B97" w14:textId="77777777" w:rsidR="00F41589" w:rsidRPr="0053338D" w:rsidRDefault="00F41589">
            <w:pPr>
              <w:pStyle w:val="Tabletext1"/>
              <w:widowControl w:val="0"/>
              <w:rPr>
                <w:b/>
                <w:bCs/>
              </w:rPr>
            </w:pPr>
            <w:r w:rsidRPr="0053338D">
              <w:rPr>
                <w:b/>
                <w:bCs/>
              </w:rPr>
              <w:t>Results</w:t>
            </w:r>
          </w:p>
          <w:p w14:paraId="33ACFB5A" w14:textId="77777777" w:rsidR="00F41589" w:rsidRPr="006B362D" w:rsidRDefault="00F41589">
            <w:pPr>
              <w:pStyle w:val="Tabletext1"/>
              <w:widowControl w:val="0"/>
              <w:rPr>
                <w:u w:val="single"/>
              </w:rPr>
            </w:pPr>
            <w:r w:rsidRPr="006B362D">
              <w:rPr>
                <w:u w:val="single"/>
              </w:rPr>
              <w:t>Results at 30 days post procedure</w:t>
            </w:r>
          </w:p>
          <w:p w14:paraId="0E3367B7" w14:textId="77777777" w:rsidR="00F41589" w:rsidRDefault="00F41589">
            <w:pPr>
              <w:pStyle w:val="Tabletext1"/>
              <w:widowControl w:val="0"/>
            </w:pPr>
            <w:r>
              <w:t>TR reduction of at least 1 grade: 93.9%</w:t>
            </w:r>
          </w:p>
          <w:p w14:paraId="651E9DE9" w14:textId="77777777" w:rsidR="00F41589" w:rsidRDefault="00F41589">
            <w:pPr>
              <w:pStyle w:val="Tabletext1"/>
              <w:widowControl w:val="0"/>
            </w:pPr>
            <w:r>
              <w:t>Technical success: 100%</w:t>
            </w:r>
          </w:p>
          <w:p w14:paraId="629CE9F4" w14:textId="77777777" w:rsidR="00F41589" w:rsidRDefault="00F41589">
            <w:pPr>
              <w:pStyle w:val="Tabletext1"/>
              <w:widowControl w:val="0"/>
            </w:pPr>
            <w:r>
              <w:t>NYHA functional class improvement: PR: 74%; HR: 60%</w:t>
            </w:r>
          </w:p>
          <w:p w14:paraId="38C82E93" w14:textId="77777777" w:rsidR="00F41589" w:rsidRDefault="00F41589">
            <w:pPr>
              <w:pStyle w:val="Tabletext1"/>
              <w:widowControl w:val="0"/>
            </w:pPr>
            <w:r>
              <w:t>6MWD increase: PR: 85.5±47.9m; HR: 81±43.6m</w:t>
            </w:r>
          </w:p>
          <w:p w14:paraId="72AF9DAF" w14:textId="77777777" w:rsidR="00F41589" w:rsidRDefault="00F41589">
            <w:pPr>
              <w:pStyle w:val="Tabletext1"/>
              <w:widowControl w:val="0"/>
            </w:pPr>
            <w:r>
              <w:t>KCCQ score improvement PR: 25.1±16.7 points; HR: 25.9±12.1 points</w:t>
            </w:r>
          </w:p>
          <w:p w14:paraId="56412C12" w14:textId="77777777" w:rsidR="00F41589" w:rsidRDefault="00F41589">
            <w:pPr>
              <w:pStyle w:val="Tabletext1"/>
              <w:widowControl w:val="0"/>
            </w:pPr>
          </w:p>
          <w:p w14:paraId="1D44A527" w14:textId="77777777" w:rsidR="00F41589" w:rsidRPr="0035499A" w:rsidRDefault="00F41589">
            <w:pPr>
              <w:pStyle w:val="Tabletext1"/>
              <w:widowControl w:val="0"/>
            </w:pPr>
            <w:r>
              <w:t>All-cause mortality at 6 months: 12%</w:t>
            </w:r>
          </w:p>
        </w:tc>
        <w:tc>
          <w:tcPr>
            <w:tcW w:w="1626" w:type="pct"/>
          </w:tcPr>
          <w:p w14:paraId="6D80913F" w14:textId="77777777" w:rsidR="00F41589" w:rsidRPr="00882CBB" w:rsidRDefault="00F41589">
            <w:pPr>
              <w:pStyle w:val="Tabletext1"/>
              <w:widowControl w:val="0"/>
            </w:pPr>
            <w:hyperlink r:id="rId46" w:tgtFrame="_blank" w:tooltip="Persistent link using digital object identifier" w:history="1">
              <w:r w:rsidRPr="007F1936">
                <w:rPr>
                  <w:rStyle w:val="Hyperlink"/>
                </w:rPr>
                <w:t>https://doi.org/10.1016/j.cjca.2022.09.006</w:t>
              </w:r>
            </w:hyperlink>
          </w:p>
        </w:tc>
        <w:tc>
          <w:tcPr>
            <w:tcW w:w="433" w:type="pct"/>
          </w:tcPr>
          <w:p w14:paraId="7851140C" w14:textId="77777777" w:rsidR="00F41589" w:rsidRPr="00882CBB" w:rsidRDefault="00F41589">
            <w:pPr>
              <w:pStyle w:val="Tabletext1"/>
              <w:widowControl w:val="0"/>
            </w:pPr>
            <w:r>
              <w:t>2022</w:t>
            </w:r>
          </w:p>
        </w:tc>
      </w:tr>
      <w:tr w:rsidR="005D7C87" w:rsidRPr="00882CBB" w14:paraId="352D7DA4" w14:textId="77777777">
        <w:trPr>
          <w:cantSplit/>
        </w:trPr>
        <w:tc>
          <w:tcPr>
            <w:tcW w:w="127" w:type="pct"/>
          </w:tcPr>
          <w:p w14:paraId="736E54F3" w14:textId="671A9E6D" w:rsidR="005D7C87" w:rsidRDefault="005D7C87">
            <w:pPr>
              <w:pStyle w:val="Tabletext1"/>
              <w:widowControl w:val="0"/>
            </w:pPr>
            <w:r>
              <w:t>6.</w:t>
            </w:r>
          </w:p>
        </w:tc>
        <w:tc>
          <w:tcPr>
            <w:tcW w:w="626" w:type="pct"/>
          </w:tcPr>
          <w:p w14:paraId="6ABDD407" w14:textId="7EEF06B6" w:rsidR="005D7C87" w:rsidRDefault="00536615">
            <w:pPr>
              <w:pStyle w:val="Tabletext1"/>
              <w:widowControl w:val="0"/>
            </w:pPr>
            <w:r>
              <w:t>Prospective, single-arm</w:t>
            </w:r>
            <w:r w:rsidR="00DA27DB">
              <w:t>, multicentre, post-market</w:t>
            </w:r>
            <w:r w:rsidR="00F26FFC">
              <w:t>, clinical follow-up study</w:t>
            </w:r>
          </w:p>
        </w:tc>
        <w:tc>
          <w:tcPr>
            <w:tcW w:w="663" w:type="pct"/>
          </w:tcPr>
          <w:p w14:paraId="4D15FE33" w14:textId="4BF45E27" w:rsidR="005D7C87" w:rsidRDefault="00F26FFC">
            <w:pPr>
              <w:pStyle w:val="Tabletext1"/>
              <w:widowControl w:val="0"/>
              <w:rPr>
                <w:b/>
                <w:bCs/>
              </w:rPr>
            </w:pPr>
            <w:r>
              <w:rPr>
                <w:b/>
                <w:bCs/>
              </w:rPr>
              <w:t>TriC</w:t>
            </w:r>
            <w:r w:rsidR="00FE2B87">
              <w:rPr>
                <w:b/>
                <w:bCs/>
              </w:rPr>
              <w:t>LASP</w:t>
            </w:r>
          </w:p>
          <w:p w14:paraId="749EFF69" w14:textId="77777777" w:rsidR="00F26FFC" w:rsidRDefault="00F26FFC">
            <w:pPr>
              <w:pStyle w:val="Tabletext1"/>
              <w:widowControl w:val="0"/>
            </w:pPr>
            <w:r>
              <w:rPr>
                <w:b/>
                <w:bCs/>
              </w:rPr>
              <w:t>(NCT04614402)</w:t>
            </w:r>
          </w:p>
          <w:p w14:paraId="1D3C035A" w14:textId="77777777" w:rsidR="00F26FFC" w:rsidRDefault="00AE4562">
            <w:pPr>
              <w:pStyle w:val="Tabletext1"/>
              <w:widowControl w:val="0"/>
            </w:pPr>
            <w:r>
              <w:t xml:space="preserve">Baldus </w:t>
            </w:r>
            <w:r w:rsidR="00985549">
              <w:t>(2022).</w:t>
            </w:r>
          </w:p>
          <w:p w14:paraId="0F7C0429" w14:textId="7D8D3C73" w:rsidR="00985549" w:rsidRPr="00F26FFC" w:rsidRDefault="00985549">
            <w:pPr>
              <w:pStyle w:val="Tabletext1"/>
              <w:widowControl w:val="0"/>
            </w:pPr>
            <w:r>
              <w:t>Transcatheter valve repair of tricuspid regurgitation with the PASCAL system: TriCLASP study 30-day results.</w:t>
            </w:r>
          </w:p>
        </w:tc>
        <w:tc>
          <w:tcPr>
            <w:tcW w:w="1525" w:type="pct"/>
          </w:tcPr>
          <w:p w14:paraId="4119B963" w14:textId="77777777" w:rsidR="005D7C87" w:rsidRDefault="00000454">
            <w:pPr>
              <w:pStyle w:val="Tabletext1"/>
              <w:widowControl w:val="0"/>
            </w:pPr>
            <w:r>
              <w:rPr>
                <w:i/>
                <w:iCs/>
                <w:u w:val="single"/>
              </w:rPr>
              <w:t>Population:</w:t>
            </w:r>
            <w:r>
              <w:rPr>
                <w:b/>
                <w:bCs/>
                <w:u w:val="single"/>
              </w:rPr>
              <w:t xml:space="preserve"> </w:t>
            </w:r>
            <w:r w:rsidR="0084687E">
              <w:t xml:space="preserve">Patients eligible for </w:t>
            </w:r>
            <w:r w:rsidR="0068769C">
              <w:t>percutaneous repair of TV insufficiency</w:t>
            </w:r>
            <w:r w:rsidR="00E303D7">
              <w:t>, with severe or greater TR</w:t>
            </w:r>
            <w:r w:rsidR="00EC365D">
              <w:t xml:space="preserve"> on a 5-grade scale, </w:t>
            </w:r>
            <w:r w:rsidR="00E8034A">
              <w:t>eligibility and suitability to receive PASCAL system</w:t>
            </w:r>
            <w:r w:rsidR="00990270">
              <w:t xml:space="preserve"> as determined by the local heart team.</w:t>
            </w:r>
          </w:p>
          <w:p w14:paraId="12099987" w14:textId="77777777" w:rsidR="00521BF7" w:rsidRDefault="00521BF7">
            <w:pPr>
              <w:pStyle w:val="Tabletext1"/>
              <w:widowControl w:val="0"/>
            </w:pPr>
            <w:r>
              <w:rPr>
                <w:b/>
                <w:bCs/>
              </w:rPr>
              <w:t>Results</w:t>
            </w:r>
          </w:p>
          <w:p w14:paraId="32094A8F" w14:textId="1486EC9F" w:rsidR="00D51A8A" w:rsidRDefault="00D51A8A">
            <w:pPr>
              <w:pStyle w:val="Tabletext1"/>
              <w:widowControl w:val="0"/>
            </w:pPr>
            <w:r>
              <w:t xml:space="preserve">TR </w:t>
            </w:r>
            <w:r w:rsidR="00B14AF9">
              <w:t>≤moderate</w:t>
            </w:r>
            <w:r w:rsidR="00E13690">
              <w:t>:</w:t>
            </w:r>
            <w:r w:rsidR="007F00FD">
              <w:t xml:space="preserve"> discharge</w:t>
            </w:r>
            <w:r w:rsidR="00E13690">
              <w:t xml:space="preserve"> 90.7% v</w:t>
            </w:r>
            <w:r w:rsidR="007F00FD">
              <w:t xml:space="preserve"> baseline </w:t>
            </w:r>
            <w:r w:rsidR="00E13690">
              <w:t>18.</w:t>
            </w:r>
            <w:r w:rsidR="0088219D">
              <w:t>5%</w:t>
            </w:r>
          </w:p>
          <w:p w14:paraId="5ADA6E4D" w14:textId="2E5129D3" w:rsidR="00DC52A7" w:rsidRDefault="00DC52A7">
            <w:pPr>
              <w:pStyle w:val="Tabletext1"/>
              <w:widowControl w:val="0"/>
            </w:pPr>
            <w:r>
              <w:t>TR reduction of at least one grade at 30 days:</w:t>
            </w:r>
            <w:r w:rsidR="00E92EF3">
              <w:t xml:space="preserve"> 87.5%</w:t>
            </w:r>
          </w:p>
          <w:p w14:paraId="2A323B12" w14:textId="11C11BCF" w:rsidR="00F42F64" w:rsidRDefault="0029489D">
            <w:pPr>
              <w:pStyle w:val="Tabletext1"/>
              <w:widowControl w:val="0"/>
            </w:pPr>
            <w:r>
              <w:t>NYHA Class I or II</w:t>
            </w:r>
            <w:r w:rsidR="0077716D">
              <w:t xml:space="preserve">: </w:t>
            </w:r>
            <w:r w:rsidR="001D6645">
              <w:t xml:space="preserve">30 days 55.8% v </w:t>
            </w:r>
            <w:r w:rsidR="00FC673F">
              <w:t xml:space="preserve">baseline </w:t>
            </w:r>
            <w:r w:rsidR="007F00FD">
              <w:t>23.1%</w:t>
            </w:r>
          </w:p>
          <w:p w14:paraId="0238668F" w14:textId="3D22F384" w:rsidR="00C00D02" w:rsidRDefault="00C00D02">
            <w:pPr>
              <w:pStyle w:val="Tabletext1"/>
              <w:widowControl w:val="0"/>
            </w:pPr>
            <w:r>
              <w:t xml:space="preserve">Change in </w:t>
            </w:r>
            <w:r w:rsidR="0054020D">
              <w:t xml:space="preserve">6MWD from baseline: </w:t>
            </w:r>
            <w:r w:rsidR="004D302D">
              <w:t>38.2</w:t>
            </w:r>
            <w:r w:rsidR="00126543">
              <w:t xml:space="preserve"> </w:t>
            </w:r>
            <w:r w:rsidR="004D302D">
              <w:t>m</w:t>
            </w:r>
          </w:p>
          <w:p w14:paraId="5F515808" w14:textId="677CF5CD" w:rsidR="00117650" w:rsidRDefault="00117650">
            <w:pPr>
              <w:pStyle w:val="Tabletext1"/>
              <w:widowControl w:val="0"/>
            </w:pPr>
            <w:r>
              <w:t xml:space="preserve">Change in KCCQ from baseline: </w:t>
            </w:r>
            <w:r w:rsidR="00126543">
              <w:t>13.4 points</w:t>
            </w:r>
          </w:p>
          <w:p w14:paraId="45DF1305" w14:textId="34D0318A" w:rsidR="00521BF7" w:rsidRDefault="006D56A3">
            <w:pPr>
              <w:pStyle w:val="Tabletext1"/>
              <w:widowControl w:val="0"/>
            </w:pPr>
            <w:r>
              <w:t>Implant success: 97.2%</w:t>
            </w:r>
          </w:p>
          <w:p w14:paraId="22A0FFF8" w14:textId="77777777" w:rsidR="007F4972" w:rsidRDefault="007F4972">
            <w:pPr>
              <w:pStyle w:val="Tabletext1"/>
              <w:widowControl w:val="0"/>
            </w:pPr>
            <w:r>
              <w:t>Procedural success: 77.8%</w:t>
            </w:r>
          </w:p>
          <w:p w14:paraId="2F5E6440" w14:textId="77777777" w:rsidR="001414C5" w:rsidRDefault="001414C5">
            <w:pPr>
              <w:pStyle w:val="Tabletext1"/>
              <w:widowControl w:val="0"/>
            </w:pPr>
            <w:r>
              <w:t>Composite MAE rat</w:t>
            </w:r>
            <w:r w:rsidR="007A7D24">
              <w:t>e at 30 days: 3.0%</w:t>
            </w:r>
          </w:p>
          <w:p w14:paraId="1B6E4800" w14:textId="77777777" w:rsidR="00CB3002" w:rsidRDefault="00CB3002">
            <w:pPr>
              <w:pStyle w:val="Tabletext1"/>
              <w:widowControl w:val="0"/>
            </w:pPr>
            <w:r>
              <w:t>All-cause mortality rate at 30 days: 2.9%</w:t>
            </w:r>
          </w:p>
          <w:p w14:paraId="23B856CA" w14:textId="1F5DF67A" w:rsidR="00E84BCE" w:rsidRPr="00F15C88" w:rsidRDefault="00E84BCE">
            <w:pPr>
              <w:pStyle w:val="Tabletext1"/>
              <w:widowControl w:val="0"/>
            </w:pPr>
            <w:r>
              <w:t xml:space="preserve">Heart failure rehospitalisation at 30 days: </w:t>
            </w:r>
            <w:r w:rsidR="00D82671">
              <w:t>4.5%</w:t>
            </w:r>
          </w:p>
        </w:tc>
        <w:tc>
          <w:tcPr>
            <w:tcW w:w="1626" w:type="pct"/>
          </w:tcPr>
          <w:p w14:paraId="71E63834" w14:textId="57FE76DD" w:rsidR="005D7C87" w:rsidRDefault="00126543">
            <w:pPr>
              <w:pStyle w:val="Tabletext1"/>
              <w:widowControl w:val="0"/>
            </w:pPr>
            <w:hyperlink r:id="rId47" w:history="1">
              <w:r w:rsidRPr="00333E11">
                <w:rPr>
                  <w:rStyle w:val="Hyperlink"/>
                </w:rPr>
                <w:t>https://onlinelibrary.wiley.com/doi/10.1002/ccd.30450</w:t>
              </w:r>
            </w:hyperlink>
            <w:r>
              <w:t xml:space="preserve"> </w:t>
            </w:r>
          </w:p>
        </w:tc>
        <w:tc>
          <w:tcPr>
            <w:tcW w:w="433" w:type="pct"/>
          </w:tcPr>
          <w:p w14:paraId="28072545" w14:textId="22C58584" w:rsidR="005D7C87" w:rsidRDefault="00126543">
            <w:pPr>
              <w:pStyle w:val="Tabletext1"/>
              <w:widowControl w:val="0"/>
            </w:pPr>
            <w:r>
              <w:t>2022</w:t>
            </w:r>
          </w:p>
        </w:tc>
      </w:tr>
      <w:tr w:rsidR="006B74B5" w:rsidRPr="00882CBB" w14:paraId="7757F1DA" w14:textId="77777777">
        <w:trPr>
          <w:cantSplit/>
        </w:trPr>
        <w:tc>
          <w:tcPr>
            <w:tcW w:w="127" w:type="pct"/>
            <w:vMerge w:val="restart"/>
          </w:tcPr>
          <w:p w14:paraId="168F3064" w14:textId="3D1BDD84" w:rsidR="006B74B5" w:rsidRDefault="006B74B5">
            <w:pPr>
              <w:pStyle w:val="Tabletext1"/>
              <w:widowControl w:val="0"/>
            </w:pPr>
            <w:r>
              <w:t>7.</w:t>
            </w:r>
          </w:p>
        </w:tc>
        <w:tc>
          <w:tcPr>
            <w:tcW w:w="626" w:type="pct"/>
            <w:vMerge w:val="restart"/>
          </w:tcPr>
          <w:p w14:paraId="0E40194A" w14:textId="52A32EC3" w:rsidR="006B74B5" w:rsidRDefault="006B74B5">
            <w:pPr>
              <w:pStyle w:val="Tabletext1"/>
              <w:widowControl w:val="0"/>
            </w:pPr>
            <w:r>
              <w:t>Single-arm, multicentre, prospective study</w:t>
            </w:r>
          </w:p>
        </w:tc>
        <w:tc>
          <w:tcPr>
            <w:tcW w:w="663" w:type="pct"/>
          </w:tcPr>
          <w:p w14:paraId="741E56F2" w14:textId="77777777" w:rsidR="006B74B5" w:rsidRDefault="006B74B5">
            <w:pPr>
              <w:pStyle w:val="Tabletext1"/>
              <w:widowControl w:val="0"/>
              <w:rPr>
                <w:b/>
                <w:bCs/>
              </w:rPr>
            </w:pPr>
            <w:r>
              <w:rPr>
                <w:b/>
                <w:bCs/>
              </w:rPr>
              <w:t>CLASP TR</w:t>
            </w:r>
          </w:p>
          <w:p w14:paraId="1D30F89D" w14:textId="77777777" w:rsidR="006B74B5" w:rsidRDefault="006B74B5">
            <w:pPr>
              <w:pStyle w:val="Tabletext1"/>
              <w:widowControl w:val="0"/>
            </w:pPr>
            <w:r>
              <w:rPr>
                <w:b/>
                <w:bCs/>
              </w:rPr>
              <w:t>(NCT03745313)</w:t>
            </w:r>
          </w:p>
          <w:p w14:paraId="5DCB8B9C" w14:textId="77777777" w:rsidR="006B74B5" w:rsidRDefault="006B74B5">
            <w:pPr>
              <w:pStyle w:val="Tabletext1"/>
              <w:widowControl w:val="0"/>
            </w:pPr>
            <w:r>
              <w:t>Kodali (2021).</w:t>
            </w:r>
          </w:p>
          <w:p w14:paraId="4C16DEC2" w14:textId="6D6EEDF8" w:rsidR="006B74B5" w:rsidRPr="00F15C88" w:rsidRDefault="006B74B5">
            <w:pPr>
              <w:pStyle w:val="Tabletext1"/>
              <w:widowControl w:val="0"/>
            </w:pPr>
            <w:r>
              <w:t>Feasibility study of the transcatheter valve repair system for severe tricuspid regurgitation.</w:t>
            </w:r>
          </w:p>
        </w:tc>
        <w:tc>
          <w:tcPr>
            <w:tcW w:w="1525" w:type="pct"/>
          </w:tcPr>
          <w:p w14:paraId="5858F8F6" w14:textId="77777777" w:rsidR="006B74B5" w:rsidRDefault="006B74B5">
            <w:pPr>
              <w:pStyle w:val="Tabletext1"/>
              <w:widowControl w:val="0"/>
            </w:pPr>
            <w:r>
              <w:rPr>
                <w:i/>
                <w:iCs/>
                <w:u w:val="single"/>
              </w:rPr>
              <w:t>Population:</w:t>
            </w:r>
            <w:r>
              <w:t xml:space="preserve"> Adults (≥ 18 years) with severe symptomatic TR despite OMT per the local heart team, and appropriate for transcatheter tricuspid repair.</w:t>
            </w:r>
          </w:p>
          <w:p w14:paraId="25EF630C" w14:textId="77777777" w:rsidR="006B74B5" w:rsidRDefault="006B74B5">
            <w:pPr>
              <w:pStyle w:val="Tabletext1"/>
              <w:widowControl w:val="0"/>
            </w:pPr>
            <w:r>
              <w:rPr>
                <w:b/>
                <w:bCs/>
              </w:rPr>
              <w:t>Results</w:t>
            </w:r>
          </w:p>
          <w:p w14:paraId="47FEC86D" w14:textId="16A0E399" w:rsidR="006B74B5" w:rsidRDefault="006B74B5">
            <w:pPr>
              <w:pStyle w:val="Tabletext1"/>
              <w:widowControl w:val="0"/>
            </w:pPr>
            <w:r>
              <w:t>TR ≥severe: 30 days 48% v baseline 96%</w:t>
            </w:r>
          </w:p>
          <w:p w14:paraId="7D39878E" w14:textId="263F70E1" w:rsidR="006B74B5" w:rsidRDefault="006B74B5">
            <w:pPr>
              <w:pStyle w:val="Tabletext1"/>
              <w:widowControl w:val="0"/>
            </w:pPr>
            <w:r>
              <w:t>TR reduction of at least one grade at 30 days: 85%</w:t>
            </w:r>
          </w:p>
          <w:p w14:paraId="6CEEAF01" w14:textId="7C2699B6" w:rsidR="006B74B5" w:rsidRDefault="006B74B5">
            <w:pPr>
              <w:pStyle w:val="Tabletext1"/>
              <w:widowControl w:val="0"/>
            </w:pPr>
            <w:r>
              <w:t>NYHA Class I or II: 30 days 89% v baseline 22%</w:t>
            </w:r>
          </w:p>
          <w:p w14:paraId="185362AA" w14:textId="083BB65B" w:rsidR="006B74B5" w:rsidRDefault="006B74B5">
            <w:pPr>
              <w:pStyle w:val="Tabletext1"/>
              <w:widowControl w:val="0"/>
            </w:pPr>
            <w:r>
              <w:t>Composite MAE at 30 days: 5.9%</w:t>
            </w:r>
          </w:p>
          <w:p w14:paraId="44B18406" w14:textId="6178F7B6" w:rsidR="006B74B5" w:rsidRDefault="006B74B5">
            <w:pPr>
              <w:pStyle w:val="Tabletext1"/>
              <w:widowControl w:val="0"/>
            </w:pPr>
            <w:r>
              <w:t>All-cause mortality: 0%</w:t>
            </w:r>
          </w:p>
          <w:p w14:paraId="1DEFE826" w14:textId="785CE631" w:rsidR="006B74B5" w:rsidRDefault="006B74B5">
            <w:pPr>
              <w:pStyle w:val="Tabletext1"/>
              <w:widowControl w:val="0"/>
            </w:pPr>
            <w:r>
              <w:t>Heart failure rehospitalisation: 0%</w:t>
            </w:r>
          </w:p>
          <w:p w14:paraId="13F13528" w14:textId="0EE6D179" w:rsidR="006B74B5" w:rsidRDefault="006B74B5">
            <w:pPr>
              <w:pStyle w:val="Tabletext1"/>
              <w:widowControl w:val="0"/>
            </w:pPr>
            <w:r>
              <w:t>Implant success: 85.3%</w:t>
            </w:r>
          </w:p>
          <w:p w14:paraId="246C9F21" w14:textId="7DDB6E48" w:rsidR="006B74B5" w:rsidRPr="00F15C88" w:rsidRDefault="006B74B5">
            <w:pPr>
              <w:pStyle w:val="Tabletext1"/>
              <w:widowControl w:val="0"/>
            </w:pPr>
            <w:r>
              <w:t>Procedural success: 80.0%</w:t>
            </w:r>
          </w:p>
        </w:tc>
        <w:tc>
          <w:tcPr>
            <w:tcW w:w="1626" w:type="pct"/>
          </w:tcPr>
          <w:p w14:paraId="762188FB" w14:textId="5513CB8C" w:rsidR="006B74B5" w:rsidRDefault="006B74B5">
            <w:pPr>
              <w:pStyle w:val="Tabletext1"/>
              <w:widowControl w:val="0"/>
            </w:pPr>
            <w:hyperlink r:id="rId48" w:history="1">
              <w:r w:rsidRPr="00333E11">
                <w:rPr>
                  <w:rStyle w:val="Hyperlink"/>
                </w:rPr>
                <w:t>https://doi.org/10.1016/j.jacc.2020.11.047</w:t>
              </w:r>
            </w:hyperlink>
            <w:r>
              <w:t xml:space="preserve"> </w:t>
            </w:r>
          </w:p>
        </w:tc>
        <w:tc>
          <w:tcPr>
            <w:tcW w:w="433" w:type="pct"/>
          </w:tcPr>
          <w:p w14:paraId="7F90F6C5" w14:textId="5C96CDF6" w:rsidR="006B74B5" w:rsidRDefault="006B74B5">
            <w:pPr>
              <w:pStyle w:val="Tabletext1"/>
              <w:widowControl w:val="0"/>
            </w:pPr>
            <w:r>
              <w:t>2021</w:t>
            </w:r>
          </w:p>
        </w:tc>
      </w:tr>
      <w:tr w:rsidR="006B74B5" w:rsidRPr="00882CBB" w14:paraId="60F71618" w14:textId="77777777">
        <w:trPr>
          <w:cantSplit/>
        </w:trPr>
        <w:tc>
          <w:tcPr>
            <w:tcW w:w="127" w:type="pct"/>
            <w:vMerge/>
          </w:tcPr>
          <w:p w14:paraId="0BF33B06" w14:textId="77777777" w:rsidR="006B74B5" w:rsidRDefault="006B74B5">
            <w:pPr>
              <w:pStyle w:val="Tabletext1"/>
              <w:widowControl w:val="0"/>
            </w:pPr>
          </w:p>
        </w:tc>
        <w:tc>
          <w:tcPr>
            <w:tcW w:w="626" w:type="pct"/>
            <w:vMerge/>
          </w:tcPr>
          <w:p w14:paraId="0D2BFB66" w14:textId="77777777" w:rsidR="006B74B5" w:rsidRDefault="006B74B5">
            <w:pPr>
              <w:pStyle w:val="Tabletext1"/>
              <w:widowControl w:val="0"/>
            </w:pPr>
          </w:p>
        </w:tc>
        <w:tc>
          <w:tcPr>
            <w:tcW w:w="663" w:type="pct"/>
          </w:tcPr>
          <w:p w14:paraId="55575254" w14:textId="77777777" w:rsidR="006B74B5" w:rsidRDefault="006B74B5" w:rsidP="00DD05BA">
            <w:pPr>
              <w:pStyle w:val="Tabletext1"/>
              <w:widowControl w:val="0"/>
              <w:rPr>
                <w:b/>
                <w:bCs/>
              </w:rPr>
            </w:pPr>
            <w:r>
              <w:rPr>
                <w:b/>
                <w:bCs/>
              </w:rPr>
              <w:t>CLASP TR</w:t>
            </w:r>
          </w:p>
          <w:p w14:paraId="11FE53D5" w14:textId="77777777" w:rsidR="006B74B5" w:rsidRDefault="006B74B5" w:rsidP="00DD05BA">
            <w:pPr>
              <w:pStyle w:val="Tabletext1"/>
              <w:widowControl w:val="0"/>
            </w:pPr>
            <w:r>
              <w:rPr>
                <w:b/>
                <w:bCs/>
              </w:rPr>
              <w:t>(NCT03745313)</w:t>
            </w:r>
          </w:p>
          <w:p w14:paraId="64E2DAC2" w14:textId="1F282D54" w:rsidR="006B74B5" w:rsidRDefault="006B74B5" w:rsidP="00DD05BA">
            <w:pPr>
              <w:pStyle w:val="Tabletext1"/>
              <w:widowControl w:val="0"/>
            </w:pPr>
            <w:r>
              <w:t>Kodali (2023).</w:t>
            </w:r>
          </w:p>
          <w:p w14:paraId="6B581D97" w14:textId="687451C9" w:rsidR="006B74B5" w:rsidRPr="007D649F" w:rsidRDefault="006B74B5" w:rsidP="00DD05BA">
            <w:pPr>
              <w:pStyle w:val="Tabletext1"/>
              <w:widowControl w:val="0"/>
              <w:rPr>
                <w:b/>
                <w:bCs/>
              </w:rPr>
            </w:pPr>
            <w:r>
              <w:t>1-year outcomes of transcatheter tricuspid valve repair.</w:t>
            </w:r>
          </w:p>
        </w:tc>
        <w:tc>
          <w:tcPr>
            <w:tcW w:w="1525" w:type="pct"/>
          </w:tcPr>
          <w:p w14:paraId="2316A5CD" w14:textId="77777777" w:rsidR="006B74B5" w:rsidRDefault="006B74B5">
            <w:pPr>
              <w:pStyle w:val="Tabletext1"/>
              <w:widowControl w:val="0"/>
              <w:rPr>
                <w:b/>
                <w:bCs/>
              </w:rPr>
            </w:pPr>
            <w:r>
              <w:rPr>
                <w:b/>
                <w:bCs/>
              </w:rPr>
              <w:t>Results</w:t>
            </w:r>
          </w:p>
          <w:p w14:paraId="1A3898C2" w14:textId="226A59F4" w:rsidR="006B74B5" w:rsidRDefault="006B74B5">
            <w:pPr>
              <w:pStyle w:val="Tabletext1"/>
              <w:widowControl w:val="0"/>
            </w:pPr>
            <w:r>
              <w:t>TR reduction to ≤moderate: 30 days 70%; 1 year 86%</w:t>
            </w:r>
          </w:p>
          <w:p w14:paraId="74277C13" w14:textId="250A4C5D" w:rsidR="006B74B5" w:rsidRDefault="006B74B5">
            <w:pPr>
              <w:pStyle w:val="Tabletext1"/>
              <w:widowControl w:val="0"/>
            </w:pPr>
            <w:r>
              <w:t>TR reduction of at least one grade at 1 year: 100%</w:t>
            </w:r>
          </w:p>
          <w:p w14:paraId="256E2369" w14:textId="0FAC21C0" w:rsidR="006B74B5" w:rsidRDefault="006B74B5">
            <w:pPr>
              <w:pStyle w:val="Tabletext1"/>
              <w:widowControl w:val="0"/>
            </w:pPr>
            <w:r>
              <w:t>NYHA Class I or II: 30 days 88%; 1 year 92%</w:t>
            </w:r>
          </w:p>
          <w:p w14:paraId="5F100647" w14:textId="0CF4E16B" w:rsidR="006B74B5" w:rsidRDefault="006B74B5">
            <w:pPr>
              <w:pStyle w:val="Tabletext1"/>
              <w:widowControl w:val="0"/>
            </w:pPr>
            <w:r>
              <w:t>Change in 6MWD from baseline: 30 days 69 m; 1 year 94 m</w:t>
            </w:r>
          </w:p>
          <w:p w14:paraId="4150A73E" w14:textId="68EBB276" w:rsidR="006B74B5" w:rsidRDefault="006B74B5">
            <w:pPr>
              <w:pStyle w:val="Tabletext1"/>
              <w:widowControl w:val="0"/>
            </w:pPr>
            <w:r>
              <w:t>Change in KCCQ from baseline: 30 days 18 points</w:t>
            </w:r>
          </w:p>
          <w:p w14:paraId="4996FEF3" w14:textId="69D0EEC5" w:rsidR="006B74B5" w:rsidRDefault="006B74B5">
            <w:pPr>
              <w:pStyle w:val="Tabletext1"/>
              <w:widowControl w:val="0"/>
            </w:pPr>
            <w:r>
              <w:t>Composite MAE: 30 days 9.2%; 1 year 16.9%</w:t>
            </w:r>
          </w:p>
          <w:p w14:paraId="47A0936F" w14:textId="08A95A4F" w:rsidR="006B74B5" w:rsidRDefault="006B74B5">
            <w:pPr>
              <w:pStyle w:val="Tabletext1"/>
              <w:widowControl w:val="0"/>
            </w:pPr>
            <w:r>
              <w:t>All-cause mortality: 30 days 3.1%; 1 year 10.8%</w:t>
            </w:r>
          </w:p>
          <w:p w14:paraId="33C2FAC3" w14:textId="7F8DF2C2" w:rsidR="006B74B5" w:rsidRDefault="006B74B5">
            <w:pPr>
              <w:pStyle w:val="Tabletext1"/>
              <w:widowControl w:val="0"/>
            </w:pPr>
            <w:r>
              <w:t>Heart failure rehospitalisation: 30 days 0%; 1 year 18.5%</w:t>
            </w:r>
          </w:p>
          <w:p w14:paraId="5504C23C" w14:textId="77777777" w:rsidR="006B74B5" w:rsidRDefault="006B74B5">
            <w:pPr>
              <w:pStyle w:val="Tabletext1"/>
              <w:widowControl w:val="0"/>
            </w:pPr>
            <w:r>
              <w:t>Implant success: 90.8%</w:t>
            </w:r>
          </w:p>
          <w:p w14:paraId="2E742A22" w14:textId="08403FA1" w:rsidR="006B74B5" w:rsidRPr="00F15C88" w:rsidRDefault="006B74B5">
            <w:pPr>
              <w:pStyle w:val="Tabletext1"/>
              <w:widowControl w:val="0"/>
            </w:pPr>
            <w:r>
              <w:t>Procedural success: 87.5%</w:t>
            </w:r>
          </w:p>
        </w:tc>
        <w:tc>
          <w:tcPr>
            <w:tcW w:w="1626" w:type="pct"/>
          </w:tcPr>
          <w:p w14:paraId="398132FE" w14:textId="4A100D4E" w:rsidR="006B74B5" w:rsidRDefault="006B74B5">
            <w:pPr>
              <w:pStyle w:val="Tabletext1"/>
              <w:widowControl w:val="0"/>
            </w:pPr>
            <w:hyperlink r:id="rId49" w:history="1">
              <w:r w:rsidRPr="00333E11">
                <w:rPr>
                  <w:rStyle w:val="Hyperlink"/>
                </w:rPr>
                <w:t>https://doi.org/10.1016/j.jacc.2023.02.049</w:t>
              </w:r>
            </w:hyperlink>
            <w:r>
              <w:t xml:space="preserve"> </w:t>
            </w:r>
          </w:p>
        </w:tc>
        <w:tc>
          <w:tcPr>
            <w:tcW w:w="433" w:type="pct"/>
          </w:tcPr>
          <w:p w14:paraId="2C8E0F8B" w14:textId="397F538A" w:rsidR="006B74B5" w:rsidRDefault="006B74B5">
            <w:pPr>
              <w:pStyle w:val="Tabletext1"/>
              <w:widowControl w:val="0"/>
            </w:pPr>
            <w:r>
              <w:t>2023</w:t>
            </w:r>
          </w:p>
        </w:tc>
      </w:tr>
    </w:tbl>
    <w:p w14:paraId="5E0C9A87" w14:textId="4D7A85CB" w:rsidR="00F41589" w:rsidRPr="008931E0" w:rsidRDefault="00F41589" w:rsidP="00F41589">
      <w:pPr>
        <w:rPr>
          <w:rFonts w:ascii="Arial Narrow" w:hAnsi="Arial Narrow"/>
          <w:sz w:val="18"/>
          <w:szCs w:val="18"/>
        </w:rPr>
      </w:pPr>
      <w:r w:rsidRPr="008931E0">
        <w:rPr>
          <w:rFonts w:ascii="Arial Narrow" w:hAnsi="Arial Narrow"/>
          <w:sz w:val="18"/>
          <w:szCs w:val="18"/>
        </w:rPr>
        <w:t xml:space="preserve">Abbreviations: 6MWD, 6-minute walk distance; AE, adverse event; </w:t>
      </w:r>
      <w:r w:rsidR="00C71580">
        <w:rPr>
          <w:rFonts w:ascii="Arial Narrow" w:hAnsi="Arial Narrow"/>
          <w:sz w:val="18"/>
          <w:szCs w:val="18"/>
        </w:rPr>
        <w:t>CFB, change from baseline;</w:t>
      </w:r>
      <w:r w:rsidRPr="008931E0">
        <w:rPr>
          <w:rFonts w:ascii="Arial Narrow" w:hAnsi="Arial Narrow"/>
          <w:sz w:val="18"/>
          <w:szCs w:val="18"/>
        </w:rPr>
        <w:t xml:space="preserve"> </w:t>
      </w:r>
      <w:r>
        <w:rPr>
          <w:rFonts w:ascii="Arial Narrow" w:hAnsi="Arial Narrow"/>
          <w:sz w:val="18"/>
          <w:szCs w:val="18"/>
        </w:rPr>
        <w:t xml:space="preserve">FU, follow-up; </w:t>
      </w:r>
      <w:r w:rsidRPr="008931E0">
        <w:rPr>
          <w:rFonts w:ascii="Arial Narrow" w:hAnsi="Arial Narrow"/>
          <w:sz w:val="18"/>
          <w:szCs w:val="18"/>
        </w:rPr>
        <w:t xml:space="preserve">HR, high surgical risk; KCCQ, Kansas City Cardiomyopathy Questionnaire; MAE, major adverse event; NYHA, New York Heart Association; OMT, optimised medical therapy; PR, prohibitive surgical risk; RCT, randomised controlled trial; </w:t>
      </w:r>
      <w:r w:rsidR="002A49EC">
        <w:rPr>
          <w:rFonts w:ascii="Arial Narrow" w:hAnsi="Arial Narrow"/>
          <w:sz w:val="18"/>
          <w:szCs w:val="18"/>
        </w:rPr>
        <w:t>sPAP, systolic pulmonary arter</w:t>
      </w:r>
      <w:r w:rsidR="007A7882">
        <w:rPr>
          <w:rFonts w:ascii="Arial Narrow" w:hAnsi="Arial Narrow"/>
          <w:sz w:val="18"/>
          <w:szCs w:val="18"/>
        </w:rPr>
        <w:t>ial</w:t>
      </w:r>
      <w:r w:rsidR="002A49EC">
        <w:rPr>
          <w:rFonts w:ascii="Arial Narrow" w:hAnsi="Arial Narrow"/>
          <w:sz w:val="18"/>
          <w:szCs w:val="18"/>
        </w:rPr>
        <w:t xml:space="preserve"> pressure; </w:t>
      </w:r>
      <w:r w:rsidRPr="008931E0">
        <w:rPr>
          <w:rFonts w:ascii="Arial Narrow" w:hAnsi="Arial Narrow"/>
          <w:sz w:val="18"/>
          <w:szCs w:val="18"/>
        </w:rPr>
        <w:t>TEER, tricuspid transcatheter edge-to-edge repair; TR, tricuspid regurgitation; TTVR, transcatheter tricuspid valve repair</w:t>
      </w:r>
    </w:p>
    <w:p w14:paraId="688B29B0" w14:textId="77777777" w:rsidR="0030566C" w:rsidRPr="008931E0" w:rsidRDefault="0030566C" w:rsidP="00632919">
      <w:pPr>
        <w:widowControl w:val="0"/>
        <w:rPr>
          <w:rFonts w:ascii="Arial Narrow" w:hAnsi="Arial Narrow"/>
          <w:sz w:val="18"/>
          <w:szCs w:val="18"/>
        </w:rPr>
      </w:pPr>
      <w:r w:rsidRPr="008931E0">
        <w:rPr>
          <w:rFonts w:ascii="Arial Narrow" w:hAnsi="Arial Narrow"/>
          <w:sz w:val="18"/>
          <w:szCs w:val="18"/>
        </w:rPr>
        <w:t xml:space="preserve">* Categorise study design, for example meta-analysis, randomised trials, non-randomised trial or observational study, study of diagnostic accuracy, etc. </w:t>
      </w:r>
    </w:p>
    <w:p w14:paraId="3DCB45F7" w14:textId="16448B8B" w:rsidR="0030566C" w:rsidRPr="008931E0" w:rsidRDefault="0030566C" w:rsidP="00632919">
      <w:pPr>
        <w:widowControl w:val="0"/>
        <w:rPr>
          <w:rFonts w:ascii="Arial Narrow" w:hAnsi="Arial Narrow"/>
          <w:sz w:val="18"/>
          <w:szCs w:val="18"/>
        </w:rPr>
      </w:pPr>
      <w:r w:rsidRPr="008931E0">
        <w:rPr>
          <w:rFonts w:ascii="Arial Narrow" w:hAnsi="Arial Narrow"/>
          <w:sz w:val="18"/>
          <w:szCs w:val="18"/>
        </w:rPr>
        <w:t>**Provide high level information including population numbers and whether patients are being recruited or in post-recruitment, including providing the trial registration number to allow for tracking purposes.</w:t>
      </w:r>
      <w:r w:rsidR="003C2446" w:rsidRPr="008931E0">
        <w:rPr>
          <w:rFonts w:ascii="Arial Narrow" w:hAnsi="Arial Narrow"/>
          <w:sz w:val="18"/>
          <w:szCs w:val="18"/>
        </w:rPr>
        <w:t xml:space="preserve"> For yet to be published research, provide high level information including population numbers and whether patients are being recruited or in post-recruitment.</w:t>
      </w:r>
    </w:p>
    <w:bookmarkEnd w:id="22"/>
    <w:p w14:paraId="2EB12D7B" w14:textId="77777777" w:rsidR="0030566C" w:rsidRDefault="0030566C" w:rsidP="00C41C0E">
      <w:pPr>
        <w:pStyle w:val="BodyText"/>
      </w:pPr>
    </w:p>
    <w:p w14:paraId="3563BD7D" w14:textId="77777777" w:rsidR="00682875" w:rsidRDefault="00682875">
      <w:pPr>
        <w:spacing w:after="160"/>
        <w:rPr>
          <w:rFonts w:eastAsia="Segoe UI"/>
          <w:b/>
          <w:bCs/>
        </w:rPr>
      </w:pPr>
      <w:r>
        <w:br w:type="page"/>
      </w:r>
    </w:p>
    <w:p w14:paraId="5C6D49F9" w14:textId="14B9C268" w:rsidR="00B3266F" w:rsidRDefault="00B3266F" w:rsidP="00375FD9">
      <w:pPr>
        <w:pStyle w:val="Heading3"/>
      </w:pPr>
      <w:r w:rsidRPr="0030566C">
        <w:t>Identify yet-to-be-published research that may have results available in the near future (that could be relevant to your application). Do not attach full text articles; this is just a summary</w:t>
      </w:r>
      <w:r>
        <w:t xml:space="preserve"> (repeat columns as required)</w:t>
      </w:r>
      <w:r w:rsidRPr="0030566C">
        <w:t>.</w:t>
      </w:r>
    </w:p>
    <w:tbl>
      <w:tblPr>
        <w:tblStyle w:val="TableGrid"/>
        <w:tblW w:w="5000" w:type="pct"/>
        <w:tblLook w:val="04A0" w:firstRow="1" w:lastRow="0" w:firstColumn="1" w:lastColumn="0" w:noHBand="0" w:noVBand="1"/>
        <w:tblCaption w:val="Summary of Evidence - Published"/>
      </w:tblPr>
      <w:tblGrid>
        <w:gridCol w:w="353"/>
        <w:gridCol w:w="1813"/>
        <w:gridCol w:w="2375"/>
        <w:gridCol w:w="4960"/>
        <w:gridCol w:w="3407"/>
        <w:gridCol w:w="1346"/>
      </w:tblGrid>
      <w:tr w:rsidR="00B3266F" w:rsidRPr="00200527" w14:paraId="68843AEF" w14:textId="77777777" w:rsidTr="001620B3">
        <w:trPr>
          <w:cantSplit/>
          <w:tblHeader/>
        </w:trPr>
        <w:tc>
          <w:tcPr>
            <w:tcW w:w="124" w:type="pct"/>
          </w:tcPr>
          <w:p w14:paraId="0EF59E07" w14:textId="77777777" w:rsidR="00B3266F" w:rsidRPr="00200527" w:rsidRDefault="00B3266F" w:rsidP="00325AD2">
            <w:pPr>
              <w:pStyle w:val="Tabletext1"/>
            </w:pPr>
          </w:p>
        </w:tc>
        <w:tc>
          <w:tcPr>
            <w:tcW w:w="636" w:type="pct"/>
          </w:tcPr>
          <w:p w14:paraId="7FBC286A" w14:textId="77777777" w:rsidR="00B3266F" w:rsidRPr="00325AD2" w:rsidRDefault="00B3266F" w:rsidP="00325AD2">
            <w:pPr>
              <w:pStyle w:val="Tabletext1"/>
              <w:rPr>
                <w:b/>
                <w:bCs/>
              </w:rPr>
            </w:pPr>
            <w:r w:rsidRPr="00325AD2">
              <w:rPr>
                <w:b/>
                <w:bCs/>
              </w:rPr>
              <w:t>Type of study design*</w:t>
            </w:r>
          </w:p>
        </w:tc>
        <w:tc>
          <w:tcPr>
            <w:tcW w:w="833" w:type="pct"/>
          </w:tcPr>
          <w:p w14:paraId="70675B59" w14:textId="77777777" w:rsidR="00B3266F" w:rsidRPr="00325AD2" w:rsidRDefault="00B3266F" w:rsidP="00325AD2">
            <w:pPr>
              <w:pStyle w:val="Tabletext1"/>
              <w:rPr>
                <w:b/>
                <w:bCs/>
              </w:rPr>
            </w:pPr>
            <w:r w:rsidRPr="00325AD2">
              <w:rPr>
                <w:b/>
                <w:bCs/>
              </w:rPr>
              <w:t>Title of journal article or research project (including any trial identifier or study lead if relevant)</w:t>
            </w:r>
          </w:p>
        </w:tc>
        <w:tc>
          <w:tcPr>
            <w:tcW w:w="1740" w:type="pct"/>
          </w:tcPr>
          <w:p w14:paraId="48285473" w14:textId="77777777" w:rsidR="00B3266F" w:rsidRPr="00325AD2" w:rsidRDefault="00B3266F" w:rsidP="00325AD2">
            <w:pPr>
              <w:pStyle w:val="Tabletext1"/>
              <w:rPr>
                <w:b/>
                <w:bCs/>
              </w:rPr>
            </w:pPr>
            <w:r w:rsidRPr="00325AD2">
              <w:rPr>
                <w:b/>
                <w:bCs/>
              </w:rPr>
              <w:t>Short description of research (max 50 words)**</w:t>
            </w:r>
          </w:p>
        </w:tc>
        <w:tc>
          <w:tcPr>
            <w:tcW w:w="1195" w:type="pct"/>
          </w:tcPr>
          <w:p w14:paraId="4E3CA801" w14:textId="77777777" w:rsidR="00B3266F" w:rsidRPr="00325AD2" w:rsidRDefault="00B3266F" w:rsidP="00325AD2">
            <w:pPr>
              <w:pStyle w:val="Tabletext1"/>
              <w:rPr>
                <w:b/>
                <w:bCs/>
              </w:rPr>
            </w:pPr>
            <w:r w:rsidRPr="00325AD2">
              <w:rPr>
                <w:b/>
                <w:bCs/>
              </w:rPr>
              <w:t>Website link to journal article or research (if available)</w:t>
            </w:r>
          </w:p>
        </w:tc>
        <w:tc>
          <w:tcPr>
            <w:tcW w:w="472" w:type="pct"/>
          </w:tcPr>
          <w:p w14:paraId="0805FB3E" w14:textId="77777777" w:rsidR="00B3266F" w:rsidRPr="00325AD2" w:rsidRDefault="00B3266F" w:rsidP="00325AD2">
            <w:pPr>
              <w:pStyle w:val="Tabletext1"/>
              <w:rPr>
                <w:b/>
                <w:bCs/>
              </w:rPr>
            </w:pPr>
            <w:r w:rsidRPr="00325AD2">
              <w:rPr>
                <w:b/>
                <w:bCs/>
              </w:rPr>
              <w:t>Status; Estimated completion</w:t>
            </w:r>
          </w:p>
        </w:tc>
      </w:tr>
      <w:tr w:rsidR="00B3266F" w:rsidRPr="0030566C" w14:paraId="6E12DE1A" w14:textId="77777777" w:rsidTr="001620B3">
        <w:trPr>
          <w:cantSplit/>
        </w:trPr>
        <w:tc>
          <w:tcPr>
            <w:tcW w:w="124" w:type="pct"/>
          </w:tcPr>
          <w:p w14:paraId="33D5D29E" w14:textId="47A939EB" w:rsidR="00B3266F" w:rsidRPr="00EB7AE6" w:rsidRDefault="00D659A8" w:rsidP="00325AD2">
            <w:pPr>
              <w:pStyle w:val="Tabletext1"/>
            </w:pPr>
            <w:r>
              <w:t>1.</w:t>
            </w:r>
          </w:p>
        </w:tc>
        <w:tc>
          <w:tcPr>
            <w:tcW w:w="636" w:type="pct"/>
          </w:tcPr>
          <w:p w14:paraId="0E4E3B9D" w14:textId="55CC93FC" w:rsidR="00B3266F" w:rsidRDefault="001C5552" w:rsidP="00325AD2">
            <w:pPr>
              <w:pStyle w:val="Tabletext1"/>
              <w:rPr>
                <w:b/>
                <w:bCs/>
              </w:rPr>
            </w:pPr>
            <w:r>
              <w:rPr>
                <w:b/>
                <w:bCs/>
              </w:rPr>
              <w:t>TRICI-HF</w:t>
            </w:r>
          </w:p>
          <w:p w14:paraId="2CFDD18A" w14:textId="2CCEE5BE" w:rsidR="001C5552" w:rsidRPr="001C5552" w:rsidRDefault="0098340C" w:rsidP="00325AD2">
            <w:pPr>
              <w:pStyle w:val="Tabletext1"/>
            </w:pPr>
            <w:r>
              <w:t>RCT vs OMT</w:t>
            </w:r>
          </w:p>
        </w:tc>
        <w:tc>
          <w:tcPr>
            <w:tcW w:w="833" w:type="pct"/>
          </w:tcPr>
          <w:p w14:paraId="2B88876C" w14:textId="77777777" w:rsidR="0098340C" w:rsidRPr="00F110D1" w:rsidRDefault="0098340C" w:rsidP="00325AD2">
            <w:pPr>
              <w:pStyle w:val="Tabletext1"/>
            </w:pPr>
            <w:r w:rsidRPr="00F110D1">
              <w:t xml:space="preserve">TRICI-HF </w:t>
            </w:r>
          </w:p>
          <w:p w14:paraId="13348656" w14:textId="17AFF65A" w:rsidR="00B3266F" w:rsidRPr="00F110D1" w:rsidRDefault="0098340C" w:rsidP="00325AD2">
            <w:pPr>
              <w:pStyle w:val="Tabletext1"/>
            </w:pPr>
            <w:r w:rsidRPr="00F110D1">
              <w:t>NCT04634266</w:t>
            </w:r>
          </w:p>
        </w:tc>
        <w:tc>
          <w:tcPr>
            <w:tcW w:w="1740" w:type="pct"/>
          </w:tcPr>
          <w:p w14:paraId="61123A9A" w14:textId="02452DCC" w:rsidR="00B3266F" w:rsidRPr="005323A8" w:rsidRDefault="00DE6D42" w:rsidP="00325AD2">
            <w:pPr>
              <w:pStyle w:val="Tabletext1"/>
            </w:pPr>
            <w:r>
              <w:t xml:space="preserve">This is a </w:t>
            </w:r>
            <w:r w:rsidR="00E556DF">
              <w:t>multicentre</w:t>
            </w:r>
            <w:r>
              <w:t xml:space="preserve">, randomised, prospective intervention study </w:t>
            </w:r>
            <w:r w:rsidR="00DD3280">
              <w:t xml:space="preserve">(N=360) </w:t>
            </w:r>
            <w:r>
              <w:t>designed to evaluate the effect of tricuspid valve intervention vs OMT in patients with symptomatic heart failure due to TR.</w:t>
            </w:r>
          </w:p>
        </w:tc>
        <w:tc>
          <w:tcPr>
            <w:tcW w:w="1195" w:type="pct"/>
          </w:tcPr>
          <w:p w14:paraId="135F09FA" w14:textId="300AD857" w:rsidR="00B3266F" w:rsidRPr="005323A8" w:rsidRDefault="00DD3280" w:rsidP="00325AD2">
            <w:pPr>
              <w:pStyle w:val="Tabletext1"/>
            </w:pPr>
            <w:hyperlink r:id="rId50" w:history="1">
              <w:r w:rsidRPr="00981C5B">
                <w:rPr>
                  <w:rStyle w:val="Hyperlink"/>
                </w:rPr>
                <w:t>https://tric-i-hf.dzhk.de/ueber-die-studie/hintergrund-und-ziele/</w:t>
              </w:r>
            </w:hyperlink>
            <w:r>
              <w:t xml:space="preserve"> </w:t>
            </w:r>
          </w:p>
        </w:tc>
        <w:tc>
          <w:tcPr>
            <w:tcW w:w="472" w:type="pct"/>
          </w:tcPr>
          <w:p w14:paraId="07A207D3" w14:textId="74420D5B" w:rsidR="00B3266F" w:rsidRPr="005323A8" w:rsidRDefault="00745CC5" w:rsidP="00325AD2">
            <w:pPr>
              <w:pStyle w:val="Tabletext1"/>
            </w:pPr>
            <w:r>
              <w:t>Estimated completion: March 2027</w:t>
            </w:r>
          </w:p>
        </w:tc>
      </w:tr>
      <w:tr w:rsidR="00745CC5" w:rsidRPr="0030566C" w14:paraId="6E63F37F" w14:textId="77777777" w:rsidTr="001620B3">
        <w:trPr>
          <w:cantSplit/>
        </w:trPr>
        <w:tc>
          <w:tcPr>
            <w:tcW w:w="124" w:type="pct"/>
          </w:tcPr>
          <w:p w14:paraId="7DA84CD4" w14:textId="3D2ECB8A" w:rsidR="00745CC5" w:rsidRDefault="00524A0C" w:rsidP="00325AD2">
            <w:pPr>
              <w:pStyle w:val="Tabletext1"/>
            </w:pPr>
            <w:r>
              <w:t>2.</w:t>
            </w:r>
          </w:p>
        </w:tc>
        <w:tc>
          <w:tcPr>
            <w:tcW w:w="636" w:type="pct"/>
          </w:tcPr>
          <w:p w14:paraId="35868F21" w14:textId="77777777" w:rsidR="00745CC5" w:rsidRDefault="00745CC5" w:rsidP="00325AD2">
            <w:pPr>
              <w:pStyle w:val="Tabletext1"/>
              <w:rPr>
                <w:b/>
                <w:bCs/>
              </w:rPr>
            </w:pPr>
            <w:r>
              <w:rPr>
                <w:b/>
                <w:bCs/>
              </w:rPr>
              <w:t>TRACE-NL</w:t>
            </w:r>
          </w:p>
          <w:p w14:paraId="3C985E86" w14:textId="5B5CD3CC" w:rsidR="00745CC5" w:rsidRPr="00745CC5" w:rsidRDefault="00745CC5" w:rsidP="00325AD2">
            <w:pPr>
              <w:pStyle w:val="Tabletext1"/>
            </w:pPr>
            <w:r>
              <w:t>RCT vs OMT</w:t>
            </w:r>
          </w:p>
        </w:tc>
        <w:tc>
          <w:tcPr>
            <w:tcW w:w="833" w:type="pct"/>
          </w:tcPr>
          <w:p w14:paraId="0AA4AE26" w14:textId="77777777" w:rsidR="00745CC5" w:rsidRPr="00F110D1" w:rsidRDefault="00524A0C" w:rsidP="00325AD2">
            <w:pPr>
              <w:pStyle w:val="Tabletext1"/>
            </w:pPr>
            <w:r w:rsidRPr="00F110D1">
              <w:t>TRACE-NL</w:t>
            </w:r>
          </w:p>
          <w:p w14:paraId="3C6F0EAD" w14:textId="6E2AF348" w:rsidR="00524A0C" w:rsidRPr="00F110D1" w:rsidRDefault="00524A0C" w:rsidP="00325AD2">
            <w:pPr>
              <w:pStyle w:val="Tabletext1"/>
            </w:pPr>
            <w:r w:rsidRPr="00F110D1">
              <w:t>NCT05628779</w:t>
            </w:r>
          </w:p>
        </w:tc>
        <w:tc>
          <w:tcPr>
            <w:tcW w:w="1740" w:type="pct"/>
          </w:tcPr>
          <w:p w14:paraId="0B92CE14" w14:textId="4D6F5E99" w:rsidR="00745CC5" w:rsidRPr="005323A8" w:rsidRDefault="00D84950" w:rsidP="00325AD2">
            <w:pPr>
              <w:pStyle w:val="Tabletext1"/>
            </w:pPr>
            <w:r>
              <w:t xml:space="preserve">This is a national, </w:t>
            </w:r>
            <w:r w:rsidR="00E556DF">
              <w:t>multicentre</w:t>
            </w:r>
            <w:r>
              <w:t>, open-label RCT</w:t>
            </w:r>
            <w:r w:rsidR="000B5379">
              <w:t xml:space="preserve"> (N=~150)</w:t>
            </w:r>
            <w:r>
              <w:t xml:space="preserve"> designed to show superiority of transcatheter tricuspid valve repair using the TriClip or PASCAL devices with OMT over OMT alone in patients with symptomatic, severe TR in the Netherlands.</w:t>
            </w:r>
          </w:p>
        </w:tc>
        <w:tc>
          <w:tcPr>
            <w:tcW w:w="1195" w:type="pct"/>
          </w:tcPr>
          <w:p w14:paraId="19F896D5" w14:textId="011B8ED0" w:rsidR="00745CC5" w:rsidRPr="005323A8" w:rsidRDefault="00F54199" w:rsidP="00325AD2">
            <w:pPr>
              <w:pStyle w:val="Tabletext1"/>
            </w:pPr>
            <w:hyperlink r:id="rId51" w:history="1">
              <w:r w:rsidRPr="00981C5B">
                <w:rPr>
                  <w:rStyle w:val="Hyperlink"/>
                </w:rPr>
                <w:t>https://clinicaltrials.gov/study/NCT05628779</w:t>
              </w:r>
            </w:hyperlink>
            <w:r>
              <w:t xml:space="preserve"> </w:t>
            </w:r>
          </w:p>
        </w:tc>
        <w:tc>
          <w:tcPr>
            <w:tcW w:w="472" w:type="pct"/>
          </w:tcPr>
          <w:p w14:paraId="70BF1A61" w14:textId="38D8675E" w:rsidR="00745CC5" w:rsidRDefault="00524A0C" w:rsidP="00325AD2">
            <w:pPr>
              <w:pStyle w:val="Tabletext1"/>
            </w:pPr>
            <w:r>
              <w:t>Estimated completion: November 2027</w:t>
            </w:r>
          </w:p>
        </w:tc>
      </w:tr>
      <w:tr w:rsidR="00524A0C" w:rsidRPr="0030566C" w14:paraId="056375CB" w14:textId="77777777" w:rsidTr="001620B3">
        <w:trPr>
          <w:cantSplit/>
        </w:trPr>
        <w:tc>
          <w:tcPr>
            <w:tcW w:w="124" w:type="pct"/>
          </w:tcPr>
          <w:p w14:paraId="57876F7E" w14:textId="77B3B668" w:rsidR="00524A0C" w:rsidRDefault="00524A0C" w:rsidP="00325AD2">
            <w:pPr>
              <w:pStyle w:val="Tabletext1"/>
            </w:pPr>
            <w:r>
              <w:t>3.</w:t>
            </w:r>
          </w:p>
        </w:tc>
        <w:tc>
          <w:tcPr>
            <w:tcW w:w="636" w:type="pct"/>
          </w:tcPr>
          <w:p w14:paraId="37B03064" w14:textId="77777777" w:rsidR="00524A0C" w:rsidRDefault="009758E2" w:rsidP="00325AD2">
            <w:pPr>
              <w:pStyle w:val="Tabletext1"/>
            </w:pPr>
            <w:r>
              <w:rPr>
                <w:b/>
                <w:bCs/>
              </w:rPr>
              <w:t>TRICARE</w:t>
            </w:r>
          </w:p>
          <w:p w14:paraId="01CD1B6E" w14:textId="4F385B25" w:rsidR="009758E2" w:rsidRPr="009758E2" w:rsidRDefault="009758E2" w:rsidP="00325AD2">
            <w:pPr>
              <w:pStyle w:val="Tabletext1"/>
            </w:pPr>
            <w:r>
              <w:t>Observational, comparative study vs OMT</w:t>
            </w:r>
          </w:p>
        </w:tc>
        <w:tc>
          <w:tcPr>
            <w:tcW w:w="833" w:type="pct"/>
          </w:tcPr>
          <w:p w14:paraId="5A65EE05" w14:textId="77777777" w:rsidR="00F110D1" w:rsidRDefault="00D00DEA" w:rsidP="00325AD2">
            <w:pPr>
              <w:pStyle w:val="Tabletext1"/>
            </w:pPr>
            <w:r>
              <w:t>TRICARE</w:t>
            </w:r>
          </w:p>
          <w:p w14:paraId="34A1F898" w14:textId="095F7529" w:rsidR="00D00DEA" w:rsidRPr="00F110D1" w:rsidRDefault="00D00DEA" w:rsidP="00325AD2">
            <w:pPr>
              <w:pStyle w:val="Tabletext1"/>
            </w:pPr>
            <w:r>
              <w:t>NCT06920745</w:t>
            </w:r>
          </w:p>
        </w:tc>
        <w:tc>
          <w:tcPr>
            <w:tcW w:w="1740" w:type="pct"/>
          </w:tcPr>
          <w:p w14:paraId="44CAAA73" w14:textId="7A67E8B8" w:rsidR="00524A0C" w:rsidRPr="005323A8" w:rsidRDefault="00D00DEA" w:rsidP="00325AD2">
            <w:pPr>
              <w:pStyle w:val="Tabletext1"/>
            </w:pPr>
            <w:r>
              <w:t>This is a</w:t>
            </w:r>
            <w:r w:rsidR="00C068D6">
              <w:t xml:space="preserve"> large</w:t>
            </w:r>
            <w:r>
              <w:t xml:space="preserve"> coverage with evidence development</w:t>
            </w:r>
            <w:r w:rsidR="0069552D">
              <w:t>, real-world evidence</w:t>
            </w:r>
            <w:r>
              <w:t xml:space="preserve"> study </w:t>
            </w:r>
            <w:r w:rsidR="000B5379">
              <w:t>(N=~</w:t>
            </w:r>
            <w:r w:rsidR="00C068D6">
              <w:t xml:space="preserve">2200) </w:t>
            </w:r>
            <w:r>
              <w:t>evaluating the long-term health outcomes of patients with symptomatic, severe or greater TR who received T-TEER procedure using the TriClip system.</w:t>
            </w:r>
          </w:p>
        </w:tc>
        <w:tc>
          <w:tcPr>
            <w:tcW w:w="1195" w:type="pct"/>
          </w:tcPr>
          <w:p w14:paraId="2DF9D658" w14:textId="777656A8" w:rsidR="00524A0C" w:rsidRPr="005323A8" w:rsidRDefault="0069552D" w:rsidP="00325AD2">
            <w:pPr>
              <w:pStyle w:val="Tabletext1"/>
            </w:pPr>
            <w:hyperlink r:id="rId52" w:history="1">
              <w:r w:rsidRPr="00981C5B">
                <w:rPr>
                  <w:rStyle w:val="Hyperlink"/>
                </w:rPr>
                <w:t>https://clinicaltrials.gov/study/NCT06920745</w:t>
              </w:r>
            </w:hyperlink>
            <w:r>
              <w:t xml:space="preserve"> </w:t>
            </w:r>
          </w:p>
        </w:tc>
        <w:tc>
          <w:tcPr>
            <w:tcW w:w="472" w:type="pct"/>
          </w:tcPr>
          <w:p w14:paraId="64A0BC44" w14:textId="1D672179" w:rsidR="00524A0C" w:rsidRDefault="0069552D" w:rsidP="00325AD2">
            <w:pPr>
              <w:pStyle w:val="Tabletext1"/>
            </w:pPr>
            <w:r>
              <w:t>Estimated completion: July 2032</w:t>
            </w:r>
          </w:p>
        </w:tc>
      </w:tr>
      <w:tr w:rsidR="00745CC5" w:rsidRPr="0030566C" w14:paraId="5E4A5EC8" w14:textId="77777777" w:rsidTr="001620B3">
        <w:trPr>
          <w:cantSplit/>
        </w:trPr>
        <w:tc>
          <w:tcPr>
            <w:tcW w:w="124" w:type="pct"/>
          </w:tcPr>
          <w:p w14:paraId="64DF6AFA" w14:textId="046D8B47" w:rsidR="00745CC5" w:rsidRPr="00EB7AE6" w:rsidRDefault="00BD723F" w:rsidP="00325AD2">
            <w:pPr>
              <w:pStyle w:val="Tabletext1"/>
            </w:pPr>
            <w:r>
              <w:t>4.</w:t>
            </w:r>
          </w:p>
        </w:tc>
        <w:tc>
          <w:tcPr>
            <w:tcW w:w="636" w:type="pct"/>
          </w:tcPr>
          <w:p w14:paraId="58E61D65" w14:textId="77777777" w:rsidR="00745CC5" w:rsidRDefault="00BD723F" w:rsidP="00325AD2">
            <w:pPr>
              <w:pStyle w:val="Tabletext1"/>
            </w:pPr>
            <w:r>
              <w:rPr>
                <w:b/>
                <w:bCs/>
              </w:rPr>
              <w:t>EuroTR</w:t>
            </w:r>
          </w:p>
          <w:p w14:paraId="6A17E96F" w14:textId="285BEEE2" w:rsidR="00BD723F" w:rsidRPr="00BD723F" w:rsidRDefault="001D7400" w:rsidP="00325AD2">
            <w:pPr>
              <w:pStyle w:val="Tabletext1"/>
            </w:pPr>
            <w:r>
              <w:t>Observational</w:t>
            </w:r>
            <w:r w:rsidR="00325AD2">
              <w:t xml:space="preserve"> patient</w:t>
            </w:r>
            <w:r w:rsidR="00BD723F">
              <w:t xml:space="preserve"> registry</w:t>
            </w:r>
          </w:p>
        </w:tc>
        <w:tc>
          <w:tcPr>
            <w:tcW w:w="833" w:type="pct"/>
          </w:tcPr>
          <w:p w14:paraId="029A10B2" w14:textId="77777777" w:rsidR="00745CC5" w:rsidRDefault="00BD723F" w:rsidP="00325AD2">
            <w:pPr>
              <w:pStyle w:val="Tabletext1"/>
            </w:pPr>
            <w:r>
              <w:t>EuroTR</w:t>
            </w:r>
          </w:p>
          <w:p w14:paraId="25C47754" w14:textId="2506EA9B" w:rsidR="00BD723F" w:rsidRPr="00BD723F" w:rsidRDefault="00BD723F" w:rsidP="00325AD2">
            <w:pPr>
              <w:pStyle w:val="Tabletext1"/>
            </w:pPr>
            <w:r>
              <w:t>NCT</w:t>
            </w:r>
            <w:r w:rsidR="00325AD2">
              <w:t>06307262</w:t>
            </w:r>
          </w:p>
        </w:tc>
        <w:tc>
          <w:tcPr>
            <w:tcW w:w="1740" w:type="pct"/>
          </w:tcPr>
          <w:p w14:paraId="7D229E8A" w14:textId="1FAEDB51" w:rsidR="00745CC5" w:rsidRPr="00EB7AE6" w:rsidRDefault="00325AD2" w:rsidP="00325AD2">
            <w:pPr>
              <w:pStyle w:val="Tabletext1"/>
            </w:pPr>
            <w:r>
              <w:t xml:space="preserve">This is a large patient registry (N=3000) recruiting patients who had undergone </w:t>
            </w:r>
            <w:r w:rsidR="009D0DA3">
              <w:t>the T-TEER procedure using the TriClip or PASCAL devices</w:t>
            </w:r>
            <w:r w:rsidR="001620B3">
              <w:t>, aiming to optimise patient selection prior to TTVT and thus treatment quality by collecting respective data in a real-world setting.</w:t>
            </w:r>
          </w:p>
        </w:tc>
        <w:tc>
          <w:tcPr>
            <w:tcW w:w="1195" w:type="pct"/>
          </w:tcPr>
          <w:p w14:paraId="342909D9" w14:textId="5FF69A39" w:rsidR="00745CC5" w:rsidRPr="00EB7AE6" w:rsidRDefault="00325AD2" w:rsidP="00325AD2">
            <w:pPr>
              <w:pStyle w:val="Tabletext1"/>
            </w:pPr>
            <w:hyperlink r:id="rId53" w:history="1">
              <w:r w:rsidRPr="00981C5B">
                <w:rPr>
                  <w:rStyle w:val="Hyperlink"/>
                </w:rPr>
                <w:t>https://clinicaltrials.gov/study/NCT06307262</w:t>
              </w:r>
            </w:hyperlink>
            <w:r>
              <w:t xml:space="preserve"> </w:t>
            </w:r>
          </w:p>
        </w:tc>
        <w:tc>
          <w:tcPr>
            <w:tcW w:w="472" w:type="pct"/>
          </w:tcPr>
          <w:p w14:paraId="29C3F994" w14:textId="532F1256" w:rsidR="00745CC5" w:rsidRPr="00EB7AE6" w:rsidRDefault="00325AD2" w:rsidP="00325AD2">
            <w:pPr>
              <w:pStyle w:val="Tabletext1"/>
              <w:rPr>
                <w:lang w:val="en-US"/>
              </w:rPr>
            </w:pPr>
            <w:r>
              <w:rPr>
                <w:lang w:val="en-US"/>
              </w:rPr>
              <w:t>Estimated completion: December 2030</w:t>
            </w:r>
          </w:p>
        </w:tc>
      </w:tr>
      <w:tr w:rsidR="001620B3" w:rsidRPr="0030566C" w14:paraId="2D726C0D" w14:textId="77777777" w:rsidTr="001204B1">
        <w:trPr>
          <w:cantSplit/>
          <w:trHeight w:val="347"/>
        </w:trPr>
        <w:tc>
          <w:tcPr>
            <w:tcW w:w="124" w:type="pct"/>
          </w:tcPr>
          <w:p w14:paraId="49B31C35" w14:textId="1409E0C2" w:rsidR="001620B3" w:rsidRDefault="001620B3" w:rsidP="00325AD2">
            <w:pPr>
              <w:pStyle w:val="Tabletext1"/>
            </w:pPr>
            <w:r>
              <w:t>5.</w:t>
            </w:r>
          </w:p>
        </w:tc>
        <w:tc>
          <w:tcPr>
            <w:tcW w:w="636" w:type="pct"/>
          </w:tcPr>
          <w:p w14:paraId="61EB668C" w14:textId="77777777" w:rsidR="001620B3" w:rsidRDefault="001D7400" w:rsidP="00325AD2">
            <w:pPr>
              <w:pStyle w:val="Tabletext1"/>
            </w:pPr>
            <w:r w:rsidRPr="001D7400">
              <w:rPr>
                <w:b/>
                <w:bCs/>
              </w:rPr>
              <w:t>Berlin Registry of Right Heart Interventions</w:t>
            </w:r>
          </w:p>
          <w:p w14:paraId="774DEAA7" w14:textId="483A2285" w:rsidR="001D7400" w:rsidRPr="001D7400" w:rsidRDefault="001D7400" w:rsidP="00325AD2">
            <w:pPr>
              <w:pStyle w:val="Tabletext1"/>
            </w:pPr>
            <w:r>
              <w:t>Observational patient registry</w:t>
            </w:r>
          </w:p>
        </w:tc>
        <w:tc>
          <w:tcPr>
            <w:tcW w:w="833" w:type="pct"/>
          </w:tcPr>
          <w:p w14:paraId="630BED32" w14:textId="77777777" w:rsidR="001D7400" w:rsidRPr="007040C9" w:rsidRDefault="001D7400" w:rsidP="001D7400">
            <w:pPr>
              <w:pStyle w:val="Tabletext1"/>
            </w:pPr>
            <w:r w:rsidRPr="007040C9">
              <w:t>Berlin Registry of Right Heart Interventions</w:t>
            </w:r>
          </w:p>
          <w:p w14:paraId="032FFADD" w14:textId="4688E167" w:rsidR="001620B3" w:rsidRDefault="001D7400" w:rsidP="00325AD2">
            <w:pPr>
              <w:pStyle w:val="Tabletext1"/>
            </w:pPr>
            <w:r>
              <w:t>NCT0457</w:t>
            </w:r>
            <w:r w:rsidR="007040C9">
              <w:t>0163</w:t>
            </w:r>
          </w:p>
        </w:tc>
        <w:tc>
          <w:tcPr>
            <w:tcW w:w="1740" w:type="pct"/>
          </w:tcPr>
          <w:p w14:paraId="62B79CDE" w14:textId="0016B409" w:rsidR="001620B3" w:rsidRDefault="007040C9" w:rsidP="00325AD2">
            <w:pPr>
              <w:pStyle w:val="Tabletext1"/>
            </w:pPr>
            <w:r>
              <w:t>This is a patient registry (N=200) recruiting patients undergoing interventional therapies of right heart disease (including cardioband and TEER techniques of the tricuspid valve) performed in Berlin.</w:t>
            </w:r>
            <w:r w:rsidR="00682875">
              <w:t xml:space="preserve"> The aim is to identify patient subgroups that benefit the most from this therapy.</w:t>
            </w:r>
          </w:p>
        </w:tc>
        <w:tc>
          <w:tcPr>
            <w:tcW w:w="1195" w:type="pct"/>
          </w:tcPr>
          <w:p w14:paraId="3909CD6A" w14:textId="1E5F19AB" w:rsidR="001620B3" w:rsidRDefault="00682875" w:rsidP="00325AD2">
            <w:pPr>
              <w:pStyle w:val="Tabletext1"/>
            </w:pPr>
            <w:hyperlink r:id="rId54" w:history="1">
              <w:r w:rsidRPr="00981C5B">
                <w:rPr>
                  <w:rStyle w:val="Hyperlink"/>
                </w:rPr>
                <w:t>https://clinicaltrials.gov/study/NCT04570163</w:t>
              </w:r>
            </w:hyperlink>
            <w:r>
              <w:t xml:space="preserve"> </w:t>
            </w:r>
          </w:p>
        </w:tc>
        <w:tc>
          <w:tcPr>
            <w:tcW w:w="472" w:type="pct"/>
          </w:tcPr>
          <w:p w14:paraId="481A210B" w14:textId="330CFFB0" w:rsidR="001620B3" w:rsidRDefault="00682875" w:rsidP="00325AD2">
            <w:pPr>
              <w:pStyle w:val="Tabletext1"/>
              <w:rPr>
                <w:lang w:val="en-US"/>
              </w:rPr>
            </w:pPr>
            <w:r>
              <w:rPr>
                <w:lang w:val="en-US"/>
              </w:rPr>
              <w:t>Estimated completion: December 2025</w:t>
            </w:r>
          </w:p>
        </w:tc>
      </w:tr>
      <w:tr w:rsidR="00590967" w:rsidRPr="0030566C" w14:paraId="23D4F3A6" w14:textId="77777777" w:rsidTr="001204B1">
        <w:trPr>
          <w:cantSplit/>
          <w:trHeight w:val="347"/>
        </w:trPr>
        <w:tc>
          <w:tcPr>
            <w:tcW w:w="124" w:type="pct"/>
          </w:tcPr>
          <w:p w14:paraId="49830DCD" w14:textId="0AD97420" w:rsidR="00590967" w:rsidRDefault="00132266" w:rsidP="00325AD2">
            <w:pPr>
              <w:pStyle w:val="Tabletext1"/>
            </w:pPr>
            <w:r>
              <w:t>6.</w:t>
            </w:r>
          </w:p>
        </w:tc>
        <w:tc>
          <w:tcPr>
            <w:tcW w:w="636" w:type="pct"/>
          </w:tcPr>
          <w:p w14:paraId="3C4ED869" w14:textId="77777777" w:rsidR="00590967" w:rsidRPr="00182B8A" w:rsidRDefault="00590967" w:rsidP="00325AD2">
            <w:pPr>
              <w:pStyle w:val="Tabletext1"/>
              <w:rPr>
                <w:b/>
                <w:lang w:val="sv-SE"/>
              </w:rPr>
            </w:pPr>
            <w:r w:rsidRPr="00182B8A">
              <w:rPr>
                <w:b/>
                <w:lang w:val="sv-SE"/>
              </w:rPr>
              <w:t>CLASP II TR</w:t>
            </w:r>
          </w:p>
          <w:p w14:paraId="43B5520E" w14:textId="7A50F08C" w:rsidR="00590967" w:rsidRPr="00182B8A" w:rsidRDefault="00590967" w:rsidP="00325AD2">
            <w:pPr>
              <w:pStyle w:val="Tabletext1"/>
              <w:rPr>
                <w:b/>
                <w:lang w:val="sv-SE"/>
              </w:rPr>
            </w:pPr>
            <w:r w:rsidRPr="00182B8A">
              <w:rPr>
                <w:b/>
                <w:lang w:val="sv-SE"/>
              </w:rPr>
              <w:t>RCT vs OMT</w:t>
            </w:r>
          </w:p>
        </w:tc>
        <w:tc>
          <w:tcPr>
            <w:tcW w:w="833" w:type="pct"/>
          </w:tcPr>
          <w:p w14:paraId="1E19C219" w14:textId="5F65ECE2" w:rsidR="00590967" w:rsidRPr="007040C9" w:rsidRDefault="00590967" w:rsidP="001D7400">
            <w:pPr>
              <w:pStyle w:val="Tabletext1"/>
            </w:pPr>
            <w:r w:rsidRPr="00590967">
              <w:t>NCT04097145</w:t>
            </w:r>
          </w:p>
        </w:tc>
        <w:tc>
          <w:tcPr>
            <w:tcW w:w="1740" w:type="pct"/>
          </w:tcPr>
          <w:p w14:paraId="5D37F8D8" w14:textId="4EA2519B" w:rsidR="00590967" w:rsidRDefault="00492B2B" w:rsidP="00325AD2">
            <w:pPr>
              <w:pStyle w:val="Tabletext1"/>
            </w:pPr>
            <w:r>
              <w:t xml:space="preserve">This is a </w:t>
            </w:r>
            <w:r w:rsidR="00DA39F0">
              <w:t>p</w:t>
            </w:r>
            <w:r w:rsidR="00DA39F0" w:rsidRPr="00DA39F0">
              <w:t xml:space="preserve">rospective, </w:t>
            </w:r>
            <w:r w:rsidR="00CE0A40" w:rsidRPr="00DA39F0">
              <w:t>multicentre</w:t>
            </w:r>
            <w:r w:rsidR="00DA39F0" w:rsidRPr="00DA39F0">
              <w:t>, randomi</w:t>
            </w:r>
            <w:r w:rsidR="00DA39F0">
              <w:t>s</w:t>
            </w:r>
            <w:r w:rsidR="00DA39F0" w:rsidRPr="00DA39F0">
              <w:t xml:space="preserve">ed, controlled pivotal trial </w:t>
            </w:r>
            <w:r w:rsidR="008A316E">
              <w:t xml:space="preserve">(N=870) </w:t>
            </w:r>
            <w:r w:rsidR="00DA39F0" w:rsidRPr="00DA39F0">
              <w:t xml:space="preserve">to evaluate the safety and effectiveness of </w:t>
            </w:r>
            <w:r w:rsidR="00DA39F0">
              <w:t>TEER</w:t>
            </w:r>
            <w:r w:rsidR="00DA39F0" w:rsidRPr="00DA39F0">
              <w:t xml:space="preserve"> with the Edwards PASCAL Transcatheter Valve Repair System and</w:t>
            </w:r>
            <w:r w:rsidR="00DA39F0">
              <w:t xml:space="preserve"> </w:t>
            </w:r>
            <w:r w:rsidR="00DA39F0" w:rsidRPr="00DA39F0">
              <w:t xml:space="preserve">OMT compared to OMT alone in patients with </w:t>
            </w:r>
            <w:r w:rsidR="00B04433">
              <w:t>severe TR at intermediate or high risk of mortality with tricuspid valve surgery</w:t>
            </w:r>
            <w:r w:rsidR="00DA39F0" w:rsidRPr="00DA39F0">
              <w:t xml:space="preserve">. Patients will be seen for follow-up visits at discharge, 30 days, 3 months, 6 months, and annually through 5 years. </w:t>
            </w:r>
          </w:p>
        </w:tc>
        <w:tc>
          <w:tcPr>
            <w:tcW w:w="1195" w:type="pct"/>
          </w:tcPr>
          <w:p w14:paraId="47526669" w14:textId="0CDEDB19" w:rsidR="00590967" w:rsidRDefault="001A1E3C" w:rsidP="00325AD2">
            <w:pPr>
              <w:pStyle w:val="Tabletext1"/>
            </w:pPr>
            <w:r w:rsidRPr="001A1E3C">
              <w:t>https://clinicaltrials.gov/study/NCT04097145</w:t>
            </w:r>
          </w:p>
        </w:tc>
        <w:tc>
          <w:tcPr>
            <w:tcW w:w="472" w:type="pct"/>
          </w:tcPr>
          <w:p w14:paraId="3F2FB238" w14:textId="1653F7AF" w:rsidR="00590967" w:rsidRPr="00C82626" w:rsidRDefault="00132266" w:rsidP="00325AD2">
            <w:pPr>
              <w:pStyle w:val="Tabletext1"/>
            </w:pPr>
            <w:r>
              <w:t>Estimated completion: December 2027</w:t>
            </w:r>
          </w:p>
        </w:tc>
      </w:tr>
    </w:tbl>
    <w:p w14:paraId="7C7DB880" w14:textId="6C7A1472" w:rsidR="001204B1" w:rsidRDefault="00182B8A" w:rsidP="00182B8A">
      <w:pPr>
        <w:pStyle w:val="NoteHeading"/>
        <w:rPr>
          <w:lang w:val="en-GB"/>
        </w:rPr>
      </w:pPr>
      <w:r>
        <w:rPr>
          <w:lang w:val="en-GB"/>
        </w:rPr>
        <w:t xml:space="preserve">Abbreviations: </w:t>
      </w:r>
      <w:r w:rsidR="00E556DF">
        <w:rPr>
          <w:lang w:val="en-GB"/>
        </w:rPr>
        <w:t>OMT, optimal medical therapy; RCT, randomised controlled trial</w:t>
      </w:r>
      <w:r w:rsidR="00AA35A5">
        <w:rPr>
          <w:lang w:val="en-GB"/>
        </w:rPr>
        <w:t>; TEER, transcatheter edge-to-edge repair; TR, tricuspid regurgitation</w:t>
      </w:r>
      <w:r w:rsidR="003549D9">
        <w:rPr>
          <w:lang w:val="en-GB"/>
        </w:rPr>
        <w:t>; TTVT, transcatheter tricuspid valve repair and replacement techniques</w:t>
      </w:r>
    </w:p>
    <w:p w14:paraId="5A043837" w14:textId="77777777" w:rsidR="00182B8A" w:rsidRDefault="00182B8A" w:rsidP="001204B1">
      <w:pPr>
        <w:rPr>
          <w:lang w:val="en-GB"/>
        </w:rPr>
      </w:pPr>
    </w:p>
    <w:p w14:paraId="27322E17" w14:textId="77777777" w:rsidR="00182B8A" w:rsidRDefault="00182B8A" w:rsidP="001204B1">
      <w:pPr>
        <w:rPr>
          <w:lang w:val="en-GB"/>
        </w:rPr>
      </w:pPr>
    </w:p>
    <w:p w14:paraId="45D5929A" w14:textId="77777777" w:rsidR="00182B8A" w:rsidRDefault="00182B8A" w:rsidP="001204B1">
      <w:pPr>
        <w:rPr>
          <w:lang w:val="en-GB"/>
        </w:rPr>
      </w:pPr>
    </w:p>
    <w:p w14:paraId="3A4586FA" w14:textId="77777777" w:rsidR="001204B1" w:rsidRPr="001204B1" w:rsidRDefault="001204B1" w:rsidP="001204B1">
      <w:pPr>
        <w:rPr>
          <w:lang w:val="en-GB"/>
        </w:rPr>
        <w:sectPr w:rsidR="001204B1" w:rsidRPr="001204B1" w:rsidSect="003C3719">
          <w:pgSz w:w="16838" w:h="11906" w:orient="landscape"/>
          <w:pgMar w:top="1440" w:right="1440" w:bottom="992" w:left="1134" w:header="425" w:footer="249" w:gutter="0"/>
          <w:cols w:space="708"/>
          <w:docGrid w:linePitch="360"/>
        </w:sectPr>
      </w:pPr>
    </w:p>
    <w:p w14:paraId="3802C93B" w14:textId="45512B6B" w:rsidR="00B3266F" w:rsidRDefault="003426F4" w:rsidP="003426F4">
      <w:pPr>
        <w:pStyle w:val="Heading1"/>
      </w:pPr>
      <w:r>
        <w:t>References</w:t>
      </w:r>
    </w:p>
    <w:p w14:paraId="0FD11C46" w14:textId="77777777" w:rsidR="003426F4" w:rsidRDefault="003426F4" w:rsidP="003426F4"/>
    <w:p w14:paraId="615AAC77" w14:textId="78FA8CC7" w:rsidR="00E271A3" w:rsidRDefault="00E271A3" w:rsidP="003F53BE">
      <w:pPr>
        <w:pStyle w:val="BodyText"/>
      </w:pPr>
      <w:r w:rsidRPr="00E271A3">
        <w:t xml:space="preserve">Arnold Suzanne V, Goates S, Sorajja P, Adams David H, von Bardeleben Ralph S, Kapadia Samir R, Cohen David J and null n. 2024. Health Status After Transcatheter Tricuspid-Valve Repair in Patients With Severe Tricuspid Regurgitation. JACC 83(1): 1-13. Available at: 10.1016/j.jacc.2023.10.008 </w:t>
      </w:r>
    </w:p>
    <w:p w14:paraId="48C3F735" w14:textId="010AF29F" w:rsidR="002A68EC" w:rsidRDefault="002A68EC" w:rsidP="003F53BE">
      <w:pPr>
        <w:pStyle w:val="BodyText"/>
      </w:pPr>
      <w:r w:rsidRPr="002A68EC">
        <w:t xml:space="preserve">Baldus S, Schofer N, Hausleiter J, Friedrichs K, Lurz P, Luedike P, Frerker C, Nickenig G, Lubos E, Pfister R, Körber MI, Kalbacher D, Näbauer M, Besler C, Mahabadi AA, Weber M, Zdanyte M, Ren CB and Geisler T. 2022. Transcatheter valve repair of tricuspid regurgitation with the PASCAL system: TriCLASP study 30-day results. Catheterization and Cardiovascular Interventions 100(7): 1291-1299. Available at: https://doi.org/10.1002/ccd.30450 </w:t>
      </w:r>
    </w:p>
    <w:p w14:paraId="31D26C35" w14:textId="47237304" w:rsidR="001C6C61" w:rsidRPr="001C6C61" w:rsidRDefault="001C6C61" w:rsidP="003F53BE">
      <w:pPr>
        <w:pStyle w:val="BodyText"/>
      </w:pPr>
      <w:r w:rsidRPr="001C6C61">
        <w:t>Chorin E, Rozenbaum Z, Topilsky Y, Konigstein M, Ziv-Baran T, Richert E, Keren G and Banai S. 2020. Tricuspid regurgitation and long-term clinical outcomes. Eur Heart J Cardiovasc Imaging 21(2): 157-165. Available at: 10.1093/ehjci/jez216.</w:t>
      </w:r>
    </w:p>
    <w:p w14:paraId="6B29534E" w14:textId="4415FA08" w:rsidR="001C6C61" w:rsidRPr="001C6C61" w:rsidRDefault="001C6C61" w:rsidP="003F53BE">
      <w:pPr>
        <w:pStyle w:val="BodyText"/>
      </w:pPr>
      <w:r w:rsidRPr="001C6C61">
        <w:t xml:space="preserve">Donal E, Dreyfus J, Leurent G, Coisne A, Leroux P-Y, Ganivet A, Sportouch C, Lavie-Badie Y, Guerin P, Rouleau F, Diakov C, van der Heyden J, Lafitte S, Obadia J-F, Nejjari M, Karam N, Bernard A, Neylon A, Pierrard R, Tchetche D, Ghostine S, Ducrocq G, Si Moussi T, Jeu A, Peltier M, Cosyns B, Le Dolley Y, Habib G, Auffret V, Le Ven F, Picard F, Piriou N, Laperche T, Galli E, Istratoaie S, Jouan J, Bonnet G, de Groote P, Anselmi A, Trochu J-N, Oger E and Tri-Fr I. 2025. Transcatheter Edge-to-Edge Repair for Severe Isolated Tricuspid Regurgitation: The Tri.Fr Randomized Clinical Trial. JAMA 333(2): 124-132. Available at: 10.1001/jama.2024.21189 </w:t>
      </w:r>
    </w:p>
    <w:p w14:paraId="0537A6E9" w14:textId="7578FD1F" w:rsidR="00A043E7" w:rsidRPr="001C6C61" w:rsidRDefault="001C6C61" w:rsidP="003F53BE">
      <w:pPr>
        <w:pStyle w:val="BodyText"/>
      </w:pPr>
      <w:r w:rsidRPr="001C6C61">
        <w:t>Fender EA, Zack CJ and Nishimura RA. 2018. Isolated tricuspid regurgitation: outcomes and therapeutic interventions. Heart 104(10): 798-806. Available at: 10.1136/heartjnl-2017-311586.</w:t>
      </w:r>
    </w:p>
    <w:p w14:paraId="3EC962A5" w14:textId="7DFCCC66" w:rsidR="001C6C61" w:rsidRDefault="001C6C61" w:rsidP="003F53BE">
      <w:pPr>
        <w:pStyle w:val="BodyText"/>
      </w:pPr>
      <w:r w:rsidRPr="001C6C61">
        <w:t>Fujisawa T, Kimura T, Ikemura N, Miyama H, Katsumata Y, Ueda I, Tanimoto K, Kanki H, Fukuda K, Kohsaka S and Takatsuki S. 2022. Effect of Tricuspid Regurgitation on the Reported Quality of Life and Subsequent Outcomes in Patients With Atrial Fibrillation. J Am Heart Assoc 11(8): e022713. Available at: 10.1161/jaha.121.022713.</w:t>
      </w:r>
    </w:p>
    <w:p w14:paraId="5F3DEE1E" w14:textId="46088957" w:rsidR="003A2571" w:rsidRPr="001C6C61" w:rsidRDefault="003A2571" w:rsidP="003F53BE">
      <w:pPr>
        <w:pStyle w:val="BodyText"/>
      </w:pPr>
      <w:r w:rsidRPr="003A2571">
        <w:t>Gröger M, Friedl S, Ouerghemmi D, Tadic M, Bruß E, Felbel D, Paukovitsch M, Schneider LM, Dahme T, Rottbauer W, Markovic S and Keßler M. 2023. TRI-SCORE is superior to EuroSCORE II and STS-Score in mortality prediction following transcatheter edge-to-edge tricuspid valve repair. Clin Res Cardiol 112(10): 1436-1445. Available at: 10.1007/s00392-023-02246-9.</w:t>
      </w:r>
    </w:p>
    <w:p w14:paraId="030AD128" w14:textId="5CF01443" w:rsidR="001C6C61" w:rsidRPr="001C6C61" w:rsidRDefault="001C6C61" w:rsidP="003F53BE">
      <w:pPr>
        <w:pStyle w:val="BodyText"/>
      </w:pPr>
      <w:r w:rsidRPr="001C6C61">
        <w:t>Hahn RT and Zamorano JL. 2017. The need for a new tricuspid regurgitation grading scheme. Eur Heart J Cardiovasc Imaging 18(12): 1342-1343. Available at: 10.1093/ehjci/jex139.</w:t>
      </w:r>
    </w:p>
    <w:p w14:paraId="4F47D117" w14:textId="7D7CB554" w:rsidR="001C6C61" w:rsidRPr="001C6C61" w:rsidRDefault="001C6C61" w:rsidP="003F53BE">
      <w:pPr>
        <w:pStyle w:val="BodyText"/>
      </w:pPr>
      <w:r w:rsidRPr="001C6C61">
        <w:t xml:space="preserve">Kar S, Makkar RR, Whisenant BK, Hamid N, Naik H, Tadros P, Price MJ, Singh G, Schwartz JG, Kapadia S, Alli O, Horr S, Seshiah P, Batchelor W, Jones BM, Ahmed MI, Benza R, Jorde U, Thourani VH, Ghobrial AA, Tang GHL, Trusty PM, Huang D, Hahn RT, Adams DH, Sorajja P and for the TPI. 2025. Two-Year Outcomes of Transcatheter Edge-to-Edge Repair for Severe Tricuspid Regurgitation: The TRILUMINATE Pivotal Randomized Controlled Trial. Circulation 151(23): 1630-1638. Available at: 10.1161/CIRCULATIONAHA.125.074536 </w:t>
      </w:r>
    </w:p>
    <w:p w14:paraId="0740D205" w14:textId="7183A1F3" w:rsidR="00A55FE7" w:rsidRDefault="00A55FE7" w:rsidP="003F53BE">
      <w:pPr>
        <w:pStyle w:val="BodyText"/>
      </w:pPr>
      <w:r w:rsidRPr="00A55FE7">
        <w:t>Kodali S, Hahn Rebecca T, Eleid Mackram F, Kipperman R, Smith R, Lim DS, Gray William A, Narang A, Pislaru Sorin V, Koulogiannis K, Grayburn P, Fowler D, Hawthorne K, Dahou A, Deo Shekhar H, Vandrangi P, Deuschl F, Mack Michael J, Leon Martin B, Feldman T, Davidson Charles J and null n. 2021. Feasibility Study of the Transcatheter Valve Repair System for Severe Tricuspid Regurgitation. JACC 77(4): 345-356. Available at: 10.1016/j.jacc.2020.11.047</w:t>
      </w:r>
    </w:p>
    <w:p w14:paraId="7DA65A60" w14:textId="1F05EB0A" w:rsidR="00A55FE7" w:rsidRDefault="003335F3" w:rsidP="003F53BE">
      <w:pPr>
        <w:pStyle w:val="BodyText"/>
      </w:pPr>
      <w:r w:rsidRPr="003335F3">
        <w:t>Kodali Susheel K, Hahn Rebecca T, Davidson Charles J, Narang A, Greenbaum A, Gleason P, Kapadia S, Miyasaka R, Zahr F, Chadderdon S, Smith Robert L, Grayburn P, Kipperman Robert M, Marcoff L, Whisenant B, Gonzales M, Makkar R, Makar M, O’Neill W, Wang Dee D, Gray William A, Abramson S, Hermiller J, Mitchel L, Lim DS, Fowler D, Williams M, Pislaru Sorin V, Dahou A, Mack Michael J, Leon Martin B and Eleid Mackram F. 2023. 1-Year Outcomes of Transcatheter Tricuspid Valve Repair. JACC 81(18): 1766-1776. Available at: 10.1016/j.jacc.2023.02.049</w:t>
      </w:r>
    </w:p>
    <w:p w14:paraId="3297699E" w14:textId="059E8A6E" w:rsidR="001C6C61" w:rsidRPr="001C6C61" w:rsidRDefault="001C6C61" w:rsidP="003F53BE">
      <w:pPr>
        <w:pStyle w:val="BodyText"/>
      </w:pPr>
      <w:r w:rsidRPr="001C6C61">
        <w:t>Latib A, Grigioni F and Hahn RT. 2018. Tricuspid regurgitation: what is the real clinical impact and how often should it be treated? EuroIntervention 14(Ab): Ab101-ab111. Available at: 10.4244/eij-d-18-00533.</w:t>
      </w:r>
    </w:p>
    <w:p w14:paraId="74CF03E7" w14:textId="72504893" w:rsidR="00734CD1" w:rsidRDefault="00734CD1" w:rsidP="003F53BE">
      <w:pPr>
        <w:pStyle w:val="BodyText"/>
      </w:pPr>
      <w:r w:rsidRPr="00734CD1">
        <w:t xml:space="preserve">Lurz P, Besler C, Schmitz T, Bekeredjian R, Nickenig G, Möllmann H, von Bardeleben Ralph S, Schmeisser A, Atmowihardjo I, Estevez-Loureiro R, Lubos E, Heitkemper M, Huang D, Lapp H, Donal E, Adamo M, Golino P, Melica B, Rudolph V, Corti R, Freixa X, Arzamendi D, Praz F, Castriota F, Veien K, Kowalski M, Rensing B, Schofer N, Zirlik A and Rottbauer W. 2023. Short-Term Outcomes of Tricuspid Edge-to-Edge Repair in Clinical Practice. JACC 82(4): 281-291. Available at: 10.1016/j.jacc.2023.05.008 </w:t>
      </w:r>
    </w:p>
    <w:p w14:paraId="29566E98" w14:textId="2829A538" w:rsidR="001C6C61" w:rsidRPr="001C6C61" w:rsidRDefault="001C6C61" w:rsidP="003F53BE">
      <w:pPr>
        <w:pStyle w:val="BodyText"/>
      </w:pPr>
      <w:r w:rsidRPr="001C6C61">
        <w:t>Matli K, Mahdi A, Zibara V, Costanian C and Ghanem G. 2022. Transcatheter tricuspid valve intervention techniques and procedural steps for the treatment of tricuspid regurgitation: a review of the literature. Open Heart 9(1). Available at: 10.1136/openhrt-2022-002030.</w:t>
      </w:r>
    </w:p>
    <w:p w14:paraId="277DDF1F" w14:textId="53CC0AA5" w:rsidR="005314D0" w:rsidRDefault="005314D0" w:rsidP="003F53BE">
      <w:pPr>
        <w:pStyle w:val="BodyText"/>
      </w:pPr>
      <w:r w:rsidRPr="005314D0">
        <w:t>MSAC Application 1799 PICO Set. Transcatheter tricuspid valve replacement in patients with severe, symptomatic tricuspid regurgitation despite optimal medical therapy. Available at: https://www.msac.gov.au/sites/default/files/2025-01/1799_pico_set_transcatheter.pdf.</w:t>
      </w:r>
    </w:p>
    <w:p w14:paraId="65294889" w14:textId="2FB70622" w:rsidR="005314D0" w:rsidRDefault="005314D0" w:rsidP="003F53BE">
      <w:pPr>
        <w:pStyle w:val="BodyText"/>
      </w:pPr>
      <w:r w:rsidRPr="005314D0">
        <w:t>MSAC Application 1799 Ratified PICO. Transcatheter tricuspid valve replacement in patients with severe, symptomatic tricuspid regurgitation despite optimal medical therapy. Available at: https://www.msac.gov.au/sites/default/files/2025-06/1799_final_pico_confirmation_redacted.pdf.</w:t>
      </w:r>
    </w:p>
    <w:p w14:paraId="136C94FE" w14:textId="24D5B147" w:rsidR="001C6C61" w:rsidRPr="001C6C61" w:rsidRDefault="001C6C61" w:rsidP="003F53BE">
      <w:pPr>
        <w:pStyle w:val="BodyText"/>
      </w:pPr>
      <w:r w:rsidRPr="001C6C61">
        <w:t>Mutlak D, Lessick J, Reisner SA, Aronson D, Dabbah S and Agmon Y. 2007. Echocardiography-based spectrum of severe tricuspid regurgitation: the frequency of apparently idiopathic tricuspid regurgitation. J Am Soc Echocardiogr 20(4): 405-8. Available at: 10.1016/j.echo.2006.09.013.</w:t>
      </w:r>
    </w:p>
    <w:p w14:paraId="5AB4A68F" w14:textId="29CF27B3" w:rsidR="001C6C61" w:rsidRPr="001C6C61" w:rsidRDefault="001C6C61" w:rsidP="003F53BE">
      <w:pPr>
        <w:pStyle w:val="BodyText"/>
      </w:pPr>
      <w:r w:rsidRPr="001C6C61">
        <w:t>Nath J, Foster E and Heidenreich PA. 2004. Impact of tricuspid regurgitation on long-term survival. J Am Coll Cardiol 43(3): 405-9. Available at: 10.1016/j.jacc.2003.09.036.</w:t>
      </w:r>
    </w:p>
    <w:p w14:paraId="39FC3D07" w14:textId="41E7B156" w:rsidR="00E863BF" w:rsidRDefault="00E863BF" w:rsidP="003F53BE">
      <w:pPr>
        <w:pStyle w:val="BodyText"/>
      </w:pPr>
      <w:r w:rsidRPr="00E863BF">
        <w:t>Nickenig G, Weber M, Lurz P, von Bardeleben RS, Sitges M, Sorajja P, Hausleiter J, Denti P, Trochu J-N, Näbauer M, Dahou A and Hahn RT. 2019. Transcatheter edge-to-edge repair for reduction of tricuspid regurgitation: 6-month outcomes of the TRILUMINATE single-arm study. The Lancet 394(10213): 2002-2011. Available at: 10.1016/S0140-6736(19)32600-5</w:t>
      </w:r>
    </w:p>
    <w:p w14:paraId="7FFFDBDC" w14:textId="033BA12D" w:rsidR="001C6C61" w:rsidRPr="001C6C61" w:rsidRDefault="001C6C61" w:rsidP="003F53BE">
      <w:pPr>
        <w:pStyle w:val="BodyText"/>
      </w:pPr>
      <w:r w:rsidRPr="001C6C61">
        <w:t>Offen S, Playford D, Strange G, Stewart S and Celermajer DS. 2022. Adverse Prognostic Impact of Even Mild or Moderate Tricuspid Regurgitation: Insights from the National Echocardiography Database of Australia. J Am Soc Echocardiogr 35(8): 810-817. Available at: 10.1016/j.echo.2022.04.003.</w:t>
      </w:r>
    </w:p>
    <w:p w14:paraId="14AE44D4" w14:textId="4A1194FE" w:rsidR="001C6C61" w:rsidRPr="001C6C61" w:rsidRDefault="001C6C61" w:rsidP="003F53BE">
      <w:pPr>
        <w:pStyle w:val="BodyText"/>
      </w:pPr>
      <w:r w:rsidRPr="001C6C61">
        <w:t>Otto CM, Nishimura RA, Bonow RO, Carabello BA, Erwin JP, 3rd, Gentile F, Jneid H, Krieger EV, Mack M, McLeod C, O'Gara PT, Rigolin VH, Sundt TM, 3rd, Thompson A and Toly C. 2021. 2020 ACC/AHA Guideline for the Management of Patients With Valvular Heart Disease: Executive Summary: A Report of the American College of Cardiology/American Heart Association Joint Committee on Clinical Practice Guidelines. Circulation 143(5): e35-e71. Available at: 10.1161/cir.0000000000000932.</w:t>
      </w:r>
    </w:p>
    <w:p w14:paraId="33FC5C82" w14:textId="22891D4E" w:rsidR="001C6C61" w:rsidRPr="001C6C61" w:rsidRDefault="001C6C61" w:rsidP="003F53BE">
      <w:pPr>
        <w:pStyle w:val="BodyText"/>
      </w:pPr>
      <w:r w:rsidRPr="001C6C61">
        <w:t>Park JH, Shin SH, Lee MJ, Lee MD, Shim HI, Yoon J, Oh S, Kim DH, Park SD, Kwon SW, Woo SI, Park KS and Kwan J. 2015. Clinical and Echocardiographic Factors Affecting Tricuspid Regurgitation Severity in the Patients with Lone Atrial Fibrillation. J Cardiovasc Ultrasound 23(3): 136-42. Available at: 10.4250/jcu.2015.23.3.136.</w:t>
      </w:r>
    </w:p>
    <w:p w14:paraId="4B87B391" w14:textId="678749CE" w:rsidR="00B503C8" w:rsidRDefault="00B503C8" w:rsidP="003F53BE">
      <w:pPr>
        <w:pStyle w:val="BodyText"/>
      </w:pPr>
      <w:r w:rsidRPr="00B503C8">
        <w:t>Patrascu AI, Binder D, Alashkar I, Schnabel P, Stähle W, Weinmann K, Schneider J, Conzelmann LO, Mehlhorn U and Ott I. 2022. Transcatheter Tricuspid Valve Repair in Prohibitive Risk Patients: Impact on Quality of Life and Major Organ Systems. Canadian Journal of Cardiology 38(12): 1921-1931. Available at: 10.1016/j.cjca.2022.09.006</w:t>
      </w:r>
    </w:p>
    <w:p w14:paraId="0690C575" w14:textId="0BDF27DC" w:rsidR="001C6C61" w:rsidRPr="001C6C61" w:rsidRDefault="001C6C61" w:rsidP="003F53BE">
      <w:pPr>
        <w:pStyle w:val="BodyText"/>
      </w:pPr>
      <w:r w:rsidRPr="001C6C61">
        <w:t>Prihadi EA, Delgado V, Leon MB, Enriquez-Sarano M, Topilsky Y and Bax JJ. 2019. Morphologic Types of Tricuspid Regurgitation: Characteristics and Prognostic Implications. JACC Cardiovasc Imaging 12(3): 491-499. Available at: 10.1016/j.jcmg.2018.09.027.</w:t>
      </w:r>
    </w:p>
    <w:p w14:paraId="47203B26" w14:textId="5AA1E9F9" w:rsidR="00A043E7" w:rsidRPr="001C6C61" w:rsidRDefault="001C6C61" w:rsidP="003F53BE">
      <w:pPr>
        <w:pStyle w:val="BodyText"/>
      </w:pPr>
      <w:r w:rsidRPr="001C6C61">
        <w:t>Scotti A, Sturla M, Granada JF, Kodali SK, Coisne A, Mangieri A, Godino C, Ho E, Goldberg Y, Chau M, Jorde UP, Garcia MJ, Maisano F, Bapat VN, Ailawadi G and Latib A. 2022. Outcomes of isolated tricuspid valve replacement: a systematic review and meta-analysis of 5,316 patients from 35 studies. EuroIntervention 18(10): 840-851. Available at: 10.4244/eij-d-22-00442.</w:t>
      </w:r>
    </w:p>
    <w:p w14:paraId="5B7DF0CF" w14:textId="19768760" w:rsidR="00A043E7" w:rsidRPr="001C6C61" w:rsidRDefault="001C6C61" w:rsidP="003F53BE">
      <w:pPr>
        <w:pStyle w:val="BodyText"/>
      </w:pPr>
      <w:r w:rsidRPr="001C6C61">
        <w:t>Sorajja P, Whisenant B, Hamid N, Naik H, Makkar R, Tadros P, Price MJ, Singh G, Fam N, Kar S, Schwartz JG, Mehta S, Bae R, Sekaran N, Warner T, Makar M, Zorn G, Spinner EM, Trusty PM, Benza R, Jorde U, McCarthy P, Thourani V, Tang GHL, Hahn RT and Adams DH. 2023. Transcatheter Repair for Patients with Tricuspid Regurgitation. N Engl J Med 388(20): 1833-1842. Available at: 10.1056/NEJMoa2300525.</w:t>
      </w:r>
    </w:p>
    <w:p w14:paraId="5F320CE5" w14:textId="114CAE76" w:rsidR="00A043E7" w:rsidRPr="001C6C61" w:rsidRDefault="001C6C61" w:rsidP="003F53BE">
      <w:pPr>
        <w:pStyle w:val="BodyText"/>
      </w:pPr>
      <w:r w:rsidRPr="001C6C61">
        <w:t>Topilsky Y, Khanna A, Le Tourneau T, Park S, Michelena H, Suri R, Mahoney DW and Enriquez-Sarano M. 2012. Clinical context and mechanism of functional tricuspid regurgitation in patients with and without pulmonary hypertension. Circ Cardiovasc Imaging 5(3): 314-23. Available at: 10.1161/circimaging.111.967919.</w:t>
      </w:r>
    </w:p>
    <w:p w14:paraId="23DC0B80" w14:textId="261B2C74" w:rsidR="00A043E7" w:rsidRPr="001C6C61" w:rsidRDefault="001C6C61" w:rsidP="003F53BE">
      <w:pPr>
        <w:pStyle w:val="BodyText"/>
      </w:pPr>
      <w:r w:rsidRPr="001C6C61">
        <w:t>Topilsky Y, Nkomo VT, Vatury O, Michelena HI, Letourneau T, Suri RM, Pislaru S, Park S, Mahoney DW, Biner S and Enriquez-Sarano M. 2014. Clinical outcome of isolated tricuspid regurgitation. JACC Cardiovasc Imaging 7(12): 1185-94. Available at: 10.1016/j.jcmg.2014.07.018.</w:t>
      </w:r>
    </w:p>
    <w:p w14:paraId="11A2829C" w14:textId="4401E776" w:rsidR="00A5363E" w:rsidRDefault="00A5363E" w:rsidP="003F53BE">
      <w:pPr>
        <w:pStyle w:val="BodyText"/>
      </w:pPr>
      <w:r w:rsidRPr="00A5363E">
        <w:t>TriClip™ G4 System Instructions for Use. 2025. EL2143121 Rev A. Available at: https://manuals.eifu.abbott/en/hcp/home.html.</w:t>
      </w:r>
    </w:p>
    <w:p w14:paraId="022A8755" w14:textId="0B31A677" w:rsidR="00A043E7" w:rsidRPr="001C6C61" w:rsidRDefault="001C6C61" w:rsidP="003F53BE">
      <w:pPr>
        <w:pStyle w:val="BodyText"/>
      </w:pPr>
      <w:r w:rsidRPr="001C6C61">
        <w:t>Vahanian A, Beyersdorf F, Praz F, Milojevic M, Baldus S, Bauersachs J, Capodanno D, Conradi L, De Bonis M, De Paulis R, Delgado V, Freemantle N, Gilard M, Haugaa KH, Jeppsson A, Jüni P, Pierard L, Prendergast BD, Sádaba JR, Tribouilloy C and Wojakowski W. 2022. 2021 ESC/EACTS Guidelines for the management of valvular heart disease. Eur Heart J 43(7): 561-632. Available at: 10.1093/eurheartj/ehab395.</w:t>
      </w:r>
    </w:p>
    <w:p w14:paraId="0C26C250" w14:textId="12D81A60" w:rsidR="00A043E7" w:rsidRPr="001C6C61" w:rsidRDefault="001C6C61" w:rsidP="003F53BE">
      <w:pPr>
        <w:pStyle w:val="BodyText"/>
      </w:pPr>
      <w:r w:rsidRPr="001C6C61">
        <w:t>Wang N, Fulcher J, Abeysuriya N, McGrady M, Wilcox I, Celermajer D and Lal S. 2019. Tricuspid regurgitation is associated with increased mortality independent of pulmonary pressures and right heart failure: a systematic review and meta-analysis. Eur Heart J 40(5): 476-484. Available at: 10.1093/eurheartj/ehy641.</w:t>
      </w:r>
    </w:p>
    <w:p w14:paraId="77E80B4F" w14:textId="775FD5A0" w:rsidR="00B3266F" w:rsidRPr="0030566C" w:rsidRDefault="001C6C61" w:rsidP="003F53BE">
      <w:pPr>
        <w:pStyle w:val="BodyText"/>
      </w:pPr>
      <w:r w:rsidRPr="001C6C61">
        <w:t>Zoghbi WA, Adams D, Bonow RO, Enriquez-Sarano M, Foster E, Grayburn PA, Hahn RT, Han Y, Hung J, Lang RM, Little SH, Shah DJ, Shernan S, Thavendiranathan P, Thomas JD and Weissman NJ. 2017. Recommendations for Noninvasive Evaluation of Native Valvular Regurgitation: A Report from the American Society of Echocardiography Developed in Collaboration with the Society for Cardiovascular Magnetic Resonance. J Am Soc Echocardiogr 30(4): 303-371. Available at: 10.1016/j.echo.2017.01.007.</w:t>
      </w:r>
    </w:p>
    <w:sectPr w:rsidR="00B3266F" w:rsidRPr="0030566C" w:rsidSect="00452657">
      <w:pgSz w:w="11906" w:h="16838"/>
      <w:pgMar w:top="1440" w:right="991" w:bottom="1135" w:left="1440" w:header="426" w:footer="2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BD240" w14:textId="77777777" w:rsidR="003007C5" w:rsidRDefault="003007C5" w:rsidP="00375FD9">
      <w:r>
        <w:separator/>
      </w:r>
    </w:p>
    <w:p w14:paraId="546DB8D7" w14:textId="77777777" w:rsidR="003007C5" w:rsidRDefault="003007C5" w:rsidP="00375FD9"/>
  </w:endnote>
  <w:endnote w:type="continuationSeparator" w:id="0">
    <w:p w14:paraId="40050436" w14:textId="77777777" w:rsidR="003007C5" w:rsidRDefault="003007C5" w:rsidP="00375FD9">
      <w:r>
        <w:continuationSeparator/>
      </w:r>
    </w:p>
    <w:p w14:paraId="1B7F74F8" w14:textId="77777777" w:rsidR="003007C5" w:rsidRDefault="003007C5" w:rsidP="00375F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utigerLTStd-Light">
    <w:altName w:val="Yu Gothic"/>
    <w:panose1 w:val="00000000000000000000"/>
    <w:charset w:val="80"/>
    <w:family w:val="swiss"/>
    <w:notTrueType/>
    <w:pitch w:val="default"/>
    <w:sig w:usb0="00000001" w:usb1="08070000" w:usb2="00000010" w:usb3="00000000" w:csb0="00020000" w:csb1="00000000"/>
  </w:font>
  <w:font w:name="TimesNewRoman">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64C0" w14:textId="54677CC5" w:rsidR="00B305B7" w:rsidRDefault="00A11CE8">
    <w:pPr>
      <w:pStyle w:val="Footer"/>
    </w:pPr>
    <w:r>
      <w:rPr>
        <w:noProof/>
      </w:rPr>
      <mc:AlternateContent>
        <mc:Choice Requires="wps">
          <w:drawing>
            <wp:anchor distT="0" distB="0" distL="0" distR="0" simplePos="0" relativeHeight="251662336" behindDoc="0" locked="0" layoutInCell="1" allowOverlap="1" wp14:anchorId="212A7F30" wp14:editId="73F1120E">
              <wp:simplePos x="635" y="635"/>
              <wp:positionH relativeFrom="page">
                <wp:align>center</wp:align>
              </wp:positionH>
              <wp:positionV relativeFrom="page">
                <wp:align>bottom</wp:align>
              </wp:positionV>
              <wp:extent cx="551815" cy="391160"/>
              <wp:effectExtent l="0" t="0" r="635" b="0"/>
              <wp:wrapNone/>
              <wp:docPr id="187051614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D554A3C" w14:textId="7C0DCFE3" w:rsidR="00A11CE8" w:rsidRPr="00A11CE8" w:rsidRDefault="00A11CE8" w:rsidP="00A11CE8">
                          <w:pPr>
                            <w:rPr>
                              <w:rFonts w:ascii="Calibri" w:eastAsia="Calibri" w:hAnsi="Calibri" w:cs="Calibri"/>
                              <w:noProof/>
                              <w:color w:val="FF0000"/>
                              <w:sz w:val="24"/>
                              <w:szCs w:val="24"/>
                            </w:rPr>
                          </w:pPr>
                          <w:r w:rsidRPr="00A11CE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2A7F30"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6D554A3C" w14:textId="7C0DCFE3" w:rsidR="00A11CE8" w:rsidRPr="00A11CE8" w:rsidRDefault="00A11CE8" w:rsidP="00A11CE8">
                    <w:pPr>
                      <w:rPr>
                        <w:rFonts w:ascii="Calibri" w:eastAsia="Calibri" w:hAnsi="Calibri" w:cs="Calibri"/>
                        <w:noProof/>
                        <w:color w:val="FF0000"/>
                        <w:sz w:val="24"/>
                        <w:szCs w:val="24"/>
                      </w:rPr>
                    </w:pPr>
                    <w:r w:rsidRPr="00A11CE8">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CCA6" w14:textId="77777777" w:rsidR="00A05C4C" w:rsidRDefault="00A05C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B4776" w14:textId="06F29411" w:rsidR="00B305B7" w:rsidRDefault="00A11CE8">
    <w:pPr>
      <w:pStyle w:val="Footer"/>
    </w:pPr>
    <w:r>
      <w:rPr>
        <w:noProof/>
      </w:rPr>
      <mc:AlternateContent>
        <mc:Choice Requires="wps">
          <w:drawing>
            <wp:anchor distT="0" distB="0" distL="0" distR="0" simplePos="0" relativeHeight="251661312" behindDoc="0" locked="0" layoutInCell="1" allowOverlap="1" wp14:anchorId="23271257" wp14:editId="6305ECD5">
              <wp:simplePos x="635" y="635"/>
              <wp:positionH relativeFrom="page">
                <wp:align>center</wp:align>
              </wp:positionH>
              <wp:positionV relativeFrom="page">
                <wp:align>bottom</wp:align>
              </wp:positionV>
              <wp:extent cx="551815" cy="391160"/>
              <wp:effectExtent l="0" t="0" r="635" b="0"/>
              <wp:wrapNone/>
              <wp:docPr id="100644706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DDD2D9A" w14:textId="092B5F5D" w:rsidR="00A11CE8" w:rsidRPr="00A11CE8" w:rsidRDefault="00A11CE8" w:rsidP="00A11CE8">
                          <w:pPr>
                            <w:rPr>
                              <w:rFonts w:ascii="Calibri" w:eastAsia="Calibri" w:hAnsi="Calibri" w:cs="Calibri"/>
                              <w:noProof/>
                              <w:color w:val="FF0000"/>
                              <w:sz w:val="24"/>
                              <w:szCs w:val="24"/>
                            </w:rPr>
                          </w:pPr>
                          <w:r w:rsidRPr="00A11CE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271257" id="_x0000_t202" coordsize="21600,21600" o:spt="202" path="m,l,21600r21600,l21600,xe">
              <v:stroke joinstyle="miter"/>
              <v:path gradientshapeok="t" o:connecttype="rect"/>
            </v:shapetype>
            <v:shape id="Text Box 4" o:spid="_x0000_s1029" type="#_x0000_t202" alt="OFFICIAL" style="position:absolute;margin-left:0;margin-top:0;width:43.45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5DDD2D9A" w14:textId="092B5F5D" w:rsidR="00A11CE8" w:rsidRPr="00A11CE8" w:rsidRDefault="00A11CE8" w:rsidP="00A11CE8">
                    <w:pPr>
                      <w:rPr>
                        <w:rFonts w:ascii="Calibri" w:eastAsia="Calibri" w:hAnsi="Calibri" w:cs="Calibri"/>
                        <w:noProof/>
                        <w:color w:val="FF0000"/>
                        <w:sz w:val="24"/>
                        <w:szCs w:val="24"/>
                      </w:rPr>
                    </w:pPr>
                    <w:r w:rsidRPr="00A11CE8">
                      <w:rPr>
                        <w:rFonts w:ascii="Calibri" w:eastAsia="Calibri" w:hAnsi="Calibri" w:cs="Calibri"/>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7584997"/>
      <w:docPartObj>
        <w:docPartGallery w:val="Page Numbers (Bottom of Page)"/>
        <w:docPartUnique/>
      </w:docPartObj>
    </w:sdtPr>
    <w:sdtEndPr/>
    <w:sdtContent>
      <w:p w14:paraId="1EA067B0" w14:textId="2FBC56B2" w:rsidR="00E500EB" w:rsidRDefault="00E500EB">
        <w:pPr>
          <w:pStyle w:val="Footer"/>
        </w:pPr>
        <w:r>
          <w:fldChar w:fldCharType="begin"/>
        </w:r>
        <w:r>
          <w:instrText>PAGE   \* MERGEFORMAT</w:instrText>
        </w:r>
        <w:r>
          <w:fldChar w:fldCharType="separate"/>
        </w:r>
        <w:r>
          <w:rPr>
            <w:lang w:val="en-GB"/>
          </w:rPr>
          <w:t>2</w:t>
        </w:r>
        <w:r>
          <w:fldChar w:fldCharType="end"/>
        </w:r>
      </w:p>
    </w:sdtContent>
  </w:sdt>
  <w:p w14:paraId="29A2F2A5" w14:textId="35BFEAD3" w:rsidR="00A11CE8" w:rsidRDefault="00A11CE8" w:rsidP="00375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4E5EC" w14:textId="77777777" w:rsidR="003007C5" w:rsidRDefault="003007C5" w:rsidP="00375FD9">
      <w:r>
        <w:separator/>
      </w:r>
    </w:p>
    <w:p w14:paraId="72056234" w14:textId="77777777" w:rsidR="003007C5" w:rsidRDefault="003007C5" w:rsidP="00375FD9"/>
  </w:footnote>
  <w:footnote w:type="continuationSeparator" w:id="0">
    <w:p w14:paraId="219406AA" w14:textId="77777777" w:rsidR="003007C5" w:rsidRDefault="003007C5" w:rsidP="00375FD9">
      <w:r>
        <w:continuationSeparator/>
      </w:r>
    </w:p>
    <w:p w14:paraId="46D05D1B" w14:textId="77777777" w:rsidR="003007C5" w:rsidRDefault="003007C5" w:rsidP="00375F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98EA" w14:textId="1FE66A45" w:rsidR="00B305B7" w:rsidRDefault="00A11CE8">
    <w:pPr>
      <w:pStyle w:val="Header"/>
    </w:pPr>
    <w:r>
      <w:rPr>
        <w:noProof/>
      </w:rPr>
      <mc:AlternateContent>
        <mc:Choice Requires="wps">
          <w:drawing>
            <wp:anchor distT="0" distB="0" distL="0" distR="0" simplePos="0" relativeHeight="251659264" behindDoc="0" locked="0" layoutInCell="1" allowOverlap="1" wp14:anchorId="6587A0EC" wp14:editId="2EFC2142">
              <wp:simplePos x="635" y="635"/>
              <wp:positionH relativeFrom="page">
                <wp:align>center</wp:align>
              </wp:positionH>
              <wp:positionV relativeFrom="page">
                <wp:align>top</wp:align>
              </wp:positionV>
              <wp:extent cx="551815" cy="391160"/>
              <wp:effectExtent l="0" t="0" r="635" b="8890"/>
              <wp:wrapNone/>
              <wp:docPr id="55820743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345C978" w14:textId="774ECD8B" w:rsidR="00A11CE8" w:rsidRPr="00A11CE8" w:rsidRDefault="00A11CE8" w:rsidP="00A11CE8">
                          <w:pPr>
                            <w:rPr>
                              <w:rFonts w:ascii="Calibri" w:eastAsia="Calibri" w:hAnsi="Calibri" w:cs="Calibri"/>
                              <w:noProof/>
                              <w:color w:val="FF0000"/>
                              <w:sz w:val="24"/>
                              <w:szCs w:val="24"/>
                            </w:rPr>
                          </w:pPr>
                          <w:r w:rsidRPr="00A11CE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87A0EC"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1345C978" w14:textId="774ECD8B" w:rsidR="00A11CE8" w:rsidRPr="00A11CE8" w:rsidRDefault="00A11CE8" w:rsidP="00A11CE8">
                    <w:pPr>
                      <w:rPr>
                        <w:rFonts w:ascii="Calibri" w:eastAsia="Calibri" w:hAnsi="Calibri" w:cs="Calibri"/>
                        <w:noProof/>
                        <w:color w:val="FF0000"/>
                        <w:sz w:val="24"/>
                        <w:szCs w:val="24"/>
                      </w:rPr>
                    </w:pPr>
                    <w:r w:rsidRPr="00A11CE8">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6CFB3" w14:textId="77777777" w:rsidR="00A05C4C" w:rsidRDefault="00A05C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5E000" w14:textId="406D4543" w:rsidR="00B305B7" w:rsidRDefault="00A11CE8">
    <w:pPr>
      <w:pStyle w:val="Header"/>
    </w:pPr>
    <w:r>
      <w:rPr>
        <w:noProof/>
      </w:rPr>
      <mc:AlternateContent>
        <mc:Choice Requires="wps">
          <w:drawing>
            <wp:anchor distT="0" distB="0" distL="0" distR="0" simplePos="0" relativeHeight="251658240" behindDoc="0" locked="0" layoutInCell="1" allowOverlap="1" wp14:anchorId="3B06F481" wp14:editId="485B3B04">
              <wp:simplePos x="635" y="635"/>
              <wp:positionH relativeFrom="page">
                <wp:align>center</wp:align>
              </wp:positionH>
              <wp:positionV relativeFrom="page">
                <wp:align>top</wp:align>
              </wp:positionV>
              <wp:extent cx="551815" cy="391160"/>
              <wp:effectExtent l="0" t="0" r="635" b="8890"/>
              <wp:wrapNone/>
              <wp:docPr id="26319534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C1723AD" w14:textId="6EC068EE" w:rsidR="00A11CE8" w:rsidRPr="00A11CE8" w:rsidRDefault="00A11CE8" w:rsidP="00A11CE8">
                          <w:pPr>
                            <w:rPr>
                              <w:rFonts w:ascii="Calibri" w:eastAsia="Calibri" w:hAnsi="Calibri" w:cs="Calibri"/>
                              <w:noProof/>
                              <w:color w:val="FF0000"/>
                              <w:sz w:val="24"/>
                              <w:szCs w:val="24"/>
                            </w:rPr>
                          </w:pPr>
                          <w:r w:rsidRPr="00A11CE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06F481"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0C1723AD" w14:textId="6EC068EE" w:rsidR="00A11CE8" w:rsidRPr="00A11CE8" w:rsidRDefault="00A11CE8" w:rsidP="00A11CE8">
                    <w:pPr>
                      <w:rPr>
                        <w:rFonts w:ascii="Calibri" w:eastAsia="Calibri" w:hAnsi="Calibri" w:cs="Calibri"/>
                        <w:noProof/>
                        <w:color w:val="FF0000"/>
                        <w:sz w:val="24"/>
                        <w:szCs w:val="24"/>
                      </w:rPr>
                    </w:pPr>
                    <w:r w:rsidRPr="00A11CE8">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B84F1" w14:textId="22D79A74" w:rsidR="00A11CE8" w:rsidRPr="00BB4745" w:rsidRDefault="00A11CE8" w:rsidP="00BB47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0B9"/>
    <w:multiLevelType w:val="hybridMultilevel"/>
    <w:tmpl w:val="119CD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E810C0"/>
    <w:multiLevelType w:val="hybridMultilevel"/>
    <w:tmpl w:val="AC40A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992436"/>
    <w:multiLevelType w:val="hybridMultilevel"/>
    <w:tmpl w:val="A8545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E504C3"/>
    <w:multiLevelType w:val="hybridMultilevel"/>
    <w:tmpl w:val="9D6A9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37632"/>
    <w:multiLevelType w:val="hybridMultilevel"/>
    <w:tmpl w:val="44C6CCA0"/>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FEF09C8"/>
    <w:multiLevelType w:val="hybridMultilevel"/>
    <w:tmpl w:val="CB4464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07F0CBD"/>
    <w:multiLevelType w:val="hybridMultilevel"/>
    <w:tmpl w:val="AFF49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573350"/>
    <w:multiLevelType w:val="hybridMultilevel"/>
    <w:tmpl w:val="7DE2A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A86544"/>
    <w:multiLevelType w:val="hybridMultilevel"/>
    <w:tmpl w:val="8F343574"/>
    <w:lvl w:ilvl="0" w:tplc="140C74B4">
      <w:numFmt w:val="bullet"/>
      <w:lvlText w:val="-"/>
      <w:lvlJc w:val="left"/>
      <w:pPr>
        <w:ind w:left="720" w:hanging="360"/>
      </w:pPr>
      <w:rPr>
        <w:rFonts w:ascii="Segoe UI" w:eastAsiaTheme="minorEastAsia"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A87433"/>
    <w:multiLevelType w:val="hybridMultilevel"/>
    <w:tmpl w:val="721875D4"/>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265FCF"/>
    <w:multiLevelType w:val="hybridMultilevel"/>
    <w:tmpl w:val="C1C65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541EC1"/>
    <w:multiLevelType w:val="hybridMultilevel"/>
    <w:tmpl w:val="1658A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381C62"/>
    <w:multiLevelType w:val="hybridMultilevel"/>
    <w:tmpl w:val="1A4E9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C81724"/>
    <w:multiLevelType w:val="hybridMultilevel"/>
    <w:tmpl w:val="FE0E0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0D1F79"/>
    <w:multiLevelType w:val="hybridMultilevel"/>
    <w:tmpl w:val="23164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057DC1"/>
    <w:multiLevelType w:val="hybridMultilevel"/>
    <w:tmpl w:val="66EE1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9C0E3D"/>
    <w:multiLevelType w:val="hybridMultilevel"/>
    <w:tmpl w:val="F6281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535381"/>
    <w:multiLevelType w:val="hybridMultilevel"/>
    <w:tmpl w:val="79900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7A2691"/>
    <w:multiLevelType w:val="hybridMultilevel"/>
    <w:tmpl w:val="671E7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AC3B34"/>
    <w:multiLevelType w:val="hybridMultilevel"/>
    <w:tmpl w:val="E95C2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5F04B7"/>
    <w:multiLevelType w:val="hybridMultilevel"/>
    <w:tmpl w:val="33E64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67222F"/>
    <w:multiLevelType w:val="hybridMultilevel"/>
    <w:tmpl w:val="3E4A0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657F13"/>
    <w:multiLevelType w:val="hybridMultilevel"/>
    <w:tmpl w:val="883A7EA4"/>
    <w:lvl w:ilvl="0" w:tplc="CE145CCE">
      <w:start w:val="1"/>
      <w:numFmt w:val="decimal"/>
      <w:lvlText w:val="%1."/>
      <w:lvlJc w:val="left"/>
      <w:pPr>
        <w:ind w:left="1020" w:hanging="360"/>
      </w:pPr>
    </w:lvl>
    <w:lvl w:ilvl="1" w:tplc="C48A6A14">
      <w:start w:val="1"/>
      <w:numFmt w:val="decimal"/>
      <w:lvlText w:val="%2."/>
      <w:lvlJc w:val="left"/>
      <w:pPr>
        <w:ind w:left="1020" w:hanging="360"/>
      </w:pPr>
    </w:lvl>
    <w:lvl w:ilvl="2" w:tplc="0C76747E">
      <w:start w:val="1"/>
      <w:numFmt w:val="decimal"/>
      <w:lvlText w:val="%3."/>
      <w:lvlJc w:val="left"/>
      <w:pPr>
        <w:ind w:left="1020" w:hanging="360"/>
      </w:pPr>
    </w:lvl>
    <w:lvl w:ilvl="3" w:tplc="8B7CA10E">
      <w:start w:val="1"/>
      <w:numFmt w:val="decimal"/>
      <w:lvlText w:val="%4."/>
      <w:lvlJc w:val="left"/>
      <w:pPr>
        <w:ind w:left="1020" w:hanging="360"/>
      </w:pPr>
    </w:lvl>
    <w:lvl w:ilvl="4" w:tplc="FD52DEB0">
      <w:start w:val="1"/>
      <w:numFmt w:val="decimal"/>
      <w:lvlText w:val="%5."/>
      <w:lvlJc w:val="left"/>
      <w:pPr>
        <w:ind w:left="1020" w:hanging="360"/>
      </w:pPr>
    </w:lvl>
    <w:lvl w:ilvl="5" w:tplc="C66008EA">
      <w:start w:val="1"/>
      <w:numFmt w:val="decimal"/>
      <w:lvlText w:val="%6."/>
      <w:lvlJc w:val="left"/>
      <w:pPr>
        <w:ind w:left="1020" w:hanging="360"/>
      </w:pPr>
    </w:lvl>
    <w:lvl w:ilvl="6" w:tplc="67F497C4">
      <w:start w:val="1"/>
      <w:numFmt w:val="decimal"/>
      <w:lvlText w:val="%7."/>
      <w:lvlJc w:val="left"/>
      <w:pPr>
        <w:ind w:left="1020" w:hanging="360"/>
      </w:pPr>
    </w:lvl>
    <w:lvl w:ilvl="7" w:tplc="D7EE48F6">
      <w:start w:val="1"/>
      <w:numFmt w:val="decimal"/>
      <w:lvlText w:val="%8."/>
      <w:lvlJc w:val="left"/>
      <w:pPr>
        <w:ind w:left="1020" w:hanging="360"/>
      </w:pPr>
    </w:lvl>
    <w:lvl w:ilvl="8" w:tplc="59C2D6D0">
      <w:start w:val="1"/>
      <w:numFmt w:val="decimal"/>
      <w:lvlText w:val="%9."/>
      <w:lvlJc w:val="left"/>
      <w:pPr>
        <w:ind w:left="1020" w:hanging="360"/>
      </w:pPr>
    </w:lvl>
  </w:abstractNum>
  <w:abstractNum w:abstractNumId="23" w15:restartNumberingAfterBreak="0">
    <w:nsid w:val="57F80408"/>
    <w:multiLevelType w:val="multilevel"/>
    <w:tmpl w:val="B8B0A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CB3F10"/>
    <w:multiLevelType w:val="hybridMultilevel"/>
    <w:tmpl w:val="08587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0636F2"/>
    <w:multiLevelType w:val="hybridMultilevel"/>
    <w:tmpl w:val="36F60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535CF2"/>
    <w:multiLevelType w:val="hybridMultilevel"/>
    <w:tmpl w:val="E124B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99B2252"/>
    <w:multiLevelType w:val="hybridMultilevel"/>
    <w:tmpl w:val="9CA4D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9AD64AB"/>
    <w:multiLevelType w:val="hybridMultilevel"/>
    <w:tmpl w:val="78C23A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F9B61CA"/>
    <w:multiLevelType w:val="hybridMultilevel"/>
    <w:tmpl w:val="99A27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1E53D95"/>
    <w:multiLevelType w:val="hybridMultilevel"/>
    <w:tmpl w:val="6F4AEF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3473EDF"/>
    <w:multiLevelType w:val="hybridMultilevel"/>
    <w:tmpl w:val="7DD4B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46F13DF"/>
    <w:multiLevelType w:val="hybridMultilevel"/>
    <w:tmpl w:val="F77C0D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B594716"/>
    <w:multiLevelType w:val="hybridMultilevel"/>
    <w:tmpl w:val="C6343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49227764">
    <w:abstractNumId w:val="31"/>
  </w:num>
  <w:num w:numId="2" w16cid:durableId="1895848152">
    <w:abstractNumId w:val="17"/>
  </w:num>
  <w:num w:numId="3" w16cid:durableId="1185482895">
    <w:abstractNumId w:val="0"/>
  </w:num>
  <w:num w:numId="4" w16cid:durableId="444691258">
    <w:abstractNumId w:val="9"/>
  </w:num>
  <w:num w:numId="5" w16cid:durableId="246428068">
    <w:abstractNumId w:val="12"/>
  </w:num>
  <w:num w:numId="6" w16cid:durableId="1864588426">
    <w:abstractNumId w:val="28"/>
  </w:num>
  <w:num w:numId="7" w16cid:durableId="1452359372">
    <w:abstractNumId w:val="25"/>
  </w:num>
  <w:num w:numId="8" w16cid:durableId="892890338">
    <w:abstractNumId w:val="29"/>
  </w:num>
  <w:num w:numId="9" w16cid:durableId="592008451">
    <w:abstractNumId w:val="13"/>
  </w:num>
  <w:num w:numId="10" w16cid:durableId="1834372163">
    <w:abstractNumId w:val="33"/>
  </w:num>
  <w:num w:numId="11" w16cid:durableId="743379949">
    <w:abstractNumId w:val="15"/>
  </w:num>
  <w:num w:numId="12" w16cid:durableId="1161042735">
    <w:abstractNumId w:val="22"/>
  </w:num>
  <w:num w:numId="13" w16cid:durableId="818962508">
    <w:abstractNumId w:val="2"/>
  </w:num>
  <w:num w:numId="14" w16cid:durableId="2006470064">
    <w:abstractNumId w:val="4"/>
  </w:num>
  <w:num w:numId="15" w16cid:durableId="754208078">
    <w:abstractNumId w:val="24"/>
  </w:num>
  <w:num w:numId="16" w16cid:durableId="1130973609">
    <w:abstractNumId w:val="23"/>
  </w:num>
  <w:num w:numId="17" w16cid:durableId="2121483238">
    <w:abstractNumId w:val="3"/>
  </w:num>
  <w:num w:numId="18" w16cid:durableId="446002330">
    <w:abstractNumId w:val="7"/>
  </w:num>
  <w:num w:numId="19" w16cid:durableId="1062559611">
    <w:abstractNumId w:val="14"/>
  </w:num>
  <w:num w:numId="20" w16cid:durableId="2127044142">
    <w:abstractNumId w:val="5"/>
  </w:num>
  <w:num w:numId="21" w16cid:durableId="1850363026">
    <w:abstractNumId w:val="16"/>
  </w:num>
  <w:num w:numId="22" w16cid:durableId="1475835654">
    <w:abstractNumId w:val="27"/>
  </w:num>
  <w:num w:numId="23" w16cid:durableId="743533210">
    <w:abstractNumId w:val="32"/>
  </w:num>
  <w:num w:numId="24" w16cid:durableId="1837383034">
    <w:abstractNumId w:val="21"/>
  </w:num>
  <w:num w:numId="25" w16cid:durableId="225839362">
    <w:abstractNumId w:val="19"/>
  </w:num>
  <w:num w:numId="26" w16cid:durableId="88356027">
    <w:abstractNumId w:val="18"/>
  </w:num>
  <w:num w:numId="27" w16cid:durableId="1835604977">
    <w:abstractNumId w:val="6"/>
  </w:num>
  <w:num w:numId="28" w16cid:durableId="1485318620">
    <w:abstractNumId w:val="11"/>
  </w:num>
  <w:num w:numId="29" w16cid:durableId="488836537">
    <w:abstractNumId w:val="10"/>
  </w:num>
  <w:num w:numId="30" w16cid:durableId="517736176">
    <w:abstractNumId w:val="20"/>
  </w:num>
  <w:num w:numId="31" w16cid:durableId="442654339">
    <w:abstractNumId w:val="1"/>
  </w:num>
  <w:num w:numId="32" w16cid:durableId="569467603">
    <w:abstractNumId w:val="30"/>
  </w:num>
  <w:num w:numId="33" w16cid:durableId="621764640">
    <w:abstractNumId w:val="26"/>
  </w:num>
  <w:num w:numId="34" w16cid:durableId="17639118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B22"/>
    <w:rsid w:val="00000384"/>
    <w:rsid w:val="00000454"/>
    <w:rsid w:val="00000472"/>
    <w:rsid w:val="0000053D"/>
    <w:rsid w:val="00000C24"/>
    <w:rsid w:val="00001411"/>
    <w:rsid w:val="0000150D"/>
    <w:rsid w:val="000015B3"/>
    <w:rsid w:val="000018B3"/>
    <w:rsid w:val="0000243C"/>
    <w:rsid w:val="000024B0"/>
    <w:rsid w:val="000029AB"/>
    <w:rsid w:val="000033C4"/>
    <w:rsid w:val="00003620"/>
    <w:rsid w:val="000041D6"/>
    <w:rsid w:val="000047D9"/>
    <w:rsid w:val="00004D97"/>
    <w:rsid w:val="00005140"/>
    <w:rsid w:val="0000566F"/>
    <w:rsid w:val="00005949"/>
    <w:rsid w:val="00005C29"/>
    <w:rsid w:val="000068EB"/>
    <w:rsid w:val="000076B1"/>
    <w:rsid w:val="000079E1"/>
    <w:rsid w:val="000079EC"/>
    <w:rsid w:val="00007C94"/>
    <w:rsid w:val="00007DE2"/>
    <w:rsid w:val="000102B1"/>
    <w:rsid w:val="000108A7"/>
    <w:rsid w:val="000113DE"/>
    <w:rsid w:val="000115B2"/>
    <w:rsid w:val="000116CE"/>
    <w:rsid w:val="00011CD8"/>
    <w:rsid w:val="00013460"/>
    <w:rsid w:val="00013625"/>
    <w:rsid w:val="00013D23"/>
    <w:rsid w:val="00013D29"/>
    <w:rsid w:val="0001426C"/>
    <w:rsid w:val="000146AA"/>
    <w:rsid w:val="00014B39"/>
    <w:rsid w:val="00014D2C"/>
    <w:rsid w:val="0001588C"/>
    <w:rsid w:val="000158FD"/>
    <w:rsid w:val="00015AA7"/>
    <w:rsid w:val="00015D54"/>
    <w:rsid w:val="00015DB5"/>
    <w:rsid w:val="00015F80"/>
    <w:rsid w:val="00016341"/>
    <w:rsid w:val="00016841"/>
    <w:rsid w:val="0001690E"/>
    <w:rsid w:val="00017AA7"/>
    <w:rsid w:val="00020512"/>
    <w:rsid w:val="00020736"/>
    <w:rsid w:val="00020871"/>
    <w:rsid w:val="00020969"/>
    <w:rsid w:val="00021B9E"/>
    <w:rsid w:val="00022129"/>
    <w:rsid w:val="000221E4"/>
    <w:rsid w:val="0002281E"/>
    <w:rsid w:val="0002436E"/>
    <w:rsid w:val="000244FA"/>
    <w:rsid w:val="0002464D"/>
    <w:rsid w:val="00024A3C"/>
    <w:rsid w:val="00025969"/>
    <w:rsid w:val="00025DF0"/>
    <w:rsid w:val="000262FA"/>
    <w:rsid w:val="00026C0C"/>
    <w:rsid w:val="0002733F"/>
    <w:rsid w:val="000275BE"/>
    <w:rsid w:val="000276DC"/>
    <w:rsid w:val="000277A5"/>
    <w:rsid w:val="00027978"/>
    <w:rsid w:val="000305E6"/>
    <w:rsid w:val="00030F08"/>
    <w:rsid w:val="00030FA2"/>
    <w:rsid w:val="0003156F"/>
    <w:rsid w:val="00031B5D"/>
    <w:rsid w:val="00031FFB"/>
    <w:rsid w:val="0003230B"/>
    <w:rsid w:val="000324B5"/>
    <w:rsid w:val="00032792"/>
    <w:rsid w:val="0003290C"/>
    <w:rsid w:val="00032FD3"/>
    <w:rsid w:val="00033469"/>
    <w:rsid w:val="0003371A"/>
    <w:rsid w:val="000338F2"/>
    <w:rsid w:val="00033BCD"/>
    <w:rsid w:val="000348C8"/>
    <w:rsid w:val="00034CF5"/>
    <w:rsid w:val="00035384"/>
    <w:rsid w:val="00035A96"/>
    <w:rsid w:val="00035BA1"/>
    <w:rsid w:val="00035DA5"/>
    <w:rsid w:val="00037105"/>
    <w:rsid w:val="00037117"/>
    <w:rsid w:val="00037313"/>
    <w:rsid w:val="0003762B"/>
    <w:rsid w:val="000376F9"/>
    <w:rsid w:val="000406E2"/>
    <w:rsid w:val="00040C4B"/>
    <w:rsid w:val="00041008"/>
    <w:rsid w:val="0004274C"/>
    <w:rsid w:val="00042D73"/>
    <w:rsid w:val="00043006"/>
    <w:rsid w:val="00043971"/>
    <w:rsid w:val="00043F33"/>
    <w:rsid w:val="00044BB1"/>
    <w:rsid w:val="00044D4F"/>
    <w:rsid w:val="0004542B"/>
    <w:rsid w:val="00045FC0"/>
    <w:rsid w:val="000461CB"/>
    <w:rsid w:val="000465F3"/>
    <w:rsid w:val="00046B43"/>
    <w:rsid w:val="00046C70"/>
    <w:rsid w:val="00046CB9"/>
    <w:rsid w:val="00046FDE"/>
    <w:rsid w:val="000471AB"/>
    <w:rsid w:val="000475E4"/>
    <w:rsid w:val="0004764F"/>
    <w:rsid w:val="00050124"/>
    <w:rsid w:val="000501C5"/>
    <w:rsid w:val="00050824"/>
    <w:rsid w:val="00050E60"/>
    <w:rsid w:val="00051843"/>
    <w:rsid w:val="00051B54"/>
    <w:rsid w:val="00052CCA"/>
    <w:rsid w:val="00053274"/>
    <w:rsid w:val="000532DD"/>
    <w:rsid w:val="0005339D"/>
    <w:rsid w:val="00053C7B"/>
    <w:rsid w:val="00054ECF"/>
    <w:rsid w:val="00055024"/>
    <w:rsid w:val="00055219"/>
    <w:rsid w:val="00055525"/>
    <w:rsid w:val="00055712"/>
    <w:rsid w:val="00055976"/>
    <w:rsid w:val="00055E8C"/>
    <w:rsid w:val="000560B5"/>
    <w:rsid w:val="00056272"/>
    <w:rsid w:val="0005750E"/>
    <w:rsid w:val="000617AA"/>
    <w:rsid w:val="000618F9"/>
    <w:rsid w:val="00061C76"/>
    <w:rsid w:val="0006268D"/>
    <w:rsid w:val="00062789"/>
    <w:rsid w:val="000627EF"/>
    <w:rsid w:val="00062A27"/>
    <w:rsid w:val="00062F3C"/>
    <w:rsid w:val="000632DC"/>
    <w:rsid w:val="00063441"/>
    <w:rsid w:val="00063866"/>
    <w:rsid w:val="00063881"/>
    <w:rsid w:val="00063D92"/>
    <w:rsid w:val="00063EE4"/>
    <w:rsid w:val="0006403B"/>
    <w:rsid w:val="00065092"/>
    <w:rsid w:val="000650A8"/>
    <w:rsid w:val="000657F1"/>
    <w:rsid w:val="00065D5D"/>
    <w:rsid w:val="00065F76"/>
    <w:rsid w:val="000662DB"/>
    <w:rsid w:val="00066BDE"/>
    <w:rsid w:val="00066CBC"/>
    <w:rsid w:val="00067175"/>
    <w:rsid w:val="00067ED8"/>
    <w:rsid w:val="00067F42"/>
    <w:rsid w:val="0007064A"/>
    <w:rsid w:val="00070E95"/>
    <w:rsid w:val="000714DD"/>
    <w:rsid w:val="00071794"/>
    <w:rsid w:val="00071808"/>
    <w:rsid w:val="0007185C"/>
    <w:rsid w:val="00072258"/>
    <w:rsid w:val="00072318"/>
    <w:rsid w:val="00072586"/>
    <w:rsid w:val="00072E18"/>
    <w:rsid w:val="000733C1"/>
    <w:rsid w:val="00073CF9"/>
    <w:rsid w:val="0007440E"/>
    <w:rsid w:val="000747EC"/>
    <w:rsid w:val="00074989"/>
    <w:rsid w:val="000749BD"/>
    <w:rsid w:val="0007578B"/>
    <w:rsid w:val="00075F69"/>
    <w:rsid w:val="000765F2"/>
    <w:rsid w:val="00076AFB"/>
    <w:rsid w:val="00076E16"/>
    <w:rsid w:val="00076EEB"/>
    <w:rsid w:val="000770AC"/>
    <w:rsid w:val="000775BD"/>
    <w:rsid w:val="0007763D"/>
    <w:rsid w:val="0007786E"/>
    <w:rsid w:val="0008057A"/>
    <w:rsid w:val="0008096E"/>
    <w:rsid w:val="00081258"/>
    <w:rsid w:val="000813FA"/>
    <w:rsid w:val="00081641"/>
    <w:rsid w:val="00081E65"/>
    <w:rsid w:val="000824DB"/>
    <w:rsid w:val="00082826"/>
    <w:rsid w:val="00082913"/>
    <w:rsid w:val="0008291C"/>
    <w:rsid w:val="00082BCA"/>
    <w:rsid w:val="000830D1"/>
    <w:rsid w:val="0008376A"/>
    <w:rsid w:val="000837C7"/>
    <w:rsid w:val="000838AC"/>
    <w:rsid w:val="0008427C"/>
    <w:rsid w:val="000842A7"/>
    <w:rsid w:val="0008452B"/>
    <w:rsid w:val="00084D27"/>
    <w:rsid w:val="00084F84"/>
    <w:rsid w:val="000854CB"/>
    <w:rsid w:val="0008554C"/>
    <w:rsid w:val="000857B9"/>
    <w:rsid w:val="00085C2B"/>
    <w:rsid w:val="00085CB2"/>
    <w:rsid w:val="00086047"/>
    <w:rsid w:val="00086589"/>
    <w:rsid w:val="0008672A"/>
    <w:rsid w:val="0008689C"/>
    <w:rsid w:val="00086957"/>
    <w:rsid w:val="00086B14"/>
    <w:rsid w:val="0009030A"/>
    <w:rsid w:val="000906CF"/>
    <w:rsid w:val="0009097A"/>
    <w:rsid w:val="00090E15"/>
    <w:rsid w:val="00090EEC"/>
    <w:rsid w:val="0009191D"/>
    <w:rsid w:val="00091B34"/>
    <w:rsid w:val="00091C0A"/>
    <w:rsid w:val="000920A7"/>
    <w:rsid w:val="00092170"/>
    <w:rsid w:val="00092E06"/>
    <w:rsid w:val="0009313C"/>
    <w:rsid w:val="000933E8"/>
    <w:rsid w:val="000934AF"/>
    <w:rsid w:val="000935E1"/>
    <w:rsid w:val="000936E6"/>
    <w:rsid w:val="00093B31"/>
    <w:rsid w:val="00093C83"/>
    <w:rsid w:val="00094701"/>
    <w:rsid w:val="00094F80"/>
    <w:rsid w:val="00095072"/>
    <w:rsid w:val="00095344"/>
    <w:rsid w:val="00095BFF"/>
    <w:rsid w:val="00095ECB"/>
    <w:rsid w:val="00097097"/>
    <w:rsid w:val="00097F65"/>
    <w:rsid w:val="000A00B0"/>
    <w:rsid w:val="000A0154"/>
    <w:rsid w:val="000A06EF"/>
    <w:rsid w:val="000A0EBA"/>
    <w:rsid w:val="000A1B5D"/>
    <w:rsid w:val="000A1BA2"/>
    <w:rsid w:val="000A2090"/>
    <w:rsid w:val="000A209A"/>
    <w:rsid w:val="000A2272"/>
    <w:rsid w:val="000A3702"/>
    <w:rsid w:val="000A4951"/>
    <w:rsid w:val="000A4EA8"/>
    <w:rsid w:val="000A50D8"/>
    <w:rsid w:val="000A5AB9"/>
    <w:rsid w:val="000A60BF"/>
    <w:rsid w:val="000A61CB"/>
    <w:rsid w:val="000A7970"/>
    <w:rsid w:val="000A7C70"/>
    <w:rsid w:val="000A7F89"/>
    <w:rsid w:val="000B000C"/>
    <w:rsid w:val="000B04FD"/>
    <w:rsid w:val="000B0711"/>
    <w:rsid w:val="000B0D0E"/>
    <w:rsid w:val="000B12A2"/>
    <w:rsid w:val="000B15C6"/>
    <w:rsid w:val="000B17CD"/>
    <w:rsid w:val="000B2078"/>
    <w:rsid w:val="000B281C"/>
    <w:rsid w:val="000B33FA"/>
    <w:rsid w:val="000B3477"/>
    <w:rsid w:val="000B348B"/>
    <w:rsid w:val="000B34DD"/>
    <w:rsid w:val="000B3C7C"/>
    <w:rsid w:val="000B407A"/>
    <w:rsid w:val="000B42D2"/>
    <w:rsid w:val="000B43CD"/>
    <w:rsid w:val="000B4EB8"/>
    <w:rsid w:val="000B4F6D"/>
    <w:rsid w:val="000B504F"/>
    <w:rsid w:val="000B5379"/>
    <w:rsid w:val="000B5609"/>
    <w:rsid w:val="000B5673"/>
    <w:rsid w:val="000B5EB6"/>
    <w:rsid w:val="000B6395"/>
    <w:rsid w:val="000B6A6D"/>
    <w:rsid w:val="000B6E46"/>
    <w:rsid w:val="000B71D6"/>
    <w:rsid w:val="000B79DD"/>
    <w:rsid w:val="000B7FBF"/>
    <w:rsid w:val="000C038D"/>
    <w:rsid w:val="000C0897"/>
    <w:rsid w:val="000C0F46"/>
    <w:rsid w:val="000C10A0"/>
    <w:rsid w:val="000C182E"/>
    <w:rsid w:val="000C18A9"/>
    <w:rsid w:val="000C21B5"/>
    <w:rsid w:val="000C2672"/>
    <w:rsid w:val="000C2A92"/>
    <w:rsid w:val="000C2B31"/>
    <w:rsid w:val="000C2B50"/>
    <w:rsid w:val="000C2BB4"/>
    <w:rsid w:val="000C2D0D"/>
    <w:rsid w:val="000C2DB1"/>
    <w:rsid w:val="000C34E7"/>
    <w:rsid w:val="000C385F"/>
    <w:rsid w:val="000C3A20"/>
    <w:rsid w:val="000C3D42"/>
    <w:rsid w:val="000C3D58"/>
    <w:rsid w:val="000C4019"/>
    <w:rsid w:val="000C43E5"/>
    <w:rsid w:val="000C453F"/>
    <w:rsid w:val="000C468C"/>
    <w:rsid w:val="000C4995"/>
    <w:rsid w:val="000C4C47"/>
    <w:rsid w:val="000C4FEE"/>
    <w:rsid w:val="000C57D5"/>
    <w:rsid w:val="000C5CB9"/>
    <w:rsid w:val="000C6359"/>
    <w:rsid w:val="000C6D2B"/>
    <w:rsid w:val="000C7251"/>
    <w:rsid w:val="000D053C"/>
    <w:rsid w:val="000D085A"/>
    <w:rsid w:val="000D0E83"/>
    <w:rsid w:val="000D17F6"/>
    <w:rsid w:val="000D23BC"/>
    <w:rsid w:val="000D2498"/>
    <w:rsid w:val="000D24A0"/>
    <w:rsid w:val="000D26D8"/>
    <w:rsid w:val="000D2DA4"/>
    <w:rsid w:val="000D3070"/>
    <w:rsid w:val="000D3094"/>
    <w:rsid w:val="000D3BF9"/>
    <w:rsid w:val="000D419E"/>
    <w:rsid w:val="000D4965"/>
    <w:rsid w:val="000D4CDF"/>
    <w:rsid w:val="000D5A62"/>
    <w:rsid w:val="000D5AC6"/>
    <w:rsid w:val="000D5B69"/>
    <w:rsid w:val="000D5FD7"/>
    <w:rsid w:val="000D6156"/>
    <w:rsid w:val="000D6631"/>
    <w:rsid w:val="000D6937"/>
    <w:rsid w:val="000D6FF2"/>
    <w:rsid w:val="000D74A4"/>
    <w:rsid w:val="000D74DA"/>
    <w:rsid w:val="000D780D"/>
    <w:rsid w:val="000D7E02"/>
    <w:rsid w:val="000D7EE0"/>
    <w:rsid w:val="000E04A5"/>
    <w:rsid w:val="000E098B"/>
    <w:rsid w:val="000E09C3"/>
    <w:rsid w:val="000E0B28"/>
    <w:rsid w:val="000E1063"/>
    <w:rsid w:val="000E10F8"/>
    <w:rsid w:val="000E123A"/>
    <w:rsid w:val="000E1841"/>
    <w:rsid w:val="000E19C5"/>
    <w:rsid w:val="000E1BCA"/>
    <w:rsid w:val="000E2AA2"/>
    <w:rsid w:val="000E3935"/>
    <w:rsid w:val="000E3C0F"/>
    <w:rsid w:val="000E3D4A"/>
    <w:rsid w:val="000E3D66"/>
    <w:rsid w:val="000E452B"/>
    <w:rsid w:val="000E49E9"/>
    <w:rsid w:val="000E537D"/>
    <w:rsid w:val="000E545D"/>
    <w:rsid w:val="000E5A3E"/>
    <w:rsid w:val="000E7064"/>
    <w:rsid w:val="000E718D"/>
    <w:rsid w:val="000E75F6"/>
    <w:rsid w:val="000E7699"/>
    <w:rsid w:val="000F0055"/>
    <w:rsid w:val="000F00D2"/>
    <w:rsid w:val="000F04AA"/>
    <w:rsid w:val="000F06B7"/>
    <w:rsid w:val="000F0921"/>
    <w:rsid w:val="000F1175"/>
    <w:rsid w:val="000F12F0"/>
    <w:rsid w:val="000F1FEF"/>
    <w:rsid w:val="000F2AA8"/>
    <w:rsid w:val="000F3FE4"/>
    <w:rsid w:val="000F419A"/>
    <w:rsid w:val="000F41B4"/>
    <w:rsid w:val="000F49D5"/>
    <w:rsid w:val="000F51C1"/>
    <w:rsid w:val="000F6DEC"/>
    <w:rsid w:val="000F733E"/>
    <w:rsid w:val="000F7A5C"/>
    <w:rsid w:val="000F7EE7"/>
    <w:rsid w:val="001001D1"/>
    <w:rsid w:val="0010038A"/>
    <w:rsid w:val="00100456"/>
    <w:rsid w:val="001007C8"/>
    <w:rsid w:val="00100D04"/>
    <w:rsid w:val="0010132D"/>
    <w:rsid w:val="001016D3"/>
    <w:rsid w:val="00101C48"/>
    <w:rsid w:val="001023EB"/>
    <w:rsid w:val="00102488"/>
    <w:rsid w:val="00102849"/>
    <w:rsid w:val="00102857"/>
    <w:rsid w:val="00102958"/>
    <w:rsid w:val="00102E24"/>
    <w:rsid w:val="00102EAB"/>
    <w:rsid w:val="001032FD"/>
    <w:rsid w:val="001039E1"/>
    <w:rsid w:val="00103E4D"/>
    <w:rsid w:val="00103E68"/>
    <w:rsid w:val="001040B9"/>
    <w:rsid w:val="00104461"/>
    <w:rsid w:val="00104CA1"/>
    <w:rsid w:val="0010502B"/>
    <w:rsid w:val="00105C32"/>
    <w:rsid w:val="00106915"/>
    <w:rsid w:val="00106BA2"/>
    <w:rsid w:val="001074A3"/>
    <w:rsid w:val="001074E3"/>
    <w:rsid w:val="00107C0C"/>
    <w:rsid w:val="00110265"/>
    <w:rsid w:val="001103E9"/>
    <w:rsid w:val="00110711"/>
    <w:rsid w:val="00110EC3"/>
    <w:rsid w:val="001111A9"/>
    <w:rsid w:val="00111354"/>
    <w:rsid w:val="00111BB8"/>
    <w:rsid w:val="00111E64"/>
    <w:rsid w:val="001124CA"/>
    <w:rsid w:val="001124E5"/>
    <w:rsid w:val="00112B5C"/>
    <w:rsid w:val="0011328B"/>
    <w:rsid w:val="001134F6"/>
    <w:rsid w:val="0011380F"/>
    <w:rsid w:val="00113C5E"/>
    <w:rsid w:val="0011426E"/>
    <w:rsid w:val="001143CE"/>
    <w:rsid w:val="00114456"/>
    <w:rsid w:val="0011497D"/>
    <w:rsid w:val="00114EFB"/>
    <w:rsid w:val="00114F61"/>
    <w:rsid w:val="00114FA6"/>
    <w:rsid w:val="00116376"/>
    <w:rsid w:val="001167A3"/>
    <w:rsid w:val="00116C43"/>
    <w:rsid w:val="001171C5"/>
    <w:rsid w:val="00117650"/>
    <w:rsid w:val="001176B0"/>
    <w:rsid w:val="0011794C"/>
    <w:rsid w:val="00117FA3"/>
    <w:rsid w:val="00120208"/>
    <w:rsid w:val="0012020F"/>
    <w:rsid w:val="001202FF"/>
    <w:rsid w:val="0012037B"/>
    <w:rsid w:val="001204B1"/>
    <w:rsid w:val="00121594"/>
    <w:rsid w:val="0012188A"/>
    <w:rsid w:val="00121C75"/>
    <w:rsid w:val="001224D1"/>
    <w:rsid w:val="00123846"/>
    <w:rsid w:val="00123AD5"/>
    <w:rsid w:val="00123B30"/>
    <w:rsid w:val="00123D91"/>
    <w:rsid w:val="00124261"/>
    <w:rsid w:val="00124432"/>
    <w:rsid w:val="0012486A"/>
    <w:rsid w:val="00124F37"/>
    <w:rsid w:val="00124FC7"/>
    <w:rsid w:val="00125157"/>
    <w:rsid w:val="0012583F"/>
    <w:rsid w:val="00126077"/>
    <w:rsid w:val="00126128"/>
    <w:rsid w:val="00126543"/>
    <w:rsid w:val="00126626"/>
    <w:rsid w:val="0012696D"/>
    <w:rsid w:val="00126CA7"/>
    <w:rsid w:val="00126FD5"/>
    <w:rsid w:val="0013000D"/>
    <w:rsid w:val="00130082"/>
    <w:rsid w:val="00130C46"/>
    <w:rsid w:val="00131397"/>
    <w:rsid w:val="00131499"/>
    <w:rsid w:val="00132266"/>
    <w:rsid w:val="00132333"/>
    <w:rsid w:val="00132370"/>
    <w:rsid w:val="00132570"/>
    <w:rsid w:val="00132624"/>
    <w:rsid w:val="00133345"/>
    <w:rsid w:val="00133360"/>
    <w:rsid w:val="00133482"/>
    <w:rsid w:val="0013376F"/>
    <w:rsid w:val="00135627"/>
    <w:rsid w:val="00136C30"/>
    <w:rsid w:val="00136E52"/>
    <w:rsid w:val="00137380"/>
    <w:rsid w:val="00137E49"/>
    <w:rsid w:val="001400B1"/>
    <w:rsid w:val="00140103"/>
    <w:rsid w:val="00140157"/>
    <w:rsid w:val="00140A6A"/>
    <w:rsid w:val="00140BED"/>
    <w:rsid w:val="001414C5"/>
    <w:rsid w:val="00141AD3"/>
    <w:rsid w:val="00142D71"/>
    <w:rsid w:val="001432FB"/>
    <w:rsid w:val="00143CAB"/>
    <w:rsid w:val="00143D58"/>
    <w:rsid w:val="001441DC"/>
    <w:rsid w:val="00144A45"/>
    <w:rsid w:val="00144DE9"/>
    <w:rsid w:val="001452D0"/>
    <w:rsid w:val="00145B25"/>
    <w:rsid w:val="00145C98"/>
    <w:rsid w:val="001460AE"/>
    <w:rsid w:val="00146A43"/>
    <w:rsid w:val="00146BFA"/>
    <w:rsid w:val="00146E2B"/>
    <w:rsid w:val="00146FD6"/>
    <w:rsid w:val="00147C6A"/>
    <w:rsid w:val="00147CBD"/>
    <w:rsid w:val="00147CC7"/>
    <w:rsid w:val="00147D8C"/>
    <w:rsid w:val="001500AF"/>
    <w:rsid w:val="0015015F"/>
    <w:rsid w:val="0015017B"/>
    <w:rsid w:val="00150663"/>
    <w:rsid w:val="00150761"/>
    <w:rsid w:val="00150D09"/>
    <w:rsid w:val="001516AE"/>
    <w:rsid w:val="0015172D"/>
    <w:rsid w:val="00152253"/>
    <w:rsid w:val="00152B03"/>
    <w:rsid w:val="00152D4F"/>
    <w:rsid w:val="001532D7"/>
    <w:rsid w:val="001533C7"/>
    <w:rsid w:val="00154462"/>
    <w:rsid w:val="001547F0"/>
    <w:rsid w:val="00155A73"/>
    <w:rsid w:val="00155B20"/>
    <w:rsid w:val="00156888"/>
    <w:rsid w:val="001569AC"/>
    <w:rsid w:val="001574DB"/>
    <w:rsid w:val="0015769A"/>
    <w:rsid w:val="0015769B"/>
    <w:rsid w:val="00157A53"/>
    <w:rsid w:val="00157CA0"/>
    <w:rsid w:val="0016065A"/>
    <w:rsid w:val="00160839"/>
    <w:rsid w:val="00160E7F"/>
    <w:rsid w:val="001613F4"/>
    <w:rsid w:val="001618F6"/>
    <w:rsid w:val="00161996"/>
    <w:rsid w:val="00161F90"/>
    <w:rsid w:val="001620B3"/>
    <w:rsid w:val="001621D0"/>
    <w:rsid w:val="0016372F"/>
    <w:rsid w:val="0016391F"/>
    <w:rsid w:val="0016409F"/>
    <w:rsid w:val="00164338"/>
    <w:rsid w:val="001645BC"/>
    <w:rsid w:val="00164E79"/>
    <w:rsid w:val="001652FD"/>
    <w:rsid w:val="0016530D"/>
    <w:rsid w:val="0016678E"/>
    <w:rsid w:val="001673A2"/>
    <w:rsid w:val="001674E9"/>
    <w:rsid w:val="001677D4"/>
    <w:rsid w:val="00167814"/>
    <w:rsid w:val="00167B1D"/>
    <w:rsid w:val="00167CD6"/>
    <w:rsid w:val="0017041F"/>
    <w:rsid w:val="00170572"/>
    <w:rsid w:val="001715A4"/>
    <w:rsid w:val="00172199"/>
    <w:rsid w:val="001723C1"/>
    <w:rsid w:val="00172729"/>
    <w:rsid w:val="0017272E"/>
    <w:rsid w:val="0017299A"/>
    <w:rsid w:val="00173DC1"/>
    <w:rsid w:val="001740AD"/>
    <w:rsid w:val="00174D33"/>
    <w:rsid w:val="0017563D"/>
    <w:rsid w:val="00175673"/>
    <w:rsid w:val="0017603F"/>
    <w:rsid w:val="001761B4"/>
    <w:rsid w:val="00176312"/>
    <w:rsid w:val="0017633D"/>
    <w:rsid w:val="001763E1"/>
    <w:rsid w:val="001765BB"/>
    <w:rsid w:val="00176D99"/>
    <w:rsid w:val="00176F2D"/>
    <w:rsid w:val="00180847"/>
    <w:rsid w:val="00180F7E"/>
    <w:rsid w:val="0018125F"/>
    <w:rsid w:val="0018160F"/>
    <w:rsid w:val="001816E0"/>
    <w:rsid w:val="00182391"/>
    <w:rsid w:val="00182AEE"/>
    <w:rsid w:val="00182B8A"/>
    <w:rsid w:val="00183017"/>
    <w:rsid w:val="001836BA"/>
    <w:rsid w:val="001840C0"/>
    <w:rsid w:val="001841B0"/>
    <w:rsid w:val="00184985"/>
    <w:rsid w:val="00186410"/>
    <w:rsid w:val="00187228"/>
    <w:rsid w:val="001872F5"/>
    <w:rsid w:val="001873CD"/>
    <w:rsid w:val="00187404"/>
    <w:rsid w:val="001874A8"/>
    <w:rsid w:val="0018786C"/>
    <w:rsid w:val="00187CE2"/>
    <w:rsid w:val="0019063F"/>
    <w:rsid w:val="00190BF6"/>
    <w:rsid w:val="00190F4F"/>
    <w:rsid w:val="001911B3"/>
    <w:rsid w:val="00191762"/>
    <w:rsid w:val="001918CE"/>
    <w:rsid w:val="00191973"/>
    <w:rsid w:val="00191986"/>
    <w:rsid w:val="001922E3"/>
    <w:rsid w:val="0019246B"/>
    <w:rsid w:val="00192801"/>
    <w:rsid w:val="00192D2D"/>
    <w:rsid w:val="00193ACD"/>
    <w:rsid w:val="00194380"/>
    <w:rsid w:val="00194B08"/>
    <w:rsid w:val="001958D7"/>
    <w:rsid w:val="00195F13"/>
    <w:rsid w:val="001962B4"/>
    <w:rsid w:val="00196366"/>
    <w:rsid w:val="001966D0"/>
    <w:rsid w:val="001966EF"/>
    <w:rsid w:val="00196974"/>
    <w:rsid w:val="00196AD9"/>
    <w:rsid w:val="00197295"/>
    <w:rsid w:val="00197693"/>
    <w:rsid w:val="001A004E"/>
    <w:rsid w:val="001A0051"/>
    <w:rsid w:val="001A03E5"/>
    <w:rsid w:val="001A0501"/>
    <w:rsid w:val="001A0644"/>
    <w:rsid w:val="001A09F6"/>
    <w:rsid w:val="001A0B71"/>
    <w:rsid w:val="001A0ED6"/>
    <w:rsid w:val="001A16D6"/>
    <w:rsid w:val="001A1AF8"/>
    <w:rsid w:val="001A1E3C"/>
    <w:rsid w:val="001A298B"/>
    <w:rsid w:val="001A2AFF"/>
    <w:rsid w:val="001A2CAA"/>
    <w:rsid w:val="001A31F2"/>
    <w:rsid w:val="001A34A7"/>
    <w:rsid w:val="001A36BA"/>
    <w:rsid w:val="001A3E81"/>
    <w:rsid w:val="001A4154"/>
    <w:rsid w:val="001A444B"/>
    <w:rsid w:val="001A4617"/>
    <w:rsid w:val="001A4A22"/>
    <w:rsid w:val="001A4BA5"/>
    <w:rsid w:val="001A4CC9"/>
    <w:rsid w:val="001A4DB3"/>
    <w:rsid w:val="001A5029"/>
    <w:rsid w:val="001A525C"/>
    <w:rsid w:val="001A5D13"/>
    <w:rsid w:val="001A63AF"/>
    <w:rsid w:val="001A65F5"/>
    <w:rsid w:val="001A67AF"/>
    <w:rsid w:val="001A6CE6"/>
    <w:rsid w:val="001A6D38"/>
    <w:rsid w:val="001A71B3"/>
    <w:rsid w:val="001A75CB"/>
    <w:rsid w:val="001A7AE6"/>
    <w:rsid w:val="001A7D22"/>
    <w:rsid w:val="001B0017"/>
    <w:rsid w:val="001B06F1"/>
    <w:rsid w:val="001B1272"/>
    <w:rsid w:val="001B154B"/>
    <w:rsid w:val="001B1E0A"/>
    <w:rsid w:val="001B22EE"/>
    <w:rsid w:val="001B2C6B"/>
    <w:rsid w:val="001B353C"/>
    <w:rsid w:val="001B3A3D"/>
    <w:rsid w:val="001B3D57"/>
    <w:rsid w:val="001B3D60"/>
    <w:rsid w:val="001B433B"/>
    <w:rsid w:val="001B49AF"/>
    <w:rsid w:val="001B4B76"/>
    <w:rsid w:val="001B5114"/>
    <w:rsid w:val="001B52D4"/>
    <w:rsid w:val="001B52E6"/>
    <w:rsid w:val="001B539E"/>
    <w:rsid w:val="001B562C"/>
    <w:rsid w:val="001B57E4"/>
    <w:rsid w:val="001B5AF2"/>
    <w:rsid w:val="001B5EF7"/>
    <w:rsid w:val="001B6032"/>
    <w:rsid w:val="001B63D2"/>
    <w:rsid w:val="001B66C1"/>
    <w:rsid w:val="001B6A85"/>
    <w:rsid w:val="001B6AC4"/>
    <w:rsid w:val="001B7224"/>
    <w:rsid w:val="001B78C6"/>
    <w:rsid w:val="001C001C"/>
    <w:rsid w:val="001C0478"/>
    <w:rsid w:val="001C0F80"/>
    <w:rsid w:val="001C0FB1"/>
    <w:rsid w:val="001C1394"/>
    <w:rsid w:val="001C1A2D"/>
    <w:rsid w:val="001C1E0F"/>
    <w:rsid w:val="001C1F2E"/>
    <w:rsid w:val="001C22A1"/>
    <w:rsid w:val="001C2854"/>
    <w:rsid w:val="001C2A7E"/>
    <w:rsid w:val="001C2AE6"/>
    <w:rsid w:val="001C2B91"/>
    <w:rsid w:val="001C338E"/>
    <w:rsid w:val="001C3B19"/>
    <w:rsid w:val="001C4027"/>
    <w:rsid w:val="001C44D9"/>
    <w:rsid w:val="001C4AA6"/>
    <w:rsid w:val="001C4F60"/>
    <w:rsid w:val="001C5552"/>
    <w:rsid w:val="001C5DB5"/>
    <w:rsid w:val="001C5E8F"/>
    <w:rsid w:val="001C6079"/>
    <w:rsid w:val="001C681A"/>
    <w:rsid w:val="001C6BCD"/>
    <w:rsid w:val="001C6C61"/>
    <w:rsid w:val="001C6FFE"/>
    <w:rsid w:val="001C7610"/>
    <w:rsid w:val="001C7641"/>
    <w:rsid w:val="001D0072"/>
    <w:rsid w:val="001D03D4"/>
    <w:rsid w:val="001D0D5F"/>
    <w:rsid w:val="001D10E4"/>
    <w:rsid w:val="001D13E6"/>
    <w:rsid w:val="001D1761"/>
    <w:rsid w:val="001D1D4B"/>
    <w:rsid w:val="001D1D71"/>
    <w:rsid w:val="001D460A"/>
    <w:rsid w:val="001D4668"/>
    <w:rsid w:val="001D4F06"/>
    <w:rsid w:val="001D50C8"/>
    <w:rsid w:val="001D577F"/>
    <w:rsid w:val="001D5A45"/>
    <w:rsid w:val="001D5A64"/>
    <w:rsid w:val="001D5B00"/>
    <w:rsid w:val="001D5D33"/>
    <w:rsid w:val="001D5F17"/>
    <w:rsid w:val="001D6539"/>
    <w:rsid w:val="001D6645"/>
    <w:rsid w:val="001D684C"/>
    <w:rsid w:val="001D6F2A"/>
    <w:rsid w:val="001D705E"/>
    <w:rsid w:val="001D7400"/>
    <w:rsid w:val="001D753D"/>
    <w:rsid w:val="001D7815"/>
    <w:rsid w:val="001D7C22"/>
    <w:rsid w:val="001E00CC"/>
    <w:rsid w:val="001E050A"/>
    <w:rsid w:val="001E0752"/>
    <w:rsid w:val="001E10A2"/>
    <w:rsid w:val="001E255A"/>
    <w:rsid w:val="001E2607"/>
    <w:rsid w:val="001E2A1B"/>
    <w:rsid w:val="001E2ECA"/>
    <w:rsid w:val="001E2F2D"/>
    <w:rsid w:val="001E3A08"/>
    <w:rsid w:val="001E4090"/>
    <w:rsid w:val="001E40DF"/>
    <w:rsid w:val="001E4331"/>
    <w:rsid w:val="001E4430"/>
    <w:rsid w:val="001E49CA"/>
    <w:rsid w:val="001E5659"/>
    <w:rsid w:val="001E57A2"/>
    <w:rsid w:val="001E6246"/>
    <w:rsid w:val="001E68BB"/>
    <w:rsid w:val="001E6AE8"/>
    <w:rsid w:val="001E7373"/>
    <w:rsid w:val="001F0590"/>
    <w:rsid w:val="001F0832"/>
    <w:rsid w:val="001F0F1C"/>
    <w:rsid w:val="001F117A"/>
    <w:rsid w:val="001F2469"/>
    <w:rsid w:val="001F2699"/>
    <w:rsid w:val="001F2CEE"/>
    <w:rsid w:val="001F3205"/>
    <w:rsid w:val="001F398A"/>
    <w:rsid w:val="001F3D78"/>
    <w:rsid w:val="001F3E5B"/>
    <w:rsid w:val="001F4289"/>
    <w:rsid w:val="001F4684"/>
    <w:rsid w:val="001F4C35"/>
    <w:rsid w:val="001F5A22"/>
    <w:rsid w:val="001F5C36"/>
    <w:rsid w:val="001F5CB5"/>
    <w:rsid w:val="001F5DC3"/>
    <w:rsid w:val="001F6619"/>
    <w:rsid w:val="001F6ED8"/>
    <w:rsid w:val="001F71CA"/>
    <w:rsid w:val="001F7654"/>
    <w:rsid w:val="001F7D4D"/>
    <w:rsid w:val="001F7FA2"/>
    <w:rsid w:val="00200679"/>
    <w:rsid w:val="00200C77"/>
    <w:rsid w:val="00200E59"/>
    <w:rsid w:val="002012D7"/>
    <w:rsid w:val="00201551"/>
    <w:rsid w:val="00201D76"/>
    <w:rsid w:val="002025C5"/>
    <w:rsid w:val="002029C5"/>
    <w:rsid w:val="0020329E"/>
    <w:rsid w:val="0020351E"/>
    <w:rsid w:val="002038AB"/>
    <w:rsid w:val="00203B0D"/>
    <w:rsid w:val="00203EE0"/>
    <w:rsid w:val="00204C9E"/>
    <w:rsid w:val="0020541C"/>
    <w:rsid w:val="00205546"/>
    <w:rsid w:val="002058B7"/>
    <w:rsid w:val="00205AB3"/>
    <w:rsid w:val="00205EE7"/>
    <w:rsid w:val="00205F48"/>
    <w:rsid w:val="002062A9"/>
    <w:rsid w:val="0020649C"/>
    <w:rsid w:val="00206677"/>
    <w:rsid w:val="00206C34"/>
    <w:rsid w:val="00207054"/>
    <w:rsid w:val="00207319"/>
    <w:rsid w:val="00207748"/>
    <w:rsid w:val="002079DA"/>
    <w:rsid w:val="002109B5"/>
    <w:rsid w:val="002109FA"/>
    <w:rsid w:val="00210ABA"/>
    <w:rsid w:val="00210D74"/>
    <w:rsid w:val="00211A8F"/>
    <w:rsid w:val="00211C6F"/>
    <w:rsid w:val="002128A4"/>
    <w:rsid w:val="00212BCB"/>
    <w:rsid w:val="00212D6C"/>
    <w:rsid w:val="0021362E"/>
    <w:rsid w:val="0021441C"/>
    <w:rsid w:val="00214D32"/>
    <w:rsid w:val="00215FC1"/>
    <w:rsid w:val="00216609"/>
    <w:rsid w:val="00216B8C"/>
    <w:rsid w:val="002171FE"/>
    <w:rsid w:val="00217489"/>
    <w:rsid w:val="002176C2"/>
    <w:rsid w:val="002204B5"/>
    <w:rsid w:val="00220A6D"/>
    <w:rsid w:val="00220FD6"/>
    <w:rsid w:val="00221037"/>
    <w:rsid w:val="00221272"/>
    <w:rsid w:val="002215D8"/>
    <w:rsid w:val="00221D11"/>
    <w:rsid w:val="00221D58"/>
    <w:rsid w:val="00222292"/>
    <w:rsid w:val="00222AC6"/>
    <w:rsid w:val="00222E05"/>
    <w:rsid w:val="0022364C"/>
    <w:rsid w:val="00223B2A"/>
    <w:rsid w:val="00223C6B"/>
    <w:rsid w:val="00224731"/>
    <w:rsid w:val="00224B2B"/>
    <w:rsid w:val="00225FB0"/>
    <w:rsid w:val="00226DB8"/>
    <w:rsid w:val="00226F57"/>
    <w:rsid w:val="00227416"/>
    <w:rsid w:val="00227608"/>
    <w:rsid w:val="00227B0C"/>
    <w:rsid w:val="00230732"/>
    <w:rsid w:val="00230DF0"/>
    <w:rsid w:val="002310C4"/>
    <w:rsid w:val="002311E1"/>
    <w:rsid w:val="002315F8"/>
    <w:rsid w:val="00231704"/>
    <w:rsid w:val="00232D83"/>
    <w:rsid w:val="00233309"/>
    <w:rsid w:val="0023393D"/>
    <w:rsid w:val="00233A36"/>
    <w:rsid w:val="0023443E"/>
    <w:rsid w:val="00234441"/>
    <w:rsid w:val="00234A3C"/>
    <w:rsid w:val="00235044"/>
    <w:rsid w:val="0023511B"/>
    <w:rsid w:val="0023553E"/>
    <w:rsid w:val="002355C9"/>
    <w:rsid w:val="00235C64"/>
    <w:rsid w:val="00236033"/>
    <w:rsid w:val="0023659A"/>
    <w:rsid w:val="00236835"/>
    <w:rsid w:val="00236A05"/>
    <w:rsid w:val="00236EB5"/>
    <w:rsid w:val="00237BDB"/>
    <w:rsid w:val="0024028D"/>
    <w:rsid w:val="002402CF"/>
    <w:rsid w:val="0024170E"/>
    <w:rsid w:val="0024181A"/>
    <w:rsid w:val="00241AA9"/>
    <w:rsid w:val="00241BEE"/>
    <w:rsid w:val="00241F6C"/>
    <w:rsid w:val="00242AE2"/>
    <w:rsid w:val="00242BDF"/>
    <w:rsid w:val="00243624"/>
    <w:rsid w:val="00243ECD"/>
    <w:rsid w:val="00243FC9"/>
    <w:rsid w:val="00244566"/>
    <w:rsid w:val="00244B55"/>
    <w:rsid w:val="00244D0A"/>
    <w:rsid w:val="00244D8F"/>
    <w:rsid w:val="00244DEA"/>
    <w:rsid w:val="0024550F"/>
    <w:rsid w:val="0024595B"/>
    <w:rsid w:val="00245C70"/>
    <w:rsid w:val="00245CED"/>
    <w:rsid w:val="002463EE"/>
    <w:rsid w:val="0024648E"/>
    <w:rsid w:val="00246A5A"/>
    <w:rsid w:val="00246DA7"/>
    <w:rsid w:val="002477DD"/>
    <w:rsid w:val="00247A90"/>
    <w:rsid w:val="00247DAA"/>
    <w:rsid w:val="00250230"/>
    <w:rsid w:val="00250366"/>
    <w:rsid w:val="00250577"/>
    <w:rsid w:val="00250DA2"/>
    <w:rsid w:val="00250E0E"/>
    <w:rsid w:val="0025114B"/>
    <w:rsid w:val="002511B2"/>
    <w:rsid w:val="002516EE"/>
    <w:rsid w:val="002518B7"/>
    <w:rsid w:val="00252808"/>
    <w:rsid w:val="00252C2B"/>
    <w:rsid w:val="00252F3B"/>
    <w:rsid w:val="00252F5D"/>
    <w:rsid w:val="002539EF"/>
    <w:rsid w:val="002551F0"/>
    <w:rsid w:val="002557F5"/>
    <w:rsid w:val="00255915"/>
    <w:rsid w:val="00256124"/>
    <w:rsid w:val="00256303"/>
    <w:rsid w:val="002566F0"/>
    <w:rsid w:val="00256BE8"/>
    <w:rsid w:val="00256D46"/>
    <w:rsid w:val="00257EFF"/>
    <w:rsid w:val="00260605"/>
    <w:rsid w:val="00260704"/>
    <w:rsid w:val="0026092B"/>
    <w:rsid w:val="002609AA"/>
    <w:rsid w:val="00260BDB"/>
    <w:rsid w:val="00260CA4"/>
    <w:rsid w:val="00260FD8"/>
    <w:rsid w:val="002612FB"/>
    <w:rsid w:val="002618AE"/>
    <w:rsid w:val="002618B8"/>
    <w:rsid w:val="0026195B"/>
    <w:rsid w:val="00261D83"/>
    <w:rsid w:val="0026283E"/>
    <w:rsid w:val="00262BA2"/>
    <w:rsid w:val="00263060"/>
    <w:rsid w:val="002634D8"/>
    <w:rsid w:val="002635A9"/>
    <w:rsid w:val="00263E11"/>
    <w:rsid w:val="00264ADA"/>
    <w:rsid w:val="00264C27"/>
    <w:rsid w:val="002657BA"/>
    <w:rsid w:val="00265A19"/>
    <w:rsid w:val="00265DA5"/>
    <w:rsid w:val="00265DCB"/>
    <w:rsid w:val="00266643"/>
    <w:rsid w:val="00266BFC"/>
    <w:rsid w:val="00267F84"/>
    <w:rsid w:val="0027005B"/>
    <w:rsid w:val="0027015D"/>
    <w:rsid w:val="0027018E"/>
    <w:rsid w:val="00270378"/>
    <w:rsid w:val="00270557"/>
    <w:rsid w:val="00270E53"/>
    <w:rsid w:val="00271161"/>
    <w:rsid w:val="00271252"/>
    <w:rsid w:val="00271544"/>
    <w:rsid w:val="0027159E"/>
    <w:rsid w:val="00271D4D"/>
    <w:rsid w:val="00272DC5"/>
    <w:rsid w:val="00274330"/>
    <w:rsid w:val="00274711"/>
    <w:rsid w:val="002748F8"/>
    <w:rsid w:val="00275A73"/>
    <w:rsid w:val="00276329"/>
    <w:rsid w:val="002764C2"/>
    <w:rsid w:val="0027687B"/>
    <w:rsid w:val="002768A5"/>
    <w:rsid w:val="00276AB7"/>
    <w:rsid w:val="00276D49"/>
    <w:rsid w:val="00277034"/>
    <w:rsid w:val="00277558"/>
    <w:rsid w:val="00277CE0"/>
    <w:rsid w:val="00280050"/>
    <w:rsid w:val="00280D7D"/>
    <w:rsid w:val="002817A0"/>
    <w:rsid w:val="00281875"/>
    <w:rsid w:val="00281B78"/>
    <w:rsid w:val="00281E3B"/>
    <w:rsid w:val="002824CA"/>
    <w:rsid w:val="00282542"/>
    <w:rsid w:val="00282705"/>
    <w:rsid w:val="00282AA8"/>
    <w:rsid w:val="00282B19"/>
    <w:rsid w:val="00283359"/>
    <w:rsid w:val="0028346E"/>
    <w:rsid w:val="00283614"/>
    <w:rsid w:val="0028386E"/>
    <w:rsid w:val="00283911"/>
    <w:rsid w:val="00283932"/>
    <w:rsid w:val="00283BC8"/>
    <w:rsid w:val="00283C60"/>
    <w:rsid w:val="0028456A"/>
    <w:rsid w:val="00284604"/>
    <w:rsid w:val="0028465C"/>
    <w:rsid w:val="002849B0"/>
    <w:rsid w:val="0028558F"/>
    <w:rsid w:val="002859B0"/>
    <w:rsid w:val="00285EC1"/>
    <w:rsid w:val="002862F4"/>
    <w:rsid w:val="002867E8"/>
    <w:rsid w:val="00286E13"/>
    <w:rsid w:val="00286ED0"/>
    <w:rsid w:val="00287E27"/>
    <w:rsid w:val="00287E63"/>
    <w:rsid w:val="002901A6"/>
    <w:rsid w:val="0029086A"/>
    <w:rsid w:val="0029090C"/>
    <w:rsid w:val="00290AB7"/>
    <w:rsid w:val="00290CA1"/>
    <w:rsid w:val="00290F79"/>
    <w:rsid w:val="002911B6"/>
    <w:rsid w:val="002912F9"/>
    <w:rsid w:val="00291FEB"/>
    <w:rsid w:val="0029254A"/>
    <w:rsid w:val="00292CA0"/>
    <w:rsid w:val="00293500"/>
    <w:rsid w:val="0029385C"/>
    <w:rsid w:val="00293A65"/>
    <w:rsid w:val="00293A92"/>
    <w:rsid w:val="002942A6"/>
    <w:rsid w:val="002942C5"/>
    <w:rsid w:val="0029489D"/>
    <w:rsid w:val="00295121"/>
    <w:rsid w:val="002951F8"/>
    <w:rsid w:val="0029546A"/>
    <w:rsid w:val="002956C2"/>
    <w:rsid w:val="00295FCC"/>
    <w:rsid w:val="002962EB"/>
    <w:rsid w:val="002966FD"/>
    <w:rsid w:val="00296E7F"/>
    <w:rsid w:val="0029714C"/>
    <w:rsid w:val="002978BD"/>
    <w:rsid w:val="00297C61"/>
    <w:rsid w:val="00297CFE"/>
    <w:rsid w:val="00297D4B"/>
    <w:rsid w:val="002A029B"/>
    <w:rsid w:val="002A0423"/>
    <w:rsid w:val="002A06CD"/>
    <w:rsid w:val="002A09A1"/>
    <w:rsid w:val="002A0B34"/>
    <w:rsid w:val="002A0B6E"/>
    <w:rsid w:val="002A0FB3"/>
    <w:rsid w:val="002A16D0"/>
    <w:rsid w:val="002A2C3E"/>
    <w:rsid w:val="002A2C48"/>
    <w:rsid w:val="002A2C87"/>
    <w:rsid w:val="002A3389"/>
    <w:rsid w:val="002A37B7"/>
    <w:rsid w:val="002A3D91"/>
    <w:rsid w:val="002A4182"/>
    <w:rsid w:val="002A48E9"/>
    <w:rsid w:val="002A49EC"/>
    <w:rsid w:val="002A4AE5"/>
    <w:rsid w:val="002A4B4B"/>
    <w:rsid w:val="002A5C11"/>
    <w:rsid w:val="002A5D1B"/>
    <w:rsid w:val="002A62BA"/>
    <w:rsid w:val="002A64EC"/>
    <w:rsid w:val="002A6549"/>
    <w:rsid w:val="002A68EC"/>
    <w:rsid w:val="002A6D8B"/>
    <w:rsid w:val="002A6E33"/>
    <w:rsid w:val="002A71D4"/>
    <w:rsid w:val="002A72F8"/>
    <w:rsid w:val="002A7C2C"/>
    <w:rsid w:val="002B01E5"/>
    <w:rsid w:val="002B1047"/>
    <w:rsid w:val="002B1361"/>
    <w:rsid w:val="002B1883"/>
    <w:rsid w:val="002B195F"/>
    <w:rsid w:val="002B1F60"/>
    <w:rsid w:val="002B25AA"/>
    <w:rsid w:val="002B2658"/>
    <w:rsid w:val="002B2FA7"/>
    <w:rsid w:val="002B3355"/>
    <w:rsid w:val="002B374D"/>
    <w:rsid w:val="002B3C21"/>
    <w:rsid w:val="002B42F3"/>
    <w:rsid w:val="002B436B"/>
    <w:rsid w:val="002B44F7"/>
    <w:rsid w:val="002B51F2"/>
    <w:rsid w:val="002B6346"/>
    <w:rsid w:val="002B6551"/>
    <w:rsid w:val="002B7067"/>
    <w:rsid w:val="002B71AF"/>
    <w:rsid w:val="002B71B8"/>
    <w:rsid w:val="002B7339"/>
    <w:rsid w:val="002B7B2B"/>
    <w:rsid w:val="002B7C39"/>
    <w:rsid w:val="002B7C5C"/>
    <w:rsid w:val="002B7CA2"/>
    <w:rsid w:val="002C000D"/>
    <w:rsid w:val="002C01F5"/>
    <w:rsid w:val="002C0B63"/>
    <w:rsid w:val="002C142A"/>
    <w:rsid w:val="002C188A"/>
    <w:rsid w:val="002C19C8"/>
    <w:rsid w:val="002C25AE"/>
    <w:rsid w:val="002C2932"/>
    <w:rsid w:val="002C3472"/>
    <w:rsid w:val="002C3A28"/>
    <w:rsid w:val="002C3BDB"/>
    <w:rsid w:val="002C3D2E"/>
    <w:rsid w:val="002C4220"/>
    <w:rsid w:val="002C441C"/>
    <w:rsid w:val="002C44F8"/>
    <w:rsid w:val="002C453C"/>
    <w:rsid w:val="002C4DAB"/>
    <w:rsid w:val="002C555A"/>
    <w:rsid w:val="002C5AC4"/>
    <w:rsid w:val="002C60DD"/>
    <w:rsid w:val="002C6252"/>
    <w:rsid w:val="002C6FE8"/>
    <w:rsid w:val="002C703E"/>
    <w:rsid w:val="002C71AF"/>
    <w:rsid w:val="002C7794"/>
    <w:rsid w:val="002C7A3B"/>
    <w:rsid w:val="002D19B1"/>
    <w:rsid w:val="002D232C"/>
    <w:rsid w:val="002D289F"/>
    <w:rsid w:val="002D29A2"/>
    <w:rsid w:val="002D349A"/>
    <w:rsid w:val="002D3926"/>
    <w:rsid w:val="002D3C30"/>
    <w:rsid w:val="002D4173"/>
    <w:rsid w:val="002D61A5"/>
    <w:rsid w:val="002D7042"/>
    <w:rsid w:val="002D7216"/>
    <w:rsid w:val="002D72FB"/>
    <w:rsid w:val="002D74F8"/>
    <w:rsid w:val="002D7624"/>
    <w:rsid w:val="002D78F0"/>
    <w:rsid w:val="002D7DFE"/>
    <w:rsid w:val="002E001E"/>
    <w:rsid w:val="002E0A8F"/>
    <w:rsid w:val="002E107F"/>
    <w:rsid w:val="002E10EE"/>
    <w:rsid w:val="002E117C"/>
    <w:rsid w:val="002E18F8"/>
    <w:rsid w:val="002E218E"/>
    <w:rsid w:val="002E27FE"/>
    <w:rsid w:val="002E288F"/>
    <w:rsid w:val="002E2A52"/>
    <w:rsid w:val="002E2C22"/>
    <w:rsid w:val="002E2F8B"/>
    <w:rsid w:val="002E357C"/>
    <w:rsid w:val="002E43BD"/>
    <w:rsid w:val="002E47CE"/>
    <w:rsid w:val="002E498B"/>
    <w:rsid w:val="002E499E"/>
    <w:rsid w:val="002E4EA1"/>
    <w:rsid w:val="002E556D"/>
    <w:rsid w:val="002E5C5E"/>
    <w:rsid w:val="002E7542"/>
    <w:rsid w:val="002E76B3"/>
    <w:rsid w:val="002E77A2"/>
    <w:rsid w:val="002E7B61"/>
    <w:rsid w:val="002F0803"/>
    <w:rsid w:val="002F1A17"/>
    <w:rsid w:val="002F1C1C"/>
    <w:rsid w:val="002F2321"/>
    <w:rsid w:val="002F2637"/>
    <w:rsid w:val="002F33F1"/>
    <w:rsid w:val="002F3662"/>
    <w:rsid w:val="002F38B7"/>
    <w:rsid w:val="002F3C99"/>
    <w:rsid w:val="002F40C4"/>
    <w:rsid w:val="002F4253"/>
    <w:rsid w:val="002F436F"/>
    <w:rsid w:val="002F456B"/>
    <w:rsid w:val="002F4848"/>
    <w:rsid w:val="002F495A"/>
    <w:rsid w:val="002F567B"/>
    <w:rsid w:val="002F5E83"/>
    <w:rsid w:val="002F623B"/>
    <w:rsid w:val="002F64F5"/>
    <w:rsid w:val="002F671C"/>
    <w:rsid w:val="002F6B1C"/>
    <w:rsid w:val="002F6C9C"/>
    <w:rsid w:val="002F72A7"/>
    <w:rsid w:val="002F72C3"/>
    <w:rsid w:val="002F74C5"/>
    <w:rsid w:val="002F7FA7"/>
    <w:rsid w:val="002F7FB1"/>
    <w:rsid w:val="00300249"/>
    <w:rsid w:val="003004FB"/>
    <w:rsid w:val="003007C5"/>
    <w:rsid w:val="0030095F"/>
    <w:rsid w:val="00301019"/>
    <w:rsid w:val="003015CD"/>
    <w:rsid w:val="0030162A"/>
    <w:rsid w:val="00301666"/>
    <w:rsid w:val="003020AB"/>
    <w:rsid w:val="0030270C"/>
    <w:rsid w:val="003027C3"/>
    <w:rsid w:val="00303BE0"/>
    <w:rsid w:val="00303FA3"/>
    <w:rsid w:val="00304363"/>
    <w:rsid w:val="00304A1B"/>
    <w:rsid w:val="00304A36"/>
    <w:rsid w:val="00304DD3"/>
    <w:rsid w:val="0030528E"/>
    <w:rsid w:val="003052E8"/>
    <w:rsid w:val="00305364"/>
    <w:rsid w:val="003053BA"/>
    <w:rsid w:val="00305535"/>
    <w:rsid w:val="0030566C"/>
    <w:rsid w:val="003059D7"/>
    <w:rsid w:val="00305D44"/>
    <w:rsid w:val="00305D8A"/>
    <w:rsid w:val="00305E82"/>
    <w:rsid w:val="0030672B"/>
    <w:rsid w:val="003068C6"/>
    <w:rsid w:val="003069E7"/>
    <w:rsid w:val="00306FD9"/>
    <w:rsid w:val="00307356"/>
    <w:rsid w:val="00307BAC"/>
    <w:rsid w:val="00307ECD"/>
    <w:rsid w:val="00307F70"/>
    <w:rsid w:val="00310162"/>
    <w:rsid w:val="00310611"/>
    <w:rsid w:val="0031082F"/>
    <w:rsid w:val="00310F0D"/>
    <w:rsid w:val="003115FE"/>
    <w:rsid w:val="00312C66"/>
    <w:rsid w:val="00312EC9"/>
    <w:rsid w:val="00313C3C"/>
    <w:rsid w:val="003143F4"/>
    <w:rsid w:val="00314458"/>
    <w:rsid w:val="00314705"/>
    <w:rsid w:val="00314DD7"/>
    <w:rsid w:val="00315241"/>
    <w:rsid w:val="003152DF"/>
    <w:rsid w:val="00315B87"/>
    <w:rsid w:val="00315E2A"/>
    <w:rsid w:val="00315E7A"/>
    <w:rsid w:val="00315EC3"/>
    <w:rsid w:val="00316D34"/>
    <w:rsid w:val="00317462"/>
    <w:rsid w:val="00317841"/>
    <w:rsid w:val="00317E7E"/>
    <w:rsid w:val="00320584"/>
    <w:rsid w:val="003208B6"/>
    <w:rsid w:val="00320FF1"/>
    <w:rsid w:val="0032187D"/>
    <w:rsid w:val="00321C6A"/>
    <w:rsid w:val="00322A10"/>
    <w:rsid w:val="00322E8F"/>
    <w:rsid w:val="003237B9"/>
    <w:rsid w:val="00323904"/>
    <w:rsid w:val="00323C6C"/>
    <w:rsid w:val="00324A76"/>
    <w:rsid w:val="003253DE"/>
    <w:rsid w:val="0032597C"/>
    <w:rsid w:val="00325AD2"/>
    <w:rsid w:val="003260AB"/>
    <w:rsid w:val="003263DE"/>
    <w:rsid w:val="00326547"/>
    <w:rsid w:val="00326A89"/>
    <w:rsid w:val="00326BBC"/>
    <w:rsid w:val="003273BA"/>
    <w:rsid w:val="00327734"/>
    <w:rsid w:val="003277F6"/>
    <w:rsid w:val="003301F3"/>
    <w:rsid w:val="003303BF"/>
    <w:rsid w:val="00330524"/>
    <w:rsid w:val="003307EE"/>
    <w:rsid w:val="00330BD3"/>
    <w:rsid w:val="0033146C"/>
    <w:rsid w:val="00331C38"/>
    <w:rsid w:val="0033229C"/>
    <w:rsid w:val="003323FA"/>
    <w:rsid w:val="003325D1"/>
    <w:rsid w:val="00332671"/>
    <w:rsid w:val="00333342"/>
    <w:rsid w:val="003335F3"/>
    <w:rsid w:val="00333695"/>
    <w:rsid w:val="00333746"/>
    <w:rsid w:val="00333E2A"/>
    <w:rsid w:val="00334757"/>
    <w:rsid w:val="00334D1A"/>
    <w:rsid w:val="003355FF"/>
    <w:rsid w:val="0033613D"/>
    <w:rsid w:val="0033638E"/>
    <w:rsid w:val="00336A6C"/>
    <w:rsid w:val="00336D94"/>
    <w:rsid w:val="00337063"/>
    <w:rsid w:val="0033733C"/>
    <w:rsid w:val="00337421"/>
    <w:rsid w:val="00337C88"/>
    <w:rsid w:val="0034008C"/>
    <w:rsid w:val="003400B4"/>
    <w:rsid w:val="00340163"/>
    <w:rsid w:val="00340548"/>
    <w:rsid w:val="003406AB"/>
    <w:rsid w:val="003406AD"/>
    <w:rsid w:val="00341AFC"/>
    <w:rsid w:val="00341D88"/>
    <w:rsid w:val="0034257E"/>
    <w:rsid w:val="003426F4"/>
    <w:rsid w:val="00342CCD"/>
    <w:rsid w:val="00342D43"/>
    <w:rsid w:val="00342D61"/>
    <w:rsid w:val="003432A4"/>
    <w:rsid w:val="003434B0"/>
    <w:rsid w:val="0034383B"/>
    <w:rsid w:val="00343937"/>
    <w:rsid w:val="00344E19"/>
    <w:rsid w:val="0034573D"/>
    <w:rsid w:val="00345B28"/>
    <w:rsid w:val="00345FB5"/>
    <w:rsid w:val="003466D8"/>
    <w:rsid w:val="003469DB"/>
    <w:rsid w:val="00346FF6"/>
    <w:rsid w:val="003472ED"/>
    <w:rsid w:val="00347CF8"/>
    <w:rsid w:val="00350076"/>
    <w:rsid w:val="003502F3"/>
    <w:rsid w:val="00350A48"/>
    <w:rsid w:val="00350B08"/>
    <w:rsid w:val="00350DC4"/>
    <w:rsid w:val="003526B3"/>
    <w:rsid w:val="0035326B"/>
    <w:rsid w:val="00353EF7"/>
    <w:rsid w:val="003547C4"/>
    <w:rsid w:val="0035499A"/>
    <w:rsid w:val="003549D9"/>
    <w:rsid w:val="00354A8D"/>
    <w:rsid w:val="00354FF1"/>
    <w:rsid w:val="00355769"/>
    <w:rsid w:val="003559CB"/>
    <w:rsid w:val="003560B0"/>
    <w:rsid w:val="00356D04"/>
    <w:rsid w:val="00356E5B"/>
    <w:rsid w:val="00356F70"/>
    <w:rsid w:val="003572C8"/>
    <w:rsid w:val="00357D55"/>
    <w:rsid w:val="00360052"/>
    <w:rsid w:val="00360F42"/>
    <w:rsid w:val="00360F47"/>
    <w:rsid w:val="003614BD"/>
    <w:rsid w:val="00361765"/>
    <w:rsid w:val="003619AD"/>
    <w:rsid w:val="003619BF"/>
    <w:rsid w:val="00361A80"/>
    <w:rsid w:val="00361A90"/>
    <w:rsid w:val="00361CE2"/>
    <w:rsid w:val="00362017"/>
    <w:rsid w:val="003622B0"/>
    <w:rsid w:val="00362F9A"/>
    <w:rsid w:val="003639AE"/>
    <w:rsid w:val="00363A81"/>
    <w:rsid w:val="00363E0B"/>
    <w:rsid w:val="00363F3E"/>
    <w:rsid w:val="003644E4"/>
    <w:rsid w:val="00364572"/>
    <w:rsid w:val="00365340"/>
    <w:rsid w:val="003654A3"/>
    <w:rsid w:val="003656C2"/>
    <w:rsid w:val="0036587D"/>
    <w:rsid w:val="00366BD0"/>
    <w:rsid w:val="00366C54"/>
    <w:rsid w:val="00370E90"/>
    <w:rsid w:val="00370EAD"/>
    <w:rsid w:val="00371282"/>
    <w:rsid w:val="00371769"/>
    <w:rsid w:val="00371983"/>
    <w:rsid w:val="00371A47"/>
    <w:rsid w:val="00371E02"/>
    <w:rsid w:val="00371F41"/>
    <w:rsid w:val="00371F8E"/>
    <w:rsid w:val="00372DB1"/>
    <w:rsid w:val="00373072"/>
    <w:rsid w:val="00373089"/>
    <w:rsid w:val="00373D42"/>
    <w:rsid w:val="00374688"/>
    <w:rsid w:val="003746DD"/>
    <w:rsid w:val="00374AE0"/>
    <w:rsid w:val="003753E0"/>
    <w:rsid w:val="00375FD9"/>
    <w:rsid w:val="003766B4"/>
    <w:rsid w:val="003767CF"/>
    <w:rsid w:val="00376B3A"/>
    <w:rsid w:val="0038060C"/>
    <w:rsid w:val="003808AD"/>
    <w:rsid w:val="00380BB3"/>
    <w:rsid w:val="00380C41"/>
    <w:rsid w:val="003810E5"/>
    <w:rsid w:val="003813DB"/>
    <w:rsid w:val="00381C1A"/>
    <w:rsid w:val="00381DAF"/>
    <w:rsid w:val="0038200F"/>
    <w:rsid w:val="00382349"/>
    <w:rsid w:val="0038236F"/>
    <w:rsid w:val="003824DF"/>
    <w:rsid w:val="003835FC"/>
    <w:rsid w:val="0038436E"/>
    <w:rsid w:val="00384426"/>
    <w:rsid w:val="003845CB"/>
    <w:rsid w:val="00384872"/>
    <w:rsid w:val="00384BD0"/>
    <w:rsid w:val="00384BE5"/>
    <w:rsid w:val="0038508A"/>
    <w:rsid w:val="00386104"/>
    <w:rsid w:val="003862AC"/>
    <w:rsid w:val="0038693F"/>
    <w:rsid w:val="00386B92"/>
    <w:rsid w:val="003878B4"/>
    <w:rsid w:val="0039002E"/>
    <w:rsid w:val="00390364"/>
    <w:rsid w:val="00390A30"/>
    <w:rsid w:val="00390C76"/>
    <w:rsid w:val="00390DA0"/>
    <w:rsid w:val="0039102D"/>
    <w:rsid w:val="00391058"/>
    <w:rsid w:val="003911C5"/>
    <w:rsid w:val="003918D6"/>
    <w:rsid w:val="00391C4C"/>
    <w:rsid w:val="0039209F"/>
    <w:rsid w:val="003925C1"/>
    <w:rsid w:val="0039288D"/>
    <w:rsid w:val="00392F15"/>
    <w:rsid w:val="00393555"/>
    <w:rsid w:val="00393C45"/>
    <w:rsid w:val="00393D8B"/>
    <w:rsid w:val="003940A0"/>
    <w:rsid w:val="003951F5"/>
    <w:rsid w:val="0039532D"/>
    <w:rsid w:val="00395766"/>
    <w:rsid w:val="003964A2"/>
    <w:rsid w:val="00396B54"/>
    <w:rsid w:val="00397FAB"/>
    <w:rsid w:val="003A0487"/>
    <w:rsid w:val="003A0A17"/>
    <w:rsid w:val="003A0FEB"/>
    <w:rsid w:val="003A16D1"/>
    <w:rsid w:val="003A190F"/>
    <w:rsid w:val="003A1B63"/>
    <w:rsid w:val="003A1E4C"/>
    <w:rsid w:val="003A237E"/>
    <w:rsid w:val="003A2571"/>
    <w:rsid w:val="003A2D76"/>
    <w:rsid w:val="003A2EC7"/>
    <w:rsid w:val="003A3276"/>
    <w:rsid w:val="003A334F"/>
    <w:rsid w:val="003A3416"/>
    <w:rsid w:val="003A354E"/>
    <w:rsid w:val="003A3966"/>
    <w:rsid w:val="003A4518"/>
    <w:rsid w:val="003A494E"/>
    <w:rsid w:val="003A5648"/>
    <w:rsid w:val="003A5A97"/>
    <w:rsid w:val="003A5E7D"/>
    <w:rsid w:val="003A5FDA"/>
    <w:rsid w:val="003A6869"/>
    <w:rsid w:val="003A6D66"/>
    <w:rsid w:val="003A70E6"/>
    <w:rsid w:val="003A77F3"/>
    <w:rsid w:val="003A7AC0"/>
    <w:rsid w:val="003B0048"/>
    <w:rsid w:val="003B04E3"/>
    <w:rsid w:val="003B09C2"/>
    <w:rsid w:val="003B0A83"/>
    <w:rsid w:val="003B0CEB"/>
    <w:rsid w:val="003B0EC9"/>
    <w:rsid w:val="003B111C"/>
    <w:rsid w:val="003B1290"/>
    <w:rsid w:val="003B171F"/>
    <w:rsid w:val="003B1738"/>
    <w:rsid w:val="003B1D5D"/>
    <w:rsid w:val="003B1D78"/>
    <w:rsid w:val="003B1DCC"/>
    <w:rsid w:val="003B1E4F"/>
    <w:rsid w:val="003B2012"/>
    <w:rsid w:val="003B221C"/>
    <w:rsid w:val="003B22B5"/>
    <w:rsid w:val="003B2547"/>
    <w:rsid w:val="003B2913"/>
    <w:rsid w:val="003B29BA"/>
    <w:rsid w:val="003B2B9F"/>
    <w:rsid w:val="003B2C49"/>
    <w:rsid w:val="003B2E78"/>
    <w:rsid w:val="003B2F37"/>
    <w:rsid w:val="003B2F3D"/>
    <w:rsid w:val="003B2FF3"/>
    <w:rsid w:val="003B2FFA"/>
    <w:rsid w:val="003B30BD"/>
    <w:rsid w:val="003B3105"/>
    <w:rsid w:val="003B3D15"/>
    <w:rsid w:val="003B443F"/>
    <w:rsid w:val="003B46A8"/>
    <w:rsid w:val="003B4CA3"/>
    <w:rsid w:val="003B505C"/>
    <w:rsid w:val="003B5D58"/>
    <w:rsid w:val="003B5E30"/>
    <w:rsid w:val="003B61AB"/>
    <w:rsid w:val="003B69EA"/>
    <w:rsid w:val="003B6BAD"/>
    <w:rsid w:val="003B7948"/>
    <w:rsid w:val="003C0317"/>
    <w:rsid w:val="003C0852"/>
    <w:rsid w:val="003C0D5C"/>
    <w:rsid w:val="003C0EA8"/>
    <w:rsid w:val="003C11BA"/>
    <w:rsid w:val="003C1995"/>
    <w:rsid w:val="003C2049"/>
    <w:rsid w:val="003C2446"/>
    <w:rsid w:val="003C268A"/>
    <w:rsid w:val="003C2D79"/>
    <w:rsid w:val="003C2E26"/>
    <w:rsid w:val="003C30E5"/>
    <w:rsid w:val="003C310F"/>
    <w:rsid w:val="003C3719"/>
    <w:rsid w:val="003C48AA"/>
    <w:rsid w:val="003C48C7"/>
    <w:rsid w:val="003C4F18"/>
    <w:rsid w:val="003C4FE6"/>
    <w:rsid w:val="003C577E"/>
    <w:rsid w:val="003C6A04"/>
    <w:rsid w:val="003C6B99"/>
    <w:rsid w:val="003C7570"/>
    <w:rsid w:val="003C7790"/>
    <w:rsid w:val="003C79B9"/>
    <w:rsid w:val="003C7DA5"/>
    <w:rsid w:val="003C7F12"/>
    <w:rsid w:val="003D0426"/>
    <w:rsid w:val="003D1229"/>
    <w:rsid w:val="003D12F4"/>
    <w:rsid w:val="003D1848"/>
    <w:rsid w:val="003D1952"/>
    <w:rsid w:val="003D1B81"/>
    <w:rsid w:val="003D207A"/>
    <w:rsid w:val="003D2224"/>
    <w:rsid w:val="003D2630"/>
    <w:rsid w:val="003D2773"/>
    <w:rsid w:val="003D2BC0"/>
    <w:rsid w:val="003D30DC"/>
    <w:rsid w:val="003D351C"/>
    <w:rsid w:val="003D3AFA"/>
    <w:rsid w:val="003D3FBB"/>
    <w:rsid w:val="003D4B90"/>
    <w:rsid w:val="003D4DBB"/>
    <w:rsid w:val="003D513F"/>
    <w:rsid w:val="003D55D3"/>
    <w:rsid w:val="003D60A5"/>
    <w:rsid w:val="003D69F8"/>
    <w:rsid w:val="003D6BC9"/>
    <w:rsid w:val="003D7632"/>
    <w:rsid w:val="003D778E"/>
    <w:rsid w:val="003E0951"/>
    <w:rsid w:val="003E1849"/>
    <w:rsid w:val="003E192F"/>
    <w:rsid w:val="003E1D8A"/>
    <w:rsid w:val="003E1FB7"/>
    <w:rsid w:val="003E213D"/>
    <w:rsid w:val="003E29AD"/>
    <w:rsid w:val="003E2BD2"/>
    <w:rsid w:val="003E2EEA"/>
    <w:rsid w:val="003E2F7D"/>
    <w:rsid w:val="003E2FAD"/>
    <w:rsid w:val="003E3371"/>
    <w:rsid w:val="003E33F2"/>
    <w:rsid w:val="003E3883"/>
    <w:rsid w:val="003E394A"/>
    <w:rsid w:val="003E398F"/>
    <w:rsid w:val="003E3CF8"/>
    <w:rsid w:val="003E5A58"/>
    <w:rsid w:val="003E5D27"/>
    <w:rsid w:val="003E619C"/>
    <w:rsid w:val="003E6484"/>
    <w:rsid w:val="003E6B78"/>
    <w:rsid w:val="003F0082"/>
    <w:rsid w:val="003F01BD"/>
    <w:rsid w:val="003F061C"/>
    <w:rsid w:val="003F09E2"/>
    <w:rsid w:val="003F0BD5"/>
    <w:rsid w:val="003F0E49"/>
    <w:rsid w:val="003F0F09"/>
    <w:rsid w:val="003F17E3"/>
    <w:rsid w:val="003F1808"/>
    <w:rsid w:val="003F2400"/>
    <w:rsid w:val="003F249C"/>
    <w:rsid w:val="003F2FDE"/>
    <w:rsid w:val="003F2FEA"/>
    <w:rsid w:val="003F31CD"/>
    <w:rsid w:val="003F33A9"/>
    <w:rsid w:val="003F383D"/>
    <w:rsid w:val="003F39D1"/>
    <w:rsid w:val="003F39E9"/>
    <w:rsid w:val="003F3BAF"/>
    <w:rsid w:val="003F3FBC"/>
    <w:rsid w:val="003F4128"/>
    <w:rsid w:val="003F416E"/>
    <w:rsid w:val="003F4E0C"/>
    <w:rsid w:val="003F4F94"/>
    <w:rsid w:val="003F53BE"/>
    <w:rsid w:val="003F654C"/>
    <w:rsid w:val="003F6585"/>
    <w:rsid w:val="003F692F"/>
    <w:rsid w:val="003F69BC"/>
    <w:rsid w:val="003F6B10"/>
    <w:rsid w:val="003F72AE"/>
    <w:rsid w:val="003F7634"/>
    <w:rsid w:val="003F7658"/>
    <w:rsid w:val="003F7BD7"/>
    <w:rsid w:val="0040000D"/>
    <w:rsid w:val="004004E8"/>
    <w:rsid w:val="004006AC"/>
    <w:rsid w:val="00400782"/>
    <w:rsid w:val="004011CE"/>
    <w:rsid w:val="00401410"/>
    <w:rsid w:val="004019BC"/>
    <w:rsid w:val="00401B83"/>
    <w:rsid w:val="00401DB9"/>
    <w:rsid w:val="004026F1"/>
    <w:rsid w:val="00402B98"/>
    <w:rsid w:val="00402BEE"/>
    <w:rsid w:val="00402DF1"/>
    <w:rsid w:val="004047A3"/>
    <w:rsid w:val="0040489B"/>
    <w:rsid w:val="00404961"/>
    <w:rsid w:val="00404FAA"/>
    <w:rsid w:val="00405637"/>
    <w:rsid w:val="00405666"/>
    <w:rsid w:val="0040603F"/>
    <w:rsid w:val="00406517"/>
    <w:rsid w:val="00406994"/>
    <w:rsid w:val="00406DFD"/>
    <w:rsid w:val="00407356"/>
    <w:rsid w:val="0040771F"/>
    <w:rsid w:val="0040797C"/>
    <w:rsid w:val="00407BDD"/>
    <w:rsid w:val="00407CEA"/>
    <w:rsid w:val="00407D04"/>
    <w:rsid w:val="00407E35"/>
    <w:rsid w:val="00410527"/>
    <w:rsid w:val="004107A3"/>
    <w:rsid w:val="00410C0C"/>
    <w:rsid w:val="00410CE0"/>
    <w:rsid w:val="0041145F"/>
    <w:rsid w:val="00411A43"/>
    <w:rsid w:val="00411EEA"/>
    <w:rsid w:val="00412088"/>
    <w:rsid w:val="00412A0D"/>
    <w:rsid w:val="004132E2"/>
    <w:rsid w:val="004137E7"/>
    <w:rsid w:val="00413B58"/>
    <w:rsid w:val="00414007"/>
    <w:rsid w:val="00414137"/>
    <w:rsid w:val="00414839"/>
    <w:rsid w:val="00414CAB"/>
    <w:rsid w:val="004150B8"/>
    <w:rsid w:val="00415B06"/>
    <w:rsid w:val="00415EAF"/>
    <w:rsid w:val="004160A2"/>
    <w:rsid w:val="0041625B"/>
    <w:rsid w:val="00416F98"/>
    <w:rsid w:val="00417083"/>
    <w:rsid w:val="004170E1"/>
    <w:rsid w:val="00417199"/>
    <w:rsid w:val="004171A1"/>
    <w:rsid w:val="004209FC"/>
    <w:rsid w:val="00420B70"/>
    <w:rsid w:val="0042116E"/>
    <w:rsid w:val="0042180F"/>
    <w:rsid w:val="00421E32"/>
    <w:rsid w:val="00421FFF"/>
    <w:rsid w:val="004222AA"/>
    <w:rsid w:val="00422CEA"/>
    <w:rsid w:val="004246CA"/>
    <w:rsid w:val="00424D94"/>
    <w:rsid w:val="00424DC7"/>
    <w:rsid w:val="004264A6"/>
    <w:rsid w:val="00426D17"/>
    <w:rsid w:val="00426E66"/>
    <w:rsid w:val="0042732B"/>
    <w:rsid w:val="00427898"/>
    <w:rsid w:val="00430342"/>
    <w:rsid w:val="00430802"/>
    <w:rsid w:val="00430FF9"/>
    <w:rsid w:val="0043111D"/>
    <w:rsid w:val="00431790"/>
    <w:rsid w:val="004317DC"/>
    <w:rsid w:val="00431881"/>
    <w:rsid w:val="00432A2F"/>
    <w:rsid w:val="00432BF0"/>
    <w:rsid w:val="00432EB5"/>
    <w:rsid w:val="004330BD"/>
    <w:rsid w:val="004330D1"/>
    <w:rsid w:val="00433F23"/>
    <w:rsid w:val="004349CE"/>
    <w:rsid w:val="004349D1"/>
    <w:rsid w:val="00434E7E"/>
    <w:rsid w:val="00435317"/>
    <w:rsid w:val="00435472"/>
    <w:rsid w:val="0043550D"/>
    <w:rsid w:val="004355A0"/>
    <w:rsid w:val="00435678"/>
    <w:rsid w:val="0043567E"/>
    <w:rsid w:val="004363E7"/>
    <w:rsid w:val="00437116"/>
    <w:rsid w:val="00437233"/>
    <w:rsid w:val="004375D4"/>
    <w:rsid w:val="004376D7"/>
    <w:rsid w:val="00437859"/>
    <w:rsid w:val="00437C33"/>
    <w:rsid w:val="0044020E"/>
    <w:rsid w:val="00440C2E"/>
    <w:rsid w:val="0044156B"/>
    <w:rsid w:val="00441D28"/>
    <w:rsid w:val="00441E0B"/>
    <w:rsid w:val="00441E34"/>
    <w:rsid w:val="004424CC"/>
    <w:rsid w:val="0044256E"/>
    <w:rsid w:val="00442DFB"/>
    <w:rsid w:val="00443465"/>
    <w:rsid w:val="00443476"/>
    <w:rsid w:val="004437BA"/>
    <w:rsid w:val="00443A63"/>
    <w:rsid w:val="00443AF6"/>
    <w:rsid w:val="004441BA"/>
    <w:rsid w:val="00444647"/>
    <w:rsid w:val="0044468C"/>
    <w:rsid w:val="00444D36"/>
    <w:rsid w:val="004450FE"/>
    <w:rsid w:val="0044516F"/>
    <w:rsid w:val="00445464"/>
    <w:rsid w:val="004456FE"/>
    <w:rsid w:val="00445B1E"/>
    <w:rsid w:val="00445B44"/>
    <w:rsid w:val="00445FA2"/>
    <w:rsid w:val="00446D78"/>
    <w:rsid w:val="004475FA"/>
    <w:rsid w:val="0044794F"/>
    <w:rsid w:val="00450029"/>
    <w:rsid w:val="004503C6"/>
    <w:rsid w:val="004506BD"/>
    <w:rsid w:val="00451076"/>
    <w:rsid w:val="004512F5"/>
    <w:rsid w:val="00451B5C"/>
    <w:rsid w:val="00452571"/>
    <w:rsid w:val="00452657"/>
    <w:rsid w:val="00452735"/>
    <w:rsid w:val="00452972"/>
    <w:rsid w:val="00452A33"/>
    <w:rsid w:val="00453BBE"/>
    <w:rsid w:val="004541A0"/>
    <w:rsid w:val="004541BA"/>
    <w:rsid w:val="0045460D"/>
    <w:rsid w:val="004548E9"/>
    <w:rsid w:val="00455CD9"/>
    <w:rsid w:val="004561C3"/>
    <w:rsid w:val="0045655A"/>
    <w:rsid w:val="00456704"/>
    <w:rsid w:val="0045697F"/>
    <w:rsid w:val="00456CA4"/>
    <w:rsid w:val="00457220"/>
    <w:rsid w:val="0045785F"/>
    <w:rsid w:val="00457DEB"/>
    <w:rsid w:val="00460010"/>
    <w:rsid w:val="00460E84"/>
    <w:rsid w:val="004610AA"/>
    <w:rsid w:val="00461A16"/>
    <w:rsid w:val="00462677"/>
    <w:rsid w:val="00462885"/>
    <w:rsid w:val="00462C9E"/>
    <w:rsid w:val="00462F08"/>
    <w:rsid w:val="00463026"/>
    <w:rsid w:val="004630E8"/>
    <w:rsid w:val="00463863"/>
    <w:rsid w:val="00463B80"/>
    <w:rsid w:val="00463F41"/>
    <w:rsid w:val="00464224"/>
    <w:rsid w:val="004645A6"/>
    <w:rsid w:val="0046470D"/>
    <w:rsid w:val="00465284"/>
    <w:rsid w:val="00465468"/>
    <w:rsid w:val="004656E5"/>
    <w:rsid w:val="00465EE4"/>
    <w:rsid w:val="00466061"/>
    <w:rsid w:val="004664A3"/>
    <w:rsid w:val="00466660"/>
    <w:rsid w:val="0046670D"/>
    <w:rsid w:val="00467005"/>
    <w:rsid w:val="0046741C"/>
    <w:rsid w:val="0046746E"/>
    <w:rsid w:val="004677F0"/>
    <w:rsid w:val="00467CA5"/>
    <w:rsid w:val="00467D48"/>
    <w:rsid w:val="00467E67"/>
    <w:rsid w:val="004708C6"/>
    <w:rsid w:val="00470C05"/>
    <w:rsid w:val="004713EC"/>
    <w:rsid w:val="00471E34"/>
    <w:rsid w:val="00471E63"/>
    <w:rsid w:val="00472695"/>
    <w:rsid w:val="00472CB1"/>
    <w:rsid w:val="00472E4A"/>
    <w:rsid w:val="00472F80"/>
    <w:rsid w:val="004731F3"/>
    <w:rsid w:val="00473D6C"/>
    <w:rsid w:val="00474770"/>
    <w:rsid w:val="0047489E"/>
    <w:rsid w:val="00474AF9"/>
    <w:rsid w:val="004751AE"/>
    <w:rsid w:val="004758B4"/>
    <w:rsid w:val="00475B23"/>
    <w:rsid w:val="004768DA"/>
    <w:rsid w:val="00476E13"/>
    <w:rsid w:val="00477D29"/>
    <w:rsid w:val="00477FF7"/>
    <w:rsid w:val="0048047D"/>
    <w:rsid w:val="004805BB"/>
    <w:rsid w:val="004809D3"/>
    <w:rsid w:val="00481618"/>
    <w:rsid w:val="00481825"/>
    <w:rsid w:val="004819FA"/>
    <w:rsid w:val="00481AB9"/>
    <w:rsid w:val="00482120"/>
    <w:rsid w:val="00482A1F"/>
    <w:rsid w:val="00482D55"/>
    <w:rsid w:val="004833ED"/>
    <w:rsid w:val="00483A6A"/>
    <w:rsid w:val="00484346"/>
    <w:rsid w:val="00484BB1"/>
    <w:rsid w:val="004854C5"/>
    <w:rsid w:val="0048551D"/>
    <w:rsid w:val="0048586C"/>
    <w:rsid w:val="004868CE"/>
    <w:rsid w:val="00487B57"/>
    <w:rsid w:val="00487EE5"/>
    <w:rsid w:val="004902F7"/>
    <w:rsid w:val="0049080E"/>
    <w:rsid w:val="00490C74"/>
    <w:rsid w:val="0049202E"/>
    <w:rsid w:val="0049229D"/>
    <w:rsid w:val="004925AE"/>
    <w:rsid w:val="00492B2B"/>
    <w:rsid w:val="00492C3B"/>
    <w:rsid w:val="0049327C"/>
    <w:rsid w:val="00493D89"/>
    <w:rsid w:val="00494283"/>
    <w:rsid w:val="00494372"/>
    <w:rsid w:val="004948DA"/>
    <w:rsid w:val="00494BB5"/>
    <w:rsid w:val="00494BF6"/>
    <w:rsid w:val="00495521"/>
    <w:rsid w:val="004958D9"/>
    <w:rsid w:val="0049654A"/>
    <w:rsid w:val="0049744F"/>
    <w:rsid w:val="00497451"/>
    <w:rsid w:val="004974CF"/>
    <w:rsid w:val="00497510"/>
    <w:rsid w:val="004975E8"/>
    <w:rsid w:val="00497E1F"/>
    <w:rsid w:val="00497F76"/>
    <w:rsid w:val="004A0814"/>
    <w:rsid w:val="004A0D91"/>
    <w:rsid w:val="004A0EF9"/>
    <w:rsid w:val="004A1F5C"/>
    <w:rsid w:val="004A2437"/>
    <w:rsid w:val="004A26E5"/>
    <w:rsid w:val="004A2C76"/>
    <w:rsid w:val="004A2FB8"/>
    <w:rsid w:val="004A32D1"/>
    <w:rsid w:val="004A385C"/>
    <w:rsid w:val="004A3A1C"/>
    <w:rsid w:val="004A405F"/>
    <w:rsid w:val="004A4144"/>
    <w:rsid w:val="004A4338"/>
    <w:rsid w:val="004A45BE"/>
    <w:rsid w:val="004A4667"/>
    <w:rsid w:val="004A4796"/>
    <w:rsid w:val="004A486C"/>
    <w:rsid w:val="004A4AB6"/>
    <w:rsid w:val="004A5175"/>
    <w:rsid w:val="004A51D1"/>
    <w:rsid w:val="004A5809"/>
    <w:rsid w:val="004A5831"/>
    <w:rsid w:val="004A58B0"/>
    <w:rsid w:val="004A5A33"/>
    <w:rsid w:val="004A5AED"/>
    <w:rsid w:val="004A5C3C"/>
    <w:rsid w:val="004A5EFD"/>
    <w:rsid w:val="004A65FB"/>
    <w:rsid w:val="004A6D95"/>
    <w:rsid w:val="004A70EE"/>
    <w:rsid w:val="004A727E"/>
    <w:rsid w:val="004A7708"/>
    <w:rsid w:val="004A7790"/>
    <w:rsid w:val="004B09CA"/>
    <w:rsid w:val="004B13E1"/>
    <w:rsid w:val="004B1679"/>
    <w:rsid w:val="004B2B92"/>
    <w:rsid w:val="004B3356"/>
    <w:rsid w:val="004B3685"/>
    <w:rsid w:val="004B3739"/>
    <w:rsid w:val="004B39C3"/>
    <w:rsid w:val="004B3E11"/>
    <w:rsid w:val="004B40A9"/>
    <w:rsid w:val="004B5281"/>
    <w:rsid w:val="004B57C7"/>
    <w:rsid w:val="004B5E24"/>
    <w:rsid w:val="004B62BD"/>
    <w:rsid w:val="004B63A1"/>
    <w:rsid w:val="004B6C1B"/>
    <w:rsid w:val="004B6C76"/>
    <w:rsid w:val="004B73BC"/>
    <w:rsid w:val="004B7400"/>
    <w:rsid w:val="004B7660"/>
    <w:rsid w:val="004B7B88"/>
    <w:rsid w:val="004B7CCB"/>
    <w:rsid w:val="004C02B7"/>
    <w:rsid w:val="004C074B"/>
    <w:rsid w:val="004C0775"/>
    <w:rsid w:val="004C0964"/>
    <w:rsid w:val="004C0C7A"/>
    <w:rsid w:val="004C1AD0"/>
    <w:rsid w:val="004C22E1"/>
    <w:rsid w:val="004C259A"/>
    <w:rsid w:val="004C278D"/>
    <w:rsid w:val="004C2B07"/>
    <w:rsid w:val="004C2BEB"/>
    <w:rsid w:val="004C3505"/>
    <w:rsid w:val="004C3B38"/>
    <w:rsid w:val="004C4965"/>
    <w:rsid w:val="004C4C0F"/>
    <w:rsid w:val="004C5135"/>
    <w:rsid w:val="004C57F5"/>
    <w:rsid w:val="004C580D"/>
    <w:rsid w:val="004C6094"/>
    <w:rsid w:val="004C6B30"/>
    <w:rsid w:val="004C6C6A"/>
    <w:rsid w:val="004C6D47"/>
    <w:rsid w:val="004C6F4D"/>
    <w:rsid w:val="004C7474"/>
    <w:rsid w:val="004C7909"/>
    <w:rsid w:val="004D01C2"/>
    <w:rsid w:val="004D0342"/>
    <w:rsid w:val="004D0454"/>
    <w:rsid w:val="004D063B"/>
    <w:rsid w:val="004D0D62"/>
    <w:rsid w:val="004D184C"/>
    <w:rsid w:val="004D1EEC"/>
    <w:rsid w:val="004D21B5"/>
    <w:rsid w:val="004D23FA"/>
    <w:rsid w:val="004D267C"/>
    <w:rsid w:val="004D27C5"/>
    <w:rsid w:val="004D302D"/>
    <w:rsid w:val="004D3FCD"/>
    <w:rsid w:val="004D48D1"/>
    <w:rsid w:val="004D4AC5"/>
    <w:rsid w:val="004D4C40"/>
    <w:rsid w:val="004D4C64"/>
    <w:rsid w:val="004D4DE9"/>
    <w:rsid w:val="004D5287"/>
    <w:rsid w:val="004D53E4"/>
    <w:rsid w:val="004D55FA"/>
    <w:rsid w:val="004D56F7"/>
    <w:rsid w:val="004D60DB"/>
    <w:rsid w:val="004D6382"/>
    <w:rsid w:val="004D68EC"/>
    <w:rsid w:val="004D6955"/>
    <w:rsid w:val="004D7138"/>
    <w:rsid w:val="004D736C"/>
    <w:rsid w:val="004D7A7E"/>
    <w:rsid w:val="004D7D06"/>
    <w:rsid w:val="004E0444"/>
    <w:rsid w:val="004E076A"/>
    <w:rsid w:val="004E0992"/>
    <w:rsid w:val="004E0D6A"/>
    <w:rsid w:val="004E17C8"/>
    <w:rsid w:val="004E1BAA"/>
    <w:rsid w:val="004E2A76"/>
    <w:rsid w:val="004E3336"/>
    <w:rsid w:val="004E3427"/>
    <w:rsid w:val="004E41A0"/>
    <w:rsid w:val="004E4699"/>
    <w:rsid w:val="004E4C5F"/>
    <w:rsid w:val="004E4DFC"/>
    <w:rsid w:val="004E4F6C"/>
    <w:rsid w:val="004E66F8"/>
    <w:rsid w:val="004E69B9"/>
    <w:rsid w:val="004E7059"/>
    <w:rsid w:val="004E790C"/>
    <w:rsid w:val="004E7BCA"/>
    <w:rsid w:val="004F03BE"/>
    <w:rsid w:val="004F16F4"/>
    <w:rsid w:val="004F2431"/>
    <w:rsid w:val="004F2617"/>
    <w:rsid w:val="004F284B"/>
    <w:rsid w:val="004F2C62"/>
    <w:rsid w:val="004F30FA"/>
    <w:rsid w:val="004F34C1"/>
    <w:rsid w:val="004F34F9"/>
    <w:rsid w:val="004F3A52"/>
    <w:rsid w:val="004F3B0F"/>
    <w:rsid w:val="004F3C27"/>
    <w:rsid w:val="004F4683"/>
    <w:rsid w:val="004F47BE"/>
    <w:rsid w:val="004F4C36"/>
    <w:rsid w:val="004F4F2F"/>
    <w:rsid w:val="004F522A"/>
    <w:rsid w:val="004F5E04"/>
    <w:rsid w:val="004F6573"/>
    <w:rsid w:val="004F6B24"/>
    <w:rsid w:val="004F6DF0"/>
    <w:rsid w:val="004F7CCA"/>
    <w:rsid w:val="004F7E10"/>
    <w:rsid w:val="0050003E"/>
    <w:rsid w:val="0050054B"/>
    <w:rsid w:val="00500AE7"/>
    <w:rsid w:val="00500D95"/>
    <w:rsid w:val="00500EC5"/>
    <w:rsid w:val="005012F9"/>
    <w:rsid w:val="005017D7"/>
    <w:rsid w:val="00502563"/>
    <w:rsid w:val="00503C4C"/>
    <w:rsid w:val="00503F65"/>
    <w:rsid w:val="00505258"/>
    <w:rsid w:val="0050562D"/>
    <w:rsid w:val="00505DCC"/>
    <w:rsid w:val="005064B7"/>
    <w:rsid w:val="0050664D"/>
    <w:rsid w:val="00506D40"/>
    <w:rsid w:val="005075EC"/>
    <w:rsid w:val="005078D8"/>
    <w:rsid w:val="00507FD4"/>
    <w:rsid w:val="0051005B"/>
    <w:rsid w:val="0051141E"/>
    <w:rsid w:val="00511811"/>
    <w:rsid w:val="00511B5B"/>
    <w:rsid w:val="00511EB4"/>
    <w:rsid w:val="00512337"/>
    <w:rsid w:val="00512BBC"/>
    <w:rsid w:val="00513015"/>
    <w:rsid w:val="005132F2"/>
    <w:rsid w:val="00513A84"/>
    <w:rsid w:val="00513F1B"/>
    <w:rsid w:val="00514294"/>
    <w:rsid w:val="005149A3"/>
    <w:rsid w:val="00514B23"/>
    <w:rsid w:val="00514CA0"/>
    <w:rsid w:val="005153F7"/>
    <w:rsid w:val="0051547F"/>
    <w:rsid w:val="00515A32"/>
    <w:rsid w:val="00515B97"/>
    <w:rsid w:val="00515EF6"/>
    <w:rsid w:val="0051608C"/>
    <w:rsid w:val="005162E5"/>
    <w:rsid w:val="00517274"/>
    <w:rsid w:val="00517749"/>
    <w:rsid w:val="00517B9C"/>
    <w:rsid w:val="00517DB6"/>
    <w:rsid w:val="005203D3"/>
    <w:rsid w:val="00520E75"/>
    <w:rsid w:val="00521776"/>
    <w:rsid w:val="00521BF7"/>
    <w:rsid w:val="00521E3C"/>
    <w:rsid w:val="0052274F"/>
    <w:rsid w:val="00522974"/>
    <w:rsid w:val="00522D1F"/>
    <w:rsid w:val="00522E52"/>
    <w:rsid w:val="005239F8"/>
    <w:rsid w:val="00523C58"/>
    <w:rsid w:val="0052443C"/>
    <w:rsid w:val="005249EB"/>
    <w:rsid w:val="00524A0C"/>
    <w:rsid w:val="005254AA"/>
    <w:rsid w:val="00525CC2"/>
    <w:rsid w:val="00525DCB"/>
    <w:rsid w:val="00525E5E"/>
    <w:rsid w:val="00525FC3"/>
    <w:rsid w:val="0052689A"/>
    <w:rsid w:val="00527B81"/>
    <w:rsid w:val="00530070"/>
    <w:rsid w:val="00530388"/>
    <w:rsid w:val="00530A74"/>
    <w:rsid w:val="00530DAC"/>
    <w:rsid w:val="005314D0"/>
    <w:rsid w:val="00531A24"/>
    <w:rsid w:val="00531B9D"/>
    <w:rsid w:val="00531D46"/>
    <w:rsid w:val="00532C63"/>
    <w:rsid w:val="00532FD0"/>
    <w:rsid w:val="0053331C"/>
    <w:rsid w:val="005334F8"/>
    <w:rsid w:val="005339AB"/>
    <w:rsid w:val="00533B10"/>
    <w:rsid w:val="00533C64"/>
    <w:rsid w:val="00533F61"/>
    <w:rsid w:val="005342EA"/>
    <w:rsid w:val="005343FC"/>
    <w:rsid w:val="005351EA"/>
    <w:rsid w:val="00535ADE"/>
    <w:rsid w:val="00536484"/>
    <w:rsid w:val="00536615"/>
    <w:rsid w:val="00536EE2"/>
    <w:rsid w:val="00537391"/>
    <w:rsid w:val="00537409"/>
    <w:rsid w:val="00540102"/>
    <w:rsid w:val="005401E0"/>
    <w:rsid w:val="0054020D"/>
    <w:rsid w:val="00540271"/>
    <w:rsid w:val="0054031A"/>
    <w:rsid w:val="00540CFE"/>
    <w:rsid w:val="00541EC0"/>
    <w:rsid w:val="005420B7"/>
    <w:rsid w:val="005420C3"/>
    <w:rsid w:val="00542CC9"/>
    <w:rsid w:val="00542EEB"/>
    <w:rsid w:val="00543894"/>
    <w:rsid w:val="00543B76"/>
    <w:rsid w:val="00543D81"/>
    <w:rsid w:val="00543F8C"/>
    <w:rsid w:val="00544286"/>
    <w:rsid w:val="00544CC1"/>
    <w:rsid w:val="00544DF6"/>
    <w:rsid w:val="00544F4B"/>
    <w:rsid w:val="00544FA5"/>
    <w:rsid w:val="00545557"/>
    <w:rsid w:val="00545905"/>
    <w:rsid w:val="00545A4C"/>
    <w:rsid w:val="00545E00"/>
    <w:rsid w:val="005464DA"/>
    <w:rsid w:val="00546DF9"/>
    <w:rsid w:val="00547884"/>
    <w:rsid w:val="00550379"/>
    <w:rsid w:val="00550A30"/>
    <w:rsid w:val="00550BFC"/>
    <w:rsid w:val="00550CFC"/>
    <w:rsid w:val="00551143"/>
    <w:rsid w:val="005519FF"/>
    <w:rsid w:val="00551A5C"/>
    <w:rsid w:val="00552725"/>
    <w:rsid w:val="00552EBC"/>
    <w:rsid w:val="00552F7E"/>
    <w:rsid w:val="00553021"/>
    <w:rsid w:val="00554152"/>
    <w:rsid w:val="00554634"/>
    <w:rsid w:val="005546E7"/>
    <w:rsid w:val="0055476F"/>
    <w:rsid w:val="00555530"/>
    <w:rsid w:val="00555571"/>
    <w:rsid w:val="00555626"/>
    <w:rsid w:val="00556AFE"/>
    <w:rsid w:val="00556BDC"/>
    <w:rsid w:val="00556E95"/>
    <w:rsid w:val="005571CE"/>
    <w:rsid w:val="0055775A"/>
    <w:rsid w:val="005579D5"/>
    <w:rsid w:val="00557D97"/>
    <w:rsid w:val="00560354"/>
    <w:rsid w:val="005603F4"/>
    <w:rsid w:val="0056043E"/>
    <w:rsid w:val="00560B2A"/>
    <w:rsid w:val="00560BAD"/>
    <w:rsid w:val="00560CE0"/>
    <w:rsid w:val="005611AF"/>
    <w:rsid w:val="00561366"/>
    <w:rsid w:val="00561B88"/>
    <w:rsid w:val="00562276"/>
    <w:rsid w:val="005626AB"/>
    <w:rsid w:val="00562C25"/>
    <w:rsid w:val="005630B5"/>
    <w:rsid w:val="00563901"/>
    <w:rsid w:val="00563CCC"/>
    <w:rsid w:val="00563D24"/>
    <w:rsid w:val="00564191"/>
    <w:rsid w:val="005644B1"/>
    <w:rsid w:val="00564C68"/>
    <w:rsid w:val="00564D80"/>
    <w:rsid w:val="0056606F"/>
    <w:rsid w:val="00566BCF"/>
    <w:rsid w:val="00566CA9"/>
    <w:rsid w:val="00566CF9"/>
    <w:rsid w:val="005670D8"/>
    <w:rsid w:val="00567288"/>
    <w:rsid w:val="00567F21"/>
    <w:rsid w:val="005700B5"/>
    <w:rsid w:val="005700EA"/>
    <w:rsid w:val="005707F8"/>
    <w:rsid w:val="00570951"/>
    <w:rsid w:val="00571992"/>
    <w:rsid w:val="00572570"/>
    <w:rsid w:val="0057297E"/>
    <w:rsid w:val="00572CA8"/>
    <w:rsid w:val="00572DDD"/>
    <w:rsid w:val="00572EF6"/>
    <w:rsid w:val="00573236"/>
    <w:rsid w:val="005732E8"/>
    <w:rsid w:val="005735B3"/>
    <w:rsid w:val="00573699"/>
    <w:rsid w:val="00573F18"/>
    <w:rsid w:val="00573F93"/>
    <w:rsid w:val="00574D8F"/>
    <w:rsid w:val="00574F49"/>
    <w:rsid w:val="005754C8"/>
    <w:rsid w:val="00575B28"/>
    <w:rsid w:val="005765CA"/>
    <w:rsid w:val="00576760"/>
    <w:rsid w:val="0058017B"/>
    <w:rsid w:val="00580215"/>
    <w:rsid w:val="005802D1"/>
    <w:rsid w:val="005802F1"/>
    <w:rsid w:val="0058093B"/>
    <w:rsid w:val="00580A6E"/>
    <w:rsid w:val="00581322"/>
    <w:rsid w:val="00582042"/>
    <w:rsid w:val="005820A9"/>
    <w:rsid w:val="005823F5"/>
    <w:rsid w:val="00582A1E"/>
    <w:rsid w:val="00582DED"/>
    <w:rsid w:val="00583556"/>
    <w:rsid w:val="00583561"/>
    <w:rsid w:val="005837E9"/>
    <w:rsid w:val="005842D9"/>
    <w:rsid w:val="005845FE"/>
    <w:rsid w:val="0058465A"/>
    <w:rsid w:val="00585045"/>
    <w:rsid w:val="0058511B"/>
    <w:rsid w:val="0058639B"/>
    <w:rsid w:val="00586F73"/>
    <w:rsid w:val="00587E90"/>
    <w:rsid w:val="00590556"/>
    <w:rsid w:val="00590789"/>
    <w:rsid w:val="00590967"/>
    <w:rsid w:val="005910E5"/>
    <w:rsid w:val="00591147"/>
    <w:rsid w:val="005911E5"/>
    <w:rsid w:val="00591460"/>
    <w:rsid w:val="005918CB"/>
    <w:rsid w:val="005919C7"/>
    <w:rsid w:val="00592028"/>
    <w:rsid w:val="005922C3"/>
    <w:rsid w:val="005927C5"/>
    <w:rsid w:val="00592E89"/>
    <w:rsid w:val="005932D6"/>
    <w:rsid w:val="0059339B"/>
    <w:rsid w:val="005937C7"/>
    <w:rsid w:val="00593C0E"/>
    <w:rsid w:val="00593FA8"/>
    <w:rsid w:val="0059413E"/>
    <w:rsid w:val="005952F2"/>
    <w:rsid w:val="00595C9F"/>
    <w:rsid w:val="00595FED"/>
    <w:rsid w:val="005963DB"/>
    <w:rsid w:val="00596752"/>
    <w:rsid w:val="005979C4"/>
    <w:rsid w:val="005A040E"/>
    <w:rsid w:val="005A07BC"/>
    <w:rsid w:val="005A0898"/>
    <w:rsid w:val="005A1079"/>
    <w:rsid w:val="005A16C9"/>
    <w:rsid w:val="005A2FDB"/>
    <w:rsid w:val="005A3756"/>
    <w:rsid w:val="005A3890"/>
    <w:rsid w:val="005A390B"/>
    <w:rsid w:val="005A3DCB"/>
    <w:rsid w:val="005A4955"/>
    <w:rsid w:val="005A4E52"/>
    <w:rsid w:val="005A4FC8"/>
    <w:rsid w:val="005A51E2"/>
    <w:rsid w:val="005A55F1"/>
    <w:rsid w:val="005A576F"/>
    <w:rsid w:val="005A5C56"/>
    <w:rsid w:val="005A609D"/>
    <w:rsid w:val="005A6479"/>
    <w:rsid w:val="005A6948"/>
    <w:rsid w:val="005A6ADA"/>
    <w:rsid w:val="005A6FC2"/>
    <w:rsid w:val="005A7591"/>
    <w:rsid w:val="005A763D"/>
    <w:rsid w:val="005B022B"/>
    <w:rsid w:val="005B02E6"/>
    <w:rsid w:val="005B0DB5"/>
    <w:rsid w:val="005B1086"/>
    <w:rsid w:val="005B126F"/>
    <w:rsid w:val="005B1536"/>
    <w:rsid w:val="005B266E"/>
    <w:rsid w:val="005B293F"/>
    <w:rsid w:val="005B2A66"/>
    <w:rsid w:val="005B37F5"/>
    <w:rsid w:val="005B39F7"/>
    <w:rsid w:val="005B3AEF"/>
    <w:rsid w:val="005B3C3B"/>
    <w:rsid w:val="005B4030"/>
    <w:rsid w:val="005B408F"/>
    <w:rsid w:val="005B49DC"/>
    <w:rsid w:val="005B4C2F"/>
    <w:rsid w:val="005B4DE2"/>
    <w:rsid w:val="005B4EB9"/>
    <w:rsid w:val="005B53AE"/>
    <w:rsid w:val="005B58E8"/>
    <w:rsid w:val="005B5A58"/>
    <w:rsid w:val="005B604F"/>
    <w:rsid w:val="005B6146"/>
    <w:rsid w:val="005B6712"/>
    <w:rsid w:val="005B6977"/>
    <w:rsid w:val="005B6B80"/>
    <w:rsid w:val="005B6C9D"/>
    <w:rsid w:val="005B6D46"/>
    <w:rsid w:val="005B70F3"/>
    <w:rsid w:val="005B76D0"/>
    <w:rsid w:val="005B7774"/>
    <w:rsid w:val="005B78A0"/>
    <w:rsid w:val="005C00CF"/>
    <w:rsid w:val="005C02AD"/>
    <w:rsid w:val="005C0C11"/>
    <w:rsid w:val="005C0DB3"/>
    <w:rsid w:val="005C1653"/>
    <w:rsid w:val="005C1AB5"/>
    <w:rsid w:val="005C28BB"/>
    <w:rsid w:val="005C2F1D"/>
    <w:rsid w:val="005C321C"/>
    <w:rsid w:val="005C338B"/>
    <w:rsid w:val="005C3415"/>
    <w:rsid w:val="005C396E"/>
    <w:rsid w:val="005C3985"/>
    <w:rsid w:val="005C3A2D"/>
    <w:rsid w:val="005C3A85"/>
    <w:rsid w:val="005C3BB6"/>
    <w:rsid w:val="005C46F9"/>
    <w:rsid w:val="005C4DBF"/>
    <w:rsid w:val="005C55F6"/>
    <w:rsid w:val="005C5A41"/>
    <w:rsid w:val="005C5AF6"/>
    <w:rsid w:val="005C5EEC"/>
    <w:rsid w:val="005C61D4"/>
    <w:rsid w:val="005C6A34"/>
    <w:rsid w:val="005C6B48"/>
    <w:rsid w:val="005C6B70"/>
    <w:rsid w:val="005C6ED7"/>
    <w:rsid w:val="005C702E"/>
    <w:rsid w:val="005C728E"/>
    <w:rsid w:val="005C7678"/>
    <w:rsid w:val="005C78C9"/>
    <w:rsid w:val="005C7AA4"/>
    <w:rsid w:val="005C7AD9"/>
    <w:rsid w:val="005C7F3A"/>
    <w:rsid w:val="005D03F1"/>
    <w:rsid w:val="005D12BB"/>
    <w:rsid w:val="005D15AA"/>
    <w:rsid w:val="005D1BA7"/>
    <w:rsid w:val="005D1D95"/>
    <w:rsid w:val="005D23BC"/>
    <w:rsid w:val="005D23F6"/>
    <w:rsid w:val="005D28B1"/>
    <w:rsid w:val="005D3859"/>
    <w:rsid w:val="005D389E"/>
    <w:rsid w:val="005D3B1C"/>
    <w:rsid w:val="005D3E52"/>
    <w:rsid w:val="005D43DC"/>
    <w:rsid w:val="005D484B"/>
    <w:rsid w:val="005D487E"/>
    <w:rsid w:val="005D4DC5"/>
    <w:rsid w:val="005D4DF0"/>
    <w:rsid w:val="005D5594"/>
    <w:rsid w:val="005D59D9"/>
    <w:rsid w:val="005D5C42"/>
    <w:rsid w:val="005D5C9D"/>
    <w:rsid w:val="005D5CB8"/>
    <w:rsid w:val="005D5E65"/>
    <w:rsid w:val="005D5EEF"/>
    <w:rsid w:val="005D601E"/>
    <w:rsid w:val="005D6BAF"/>
    <w:rsid w:val="005D6EDB"/>
    <w:rsid w:val="005D76AF"/>
    <w:rsid w:val="005D7733"/>
    <w:rsid w:val="005D7948"/>
    <w:rsid w:val="005D7C87"/>
    <w:rsid w:val="005E021E"/>
    <w:rsid w:val="005E17C9"/>
    <w:rsid w:val="005E18FF"/>
    <w:rsid w:val="005E1CFB"/>
    <w:rsid w:val="005E1ED3"/>
    <w:rsid w:val="005E2B75"/>
    <w:rsid w:val="005E2DC8"/>
    <w:rsid w:val="005E2E05"/>
    <w:rsid w:val="005E3416"/>
    <w:rsid w:val="005E3786"/>
    <w:rsid w:val="005E3C97"/>
    <w:rsid w:val="005E3D82"/>
    <w:rsid w:val="005E433B"/>
    <w:rsid w:val="005E436E"/>
    <w:rsid w:val="005E45B0"/>
    <w:rsid w:val="005E46E0"/>
    <w:rsid w:val="005E4939"/>
    <w:rsid w:val="005E4A95"/>
    <w:rsid w:val="005E4CFB"/>
    <w:rsid w:val="005E4EC1"/>
    <w:rsid w:val="005E546C"/>
    <w:rsid w:val="005E5753"/>
    <w:rsid w:val="005E58A8"/>
    <w:rsid w:val="005E5BDF"/>
    <w:rsid w:val="005F04A6"/>
    <w:rsid w:val="005F0EA1"/>
    <w:rsid w:val="005F111B"/>
    <w:rsid w:val="005F1650"/>
    <w:rsid w:val="005F1E25"/>
    <w:rsid w:val="005F1FC8"/>
    <w:rsid w:val="005F21A9"/>
    <w:rsid w:val="005F2A64"/>
    <w:rsid w:val="005F2FAF"/>
    <w:rsid w:val="005F3916"/>
    <w:rsid w:val="005F41A6"/>
    <w:rsid w:val="005F4300"/>
    <w:rsid w:val="005F48E7"/>
    <w:rsid w:val="005F59CA"/>
    <w:rsid w:val="005F5AE8"/>
    <w:rsid w:val="005F627B"/>
    <w:rsid w:val="005F6331"/>
    <w:rsid w:val="005F6456"/>
    <w:rsid w:val="005F6861"/>
    <w:rsid w:val="00600086"/>
    <w:rsid w:val="00600356"/>
    <w:rsid w:val="006004FA"/>
    <w:rsid w:val="0060075F"/>
    <w:rsid w:val="00601083"/>
    <w:rsid w:val="00601BE3"/>
    <w:rsid w:val="006025C5"/>
    <w:rsid w:val="006027A1"/>
    <w:rsid w:val="00602833"/>
    <w:rsid w:val="00602A83"/>
    <w:rsid w:val="00602B14"/>
    <w:rsid w:val="00602BE5"/>
    <w:rsid w:val="00602BF9"/>
    <w:rsid w:val="00602DB6"/>
    <w:rsid w:val="006033B0"/>
    <w:rsid w:val="00603457"/>
    <w:rsid w:val="00603F16"/>
    <w:rsid w:val="006046BC"/>
    <w:rsid w:val="00605037"/>
    <w:rsid w:val="0060503C"/>
    <w:rsid w:val="0060523D"/>
    <w:rsid w:val="00605394"/>
    <w:rsid w:val="00605D23"/>
    <w:rsid w:val="006070FF"/>
    <w:rsid w:val="006103DA"/>
    <w:rsid w:val="00610451"/>
    <w:rsid w:val="00611740"/>
    <w:rsid w:val="00612150"/>
    <w:rsid w:val="006124F1"/>
    <w:rsid w:val="006125CC"/>
    <w:rsid w:val="006127E9"/>
    <w:rsid w:val="00612909"/>
    <w:rsid w:val="0061291F"/>
    <w:rsid w:val="00612C6A"/>
    <w:rsid w:val="00612F65"/>
    <w:rsid w:val="00613D0C"/>
    <w:rsid w:val="00613FA5"/>
    <w:rsid w:val="00614249"/>
    <w:rsid w:val="0061450E"/>
    <w:rsid w:val="00614750"/>
    <w:rsid w:val="00614D71"/>
    <w:rsid w:val="00614E12"/>
    <w:rsid w:val="00615B65"/>
    <w:rsid w:val="006161C4"/>
    <w:rsid w:val="0061627E"/>
    <w:rsid w:val="006162E1"/>
    <w:rsid w:val="006165FE"/>
    <w:rsid w:val="0061724C"/>
    <w:rsid w:val="00617586"/>
    <w:rsid w:val="00617B09"/>
    <w:rsid w:val="00617C0C"/>
    <w:rsid w:val="00617EBB"/>
    <w:rsid w:val="00617FAD"/>
    <w:rsid w:val="006202BE"/>
    <w:rsid w:val="00620683"/>
    <w:rsid w:val="00620707"/>
    <w:rsid w:val="00620FE0"/>
    <w:rsid w:val="00621379"/>
    <w:rsid w:val="006213AA"/>
    <w:rsid w:val="00621522"/>
    <w:rsid w:val="006227EF"/>
    <w:rsid w:val="006228D3"/>
    <w:rsid w:val="00622953"/>
    <w:rsid w:val="0062322D"/>
    <w:rsid w:val="00623BE1"/>
    <w:rsid w:val="00623EB9"/>
    <w:rsid w:val="006244F9"/>
    <w:rsid w:val="00624862"/>
    <w:rsid w:val="00624F0D"/>
    <w:rsid w:val="00625F0D"/>
    <w:rsid w:val="00626258"/>
    <w:rsid w:val="00626B3F"/>
    <w:rsid w:val="00627868"/>
    <w:rsid w:val="006278EF"/>
    <w:rsid w:val="00627B2D"/>
    <w:rsid w:val="00627C44"/>
    <w:rsid w:val="006305C0"/>
    <w:rsid w:val="00630ACD"/>
    <w:rsid w:val="00630D8B"/>
    <w:rsid w:val="00630F9C"/>
    <w:rsid w:val="006310E1"/>
    <w:rsid w:val="0063132A"/>
    <w:rsid w:val="00631859"/>
    <w:rsid w:val="00631CE9"/>
    <w:rsid w:val="00632579"/>
    <w:rsid w:val="00632646"/>
    <w:rsid w:val="00632919"/>
    <w:rsid w:val="006332F1"/>
    <w:rsid w:val="00633409"/>
    <w:rsid w:val="00633572"/>
    <w:rsid w:val="0063383A"/>
    <w:rsid w:val="00633BB5"/>
    <w:rsid w:val="00633D35"/>
    <w:rsid w:val="00633EA1"/>
    <w:rsid w:val="00634567"/>
    <w:rsid w:val="006348F9"/>
    <w:rsid w:val="006352B0"/>
    <w:rsid w:val="006353B8"/>
    <w:rsid w:val="006353F1"/>
    <w:rsid w:val="0063547B"/>
    <w:rsid w:val="0063609D"/>
    <w:rsid w:val="006361F8"/>
    <w:rsid w:val="006363B2"/>
    <w:rsid w:val="006363BF"/>
    <w:rsid w:val="00636E95"/>
    <w:rsid w:val="0063763E"/>
    <w:rsid w:val="006376D0"/>
    <w:rsid w:val="00637A34"/>
    <w:rsid w:val="00637AAA"/>
    <w:rsid w:val="00640134"/>
    <w:rsid w:val="00640B10"/>
    <w:rsid w:val="00640CF1"/>
    <w:rsid w:val="00641007"/>
    <w:rsid w:val="006418DF"/>
    <w:rsid w:val="006419F3"/>
    <w:rsid w:val="006423FB"/>
    <w:rsid w:val="0064254B"/>
    <w:rsid w:val="00642553"/>
    <w:rsid w:val="006427F5"/>
    <w:rsid w:val="006429A1"/>
    <w:rsid w:val="00642F0F"/>
    <w:rsid w:val="00643294"/>
    <w:rsid w:val="006437E6"/>
    <w:rsid w:val="0064384A"/>
    <w:rsid w:val="00643BF5"/>
    <w:rsid w:val="00644598"/>
    <w:rsid w:val="00644BA9"/>
    <w:rsid w:val="00644D6C"/>
    <w:rsid w:val="00644FAE"/>
    <w:rsid w:val="006451F3"/>
    <w:rsid w:val="00645383"/>
    <w:rsid w:val="006457DC"/>
    <w:rsid w:val="006458C2"/>
    <w:rsid w:val="00646362"/>
    <w:rsid w:val="0064696A"/>
    <w:rsid w:val="00646B16"/>
    <w:rsid w:val="00646E20"/>
    <w:rsid w:val="00647ADC"/>
    <w:rsid w:val="00647DCC"/>
    <w:rsid w:val="00647F24"/>
    <w:rsid w:val="00650967"/>
    <w:rsid w:val="00650BEF"/>
    <w:rsid w:val="00650E97"/>
    <w:rsid w:val="00651387"/>
    <w:rsid w:val="00651999"/>
    <w:rsid w:val="00651D80"/>
    <w:rsid w:val="00652BD0"/>
    <w:rsid w:val="00652D0D"/>
    <w:rsid w:val="006534EE"/>
    <w:rsid w:val="00653BAD"/>
    <w:rsid w:val="00653D00"/>
    <w:rsid w:val="006546F2"/>
    <w:rsid w:val="006548F8"/>
    <w:rsid w:val="00654BC8"/>
    <w:rsid w:val="006550F2"/>
    <w:rsid w:val="006554BA"/>
    <w:rsid w:val="00655F92"/>
    <w:rsid w:val="0065605B"/>
    <w:rsid w:val="006561C5"/>
    <w:rsid w:val="0065622F"/>
    <w:rsid w:val="00656313"/>
    <w:rsid w:val="00656984"/>
    <w:rsid w:val="00656A05"/>
    <w:rsid w:val="0065715A"/>
    <w:rsid w:val="006575A3"/>
    <w:rsid w:val="00657D13"/>
    <w:rsid w:val="00657F04"/>
    <w:rsid w:val="00660148"/>
    <w:rsid w:val="00660AEC"/>
    <w:rsid w:val="0066170C"/>
    <w:rsid w:val="0066183A"/>
    <w:rsid w:val="00662166"/>
    <w:rsid w:val="006624D2"/>
    <w:rsid w:val="006625DC"/>
    <w:rsid w:val="006626CE"/>
    <w:rsid w:val="0066295D"/>
    <w:rsid w:val="00662ABE"/>
    <w:rsid w:val="00662F8E"/>
    <w:rsid w:val="00663053"/>
    <w:rsid w:val="006636B0"/>
    <w:rsid w:val="00664354"/>
    <w:rsid w:val="00664DF4"/>
    <w:rsid w:val="00665487"/>
    <w:rsid w:val="006658EF"/>
    <w:rsid w:val="00665A74"/>
    <w:rsid w:val="00665C9F"/>
    <w:rsid w:val="00665CB6"/>
    <w:rsid w:val="00665EEF"/>
    <w:rsid w:val="006664BD"/>
    <w:rsid w:val="00666670"/>
    <w:rsid w:val="00667267"/>
    <w:rsid w:val="00670633"/>
    <w:rsid w:val="0067079B"/>
    <w:rsid w:val="00671410"/>
    <w:rsid w:val="0067163E"/>
    <w:rsid w:val="0067193C"/>
    <w:rsid w:val="00671B08"/>
    <w:rsid w:val="00671F41"/>
    <w:rsid w:val="0067215E"/>
    <w:rsid w:val="00672214"/>
    <w:rsid w:val="00672BED"/>
    <w:rsid w:val="00672FEB"/>
    <w:rsid w:val="006737D5"/>
    <w:rsid w:val="00674A92"/>
    <w:rsid w:val="00674A9D"/>
    <w:rsid w:val="00674B79"/>
    <w:rsid w:val="006751EB"/>
    <w:rsid w:val="00675247"/>
    <w:rsid w:val="00675855"/>
    <w:rsid w:val="0067652A"/>
    <w:rsid w:val="006767A8"/>
    <w:rsid w:val="0067735D"/>
    <w:rsid w:val="00677551"/>
    <w:rsid w:val="00677889"/>
    <w:rsid w:val="006778A9"/>
    <w:rsid w:val="00677BEB"/>
    <w:rsid w:val="00680146"/>
    <w:rsid w:val="0068056D"/>
    <w:rsid w:val="00681317"/>
    <w:rsid w:val="006817A0"/>
    <w:rsid w:val="006817C5"/>
    <w:rsid w:val="006818FE"/>
    <w:rsid w:val="00681E06"/>
    <w:rsid w:val="00681E7A"/>
    <w:rsid w:val="0068233C"/>
    <w:rsid w:val="00682875"/>
    <w:rsid w:val="00682A41"/>
    <w:rsid w:val="00682A70"/>
    <w:rsid w:val="00683084"/>
    <w:rsid w:val="006833EA"/>
    <w:rsid w:val="00683687"/>
    <w:rsid w:val="00683735"/>
    <w:rsid w:val="0068384B"/>
    <w:rsid w:val="006838FF"/>
    <w:rsid w:val="00684576"/>
    <w:rsid w:val="00684B86"/>
    <w:rsid w:val="006851CE"/>
    <w:rsid w:val="00685940"/>
    <w:rsid w:val="00685F9A"/>
    <w:rsid w:val="00686D04"/>
    <w:rsid w:val="00686EE3"/>
    <w:rsid w:val="00687550"/>
    <w:rsid w:val="0068769C"/>
    <w:rsid w:val="0068787C"/>
    <w:rsid w:val="006917A6"/>
    <w:rsid w:val="0069197C"/>
    <w:rsid w:val="00692150"/>
    <w:rsid w:val="006923D7"/>
    <w:rsid w:val="00693012"/>
    <w:rsid w:val="0069360A"/>
    <w:rsid w:val="00693E08"/>
    <w:rsid w:val="00694470"/>
    <w:rsid w:val="0069469F"/>
    <w:rsid w:val="006947E3"/>
    <w:rsid w:val="00694988"/>
    <w:rsid w:val="00694990"/>
    <w:rsid w:val="00694D70"/>
    <w:rsid w:val="00695132"/>
    <w:rsid w:val="006952D1"/>
    <w:rsid w:val="00695523"/>
    <w:rsid w:val="0069552D"/>
    <w:rsid w:val="00695607"/>
    <w:rsid w:val="00695F0E"/>
    <w:rsid w:val="0069635B"/>
    <w:rsid w:val="006967CE"/>
    <w:rsid w:val="0069688E"/>
    <w:rsid w:val="00696BBB"/>
    <w:rsid w:val="006972EB"/>
    <w:rsid w:val="00697899"/>
    <w:rsid w:val="006A01A7"/>
    <w:rsid w:val="006A06BC"/>
    <w:rsid w:val="006A0E12"/>
    <w:rsid w:val="006A124B"/>
    <w:rsid w:val="006A1446"/>
    <w:rsid w:val="006A179D"/>
    <w:rsid w:val="006A1F1C"/>
    <w:rsid w:val="006A2117"/>
    <w:rsid w:val="006A2222"/>
    <w:rsid w:val="006A3526"/>
    <w:rsid w:val="006A4702"/>
    <w:rsid w:val="006A4DB1"/>
    <w:rsid w:val="006A4E43"/>
    <w:rsid w:val="006A519D"/>
    <w:rsid w:val="006A5734"/>
    <w:rsid w:val="006A5D3A"/>
    <w:rsid w:val="006A6293"/>
    <w:rsid w:val="006A6989"/>
    <w:rsid w:val="006A6A88"/>
    <w:rsid w:val="006A729E"/>
    <w:rsid w:val="006A735E"/>
    <w:rsid w:val="006A7416"/>
    <w:rsid w:val="006A74E3"/>
    <w:rsid w:val="006A7746"/>
    <w:rsid w:val="006A7A7E"/>
    <w:rsid w:val="006B03E6"/>
    <w:rsid w:val="006B0FF8"/>
    <w:rsid w:val="006B1029"/>
    <w:rsid w:val="006B1B74"/>
    <w:rsid w:val="006B20F8"/>
    <w:rsid w:val="006B2BE3"/>
    <w:rsid w:val="006B2D23"/>
    <w:rsid w:val="006B2E80"/>
    <w:rsid w:val="006B40AF"/>
    <w:rsid w:val="006B441C"/>
    <w:rsid w:val="006B4997"/>
    <w:rsid w:val="006B4EDB"/>
    <w:rsid w:val="006B57CB"/>
    <w:rsid w:val="006B5A73"/>
    <w:rsid w:val="006B60CE"/>
    <w:rsid w:val="006B6D85"/>
    <w:rsid w:val="006B6D86"/>
    <w:rsid w:val="006B74B5"/>
    <w:rsid w:val="006B7593"/>
    <w:rsid w:val="006B79E4"/>
    <w:rsid w:val="006C025B"/>
    <w:rsid w:val="006C0425"/>
    <w:rsid w:val="006C0736"/>
    <w:rsid w:val="006C0A13"/>
    <w:rsid w:val="006C1104"/>
    <w:rsid w:val="006C194E"/>
    <w:rsid w:val="006C1B23"/>
    <w:rsid w:val="006C1BD8"/>
    <w:rsid w:val="006C1C01"/>
    <w:rsid w:val="006C26F2"/>
    <w:rsid w:val="006C292C"/>
    <w:rsid w:val="006C3681"/>
    <w:rsid w:val="006C3EB5"/>
    <w:rsid w:val="006C45A2"/>
    <w:rsid w:val="006C4C5A"/>
    <w:rsid w:val="006C52FE"/>
    <w:rsid w:val="006C537E"/>
    <w:rsid w:val="006C5985"/>
    <w:rsid w:val="006C5BB2"/>
    <w:rsid w:val="006C5DC8"/>
    <w:rsid w:val="006C5E37"/>
    <w:rsid w:val="006C6096"/>
    <w:rsid w:val="006C6EF1"/>
    <w:rsid w:val="006C7520"/>
    <w:rsid w:val="006C772B"/>
    <w:rsid w:val="006C7AA8"/>
    <w:rsid w:val="006C7CC0"/>
    <w:rsid w:val="006C7F2C"/>
    <w:rsid w:val="006D03A7"/>
    <w:rsid w:val="006D1046"/>
    <w:rsid w:val="006D1236"/>
    <w:rsid w:val="006D1CB5"/>
    <w:rsid w:val="006D1D0A"/>
    <w:rsid w:val="006D263E"/>
    <w:rsid w:val="006D300F"/>
    <w:rsid w:val="006D3549"/>
    <w:rsid w:val="006D35DE"/>
    <w:rsid w:val="006D37EA"/>
    <w:rsid w:val="006D3C9E"/>
    <w:rsid w:val="006D46EB"/>
    <w:rsid w:val="006D4794"/>
    <w:rsid w:val="006D4A74"/>
    <w:rsid w:val="006D53BA"/>
    <w:rsid w:val="006D547F"/>
    <w:rsid w:val="006D55F8"/>
    <w:rsid w:val="006D56A3"/>
    <w:rsid w:val="006D5974"/>
    <w:rsid w:val="006D5C55"/>
    <w:rsid w:val="006D6420"/>
    <w:rsid w:val="006D6599"/>
    <w:rsid w:val="006D65A7"/>
    <w:rsid w:val="006D6B9E"/>
    <w:rsid w:val="006D752B"/>
    <w:rsid w:val="006E055E"/>
    <w:rsid w:val="006E0671"/>
    <w:rsid w:val="006E0878"/>
    <w:rsid w:val="006E1133"/>
    <w:rsid w:val="006E11C6"/>
    <w:rsid w:val="006E1A5C"/>
    <w:rsid w:val="006E227C"/>
    <w:rsid w:val="006E22E9"/>
    <w:rsid w:val="006E247B"/>
    <w:rsid w:val="006E29F1"/>
    <w:rsid w:val="006E2B89"/>
    <w:rsid w:val="006E3717"/>
    <w:rsid w:val="006E383D"/>
    <w:rsid w:val="006E44FC"/>
    <w:rsid w:val="006E468B"/>
    <w:rsid w:val="006E4EC5"/>
    <w:rsid w:val="006E5001"/>
    <w:rsid w:val="006E587E"/>
    <w:rsid w:val="006E5941"/>
    <w:rsid w:val="006E5AEF"/>
    <w:rsid w:val="006E65F3"/>
    <w:rsid w:val="006E6865"/>
    <w:rsid w:val="006E6CE8"/>
    <w:rsid w:val="006E7125"/>
    <w:rsid w:val="006E71A3"/>
    <w:rsid w:val="006E75AB"/>
    <w:rsid w:val="006E75EC"/>
    <w:rsid w:val="006F0441"/>
    <w:rsid w:val="006F06F4"/>
    <w:rsid w:val="006F0845"/>
    <w:rsid w:val="006F180C"/>
    <w:rsid w:val="006F1AF0"/>
    <w:rsid w:val="006F1EF3"/>
    <w:rsid w:val="006F24A5"/>
    <w:rsid w:val="006F2C8A"/>
    <w:rsid w:val="006F2E48"/>
    <w:rsid w:val="006F2F08"/>
    <w:rsid w:val="006F30C0"/>
    <w:rsid w:val="006F3217"/>
    <w:rsid w:val="006F36B4"/>
    <w:rsid w:val="006F3E08"/>
    <w:rsid w:val="006F46A8"/>
    <w:rsid w:val="006F4E1B"/>
    <w:rsid w:val="006F4FDE"/>
    <w:rsid w:val="006F520B"/>
    <w:rsid w:val="006F61F0"/>
    <w:rsid w:val="006F64EE"/>
    <w:rsid w:val="006F7897"/>
    <w:rsid w:val="006F79C3"/>
    <w:rsid w:val="006F7DFF"/>
    <w:rsid w:val="006F7EFB"/>
    <w:rsid w:val="00700543"/>
    <w:rsid w:val="007008AE"/>
    <w:rsid w:val="00700A3E"/>
    <w:rsid w:val="007012CB"/>
    <w:rsid w:val="0070213D"/>
    <w:rsid w:val="007022F4"/>
    <w:rsid w:val="00702D3C"/>
    <w:rsid w:val="00702F4B"/>
    <w:rsid w:val="00703288"/>
    <w:rsid w:val="007033E9"/>
    <w:rsid w:val="0070340D"/>
    <w:rsid w:val="007034DA"/>
    <w:rsid w:val="0070372A"/>
    <w:rsid w:val="00703CDE"/>
    <w:rsid w:val="007040C9"/>
    <w:rsid w:val="00704102"/>
    <w:rsid w:val="00704423"/>
    <w:rsid w:val="00704432"/>
    <w:rsid w:val="00704757"/>
    <w:rsid w:val="00704A2D"/>
    <w:rsid w:val="007054C4"/>
    <w:rsid w:val="00705599"/>
    <w:rsid w:val="00705E75"/>
    <w:rsid w:val="00706662"/>
    <w:rsid w:val="007069E3"/>
    <w:rsid w:val="00706C69"/>
    <w:rsid w:val="007070B5"/>
    <w:rsid w:val="00707E33"/>
    <w:rsid w:val="00710117"/>
    <w:rsid w:val="00710982"/>
    <w:rsid w:val="00710D9F"/>
    <w:rsid w:val="00710DEB"/>
    <w:rsid w:val="0071156A"/>
    <w:rsid w:val="0071197B"/>
    <w:rsid w:val="00711ACE"/>
    <w:rsid w:val="00711B39"/>
    <w:rsid w:val="00711B5A"/>
    <w:rsid w:val="00711F64"/>
    <w:rsid w:val="007127FC"/>
    <w:rsid w:val="00712813"/>
    <w:rsid w:val="00712EF5"/>
    <w:rsid w:val="0071307B"/>
    <w:rsid w:val="00713108"/>
    <w:rsid w:val="00713332"/>
    <w:rsid w:val="007139FE"/>
    <w:rsid w:val="00713FE8"/>
    <w:rsid w:val="00714F8F"/>
    <w:rsid w:val="007155E7"/>
    <w:rsid w:val="00715A69"/>
    <w:rsid w:val="00715ED1"/>
    <w:rsid w:val="00716035"/>
    <w:rsid w:val="007161D8"/>
    <w:rsid w:val="007163E2"/>
    <w:rsid w:val="00716574"/>
    <w:rsid w:val="00716899"/>
    <w:rsid w:val="00716CD8"/>
    <w:rsid w:val="00717357"/>
    <w:rsid w:val="007173E9"/>
    <w:rsid w:val="00717699"/>
    <w:rsid w:val="00717D23"/>
    <w:rsid w:val="007200D8"/>
    <w:rsid w:val="00721A54"/>
    <w:rsid w:val="00721DEE"/>
    <w:rsid w:val="00721FD4"/>
    <w:rsid w:val="00722116"/>
    <w:rsid w:val="0072292A"/>
    <w:rsid w:val="00722C15"/>
    <w:rsid w:val="00722F4B"/>
    <w:rsid w:val="00723959"/>
    <w:rsid w:val="00723A8A"/>
    <w:rsid w:val="00724283"/>
    <w:rsid w:val="007245C9"/>
    <w:rsid w:val="00724702"/>
    <w:rsid w:val="007259DB"/>
    <w:rsid w:val="0072620A"/>
    <w:rsid w:val="007263E5"/>
    <w:rsid w:val="007263EB"/>
    <w:rsid w:val="00726BB3"/>
    <w:rsid w:val="00726EAB"/>
    <w:rsid w:val="00727459"/>
    <w:rsid w:val="00727601"/>
    <w:rsid w:val="00727628"/>
    <w:rsid w:val="007276DD"/>
    <w:rsid w:val="00727D60"/>
    <w:rsid w:val="00730378"/>
    <w:rsid w:val="00730AA9"/>
    <w:rsid w:val="00731442"/>
    <w:rsid w:val="007318C5"/>
    <w:rsid w:val="00731C69"/>
    <w:rsid w:val="00731FC4"/>
    <w:rsid w:val="00732085"/>
    <w:rsid w:val="00732798"/>
    <w:rsid w:val="00733037"/>
    <w:rsid w:val="0073372D"/>
    <w:rsid w:val="007337D3"/>
    <w:rsid w:val="007337F4"/>
    <w:rsid w:val="00733B6E"/>
    <w:rsid w:val="00733DDC"/>
    <w:rsid w:val="00734025"/>
    <w:rsid w:val="00734CD1"/>
    <w:rsid w:val="00734D1D"/>
    <w:rsid w:val="00735125"/>
    <w:rsid w:val="00735380"/>
    <w:rsid w:val="0073650C"/>
    <w:rsid w:val="00736C2F"/>
    <w:rsid w:val="007372C2"/>
    <w:rsid w:val="00737490"/>
    <w:rsid w:val="0073759A"/>
    <w:rsid w:val="007405D3"/>
    <w:rsid w:val="00740D23"/>
    <w:rsid w:val="007418B9"/>
    <w:rsid w:val="00741F33"/>
    <w:rsid w:val="00741FDD"/>
    <w:rsid w:val="00742143"/>
    <w:rsid w:val="007425AB"/>
    <w:rsid w:val="0074294B"/>
    <w:rsid w:val="00742A49"/>
    <w:rsid w:val="00742EDB"/>
    <w:rsid w:val="007434DC"/>
    <w:rsid w:val="007434FF"/>
    <w:rsid w:val="0074397A"/>
    <w:rsid w:val="00743F1E"/>
    <w:rsid w:val="007444C7"/>
    <w:rsid w:val="007448DA"/>
    <w:rsid w:val="00745A41"/>
    <w:rsid w:val="00745CC5"/>
    <w:rsid w:val="00746DAD"/>
    <w:rsid w:val="0074710A"/>
    <w:rsid w:val="0074713F"/>
    <w:rsid w:val="0074722D"/>
    <w:rsid w:val="00747893"/>
    <w:rsid w:val="00747909"/>
    <w:rsid w:val="00750032"/>
    <w:rsid w:val="00750CBF"/>
    <w:rsid w:val="007516C2"/>
    <w:rsid w:val="00751BA5"/>
    <w:rsid w:val="007524A0"/>
    <w:rsid w:val="00752925"/>
    <w:rsid w:val="00752C14"/>
    <w:rsid w:val="00753298"/>
    <w:rsid w:val="00753878"/>
    <w:rsid w:val="00753E7E"/>
    <w:rsid w:val="0075418F"/>
    <w:rsid w:val="0075426D"/>
    <w:rsid w:val="0075441C"/>
    <w:rsid w:val="007546E0"/>
    <w:rsid w:val="00754A2D"/>
    <w:rsid w:val="00754E1F"/>
    <w:rsid w:val="00754FDC"/>
    <w:rsid w:val="00755402"/>
    <w:rsid w:val="00755508"/>
    <w:rsid w:val="0075585A"/>
    <w:rsid w:val="00755959"/>
    <w:rsid w:val="00755AD3"/>
    <w:rsid w:val="00755E37"/>
    <w:rsid w:val="007565D2"/>
    <w:rsid w:val="0075697C"/>
    <w:rsid w:val="00756A76"/>
    <w:rsid w:val="007570E6"/>
    <w:rsid w:val="0075764B"/>
    <w:rsid w:val="00757BA5"/>
    <w:rsid w:val="00757C98"/>
    <w:rsid w:val="00760499"/>
    <w:rsid w:val="0076092E"/>
    <w:rsid w:val="00760D2B"/>
    <w:rsid w:val="00760F8D"/>
    <w:rsid w:val="00761058"/>
    <w:rsid w:val="00761212"/>
    <w:rsid w:val="007612A6"/>
    <w:rsid w:val="00762DC8"/>
    <w:rsid w:val="00762EB7"/>
    <w:rsid w:val="0076333E"/>
    <w:rsid w:val="007634EB"/>
    <w:rsid w:val="0076393A"/>
    <w:rsid w:val="0076411F"/>
    <w:rsid w:val="00764654"/>
    <w:rsid w:val="00764703"/>
    <w:rsid w:val="007647B1"/>
    <w:rsid w:val="00764A8C"/>
    <w:rsid w:val="0076509A"/>
    <w:rsid w:val="00765951"/>
    <w:rsid w:val="00765B2C"/>
    <w:rsid w:val="00766232"/>
    <w:rsid w:val="0076714B"/>
    <w:rsid w:val="0076719F"/>
    <w:rsid w:val="0076720A"/>
    <w:rsid w:val="0076725E"/>
    <w:rsid w:val="007674B3"/>
    <w:rsid w:val="0076755C"/>
    <w:rsid w:val="0076775E"/>
    <w:rsid w:val="007677C5"/>
    <w:rsid w:val="00770CA4"/>
    <w:rsid w:val="00770D2C"/>
    <w:rsid w:val="00770FA6"/>
    <w:rsid w:val="0077102B"/>
    <w:rsid w:val="00771390"/>
    <w:rsid w:val="00771551"/>
    <w:rsid w:val="007717EB"/>
    <w:rsid w:val="00771C75"/>
    <w:rsid w:val="00772B0C"/>
    <w:rsid w:val="007731AE"/>
    <w:rsid w:val="0077395C"/>
    <w:rsid w:val="00773993"/>
    <w:rsid w:val="00775CD7"/>
    <w:rsid w:val="00775EEC"/>
    <w:rsid w:val="0077650E"/>
    <w:rsid w:val="00776A17"/>
    <w:rsid w:val="00776A73"/>
    <w:rsid w:val="0077716D"/>
    <w:rsid w:val="0077730A"/>
    <w:rsid w:val="007779AE"/>
    <w:rsid w:val="00777DD1"/>
    <w:rsid w:val="00777E3C"/>
    <w:rsid w:val="007802E7"/>
    <w:rsid w:val="0078031F"/>
    <w:rsid w:val="00781979"/>
    <w:rsid w:val="007819CD"/>
    <w:rsid w:val="0078224C"/>
    <w:rsid w:val="00782B07"/>
    <w:rsid w:val="007832E1"/>
    <w:rsid w:val="007835C4"/>
    <w:rsid w:val="00783A42"/>
    <w:rsid w:val="00784070"/>
    <w:rsid w:val="0078425F"/>
    <w:rsid w:val="00784693"/>
    <w:rsid w:val="0078470F"/>
    <w:rsid w:val="007848EB"/>
    <w:rsid w:val="00784A87"/>
    <w:rsid w:val="007852C2"/>
    <w:rsid w:val="007853F1"/>
    <w:rsid w:val="007863C1"/>
    <w:rsid w:val="00786525"/>
    <w:rsid w:val="00786782"/>
    <w:rsid w:val="00786DF5"/>
    <w:rsid w:val="00786EB0"/>
    <w:rsid w:val="00786FA2"/>
    <w:rsid w:val="007878BA"/>
    <w:rsid w:val="00787B7F"/>
    <w:rsid w:val="00787BE9"/>
    <w:rsid w:val="00787D0A"/>
    <w:rsid w:val="0079006C"/>
    <w:rsid w:val="00790E94"/>
    <w:rsid w:val="00790FED"/>
    <w:rsid w:val="00791201"/>
    <w:rsid w:val="0079225E"/>
    <w:rsid w:val="0079266F"/>
    <w:rsid w:val="0079268E"/>
    <w:rsid w:val="00792993"/>
    <w:rsid w:val="007929F2"/>
    <w:rsid w:val="00792E72"/>
    <w:rsid w:val="0079300D"/>
    <w:rsid w:val="00793C60"/>
    <w:rsid w:val="00795632"/>
    <w:rsid w:val="007961B3"/>
    <w:rsid w:val="00796407"/>
    <w:rsid w:val="00796410"/>
    <w:rsid w:val="00796797"/>
    <w:rsid w:val="00796934"/>
    <w:rsid w:val="0079699E"/>
    <w:rsid w:val="00797011"/>
    <w:rsid w:val="00797DAF"/>
    <w:rsid w:val="00797E36"/>
    <w:rsid w:val="007A2205"/>
    <w:rsid w:val="007A314E"/>
    <w:rsid w:val="007A399E"/>
    <w:rsid w:val="007A3A65"/>
    <w:rsid w:val="007A3FCA"/>
    <w:rsid w:val="007A46DC"/>
    <w:rsid w:val="007A51BB"/>
    <w:rsid w:val="007A5542"/>
    <w:rsid w:val="007A5661"/>
    <w:rsid w:val="007A5EF3"/>
    <w:rsid w:val="007A698D"/>
    <w:rsid w:val="007A6FAC"/>
    <w:rsid w:val="007A7882"/>
    <w:rsid w:val="007A79BE"/>
    <w:rsid w:val="007A7BDD"/>
    <w:rsid w:val="007A7D24"/>
    <w:rsid w:val="007A7EB8"/>
    <w:rsid w:val="007B01D8"/>
    <w:rsid w:val="007B02FD"/>
    <w:rsid w:val="007B0949"/>
    <w:rsid w:val="007B0B4B"/>
    <w:rsid w:val="007B0E75"/>
    <w:rsid w:val="007B1697"/>
    <w:rsid w:val="007B1C4A"/>
    <w:rsid w:val="007B1CA5"/>
    <w:rsid w:val="007B24CC"/>
    <w:rsid w:val="007B26FE"/>
    <w:rsid w:val="007B2CFB"/>
    <w:rsid w:val="007B364B"/>
    <w:rsid w:val="007B3BB7"/>
    <w:rsid w:val="007B3C3D"/>
    <w:rsid w:val="007B40FD"/>
    <w:rsid w:val="007B4BD8"/>
    <w:rsid w:val="007B57B6"/>
    <w:rsid w:val="007B5E83"/>
    <w:rsid w:val="007B6D59"/>
    <w:rsid w:val="007B6FF6"/>
    <w:rsid w:val="007B7361"/>
    <w:rsid w:val="007C0192"/>
    <w:rsid w:val="007C03D4"/>
    <w:rsid w:val="007C07BA"/>
    <w:rsid w:val="007C0975"/>
    <w:rsid w:val="007C0C55"/>
    <w:rsid w:val="007C0D32"/>
    <w:rsid w:val="007C1787"/>
    <w:rsid w:val="007C1838"/>
    <w:rsid w:val="007C1C23"/>
    <w:rsid w:val="007C28E6"/>
    <w:rsid w:val="007C2A96"/>
    <w:rsid w:val="007C31CA"/>
    <w:rsid w:val="007C3899"/>
    <w:rsid w:val="007C3C1D"/>
    <w:rsid w:val="007C45A3"/>
    <w:rsid w:val="007C45F0"/>
    <w:rsid w:val="007C4B2A"/>
    <w:rsid w:val="007C516B"/>
    <w:rsid w:val="007C54B7"/>
    <w:rsid w:val="007C5843"/>
    <w:rsid w:val="007C5849"/>
    <w:rsid w:val="007C5D16"/>
    <w:rsid w:val="007C6837"/>
    <w:rsid w:val="007C6A95"/>
    <w:rsid w:val="007C6BCF"/>
    <w:rsid w:val="007C6E39"/>
    <w:rsid w:val="007C7ED9"/>
    <w:rsid w:val="007C7FA6"/>
    <w:rsid w:val="007D04DE"/>
    <w:rsid w:val="007D0624"/>
    <w:rsid w:val="007D0639"/>
    <w:rsid w:val="007D0FC3"/>
    <w:rsid w:val="007D149B"/>
    <w:rsid w:val="007D1747"/>
    <w:rsid w:val="007D1AB2"/>
    <w:rsid w:val="007D1C9F"/>
    <w:rsid w:val="007D1DE1"/>
    <w:rsid w:val="007D22AE"/>
    <w:rsid w:val="007D22CE"/>
    <w:rsid w:val="007D24DC"/>
    <w:rsid w:val="007D28BD"/>
    <w:rsid w:val="007D2FC9"/>
    <w:rsid w:val="007D35BD"/>
    <w:rsid w:val="007D3B0E"/>
    <w:rsid w:val="007D3CFE"/>
    <w:rsid w:val="007D42C6"/>
    <w:rsid w:val="007D4B1A"/>
    <w:rsid w:val="007D4BEC"/>
    <w:rsid w:val="007D4FF9"/>
    <w:rsid w:val="007D62C2"/>
    <w:rsid w:val="007D6358"/>
    <w:rsid w:val="007D63BF"/>
    <w:rsid w:val="007D6420"/>
    <w:rsid w:val="007D649F"/>
    <w:rsid w:val="007D6C6A"/>
    <w:rsid w:val="007D7931"/>
    <w:rsid w:val="007D7BE1"/>
    <w:rsid w:val="007E0429"/>
    <w:rsid w:val="007E06FE"/>
    <w:rsid w:val="007E13DD"/>
    <w:rsid w:val="007E1495"/>
    <w:rsid w:val="007E14D0"/>
    <w:rsid w:val="007E14D6"/>
    <w:rsid w:val="007E1CE1"/>
    <w:rsid w:val="007E1D59"/>
    <w:rsid w:val="007E1EB8"/>
    <w:rsid w:val="007E21A3"/>
    <w:rsid w:val="007E22EA"/>
    <w:rsid w:val="007E239B"/>
    <w:rsid w:val="007E27AC"/>
    <w:rsid w:val="007E3BAF"/>
    <w:rsid w:val="007E438B"/>
    <w:rsid w:val="007E44B8"/>
    <w:rsid w:val="007E4DD8"/>
    <w:rsid w:val="007E551D"/>
    <w:rsid w:val="007E5EC9"/>
    <w:rsid w:val="007E5ECB"/>
    <w:rsid w:val="007E5F73"/>
    <w:rsid w:val="007E6CEA"/>
    <w:rsid w:val="007E6D39"/>
    <w:rsid w:val="007E71BD"/>
    <w:rsid w:val="007E7B85"/>
    <w:rsid w:val="007E7C07"/>
    <w:rsid w:val="007F00FD"/>
    <w:rsid w:val="007F057C"/>
    <w:rsid w:val="007F05ED"/>
    <w:rsid w:val="007F0AA1"/>
    <w:rsid w:val="007F0C23"/>
    <w:rsid w:val="007F0EC4"/>
    <w:rsid w:val="007F1626"/>
    <w:rsid w:val="007F1936"/>
    <w:rsid w:val="007F1A23"/>
    <w:rsid w:val="007F1BCD"/>
    <w:rsid w:val="007F1E05"/>
    <w:rsid w:val="007F1E52"/>
    <w:rsid w:val="007F2441"/>
    <w:rsid w:val="007F2AB6"/>
    <w:rsid w:val="007F2BD9"/>
    <w:rsid w:val="007F2EDC"/>
    <w:rsid w:val="007F323E"/>
    <w:rsid w:val="007F34CF"/>
    <w:rsid w:val="007F3569"/>
    <w:rsid w:val="007F380B"/>
    <w:rsid w:val="007F3A12"/>
    <w:rsid w:val="007F3B16"/>
    <w:rsid w:val="007F459E"/>
    <w:rsid w:val="007F4788"/>
    <w:rsid w:val="007F4972"/>
    <w:rsid w:val="007F4AD8"/>
    <w:rsid w:val="007F4CF1"/>
    <w:rsid w:val="007F4DCD"/>
    <w:rsid w:val="007F5A9D"/>
    <w:rsid w:val="007F5B83"/>
    <w:rsid w:val="007F6006"/>
    <w:rsid w:val="007F622D"/>
    <w:rsid w:val="007F6269"/>
    <w:rsid w:val="007F73C8"/>
    <w:rsid w:val="007F75CF"/>
    <w:rsid w:val="007F7E3E"/>
    <w:rsid w:val="0080003C"/>
    <w:rsid w:val="008004B1"/>
    <w:rsid w:val="00800544"/>
    <w:rsid w:val="0080083D"/>
    <w:rsid w:val="00800D18"/>
    <w:rsid w:val="00800FB4"/>
    <w:rsid w:val="008010BF"/>
    <w:rsid w:val="0080113B"/>
    <w:rsid w:val="00801166"/>
    <w:rsid w:val="00801329"/>
    <w:rsid w:val="00801B45"/>
    <w:rsid w:val="00801B53"/>
    <w:rsid w:val="008025EC"/>
    <w:rsid w:val="008025ED"/>
    <w:rsid w:val="0080278D"/>
    <w:rsid w:val="008030E0"/>
    <w:rsid w:val="00803335"/>
    <w:rsid w:val="008040BE"/>
    <w:rsid w:val="008049B2"/>
    <w:rsid w:val="00804D94"/>
    <w:rsid w:val="008055E3"/>
    <w:rsid w:val="00805A8A"/>
    <w:rsid w:val="0080626F"/>
    <w:rsid w:val="00806853"/>
    <w:rsid w:val="008068CC"/>
    <w:rsid w:val="00806B3F"/>
    <w:rsid w:val="00806F45"/>
    <w:rsid w:val="0080719D"/>
    <w:rsid w:val="00807536"/>
    <w:rsid w:val="0081038C"/>
    <w:rsid w:val="00810822"/>
    <w:rsid w:val="008117AC"/>
    <w:rsid w:val="008119AE"/>
    <w:rsid w:val="00811ED0"/>
    <w:rsid w:val="00811F12"/>
    <w:rsid w:val="00812159"/>
    <w:rsid w:val="00813307"/>
    <w:rsid w:val="0081381B"/>
    <w:rsid w:val="00813904"/>
    <w:rsid w:val="008139A8"/>
    <w:rsid w:val="00813DAB"/>
    <w:rsid w:val="0081405A"/>
    <w:rsid w:val="008144E5"/>
    <w:rsid w:val="00814C4B"/>
    <w:rsid w:val="00814D2A"/>
    <w:rsid w:val="00815187"/>
    <w:rsid w:val="0081565D"/>
    <w:rsid w:val="00815855"/>
    <w:rsid w:val="00815C0B"/>
    <w:rsid w:val="00815C4C"/>
    <w:rsid w:val="008170F0"/>
    <w:rsid w:val="008171B5"/>
    <w:rsid w:val="0081727A"/>
    <w:rsid w:val="0081771F"/>
    <w:rsid w:val="00817A17"/>
    <w:rsid w:val="00817D89"/>
    <w:rsid w:val="00817EBB"/>
    <w:rsid w:val="00817F22"/>
    <w:rsid w:val="008206C1"/>
    <w:rsid w:val="00820BA7"/>
    <w:rsid w:val="00820D98"/>
    <w:rsid w:val="008213EE"/>
    <w:rsid w:val="00821919"/>
    <w:rsid w:val="008220CA"/>
    <w:rsid w:val="00822ED7"/>
    <w:rsid w:val="008231E4"/>
    <w:rsid w:val="008231FE"/>
    <w:rsid w:val="00823441"/>
    <w:rsid w:val="00824607"/>
    <w:rsid w:val="00824A72"/>
    <w:rsid w:val="00824CD9"/>
    <w:rsid w:val="00824D71"/>
    <w:rsid w:val="00824DF5"/>
    <w:rsid w:val="0082556C"/>
    <w:rsid w:val="008259F8"/>
    <w:rsid w:val="008263DF"/>
    <w:rsid w:val="0082706A"/>
    <w:rsid w:val="0082725E"/>
    <w:rsid w:val="00827604"/>
    <w:rsid w:val="00827AB9"/>
    <w:rsid w:val="00827F6B"/>
    <w:rsid w:val="00831C39"/>
    <w:rsid w:val="00831E0F"/>
    <w:rsid w:val="0083280F"/>
    <w:rsid w:val="00832C75"/>
    <w:rsid w:val="00832F16"/>
    <w:rsid w:val="00833776"/>
    <w:rsid w:val="008340A8"/>
    <w:rsid w:val="008340AD"/>
    <w:rsid w:val="0083462A"/>
    <w:rsid w:val="0083522C"/>
    <w:rsid w:val="00835929"/>
    <w:rsid w:val="008359F5"/>
    <w:rsid w:val="00836149"/>
    <w:rsid w:val="008361A0"/>
    <w:rsid w:val="008365F6"/>
    <w:rsid w:val="00836A15"/>
    <w:rsid w:val="00836F80"/>
    <w:rsid w:val="008400CD"/>
    <w:rsid w:val="008402CC"/>
    <w:rsid w:val="008403A8"/>
    <w:rsid w:val="0084061F"/>
    <w:rsid w:val="0084068D"/>
    <w:rsid w:val="008408EF"/>
    <w:rsid w:val="00840B7A"/>
    <w:rsid w:val="00840E7F"/>
    <w:rsid w:val="0084103C"/>
    <w:rsid w:val="00841060"/>
    <w:rsid w:val="0084183F"/>
    <w:rsid w:val="00841934"/>
    <w:rsid w:val="00841D62"/>
    <w:rsid w:val="008424EF"/>
    <w:rsid w:val="00842B8A"/>
    <w:rsid w:val="00842C1B"/>
    <w:rsid w:val="00842C25"/>
    <w:rsid w:val="00842E56"/>
    <w:rsid w:val="0084356C"/>
    <w:rsid w:val="0084385B"/>
    <w:rsid w:val="00843DFD"/>
    <w:rsid w:val="00843E66"/>
    <w:rsid w:val="0084404F"/>
    <w:rsid w:val="008440A7"/>
    <w:rsid w:val="0084454A"/>
    <w:rsid w:val="00845653"/>
    <w:rsid w:val="008457DD"/>
    <w:rsid w:val="0084597F"/>
    <w:rsid w:val="00845A72"/>
    <w:rsid w:val="00845F4F"/>
    <w:rsid w:val="008467DE"/>
    <w:rsid w:val="0084687E"/>
    <w:rsid w:val="008477A5"/>
    <w:rsid w:val="00847E8B"/>
    <w:rsid w:val="0085002E"/>
    <w:rsid w:val="00850C65"/>
    <w:rsid w:val="00850D57"/>
    <w:rsid w:val="00850E0C"/>
    <w:rsid w:val="00850E6E"/>
    <w:rsid w:val="008512FF"/>
    <w:rsid w:val="00851452"/>
    <w:rsid w:val="00851F05"/>
    <w:rsid w:val="00852616"/>
    <w:rsid w:val="00852864"/>
    <w:rsid w:val="00853343"/>
    <w:rsid w:val="00853471"/>
    <w:rsid w:val="00853503"/>
    <w:rsid w:val="008536E3"/>
    <w:rsid w:val="008539DC"/>
    <w:rsid w:val="00853B7F"/>
    <w:rsid w:val="00853F8E"/>
    <w:rsid w:val="008543A7"/>
    <w:rsid w:val="008544C3"/>
    <w:rsid w:val="00854A8A"/>
    <w:rsid w:val="0085525C"/>
    <w:rsid w:val="00855628"/>
    <w:rsid w:val="00855D6B"/>
    <w:rsid w:val="00855EC7"/>
    <w:rsid w:val="0085646C"/>
    <w:rsid w:val="00856B54"/>
    <w:rsid w:val="00856CD6"/>
    <w:rsid w:val="00856E27"/>
    <w:rsid w:val="0085768B"/>
    <w:rsid w:val="008603EE"/>
    <w:rsid w:val="00860400"/>
    <w:rsid w:val="00860CA4"/>
    <w:rsid w:val="00861784"/>
    <w:rsid w:val="00861794"/>
    <w:rsid w:val="00861BB7"/>
    <w:rsid w:val="00861D10"/>
    <w:rsid w:val="00861F4C"/>
    <w:rsid w:val="0086227B"/>
    <w:rsid w:val="00862419"/>
    <w:rsid w:val="0086282A"/>
    <w:rsid w:val="0086370C"/>
    <w:rsid w:val="00863B95"/>
    <w:rsid w:val="0086444E"/>
    <w:rsid w:val="0086475E"/>
    <w:rsid w:val="008652D1"/>
    <w:rsid w:val="0086625A"/>
    <w:rsid w:val="008663A1"/>
    <w:rsid w:val="008664B9"/>
    <w:rsid w:val="00866708"/>
    <w:rsid w:val="008670A7"/>
    <w:rsid w:val="008670E6"/>
    <w:rsid w:val="0086741F"/>
    <w:rsid w:val="008674C8"/>
    <w:rsid w:val="00867940"/>
    <w:rsid w:val="00867DFD"/>
    <w:rsid w:val="0087025A"/>
    <w:rsid w:val="0087066D"/>
    <w:rsid w:val="00870956"/>
    <w:rsid w:val="00870AAB"/>
    <w:rsid w:val="00870AD4"/>
    <w:rsid w:val="00871798"/>
    <w:rsid w:val="008719C9"/>
    <w:rsid w:val="0087267B"/>
    <w:rsid w:val="00872FAC"/>
    <w:rsid w:val="00873247"/>
    <w:rsid w:val="0087346E"/>
    <w:rsid w:val="00873657"/>
    <w:rsid w:val="00873C1B"/>
    <w:rsid w:val="0087404A"/>
    <w:rsid w:val="00874A11"/>
    <w:rsid w:val="00874BB5"/>
    <w:rsid w:val="00875081"/>
    <w:rsid w:val="008750BC"/>
    <w:rsid w:val="008751B3"/>
    <w:rsid w:val="00875852"/>
    <w:rsid w:val="008766A1"/>
    <w:rsid w:val="00876C54"/>
    <w:rsid w:val="00877B13"/>
    <w:rsid w:val="00877C4D"/>
    <w:rsid w:val="0088006F"/>
    <w:rsid w:val="00880744"/>
    <w:rsid w:val="008809C3"/>
    <w:rsid w:val="008809F1"/>
    <w:rsid w:val="00880DF4"/>
    <w:rsid w:val="00880FC9"/>
    <w:rsid w:val="00881193"/>
    <w:rsid w:val="00881248"/>
    <w:rsid w:val="008812D2"/>
    <w:rsid w:val="0088149C"/>
    <w:rsid w:val="00881777"/>
    <w:rsid w:val="00881B08"/>
    <w:rsid w:val="00881E97"/>
    <w:rsid w:val="00881FF8"/>
    <w:rsid w:val="008820F6"/>
    <w:rsid w:val="0088219D"/>
    <w:rsid w:val="00882827"/>
    <w:rsid w:val="00882980"/>
    <w:rsid w:val="00882CBB"/>
    <w:rsid w:val="00883467"/>
    <w:rsid w:val="008836A4"/>
    <w:rsid w:val="00883814"/>
    <w:rsid w:val="00883833"/>
    <w:rsid w:val="00883C1B"/>
    <w:rsid w:val="00883E01"/>
    <w:rsid w:val="00884B3C"/>
    <w:rsid w:val="00884C39"/>
    <w:rsid w:val="00884D77"/>
    <w:rsid w:val="00884F3B"/>
    <w:rsid w:val="00884F92"/>
    <w:rsid w:val="008850BC"/>
    <w:rsid w:val="008852A1"/>
    <w:rsid w:val="00885B66"/>
    <w:rsid w:val="00885E6A"/>
    <w:rsid w:val="00886104"/>
    <w:rsid w:val="00886186"/>
    <w:rsid w:val="008863A4"/>
    <w:rsid w:val="00886A7B"/>
    <w:rsid w:val="008872FD"/>
    <w:rsid w:val="00887906"/>
    <w:rsid w:val="00887FF2"/>
    <w:rsid w:val="0089062C"/>
    <w:rsid w:val="008906C3"/>
    <w:rsid w:val="00891042"/>
    <w:rsid w:val="0089116A"/>
    <w:rsid w:val="00891215"/>
    <w:rsid w:val="0089151F"/>
    <w:rsid w:val="0089178E"/>
    <w:rsid w:val="0089190F"/>
    <w:rsid w:val="00891A4C"/>
    <w:rsid w:val="00891D0D"/>
    <w:rsid w:val="00891FD7"/>
    <w:rsid w:val="008920BF"/>
    <w:rsid w:val="00892144"/>
    <w:rsid w:val="00892367"/>
    <w:rsid w:val="00892BF8"/>
    <w:rsid w:val="0089341E"/>
    <w:rsid w:val="00893651"/>
    <w:rsid w:val="00893F4B"/>
    <w:rsid w:val="00894010"/>
    <w:rsid w:val="0089474C"/>
    <w:rsid w:val="00894D9C"/>
    <w:rsid w:val="00895666"/>
    <w:rsid w:val="00895878"/>
    <w:rsid w:val="0089600D"/>
    <w:rsid w:val="008960D2"/>
    <w:rsid w:val="00896B4C"/>
    <w:rsid w:val="00896D2D"/>
    <w:rsid w:val="00897814"/>
    <w:rsid w:val="0089795F"/>
    <w:rsid w:val="008A0233"/>
    <w:rsid w:val="008A0C37"/>
    <w:rsid w:val="008A0C82"/>
    <w:rsid w:val="008A0DAA"/>
    <w:rsid w:val="008A110A"/>
    <w:rsid w:val="008A1231"/>
    <w:rsid w:val="008A28A8"/>
    <w:rsid w:val="008A28F6"/>
    <w:rsid w:val="008A2E4C"/>
    <w:rsid w:val="008A316E"/>
    <w:rsid w:val="008A329B"/>
    <w:rsid w:val="008A3C76"/>
    <w:rsid w:val="008A3E9C"/>
    <w:rsid w:val="008A4BAF"/>
    <w:rsid w:val="008A50ED"/>
    <w:rsid w:val="008A56D8"/>
    <w:rsid w:val="008A5B98"/>
    <w:rsid w:val="008A6944"/>
    <w:rsid w:val="008A74D3"/>
    <w:rsid w:val="008A75D9"/>
    <w:rsid w:val="008A767B"/>
    <w:rsid w:val="008A77D0"/>
    <w:rsid w:val="008B0136"/>
    <w:rsid w:val="008B0FEC"/>
    <w:rsid w:val="008B13C1"/>
    <w:rsid w:val="008B1EAD"/>
    <w:rsid w:val="008B20F8"/>
    <w:rsid w:val="008B25DC"/>
    <w:rsid w:val="008B322D"/>
    <w:rsid w:val="008B4133"/>
    <w:rsid w:val="008B4990"/>
    <w:rsid w:val="008B4A21"/>
    <w:rsid w:val="008B4E2C"/>
    <w:rsid w:val="008B53A0"/>
    <w:rsid w:val="008B55B4"/>
    <w:rsid w:val="008B5D18"/>
    <w:rsid w:val="008B5F05"/>
    <w:rsid w:val="008B5F42"/>
    <w:rsid w:val="008B6159"/>
    <w:rsid w:val="008B6991"/>
    <w:rsid w:val="008B6EA4"/>
    <w:rsid w:val="008B6FAD"/>
    <w:rsid w:val="008B7009"/>
    <w:rsid w:val="008B75EB"/>
    <w:rsid w:val="008B7B4A"/>
    <w:rsid w:val="008C003D"/>
    <w:rsid w:val="008C0AB9"/>
    <w:rsid w:val="008C0CFB"/>
    <w:rsid w:val="008C0DFF"/>
    <w:rsid w:val="008C0F47"/>
    <w:rsid w:val="008C176F"/>
    <w:rsid w:val="008C1E36"/>
    <w:rsid w:val="008C2B24"/>
    <w:rsid w:val="008C2ECC"/>
    <w:rsid w:val="008C3545"/>
    <w:rsid w:val="008C364B"/>
    <w:rsid w:val="008C372F"/>
    <w:rsid w:val="008C3ABE"/>
    <w:rsid w:val="008C3B33"/>
    <w:rsid w:val="008C4E6A"/>
    <w:rsid w:val="008C4F59"/>
    <w:rsid w:val="008C4F74"/>
    <w:rsid w:val="008C5420"/>
    <w:rsid w:val="008C5DEC"/>
    <w:rsid w:val="008C6189"/>
    <w:rsid w:val="008C627F"/>
    <w:rsid w:val="008C6B0F"/>
    <w:rsid w:val="008C6C9A"/>
    <w:rsid w:val="008C70F8"/>
    <w:rsid w:val="008C726F"/>
    <w:rsid w:val="008C7604"/>
    <w:rsid w:val="008C7AAE"/>
    <w:rsid w:val="008D026A"/>
    <w:rsid w:val="008D04AD"/>
    <w:rsid w:val="008D0DB8"/>
    <w:rsid w:val="008D0E5B"/>
    <w:rsid w:val="008D0FF0"/>
    <w:rsid w:val="008D1046"/>
    <w:rsid w:val="008D14F0"/>
    <w:rsid w:val="008D1B3F"/>
    <w:rsid w:val="008D292B"/>
    <w:rsid w:val="008D35D6"/>
    <w:rsid w:val="008D39C7"/>
    <w:rsid w:val="008D3C39"/>
    <w:rsid w:val="008D4371"/>
    <w:rsid w:val="008D4DE6"/>
    <w:rsid w:val="008D56C3"/>
    <w:rsid w:val="008D58BC"/>
    <w:rsid w:val="008D5E46"/>
    <w:rsid w:val="008D63C6"/>
    <w:rsid w:val="008D68D7"/>
    <w:rsid w:val="008D6940"/>
    <w:rsid w:val="008D6993"/>
    <w:rsid w:val="008D6A08"/>
    <w:rsid w:val="008D6E6D"/>
    <w:rsid w:val="008D6E8C"/>
    <w:rsid w:val="008D72CC"/>
    <w:rsid w:val="008D7594"/>
    <w:rsid w:val="008D7814"/>
    <w:rsid w:val="008D7CFE"/>
    <w:rsid w:val="008D7D1C"/>
    <w:rsid w:val="008D7DC6"/>
    <w:rsid w:val="008E001E"/>
    <w:rsid w:val="008E05B2"/>
    <w:rsid w:val="008E0C6A"/>
    <w:rsid w:val="008E1016"/>
    <w:rsid w:val="008E13D3"/>
    <w:rsid w:val="008E1541"/>
    <w:rsid w:val="008E1547"/>
    <w:rsid w:val="008E18C6"/>
    <w:rsid w:val="008E2E4F"/>
    <w:rsid w:val="008E31E6"/>
    <w:rsid w:val="008E36AA"/>
    <w:rsid w:val="008E39AA"/>
    <w:rsid w:val="008E3BD9"/>
    <w:rsid w:val="008E3C03"/>
    <w:rsid w:val="008E4445"/>
    <w:rsid w:val="008E44AC"/>
    <w:rsid w:val="008E4BDE"/>
    <w:rsid w:val="008E5880"/>
    <w:rsid w:val="008E5898"/>
    <w:rsid w:val="008E61E3"/>
    <w:rsid w:val="008E62BE"/>
    <w:rsid w:val="008E692E"/>
    <w:rsid w:val="008E6A6C"/>
    <w:rsid w:val="008E6E8B"/>
    <w:rsid w:val="008E75E2"/>
    <w:rsid w:val="008E7746"/>
    <w:rsid w:val="008E79D8"/>
    <w:rsid w:val="008F024A"/>
    <w:rsid w:val="008F04A4"/>
    <w:rsid w:val="008F055E"/>
    <w:rsid w:val="008F058B"/>
    <w:rsid w:val="008F0A22"/>
    <w:rsid w:val="008F0A3C"/>
    <w:rsid w:val="008F0FD1"/>
    <w:rsid w:val="008F19D0"/>
    <w:rsid w:val="008F1F2A"/>
    <w:rsid w:val="008F21A8"/>
    <w:rsid w:val="008F2463"/>
    <w:rsid w:val="008F2A9A"/>
    <w:rsid w:val="008F2FF4"/>
    <w:rsid w:val="008F343C"/>
    <w:rsid w:val="008F34D6"/>
    <w:rsid w:val="008F36C9"/>
    <w:rsid w:val="008F37B3"/>
    <w:rsid w:val="008F3F57"/>
    <w:rsid w:val="008F4B3F"/>
    <w:rsid w:val="008F4BA0"/>
    <w:rsid w:val="008F538D"/>
    <w:rsid w:val="008F5F9E"/>
    <w:rsid w:val="008F630A"/>
    <w:rsid w:val="008F65BC"/>
    <w:rsid w:val="008F6A10"/>
    <w:rsid w:val="008F6DE1"/>
    <w:rsid w:val="008F73E1"/>
    <w:rsid w:val="008F755A"/>
    <w:rsid w:val="008F7600"/>
    <w:rsid w:val="008F7A72"/>
    <w:rsid w:val="008F7F2E"/>
    <w:rsid w:val="009002DC"/>
    <w:rsid w:val="0090040C"/>
    <w:rsid w:val="00900605"/>
    <w:rsid w:val="0090064B"/>
    <w:rsid w:val="00900706"/>
    <w:rsid w:val="00900899"/>
    <w:rsid w:val="0090094B"/>
    <w:rsid w:val="00900C04"/>
    <w:rsid w:val="009015B7"/>
    <w:rsid w:val="0090168B"/>
    <w:rsid w:val="00901B0B"/>
    <w:rsid w:val="00901CB8"/>
    <w:rsid w:val="00901D8F"/>
    <w:rsid w:val="00901EEF"/>
    <w:rsid w:val="009024AD"/>
    <w:rsid w:val="0090265E"/>
    <w:rsid w:val="00902C5E"/>
    <w:rsid w:val="00902FD0"/>
    <w:rsid w:val="009037F8"/>
    <w:rsid w:val="00903836"/>
    <w:rsid w:val="00903C22"/>
    <w:rsid w:val="00903DAB"/>
    <w:rsid w:val="00903DDE"/>
    <w:rsid w:val="00904564"/>
    <w:rsid w:val="009047B5"/>
    <w:rsid w:val="009048EE"/>
    <w:rsid w:val="00904A69"/>
    <w:rsid w:val="00904ED8"/>
    <w:rsid w:val="00905899"/>
    <w:rsid w:val="00905E89"/>
    <w:rsid w:val="0090662D"/>
    <w:rsid w:val="00906728"/>
    <w:rsid w:val="00906A5C"/>
    <w:rsid w:val="0090700D"/>
    <w:rsid w:val="00907AAD"/>
    <w:rsid w:val="00910E8E"/>
    <w:rsid w:val="00910F2F"/>
    <w:rsid w:val="0091109D"/>
    <w:rsid w:val="00911DF6"/>
    <w:rsid w:val="00911E7A"/>
    <w:rsid w:val="009128BF"/>
    <w:rsid w:val="0091312B"/>
    <w:rsid w:val="00913BAC"/>
    <w:rsid w:val="0091494D"/>
    <w:rsid w:val="0091528E"/>
    <w:rsid w:val="00915677"/>
    <w:rsid w:val="009162B5"/>
    <w:rsid w:val="009166ED"/>
    <w:rsid w:val="00916C2E"/>
    <w:rsid w:val="00916DB7"/>
    <w:rsid w:val="00920397"/>
    <w:rsid w:val="00920758"/>
    <w:rsid w:val="00920764"/>
    <w:rsid w:val="00920980"/>
    <w:rsid w:val="00920B47"/>
    <w:rsid w:val="00920B72"/>
    <w:rsid w:val="00920B94"/>
    <w:rsid w:val="0092181D"/>
    <w:rsid w:val="0092183F"/>
    <w:rsid w:val="00921B5E"/>
    <w:rsid w:val="00921F3B"/>
    <w:rsid w:val="009220F7"/>
    <w:rsid w:val="00922CF5"/>
    <w:rsid w:val="00923671"/>
    <w:rsid w:val="009236A7"/>
    <w:rsid w:val="00923781"/>
    <w:rsid w:val="00923D26"/>
    <w:rsid w:val="00923EB4"/>
    <w:rsid w:val="00924068"/>
    <w:rsid w:val="009240DF"/>
    <w:rsid w:val="009255DD"/>
    <w:rsid w:val="009262DE"/>
    <w:rsid w:val="009270E1"/>
    <w:rsid w:val="00930344"/>
    <w:rsid w:val="00930518"/>
    <w:rsid w:val="00930609"/>
    <w:rsid w:val="00930CC6"/>
    <w:rsid w:val="00930FD5"/>
    <w:rsid w:val="009311EF"/>
    <w:rsid w:val="00931303"/>
    <w:rsid w:val="00931A27"/>
    <w:rsid w:val="00931B9F"/>
    <w:rsid w:val="00931F13"/>
    <w:rsid w:val="009326C4"/>
    <w:rsid w:val="00932F82"/>
    <w:rsid w:val="00933CB2"/>
    <w:rsid w:val="00935A4D"/>
    <w:rsid w:val="00935BD2"/>
    <w:rsid w:val="00935BD8"/>
    <w:rsid w:val="00935C93"/>
    <w:rsid w:val="00936017"/>
    <w:rsid w:val="0093630A"/>
    <w:rsid w:val="00937750"/>
    <w:rsid w:val="00937D53"/>
    <w:rsid w:val="00937DAF"/>
    <w:rsid w:val="00937FE8"/>
    <w:rsid w:val="00940936"/>
    <w:rsid w:val="00940D92"/>
    <w:rsid w:val="0094179E"/>
    <w:rsid w:val="009417A1"/>
    <w:rsid w:val="009420B4"/>
    <w:rsid w:val="009421A6"/>
    <w:rsid w:val="00942FC7"/>
    <w:rsid w:val="0094319D"/>
    <w:rsid w:val="00943838"/>
    <w:rsid w:val="00943D5D"/>
    <w:rsid w:val="00943D65"/>
    <w:rsid w:val="009440A2"/>
    <w:rsid w:val="00944547"/>
    <w:rsid w:val="00944EB7"/>
    <w:rsid w:val="009454D2"/>
    <w:rsid w:val="00946B25"/>
    <w:rsid w:val="00947280"/>
    <w:rsid w:val="009475F5"/>
    <w:rsid w:val="00947B16"/>
    <w:rsid w:val="00947B78"/>
    <w:rsid w:val="00947CB1"/>
    <w:rsid w:val="0095008D"/>
    <w:rsid w:val="009501EB"/>
    <w:rsid w:val="00950245"/>
    <w:rsid w:val="00950D88"/>
    <w:rsid w:val="009513BF"/>
    <w:rsid w:val="00951956"/>
    <w:rsid w:val="009520F7"/>
    <w:rsid w:val="009524EE"/>
    <w:rsid w:val="0095277C"/>
    <w:rsid w:val="00952DE3"/>
    <w:rsid w:val="009536D7"/>
    <w:rsid w:val="00953A6E"/>
    <w:rsid w:val="00953DAB"/>
    <w:rsid w:val="009540CF"/>
    <w:rsid w:val="009549A9"/>
    <w:rsid w:val="00955904"/>
    <w:rsid w:val="00955C61"/>
    <w:rsid w:val="00955E90"/>
    <w:rsid w:val="00955EDC"/>
    <w:rsid w:val="00956837"/>
    <w:rsid w:val="00956902"/>
    <w:rsid w:val="00956938"/>
    <w:rsid w:val="00956B48"/>
    <w:rsid w:val="00956F03"/>
    <w:rsid w:val="00957250"/>
    <w:rsid w:val="009603BF"/>
    <w:rsid w:val="00960B00"/>
    <w:rsid w:val="0096114B"/>
    <w:rsid w:val="00961188"/>
    <w:rsid w:val="009611C4"/>
    <w:rsid w:val="0096150D"/>
    <w:rsid w:val="009615E6"/>
    <w:rsid w:val="00961B09"/>
    <w:rsid w:val="00961E64"/>
    <w:rsid w:val="00961EC9"/>
    <w:rsid w:val="00962AF2"/>
    <w:rsid w:val="00962F3F"/>
    <w:rsid w:val="00963109"/>
    <w:rsid w:val="0096325B"/>
    <w:rsid w:val="00963324"/>
    <w:rsid w:val="00963B5B"/>
    <w:rsid w:val="00963C43"/>
    <w:rsid w:val="009643EE"/>
    <w:rsid w:val="0096470E"/>
    <w:rsid w:val="00964BAB"/>
    <w:rsid w:val="00964FDA"/>
    <w:rsid w:val="009651FC"/>
    <w:rsid w:val="0096571F"/>
    <w:rsid w:val="009660B4"/>
    <w:rsid w:val="0096615A"/>
    <w:rsid w:val="00966535"/>
    <w:rsid w:val="009665AF"/>
    <w:rsid w:val="0096702F"/>
    <w:rsid w:val="009670C4"/>
    <w:rsid w:val="0096752C"/>
    <w:rsid w:val="00967B33"/>
    <w:rsid w:val="00967DF5"/>
    <w:rsid w:val="00967F8A"/>
    <w:rsid w:val="00970313"/>
    <w:rsid w:val="009704BC"/>
    <w:rsid w:val="0097109A"/>
    <w:rsid w:val="0097134A"/>
    <w:rsid w:val="00971480"/>
    <w:rsid w:val="00971811"/>
    <w:rsid w:val="00971B05"/>
    <w:rsid w:val="009728FC"/>
    <w:rsid w:val="00972B4F"/>
    <w:rsid w:val="00972BA4"/>
    <w:rsid w:val="00972D1E"/>
    <w:rsid w:val="00972F69"/>
    <w:rsid w:val="0097323C"/>
    <w:rsid w:val="009734C0"/>
    <w:rsid w:val="009750D9"/>
    <w:rsid w:val="0097510A"/>
    <w:rsid w:val="009754C5"/>
    <w:rsid w:val="0097564F"/>
    <w:rsid w:val="009758E2"/>
    <w:rsid w:val="00975B6D"/>
    <w:rsid w:val="00976041"/>
    <w:rsid w:val="0097670A"/>
    <w:rsid w:val="00976FD6"/>
    <w:rsid w:val="00977230"/>
    <w:rsid w:val="00977435"/>
    <w:rsid w:val="00977811"/>
    <w:rsid w:val="00977D27"/>
    <w:rsid w:val="00980E43"/>
    <w:rsid w:val="00981A54"/>
    <w:rsid w:val="0098207C"/>
    <w:rsid w:val="0098222B"/>
    <w:rsid w:val="0098295A"/>
    <w:rsid w:val="00982C9A"/>
    <w:rsid w:val="00982CB9"/>
    <w:rsid w:val="009830DF"/>
    <w:rsid w:val="009831D3"/>
    <w:rsid w:val="0098340C"/>
    <w:rsid w:val="00983BFE"/>
    <w:rsid w:val="00983FF1"/>
    <w:rsid w:val="00984663"/>
    <w:rsid w:val="0098490A"/>
    <w:rsid w:val="009849D0"/>
    <w:rsid w:val="00984B8A"/>
    <w:rsid w:val="00984E85"/>
    <w:rsid w:val="009851E8"/>
    <w:rsid w:val="00985549"/>
    <w:rsid w:val="00985A8A"/>
    <w:rsid w:val="00985D9D"/>
    <w:rsid w:val="00985DFD"/>
    <w:rsid w:val="00985E20"/>
    <w:rsid w:val="00985F67"/>
    <w:rsid w:val="009861D1"/>
    <w:rsid w:val="009863CF"/>
    <w:rsid w:val="009868DE"/>
    <w:rsid w:val="00987689"/>
    <w:rsid w:val="00987BB4"/>
    <w:rsid w:val="00987BCF"/>
    <w:rsid w:val="0099003D"/>
    <w:rsid w:val="00990270"/>
    <w:rsid w:val="00990AE2"/>
    <w:rsid w:val="00990B95"/>
    <w:rsid w:val="00990F73"/>
    <w:rsid w:val="00991236"/>
    <w:rsid w:val="009915A9"/>
    <w:rsid w:val="00991709"/>
    <w:rsid w:val="00991AC5"/>
    <w:rsid w:val="00992224"/>
    <w:rsid w:val="0099231A"/>
    <w:rsid w:val="00992347"/>
    <w:rsid w:val="00992643"/>
    <w:rsid w:val="00992C6E"/>
    <w:rsid w:val="009938F8"/>
    <w:rsid w:val="00993CBD"/>
    <w:rsid w:val="00993F25"/>
    <w:rsid w:val="00994286"/>
    <w:rsid w:val="00994FA8"/>
    <w:rsid w:val="009953FC"/>
    <w:rsid w:val="0099552E"/>
    <w:rsid w:val="00995B71"/>
    <w:rsid w:val="00995C88"/>
    <w:rsid w:val="00996015"/>
    <w:rsid w:val="0099619F"/>
    <w:rsid w:val="009964B2"/>
    <w:rsid w:val="009964F3"/>
    <w:rsid w:val="00996507"/>
    <w:rsid w:val="009968D1"/>
    <w:rsid w:val="00997891"/>
    <w:rsid w:val="00997B37"/>
    <w:rsid w:val="009A0255"/>
    <w:rsid w:val="009A07D6"/>
    <w:rsid w:val="009A1165"/>
    <w:rsid w:val="009A192E"/>
    <w:rsid w:val="009A1F60"/>
    <w:rsid w:val="009A23A2"/>
    <w:rsid w:val="009A31E6"/>
    <w:rsid w:val="009A38D2"/>
    <w:rsid w:val="009A4237"/>
    <w:rsid w:val="009A4F81"/>
    <w:rsid w:val="009A50C9"/>
    <w:rsid w:val="009A51AE"/>
    <w:rsid w:val="009A5F96"/>
    <w:rsid w:val="009A5FF8"/>
    <w:rsid w:val="009A69F1"/>
    <w:rsid w:val="009A6C36"/>
    <w:rsid w:val="009A6EFE"/>
    <w:rsid w:val="009A71C2"/>
    <w:rsid w:val="009A7407"/>
    <w:rsid w:val="009A7530"/>
    <w:rsid w:val="009A7B9A"/>
    <w:rsid w:val="009B030B"/>
    <w:rsid w:val="009B08C0"/>
    <w:rsid w:val="009B0FED"/>
    <w:rsid w:val="009B1F5C"/>
    <w:rsid w:val="009B3894"/>
    <w:rsid w:val="009B41B6"/>
    <w:rsid w:val="009B430A"/>
    <w:rsid w:val="009B514F"/>
    <w:rsid w:val="009B51FC"/>
    <w:rsid w:val="009B523C"/>
    <w:rsid w:val="009B588A"/>
    <w:rsid w:val="009B5E84"/>
    <w:rsid w:val="009B66CA"/>
    <w:rsid w:val="009B6A4C"/>
    <w:rsid w:val="009B6C77"/>
    <w:rsid w:val="009B6EB3"/>
    <w:rsid w:val="009B6FC9"/>
    <w:rsid w:val="009B747E"/>
    <w:rsid w:val="009B75A5"/>
    <w:rsid w:val="009B7697"/>
    <w:rsid w:val="009C0554"/>
    <w:rsid w:val="009C0817"/>
    <w:rsid w:val="009C0EE1"/>
    <w:rsid w:val="009C189D"/>
    <w:rsid w:val="009C210E"/>
    <w:rsid w:val="009C2270"/>
    <w:rsid w:val="009C2617"/>
    <w:rsid w:val="009C40D3"/>
    <w:rsid w:val="009C4BEE"/>
    <w:rsid w:val="009C4C80"/>
    <w:rsid w:val="009C4E1D"/>
    <w:rsid w:val="009C5010"/>
    <w:rsid w:val="009C50EB"/>
    <w:rsid w:val="009C5146"/>
    <w:rsid w:val="009C5787"/>
    <w:rsid w:val="009C5813"/>
    <w:rsid w:val="009C5E5C"/>
    <w:rsid w:val="009C60D8"/>
    <w:rsid w:val="009C6240"/>
    <w:rsid w:val="009C6A85"/>
    <w:rsid w:val="009C74EB"/>
    <w:rsid w:val="009C77CF"/>
    <w:rsid w:val="009C79C0"/>
    <w:rsid w:val="009C7BB1"/>
    <w:rsid w:val="009D0630"/>
    <w:rsid w:val="009D06E9"/>
    <w:rsid w:val="009D087A"/>
    <w:rsid w:val="009D0A9B"/>
    <w:rsid w:val="009D0C91"/>
    <w:rsid w:val="009D0D07"/>
    <w:rsid w:val="009D0DA3"/>
    <w:rsid w:val="009D1D49"/>
    <w:rsid w:val="009D2913"/>
    <w:rsid w:val="009D29D0"/>
    <w:rsid w:val="009D2C1C"/>
    <w:rsid w:val="009D2D95"/>
    <w:rsid w:val="009D2FD2"/>
    <w:rsid w:val="009D3208"/>
    <w:rsid w:val="009D3CDB"/>
    <w:rsid w:val="009D401E"/>
    <w:rsid w:val="009D4276"/>
    <w:rsid w:val="009D44D4"/>
    <w:rsid w:val="009D4A1D"/>
    <w:rsid w:val="009D4B63"/>
    <w:rsid w:val="009D5117"/>
    <w:rsid w:val="009D5D20"/>
    <w:rsid w:val="009D5F1A"/>
    <w:rsid w:val="009D6012"/>
    <w:rsid w:val="009D6A77"/>
    <w:rsid w:val="009D6AC3"/>
    <w:rsid w:val="009D7752"/>
    <w:rsid w:val="009D778F"/>
    <w:rsid w:val="009E0172"/>
    <w:rsid w:val="009E03FA"/>
    <w:rsid w:val="009E0723"/>
    <w:rsid w:val="009E0DB5"/>
    <w:rsid w:val="009E1465"/>
    <w:rsid w:val="009E1CCC"/>
    <w:rsid w:val="009E1D23"/>
    <w:rsid w:val="009E1DDD"/>
    <w:rsid w:val="009E22A5"/>
    <w:rsid w:val="009E26A0"/>
    <w:rsid w:val="009E28C9"/>
    <w:rsid w:val="009E2EE8"/>
    <w:rsid w:val="009E39B8"/>
    <w:rsid w:val="009E3FAA"/>
    <w:rsid w:val="009E419A"/>
    <w:rsid w:val="009E44E5"/>
    <w:rsid w:val="009E45B5"/>
    <w:rsid w:val="009E46A9"/>
    <w:rsid w:val="009E6FD8"/>
    <w:rsid w:val="009E7024"/>
    <w:rsid w:val="009E705A"/>
    <w:rsid w:val="009E74BB"/>
    <w:rsid w:val="009E7E18"/>
    <w:rsid w:val="009E7EC3"/>
    <w:rsid w:val="009F0423"/>
    <w:rsid w:val="009F07B2"/>
    <w:rsid w:val="009F0802"/>
    <w:rsid w:val="009F09B2"/>
    <w:rsid w:val="009F0C64"/>
    <w:rsid w:val="009F0CE1"/>
    <w:rsid w:val="009F0D70"/>
    <w:rsid w:val="009F0DB1"/>
    <w:rsid w:val="009F1073"/>
    <w:rsid w:val="009F24A8"/>
    <w:rsid w:val="009F2975"/>
    <w:rsid w:val="009F2B2D"/>
    <w:rsid w:val="009F2F9A"/>
    <w:rsid w:val="009F3141"/>
    <w:rsid w:val="009F31A5"/>
    <w:rsid w:val="009F34E5"/>
    <w:rsid w:val="009F3E8F"/>
    <w:rsid w:val="009F60A9"/>
    <w:rsid w:val="009F62BF"/>
    <w:rsid w:val="009F6348"/>
    <w:rsid w:val="009F6490"/>
    <w:rsid w:val="009F6556"/>
    <w:rsid w:val="009F6718"/>
    <w:rsid w:val="009F6D02"/>
    <w:rsid w:val="009F6F17"/>
    <w:rsid w:val="009F6F68"/>
    <w:rsid w:val="009F723B"/>
    <w:rsid w:val="009F737F"/>
    <w:rsid w:val="009F73E3"/>
    <w:rsid w:val="009F7621"/>
    <w:rsid w:val="009F76E5"/>
    <w:rsid w:val="00A000FA"/>
    <w:rsid w:val="00A008D5"/>
    <w:rsid w:val="00A0093C"/>
    <w:rsid w:val="00A00D97"/>
    <w:rsid w:val="00A01275"/>
    <w:rsid w:val="00A0145D"/>
    <w:rsid w:val="00A017A9"/>
    <w:rsid w:val="00A023C8"/>
    <w:rsid w:val="00A02685"/>
    <w:rsid w:val="00A02900"/>
    <w:rsid w:val="00A0295A"/>
    <w:rsid w:val="00A03691"/>
    <w:rsid w:val="00A03829"/>
    <w:rsid w:val="00A038A1"/>
    <w:rsid w:val="00A03971"/>
    <w:rsid w:val="00A043E7"/>
    <w:rsid w:val="00A04B82"/>
    <w:rsid w:val="00A04D77"/>
    <w:rsid w:val="00A057D1"/>
    <w:rsid w:val="00A05B4D"/>
    <w:rsid w:val="00A05C4C"/>
    <w:rsid w:val="00A06E17"/>
    <w:rsid w:val="00A06F0B"/>
    <w:rsid w:val="00A07085"/>
    <w:rsid w:val="00A070E6"/>
    <w:rsid w:val="00A076B0"/>
    <w:rsid w:val="00A10159"/>
    <w:rsid w:val="00A101D6"/>
    <w:rsid w:val="00A104EF"/>
    <w:rsid w:val="00A10502"/>
    <w:rsid w:val="00A10720"/>
    <w:rsid w:val="00A108EF"/>
    <w:rsid w:val="00A10926"/>
    <w:rsid w:val="00A10BC7"/>
    <w:rsid w:val="00A11206"/>
    <w:rsid w:val="00A11971"/>
    <w:rsid w:val="00A11A5F"/>
    <w:rsid w:val="00A11BBB"/>
    <w:rsid w:val="00A11C42"/>
    <w:rsid w:val="00A11CE8"/>
    <w:rsid w:val="00A1263C"/>
    <w:rsid w:val="00A12725"/>
    <w:rsid w:val="00A12ED5"/>
    <w:rsid w:val="00A133A4"/>
    <w:rsid w:val="00A14211"/>
    <w:rsid w:val="00A143AC"/>
    <w:rsid w:val="00A14942"/>
    <w:rsid w:val="00A149BB"/>
    <w:rsid w:val="00A14D27"/>
    <w:rsid w:val="00A157E4"/>
    <w:rsid w:val="00A1592B"/>
    <w:rsid w:val="00A16210"/>
    <w:rsid w:val="00A16712"/>
    <w:rsid w:val="00A17514"/>
    <w:rsid w:val="00A176AD"/>
    <w:rsid w:val="00A178E1"/>
    <w:rsid w:val="00A20055"/>
    <w:rsid w:val="00A2018B"/>
    <w:rsid w:val="00A2036B"/>
    <w:rsid w:val="00A20D1D"/>
    <w:rsid w:val="00A2107F"/>
    <w:rsid w:val="00A2138D"/>
    <w:rsid w:val="00A21FBE"/>
    <w:rsid w:val="00A2221C"/>
    <w:rsid w:val="00A22E15"/>
    <w:rsid w:val="00A23494"/>
    <w:rsid w:val="00A23938"/>
    <w:rsid w:val="00A23D67"/>
    <w:rsid w:val="00A24B1E"/>
    <w:rsid w:val="00A24DB5"/>
    <w:rsid w:val="00A24E32"/>
    <w:rsid w:val="00A252DB"/>
    <w:rsid w:val="00A2599C"/>
    <w:rsid w:val="00A25C23"/>
    <w:rsid w:val="00A26D1C"/>
    <w:rsid w:val="00A27644"/>
    <w:rsid w:val="00A27D94"/>
    <w:rsid w:val="00A30124"/>
    <w:rsid w:val="00A30760"/>
    <w:rsid w:val="00A30AA1"/>
    <w:rsid w:val="00A30C7C"/>
    <w:rsid w:val="00A30D72"/>
    <w:rsid w:val="00A30F05"/>
    <w:rsid w:val="00A31029"/>
    <w:rsid w:val="00A31216"/>
    <w:rsid w:val="00A31835"/>
    <w:rsid w:val="00A31857"/>
    <w:rsid w:val="00A31ADD"/>
    <w:rsid w:val="00A31BAD"/>
    <w:rsid w:val="00A3282D"/>
    <w:rsid w:val="00A32AC6"/>
    <w:rsid w:val="00A335F5"/>
    <w:rsid w:val="00A3373F"/>
    <w:rsid w:val="00A33969"/>
    <w:rsid w:val="00A339D9"/>
    <w:rsid w:val="00A34441"/>
    <w:rsid w:val="00A35229"/>
    <w:rsid w:val="00A35645"/>
    <w:rsid w:val="00A35EDB"/>
    <w:rsid w:val="00A364E2"/>
    <w:rsid w:val="00A367A5"/>
    <w:rsid w:val="00A372DF"/>
    <w:rsid w:val="00A37528"/>
    <w:rsid w:val="00A37C15"/>
    <w:rsid w:val="00A40621"/>
    <w:rsid w:val="00A40DF2"/>
    <w:rsid w:val="00A416FA"/>
    <w:rsid w:val="00A41C54"/>
    <w:rsid w:val="00A41E09"/>
    <w:rsid w:val="00A422FB"/>
    <w:rsid w:val="00A4285F"/>
    <w:rsid w:val="00A42C6E"/>
    <w:rsid w:val="00A42DF5"/>
    <w:rsid w:val="00A42EFE"/>
    <w:rsid w:val="00A43376"/>
    <w:rsid w:val="00A435D2"/>
    <w:rsid w:val="00A43771"/>
    <w:rsid w:val="00A438D9"/>
    <w:rsid w:val="00A438F3"/>
    <w:rsid w:val="00A43D5B"/>
    <w:rsid w:val="00A43FAA"/>
    <w:rsid w:val="00A43FF0"/>
    <w:rsid w:val="00A4456F"/>
    <w:rsid w:val="00A44846"/>
    <w:rsid w:val="00A44DA4"/>
    <w:rsid w:val="00A456B3"/>
    <w:rsid w:val="00A45BFF"/>
    <w:rsid w:val="00A4657F"/>
    <w:rsid w:val="00A467FF"/>
    <w:rsid w:val="00A46E7A"/>
    <w:rsid w:val="00A473C0"/>
    <w:rsid w:val="00A478B6"/>
    <w:rsid w:val="00A47A4E"/>
    <w:rsid w:val="00A50850"/>
    <w:rsid w:val="00A50EE9"/>
    <w:rsid w:val="00A50F1F"/>
    <w:rsid w:val="00A50F38"/>
    <w:rsid w:val="00A5156B"/>
    <w:rsid w:val="00A51DC2"/>
    <w:rsid w:val="00A52701"/>
    <w:rsid w:val="00A52A90"/>
    <w:rsid w:val="00A52BB4"/>
    <w:rsid w:val="00A5363E"/>
    <w:rsid w:val="00A539C6"/>
    <w:rsid w:val="00A53B3E"/>
    <w:rsid w:val="00A53DF8"/>
    <w:rsid w:val="00A545A9"/>
    <w:rsid w:val="00A550C7"/>
    <w:rsid w:val="00A5536C"/>
    <w:rsid w:val="00A558EF"/>
    <w:rsid w:val="00A55944"/>
    <w:rsid w:val="00A55FE7"/>
    <w:rsid w:val="00A56110"/>
    <w:rsid w:val="00A564F3"/>
    <w:rsid w:val="00A56557"/>
    <w:rsid w:val="00A56BCA"/>
    <w:rsid w:val="00A5762C"/>
    <w:rsid w:val="00A57707"/>
    <w:rsid w:val="00A5780A"/>
    <w:rsid w:val="00A602B2"/>
    <w:rsid w:val="00A603E2"/>
    <w:rsid w:val="00A60455"/>
    <w:rsid w:val="00A605D9"/>
    <w:rsid w:val="00A60952"/>
    <w:rsid w:val="00A60B1B"/>
    <w:rsid w:val="00A60FD2"/>
    <w:rsid w:val="00A613F9"/>
    <w:rsid w:val="00A618E9"/>
    <w:rsid w:val="00A61984"/>
    <w:rsid w:val="00A61C33"/>
    <w:rsid w:val="00A6246B"/>
    <w:rsid w:val="00A62666"/>
    <w:rsid w:val="00A62817"/>
    <w:rsid w:val="00A62A93"/>
    <w:rsid w:val="00A62BD0"/>
    <w:rsid w:val="00A62C9A"/>
    <w:rsid w:val="00A6304B"/>
    <w:rsid w:val="00A63F76"/>
    <w:rsid w:val="00A649FE"/>
    <w:rsid w:val="00A64C29"/>
    <w:rsid w:val="00A65375"/>
    <w:rsid w:val="00A655D0"/>
    <w:rsid w:val="00A65DE5"/>
    <w:rsid w:val="00A6602C"/>
    <w:rsid w:val="00A661BB"/>
    <w:rsid w:val="00A668C8"/>
    <w:rsid w:val="00A66C90"/>
    <w:rsid w:val="00A66F61"/>
    <w:rsid w:val="00A67536"/>
    <w:rsid w:val="00A678B8"/>
    <w:rsid w:val="00A678EA"/>
    <w:rsid w:val="00A701AA"/>
    <w:rsid w:val="00A7022B"/>
    <w:rsid w:val="00A70B04"/>
    <w:rsid w:val="00A71405"/>
    <w:rsid w:val="00A718B6"/>
    <w:rsid w:val="00A71A10"/>
    <w:rsid w:val="00A7207C"/>
    <w:rsid w:val="00A72336"/>
    <w:rsid w:val="00A72360"/>
    <w:rsid w:val="00A723E3"/>
    <w:rsid w:val="00A72502"/>
    <w:rsid w:val="00A72640"/>
    <w:rsid w:val="00A726CC"/>
    <w:rsid w:val="00A72D08"/>
    <w:rsid w:val="00A72E40"/>
    <w:rsid w:val="00A730C6"/>
    <w:rsid w:val="00A732EC"/>
    <w:rsid w:val="00A7332E"/>
    <w:rsid w:val="00A73750"/>
    <w:rsid w:val="00A738D6"/>
    <w:rsid w:val="00A73A9F"/>
    <w:rsid w:val="00A74263"/>
    <w:rsid w:val="00A742B0"/>
    <w:rsid w:val="00A743C1"/>
    <w:rsid w:val="00A74878"/>
    <w:rsid w:val="00A74C26"/>
    <w:rsid w:val="00A75489"/>
    <w:rsid w:val="00A75A9A"/>
    <w:rsid w:val="00A75CB2"/>
    <w:rsid w:val="00A76C2C"/>
    <w:rsid w:val="00A76E2D"/>
    <w:rsid w:val="00A77189"/>
    <w:rsid w:val="00A77289"/>
    <w:rsid w:val="00A778F1"/>
    <w:rsid w:val="00A77BDE"/>
    <w:rsid w:val="00A807E7"/>
    <w:rsid w:val="00A80A57"/>
    <w:rsid w:val="00A80B95"/>
    <w:rsid w:val="00A80C43"/>
    <w:rsid w:val="00A80EA7"/>
    <w:rsid w:val="00A80FF2"/>
    <w:rsid w:val="00A81550"/>
    <w:rsid w:val="00A82A09"/>
    <w:rsid w:val="00A82D58"/>
    <w:rsid w:val="00A83181"/>
    <w:rsid w:val="00A83336"/>
    <w:rsid w:val="00A83DB7"/>
    <w:rsid w:val="00A83F01"/>
    <w:rsid w:val="00A84279"/>
    <w:rsid w:val="00A8450A"/>
    <w:rsid w:val="00A846AC"/>
    <w:rsid w:val="00A84728"/>
    <w:rsid w:val="00A84E8E"/>
    <w:rsid w:val="00A84F4F"/>
    <w:rsid w:val="00A854EE"/>
    <w:rsid w:val="00A8579A"/>
    <w:rsid w:val="00A85932"/>
    <w:rsid w:val="00A85F04"/>
    <w:rsid w:val="00A861B1"/>
    <w:rsid w:val="00A86221"/>
    <w:rsid w:val="00A86415"/>
    <w:rsid w:val="00A86B63"/>
    <w:rsid w:val="00A87A60"/>
    <w:rsid w:val="00A903CB"/>
    <w:rsid w:val="00A908D2"/>
    <w:rsid w:val="00A90905"/>
    <w:rsid w:val="00A90A9B"/>
    <w:rsid w:val="00A90B54"/>
    <w:rsid w:val="00A91089"/>
    <w:rsid w:val="00A910A9"/>
    <w:rsid w:val="00A9139D"/>
    <w:rsid w:val="00A9142F"/>
    <w:rsid w:val="00A91935"/>
    <w:rsid w:val="00A925C9"/>
    <w:rsid w:val="00A92B40"/>
    <w:rsid w:val="00A92F69"/>
    <w:rsid w:val="00A9337A"/>
    <w:rsid w:val="00A93875"/>
    <w:rsid w:val="00A93FBC"/>
    <w:rsid w:val="00A94210"/>
    <w:rsid w:val="00A94A28"/>
    <w:rsid w:val="00A94FAE"/>
    <w:rsid w:val="00A956B4"/>
    <w:rsid w:val="00A956D9"/>
    <w:rsid w:val="00A965F5"/>
    <w:rsid w:val="00A96DA7"/>
    <w:rsid w:val="00A97143"/>
    <w:rsid w:val="00A9777D"/>
    <w:rsid w:val="00AA03C6"/>
    <w:rsid w:val="00AA05F2"/>
    <w:rsid w:val="00AA08D1"/>
    <w:rsid w:val="00AA0C1E"/>
    <w:rsid w:val="00AA0C83"/>
    <w:rsid w:val="00AA0DED"/>
    <w:rsid w:val="00AA0EA2"/>
    <w:rsid w:val="00AA12A7"/>
    <w:rsid w:val="00AA1AEE"/>
    <w:rsid w:val="00AA2293"/>
    <w:rsid w:val="00AA2922"/>
    <w:rsid w:val="00AA2F5D"/>
    <w:rsid w:val="00AA30E6"/>
    <w:rsid w:val="00AA35A5"/>
    <w:rsid w:val="00AA363A"/>
    <w:rsid w:val="00AA3C32"/>
    <w:rsid w:val="00AA3CBD"/>
    <w:rsid w:val="00AA4435"/>
    <w:rsid w:val="00AA55A6"/>
    <w:rsid w:val="00AA5746"/>
    <w:rsid w:val="00AA5BBA"/>
    <w:rsid w:val="00AA5FFA"/>
    <w:rsid w:val="00AA6299"/>
    <w:rsid w:val="00AA6493"/>
    <w:rsid w:val="00AA664E"/>
    <w:rsid w:val="00AA6CB1"/>
    <w:rsid w:val="00AA74A8"/>
    <w:rsid w:val="00AA7608"/>
    <w:rsid w:val="00AA7966"/>
    <w:rsid w:val="00AA7F27"/>
    <w:rsid w:val="00AB0726"/>
    <w:rsid w:val="00AB09EF"/>
    <w:rsid w:val="00AB0F68"/>
    <w:rsid w:val="00AB0FCF"/>
    <w:rsid w:val="00AB1536"/>
    <w:rsid w:val="00AB1DD0"/>
    <w:rsid w:val="00AB1F29"/>
    <w:rsid w:val="00AB1FCB"/>
    <w:rsid w:val="00AB2AAC"/>
    <w:rsid w:val="00AB2C21"/>
    <w:rsid w:val="00AB2CDB"/>
    <w:rsid w:val="00AB2D63"/>
    <w:rsid w:val="00AB2E0F"/>
    <w:rsid w:val="00AB2FC0"/>
    <w:rsid w:val="00AB306A"/>
    <w:rsid w:val="00AB3A48"/>
    <w:rsid w:val="00AB3F4A"/>
    <w:rsid w:val="00AB4719"/>
    <w:rsid w:val="00AB4CCB"/>
    <w:rsid w:val="00AB4F92"/>
    <w:rsid w:val="00AB508C"/>
    <w:rsid w:val="00AB59F7"/>
    <w:rsid w:val="00AB5CAD"/>
    <w:rsid w:val="00AB6A96"/>
    <w:rsid w:val="00AB6E39"/>
    <w:rsid w:val="00AB6F08"/>
    <w:rsid w:val="00AB7027"/>
    <w:rsid w:val="00AB7038"/>
    <w:rsid w:val="00AB7629"/>
    <w:rsid w:val="00AB77AD"/>
    <w:rsid w:val="00AC0ED3"/>
    <w:rsid w:val="00AC11DB"/>
    <w:rsid w:val="00AC153D"/>
    <w:rsid w:val="00AC16F4"/>
    <w:rsid w:val="00AC1C5A"/>
    <w:rsid w:val="00AC1C65"/>
    <w:rsid w:val="00AC234E"/>
    <w:rsid w:val="00AC2508"/>
    <w:rsid w:val="00AC2A2B"/>
    <w:rsid w:val="00AC2A56"/>
    <w:rsid w:val="00AC2B05"/>
    <w:rsid w:val="00AC2B31"/>
    <w:rsid w:val="00AC3531"/>
    <w:rsid w:val="00AC4139"/>
    <w:rsid w:val="00AC43D2"/>
    <w:rsid w:val="00AC4561"/>
    <w:rsid w:val="00AC4917"/>
    <w:rsid w:val="00AC4F1E"/>
    <w:rsid w:val="00AC4FD7"/>
    <w:rsid w:val="00AC5292"/>
    <w:rsid w:val="00AC54E8"/>
    <w:rsid w:val="00AC5DD4"/>
    <w:rsid w:val="00AC63A0"/>
    <w:rsid w:val="00AC63C2"/>
    <w:rsid w:val="00AC65B3"/>
    <w:rsid w:val="00AC6DDC"/>
    <w:rsid w:val="00AC7837"/>
    <w:rsid w:val="00AD0D12"/>
    <w:rsid w:val="00AD0FB8"/>
    <w:rsid w:val="00AD1AAF"/>
    <w:rsid w:val="00AD1EF3"/>
    <w:rsid w:val="00AD3223"/>
    <w:rsid w:val="00AD34FD"/>
    <w:rsid w:val="00AD38F5"/>
    <w:rsid w:val="00AD4257"/>
    <w:rsid w:val="00AD4395"/>
    <w:rsid w:val="00AD43D6"/>
    <w:rsid w:val="00AD459D"/>
    <w:rsid w:val="00AD48E6"/>
    <w:rsid w:val="00AD4BE5"/>
    <w:rsid w:val="00AD509D"/>
    <w:rsid w:val="00AD5ABA"/>
    <w:rsid w:val="00AD601B"/>
    <w:rsid w:val="00AD6766"/>
    <w:rsid w:val="00AD6F37"/>
    <w:rsid w:val="00AD7218"/>
    <w:rsid w:val="00AD731A"/>
    <w:rsid w:val="00AD742D"/>
    <w:rsid w:val="00AD751B"/>
    <w:rsid w:val="00AD75A5"/>
    <w:rsid w:val="00AD76DD"/>
    <w:rsid w:val="00AE066D"/>
    <w:rsid w:val="00AE0F1E"/>
    <w:rsid w:val="00AE207E"/>
    <w:rsid w:val="00AE280D"/>
    <w:rsid w:val="00AE2AB5"/>
    <w:rsid w:val="00AE2C49"/>
    <w:rsid w:val="00AE3129"/>
    <w:rsid w:val="00AE3292"/>
    <w:rsid w:val="00AE3348"/>
    <w:rsid w:val="00AE342E"/>
    <w:rsid w:val="00AE3938"/>
    <w:rsid w:val="00AE39B4"/>
    <w:rsid w:val="00AE3ADB"/>
    <w:rsid w:val="00AE3E3F"/>
    <w:rsid w:val="00AE3ED9"/>
    <w:rsid w:val="00AE40B0"/>
    <w:rsid w:val="00AE4562"/>
    <w:rsid w:val="00AE4B5F"/>
    <w:rsid w:val="00AE4E5E"/>
    <w:rsid w:val="00AE5471"/>
    <w:rsid w:val="00AE5870"/>
    <w:rsid w:val="00AE5993"/>
    <w:rsid w:val="00AE6541"/>
    <w:rsid w:val="00AE6662"/>
    <w:rsid w:val="00AE6966"/>
    <w:rsid w:val="00AE6F8F"/>
    <w:rsid w:val="00AF0032"/>
    <w:rsid w:val="00AF04B5"/>
    <w:rsid w:val="00AF08A4"/>
    <w:rsid w:val="00AF08AB"/>
    <w:rsid w:val="00AF0AF6"/>
    <w:rsid w:val="00AF0CC6"/>
    <w:rsid w:val="00AF111D"/>
    <w:rsid w:val="00AF15F8"/>
    <w:rsid w:val="00AF1D98"/>
    <w:rsid w:val="00AF1E41"/>
    <w:rsid w:val="00AF2581"/>
    <w:rsid w:val="00AF2947"/>
    <w:rsid w:val="00AF2FE3"/>
    <w:rsid w:val="00AF31E2"/>
    <w:rsid w:val="00AF3560"/>
    <w:rsid w:val="00AF473F"/>
    <w:rsid w:val="00AF4898"/>
    <w:rsid w:val="00AF4943"/>
    <w:rsid w:val="00AF5728"/>
    <w:rsid w:val="00AF5EEE"/>
    <w:rsid w:val="00AF5EF2"/>
    <w:rsid w:val="00AF6016"/>
    <w:rsid w:val="00AF6858"/>
    <w:rsid w:val="00AF7867"/>
    <w:rsid w:val="00AF7F20"/>
    <w:rsid w:val="00B006ED"/>
    <w:rsid w:val="00B00CF7"/>
    <w:rsid w:val="00B01080"/>
    <w:rsid w:val="00B01804"/>
    <w:rsid w:val="00B01A08"/>
    <w:rsid w:val="00B01BE5"/>
    <w:rsid w:val="00B01E1E"/>
    <w:rsid w:val="00B020D1"/>
    <w:rsid w:val="00B0216A"/>
    <w:rsid w:val="00B021CB"/>
    <w:rsid w:val="00B02325"/>
    <w:rsid w:val="00B025F4"/>
    <w:rsid w:val="00B029EF"/>
    <w:rsid w:val="00B02EF2"/>
    <w:rsid w:val="00B0360C"/>
    <w:rsid w:val="00B03732"/>
    <w:rsid w:val="00B03CE6"/>
    <w:rsid w:val="00B03DB8"/>
    <w:rsid w:val="00B03EEF"/>
    <w:rsid w:val="00B042A1"/>
    <w:rsid w:val="00B0438C"/>
    <w:rsid w:val="00B043F8"/>
    <w:rsid w:val="00B04433"/>
    <w:rsid w:val="00B049E5"/>
    <w:rsid w:val="00B04B00"/>
    <w:rsid w:val="00B052CA"/>
    <w:rsid w:val="00B052DD"/>
    <w:rsid w:val="00B053D5"/>
    <w:rsid w:val="00B05543"/>
    <w:rsid w:val="00B05659"/>
    <w:rsid w:val="00B05CC5"/>
    <w:rsid w:val="00B05E4B"/>
    <w:rsid w:val="00B063E9"/>
    <w:rsid w:val="00B0650D"/>
    <w:rsid w:val="00B066FD"/>
    <w:rsid w:val="00B06E62"/>
    <w:rsid w:val="00B073C9"/>
    <w:rsid w:val="00B07602"/>
    <w:rsid w:val="00B103BA"/>
    <w:rsid w:val="00B10900"/>
    <w:rsid w:val="00B10A36"/>
    <w:rsid w:val="00B10D81"/>
    <w:rsid w:val="00B10E05"/>
    <w:rsid w:val="00B10E7C"/>
    <w:rsid w:val="00B110A7"/>
    <w:rsid w:val="00B1186E"/>
    <w:rsid w:val="00B1249C"/>
    <w:rsid w:val="00B12712"/>
    <w:rsid w:val="00B12AD5"/>
    <w:rsid w:val="00B12C9C"/>
    <w:rsid w:val="00B12FD4"/>
    <w:rsid w:val="00B13706"/>
    <w:rsid w:val="00B13CD2"/>
    <w:rsid w:val="00B14AF9"/>
    <w:rsid w:val="00B15033"/>
    <w:rsid w:val="00B15153"/>
    <w:rsid w:val="00B1584E"/>
    <w:rsid w:val="00B15C94"/>
    <w:rsid w:val="00B15CBE"/>
    <w:rsid w:val="00B15DB0"/>
    <w:rsid w:val="00B15E1F"/>
    <w:rsid w:val="00B161E7"/>
    <w:rsid w:val="00B165F5"/>
    <w:rsid w:val="00B16BC1"/>
    <w:rsid w:val="00B16E33"/>
    <w:rsid w:val="00B17AA1"/>
    <w:rsid w:val="00B17AF2"/>
    <w:rsid w:val="00B17C3C"/>
    <w:rsid w:val="00B17ED2"/>
    <w:rsid w:val="00B20AEB"/>
    <w:rsid w:val="00B215E2"/>
    <w:rsid w:val="00B2160F"/>
    <w:rsid w:val="00B21C4F"/>
    <w:rsid w:val="00B21E87"/>
    <w:rsid w:val="00B2275E"/>
    <w:rsid w:val="00B229A1"/>
    <w:rsid w:val="00B23408"/>
    <w:rsid w:val="00B23EDD"/>
    <w:rsid w:val="00B2471F"/>
    <w:rsid w:val="00B25DF1"/>
    <w:rsid w:val="00B262D6"/>
    <w:rsid w:val="00B26A5D"/>
    <w:rsid w:val="00B26B90"/>
    <w:rsid w:val="00B27185"/>
    <w:rsid w:val="00B271EB"/>
    <w:rsid w:val="00B2741F"/>
    <w:rsid w:val="00B30366"/>
    <w:rsid w:val="00B305B7"/>
    <w:rsid w:val="00B30671"/>
    <w:rsid w:val="00B31036"/>
    <w:rsid w:val="00B310BD"/>
    <w:rsid w:val="00B31216"/>
    <w:rsid w:val="00B323B3"/>
    <w:rsid w:val="00B3255D"/>
    <w:rsid w:val="00B3266F"/>
    <w:rsid w:val="00B32D84"/>
    <w:rsid w:val="00B3325E"/>
    <w:rsid w:val="00B3496F"/>
    <w:rsid w:val="00B34D6E"/>
    <w:rsid w:val="00B35925"/>
    <w:rsid w:val="00B359AE"/>
    <w:rsid w:val="00B35C21"/>
    <w:rsid w:val="00B35C5A"/>
    <w:rsid w:val="00B35E77"/>
    <w:rsid w:val="00B35EEE"/>
    <w:rsid w:val="00B36500"/>
    <w:rsid w:val="00B36527"/>
    <w:rsid w:val="00B37178"/>
    <w:rsid w:val="00B37267"/>
    <w:rsid w:val="00B3732E"/>
    <w:rsid w:val="00B37394"/>
    <w:rsid w:val="00B37B3B"/>
    <w:rsid w:val="00B37F15"/>
    <w:rsid w:val="00B40EDA"/>
    <w:rsid w:val="00B41115"/>
    <w:rsid w:val="00B414DC"/>
    <w:rsid w:val="00B4157C"/>
    <w:rsid w:val="00B419A8"/>
    <w:rsid w:val="00B41B0F"/>
    <w:rsid w:val="00B41BBD"/>
    <w:rsid w:val="00B42409"/>
    <w:rsid w:val="00B42466"/>
    <w:rsid w:val="00B42869"/>
    <w:rsid w:val="00B4333B"/>
    <w:rsid w:val="00B43510"/>
    <w:rsid w:val="00B4363B"/>
    <w:rsid w:val="00B4438C"/>
    <w:rsid w:val="00B44A84"/>
    <w:rsid w:val="00B4530D"/>
    <w:rsid w:val="00B45351"/>
    <w:rsid w:val="00B45A13"/>
    <w:rsid w:val="00B45C04"/>
    <w:rsid w:val="00B46207"/>
    <w:rsid w:val="00B46932"/>
    <w:rsid w:val="00B46D20"/>
    <w:rsid w:val="00B46EA4"/>
    <w:rsid w:val="00B474F6"/>
    <w:rsid w:val="00B47B8A"/>
    <w:rsid w:val="00B503C8"/>
    <w:rsid w:val="00B503D9"/>
    <w:rsid w:val="00B5073B"/>
    <w:rsid w:val="00B5081C"/>
    <w:rsid w:val="00B5085C"/>
    <w:rsid w:val="00B50CDA"/>
    <w:rsid w:val="00B50E31"/>
    <w:rsid w:val="00B51028"/>
    <w:rsid w:val="00B511E0"/>
    <w:rsid w:val="00B51ECC"/>
    <w:rsid w:val="00B52A52"/>
    <w:rsid w:val="00B53915"/>
    <w:rsid w:val="00B540BD"/>
    <w:rsid w:val="00B54A41"/>
    <w:rsid w:val="00B54BA3"/>
    <w:rsid w:val="00B55270"/>
    <w:rsid w:val="00B55ABF"/>
    <w:rsid w:val="00B55E38"/>
    <w:rsid w:val="00B55E92"/>
    <w:rsid w:val="00B56418"/>
    <w:rsid w:val="00B57AE0"/>
    <w:rsid w:val="00B57AE2"/>
    <w:rsid w:val="00B57C30"/>
    <w:rsid w:val="00B60140"/>
    <w:rsid w:val="00B60372"/>
    <w:rsid w:val="00B60A07"/>
    <w:rsid w:val="00B60C20"/>
    <w:rsid w:val="00B60FD3"/>
    <w:rsid w:val="00B61389"/>
    <w:rsid w:val="00B6164B"/>
    <w:rsid w:val="00B619E0"/>
    <w:rsid w:val="00B61AB8"/>
    <w:rsid w:val="00B621FB"/>
    <w:rsid w:val="00B630F3"/>
    <w:rsid w:val="00B63945"/>
    <w:rsid w:val="00B641C9"/>
    <w:rsid w:val="00B64A6F"/>
    <w:rsid w:val="00B65DCC"/>
    <w:rsid w:val="00B66559"/>
    <w:rsid w:val="00B666E7"/>
    <w:rsid w:val="00B66C3D"/>
    <w:rsid w:val="00B66D32"/>
    <w:rsid w:val="00B6716D"/>
    <w:rsid w:val="00B675C7"/>
    <w:rsid w:val="00B67745"/>
    <w:rsid w:val="00B67B9F"/>
    <w:rsid w:val="00B67EF6"/>
    <w:rsid w:val="00B702E7"/>
    <w:rsid w:val="00B705CA"/>
    <w:rsid w:val="00B7074F"/>
    <w:rsid w:val="00B71158"/>
    <w:rsid w:val="00B71B25"/>
    <w:rsid w:val="00B71F5F"/>
    <w:rsid w:val="00B724F9"/>
    <w:rsid w:val="00B7279A"/>
    <w:rsid w:val="00B727A9"/>
    <w:rsid w:val="00B7297E"/>
    <w:rsid w:val="00B729A6"/>
    <w:rsid w:val="00B72A3A"/>
    <w:rsid w:val="00B7350D"/>
    <w:rsid w:val="00B74400"/>
    <w:rsid w:val="00B74C0E"/>
    <w:rsid w:val="00B74D06"/>
    <w:rsid w:val="00B7549C"/>
    <w:rsid w:val="00B75971"/>
    <w:rsid w:val="00B759CE"/>
    <w:rsid w:val="00B759D1"/>
    <w:rsid w:val="00B75B66"/>
    <w:rsid w:val="00B76DEC"/>
    <w:rsid w:val="00B76E1A"/>
    <w:rsid w:val="00B77AC6"/>
    <w:rsid w:val="00B77FC5"/>
    <w:rsid w:val="00B8037F"/>
    <w:rsid w:val="00B803C6"/>
    <w:rsid w:val="00B80718"/>
    <w:rsid w:val="00B809BB"/>
    <w:rsid w:val="00B80C9D"/>
    <w:rsid w:val="00B819E4"/>
    <w:rsid w:val="00B81A81"/>
    <w:rsid w:val="00B81AB2"/>
    <w:rsid w:val="00B82215"/>
    <w:rsid w:val="00B824EF"/>
    <w:rsid w:val="00B83147"/>
    <w:rsid w:val="00B831FB"/>
    <w:rsid w:val="00B83430"/>
    <w:rsid w:val="00B836E2"/>
    <w:rsid w:val="00B83A61"/>
    <w:rsid w:val="00B83DEF"/>
    <w:rsid w:val="00B84627"/>
    <w:rsid w:val="00B84A96"/>
    <w:rsid w:val="00B85017"/>
    <w:rsid w:val="00B8503C"/>
    <w:rsid w:val="00B85E30"/>
    <w:rsid w:val="00B85F0A"/>
    <w:rsid w:val="00B860B3"/>
    <w:rsid w:val="00B865FA"/>
    <w:rsid w:val="00B86866"/>
    <w:rsid w:val="00B873EE"/>
    <w:rsid w:val="00B87584"/>
    <w:rsid w:val="00B87689"/>
    <w:rsid w:val="00B904A2"/>
    <w:rsid w:val="00B90A6C"/>
    <w:rsid w:val="00B90B55"/>
    <w:rsid w:val="00B9135C"/>
    <w:rsid w:val="00B9174A"/>
    <w:rsid w:val="00B920FD"/>
    <w:rsid w:val="00B92351"/>
    <w:rsid w:val="00B929B9"/>
    <w:rsid w:val="00B92CE7"/>
    <w:rsid w:val="00B92F54"/>
    <w:rsid w:val="00B92FF8"/>
    <w:rsid w:val="00B93006"/>
    <w:rsid w:val="00B93239"/>
    <w:rsid w:val="00B936AF"/>
    <w:rsid w:val="00B9375C"/>
    <w:rsid w:val="00B93901"/>
    <w:rsid w:val="00B9391B"/>
    <w:rsid w:val="00B9398A"/>
    <w:rsid w:val="00B940FA"/>
    <w:rsid w:val="00B94D6F"/>
    <w:rsid w:val="00B94E03"/>
    <w:rsid w:val="00B9506A"/>
    <w:rsid w:val="00B9587C"/>
    <w:rsid w:val="00B95CE8"/>
    <w:rsid w:val="00B95D7B"/>
    <w:rsid w:val="00B96014"/>
    <w:rsid w:val="00B96694"/>
    <w:rsid w:val="00B969BD"/>
    <w:rsid w:val="00B977C8"/>
    <w:rsid w:val="00BA086B"/>
    <w:rsid w:val="00BA089A"/>
    <w:rsid w:val="00BA0E8B"/>
    <w:rsid w:val="00BA14DB"/>
    <w:rsid w:val="00BA196F"/>
    <w:rsid w:val="00BA1D5D"/>
    <w:rsid w:val="00BA2173"/>
    <w:rsid w:val="00BA2BB5"/>
    <w:rsid w:val="00BA34DE"/>
    <w:rsid w:val="00BA5C91"/>
    <w:rsid w:val="00BA6160"/>
    <w:rsid w:val="00BA62B9"/>
    <w:rsid w:val="00BA651F"/>
    <w:rsid w:val="00BA6579"/>
    <w:rsid w:val="00BA6763"/>
    <w:rsid w:val="00BA6B19"/>
    <w:rsid w:val="00BA6CB7"/>
    <w:rsid w:val="00BA7C11"/>
    <w:rsid w:val="00BB00BC"/>
    <w:rsid w:val="00BB028E"/>
    <w:rsid w:val="00BB05CF"/>
    <w:rsid w:val="00BB0F4C"/>
    <w:rsid w:val="00BB1150"/>
    <w:rsid w:val="00BB1D2E"/>
    <w:rsid w:val="00BB248F"/>
    <w:rsid w:val="00BB261C"/>
    <w:rsid w:val="00BB278E"/>
    <w:rsid w:val="00BB34BE"/>
    <w:rsid w:val="00BB35CC"/>
    <w:rsid w:val="00BB3FA6"/>
    <w:rsid w:val="00BB4745"/>
    <w:rsid w:val="00BB47BA"/>
    <w:rsid w:val="00BB494A"/>
    <w:rsid w:val="00BB546B"/>
    <w:rsid w:val="00BB5A59"/>
    <w:rsid w:val="00BB5AD3"/>
    <w:rsid w:val="00BB5B4C"/>
    <w:rsid w:val="00BB5D9C"/>
    <w:rsid w:val="00BB5E15"/>
    <w:rsid w:val="00BB6DFA"/>
    <w:rsid w:val="00BB6F43"/>
    <w:rsid w:val="00BB7062"/>
    <w:rsid w:val="00BB7A7C"/>
    <w:rsid w:val="00BC0313"/>
    <w:rsid w:val="00BC0404"/>
    <w:rsid w:val="00BC0BC8"/>
    <w:rsid w:val="00BC0C86"/>
    <w:rsid w:val="00BC1433"/>
    <w:rsid w:val="00BC1984"/>
    <w:rsid w:val="00BC2167"/>
    <w:rsid w:val="00BC2489"/>
    <w:rsid w:val="00BC24C0"/>
    <w:rsid w:val="00BC26E4"/>
    <w:rsid w:val="00BC306F"/>
    <w:rsid w:val="00BC321D"/>
    <w:rsid w:val="00BC37F0"/>
    <w:rsid w:val="00BC3D39"/>
    <w:rsid w:val="00BC3E6B"/>
    <w:rsid w:val="00BC3F74"/>
    <w:rsid w:val="00BC3FA0"/>
    <w:rsid w:val="00BC4A7B"/>
    <w:rsid w:val="00BC54D0"/>
    <w:rsid w:val="00BC563D"/>
    <w:rsid w:val="00BC614C"/>
    <w:rsid w:val="00BC62B5"/>
    <w:rsid w:val="00BC6304"/>
    <w:rsid w:val="00BC63DF"/>
    <w:rsid w:val="00BC6739"/>
    <w:rsid w:val="00BC7165"/>
    <w:rsid w:val="00BC7C53"/>
    <w:rsid w:val="00BD01A8"/>
    <w:rsid w:val="00BD05EF"/>
    <w:rsid w:val="00BD0783"/>
    <w:rsid w:val="00BD0DED"/>
    <w:rsid w:val="00BD10F1"/>
    <w:rsid w:val="00BD155F"/>
    <w:rsid w:val="00BD1B5F"/>
    <w:rsid w:val="00BD1DB3"/>
    <w:rsid w:val="00BD273B"/>
    <w:rsid w:val="00BD2F56"/>
    <w:rsid w:val="00BD2F9B"/>
    <w:rsid w:val="00BD336A"/>
    <w:rsid w:val="00BD37CF"/>
    <w:rsid w:val="00BD3BF4"/>
    <w:rsid w:val="00BD3D8B"/>
    <w:rsid w:val="00BD4632"/>
    <w:rsid w:val="00BD4A15"/>
    <w:rsid w:val="00BD4A4A"/>
    <w:rsid w:val="00BD4D23"/>
    <w:rsid w:val="00BD4F9A"/>
    <w:rsid w:val="00BD57C7"/>
    <w:rsid w:val="00BD617C"/>
    <w:rsid w:val="00BD6810"/>
    <w:rsid w:val="00BD723F"/>
    <w:rsid w:val="00BD75C2"/>
    <w:rsid w:val="00BD76AB"/>
    <w:rsid w:val="00BD7B47"/>
    <w:rsid w:val="00BE0210"/>
    <w:rsid w:val="00BE02F3"/>
    <w:rsid w:val="00BE05FB"/>
    <w:rsid w:val="00BE0612"/>
    <w:rsid w:val="00BE0B24"/>
    <w:rsid w:val="00BE0C15"/>
    <w:rsid w:val="00BE1547"/>
    <w:rsid w:val="00BE17D1"/>
    <w:rsid w:val="00BE1A75"/>
    <w:rsid w:val="00BE1C6F"/>
    <w:rsid w:val="00BE26FA"/>
    <w:rsid w:val="00BE29BC"/>
    <w:rsid w:val="00BE3848"/>
    <w:rsid w:val="00BE3952"/>
    <w:rsid w:val="00BE3EA4"/>
    <w:rsid w:val="00BE512C"/>
    <w:rsid w:val="00BE51CE"/>
    <w:rsid w:val="00BE590A"/>
    <w:rsid w:val="00BE5E11"/>
    <w:rsid w:val="00BE5FBD"/>
    <w:rsid w:val="00BE6803"/>
    <w:rsid w:val="00BE6B22"/>
    <w:rsid w:val="00BE6B96"/>
    <w:rsid w:val="00BE6D6B"/>
    <w:rsid w:val="00BE6F5F"/>
    <w:rsid w:val="00BE7398"/>
    <w:rsid w:val="00BE73F6"/>
    <w:rsid w:val="00BE75D2"/>
    <w:rsid w:val="00BF06FB"/>
    <w:rsid w:val="00BF0D6D"/>
    <w:rsid w:val="00BF1148"/>
    <w:rsid w:val="00BF1313"/>
    <w:rsid w:val="00BF1370"/>
    <w:rsid w:val="00BF1372"/>
    <w:rsid w:val="00BF140F"/>
    <w:rsid w:val="00BF1B81"/>
    <w:rsid w:val="00BF1C17"/>
    <w:rsid w:val="00BF2F41"/>
    <w:rsid w:val="00BF301B"/>
    <w:rsid w:val="00BF3E38"/>
    <w:rsid w:val="00BF3EF7"/>
    <w:rsid w:val="00BF4DF1"/>
    <w:rsid w:val="00BF4E6A"/>
    <w:rsid w:val="00BF62A7"/>
    <w:rsid w:val="00BF754A"/>
    <w:rsid w:val="00C0043A"/>
    <w:rsid w:val="00C00D02"/>
    <w:rsid w:val="00C0157A"/>
    <w:rsid w:val="00C02C11"/>
    <w:rsid w:val="00C037C8"/>
    <w:rsid w:val="00C03BE4"/>
    <w:rsid w:val="00C03D45"/>
    <w:rsid w:val="00C03F42"/>
    <w:rsid w:val="00C0470F"/>
    <w:rsid w:val="00C04A4A"/>
    <w:rsid w:val="00C04C63"/>
    <w:rsid w:val="00C0521C"/>
    <w:rsid w:val="00C05385"/>
    <w:rsid w:val="00C05428"/>
    <w:rsid w:val="00C05BC9"/>
    <w:rsid w:val="00C05E82"/>
    <w:rsid w:val="00C0659A"/>
    <w:rsid w:val="00C068D6"/>
    <w:rsid w:val="00C069FE"/>
    <w:rsid w:val="00C07429"/>
    <w:rsid w:val="00C101D3"/>
    <w:rsid w:val="00C1033B"/>
    <w:rsid w:val="00C11018"/>
    <w:rsid w:val="00C11032"/>
    <w:rsid w:val="00C1118B"/>
    <w:rsid w:val="00C1158F"/>
    <w:rsid w:val="00C11B8E"/>
    <w:rsid w:val="00C12970"/>
    <w:rsid w:val="00C12DE5"/>
    <w:rsid w:val="00C12F0F"/>
    <w:rsid w:val="00C13469"/>
    <w:rsid w:val="00C14470"/>
    <w:rsid w:val="00C144F2"/>
    <w:rsid w:val="00C145CB"/>
    <w:rsid w:val="00C14822"/>
    <w:rsid w:val="00C156D8"/>
    <w:rsid w:val="00C1597C"/>
    <w:rsid w:val="00C15CEF"/>
    <w:rsid w:val="00C1664F"/>
    <w:rsid w:val="00C16712"/>
    <w:rsid w:val="00C168E3"/>
    <w:rsid w:val="00C16947"/>
    <w:rsid w:val="00C16A37"/>
    <w:rsid w:val="00C16B45"/>
    <w:rsid w:val="00C16FFC"/>
    <w:rsid w:val="00C1721E"/>
    <w:rsid w:val="00C17DD5"/>
    <w:rsid w:val="00C209F4"/>
    <w:rsid w:val="00C20F09"/>
    <w:rsid w:val="00C211DA"/>
    <w:rsid w:val="00C21792"/>
    <w:rsid w:val="00C217EF"/>
    <w:rsid w:val="00C220B9"/>
    <w:rsid w:val="00C22750"/>
    <w:rsid w:val="00C2315C"/>
    <w:rsid w:val="00C233FB"/>
    <w:rsid w:val="00C23A32"/>
    <w:rsid w:val="00C23E37"/>
    <w:rsid w:val="00C24A3A"/>
    <w:rsid w:val="00C24FC7"/>
    <w:rsid w:val="00C255B1"/>
    <w:rsid w:val="00C258AF"/>
    <w:rsid w:val="00C26122"/>
    <w:rsid w:val="00C26913"/>
    <w:rsid w:val="00C269CB"/>
    <w:rsid w:val="00C269D1"/>
    <w:rsid w:val="00C27126"/>
    <w:rsid w:val="00C27D8D"/>
    <w:rsid w:val="00C3019F"/>
    <w:rsid w:val="00C30695"/>
    <w:rsid w:val="00C32436"/>
    <w:rsid w:val="00C32AE9"/>
    <w:rsid w:val="00C3327E"/>
    <w:rsid w:val="00C338EE"/>
    <w:rsid w:val="00C3398C"/>
    <w:rsid w:val="00C33BC5"/>
    <w:rsid w:val="00C34269"/>
    <w:rsid w:val="00C342B6"/>
    <w:rsid w:val="00C344DE"/>
    <w:rsid w:val="00C34FA4"/>
    <w:rsid w:val="00C35138"/>
    <w:rsid w:val="00C35783"/>
    <w:rsid w:val="00C35FC3"/>
    <w:rsid w:val="00C3640F"/>
    <w:rsid w:val="00C366B7"/>
    <w:rsid w:val="00C36BFC"/>
    <w:rsid w:val="00C36C48"/>
    <w:rsid w:val="00C376A7"/>
    <w:rsid w:val="00C37764"/>
    <w:rsid w:val="00C37826"/>
    <w:rsid w:val="00C37FD5"/>
    <w:rsid w:val="00C403DD"/>
    <w:rsid w:val="00C4120B"/>
    <w:rsid w:val="00C414CC"/>
    <w:rsid w:val="00C41827"/>
    <w:rsid w:val="00C419ED"/>
    <w:rsid w:val="00C41C0E"/>
    <w:rsid w:val="00C42DA0"/>
    <w:rsid w:val="00C43002"/>
    <w:rsid w:val="00C43129"/>
    <w:rsid w:val="00C4351C"/>
    <w:rsid w:val="00C43E06"/>
    <w:rsid w:val="00C44835"/>
    <w:rsid w:val="00C4508D"/>
    <w:rsid w:val="00C45374"/>
    <w:rsid w:val="00C45405"/>
    <w:rsid w:val="00C456D3"/>
    <w:rsid w:val="00C45A0B"/>
    <w:rsid w:val="00C45FB1"/>
    <w:rsid w:val="00C46473"/>
    <w:rsid w:val="00C46572"/>
    <w:rsid w:val="00C46845"/>
    <w:rsid w:val="00C46F1A"/>
    <w:rsid w:val="00C472A6"/>
    <w:rsid w:val="00C4736B"/>
    <w:rsid w:val="00C479CB"/>
    <w:rsid w:val="00C47EB9"/>
    <w:rsid w:val="00C47F9C"/>
    <w:rsid w:val="00C50630"/>
    <w:rsid w:val="00C5077F"/>
    <w:rsid w:val="00C50A15"/>
    <w:rsid w:val="00C50ABA"/>
    <w:rsid w:val="00C50CD5"/>
    <w:rsid w:val="00C50E80"/>
    <w:rsid w:val="00C51249"/>
    <w:rsid w:val="00C514DB"/>
    <w:rsid w:val="00C514EC"/>
    <w:rsid w:val="00C53C92"/>
    <w:rsid w:val="00C540F9"/>
    <w:rsid w:val="00C543CE"/>
    <w:rsid w:val="00C54473"/>
    <w:rsid w:val="00C54A78"/>
    <w:rsid w:val="00C54AEA"/>
    <w:rsid w:val="00C54F17"/>
    <w:rsid w:val="00C55337"/>
    <w:rsid w:val="00C558EF"/>
    <w:rsid w:val="00C559C9"/>
    <w:rsid w:val="00C55D2C"/>
    <w:rsid w:val="00C57631"/>
    <w:rsid w:val="00C604B3"/>
    <w:rsid w:val="00C608A6"/>
    <w:rsid w:val="00C60C65"/>
    <w:rsid w:val="00C6174C"/>
    <w:rsid w:val="00C61A8C"/>
    <w:rsid w:val="00C61C74"/>
    <w:rsid w:val="00C61F43"/>
    <w:rsid w:val="00C62275"/>
    <w:rsid w:val="00C6266B"/>
    <w:rsid w:val="00C62929"/>
    <w:rsid w:val="00C629BF"/>
    <w:rsid w:val="00C62C65"/>
    <w:rsid w:val="00C62D70"/>
    <w:rsid w:val="00C6332B"/>
    <w:rsid w:val="00C64324"/>
    <w:rsid w:val="00C6483B"/>
    <w:rsid w:val="00C64DA8"/>
    <w:rsid w:val="00C64F3F"/>
    <w:rsid w:val="00C651FA"/>
    <w:rsid w:val="00C65374"/>
    <w:rsid w:val="00C65908"/>
    <w:rsid w:val="00C6714D"/>
    <w:rsid w:val="00C676F4"/>
    <w:rsid w:val="00C67CAF"/>
    <w:rsid w:val="00C67E51"/>
    <w:rsid w:val="00C67EE8"/>
    <w:rsid w:val="00C70269"/>
    <w:rsid w:val="00C708DB"/>
    <w:rsid w:val="00C70EE1"/>
    <w:rsid w:val="00C7124A"/>
    <w:rsid w:val="00C71580"/>
    <w:rsid w:val="00C71D73"/>
    <w:rsid w:val="00C73125"/>
    <w:rsid w:val="00C735B8"/>
    <w:rsid w:val="00C7365B"/>
    <w:rsid w:val="00C738DD"/>
    <w:rsid w:val="00C73E36"/>
    <w:rsid w:val="00C75AB3"/>
    <w:rsid w:val="00C76AA1"/>
    <w:rsid w:val="00C7734F"/>
    <w:rsid w:val="00C77CAC"/>
    <w:rsid w:val="00C81711"/>
    <w:rsid w:val="00C821CA"/>
    <w:rsid w:val="00C82331"/>
    <w:rsid w:val="00C82626"/>
    <w:rsid w:val="00C82B98"/>
    <w:rsid w:val="00C82E54"/>
    <w:rsid w:val="00C84AED"/>
    <w:rsid w:val="00C84E2F"/>
    <w:rsid w:val="00C8502F"/>
    <w:rsid w:val="00C8561A"/>
    <w:rsid w:val="00C856EF"/>
    <w:rsid w:val="00C857A0"/>
    <w:rsid w:val="00C85938"/>
    <w:rsid w:val="00C861FD"/>
    <w:rsid w:val="00C86607"/>
    <w:rsid w:val="00C8694C"/>
    <w:rsid w:val="00C8695C"/>
    <w:rsid w:val="00C8696D"/>
    <w:rsid w:val="00C86BD3"/>
    <w:rsid w:val="00C87084"/>
    <w:rsid w:val="00C87814"/>
    <w:rsid w:val="00C87AA5"/>
    <w:rsid w:val="00C904EC"/>
    <w:rsid w:val="00C907E0"/>
    <w:rsid w:val="00C908F0"/>
    <w:rsid w:val="00C90A7E"/>
    <w:rsid w:val="00C90EF6"/>
    <w:rsid w:val="00C91084"/>
    <w:rsid w:val="00C91911"/>
    <w:rsid w:val="00C91AF9"/>
    <w:rsid w:val="00C92839"/>
    <w:rsid w:val="00C930FA"/>
    <w:rsid w:val="00C93618"/>
    <w:rsid w:val="00C93938"/>
    <w:rsid w:val="00C93E4B"/>
    <w:rsid w:val="00C9469F"/>
    <w:rsid w:val="00C94818"/>
    <w:rsid w:val="00C94D3C"/>
    <w:rsid w:val="00C95666"/>
    <w:rsid w:val="00C9566A"/>
    <w:rsid w:val="00C95CF4"/>
    <w:rsid w:val="00C96085"/>
    <w:rsid w:val="00C962A4"/>
    <w:rsid w:val="00C9664A"/>
    <w:rsid w:val="00C96B65"/>
    <w:rsid w:val="00C96C32"/>
    <w:rsid w:val="00C96CAB"/>
    <w:rsid w:val="00C96E92"/>
    <w:rsid w:val="00C9736F"/>
    <w:rsid w:val="00C97513"/>
    <w:rsid w:val="00CA020D"/>
    <w:rsid w:val="00CA066F"/>
    <w:rsid w:val="00CA11C9"/>
    <w:rsid w:val="00CA13FF"/>
    <w:rsid w:val="00CA1A5B"/>
    <w:rsid w:val="00CA206F"/>
    <w:rsid w:val="00CA290B"/>
    <w:rsid w:val="00CA2995"/>
    <w:rsid w:val="00CA364F"/>
    <w:rsid w:val="00CA3760"/>
    <w:rsid w:val="00CA38B3"/>
    <w:rsid w:val="00CA39A2"/>
    <w:rsid w:val="00CA3C48"/>
    <w:rsid w:val="00CA46BE"/>
    <w:rsid w:val="00CA4C66"/>
    <w:rsid w:val="00CA4E23"/>
    <w:rsid w:val="00CA58EE"/>
    <w:rsid w:val="00CA6022"/>
    <w:rsid w:val="00CA64B3"/>
    <w:rsid w:val="00CA6DCC"/>
    <w:rsid w:val="00CA7181"/>
    <w:rsid w:val="00CB0009"/>
    <w:rsid w:val="00CB0A09"/>
    <w:rsid w:val="00CB16B5"/>
    <w:rsid w:val="00CB1A58"/>
    <w:rsid w:val="00CB2048"/>
    <w:rsid w:val="00CB3002"/>
    <w:rsid w:val="00CB4405"/>
    <w:rsid w:val="00CB4561"/>
    <w:rsid w:val="00CB4A47"/>
    <w:rsid w:val="00CB4B16"/>
    <w:rsid w:val="00CB4BD6"/>
    <w:rsid w:val="00CB4D61"/>
    <w:rsid w:val="00CB4DF8"/>
    <w:rsid w:val="00CB4EB5"/>
    <w:rsid w:val="00CB4F77"/>
    <w:rsid w:val="00CB5480"/>
    <w:rsid w:val="00CB57AB"/>
    <w:rsid w:val="00CB580A"/>
    <w:rsid w:val="00CB6032"/>
    <w:rsid w:val="00CB6406"/>
    <w:rsid w:val="00CB6E0D"/>
    <w:rsid w:val="00CB74DD"/>
    <w:rsid w:val="00CB7580"/>
    <w:rsid w:val="00CB76C3"/>
    <w:rsid w:val="00CB7728"/>
    <w:rsid w:val="00CB776D"/>
    <w:rsid w:val="00CB7D6C"/>
    <w:rsid w:val="00CB7DE1"/>
    <w:rsid w:val="00CC0005"/>
    <w:rsid w:val="00CC02B8"/>
    <w:rsid w:val="00CC0CC4"/>
    <w:rsid w:val="00CC2437"/>
    <w:rsid w:val="00CC26AA"/>
    <w:rsid w:val="00CC298F"/>
    <w:rsid w:val="00CC3186"/>
    <w:rsid w:val="00CC33A1"/>
    <w:rsid w:val="00CC3763"/>
    <w:rsid w:val="00CC4039"/>
    <w:rsid w:val="00CC4356"/>
    <w:rsid w:val="00CC4473"/>
    <w:rsid w:val="00CC46BC"/>
    <w:rsid w:val="00CC4C1E"/>
    <w:rsid w:val="00CC4E63"/>
    <w:rsid w:val="00CC5224"/>
    <w:rsid w:val="00CC61E5"/>
    <w:rsid w:val="00CC6584"/>
    <w:rsid w:val="00CC7018"/>
    <w:rsid w:val="00CC796D"/>
    <w:rsid w:val="00CC7D63"/>
    <w:rsid w:val="00CC7F77"/>
    <w:rsid w:val="00CD0017"/>
    <w:rsid w:val="00CD00C3"/>
    <w:rsid w:val="00CD0498"/>
    <w:rsid w:val="00CD15FF"/>
    <w:rsid w:val="00CD1A61"/>
    <w:rsid w:val="00CD1D13"/>
    <w:rsid w:val="00CD2878"/>
    <w:rsid w:val="00CD2DFA"/>
    <w:rsid w:val="00CD415D"/>
    <w:rsid w:val="00CD4219"/>
    <w:rsid w:val="00CD45D9"/>
    <w:rsid w:val="00CD4715"/>
    <w:rsid w:val="00CD4A91"/>
    <w:rsid w:val="00CD4CC3"/>
    <w:rsid w:val="00CD55ED"/>
    <w:rsid w:val="00CD5788"/>
    <w:rsid w:val="00CD584D"/>
    <w:rsid w:val="00CD5FF7"/>
    <w:rsid w:val="00CD619A"/>
    <w:rsid w:val="00CD62B7"/>
    <w:rsid w:val="00CD62D2"/>
    <w:rsid w:val="00CD634C"/>
    <w:rsid w:val="00CD7FDB"/>
    <w:rsid w:val="00CE00BD"/>
    <w:rsid w:val="00CE0203"/>
    <w:rsid w:val="00CE06A3"/>
    <w:rsid w:val="00CE078E"/>
    <w:rsid w:val="00CE080B"/>
    <w:rsid w:val="00CE0814"/>
    <w:rsid w:val="00CE0A40"/>
    <w:rsid w:val="00CE0D9A"/>
    <w:rsid w:val="00CE164B"/>
    <w:rsid w:val="00CE1775"/>
    <w:rsid w:val="00CE181D"/>
    <w:rsid w:val="00CE1AA0"/>
    <w:rsid w:val="00CE1C59"/>
    <w:rsid w:val="00CE1F4C"/>
    <w:rsid w:val="00CE2139"/>
    <w:rsid w:val="00CE215F"/>
    <w:rsid w:val="00CE2327"/>
    <w:rsid w:val="00CE248C"/>
    <w:rsid w:val="00CE2F47"/>
    <w:rsid w:val="00CE46FB"/>
    <w:rsid w:val="00CE4D09"/>
    <w:rsid w:val="00CE548A"/>
    <w:rsid w:val="00CE644C"/>
    <w:rsid w:val="00CE67FD"/>
    <w:rsid w:val="00CE6802"/>
    <w:rsid w:val="00CE6867"/>
    <w:rsid w:val="00CE6D8A"/>
    <w:rsid w:val="00CE6F59"/>
    <w:rsid w:val="00CE735F"/>
    <w:rsid w:val="00CE7FDC"/>
    <w:rsid w:val="00CF00FE"/>
    <w:rsid w:val="00CF0C44"/>
    <w:rsid w:val="00CF1331"/>
    <w:rsid w:val="00CF1660"/>
    <w:rsid w:val="00CF1E15"/>
    <w:rsid w:val="00CF2BF0"/>
    <w:rsid w:val="00CF30F9"/>
    <w:rsid w:val="00CF326C"/>
    <w:rsid w:val="00CF35AE"/>
    <w:rsid w:val="00CF415E"/>
    <w:rsid w:val="00CF47C2"/>
    <w:rsid w:val="00CF48FF"/>
    <w:rsid w:val="00CF4E42"/>
    <w:rsid w:val="00CF4FEA"/>
    <w:rsid w:val="00CF548F"/>
    <w:rsid w:val="00CF569B"/>
    <w:rsid w:val="00CF7569"/>
    <w:rsid w:val="00CF7B0F"/>
    <w:rsid w:val="00CF7CE5"/>
    <w:rsid w:val="00D0066E"/>
    <w:rsid w:val="00D00A1A"/>
    <w:rsid w:val="00D00C83"/>
    <w:rsid w:val="00D00D68"/>
    <w:rsid w:val="00D00DEA"/>
    <w:rsid w:val="00D01645"/>
    <w:rsid w:val="00D01A3C"/>
    <w:rsid w:val="00D028C4"/>
    <w:rsid w:val="00D02939"/>
    <w:rsid w:val="00D0297A"/>
    <w:rsid w:val="00D03144"/>
    <w:rsid w:val="00D043F0"/>
    <w:rsid w:val="00D048F2"/>
    <w:rsid w:val="00D0526C"/>
    <w:rsid w:val="00D05799"/>
    <w:rsid w:val="00D057FC"/>
    <w:rsid w:val="00D07795"/>
    <w:rsid w:val="00D07BA8"/>
    <w:rsid w:val="00D10735"/>
    <w:rsid w:val="00D10EA6"/>
    <w:rsid w:val="00D11B93"/>
    <w:rsid w:val="00D11DD0"/>
    <w:rsid w:val="00D122C3"/>
    <w:rsid w:val="00D124D7"/>
    <w:rsid w:val="00D127C3"/>
    <w:rsid w:val="00D12BF1"/>
    <w:rsid w:val="00D12C6B"/>
    <w:rsid w:val="00D1389F"/>
    <w:rsid w:val="00D13A3B"/>
    <w:rsid w:val="00D13E0C"/>
    <w:rsid w:val="00D14E2A"/>
    <w:rsid w:val="00D15396"/>
    <w:rsid w:val="00D15A0F"/>
    <w:rsid w:val="00D15D61"/>
    <w:rsid w:val="00D161D7"/>
    <w:rsid w:val="00D163E3"/>
    <w:rsid w:val="00D16A65"/>
    <w:rsid w:val="00D17099"/>
    <w:rsid w:val="00D17417"/>
    <w:rsid w:val="00D1753F"/>
    <w:rsid w:val="00D175E9"/>
    <w:rsid w:val="00D20167"/>
    <w:rsid w:val="00D20E01"/>
    <w:rsid w:val="00D210A0"/>
    <w:rsid w:val="00D21247"/>
    <w:rsid w:val="00D2159B"/>
    <w:rsid w:val="00D21E46"/>
    <w:rsid w:val="00D2216C"/>
    <w:rsid w:val="00D223B5"/>
    <w:rsid w:val="00D2292E"/>
    <w:rsid w:val="00D22CCC"/>
    <w:rsid w:val="00D2303F"/>
    <w:rsid w:val="00D23972"/>
    <w:rsid w:val="00D239CD"/>
    <w:rsid w:val="00D23B06"/>
    <w:rsid w:val="00D23CF2"/>
    <w:rsid w:val="00D2489D"/>
    <w:rsid w:val="00D24B89"/>
    <w:rsid w:val="00D24D53"/>
    <w:rsid w:val="00D25245"/>
    <w:rsid w:val="00D25418"/>
    <w:rsid w:val="00D25789"/>
    <w:rsid w:val="00D25AFA"/>
    <w:rsid w:val="00D25CB8"/>
    <w:rsid w:val="00D25D43"/>
    <w:rsid w:val="00D25E67"/>
    <w:rsid w:val="00D25FC4"/>
    <w:rsid w:val="00D26195"/>
    <w:rsid w:val="00D27A6C"/>
    <w:rsid w:val="00D30AB3"/>
    <w:rsid w:val="00D30AF4"/>
    <w:rsid w:val="00D30E5E"/>
    <w:rsid w:val="00D3180D"/>
    <w:rsid w:val="00D31B9E"/>
    <w:rsid w:val="00D31E9A"/>
    <w:rsid w:val="00D325E5"/>
    <w:rsid w:val="00D326E9"/>
    <w:rsid w:val="00D32DD1"/>
    <w:rsid w:val="00D334C4"/>
    <w:rsid w:val="00D3479F"/>
    <w:rsid w:val="00D347BE"/>
    <w:rsid w:val="00D35388"/>
    <w:rsid w:val="00D35D6D"/>
    <w:rsid w:val="00D35F5F"/>
    <w:rsid w:val="00D36035"/>
    <w:rsid w:val="00D36118"/>
    <w:rsid w:val="00D362B3"/>
    <w:rsid w:val="00D3634E"/>
    <w:rsid w:val="00D36543"/>
    <w:rsid w:val="00D367FC"/>
    <w:rsid w:val="00D36909"/>
    <w:rsid w:val="00D36C6E"/>
    <w:rsid w:val="00D36F8F"/>
    <w:rsid w:val="00D36FDA"/>
    <w:rsid w:val="00D373AA"/>
    <w:rsid w:val="00D37BD0"/>
    <w:rsid w:val="00D37FA5"/>
    <w:rsid w:val="00D403DE"/>
    <w:rsid w:val="00D40F28"/>
    <w:rsid w:val="00D40FA8"/>
    <w:rsid w:val="00D41809"/>
    <w:rsid w:val="00D41DA8"/>
    <w:rsid w:val="00D41FD5"/>
    <w:rsid w:val="00D42035"/>
    <w:rsid w:val="00D42274"/>
    <w:rsid w:val="00D4269C"/>
    <w:rsid w:val="00D42709"/>
    <w:rsid w:val="00D42BDF"/>
    <w:rsid w:val="00D42CFB"/>
    <w:rsid w:val="00D42E9C"/>
    <w:rsid w:val="00D433EC"/>
    <w:rsid w:val="00D437AF"/>
    <w:rsid w:val="00D437DD"/>
    <w:rsid w:val="00D43B1B"/>
    <w:rsid w:val="00D43B7D"/>
    <w:rsid w:val="00D44316"/>
    <w:rsid w:val="00D448BE"/>
    <w:rsid w:val="00D4560A"/>
    <w:rsid w:val="00D45BB0"/>
    <w:rsid w:val="00D46779"/>
    <w:rsid w:val="00D47255"/>
    <w:rsid w:val="00D47320"/>
    <w:rsid w:val="00D47499"/>
    <w:rsid w:val="00D4780D"/>
    <w:rsid w:val="00D47E51"/>
    <w:rsid w:val="00D50D77"/>
    <w:rsid w:val="00D50EDB"/>
    <w:rsid w:val="00D518E7"/>
    <w:rsid w:val="00D51A8A"/>
    <w:rsid w:val="00D52036"/>
    <w:rsid w:val="00D528AF"/>
    <w:rsid w:val="00D52CCC"/>
    <w:rsid w:val="00D52E64"/>
    <w:rsid w:val="00D52F09"/>
    <w:rsid w:val="00D53435"/>
    <w:rsid w:val="00D5368A"/>
    <w:rsid w:val="00D53A68"/>
    <w:rsid w:val="00D54105"/>
    <w:rsid w:val="00D542DC"/>
    <w:rsid w:val="00D546F7"/>
    <w:rsid w:val="00D54D14"/>
    <w:rsid w:val="00D55DEC"/>
    <w:rsid w:val="00D55F9C"/>
    <w:rsid w:val="00D56699"/>
    <w:rsid w:val="00D566D8"/>
    <w:rsid w:val="00D56B22"/>
    <w:rsid w:val="00D56EE3"/>
    <w:rsid w:val="00D5705B"/>
    <w:rsid w:val="00D578D3"/>
    <w:rsid w:val="00D57B27"/>
    <w:rsid w:val="00D57BE4"/>
    <w:rsid w:val="00D57CB4"/>
    <w:rsid w:val="00D60000"/>
    <w:rsid w:val="00D60202"/>
    <w:rsid w:val="00D62343"/>
    <w:rsid w:val="00D63090"/>
    <w:rsid w:val="00D630B0"/>
    <w:rsid w:val="00D6362C"/>
    <w:rsid w:val="00D63BA0"/>
    <w:rsid w:val="00D63CA0"/>
    <w:rsid w:val="00D6419A"/>
    <w:rsid w:val="00D642E7"/>
    <w:rsid w:val="00D6450D"/>
    <w:rsid w:val="00D657E0"/>
    <w:rsid w:val="00D659A8"/>
    <w:rsid w:val="00D66599"/>
    <w:rsid w:val="00D66821"/>
    <w:rsid w:val="00D66AF8"/>
    <w:rsid w:val="00D66C30"/>
    <w:rsid w:val="00D6799E"/>
    <w:rsid w:val="00D703CB"/>
    <w:rsid w:val="00D706D6"/>
    <w:rsid w:val="00D70711"/>
    <w:rsid w:val="00D70A77"/>
    <w:rsid w:val="00D70FA8"/>
    <w:rsid w:val="00D715CB"/>
    <w:rsid w:val="00D71794"/>
    <w:rsid w:val="00D7179D"/>
    <w:rsid w:val="00D717B2"/>
    <w:rsid w:val="00D71CA3"/>
    <w:rsid w:val="00D725DD"/>
    <w:rsid w:val="00D72DA2"/>
    <w:rsid w:val="00D72E35"/>
    <w:rsid w:val="00D732D5"/>
    <w:rsid w:val="00D738AB"/>
    <w:rsid w:val="00D743C9"/>
    <w:rsid w:val="00D7459D"/>
    <w:rsid w:val="00D74DA2"/>
    <w:rsid w:val="00D756B8"/>
    <w:rsid w:val="00D75BC0"/>
    <w:rsid w:val="00D75CBC"/>
    <w:rsid w:val="00D75E7F"/>
    <w:rsid w:val="00D767A9"/>
    <w:rsid w:val="00D769F7"/>
    <w:rsid w:val="00D77033"/>
    <w:rsid w:val="00D7719B"/>
    <w:rsid w:val="00D77486"/>
    <w:rsid w:val="00D7748E"/>
    <w:rsid w:val="00D801F1"/>
    <w:rsid w:val="00D804F9"/>
    <w:rsid w:val="00D80624"/>
    <w:rsid w:val="00D8063E"/>
    <w:rsid w:val="00D80A44"/>
    <w:rsid w:val="00D80AFA"/>
    <w:rsid w:val="00D80D71"/>
    <w:rsid w:val="00D81936"/>
    <w:rsid w:val="00D819E3"/>
    <w:rsid w:val="00D81AD4"/>
    <w:rsid w:val="00D81BD3"/>
    <w:rsid w:val="00D82431"/>
    <w:rsid w:val="00D82671"/>
    <w:rsid w:val="00D82894"/>
    <w:rsid w:val="00D82A86"/>
    <w:rsid w:val="00D82B71"/>
    <w:rsid w:val="00D82EBB"/>
    <w:rsid w:val="00D8328F"/>
    <w:rsid w:val="00D83A5C"/>
    <w:rsid w:val="00D844E0"/>
    <w:rsid w:val="00D845BB"/>
    <w:rsid w:val="00D845EE"/>
    <w:rsid w:val="00D84936"/>
    <w:rsid w:val="00D84950"/>
    <w:rsid w:val="00D8497D"/>
    <w:rsid w:val="00D851A8"/>
    <w:rsid w:val="00D855F8"/>
    <w:rsid w:val="00D859EF"/>
    <w:rsid w:val="00D85DC8"/>
    <w:rsid w:val="00D86490"/>
    <w:rsid w:val="00D8703A"/>
    <w:rsid w:val="00D8708E"/>
    <w:rsid w:val="00D871C7"/>
    <w:rsid w:val="00D875FA"/>
    <w:rsid w:val="00D87ACF"/>
    <w:rsid w:val="00D90588"/>
    <w:rsid w:val="00D90964"/>
    <w:rsid w:val="00D90FB0"/>
    <w:rsid w:val="00D91233"/>
    <w:rsid w:val="00D9202F"/>
    <w:rsid w:val="00D9210F"/>
    <w:rsid w:val="00D92FAC"/>
    <w:rsid w:val="00D934A7"/>
    <w:rsid w:val="00D935E8"/>
    <w:rsid w:val="00D93FC5"/>
    <w:rsid w:val="00D93FCC"/>
    <w:rsid w:val="00D94CAB"/>
    <w:rsid w:val="00D95305"/>
    <w:rsid w:val="00D966E2"/>
    <w:rsid w:val="00D9684E"/>
    <w:rsid w:val="00D96E8F"/>
    <w:rsid w:val="00D973F2"/>
    <w:rsid w:val="00D9779E"/>
    <w:rsid w:val="00D977DE"/>
    <w:rsid w:val="00D97C2B"/>
    <w:rsid w:val="00D97D03"/>
    <w:rsid w:val="00DA01A3"/>
    <w:rsid w:val="00DA0B8E"/>
    <w:rsid w:val="00DA1427"/>
    <w:rsid w:val="00DA1825"/>
    <w:rsid w:val="00DA1AA8"/>
    <w:rsid w:val="00DA1C9D"/>
    <w:rsid w:val="00DA20F2"/>
    <w:rsid w:val="00DA24E7"/>
    <w:rsid w:val="00DA2555"/>
    <w:rsid w:val="00DA25B2"/>
    <w:rsid w:val="00DA25CE"/>
    <w:rsid w:val="00DA265A"/>
    <w:rsid w:val="00DA2665"/>
    <w:rsid w:val="00DA27DB"/>
    <w:rsid w:val="00DA2900"/>
    <w:rsid w:val="00DA29F9"/>
    <w:rsid w:val="00DA2F36"/>
    <w:rsid w:val="00DA3042"/>
    <w:rsid w:val="00DA32FD"/>
    <w:rsid w:val="00DA39F0"/>
    <w:rsid w:val="00DA3AE0"/>
    <w:rsid w:val="00DA3CC0"/>
    <w:rsid w:val="00DA4993"/>
    <w:rsid w:val="00DA4C13"/>
    <w:rsid w:val="00DA4F14"/>
    <w:rsid w:val="00DA4FDD"/>
    <w:rsid w:val="00DA588E"/>
    <w:rsid w:val="00DA5C8C"/>
    <w:rsid w:val="00DA5C9B"/>
    <w:rsid w:val="00DA5E1E"/>
    <w:rsid w:val="00DA622B"/>
    <w:rsid w:val="00DA6494"/>
    <w:rsid w:val="00DA70B2"/>
    <w:rsid w:val="00DA727D"/>
    <w:rsid w:val="00DA784F"/>
    <w:rsid w:val="00DA7873"/>
    <w:rsid w:val="00DA7EE5"/>
    <w:rsid w:val="00DB0748"/>
    <w:rsid w:val="00DB109B"/>
    <w:rsid w:val="00DB1117"/>
    <w:rsid w:val="00DB16C4"/>
    <w:rsid w:val="00DB1744"/>
    <w:rsid w:val="00DB26DC"/>
    <w:rsid w:val="00DB2A96"/>
    <w:rsid w:val="00DB2D53"/>
    <w:rsid w:val="00DB322A"/>
    <w:rsid w:val="00DB3297"/>
    <w:rsid w:val="00DB4BB4"/>
    <w:rsid w:val="00DB57AC"/>
    <w:rsid w:val="00DB5F79"/>
    <w:rsid w:val="00DB61CE"/>
    <w:rsid w:val="00DB6814"/>
    <w:rsid w:val="00DB6907"/>
    <w:rsid w:val="00DB6BC6"/>
    <w:rsid w:val="00DB75F6"/>
    <w:rsid w:val="00DC009C"/>
    <w:rsid w:val="00DC0A93"/>
    <w:rsid w:val="00DC0D69"/>
    <w:rsid w:val="00DC1186"/>
    <w:rsid w:val="00DC123B"/>
    <w:rsid w:val="00DC147A"/>
    <w:rsid w:val="00DC252A"/>
    <w:rsid w:val="00DC26B6"/>
    <w:rsid w:val="00DC354C"/>
    <w:rsid w:val="00DC48F1"/>
    <w:rsid w:val="00DC52A7"/>
    <w:rsid w:val="00DC5CD3"/>
    <w:rsid w:val="00DC5E7C"/>
    <w:rsid w:val="00DC5E7E"/>
    <w:rsid w:val="00DC62BA"/>
    <w:rsid w:val="00DC6D7F"/>
    <w:rsid w:val="00DC72EB"/>
    <w:rsid w:val="00DC76DE"/>
    <w:rsid w:val="00DC7721"/>
    <w:rsid w:val="00DC7AED"/>
    <w:rsid w:val="00DC7E48"/>
    <w:rsid w:val="00DC7EB3"/>
    <w:rsid w:val="00DC7EC5"/>
    <w:rsid w:val="00DD05BA"/>
    <w:rsid w:val="00DD06CE"/>
    <w:rsid w:val="00DD0A06"/>
    <w:rsid w:val="00DD1557"/>
    <w:rsid w:val="00DD160F"/>
    <w:rsid w:val="00DD16D9"/>
    <w:rsid w:val="00DD1A56"/>
    <w:rsid w:val="00DD1CF9"/>
    <w:rsid w:val="00DD1EB3"/>
    <w:rsid w:val="00DD1F70"/>
    <w:rsid w:val="00DD20CF"/>
    <w:rsid w:val="00DD22AC"/>
    <w:rsid w:val="00DD22E0"/>
    <w:rsid w:val="00DD2593"/>
    <w:rsid w:val="00DD277F"/>
    <w:rsid w:val="00DD2BCC"/>
    <w:rsid w:val="00DD3001"/>
    <w:rsid w:val="00DD3280"/>
    <w:rsid w:val="00DD333A"/>
    <w:rsid w:val="00DD363E"/>
    <w:rsid w:val="00DD3BC9"/>
    <w:rsid w:val="00DD3ED1"/>
    <w:rsid w:val="00DD43AC"/>
    <w:rsid w:val="00DD43D9"/>
    <w:rsid w:val="00DD5346"/>
    <w:rsid w:val="00DD573F"/>
    <w:rsid w:val="00DD5AE1"/>
    <w:rsid w:val="00DD5EC3"/>
    <w:rsid w:val="00DD626E"/>
    <w:rsid w:val="00DE0570"/>
    <w:rsid w:val="00DE1626"/>
    <w:rsid w:val="00DE18EE"/>
    <w:rsid w:val="00DE18F6"/>
    <w:rsid w:val="00DE1D00"/>
    <w:rsid w:val="00DE2833"/>
    <w:rsid w:val="00DE2B66"/>
    <w:rsid w:val="00DE2E40"/>
    <w:rsid w:val="00DE2FB6"/>
    <w:rsid w:val="00DE316B"/>
    <w:rsid w:val="00DE4727"/>
    <w:rsid w:val="00DE4E91"/>
    <w:rsid w:val="00DE527F"/>
    <w:rsid w:val="00DE556E"/>
    <w:rsid w:val="00DE5B96"/>
    <w:rsid w:val="00DE5C0B"/>
    <w:rsid w:val="00DE5C45"/>
    <w:rsid w:val="00DE6492"/>
    <w:rsid w:val="00DE6A35"/>
    <w:rsid w:val="00DE6D42"/>
    <w:rsid w:val="00DE7030"/>
    <w:rsid w:val="00DE75BC"/>
    <w:rsid w:val="00DE77D1"/>
    <w:rsid w:val="00DE7A07"/>
    <w:rsid w:val="00DE7C48"/>
    <w:rsid w:val="00DE7D71"/>
    <w:rsid w:val="00DE7F2F"/>
    <w:rsid w:val="00DE7F4C"/>
    <w:rsid w:val="00DF0696"/>
    <w:rsid w:val="00DF091F"/>
    <w:rsid w:val="00DF0B7B"/>
    <w:rsid w:val="00DF0D8A"/>
    <w:rsid w:val="00DF0F15"/>
    <w:rsid w:val="00DF110D"/>
    <w:rsid w:val="00DF18CF"/>
    <w:rsid w:val="00DF18D0"/>
    <w:rsid w:val="00DF1AD5"/>
    <w:rsid w:val="00DF255A"/>
    <w:rsid w:val="00DF265F"/>
    <w:rsid w:val="00DF27A9"/>
    <w:rsid w:val="00DF2C87"/>
    <w:rsid w:val="00DF2F3D"/>
    <w:rsid w:val="00DF3629"/>
    <w:rsid w:val="00DF3823"/>
    <w:rsid w:val="00DF3C20"/>
    <w:rsid w:val="00DF401F"/>
    <w:rsid w:val="00DF4478"/>
    <w:rsid w:val="00DF44F6"/>
    <w:rsid w:val="00DF48CA"/>
    <w:rsid w:val="00DF56E0"/>
    <w:rsid w:val="00DF5849"/>
    <w:rsid w:val="00DF5879"/>
    <w:rsid w:val="00DF6458"/>
    <w:rsid w:val="00DF6820"/>
    <w:rsid w:val="00DF6DD2"/>
    <w:rsid w:val="00DF7B6E"/>
    <w:rsid w:val="00DF7DDB"/>
    <w:rsid w:val="00DF7F1F"/>
    <w:rsid w:val="00E00233"/>
    <w:rsid w:val="00E002CB"/>
    <w:rsid w:val="00E0062D"/>
    <w:rsid w:val="00E00819"/>
    <w:rsid w:val="00E009CA"/>
    <w:rsid w:val="00E00CD3"/>
    <w:rsid w:val="00E027DE"/>
    <w:rsid w:val="00E04130"/>
    <w:rsid w:val="00E0413B"/>
    <w:rsid w:val="00E041C0"/>
    <w:rsid w:val="00E047AD"/>
    <w:rsid w:val="00E0483D"/>
    <w:rsid w:val="00E05069"/>
    <w:rsid w:val="00E0545A"/>
    <w:rsid w:val="00E060C9"/>
    <w:rsid w:val="00E07B5B"/>
    <w:rsid w:val="00E1031C"/>
    <w:rsid w:val="00E10401"/>
    <w:rsid w:val="00E10BD6"/>
    <w:rsid w:val="00E11093"/>
    <w:rsid w:val="00E11A97"/>
    <w:rsid w:val="00E1251A"/>
    <w:rsid w:val="00E12EEA"/>
    <w:rsid w:val="00E12F12"/>
    <w:rsid w:val="00E13201"/>
    <w:rsid w:val="00E1360B"/>
    <w:rsid w:val="00E13690"/>
    <w:rsid w:val="00E13C28"/>
    <w:rsid w:val="00E148DF"/>
    <w:rsid w:val="00E14B6F"/>
    <w:rsid w:val="00E14F43"/>
    <w:rsid w:val="00E154CC"/>
    <w:rsid w:val="00E156C1"/>
    <w:rsid w:val="00E1575F"/>
    <w:rsid w:val="00E15A8A"/>
    <w:rsid w:val="00E15B9C"/>
    <w:rsid w:val="00E1601D"/>
    <w:rsid w:val="00E16B53"/>
    <w:rsid w:val="00E17090"/>
    <w:rsid w:val="00E173D5"/>
    <w:rsid w:val="00E17868"/>
    <w:rsid w:val="00E178BB"/>
    <w:rsid w:val="00E179BC"/>
    <w:rsid w:val="00E17F68"/>
    <w:rsid w:val="00E20120"/>
    <w:rsid w:val="00E207D3"/>
    <w:rsid w:val="00E2095B"/>
    <w:rsid w:val="00E20AE9"/>
    <w:rsid w:val="00E2184C"/>
    <w:rsid w:val="00E221B0"/>
    <w:rsid w:val="00E23837"/>
    <w:rsid w:val="00E238AE"/>
    <w:rsid w:val="00E23A57"/>
    <w:rsid w:val="00E2450D"/>
    <w:rsid w:val="00E24666"/>
    <w:rsid w:val="00E24680"/>
    <w:rsid w:val="00E246D6"/>
    <w:rsid w:val="00E24C4C"/>
    <w:rsid w:val="00E24C7B"/>
    <w:rsid w:val="00E24E61"/>
    <w:rsid w:val="00E24F1B"/>
    <w:rsid w:val="00E2502B"/>
    <w:rsid w:val="00E2531C"/>
    <w:rsid w:val="00E25A06"/>
    <w:rsid w:val="00E25BDA"/>
    <w:rsid w:val="00E25BE8"/>
    <w:rsid w:val="00E2671B"/>
    <w:rsid w:val="00E267BD"/>
    <w:rsid w:val="00E269C2"/>
    <w:rsid w:val="00E270F4"/>
    <w:rsid w:val="00E271A3"/>
    <w:rsid w:val="00E27832"/>
    <w:rsid w:val="00E30338"/>
    <w:rsid w:val="00E303D7"/>
    <w:rsid w:val="00E30E5A"/>
    <w:rsid w:val="00E316AE"/>
    <w:rsid w:val="00E31CC1"/>
    <w:rsid w:val="00E32385"/>
    <w:rsid w:val="00E3268F"/>
    <w:rsid w:val="00E344CF"/>
    <w:rsid w:val="00E352BD"/>
    <w:rsid w:val="00E35325"/>
    <w:rsid w:val="00E353DD"/>
    <w:rsid w:val="00E3554A"/>
    <w:rsid w:val="00E355CE"/>
    <w:rsid w:val="00E35881"/>
    <w:rsid w:val="00E359EA"/>
    <w:rsid w:val="00E35A4C"/>
    <w:rsid w:val="00E35C4C"/>
    <w:rsid w:val="00E35DF7"/>
    <w:rsid w:val="00E3619B"/>
    <w:rsid w:val="00E369A5"/>
    <w:rsid w:val="00E37497"/>
    <w:rsid w:val="00E37554"/>
    <w:rsid w:val="00E37795"/>
    <w:rsid w:val="00E37839"/>
    <w:rsid w:val="00E37ED1"/>
    <w:rsid w:val="00E4054D"/>
    <w:rsid w:val="00E41436"/>
    <w:rsid w:val="00E41CE0"/>
    <w:rsid w:val="00E41CEF"/>
    <w:rsid w:val="00E42317"/>
    <w:rsid w:val="00E4290B"/>
    <w:rsid w:val="00E4299B"/>
    <w:rsid w:val="00E4364E"/>
    <w:rsid w:val="00E43E85"/>
    <w:rsid w:val="00E44234"/>
    <w:rsid w:val="00E44239"/>
    <w:rsid w:val="00E44341"/>
    <w:rsid w:val="00E44499"/>
    <w:rsid w:val="00E445E6"/>
    <w:rsid w:val="00E45157"/>
    <w:rsid w:val="00E45A86"/>
    <w:rsid w:val="00E45B37"/>
    <w:rsid w:val="00E46405"/>
    <w:rsid w:val="00E465B4"/>
    <w:rsid w:val="00E4664E"/>
    <w:rsid w:val="00E468B2"/>
    <w:rsid w:val="00E47848"/>
    <w:rsid w:val="00E47BE7"/>
    <w:rsid w:val="00E500EB"/>
    <w:rsid w:val="00E511C8"/>
    <w:rsid w:val="00E512CD"/>
    <w:rsid w:val="00E517AB"/>
    <w:rsid w:val="00E519B8"/>
    <w:rsid w:val="00E51A69"/>
    <w:rsid w:val="00E51BEA"/>
    <w:rsid w:val="00E51C1E"/>
    <w:rsid w:val="00E51DE1"/>
    <w:rsid w:val="00E52131"/>
    <w:rsid w:val="00E521EB"/>
    <w:rsid w:val="00E524A1"/>
    <w:rsid w:val="00E52A5B"/>
    <w:rsid w:val="00E52B5D"/>
    <w:rsid w:val="00E52C0C"/>
    <w:rsid w:val="00E52C75"/>
    <w:rsid w:val="00E53118"/>
    <w:rsid w:val="00E53160"/>
    <w:rsid w:val="00E53B05"/>
    <w:rsid w:val="00E53E5B"/>
    <w:rsid w:val="00E54464"/>
    <w:rsid w:val="00E549A2"/>
    <w:rsid w:val="00E54F98"/>
    <w:rsid w:val="00E55542"/>
    <w:rsid w:val="00E556DF"/>
    <w:rsid w:val="00E56043"/>
    <w:rsid w:val="00E562C4"/>
    <w:rsid w:val="00E567F2"/>
    <w:rsid w:val="00E56C66"/>
    <w:rsid w:val="00E579E4"/>
    <w:rsid w:val="00E57CC6"/>
    <w:rsid w:val="00E57CC9"/>
    <w:rsid w:val="00E60278"/>
    <w:rsid w:val="00E6027B"/>
    <w:rsid w:val="00E60B7C"/>
    <w:rsid w:val="00E60D64"/>
    <w:rsid w:val="00E6108F"/>
    <w:rsid w:val="00E61557"/>
    <w:rsid w:val="00E617CB"/>
    <w:rsid w:val="00E61F71"/>
    <w:rsid w:val="00E6248C"/>
    <w:rsid w:val="00E62811"/>
    <w:rsid w:val="00E645D9"/>
    <w:rsid w:val="00E64DAD"/>
    <w:rsid w:val="00E64F1C"/>
    <w:rsid w:val="00E6510D"/>
    <w:rsid w:val="00E651D3"/>
    <w:rsid w:val="00E65631"/>
    <w:rsid w:val="00E658B6"/>
    <w:rsid w:val="00E6593F"/>
    <w:rsid w:val="00E66213"/>
    <w:rsid w:val="00E663A3"/>
    <w:rsid w:val="00E66815"/>
    <w:rsid w:val="00E678CF"/>
    <w:rsid w:val="00E67A5C"/>
    <w:rsid w:val="00E67B74"/>
    <w:rsid w:val="00E70518"/>
    <w:rsid w:val="00E70799"/>
    <w:rsid w:val="00E709B3"/>
    <w:rsid w:val="00E7124B"/>
    <w:rsid w:val="00E717AA"/>
    <w:rsid w:val="00E71958"/>
    <w:rsid w:val="00E71994"/>
    <w:rsid w:val="00E71EAE"/>
    <w:rsid w:val="00E71F35"/>
    <w:rsid w:val="00E723C6"/>
    <w:rsid w:val="00E72AED"/>
    <w:rsid w:val="00E7306C"/>
    <w:rsid w:val="00E73710"/>
    <w:rsid w:val="00E73B7E"/>
    <w:rsid w:val="00E73C15"/>
    <w:rsid w:val="00E7404D"/>
    <w:rsid w:val="00E74128"/>
    <w:rsid w:val="00E74255"/>
    <w:rsid w:val="00E74CB2"/>
    <w:rsid w:val="00E74D2D"/>
    <w:rsid w:val="00E76169"/>
    <w:rsid w:val="00E7669D"/>
    <w:rsid w:val="00E76C26"/>
    <w:rsid w:val="00E771B1"/>
    <w:rsid w:val="00E771B2"/>
    <w:rsid w:val="00E77329"/>
    <w:rsid w:val="00E77513"/>
    <w:rsid w:val="00E77802"/>
    <w:rsid w:val="00E77CB6"/>
    <w:rsid w:val="00E77FE7"/>
    <w:rsid w:val="00E8034A"/>
    <w:rsid w:val="00E8039C"/>
    <w:rsid w:val="00E806DE"/>
    <w:rsid w:val="00E806F0"/>
    <w:rsid w:val="00E808B0"/>
    <w:rsid w:val="00E80D21"/>
    <w:rsid w:val="00E81242"/>
    <w:rsid w:val="00E81AE9"/>
    <w:rsid w:val="00E821DA"/>
    <w:rsid w:val="00E82C96"/>
    <w:rsid w:val="00E83451"/>
    <w:rsid w:val="00E83560"/>
    <w:rsid w:val="00E83A9A"/>
    <w:rsid w:val="00E83E45"/>
    <w:rsid w:val="00E83E90"/>
    <w:rsid w:val="00E845DF"/>
    <w:rsid w:val="00E846E8"/>
    <w:rsid w:val="00E84BCE"/>
    <w:rsid w:val="00E85CC0"/>
    <w:rsid w:val="00E85E15"/>
    <w:rsid w:val="00E85EAA"/>
    <w:rsid w:val="00E86156"/>
    <w:rsid w:val="00E863BF"/>
    <w:rsid w:val="00E86CE8"/>
    <w:rsid w:val="00E86DA3"/>
    <w:rsid w:val="00E87200"/>
    <w:rsid w:val="00E87257"/>
    <w:rsid w:val="00E8743F"/>
    <w:rsid w:val="00E87AAD"/>
    <w:rsid w:val="00E87BF1"/>
    <w:rsid w:val="00E90081"/>
    <w:rsid w:val="00E9024C"/>
    <w:rsid w:val="00E903A0"/>
    <w:rsid w:val="00E909AB"/>
    <w:rsid w:val="00E90A9D"/>
    <w:rsid w:val="00E91119"/>
    <w:rsid w:val="00E91290"/>
    <w:rsid w:val="00E91AB5"/>
    <w:rsid w:val="00E91C02"/>
    <w:rsid w:val="00E91D52"/>
    <w:rsid w:val="00E927A9"/>
    <w:rsid w:val="00E92BF9"/>
    <w:rsid w:val="00E92E92"/>
    <w:rsid w:val="00E92EF3"/>
    <w:rsid w:val="00E937F3"/>
    <w:rsid w:val="00E9384E"/>
    <w:rsid w:val="00E93B0F"/>
    <w:rsid w:val="00E93B75"/>
    <w:rsid w:val="00E93D2D"/>
    <w:rsid w:val="00E940FE"/>
    <w:rsid w:val="00E944DA"/>
    <w:rsid w:val="00E94F47"/>
    <w:rsid w:val="00E94F56"/>
    <w:rsid w:val="00E950B4"/>
    <w:rsid w:val="00E95185"/>
    <w:rsid w:val="00E95557"/>
    <w:rsid w:val="00E95D92"/>
    <w:rsid w:val="00E95DFC"/>
    <w:rsid w:val="00E9688D"/>
    <w:rsid w:val="00E96C71"/>
    <w:rsid w:val="00E96D11"/>
    <w:rsid w:val="00E9762D"/>
    <w:rsid w:val="00EA0017"/>
    <w:rsid w:val="00EA0030"/>
    <w:rsid w:val="00EA0057"/>
    <w:rsid w:val="00EA0123"/>
    <w:rsid w:val="00EA06AC"/>
    <w:rsid w:val="00EA0F31"/>
    <w:rsid w:val="00EA12A0"/>
    <w:rsid w:val="00EA14E5"/>
    <w:rsid w:val="00EA1663"/>
    <w:rsid w:val="00EA17A9"/>
    <w:rsid w:val="00EA201D"/>
    <w:rsid w:val="00EA24D9"/>
    <w:rsid w:val="00EA251B"/>
    <w:rsid w:val="00EA2A0E"/>
    <w:rsid w:val="00EA2DCF"/>
    <w:rsid w:val="00EA34D6"/>
    <w:rsid w:val="00EA394D"/>
    <w:rsid w:val="00EA3B09"/>
    <w:rsid w:val="00EA409D"/>
    <w:rsid w:val="00EA4101"/>
    <w:rsid w:val="00EA43AB"/>
    <w:rsid w:val="00EA4C0C"/>
    <w:rsid w:val="00EA50D0"/>
    <w:rsid w:val="00EA51B4"/>
    <w:rsid w:val="00EA5335"/>
    <w:rsid w:val="00EA5598"/>
    <w:rsid w:val="00EA56D8"/>
    <w:rsid w:val="00EA6059"/>
    <w:rsid w:val="00EA65EC"/>
    <w:rsid w:val="00EA661E"/>
    <w:rsid w:val="00EA6825"/>
    <w:rsid w:val="00EA6925"/>
    <w:rsid w:val="00EA6A52"/>
    <w:rsid w:val="00EA6CE8"/>
    <w:rsid w:val="00EA6FB0"/>
    <w:rsid w:val="00EA7A2E"/>
    <w:rsid w:val="00EA7B42"/>
    <w:rsid w:val="00EA7E11"/>
    <w:rsid w:val="00EB00F8"/>
    <w:rsid w:val="00EB0643"/>
    <w:rsid w:val="00EB07C5"/>
    <w:rsid w:val="00EB0801"/>
    <w:rsid w:val="00EB0B75"/>
    <w:rsid w:val="00EB1351"/>
    <w:rsid w:val="00EB13FA"/>
    <w:rsid w:val="00EB17FC"/>
    <w:rsid w:val="00EB3652"/>
    <w:rsid w:val="00EB366C"/>
    <w:rsid w:val="00EB38B8"/>
    <w:rsid w:val="00EB3940"/>
    <w:rsid w:val="00EB3A8B"/>
    <w:rsid w:val="00EB3E01"/>
    <w:rsid w:val="00EB4366"/>
    <w:rsid w:val="00EB4431"/>
    <w:rsid w:val="00EB4FC8"/>
    <w:rsid w:val="00EB52C6"/>
    <w:rsid w:val="00EB561F"/>
    <w:rsid w:val="00EB6422"/>
    <w:rsid w:val="00EB6643"/>
    <w:rsid w:val="00EB6720"/>
    <w:rsid w:val="00EB6870"/>
    <w:rsid w:val="00EB6CFB"/>
    <w:rsid w:val="00EB6E5B"/>
    <w:rsid w:val="00EB7319"/>
    <w:rsid w:val="00EB79F4"/>
    <w:rsid w:val="00EB7B4D"/>
    <w:rsid w:val="00EB7F92"/>
    <w:rsid w:val="00EC07A0"/>
    <w:rsid w:val="00EC0DE5"/>
    <w:rsid w:val="00EC0E72"/>
    <w:rsid w:val="00EC0EF1"/>
    <w:rsid w:val="00EC1903"/>
    <w:rsid w:val="00EC1A6D"/>
    <w:rsid w:val="00EC1C69"/>
    <w:rsid w:val="00EC1D25"/>
    <w:rsid w:val="00EC225D"/>
    <w:rsid w:val="00EC226D"/>
    <w:rsid w:val="00EC23B0"/>
    <w:rsid w:val="00EC265C"/>
    <w:rsid w:val="00EC2FDA"/>
    <w:rsid w:val="00EC33AD"/>
    <w:rsid w:val="00EC365D"/>
    <w:rsid w:val="00EC3855"/>
    <w:rsid w:val="00EC3F64"/>
    <w:rsid w:val="00EC41ED"/>
    <w:rsid w:val="00EC4435"/>
    <w:rsid w:val="00EC49C7"/>
    <w:rsid w:val="00EC54A4"/>
    <w:rsid w:val="00EC5710"/>
    <w:rsid w:val="00EC573C"/>
    <w:rsid w:val="00EC5818"/>
    <w:rsid w:val="00EC5862"/>
    <w:rsid w:val="00EC5D33"/>
    <w:rsid w:val="00EC6058"/>
    <w:rsid w:val="00EC6C52"/>
    <w:rsid w:val="00EC6D2D"/>
    <w:rsid w:val="00EC7266"/>
    <w:rsid w:val="00EC772C"/>
    <w:rsid w:val="00EC7E8E"/>
    <w:rsid w:val="00ED016B"/>
    <w:rsid w:val="00ED01BB"/>
    <w:rsid w:val="00ED02F2"/>
    <w:rsid w:val="00ED08A0"/>
    <w:rsid w:val="00ED0B52"/>
    <w:rsid w:val="00ED1038"/>
    <w:rsid w:val="00ED130C"/>
    <w:rsid w:val="00ED1A1A"/>
    <w:rsid w:val="00ED1AD2"/>
    <w:rsid w:val="00ED22AE"/>
    <w:rsid w:val="00ED34E7"/>
    <w:rsid w:val="00ED3532"/>
    <w:rsid w:val="00ED367D"/>
    <w:rsid w:val="00ED36E6"/>
    <w:rsid w:val="00ED3C4E"/>
    <w:rsid w:val="00ED3CE3"/>
    <w:rsid w:val="00ED417F"/>
    <w:rsid w:val="00ED4E46"/>
    <w:rsid w:val="00ED513A"/>
    <w:rsid w:val="00ED617A"/>
    <w:rsid w:val="00ED62DB"/>
    <w:rsid w:val="00ED69EE"/>
    <w:rsid w:val="00ED6BB0"/>
    <w:rsid w:val="00ED7B49"/>
    <w:rsid w:val="00ED7CB1"/>
    <w:rsid w:val="00ED7DC2"/>
    <w:rsid w:val="00ED7E4C"/>
    <w:rsid w:val="00EE01A8"/>
    <w:rsid w:val="00EE0255"/>
    <w:rsid w:val="00EE03EA"/>
    <w:rsid w:val="00EE0B42"/>
    <w:rsid w:val="00EE1889"/>
    <w:rsid w:val="00EE1A0F"/>
    <w:rsid w:val="00EE21BF"/>
    <w:rsid w:val="00EE225F"/>
    <w:rsid w:val="00EE3322"/>
    <w:rsid w:val="00EE417F"/>
    <w:rsid w:val="00EE4255"/>
    <w:rsid w:val="00EE4506"/>
    <w:rsid w:val="00EE4827"/>
    <w:rsid w:val="00EE4F48"/>
    <w:rsid w:val="00EE5B3B"/>
    <w:rsid w:val="00EE622E"/>
    <w:rsid w:val="00EE6317"/>
    <w:rsid w:val="00EE6E4A"/>
    <w:rsid w:val="00EE6EB7"/>
    <w:rsid w:val="00EE7387"/>
    <w:rsid w:val="00EE767D"/>
    <w:rsid w:val="00EE7AE8"/>
    <w:rsid w:val="00EE7BF4"/>
    <w:rsid w:val="00EE7D02"/>
    <w:rsid w:val="00EF078B"/>
    <w:rsid w:val="00EF0D00"/>
    <w:rsid w:val="00EF0DED"/>
    <w:rsid w:val="00EF12E1"/>
    <w:rsid w:val="00EF16FB"/>
    <w:rsid w:val="00EF19E0"/>
    <w:rsid w:val="00EF1B39"/>
    <w:rsid w:val="00EF241E"/>
    <w:rsid w:val="00EF2AE8"/>
    <w:rsid w:val="00EF2D46"/>
    <w:rsid w:val="00EF34FB"/>
    <w:rsid w:val="00EF3D08"/>
    <w:rsid w:val="00EF4093"/>
    <w:rsid w:val="00EF4387"/>
    <w:rsid w:val="00EF4C36"/>
    <w:rsid w:val="00EF4FC5"/>
    <w:rsid w:val="00EF53A3"/>
    <w:rsid w:val="00EF569A"/>
    <w:rsid w:val="00EF5A1E"/>
    <w:rsid w:val="00EF6024"/>
    <w:rsid w:val="00EF623C"/>
    <w:rsid w:val="00EF6AB2"/>
    <w:rsid w:val="00EF75B6"/>
    <w:rsid w:val="00EF78EA"/>
    <w:rsid w:val="00EF7C51"/>
    <w:rsid w:val="00F00236"/>
    <w:rsid w:val="00F00B30"/>
    <w:rsid w:val="00F00B64"/>
    <w:rsid w:val="00F00EDD"/>
    <w:rsid w:val="00F01AA1"/>
    <w:rsid w:val="00F01DA8"/>
    <w:rsid w:val="00F01E2B"/>
    <w:rsid w:val="00F02318"/>
    <w:rsid w:val="00F02EA5"/>
    <w:rsid w:val="00F0324F"/>
    <w:rsid w:val="00F0393A"/>
    <w:rsid w:val="00F03C75"/>
    <w:rsid w:val="00F04203"/>
    <w:rsid w:val="00F052A7"/>
    <w:rsid w:val="00F06478"/>
    <w:rsid w:val="00F067F9"/>
    <w:rsid w:val="00F06F65"/>
    <w:rsid w:val="00F073ED"/>
    <w:rsid w:val="00F07BD8"/>
    <w:rsid w:val="00F07E65"/>
    <w:rsid w:val="00F07F2F"/>
    <w:rsid w:val="00F100EE"/>
    <w:rsid w:val="00F10196"/>
    <w:rsid w:val="00F10786"/>
    <w:rsid w:val="00F10788"/>
    <w:rsid w:val="00F10843"/>
    <w:rsid w:val="00F109F6"/>
    <w:rsid w:val="00F10A69"/>
    <w:rsid w:val="00F10A99"/>
    <w:rsid w:val="00F10B55"/>
    <w:rsid w:val="00F10C04"/>
    <w:rsid w:val="00F110D1"/>
    <w:rsid w:val="00F112B2"/>
    <w:rsid w:val="00F116F4"/>
    <w:rsid w:val="00F11A0F"/>
    <w:rsid w:val="00F11F62"/>
    <w:rsid w:val="00F128B7"/>
    <w:rsid w:val="00F12B57"/>
    <w:rsid w:val="00F12D2B"/>
    <w:rsid w:val="00F12FB0"/>
    <w:rsid w:val="00F13452"/>
    <w:rsid w:val="00F1451E"/>
    <w:rsid w:val="00F14D6C"/>
    <w:rsid w:val="00F14DF6"/>
    <w:rsid w:val="00F151BF"/>
    <w:rsid w:val="00F152CB"/>
    <w:rsid w:val="00F15B43"/>
    <w:rsid w:val="00F15C88"/>
    <w:rsid w:val="00F16239"/>
    <w:rsid w:val="00F16501"/>
    <w:rsid w:val="00F16BBF"/>
    <w:rsid w:val="00F171AA"/>
    <w:rsid w:val="00F17A4C"/>
    <w:rsid w:val="00F17E22"/>
    <w:rsid w:val="00F206CF"/>
    <w:rsid w:val="00F207DE"/>
    <w:rsid w:val="00F20825"/>
    <w:rsid w:val="00F20D5C"/>
    <w:rsid w:val="00F212CD"/>
    <w:rsid w:val="00F21764"/>
    <w:rsid w:val="00F21DE7"/>
    <w:rsid w:val="00F21E94"/>
    <w:rsid w:val="00F2275E"/>
    <w:rsid w:val="00F22856"/>
    <w:rsid w:val="00F23155"/>
    <w:rsid w:val="00F237BF"/>
    <w:rsid w:val="00F237EB"/>
    <w:rsid w:val="00F24164"/>
    <w:rsid w:val="00F2457D"/>
    <w:rsid w:val="00F24780"/>
    <w:rsid w:val="00F247A8"/>
    <w:rsid w:val="00F25243"/>
    <w:rsid w:val="00F25CBA"/>
    <w:rsid w:val="00F26A41"/>
    <w:rsid w:val="00F26FFC"/>
    <w:rsid w:val="00F2739F"/>
    <w:rsid w:val="00F274C3"/>
    <w:rsid w:val="00F274C7"/>
    <w:rsid w:val="00F2799E"/>
    <w:rsid w:val="00F27AC4"/>
    <w:rsid w:val="00F27C2E"/>
    <w:rsid w:val="00F27CF5"/>
    <w:rsid w:val="00F27E7A"/>
    <w:rsid w:val="00F27E87"/>
    <w:rsid w:val="00F30609"/>
    <w:rsid w:val="00F30982"/>
    <w:rsid w:val="00F30A32"/>
    <w:rsid w:val="00F31C33"/>
    <w:rsid w:val="00F31D00"/>
    <w:rsid w:val="00F31D5B"/>
    <w:rsid w:val="00F32017"/>
    <w:rsid w:val="00F3230A"/>
    <w:rsid w:val="00F323BD"/>
    <w:rsid w:val="00F325DD"/>
    <w:rsid w:val="00F326AF"/>
    <w:rsid w:val="00F32CA4"/>
    <w:rsid w:val="00F3373E"/>
    <w:rsid w:val="00F33A48"/>
    <w:rsid w:val="00F33B18"/>
    <w:rsid w:val="00F33C2F"/>
    <w:rsid w:val="00F33D8C"/>
    <w:rsid w:val="00F346ED"/>
    <w:rsid w:val="00F3484B"/>
    <w:rsid w:val="00F34B61"/>
    <w:rsid w:val="00F35287"/>
    <w:rsid w:val="00F35BD8"/>
    <w:rsid w:val="00F36156"/>
    <w:rsid w:val="00F36368"/>
    <w:rsid w:val="00F3686C"/>
    <w:rsid w:val="00F36AA8"/>
    <w:rsid w:val="00F372CB"/>
    <w:rsid w:val="00F3740F"/>
    <w:rsid w:val="00F37C30"/>
    <w:rsid w:val="00F40138"/>
    <w:rsid w:val="00F402A4"/>
    <w:rsid w:val="00F40E87"/>
    <w:rsid w:val="00F41029"/>
    <w:rsid w:val="00F41138"/>
    <w:rsid w:val="00F41546"/>
    <w:rsid w:val="00F41589"/>
    <w:rsid w:val="00F41AB6"/>
    <w:rsid w:val="00F41C24"/>
    <w:rsid w:val="00F41E90"/>
    <w:rsid w:val="00F4236B"/>
    <w:rsid w:val="00F42AA4"/>
    <w:rsid w:val="00F42B27"/>
    <w:rsid w:val="00F42F64"/>
    <w:rsid w:val="00F430A0"/>
    <w:rsid w:val="00F43C3F"/>
    <w:rsid w:val="00F44130"/>
    <w:rsid w:val="00F4441A"/>
    <w:rsid w:val="00F44EE9"/>
    <w:rsid w:val="00F45069"/>
    <w:rsid w:val="00F45C48"/>
    <w:rsid w:val="00F45CEA"/>
    <w:rsid w:val="00F462FC"/>
    <w:rsid w:val="00F46A04"/>
    <w:rsid w:val="00F46DCC"/>
    <w:rsid w:val="00F46FA4"/>
    <w:rsid w:val="00F4715F"/>
    <w:rsid w:val="00F4764F"/>
    <w:rsid w:val="00F47AD7"/>
    <w:rsid w:val="00F47C1E"/>
    <w:rsid w:val="00F47F90"/>
    <w:rsid w:val="00F5005C"/>
    <w:rsid w:val="00F50ADD"/>
    <w:rsid w:val="00F50F56"/>
    <w:rsid w:val="00F51498"/>
    <w:rsid w:val="00F514CD"/>
    <w:rsid w:val="00F51F4A"/>
    <w:rsid w:val="00F52666"/>
    <w:rsid w:val="00F52EDC"/>
    <w:rsid w:val="00F53005"/>
    <w:rsid w:val="00F531FD"/>
    <w:rsid w:val="00F53A25"/>
    <w:rsid w:val="00F54199"/>
    <w:rsid w:val="00F541A0"/>
    <w:rsid w:val="00F5484E"/>
    <w:rsid w:val="00F54AA8"/>
    <w:rsid w:val="00F54C60"/>
    <w:rsid w:val="00F558EB"/>
    <w:rsid w:val="00F55ABD"/>
    <w:rsid w:val="00F55B69"/>
    <w:rsid w:val="00F56411"/>
    <w:rsid w:val="00F5659A"/>
    <w:rsid w:val="00F570AA"/>
    <w:rsid w:val="00F57237"/>
    <w:rsid w:val="00F57279"/>
    <w:rsid w:val="00F57345"/>
    <w:rsid w:val="00F5745F"/>
    <w:rsid w:val="00F60100"/>
    <w:rsid w:val="00F601F5"/>
    <w:rsid w:val="00F60405"/>
    <w:rsid w:val="00F60BEB"/>
    <w:rsid w:val="00F61411"/>
    <w:rsid w:val="00F61B0A"/>
    <w:rsid w:val="00F61DAB"/>
    <w:rsid w:val="00F61DC4"/>
    <w:rsid w:val="00F62203"/>
    <w:rsid w:val="00F62BA0"/>
    <w:rsid w:val="00F631BA"/>
    <w:rsid w:val="00F631CC"/>
    <w:rsid w:val="00F637D5"/>
    <w:rsid w:val="00F63CC8"/>
    <w:rsid w:val="00F640CE"/>
    <w:rsid w:val="00F64750"/>
    <w:rsid w:val="00F6533D"/>
    <w:rsid w:val="00F65539"/>
    <w:rsid w:val="00F65C09"/>
    <w:rsid w:val="00F660F1"/>
    <w:rsid w:val="00F6619B"/>
    <w:rsid w:val="00F66C42"/>
    <w:rsid w:val="00F66D0D"/>
    <w:rsid w:val="00F67EE5"/>
    <w:rsid w:val="00F705E3"/>
    <w:rsid w:val="00F70E8E"/>
    <w:rsid w:val="00F7152F"/>
    <w:rsid w:val="00F7171B"/>
    <w:rsid w:val="00F7254B"/>
    <w:rsid w:val="00F73540"/>
    <w:rsid w:val="00F7361A"/>
    <w:rsid w:val="00F73FA1"/>
    <w:rsid w:val="00F750E5"/>
    <w:rsid w:val="00F76BC9"/>
    <w:rsid w:val="00F76E64"/>
    <w:rsid w:val="00F771B4"/>
    <w:rsid w:val="00F774A2"/>
    <w:rsid w:val="00F8055F"/>
    <w:rsid w:val="00F80EA9"/>
    <w:rsid w:val="00F81DB0"/>
    <w:rsid w:val="00F81ED3"/>
    <w:rsid w:val="00F8226F"/>
    <w:rsid w:val="00F825B7"/>
    <w:rsid w:val="00F826A1"/>
    <w:rsid w:val="00F828C4"/>
    <w:rsid w:val="00F83971"/>
    <w:rsid w:val="00F84897"/>
    <w:rsid w:val="00F848F7"/>
    <w:rsid w:val="00F84C04"/>
    <w:rsid w:val="00F850C3"/>
    <w:rsid w:val="00F8586D"/>
    <w:rsid w:val="00F859C6"/>
    <w:rsid w:val="00F863A3"/>
    <w:rsid w:val="00F867DB"/>
    <w:rsid w:val="00F86FDE"/>
    <w:rsid w:val="00F87064"/>
    <w:rsid w:val="00F87D2E"/>
    <w:rsid w:val="00F90123"/>
    <w:rsid w:val="00F903DC"/>
    <w:rsid w:val="00F90DC5"/>
    <w:rsid w:val="00F91BC7"/>
    <w:rsid w:val="00F91C25"/>
    <w:rsid w:val="00F91D90"/>
    <w:rsid w:val="00F91DA1"/>
    <w:rsid w:val="00F9282A"/>
    <w:rsid w:val="00F92A3D"/>
    <w:rsid w:val="00F92DEA"/>
    <w:rsid w:val="00F9319C"/>
    <w:rsid w:val="00F93FA2"/>
    <w:rsid w:val="00F94480"/>
    <w:rsid w:val="00F94A9A"/>
    <w:rsid w:val="00F951D3"/>
    <w:rsid w:val="00F9559B"/>
    <w:rsid w:val="00F955CD"/>
    <w:rsid w:val="00F95830"/>
    <w:rsid w:val="00F95EFA"/>
    <w:rsid w:val="00F960AE"/>
    <w:rsid w:val="00F96466"/>
    <w:rsid w:val="00F96630"/>
    <w:rsid w:val="00F96B5F"/>
    <w:rsid w:val="00F9798F"/>
    <w:rsid w:val="00F97A72"/>
    <w:rsid w:val="00FA00B8"/>
    <w:rsid w:val="00FA0170"/>
    <w:rsid w:val="00FA0515"/>
    <w:rsid w:val="00FA0539"/>
    <w:rsid w:val="00FA06CE"/>
    <w:rsid w:val="00FA1370"/>
    <w:rsid w:val="00FA13A6"/>
    <w:rsid w:val="00FA166B"/>
    <w:rsid w:val="00FA1894"/>
    <w:rsid w:val="00FA18DA"/>
    <w:rsid w:val="00FA2A99"/>
    <w:rsid w:val="00FA2ABA"/>
    <w:rsid w:val="00FA2BBD"/>
    <w:rsid w:val="00FA3233"/>
    <w:rsid w:val="00FA4752"/>
    <w:rsid w:val="00FA48B8"/>
    <w:rsid w:val="00FA4F78"/>
    <w:rsid w:val="00FA59CA"/>
    <w:rsid w:val="00FA6182"/>
    <w:rsid w:val="00FA6805"/>
    <w:rsid w:val="00FA6D97"/>
    <w:rsid w:val="00FA6E7F"/>
    <w:rsid w:val="00FA71DE"/>
    <w:rsid w:val="00FA76D0"/>
    <w:rsid w:val="00FA79B0"/>
    <w:rsid w:val="00FA7DB5"/>
    <w:rsid w:val="00FB02F0"/>
    <w:rsid w:val="00FB0458"/>
    <w:rsid w:val="00FB06D0"/>
    <w:rsid w:val="00FB0FF9"/>
    <w:rsid w:val="00FB1154"/>
    <w:rsid w:val="00FB1476"/>
    <w:rsid w:val="00FB1BC1"/>
    <w:rsid w:val="00FB21D5"/>
    <w:rsid w:val="00FB22ED"/>
    <w:rsid w:val="00FB2F16"/>
    <w:rsid w:val="00FB301F"/>
    <w:rsid w:val="00FB30E8"/>
    <w:rsid w:val="00FB3742"/>
    <w:rsid w:val="00FB3926"/>
    <w:rsid w:val="00FB39B6"/>
    <w:rsid w:val="00FB3B64"/>
    <w:rsid w:val="00FB3C96"/>
    <w:rsid w:val="00FB3D8B"/>
    <w:rsid w:val="00FB42A7"/>
    <w:rsid w:val="00FB5511"/>
    <w:rsid w:val="00FB583B"/>
    <w:rsid w:val="00FB67A5"/>
    <w:rsid w:val="00FB6D24"/>
    <w:rsid w:val="00FB73AE"/>
    <w:rsid w:val="00FB783A"/>
    <w:rsid w:val="00FB797E"/>
    <w:rsid w:val="00FC01BB"/>
    <w:rsid w:val="00FC0A90"/>
    <w:rsid w:val="00FC0DCD"/>
    <w:rsid w:val="00FC22AC"/>
    <w:rsid w:val="00FC2765"/>
    <w:rsid w:val="00FC2E44"/>
    <w:rsid w:val="00FC3311"/>
    <w:rsid w:val="00FC37F6"/>
    <w:rsid w:val="00FC474D"/>
    <w:rsid w:val="00FC4CA8"/>
    <w:rsid w:val="00FC523A"/>
    <w:rsid w:val="00FC5285"/>
    <w:rsid w:val="00FC5320"/>
    <w:rsid w:val="00FC5A42"/>
    <w:rsid w:val="00FC5C8C"/>
    <w:rsid w:val="00FC5CE3"/>
    <w:rsid w:val="00FC60B0"/>
    <w:rsid w:val="00FC6213"/>
    <w:rsid w:val="00FC656E"/>
    <w:rsid w:val="00FC672A"/>
    <w:rsid w:val="00FC673F"/>
    <w:rsid w:val="00FC6C42"/>
    <w:rsid w:val="00FC6E47"/>
    <w:rsid w:val="00FC72CE"/>
    <w:rsid w:val="00FC76BF"/>
    <w:rsid w:val="00FC78D8"/>
    <w:rsid w:val="00FC79D5"/>
    <w:rsid w:val="00FC7D3E"/>
    <w:rsid w:val="00FD01AD"/>
    <w:rsid w:val="00FD080F"/>
    <w:rsid w:val="00FD08B5"/>
    <w:rsid w:val="00FD0AC2"/>
    <w:rsid w:val="00FD0CB2"/>
    <w:rsid w:val="00FD1047"/>
    <w:rsid w:val="00FD1149"/>
    <w:rsid w:val="00FD1B60"/>
    <w:rsid w:val="00FD2732"/>
    <w:rsid w:val="00FD2A42"/>
    <w:rsid w:val="00FD2D59"/>
    <w:rsid w:val="00FD34EF"/>
    <w:rsid w:val="00FD38D0"/>
    <w:rsid w:val="00FD38D1"/>
    <w:rsid w:val="00FD391D"/>
    <w:rsid w:val="00FD421A"/>
    <w:rsid w:val="00FD4656"/>
    <w:rsid w:val="00FD4689"/>
    <w:rsid w:val="00FD49B5"/>
    <w:rsid w:val="00FD4C55"/>
    <w:rsid w:val="00FD504E"/>
    <w:rsid w:val="00FD506E"/>
    <w:rsid w:val="00FD50FA"/>
    <w:rsid w:val="00FD5B89"/>
    <w:rsid w:val="00FD610C"/>
    <w:rsid w:val="00FD69AB"/>
    <w:rsid w:val="00FD6E81"/>
    <w:rsid w:val="00FD6EFF"/>
    <w:rsid w:val="00FD7135"/>
    <w:rsid w:val="00FD72A6"/>
    <w:rsid w:val="00FD7383"/>
    <w:rsid w:val="00FD7F93"/>
    <w:rsid w:val="00FE0028"/>
    <w:rsid w:val="00FE00FE"/>
    <w:rsid w:val="00FE07E3"/>
    <w:rsid w:val="00FE09B0"/>
    <w:rsid w:val="00FE0EFC"/>
    <w:rsid w:val="00FE1022"/>
    <w:rsid w:val="00FE109B"/>
    <w:rsid w:val="00FE11DB"/>
    <w:rsid w:val="00FE1455"/>
    <w:rsid w:val="00FE152B"/>
    <w:rsid w:val="00FE1AFB"/>
    <w:rsid w:val="00FE257E"/>
    <w:rsid w:val="00FE2674"/>
    <w:rsid w:val="00FE2B87"/>
    <w:rsid w:val="00FE2F15"/>
    <w:rsid w:val="00FE3046"/>
    <w:rsid w:val="00FE3E6F"/>
    <w:rsid w:val="00FE413F"/>
    <w:rsid w:val="00FE42FB"/>
    <w:rsid w:val="00FE4539"/>
    <w:rsid w:val="00FE494C"/>
    <w:rsid w:val="00FE4F7F"/>
    <w:rsid w:val="00FE509C"/>
    <w:rsid w:val="00FE5688"/>
    <w:rsid w:val="00FE5D6C"/>
    <w:rsid w:val="00FE6BBD"/>
    <w:rsid w:val="00FE7170"/>
    <w:rsid w:val="00FE71D9"/>
    <w:rsid w:val="00FE72A2"/>
    <w:rsid w:val="00FE7655"/>
    <w:rsid w:val="00FE7781"/>
    <w:rsid w:val="00FE7B25"/>
    <w:rsid w:val="00FF03F5"/>
    <w:rsid w:val="00FF0C50"/>
    <w:rsid w:val="00FF0EDB"/>
    <w:rsid w:val="00FF2102"/>
    <w:rsid w:val="00FF26AB"/>
    <w:rsid w:val="00FF2A55"/>
    <w:rsid w:val="00FF311D"/>
    <w:rsid w:val="00FF3A96"/>
    <w:rsid w:val="00FF3B70"/>
    <w:rsid w:val="00FF40BD"/>
    <w:rsid w:val="00FF427D"/>
    <w:rsid w:val="00FF4BF6"/>
    <w:rsid w:val="00FF4F44"/>
    <w:rsid w:val="00FF5272"/>
    <w:rsid w:val="00FF61B6"/>
    <w:rsid w:val="00FF6200"/>
    <w:rsid w:val="00FF641B"/>
    <w:rsid w:val="00FF7178"/>
    <w:rsid w:val="00FF7280"/>
    <w:rsid w:val="00FF72D9"/>
    <w:rsid w:val="00FF72F6"/>
    <w:rsid w:val="00FF74ED"/>
    <w:rsid w:val="00FF7BBB"/>
    <w:rsid w:val="00FF7CE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8DB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FD9"/>
    <w:pPr>
      <w:spacing w:after="0"/>
    </w:pPr>
    <w:rPr>
      <w:rFonts w:ascii="Segoe UI" w:hAnsi="Segoe UI" w:cs="Segoe UI"/>
      <w:sz w:val="22"/>
      <w:szCs w:val="22"/>
      <w:lang w:eastAsia="en-AU"/>
    </w:rPr>
  </w:style>
  <w:style w:type="paragraph" w:styleId="Heading1">
    <w:name w:val="heading 1"/>
    <w:basedOn w:val="Normal"/>
    <w:next w:val="Normal"/>
    <w:link w:val="Heading1Char"/>
    <w:uiPriority w:val="9"/>
    <w:qFormat/>
    <w:rsid w:val="00B3266F"/>
    <w:pPr>
      <w:keepNext/>
      <w:keepLines/>
      <w:outlineLvl w:val="0"/>
    </w:pPr>
    <w:rPr>
      <w:rFonts w:eastAsia="Segoe UI"/>
      <w:b/>
      <w:bCs/>
      <w:sz w:val="32"/>
      <w:szCs w:val="32"/>
    </w:rPr>
  </w:style>
  <w:style w:type="paragraph" w:styleId="Heading2">
    <w:name w:val="heading 2"/>
    <w:basedOn w:val="Normal"/>
    <w:next w:val="Normal"/>
    <w:link w:val="Heading2Char"/>
    <w:uiPriority w:val="9"/>
    <w:unhideWhenUsed/>
    <w:qFormat/>
    <w:rsid w:val="00DE5C0B"/>
    <w:pPr>
      <w:keepNext/>
      <w:keepLines/>
      <w:spacing w:before="40"/>
      <w:outlineLvl w:val="1"/>
    </w:pPr>
    <w:rPr>
      <w:rFonts w:eastAsia="Segoe UI"/>
      <w:b/>
      <w:bCs/>
      <w:u w:val="single"/>
    </w:rPr>
  </w:style>
  <w:style w:type="paragraph" w:styleId="Heading3">
    <w:name w:val="heading 3"/>
    <w:basedOn w:val="Normal"/>
    <w:next w:val="Normal"/>
    <w:link w:val="Heading3Char"/>
    <w:uiPriority w:val="9"/>
    <w:unhideWhenUsed/>
    <w:qFormat/>
    <w:rsid w:val="00E353DD"/>
    <w:pPr>
      <w:keepNext/>
      <w:keepLines/>
      <w:spacing w:before="40"/>
      <w:outlineLvl w:val="2"/>
    </w:pPr>
    <w:rPr>
      <w:rFonts w:eastAsia="Segoe U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B22"/>
    <w:pPr>
      <w:tabs>
        <w:tab w:val="center" w:pos="4513"/>
        <w:tab w:val="right" w:pos="9026"/>
      </w:tabs>
      <w:spacing w:line="240" w:lineRule="auto"/>
    </w:pPr>
  </w:style>
  <w:style w:type="character" w:customStyle="1" w:styleId="HeaderChar">
    <w:name w:val="Header Char"/>
    <w:basedOn w:val="DefaultParagraphFont"/>
    <w:link w:val="Header"/>
    <w:uiPriority w:val="99"/>
    <w:rsid w:val="00BE6B22"/>
  </w:style>
  <w:style w:type="paragraph" w:styleId="Footer">
    <w:name w:val="footer"/>
    <w:basedOn w:val="Normal"/>
    <w:link w:val="FooterChar"/>
    <w:uiPriority w:val="99"/>
    <w:unhideWhenUsed/>
    <w:rsid w:val="00BE6B22"/>
    <w:pPr>
      <w:tabs>
        <w:tab w:val="center" w:pos="4513"/>
        <w:tab w:val="right" w:pos="9026"/>
      </w:tabs>
      <w:spacing w:line="240" w:lineRule="auto"/>
    </w:pPr>
  </w:style>
  <w:style w:type="character" w:customStyle="1" w:styleId="FooterChar">
    <w:name w:val="Footer Char"/>
    <w:basedOn w:val="DefaultParagraphFont"/>
    <w:link w:val="Footer"/>
    <w:uiPriority w:val="99"/>
    <w:rsid w:val="00BE6B22"/>
  </w:style>
  <w:style w:type="table" w:styleId="TableGrid">
    <w:name w:val="Table Grid"/>
    <w:aliases w:val="Summary box,Table Gridbeth,RTI AMCP Table,new style,ASD Table,HealthConsult"/>
    <w:basedOn w:val="TableNormal"/>
    <w:uiPriority w:val="59"/>
    <w:rsid w:val="00FE2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ckboxes">
    <w:name w:val="Tick boxes"/>
    <w:basedOn w:val="Normal"/>
    <w:link w:val="TickboxesChar"/>
    <w:qFormat/>
    <w:rsid w:val="000627EF"/>
    <w:pPr>
      <w:spacing w:line="240" w:lineRule="auto"/>
      <w:ind w:left="360"/>
    </w:pPr>
    <w:rPr>
      <w:rFonts w:asciiTheme="minorHAnsi" w:hAnsiTheme="minorHAnsi" w:cstheme="minorBidi"/>
      <w:bCs/>
      <w:sz w:val="20"/>
      <w:szCs w:val="20"/>
    </w:rPr>
  </w:style>
  <w:style w:type="character" w:customStyle="1" w:styleId="TickboxesChar">
    <w:name w:val="Tick boxes Char"/>
    <w:basedOn w:val="DefaultParagraphFont"/>
    <w:link w:val="Tickboxes"/>
    <w:rsid w:val="000627EF"/>
    <w:rPr>
      <w:rFonts w:asciiTheme="minorHAnsi" w:hAnsiTheme="minorHAnsi" w:cstheme="minorBidi"/>
      <w:bCs/>
      <w:sz w:val="20"/>
      <w:szCs w:val="20"/>
    </w:rPr>
  </w:style>
  <w:style w:type="paragraph" w:styleId="NormalWeb">
    <w:name w:val="Normal (Web)"/>
    <w:basedOn w:val="Normal"/>
    <w:uiPriority w:val="99"/>
    <w:semiHidden/>
    <w:unhideWhenUsed/>
    <w:rsid w:val="000627EF"/>
    <w:pPr>
      <w:spacing w:before="100" w:beforeAutospacing="1" w:after="100" w:afterAutospacing="1" w:line="240" w:lineRule="auto"/>
    </w:pPr>
    <w:rPr>
      <w:rFonts w:eastAsia="Times New Roman"/>
    </w:rPr>
  </w:style>
  <w:style w:type="character" w:styleId="CommentReference">
    <w:name w:val="annotation reference"/>
    <w:aliases w:val="Table Title"/>
    <w:basedOn w:val="DefaultParagraphFont"/>
    <w:unhideWhenUsed/>
    <w:qFormat/>
    <w:rsid w:val="005D23BC"/>
    <w:rPr>
      <w:sz w:val="16"/>
      <w:szCs w:val="16"/>
    </w:rPr>
  </w:style>
  <w:style w:type="paragraph" w:styleId="CommentText">
    <w:name w:val="annotation text"/>
    <w:basedOn w:val="Normal"/>
    <w:link w:val="CommentTextChar"/>
    <w:uiPriority w:val="99"/>
    <w:unhideWhenUsed/>
    <w:rsid w:val="005D23BC"/>
    <w:pPr>
      <w:spacing w:line="240" w:lineRule="auto"/>
    </w:pPr>
    <w:rPr>
      <w:sz w:val="20"/>
      <w:szCs w:val="20"/>
    </w:rPr>
  </w:style>
  <w:style w:type="character" w:customStyle="1" w:styleId="CommentTextChar">
    <w:name w:val="Comment Text Char"/>
    <w:basedOn w:val="DefaultParagraphFont"/>
    <w:link w:val="CommentText"/>
    <w:uiPriority w:val="99"/>
    <w:rsid w:val="005D23BC"/>
    <w:rPr>
      <w:sz w:val="20"/>
      <w:szCs w:val="20"/>
    </w:rPr>
  </w:style>
  <w:style w:type="paragraph" w:styleId="CommentSubject">
    <w:name w:val="annotation subject"/>
    <w:basedOn w:val="CommentText"/>
    <w:next w:val="CommentText"/>
    <w:link w:val="CommentSubjectChar"/>
    <w:uiPriority w:val="99"/>
    <w:semiHidden/>
    <w:unhideWhenUsed/>
    <w:rsid w:val="005D23BC"/>
    <w:rPr>
      <w:b/>
      <w:bCs/>
    </w:rPr>
  </w:style>
  <w:style w:type="character" w:customStyle="1" w:styleId="CommentSubjectChar">
    <w:name w:val="Comment Subject Char"/>
    <w:basedOn w:val="CommentTextChar"/>
    <w:link w:val="CommentSubject"/>
    <w:uiPriority w:val="99"/>
    <w:semiHidden/>
    <w:rsid w:val="005D23BC"/>
    <w:rPr>
      <w:b/>
      <w:bCs/>
      <w:sz w:val="20"/>
      <w:szCs w:val="20"/>
    </w:rPr>
  </w:style>
  <w:style w:type="character" w:customStyle="1" w:styleId="Heading2Char">
    <w:name w:val="Heading 2 Char"/>
    <w:basedOn w:val="DefaultParagraphFont"/>
    <w:link w:val="Heading2"/>
    <w:uiPriority w:val="9"/>
    <w:rsid w:val="00DE5C0B"/>
    <w:rPr>
      <w:rFonts w:ascii="Segoe UI" w:eastAsia="Segoe UI" w:hAnsi="Segoe UI" w:cs="Segoe UI"/>
      <w:b/>
      <w:bCs/>
      <w:u w:val="single"/>
    </w:rPr>
  </w:style>
  <w:style w:type="character" w:customStyle="1" w:styleId="Heading1Char">
    <w:name w:val="Heading 1 Char"/>
    <w:basedOn w:val="DefaultParagraphFont"/>
    <w:link w:val="Heading1"/>
    <w:uiPriority w:val="9"/>
    <w:rsid w:val="00B3266F"/>
    <w:rPr>
      <w:rFonts w:ascii="Segoe UI" w:eastAsia="Segoe UI" w:hAnsi="Segoe UI" w:cs="Segoe UI"/>
      <w:b/>
      <w:bCs/>
      <w:sz w:val="32"/>
      <w:szCs w:val="32"/>
    </w:rPr>
  </w:style>
  <w:style w:type="paragraph" w:customStyle="1" w:styleId="TableText">
    <w:name w:val="TableText"/>
    <w:basedOn w:val="Normal"/>
    <w:qFormat/>
    <w:rsid w:val="00B3266F"/>
    <w:pPr>
      <w:keepNext/>
      <w:keepLines/>
      <w:autoSpaceDE w:val="0"/>
      <w:autoSpaceDN w:val="0"/>
      <w:adjustRightInd w:val="0"/>
      <w:spacing w:before="40" w:after="120" w:line="240" w:lineRule="auto"/>
    </w:pPr>
    <w:rPr>
      <w:rFonts w:ascii="Arial Narrow" w:eastAsia="FrutigerLTStd-Light" w:hAnsi="Arial Narrow"/>
      <w:sz w:val="18"/>
      <w:szCs w:val="20"/>
      <w:lang w:val="en-US"/>
    </w:rPr>
  </w:style>
  <w:style w:type="paragraph" w:styleId="ListParagraph">
    <w:name w:val="List Paragraph"/>
    <w:basedOn w:val="Normal"/>
    <w:uiPriority w:val="34"/>
    <w:qFormat/>
    <w:rsid w:val="00C861FD"/>
    <w:pPr>
      <w:ind w:left="720"/>
      <w:contextualSpacing/>
    </w:pPr>
  </w:style>
  <w:style w:type="paragraph" w:styleId="BodyText">
    <w:name w:val="Body Text"/>
    <w:basedOn w:val="Normal"/>
    <w:link w:val="BodyTextChar"/>
    <w:qFormat/>
    <w:rsid w:val="00C41C0E"/>
    <w:pPr>
      <w:spacing w:after="240" w:line="288" w:lineRule="auto"/>
    </w:pPr>
    <w:rPr>
      <w:rFonts w:eastAsiaTheme="minorEastAsia"/>
      <w:szCs w:val="20"/>
      <w:lang w:val="en-GB"/>
    </w:rPr>
  </w:style>
  <w:style w:type="character" w:customStyle="1" w:styleId="BodyTextChar">
    <w:name w:val="Body Text Char"/>
    <w:basedOn w:val="DefaultParagraphFont"/>
    <w:link w:val="BodyText"/>
    <w:rsid w:val="00C41C0E"/>
    <w:rPr>
      <w:rFonts w:ascii="Segoe UI" w:eastAsiaTheme="minorEastAsia" w:hAnsi="Segoe UI" w:cs="Segoe UI"/>
      <w:sz w:val="22"/>
      <w:szCs w:val="20"/>
      <w:lang w:val="en-GB" w:eastAsia="en-AU"/>
    </w:rPr>
  </w:style>
  <w:style w:type="paragraph" w:styleId="Caption">
    <w:name w:val="caption"/>
    <w:aliases w:val="Caption Dossier,! Q,Caption for Figures and Tables,Caption Char1,Caption Char Char,Char Char Char,Char Char1,Char1,Table caption,Caption 3,c,appendix,Char,Caption PHMR"/>
    <w:basedOn w:val="Normal"/>
    <w:next w:val="Normal"/>
    <w:link w:val="CaptionChar"/>
    <w:uiPriority w:val="35"/>
    <w:qFormat/>
    <w:rsid w:val="00B45C04"/>
    <w:pPr>
      <w:keepNext/>
      <w:keepLines/>
      <w:tabs>
        <w:tab w:val="left" w:pos="1418"/>
      </w:tabs>
      <w:spacing w:after="120" w:line="240" w:lineRule="auto"/>
      <w:ind w:left="1418" w:hanging="1418"/>
    </w:pPr>
    <w:rPr>
      <w:rFonts w:ascii="Arial" w:eastAsiaTheme="minorEastAsia" w:hAnsi="Arial"/>
      <w:b/>
      <w:bCs/>
    </w:rPr>
  </w:style>
  <w:style w:type="paragraph" w:customStyle="1" w:styleId="TableHeadTHEMA">
    <w:name w:val="TableHead_THEMA"/>
    <w:basedOn w:val="Normal"/>
    <w:qFormat/>
    <w:rsid w:val="00B45C04"/>
    <w:pPr>
      <w:keepNext/>
      <w:keepLines/>
      <w:spacing w:after="120" w:line="240" w:lineRule="auto"/>
    </w:pPr>
    <w:rPr>
      <w:rFonts w:ascii="Arial" w:eastAsia="Calibri" w:hAnsi="Arial" w:cs="Arial"/>
      <w:b/>
      <w:sz w:val="20"/>
    </w:rPr>
  </w:style>
  <w:style w:type="paragraph" w:styleId="NoteHeading">
    <w:name w:val="Note Heading"/>
    <w:aliases w:val="Table Notes,Notes"/>
    <w:basedOn w:val="Normal"/>
    <w:next w:val="Normal"/>
    <w:link w:val="NoteHeadingChar"/>
    <w:uiPriority w:val="99"/>
    <w:unhideWhenUsed/>
    <w:qFormat/>
    <w:rsid w:val="00B45C04"/>
    <w:pPr>
      <w:spacing w:line="240" w:lineRule="auto"/>
    </w:pPr>
    <w:rPr>
      <w:rFonts w:ascii="Arial Narrow" w:eastAsia="Calibri" w:hAnsi="Arial Narrow"/>
      <w:snapToGrid w:val="0"/>
      <w:sz w:val="18"/>
    </w:rPr>
  </w:style>
  <w:style w:type="character" w:customStyle="1" w:styleId="NoteHeadingChar">
    <w:name w:val="Note Heading Char"/>
    <w:aliases w:val="Table Notes Char,Notes Char"/>
    <w:basedOn w:val="DefaultParagraphFont"/>
    <w:link w:val="NoteHeading"/>
    <w:uiPriority w:val="99"/>
    <w:rsid w:val="00B45C04"/>
    <w:rPr>
      <w:rFonts w:ascii="Arial Narrow" w:eastAsia="Calibri" w:hAnsi="Arial Narrow"/>
      <w:snapToGrid w:val="0"/>
      <w:sz w:val="18"/>
      <w:szCs w:val="22"/>
    </w:rPr>
  </w:style>
  <w:style w:type="paragraph" w:customStyle="1" w:styleId="Body">
    <w:name w:val="Body"/>
    <w:basedOn w:val="Normal"/>
    <w:qFormat/>
    <w:rsid w:val="00B45C04"/>
    <w:pPr>
      <w:tabs>
        <w:tab w:val="left" w:pos="0"/>
      </w:tabs>
      <w:spacing w:after="360" w:line="288" w:lineRule="auto"/>
      <w:jc w:val="both"/>
    </w:pPr>
    <w:rPr>
      <w:rFonts w:ascii="Arial" w:eastAsiaTheme="minorEastAsia" w:hAnsi="Arial" w:cs="Arial"/>
    </w:rPr>
  </w:style>
  <w:style w:type="paragraph" w:customStyle="1" w:styleId="TableText0">
    <w:name w:val="Table Text"/>
    <w:basedOn w:val="Normal"/>
    <w:link w:val="TableTextChar"/>
    <w:qFormat/>
    <w:rsid w:val="00B45C04"/>
    <w:pPr>
      <w:keepNext/>
      <w:keepLines/>
      <w:spacing w:before="20" w:after="20" w:line="240" w:lineRule="auto"/>
    </w:pPr>
    <w:rPr>
      <w:rFonts w:ascii="Arial Narrow" w:eastAsia="TimesNewRoman" w:hAnsi="Arial Narrow"/>
      <w:color w:val="000000"/>
      <w:sz w:val="20"/>
      <w:szCs w:val="20"/>
      <w:lang w:val="en-US"/>
    </w:rPr>
  </w:style>
  <w:style w:type="character" w:customStyle="1" w:styleId="TableTextChar">
    <w:name w:val="Table Text Char"/>
    <w:link w:val="TableText0"/>
    <w:rsid w:val="00B45C04"/>
    <w:rPr>
      <w:rFonts w:ascii="Arial Narrow" w:eastAsia="TimesNewRoman" w:hAnsi="Arial Narrow"/>
      <w:color w:val="000000"/>
      <w:sz w:val="20"/>
      <w:szCs w:val="20"/>
      <w:lang w:val="en-US" w:eastAsia="en-AU"/>
    </w:rPr>
  </w:style>
  <w:style w:type="character" w:customStyle="1" w:styleId="CaptionChar">
    <w:name w:val="Caption Char"/>
    <w:aliases w:val="Caption Dossier Char,! Q Char,Caption for Figures and Tables Char,Caption Char1 Char,Caption Char Char Char,Char Char Char Char,Char Char1 Char,Char1 Char,Table caption Char,Caption 3 Char,c Char,appendix Char,Char Char,Caption PHMR Char"/>
    <w:basedOn w:val="DefaultParagraphFont"/>
    <w:link w:val="Caption"/>
    <w:uiPriority w:val="35"/>
    <w:rsid w:val="00B45C04"/>
    <w:rPr>
      <w:rFonts w:ascii="Arial" w:eastAsiaTheme="minorEastAsia" w:hAnsi="Arial"/>
      <w:b/>
      <w:bCs/>
      <w:sz w:val="22"/>
      <w:szCs w:val="22"/>
      <w:lang w:eastAsia="en-AU"/>
    </w:rPr>
  </w:style>
  <w:style w:type="character" w:customStyle="1" w:styleId="Heading3Char">
    <w:name w:val="Heading 3 Char"/>
    <w:basedOn w:val="DefaultParagraphFont"/>
    <w:link w:val="Heading3"/>
    <w:uiPriority w:val="9"/>
    <w:rsid w:val="00E353DD"/>
    <w:rPr>
      <w:rFonts w:ascii="Segoe UI" w:eastAsia="Segoe UI" w:hAnsi="Segoe UI" w:cs="Segoe UI"/>
      <w:b/>
      <w:bCs/>
      <w:sz w:val="22"/>
      <w:szCs w:val="22"/>
    </w:rPr>
  </w:style>
  <w:style w:type="paragraph" w:customStyle="1" w:styleId="Tabletext1">
    <w:name w:val="Table text"/>
    <w:basedOn w:val="Normal"/>
    <w:link w:val="TabletextChar0"/>
    <w:qFormat/>
    <w:rsid w:val="00BC321D"/>
    <w:pPr>
      <w:spacing w:before="60" w:after="60" w:line="240" w:lineRule="auto"/>
    </w:pPr>
    <w:rPr>
      <w:rFonts w:ascii="Arial Narrow" w:hAnsi="Arial Narrow"/>
      <w:sz w:val="20"/>
    </w:rPr>
  </w:style>
  <w:style w:type="character" w:customStyle="1" w:styleId="TabletextChar0">
    <w:name w:val="Table text Char"/>
    <w:basedOn w:val="DefaultParagraphFont"/>
    <w:link w:val="Tabletext1"/>
    <w:rsid w:val="00BC321D"/>
    <w:rPr>
      <w:rFonts w:ascii="Arial Narrow" w:hAnsi="Arial Narrow" w:cs="Segoe UI"/>
      <w:sz w:val="20"/>
      <w:szCs w:val="22"/>
    </w:rPr>
  </w:style>
  <w:style w:type="character" w:styleId="Hyperlink">
    <w:name w:val="Hyperlink"/>
    <w:basedOn w:val="DefaultParagraphFont"/>
    <w:uiPriority w:val="99"/>
    <w:unhideWhenUsed/>
    <w:rsid w:val="00993CBD"/>
    <w:rPr>
      <w:color w:val="0563C1" w:themeColor="hyperlink"/>
      <w:u w:val="single"/>
    </w:rPr>
  </w:style>
  <w:style w:type="character" w:styleId="UnresolvedMention">
    <w:name w:val="Unresolved Mention"/>
    <w:basedOn w:val="DefaultParagraphFont"/>
    <w:uiPriority w:val="99"/>
    <w:semiHidden/>
    <w:unhideWhenUsed/>
    <w:rsid w:val="00993CBD"/>
    <w:rPr>
      <w:color w:val="605E5C"/>
      <w:shd w:val="clear" w:color="auto" w:fill="E1DFDD"/>
    </w:rPr>
  </w:style>
  <w:style w:type="table" w:customStyle="1" w:styleId="TableGrid1">
    <w:name w:val="Table Grid1"/>
    <w:basedOn w:val="TableNormal"/>
    <w:next w:val="TableGrid"/>
    <w:uiPriority w:val="59"/>
    <w:rsid w:val="00745CC5"/>
    <w:pPr>
      <w:spacing w:after="0" w:line="240" w:lineRule="auto"/>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har"/>
    <w:qFormat/>
    <w:rsid w:val="00745CC5"/>
    <w:pPr>
      <w:spacing w:before="120" w:after="120" w:line="240" w:lineRule="auto"/>
    </w:pPr>
    <w:rPr>
      <w:rFonts w:ascii="Arial Narrow" w:hAnsi="Arial Narrow" w:cstheme="minorBidi"/>
      <w:sz w:val="20"/>
      <w:lang w:eastAsia="en-US"/>
    </w:rPr>
  </w:style>
  <w:style w:type="character" w:customStyle="1" w:styleId="TableChar">
    <w:name w:val="Table Char"/>
    <w:basedOn w:val="DefaultParagraphFont"/>
    <w:link w:val="Table"/>
    <w:rsid w:val="00745CC5"/>
    <w:rPr>
      <w:rFonts w:ascii="Arial Narrow" w:hAnsi="Arial Narrow" w:cstheme="minorBidi"/>
      <w:sz w:val="20"/>
      <w:szCs w:val="22"/>
    </w:rPr>
  </w:style>
  <w:style w:type="character" w:styleId="FollowedHyperlink">
    <w:name w:val="FollowedHyperlink"/>
    <w:basedOn w:val="DefaultParagraphFont"/>
    <w:uiPriority w:val="99"/>
    <w:semiHidden/>
    <w:unhideWhenUsed/>
    <w:rsid w:val="002E288F"/>
    <w:rPr>
      <w:color w:val="954F72" w:themeColor="followedHyperlink"/>
      <w:u w:val="single"/>
    </w:rPr>
  </w:style>
  <w:style w:type="paragraph" w:styleId="Revision">
    <w:name w:val="Revision"/>
    <w:hidden/>
    <w:uiPriority w:val="99"/>
    <w:semiHidden/>
    <w:rsid w:val="00D50EDB"/>
    <w:pPr>
      <w:spacing w:after="0" w:line="240" w:lineRule="auto"/>
    </w:pPr>
    <w:rPr>
      <w:rFonts w:ascii="Segoe UI" w:hAnsi="Segoe UI" w:cs="Segoe UI"/>
      <w:sz w:val="22"/>
      <w:szCs w:val="22"/>
      <w:lang w:eastAsia="en-AU"/>
    </w:rPr>
  </w:style>
  <w:style w:type="character" w:styleId="Mention">
    <w:name w:val="Mention"/>
    <w:basedOn w:val="DefaultParagraphFont"/>
    <w:uiPriority w:val="99"/>
    <w:unhideWhenUsed/>
    <w:rsid w:val="006714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0598">
      <w:bodyDiv w:val="1"/>
      <w:marLeft w:val="0"/>
      <w:marRight w:val="0"/>
      <w:marTop w:val="0"/>
      <w:marBottom w:val="0"/>
      <w:divBdr>
        <w:top w:val="none" w:sz="0" w:space="0" w:color="auto"/>
        <w:left w:val="none" w:sz="0" w:space="0" w:color="auto"/>
        <w:bottom w:val="none" w:sz="0" w:space="0" w:color="auto"/>
        <w:right w:val="none" w:sz="0" w:space="0" w:color="auto"/>
      </w:divBdr>
    </w:div>
    <w:div w:id="211962613">
      <w:bodyDiv w:val="1"/>
      <w:marLeft w:val="0"/>
      <w:marRight w:val="0"/>
      <w:marTop w:val="0"/>
      <w:marBottom w:val="0"/>
      <w:divBdr>
        <w:top w:val="none" w:sz="0" w:space="0" w:color="auto"/>
        <w:left w:val="none" w:sz="0" w:space="0" w:color="auto"/>
        <w:bottom w:val="none" w:sz="0" w:space="0" w:color="auto"/>
        <w:right w:val="none" w:sz="0" w:space="0" w:color="auto"/>
      </w:divBdr>
    </w:div>
    <w:div w:id="222183488">
      <w:bodyDiv w:val="1"/>
      <w:marLeft w:val="0"/>
      <w:marRight w:val="0"/>
      <w:marTop w:val="0"/>
      <w:marBottom w:val="0"/>
      <w:divBdr>
        <w:top w:val="none" w:sz="0" w:space="0" w:color="auto"/>
        <w:left w:val="none" w:sz="0" w:space="0" w:color="auto"/>
        <w:bottom w:val="none" w:sz="0" w:space="0" w:color="auto"/>
        <w:right w:val="none" w:sz="0" w:space="0" w:color="auto"/>
      </w:divBdr>
    </w:div>
    <w:div w:id="407314773">
      <w:bodyDiv w:val="1"/>
      <w:marLeft w:val="0"/>
      <w:marRight w:val="0"/>
      <w:marTop w:val="0"/>
      <w:marBottom w:val="0"/>
      <w:divBdr>
        <w:top w:val="none" w:sz="0" w:space="0" w:color="auto"/>
        <w:left w:val="none" w:sz="0" w:space="0" w:color="auto"/>
        <w:bottom w:val="none" w:sz="0" w:space="0" w:color="auto"/>
        <w:right w:val="none" w:sz="0" w:space="0" w:color="auto"/>
      </w:divBdr>
    </w:div>
    <w:div w:id="420369924">
      <w:bodyDiv w:val="1"/>
      <w:marLeft w:val="0"/>
      <w:marRight w:val="0"/>
      <w:marTop w:val="0"/>
      <w:marBottom w:val="0"/>
      <w:divBdr>
        <w:top w:val="none" w:sz="0" w:space="0" w:color="auto"/>
        <w:left w:val="none" w:sz="0" w:space="0" w:color="auto"/>
        <w:bottom w:val="none" w:sz="0" w:space="0" w:color="auto"/>
        <w:right w:val="none" w:sz="0" w:space="0" w:color="auto"/>
      </w:divBdr>
    </w:div>
    <w:div w:id="434981073">
      <w:bodyDiv w:val="1"/>
      <w:marLeft w:val="0"/>
      <w:marRight w:val="0"/>
      <w:marTop w:val="0"/>
      <w:marBottom w:val="0"/>
      <w:divBdr>
        <w:top w:val="none" w:sz="0" w:space="0" w:color="auto"/>
        <w:left w:val="none" w:sz="0" w:space="0" w:color="auto"/>
        <w:bottom w:val="none" w:sz="0" w:space="0" w:color="auto"/>
        <w:right w:val="none" w:sz="0" w:space="0" w:color="auto"/>
      </w:divBdr>
    </w:div>
    <w:div w:id="466319005">
      <w:bodyDiv w:val="1"/>
      <w:marLeft w:val="0"/>
      <w:marRight w:val="0"/>
      <w:marTop w:val="0"/>
      <w:marBottom w:val="0"/>
      <w:divBdr>
        <w:top w:val="none" w:sz="0" w:space="0" w:color="auto"/>
        <w:left w:val="none" w:sz="0" w:space="0" w:color="auto"/>
        <w:bottom w:val="none" w:sz="0" w:space="0" w:color="auto"/>
        <w:right w:val="none" w:sz="0" w:space="0" w:color="auto"/>
      </w:divBdr>
    </w:div>
    <w:div w:id="498158447">
      <w:bodyDiv w:val="1"/>
      <w:marLeft w:val="0"/>
      <w:marRight w:val="0"/>
      <w:marTop w:val="0"/>
      <w:marBottom w:val="0"/>
      <w:divBdr>
        <w:top w:val="none" w:sz="0" w:space="0" w:color="auto"/>
        <w:left w:val="none" w:sz="0" w:space="0" w:color="auto"/>
        <w:bottom w:val="none" w:sz="0" w:space="0" w:color="auto"/>
        <w:right w:val="none" w:sz="0" w:space="0" w:color="auto"/>
      </w:divBdr>
    </w:div>
    <w:div w:id="703486101">
      <w:bodyDiv w:val="1"/>
      <w:marLeft w:val="0"/>
      <w:marRight w:val="0"/>
      <w:marTop w:val="0"/>
      <w:marBottom w:val="0"/>
      <w:divBdr>
        <w:top w:val="none" w:sz="0" w:space="0" w:color="auto"/>
        <w:left w:val="none" w:sz="0" w:space="0" w:color="auto"/>
        <w:bottom w:val="none" w:sz="0" w:space="0" w:color="auto"/>
        <w:right w:val="none" w:sz="0" w:space="0" w:color="auto"/>
      </w:divBdr>
    </w:div>
    <w:div w:id="923143637">
      <w:bodyDiv w:val="1"/>
      <w:marLeft w:val="0"/>
      <w:marRight w:val="0"/>
      <w:marTop w:val="0"/>
      <w:marBottom w:val="0"/>
      <w:divBdr>
        <w:top w:val="none" w:sz="0" w:space="0" w:color="auto"/>
        <w:left w:val="none" w:sz="0" w:space="0" w:color="auto"/>
        <w:bottom w:val="none" w:sz="0" w:space="0" w:color="auto"/>
        <w:right w:val="none" w:sz="0" w:space="0" w:color="auto"/>
      </w:divBdr>
    </w:div>
    <w:div w:id="1233587212">
      <w:bodyDiv w:val="1"/>
      <w:marLeft w:val="0"/>
      <w:marRight w:val="0"/>
      <w:marTop w:val="0"/>
      <w:marBottom w:val="0"/>
      <w:divBdr>
        <w:top w:val="none" w:sz="0" w:space="0" w:color="auto"/>
        <w:left w:val="none" w:sz="0" w:space="0" w:color="auto"/>
        <w:bottom w:val="none" w:sz="0" w:space="0" w:color="auto"/>
        <w:right w:val="none" w:sz="0" w:space="0" w:color="auto"/>
      </w:divBdr>
    </w:div>
    <w:div w:id="1254313722">
      <w:bodyDiv w:val="1"/>
      <w:marLeft w:val="0"/>
      <w:marRight w:val="0"/>
      <w:marTop w:val="0"/>
      <w:marBottom w:val="0"/>
      <w:divBdr>
        <w:top w:val="none" w:sz="0" w:space="0" w:color="auto"/>
        <w:left w:val="none" w:sz="0" w:space="0" w:color="auto"/>
        <w:bottom w:val="none" w:sz="0" w:space="0" w:color="auto"/>
        <w:right w:val="none" w:sz="0" w:space="0" w:color="auto"/>
      </w:divBdr>
    </w:div>
    <w:div w:id="1287664752">
      <w:bodyDiv w:val="1"/>
      <w:marLeft w:val="0"/>
      <w:marRight w:val="0"/>
      <w:marTop w:val="0"/>
      <w:marBottom w:val="0"/>
      <w:divBdr>
        <w:top w:val="none" w:sz="0" w:space="0" w:color="auto"/>
        <w:left w:val="none" w:sz="0" w:space="0" w:color="auto"/>
        <w:bottom w:val="none" w:sz="0" w:space="0" w:color="auto"/>
        <w:right w:val="none" w:sz="0" w:space="0" w:color="auto"/>
      </w:divBdr>
    </w:div>
    <w:div w:id="1306352712">
      <w:bodyDiv w:val="1"/>
      <w:marLeft w:val="0"/>
      <w:marRight w:val="0"/>
      <w:marTop w:val="0"/>
      <w:marBottom w:val="0"/>
      <w:divBdr>
        <w:top w:val="none" w:sz="0" w:space="0" w:color="auto"/>
        <w:left w:val="none" w:sz="0" w:space="0" w:color="auto"/>
        <w:bottom w:val="none" w:sz="0" w:space="0" w:color="auto"/>
        <w:right w:val="none" w:sz="0" w:space="0" w:color="auto"/>
      </w:divBdr>
    </w:div>
    <w:div w:id="1607227357">
      <w:bodyDiv w:val="1"/>
      <w:marLeft w:val="0"/>
      <w:marRight w:val="0"/>
      <w:marTop w:val="0"/>
      <w:marBottom w:val="0"/>
      <w:divBdr>
        <w:top w:val="none" w:sz="0" w:space="0" w:color="auto"/>
        <w:left w:val="none" w:sz="0" w:space="0" w:color="auto"/>
        <w:bottom w:val="none" w:sz="0" w:space="0" w:color="auto"/>
        <w:right w:val="none" w:sz="0" w:space="0" w:color="auto"/>
      </w:divBdr>
    </w:div>
    <w:div w:id="1660039308">
      <w:bodyDiv w:val="1"/>
      <w:marLeft w:val="0"/>
      <w:marRight w:val="0"/>
      <w:marTop w:val="0"/>
      <w:marBottom w:val="0"/>
      <w:divBdr>
        <w:top w:val="none" w:sz="0" w:space="0" w:color="auto"/>
        <w:left w:val="none" w:sz="0" w:space="0" w:color="auto"/>
        <w:bottom w:val="none" w:sz="0" w:space="0" w:color="auto"/>
        <w:right w:val="none" w:sz="0" w:space="0" w:color="auto"/>
      </w:divBdr>
    </w:div>
    <w:div w:id="1708022767">
      <w:bodyDiv w:val="1"/>
      <w:marLeft w:val="0"/>
      <w:marRight w:val="0"/>
      <w:marTop w:val="0"/>
      <w:marBottom w:val="0"/>
      <w:divBdr>
        <w:top w:val="none" w:sz="0" w:space="0" w:color="auto"/>
        <w:left w:val="none" w:sz="0" w:space="0" w:color="auto"/>
        <w:bottom w:val="none" w:sz="0" w:space="0" w:color="auto"/>
        <w:right w:val="none" w:sz="0" w:space="0" w:color="auto"/>
      </w:divBdr>
    </w:div>
    <w:div w:id="1715886099">
      <w:bodyDiv w:val="1"/>
      <w:marLeft w:val="0"/>
      <w:marRight w:val="0"/>
      <w:marTop w:val="0"/>
      <w:marBottom w:val="0"/>
      <w:divBdr>
        <w:top w:val="none" w:sz="0" w:space="0" w:color="auto"/>
        <w:left w:val="none" w:sz="0" w:space="0" w:color="auto"/>
        <w:bottom w:val="none" w:sz="0" w:space="0" w:color="auto"/>
        <w:right w:val="none" w:sz="0" w:space="0" w:color="auto"/>
      </w:divBdr>
    </w:div>
    <w:div w:id="1728801244">
      <w:bodyDiv w:val="1"/>
      <w:marLeft w:val="0"/>
      <w:marRight w:val="0"/>
      <w:marTop w:val="0"/>
      <w:marBottom w:val="0"/>
      <w:divBdr>
        <w:top w:val="none" w:sz="0" w:space="0" w:color="auto"/>
        <w:left w:val="none" w:sz="0" w:space="0" w:color="auto"/>
        <w:bottom w:val="none" w:sz="0" w:space="0" w:color="auto"/>
        <w:right w:val="none" w:sz="0" w:space="0" w:color="auto"/>
      </w:divBdr>
    </w:div>
    <w:div w:id="1730377991">
      <w:bodyDiv w:val="1"/>
      <w:marLeft w:val="0"/>
      <w:marRight w:val="0"/>
      <w:marTop w:val="0"/>
      <w:marBottom w:val="0"/>
      <w:divBdr>
        <w:top w:val="none" w:sz="0" w:space="0" w:color="auto"/>
        <w:left w:val="none" w:sz="0" w:space="0" w:color="auto"/>
        <w:bottom w:val="none" w:sz="0" w:space="0" w:color="auto"/>
        <w:right w:val="none" w:sz="0" w:space="0" w:color="auto"/>
      </w:divBdr>
    </w:div>
    <w:div w:id="190154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business.health.gov.au/session/services/applications/mbs-application-amsht/?id=54db4e94-7961-f011-95f3-0022481440cf&amp;stepid=f1e99fa9-1c8d-eb11-b1ac-0022481552cb&amp;sessionid=e244464f-8c68-f011-bec3-000d3acc463e" TargetMode="External"/><Relationship Id="rId26" Type="http://schemas.openxmlformats.org/officeDocument/2006/relationships/image" Target="media/image2.png"/><Relationship Id="rId39" Type="http://schemas.openxmlformats.org/officeDocument/2006/relationships/hyperlink" Target="https://jamanetwork.com/journals/jama/fullarticle/2827209" TargetMode="External"/><Relationship Id="rId21" Type="http://schemas.openxmlformats.org/officeDocument/2006/relationships/hyperlink" Target="https://www.tga.gov.au/resources/artg/444061" TargetMode="External"/><Relationship Id="rId34" Type="http://schemas.openxmlformats.org/officeDocument/2006/relationships/hyperlink" Target="https://www.jacc.org/doi/10.1016/j.jacc.2024.08.044" TargetMode="External"/><Relationship Id="rId42" Type="http://schemas.openxmlformats.org/officeDocument/2006/relationships/hyperlink" Target="https://doi.org/10.1161/CIRCINTERVENTIONS.122.012888" TargetMode="External"/><Relationship Id="rId47" Type="http://schemas.openxmlformats.org/officeDocument/2006/relationships/hyperlink" Target="https://onlinelibrary.wiley.com/doi/10.1002/ccd.30450" TargetMode="External"/><Relationship Id="rId50" Type="http://schemas.openxmlformats.org/officeDocument/2006/relationships/hyperlink" Target="https://tric-i-hf.dzhk.de/ueber-die-studie/hintergrund-und-ziele/"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business.health.gov.au/session/services/applications/mbs-application-amsht/?id=54db4e94-7961-f011-95f3-0022481440cf&amp;stepid=f1e99fa9-1c8d-eb11-b1ac-0022481552cb&amp;sessionid=e244464f-8c68-f011-bec3-000d3acc463e" TargetMode="External"/><Relationship Id="rId25" Type="http://schemas.openxmlformats.org/officeDocument/2006/relationships/image" Target="media/image1.png"/><Relationship Id="rId33" Type="http://schemas.openxmlformats.org/officeDocument/2006/relationships/hyperlink" Target="https://www.nejm.org/doi/full/10.1056/NEJMoa2300525" TargetMode="External"/><Relationship Id="rId38" Type="http://schemas.openxmlformats.org/officeDocument/2006/relationships/hyperlink" Target="https://doi.org/10.1161/CIRCULATIONAHA.125.074536" TargetMode="External"/><Relationship Id="rId46" Type="http://schemas.openxmlformats.org/officeDocument/2006/relationships/hyperlink" Target="https://doi.org/10.1016/j.cjca.2022.09.006" TargetMode="External"/><Relationship Id="rId2" Type="http://schemas.openxmlformats.org/officeDocument/2006/relationships/numbering" Target="numbering.xml"/><Relationship Id="rId16" Type="http://schemas.openxmlformats.org/officeDocument/2006/relationships/hyperlink" Target="https://www.tga.gov.au/resources/artg/410290" TargetMode="External"/><Relationship Id="rId20" Type="http://schemas.openxmlformats.org/officeDocument/2006/relationships/hyperlink" Target="https://business.health.gov.au/session/services/applications/mbs-application-amsht/?id=54db4e94-7961-f011-95f3-0022481440cf&amp;stepid=f1e99fa9-1c8d-eb11-b1ac-0022481552cb&amp;sessionid=e244464f-8c68-f011-bec3-000d3acc463e" TargetMode="External"/><Relationship Id="rId29" Type="http://schemas.openxmlformats.org/officeDocument/2006/relationships/image" Target="media/image5.png"/><Relationship Id="rId41" Type="http://schemas.openxmlformats.org/officeDocument/2006/relationships/hyperlink" Target="https://doi.org/10.1016/j.jacc.2020.11.038" TargetMode="External"/><Relationship Id="rId54" Type="http://schemas.openxmlformats.org/officeDocument/2006/relationships/hyperlink" Target="https://clinicaltrials.gov/study/NCT045701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business.health.gov.au/session/services/applications/mbs-application-amsht/?id=54db4e94-7961-f011-95f3-0022481440cf&amp;stepid=f1e99fa9-1c8d-eb11-b1ac-0022481552cb&amp;sessionid=e244464f-8c68-f011-bec3-000d3acc463e" TargetMode="External"/><Relationship Id="rId32" Type="http://schemas.openxmlformats.org/officeDocument/2006/relationships/footer" Target="footer4.xml"/><Relationship Id="rId37" Type="http://schemas.openxmlformats.org/officeDocument/2006/relationships/hyperlink" Target="https://www.jacc.org/doi/10.1016/j.jacc.2023.10.008" TargetMode="External"/><Relationship Id="rId40" Type="http://schemas.openxmlformats.org/officeDocument/2006/relationships/hyperlink" Target="https://doi.org/10.1016/S0140-6736(19)32600-5" TargetMode="External"/><Relationship Id="rId45" Type="http://schemas.openxmlformats.org/officeDocument/2006/relationships/hyperlink" Target="https://www.jacc.org/doi/10.1016/j.jacc.2024.05.006" TargetMode="External"/><Relationship Id="rId53" Type="http://schemas.openxmlformats.org/officeDocument/2006/relationships/hyperlink" Target="https://clinicaltrials.gov/study/NCT06307262" TargetMode="External"/><Relationship Id="rId5" Type="http://schemas.openxmlformats.org/officeDocument/2006/relationships/webSettings" Target="webSettings.xml"/><Relationship Id="rId15" Type="http://schemas.openxmlformats.org/officeDocument/2006/relationships/hyperlink" Target="https://www.tga.gov.au/resources/artg/410288" TargetMode="External"/><Relationship Id="rId23" Type="http://schemas.openxmlformats.org/officeDocument/2006/relationships/hyperlink" Target="https://business.health.gov.au/session/services/applications/mbs-application-amsht/?id=54db4e94-7961-f011-95f3-0022481440cf&amp;stepid=f1e99fa9-1c8d-eb11-b1ac-0022481552cb&amp;sessionid=e244464f-8c68-f011-bec3-000d3acc463e" TargetMode="External"/><Relationship Id="rId28" Type="http://schemas.openxmlformats.org/officeDocument/2006/relationships/image" Target="media/image4.png"/><Relationship Id="rId36" Type="http://schemas.openxmlformats.org/officeDocument/2006/relationships/hyperlink" Target="https://www.jacc.org/doi/10.1016/j.jacep.2025.01.001" TargetMode="External"/><Relationship Id="rId49" Type="http://schemas.openxmlformats.org/officeDocument/2006/relationships/hyperlink" Target="https://doi.org/10.1016/j.jacc.2023.02.049" TargetMode="External"/><Relationship Id="rId10" Type="http://schemas.openxmlformats.org/officeDocument/2006/relationships/footer" Target="footer1.xml"/><Relationship Id="rId19" Type="http://schemas.openxmlformats.org/officeDocument/2006/relationships/hyperlink" Target="https://business.health.gov.au/session/services/applications/mbs-application-amsht/?id=54db4e94-7961-f011-95f3-0022481440cf&amp;stepid=f1e99fa9-1c8d-eb11-b1ac-0022481552cb&amp;sessionid=e244464f-8c68-f011-bec3-000d3acc463e" TargetMode="External"/><Relationship Id="rId31" Type="http://schemas.openxmlformats.org/officeDocument/2006/relationships/header" Target="header4.xml"/><Relationship Id="rId44" Type="http://schemas.openxmlformats.org/officeDocument/2006/relationships/hyperlink" Target="https://www.jacc.org/doi/10.1016/j.jacc.2023.05.008" TargetMode="External"/><Relationship Id="rId52" Type="http://schemas.openxmlformats.org/officeDocument/2006/relationships/hyperlink" Target="https://clinicaltrials.gov/study/NCT0692074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tga.gov.au/resources/artg/410289" TargetMode="External"/><Relationship Id="rId22" Type="http://schemas.openxmlformats.org/officeDocument/2006/relationships/hyperlink" Target="https://www.tga.gov.au/resources/artg/444062" TargetMode="External"/><Relationship Id="rId27" Type="http://schemas.openxmlformats.org/officeDocument/2006/relationships/image" Target="media/image3.png"/><Relationship Id="rId30" Type="http://schemas.openxmlformats.org/officeDocument/2006/relationships/image" Target="media/image6.emf"/><Relationship Id="rId35" Type="http://schemas.openxmlformats.org/officeDocument/2006/relationships/hyperlink" Target="https://www.jacc.org/doi/10.1016/j.jacc.2024.09.009" TargetMode="External"/><Relationship Id="rId43" Type="http://schemas.openxmlformats.org/officeDocument/2006/relationships/hyperlink" Target="https://doi.org/10.1016/j.jcin.2024.05.036" TargetMode="External"/><Relationship Id="rId48" Type="http://schemas.openxmlformats.org/officeDocument/2006/relationships/hyperlink" Target="https://doi.org/10.1016/j.jacc.2020.11.047"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clinicaltrials.gov/study/NCT05628779"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894E7-6978-467B-8840-11305A50B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15044</Words>
  <Characters>85757</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100600</CharactersWithSpaces>
  <SharedDoc>false</SharedDoc>
  <HLinks>
    <vt:vector size="198" baseType="variant">
      <vt:variant>
        <vt:i4>589826</vt:i4>
      </vt:variant>
      <vt:variant>
        <vt:i4>279</vt:i4>
      </vt:variant>
      <vt:variant>
        <vt:i4>0</vt:i4>
      </vt:variant>
      <vt:variant>
        <vt:i4>5</vt:i4>
      </vt:variant>
      <vt:variant>
        <vt:lpwstr>https://clinicaltrials.gov/study/NCT04570163</vt:lpwstr>
      </vt:variant>
      <vt:variant>
        <vt:lpwstr/>
      </vt:variant>
      <vt:variant>
        <vt:i4>917507</vt:i4>
      </vt:variant>
      <vt:variant>
        <vt:i4>276</vt:i4>
      </vt:variant>
      <vt:variant>
        <vt:i4>0</vt:i4>
      </vt:variant>
      <vt:variant>
        <vt:i4>5</vt:i4>
      </vt:variant>
      <vt:variant>
        <vt:lpwstr>https://clinicaltrials.gov/study/NCT06307262</vt:lpwstr>
      </vt:variant>
      <vt:variant>
        <vt:lpwstr/>
      </vt:variant>
      <vt:variant>
        <vt:i4>917516</vt:i4>
      </vt:variant>
      <vt:variant>
        <vt:i4>273</vt:i4>
      </vt:variant>
      <vt:variant>
        <vt:i4>0</vt:i4>
      </vt:variant>
      <vt:variant>
        <vt:i4>5</vt:i4>
      </vt:variant>
      <vt:variant>
        <vt:lpwstr>https://clinicaltrials.gov/study/NCT06920745</vt:lpwstr>
      </vt:variant>
      <vt:variant>
        <vt:lpwstr/>
      </vt:variant>
      <vt:variant>
        <vt:i4>65544</vt:i4>
      </vt:variant>
      <vt:variant>
        <vt:i4>270</vt:i4>
      </vt:variant>
      <vt:variant>
        <vt:i4>0</vt:i4>
      </vt:variant>
      <vt:variant>
        <vt:i4>5</vt:i4>
      </vt:variant>
      <vt:variant>
        <vt:lpwstr>https://clinicaltrials.gov/study/NCT05628779</vt:lpwstr>
      </vt:variant>
      <vt:variant>
        <vt:lpwstr/>
      </vt:variant>
      <vt:variant>
        <vt:i4>1507392</vt:i4>
      </vt:variant>
      <vt:variant>
        <vt:i4>267</vt:i4>
      </vt:variant>
      <vt:variant>
        <vt:i4>0</vt:i4>
      </vt:variant>
      <vt:variant>
        <vt:i4>5</vt:i4>
      </vt:variant>
      <vt:variant>
        <vt:lpwstr>https://tric-i-hf.dzhk.de/ueber-die-studie/hintergrund-und-ziele/</vt:lpwstr>
      </vt:variant>
      <vt:variant>
        <vt:lpwstr/>
      </vt:variant>
      <vt:variant>
        <vt:i4>2818104</vt:i4>
      </vt:variant>
      <vt:variant>
        <vt:i4>264</vt:i4>
      </vt:variant>
      <vt:variant>
        <vt:i4>0</vt:i4>
      </vt:variant>
      <vt:variant>
        <vt:i4>5</vt:i4>
      </vt:variant>
      <vt:variant>
        <vt:lpwstr>https://doi.org/10.1016/j.jacc.2023.02.049</vt:lpwstr>
      </vt:variant>
      <vt:variant>
        <vt:lpwstr/>
      </vt:variant>
      <vt:variant>
        <vt:i4>2490426</vt:i4>
      </vt:variant>
      <vt:variant>
        <vt:i4>261</vt:i4>
      </vt:variant>
      <vt:variant>
        <vt:i4>0</vt:i4>
      </vt:variant>
      <vt:variant>
        <vt:i4>5</vt:i4>
      </vt:variant>
      <vt:variant>
        <vt:lpwstr>https://doi.org/10.1016/j.jacc.2020.11.047</vt:lpwstr>
      </vt:variant>
      <vt:variant>
        <vt:lpwstr/>
      </vt:variant>
      <vt:variant>
        <vt:i4>4194375</vt:i4>
      </vt:variant>
      <vt:variant>
        <vt:i4>258</vt:i4>
      </vt:variant>
      <vt:variant>
        <vt:i4>0</vt:i4>
      </vt:variant>
      <vt:variant>
        <vt:i4>5</vt:i4>
      </vt:variant>
      <vt:variant>
        <vt:lpwstr>https://onlinelibrary.wiley.com/doi/10.1002/ccd.30450</vt:lpwstr>
      </vt:variant>
      <vt:variant>
        <vt:lpwstr/>
      </vt:variant>
      <vt:variant>
        <vt:i4>2490420</vt:i4>
      </vt:variant>
      <vt:variant>
        <vt:i4>255</vt:i4>
      </vt:variant>
      <vt:variant>
        <vt:i4>0</vt:i4>
      </vt:variant>
      <vt:variant>
        <vt:i4>5</vt:i4>
      </vt:variant>
      <vt:variant>
        <vt:lpwstr>https://doi.org/10.1016/j.cjca.2022.09.006</vt:lpwstr>
      </vt:variant>
      <vt:variant>
        <vt:lpwstr/>
      </vt:variant>
      <vt:variant>
        <vt:i4>3211362</vt:i4>
      </vt:variant>
      <vt:variant>
        <vt:i4>252</vt:i4>
      </vt:variant>
      <vt:variant>
        <vt:i4>0</vt:i4>
      </vt:variant>
      <vt:variant>
        <vt:i4>5</vt:i4>
      </vt:variant>
      <vt:variant>
        <vt:lpwstr>https://www.jacc.org/doi/10.1016/j.jacc.2024.05.006</vt:lpwstr>
      </vt:variant>
      <vt:variant>
        <vt:lpwstr/>
      </vt:variant>
      <vt:variant>
        <vt:i4>3539042</vt:i4>
      </vt:variant>
      <vt:variant>
        <vt:i4>249</vt:i4>
      </vt:variant>
      <vt:variant>
        <vt:i4>0</vt:i4>
      </vt:variant>
      <vt:variant>
        <vt:i4>5</vt:i4>
      </vt:variant>
      <vt:variant>
        <vt:lpwstr>https://www.jacc.org/doi/10.1016/j.jacc.2023.05.008</vt:lpwstr>
      </vt:variant>
      <vt:variant>
        <vt:lpwstr/>
      </vt:variant>
      <vt:variant>
        <vt:i4>2883634</vt:i4>
      </vt:variant>
      <vt:variant>
        <vt:i4>246</vt:i4>
      </vt:variant>
      <vt:variant>
        <vt:i4>0</vt:i4>
      </vt:variant>
      <vt:variant>
        <vt:i4>5</vt:i4>
      </vt:variant>
      <vt:variant>
        <vt:lpwstr>https://doi.org/10.1016/j.jcin.2024.05.036</vt:lpwstr>
      </vt:variant>
      <vt:variant>
        <vt:lpwstr/>
      </vt:variant>
      <vt:variant>
        <vt:i4>524304</vt:i4>
      </vt:variant>
      <vt:variant>
        <vt:i4>243</vt:i4>
      </vt:variant>
      <vt:variant>
        <vt:i4>0</vt:i4>
      </vt:variant>
      <vt:variant>
        <vt:i4>5</vt:i4>
      </vt:variant>
      <vt:variant>
        <vt:lpwstr>https://doi.org/10.1161/CIRCINTERVENTIONS.122.012888</vt:lpwstr>
      </vt:variant>
      <vt:variant>
        <vt:lpwstr/>
      </vt:variant>
      <vt:variant>
        <vt:i4>2687037</vt:i4>
      </vt:variant>
      <vt:variant>
        <vt:i4>240</vt:i4>
      </vt:variant>
      <vt:variant>
        <vt:i4>0</vt:i4>
      </vt:variant>
      <vt:variant>
        <vt:i4>5</vt:i4>
      </vt:variant>
      <vt:variant>
        <vt:lpwstr>https://doi.org/10.1016/j.jacc.2020.11.038</vt:lpwstr>
      </vt:variant>
      <vt:variant>
        <vt:lpwstr/>
      </vt:variant>
      <vt:variant>
        <vt:i4>851983</vt:i4>
      </vt:variant>
      <vt:variant>
        <vt:i4>237</vt:i4>
      </vt:variant>
      <vt:variant>
        <vt:i4>0</vt:i4>
      </vt:variant>
      <vt:variant>
        <vt:i4>5</vt:i4>
      </vt:variant>
      <vt:variant>
        <vt:lpwstr>https://doi.org/10.1016/S0140-6736(19)32600-5</vt:lpwstr>
      </vt:variant>
      <vt:variant>
        <vt:lpwstr/>
      </vt:variant>
      <vt:variant>
        <vt:i4>4587598</vt:i4>
      </vt:variant>
      <vt:variant>
        <vt:i4>234</vt:i4>
      </vt:variant>
      <vt:variant>
        <vt:i4>0</vt:i4>
      </vt:variant>
      <vt:variant>
        <vt:i4>5</vt:i4>
      </vt:variant>
      <vt:variant>
        <vt:lpwstr>https://jamanetwork.com/journals/jama/fullarticle/2827209</vt:lpwstr>
      </vt:variant>
      <vt:variant>
        <vt:lpwstr/>
      </vt:variant>
      <vt:variant>
        <vt:i4>5963776</vt:i4>
      </vt:variant>
      <vt:variant>
        <vt:i4>231</vt:i4>
      </vt:variant>
      <vt:variant>
        <vt:i4>0</vt:i4>
      </vt:variant>
      <vt:variant>
        <vt:i4>5</vt:i4>
      </vt:variant>
      <vt:variant>
        <vt:lpwstr>https://doi.org/10.1161/CIRCULATIONAHA.125.074536</vt:lpwstr>
      </vt:variant>
      <vt:variant>
        <vt:lpwstr/>
      </vt:variant>
      <vt:variant>
        <vt:i4>3604583</vt:i4>
      </vt:variant>
      <vt:variant>
        <vt:i4>228</vt:i4>
      </vt:variant>
      <vt:variant>
        <vt:i4>0</vt:i4>
      </vt:variant>
      <vt:variant>
        <vt:i4>5</vt:i4>
      </vt:variant>
      <vt:variant>
        <vt:lpwstr>https://www.jacc.org/doi/10.1016/j.jacc.2023.10.008</vt:lpwstr>
      </vt:variant>
      <vt:variant>
        <vt:lpwstr/>
      </vt:variant>
      <vt:variant>
        <vt:i4>5963850</vt:i4>
      </vt:variant>
      <vt:variant>
        <vt:i4>225</vt:i4>
      </vt:variant>
      <vt:variant>
        <vt:i4>0</vt:i4>
      </vt:variant>
      <vt:variant>
        <vt:i4>5</vt:i4>
      </vt:variant>
      <vt:variant>
        <vt:lpwstr>https://www.jacc.org/doi/10.1016/j.jacep.2025.01.001</vt:lpwstr>
      </vt:variant>
      <vt:variant>
        <vt:lpwstr/>
      </vt:variant>
      <vt:variant>
        <vt:i4>3211374</vt:i4>
      </vt:variant>
      <vt:variant>
        <vt:i4>222</vt:i4>
      </vt:variant>
      <vt:variant>
        <vt:i4>0</vt:i4>
      </vt:variant>
      <vt:variant>
        <vt:i4>5</vt:i4>
      </vt:variant>
      <vt:variant>
        <vt:lpwstr>https://www.jacc.org/doi/10.1016/j.jacc.2024.09.009</vt:lpwstr>
      </vt:variant>
      <vt:variant>
        <vt:lpwstr/>
      </vt:variant>
      <vt:variant>
        <vt:i4>3473519</vt:i4>
      </vt:variant>
      <vt:variant>
        <vt:i4>219</vt:i4>
      </vt:variant>
      <vt:variant>
        <vt:i4>0</vt:i4>
      </vt:variant>
      <vt:variant>
        <vt:i4>5</vt:i4>
      </vt:variant>
      <vt:variant>
        <vt:lpwstr>https://www.jacc.org/doi/10.1016/j.jacc.2024.08.044</vt:lpwstr>
      </vt:variant>
      <vt:variant>
        <vt:lpwstr/>
      </vt:variant>
      <vt:variant>
        <vt:i4>2293803</vt:i4>
      </vt:variant>
      <vt:variant>
        <vt:i4>216</vt:i4>
      </vt:variant>
      <vt:variant>
        <vt:i4>0</vt:i4>
      </vt:variant>
      <vt:variant>
        <vt:i4>5</vt:i4>
      </vt:variant>
      <vt:variant>
        <vt:lpwstr>https://www.nejm.org/doi/full/10.1056/NEJMoa2300525</vt:lpwstr>
      </vt:variant>
      <vt:variant>
        <vt:lpwstr/>
      </vt:variant>
      <vt:variant>
        <vt:i4>3997804</vt:i4>
      </vt:variant>
      <vt:variant>
        <vt:i4>81</vt:i4>
      </vt:variant>
      <vt:variant>
        <vt:i4>0</vt:i4>
      </vt:variant>
      <vt:variant>
        <vt:i4>5</vt:i4>
      </vt:variant>
      <vt:variant>
        <vt:lpwstr>https://business.health.gov.au/session/services/applications/mbs-application-amsht/?id=54db4e94-7961-f011-95f3-0022481440cf&amp;stepid=f1e99fa9-1c8d-eb11-b1ac-0022481552cb&amp;sessionid=e244464f-8c68-f011-bec3-000d3acc463e</vt:lpwstr>
      </vt:variant>
      <vt:variant>
        <vt:lpwstr/>
      </vt:variant>
      <vt:variant>
        <vt:i4>3997804</vt:i4>
      </vt:variant>
      <vt:variant>
        <vt:i4>78</vt:i4>
      </vt:variant>
      <vt:variant>
        <vt:i4>0</vt:i4>
      </vt:variant>
      <vt:variant>
        <vt:i4>5</vt:i4>
      </vt:variant>
      <vt:variant>
        <vt:lpwstr>https://business.health.gov.au/session/services/applications/mbs-application-amsht/?id=54db4e94-7961-f011-95f3-0022481440cf&amp;stepid=f1e99fa9-1c8d-eb11-b1ac-0022481552cb&amp;sessionid=e244464f-8c68-f011-bec3-000d3acc463e</vt:lpwstr>
      </vt:variant>
      <vt:variant>
        <vt:lpwstr/>
      </vt:variant>
      <vt:variant>
        <vt:i4>6094875</vt:i4>
      </vt:variant>
      <vt:variant>
        <vt:i4>75</vt:i4>
      </vt:variant>
      <vt:variant>
        <vt:i4>0</vt:i4>
      </vt:variant>
      <vt:variant>
        <vt:i4>5</vt:i4>
      </vt:variant>
      <vt:variant>
        <vt:lpwstr>https://www.tga.gov.au/resources/artg/444062</vt:lpwstr>
      </vt:variant>
      <vt:variant>
        <vt:lpwstr/>
      </vt:variant>
      <vt:variant>
        <vt:i4>6160411</vt:i4>
      </vt:variant>
      <vt:variant>
        <vt:i4>72</vt:i4>
      </vt:variant>
      <vt:variant>
        <vt:i4>0</vt:i4>
      </vt:variant>
      <vt:variant>
        <vt:i4>5</vt:i4>
      </vt:variant>
      <vt:variant>
        <vt:lpwstr>https://www.tga.gov.au/resources/artg/444061</vt:lpwstr>
      </vt:variant>
      <vt:variant>
        <vt:lpwstr/>
      </vt:variant>
      <vt:variant>
        <vt:i4>3997804</vt:i4>
      </vt:variant>
      <vt:variant>
        <vt:i4>69</vt:i4>
      </vt:variant>
      <vt:variant>
        <vt:i4>0</vt:i4>
      </vt:variant>
      <vt:variant>
        <vt:i4>5</vt:i4>
      </vt:variant>
      <vt:variant>
        <vt:lpwstr>https://business.health.gov.au/session/services/applications/mbs-application-amsht/?id=54db4e94-7961-f011-95f3-0022481440cf&amp;stepid=f1e99fa9-1c8d-eb11-b1ac-0022481552cb&amp;sessionid=e244464f-8c68-f011-bec3-000d3acc463e</vt:lpwstr>
      </vt:variant>
      <vt:variant>
        <vt:lpwstr/>
      </vt:variant>
      <vt:variant>
        <vt:i4>3997804</vt:i4>
      </vt:variant>
      <vt:variant>
        <vt:i4>66</vt:i4>
      </vt:variant>
      <vt:variant>
        <vt:i4>0</vt:i4>
      </vt:variant>
      <vt:variant>
        <vt:i4>5</vt:i4>
      </vt:variant>
      <vt:variant>
        <vt:lpwstr>https://business.health.gov.au/session/services/applications/mbs-application-amsht/?id=54db4e94-7961-f011-95f3-0022481440cf&amp;stepid=f1e99fa9-1c8d-eb11-b1ac-0022481552cb&amp;sessionid=e244464f-8c68-f011-bec3-000d3acc463e</vt:lpwstr>
      </vt:variant>
      <vt:variant>
        <vt:lpwstr/>
      </vt:variant>
      <vt:variant>
        <vt:i4>3997804</vt:i4>
      </vt:variant>
      <vt:variant>
        <vt:i4>63</vt:i4>
      </vt:variant>
      <vt:variant>
        <vt:i4>0</vt:i4>
      </vt:variant>
      <vt:variant>
        <vt:i4>5</vt:i4>
      </vt:variant>
      <vt:variant>
        <vt:lpwstr>https://business.health.gov.au/session/services/applications/mbs-application-amsht/?id=54db4e94-7961-f011-95f3-0022481440cf&amp;stepid=f1e99fa9-1c8d-eb11-b1ac-0022481552cb&amp;sessionid=e244464f-8c68-f011-bec3-000d3acc463e</vt:lpwstr>
      </vt:variant>
      <vt:variant>
        <vt:lpwstr/>
      </vt:variant>
      <vt:variant>
        <vt:i4>3997804</vt:i4>
      </vt:variant>
      <vt:variant>
        <vt:i4>60</vt:i4>
      </vt:variant>
      <vt:variant>
        <vt:i4>0</vt:i4>
      </vt:variant>
      <vt:variant>
        <vt:i4>5</vt:i4>
      </vt:variant>
      <vt:variant>
        <vt:lpwstr>https://business.health.gov.au/session/services/applications/mbs-application-amsht/?id=54db4e94-7961-f011-95f3-0022481440cf&amp;stepid=f1e99fa9-1c8d-eb11-b1ac-0022481552cb&amp;sessionid=e244464f-8c68-f011-bec3-000d3acc463e</vt:lpwstr>
      </vt:variant>
      <vt:variant>
        <vt:lpwstr/>
      </vt:variant>
      <vt:variant>
        <vt:i4>5767184</vt:i4>
      </vt:variant>
      <vt:variant>
        <vt:i4>57</vt:i4>
      </vt:variant>
      <vt:variant>
        <vt:i4>0</vt:i4>
      </vt:variant>
      <vt:variant>
        <vt:i4>5</vt:i4>
      </vt:variant>
      <vt:variant>
        <vt:lpwstr>https://www.tga.gov.au/resources/artg/410290</vt:lpwstr>
      </vt:variant>
      <vt:variant>
        <vt:lpwstr/>
      </vt:variant>
      <vt:variant>
        <vt:i4>5242897</vt:i4>
      </vt:variant>
      <vt:variant>
        <vt:i4>54</vt:i4>
      </vt:variant>
      <vt:variant>
        <vt:i4>0</vt:i4>
      </vt:variant>
      <vt:variant>
        <vt:i4>5</vt:i4>
      </vt:variant>
      <vt:variant>
        <vt:lpwstr>https://www.tga.gov.au/resources/artg/410288</vt:lpwstr>
      </vt:variant>
      <vt:variant>
        <vt:lpwstr/>
      </vt:variant>
      <vt:variant>
        <vt:i4>5308433</vt:i4>
      </vt:variant>
      <vt:variant>
        <vt:i4>51</vt:i4>
      </vt:variant>
      <vt:variant>
        <vt:i4>0</vt:i4>
      </vt:variant>
      <vt:variant>
        <vt:i4>5</vt:i4>
      </vt:variant>
      <vt:variant>
        <vt:lpwstr>https://www.tga.gov.au/resources/artg/410289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2025-09-23T06:23:00Z</dcterms:created>
  <dcterms:modified xsi:type="dcterms:W3CDTF">2025-09-23T06:23:00Z</dcterms:modified>
</cp:coreProperties>
</file>