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9BB0" w14:textId="3A403241" w:rsidR="0030034A" w:rsidRPr="00BD6335" w:rsidRDefault="0030034A" w:rsidP="004B0592">
      <w:pPr>
        <w:pStyle w:val="Heading1"/>
        <w:spacing w:before="0" w:after="160"/>
        <w:rPr>
          <w:caps/>
        </w:rPr>
      </w:pPr>
      <w:r w:rsidRPr="00BD6335">
        <w:rPr>
          <w:caps/>
        </w:rPr>
        <w:t xml:space="preserve">MSAC </w:t>
      </w:r>
      <w:r w:rsidR="00CB02A3">
        <w:rPr>
          <w:caps/>
        </w:rPr>
        <w:t>Re</w:t>
      </w:r>
      <w:r w:rsidR="00396C12">
        <w:rPr>
          <w:caps/>
        </w:rPr>
        <w:t>application</w:t>
      </w:r>
      <w:r w:rsidR="00DC2AFF" w:rsidRPr="00BD6335">
        <w:rPr>
          <w:caps/>
        </w:rPr>
        <w:t xml:space="preserve"> Template </w:t>
      </w:r>
      <w:r w:rsidRPr="00BD6335">
        <w:rPr>
          <w:caps/>
        </w:rPr>
        <w:t xml:space="preserve"> </w:t>
      </w:r>
    </w:p>
    <w:tbl>
      <w:tblPr>
        <w:tblStyle w:val="TableGrid"/>
        <w:tblW w:w="0" w:type="auto"/>
        <w:tblLook w:val="04A0" w:firstRow="1" w:lastRow="0" w:firstColumn="1" w:lastColumn="0" w:noHBand="0" w:noVBand="1"/>
      </w:tblPr>
      <w:tblGrid>
        <w:gridCol w:w="3397"/>
        <w:gridCol w:w="6797"/>
      </w:tblGrid>
      <w:tr w:rsidR="007A69A5" w14:paraId="7E17B875" w14:textId="77777777" w:rsidTr="007A69A5">
        <w:tc>
          <w:tcPr>
            <w:tcW w:w="3397" w:type="dxa"/>
          </w:tcPr>
          <w:p w14:paraId="16371A8C" w14:textId="3D6FE0E8" w:rsidR="007A69A5" w:rsidRDefault="00CB02A3" w:rsidP="007A69A5">
            <w:pPr>
              <w:rPr>
                <w:b/>
                <w:bCs/>
                <w:color w:val="002060"/>
                <w:sz w:val="36"/>
                <w:szCs w:val="36"/>
              </w:rPr>
            </w:pPr>
            <w:r>
              <w:rPr>
                <w:b/>
                <w:bCs/>
                <w:color w:val="002060"/>
                <w:sz w:val="24"/>
                <w:szCs w:val="24"/>
              </w:rPr>
              <w:t>Re</w:t>
            </w:r>
            <w:r w:rsidR="00C76A19">
              <w:rPr>
                <w:b/>
                <w:bCs/>
                <w:color w:val="002060"/>
                <w:sz w:val="24"/>
                <w:szCs w:val="24"/>
              </w:rPr>
              <w:t>a</w:t>
            </w:r>
            <w:r w:rsidR="007A69A5" w:rsidRPr="000A11E0">
              <w:rPr>
                <w:b/>
                <w:bCs/>
                <w:color w:val="002060"/>
                <w:sz w:val="24"/>
                <w:szCs w:val="24"/>
              </w:rPr>
              <w:t>pplication Name:</w:t>
            </w:r>
          </w:p>
        </w:tc>
        <w:tc>
          <w:tcPr>
            <w:tcW w:w="6797" w:type="dxa"/>
          </w:tcPr>
          <w:p w14:paraId="5B0230D1" w14:textId="32EC35C8" w:rsidR="00F16BEE" w:rsidRPr="00FB6BBA" w:rsidRDefault="00FB6BBA" w:rsidP="00FB6BBA">
            <w:pPr>
              <w:spacing w:after="200"/>
            </w:pPr>
            <w:r w:rsidRPr="00FB6BBA">
              <w:t>Rhenium-188 brachytherapy for non-melanoma skin cancer</w:t>
            </w:r>
          </w:p>
        </w:tc>
      </w:tr>
      <w:tr w:rsidR="00B57F93" w14:paraId="1C46C2FF" w14:textId="77777777" w:rsidTr="007A69A5">
        <w:tc>
          <w:tcPr>
            <w:tcW w:w="3397" w:type="dxa"/>
          </w:tcPr>
          <w:p w14:paraId="37A3918C" w14:textId="09A0A49E" w:rsidR="00B57F93" w:rsidRPr="000A11E0" w:rsidRDefault="00B57F93" w:rsidP="007A69A5">
            <w:pPr>
              <w:rPr>
                <w:b/>
                <w:bCs/>
                <w:color w:val="002060"/>
                <w:sz w:val="24"/>
                <w:szCs w:val="24"/>
              </w:rPr>
            </w:pPr>
            <w:r>
              <w:rPr>
                <w:b/>
                <w:bCs/>
                <w:color w:val="002060"/>
                <w:sz w:val="24"/>
                <w:szCs w:val="24"/>
              </w:rPr>
              <w:t xml:space="preserve">Previous application number </w:t>
            </w:r>
          </w:p>
        </w:tc>
        <w:tc>
          <w:tcPr>
            <w:tcW w:w="6797" w:type="dxa"/>
          </w:tcPr>
          <w:p w14:paraId="191380F4" w14:textId="31F8406B" w:rsidR="00B57F93" w:rsidRPr="00FB6BBA" w:rsidRDefault="00FB6BBA" w:rsidP="00FB6BBA">
            <w:pPr>
              <w:spacing w:after="200"/>
            </w:pPr>
            <w:r w:rsidRPr="00FB6BBA">
              <w:t>1657.1</w:t>
            </w:r>
          </w:p>
        </w:tc>
      </w:tr>
      <w:tr w:rsidR="00B57F93" w14:paraId="0A0472BD" w14:textId="77777777" w:rsidTr="007A69A5">
        <w:tc>
          <w:tcPr>
            <w:tcW w:w="3397" w:type="dxa"/>
          </w:tcPr>
          <w:p w14:paraId="5C9A33CC" w14:textId="709211E9" w:rsidR="00B57F93" w:rsidRDefault="00B57F93" w:rsidP="007A69A5">
            <w:pPr>
              <w:rPr>
                <w:b/>
                <w:bCs/>
                <w:color w:val="002060"/>
                <w:sz w:val="24"/>
                <w:szCs w:val="24"/>
              </w:rPr>
            </w:pPr>
            <w:r>
              <w:rPr>
                <w:b/>
                <w:bCs/>
                <w:color w:val="002060"/>
                <w:sz w:val="24"/>
                <w:szCs w:val="24"/>
              </w:rPr>
              <w:t>Name of previous application</w:t>
            </w:r>
          </w:p>
        </w:tc>
        <w:tc>
          <w:tcPr>
            <w:tcW w:w="6797" w:type="dxa"/>
          </w:tcPr>
          <w:p w14:paraId="22C2109F" w14:textId="176761B6" w:rsidR="00B57F93" w:rsidRPr="00FB6BBA" w:rsidRDefault="00FB6BBA" w:rsidP="00FB6BBA">
            <w:pPr>
              <w:spacing w:after="200"/>
            </w:pPr>
            <w:r w:rsidRPr="00FB6BBA">
              <w:t>Rhenium-188 brachytherapy for non-melanoma skin cancer</w:t>
            </w:r>
          </w:p>
        </w:tc>
      </w:tr>
    </w:tbl>
    <w:p w14:paraId="7330E848" w14:textId="43212425" w:rsidR="00B57F93" w:rsidRPr="00BD6335" w:rsidRDefault="00B57F93" w:rsidP="009B7ABD">
      <w:pPr>
        <w:pStyle w:val="Heading2"/>
        <w:numPr>
          <w:ilvl w:val="0"/>
          <w:numId w:val="41"/>
        </w:numPr>
        <w:ind w:left="426" w:hanging="426"/>
      </w:pPr>
      <w:r w:rsidRPr="00BD6335">
        <w:t xml:space="preserve">Funding Source </w:t>
      </w:r>
    </w:p>
    <w:p w14:paraId="3BD8E676" w14:textId="77777777" w:rsidR="004A7A00" w:rsidRPr="009D19C9" w:rsidRDefault="001E016B" w:rsidP="003732AB">
      <w:pPr>
        <w:pStyle w:val="ListParagraph"/>
        <w:numPr>
          <w:ilvl w:val="0"/>
          <w:numId w:val="21"/>
        </w:numPr>
        <w:ind w:left="426"/>
        <w:rPr>
          <w:b/>
          <w:bCs/>
        </w:rPr>
      </w:pPr>
      <w:r w:rsidRPr="009D19C9">
        <w:rPr>
          <w:b/>
          <w:bCs/>
        </w:rPr>
        <w:t xml:space="preserve">Please </w:t>
      </w:r>
      <w:r w:rsidR="00836B80" w:rsidRPr="009D19C9">
        <w:rPr>
          <w:b/>
          <w:bCs/>
        </w:rPr>
        <w:t xml:space="preserve">check the </w:t>
      </w:r>
      <w:r w:rsidR="00875D6B" w:rsidRPr="009D19C9">
        <w:rPr>
          <w:b/>
          <w:bCs/>
        </w:rPr>
        <w:t xml:space="preserve">box </w:t>
      </w:r>
      <w:r w:rsidR="00F865F7" w:rsidRPr="009D19C9">
        <w:rPr>
          <w:b/>
          <w:bCs/>
        </w:rPr>
        <w:t>th</w:t>
      </w:r>
      <w:r w:rsidR="00836B80" w:rsidRPr="009D19C9">
        <w:rPr>
          <w:b/>
          <w:bCs/>
        </w:rPr>
        <w:t>at correspond</w:t>
      </w:r>
      <w:r w:rsidR="004A7A00" w:rsidRPr="009D19C9">
        <w:rPr>
          <w:b/>
          <w:bCs/>
        </w:rPr>
        <w:t xml:space="preserve">s with the </w:t>
      </w:r>
      <w:r w:rsidRPr="009D19C9">
        <w:rPr>
          <w:b/>
          <w:bCs/>
        </w:rPr>
        <w:t xml:space="preserve">program through which the health technology would be funded: </w:t>
      </w:r>
    </w:p>
    <w:p w14:paraId="581280EC" w14:textId="0820851E" w:rsidR="00894D76" w:rsidRDefault="00000000" w:rsidP="00556527">
      <w:pPr>
        <w:ind w:left="850" w:hanging="425"/>
      </w:pPr>
      <w:sdt>
        <w:sdtPr>
          <w:id w:val="498472057"/>
          <w14:checkbox>
            <w14:checked w14:val="1"/>
            <w14:checkedState w14:val="2612" w14:font="MS Gothic"/>
            <w14:uncheckedState w14:val="2610" w14:font="MS Gothic"/>
          </w14:checkbox>
        </w:sdtPr>
        <w:sdtContent>
          <w:r w:rsidR="00FB6BBA">
            <w:rPr>
              <w:rFonts w:ascii="MS Gothic" w:eastAsia="MS Gothic" w:hAnsi="MS Gothic" w:hint="eastAsia"/>
            </w:rPr>
            <w:t>☒</w:t>
          </w:r>
        </w:sdtContent>
      </w:sdt>
      <w:r w:rsidR="007C6810">
        <w:t xml:space="preserve"> </w:t>
      </w:r>
      <w:r w:rsidR="00267B34">
        <w:t xml:space="preserve"> </w:t>
      </w:r>
      <w:r w:rsidR="007C6810">
        <w:t xml:space="preserve"> </w:t>
      </w:r>
      <w:r w:rsidR="0028354D">
        <w:t xml:space="preserve"> </w:t>
      </w:r>
      <w:r w:rsidR="007C6810">
        <w:t>Medicare Benefits Schedule (MBS)</w:t>
      </w:r>
      <w:r w:rsidR="00E47B4B">
        <w:t>. Please</w:t>
      </w:r>
      <w:r w:rsidR="00CA161F">
        <w:t>:</w:t>
      </w:r>
      <w:r w:rsidR="00556527">
        <w:t xml:space="preserve"> </w:t>
      </w:r>
    </w:p>
    <w:p w14:paraId="6B4445D9" w14:textId="6499EA5F" w:rsidR="00E72555" w:rsidRPr="00BC6954" w:rsidRDefault="00894D76" w:rsidP="2C47B30A">
      <w:pPr>
        <w:pStyle w:val="ListParagraph"/>
        <w:numPr>
          <w:ilvl w:val="0"/>
          <w:numId w:val="39"/>
        </w:numPr>
        <w:ind w:left="1276" w:hanging="425"/>
      </w:pPr>
      <w:r w:rsidRPr="00BC6954">
        <w:t>U</w:t>
      </w:r>
      <w:r w:rsidR="000136AB" w:rsidRPr="00BC6954">
        <w:t>pload a</w:t>
      </w:r>
      <w:r w:rsidR="00A015D7" w:rsidRPr="00BC6954">
        <w:t xml:space="preserve">n in principle </w:t>
      </w:r>
      <w:r w:rsidR="00157F3C" w:rsidRPr="00BC6954">
        <w:t>S</w:t>
      </w:r>
      <w:r w:rsidR="000136AB" w:rsidRPr="00BC6954">
        <w:t xml:space="preserve">tatement of </w:t>
      </w:r>
      <w:r w:rsidR="00157F3C" w:rsidRPr="00BC6954">
        <w:t>C</w:t>
      </w:r>
      <w:r w:rsidR="000136AB" w:rsidRPr="00BC6954">
        <w:t xml:space="preserve">linical </w:t>
      </w:r>
      <w:r w:rsidR="00157F3C" w:rsidRPr="00BC6954">
        <w:t>R</w:t>
      </w:r>
      <w:r w:rsidR="000136AB" w:rsidRPr="00BC6954">
        <w:t>elevance</w:t>
      </w:r>
      <w:r w:rsidR="003474A6" w:rsidRPr="00BC6954">
        <w:rPr>
          <w:rStyle w:val="FootnoteReference"/>
        </w:rPr>
        <w:footnoteReference w:id="2"/>
      </w:r>
      <w:r w:rsidRPr="00BC6954">
        <w:t xml:space="preserve"> when uploading this template. </w:t>
      </w:r>
    </w:p>
    <w:p w14:paraId="475A420C" w14:textId="1BA23826" w:rsidR="007C6810" w:rsidRPr="00556527" w:rsidRDefault="00E72555" w:rsidP="00080ED7">
      <w:pPr>
        <w:pStyle w:val="ListParagraph"/>
        <w:numPr>
          <w:ilvl w:val="0"/>
          <w:numId w:val="39"/>
        </w:numPr>
        <w:ind w:left="1276" w:hanging="426"/>
        <w:contextualSpacing w:val="0"/>
      </w:pPr>
      <w:r>
        <w:t>N</w:t>
      </w:r>
      <w:r w:rsidR="00E8194F" w:rsidRPr="00556527">
        <w:t xml:space="preserve">ote </w:t>
      </w:r>
      <w:r w:rsidR="00A106DA" w:rsidRPr="00556527">
        <w:t xml:space="preserve">in </w:t>
      </w:r>
      <w:hyperlink w:anchor="_Table_2:_Summary" w:history="1">
        <w:r w:rsidR="00777112" w:rsidRPr="00E72555">
          <w:rPr>
            <w:rStyle w:val="Hyperlink"/>
            <w:color w:val="auto"/>
          </w:rPr>
          <w:t>Table 2</w:t>
        </w:r>
      </w:hyperlink>
      <w:r w:rsidR="0028354D" w:rsidRPr="00556527">
        <w:t xml:space="preserve"> below</w:t>
      </w:r>
      <w:r w:rsidR="00CA161F">
        <w:t>,</w:t>
      </w:r>
      <w:r w:rsidR="0028354D" w:rsidRPr="00556527">
        <w:t xml:space="preserve"> </w:t>
      </w:r>
      <w:r w:rsidR="00E8194F" w:rsidRPr="00556527">
        <w:t>any changes to the proposed</w:t>
      </w:r>
      <w:r w:rsidR="009D19C9" w:rsidRPr="00556527">
        <w:t xml:space="preserve"> </w:t>
      </w:r>
      <w:r w:rsidR="00E8194F" w:rsidRPr="00556527">
        <w:t>MBS item(s) compared to the previous ADAR</w:t>
      </w:r>
      <w:r w:rsidR="0018183E" w:rsidRPr="00556527">
        <w:t>.</w:t>
      </w:r>
    </w:p>
    <w:p w14:paraId="22DC6D0A" w14:textId="7880AA32" w:rsidR="007C6810" w:rsidRDefault="00000000" w:rsidP="003732AB">
      <w:pPr>
        <w:ind w:left="426"/>
      </w:pPr>
      <w:sdt>
        <w:sdtPr>
          <w:id w:val="-1326818913"/>
          <w14:checkbox>
            <w14:checked w14:val="0"/>
            <w14:checkedState w14:val="2612" w14:font="MS Gothic"/>
            <w14:uncheckedState w14:val="2610" w14:font="MS Gothic"/>
          </w14:checkbox>
        </w:sdtPr>
        <w:sdtContent>
          <w:r w:rsidR="003732AB">
            <w:rPr>
              <w:rFonts w:ascii="MS Gothic" w:eastAsia="MS Gothic" w:hAnsi="MS Gothic" w:hint="eastAsia"/>
            </w:rPr>
            <w:t>☐</w:t>
          </w:r>
        </w:sdtContent>
      </w:sdt>
      <w:r w:rsidR="00267B34">
        <w:t xml:space="preserve">   </w:t>
      </w:r>
      <w:r w:rsidR="0028354D">
        <w:t xml:space="preserve"> </w:t>
      </w:r>
      <w:r w:rsidR="007C6810" w:rsidRPr="007C6810">
        <w:t>National Blood Agreement</w:t>
      </w:r>
      <w:r w:rsidR="0018183E">
        <w:t>.</w:t>
      </w:r>
    </w:p>
    <w:p w14:paraId="7BBF25F3" w14:textId="35F9BE39" w:rsidR="007C6810" w:rsidRPr="007C6810" w:rsidRDefault="00000000" w:rsidP="00E43CF4">
      <w:pPr>
        <w:ind w:left="425"/>
      </w:pPr>
      <w:sdt>
        <w:sdtPr>
          <w:id w:val="-821971483"/>
          <w14:checkbox>
            <w14:checked w14:val="0"/>
            <w14:checkedState w14:val="2612" w14:font="MS Gothic"/>
            <w14:uncheckedState w14:val="2610" w14:font="MS Gothic"/>
          </w14:checkbox>
        </w:sdtPr>
        <w:sdtContent>
          <w:r w:rsidR="006512B0">
            <w:rPr>
              <w:rFonts w:ascii="MS Gothic" w:eastAsia="MS Gothic" w:hAnsi="MS Gothic" w:hint="eastAsia"/>
            </w:rPr>
            <w:t>☐</w:t>
          </w:r>
        </w:sdtContent>
      </w:sdt>
      <w:r w:rsidR="006512B0">
        <w:t xml:space="preserve">   </w:t>
      </w:r>
      <w:r w:rsidR="0028354D">
        <w:t xml:space="preserve"> </w:t>
      </w:r>
      <w:r w:rsidR="007C6810" w:rsidRPr="007C6810">
        <w:t>National Health Reform Agreement Addendum (</w:t>
      </w:r>
      <w:r w:rsidR="00EC31D9">
        <w:t xml:space="preserve">high-cost, </w:t>
      </w:r>
      <w:r w:rsidR="00E47286">
        <w:t>h</w:t>
      </w:r>
      <w:r w:rsidR="007C6810" w:rsidRPr="007C6810">
        <w:t>ighly specialised therapies)</w:t>
      </w:r>
      <w:r w:rsidR="0018183E">
        <w:t>.</w:t>
      </w:r>
    </w:p>
    <w:p w14:paraId="0177E327" w14:textId="1061B8F1" w:rsidR="007C6810" w:rsidRPr="007C6810" w:rsidRDefault="00000000" w:rsidP="003732AB">
      <w:pPr>
        <w:ind w:left="426"/>
      </w:pPr>
      <w:sdt>
        <w:sdtPr>
          <w:id w:val="32305996"/>
          <w14:checkbox>
            <w14:checked w14:val="0"/>
            <w14:checkedState w14:val="2612" w14:font="MS Gothic"/>
            <w14:uncheckedState w14:val="2610" w14:font="MS Gothic"/>
          </w14:checkbox>
        </w:sdtPr>
        <w:sdtContent>
          <w:r w:rsidR="006512B0">
            <w:rPr>
              <w:rFonts w:ascii="MS Gothic" w:eastAsia="MS Gothic" w:hAnsi="MS Gothic" w:hint="eastAsia"/>
            </w:rPr>
            <w:t>☐</w:t>
          </w:r>
        </w:sdtContent>
      </w:sdt>
      <w:r w:rsidR="006512B0">
        <w:t xml:space="preserve">   </w:t>
      </w:r>
      <w:r w:rsidR="0028354D">
        <w:t xml:space="preserve"> </w:t>
      </w:r>
      <w:r w:rsidR="007C6810" w:rsidRPr="007C6810">
        <w:t>National Diabetes Services Scheme</w:t>
      </w:r>
      <w:r w:rsidR="0018183E">
        <w:t>.</w:t>
      </w:r>
    </w:p>
    <w:p w14:paraId="424CF295" w14:textId="79A25757" w:rsidR="007C6810" w:rsidRPr="007C6810" w:rsidRDefault="00000000" w:rsidP="00AF2ADD">
      <w:pPr>
        <w:ind w:left="425"/>
      </w:pPr>
      <w:sdt>
        <w:sdtPr>
          <w:id w:val="2031907484"/>
          <w14:checkbox>
            <w14:checked w14:val="0"/>
            <w14:checkedState w14:val="2612" w14:font="MS Gothic"/>
            <w14:uncheckedState w14:val="2610" w14:font="MS Gothic"/>
          </w14:checkbox>
        </w:sdtPr>
        <w:sdtContent>
          <w:r w:rsidR="00296C36">
            <w:rPr>
              <w:rFonts w:ascii="MS Gothic" w:eastAsia="MS Gothic" w:hAnsi="MS Gothic" w:hint="eastAsia"/>
            </w:rPr>
            <w:t>☐</w:t>
          </w:r>
        </w:sdtContent>
      </w:sdt>
      <w:r w:rsidR="00296C36">
        <w:t xml:space="preserve">  </w:t>
      </w:r>
      <w:r w:rsidR="0028354D">
        <w:t xml:space="preserve"> </w:t>
      </w:r>
      <w:r w:rsidR="007C6810" w:rsidRPr="007C6810">
        <w:t>Other</w:t>
      </w:r>
      <w:r w:rsidR="0018183E">
        <w:t xml:space="preserve">. Please </w:t>
      </w:r>
      <w:r w:rsidR="00162B33">
        <w:t>specify the funding program</w:t>
      </w:r>
      <w:r w:rsidR="00F17F85">
        <w:t xml:space="preserve">:  </w:t>
      </w:r>
      <w:r w:rsidR="00D85576">
        <w:t xml:space="preserve"> </w:t>
      </w:r>
    </w:p>
    <w:tbl>
      <w:tblPr>
        <w:tblStyle w:val="TableGrid"/>
        <w:tblW w:w="0" w:type="auto"/>
        <w:tblInd w:w="421" w:type="dxa"/>
        <w:tblLook w:val="04A0" w:firstRow="1" w:lastRow="0" w:firstColumn="1" w:lastColumn="0" w:noHBand="0" w:noVBand="1"/>
      </w:tblPr>
      <w:tblGrid>
        <w:gridCol w:w="9773"/>
      </w:tblGrid>
      <w:tr w:rsidR="00F17F85" w14:paraId="57E63978" w14:textId="77777777" w:rsidTr="00816682">
        <w:tc>
          <w:tcPr>
            <w:tcW w:w="9773" w:type="dxa"/>
          </w:tcPr>
          <w:p w14:paraId="6B9A2316" w14:textId="77777777" w:rsidR="00F17F85" w:rsidRPr="001B4144" w:rsidRDefault="00F17F85" w:rsidP="007C6810"/>
          <w:p w14:paraId="6BDB5203" w14:textId="77777777" w:rsidR="00816682" w:rsidRPr="001B4144" w:rsidRDefault="00816682" w:rsidP="007C6810"/>
        </w:tc>
      </w:tr>
    </w:tbl>
    <w:p w14:paraId="171695C3" w14:textId="77777777" w:rsidR="000E124B" w:rsidRDefault="002B2E25" w:rsidP="00AF2ADD">
      <w:pPr>
        <w:pStyle w:val="ListParagraph"/>
        <w:numPr>
          <w:ilvl w:val="0"/>
          <w:numId w:val="21"/>
        </w:numPr>
        <w:spacing w:before="360"/>
        <w:ind w:left="425" w:hanging="357"/>
        <w:contextualSpacing w:val="0"/>
        <w:rPr>
          <w:b/>
          <w:bCs/>
        </w:rPr>
      </w:pPr>
      <w:r w:rsidRPr="00816682">
        <w:rPr>
          <w:b/>
          <w:bCs/>
        </w:rPr>
        <w:t xml:space="preserve">Has the </w:t>
      </w:r>
      <w:r w:rsidR="00BA60C1" w:rsidRPr="00816682">
        <w:rPr>
          <w:b/>
          <w:bCs/>
        </w:rPr>
        <w:t>funding source changed compared to your previous application</w:t>
      </w:r>
      <w:r w:rsidR="00A61507" w:rsidRPr="00816682">
        <w:rPr>
          <w:b/>
          <w:bCs/>
        </w:rPr>
        <w:t xml:space="preserve">? </w:t>
      </w:r>
    </w:p>
    <w:p w14:paraId="3F54DCE8" w14:textId="1ED5B0A6" w:rsidR="003E42D9" w:rsidRDefault="00000000" w:rsidP="00646FA9">
      <w:pPr>
        <w:spacing w:before="160"/>
        <w:ind w:left="425"/>
      </w:pPr>
      <w:sdt>
        <w:sdtPr>
          <w:rPr>
            <w:b/>
            <w:bCs/>
          </w:rPr>
          <w:id w:val="1950435286"/>
          <w14:checkbox>
            <w14:checked w14:val="1"/>
            <w14:checkedState w14:val="2612" w14:font="MS Gothic"/>
            <w14:uncheckedState w14:val="2610" w14:font="MS Gothic"/>
          </w14:checkbox>
        </w:sdtPr>
        <w:sdtContent>
          <w:r w:rsidR="00FB6BBA">
            <w:rPr>
              <w:rFonts w:ascii="MS Gothic" w:eastAsia="MS Gothic" w:hAnsi="MS Gothic" w:hint="eastAsia"/>
              <w:b/>
              <w:bCs/>
            </w:rPr>
            <w:t>☒</w:t>
          </w:r>
        </w:sdtContent>
      </w:sdt>
      <w:r w:rsidR="003E42D9">
        <w:rPr>
          <w:b/>
          <w:bCs/>
        </w:rPr>
        <w:t xml:space="preserve">   </w:t>
      </w:r>
      <w:r w:rsidR="003E42D9" w:rsidRPr="003E42D9">
        <w:t>No</w:t>
      </w:r>
    </w:p>
    <w:p w14:paraId="7CB339BF" w14:textId="17D0A6D7" w:rsidR="0081313C" w:rsidRDefault="0081313C" w:rsidP="009B7ABD">
      <w:pPr>
        <w:pStyle w:val="Heading2"/>
        <w:numPr>
          <w:ilvl w:val="0"/>
          <w:numId w:val="41"/>
        </w:numPr>
        <w:spacing w:before="480"/>
        <w:ind w:left="426" w:hanging="426"/>
      </w:pPr>
      <w:r>
        <w:t>Regulatory Information</w:t>
      </w:r>
    </w:p>
    <w:p w14:paraId="2BF8672C" w14:textId="769A177A" w:rsidR="00A40169" w:rsidRDefault="00A40169" w:rsidP="00A40169">
      <w:pPr>
        <w:pStyle w:val="ListParagraph"/>
        <w:numPr>
          <w:ilvl w:val="0"/>
          <w:numId w:val="35"/>
        </w:numPr>
      </w:pPr>
      <w:r>
        <w:t>Does you</w:t>
      </w:r>
      <w:r w:rsidR="007873F9">
        <w:t>r proposed service or technology involve</w:t>
      </w:r>
      <w:r w:rsidR="0042687C">
        <w:t xml:space="preserve"> (check as many as applicable)</w:t>
      </w:r>
      <w:r w:rsidR="007873F9">
        <w:t xml:space="preserve">: </w:t>
      </w:r>
    </w:p>
    <w:p w14:paraId="6F6CCD21" w14:textId="29E0FCC0" w:rsidR="007873F9" w:rsidRPr="000A37F9" w:rsidRDefault="00000000" w:rsidP="00C15423">
      <w:pPr>
        <w:ind w:left="851" w:hanging="425"/>
        <w:rPr>
          <w:color w:val="000000" w:themeColor="text1"/>
        </w:rPr>
      </w:pPr>
      <w:sdt>
        <w:sdtPr>
          <w:id w:val="-1182285225"/>
          <w14:checkbox>
            <w14:checked w14:val="1"/>
            <w14:checkedState w14:val="2612" w14:font="MS Gothic"/>
            <w14:uncheckedState w14:val="2610" w14:font="MS Gothic"/>
          </w14:checkbox>
        </w:sdtPr>
        <w:sdtContent>
          <w:r w:rsidR="00FB6BBA">
            <w:rPr>
              <w:rFonts w:ascii="MS Gothic" w:eastAsia="MS Gothic" w:hAnsi="MS Gothic" w:hint="eastAsia"/>
            </w:rPr>
            <w:t>☒</w:t>
          </w:r>
        </w:sdtContent>
      </w:sdt>
      <w:r w:rsidR="007873F9">
        <w:t xml:space="preserve">    </w:t>
      </w:r>
      <w:r w:rsidR="00ED1289">
        <w:t xml:space="preserve">the </w:t>
      </w:r>
      <w:r w:rsidR="005B4D42" w:rsidRPr="005B4D42">
        <w:t xml:space="preserve">use of a medical device, </w:t>
      </w:r>
      <w:r w:rsidR="005B4D42" w:rsidRPr="009A75DC">
        <w:rPr>
          <w:i/>
          <w:iCs/>
        </w:rPr>
        <w:t>in-vitro</w:t>
      </w:r>
      <w:r w:rsidR="005B4D42" w:rsidRPr="005B4D42">
        <w:t xml:space="preserve"> diagnostic test, radioactive </w:t>
      </w:r>
      <w:r w:rsidR="005B4D42" w:rsidRPr="00211F7D">
        <w:t>tracer, or any other type of therapeutic</w:t>
      </w:r>
      <w:r w:rsidR="005B4D42" w:rsidRPr="005B4D42">
        <w:t xml:space="preserve"> good</w:t>
      </w:r>
      <w:r w:rsidR="00ED1289">
        <w:t>?</w:t>
      </w:r>
      <w:r w:rsidR="00ED46F1">
        <w:t xml:space="preserve"> </w:t>
      </w:r>
      <w:r w:rsidR="00ED46F1" w:rsidRPr="00BF16C8">
        <w:t>P</w:t>
      </w:r>
      <w:r w:rsidR="000632FE" w:rsidRPr="00BF16C8">
        <w:t>lease complete the section titled</w:t>
      </w:r>
      <w:r w:rsidR="00C15ED1" w:rsidRPr="00BF16C8">
        <w:t xml:space="preserve"> </w:t>
      </w:r>
      <w:hyperlink w:anchor="_ARTG_Listing" w:history="1">
        <w:r w:rsidR="00C15ED1" w:rsidRPr="00C15ED1">
          <w:rPr>
            <w:rStyle w:val="Hyperlink"/>
          </w:rPr>
          <w:t>B1: ARTG Listing</w:t>
        </w:r>
      </w:hyperlink>
      <w:r w:rsidR="00FB67D4" w:rsidRPr="000A37F9">
        <w:rPr>
          <w:color w:val="000000" w:themeColor="text1"/>
        </w:rPr>
        <w:t>.</w:t>
      </w:r>
    </w:p>
    <w:p w14:paraId="67C9C9B3" w14:textId="2686159D" w:rsidR="00883C56" w:rsidRPr="000A37F9" w:rsidRDefault="00000000" w:rsidP="000632FE">
      <w:pPr>
        <w:ind w:left="851" w:hanging="425"/>
        <w:rPr>
          <w:color w:val="000000" w:themeColor="text1"/>
        </w:rPr>
      </w:pPr>
      <w:sdt>
        <w:sdtPr>
          <w:id w:val="812445669"/>
          <w14:checkbox>
            <w14:checked w14:val="0"/>
            <w14:checkedState w14:val="2612" w14:font="MS Gothic"/>
            <w14:uncheckedState w14:val="2610" w14:font="MS Gothic"/>
          </w14:checkbox>
        </w:sdtPr>
        <w:sdtContent>
          <w:r w:rsidR="000632FE">
            <w:rPr>
              <w:rFonts w:ascii="MS Gothic" w:eastAsia="MS Gothic" w:hAnsi="MS Gothic" w:hint="eastAsia"/>
            </w:rPr>
            <w:t>☐</w:t>
          </w:r>
        </w:sdtContent>
      </w:sdt>
      <w:r w:rsidR="00B8618A" w:rsidRPr="00B8618A">
        <w:t xml:space="preserve"> </w:t>
      </w:r>
      <w:r w:rsidR="00B8618A">
        <w:t xml:space="preserve">   </w:t>
      </w:r>
      <w:r w:rsidR="00E26DB7">
        <w:t xml:space="preserve">a service or laboratory requiring accreditation by the National </w:t>
      </w:r>
      <w:r w:rsidR="00B251C6">
        <w:t xml:space="preserve">Association of Testing Authorities </w:t>
      </w:r>
      <w:r w:rsidR="007C6650">
        <w:t xml:space="preserve">  </w:t>
      </w:r>
      <w:r w:rsidR="00B251C6">
        <w:t xml:space="preserve">(NATA)? </w:t>
      </w:r>
      <w:r w:rsidR="000632FE" w:rsidRPr="00BF16C8">
        <w:t>Please complete the section titled</w:t>
      </w:r>
      <w:r w:rsidR="00C15ED1" w:rsidRPr="00BF16C8">
        <w:t xml:space="preserve"> </w:t>
      </w:r>
      <w:hyperlink w:anchor="_B2:_NATA_Accreditation" w:history="1">
        <w:r w:rsidR="00C15ED1" w:rsidRPr="00C15ED1">
          <w:rPr>
            <w:rStyle w:val="Hyperlink"/>
          </w:rPr>
          <w:t>B2: NATA Accreditation</w:t>
        </w:r>
      </w:hyperlink>
      <w:r w:rsidR="00B43D28" w:rsidRPr="000A37F9">
        <w:rPr>
          <w:color w:val="000000" w:themeColor="text1"/>
        </w:rPr>
        <w:t>.</w:t>
      </w:r>
    </w:p>
    <w:p w14:paraId="723445D5" w14:textId="127DA850" w:rsidR="00ED1289" w:rsidRPr="000A37F9" w:rsidRDefault="00000000" w:rsidP="005B5AA2">
      <w:pPr>
        <w:ind w:left="851" w:hanging="425"/>
        <w:rPr>
          <w:color w:val="000000" w:themeColor="text1"/>
        </w:rPr>
      </w:pPr>
      <w:sdt>
        <w:sdtPr>
          <w:id w:val="-1631700816"/>
          <w14:checkbox>
            <w14:checked w14:val="0"/>
            <w14:checkedState w14:val="2612" w14:font="MS Gothic"/>
            <w14:uncheckedState w14:val="2610" w14:font="MS Gothic"/>
          </w14:checkbox>
        </w:sdtPr>
        <w:sdtContent>
          <w:r w:rsidR="00883C56">
            <w:rPr>
              <w:rFonts w:ascii="MS Gothic" w:eastAsia="MS Gothic" w:hAnsi="MS Gothic" w:hint="eastAsia"/>
            </w:rPr>
            <w:t>☐</w:t>
          </w:r>
        </w:sdtContent>
      </w:sdt>
      <w:r w:rsidR="00883C56">
        <w:t xml:space="preserve">    </w:t>
      </w:r>
      <w:r w:rsidR="00B8618A">
        <w:t xml:space="preserve">an </w:t>
      </w:r>
      <w:r w:rsidR="00B8618A" w:rsidRPr="00B8618A">
        <w:t xml:space="preserve">MBS item descriptor </w:t>
      </w:r>
      <w:r w:rsidR="00B8618A">
        <w:t xml:space="preserve">that </w:t>
      </w:r>
      <w:r w:rsidR="00B8618A" w:rsidRPr="00B8618A">
        <w:t>refers to a specific radiopharmaceutical or a set of radiopharmaceuticals</w:t>
      </w:r>
      <w:r w:rsidR="00883C56">
        <w:t>?</w:t>
      </w:r>
      <w:r w:rsidR="005B5AA2">
        <w:t xml:space="preserve"> </w:t>
      </w:r>
      <w:r w:rsidR="005B5AA2" w:rsidRPr="00BF16C8">
        <w:t>Please complete the section titled</w:t>
      </w:r>
      <w:r w:rsidR="00C15ED1" w:rsidRPr="00BF16C8">
        <w:t xml:space="preserve"> </w:t>
      </w:r>
      <w:hyperlink w:anchor="_Radiopharmaceuticals" w:history="1">
        <w:r w:rsidR="00C15ED1" w:rsidRPr="00C15ED1">
          <w:rPr>
            <w:rStyle w:val="Hyperlink"/>
          </w:rPr>
          <w:t>B3: Radiopharmaceuticals</w:t>
        </w:r>
      </w:hyperlink>
      <w:r w:rsidR="00B43D28" w:rsidRPr="000A37F9">
        <w:rPr>
          <w:color w:val="000000" w:themeColor="text1"/>
        </w:rPr>
        <w:t>.</w:t>
      </w:r>
    </w:p>
    <w:p w14:paraId="68A9D217" w14:textId="3F4FD2B3" w:rsidR="00016006" w:rsidRDefault="00000000" w:rsidP="005B5AA2">
      <w:pPr>
        <w:ind w:left="851" w:hanging="425"/>
        <w:rPr>
          <w:rFonts w:ascii="MS Gothic" w:eastAsia="MS Gothic" w:hAnsi="MS Gothic"/>
        </w:rPr>
      </w:pPr>
      <w:sdt>
        <w:sdtPr>
          <w:rPr>
            <w:rFonts w:ascii="MS Gothic" w:eastAsia="MS Gothic" w:hAnsi="MS Gothic"/>
          </w:rPr>
          <w:id w:val="2136213165"/>
          <w14:checkbox>
            <w14:checked w14:val="0"/>
            <w14:checkedState w14:val="2612" w14:font="MS Gothic"/>
            <w14:uncheckedState w14:val="2610" w14:font="MS Gothic"/>
          </w14:checkbox>
        </w:sdtPr>
        <w:sdtContent>
          <w:r w:rsidR="00016006">
            <w:rPr>
              <w:rFonts w:ascii="MS Gothic" w:eastAsia="MS Gothic" w:hAnsi="MS Gothic" w:hint="eastAsia"/>
            </w:rPr>
            <w:t>☐</w:t>
          </w:r>
        </w:sdtContent>
      </w:sdt>
      <w:r w:rsidR="00016006">
        <w:rPr>
          <w:rFonts w:ascii="MS Gothic" w:eastAsia="MS Gothic" w:hAnsi="MS Gothic"/>
        </w:rPr>
        <w:t xml:space="preserve">  </w:t>
      </w:r>
      <w:r w:rsidR="00016006" w:rsidRPr="00016006">
        <w:t>None of the above</w:t>
      </w:r>
      <w:r w:rsidR="00BA0EDB">
        <w:t xml:space="preserve">. </w:t>
      </w:r>
      <w:r w:rsidR="00BA0EDB" w:rsidRPr="00BF16C8">
        <w:t xml:space="preserve">Proceed to the </w:t>
      </w:r>
      <w:hyperlink w:anchor="_Other_Information" w:history="1">
        <w:r w:rsidR="00BA0EDB" w:rsidRPr="00BA0EDB">
          <w:rPr>
            <w:rStyle w:val="Hyperlink"/>
          </w:rPr>
          <w:t>Other information</w:t>
        </w:r>
      </w:hyperlink>
      <w:r w:rsidR="00BA0EDB">
        <w:rPr>
          <w:color w:val="FF0000"/>
        </w:rPr>
        <w:t xml:space="preserve"> </w:t>
      </w:r>
      <w:r w:rsidR="00BA0EDB" w:rsidRPr="00BF16C8">
        <w:t>section.</w:t>
      </w:r>
      <w:r w:rsidR="00016006">
        <w:rPr>
          <w:rFonts w:ascii="MS Gothic" w:eastAsia="MS Gothic" w:hAnsi="MS Gothic"/>
        </w:rPr>
        <w:t xml:space="preserve"> </w:t>
      </w:r>
    </w:p>
    <w:p w14:paraId="0BA8BCD0" w14:textId="08DE0605" w:rsidR="00ED1289" w:rsidRPr="00A40169" w:rsidRDefault="009B7ABD" w:rsidP="00D373FA">
      <w:pPr>
        <w:pStyle w:val="Heading3"/>
        <w:spacing w:before="360"/>
      </w:pPr>
      <w:bookmarkStart w:id="0" w:name="_ARTG_Listing"/>
      <w:bookmarkStart w:id="1" w:name="_B1:__ARTG"/>
      <w:bookmarkEnd w:id="0"/>
      <w:bookmarkEnd w:id="1"/>
      <w:r>
        <w:lastRenderedPageBreak/>
        <w:t>B1</w:t>
      </w:r>
      <w:r w:rsidR="001374D0">
        <w:t xml:space="preserve">:  </w:t>
      </w:r>
      <w:r w:rsidR="00B43D28">
        <w:t>ARTG Listing</w:t>
      </w:r>
    </w:p>
    <w:p w14:paraId="62CD32C7" w14:textId="77777777" w:rsidR="00D373FA" w:rsidRDefault="005C4999" w:rsidP="00686251">
      <w:pPr>
        <w:spacing w:after="120" w:line="240" w:lineRule="auto"/>
      </w:pPr>
      <w:r w:rsidRPr="005C4999">
        <w:t xml:space="preserve">If your service or technology involves the use of a therapeutic good, it cannot receive public funding until the therapeutic good has market authorisation (unless it is exempt). Market authorisation usually means a listing on the Australian Register of Therapeutic Goods (ARTG). </w:t>
      </w:r>
    </w:p>
    <w:p w14:paraId="3C6C5B2D" w14:textId="00BE2BCF" w:rsidR="00E43A49" w:rsidRPr="00813664" w:rsidRDefault="004E0B5C" w:rsidP="00686251">
      <w:pPr>
        <w:spacing w:after="120" w:line="240" w:lineRule="auto"/>
      </w:pPr>
      <w:r w:rsidRPr="00813664">
        <w:t xml:space="preserve">The department </w:t>
      </w:r>
      <w:r w:rsidRPr="009252B5">
        <w:rPr>
          <w:u w:val="single"/>
        </w:rPr>
        <w:t>will not progress</w:t>
      </w:r>
      <w:r w:rsidRPr="00813664">
        <w:t xml:space="preserve"> a Notice of Intent or ADAR </w:t>
      </w:r>
      <w:r w:rsidR="0066607B" w:rsidRPr="00813664">
        <w:t xml:space="preserve">for </w:t>
      </w:r>
      <w:r w:rsidR="004B6EFB">
        <w:t xml:space="preserve">a </w:t>
      </w:r>
      <w:r w:rsidR="00CB02A3">
        <w:t>re</w:t>
      </w:r>
      <w:r w:rsidR="0066607B" w:rsidRPr="00813664">
        <w:t xml:space="preserve">application </w:t>
      </w:r>
      <w:r w:rsidR="002D0862" w:rsidRPr="00813664">
        <w:t>involving the use of a therapeutic good until you provide evidence that</w:t>
      </w:r>
      <w:r w:rsidR="00E43A49" w:rsidRPr="00813664">
        <w:t xml:space="preserve">: </w:t>
      </w:r>
    </w:p>
    <w:p w14:paraId="219A24BA" w14:textId="77777777" w:rsidR="00E43A49" w:rsidRPr="00813664" w:rsidRDefault="00E43A49" w:rsidP="00E43A49">
      <w:pPr>
        <w:pStyle w:val="ListParagraph"/>
        <w:numPr>
          <w:ilvl w:val="0"/>
          <w:numId w:val="34"/>
        </w:numPr>
      </w:pPr>
      <w:r w:rsidRPr="00813664">
        <w:t>the therapeutic good is listed on the ARTG; or</w:t>
      </w:r>
    </w:p>
    <w:p w14:paraId="0124099B" w14:textId="51D387B3" w:rsidR="00E43A49" w:rsidRPr="00813664" w:rsidRDefault="002D0862" w:rsidP="00E43A49">
      <w:pPr>
        <w:pStyle w:val="ListParagraph"/>
        <w:numPr>
          <w:ilvl w:val="0"/>
          <w:numId w:val="34"/>
        </w:numPr>
      </w:pPr>
      <w:r w:rsidRPr="00813664">
        <w:t xml:space="preserve">you </w:t>
      </w:r>
      <w:r w:rsidR="004201A7">
        <w:t xml:space="preserve">(or the relevant sponsor) </w:t>
      </w:r>
      <w:r w:rsidR="004E0B5C" w:rsidRPr="00813664">
        <w:t xml:space="preserve">have commenced the TGA </w:t>
      </w:r>
      <w:r w:rsidR="00B14A57">
        <w:t xml:space="preserve">registration/listing </w:t>
      </w:r>
      <w:r w:rsidR="004E0B5C" w:rsidRPr="00813664">
        <w:t>process</w:t>
      </w:r>
      <w:r w:rsidR="00E43A49" w:rsidRPr="00813664">
        <w:t xml:space="preserve">; </w:t>
      </w:r>
      <w:r w:rsidR="00F80CE8" w:rsidRPr="00813664">
        <w:t xml:space="preserve">or </w:t>
      </w:r>
    </w:p>
    <w:p w14:paraId="75B6A6E4" w14:textId="77777777" w:rsidR="00686251" w:rsidRPr="00813664" w:rsidRDefault="00F80CE8" w:rsidP="00686251">
      <w:pPr>
        <w:pStyle w:val="ListParagraph"/>
        <w:numPr>
          <w:ilvl w:val="0"/>
          <w:numId w:val="34"/>
        </w:numPr>
        <w:spacing w:after="120" w:line="240" w:lineRule="auto"/>
        <w:ind w:left="357" w:hanging="357"/>
      </w:pPr>
      <w:r w:rsidRPr="00813664">
        <w:t xml:space="preserve">the therapeutic good is exempt. </w:t>
      </w:r>
    </w:p>
    <w:p w14:paraId="6CA96BE8" w14:textId="3A089130" w:rsidR="00441A24" w:rsidRPr="000A37F9" w:rsidRDefault="00D41051" w:rsidP="00686251">
      <w:pPr>
        <w:rPr>
          <w:color w:val="000000" w:themeColor="text1"/>
        </w:rPr>
      </w:pPr>
      <w:r w:rsidRPr="00813664">
        <w:t>For further information refer to th</w:t>
      </w:r>
      <w:r w:rsidRPr="000A37F9">
        <w:rPr>
          <w:color w:val="000000" w:themeColor="text1"/>
        </w:rPr>
        <w:t xml:space="preserve">e </w:t>
      </w:r>
      <w:hyperlink r:id="rId11" w:anchor="regulatory-processes" w:history="1">
        <w:r w:rsidR="00491E7D" w:rsidRPr="00466869">
          <w:rPr>
            <w:rStyle w:val="Hyperlink"/>
          </w:rPr>
          <w:t>Regulatory Processes</w:t>
        </w:r>
      </w:hyperlink>
      <w:r w:rsidR="00491E7D" w:rsidRPr="00686251">
        <w:rPr>
          <w:color w:val="FF0000"/>
        </w:rPr>
        <w:t xml:space="preserve"> </w:t>
      </w:r>
      <w:r w:rsidR="00491E7D" w:rsidRPr="00813664">
        <w:t xml:space="preserve">information on the </w:t>
      </w:r>
      <w:r w:rsidRPr="00813664">
        <w:t xml:space="preserve">MSAC website. </w:t>
      </w:r>
    </w:p>
    <w:p w14:paraId="23C6BA2F" w14:textId="78E3B1BA" w:rsidR="002D3798" w:rsidRPr="00AC19B8" w:rsidRDefault="002D3798" w:rsidP="005D2517">
      <w:pPr>
        <w:pStyle w:val="ListParagraph"/>
        <w:numPr>
          <w:ilvl w:val="0"/>
          <w:numId w:val="35"/>
        </w:numPr>
        <w:spacing w:before="360"/>
        <w:contextualSpacing w:val="0"/>
        <w:rPr>
          <w:b/>
          <w:bCs/>
          <w:sz w:val="24"/>
          <w:szCs w:val="24"/>
        </w:rPr>
      </w:pPr>
      <w:r w:rsidRPr="00AC19B8">
        <w:rPr>
          <w:b/>
          <w:bCs/>
          <w:sz w:val="24"/>
          <w:szCs w:val="24"/>
        </w:rPr>
        <w:t xml:space="preserve">Has </w:t>
      </w:r>
      <w:r w:rsidR="00134235">
        <w:rPr>
          <w:b/>
          <w:bCs/>
          <w:sz w:val="24"/>
          <w:szCs w:val="24"/>
        </w:rPr>
        <w:t xml:space="preserve">the proposed health technology </w:t>
      </w:r>
      <w:r w:rsidRPr="00AC19B8">
        <w:rPr>
          <w:b/>
          <w:bCs/>
          <w:sz w:val="24"/>
          <w:szCs w:val="24"/>
        </w:rPr>
        <w:t>been listed or registered or included in the Australian Register of Therapeutic Goods (ARTG) by the Therapeutic Goods Administration (TGA)?</w:t>
      </w:r>
    </w:p>
    <w:p w14:paraId="1F03310F" w14:textId="664EC5B0" w:rsidR="00366FDA" w:rsidRPr="00336868" w:rsidRDefault="00000000" w:rsidP="00336868">
      <w:pPr>
        <w:ind w:left="426"/>
        <w:rPr>
          <w:sz w:val="24"/>
          <w:szCs w:val="24"/>
        </w:rPr>
      </w:pPr>
      <w:sdt>
        <w:sdtPr>
          <w:rPr>
            <w:rFonts w:ascii="MS Gothic" w:eastAsia="MS Gothic" w:hAnsi="MS Gothic"/>
            <w:sz w:val="24"/>
            <w:szCs w:val="24"/>
          </w:rPr>
          <w:id w:val="881517415"/>
          <w14:checkbox>
            <w14:checked w14:val="0"/>
            <w14:checkedState w14:val="2612" w14:font="MS Gothic"/>
            <w14:uncheckedState w14:val="2610" w14:font="MS Gothic"/>
          </w14:checkbox>
        </w:sdtPr>
        <w:sdtContent>
          <w:r w:rsidR="00810F89">
            <w:rPr>
              <w:rFonts w:ascii="MS Gothic" w:eastAsia="MS Gothic" w:hAnsi="MS Gothic" w:hint="eastAsia"/>
              <w:sz w:val="24"/>
              <w:szCs w:val="24"/>
            </w:rPr>
            <w:t>☐</w:t>
          </w:r>
        </w:sdtContent>
      </w:sdt>
      <w:r w:rsidR="00366FDA" w:rsidRPr="00336868">
        <w:rPr>
          <w:sz w:val="24"/>
          <w:szCs w:val="24"/>
        </w:rPr>
        <w:t xml:space="preserve">  No </w:t>
      </w:r>
      <w:r w:rsidR="003A622E">
        <w:rPr>
          <w:sz w:val="24"/>
          <w:szCs w:val="24"/>
        </w:rPr>
        <w:t xml:space="preserve">(Go to question </w:t>
      </w:r>
      <w:r w:rsidR="00B14F42">
        <w:rPr>
          <w:sz w:val="24"/>
          <w:szCs w:val="24"/>
        </w:rPr>
        <w:t>4</w:t>
      </w:r>
      <w:r w:rsidR="003A622E">
        <w:rPr>
          <w:sz w:val="24"/>
          <w:szCs w:val="24"/>
        </w:rPr>
        <w:t>)</w:t>
      </w:r>
    </w:p>
    <w:p w14:paraId="291C1460" w14:textId="5DE02B6D" w:rsidR="000318DE" w:rsidRDefault="00000000" w:rsidP="00336868">
      <w:pPr>
        <w:ind w:left="426"/>
        <w:rPr>
          <w:sz w:val="24"/>
          <w:szCs w:val="24"/>
        </w:rPr>
      </w:pPr>
      <w:sdt>
        <w:sdtPr>
          <w:rPr>
            <w:rFonts w:ascii="MS Gothic" w:eastAsia="MS Gothic" w:hAnsi="MS Gothic"/>
            <w:sz w:val="24"/>
            <w:szCs w:val="24"/>
          </w:rPr>
          <w:id w:val="1428316681"/>
          <w14:checkbox>
            <w14:checked w14:val="1"/>
            <w14:checkedState w14:val="2612" w14:font="MS Gothic"/>
            <w14:uncheckedState w14:val="2610" w14:font="MS Gothic"/>
          </w14:checkbox>
        </w:sdtPr>
        <w:sdtContent>
          <w:r w:rsidR="006322EA">
            <w:rPr>
              <w:rFonts w:ascii="MS Gothic" w:eastAsia="MS Gothic" w:hAnsi="MS Gothic" w:hint="eastAsia"/>
              <w:sz w:val="24"/>
              <w:szCs w:val="24"/>
            </w:rPr>
            <w:t>☒</w:t>
          </w:r>
        </w:sdtContent>
      </w:sdt>
      <w:r w:rsidR="00366FDA" w:rsidRPr="00336868">
        <w:rPr>
          <w:sz w:val="24"/>
          <w:szCs w:val="24"/>
        </w:rPr>
        <w:t xml:space="preserve">  Yes</w:t>
      </w:r>
      <w:r w:rsidR="00A61507">
        <w:rPr>
          <w:sz w:val="24"/>
          <w:szCs w:val="24"/>
        </w:rPr>
        <w:t xml:space="preserve">. </w:t>
      </w:r>
      <w:r w:rsidR="0008735F">
        <w:rPr>
          <w:sz w:val="24"/>
          <w:szCs w:val="24"/>
        </w:rPr>
        <w:t xml:space="preserve">Please </w:t>
      </w:r>
      <w:r w:rsidR="006B0060">
        <w:rPr>
          <w:sz w:val="24"/>
          <w:szCs w:val="24"/>
        </w:rPr>
        <w:t xml:space="preserve">state the ARTG ID, TGA approved indication(s) and TGA approved purpose: </w:t>
      </w:r>
    </w:p>
    <w:tbl>
      <w:tblPr>
        <w:tblStyle w:val="TableGrid"/>
        <w:tblW w:w="0" w:type="auto"/>
        <w:tblInd w:w="426" w:type="dxa"/>
        <w:tblLook w:val="04A0" w:firstRow="1" w:lastRow="0" w:firstColumn="1" w:lastColumn="0" w:noHBand="0" w:noVBand="1"/>
      </w:tblPr>
      <w:tblGrid>
        <w:gridCol w:w="3118"/>
        <w:gridCol w:w="6650"/>
      </w:tblGrid>
      <w:tr w:rsidR="00F17209" w14:paraId="17EEF52D" w14:textId="3E7DDE40" w:rsidTr="00803F57">
        <w:tc>
          <w:tcPr>
            <w:tcW w:w="3118" w:type="dxa"/>
            <w:tcBorders>
              <w:top w:val="single" w:sz="4" w:space="0" w:color="auto"/>
              <w:left w:val="nil"/>
              <w:bottom w:val="single" w:sz="4" w:space="0" w:color="auto"/>
            </w:tcBorders>
          </w:tcPr>
          <w:p w14:paraId="6219EEE7" w14:textId="42BE40B1" w:rsidR="00F17209" w:rsidRPr="005D5045" w:rsidRDefault="00F17209" w:rsidP="00002E95">
            <w:pPr>
              <w:spacing w:before="120" w:after="120"/>
              <w:rPr>
                <w:b/>
                <w:bCs/>
                <w:sz w:val="24"/>
                <w:szCs w:val="24"/>
              </w:rPr>
            </w:pPr>
            <w:r w:rsidRPr="005D5045">
              <w:rPr>
                <w:b/>
                <w:bCs/>
                <w:sz w:val="24"/>
                <w:szCs w:val="24"/>
              </w:rPr>
              <w:t>ARTG ID</w:t>
            </w:r>
            <w:r w:rsidR="00002E95" w:rsidRPr="005D5045">
              <w:rPr>
                <w:b/>
                <w:bCs/>
                <w:sz w:val="24"/>
                <w:szCs w:val="24"/>
              </w:rPr>
              <w:t>:</w:t>
            </w:r>
          </w:p>
        </w:tc>
        <w:tc>
          <w:tcPr>
            <w:tcW w:w="6650" w:type="dxa"/>
            <w:tcBorders>
              <w:top w:val="single" w:sz="4" w:space="0" w:color="auto"/>
              <w:bottom w:val="single" w:sz="4" w:space="0" w:color="auto"/>
              <w:right w:val="nil"/>
            </w:tcBorders>
          </w:tcPr>
          <w:p w14:paraId="7DC40434" w14:textId="0D12FA97" w:rsidR="00F17209" w:rsidRDefault="00202F4C" w:rsidP="00002E95">
            <w:pPr>
              <w:spacing w:before="120" w:after="120"/>
              <w:rPr>
                <w:sz w:val="24"/>
                <w:szCs w:val="24"/>
              </w:rPr>
            </w:pPr>
            <w:r>
              <w:rPr>
                <w:sz w:val="24"/>
                <w:szCs w:val="24"/>
              </w:rPr>
              <w:t>400142</w:t>
            </w:r>
          </w:p>
        </w:tc>
      </w:tr>
      <w:tr w:rsidR="00F17209" w14:paraId="0EFE5752" w14:textId="77777777" w:rsidTr="00504FE0">
        <w:tc>
          <w:tcPr>
            <w:tcW w:w="3118" w:type="dxa"/>
            <w:tcBorders>
              <w:left w:val="nil"/>
            </w:tcBorders>
          </w:tcPr>
          <w:p w14:paraId="2FDD771A" w14:textId="029E19D3" w:rsidR="00002E95" w:rsidRPr="005D5045" w:rsidRDefault="00002E95" w:rsidP="00C74E77">
            <w:pPr>
              <w:spacing w:before="120"/>
              <w:rPr>
                <w:b/>
                <w:bCs/>
                <w:sz w:val="24"/>
                <w:szCs w:val="24"/>
              </w:rPr>
            </w:pPr>
            <w:r w:rsidRPr="005D5045">
              <w:rPr>
                <w:b/>
                <w:bCs/>
                <w:sz w:val="24"/>
                <w:szCs w:val="24"/>
              </w:rPr>
              <w:t>TGA approved indication</w:t>
            </w:r>
            <w:r w:rsidR="00504FE0">
              <w:rPr>
                <w:b/>
                <w:bCs/>
                <w:sz w:val="24"/>
                <w:szCs w:val="24"/>
              </w:rPr>
              <w:t>(</w:t>
            </w:r>
            <w:r w:rsidRPr="005D5045">
              <w:rPr>
                <w:b/>
                <w:bCs/>
                <w:sz w:val="24"/>
                <w:szCs w:val="24"/>
              </w:rPr>
              <w:t>s</w:t>
            </w:r>
            <w:r w:rsidR="00504FE0">
              <w:rPr>
                <w:b/>
                <w:bCs/>
                <w:sz w:val="24"/>
                <w:szCs w:val="24"/>
              </w:rPr>
              <w:t>)</w:t>
            </w:r>
            <w:r w:rsidRPr="005D5045">
              <w:rPr>
                <w:b/>
                <w:bCs/>
                <w:sz w:val="24"/>
                <w:szCs w:val="24"/>
              </w:rPr>
              <w:t>:</w:t>
            </w:r>
          </w:p>
          <w:p w14:paraId="18D9F2BE" w14:textId="59CFE925" w:rsidR="00002E95" w:rsidRPr="005D5045" w:rsidRDefault="00002E95" w:rsidP="00336868">
            <w:pPr>
              <w:rPr>
                <w:b/>
                <w:bCs/>
                <w:sz w:val="24"/>
                <w:szCs w:val="24"/>
              </w:rPr>
            </w:pPr>
          </w:p>
        </w:tc>
        <w:tc>
          <w:tcPr>
            <w:tcW w:w="6650" w:type="dxa"/>
            <w:tcBorders>
              <w:right w:val="nil"/>
            </w:tcBorders>
          </w:tcPr>
          <w:p w14:paraId="7C421A78" w14:textId="4AF691FF" w:rsidR="00F17209" w:rsidRDefault="006322EA" w:rsidP="00002E95">
            <w:pPr>
              <w:spacing w:before="120"/>
              <w:rPr>
                <w:sz w:val="24"/>
                <w:szCs w:val="24"/>
              </w:rPr>
            </w:pPr>
            <w:r>
              <w:rPr>
                <w:sz w:val="24"/>
                <w:szCs w:val="24"/>
              </w:rPr>
              <w:t>Non-melanoma skin cancer</w:t>
            </w:r>
          </w:p>
        </w:tc>
      </w:tr>
      <w:tr w:rsidR="00F17209" w14:paraId="21186F77" w14:textId="77777777" w:rsidTr="00504FE0">
        <w:tc>
          <w:tcPr>
            <w:tcW w:w="3118" w:type="dxa"/>
            <w:tcBorders>
              <w:left w:val="nil"/>
            </w:tcBorders>
          </w:tcPr>
          <w:p w14:paraId="171D2B63" w14:textId="30ADBC1B" w:rsidR="00002E95" w:rsidRPr="005D5045" w:rsidRDefault="00002E95" w:rsidP="00C74E77">
            <w:pPr>
              <w:spacing w:before="120"/>
              <w:rPr>
                <w:b/>
                <w:bCs/>
                <w:sz w:val="24"/>
                <w:szCs w:val="24"/>
              </w:rPr>
            </w:pPr>
            <w:r w:rsidRPr="005D5045">
              <w:rPr>
                <w:b/>
                <w:bCs/>
                <w:sz w:val="24"/>
                <w:szCs w:val="24"/>
              </w:rPr>
              <w:t xml:space="preserve">TGA approved purpose: </w:t>
            </w:r>
          </w:p>
          <w:p w14:paraId="2F673E5D" w14:textId="5EC19000" w:rsidR="00002E95" w:rsidRPr="005D5045" w:rsidRDefault="00002E95" w:rsidP="00336868">
            <w:pPr>
              <w:rPr>
                <w:b/>
                <w:bCs/>
                <w:sz w:val="24"/>
                <w:szCs w:val="24"/>
              </w:rPr>
            </w:pPr>
          </w:p>
        </w:tc>
        <w:tc>
          <w:tcPr>
            <w:tcW w:w="6650" w:type="dxa"/>
            <w:tcBorders>
              <w:right w:val="nil"/>
            </w:tcBorders>
          </w:tcPr>
          <w:p w14:paraId="3300E892" w14:textId="67B84AC3" w:rsidR="006322EA" w:rsidRPr="006322EA" w:rsidRDefault="006322EA" w:rsidP="006322EA">
            <w:pPr>
              <w:spacing w:before="120"/>
              <w:rPr>
                <w:sz w:val="24"/>
                <w:szCs w:val="24"/>
              </w:rPr>
            </w:pPr>
            <w:r w:rsidRPr="006322EA">
              <w:rPr>
                <w:sz w:val="24"/>
                <w:szCs w:val="24"/>
              </w:rPr>
              <w:t>The Rhenium Skin Cancer Therapy</w:t>
            </w:r>
            <w:r w:rsidR="006D13AD">
              <w:rPr>
                <w:sz w:val="24"/>
                <w:szCs w:val="24"/>
              </w:rPr>
              <w:t xml:space="preserve"> </w:t>
            </w:r>
            <w:r w:rsidRPr="006322EA">
              <w:rPr>
                <w:sz w:val="24"/>
                <w:szCs w:val="24"/>
              </w:rPr>
              <w:t>(Rhenium-SCT) is intended to be used to treat skin cancer using the radioisotope</w:t>
            </w:r>
            <w:r w:rsidR="00871A43">
              <w:rPr>
                <w:sz w:val="24"/>
                <w:szCs w:val="24"/>
              </w:rPr>
              <w:t>, r</w:t>
            </w:r>
            <w:r w:rsidRPr="006322EA">
              <w:rPr>
                <w:sz w:val="24"/>
                <w:szCs w:val="24"/>
              </w:rPr>
              <w:t>henium-188.</w:t>
            </w:r>
          </w:p>
          <w:p w14:paraId="26D0534D" w14:textId="24191BB8" w:rsidR="00F17209" w:rsidRDefault="006322EA" w:rsidP="006322EA">
            <w:pPr>
              <w:spacing w:before="120"/>
              <w:rPr>
                <w:sz w:val="24"/>
                <w:szCs w:val="24"/>
              </w:rPr>
            </w:pPr>
            <w:r w:rsidRPr="006322EA">
              <w:rPr>
                <w:sz w:val="24"/>
                <w:szCs w:val="24"/>
              </w:rPr>
              <w:t xml:space="preserve">The main component of the </w:t>
            </w:r>
            <w:r w:rsidR="00EA20E9" w:rsidRPr="006322EA">
              <w:rPr>
                <w:sz w:val="24"/>
                <w:szCs w:val="24"/>
              </w:rPr>
              <w:t>Rhenium</w:t>
            </w:r>
            <w:r w:rsidRPr="006322EA">
              <w:rPr>
                <w:sz w:val="24"/>
                <w:szCs w:val="24"/>
              </w:rPr>
              <w:t xml:space="preserve">-SCT is a radioactive </w:t>
            </w:r>
            <w:r w:rsidR="00871A43">
              <w:rPr>
                <w:sz w:val="24"/>
                <w:szCs w:val="24"/>
              </w:rPr>
              <w:t>resin</w:t>
            </w:r>
            <w:r w:rsidR="00871A43" w:rsidRPr="006322EA">
              <w:rPr>
                <w:sz w:val="24"/>
                <w:szCs w:val="24"/>
              </w:rPr>
              <w:t xml:space="preserve"> </w:t>
            </w:r>
            <w:r w:rsidRPr="006322EA">
              <w:rPr>
                <w:sz w:val="24"/>
                <w:szCs w:val="24"/>
              </w:rPr>
              <w:t>(</w:t>
            </w:r>
            <w:r w:rsidR="0055618B">
              <w:rPr>
                <w:sz w:val="24"/>
                <w:szCs w:val="24"/>
              </w:rPr>
              <w:t>r</w:t>
            </w:r>
            <w:r w:rsidRPr="006322EA">
              <w:rPr>
                <w:sz w:val="24"/>
                <w:szCs w:val="24"/>
              </w:rPr>
              <w:t>henium-188-Compoun</w:t>
            </w:r>
            <w:r w:rsidR="00871A43">
              <w:rPr>
                <w:sz w:val="24"/>
                <w:szCs w:val="24"/>
              </w:rPr>
              <w:t>d</w:t>
            </w:r>
            <w:r w:rsidRPr="006322EA">
              <w:rPr>
                <w:sz w:val="24"/>
                <w:szCs w:val="24"/>
              </w:rPr>
              <w:t xml:space="preserve">). </w:t>
            </w:r>
            <w:r w:rsidR="0055618B">
              <w:rPr>
                <w:sz w:val="24"/>
                <w:szCs w:val="24"/>
              </w:rPr>
              <w:t xml:space="preserve">The </w:t>
            </w:r>
            <w:r w:rsidR="003E2299">
              <w:rPr>
                <w:sz w:val="24"/>
                <w:szCs w:val="24"/>
              </w:rPr>
              <w:t>resin</w:t>
            </w:r>
            <w:r w:rsidR="003E2299" w:rsidRPr="006322EA">
              <w:rPr>
                <w:sz w:val="24"/>
                <w:szCs w:val="24"/>
              </w:rPr>
              <w:t xml:space="preserve"> </w:t>
            </w:r>
            <w:r w:rsidRPr="006322EA">
              <w:rPr>
                <w:sz w:val="24"/>
                <w:szCs w:val="24"/>
              </w:rPr>
              <w:t xml:space="preserve">is applied over a protective foil </w:t>
            </w:r>
            <w:r w:rsidR="003E2299">
              <w:rPr>
                <w:sz w:val="24"/>
                <w:szCs w:val="24"/>
              </w:rPr>
              <w:t>affixed to</w:t>
            </w:r>
            <w:r w:rsidR="003E2299" w:rsidRPr="006322EA">
              <w:rPr>
                <w:sz w:val="24"/>
                <w:szCs w:val="24"/>
              </w:rPr>
              <w:t xml:space="preserve"> </w:t>
            </w:r>
            <w:r w:rsidRPr="006322EA">
              <w:rPr>
                <w:sz w:val="24"/>
                <w:szCs w:val="24"/>
              </w:rPr>
              <w:t xml:space="preserve">the </w:t>
            </w:r>
            <w:r w:rsidR="00EA20E9" w:rsidRPr="006322EA">
              <w:rPr>
                <w:sz w:val="24"/>
                <w:szCs w:val="24"/>
              </w:rPr>
              <w:t>tumour</w:t>
            </w:r>
            <w:r w:rsidR="0055618B">
              <w:rPr>
                <w:sz w:val="24"/>
                <w:szCs w:val="24"/>
              </w:rPr>
              <w:t xml:space="preserve"> allowing for </w:t>
            </w:r>
            <w:r w:rsidR="00B27B75">
              <w:rPr>
                <w:sz w:val="24"/>
                <w:szCs w:val="24"/>
              </w:rPr>
              <w:t>precise application to the target area without directly touching the skin</w:t>
            </w:r>
            <w:r w:rsidRPr="006322EA">
              <w:rPr>
                <w:sz w:val="24"/>
                <w:szCs w:val="24"/>
              </w:rPr>
              <w:t>. The penetration</w:t>
            </w:r>
            <w:r>
              <w:rPr>
                <w:sz w:val="24"/>
                <w:szCs w:val="24"/>
              </w:rPr>
              <w:t xml:space="preserve"> </w:t>
            </w:r>
            <w:r w:rsidRPr="006322EA">
              <w:rPr>
                <w:sz w:val="24"/>
                <w:szCs w:val="24"/>
              </w:rPr>
              <w:t>range of its beta-radiation is very shallow in the human tissue (</w:t>
            </w:r>
            <w:r w:rsidR="003E2299">
              <w:rPr>
                <w:sz w:val="24"/>
                <w:szCs w:val="24"/>
              </w:rPr>
              <w:t xml:space="preserve">up to </w:t>
            </w:r>
            <w:r w:rsidRPr="006322EA">
              <w:rPr>
                <w:sz w:val="24"/>
                <w:szCs w:val="24"/>
              </w:rPr>
              <w:t>3mm)</w:t>
            </w:r>
          </w:p>
        </w:tc>
      </w:tr>
    </w:tbl>
    <w:p w14:paraId="2DFC125E" w14:textId="37305824" w:rsidR="0085267B" w:rsidRPr="00134235" w:rsidRDefault="0085267B" w:rsidP="005D2517">
      <w:pPr>
        <w:pStyle w:val="ListParagraph"/>
        <w:numPr>
          <w:ilvl w:val="0"/>
          <w:numId w:val="35"/>
        </w:numPr>
        <w:spacing w:before="320"/>
        <w:contextualSpacing w:val="0"/>
        <w:rPr>
          <w:b/>
          <w:bCs/>
          <w:sz w:val="24"/>
          <w:szCs w:val="24"/>
        </w:rPr>
      </w:pPr>
      <w:bookmarkStart w:id="2" w:name="_Hlk187650427"/>
      <w:r w:rsidRPr="00134235">
        <w:rPr>
          <w:b/>
          <w:bCs/>
          <w:sz w:val="24"/>
          <w:szCs w:val="24"/>
        </w:rPr>
        <w:t xml:space="preserve">Is the intended purpose in this </w:t>
      </w:r>
      <w:r w:rsidR="00CB02A3">
        <w:rPr>
          <w:b/>
          <w:bCs/>
          <w:sz w:val="24"/>
          <w:szCs w:val="24"/>
        </w:rPr>
        <w:t>re</w:t>
      </w:r>
      <w:r w:rsidRPr="00134235">
        <w:rPr>
          <w:b/>
          <w:bCs/>
          <w:sz w:val="24"/>
          <w:szCs w:val="24"/>
        </w:rPr>
        <w:t xml:space="preserve">application the same as the intended purpose of the ARTG listing? </w:t>
      </w:r>
    </w:p>
    <w:p w14:paraId="3621AEBA" w14:textId="56699010" w:rsidR="0085267B" w:rsidRDefault="00000000" w:rsidP="00E17C42">
      <w:pPr>
        <w:pStyle w:val="ListParagraph"/>
        <w:ind w:left="851" w:hanging="425"/>
        <w:contextualSpacing w:val="0"/>
        <w:rPr>
          <w:sz w:val="24"/>
          <w:szCs w:val="24"/>
        </w:rPr>
      </w:pPr>
      <w:sdt>
        <w:sdtPr>
          <w:rPr>
            <w:sz w:val="24"/>
            <w:szCs w:val="24"/>
          </w:rPr>
          <w:id w:val="1778916126"/>
          <w14:checkbox>
            <w14:checked w14:val="1"/>
            <w14:checkedState w14:val="2612" w14:font="MS Gothic"/>
            <w14:uncheckedState w14:val="2610" w14:font="MS Gothic"/>
          </w14:checkbox>
        </w:sdtPr>
        <w:sdtContent>
          <w:r w:rsidR="006322EA">
            <w:rPr>
              <w:rFonts w:ascii="MS Gothic" w:eastAsia="MS Gothic" w:hAnsi="MS Gothic" w:hint="eastAsia"/>
              <w:sz w:val="24"/>
              <w:szCs w:val="24"/>
            </w:rPr>
            <w:t>☒</w:t>
          </w:r>
        </w:sdtContent>
      </w:sdt>
      <w:r w:rsidR="002B2759">
        <w:rPr>
          <w:sz w:val="24"/>
          <w:szCs w:val="24"/>
        </w:rPr>
        <w:t xml:space="preserve"> </w:t>
      </w:r>
      <w:r w:rsidR="00D468EE">
        <w:rPr>
          <w:sz w:val="24"/>
          <w:szCs w:val="24"/>
        </w:rPr>
        <w:t xml:space="preserve">  </w:t>
      </w:r>
      <w:r w:rsidR="002B2759">
        <w:rPr>
          <w:sz w:val="24"/>
          <w:szCs w:val="24"/>
        </w:rPr>
        <w:t>Yes</w:t>
      </w:r>
      <w:r w:rsidR="00D553AA">
        <w:rPr>
          <w:sz w:val="24"/>
          <w:szCs w:val="24"/>
        </w:rPr>
        <w:t>.</w:t>
      </w:r>
      <w:r w:rsidR="00D468EE">
        <w:rPr>
          <w:sz w:val="24"/>
          <w:szCs w:val="24"/>
        </w:rPr>
        <w:t xml:space="preserve"> </w:t>
      </w:r>
      <w:r w:rsidR="00C72F6E" w:rsidRPr="004A2395">
        <w:rPr>
          <w:sz w:val="24"/>
          <w:szCs w:val="24"/>
        </w:rPr>
        <w:t>Go to the next applicable section (</w:t>
      </w:r>
      <w:hyperlink w:anchor="_B2:_NATA_Accreditation" w:history="1">
        <w:r w:rsidR="00C72F6E" w:rsidRPr="004A2395">
          <w:rPr>
            <w:rStyle w:val="Hyperlink"/>
            <w:sz w:val="24"/>
            <w:szCs w:val="24"/>
          </w:rPr>
          <w:t>B2: NATA Accreditation</w:t>
        </w:r>
      </w:hyperlink>
      <w:r w:rsidR="00C72F6E" w:rsidRPr="004A2395">
        <w:rPr>
          <w:sz w:val="24"/>
          <w:szCs w:val="24"/>
        </w:rPr>
        <w:t xml:space="preserve">; </w:t>
      </w:r>
      <w:hyperlink w:anchor="_Radiopharmaceuticals" w:history="1">
        <w:r w:rsidR="00C72F6E" w:rsidRPr="004A2395">
          <w:rPr>
            <w:rStyle w:val="Hyperlink"/>
            <w:sz w:val="24"/>
            <w:szCs w:val="24"/>
          </w:rPr>
          <w:t>B3:  Radiopharmaceuticals</w:t>
        </w:r>
      </w:hyperlink>
      <w:r w:rsidR="00F65E24" w:rsidRPr="004A2395">
        <w:rPr>
          <w:rStyle w:val="Hyperlink"/>
          <w:sz w:val="24"/>
          <w:szCs w:val="24"/>
        </w:rPr>
        <w:t>;</w:t>
      </w:r>
      <w:r w:rsidR="00810F89" w:rsidRPr="004A2395">
        <w:rPr>
          <w:sz w:val="24"/>
          <w:szCs w:val="24"/>
        </w:rPr>
        <w:t xml:space="preserve"> or </w:t>
      </w:r>
      <w:hyperlink w:anchor="_Other_Information_2" w:history="1">
        <w:r w:rsidR="00810F89" w:rsidRPr="004A2395">
          <w:rPr>
            <w:rStyle w:val="Hyperlink"/>
            <w:sz w:val="24"/>
            <w:szCs w:val="24"/>
          </w:rPr>
          <w:t>Other Information</w:t>
        </w:r>
      </w:hyperlink>
      <w:r w:rsidR="006A536B" w:rsidRPr="004A2395">
        <w:rPr>
          <w:sz w:val="24"/>
          <w:szCs w:val="24"/>
        </w:rPr>
        <w:t>).</w:t>
      </w:r>
    </w:p>
    <w:p w14:paraId="49EAE873" w14:textId="0543E0DE" w:rsidR="00E2229F" w:rsidRDefault="00000000" w:rsidP="006322EA">
      <w:pPr>
        <w:pStyle w:val="ListParagraph"/>
        <w:spacing w:after="240"/>
        <w:ind w:left="851" w:hanging="425"/>
        <w:contextualSpacing w:val="0"/>
        <w:rPr>
          <w:sz w:val="24"/>
          <w:szCs w:val="24"/>
        </w:rPr>
      </w:pPr>
      <w:sdt>
        <w:sdtPr>
          <w:rPr>
            <w:sz w:val="24"/>
            <w:szCs w:val="24"/>
          </w:rPr>
          <w:id w:val="-1574511024"/>
          <w14:checkbox>
            <w14:checked w14:val="0"/>
            <w14:checkedState w14:val="2612" w14:font="MS Gothic"/>
            <w14:uncheckedState w14:val="2610" w14:font="MS Gothic"/>
          </w14:checkbox>
        </w:sdtPr>
        <w:sdtContent>
          <w:r w:rsidR="002B2759">
            <w:rPr>
              <w:rFonts w:ascii="MS Gothic" w:eastAsia="MS Gothic" w:hAnsi="MS Gothic" w:hint="eastAsia"/>
              <w:sz w:val="24"/>
              <w:szCs w:val="24"/>
            </w:rPr>
            <w:t>☐</w:t>
          </w:r>
        </w:sdtContent>
      </w:sdt>
      <w:r w:rsidR="002B2759">
        <w:rPr>
          <w:sz w:val="24"/>
          <w:szCs w:val="24"/>
        </w:rPr>
        <w:t xml:space="preserve">   </w:t>
      </w:r>
      <w:r w:rsidR="00A61507">
        <w:rPr>
          <w:sz w:val="24"/>
          <w:szCs w:val="24"/>
        </w:rPr>
        <w:t xml:space="preserve">No. </w:t>
      </w:r>
      <w:r w:rsidR="002B2759">
        <w:rPr>
          <w:sz w:val="24"/>
          <w:szCs w:val="24"/>
        </w:rPr>
        <w:t>Please explain the differences</w:t>
      </w:r>
      <w:r w:rsidR="00BB49C7">
        <w:rPr>
          <w:sz w:val="24"/>
          <w:szCs w:val="24"/>
        </w:rPr>
        <w:t xml:space="preserve"> below, then proceed to the next applicable section</w:t>
      </w:r>
      <w:r w:rsidR="00E2229F">
        <w:rPr>
          <w:sz w:val="24"/>
          <w:szCs w:val="24"/>
        </w:rPr>
        <w:t xml:space="preserve"> </w:t>
      </w:r>
      <w:r w:rsidR="00062982">
        <w:rPr>
          <w:sz w:val="24"/>
          <w:szCs w:val="24"/>
        </w:rPr>
        <w:br/>
      </w:r>
      <w:r w:rsidR="00E2229F" w:rsidRPr="004A2395">
        <w:rPr>
          <w:sz w:val="24"/>
          <w:szCs w:val="24"/>
        </w:rPr>
        <w:t>(</w:t>
      </w:r>
      <w:hyperlink w:anchor="_B2:_NATA_Accreditation" w:history="1">
        <w:r w:rsidR="00E2229F" w:rsidRPr="004A2395">
          <w:rPr>
            <w:rStyle w:val="Hyperlink"/>
            <w:sz w:val="24"/>
            <w:szCs w:val="24"/>
          </w:rPr>
          <w:t>B2: NATA Accreditation</w:t>
        </w:r>
      </w:hyperlink>
      <w:r w:rsidR="00E2229F" w:rsidRPr="004A2395">
        <w:rPr>
          <w:sz w:val="24"/>
          <w:szCs w:val="24"/>
        </w:rPr>
        <w:t xml:space="preserve">; </w:t>
      </w:r>
      <w:hyperlink w:anchor="_Radiopharmaceuticals" w:history="1">
        <w:r w:rsidR="00E2229F" w:rsidRPr="004A2395">
          <w:rPr>
            <w:rStyle w:val="Hyperlink"/>
            <w:sz w:val="24"/>
            <w:szCs w:val="24"/>
          </w:rPr>
          <w:t>B3:  Radiopharmaceuticals</w:t>
        </w:r>
      </w:hyperlink>
      <w:r w:rsidR="00032A13" w:rsidRPr="004A2395">
        <w:rPr>
          <w:rStyle w:val="Hyperlink"/>
          <w:sz w:val="24"/>
          <w:szCs w:val="24"/>
        </w:rPr>
        <w:t>;</w:t>
      </w:r>
      <w:r w:rsidR="00E2229F" w:rsidRPr="004A2395">
        <w:rPr>
          <w:sz w:val="24"/>
          <w:szCs w:val="24"/>
        </w:rPr>
        <w:t xml:space="preserve"> or </w:t>
      </w:r>
      <w:hyperlink w:anchor="_Other_Information_2" w:history="1">
        <w:r w:rsidR="00E2229F" w:rsidRPr="004A2395">
          <w:rPr>
            <w:rStyle w:val="Hyperlink"/>
            <w:sz w:val="24"/>
            <w:szCs w:val="24"/>
          </w:rPr>
          <w:t>Other Information</w:t>
        </w:r>
      </w:hyperlink>
      <w:r w:rsidR="00E2229F" w:rsidRPr="004A2395">
        <w:rPr>
          <w:sz w:val="24"/>
          <w:szCs w:val="24"/>
        </w:rPr>
        <w:t>)</w:t>
      </w:r>
    </w:p>
    <w:tbl>
      <w:tblPr>
        <w:tblStyle w:val="TableGrid"/>
        <w:tblW w:w="0" w:type="auto"/>
        <w:tblInd w:w="360" w:type="dxa"/>
        <w:tblLook w:val="04A0" w:firstRow="1" w:lastRow="0" w:firstColumn="1" w:lastColumn="0" w:noHBand="0" w:noVBand="1"/>
      </w:tblPr>
      <w:tblGrid>
        <w:gridCol w:w="9834"/>
      </w:tblGrid>
      <w:tr w:rsidR="002B2759" w14:paraId="0A89384E" w14:textId="77777777" w:rsidTr="002B2759">
        <w:tc>
          <w:tcPr>
            <w:tcW w:w="9834" w:type="dxa"/>
          </w:tcPr>
          <w:p w14:paraId="4E4DEAAB" w14:textId="14FC0275" w:rsidR="008E4E06" w:rsidRDefault="00E2229F" w:rsidP="0085267B">
            <w:pPr>
              <w:pStyle w:val="ListParagraph"/>
              <w:ind w:left="0"/>
              <w:rPr>
                <w:sz w:val="24"/>
                <w:szCs w:val="24"/>
              </w:rPr>
            </w:pPr>
            <w:r>
              <w:rPr>
                <w:sz w:val="24"/>
                <w:szCs w:val="24"/>
              </w:rPr>
              <w:t xml:space="preserve"> </w:t>
            </w:r>
          </w:p>
          <w:p w14:paraId="6AD9E139" w14:textId="77777777" w:rsidR="002B6BD3" w:rsidRDefault="002B6BD3" w:rsidP="0085267B">
            <w:pPr>
              <w:pStyle w:val="ListParagraph"/>
              <w:ind w:left="0"/>
              <w:rPr>
                <w:sz w:val="24"/>
                <w:szCs w:val="24"/>
              </w:rPr>
            </w:pPr>
          </w:p>
          <w:p w14:paraId="66D4BDFB" w14:textId="77777777" w:rsidR="007F73EB" w:rsidRDefault="007F73EB" w:rsidP="0085267B">
            <w:pPr>
              <w:pStyle w:val="ListParagraph"/>
              <w:ind w:left="0"/>
              <w:rPr>
                <w:sz w:val="24"/>
                <w:szCs w:val="24"/>
              </w:rPr>
            </w:pPr>
          </w:p>
        </w:tc>
      </w:tr>
    </w:tbl>
    <w:p w14:paraId="3561B4DB" w14:textId="77777777" w:rsidR="00715973" w:rsidRDefault="00715973">
      <w:pPr>
        <w:rPr>
          <w:rFonts w:asciiTheme="majorHAnsi" w:eastAsiaTheme="majorEastAsia" w:hAnsiTheme="majorHAnsi" w:cstheme="majorBidi"/>
          <w:color w:val="2F5496" w:themeColor="accent1" w:themeShade="BF"/>
          <w:sz w:val="28"/>
          <w:szCs w:val="24"/>
          <w:u w:val="single"/>
        </w:rPr>
      </w:pPr>
      <w:bookmarkStart w:id="3" w:name="_NATA_Accreditation"/>
      <w:bookmarkEnd w:id="2"/>
      <w:bookmarkEnd w:id="3"/>
      <w:r>
        <w:br w:type="page"/>
      </w:r>
    </w:p>
    <w:p w14:paraId="388DE4F1" w14:textId="29FC0C07" w:rsidR="00E10E80" w:rsidRDefault="005A3D97" w:rsidP="00DD3684">
      <w:pPr>
        <w:pStyle w:val="Heading2"/>
        <w:spacing w:before="480"/>
      </w:pPr>
      <w:bookmarkStart w:id="4" w:name="_B2:_NATA_Accreditation"/>
      <w:bookmarkStart w:id="5" w:name="_Other_Information_1"/>
      <w:bookmarkStart w:id="6" w:name="_Other_Information_2"/>
      <w:bookmarkEnd w:id="4"/>
      <w:bookmarkEnd w:id="5"/>
      <w:bookmarkEnd w:id="6"/>
      <w:r w:rsidRPr="005A3D97">
        <w:lastRenderedPageBreak/>
        <w:t>O</w:t>
      </w:r>
      <w:r w:rsidR="00340CA4">
        <w:t>ther Information</w:t>
      </w:r>
      <w:r w:rsidRPr="005A3D97">
        <w:t xml:space="preserve"> </w:t>
      </w:r>
    </w:p>
    <w:p w14:paraId="65713E12" w14:textId="3DEB1225" w:rsidR="00E10E80" w:rsidRDefault="00D24537" w:rsidP="007C0411">
      <w:pPr>
        <w:rPr>
          <w:sz w:val="24"/>
          <w:szCs w:val="24"/>
        </w:rPr>
      </w:pPr>
      <w:r>
        <w:rPr>
          <w:sz w:val="24"/>
          <w:szCs w:val="24"/>
        </w:rPr>
        <w:t xml:space="preserve">Please </w:t>
      </w:r>
      <w:r w:rsidR="001A50AB">
        <w:rPr>
          <w:sz w:val="24"/>
          <w:szCs w:val="24"/>
        </w:rPr>
        <w:t>advise us if there is</w:t>
      </w:r>
      <w:r w:rsidR="00594F47">
        <w:rPr>
          <w:sz w:val="24"/>
          <w:szCs w:val="24"/>
        </w:rPr>
        <w:t xml:space="preserve"> anything relevant to MSAC</w:t>
      </w:r>
      <w:r w:rsidR="002C07FE">
        <w:rPr>
          <w:sz w:val="24"/>
          <w:szCs w:val="24"/>
        </w:rPr>
        <w:t>’s</w:t>
      </w:r>
      <w:r w:rsidR="00594F47">
        <w:rPr>
          <w:sz w:val="24"/>
          <w:szCs w:val="24"/>
        </w:rPr>
        <w:t xml:space="preserve"> consideration of th</w:t>
      </w:r>
      <w:r w:rsidR="002C07FE">
        <w:rPr>
          <w:sz w:val="24"/>
          <w:szCs w:val="24"/>
        </w:rPr>
        <w:t xml:space="preserve">e </w:t>
      </w:r>
      <w:r w:rsidR="00CB02A3">
        <w:rPr>
          <w:sz w:val="24"/>
          <w:szCs w:val="24"/>
        </w:rPr>
        <w:t>re</w:t>
      </w:r>
      <w:r w:rsidR="002C07FE">
        <w:rPr>
          <w:sz w:val="24"/>
          <w:szCs w:val="24"/>
        </w:rPr>
        <w:t>application that is not addressed else</w:t>
      </w:r>
      <w:r w:rsidR="00EE3873">
        <w:rPr>
          <w:sz w:val="24"/>
          <w:szCs w:val="24"/>
        </w:rPr>
        <w:t>where in this template</w:t>
      </w:r>
      <w:r w:rsidR="00965F37">
        <w:rPr>
          <w:sz w:val="24"/>
          <w:szCs w:val="24"/>
        </w:rPr>
        <w:t xml:space="preserve">. </w:t>
      </w:r>
      <w:r w:rsidR="00EE3873">
        <w:rPr>
          <w:sz w:val="24"/>
          <w:szCs w:val="24"/>
        </w:rPr>
        <w:t xml:space="preserve">For example, </w:t>
      </w:r>
      <w:r w:rsidR="007F3F76">
        <w:rPr>
          <w:sz w:val="24"/>
          <w:szCs w:val="24"/>
        </w:rPr>
        <w:t>proposed major changes to the ADAR unrelated to matters of concern raised by MSAC</w:t>
      </w:r>
      <w:r w:rsidR="005D384F">
        <w:rPr>
          <w:sz w:val="24"/>
          <w:szCs w:val="24"/>
        </w:rPr>
        <w:t>;</w:t>
      </w:r>
      <w:r w:rsidR="00F92BDD">
        <w:rPr>
          <w:sz w:val="24"/>
          <w:szCs w:val="24"/>
        </w:rPr>
        <w:t xml:space="preserve"> o</w:t>
      </w:r>
      <w:r w:rsidR="004F5B4F">
        <w:rPr>
          <w:sz w:val="24"/>
          <w:szCs w:val="24"/>
        </w:rPr>
        <w:t xml:space="preserve">r </w:t>
      </w:r>
      <w:r w:rsidR="007F3F76">
        <w:rPr>
          <w:sz w:val="24"/>
          <w:szCs w:val="24"/>
        </w:rPr>
        <w:t>the health technology is subject to a recall or other regulatory action</w:t>
      </w:r>
      <w:r w:rsidR="00965F37">
        <w:rPr>
          <w:sz w:val="24"/>
          <w:szCs w:val="24"/>
        </w:rPr>
        <w:t xml:space="preserve">. </w:t>
      </w:r>
      <w:r w:rsidR="00F92BDD">
        <w:rPr>
          <w:sz w:val="24"/>
          <w:szCs w:val="24"/>
        </w:rPr>
        <w:t xml:space="preserve">You can also list </w:t>
      </w:r>
      <w:r w:rsidR="0064102A">
        <w:rPr>
          <w:sz w:val="24"/>
          <w:szCs w:val="24"/>
        </w:rPr>
        <w:t xml:space="preserve">here any </w:t>
      </w:r>
      <w:r w:rsidR="00F92BDD">
        <w:rPr>
          <w:sz w:val="24"/>
          <w:szCs w:val="24"/>
        </w:rPr>
        <w:t xml:space="preserve">additional organisations, </w:t>
      </w:r>
      <w:r w:rsidR="00A71E2C">
        <w:rPr>
          <w:sz w:val="24"/>
          <w:szCs w:val="24"/>
        </w:rPr>
        <w:t>experts,</w:t>
      </w:r>
      <w:r w:rsidR="00F92BDD">
        <w:rPr>
          <w:sz w:val="24"/>
          <w:szCs w:val="24"/>
        </w:rPr>
        <w:t xml:space="preserve"> or </w:t>
      </w:r>
      <w:r w:rsidR="00B92AA6">
        <w:rPr>
          <w:sz w:val="24"/>
          <w:szCs w:val="24"/>
        </w:rPr>
        <w:t xml:space="preserve">other stakeholders for consultation. </w:t>
      </w:r>
    </w:p>
    <w:tbl>
      <w:tblPr>
        <w:tblStyle w:val="TableGrid"/>
        <w:tblW w:w="0" w:type="auto"/>
        <w:tblInd w:w="-5" w:type="dxa"/>
        <w:tblLook w:val="04A0" w:firstRow="1" w:lastRow="0" w:firstColumn="1" w:lastColumn="0" w:noHBand="0" w:noVBand="1"/>
      </w:tblPr>
      <w:tblGrid>
        <w:gridCol w:w="10199"/>
      </w:tblGrid>
      <w:tr w:rsidR="00A90936" w14:paraId="08E4A0C6" w14:textId="77777777" w:rsidTr="00DD3684">
        <w:tc>
          <w:tcPr>
            <w:tcW w:w="10199" w:type="dxa"/>
          </w:tcPr>
          <w:p w14:paraId="6B39538F" w14:textId="77777777" w:rsidR="00A90936" w:rsidRDefault="00A90936" w:rsidP="002D3798">
            <w:pPr>
              <w:rPr>
                <w:sz w:val="24"/>
                <w:szCs w:val="24"/>
              </w:rPr>
            </w:pPr>
          </w:p>
          <w:p w14:paraId="59DC17EE" w14:textId="77777777" w:rsidR="00A90936" w:rsidRDefault="00A90936" w:rsidP="002D3798">
            <w:pPr>
              <w:rPr>
                <w:sz w:val="24"/>
                <w:szCs w:val="24"/>
              </w:rPr>
            </w:pPr>
          </w:p>
          <w:p w14:paraId="67831A34" w14:textId="500723E3" w:rsidR="00176F1D" w:rsidRDefault="00FE0D1C" w:rsidP="002D3798">
            <w:pPr>
              <w:rPr>
                <w:sz w:val="24"/>
                <w:szCs w:val="24"/>
              </w:rPr>
            </w:pPr>
            <w:r>
              <w:rPr>
                <w:sz w:val="24"/>
                <w:szCs w:val="24"/>
              </w:rPr>
              <w:t>N/A.</w:t>
            </w:r>
          </w:p>
          <w:p w14:paraId="7BDC2AAA" w14:textId="77777777" w:rsidR="00176F1D" w:rsidRDefault="00176F1D" w:rsidP="002D3798">
            <w:pPr>
              <w:rPr>
                <w:sz w:val="24"/>
                <w:szCs w:val="24"/>
              </w:rPr>
            </w:pPr>
          </w:p>
          <w:p w14:paraId="304602C2" w14:textId="77777777" w:rsidR="00176F1D" w:rsidRDefault="00176F1D" w:rsidP="002D3798">
            <w:pPr>
              <w:rPr>
                <w:sz w:val="24"/>
                <w:szCs w:val="24"/>
              </w:rPr>
            </w:pPr>
          </w:p>
        </w:tc>
      </w:tr>
    </w:tbl>
    <w:p w14:paraId="4F973835" w14:textId="77777777" w:rsidR="00E10E80" w:rsidRDefault="00E10E80" w:rsidP="002D3798">
      <w:pPr>
        <w:rPr>
          <w:sz w:val="24"/>
          <w:szCs w:val="24"/>
        </w:rPr>
      </w:pPr>
    </w:p>
    <w:p w14:paraId="7DC4EE95" w14:textId="210497B9" w:rsidR="004419EB" w:rsidRDefault="004419EB" w:rsidP="004440C9">
      <w:pPr>
        <w:sectPr w:rsidR="004419EB" w:rsidSect="008E676A">
          <w:headerReference w:type="default" r:id="rId12"/>
          <w:footerReference w:type="default" r:id="rId13"/>
          <w:pgSz w:w="11906" w:h="16838"/>
          <w:pgMar w:top="1021" w:right="851" w:bottom="1021" w:left="851" w:header="709" w:footer="283" w:gutter="0"/>
          <w:pgNumType w:start="1"/>
          <w:cols w:space="708"/>
          <w:docGrid w:linePitch="360"/>
        </w:sectPr>
      </w:pPr>
    </w:p>
    <w:p w14:paraId="622B11A6" w14:textId="1EECBD78" w:rsidR="005F6283" w:rsidRPr="009F4B28" w:rsidRDefault="00FE58E0" w:rsidP="00777112">
      <w:pPr>
        <w:pStyle w:val="Heading1"/>
        <w:spacing w:before="0" w:after="120"/>
        <w:jc w:val="left"/>
        <w:rPr>
          <w:i/>
          <w:iCs/>
        </w:rPr>
      </w:pPr>
      <w:r w:rsidRPr="00777112">
        <w:rPr>
          <w:color w:val="002060"/>
        </w:rPr>
        <w:lastRenderedPageBreak/>
        <w:t xml:space="preserve">Table 1: </w:t>
      </w:r>
      <w:r w:rsidR="00A4249B" w:rsidRPr="00777112">
        <w:rPr>
          <w:color w:val="002060"/>
        </w:rPr>
        <w:t xml:space="preserve">Summary of </w:t>
      </w:r>
      <w:r w:rsidR="0074107B" w:rsidRPr="00777112">
        <w:rPr>
          <w:color w:val="002060"/>
        </w:rPr>
        <w:t xml:space="preserve">key matters of concern </w:t>
      </w:r>
      <w:r w:rsidR="005F6283" w:rsidRPr="009F4B28">
        <w:rPr>
          <w:i/>
          <w:iCs/>
        </w:rPr>
        <w:tab/>
      </w:r>
      <w:r w:rsidR="005F6283" w:rsidRPr="009F4B28">
        <w:rPr>
          <w:i/>
          <w:iCs/>
        </w:rPr>
        <w:tab/>
      </w:r>
    </w:p>
    <w:tbl>
      <w:tblPr>
        <w:tblStyle w:val="TableGrid"/>
        <w:tblW w:w="0" w:type="auto"/>
        <w:tblInd w:w="85" w:type="dxa"/>
        <w:tblLook w:val="04A0" w:firstRow="1" w:lastRow="0" w:firstColumn="1" w:lastColumn="0" w:noHBand="0" w:noVBand="1"/>
      </w:tblPr>
      <w:tblGrid>
        <w:gridCol w:w="3150"/>
        <w:gridCol w:w="4860"/>
        <w:gridCol w:w="6480"/>
      </w:tblGrid>
      <w:tr w:rsidR="00BF0F2A" w14:paraId="33C0FB9D" w14:textId="77777777" w:rsidTr="009A0FD6">
        <w:trPr>
          <w:cantSplit/>
          <w:tblHeader/>
        </w:trPr>
        <w:tc>
          <w:tcPr>
            <w:tcW w:w="3150" w:type="dxa"/>
            <w:shd w:val="clear" w:color="auto" w:fill="D9E2F3" w:themeFill="accent1" w:themeFillTint="33"/>
          </w:tcPr>
          <w:p w14:paraId="41F81C8D" w14:textId="123CB16D" w:rsidR="00BF0F2A" w:rsidRPr="008A06F9" w:rsidRDefault="00BF0F2A" w:rsidP="00BF2707">
            <w:pPr>
              <w:spacing w:before="60" w:after="60"/>
              <w:jc w:val="center"/>
              <w:rPr>
                <w:b/>
                <w:bCs/>
                <w:caps/>
              </w:rPr>
            </w:pPr>
            <w:r w:rsidRPr="008A06F9">
              <w:rPr>
                <w:b/>
                <w:bCs/>
                <w:caps/>
              </w:rPr>
              <w:t xml:space="preserve">Component </w:t>
            </w:r>
          </w:p>
        </w:tc>
        <w:tc>
          <w:tcPr>
            <w:tcW w:w="4860" w:type="dxa"/>
            <w:shd w:val="clear" w:color="auto" w:fill="D9E2F3" w:themeFill="accent1" w:themeFillTint="33"/>
          </w:tcPr>
          <w:p w14:paraId="666C2E7A" w14:textId="61494C7A" w:rsidR="00BF0F2A" w:rsidRPr="008A06F9" w:rsidRDefault="00BF0F2A" w:rsidP="00BF2707">
            <w:pPr>
              <w:spacing w:before="60" w:after="60"/>
              <w:jc w:val="center"/>
              <w:rPr>
                <w:b/>
                <w:bCs/>
                <w:caps/>
              </w:rPr>
            </w:pPr>
            <w:r w:rsidRPr="008A06F9">
              <w:rPr>
                <w:b/>
                <w:bCs/>
                <w:caps/>
              </w:rPr>
              <w:t>Matter of Concern</w:t>
            </w:r>
          </w:p>
        </w:tc>
        <w:tc>
          <w:tcPr>
            <w:tcW w:w="6480" w:type="dxa"/>
            <w:shd w:val="clear" w:color="auto" w:fill="D9E2F3" w:themeFill="accent1" w:themeFillTint="33"/>
          </w:tcPr>
          <w:p w14:paraId="5F3FF5AE" w14:textId="57920A28" w:rsidR="00BF0F2A" w:rsidRPr="008A06F9" w:rsidRDefault="00BF0F2A" w:rsidP="00BF2707">
            <w:pPr>
              <w:spacing w:before="60" w:after="60"/>
              <w:jc w:val="center"/>
              <w:rPr>
                <w:b/>
                <w:bCs/>
                <w:caps/>
              </w:rPr>
            </w:pPr>
            <w:r w:rsidRPr="008A06F9">
              <w:rPr>
                <w:b/>
                <w:bCs/>
                <w:caps/>
              </w:rPr>
              <w:t>How matter will be addressed in ADAR</w:t>
            </w:r>
          </w:p>
        </w:tc>
      </w:tr>
      <w:tr w:rsidR="00BF0F2A" w14:paraId="7C3949B3" w14:textId="77777777" w:rsidTr="006A1D2D">
        <w:trPr>
          <w:trHeight w:val="1925"/>
        </w:trPr>
        <w:tc>
          <w:tcPr>
            <w:tcW w:w="3150" w:type="dxa"/>
            <w:tcBorders>
              <w:top w:val="single" w:sz="4" w:space="0" w:color="auto"/>
              <w:left w:val="single" w:sz="4" w:space="0" w:color="auto"/>
              <w:bottom w:val="single" w:sz="4" w:space="0" w:color="auto"/>
              <w:right w:val="single" w:sz="4" w:space="0" w:color="auto"/>
            </w:tcBorders>
            <w:vAlign w:val="center"/>
          </w:tcPr>
          <w:p w14:paraId="7F0E8001" w14:textId="77777777" w:rsidR="00BF0F2A" w:rsidRDefault="00BF0F2A" w:rsidP="00727A61"/>
          <w:p w14:paraId="09EA4DF7" w14:textId="77777777" w:rsidR="006C2576" w:rsidRDefault="006C2576" w:rsidP="00727A61"/>
          <w:p w14:paraId="467CBADC" w14:textId="77777777" w:rsidR="006C2576" w:rsidRDefault="006C2576" w:rsidP="00727A61"/>
          <w:p w14:paraId="7968B4C7" w14:textId="23555C3A" w:rsidR="006C2576" w:rsidRDefault="00727A61" w:rsidP="00727A61">
            <w:r>
              <w:t>Clinical place in therapy</w:t>
            </w:r>
          </w:p>
          <w:p w14:paraId="052B3251" w14:textId="77777777" w:rsidR="006C2576" w:rsidRDefault="006C2576" w:rsidP="00727A61"/>
          <w:p w14:paraId="3639C203" w14:textId="77777777" w:rsidR="00BF0F2A" w:rsidRDefault="00BF0F2A" w:rsidP="00727A61"/>
          <w:p w14:paraId="7A739513" w14:textId="3B11D589" w:rsidR="00473F0B" w:rsidRPr="00BF0F2A" w:rsidRDefault="00473F0B" w:rsidP="00727A61"/>
        </w:tc>
        <w:tc>
          <w:tcPr>
            <w:tcW w:w="4860" w:type="dxa"/>
            <w:tcBorders>
              <w:top w:val="single" w:sz="4" w:space="0" w:color="auto"/>
              <w:left w:val="single" w:sz="4" w:space="0" w:color="auto"/>
              <w:bottom w:val="single" w:sz="4" w:space="0" w:color="auto"/>
              <w:right w:val="single" w:sz="4" w:space="0" w:color="auto"/>
            </w:tcBorders>
            <w:vAlign w:val="center"/>
          </w:tcPr>
          <w:p w14:paraId="2AF88FC8" w14:textId="790B20B5" w:rsidR="00727A61" w:rsidRDefault="00727A61" w:rsidP="00337BE2">
            <w:pPr>
              <w:spacing w:after="120"/>
            </w:pPr>
            <w:r>
              <w:t xml:space="preserve">MSAC suggested treatment </w:t>
            </w:r>
            <w:r w:rsidRPr="00727A61">
              <w:t>should be limited to those most likely to benefit and clearly describe the patient and lesion factors that indicate likelihood of benefit from the treatment</w:t>
            </w:r>
            <w:r>
              <w:t>.</w:t>
            </w:r>
          </w:p>
          <w:p w14:paraId="3F2AE101" w14:textId="05B69C92" w:rsidR="00727A61" w:rsidRPr="00BF0F2A" w:rsidRDefault="00727A61" w:rsidP="00727A61">
            <w:r>
              <w:t>Additionally, they noted an appropriate referral pathway should be defined.</w:t>
            </w:r>
          </w:p>
        </w:tc>
        <w:tc>
          <w:tcPr>
            <w:tcW w:w="6480" w:type="dxa"/>
            <w:tcBorders>
              <w:top w:val="single" w:sz="4" w:space="0" w:color="auto"/>
              <w:left w:val="single" w:sz="4" w:space="0" w:color="auto"/>
              <w:bottom w:val="single" w:sz="4" w:space="0" w:color="auto"/>
              <w:right w:val="single" w:sz="4" w:space="0" w:color="auto"/>
            </w:tcBorders>
            <w:vAlign w:val="center"/>
          </w:tcPr>
          <w:p w14:paraId="29153EE4" w14:textId="77777777" w:rsidR="00FE0D1C" w:rsidRPr="00FE0D1C" w:rsidRDefault="00FE0D1C" w:rsidP="00FE0D1C">
            <w:pPr>
              <w:rPr>
                <w:b/>
                <w:bCs/>
              </w:rPr>
            </w:pPr>
            <w:r w:rsidRPr="00FE0D1C">
              <w:rPr>
                <w:b/>
                <w:bCs/>
              </w:rPr>
              <w:t>Addressed.</w:t>
            </w:r>
          </w:p>
          <w:p w14:paraId="27609E24" w14:textId="77777777" w:rsidR="00BF0F2A" w:rsidRDefault="00BF0F2A" w:rsidP="00727A61"/>
          <w:p w14:paraId="179792C2" w14:textId="58922B21" w:rsidR="00824447" w:rsidRDefault="00824447" w:rsidP="00727A61">
            <w:r w:rsidRPr="00824447">
              <w:t xml:space="preserve">Consistent with recent discussions with MSAC and the Department of Health, the resubmission will define the comparator population using the </w:t>
            </w:r>
            <w:r w:rsidRPr="006A1D2D">
              <w:t>eviQ criteria for definitive EBRT in cutaneous BCC/SCC</w:t>
            </w:r>
            <w:r w:rsidRPr="00824447">
              <w:t>. These criteria are widely accepted by Australian clinicians and were used to shape the EPIC</w:t>
            </w:r>
            <w:r w:rsidRPr="00824447">
              <w:noBreakHyphen/>
              <w:t>Skin trial inclusion framework. Patients considered for Rhenium</w:t>
            </w:r>
            <w:r w:rsidRPr="00824447">
              <w:noBreakHyphen/>
              <w:t xml:space="preserve">SCT will therefore be drawn </w:t>
            </w:r>
            <w:r w:rsidRPr="006A1D2D">
              <w:t>only from the cohort in whom radiotherapy is clinically appropriate per eviQ</w:t>
            </w:r>
            <w:r w:rsidRPr="00824447">
              <w:t>.</w:t>
            </w:r>
          </w:p>
          <w:p w14:paraId="7556CA6B" w14:textId="77777777" w:rsidR="00824447" w:rsidRDefault="00824447" w:rsidP="00727A61"/>
          <w:p w14:paraId="5C31ED52" w14:textId="399274D7" w:rsidR="002424F9" w:rsidRPr="002424F9" w:rsidRDefault="002424F9" w:rsidP="002424F9">
            <w:r w:rsidRPr="002424F9">
              <w:t>Selection for Rhenium</w:t>
            </w:r>
            <w:r w:rsidRPr="002424F9">
              <w:noBreakHyphen/>
              <w:t xml:space="preserve">SCT will apply </w:t>
            </w:r>
            <w:r w:rsidRPr="006A1D2D">
              <w:t>added layers of discernment</w:t>
            </w:r>
            <w:r w:rsidRPr="002424F9">
              <w:t xml:space="preserve"> over and above eviQ EBRT eligibility:</w:t>
            </w:r>
          </w:p>
          <w:p w14:paraId="026A3B22" w14:textId="57321098" w:rsidR="002424F9" w:rsidRDefault="002424F9" w:rsidP="002424F9">
            <w:pPr>
              <w:numPr>
                <w:ilvl w:val="0"/>
                <w:numId w:val="46"/>
              </w:numPr>
            </w:pPr>
            <w:r>
              <w:rPr>
                <w:b/>
                <w:bCs/>
              </w:rPr>
              <w:t>S</w:t>
            </w:r>
            <w:r w:rsidRPr="002424F9">
              <w:rPr>
                <w:b/>
                <w:bCs/>
              </w:rPr>
              <w:t>pecialist surgical input before modality choice</w:t>
            </w:r>
            <w:r w:rsidRPr="002424F9">
              <w:t xml:space="preserve"> – patients will be referred by, or have a documented consultation with, a </w:t>
            </w:r>
            <w:r w:rsidRPr="006A1D2D">
              <w:t>dermatologist or plastic surgeon</w:t>
            </w:r>
            <w:r w:rsidRPr="002424F9">
              <w:t xml:space="preserve"> </w:t>
            </w:r>
            <w:r w:rsidR="005C58E3">
              <w:t xml:space="preserve">(where available) </w:t>
            </w:r>
            <w:r w:rsidRPr="002424F9">
              <w:t>to assess surgical suitability and expected cosmetic/functional outcomes.</w:t>
            </w:r>
          </w:p>
          <w:p w14:paraId="5FC99657" w14:textId="63B93BA9" w:rsidR="002424F9" w:rsidRPr="002424F9" w:rsidRDefault="002424F9" w:rsidP="002424F9">
            <w:pPr>
              <w:numPr>
                <w:ilvl w:val="0"/>
                <w:numId w:val="46"/>
              </w:numPr>
            </w:pPr>
            <w:r>
              <w:rPr>
                <w:b/>
                <w:bCs/>
              </w:rPr>
              <w:t>Lesion demarcation by skin specialist clinician</w:t>
            </w:r>
            <w:r w:rsidR="00AB3832">
              <w:rPr>
                <w:b/>
                <w:bCs/>
              </w:rPr>
              <w:t xml:space="preserve"> - </w:t>
            </w:r>
            <w:r w:rsidR="00AB3832" w:rsidRPr="006A1D2D">
              <w:t>precise lesion borders will be clinically demarcated by the referring dermatologist/plastic surgeon, with photo-documentation and millimetre measurements</w:t>
            </w:r>
          </w:p>
          <w:p w14:paraId="406B40BF" w14:textId="77777777" w:rsidR="002424F9" w:rsidRPr="002424F9" w:rsidRDefault="002424F9" w:rsidP="002424F9">
            <w:pPr>
              <w:numPr>
                <w:ilvl w:val="0"/>
                <w:numId w:val="46"/>
              </w:numPr>
            </w:pPr>
            <w:r w:rsidRPr="002424F9">
              <w:rPr>
                <w:b/>
                <w:bCs/>
              </w:rPr>
              <w:t>Rhenium</w:t>
            </w:r>
            <w:r w:rsidRPr="002424F9">
              <w:rPr>
                <w:b/>
                <w:bCs/>
              </w:rPr>
              <w:noBreakHyphen/>
              <w:t>SCT–specific eligibility thresholds</w:t>
            </w:r>
            <w:r w:rsidRPr="002424F9">
              <w:t xml:space="preserve"> – objective lesion parameters and risk screens (below) that are </w:t>
            </w:r>
            <w:r w:rsidRPr="006A1D2D">
              <w:t>more restrictive</w:t>
            </w:r>
            <w:r w:rsidRPr="002424F9">
              <w:t xml:space="preserve"> than general EBRT eligibility.</w:t>
            </w:r>
          </w:p>
          <w:p w14:paraId="161B14CF" w14:textId="77777777" w:rsidR="00384C4F" w:rsidRDefault="00384C4F" w:rsidP="00727A61"/>
          <w:p w14:paraId="71B6983E" w14:textId="77777777" w:rsidR="00E477AA" w:rsidRPr="00E477AA" w:rsidRDefault="00E477AA" w:rsidP="00E477AA">
            <w:r w:rsidRPr="00E477AA">
              <w:t>Rhenium</w:t>
            </w:r>
            <w:r w:rsidRPr="00E477AA">
              <w:noBreakHyphen/>
              <w:t xml:space="preserve">SCT may be selected </w:t>
            </w:r>
            <w:r w:rsidRPr="006A1D2D">
              <w:t>within the eviQ EBRT</w:t>
            </w:r>
            <w:r w:rsidRPr="006A1D2D">
              <w:noBreakHyphen/>
              <w:t>eligible cohort</w:t>
            </w:r>
            <w:r w:rsidRPr="00E477AA">
              <w:t xml:space="preserve"> when </w:t>
            </w:r>
            <w:r w:rsidRPr="006A1D2D">
              <w:t>all</w:t>
            </w:r>
            <w:r w:rsidRPr="00E477AA">
              <w:t xml:space="preserve"> of the following are met:</w:t>
            </w:r>
          </w:p>
          <w:p w14:paraId="04FB85CD" w14:textId="59E8D715" w:rsidR="00E477AA" w:rsidRPr="00E477AA" w:rsidRDefault="00E477AA" w:rsidP="00E477AA">
            <w:pPr>
              <w:numPr>
                <w:ilvl w:val="0"/>
                <w:numId w:val="47"/>
              </w:numPr>
            </w:pPr>
            <w:r w:rsidRPr="00E477AA">
              <w:rPr>
                <w:b/>
                <w:bCs/>
              </w:rPr>
              <w:t xml:space="preserve">Histology </w:t>
            </w:r>
            <w:r>
              <w:rPr>
                <w:b/>
                <w:bCs/>
              </w:rPr>
              <w:t>and</w:t>
            </w:r>
            <w:r w:rsidRPr="00E477AA">
              <w:rPr>
                <w:b/>
                <w:bCs/>
              </w:rPr>
              <w:t xml:space="preserve"> risk:</w:t>
            </w:r>
            <w:r w:rsidRPr="00E477AA">
              <w:t xml:space="preserve"> Biopsy</w:t>
            </w:r>
            <w:r w:rsidRPr="00E477AA">
              <w:noBreakHyphen/>
              <w:t>proven BCC or SCC without features that, under eviQ/standard practice, mandate margin</w:t>
            </w:r>
            <w:r w:rsidRPr="00E477AA">
              <w:noBreakHyphen/>
              <w:t>controlled surgery or escalate to deep</w:t>
            </w:r>
            <w:r w:rsidRPr="00E477AA">
              <w:noBreakHyphen/>
              <w:t>tissue RT approaches (e.g., high</w:t>
            </w:r>
            <w:r w:rsidRPr="00E477AA">
              <w:noBreakHyphen/>
              <w:t>risk histology, extensive perineural involvement, or deep invasion).</w:t>
            </w:r>
          </w:p>
          <w:p w14:paraId="4048C5F1" w14:textId="1B76248A" w:rsidR="00E477AA" w:rsidRPr="00E477AA" w:rsidRDefault="00E477AA" w:rsidP="00E477AA">
            <w:pPr>
              <w:numPr>
                <w:ilvl w:val="0"/>
                <w:numId w:val="47"/>
              </w:numPr>
            </w:pPr>
            <w:r w:rsidRPr="00E477AA">
              <w:rPr>
                <w:b/>
                <w:bCs/>
              </w:rPr>
              <w:lastRenderedPageBreak/>
              <w:t xml:space="preserve">Lesion geometry </w:t>
            </w:r>
            <w:r>
              <w:rPr>
                <w:b/>
                <w:bCs/>
              </w:rPr>
              <w:t>and</w:t>
            </w:r>
            <w:r w:rsidRPr="00E477AA">
              <w:rPr>
                <w:b/>
                <w:bCs/>
              </w:rPr>
              <w:t xml:space="preserve"> depth:</w:t>
            </w:r>
            <w:r w:rsidRPr="00E477AA">
              <w:t xml:space="preserve"> Lesion depth </w:t>
            </w:r>
            <w:r w:rsidRPr="006A1D2D">
              <w:t>≤ 3 mm</w:t>
            </w:r>
            <w:r w:rsidRPr="00E477AA">
              <w:t xml:space="preserve"> and </w:t>
            </w:r>
            <w:r w:rsidRPr="006A1D2D">
              <w:t>surface area ≤ 8.0 cm²</w:t>
            </w:r>
            <w:r w:rsidRPr="00E477AA">
              <w:t>, confirmed by clinical assessment and high</w:t>
            </w:r>
            <w:r w:rsidRPr="00E477AA">
              <w:noBreakHyphen/>
              <w:t xml:space="preserve">frequency ultrasound or pathology </w:t>
            </w:r>
            <w:r>
              <w:t>confirmation of depth – not used for conventional EBRT</w:t>
            </w:r>
          </w:p>
          <w:p w14:paraId="42DE786E" w14:textId="0B4D5558" w:rsidR="00E477AA" w:rsidRDefault="00E477AA" w:rsidP="00E477AA">
            <w:pPr>
              <w:numPr>
                <w:ilvl w:val="0"/>
                <w:numId w:val="47"/>
              </w:numPr>
            </w:pPr>
            <w:r w:rsidRPr="00E477AA">
              <w:rPr>
                <w:b/>
                <w:bCs/>
              </w:rPr>
              <w:t>Site considerations:</w:t>
            </w:r>
            <w:r w:rsidRPr="00E477AA">
              <w:t xml:space="preserve"> Location and surface curvature are suitable for conformal applicator placement and exploit the steep beta dose fall</w:t>
            </w:r>
            <w:r w:rsidRPr="00E477AA">
              <w:noBreakHyphen/>
              <w:t>off (e</w:t>
            </w:r>
            <w:r>
              <w:t>g.</w:t>
            </w:r>
            <w:r w:rsidRPr="00E477AA">
              <w:t xml:space="preserve"> convex/irregular surfaces where conformality is advantageous), without proximity that would compromise ocular or other critical structures.</w:t>
            </w:r>
          </w:p>
          <w:p w14:paraId="2FF268B7" w14:textId="77777777" w:rsidR="00E477AA" w:rsidRPr="00E477AA" w:rsidRDefault="00E477AA" w:rsidP="006A1D2D">
            <w:pPr>
              <w:ind w:left="720"/>
            </w:pPr>
          </w:p>
          <w:p w14:paraId="40F76A5D" w14:textId="024DC584" w:rsidR="00E477AA" w:rsidRDefault="005C2E19" w:rsidP="00727A61">
            <w:pPr>
              <w:rPr>
                <w:rFonts w:ascii="Calibri" w:hAnsi="Calibri" w:cs="Calibri"/>
              </w:rPr>
            </w:pPr>
            <w:r>
              <w:rPr>
                <w:rFonts w:ascii="Calibri" w:hAnsi="Calibri" w:cs="Calibri"/>
              </w:rPr>
              <w:t xml:space="preserve">Screening by </w:t>
            </w:r>
            <w:r w:rsidR="002B5178">
              <w:rPr>
                <w:rFonts w:ascii="Calibri" w:hAnsi="Calibri" w:cs="Calibri"/>
              </w:rPr>
              <w:t xml:space="preserve">these specialist </w:t>
            </w:r>
            <w:r>
              <w:rPr>
                <w:rFonts w:ascii="Calibri" w:hAnsi="Calibri" w:cs="Calibri"/>
              </w:rPr>
              <w:t>clinicians will limit patient selection for Rhenium-SCT to those with significant concerns for the cosmetic or functional outcomes</w:t>
            </w:r>
            <w:r w:rsidR="002B5178">
              <w:rPr>
                <w:rFonts w:ascii="Calibri" w:hAnsi="Calibri" w:cs="Calibri"/>
              </w:rPr>
              <w:t xml:space="preserve"> from surgical interventions and/or those </w:t>
            </w:r>
            <w:r w:rsidR="00523D4D">
              <w:rPr>
                <w:rFonts w:ascii="Calibri" w:hAnsi="Calibri" w:cs="Calibri"/>
              </w:rPr>
              <w:t>with significant concerns for invasive procedures</w:t>
            </w:r>
            <w:r w:rsidR="00B32EDD">
              <w:rPr>
                <w:rFonts w:ascii="Calibri" w:hAnsi="Calibri" w:cs="Calibri"/>
              </w:rPr>
              <w:t xml:space="preserve">. </w:t>
            </w:r>
            <w:r w:rsidR="0097219C">
              <w:rPr>
                <w:rFonts w:ascii="Calibri" w:hAnsi="Calibri" w:cs="Calibri"/>
              </w:rPr>
              <w:t xml:space="preserve">The treating clinician will make the determination for Rhenium-SCT suitability over other </w:t>
            </w:r>
            <w:r w:rsidR="007B4529">
              <w:rPr>
                <w:rFonts w:ascii="Calibri" w:hAnsi="Calibri" w:cs="Calibri"/>
              </w:rPr>
              <w:t xml:space="preserve">radiotherapy </w:t>
            </w:r>
            <w:r w:rsidR="0097219C">
              <w:rPr>
                <w:rFonts w:ascii="Calibri" w:hAnsi="Calibri" w:cs="Calibri"/>
              </w:rPr>
              <w:t>modalities</w:t>
            </w:r>
            <w:r w:rsidR="009B2F3F">
              <w:rPr>
                <w:rFonts w:ascii="Calibri" w:hAnsi="Calibri" w:cs="Calibri"/>
              </w:rPr>
              <w:t xml:space="preserve"> based on lesion location</w:t>
            </w:r>
            <w:r w:rsidR="00065B07">
              <w:rPr>
                <w:rFonts w:ascii="Calibri" w:hAnsi="Calibri" w:cs="Calibri"/>
              </w:rPr>
              <w:t xml:space="preserve"> and shape. An expert advisory panel estimated the switching rate to Rhenium-SCT to be 30% </w:t>
            </w:r>
            <w:r w:rsidR="00903634">
              <w:rPr>
                <w:rFonts w:ascii="Calibri" w:hAnsi="Calibri" w:cs="Calibri"/>
              </w:rPr>
              <w:t>from conventional EBRT modalities</w:t>
            </w:r>
            <w:r w:rsidR="00A84861">
              <w:rPr>
                <w:rFonts w:ascii="Calibri" w:hAnsi="Calibri" w:cs="Calibri"/>
              </w:rPr>
              <w:t xml:space="preserve">. These clinicians retain final </w:t>
            </w:r>
            <w:r w:rsidR="00E477AA">
              <w:rPr>
                <w:rFonts w:ascii="Calibri" w:hAnsi="Calibri" w:cs="Calibri"/>
              </w:rPr>
              <w:t>decision-making</w:t>
            </w:r>
            <w:r w:rsidR="00A84861">
              <w:rPr>
                <w:rFonts w:ascii="Calibri" w:hAnsi="Calibri" w:cs="Calibri"/>
              </w:rPr>
              <w:t xml:space="preserve"> capacity for the treatment used.</w:t>
            </w:r>
          </w:p>
          <w:p w14:paraId="6B0A47FC" w14:textId="77777777" w:rsidR="00E477AA" w:rsidRDefault="00E477AA" w:rsidP="00727A61">
            <w:pPr>
              <w:rPr>
                <w:rFonts w:ascii="Calibri" w:hAnsi="Calibri" w:cs="Calibri"/>
              </w:rPr>
            </w:pPr>
          </w:p>
          <w:p w14:paraId="00642DFC" w14:textId="7A8D6CEC" w:rsidR="00384C4F" w:rsidRDefault="00561A3F" w:rsidP="00727A61">
            <w:pPr>
              <w:rPr>
                <w:rFonts w:ascii="Calibri" w:hAnsi="Calibri" w:cs="Calibri"/>
              </w:rPr>
            </w:pPr>
            <w:r>
              <w:rPr>
                <w:rFonts w:ascii="Calibri" w:hAnsi="Calibri" w:cs="Calibri"/>
              </w:rPr>
              <w:t>Patients who live remotely, and/or cannot withstand multiple fractionations of conventional EBRT</w:t>
            </w:r>
            <w:r w:rsidR="00161CF3">
              <w:rPr>
                <w:rFonts w:ascii="Calibri" w:hAnsi="Calibri" w:cs="Calibri"/>
              </w:rPr>
              <w:t xml:space="preserve"> will be</w:t>
            </w:r>
            <w:r w:rsidR="00E20A70">
              <w:rPr>
                <w:rFonts w:ascii="Calibri" w:hAnsi="Calibri" w:cs="Calibri"/>
              </w:rPr>
              <w:t xml:space="preserve"> strong</w:t>
            </w:r>
            <w:r w:rsidR="00161CF3">
              <w:rPr>
                <w:rFonts w:ascii="Calibri" w:hAnsi="Calibri" w:cs="Calibri"/>
              </w:rPr>
              <w:t xml:space="preserve"> candidates for switching over </w:t>
            </w:r>
            <w:r w:rsidR="00E20A70">
              <w:rPr>
                <w:rFonts w:ascii="Calibri" w:hAnsi="Calibri" w:cs="Calibri"/>
              </w:rPr>
              <w:t>from EBRT to Re-SCT as outlined by the expert advisory panel</w:t>
            </w:r>
          </w:p>
          <w:p w14:paraId="73E43C63" w14:textId="77777777" w:rsidR="00A46348" w:rsidRDefault="00A46348" w:rsidP="00727A61">
            <w:pPr>
              <w:rPr>
                <w:rFonts w:ascii="Calibri" w:hAnsi="Calibri" w:cs="Calibri"/>
              </w:rPr>
            </w:pPr>
          </w:p>
          <w:p w14:paraId="3A71C779" w14:textId="0A055A11" w:rsidR="00A46348" w:rsidRPr="008013A6" w:rsidRDefault="00A46348" w:rsidP="00727A61">
            <w:r>
              <w:rPr>
                <w:rFonts w:ascii="Calibri" w:hAnsi="Calibri" w:cs="Calibri"/>
              </w:rPr>
              <w:t>We will include a detailed referral pathway and decision tree clarifying this process</w:t>
            </w:r>
            <w:r w:rsidR="00A2248F">
              <w:rPr>
                <w:rFonts w:ascii="Calibri" w:hAnsi="Calibri" w:cs="Calibri"/>
              </w:rPr>
              <w:t xml:space="preserve">. We will also perform a </w:t>
            </w:r>
            <w:r w:rsidR="00E75966">
              <w:rPr>
                <w:rFonts w:ascii="Calibri" w:hAnsi="Calibri" w:cs="Calibri"/>
              </w:rPr>
              <w:t>sensitivity analysis on the potential annual volume of patients.</w:t>
            </w:r>
          </w:p>
          <w:p w14:paraId="4688CA19" w14:textId="77777777" w:rsidR="005E69C0" w:rsidRDefault="005E69C0" w:rsidP="00727A61"/>
          <w:p w14:paraId="19B5FE13" w14:textId="4324768D" w:rsidR="00E17C97" w:rsidRDefault="005347B6" w:rsidP="00727A61">
            <w:r>
              <w:t xml:space="preserve">The intent is to use these </w:t>
            </w:r>
            <w:r w:rsidR="007F5D64">
              <w:t>to define eligible populations</w:t>
            </w:r>
            <w:r w:rsidR="00B05614">
              <w:t>.</w:t>
            </w:r>
          </w:p>
          <w:p w14:paraId="6B06BACD" w14:textId="21325E35" w:rsidR="00B156BC" w:rsidRPr="00FE0D1C" w:rsidRDefault="00B156BC" w:rsidP="00727A61"/>
        </w:tc>
      </w:tr>
      <w:tr w:rsidR="00BF0F2A" w14:paraId="32F2ABD1" w14:textId="77777777" w:rsidTr="009A0FD6">
        <w:trPr>
          <w:trHeight w:val="2690"/>
        </w:trPr>
        <w:tc>
          <w:tcPr>
            <w:tcW w:w="3150" w:type="dxa"/>
            <w:tcBorders>
              <w:top w:val="single" w:sz="4" w:space="0" w:color="auto"/>
              <w:left w:val="single" w:sz="4" w:space="0" w:color="auto"/>
              <w:bottom w:val="single" w:sz="4" w:space="0" w:color="auto"/>
              <w:right w:val="single" w:sz="4" w:space="0" w:color="auto"/>
            </w:tcBorders>
            <w:vAlign w:val="center"/>
          </w:tcPr>
          <w:p w14:paraId="1AF9FB70" w14:textId="56C3C1AA" w:rsidR="00BF0F2A" w:rsidRPr="00BF0F2A" w:rsidRDefault="00727A61" w:rsidP="00727A61">
            <w:r>
              <w:lastRenderedPageBreak/>
              <w:t>Proposal for public funding</w:t>
            </w:r>
          </w:p>
        </w:tc>
        <w:tc>
          <w:tcPr>
            <w:tcW w:w="4860" w:type="dxa"/>
            <w:tcBorders>
              <w:top w:val="single" w:sz="4" w:space="0" w:color="auto"/>
              <w:left w:val="single" w:sz="4" w:space="0" w:color="auto"/>
              <w:bottom w:val="single" w:sz="4" w:space="0" w:color="auto"/>
              <w:right w:val="single" w:sz="4" w:space="0" w:color="auto"/>
            </w:tcBorders>
            <w:vAlign w:val="center"/>
          </w:tcPr>
          <w:p w14:paraId="032FBC53" w14:textId="2EE97E03" w:rsidR="00B5150C" w:rsidRPr="00BF0F2A" w:rsidRDefault="00337BE2" w:rsidP="00337BE2">
            <w:pPr>
              <w:spacing w:before="120" w:after="120"/>
            </w:pPr>
            <w:r>
              <w:t xml:space="preserve">MSAC requested a </w:t>
            </w:r>
            <w:r w:rsidR="00727A61" w:rsidRPr="00727A61">
              <w:t>review of the MBS items</w:t>
            </w:r>
            <w:r>
              <w:t xml:space="preserve"> </w:t>
            </w:r>
            <w:r w:rsidR="00727A61" w:rsidRPr="00727A61">
              <w:t>–</w:t>
            </w:r>
            <w:r>
              <w:t xml:space="preserve"> </w:t>
            </w:r>
            <w:r w:rsidR="00727A61" w:rsidRPr="00727A61">
              <w:t>including suitability of components of the MBS items, and justification of fees and variations in cost of carpoule</w:t>
            </w:r>
          </w:p>
        </w:tc>
        <w:tc>
          <w:tcPr>
            <w:tcW w:w="6480" w:type="dxa"/>
            <w:tcBorders>
              <w:top w:val="single" w:sz="4" w:space="0" w:color="auto"/>
              <w:left w:val="single" w:sz="4" w:space="0" w:color="auto"/>
              <w:bottom w:val="single" w:sz="4" w:space="0" w:color="auto"/>
              <w:right w:val="single" w:sz="4" w:space="0" w:color="auto"/>
            </w:tcBorders>
            <w:vAlign w:val="center"/>
          </w:tcPr>
          <w:p w14:paraId="020900CD" w14:textId="77777777" w:rsidR="00FE0D1C" w:rsidRPr="00FE0D1C" w:rsidRDefault="00FE0D1C" w:rsidP="00FE0D1C">
            <w:pPr>
              <w:rPr>
                <w:b/>
                <w:bCs/>
              </w:rPr>
            </w:pPr>
            <w:r w:rsidRPr="00FE0D1C">
              <w:rPr>
                <w:b/>
                <w:bCs/>
              </w:rPr>
              <w:t>Addressed.</w:t>
            </w:r>
          </w:p>
          <w:p w14:paraId="2B824897" w14:textId="77777777" w:rsidR="00FE0D1C" w:rsidRDefault="00FE0D1C" w:rsidP="00727A61">
            <w:pPr>
              <w:rPr>
                <w:i/>
                <w:iCs/>
              </w:rPr>
            </w:pPr>
          </w:p>
          <w:p w14:paraId="384B1D51" w14:textId="77777777" w:rsidR="000800D7" w:rsidRDefault="00FE0D1C" w:rsidP="007F5D64">
            <w:pPr>
              <w:spacing w:after="120"/>
            </w:pPr>
            <w:r w:rsidRPr="00FE0D1C">
              <w:t xml:space="preserve">Following a </w:t>
            </w:r>
            <w:r w:rsidR="00E24CDD">
              <w:t>pre</w:t>
            </w:r>
            <w:r w:rsidR="00337BE2" w:rsidRPr="00FE0D1C">
              <w:t>-</w:t>
            </w:r>
            <w:r w:rsidR="00E24CDD">
              <w:t xml:space="preserve">submission meeting with </w:t>
            </w:r>
            <w:r w:rsidR="00337BE2" w:rsidRPr="00FE0D1C">
              <w:t xml:space="preserve">MSAC </w:t>
            </w:r>
            <w:r>
              <w:t>on the 29</w:t>
            </w:r>
            <w:r w:rsidRPr="00FE0D1C">
              <w:rPr>
                <w:vertAlign w:val="superscript"/>
              </w:rPr>
              <w:t>th</w:t>
            </w:r>
            <w:r>
              <w:t xml:space="preserve"> July </w:t>
            </w:r>
            <w:r w:rsidR="00337BE2" w:rsidRPr="00FE0D1C">
              <w:t xml:space="preserve">with </w:t>
            </w:r>
            <w:r w:rsidRPr="00FE0D1C">
              <w:t>members of MSAC</w:t>
            </w:r>
            <w:r>
              <w:t xml:space="preserve"> Secretariat</w:t>
            </w:r>
            <w:r w:rsidRPr="00FE0D1C">
              <w:t xml:space="preserve"> and the department, new MBS items have been drafted</w:t>
            </w:r>
            <w:r>
              <w:t xml:space="preserve">. The new items are structured in a way that satisfied departmental </w:t>
            </w:r>
            <w:r w:rsidR="007F5D64">
              <w:t>feedback and</w:t>
            </w:r>
            <w:r>
              <w:t xml:space="preserve"> will clarify fee structure</w:t>
            </w:r>
            <w:r w:rsidR="007F5D64">
              <w:t xml:space="preserve"> and incorporate all relevant gaps and safety nets into estimates.</w:t>
            </w:r>
            <w:r>
              <w:t xml:space="preserve"> </w:t>
            </w:r>
          </w:p>
          <w:p w14:paraId="56C35CCE" w14:textId="648D729F" w:rsidR="00DA21AA" w:rsidRDefault="00DA21AA" w:rsidP="007F5D64">
            <w:pPr>
              <w:spacing w:after="120"/>
            </w:pPr>
            <w:r>
              <w:t xml:space="preserve">As agreed in the </w:t>
            </w:r>
            <w:r w:rsidR="000A4DAA">
              <w:t xml:space="preserve">pre-submission meeting, a planning item will be proposed that applies once to each treatment session for patient. Additionally, </w:t>
            </w:r>
            <w:r w:rsidR="00D25CF8">
              <w:t xml:space="preserve">four </w:t>
            </w:r>
            <w:r w:rsidR="003017FB">
              <w:t>treatment item</w:t>
            </w:r>
            <w:r w:rsidR="005A008F">
              <w:t>s</w:t>
            </w:r>
            <w:r w:rsidR="003017FB">
              <w:t xml:space="preserve"> will be proposed that includes the rhenium paste</w:t>
            </w:r>
            <w:r w:rsidR="00271587">
              <w:t xml:space="preserve">, </w:t>
            </w:r>
            <w:r w:rsidR="00B05614">
              <w:t>a</w:t>
            </w:r>
            <w:r w:rsidR="003017FB">
              <w:t xml:space="preserve">nd the </w:t>
            </w:r>
            <w:r w:rsidR="00D25CF8">
              <w:t xml:space="preserve">service costs for lesions from </w:t>
            </w:r>
            <w:r w:rsidR="006801D8">
              <w:t>0-3</w:t>
            </w:r>
            <w:r w:rsidR="00E756FC">
              <w:t>00mm</w:t>
            </w:r>
            <w:r w:rsidR="00E756FC" w:rsidRPr="00E756FC">
              <w:rPr>
                <w:vertAlign w:val="superscript"/>
              </w:rPr>
              <w:t>2</w:t>
            </w:r>
            <w:r w:rsidR="006801D8">
              <w:t xml:space="preserve">, </w:t>
            </w:r>
            <w:r w:rsidR="00E53DB5">
              <w:t>3</w:t>
            </w:r>
            <w:r w:rsidR="00E756FC">
              <w:t>01</w:t>
            </w:r>
            <w:r w:rsidR="00E53DB5">
              <w:t>-5</w:t>
            </w:r>
            <w:r w:rsidR="00E756FC">
              <w:t>00m</w:t>
            </w:r>
            <w:r w:rsidR="00E53DB5">
              <w:t>m</w:t>
            </w:r>
            <w:r w:rsidR="00E53DB5" w:rsidRPr="00E756FC">
              <w:rPr>
                <w:vertAlign w:val="superscript"/>
              </w:rPr>
              <w:t>2</w:t>
            </w:r>
            <w:r w:rsidR="00E53DB5">
              <w:t>, 5</w:t>
            </w:r>
            <w:r w:rsidR="00E756FC">
              <w:t>01-700mm</w:t>
            </w:r>
            <w:r w:rsidR="00E756FC" w:rsidRPr="00E756FC">
              <w:rPr>
                <w:vertAlign w:val="superscript"/>
              </w:rPr>
              <w:t>2</w:t>
            </w:r>
            <w:r w:rsidR="00E756FC">
              <w:t xml:space="preserve"> &amp; 701-800mm</w:t>
            </w:r>
            <w:r w:rsidR="00E756FC" w:rsidRPr="00E756FC">
              <w:rPr>
                <w:vertAlign w:val="superscript"/>
              </w:rPr>
              <w:t>2</w:t>
            </w:r>
            <w:r w:rsidR="00E756FC">
              <w:t>.</w:t>
            </w:r>
            <w:r w:rsidR="00B05614">
              <w:t xml:space="preserve"> Consumables have been removed from any calculations</w:t>
            </w:r>
            <w:r w:rsidR="00E756FC">
              <w:t xml:space="preserve"> </w:t>
            </w:r>
          </w:p>
          <w:p w14:paraId="59587E50" w14:textId="09FC3EF5" w:rsidR="00D25CF8" w:rsidRPr="00FE0D1C" w:rsidRDefault="001E490B" w:rsidP="007F5D64">
            <w:pPr>
              <w:spacing w:after="120"/>
            </w:pPr>
            <w:r>
              <w:t xml:space="preserve">The resubmission will also </w:t>
            </w:r>
            <w:r w:rsidR="00F6235B">
              <w:t>provide an explanation</w:t>
            </w:r>
            <w:r w:rsidR="001A73AF">
              <w:t xml:space="preserve"> and breakdown of</w:t>
            </w:r>
            <w:r w:rsidR="00F6235B">
              <w:t xml:space="preserve"> the financials that </w:t>
            </w:r>
            <w:r w:rsidR="001017EB">
              <w:t xml:space="preserve">has gone into determining the </w:t>
            </w:r>
            <w:r w:rsidR="001A73AF">
              <w:t xml:space="preserve">total </w:t>
            </w:r>
            <w:r w:rsidR="001017EB">
              <w:t>cost of the carpoule.</w:t>
            </w:r>
          </w:p>
        </w:tc>
      </w:tr>
      <w:tr w:rsidR="00BF0F2A" w14:paraId="4BD43078" w14:textId="77777777" w:rsidTr="006A1D2D">
        <w:trPr>
          <w:trHeight w:val="872"/>
        </w:trPr>
        <w:tc>
          <w:tcPr>
            <w:tcW w:w="3150" w:type="dxa"/>
            <w:tcBorders>
              <w:top w:val="single" w:sz="4" w:space="0" w:color="auto"/>
              <w:left w:val="single" w:sz="4" w:space="0" w:color="auto"/>
              <w:bottom w:val="single" w:sz="4" w:space="0" w:color="auto"/>
              <w:right w:val="single" w:sz="4" w:space="0" w:color="auto"/>
            </w:tcBorders>
            <w:vAlign w:val="center"/>
          </w:tcPr>
          <w:p w14:paraId="0D91FCD1" w14:textId="77777777" w:rsidR="00BF0F2A" w:rsidRDefault="00BF0F2A" w:rsidP="00727A61"/>
          <w:p w14:paraId="4F3F7F82" w14:textId="77777777" w:rsidR="006C2576" w:rsidRDefault="006C2576" w:rsidP="00727A61"/>
          <w:p w14:paraId="1B830770" w14:textId="77777777" w:rsidR="006C2576" w:rsidRDefault="006C2576" w:rsidP="00727A61"/>
          <w:p w14:paraId="67AC405B" w14:textId="1AAC0C5C" w:rsidR="006C2576" w:rsidRDefault="00727A61" w:rsidP="00727A61">
            <w:r>
              <w:t>Financial/budgetary impacts</w:t>
            </w:r>
          </w:p>
          <w:p w14:paraId="34610D78" w14:textId="77777777" w:rsidR="006C2576" w:rsidRDefault="006C2576" w:rsidP="00727A61"/>
          <w:p w14:paraId="76E19E4F" w14:textId="77777777" w:rsidR="00BF0F2A" w:rsidRDefault="00BF0F2A" w:rsidP="00727A61"/>
          <w:p w14:paraId="602EE3DC" w14:textId="77777777" w:rsidR="006C2576" w:rsidRDefault="006C2576" w:rsidP="00727A61"/>
          <w:p w14:paraId="2972F0F8" w14:textId="349C9A8B" w:rsidR="00BF0F2A" w:rsidRPr="00BF0F2A" w:rsidRDefault="00BF0F2A" w:rsidP="00727A61"/>
        </w:tc>
        <w:tc>
          <w:tcPr>
            <w:tcW w:w="4860" w:type="dxa"/>
            <w:tcBorders>
              <w:top w:val="single" w:sz="4" w:space="0" w:color="auto"/>
              <w:left w:val="single" w:sz="4" w:space="0" w:color="auto"/>
              <w:bottom w:val="single" w:sz="4" w:space="0" w:color="auto"/>
              <w:right w:val="single" w:sz="4" w:space="0" w:color="auto"/>
            </w:tcBorders>
            <w:vAlign w:val="center"/>
          </w:tcPr>
          <w:p w14:paraId="39932386" w14:textId="4F6F963A" w:rsidR="00BF0F2A" w:rsidRPr="00BF0F2A" w:rsidRDefault="00337BE2" w:rsidP="00727A61">
            <w:r>
              <w:t xml:space="preserve">MSAC requested </w:t>
            </w:r>
            <w:r w:rsidR="00727A61" w:rsidRPr="00727A61">
              <w:t>more accurate costings of both Re-188 brachytherapy (including realistic wastage) and EBRT – based on additional stakeholder engagement and feedback and preferably including independent advice, including further clinical input regarding the fractions and type of EBRT most likely to be used for patients and lesions suitable for Re-188 brachytherapy, to ensure an accurate comparison of the total costs and relative benefits</w:t>
            </w:r>
            <w:r w:rsidR="00FE0D1C">
              <w:t>.</w:t>
            </w:r>
          </w:p>
        </w:tc>
        <w:tc>
          <w:tcPr>
            <w:tcW w:w="6480" w:type="dxa"/>
            <w:tcBorders>
              <w:top w:val="single" w:sz="4" w:space="0" w:color="auto"/>
              <w:left w:val="single" w:sz="4" w:space="0" w:color="auto"/>
              <w:bottom w:val="single" w:sz="4" w:space="0" w:color="auto"/>
              <w:right w:val="single" w:sz="4" w:space="0" w:color="auto"/>
            </w:tcBorders>
            <w:vAlign w:val="center"/>
          </w:tcPr>
          <w:p w14:paraId="40278925" w14:textId="77777777" w:rsidR="00FE0D1C" w:rsidRPr="00FE0D1C" w:rsidRDefault="00FE0D1C" w:rsidP="00FE0D1C">
            <w:pPr>
              <w:rPr>
                <w:b/>
                <w:bCs/>
              </w:rPr>
            </w:pPr>
            <w:r w:rsidRPr="00FE0D1C">
              <w:rPr>
                <w:b/>
                <w:bCs/>
              </w:rPr>
              <w:t>Addressed.</w:t>
            </w:r>
          </w:p>
          <w:p w14:paraId="7E26DF43" w14:textId="77777777" w:rsidR="00BF0F2A" w:rsidRDefault="00BF0F2A" w:rsidP="00727A61"/>
          <w:p w14:paraId="77BC2BCD" w14:textId="2AAC5843" w:rsidR="00A27FD5" w:rsidRDefault="00E24CDD" w:rsidP="005A008F">
            <w:pPr>
              <w:spacing w:after="120"/>
            </w:pPr>
            <w:r>
              <w:t xml:space="preserve">Costings for Re-188 and comparator EBRT will be updated as discussed in the pre-submission meeting with the MSAC. Greatly more data on comparator type and fractionation schedule will be provided based on most recent real-world data. </w:t>
            </w:r>
            <w:r w:rsidR="00A27FD5">
              <w:t xml:space="preserve">Specifically, </w:t>
            </w:r>
            <w:r w:rsidR="007F46EE">
              <w:t xml:space="preserve">the </w:t>
            </w:r>
            <w:r w:rsidR="00D42422">
              <w:t>submission will</w:t>
            </w:r>
            <w:r w:rsidR="00B97D2F">
              <w:t xml:space="preserve"> provide </w:t>
            </w:r>
            <w:r w:rsidR="00AB411F">
              <w:t xml:space="preserve">more robust and validated real world data from GenesisCare that will </w:t>
            </w:r>
            <w:r w:rsidR="00B16B96">
              <w:t xml:space="preserve">assist with the </w:t>
            </w:r>
            <w:r w:rsidR="00F9663D">
              <w:t>estimation of the market size</w:t>
            </w:r>
            <w:r w:rsidR="00F17447">
              <w:t xml:space="preserve">. </w:t>
            </w:r>
            <w:r w:rsidR="007B26F4">
              <w:t>Together with</w:t>
            </w:r>
            <w:r w:rsidR="00ED513E">
              <w:t xml:space="preserve"> </w:t>
            </w:r>
            <w:r w:rsidR="003954B6">
              <w:t>findings from the clinician surveys and advisory board panel,</w:t>
            </w:r>
            <w:r w:rsidR="00F17447">
              <w:t xml:space="preserve"> </w:t>
            </w:r>
            <w:r w:rsidR="007B26F4">
              <w:t xml:space="preserve">this data </w:t>
            </w:r>
            <w:r w:rsidR="00C034EB">
              <w:t xml:space="preserve">will </w:t>
            </w:r>
            <w:r w:rsidR="00492B1B">
              <w:t>deepen</w:t>
            </w:r>
            <w:r w:rsidR="004836D7">
              <w:t xml:space="preserve"> </w:t>
            </w:r>
            <w:r w:rsidR="005933C7">
              <w:t>i</w:t>
            </w:r>
            <w:r w:rsidR="00094F1C">
              <w:t xml:space="preserve">nsight into </w:t>
            </w:r>
            <w:r w:rsidR="00566A66">
              <w:t>the</w:t>
            </w:r>
            <w:r w:rsidR="00094F1C">
              <w:t xml:space="preserve"> </w:t>
            </w:r>
            <w:r w:rsidR="00C87D9E">
              <w:t xml:space="preserve">most appropriate </w:t>
            </w:r>
            <w:r w:rsidR="00D30B97">
              <w:t xml:space="preserve">EBRT modality </w:t>
            </w:r>
            <w:r w:rsidR="00B82DA3">
              <w:t>type</w:t>
            </w:r>
            <w:r w:rsidR="003839FF">
              <w:t xml:space="preserve">s and </w:t>
            </w:r>
            <w:r w:rsidR="00664561">
              <w:t>fractionation</w:t>
            </w:r>
            <w:r w:rsidR="003839FF">
              <w:t xml:space="preserve"> schedule</w:t>
            </w:r>
            <w:r w:rsidR="00F32CE9">
              <w:t xml:space="preserve"> for </w:t>
            </w:r>
            <w:r w:rsidR="00614273">
              <w:t xml:space="preserve">accurately </w:t>
            </w:r>
            <w:r w:rsidR="0007793B">
              <w:t>calculating</w:t>
            </w:r>
            <w:r w:rsidR="00440485">
              <w:t xml:space="preserve"> comparator cost</w:t>
            </w:r>
            <w:r w:rsidR="00AF5EB1">
              <w:t>s.</w:t>
            </w:r>
          </w:p>
          <w:p w14:paraId="2772BA2D" w14:textId="6599CD10" w:rsidR="002D5A7F" w:rsidRDefault="002D5A7F" w:rsidP="005A008F">
            <w:pPr>
              <w:spacing w:after="120"/>
            </w:pPr>
            <w:r>
              <w:t xml:space="preserve">Recommendations provided by MSAC and ESC will also be reflected in the </w:t>
            </w:r>
            <w:r w:rsidR="00277B38">
              <w:t xml:space="preserve">utilisation and financial estimates, such as </w:t>
            </w:r>
            <w:r w:rsidR="00CB0102">
              <w:t>revised</w:t>
            </w:r>
            <w:r w:rsidR="0048229C">
              <w:t xml:space="preserve"> uptake rates</w:t>
            </w:r>
            <w:r w:rsidR="00D8488E">
              <w:t xml:space="preserve"> and </w:t>
            </w:r>
            <w:r w:rsidR="00CB0102">
              <w:t xml:space="preserve">updated </w:t>
            </w:r>
            <w:r w:rsidR="00BC360E">
              <w:t xml:space="preserve">EBRT usage for </w:t>
            </w:r>
            <w:r w:rsidR="00625F2F">
              <w:t xml:space="preserve">the indicated </w:t>
            </w:r>
            <w:r w:rsidR="0068728C">
              <w:t>lesions.</w:t>
            </w:r>
          </w:p>
          <w:p w14:paraId="5CC6A5D1" w14:textId="707BBC73" w:rsidR="009A0FD6" w:rsidRPr="00FE0D1C" w:rsidRDefault="00E24CDD" w:rsidP="0065682A">
            <w:pPr>
              <w:spacing w:after="120"/>
            </w:pPr>
            <w:r>
              <w:lastRenderedPageBreak/>
              <w:t>Financial modelling will include all this updated guidance to give greater assurance to the MSAC on realistic budget impacts going forward.</w:t>
            </w:r>
          </w:p>
        </w:tc>
      </w:tr>
      <w:tr w:rsidR="00F76824" w14:paraId="05F95A11" w14:textId="77777777" w:rsidTr="009A0FD6">
        <w:trPr>
          <w:trHeight w:val="2870"/>
        </w:trPr>
        <w:tc>
          <w:tcPr>
            <w:tcW w:w="3150" w:type="dxa"/>
            <w:tcBorders>
              <w:top w:val="single" w:sz="4" w:space="0" w:color="auto"/>
              <w:left w:val="single" w:sz="4" w:space="0" w:color="auto"/>
              <w:bottom w:val="single" w:sz="4" w:space="0" w:color="auto"/>
              <w:right w:val="single" w:sz="4" w:space="0" w:color="auto"/>
            </w:tcBorders>
            <w:vAlign w:val="center"/>
          </w:tcPr>
          <w:p w14:paraId="1FF5F458" w14:textId="77777777" w:rsidR="00F76824" w:rsidRDefault="00F76824" w:rsidP="00727A61"/>
          <w:p w14:paraId="001A6843" w14:textId="77777777" w:rsidR="006C2576" w:rsidRDefault="006C2576" w:rsidP="00727A61"/>
          <w:p w14:paraId="7EB86C52" w14:textId="77777777" w:rsidR="006C2576" w:rsidRDefault="006C2576" w:rsidP="00727A61"/>
          <w:p w14:paraId="6BCF5CE1" w14:textId="77777777" w:rsidR="006C2576" w:rsidRDefault="006C2576" w:rsidP="00727A61"/>
          <w:p w14:paraId="070D1458" w14:textId="4979F210" w:rsidR="00F76824" w:rsidRDefault="00727A61" w:rsidP="00727A61">
            <w:r>
              <w:t>Economic evaluation</w:t>
            </w:r>
          </w:p>
          <w:p w14:paraId="4772D00E" w14:textId="77777777" w:rsidR="00F76824" w:rsidRDefault="00F76824" w:rsidP="00727A61"/>
          <w:p w14:paraId="33F20A44" w14:textId="77777777" w:rsidR="006C2576" w:rsidRDefault="006C2576" w:rsidP="00727A61"/>
          <w:p w14:paraId="20D9BA66" w14:textId="1AA480E8" w:rsidR="006C2576" w:rsidRDefault="006C2576" w:rsidP="00727A61"/>
        </w:tc>
        <w:tc>
          <w:tcPr>
            <w:tcW w:w="4860" w:type="dxa"/>
            <w:tcBorders>
              <w:top w:val="single" w:sz="4" w:space="0" w:color="auto"/>
              <w:left w:val="single" w:sz="4" w:space="0" w:color="auto"/>
              <w:bottom w:val="single" w:sz="4" w:space="0" w:color="auto"/>
              <w:right w:val="single" w:sz="4" w:space="0" w:color="auto"/>
            </w:tcBorders>
            <w:vAlign w:val="center"/>
          </w:tcPr>
          <w:p w14:paraId="1D5B9633" w14:textId="2DD461FD" w:rsidR="00F76824" w:rsidRDefault="00FE0D1C" w:rsidP="00727A61">
            <w:r>
              <w:t>MSAC requested that the resubmission feature a “</w:t>
            </w:r>
            <w:r w:rsidR="00727A61" w:rsidRPr="00727A61">
              <w:t>a fit-for-purpose economic evaluation</w:t>
            </w:r>
            <w:r>
              <w:t>,”</w:t>
            </w:r>
            <w:r w:rsidR="00727A61" w:rsidRPr="00727A61">
              <w:t xml:space="preserve"> preferably a basic cost-effectiveness/cost-consequence analysis presented as the cost per treatment and/or cost per lesion treated, including the costs of retreatment and complications as well as cost of delivery. </w:t>
            </w:r>
          </w:p>
          <w:p w14:paraId="0D46FD99" w14:textId="77777777" w:rsidR="00727A61" w:rsidRDefault="00727A61" w:rsidP="00727A61"/>
          <w:p w14:paraId="5BD0ADC6" w14:textId="47C002EC" w:rsidR="00727A61" w:rsidRPr="00BF0F2A" w:rsidRDefault="00727A61" w:rsidP="00727A61">
            <w:r w:rsidRPr="00727A61">
              <w:t>Further examination of the potential costs and consequences of adverse events related to Re-188 therapy</w:t>
            </w:r>
            <w:r w:rsidR="00FE0D1C">
              <w:t>.</w:t>
            </w:r>
          </w:p>
        </w:tc>
        <w:tc>
          <w:tcPr>
            <w:tcW w:w="6480" w:type="dxa"/>
            <w:tcBorders>
              <w:top w:val="single" w:sz="4" w:space="0" w:color="auto"/>
              <w:left w:val="single" w:sz="4" w:space="0" w:color="auto"/>
              <w:bottom w:val="single" w:sz="4" w:space="0" w:color="auto"/>
              <w:right w:val="single" w:sz="4" w:space="0" w:color="auto"/>
            </w:tcBorders>
            <w:vAlign w:val="center"/>
          </w:tcPr>
          <w:p w14:paraId="795945B5" w14:textId="53424587" w:rsidR="00FE0D1C" w:rsidRPr="00FE0D1C" w:rsidRDefault="00FE0D1C" w:rsidP="00727A61">
            <w:pPr>
              <w:rPr>
                <w:b/>
                <w:bCs/>
              </w:rPr>
            </w:pPr>
            <w:r w:rsidRPr="00FE0D1C">
              <w:rPr>
                <w:b/>
                <w:bCs/>
              </w:rPr>
              <w:t>Addressed.</w:t>
            </w:r>
          </w:p>
          <w:p w14:paraId="1558F058" w14:textId="77777777" w:rsidR="00FE0D1C" w:rsidRDefault="00FE0D1C" w:rsidP="00727A61"/>
          <w:p w14:paraId="4134BFDF" w14:textId="6E645BE8" w:rsidR="00B05614" w:rsidRPr="00B05614" w:rsidRDefault="00B05614" w:rsidP="00B05614">
            <w:pPr>
              <w:spacing w:after="120"/>
            </w:pPr>
            <w:r w:rsidRPr="00B05614">
              <w:t>A new simplified cost-effectiveness model will be submitted, presented as a cost per lesion treated. The model will also include a cost-consequence analysis, that will compare all costs and outcomes between the treatments.</w:t>
            </w:r>
          </w:p>
          <w:p w14:paraId="6FA77326" w14:textId="28E8670B" w:rsidR="00B05614" w:rsidRPr="00BF0F2A" w:rsidRDefault="00B05614" w:rsidP="00B05614">
            <w:pPr>
              <w:spacing w:after="120"/>
            </w:pPr>
            <w:r w:rsidRPr="00B05614">
              <w:t>The model will reflect all the recommendations given by MSAC, such as including the cost of retreatment, wastage, adverse event management, patient outcomes (e.g. cosmesis) and indirect costs, such as patient travel time and productivity loss (all non-health related costs are not included in the base case - only supplementary analyses). Sensitivity analyses will also be provided as part of the model, exploring the impact of variables such as EBRT fractions, retreatment rates, adverse event rates etc.</w:t>
            </w:r>
          </w:p>
        </w:tc>
      </w:tr>
    </w:tbl>
    <w:p w14:paraId="4AFAD37E" w14:textId="31072533" w:rsidR="00B05614" w:rsidRDefault="00B05614">
      <w:pPr>
        <w:rPr>
          <w:b/>
          <w:bCs/>
          <w:sz w:val="24"/>
          <w:szCs w:val="24"/>
        </w:rPr>
      </w:pPr>
    </w:p>
    <w:p w14:paraId="7A2AD836" w14:textId="77777777" w:rsidR="00B05614" w:rsidRDefault="00B05614">
      <w:pPr>
        <w:rPr>
          <w:b/>
          <w:bCs/>
          <w:sz w:val="24"/>
          <w:szCs w:val="24"/>
        </w:rPr>
      </w:pPr>
      <w:r>
        <w:rPr>
          <w:b/>
          <w:bCs/>
          <w:sz w:val="24"/>
          <w:szCs w:val="24"/>
        </w:rPr>
        <w:br w:type="page"/>
      </w:r>
    </w:p>
    <w:p w14:paraId="72E211FC" w14:textId="1B26C71F" w:rsidR="003D0C0C" w:rsidRDefault="003D0C0C">
      <w:pPr>
        <w:rPr>
          <w:b/>
          <w:bCs/>
          <w:color w:val="002060"/>
          <w:sz w:val="36"/>
          <w:szCs w:val="36"/>
        </w:rPr>
      </w:pPr>
    </w:p>
    <w:p w14:paraId="288B6841" w14:textId="56DC89EA" w:rsidR="00BF0F2A" w:rsidRPr="00777112" w:rsidRDefault="009B0057" w:rsidP="005A48B8">
      <w:pPr>
        <w:pStyle w:val="Heading1"/>
        <w:spacing w:before="0" w:after="360"/>
        <w:jc w:val="left"/>
        <w:rPr>
          <w:color w:val="002060"/>
        </w:rPr>
      </w:pPr>
      <w:bookmarkStart w:id="7" w:name="_Table_2:_Summary"/>
      <w:bookmarkEnd w:id="7"/>
      <w:r w:rsidRPr="00777112">
        <w:rPr>
          <w:color w:val="002060"/>
        </w:rPr>
        <w:t>Table 2</w:t>
      </w:r>
      <w:r w:rsidR="003D42BB" w:rsidRPr="00777112">
        <w:rPr>
          <w:color w:val="002060"/>
        </w:rPr>
        <w:t xml:space="preserve">: Summary of </w:t>
      </w:r>
      <w:r w:rsidR="00CF7D46" w:rsidRPr="00777112">
        <w:rPr>
          <w:color w:val="002060"/>
        </w:rPr>
        <w:t xml:space="preserve">changes to </w:t>
      </w:r>
      <w:r w:rsidR="003D42BB" w:rsidRPr="00777112">
        <w:rPr>
          <w:color w:val="002060"/>
        </w:rPr>
        <w:t xml:space="preserve">PICO </w:t>
      </w:r>
      <w:r w:rsidR="005551FB" w:rsidRPr="00777112">
        <w:rPr>
          <w:color w:val="002060"/>
        </w:rPr>
        <w:t>c</w:t>
      </w:r>
      <w:r w:rsidR="00CF7D46" w:rsidRPr="00777112">
        <w:rPr>
          <w:color w:val="002060"/>
        </w:rPr>
        <w:t>riteria</w:t>
      </w:r>
      <w:r w:rsidR="003D42BB" w:rsidRPr="00777112">
        <w:rPr>
          <w:color w:val="002060"/>
        </w:rPr>
        <w:t xml:space="preserve"> </w:t>
      </w:r>
      <w:r w:rsidR="005551FB" w:rsidRPr="00777112">
        <w:rPr>
          <w:color w:val="002060"/>
        </w:rPr>
        <w:t xml:space="preserve">since </w:t>
      </w:r>
      <w:r w:rsidR="006824E3" w:rsidRPr="00777112">
        <w:rPr>
          <w:color w:val="002060"/>
        </w:rPr>
        <w:t xml:space="preserve">previous </w:t>
      </w:r>
      <w:r w:rsidR="005551FB" w:rsidRPr="00777112">
        <w:rPr>
          <w:color w:val="002060"/>
        </w:rPr>
        <w:t>consideration by MSAC</w:t>
      </w:r>
    </w:p>
    <w:p w14:paraId="14AAC1A5" w14:textId="2572B03B" w:rsidR="00B76D92" w:rsidRPr="008A4C41" w:rsidRDefault="00B76D92" w:rsidP="005A48B8">
      <w:pPr>
        <w:spacing w:after="360"/>
        <w:rPr>
          <w:sz w:val="28"/>
          <w:szCs w:val="28"/>
        </w:rPr>
      </w:pPr>
      <w:r w:rsidRPr="00E73A57">
        <w:rPr>
          <w:sz w:val="28"/>
          <w:szCs w:val="28"/>
        </w:rPr>
        <w:t xml:space="preserve">  </w:t>
      </w:r>
      <w:sdt>
        <w:sdtPr>
          <w:rPr>
            <w:sz w:val="28"/>
            <w:szCs w:val="28"/>
          </w:rPr>
          <w:id w:val="-520933286"/>
          <w14:checkbox>
            <w14:checked w14:val="1"/>
            <w14:checkedState w14:val="2612" w14:font="MS Gothic"/>
            <w14:uncheckedState w14:val="2610" w14:font="MS Gothic"/>
          </w14:checkbox>
        </w:sdtPr>
        <w:sdtContent>
          <w:r w:rsidR="00FE0D1C">
            <w:rPr>
              <w:rFonts w:ascii="MS Gothic" w:eastAsia="MS Gothic" w:hAnsi="MS Gothic" w:hint="eastAsia"/>
              <w:sz w:val="28"/>
              <w:szCs w:val="28"/>
            </w:rPr>
            <w:t>☒</w:t>
          </w:r>
        </w:sdtContent>
      </w:sdt>
      <w:r w:rsidRPr="008A4C41">
        <w:rPr>
          <w:sz w:val="28"/>
          <w:szCs w:val="28"/>
        </w:rPr>
        <w:t xml:space="preserve">     The proposed ADAR </w:t>
      </w:r>
      <w:r w:rsidRPr="00B65FF3">
        <w:rPr>
          <w:b/>
          <w:bCs/>
          <w:sz w:val="28"/>
          <w:szCs w:val="28"/>
          <w:u w:val="single"/>
        </w:rPr>
        <w:t xml:space="preserve">will </w:t>
      </w:r>
      <w:r w:rsidR="001C7C89" w:rsidRPr="00B65FF3">
        <w:rPr>
          <w:b/>
          <w:bCs/>
          <w:sz w:val="28"/>
          <w:szCs w:val="28"/>
          <w:u w:val="single"/>
        </w:rPr>
        <w:t>not</w:t>
      </w:r>
      <w:r w:rsidR="001C7C89" w:rsidRPr="008A4C41">
        <w:rPr>
          <w:sz w:val="28"/>
          <w:szCs w:val="28"/>
        </w:rPr>
        <w:t xml:space="preserve"> </w:t>
      </w:r>
      <w:r w:rsidR="009F4B28" w:rsidRPr="008A4C41">
        <w:rPr>
          <w:sz w:val="28"/>
          <w:szCs w:val="28"/>
        </w:rPr>
        <w:t>contain any changes to the PICO previously considered by MSAC</w:t>
      </w:r>
      <w:r w:rsidR="00965F37">
        <w:rPr>
          <w:sz w:val="28"/>
          <w:szCs w:val="28"/>
        </w:rPr>
        <w:t>.</w:t>
      </w:r>
      <w:r w:rsidR="00965F37" w:rsidRPr="008A4C41">
        <w:rPr>
          <w:sz w:val="28"/>
          <w:szCs w:val="28"/>
        </w:rPr>
        <w:t xml:space="preserve"> </w:t>
      </w:r>
    </w:p>
    <w:p w14:paraId="5DE76AE5" w14:textId="5AD61B32" w:rsidR="00EF1518" w:rsidRDefault="007F5015" w:rsidP="00835FBC">
      <w:pPr>
        <w:spacing w:after="480"/>
        <w:rPr>
          <w:sz w:val="28"/>
          <w:szCs w:val="28"/>
        </w:rPr>
      </w:pPr>
      <w:r w:rsidRPr="008A4C41">
        <w:rPr>
          <w:sz w:val="28"/>
          <w:szCs w:val="28"/>
        </w:rPr>
        <w:t xml:space="preserve">  </w:t>
      </w:r>
      <w:sdt>
        <w:sdtPr>
          <w:rPr>
            <w:sz w:val="28"/>
            <w:szCs w:val="28"/>
          </w:rPr>
          <w:id w:val="-821586348"/>
          <w14:checkbox>
            <w14:checked w14:val="0"/>
            <w14:checkedState w14:val="2612" w14:font="MS Gothic"/>
            <w14:uncheckedState w14:val="2610" w14:font="MS Gothic"/>
          </w14:checkbox>
        </w:sdtPr>
        <w:sdtContent>
          <w:r w:rsidRPr="008A4C41">
            <w:rPr>
              <w:rFonts w:ascii="MS Gothic" w:eastAsia="MS Gothic" w:hAnsi="MS Gothic" w:hint="eastAsia"/>
              <w:sz w:val="28"/>
              <w:szCs w:val="28"/>
            </w:rPr>
            <w:t>☐</w:t>
          </w:r>
        </w:sdtContent>
      </w:sdt>
      <w:r w:rsidRPr="008A4C41">
        <w:rPr>
          <w:sz w:val="28"/>
          <w:szCs w:val="28"/>
        </w:rPr>
        <w:t xml:space="preserve">     </w:t>
      </w:r>
      <w:r w:rsidR="00B76D92" w:rsidRPr="008A4C41">
        <w:rPr>
          <w:sz w:val="28"/>
          <w:szCs w:val="28"/>
        </w:rPr>
        <w:t>The proposed ADAR will reflect changes to the PICO as detailed below</w:t>
      </w:r>
      <w:r w:rsidR="008F1842">
        <w:rPr>
          <w:sz w:val="28"/>
          <w:szCs w:val="28"/>
        </w:rPr>
        <w:t>.</w:t>
      </w:r>
      <w:r w:rsidR="00B76D92" w:rsidRPr="008A4C41">
        <w:rPr>
          <w:sz w:val="28"/>
          <w:szCs w:val="28"/>
        </w:rPr>
        <w:t xml:space="preserve"> </w:t>
      </w:r>
    </w:p>
    <w:tbl>
      <w:tblPr>
        <w:tblStyle w:val="TableGrid"/>
        <w:tblW w:w="0" w:type="auto"/>
        <w:tblInd w:w="421" w:type="dxa"/>
        <w:tblLook w:val="04A0" w:firstRow="1" w:lastRow="0" w:firstColumn="1" w:lastColumn="0" w:noHBand="0" w:noVBand="1"/>
      </w:tblPr>
      <w:tblGrid>
        <w:gridCol w:w="2724"/>
        <w:gridCol w:w="5245"/>
        <w:gridCol w:w="6275"/>
      </w:tblGrid>
      <w:tr w:rsidR="004E7E79" w14:paraId="520B71A0" w14:textId="77777777" w:rsidTr="006A1D2D">
        <w:trPr>
          <w:cantSplit/>
          <w:tblHeader/>
        </w:trPr>
        <w:tc>
          <w:tcPr>
            <w:tcW w:w="2724" w:type="dxa"/>
            <w:shd w:val="clear" w:color="auto" w:fill="D9E2F3" w:themeFill="accent1" w:themeFillTint="33"/>
          </w:tcPr>
          <w:p w14:paraId="62B11194" w14:textId="710824B4" w:rsidR="004E7E79" w:rsidRPr="00A45B2B" w:rsidRDefault="008B4E99" w:rsidP="00A45B2B">
            <w:pPr>
              <w:spacing w:before="60" w:after="60"/>
              <w:jc w:val="center"/>
              <w:rPr>
                <w:b/>
                <w:bCs/>
                <w:caps/>
              </w:rPr>
            </w:pPr>
            <w:r w:rsidRPr="00A45B2B">
              <w:rPr>
                <w:b/>
                <w:bCs/>
                <w:caps/>
              </w:rPr>
              <w:t>PICO component</w:t>
            </w:r>
          </w:p>
        </w:tc>
        <w:tc>
          <w:tcPr>
            <w:tcW w:w="5245" w:type="dxa"/>
            <w:shd w:val="clear" w:color="auto" w:fill="D9E2F3" w:themeFill="accent1" w:themeFillTint="33"/>
          </w:tcPr>
          <w:p w14:paraId="3DFC4EC2" w14:textId="14162B18" w:rsidR="004E7E79" w:rsidRPr="00A45B2B" w:rsidRDefault="00B26B1C" w:rsidP="00A45B2B">
            <w:pPr>
              <w:spacing w:before="60" w:after="60"/>
              <w:jc w:val="center"/>
              <w:rPr>
                <w:b/>
                <w:bCs/>
                <w:caps/>
              </w:rPr>
            </w:pPr>
            <w:r w:rsidRPr="00A45B2B">
              <w:rPr>
                <w:b/>
                <w:bCs/>
                <w:caps/>
              </w:rPr>
              <w:t>Component d</w:t>
            </w:r>
            <w:r w:rsidR="008B4E99" w:rsidRPr="00A45B2B">
              <w:rPr>
                <w:b/>
                <w:bCs/>
                <w:caps/>
              </w:rPr>
              <w:t>escription as considered by MSAC</w:t>
            </w:r>
          </w:p>
        </w:tc>
        <w:tc>
          <w:tcPr>
            <w:tcW w:w="6275" w:type="dxa"/>
            <w:shd w:val="clear" w:color="auto" w:fill="D9E2F3" w:themeFill="accent1" w:themeFillTint="33"/>
          </w:tcPr>
          <w:p w14:paraId="13662E50" w14:textId="60F28D1E" w:rsidR="004E7E79" w:rsidRPr="00A45B2B" w:rsidRDefault="00B26B1C" w:rsidP="00A45B2B">
            <w:pPr>
              <w:spacing w:before="60" w:after="60"/>
              <w:jc w:val="center"/>
              <w:rPr>
                <w:b/>
                <w:bCs/>
                <w:caps/>
              </w:rPr>
            </w:pPr>
            <w:r w:rsidRPr="00A45B2B">
              <w:rPr>
                <w:b/>
                <w:bCs/>
                <w:caps/>
              </w:rPr>
              <w:t>Revised component description and rationale</w:t>
            </w:r>
          </w:p>
        </w:tc>
      </w:tr>
      <w:tr w:rsidR="0032778D" w:rsidRPr="00FB758B" w14:paraId="02056823" w14:textId="77777777" w:rsidTr="006A1D2D">
        <w:tc>
          <w:tcPr>
            <w:tcW w:w="2724" w:type="dxa"/>
            <w:tcBorders>
              <w:bottom w:val="single" w:sz="4" w:space="0" w:color="auto"/>
            </w:tcBorders>
          </w:tcPr>
          <w:p w14:paraId="784CBE6F" w14:textId="7440927C" w:rsidR="0032778D" w:rsidRPr="00817BDB" w:rsidRDefault="00E025F0" w:rsidP="008A06F9">
            <w:pPr>
              <w:spacing w:before="60" w:after="60"/>
              <w:rPr>
                <w:b/>
                <w:bCs/>
                <w:caps/>
              </w:rPr>
            </w:pPr>
            <w:r w:rsidRPr="00817BDB">
              <w:rPr>
                <w:b/>
                <w:bCs/>
                <w:caps/>
              </w:rPr>
              <w:t xml:space="preserve">Population </w:t>
            </w:r>
          </w:p>
        </w:tc>
        <w:tc>
          <w:tcPr>
            <w:tcW w:w="5245" w:type="dxa"/>
            <w:tcBorders>
              <w:bottom w:val="single" w:sz="4" w:space="0" w:color="auto"/>
            </w:tcBorders>
          </w:tcPr>
          <w:p w14:paraId="451717D6" w14:textId="77777777" w:rsidR="0032778D" w:rsidRDefault="0032778D" w:rsidP="008A06F9">
            <w:pPr>
              <w:spacing w:before="60" w:after="60"/>
            </w:pPr>
          </w:p>
          <w:p w14:paraId="169740BF" w14:textId="77777777" w:rsidR="00B27D33" w:rsidRDefault="00B27D33" w:rsidP="008A06F9">
            <w:pPr>
              <w:spacing w:before="60" w:after="60"/>
            </w:pPr>
          </w:p>
          <w:p w14:paraId="3DCB5301" w14:textId="77777777" w:rsidR="0070497E" w:rsidRDefault="0070497E" w:rsidP="008A06F9">
            <w:pPr>
              <w:spacing w:before="60" w:after="60"/>
            </w:pPr>
          </w:p>
          <w:p w14:paraId="6BAFFC70" w14:textId="77777777" w:rsidR="0070497E" w:rsidRDefault="0070497E" w:rsidP="008A06F9">
            <w:pPr>
              <w:spacing w:before="60" w:after="60"/>
            </w:pPr>
          </w:p>
          <w:p w14:paraId="5D799121" w14:textId="77777777" w:rsidR="0070497E" w:rsidRDefault="0070497E" w:rsidP="008A06F9">
            <w:pPr>
              <w:spacing w:before="60" w:after="60"/>
            </w:pPr>
          </w:p>
          <w:p w14:paraId="67CF53FD" w14:textId="77777777" w:rsidR="0070497E" w:rsidRDefault="0070497E" w:rsidP="008A06F9">
            <w:pPr>
              <w:spacing w:before="60" w:after="60"/>
            </w:pPr>
          </w:p>
          <w:p w14:paraId="3332A59B" w14:textId="1BC175C2" w:rsidR="0070497E" w:rsidRPr="00142F7C" w:rsidRDefault="0070497E" w:rsidP="008A06F9">
            <w:pPr>
              <w:spacing w:before="60" w:after="60"/>
            </w:pPr>
          </w:p>
        </w:tc>
        <w:tc>
          <w:tcPr>
            <w:tcW w:w="6275" w:type="dxa"/>
            <w:tcBorders>
              <w:bottom w:val="single" w:sz="4" w:space="0" w:color="auto"/>
            </w:tcBorders>
          </w:tcPr>
          <w:p w14:paraId="3907F9C2" w14:textId="710F05E0" w:rsidR="00A45B2B" w:rsidRPr="00142F7C" w:rsidRDefault="00C07C1E" w:rsidP="006A1D2D">
            <w:pPr>
              <w:spacing w:before="60" w:after="60"/>
            </w:pPr>
            <w:r w:rsidRPr="002307E5">
              <w:t xml:space="preserve">For the purposes of this resubmission, the population remains the </w:t>
            </w:r>
            <w:r w:rsidRPr="00E013F2">
              <w:t>eviQ-defined cohort for definitive radiotherapy</w:t>
            </w:r>
            <w:r w:rsidRPr="002307E5">
              <w:t xml:space="preserve"> (EBRT) in cutaneous BCC/SCC. </w:t>
            </w:r>
            <w:r w:rsidRPr="00E013F2">
              <w:t>This reflects historical Australian referral practice to radiation oncology and does not extend beyond established RT indications.</w:t>
            </w:r>
            <w:r w:rsidRPr="002307E5">
              <w:t xml:space="preserve"> Entry to the RT cohort occurs </w:t>
            </w:r>
            <w:r w:rsidRPr="00E013F2">
              <w:t>only after</w:t>
            </w:r>
            <w:r w:rsidRPr="002307E5">
              <w:t xml:space="preserve"> a documented </w:t>
            </w:r>
            <w:r w:rsidRPr="00E013F2">
              <w:t>dermatology/plastics</w:t>
            </w:r>
            <w:r w:rsidRPr="002307E5">
              <w:t xml:space="preserve"> consultation</w:t>
            </w:r>
            <w:r>
              <w:t xml:space="preserve"> (Or Skin GP in remote locations where derm/plastic consult is not available as previously outlined)</w:t>
            </w:r>
            <w:r w:rsidRPr="002307E5">
              <w:t xml:space="preserve"> in which risks, benefits and alternatives are explained</w:t>
            </w:r>
            <w:r>
              <w:t>. S</w:t>
            </w:r>
            <w:r w:rsidRPr="002307E5">
              <w:t xml:space="preserve">urgery is either contraindicated or declined on that basis. </w:t>
            </w:r>
            <w:r w:rsidRPr="00E013F2">
              <w:t>This operationalises standard practice in an auditable way and does not expand the</w:t>
            </w:r>
            <w:r w:rsidRPr="002307E5">
              <w:rPr>
                <w:b/>
                <w:bCs/>
              </w:rPr>
              <w:t xml:space="preserve"> </w:t>
            </w:r>
            <w:r w:rsidRPr="00E013F2">
              <w:t>denominator</w:t>
            </w:r>
            <w:r w:rsidRPr="002307E5">
              <w:t xml:space="preserve"> used for comparative and economic analyses.</w:t>
            </w:r>
            <w:r>
              <w:t xml:space="preserve"> </w:t>
            </w:r>
            <w:r w:rsidRPr="00791410">
              <w:t xml:space="preserve">This allocation </w:t>
            </w:r>
            <w:r>
              <w:t xml:space="preserve">remains </w:t>
            </w:r>
            <w:r w:rsidRPr="00E013F2">
              <w:t>within-RT</w:t>
            </w:r>
            <w:r w:rsidRPr="00791410">
              <w:t xml:space="preserve"> allocation</w:t>
            </w:r>
            <w:r>
              <w:t>, is more stringent that selection for conventional EBRT,</w:t>
            </w:r>
            <w:r w:rsidRPr="00791410">
              <w:t xml:space="preserve"> and does not imply any capture from a surgical pathway</w:t>
            </w:r>
            <w:r>
              <w:t xml:space="preserve">. </w:t>
            </w:r>
            <w:r w:rsidRPr="00D7290E">
              <w:t>Where informed patient preference (post-consult) could increase Rhenium-SCT share above 30%</w:t>
            </w:r>
            <w:r>
              <w:t xml:space="preserve"> (the original switching rates from conventional EBRT to RE-sct that were outlined by expert advisory panel)</w:t>
            </w:r>
            <w:r w:rsidRPr="00D7290E">
              <w:t xml:space="preserve">, this will be explored </w:t>
            </w:r>
            <w:r w:rsidRPr="00E013F2">
              <w:t>only as a within-RT sensitivity</w:t>
            </w:r>
            <w:r>
              <w:t>. T</w:t>
            </w:r>
            <w:r w:rsidRPr="00D7290E">
              <w:t xml:space="preserve">he </w:t>
            </w:r>
            <w:r w:rsidRPr="00E013F2">
              <w:t>population remains unchanged</w:t>
            </w:r>
            <w:r w:rsidRPr="00D7290E">
              <w:t xml:space="preserve">, and the </w:t>
            </w:r>
            <w:r w:rsidRPr="00E013F2">
              <w:t xml:space="preserve">treating </w:t>
            </w:r>
            <w:r>
              <w:t>clinician</w:t>
            </w:r>
            <w:r w:rsidRPr="00D7290E">
              <w:t xml:space="preserve"> is the final arbiter of suitability</w:t>
            </w:r>
            <w:r>
              <w:t>, following specialist consult. We will provide a more detailed patient pathway outlining this process.</w:t>
            </w:r>
          </w:p>
        </w:tc>
      </w:tr>
    </w:tbl>
    <w:p w14:paraId="28CD2033" w14:textId="77777777" w:rsidR="00A21BD9" w:rsidRDefault="00A21BD9">
      <w:pPr>
        <w:rPr>
          <w:b/>
          <w:bCs/>
          <w:sz w:val="24"/>
          <w:szCs w:val="24"/>
        </w:rPr>
        <w:sectPr w:rsidR="00A21BD9" w:rsidSect="0046064F">
          <w:pgSz w:w="16838" w:h="11906" w:orient="landscape"/>
          <w:pgMar w:top="720" w:right="720" w:bottom="720" w:left="720" w:header="709" w:footer="709" w:gutter="0"/>
          <w:cols w:space="708"/>
          <w:docGrid w:linePitch="360"/>
        </w:sectPr>
      </w:pPr>
    </w:p>
    <w:p w14:paraId="58CF703D" w14:textId="77777777" w:rsidR="006E294C" w:rsidRDefault="006E294C" w:rsidP="00F70041">
      <w:pPr>
        <w:rPr>
          <w:rFonts w:cstheme="minorHAnsi"/>
          <w:b/>
          <w:bCs/>
        </w:rPr>
      </w:pPr>
    </w:p>
    <w:sectPr w:rsidR="006E294C" w:rsidSect="009C5038">
      <w:pgSz w:w="11906" w:h="16838"/>
      <w:pgMar w:top="1021" w:right="851" w:bottom="102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CC45D" w14:textId="77777777" w:rsidR="00883FCD" w:rsidRDefault="00883FCD" w:rsidP="00D508C3">
      <w:pPr>
        <w:spacing w:after="0" w:line="240" w:lineRule="auto"/>
      </w:pPr>
      <w:r>
        <w:separator/>
      </w:r>
    </w:p>
  </w:endnote>
  <w:endnote w:type="continuationSeparator" w:id="0">
    <w:p w14:paraId="5832AF9F" w14:textId="77777777" w:rsidR="00883FCD" w:rsidRDefault="00883FCD" w:rsidP="00D508C3">
      <w:pPr>
        <w:spacing w:after="0" w:line="240" w:lineRule="auto"/>
      </w:pPr>
      <w:r>
        <w:continuationSeparator/>
      </w:r>
    </w:p>
  </w:endnote>
  <w:endnote w:type="continuationNotice" w:id="1">
    <w:p w14:paraId="291CB7D6" w14:textId="77777777" w:rsidR="00883FCD" w:rsidRDefault="00883F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BC43" w14:textId="173E04EF" w:rsidR="008E676A" w:rsidRDefault="00503981">
    <w:pPr>
      <w:pStyle w:val="Footer"/>
      <w:jc w:val="right"/>
    </w:pPr>
    <w:r>
      <w:rPr>
        <w:noProof/>
      </w:rPr>
      <mc:AlternateContent>
        <mc:Choice Requires="wps">
          <w:drawing>
            <wp:anchor distT="0" distB="0" distL="0" distR="0" simplePos="0" relativeHeight="251665408" behindDoc="0" locked="0" layoutInCell="1" allowOverlap="1" wp14:anchorId="415001D1" wp14:editId="796830C5">
              <wp:simplePos x="541020" y="10172065"/>
              <wp:positionH relativeFrom="page">
                <wp:align>center</wp:align>
              </wp:positionH>
              <wp:positionV relativeFrom="page">
                <wp:align>bottom</wp:align>
              </wp:positionV>
              <wp:extent cx="551815" cy="391160"/>
              <wp:effectExtent l="0" t="0" r="635" b="0"/>
              <wp:wrapNone/>
              <wp:docPr id="112568460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D0C06DA" w14:textId="516FD86C" w:rsidR="00503981" w:rsidRPr="00503981" w:rsidRDefault="00503981" w:rsidP="00503981">
                          <w:pPr>
                            <w:spacing w:after="0"/>
                            <w:rPr>
                              <w:rFonts w:ascii="Calibri" w:eastAsia="Calibri" w:hAnsi="Calibri" w:cs="Calibri"/>
                              <w:noProof/>
                              <w:color w:val="FF0000"/>
                              <w:sz w:val="24"/>
                              <w:szCs w:val="24"/>
                            </w:rPr>
                          </w:pPr>
                          <w:r w:rsidRPr="0050398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5001D1" id="_x0000_t202" coordsize="21600,21600" o:spt="202" path="m,l,21600r21600,l21600,xe">
              <v:stroke joinstyle="miter"/>
              <v:path gradientshapeok="t" o:connecttype="rect"/>
            </v:shapetype>
            <v:shape id="Text Box 8" o:spid="_x0000_s1027" type="#_x0000_t202" alt="OFFICIAL" style="position:absolute;left:0;text-align:left;margin-left:0;margin-top:0;width:43.45pt;height:30.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fill o:detectmouseclick="t"/>
              <v:textbox style="mso-fit-shape-to-text:t" inset="0,0,0,15pt">
                <w:txbxContent>
                  <w:p w14:paraId="7D0C06DA" w14:textId="516FD86C" w:rsidR="00503981" w:rsidRPr="00503981" w:rsidRDefault="00503981" w:rsidP="00503981">
                    <w:pPr>
                      <w:spacing w:after="0"/>
                      <w:rPr>
                        <w:rFonts w:ascii="Calibri" w:eastAsia="Calibri" w:hAnsi="Calibri" w:cs="Calibri"/>
                        <w:noProof/>
                        <w:color w:val="FF0000"/>
                        <w:sz w:val="24"/>
                        <w:szCs w:val="24"/>
                      </w:rPr>
                    </w:pPr>
                    <w:r w:rsidRPr="00503981">
                      <w:rPr>
                        <w:rFonts w:ascii="Calibri" w:eastAsia="Calibri" w:hAnsi="Calibri" w:cs="Calibri"/>
                        <w:noProof/>
                        <w:color w:val="FF0000"/>
                        <w:sz w:val="24"/>
                        <w:szCs w:val="24"/>
                      </w:rPr>
                      <w:t>OFFICIAL</w:t>
                    </w:r>
                  </w:p>
                </w:txbxContent>
              </v:textbox>
              <w10:wrap anchorx="page" anchory="page"/>
            </v:shape>
          </w:pict>
        </mc:Fallback>
      </mc:AlternateContent>
    </w:r>
    <w:sdt>
      <w:sdtPr>
        <w:id w:val="-1918543787"/>
        <w:docPartObj>
          <w:docPartGallery w:val="Page Numbers (Bottom of Page)"/>
          <w:docPartUnique/>
        </w:docPartObj>
      </w:sdtPr>
      <w:sdtEndPr>
        <w:rPr>
          <w:noProof/>
        </w:rPr>
      </w:sdtEndPr>
      <w:sdtContent>
        <w:r w:rsidR="008E676A">
          <w:fldChar w:fldCharType="begin"/>
        </w:r>
        <w:r w:rsidR="008E676A">
          <w:instrText xml:space="preserve"> PAGE   \* MERGEFORMAT </w:instrText>
        </w:r>
        <w:r w:rsidR="008E676A">
          <w:fldChar w:fldCharType="separate"/>
        </w:r>
        <w:r w:rsidR="008E676A">
          <w:rPr>
            <w:noProof/>
          </w:rPr>
          <w:t>2</w:t>
        </w:r>
        <w:r w:rsidR="008E676A">
          <w:rPr>
            <w:noProof/>
          </w:rPr>
          <w:fldChar w:fldCharType="end"/>
        </w:r>
      </w:sdtContent>
    </w:sdt>
  </w:p>
  <w:p w14:paraId="0CCC1918" w14:textId="77777777" w:rsidR="008B3EDB" w:rsidRDefault="008B3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55387" w14:textId="77777777" w:rsidR="00883FCD" w:rsidRDefault="00883FCD" w:rsidP="00D508C3">
      <w:pPr>
        <w:spacing w:after="0" w:line="240" w:lineRule="auto"/>
      </w:pPr>
      <w:r>
        <w:separator/>
      </w:r>
    </w:p>
  </w:footnote>
  <w:footnote w:type="continuationSeparator" w:id="0">
    <w:p w14:paraId="1AE5B742" w14:textId="77777777" w:rsidR="00883FCD" w:rsidRDefault="00883FCD" w:rsidP="00D508C3">
      <w:pPr>
        <w:spacing w:after="0" w:line="240" w:lineRule="auto"/>
      </w:pPr>
      <w:r>
        <w:continuationSeparator/>
      </w:r>
    </w:p>
  </w:footnote>
  <w:footnote w:type="continuationNotice" w:id="1">
    <w:p w14:paraId="0F903726" w14:textId="77777777" w:rsidR="00883FCD" w:rsidRDefault="00883FCD">
      <w:pPr>
        <w:spacing w:after="0" w:line="240" w:lineRule="auto"/>
      </w:pPr>
    </w:p>
  </w:footnote>
  <w:footnote w:id="2">
    <w:p w14:paraId="7FC12A54" w14:textId="0A9A9B49" w:rsidR="003474A6" w:rsidRDefault="003474A6">
      <w:pPr>
        <w:pStyle w:val="FootnoteText"/>
      </w:pPr>
      <w:r>
        <w:rPr>
          <w:rStyle w:val="FootnoteReference"/>
        </w:rPr>
        <w:footnoteRef/>
      </w:r>
      <w:r>
        <w:t xml:space="preserve"> </w:t>
      </w:r>
      <w:r w:rsidR="00EB2B7B">
        <w:t>The in principle Statement of Clinical Relevance demonstrates ‘in principle’ support for the proposed service. This must be from the most relevant professional medical/health group (i.e.</w:t>
      </w:r>
      <w:r w:rsidR="00AF2ADD">
        <w:t xml:space="preserve">, an official college or society) that represents practitioners who would </w:t>
      </w:r>
      <w:r w:rsidR="00AF2ADD" w:rsidRPr="00AF2ADD">
        <w:rPr>
          <w:b/>
          <w:bCs/>
        </w:rPr>
        <w:t>perform</w:t>
      </w:r>
      <w:r w:rsidR="00AF2ADD">
        <w:t xml:space="preserve"> the proposed services, and (in the case of investigative technologies only) practitioners who would </w:t>
      </w:r>
      <w:r w:rsidR="00AF2ADD" w:rsidRPr="00AF2ADD">
        <w:rPr>
          <w:b/>
          <w:bCs/>
        </w:rPr>
        <w:t>request</w:t>
      </w:r>
      <w:r w:rsidR="00AF2ADD">
        <w:t xml:space="preserve"> the proposed service.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2EBC" w14:textId="16DA8AB1" w:rsidR="008B3EDB" w:rsidRDefault="00503981">
    <w:pPr>
      <w:pStyle w:val="Header"/>
    </w:pPr>
    <w:r>
      <w:rPr>
        <w:noProof/>
      </w:rPr>
      <mc:AlternateContent>
        <mc:Choice Requires="wps">
          <w:drawing>
            <wp:anchor distT="0" distB="0" distL="0" distR="0" simplePos="0" relativeHeight="251661312" behindDoc="0" locked="0" layoutInCell="1" allowOverlap="1" wp14:anchorId="590778EC" wp14:editId="2CF413D9">
              <wp:simplePos x="541020" y="450850"/>
              <wp:positionH relativeFrom="page">
                <wp:align>center</wp:align>
              </wp:positionH>
              <wp:positionV relativeFrom="page">
                <wp:align>top</wp:align>
              </wp:positionV>
              <wp:extent cx="551815" cy="391160"/>
              <wp:effectExtent l="0" t="0" r="635" b="8890"/>
              <wp:wrapNone/>
              <wp:docPr id="106513697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F005D5D" w14:textId="5C0A8FB3" w:rsidR="00503981" w:rsidRPr="00503981" w:rsidRDefault="00503981" w:rsidP="00503981">
                          <w:pPr>
                            <w:spacing w:after="0"/>
                            <w:rPr>
                              <w:rFonts w:ascii="Calibri" w:eastAsia="Calibri" w:hAnsi="Calibri" w:cs="Calibri"/>
                              <w:noProof/>
                              <w:color w:val="FF0000"/>
                              <w:sz w:val="24"/>
                              <w:szCs w:val="24"/>
                            </w:rPr>
                          </w:pPr>
                          <w:r w:rsidRPr="0050398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0778EC" id="_x0000_t202" coordsize="21600,21600" o:spt="202" path="m,l,21600r21600,l21600,xe">
              <v:stroke joinstyle="miter"/>
              <v:path gradientshapeok="t" o:connecttype="rect"/>
            </v:shapetype>
            <v:shape id="Text Box 4" o:spid="_x0000_s1026"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fill o:detectmouseclick="t"/>
              <v:textbox style="mso-fit-shape-to-text:t" inset="0,15pt,0,0">
                <w:txbxContent>
                  <w:p w14:paraId="4F005D5D" w14:textId="5C0A8FB3" w:rsidR="00503981" w:rsidRPr="00503981" w:rsidRDefault="00503981" w:rsidP="00503981">
                    <w:pPr>
                      <w:spacing w:after="0"/>
                      <w:rPr>
                        <w:rFonts w:ascii="Calibri" w:eastAsia="Calibri" w:hAnsi="Calibri" w:cs="Calibri"/>
                        <w:noProof/>
                        <w:color w:val="FF0000"/>
                        <w:sz w:val="24"/>
                        <w:szCs w:val="24"/>
                      </w:rPr>
                    </w:pPr>
                    <w:r w:rsidRPr="00503981">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53AD"/>
    <w:multiLevelType w:val="hybridMultilevel"/>
    <w:tmpl w:val="A8EC1574"/>
    <w:lvl w:ilvl="0" w:tplc="0C09000B">
      <w:start w:val="1"/>
      <w:numFmt w:val="bullet"/>
      <w:lvlText w:val=""/>
      <w:lvlJc w:val="left"/>
      <w:pPr>
        <w:ind w:left="6" w:hanging="360"/>
      </w:pPr>
      <w:rPr>
        <w:rFonts w:ascii="Wingdings" w:hAnsi="Wingdings"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 w15:restartNumberingAfterBreak="0">
    <w:nsid w:val="032D77D6"/>
    <w:multiLevelType w:val="hybridMultilevel"/>
    <w:tmpl w:val="36BE6016"/>
    <w:lvl w:ilvl="0" w:tplc="481A7122">
      <w:start w:val="2"/>
      <w:numFmt w:val="decimal"/>
      <w:lvlText w:val="%1."/>
      <w:lvlJc w:val="left"/>
      <w:pPr>
        <w:ind w:left="720" w:hanging="360"/>
      </w:pPr>
      <w:rPr>
        <w:rFonts w:hint="default"/>
      </w:rPr>
    </w:lvl>
    <w:lvl w:ilvl="1" w:tplc="0C090019" w:tentative="1">
      <w:start w:val="1"/>
      <w:numFmt w:val="lowerLetter"/>
      <w:lvlText w:val="%2."/>
      <w:lvlJc w:val="left"/>
      <w:pPr>
        <w:ind w:left="1090" w:hanging="360"/>
      </w:pPr>
    </w:lvl>
    <w:lvl w:ilvl="2" w:tplc="0C09001B" w:tentative="1">
      <w:start w:val="1"/>
      <w:numFmt w:val="lowerRoman"/>
      <w:lvlText w:val="%3."/>
      <w:lvlJc w:val="right"/>
      <w:pPr>
        <w:ind w:left="1810" w:hanging="180"/>
      </w:pPr>
    </w:lvl>
    <w:lvl w:ilvl="3" w:tplc="0C09000F" w:tentative="1">
      <w:start w:val="1"/>
      <w:numFmt w:val="decimal"/>
      <w:lvlText w:val="%4."/>
      <w:lvlJc w:val="left"/>
      <w:pPr>
        <w:ind w:left="2530" w:hanging="360"/>
      </w:pPr>
    </w:lvl>
    <w:lvl w:ilvl="4" w:tplc="0C090019" w:tentative="1">
      <w:start w:val="1"/>
      <w:numFmt w:val="lowerLetter"/>
      <w:lvlText w:val="%5."/>
      <w:lvlJc w:val="left"/>
      <w:pPr>
        <w:ind w:left="3250" w:hanging="360"/>
      </w:pPr>
    </w:lvl>
    <w:lvl w:ilvl="5" w:tplc="0C09001B" w:tentative="1">
      <w:start w:val="1"/>
      <w:numFmt w:val="lowerRoman"/>
      <w:lvlText w:val="%6."/>
      <w:lvlJc w:val="right"/>
      <w:pPr>
        <w:ind w:left="3970" w:hanging="180"/>
      </w:pPr>
    </w:lvl>
    <w:lvl w:ilvl="6" w:tplc="0C09000F" w:tentative="1">
      <w:start w:val="1"/>
      <w:numFmt w:val="decimal"/>
      <w:lvlText w:val="%7."/>
      <w:lvlJc w:val="left"/>
      <w:pPr>
        <w:ind w:left="4690" w:hanging="360"/>
      </w:pPr>
    </w:lvl>
    <w:lvl w:ilvl="7" w:tplc="0C090019" w:tentative="1">
      <w:start w:val="1"/>
      <w:numFmt w:val="lowerLetter"/>
      <w:lvlText w:val="%8."/>
      <w:lvlJc w:val="left"/>
      <w:pPr>
        <w:ind w:left="5410" w:hanging="360"/>
      </w:pPr>
    </w:lvl>
    <w:lvl w:ilvl="8" w:tplc="0C09001B" w:tentative="1">
      <w:start w:val="1"/>
      <w:numFmt w:val="lowerRoman"/>
      <w:lvlText w:val="%9."/>
      <w:lvlJc w:val="right"/>
      <w:pPr>
        <w:ind w:left="6130" w:hanging="180"/>
      </w:pPr>
    </w:lvl>
  </w:abstractNum>
  <w:abstractNum w:abstractNumId="2" w15:restartNumberingAfterBreak="0">
    <w:nsid w:val="04C813DA"/>
    <w:multiLevelType w:val="hybridMultilevel"/>
    <w:tmpl w:val="8794E0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F23CC"/>
    <w:multiLevelType w:val="hybridMultilevel"/>
    <w:tmpl w:val="FCE0E3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1F7026"/>
    <w:multiLevelType w:val="multilevel"/>
    <w:tmpl w:val="31422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167D3"/>
    <w:multiLevelType w:val="multilevel"/>
    <w:tmpl w:val="05D28400"/>
    <w:lvl w:ilvl="0">
      <w:start w:val="1"/>
      <w:numFmt w:val="lowerLetter"/>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Roman"/>
      <w:lvlText w:val="%3."/>
      <w:lvlJc w:val="left"/>
      <w:pPr>
        <w:ind w:left="2520" w:hanging="72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B4213E9"/>
    <w:multiLevelType w:val="hybridMultilevel"/>
    <w:tmpl w:val="1AC65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9E42B7"/>
    <w:multiLevelType w:val="hybridMultilevel"/>
    <w:tmpl w:val="3A1A6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101D60"/>
    <w:multiLevelType w:val="hybridMultilevel"/>
    <w:tmpl w:val="0CA46E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E6274FD"/>
    <w:multiLevelType w:val="hybridMultilevel"/>
    <w:tmpl w:val="BFDE3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6F4D45"/>
    <w:multiLevelType w:val="hybridMultilevel"/>
    <w:tmpl w:val="E946A444"/>
    <w:lvl w:ilvl="0" w:tplc="748EFDD0">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DB2C79"/>
    <w:multiLevelType w:val="hybridMultilevel"/>
    <w:tmpl w:val="B15CAA6C"/>
    <w:lvl w:ilvl="0" w:tplc="0C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B327C3E"/>
    <w:multiLevelType w:val="hybridMultilevel"/>
    <w:tmpl w:val="63F406FE"/>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DD110CD"/>
    <w:multiLevelType w:val="hybridMultilevel"/>
    <w:tmpl w:val="7FF20724"/>
    <w:lvl w:ilvl="0" w:tplc="0C090015">
      <w:start w:val="1"/>
      <w:numFmt w:val="upperLetter"/>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4" w15:restartNumberingAfterBreak="0">
    <w:nsid w:val="20BA49BF"/>
    <w:multiLevelType w:val="hybridMultilevel"/>
    <w:tmpl w:val="085CEFF4"/>
    <w:lvl w:ilvl="0" w:tplc="C4D81D66">
      <w:start w:val="2"/>
      <w:numFmt w:val="lowerLetter"/>
      <w:lvlText w:val="%1."/>
      <w:lvlJc w:val="left"/>
      <w:pPr>
        <w:ind w:left="360" w:hanging="360"/>
      </w:pPr>
      <w:rPr>
        <w:rFonts w:hint="default"/>
      </w:rPr>
    </w:lvl>
    <w:lvl w:ilvl="1" w:tplc="0C09001B">
      <w:start w:val="1"/>
      <w:numFmt w:val="lowerRoman"/>
      <w:lvlText w:val="%2."/>
      <w:lvlJc w:val="right"/>
      <w:pPr>
        <w:ind w:left="773" w:hanging="360"/>
      </w:pPr>
    </w:lvl>
    <w:lvl w:ilvl="2" w:tplc="0C090005">
      <w:start w:val="1"/>
      <w:numFmt w:val="bullet"/>
      <w:lvlText w:val=""/>
      <w:lvlJc w:val="left"/>
      <w:pPr>
        <w:ind w:left="1070" w:hanging="360"/>
      </w:pPr>
      <w:rPr>
        <w:rFonts w:ascii="Wingdings" w:hAnsi="Wingding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28C12D7"/>
    <w:multiLevelType w:val="multilevel"/>
    <w:tmpl w:val="068E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691D28"/>
    <w:multiLevelType w:val="hybridMultilevel"/>
    <w:tmpl w:val="E5360358"/>
    <w:lvl w:ilvl="0" w:tplc="0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38432C7"/>
    <w:multiLevelType w:val="hybridMultilevel"/>
    <w:tmpl w:val="6E706172"/>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8" w15:restartNumberingAfterBreak="0">
    <w:nsid w:val="24434ADD"/>
    <w:multiLevelType w:val="hybridMultilevel"/>
    <w:tmpl w:val="65561BBE"/>
    <w:lvl w:ilvl="0" w:tplc="9DB4A286">
      <w:start w:val="1"/>
      <w:numFmt w:val="bullet"/>
      <w:lvlText w:val=""/>
      <w:lvlJc w:val="left"/>
      <w:pPr>
        <w:ind w:left="1080" w:hanging="360"/>
      </w:pPr>
      <w:rPr>
        <w:rFonts w:ascii="Symbol" w:hAnsi="Symbol"/>
      </w:rPr>
    </w:lvl>
    <w:lvl w:ilvl="1" w:tplc="98324706">
      <w:start w:val="1"/>
      <w:numFmt w:val="bullet"/>
      <w:lvlText w:val=""/>
      <w:lvlJc w:val="left"/>
      <w:pPr>
        <w:ind w:left="1080" w:hanging="360"/>
      </w:pPr>
      <w:rPr>
        <w:rFonts w:ascii="Symbol" w:hAnsi="Symbol"/>
      </w:rPr>
    </w:lvl>
    <w:lvl w:ilvl="2" w:tplc="2F94880A">
      <w:start w:val="1"/>
      <w:numFmt w:val="bullet"/>
      <w:lvlText w:val=""/>
      <w:lvlJc w:val="left"/>
      <w:pPr>
        <w:ind w:left="1080" w:hanging="360"/>
      </w:pPr>
      <w:rPr>
        <w:rFonts w:ascii="Symbol" w:hAnsi="Symbol"/>
      </w:rPr>
    </w:lvl>
    <w:lvl w:ilvl="3" w:tplc="73561F98">
      <w:start w:val="1"/>
      <w:numFmt w:val="bullet"/>
      <w:lvlText w:val=""/>
      <w:lvlJc w:val="left"/>
      <w:pPr>
        <w:ind w:left="1080" w:hanging="360"/>
      </w:pPr>
      <w:rPr>
        <w:rFonts w:ascii="Symbol" w:hAnsi="Symbol"/>
      </w:rPr>
    </w:lvl>
    <w:lvl w:ilvl="4" w:tplc="638EB112">
      <w:start w:val="1"/>
      <w:numFmt w:val="bullet"/>
      <w:lvlText w:val=""/>
      <w:lvlJc w:val="left"/>
      <w:pPr>
        <w:ind w:left="1080" w:hanging="360"/>
      </w:pPr>
      <w:rPr>
        <w:rFonts w:ascii="Symbol" w:hAnsi="Symbol"/>
      </w:rPr>
    </w:lvl>
    <w:lvl w:ilvl="5" w:tplc="70606B66">
      <w:start w:val="1"/>
      <w:numFmt w:val="bullet"/>
      <w:lvlText w:val=""/>
      <w:lvlJc w:val="left"/>
      <w:pPr>
        <w:ind w:left="1080" w:hanging="360"/>
      </w:pPr>
      <w:rPr>
        <w:rFonts w:ascii="Symbol" w:hAnsi="Symbol"/>
      </w:rPr>
    </w:lvl>
    <w:lvl w:ilvl="6" w:tplc="C250335E">
      <w:start w:val="1"/>
      <w:numFmt w:val="bullet"/>
      <w:lvlText w:val=""/>
      <w:lvlJc w:val="left"/>
      <w:pPr>
        <w:ind w:left="1080" w:hanging="360"/>
      </w:pPr>
      <w:rPr>
        <w:rFonts w:ascii="Symbol" w:hAnsi="Symbol"/>
      </w:rPr>
    </w:lvl>
    <w:lvl w:ilvl="7" w:tplc="000C1BFA">
      <w:start w:val="1"/>
      <w:numFmt w:val="bullet"/>
      <w:lvlText w:val=""/>
      <w:lvlJc w:val="left"/>
      <w:pPr>
        <w:ind w:left="1080" w:hanging="360"/>
      </w:pPr>
      <w:rPr>
        <w:rFonts w:ascii="Symbol" w:hAnsi="Symbol"/>
      </w:rPr>
    </w:lvl>
    <w:lvl w:ilvl="8" w:tplc="89DC3234">
      <w:start w:val="1"/>
      <w:numFmt w:val="bullet"/>
      <w:lvlText w:val=""/>
      <w:lvlJc w:val="left"/>
      <w:pPr>
        <w:ind w:left="1080" w:hanging="360"/>
      </w:pPr>
      <w:rPr>
        <w:rFonts w:ascii="Symbol" w:hAnsi="Symbol"/>
      </w:rPr>
    </w:lvl>
  </w:abstractNum>
  <w:abstractNum w:abstractNumId="19" w15:restartNumberingAfterBreak="0">
    <w:nsid w:val="28BD174B"/>
    <w:multiLevelType w:val="hybridMultilevel"/>
    <w:tmpl w:val="11EE1D7E"/>
    <w:lvl w:ilvl="0" w:tplc="FAA8A3C6">
      <w:start w:val="1"/>
      <w:numFmt w:val="decimal"/>
      <w:lvlText w:val="%1."/>
      <w:lvlJc w:val="left"/>
      <w:pPr>
        <w:ind w:left="360" w:hanging="360"/>
      </w:pPr>
      <w:rPr>
        <w:b/>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ABE764A"/>
    <w:multiLevelType w:val="multilevel"/>
    <w:tmpl w:val="9EA4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8B1C57"/>
    <w:multiLevelType w:val="multilevel"/>
    <w:tmpl w:val="BCAA4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B7467E"/>
    <w:multiLevelType w:val="hybridMultilevel"/>
    <w:tmpl w:val="93E2DC40"/>
    <w:lvl w:ilvl="0" w:tplc="FFFFFFFF">
      <w:start w:val="1"/>
      <w:numFmt w:val="decimal"/>
      <w:lvlText w:val="%1."/>
      <w:lvlJc w:val="left"/>
      <w:pPr>
        <w:ind w:left="360" w:hanging="360"/>
      </w:pPr>
    </w:lvl>
    <w:lvl w:ilvl="1" w:tplc="FFFFFFFF">
      <w:start w:val="1"/>
      <w:numFmt w:val="bullet"/>
      <w:lvlText w:val=""/>
      <w:lvlJc w:val="left"/>
      <w:pPr>
        <w:ind w:left="107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1386445"/>
    <w:multiLevelType w:val="hybridMultilevel"/>
    <w:tmpl w:val="DCB0F6D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16F338D"/>
    <w:multiLevelType w:val="hybridMultilevel"/>
    <w:tmpl w:val="AFFAB616"/>
    <w:lvl w:ilvl="0" w:tplc="FAA8A3C6">
      <w:start w:val="1"/>
      <w:numFmt w:val="decimal"/>
      <w:lvlText w:val="%1."/>
      <w:lvlJc w:val="left"/>
      <w:pPr>
        <w:ind w:left="360"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19D07B7"/>
    <w:multiLevelType w:val="hybridMultilevel"/>
    <w:tmpl w:val="50D8E944"/>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7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22D12A4"/>
    <w:multiLevelType w:val="hybridMultilevel"/>
    <w:tmpl w:val="8F4617FC"/>
    <w:lvl w:ilvl="0" w:tplc="0C09001B">
      <w:start w:val="1"/>
      <w:numFmt w:val="lowerRoman"/>
      <w:lvlText w:val="%1."/>
      <w:lvlJc w:val="righ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27" w15:restartNumberingAfterBreak="0">
    <w:nsid w:val="34A428B8"/>
    <w:multiLevelType w:val="hybridMultilevel"/>
    <w:tmpl w:val="8FDC8E2C"/>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BEB5F6B"/>
    <w:multiLevelType w:val="hybridMultilevel"/>
    <w:tmpl w:val="D576BA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2452239"/>
    <w:multiLevelType w:val="hybridMultilevel"/>
    <w:tmpl w:val="63F406FE"/>
    <w:lvl w:ilvl="0" w:tplc="FAA8A3C6">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3F66E34"/>
    <w:multiLevelType w:val="hybridMultilevel"/>
    <w:tmpl w:val="3B92CF80"/>
    <w:lvl w:ilvl="0" w:tplc="63506D0E">
      <w:start w:val="7"/>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7210047"/>
    <w:multiLevelType w:val="hybridMultilevel"/>
    <w:tmpl w:val="46800B1A"/>
    <w:lvl w:ilvl="0" w:tplc="FFFFFFFF">
      <w:start w:val="1"/>
      <w:numFmt w:val="bullet"/>
      <w:lvlText w:val=""/>
      <w:lvlJc w:val="left"/>
      <w:pPr>
        <w:ind w:left="720" w:hanging="360"/>
      </w:pPr>
      <w:rPr>
        <w:rFonts w:ascii="Symbol" w:hAnsi="Symbol" w:hint="default"/>
      </w:rPr>
    </w:lvl>
    <w:lvl w:ilvl="1" w:tplc="890AC45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0551300"/>
    <w:multiLevelType w:val="hybridMultilevel"/>
    <w:tmpl w:val="0FC65C46"/>
    <w:lvl w:ilvl="0" w:tplc="FFFFFFFF">
      <w:start w:val="1"/>
      <w:numFmt w:val="lowerLetter"/>
      <w:lvlText w:val="%1)"/>
      <w:lvlJc w:val="left"/>
      <w:pPr>
        <w:ind w:left="3621" w:hanging="360"/>
      </w:pPr>
    </w:lvl>
    <w:lvl w:ilvl="1" w:tplc="FFFFFFFF">
      <w:start w:val="1"/>
      <w:numFmt w:val="lowerLetter"/>
      <w:lvlText w:val="%2."/>
      <w:lvlJc w:val="left"/>
      <w:pPr>
        <w:ind w:left="4341" w:hanging="360"/>
      </w:pPr>
    </w:lvl>
    <w:lvl w:ilvl="2" w:tplc="FFFFFFFF" w:tentative="1">
      <w:start w:val="1"/>
      <w:numFmt w:val="lowerRoman"/>
      <w:lvlText w:val="%3."/>
      <w:lvlJc w:val="right"/>
      <w:pPr>
        <w:ind w:left="5061" w:hanging="180"/>
      </w:pPr>
    </w:lvl>
    <w:lvl w:ilvl="3" w:tplc="FFFFFFFF" w:tentative="1">
      <w:start w:val="1"/>
      <w:numFmt w:val="decimal"/>
      <w:lvlText w:val="%4."/>
      <w:lvlJc w:val="left"/>
      <w:pPr>
        <w:ind w:left="5781" w:hanging="360"/>
      </w:pPr>
    </w:lvl>
    <w:lvl w:ilvl="4" w:tplc="FFFFFFFF" w:tentative="1">
      <w:start w:val="1"/>
      <w:numFmt w:val="lowerLetter"/>
      <w:lvlText w:val="%5."/>
      <w:lvlJc w:val="left"/>
      <w:pPr>
        <w:ind w:left="6501" w:hanging="360"/>
      </w:pPr>
    </w:lvl>
    <w:lvl w:ilvl="5" w:tplc="FFFFFFFF" w:tentative="1">
      <w:start w:val="1"/>
      <w:numFmt w:val="lowerRoman"/>
      <w:lvlText w:val="%6."/>
      <w:lvlJc w:val="right"/>
      <w:pPr>
        <w:ind w:left="7221" w:hanging="180"/>
      </w:pPr>
    </w:lvl>
    <w:lvl w:ilvl="6" w:tplc="FFFFFFFF" w:tentative="1">
      <w:start w:val="1"/>
      <w:numFmt w:val="decimal"/>
      <w:lvlText w:val="%7."/>
      <w:lvlJc w:val="left"/>
      <w:pPr>
        <w:ind w:left="7941" w:hanging="360"/>
      </w:pPr>
    </w:lvl>
    <w:lvl w:ilvl="7" w:tplc="FFFFFFFF" w:tentative="1">
      <w:start w:val="1"/>
      <w:numFmt w:val="lowerLetter"/>
      <w:lvlText w:val="%8."/>
      <w:lvlJc w:val="left"/>
      <w:pPr>
        <w:ind w:left="8661" w:hanging="360"/>
      </w:pPr>
    </w:lvl>
    <w:lvl w:ilvl="8" w:tplc="FFFFFFFF" w:tentative="1">
      <w:start w:val="1"/>
      <w:numFmt w:val="lowerRoman"/>
      <w:lvlText w:val="%9."/>
      <w:lvlJc w:val="right"/>
      <w:pPr>
        <w:ind w:left="9381" w:hanging="180"/>
      </w:pPr>
    </w:lvl>
  </w:abstractNum>
  <w:abstractNum w:abstractNumId="33" w15:restartNumberingAfterBreak="0">
    <w:nsid w:val="57FD5C92"/>
    <w:multiLevelType w:val="hybridMultilevel"/>
    <w:tmpl w:val="3B488EA0"/>
    <w:lvl w:ilvl="0" w:tplc="FFFFFFFF">
      <w:start w:val="1"/>
      <w:numFmt w:val="bullet"/>
      <w:lvlText w:val=""/>
      <w:lvlJc w:val="left"/>
      <w:pPr>
        <w:ind w:left="360" w:hanging="360"/>
      </w:pPr>
      <w:rPr>
        <w:rFonts w:ascii="Symbol" w:hAnsi="Symbol" w:hint="default"/>
      </w:rPr>
    </w:lvl>
    <w:lvl w:ilvl="1" w:tplc="0C09000B">
      <w:start w:val="1"/>
      <w:numFmt w:val="bullet"/>
      <w:lvlText w:val=""/>
      <w:lvlJc w:val="left"/>
      <w:pPr>
        <w:ind w:left="107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DBC509D"/>
    <w:multiLevelType w:val="hybridMultilevel"/>
    <w:tmpl w:val="CACEF1FC"/>
    <w:lvl w:ilvl="0" w:tplc="5B9612BE">
      <w:start w:val="1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E7B66A4"/>
    <w:multiLevelType w:val="hybridMultilevel"/>
    <w:tmpl w:val="4C62D56C"/>
    <w:lvl w:ilvl="0" w:tplc="0C090001">
      <w:start w:val="1"/>
      <w:numFmt w:val="bullet"/>
      <w:lvlText w:val=""/>
      <w:lvlJc w:val="left"/>
      <w:pPr>
        <w:ind w:left="360" w:hanging="360"/>
      </w:pPr>
      <w:rPr>
        <w:rFonts w:ascii="Symbol" w:hAnsi="Symbol" w:hint="default"/>
      </w:rPr>
    </w:lvl>
    <w:lvl w:ilvl="1" w:tplc="0C09000B">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F00410D"/>
    <w:multiLevelType w:val="hybridMultilevel"/>
    <w:tmpl w:val="8990D46E"/>
    <w:lvl w:ilvl="0" w:tplc="72220E4E">
      <w:start w:val="16"/>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2DA19B7"/>
    <w:multiLevelType w:val="hybridMultilevel"/>
    <w:tmpl w:val="6A4A14FA"/>
    <w:lvl w:ilvl="0" w:tplc="B98CCE42">
      <w:start w:val="14"/>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3591BC3"/>
    <w:multiLevelType w:val="hybridMultilevel"/>
    <w:tmpl w:val="3A2C0648"/>
    <w:lvl w:ilvl="0" w:tplc="FFFFFFFF">
      <w:start w:val="1"/>
      <w:numFmt w:val="decimal"/>
      <w:lvlText w:val="%1."/>
      <w:lvlJc w:val="left"/>
      <w:pPr>
        <w:ind w:left="36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B712B6"/>
    <w:multiLevelType w:val="hybridMultilevel"/>
    <w:tmpl w:val="FA927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4EA38E5"/>
    <w:multiLevelType w:val="hybridMultilevel"/>
    <w:tmpl w:val="2112FA48"/>
    <w:lvl w:ilvl="0" w:tplc="0C09000F">
      <w:start w:val="1"/>
      <w:numFmt w:val="decimal"/>
      <w:lvlText w:val="%1."/>
      <w:lvlJc w:val="left"/>
      <w:pPr>
        <w:ind w:left="360" w:hanging="360"/>
      </w:pPr>
      <w:rPr>
        <w:rFonts w:hint="default"/>
      </w:rPr>
    </w:lvl>
    <w:lvl w:ilvl="1" w:tplc="0C090003">
      <w:start w:val="1"/>
      <w:numFmt w:val="bullet"/>
      <w:lvlText w:val="o"/>
      <w:lvlJc w:val="left"/>
      <w:pPr>
        <w:ind w:left="1070" w:hanging="360"/>
      </w:pPr>
      <w:rPr>
        <w:rFonts w:ascii="Courier New" w:hAnsi="Courier New" w:cs="Courier New" w:hint="default"/>
      </w:rPr>
    </w:lvl>
    <w:lvl w:ilvl="2" w:tplc="1E3C62B4">
      <w:start w:val="1"/>
      <w:numFmt w:val="lowerLetter"/>
      <w:lvlText w:val="%3."/>
      <w:lvlJc w:val="left"/>
      <w:pPr>
        <w:ind w:left="1800" w:hanging="360"/>
      </w:pPr>
      <w:rPr>
        <w:rFonts w:hint="default"/>
        <w:color w:val="auto"/>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F7F2050"/>
    <w:multiLevelType w:val="hybridMultilevel"/>
    <w:tmpl w:val="02E2F82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1AF1D2B"/>
    <w:multiLevelType w:val="hybridMultilevel"/>
    <w:tmpl w:val="F0A6B71A"/>
    <w:lvl w:ilvl="0" w:tplc="FFFFFFFF">
      <w:start w:val="1"/>
      <w:numFmt w:val="decimal"/>
      <w:lvlText w:val="%1."/>
      <w:lvlJc w:val="left"/>
      <w:pPr>
        <w:ind w:left="360" w:hanging="360"/>
      </w:pPr>
    </w:lvl>
    <w:lvl w:ilvl="1" w:tplc="0C090001">
      <w:start w:val="1"/>
      <w:numFmt w:val="bullet"/>
      <w:lvlText w:val=""/>
      <w:lvlJc w:val="left"/>
      <w:pPr>
        <w:ind w:left="107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8E82A92"/>
    <w:multiLevelType w:val="hybridMultilevel"/>
    <w:tmpl w:val="C2C6B3D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7AD932A6"/>
    <w:multiLevelType w:val="hybridMultilevel"/>
    <w:tmpl w:val="8956143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BBA6623"/>
    <w:multiLevelType w:val="hybridMultilevel"/>
    <w:tmpl w:val="0DB08F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E1546A1"/>
    <w:multiLevelType w:val="hybridMultilevel"/>
    <w:tmpl w:val="BB30B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7370783">
    <w:abstractNumId w:val="40"/>
  </w:num>
  <w:num w:numId="2" w16cid:durableId="346832883">
    <w:abstractNumId w:val="33"/>
  </w:num>
  <w:num w:numId="3" w16cid:durableId="908148140">
    <w:abstractNumId w:val="25"/>
  </w:num>
  <w:num w:numId="4" w16cid:durableId="561788898">
    <w:abstractNumId w:val="7"/>
  </w:num>
  <w:num w:numId="5" w16cid:durableId="833840725">
    <w:abstractNumId w:val="17"/>
  </w:num>
  <w:num w:numId="6" w16cid:durableId="1511872350">
    <w:abstractNumId w:val="23"/>
  </w:num>
  <w:num w:numId="7" w16cid:durableId="276254897">
    <w:abstractNumId w:val="42"/>
  </w:num>
  <w:num w:numId="8" w16cid:durableId="1656178518">
    <w:abstractNumId w:val="6"/>
  </w:num>
  <w:num w:numId="9" w16cid:durableId="39016051">
    <w:abstractNumId w:val="35"/>
  </w:num>
  <w:num w:numId="10" w16cid:durableId="1172067430">
    <w:abstractNumId w:val="0"/>
  </w:num>
  <w:num w:numId="11" w16cid:durableId="294608786">
    <w:abstractNumId w:val="8"/>
  </w:num>
  <w:num w:numId="12" w16cid:durableId="261190536">
    <w:abstractNumId w:val="22"/>
  </w:num>
  <w:num w:numId="13" w16cid:durableId="1170369913">
    <w:abstractNumId w:val="1"/>
  </w:num>
  <w:num w:numId="14" w16cid:durableId="1817066546">
    <w:abstractNumId w:val="9"/>
  </w:num>
  <w:num w:numId="15" w16cid:durableId="1711954093">
    <w:abstractNumId w:val="26"/>
  </w:num>
  <w:num w:numId="16" w16cid:durableId="638653645">
    <w:abstractNumId w:val="14"/>
  </w:num>
  <w:num w:numId="17" w16cid:durableId="1743673693">
    <w:abstractNumId w:val="44"/>
  </w:num>
  <w:num w:numId="18" w16cid:durableId="1812208746">
    <w:abstractNumId w:val="27"/>
  </w:num>
  <w:num w:numId="19" w16cid:durableId="443504653">
    <w:abstractNumId w:val="19"/>
  </w:num>
  <w:num w:numId="20" w16cid:durableId="745883545">
    <w:abstractNumId w:val="16"/>
  </w:num>
  <w:num w:numId="21" w16cid:durableId="806046622">
    <w:abstractNumId w:val="28"/>
  </w:num>
  <w:num w:numId="22" w16cid:durableId="1945991525">
    <w:abstractNumId w:val="39"/>
  </w:num>
  <w:num w:numId="23" w16cid:durableId="1438480238">
    <w:abstractNumId w:val="3"/>
  </w:num>
  <w:num w:numId="24" w16cid:durableId="621768853">
    <w:abstractNumId w:val="29"/>
  </w:num>
  <w:num w:numId="25" w16cid:durableId="794368188">
    <w:abstractNumId w:val="12"/>
  </w:num>
  <w:num w:numId="26" w16cid:durableId="1643078572">
    <w:abstractNumId w:val="21"/>
  </w:num>
  <w:num w:numId="27" w16cid:durableId="467863041">
    <w:abstractNumId w:val="4"/>
  </w:num>
  <w:num w:numId="28" w16cid:durableId="1715495915">
    <w:abstractNumId w:val="5"/>
  </w:num>
  <w:num w:numId="29" w16cid:durableId="680200219">
    <w:abstractNumId w:val="32"/>
  </w:num>
  <w:num w:numId="30" w16cid:durableId="373578779">
    <w:abstractNumId w:val="30"/>
  </w:num>
  <w:num w:numId="31" w16cid:durableId="611471991">
    <w:abstractNumId w:val="34"/>
  </w:num>
  <w:num w:numId="32" w16cid:durableId="471870872">
    <w:abstractNumId w:val="37"/>
  </w:num>
  <w:num w:numId="33" w16cid:durableId="319428674">
    <w:abstractNumId w:val="36"/>
  </w:num>
  <w:num w:numId="34" w16cid:durableId="1337807797">
    <w:abstractNumId w:val="45"/>
  </w:num>
  <w:num w:numId="35" w16cid:durableId="1267734873">
    <w:abstractNumId w:val="24"/>
  </w:num>
  <w:num w:numId="36" w16cid:durableId="1064639509">
    <w:abstractNumId w:val="38"/>
  </w:num>
  <w:num w:numId="37" w16cid:durableId="1480459109">
    <w:abstractNumId w:val="11"/>
  </w:num>
  <w:num w:numId="38" w16cid:durableId="678191690">
    <w:abstractNumId w:val="10"/>
  </w:num>
  <w:num w:numId="39" w16cid:durableId="146558667">
    <w:abstractNumId w:val="43"/>
  </w:num>
  <w:num w:numId="40" w16cid:durableId="887909590">
    <w:abstractNumId w:val="18"/>
  </w:num>
  <w:num w:numId="41" w16cid:durableId="736249165">
    <w:abstractNumId w:val="41"/>
  </w:num>
  <w:num w:numId="42" w16cid:durableId="532379552">
    <w:abstractNumId w:val="2"/>
  </w:num>
  <w:num w:numId="43" w16cid:durableId="139810457">
    <w:abstractNumId w:val="46"/>
  </w:num>
  <w:num w:numId="44" w16cid:durableId="1306623728">
    <w:abstractNumId w:val="31"/>
  </w:num>
  <w:num w:numId="45" w16cid:durableId="873494986">
    <w:abstractNumId w:val="13"/>
  </w:num>
  <w:num w:numId="46" w16cid:durableId="956374137">
    <w:abstractNumId w:val="20"/>
  </w:num>
  <w:num w:numId="47" w16cid:durableId="2531296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F2A"/>
    <w:rsid w:val="00000A57"/>
    <w:rsid w:val="00002E63"/>
    <w:rsid w:val="00002E95"/>
    <w:rsid w:val="00005104"/>
    <w:rsid w:val="0000566A"/>
    <w:rsid w:val="00011060"/>
    <w:rsid w:val="00012345"/>
    <w:rsid w:val="0001360E"/>
    <w:rsid w:val="000136AB"/>
    <w:rsid w:val="00013C54"/>
    <w:rsid w:val="00014352"/>
    <w:rsid w:val="00014A3B"/>
    <w:rsid w:val="00014DBA"/>
    <w:rsid w:val="00015EA4"/>
    <w:rsid w:val="00016006"/>
    <w:rsid w:val="0001792C"/>
    <w:rsid w:val="00017B0D"/>
    <w:rsid w:val="00020044"/>
    <w:rsid w:val="00020B67"/>
    <w:rsid w:val="0002137F"/>
    <w:rsid w:val="000214D3"/>
    <w:rsid w:val="00022CAE"/>
    <w:rsid w:val="000318DE"/>
    <w:rsid w:val="00031956"/>
    <w:rsid w:val="00032A13"/>
    <w:rsid w:val="00032FB8"/>
    <w:rsid w:val="000336C8"/>
    <w:rsid w:val="0003378D"/>
    <w:rsid w:val="00036F8E"/>
    <w:rsid w:val="00037A01"/>
    <w:rsid w:val="000407E3"/>
    <w:rsid w:val="00051499"/>
    <w:rsid w:val="000546DF"/>
    <w:rsid w:val="00055C6B"/>
    <w:rsid w:val="00057E73"/>
    <w:rsid w:val="00060348"/>
    <w:rsid w:val="000610DB"/>
    <w:rsid w:val="00061A26"/>
    <w:rsid w:val="00062587"/>
    <w:rsid w:val="00062982"/>
    <w:rsid w:val="00062C1F"/>
    <w:rsid w:val="000630A0"/>
    <w:rsid w:val="000632FE"/>
    <w:rsid w:val="00065B07"/>
    <w:rsid w:val="00067007"/>
    <w:rsid w:val="00067440"/>
    <w:rsid w:val="00067B0F"/>
    <w:rsid w:val="00074D49"/>
    <w:rsid w:val="00075DB1"/>
    <w:rsid w:val="000761AC"/>
    <w:rsid w:val="0007793B"/>
    <w:rsid w:val="000800D7"/>
    <w:rsid w:val="00080ED7"/>
    <w:rsid w:val="00081C95"/>
    <w:rsid w:val="0008388B"/>
    <w:rsid w:val="0008735F"/>
    <w:rsid w:val="00087CD8"/>
    <w:rsid w:val="00092F2A"/>
    <w:rsid w:val="00094973"/>
    <w:rsid w:val="00094F1C"/>
    <w:rsid w:val="0009784D"/>
    <w:rsid w:val="000979AA"/>
    <w:rsid w:val="000A0733"/>
    <w:rsid w:val="000A11E0"/>
    <w:rsid w:val="000A166A"/>
    <w:rsid w:val="000A296A"/>
    <w:rsid w:val="000A35B7"/>
    <w:rsid w:val="000A37F9"/>
    <w:rsid w:val="000A4DAA"/>
    <w:rsid w:val="000A6EA4"/>
    <w:rsid w:val="000A7045"/>
    <w:rsid w:val="000A749D"/>
    <w:rsid w:val="000A7F4F"/>
    <w:rsid w:val="000B0915"/>
    <w:rsid w:val="000B2B29"/>
    <w:rsid w:val="000B3FF6"/>
    <w:rsid w:val="000B6701"/>
    <w:rsid w:val="000B78C0"/>
    <w:rsid w:val="000C036F"/>
    <w:rsid w:val="000C151A"/>
    <w:rsid w:val="000C3E00"/>
    <w:rsid w:val="000C4325"/>
    <w:rsid w:val="000C4790"/>
    <w:rsid w:val="000C60C0"/>
    <w:rsid w:val="000C7727"/>
    <w:rsid w:val="000D2B30"/>
    <w:rsid w:val="000D4056"/>
    <w:rsid w:val="000D5808"/>
    <w:rsid w:val="000D59F7"/>
    <w:rsid w:val="000D5C0C"/>
    <w:rsid w:val="000D5C45"/>
    <w:rsid w:val="000D639D"/>
    <w:rsid w:val="000E124B"/>
    <w:rsid w:val="000E3026"/>
    <w:rsid w:val="000E4171"/>
    <w:rsid w:val="000F2F05"/>
    <w:rsid w:val="000F3C58"/>
    <w:rsid w:val="000F4AC6"/>
    <w:rsid w:val="001017EB"/>
    <w:rsid w:val="0010526C"/>
    <w:rsid w:val="001052DC"/>
    <w:rsid w:val="00105C67"/>
    <w:rsid w:val="001065D4"/>
    <w:rsid w:val="00107232"/>
    <w:rsid w:val="00112088"/>
    <w:rsid w:val="001123E2"/>
    <w:rsid w:val="00113DFE"/>
    <w:rsid w:val="001145A1"/>
    <w:rsid w:val="0011587D"/>
    <w:rsid w:val="00115C15"/>
    <w:rsid w:val="001173E5"/>
    <w:rsid w:val="00121A2A"/>
    <w:rsid w:val="00123632"/>
    <w:rsid w:val="0012639C"/>
    <w:rsid w:val="00126E3B"/>
    <w:rsid w:val="0013053A"/>
    <w:rsid w:val="00130B80"/>
    <w:rsid w:val="00132C19"/>
    <w:rsid w:val="0013337D"/>
    <w:rsid w:val="00134235"/>
    <w:rsid w:val="00134ABF"/>
    <w:rsid w:val="00136C21"/>
    <w:rsid w:val="001374D0"/>
    <w:rsid w:val="00140B6A"/>
    <w:rsid w:val="001425D6"/>
    <w:rsid w:val="00142E2D"/>
    <w:rsid w:val="00142F7C"/>
    <w:rsid w:val="00146420"/>
    <w:rsid w:val="00146674"/>
    <w:rsid w:val="00150F41"/>
    <w:rsid w:val="0015131F"/>
    <w:rsid w:val="00152C6A"/>
    <w:rsid w:val="00153EDE"/>
    <w:rsid w:val="001554FF"/>
    <w:rsid w:val="00157D4D"/>
    <w:rsid w:val="00157F3C"/>
    <w:rsid w:val="00161CF3"/>
    <w:rsid w:val="0016225D"/>
    <w:rsid w:val="001625F6"/>
    <w:rsid w:val="00162B33"/>
    <w:rsid w:val="00166A02"/>
    <w:rsid w:val="00166B0A"/>
    <w:rsid w:val="00167B2A"/>
    <w:rsid w:val="00171009"/>
    <w:rsid w:val="0017120F"/>
    <w:rsid w:val="001715AA"/>
    <w:rsid w:val="001717C0"/>
    <w:rsid w:val="00173164"/>
    <w:rsid w:val="001735F7"/>
    <w:rsid w:val="00176F1D"/>
    <w:rsid w:val="00177200"/>
    <w:rsid w:val="001808E3"/>
    <w:rsid w:val="001811FE"/>
    <w:rsid w:val="0018183E"/>
    <w:rsid w:val="00181870"/>
    <w:rsid w:val="00182AB8"/>
    <w:rsid w:val="00184B5A"/>
    <w:rsid w:val="001858F2"/>
    <w:rsid w:val="00187842"/>
    <w:rsid w:val="00187C0A"/>
    <w:rsid w:val="00187C19"/>
    <w:rsid w:val="001900E4"/>
    <w:rsid w:val="001930E6"/>
    <w:rsid w:val="0019573B"/>
    <w:rsid w:val="00195A59"/>
    <w:rsid w:val="00196E74"/>
    <w:rsid w:val="001972FF"/>
    <w:rsid w:val="001A274F"/>
    <w:rsid w:val="001A2C6E"/>
    <w:rsid w:val="001A3BF5"/>
    <w:rsid w:val="001A50AB"/>
    <w:rsid w:val="001A7198"/>
    <w:rsid w:val="001A73AF"/>
    <w:rsid w:val="001B0050"/>
    <w:rsid w:val="001B3918"/>
    <w:rsid w:val="001B4144"/>
    <w:rsid w:val="001B4160"/>
    <w:rsid w:val="001B4BAF"/>
    <w:rsid w:val="001B6115"/>
    <w:rsid w:val="001B7492"/>
    <w:rsid w:val="001B7DE9"/>
    <w:rsid w:val="001C18ED"/>
    <w:rsid w:val="001C1AD5"/>
    <w:rsid w:val="001C2F80"/>
    <w:rsid w:val="001C4532"/>
    <w:rsid w:val="001C5ABF"/>
    <w:rsid w:val="001C5D10"/>
    <w:rsid w:val="001C68E0"/>
    <w:rsid w:val="001C7644"/>
    <w:rsid w:val="001C7C89"/>
    <w:rsid w:val="001D0492"/>
    <w:rsid w:val="001D08CC"/>
    <w:rsid w:val="001D1044"/>
    <w:rsid w:val="001D56FA"/>
    <w:rsid w:val="001D7728"/>
    <w:rsid w:val="001E016B"/>
    <w:rsid w:val="001E1316"/>
    <w:rsid w:val="001E1571"/>
    <w:rsid w:val="001E490B"/>
    <w:rsid w:val="001E5353"/>
    <w:rsid w:val="001E5815"/>
    <w:rsid w:val="001E58A3"/>
    <w:rsid w:val="001F103B"/>
    <w:rsid w:val="001F1A89"/>
    <w:rsid w:val="001F1CDA"/>
    <w:rsid w:val="001F71E6"/>
    <w:rsid w:val="001F7AB0"/>
    <w:rsid w:val="00200922"/>
    <w:rsid w:val="00202AF9"/>
    <w:rsid w:val="00202F4C"/>
    <w:rsid w:val="00205978"/>
    <w:rsid w:val="00206EDA"/>
    <w:rsid w:val="00207CC9"/>
    <w:rsid w:val="00210545"/>
    <w:rsid w:val="002108D3"/>
    <w:rsid w:val="00211C19"/>
    <w:rsid w:val="00211F08"/>
    <w:rsid w:val="00211F7D"/>
    <w:rsid w:val="002127F2"/>
    <w:rsid w:val="00212992"/>
    <w:rsid w:val="00213E77"/>
    <w:rsid w:val="002141C2"/>
    <w:rsid w:val="00214299"/>
    <w:rsid w:val="00216E5E"/>
    <w:rsid w:val="002207D2"/>
    <w:rsid w:val="00222935"/>
    <w:rsid w:val="002232E8"/>
    <w:rsid w:val="00223CB4"/>
    <w:rsid w:val="00225593"/>
    <w:rsid w:val="00226CEC"/>
    <w:rsid w:val="002301D4"/>
    <w:rsid w:val="00230464"/>
    <w:rsid w:val="00232D3A"/>
    <w:rsid w:val="002340BB"/>
    <w:rsid w:val="00234E78"/>
    <w:rsid w:val="002351A2"/>
    <w:rsid w:val="00236AD9"/>
    <w:rsid w:val="00240490"/>
    <w:rsid w:val="00241556"/>
    <w:rsid w:val="00241AAF"/>
    <w:rsid w:val="002424F9"/>
    <w:rsid w:val="00243489"/>
    <w:rsid w:val="00243BCB"/>
    <w:rsid w:val="002440AF"/>
    <w:rsid w:val="002448E1"/>
    <w:rsid w:val="0024598A"/>
    <w:rsid w:val="00246241"/>
    <w:rsid w:val="00247F91"/>
    <w:rsid w:val="00251F2D"/>
    <w:rsid w:val="00252094"/>
    <w:rsid w:val="00252935"/>
    <w:rsid w:val="00254BEB"/>
    <w:rsid w:val="002604A6"/>
    <w:rsid w:val="00261884"/>
    <w:rsid w:val="002618E8"/>
    <w:rsid w:val="00261EC7"/>
    <w:rsid w:val="002625FF"/>
    <w:rsid w:val="002641D3"/>
    <w:rsid w:val="0026473D"/>
    <w:rsid w:val="00265243"/>
    <w:rsid w:val="0026579C"/>
    <w:rsid w:val="002657E8"/>
    <w:rsid w:val="00266320"/>
    <w:rsid w:val="00267B34"/>
    <w:rsid w:val="00271587"/>
    <w:rsid w:val="00271D2D"/>
    <w:rsid w:val="00272268"/>
    <w:rsid w:val="002757DD"/>
    <w:rsid w:val="00275B62"/>
    <w:rsid w:val="00275D24"/>
    <w:rsid w:val="00276C67"/>
    <w:rsid w:val="002775F8"/>
    <w:rsid w:val="00277B38"/>
    <w:rsid w:val="002827CE"/>
    <w:rsid w:val="0028354D"/>
    <w:rsid w:val="00284CB0"/>
    <w:rsid w:val="0028655E"/>
    <w:rsid w:val="00290BF5"/>
    <w:rsid w:val="00295D82"/>
    <w:rsid w:val="00296C36"/>
    <w:rsid w:val="002970E7"/>
    <w:rsid w:val="002A3923"/>
    <w:rsid w:val="002A3D5C"/>
    <w:rsid w:val="002A42D6"/>
    <w:rsid w:val="002A552C"/>
    <w:rsid w:val="002A6D95"/>
    <w:rsid w:val="002B0476"/>
    <w:rsid w:val="002B0576"/>
    <w:rsid w:val="002B2759"/>
    <w:rsid w:val="002B2E25"/>
    <w:rsid w:val="002B2F11"/>
    <w:rsid w:val="002B3110"/>
    <w:rsid w:val="002B3AC4"/>
    <w:rsid w:val="002B3D39"/>
    <w:rsid w:val="002B3F8D"/>
    <w:rsid w:val="002B44B6"/>
    <w:rsid w:val="002B5178"/>
    <w:rsid w:val="002B6280"/>
    <w:rsid w:val="002B66ED"/>
    <w:rsid w:val="002B696D"/>
    <w:rsid w:val="002B6BD3"/>
    <w:rsid w:val="002B6D65"/>
    <w:rsid w:val="002B74C9"/>
    <w:rsid w:val="002B779D"/>
    <w:rsid w:val="002C015E"/>
    <w:rsid w:val="002C07FE"/>
    <w:rsid w:val="002C12AE"/>
    <w:rsid w:val="002C176B"/>
    <w:rsid w:val="002C2298"/>
    <w:rsid w:val="002C527C"/>
    <w:rsid w:val="002C588C"/>
    <w:rsid w:val="002C5E90"/>
    <w:rsid w:val="002C703C"/>
    <w:rsid w:val="002D0862"/>
    <w:rsid w:val="002D3290"/>
    <w:rsid w:val="002D3798"/>
    <w:rsid w:val="002D40BB"/>
    <w:rsid w:val="002D4B09"/>
    <w:rsid w:val="002D5340"/>
    <w:rsid w:val="002D5A7F"/>
    <w:rsid w:val="002D612D"/>
    <w:rsid w:val="002D72B4"/>
    <w:rsid w:val="002D770A"/>
    <w:rsid w:val="002E0323"/>
    <w:rsid w:val="002E07DB"/>
    <w:rsid w:val="002E26A1"/>
    <w:rsid w:val="002E67ED"/>
    <w:rsid w:val="002E697C"/>
    <w:rsid w:val="002F0C57"/>
    <w:rsid w:val="002F1BE3"/>
    <w:rsid w:val="002F6AB0"/>
    <w:rsid w:val="002F6EAA"/>
    <w:rsid w:val="0030034A"/>
    <w:rsid w:val="003017FB"/>
    <w:rsid w:val="00301B4D"/>
    <w:rsid w:val="00305905"/>
    <w:rsid w:val="003070DA"/>
    <w:rsid w:val="00310731"/>
    <w:rsid w:val="00312AAE"/>
    <w:rsid w:val="00312ACB"/>
    <w:rsid w:val="003131A9"/>
    <w:rsid w:val="003138DB"/>
    <w:rsid w:val="00317769"/>
    <w:rsid w:val="00321AEF"/>
    <w:rsid w:val="0032778D"/>
    <w:rsid w:val="003278B8"/>
    <w:rsid w:val="00327979"/>
    <w:rsid w:val="00334FD4"/>
    <w:rsid w:val="00336337"/>
    <w:rsid w:val="00336868"/>
    <w:rsid w:val="003368E0"/>
    <w:rsid w:val="00336BAE"/>
    <w:rsid w:val="0033770E"/>
    <w:rsid w:val="00337BE2"/>
    <w:rsid w:val="00340788"/>
    <w:rsid w:val="00340CA4"/>
    <w:rsid w:val="00340E0D"/>
    <w:rsid w:val="00341238"/>
    <w:rsid w:val="003474A6"/>
    <w:rsid w:val="00350C92"/>
    <w:rsid w:val="003528CD"/>
    <w:rsid w:val="0035295C"/>
    <w:rsid w:val="003541AE"/>
    <w:rsid w:val="00354B27"/>
    <w:rsid w:val="003600F6"/>
    <w:rsid w:val="00360626"/>
    <w:rsid w:val="003638B0"/>
    <w:rsid w:val="00363F21"/>
    <w:rsid w:val="00364D39"/>
    <w:rsid w:val="003660C7"/>
    <w:rsid w:val="003666F9"/>
    <w:rsid w:val="00366A21"/>
    <w:rsid w:val="00366FDA"/>
    <w:rsid w:val="003670C4"/>
    <w:rsid w:val="0036772B"/>
    <w:rsid w:val="003678BC"/>
    <w:rsid w:val="00371EE8"/>
    <w:rsid w:val="00372C2E"/>
    <w:rsid w:val="003732AB"/>
    <w:rsid w:val="003737F4"/>
    <w:rsid w:val="00373A95"/>
    <w:rsid w:val="0037412F"/>
    <w:rsid w:val="00382E75"/>
    <w:rsid w:val="00383732"/>
    <w:rsid w:val="003839FF"/>
    <w:rsid w:val="00383CF6"/>
    <w:rsid w:val="00383ECC"/>
    <w:rsid w:val="00384C4F"/>
    <w:rsid w:val="003858E2"/>
    <w:rsid w:val="0038590D"/>
    <w:rsid w:val="003922BC"/>
    <w:rsid w:val="00392FE0"/>
    <w:rsid w:val="0039305E"/>
    <w:rsid w:val="0039377A"/>
    <w:rsid w:val="003954B6"/>
    <w:rsid w:val="00396B45"/>
    <w:rsid w:val="00396C12"/>
    <w:rsid w:val="003A4371"/>
    <w:rsid w:val="003A5431"/>
    <w:rsid w:val="003A622E"/>
    <w:rsid w:val="003A65C3"/>
    <w:rsid w:val="003A6880"/>
    <w:rsid w:val="003B20F3"/>
    <w:rsid w:val="003B44AF"/>
    <w:rsid w:val="003B5674"/>
    <w:rsid w:val="003B62A8"/>
    <w:rsid w:val="003B6A5E"/>
    <w:rsid w:val="003C054A"/>
    <w:rsid w:val="003C07BE"/>
    <w:rsid w:val="003C2B7C"/>
    <w:rsid w:val="003C509B"/>
    <w:rsid w:val="003C6B63"/>
    <w:rsid w:val="003D0C0C"/>
    <w:rsid w:val="003D354A"/>
    <w:rsid w:val="003D3FDC"/>
    <w:rsid w:val="003D42BB"/>
    <w:rsid w:val="003D5721"/>
    <w:rsid w:val="003D7894"/>
    <w:rsid w:val="003E16C2"/>
    <w:rsid w:val="003E16F1"/>
    <w:rsid w:val="003E2299"/>
    <w:rsid w:val="003E31F2"/>
    <w:rsid w:val="003E3335"/>
    <w:rsid w:val="003E42D9"/>
    <w:rsid w:val="003E5F1D"/>
    <w:rsid w:val="003E6387"/>
    <w:rsid w:val="003E7555"/>
    <w:rsid w:val="003E78C8"/>
    <w:rsid w:val="003F37B2"/>
    <w:rsid w:val="003F54B2"/>
    <w:rsid w:val="003F7F52"/>
    <w:rsid w:val="00401616"/>
    <w:rsid w:val="00402BFC"/>
    <w:rsid w:val="0040368E"/>
    <w:rsid w:val="004052A1"/>
    <w:rsid w:val="00407768"/>
    <w:rsid w:val="00407912"/>
    <w:rsid w:val="00410AE3"/>
    <w:rsid w:val="00411AA6"/>
    <w:rsid w:val="00411BEF"/>
    <w:rsid w:val="004145FD"/>
    <w:rsid w:val="00416479"/>
    <w:rsid w:val="004201A7"/>
    <w:rsid w:val="00421DAF"/>
    <w:rsid w:val="00423ADF"/>
    <w:rsid w:val="00423AFB"/>
    <w:rsid w:val="00424171"/>
    <w:rsid w:val="00424260"/>
    <w:rsid w:val="00425038"/>
    <w:rsid w:val="0042575D"/>
    <w:rsid w:val="00425E40"/>
    <w:rsid w:val="0042687C"/>
    <w:rsid w:val="00430A86"/>
    <w:rsid w:val="00430D95"/>
    <w:rsid w:val="0043538E"/>
    <w:rsid w:val="004358F8"/>
    <w:rsid w:val="00440485"/>
    <w:rsid w:val="004408E6"/>
    <w:rsid w:val="00440F64"/>
    <w:rsid w:val="004419E2"/>
    <w:rsid w:val="004419EB"/>
    <w:rsid w:val="00441A24"/>
    <w:rsid w:val="00441B16"/>
    <w:rsid w:val="00441E5E"/>
    <w:rsid w:val="00443E55"/>
    <w:rsid w:val="004440C9"/>
    <w:rsid w:val="004465AD"/>
    <w:rsid w:val="00446CCF"/>
    <w:rsid w:val="00447DB2"/>
    <w:rsid w:val="0045210A"/>
    <w:rsid w:val="0045241A"/>
    <w:rsid w:val="0045242A"/>
    <w:rsid w:val="00452A36"/>
    <w:rsid w:val="00452E03"/>
    <w:rsid w:val="00452FD1"/>
    <w:rsid w:val="00455B7E"/>
    <w:rsid w:val="004568C6"/>
    <w:rsid w:val="0045759B"/>
    <w:rsid w:val="0046064F"/>
    <w:rsid w:val="004623FD"/>
    <w:rsid w:val="0046352E"/>
    <w:rsid w:val="0046513F"/>
    <w:rsid w:val="00465467"/>
    <w:rsid w:val="00465B34"/>
    <w:rsid w:val="004661F5"/>
    <w:rsid w:val="00466869"/>
    <w:rsid w:val="00466CFD"/>
    <w:rsid w:val="0046745C"/>
    <w:rsid w:val="004706D4"/>
    <w:rsid w:val="00473F0B"/>
    <w:rsid w:val="004777C7"/>
    <w:rsid w:val="00477C3E"/>
    <w:rsid w:val="00480861"/>
    <w:rsid w:val="00480963"/>
    <w:rsid w:val="0048128F"/>
    <w:rsid w:val="0048229C"/>
    <w:rsid w:val="00482A14"/>
    <w:rsid w:val="00483389"/>
    <w:rsid w:val="004836D7"/>
    <w:rsid w:val="00483F63"/>
    <w:rsid w:val="004865F5"/>
    <w:rsid w:val="004867BB"/>
    <w:rsid w:val="0049077B"/>
    <w:rsid w:val="0049113A"/>
    <w:rsid w:val="00491977"/>
    <w:rsid w:val="00491E7D"/>
    <w:rsid w:val="00492B1B"/>
    <w:rsid w:val="00494361"/>
    <w:rsid w:val="0049563B"/>
    <w:rsid w:val="00495C32"/>
    <w:rsid w:val="004967D5"/>
    <w:rsid w:val="004A2395"/>
    <w:rsid w:val="004A475D"/>
    <w:rsid w:val="004A575D"/>
    <w:rsid w:val="004A5F53"/>
    <w:rsid w:val="004A7A00"/>
    <w:rsid w:val="004B0592"/>
    <w:rsid w:val="004B08F6"/>
    <w:rsid w:val="004B0DB3"/>
    <w:rsid w:val="004B10B8"/>
    <w:rsid w:val="004B199D"/>
    <w:rsid w:val="004B1A45"/>
    <w:rsid w:val="004B5FEC"/>
    <w:rsid w:val="004B6EFB"/>
    <w:rsid w:val="004C014B"/>
    <w:rsid w:val="004C1E40"/>
    <w:rsid w:val="004C2DCA"/>
    <w:rsid w:val="004C491D"/>
    <w:rsid w:val="004C6209"/>
    <w:rsid w:val="004C69C6"/>
    <w:rsid w:val="004D015E"/>
    <w:rsid w:val="004D0696"/>
    <w:rsid w:val="004D142A"/>
    <w:rsid w:val="004D279A"/>
    <w:rsid w:val="004D3AF5"/>
    <w:rsid w:val="004D48C8"/>
    <w:rsid w:val="004D734E"/>
    <w:rsid w:val="004D7757"/>
    <w:rsid w:val="004E0297"/>
    <w:rsid w:val="004E0B5C"/>
    <w:rsid w:val="004E134D"/>
    <w:rsid w:val="004E7E79"/>
    <w:rsid w:val="004F03F4"/>
    <w:rsid w:val="004F3E43"/>
    <w:rsid w:val="004F46B0"/>
    <w:rsid w:val="004F571E"/>
    <w:rsid w:val="004F5B4F"/>
    <w:rsid w:val="004F6632"/>
    <w:rsid w:val="00500D3D"/>
    <w:rsid w:val="005028C6"/>
    <w:rsid w:val="005036E9"/>
    <w:rsid w:val="00503981"/>
    <w:rsid w:val="00504FE0"/>
    <w:rsid w:val="00506688"/>
    <w:rsid w:val="005116CE"/>
    <w:rsid w:val="00513F31"/>
    <w:rsid w:val="005140B9"/>
    <w:rsid w:val="005147C4"/>
    <w:rsid w:val="00515B1F"/>
    <w:rsid w:val="00515CDC"/>
    <w:rsid w:val="00517706"/>
    <w:rsid w:val="00523299"/>
    <w:rsid w:val="00523BC3"/>
    <w:rsid w:val="00523D4D"/>
    <w:rsid w:val="005241F2"/>
    <w:rsid w:val="00524DBB"/>
    <w:rsid w:val="00524F6C"/>
    <w:rsid w:val="00525204"/>
    <w:rsid w:val="00525963"/>
    <w:rsid w:val="00526C86"/>
    <w:rsid w:val="00527CD3"/>
    <w:rsid w:val="00530384"/>
    <w:rsid w:val="005347B6"/>
    <w:rsid w:val="00535A00"/>
    <w:rsid w:val="00536299"/>
    <w:rsid w:val="005367C0"/>
    <w:rsid w:val="0053762C"/>
    <w:rsid w:val="005400B4"/>
    <w:rsid w:val="0054119A"/>
    <w:rsid w:val="00542083"/>
    <w:rsid w:val="00542187"/>
    <w:rsid w:val="00542470"/>
    <w:rsid w:val="0054276D"/>
    <w:rsid w:val="005455EB"/>
    <w:rsid w:val="0055171C"/>
    <w:rsid w:val="00553260"/>
    <w:rsid w:val="00553664"/>
    <w:rsid w:val="00554D77"/>
    <w:rsid w:val="005551FB"/>
    <w:rsid w:val="00555214"/>
    <w:rsid w:val="0055618B"/>
    <w:rsid w:val="00556527"/>
    <w:rsid w:val="00560240"/>
    <w:rsid w:val="00560D01"/>
    <w:rsid w:val="005617F2"/>
    <w:rsid w:val="00561826"/>
    <w:rsid w:val="00561A3F"/>
    <w:rsid w:val="00563BC6"/>
    <w:rsid w:val="00563E07"/>
    <w:rsid w:val="00564A2F"/>
    <w:rsid w:val="00565096"/>
    <w:rsid w:val="00566754"/>
    <w:rsid w:val="00566A66"/>
    <w:rsid w:val="005679CC"/>
    <w:rsid w:val="00567A6E"/>
    <w:rsid w:val="00571035"/>
    <w:rsid w:val="00573E88"/>
    <w:rsid w:val="00574690"/>
    <w:rsid w:val="0057618F"/>
    <w:rsid w:val="00577509"/>
    <w:rsid w:val="005775D6"/>
    <w:rsid w:val="00577CB1"/>
    <w:rsid w:val="00582275"/>
    <w:rsid w:val="005822A8"/>
    <w:rsid w:val="005835D0"/>
    <w:rsid w:val="00584F57"/>
    <w:rsid w:val="00585F12"/>
    <w:rsid w:val="005879AD"/>
    <w:rsid w:val="00590CC0"/>
    <w:rsid w:val="005916F6"/>
    <w:rsid w:val="00591FB3"/>
    <w:rsid w:val="005933C7"/>
    <w:rsid w:val="0059434D"/>
    <w:rsid w:val="00594DCE"/>
    <w:rsid w:val="00594F47"/>
    <w:rsid w:val="00595FA4"/>
    <w:rsid w:val="005967F4"/>
    <w:rsid w:val="005973DF"/>
    <w:rsid w:val="005A008F"/>
    <w:rsid w:val="005A1AE7"/>
    <w:rsid w:val="005A1C53"/>
    <w:rsid w:val="005A260C"/>
    <w:rsid w:val="005A3D97"/>
    <w:rsid w:val="005A48B8"/>
    <w:rsid w:val="005A55F0"/>
    <w:rsid w:val="005A6CE7"/>
    <w:rsid w:val="005A7A26"/>
    <w:rsid w:val="005A7DBB"/>
    <w:rsid w:val="005B16E6"/>
    <w:rsid w:val="005B34B2"/>
    <w:rsid w:val="005B3A61"/>
    <w:rsid w:val="005B4D42"/>
    <w:rsid w:val="005B5AA2"/>
    <w:rsid w:val="005B7223"/>
    <w:rsid w:val="005B77AB"/>
    <w:rsid w:val="005C19FE"/>
    <w:rsid w:val="005C1BF3"/>
    <w:rsid w:val="005C2E19"/>
    <w:rsid w:val="005C31D3"/>
    <w:rsid w:val="005C3CCF"/>
    <w:rsid w:val="005C4172"/>
    <w:rsid w:val="005C4999"/>
    <w:rsid w:val="005C58E3"/>
    <w:rsid w:val="005C6AF6"/>
    <w:rsid w:val="005D2517"/>
    <w:rsid w:val="005D384F"/>
    <w:rsid w:val="005D5045"/>
    <w:rsid w:val="005D5362"/>
    <w:rsid w:val="005D5A69"/>
    <w:rsid w:val="005E2ACE"/>
    <w:rsid w:val="005E2D60"/>
    <w:rsid w:val="005E5B86"/>
    <w:rsid w:val="005E69C0"/>
    <w:rsid w:val="005E7EFD"/>
    <w:rsid w:val="005F2459"/>
    <w:rsid w:val="005F2928"/>
    <w:rsid w:val="005F2932"/>
    <w:rsid w:val="005F40ED"/>
    <w:rsid w:val="005F6283"/>
    <w:rsid w:val="005F758C"/>
    <w:rsid w:val="006010F8"/>
    <w:rsid w:val="00601B07"/>
    <w:rsid w:val="00601B8B"/>
    <w:rsid w:val="00606C4F"/>
    <w:rsid w:val="00607BAD"/>
    <w:rsid w:val="006107AA"/>
    <w:rsid w:val="00610D5E"/>
    <w:rsid w:val="00612877"/>
    <w:rsid w:val="006128E8"/>
    <w:rsid w:val="00614273"/>
    <w:rsid w:val="0061449C"/>
    <w:rsid w:val="00620C4B"/>
    <w:rsid w:val="006218EA"/>
    <w:rsid w:val="00621B43"/>
    <w:rsid w:val="00623359"/>
    <w:rsid w:val="00624FF8"/>
    <w:rsid w:val="00625113"/>
    <w:rsid w:val="00625F2F"/>
    <w:rsid w:val="006270E9"/>
    <w:rsid w:val="00631154"/>
    <w:rsid w:val="0063172F"/>
    <w:rsid w:val="006322EA"/>
    <w:rsid w:val="006335E3"/>
    <w:rsid w:val="00634C45"/>
    <w:rsid w:val="006405C7"/>
    <w:rsid w:val="0064102A"/>
    <w:rsid w:val="00642820"/>
    <w:rsid w:val="00642B48"/>
    <w:rsid w:val="00642FCE"/>
    <w:rsid w:val="0064504D"/>
    <w:rsid w:val="006450D0"/>
    <w:rsid w:val="006452F1"/>
    <w:rsid w:val="0064598E"/>
    <w:rsid w:val="00645D0B"/>
    <w:rsid w:val="00646FA9"/>
    <w:rsid w:val="00647027"/>
    <w:rsid w:val="00647CC0"/>
    <w:rsid w:val="00650CEF"/>
    <w:rsid w:val="006512B0"/>
    <w:rsid w:val="00652464"/>
    <w:rsid w:val="00653277"/>
    <w:rsid w:val="00653CDC"/>
    <w:rsid w:val="006551C9"/>
    <w:rsid w:val="00656713"/>
    <w:rsid w:val="0065682A"/>
    <w:rsid w:val="006619CA"/>
    <w:rsid w:val="00663680"/>
    <w:rsid w:val="006638F9"/>
    <w:rsid w:val="0066435E"/>
    <w:rsid w:val="00664561"/>
    <w:rsid w:val="0066607B"/>
    <w:rsid w:val="00667580"/>
    <w:rsid w:val="006706DD"/>
    <w:rsid w:val="00672A8E"/>
    <w:rsid w:val="00673CA1"/>
    <w:rsid w:val="00673F13"/>
    <w:rsid w:val="006741C7"/>
    <w:rsid w:val="006801D8"/>
    <w:rsid w:val="00681BD5"/>
    <w:rsid w:val="006824E3"/>
    <w:rsid w:val="00686106"/>
    <w:rsid w:val="00686251"/>
    <w:rsid w:val="0068728C"/>
    <w:rsid w:val="006872A4"/>
    <w:rsid w:val="00687D6D"/>
    <w:rsid w:val="006910C4"/>
    <w:rsid w:val="00692AF0"/>
    <w:rsid w:val="006958FA"/>
    <w:rsid w:val="006959AB"/>
    <w:rsid w:val="00695BDB"/>
    <w:rsid w:val="00696B51"/>
    <w:rsid w:val="00696EA3"/>
    <w:rsid w:val="006A0D96"/>
    <w:rsid w:val="006A0F69"/>
    <w:rsid w:val="006A1D2D"/>
    <w:rsid w:val="006A3AC2"/>
    <w:rsid w:val="006A3D70"/>
    <w:rsid w:val="006A536B"/>
    <w:rsid w:val="006A6DA4"/>
    <w:rsid w:val="006A7831"/>
    <w:rsid w:val="006A7B80"/>
    <w:rsid w:val="006B0060"/>
    <w:rsid w:val="006B2384"/>
    <w:rsid w:val="006B2E3D"/>
    <w:rsid w:val="006B3B0E"/>
    <w:rsid w:val="006B4735"/>
    <w:rsid w:val="006B6613"/>
    <w:rsid w:val="006C020F"/>
    <w:rsid w:val="006C2576"/>
    <w:rsid w:val="006C5A6D"/>
    <w:rsid w:val="006D13AD"/>
    <w:rsid w:val="006D212D"/>
    <w:rsid w:val="006D2195"/>
    <w:rsid w:val="006D6904"/>
    <w:rsid w:val="006D7D40"/>
    <w:rsid w:val="006E1AA8"/>
    <w:rsid w:val="006E294C"/>
    <w:rsid w:val="006E2AEC"/>
    <w:rsid w:val="006E341B"/>
    <w:rsid w:val="006E4EE3"/>
    <w:rsid w:val="006E59DE"/>
    <w:rsid w:val="006E5C61"/>
    <w:rsid w:val="006E73D3"/>
    <w:rsid w:val="006E774E"/>
    <w:rsid w:val="006E79CB"/>
    <w:rsid w:val="006F01B1"/>
    <w:rsid w:val="006F1A78"/>
    <w:rsid w:val="006F2228"/>
    <w:rsid w:val="006F383C"/>
    <w:rsid w:val="006F57A9"/>
    <w:rsid w:val="006F7AEA"/>
    <w:rsid w:val="006F7B57"/>
    <w:rsid w:val="007001D7"/>
    <w:rsid w:val="0070081F"/>
    <w:rsid w:val="00701F5D"/>
    <w:rsid w:val="00702F33"/>
    <w:rsid w:val="00703211"/>
    <w:rsid w:val="007038E6"/>
    <w:rsid w:val="0070497E"/>
    <w:rsid w:val="0070591C"/>
    <w:rsid w:val="00707AA0"/>
    <w:rsid w:val="00707BA6"/>
    <w:rsid w:val="00710E71"/>
    <w:rsid w:val="00711471"/>
    <w:rsid w:val="00715973"/>
    <w:rsid w:val="00716AD1"/>
    <w:rsid w:val="00716E55"/>
    <w:rsid w:val="00722248"/>
    <w:rsid w:val="007255EE"/>
    <w:rsid w:val="00727A61"/>
    <w:rsid w:val="007316FC"/>
    <w:rsid w:val="0073729D"/>
    <w:rsid w:val="00737D9B"/>
    <w:rsid w:val="00740614"/>
    <w:rsid w:val="0074107B"/>
    <w:rsid w:val="00741915"/>
    <w:rsid w:val="0074251A"/>
    <w:rsid w:val="00745964"/>
    <w:rsid w:val="007459B6"/>
    <w:rsid w:val="00745E51"/>
    <w:rsid w:val="00753D0B"/>
    <w:rsid w:val="00754990"/>
    <w:rsid w:val="00755057"/>
    <w:rsid w:val="007571A2"/>
    <w:rsid w:val="00757351"/>
    <w:rsid w:val="00761E94"/>
    <w:rsid w:val="00763224"/>
    <w:rsid w:val="007647FF"/>
    <w:rsid w:val="00766AE6"/>
    <w:rsid w:val="00767D9A"/>
    <w:rsid w:val="0077081C"/>
    <w:rsid w:val="00771FD2"/>
    <w:rsid w:val="00772AA7"/>
    <w:rsid w:val="00776362"/>
    <w:rsid w:val="00777112"/>
    <w:rsid w:val="00777CD7"/>
    <w:rsid w:val="00781C4E"/>
    <w:rsid w:val="00781DC0"/>
    <w:rsid w:val="007828AB"/>
    <w:rsid w:val="00783574"/>
    <w:rsid w:val="007842BF"/>
    <w:rsid w:val="00785197"/>
    <w:rsid w:val="007858C7"/>
    <w:rsid w:val="007873F9"/>
    <w:rsid w:val="00787493"/>
    <w:rsid w:val="00787573"/>
    <w:rsid w:val="00787AD1"/>
    <w:rsid w:val="00787BC0"/>
    <w:rsid w:val="007901D0"/>
    <w:rsid w:val="007903E9"/>
    <w:rsid w:val="007914A2"/>
    <w:rsid w:val="00794810"/>
    <w:rsid w:val="007949D6"/>
    <w:rsid w:val="007955E5"/>
    <w:rsid w:val="007965C1"/>
    <w:rsid w:val="007A03A1"/>
    <w:rsid w:val="007A064D"/>
    <w:rsid w:val="007A1E6E"/>
    <w:rsid w:val="007A2B23"/>
    <w:rsid w:val="007A3DA7"/>
    <w:rsid w:val="007A5006"/>
    <w:rsid w:val="007A6885"/>
    <w:rsid w:val="007A69A5"/>
    <w:rsid w:val="007A7DED"/>
    <w:rsid w:val="007B080D"/>
    <w:rsid w:val="007B26F4"/>
    <w:rsid w:val="007B2D2A"/>
    <w:rsid w:val="007B2D91"/>
    <w:rsid w:val="007B4529"/>
    <w:rsid w:val="007B6801"/>
    <w:rsid w:val="007B75B9"/>
    <w:rsid w:val="007C0330"/>
    <w:rsid w:val="007C0411"/>
    <w:rsid w:val="007C04C0"/>
    <w:rsid w:val="007C6650"/>
    <w:rsid w:val="007C6810"/>
    <w:rsid w:val="007D2D29"/>
    <w:rsid w:val="007D419B"/>
    <w:rsid w:val="007D5AD9"/>
    <w:rsid w:val="007D5AFD"/>
    <w:rsid w:val="007D70E7"/>
    <w:rsid w:val="007D764A"/>
    <w:rsid w:val="007E464B"/>
    <w:rsid w:val="007E4F6D"/>
    <w:rsid w:val="007E5C21"/>
    <w:rsid w:val="007E631A"/>
    <w:rsid w:val="007E65A2"/>
    <w:rsid w:val="007E7456"/>
    <w:rsid w:val="007E7C44"/>
    <w:rsid w:val="007F078A"/>
    <w:rsid w:val="007F22CE"/>
    <w:rsid w:val="007F258B"/>
    <w:rsid w:val="007F3F76"/>
    <w:rsid w:val="007F46EE"/>
    <w:rsid w:val="007F5015"/>
    <w:rsid w:val="007F5A7B"/>
    <w:rsid w:val="007F5D64"/>
    <w:rsid w:val="007F73EB"/>
    <w:rsid w:val="007F7A2F"/>
    <w:rsid w:val="008013A6"/>
    <w:rsid w:val="00801ECD"/>
    <w:rsid w:val="008021AA"/>
    <w:rsid w:val="00802E90"/>
    <w:rsid w:val="00803F57"/>
    <w:rsid w:val="00805351"/>
    <w:rsid w:val="00807D56"/>
    <w:rsid w:val="00810F89"/>
    <w:rsid w:val="00812E47"/>
    <w:rsid w:val="0081313C"/>
    <w:rsid w:val="00813444"/>
    <w:rsid w:val="00813664"/>
    <w:rsid w:val="008150AC"/>
    <w:rsid w:val="008164B5"/>
    <w:rsid w:val="00816682"/>
    <w:rsid w:val="00817BDB"/>
    <w:rsid w:val="0082078A"/>
    <w:rsid w:val="008211A6"/>
    <w:rsid w:val="0082223D"/>
    <w:rsid w:val="00822809"/>
    <w:rsid w:val="00824447"/>
    <w:rsid w:val="00825B91"/>
    <w:rsid w:val="00826361"/>
    <w:rsid w:val="00827951"/>
    <w:rsid w:val="00830134"/>
    <w:rsid w:val="0083099E"/>
    <w:rsid w:val="00830ABD"/>
    <w:rsid w:val="00832BE3"/>
    <w:rsid w:val="00834468"/>
    <w:rsid w:val="00835FBC"/>
    <w:rsid w:val="008360C9"/>
    <w:rsid w:val="00836B80"/>
    <w:rsid w:val="00837AEF"/>
    <w:rsid w:val="00842D67"/>
    <w:rsid w:val="0084386E"/>
    <w:rsid w:val="00846199"/>
    <w:rsid w:val="00846E02"/>
    <w:rsid w:val="00847B57"/>
    <w:rsid w:val="00847EEB"/>
    <w:rsid w:val="00850DF2"/>
    <w:rsid w:val="0085267B"/>
    <w:rsid w:val="008536FD"/>
    <w:rsid w:val="00853C7F"/>
    <w:rsid w:val="0085547D"/>
    <w:rsid w:val="00856F2D"/>
    <w:rsid w:val="008619CC"/>
    <w:rsid w:val="00861E12"/>
    <w:rsid w:val="00861EB5"/>
    <w:rsid w:val="0086264F"/>
    <w:rsid w:val="00863336"/>
    <w:rsid w:val="00863C52"/>
    <w:rsid w:val="008660EB"/>
    <w:rsid w:val="00866409"/>
    <w:rsid w:val="00866CBA"/>
    <w:rsid w:val="00867ACB"/>
    <w:rsid w:val="0087080E"/>
    <w:rsid w:val="0087176D"/>
    <w:rsid w:val="00871A43"/>
    <w:rsid w:val="00871CA2"/>
    <w:rsid w:val="00873E2C"/>
    <w:rsid w:val="008740C8"/>
    <w:rsid w:val="008756C7"/>
    <w:rsid w:val="00875D6B"/>
    <w:rsid w:val="008773B4"/>
    <w:rsid w:val="008801C7"/>
    <w:rsid w:val="008818A2"/>
    <w:rsid w:val="008819D3"/>
    <w:rsid w:val="00881AC8"/>
    <w:rsid w:val="00881E98"/>
    <w:rsid w:val="00883C56"/>
    <w:rsid w:val="00883FCD"/>
    <w:rsid w:val="00884BC4"/>
    <w:rsid w:val="008851BD"/>
    <w:rsid w:val="00891A9D"/>
    <w:rsid w:val="00892891"/>
    <w:rsid w:val="0089377C"/>
    <w:rsid w:val="00894D76"/>
    <w:rsid w:val="008A06F9"/>
    <w:rsid w:val="008A45F0"/>
    <w:rsid w:val="008A4C41"/>
    <w:rsid w:val="008A5440"/>
    <w:rsid w:val="008A6826"/>
    <w:rsid w:val="008A73D2"/>
    <w:rsid w:val="008A7F59"/>
    <w:rsid w:val="008B0D59"/>
    <w:rsid w:val="008B18CD"/>
    <w:rsid w:val="008B263C"/>
    <w:rsid w:val="008B3EDB"/>
    <w:rsid w:val="008B4E99"/>
    <w:rsid w:val="008B6251"/>
    <w:rsid w:val="008B7E4D"/>
    <w:rsid w:val="008C000F"/>
    <w:rsid w:val="008C3EC7"/>
    <w:rsid w:val="008C7651"/>
    <w:rsid w:val="008D0A02"/>
    <w:rsid w:val="008D17B9"/>
    <w:rsid w:val="008D4B16"/>
    <w:rsid w:val="008D583C"/>
    <w:rsid w:val="008D7AE6"/>
    <w:rsid w:val="008E1C1C"/>
    <w:rsid w:val="008E2025"/>
    <w:rsid w:val="008E310A"/>
    <w:rsid w:val="008E32DF"/>
    <w:rsid w:val="008E4A89"/>
    <w:rsid w:val="008E4E06"/>
    <w:rsid w:val="008E676A"/>
    <w:rsid w:val="008E7613"/>
    <w:rsid w:val="008F151A"/>
    <w:rsid w:val="008F1842"/>
    <w:rsid w:val="008F2474"/>
    <w:rsid w:val="008F24BB"/>
    <w:rsid w:val="008F4978"/>
    <w:rsid w:val="008F65CB"/>
    <w:rsid w:val="00900D1F"/>
    <w:rsid w:val="00901CFF"/>
    <w:rsid w:val="0090227C"/>
    <w:rsid w:val="00902D18"/>
    <w:rsid w:val="00903634"/>
    <w:rsid w:val="00904D97"/>
    <w:rsid w:val="00912443"/>
    <w:rsid w:val="00915147"/>
    <w:rsid w:val="00915557"/>
    <w:rsid w:val="009168F4"/>
    <w:rsid w:val="00916A7D"/>
    <w:rsid w:val="009175FE"/>
    <w:rsid w:val="00917F87"/>
    <w:rsid w:val="009200C5"/>
    <w:rsid w:val="00920B4D"/>
    <w:rsid w:val="009216EC"/>
    <w:rsid w:val="0092317B"/>
    <w:rsid w:val="009252B5"/>
    <w:rsid w:val="00925814"/>
    <w:rsid w:val="00927DC8"/>
    <w:rsid w:val="00927E65"/>
    <w:rsid w:val="00934B88"/>
    <w:rsid w:val="00934BF6"/>
    <w:rsid w:val="009371DF"/>
    <w:rsid w:val="00942591"/>
    <w:rsid w:val="00943D88"/>
    <w:rsid w:val="00944196"/>
    <w:rsid w:val="009454AE"/>
    <w:rsid w:val="0094607C"/>
    <w:rsid w:val="00946976"/>
    <w:rsid w:val="00946DBA"/>
    <w:rsid w:val="00946E0E"/>
    <w:rsid w:val="00951C7C"/>
    <w:rsid w:val="009532A4"/>
    <w:rsid w:val="00955826"/>
    <w:rsid w:val="00955A09"/>
    <w:rsid w:val="009579A2"/>
    <w:rsid w:val="009615E0"/>
    <w:rsid w:val="00962D00"/>
    <w:rsid w:val="00963375"/>
    <w:rsid w:val="00964E8E"/>
    <w:rsid w:val="00964FAD"/>
    <w:rsid w:val="00965F37"/>
    <w:rsid w:val="00966FFD"/>
    <w:rsid w:val="00970BDB"/>
    <w:rsid w:val="00971D35"/>
    <w:rsid w:val="00972001"/>
    <w:rsid w:val="0097216E"/>
    <w:rsid w:val="0097219C"/>
    <w:rsid w:val="00972901"/>
    <w:rsid w:val="009738DC"/>
    <w:rsid w:val="009739A3"/>
    <w:rsid w:val="009766ED"/>
    <w:rsid w:val="0097753B"/>
    <w:rsid w:val="00981EB7"/>
    <w:rsid w:val="009846BE"/>
    <w:rsid w:val="00984C16"/>
    <w:rsid w:val="00986481"/>
    <w:rsid w:val="00987459"/>
    <w:rsid w:val="00987949"/>
    <w:rsid w:val="009938DC"/>
    <w:rsid w:val="00995F04"/>
    <w:rsid w:val="00996546"/>
    <w:rsid w:val="00997C1C"/>
    <w:rsid w:val="00997E28"/>
    <w:rsid w:val="009A0FD6"/>
    <w:rsid w:val="009A2708"/>
    <w:rsid w:val="009A34B0"/>
    <w:rsid w:val="009A3781"/>
    <w:rsid w:val="009A49A5"/>
    <w:rsid w:val="009A4ACD"/>
    <w:rsid w:val="009A6C75"/>
    <w:rsid w:val="009A75DC"/>
    <w:rsid w:val="009B0057"/>
    <w:rsid w:val="009B1197"/>
    <w:rsid w:val="009B203E"/>
    <w:rsid w:val="009B2F3F"/>
    <w:rsid w:val="009B3196"/>
    <w:rsid w:val="009B396B"/>
    <w:rsid w:val="009B727C"/>
    <w:rsid w:val="009B7ABD"/>
    <w:rsid w:val="009B7CD9"/>
    <w:rsid w:val="009C0CF5"/>
    <w:rsid w:val="009C0E7F"/>
    <w:rsid w:val="009C1D00"/>
    <w:rsid w:val="009C2F5F"/>
    <w:rsid w:val="009C36CB"/>
    <w:rsid w:val="009C3FB3"/>
    <w:rsid w:val="009C460A"/>
    <w:rsid w:val="009C5038"/>
    <w:rsid w:val="009C55A5"/>
    <w:rsid w:val="009C6BCE"/>
    <w:rsid w:val="009D19C9"/>
    <w:rsid w:val="009D2743"/>
    <w:rsid w:val="009D293D"/>
    <w:rsid w:val="009E11AF"/>
    <w:rsid w:val="009E1A80"/>
    <w:rsid w:val="009E2473"/>
    <w:rsid w:val="009E2734"/>
    <w:rsid w:val="009E4889"/>
    <w:rsid w:val="009E6D46"/>
    <w:rsid w:val="009E6DEE"/>
    <w:rsid w:val="009E6FCE"/>
    <w:rsid w:val="009E7132"/>
    <w:rsid w:val="009F15D0"/>
    <w:rsid w:val="009F15E2"/>
    <w:rsid w:val="009F3CA4"/>
    <w:rsid w:val="009F4B28"/>
    <w:rsid w:val="009F6004"/>
    <w:rsid w:val="00A00817"/>
    <w:rsid w:val="00A015D7"/>
    <w:rsid w:val="00A01ECF"/>
    <w:rsid w:val="00A05A54"/>
    <w:rsid w:val="00A05D39"/>
    <w:rsid w:val="00A065E1"/>
    <w:rsid w:val="00A066FE"/>
    <w:rsid w:val="00A07E84"/>
    <w:rsid w:val="00A106DA"/>
    <w:rsid w:val="00A109E0"/>
    <w:rsid w:val="00A12040"/>
    <w:rsid w:val="00A13187"/>
    <w:rsid w:val="00A15A1A"/>
    <w:rsid w:val="00A177B2"/>
    <w:rsid w:val="00A202E2"/>
    <w:rsid w:val="00A21679"/>
    <w:rsid w:val="00A21BD9"/>
    <w:rsid w:val="00A2248F"/>
    <w:rsid w:val="00A235AE"/>
    <w:rsid w:val="00A24DAC"/>
    <w:rsid w:val="00A251C8"/>
    <w:rsid w:val="00A27173"/>
    <w:rsid w:val="00A27FD5"/>
    <w:rsid w:val="00A310C5"/>
    <w:rsid w:val="00A318A4"/>
    <w:rsid w:val="00A35860"/>
    <w:rsid w:val="00A3679A"/>
    <w:rsid w:val="00A36881"/>
    <w:rsid w:val="00A40169"/>
    <w:rsid w:val="00A4132F"/>
    <w:rsid w:val="00A41BE1"/>
    <w:rsid w:val="00A4249B"/>
    <w:rsid w:val="00A4478A"/>
    <w:rsid w:val="00A45B2B"/>
    <w:rsid w:val="00A45F24"/>
    <w:rsid w:val="00A46348"/>
    <w:rsid w:val="00A47314"/>
    <w:rsid w:val="00A47651"/>
    <w:rsid w:val="00A5079E"/>
    <w:rsid w:val="00A508FC"/>
    <w:rsid w:val="00A527C4"/>
    <w:rsid w:val="00A53716"/>
    <w:rsid w:val="00A54F82"/>
    <w:rsid w:val="00A54FF5"/>
    <w:rsid w:val="00A55F95"/>
    <w:rsid w:val="00A56258"/>
    <w:rsid w:val="00A570ED"/>
    <w:rsid w:val="00A60537"/>
    <w:rsid w:val="00A605EA"/>
    <w:rsid w:val="00A60BB0"/>
    <w:rsid w:val="00A61507"/>
    <w:rsid w:val="00A61EB6"/>
    <w:rsid w:val="00A61EE9"/>
    <w:rsid w:val="00A63ECA"/>
    <w:rsid w:val="00A64926"/>
    <w:rsid w:val="00A6519B"/>
    <w:rsid w:val="00A65E41"/>
    <w:rsid w:val="00A661E3"/>
    <w:rsid w:val="00A71B9E"/>
    <w:rsid w:val="00A71E2C"/>
    <w:rsid w:val="00A72DF6"/>
    <w:rsid w:val="00A7301C"/>
    <w:rsid w:val="00A7467D"/>
    <w:rsid w:val="00A75BEB"/>
    <w:rsid w:val="00A80241"/>
    <w:rsid w:val="00A80A7A"/>
    <w:rsid w:val="00A826B3"/>
    <w:rsid w:val="00A83843"/>
    <w:rsid w:val="00A83F36"/>
    <w:rsid w:val="00A84861"/>
    <w:rsid w:val="00A90936"/>
    <w:rsid w:val="00A921CA"/>
    <w:rsid w:val="00A94396"/>
    <w:rsid w:val="00A96D5A"/>
    <w:rsid w:val="00A979FD"/>
    <w:rsid w:val="00AA100D"/>
    <w:rsid w:val="00AA14C4"/>
    <w:rsid w:val="00AA19C1"/>
    <w:rsid w:val="00AA1AAD"/>
    <w:rsid w:val="00AA3390"/>
    <w:rsid w:val="00AA4440"/>
    <w:rsid w:val="00AA554D"/>
    <w:rsid w:val="00AA6349"/>
    <w:rsid w:val="00AB03F4"/>
    <w:rsid w:val="00AB1B7F"/>
    <w:rsid w:val="00AB280D"/>
    <w:rsid w:val="00AB3832"/>
    <w:rsid w:val="00AB3DC9"/>
    <w:rsid w:val="00AB411F"/>
    <w:rsid w:val="00AB57B0"/>
    <w:rsid w:val="00AC19B8"/>
    <w:rsid w:val="00AC2D4C"/>
    <w:rsid w:val="00AC35B5"/>
    <w:rsid w:val="00AC3C47"/>
    <w:rsid w:val="00AC62D1"/>
    <w:rsid w:val="00AC7410"/>
    <w:rsid w:val="00AC7E5D"/>
    <w:rsid w:val="00AD0103"/>
    <w:rsid w:val="00AD14E8"/>
    <w:rsid w:val="00AD1D9A"/>
    <w:rsid w:val="00AD37B1"/>
    <w:rsid w:val="00AD7CD7"/>
    <w:rsid w:val="00AE0106"/>
    <w:rsid w:val="00AE1F7A"/>
    <w:rsid w:val="00AE2B67"/>
    <w:rsid w:val="00AE38AF"/>
    <w:rsid w:val="00AE6267"/>
    <w:rsid w:val="00AE6483"/>
    <w:rsid w:val="00AE794C"/>
    <w:rsid w:val="00AF1EB6"/>
    <w:rsid w:val="00AF2ADD"/>
    <w:rsid w:val="00AF2C7E"/>
    <w:rsid w:val="00AF5EB1"/>
    <w:rsid w:val="00AF677D"/>
    <w:rsid w:val="00AF747E"/>
    <w:rsid w:val="00AF776F"/>
    <w:rsid w:val="00B018D5"/>
    <w:rsid w:val="00B02CCA"/>
    <w:rsid w:val="00B0462E"/>
    <w:rsid w:val="00B05614"/>
    <w:rsid w:val="00B05FCE"/>
    <w:rsid w:val="00B10EB7"/>
    <w:rsid w:val="00B11FFB"/>
    <w:rsid w:val="00B124B2"/>
    <w:rsid w:val="00B129ED"/>
    <w:rsid w:val="00B14A57"/>
    <w:rsid w:val="00B14F42"/>
    <w:rsid w:val="00B156BC"/>
    <w:rsid w:val="00B16B96"/>
    <w:rsid w:val="00B2003D"/>
    <w:rsid w:val="00B20DC7"/>
    <w:rsid w:val="00B21EF6"/>
    <w:rsid w:val="00B23CC5"/>
    <w:rsid w:val="00B24ED0"/>
    <w:rsid w:val="00B251C6"/>
    <w:rsid w:val="00B26B1C"/>
    <w:rsid w:val="00B26CC4"/>
    <w:rsid w:val="00B272DC"/>
    <w:rsid w:val="00B27B75"/>
    <w:rsid w:val="00B27D33"/>
    <w:rsid w:val="00B31139"/>
    <w:rsid w:val="00B32EDD"/>
    <w:rsid w:val="00B34F61"/>
    <w:rsid w:val="00B37CB4"/>
    <w:rsid w:val="00B43665"/>
    <w:rsid w:val="00B43D28"/>
    <w:rsid w:val="00B44085"/>
    <w:rsid w:val="00B44F19"/>
    <w:rsid w:val="00B46249"/>
    <w:rsid w:val="00B47E9D"/>
    <w:rsid w:val="00B5150C"/>
    <w:rsid w:val="00B532E1"/>
    <w:rsid w:val="00B53EE3"/>
    <w:rsid w:val="00B562E3"/>
    <w:rsid w:val="00B57AD8"/>
    <w:rsid w:val="00B57F93"/>
    <w:rsid w:val="00B60A1B"/>
    <w:rsid w:val="00B628E7"/>
    <w:rsid w:val="00B63951"/>
    <w:rsid w:val="00B64977"/>
    <w:rsid w:val="00B6516E"/>
    <w:rsid w:val="00B65FF3"/>
    <w:rsid w:val="00B70281"/>
    <w:rsid w:val="00B707AE"/>
    <w:rsid w:val="00B74698"/>
    <w:rsid w:val="00B74829"/>
    <w:rsid w:val="00B769D1"/>
    <w:rsid w:val="00B76D92"/>
    <w:rsid w:val="00B76E63"/>
    <w:rsid w:val="00B82DA3"/>
    <w:rsid w:val="00B84006"/>
    <w:rsid w:val="00B8618A"/>
    <w:rsid w:val="00B876CA"/>
    <w:rsid w:val="00B924F6"/>
    <w:rsid w:val="00B92AA6"/>
    <w:rsid w:val="00B93BA6"/>
    <w:rsid w:val="00B97949"/>
    <w:rsid w:val="00B97D03"/>
    <w:rsid w:val="00B97D2F"/>
    <w:rsid w:val="00BA073D"/>
    <w:rsid w:val="00BA0EDB"/>
    <w:rsid w:val="00BA1283"/>
    <w:rsid w:val="00BA498F"/>
    <w:rsid w:val="00BA60C1"/>
    <w:rsid w:val="00BA79BB"/>
    <w:rsid w:val="00BB0273"/>
    <w:rsid w:val="00BB3D6E"/>
    <w:rsid w:val="00BB41E1"/>
    <w:rsid w:val="00BB49C7"/>
    <w:rsid w:val="00BB4E6D"/>
    <w:rsid w:val="00BB4E9E"/>
    <w:rsid w:val="00BB6DD0"/>
    <w:rsid w:val="00BB751F"/>
    <w:rsid w:val="00BC360E"/>
    <w:rsid w:val="00BC56ED"/>
    <w:rsid w:val="00BC6954"/>
    <w:rsid w:val="00BD09EA"/>
    <w:rsid w:val="00BD0F76"/>
    <w:rsid w:val="00BD11A8"/>
    <w:rsid w:val="00BD25A0"/>
    <w:rsid w:val="00BD3FB8"/>
    <w:rsid w:val="00BD554B"/>
    <w:rsid w:val="00BD6335"/>
    <w:rsid w:val="00BD6D61"/>
    <w:rsid w:val="00BD721B"/>
    <w:rsid w:val="00BE0304"/>
    <w:rsid w:val="00BE1899"/>
    <w:rsid w:val="00BE3122"/>
    <w:rsid w:val="00BE3F23"/>
    <w:rsid w:val="00BF0F2A"/>
    <w:rsid w:val="00BF16C8"/>
    <w:rsid w:val="00BF1943"/>
    <w:rsid w:val="00BF2707"/>
    <w:rsid w:val="00BF459F"/>
    <w:rsid w:val="00BF7ED7"/>
    <w:rsid w:val="00C01DF9"/>
    <w:rsid w:val="00C034EB"/>
    <w:rsid w:val="00C039B4"/>
    <w:rsid w:val="00C04797"/>
    <w:rsid w:val="00C04DC4"/>
    <w:rsid w:val="00C054D6"/>
    <w:rsid w:val="00C05E2A"/>
    <w:rsid w:val="00C06775"/>
    <w:rsid w:val="00C07C1E"/>
    <w:rsid w:val="00C1094C"/>
    <w:rsid w:val="00C11676"/>
    <w:rsid w:val="00C11D5A"/>
    <w:rsid w:val="00C12BB4"/>
    <w:rsid w:val="00C13D02"/>
    <w:rsid w:val="00C140E5"/>
    <w:rsid w:val="00C147C7"/>
    <w:rsid w:val="00C14FA7"/>
    <w:rsid w:val="00C15140"/>
    <w:rsid w:val="00C15423"/>
    <w:rsid w:val="00C15ED1"/>
    <w:rsid w:val="00C216E1"/>
    <w:rsid w:val="00C219C4"/>
    <w:rsid w:val="00C21E8A"/>
    <w:rsid w:val="00C21E9C"/>
    <w:rsid w:val="00C2235F"/>
    <w:rsid w:val="00C229DB"/>
    <w:rsid w:val="00C22F26"/>
    <w:rsid w:val="00C24B3F"/>
    <w:rsid w:val="00C26097"/>
    <w:rsid w:val="00C26D2C"/>
    <w:rsid w:val="00C2731C"/>
    <w:rsid w:val="00C27443"/>
    <w:rsid w:val="00C3326E"/>
    <w:rsid w:val="00C34682"/>
    <w:rsid w:val="00C36887"/>
    <w:rsid w:val="00C36DD9"/>
    <w:rsid w:val="00C37470"/>
    <w:rsid w:val="00C40E80"/>
    <w:rsid w:val="00C40FFA"/>
    <w:rsid w:val="00C418EC"/>
    <w:rsid w:val="00C41F60"/>
    <w:rsid w:val="00C427A9"/>
    <w:rsid w:val="00C4377A"/>
    <w:rsid w:val="00C45C92"/>
    <w:rsid w:val="00C50811"/>
    <w:rsid w:val="00C512F6"/>
    <w:rsid w:val="00C56B82"/>
    <w:rsid w:val="00C57BDB"/>
    <w:rsid w:val="00C57D9E"/>
    <w:rsid w:val="00C600C9"/>
    <w:rsid w:val="00C60B51"/>
    <w:rsid w:val="00C60E9C"/>
    <w:rsid w:val="00C61881"/>
    <w:rsid w:val="00C61C22"/>
    <w:rsid w:val="00C626C7"/>
    <w:rsid w:val="00C62C29"/>
    <w:rsid w:val="00C65E71"/>
    <w:rsid w:val="00C66208"/>
    <w:rsid w:val="00C66802"/>
    <w:rsid w:val="00C66CE0"/>
    <w:rsid w:val="00C66ED3"/>
    <w:rsid w:val="00C67CEA"/>
    <w:rsid w:val="00C7089E"/>
    <w:rsid w:val="00C72E82"/>
    <w:rsid w:val="00C72ECA"/>
    <w:rsid w:val="00C72F6E"/>
    <w:rsid w:val="00C74E77"/>
    <w:rsid w:val="00C75AC7"/>
    <w:rsid w:val="00C762C2"/>
    <w:rsid w:val="00C76A19"/>
    <w:rsid w:val="00C77261"/>
    <w:rsid w:val="00C77716"/>
    <w:rsid w:val="00C77DC2"/>
    <w:rsid w:val="00C80199"/>
    <w:rsid w:val="00C819F2"/>
    <w:rsid w:val="00C81E67"/>
    <w:rsid w:val="00C8530C"/>
    <w:rsid w:val="00C8596A"/>
    <w:rsid w:val="00C859B2"/>
    <w:rsid w:val="00C85AA4"/>
    <w:rsid w:val="00C85B6A"/>
    <w:rsid w:val="00C87D9E"/>
    <w:rsid w:val="00C9014E"/>
    <w:rsid w:val="00C90B01"/>
    <w:rsid w:val="00C9299B"/>
    <w:rsid w:val="00C932D6"/>
    <w:rsid w:val="00C96B15"/>
    <w:rsid w:val="00C97949"/>
    <w:rsid w:val="00CA161F"/>
    <w:rsid w:val="00CA16FA"/>
    <w:rsid w:val="00CA18C7"/>
    <w:rsid w:val="00CA1947"/>
    <w:rsid w:val="00CB0102"/>
    <w:rsid w:val="00CB02A3"/>
    <w:rsid w:val="00CB4512"/>
    <w:rsid w:val="00CB49B2"/>
    <w:rsid w:val="00CB6A38"/>
    <w:rsid w:val="00CB7945"/>
    <w:rsid w:val="00CC0C52"/>
    <w:rsid w:val="00CC4811"/>
    <w:rsid w:val="00CC6FF6"/>
    <w:rsid w:val="00CC7E08"/>
    <w:rsid w:val="00CD3660"/>
    <w:rsid w:val="00CE1083"/>
    <w:rsid w:val="00CE1FE4"/>
    <w:rsid w:val="00CE2098"/>
    <w:rsid w:val="00CE32C1"/>
    <w:rsid w:val="00CE3BB0"/>
    <w:rsid w:val="00CE4C7D"/>
    <w:rsid w:val="00CE4F73"/>
    <w:rsid w:val="00CE5545"/>
    <w:rsid w:val="00CE559A"/>
    <w:rsid w:val="00CE6B89"/>
    <w:rsid w:val="00CE6CEE"/>
    <w:rsid w:val="00CE6DC0"/>
    <w:rsid w:val="00CF094F"/>
    <w:rsid w:val="00CF1310"/>
    <w:rsid w:val="00CF5D08"/>
    <w:rsid w:val="00CF7D46"/>
    <w:rsid w:val="00D01156"/>
    <w:rsid w:val="00D05DF7"/>
    <w:rsid w:val="00D05ED6"/>
    <w:rsid w:val="00D06A87"/>
    <w:rsid w:val="00D112D4"/>
    <w:rsid w:val="00D12E97"/>
    <w:rsid w:val="00D13714"/>
    <w:rsid w:val="00D14515"/>
    <w:rsid w:val="00D14ACE"/>
    <w:rsid w:val="00D14E96"/>
    <w:rsid w:val="00D15688"/>
    <w:rsid w:val="00D15FC9"/>
    <w:rsid w:val="00D224A0"/>
    <w:rsid w:val="00D225BF"/>
    <w:rsid w:val="00D23E80"/>
    <w:rsid w:val="00D243D1"/>
    <w:rsid w:val="00D24537"/>
    <w:rsid w:val="00D25CF8"/>
    <w:rsid w:val="00D26047"/>
    <w:rsid w:val="00D2678D"/>
    <w:rsid w:val="00D2724D"/>
    <w:rsid w:val="00D30B97"/>
    <w:rsid w:val="00D33EEC"/>
    <w:rsid w:val="00D35503"/>
    <w:rsid w:val="00D356CC"/>
    <w:rsid w:val="00D35A00"/>
    <w:rsid w:val="00D361C8"/>
    <w:rsid w:val="00D373FA"/>
    <w:rsid w:val="00D41003"/>
    <w:rsid w:val="00D41051"/>
    <w:rsid w:val="00D42164"/>
    <w:rsid w:val="00D42422"/>
    <w:rsid w:val="00D42F30"/>
    <w:rsid w:val="00D44255"/>
    <w:rsid w:val="00D45A2B"/>
    <w:rsid w:val="00D468EE"/>
    <w:rsid w:val="00D470BE"/>
    <w:rsid w:val="00D508C3"/>
    <w:rsid w:val="00D51EE5"/>
    <w:rsid w:val="00D5217B"/>
    <w:rsid w:val="00D52310"/>
    <w:rsid w:val="00D535AB"/>
    <w:rsid w:val="00D53F8D"/>
    <w:rsid w:val="00D553AA"/>
    <w:rsid w:val="00D56019"/>
    <w:rsid w:val="00D56AB0"/>
    <w:rsid w:val="00D57378"/>
    <w:rsid w:val="00D57D46"/>
    <w:rsid w:val="00D601EA"/>
    <w:rsid w:val="00D618E1"/>
    <w:rsid w:val="00D65023"/>
    <w:rsid w:val="00D70521"/>
    <w:rsid w:val="00D70945"/>
    <w:rsid w:val="00D721A4"/>
    <w:rsid w:val="00D72FDE"/>
    <w:rsid w:val="00D7462C"/>
    <w:rsid w:val="00D7545C"/>
    <w:rsid w:val="00D756F2"/>
    <w:rsid w:val="00D7674F"/>
    <w:rsid w:val="00D772BE"/>
    <w:rsid w:val="00D808E8"/>
    <w:rsid w:val="00D82E88"/>
    <w:rsid w:val="00D82FB8"/>
    <w:rsid w:val="00D83395"/>
    <w:rsid w:val="00D84296"/>
    <w:rsid w:val="00D8488E"/>
    <w:rsid w:val="00D85576"/>
    <w:rsid w:val="00D85B55"/>
    <w:rsid w:val="00D875FB"/>
    <w:rsid w:val="00D90082"/>
    <w:rsid w:val="00D911E2"/>
    <w:rsid w:val="00D9290B"/>
    <w:rsid w:val="00D93B3F"/>
    <w:rsid w:val="00D94BA0"/>
    <w:rsid w:val="00D959CE"/>
    <w:rsid w:val="00D97FB6"/>
    <w:rsid w:val="00DA069A"/>
    <w:rsid w:val="00DA0889"/>
    <w:rsid w:val="00DA13B1"/>
    <w:rsid w:val="00DA1D9C"/>
    <w:rsid w:val="00DA21AA"/>
    <w:rsid w:val="00DA3833"/>
    <w:rsid w:val="00DA3B54"/>
    <w:rsid w:val="00DA3C71"/>
    <w:rsid w:val="00DA5434"/>
    <w:rsid w:val="00DA6BCB"/>
    <w:rsid w:val="00DA705F"/>
    <w:rsid w:val="00DB0160"/>
    <w:rsid w:val="00DB6D00"/>
    <w:rsid w:val="00DC0E53"/>
    <w:rsid w:val="00DC2761"/>
    <w:rsid w:val="00DC2ABA"/>
    <w:rsid w:val="00DC2AFF"/>
    <w:rsid w:val="00DC3CB4"/>
    <w:rsid w:val="00DC5D5D"/>
    <w:rsid w:val="00DC7815"/>
    <w:rsid w:val="00DD1041"/>
    <w:rsid w:val="00DD14A6"/>
    <w:rsid w:val="00DD1934"/>
    <w:rsid w:val="00DD26A3"/>
    <w:rsid w:val="00DD2849"/>
    <w:rsid w:val="00DD3420"/>
    <w:rsid w:val="00DD348C"/>
    <w:rsid w:val="00DD3684"/>
    <w:rsid w:val="00DD569E"/>
    <w:rsid w:val="00DD6210"/>
    <w:rsid w:val="00DD6656"/>
    <w:rsid w:val="00DE221A"/>
    <w:rsid w:val="00DE2D2B"/>
    <w:rsid w:val="00DE2EDC"/>
    <w:rsid w:val="00DE2FDB"/>
    <w:rsid w:val="00DE4E96"/>
    <w:rsid w:val="00DE6ED4"/>
    <w:rsid w:val="00DE7720"/>
    <w:rsid w:val="00DF08F2"/>
    <w:rsid w:val="00DF0DC1"/>
    <w:rsid w:val="00DF211B"/>
    <w:rsid w:val="00DF2F48"/>
    <w:rsid w:val="00DF5CF9"/>
    <w:rsid w:val="00DF6AF6"/>
    <w:rsid w:val="00DF6F8B"/>
    <w:rsid w:val="00E00976"/>
    <w:rsid w:val="00E025F0"/>
    <w:rsid w:val="00E0285F"/>
    <w:rsid w:val="00E071AF"/>
    <w:rsid w:val="00E07913"/>
    <w:rsid w:val="00E10E80"/>
    <w:rsid w:val="00E1213E"/>
    <w:rsid w:val="00E14C5E"/>
    <w:rsid w:val="00E17C42"/>
    <w:rsid w:val="00E17C97"/>
    <w:rsid w:val="00E20A70"/>
    <w:rsid w:val="00E2229F"/>
    <w:rsid w:val="00E222B3"/>
    <w:rsid w:val="00E232B0"/>
    <w:rsid w:val="00E24CDD"/>
    <w:rsid w:val="00E24F69"/>
    <w:rsid w:val="00E26DB7"/>
    <w:rsid w:val="00E26ECD"/>
    <w:rsid w:val="00E275E7"/>
    <w:rsid w:val="00E276C4"/>
    <w:rsid w:val="00E30653"/>
    <w:rsid w:val="00E3149C"/>
    <w:rsid w:val="00E32245"/>
    <w:rsid w:val="00E33496"/>
    <w:rsid w:val="00E33888"/>
    <w:rsid w:val="00E338A2"/>
    <w:rsid w:val="00E34375"/>
    <w:rsid w:val="00E3505E"/>
    <w:rsid w:val="00E3518A"/>
    <w:rsid w:val="00E36736"/>
    <w:rsid w:val="00E36B34"/>
    <w:rsid w:val="00E42AB9"/>
    <w:rsid w:val="00E43A49"/>
    <w:rsid w:val="00E43CF4"/>
    <w:rsid w:val="00E4555F"/>
    <w:rsid w:val="00E47286"/>
    <w:rsid w:val="00E477AA"/>
    <w:rsid w:val="00E47B4B"/>
    <w:rsid w:val="00E50173"/>
    <w:rsid w:val="00E5093E"/>
    <w:rsid w:val="00E517BD"/>
    <w:rsid w:val="00E53DB5"/>
    <w:rsid w:val="00E55C14"/>
    <w:rsid w:val="00E5618C"/>
    <w:rsid w:val="00E56424"/>
    <w:rsid w:val="00E56EA5"/>
    <w:rsid w:val="00E56EFC"/>
    <w:rsid w:val="00E57E75"/>
    <w:rsid w:val="00E611FB"/>
    <w:rsid w:val="00E621A7"/>
    <w:rsid w:val="00E6426B"/>
    <w:rsid w:val="00E64D5F"/>
    <w:rsid w:val="00E673DD"/>
    <w:rsid w:val="00E677CB"/>
    <w:rsid w:val="00E679C4"/>
    <w:rsid w:val="00E7069B"/>
    <w:rsid w:val="00E70DAE"/>
    <w:rsid w:val="00E718B7"/>
    <w:rsid w:val="00E72555"/>
    <w:rsid w:val="00E73A57"/>
    <w:rsid w:val="00E73B78"/>
    <w:rsid w:val="00E740A0"/>
    <w:rsid w:val="00E7433B"/>
    <w:rsid w:val="00E756FC"/>
    <w:rsid w:val="00E75966"/>
    <w:rsid w:val="00E76079"/>
    <w:rsid w:val="00E77B43"/>
    <w:rsid w:val="00E8194F"/>
    <w:rsid w:val="00E832B9"/>
    <w:rsid w:val="00E83C9A"/>
    <w:rsid w:val="00E859EC"/>
    <w:rsid w:val="00E877E4"/>
    <w:rsid w:val="00E93674"/>
    <w:rsid w:val="00E94364"/>
    <w:rsid w:val="00E9632B"/>
    <w:rsid w:val="00E9773A"/>
    <w:rsid w:val="00EA0745"/>
    <w:rsid w:val="00EA128C"/>
    <w:rsid w:val="00EA19AB"/>
    <w:rsid w:val="00EA20E9"/>
    <w:rsid w:val="00EA4032"/>
    <w:rsid w:val="00EA769C"/>
    <w:rsid w:val="00EB02B4"/>
    <w:rsid w:val="00EB04C7"/>
    <w:rsid w:val="00EB23B7"/>
    <w:rsid w:val="00EB2B7B"/>
    <w:rsid w:val="00EB57F4"/>
    <w:rsid w:val="00EB5B9B"/>
    <w:rsid w:val="00EB7F00"/>
    <w:rsid w:val="00EC1B19"/>
    <w:rsid w:val="00EC2662"/>
    <w:rsid w:val="00EC31D9"/>
    <w:rsid w:val="00EC5160"/>
    <w:rsid w:val="00EC52FE"/>
    <w:rsid w:val="00EC7A99"/>
    <w:rsid w:val="00ED1289"/>
    <w:rsid w:val="00ED2DE3"/>
    <w:rsid w:val="00ED46F1"/>
    <w:rsid w:val="00ED513E"/>
    <w:rsid w:val="00EE3873"/>
    <w:rsid w:val="00EE64F2"/>
    <w:rsid w:val="00EE6BEE"/>
    <w:rsid w:val="00EE7B38"/>
    <w:rsid w:val="00EF045C"/>
    <w:rsid w:val="00EF096F"/>
    <w:rsid w:val="00EF0F6C"/>
    <w:rsid w:val="00EF1518"/>
    <w:rsid w:val="00EF27DB"/>
    <w:rsid w:val="00EF38E3"/>
    <w:rsid w:val="00EF47A3"/>
    <w:rsid w:val="00EF5B2E"/>
    <w:rsid w:val="00EF6478"/>
    <w:rsid w:val="00F00804"/>
    <w:rsid w:val="00F02393"/>
    <w:rsid w:val="00F0272F"/>
    <w:rsid w:val="00F030B1"/>
    <w:rsid w:val="00F07879"/>
    <w:rsid w:val="00F079E8"/>
    <w:rsid w:val="00F10C1A"/>
    <w:rsid w:val="00F1187C"/>
    <w:rsid w:val="00F120AA"/>
    <w:rsid w:val="00F133DC"/>
    <w:rsid w:val="00F14BB4"/>
    <w:rsid w:val="00F158D7"/>
    <w:rsid w:val="00F161CC"/>
    <w:rsid w:val="00F16795"/>
    <w:rsid w:val="00F16BEE"/>
    <w:rsid w:val="00F17209"/>
    <w:rsid w:val="00F17447"/>
    <w:rsid w:val="00F17F85"/>
    <w:rsid w:val="00F2723C"/>
    <w:rsid w:val="00F27E0C"/>
    <w:rsid w:val="00F32CE9"/>
    <w:rsid w:val="00F32DAF"/>
    <w:rsid w:val="00F35C97"/>
    <w:rsid w:val="00F36686"/>
    <w:rsid w:val="00F36700"/>
    <w:rsid w:val="00F40ADC"/>
    <w:rsid w:val="00F41131"/>
    <w:rsid w:val="00F41D27"/>
    <w:rsid w:val="00F423E0"/>
    <w:rsid w:val="00F42FEE"/>
    <w:rsid w:val="00F50957"/>
    <w:rsid w:val="00F50C63"/>
    <w:rsid w:val="00F5226D"/>
    <w:rsid w:val="00F526DB"/>
    <w:rsid w:val="00F54337"/>
    <w:rsid w:val="00F54F21"/>
    <w:rsid w:val="00F564A4"/>
    <w:rsid w:val="00F60AF5"/>
    <w:rsid w:val="00F61789"/>
    <w:rsid w:val="00F61A89"/>
    <w:rsid w:val="00F6235B"/>
    <w:rsid w:val="00F6419A"/>
    <w:rsid w:val="00F64535"/>
    <w:rsid w:val="00F65E24"/>
    <w:rsid w:val="00F67872"/>
    <w:rsid w:val="00F67AEB"/>
    <w:rsid w:val="00F67DBF"/>
    <w:rsid w:val="00F70041"/>
    <w:rsid w:val="00F72373"/>
    <w:rsid w:val="00F72D6E"/>
    <w:rsid w:val="00F7361B"/>
    <w:rsid w:val="00F75DDC"/>
    <w:rsid w:val="00F75F91"/>
    <w:rsid w:val="00F76824"/>
    <w:rsid w:val="00F7687C"/>
    <w:rsid w:val="00F80CE8"/>
    <w:rsid w:val="00F8117E"/>
    <w:rsid w:val="00F8192D"/>
    <w:rsid w:val="00F819A5"/>
    <w:rsid w:val="00F8272F"/>
    <w:rsid w:val="00F83468"/>
    <w:rsid w:val="00F852AB"/>
    <w:rsid w:val="00F85EDA"/>
    <w:rsid w:val="00F865F7"/>
    <w:rsid w:val="00F879A1"/>
    <w:rsid w:val="00F90C32"/>
    <w:rsid w:val="00F9274E"/>
    <w:rsid w:val="00F9293F"/>
    <w:rsid w:val="00F92BDD"/>
    <w:rsid w:val="00F93B60"/>
    <w:rsid w:val="00F952F2"/>
    <w:rsid w:val="00F95C12"/>
    <w:rsid w:val="00F9663D"/>
    <w:rsid w:val="00F96E30"/>
    <w:rsid w:val="00F97880"/>
    <w:rsid w:val="00F978EB"/>
    <w:rsid w:val="00FA18AB"/>
    <w:rsid w:val="00FA53D6"/>
    <w:rsid w:val="00FA7C02"/>
    <w:rsid w:val="00FB0377"/>
    <w:rsid w:val="00FB3162"/>
    <w:rsid w:val="00FB635D"/>
    <w:rsid w:val="00FB67D4"/>
    <w:rsid w:val="00FB6BBA"/>
    <w:rsid w:val="00FB758B"/>
    <w:rsid w:val="00FB75A1"/>
    <w:rsid w:val="00FC16F7"/>
    <w:rsid w:val="00FC2EBB"/>
    <w:rsid w:val="00FC3695"/>
    <w:rsid w:val="00FC3C2A"/>
    <w:rsid w:val="00FC4206"/>
    <w:rsid w:val="00FC4A86"/>
    <w:rsid w:val="00FC4DAD"/>
    <w:rsid w:val="00FC590E"/>
    <w:rsid w:val="00FC696D"/>
    <w:rsid w:val="00FD004B"/>
    <w:rsid w:val="00FD0987"/>
    <w:rsid w:val="00FD0EC3"/>
    <w:rsid w:val="00FD0F56"/>
    <w:rsid w:val="00FD3954"/>
    <w:rsid w:val="00FD3BEE"/>
    <w:rsid w:val="00FD627B"/>
    <w:rsid w:val="00FD6299"/>
    <w:rsid w:val="00FD6F40"/>
    <w:rsid w:val="00FE0D1C"/>
    <w:rsid w:val="00FE199F"/>
    <w:rsid w:val="00FE256F"/>
    <w:rsid w:val="00FE58E0"/>
    <w:rsid w:val="00FE5D95"/>
    <w:rsid w:val="00FE71DA"/>
    <w:rsid w:val="00FF0562"/>
    <w:rsid w:val="00FF0895"/>
    <w:rsid w:val="00FF0DF3"/>
    <w:rsid w:val="00FF3C8F"/>
    <w:rsid w:val="00FF725A"/>
    <w:rsid w:val="00FF7AF3"/>
    <w:rsid w:val="2C47B30A"/>
    <w:rsid w:val="3513D386"/>
    <w:rsid w:val="593CC8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BD5CE"/>
  <w15:chartTrackingRefBased/>
  <w15:docId w15:val="{32D15655-5664-495D-AA54-36217AA5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B3F"/>
  </w:style>
  <w:style w:type="paragraph" w:styleId="Heading1">
    <w:name w:val="heading 1"/>
    <w:basedOn w:val="Normal"/>
    <w:next w:val="Normal"/>
    <w:link w:val="Heading1Char"/>
    <w:uiPriority w:val="9"/>
    <w:qFormat/>
    <w:rsid w:val="009E11AF"/>
    <w:pPr>
      <w:keepNext/>
      <w:keepLines/>
      <w:spacing w:before="240" w:after="0" w:line="240" w:lineRule="auto"/>
      <w:jc w:val="center"/>
      <w:outlineLvl w:val="0"/>
    </w:pPr>
    <w:rPr>
      <w:rFonts w:ascii="Calibri" w:eastAsiaTheme="majorEastAsia" w:hAnsi="Calibri"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9E11AF"/>
    <w:pPr>
      <w:keepNext/>
      <w:keepLines/>
      <w:spacing w:before="240"/>
      <w:outlineLvl w:val="1"/>
    </w:pPr>
    <w:rPr>
      <w:rFonts w:ascii="Calibri" w:eastAsiaTheme="majorEastAsia" w:hAnsi="Calibri"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8536FD"/>
    <w:pPr>
      <w:keepNext/>
      <w:keepLines/>
      <w:outlineLvl w:val="2"/>
    </w:pPr>
    <w:rPr>
      <w:rFonts w:asciiTheme="majorHAnsi" w:eastAsiaTheme="majorEastAsia" w:hAnsiTheme="majorHAnsi" w:cstheme="majorBidi"/>
      <w:color w:val="2F5496" w:themeColor="accent1" w:themeShade="B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locked/>
    <w:rsid w:val="00BF0F2A"/>
    <w:rPr>
      <w:rFonts w:ascii="Arial Narrow" w:hAnsi="Arial Narrow"/>
      <w:sz w:val="20"/>
    </w:rPr>
  </w:style>
  <w:style w:type="paragraph" w:customStyle="1" w:styleId="TableText">
    <w:name w:val="Table Text"/>
    <w:basedOn w:val="Normal"/>
    <w:link w:val="TableTextChar"/>
    <w:qFormat/>
    <w:rsid w:val="00BF0F2A"/>
    <w:pPr>
      <w:spacing w:before="40" w:after="40" w:line="240" w:lineRule="auto"/>
    </w:pPr>
    <w:rPr>
      <w:rFonts w:ascii="Arial Narrow" w:hAnsi="Arial Narrow"/>
      <w:sz w:val="20"/>
    </w:rPr>
  </w:style>
  <w:style w:type="character" w:styleId="CommentReference">
    <w:name w:val="annotation reference"/>
    <w:basedOn w:val="DefaultParagraphFont"/>
    <w:uiPriority w:val="99"/>
    <w:semiHidden/>
    <w:unhideWhenUsed/>
    <w:rsid w:val="00BF0F2A"/>
    <w:rPr>
      <w:sz w:val="16"/>
      <w:szCs w:val="16"/>
    </w:rPr>
  </w:style>
  <w:style w:type="paragraph" w:styleId="CommentText">
    <w:name w:val="annotation text"/>
    <w:basedOn w:val="Normal"/>
    <w:link w:val="CommentTextChar"/>
    <w:uiPriority w:val="99"/>
    <w:unhideWhenUsed/>
    <w:rsid w:val="00BF0F2A"/>
    <w:pPr>
      <w:spacing w:line="240" w:lineRule="auto"/>
    </w:pPr>
    <w:rPr>
      <w:sz w:val="20"/>
      <w:szCs w:val="20"/>
    </w:rPr>
  </w:style>
  <w:style w:type="character" w:customStyle="1" w:styleId="CommentTextChar">
    <w:name w:val="Comment Text Char"/>
    <w:basedOn w:val="DefaultParagraphFont"/>
    <w:link w:val="CommentText"/>
    <w:uiPriority w:val="99"/>
    <w:rsid w:val="00BF0F2A"/>
    <w:rPr>
      <w:sz w:val="20"/>
      <w:szCs w:val="20"/>
    </w:rPr>
  </w:style>
  <w:style w:type="paragraph" w:styleId="CommentSubject">
    <w:name w:val="annotation subject"/>
    <w:basedOn w:val="CommentText"/>
    <w:next w:val="CommentText"/>
    <w:link w:val="CommentSubjectChar"/>
    <w:uiPriority w:val="99"/>
    <w:semiHidden/>
    <w:unhideWhenUsed/>
    <w:rsid w:val="00BF0F2A"/>
    <w:rPr>
      <w:b/>
      <w:bCs/>
    </w:rPr>
  </w:style>
  <w:style w:type="character" w:customStyle="1" w:styleId="CommentSubjectChar">
    <w:name w:val="Comment Subject Char"/>
    <w:basedOn w:val="CommentTextChar"/>
    <w:link w:val="CommentSubject"/>
    <w:uiPriority w:val="99"/>
    <w:semiHidden/>
    <w:rsid w:val="00BF0F2A"/>
    <w:rPr>
      <w:b/>
      <w:bCs/>
      <w:sz w:val="20"/>
      <w:szCs w:val="20"/>
    </w:rPr>
  </w:style>
  <w:style w:type="paragraph" w:styleId="ListParagraph">
    <w:name w:val="List Paragraph"/>
    <w:basedOn w:val="Normal"/>
    <w:uiPriority w:val="34"/>
    <w:qFormat/>
    <w:rsid w:val="00BF0F2A"/>
    <w:pPr>
      <w:ind w:left="720"/>
      <w:contextualSpacing/>
    </w:pPr>
  </w:style>
  <w:style w:type="character" w:styleId="Hyperlink">
    <w:name w:val="Hyperlink"/>
    <w:basedOn w:val="DefaultParagraphFont"/>
    <w:uiPriority w:val="99"/>
    <w:unhideWhenUsed/>
    <w:rsid w:val="008B0D59"/>
    <w:rPr>
      <w:color w:val="0563C1" w:themeColor="hyperlink"/>
      <w:u w:val="single"/>
    </w:rPr>
  </w:style>
  <w:style w:type="character" w:styleId="UnresolvedMention">
    <w:name w:val="Unresolved Mention"/>
    <w:basedOn w:val="DefaultParagraphFont"/>
    <w:uiPriority w:val="99"/>
    <w:semiHidden/>
    <w:unhideWhenUsed/>
    <w:rsid w:val="008B0D59"/>
    <w:rPr>
      <w:color w:val="605E5C"/>
      <w:shd w:val="clear" w:color="auto" w:fill="E1DFDD"/>
    </w:rPr>
  </w:style>
  <w:style w:type="paragraph" w:styleId="NormalWeb">
    <w:name w:val="Normal (Web)"/>
    <w:basedOn w:val="Normal"/>
    <w:uiPriority w:val="99"/>
    <w:semiHidden/>
    <w:unhideWhenUsed/>
    <w:rsid w:val="003D42B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D50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8C3"/>
  </w:style>
  <w:style w:type="paragraph" w:styleId="Footer">
    <w:name w:val="footer"/>
    <w:basedOn w:val="Normal"/>
    <w:link w:val="FooterChar"/>
    <w:uiPriority w:val="99"/>
    <w:unhideWhenUsed/>
    <w:rsid w:val="00D50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8C3"/>
  </w:style>
  <w:style w:type="paragraph" w:styleId="Revision">
    <w:name w:val="Revision"/>
    <w:hidden/>
    <w:uiPriority w:val="99"/>
    <w:semiHidden/>
    <w:rsid w:val="00C11676"/>
    <w:pPr>
      <w:spacing w:after="0" w:line="240" w:lineRule="auto"/>
    </w:pPr>
  </w:style>
  <w:style w:type="paragraph" w:customStyle="1" w:styleId="In-tableHeading">
    <w:name w:val="In-table Heading"/>
    <w:qFormat/>
    <w:rsid w:val="001B0050"/>
    <w:pPr>
      <w:keepNext/>
      <w:spacing w:after="0" w:line="240" w:lineRule="auto"/>
    </w:pPr>
    <w:rPr>
      <w:rFonts w:ascii="Arial Narrow" w:eastAsiaTheme="majorEastAsia" w:hAnsi="Arial Narrow" w:cs="Times New Roman"/>
      <w:b/>
      <w:sz w:val="20"/>
      <w:szCs w:val="24"/>
      <w:lang w:val="en-US" w:eastAsia="en-AU"/>
    </w:rPr>
  </w:style>
  <w:style w:type="paragraph" w:styleId="FootnoteText">
    <w:name w:val="footnote text"/>
    <w:basedOn w:val="Normal"/>
    <w:link w:val="FootnoteTextChar"/>
    <w:uiPriority w:val="99"/>
    <w:semiHidden/>
    <w:unhideWhenUsed/>
    <w:rsid w:val="00C039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39B4"/>
    <w:rPr>
      <w:sz w:val="20"/>
      <w:szCs w:val="20"/>
    </w:rPr>
  </w:style>
  <w:style w:type="character" w:styleId="FootnoteReference">
    <w:name w:val="footnote reference"/>
    <w:basedOn w:val="DefaultParagraphFont"/>
    <w:uiPriority w:val="99"/>
    <w:semiHidden/>
    <w:unhideWhenUsed/>
    <w:rsid w:val="00C039B4"/>
    <w:rPr>
      <w:vertAlign w:val="superscript"/>
    </w:rPr>
  </w:style>
  <w:style w:type="character" w:customStyle="1" w:styleId="Heading2Char">
    <w:name w:val="Heading 2 Char"/>
    <w:basedOn w:val="DefaultParagraphFont"/>
    <w:link w:val="Heading2"/>
    <w:uiPriority w:val="9"/>
    <w:rsid w:val="009E11AF"/>
    <w:rPr>
      <w:rFonts w:ascii="Calibri" w:eastAsiaTheme="majorEastAsia" w:hAnsi="Calibri" w:cstheme="majorBidi"/>
      <w:b/>
      <w:color w:val="2F5496" w:themeColor="accent1" w:themeShade="BF"/>
      <w:sz w:val="36"/>
      <w:szCs w:val="26"/>
    </w:rPr>
  </w:style>
  <w:style w:type="character" w:customStyle="1" w:styleId="Heading1Char">
    <w:name w:val="Heading 1 Char"/>
    <w:basedOn w:val="DefaultParagraphFont"/>
    <w:link w:val="Heading1"/>
    <w:uiPriority w:val="9"/>
    <w:rsid w:val="009E11AF"/>
    <w:rPr>
      <w:rFonts w:ascii="Calibri" w:eastAsiaTheme="majorEastAsia" w:hAnsi="Calibri" w:cstheme="majorBidi"/>
      <w:b/>
      <w:color w:val="2F5496" w:themeColor="accent1" w:themeShade="BF"/>
      <w:sz w:val="36"/>
      <w:szCs w:val="32"/>
    </w:rPr>
  </w:style>
  <w:style w:type="character" w:styleId="FollowedHyperlink">
    <w:name w:val="FollowedHyperlink"/>
    <w:basedOn w:val="DefaultParagraphFont"/>
    <w:uiPriority w:val="99"/>
    <w:semiHidden/>
    <w:unhideWhenUsed/>
    <w:rsid w:val="00BA1283"/>
    <w:rPr>
      <w:color w:val="954F72" w:themeColor="followedHyperlink"/>
      <w:u w:val="single"/>
    </w:rPr>
  </w:style>
  <w:style w:type="character" w:customStyle="1" w:styleId="Heading3Char">
    <w:name w:val="Heading 3 Char"/>
    <w:basedOn w:val="DefaultParagraphFont"/>
    <w:link w:val="Heading3"/>
    <w:uiPriority w:val="9"/>
    <w:rsid w:val="008536FD"/>
    <w:rPr>
      <w:rFonts w:asciiTheme="majorHAnsi" w:eastAsiaTheme="majorEastAsia" w:hAnsiTheme="majorHAnsi" w:cstheme="majorBidi"/>
      <w:color w:val="2F5496" w:themeColor="accent1" w:themeShade="BF"/>
      <w:sz w:val="28"/>
      <w:szCs w:val="24"/>
      <w:u w:val="single"/>
    </w:rPr>
  </w:style>
  <w:style w:type="character" w:styleId="Mention">
    <w:name w:val="Mention"/>
    <w:basedOn w:val="DefaultParagraphFont"/>
    <w:uiPriority w:val="99"/>
    <w:unhideWhenUsed/>
    <w:rsid w:val="003541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00068">
      <w:bodyDiv w:val="1"/>
      <w:marLeft w:val="0"/>
      <w:marRight w:val="0"/>
      <w:marTop w:val="0"/>
      <w:marBottom w:val="0"/>
      <w:divBdr>
        <w:top w:val="none" w:sz="0" w:space="0" w:color="auto"/>
        <w:left w:val="none" w:sz="0" w:space="0" w:color="auto"/>
        <w:bottom w:val="none" w:sz="0" w:space="0" w:color="auto"/>
        <w:right w:val="none" w:sz="0" w:space="0" w:color="auto"/>
      </w:divBdr>
    </w:div>
    <w:div w:id="296374834">
      <w:bodyDiv w:val="1"/>
      <w:marLeft w:val="0"/>
      <w:marRight w:val="0"/>
      <w:marTop w:val="0"/>
      <w:marBottom w:val="0"/>
      <w:divBdr>
        <w:top w:val="none" w:sz="0" w:space="0" w:color="auto"/>
        <w:left w:val="none" w:sz="0" w:space="0" w:color="auto"/>
        <w:bottom w:val="none" w:sz="0" w:space="0" w:color="auto"/>
        <w:right w:val="none" w:sz="0" w:space="0" w:color="auto"/>
      </w:divBdr>
    </w:div>
    <w:div w:id="943029521">
      <w:bodyDiv w:val="1"/>
      <w:marLeft w:val="0"/>
      <w:marRight w:val="0"/>
      <w:marTop w:val="0"/>
      <w:marBottom w:val="0"/>
      <w:divBdr>
        <w:top w:val="none" w:sz="0" w:space="0" w:color="auto"/>
        <w:left w:val="none" w:sz="0" w:space="0" w:color="auto"/>
        <w:bottom w:val="none" w:sz="0" w:space="0" w:color="auto"/>
        <w:right w:val="none" w:sz="0" w:space="0" w:color="auto"/>
      </w:divBdr>
    </w:div>
    <w:div w:id="1217014944">
      <w:bodyDiv w:val="1"/>
      <w:marLeft w:val="0"/>
      <w:marRight w:val="0"/>
      <w:marTop w:val="0"/>
      <w:marBottom w:val="0"/>
      <w:divBdr>
        <w:top w:val="none" w:sz="0" w:space="0" w:color="auto"/>
        <w:left w:val="none" w:sz="0" w:space="0" w:color="auto"/>
        <w:bottom w:val="none" w:sz="0" w:space="0" w:color="auto"/>
        <w:right w:val="none" w:sz="0" w:space="0" w:color="auto"/>
      </w:divBdr>
    </w:div>
    <w:div w:id="1635138303">
      <w:bodyDiv w:val="1"/>
      <w:marLeft w:val="0"/>
      <w:marRight w:val="0"/>
      <w:marTop w:val="0"/>
      <w:marBottom w:val="0"/>
      <w:divBdr>
        <w:top w:val="none" w:sz="0" w:space="0" w:color="auto"/>
        <w:left w:val="none" w:sz="0" w:space="0" w:color="auto"/>
        <w:bottom w:val="none" w:sz="0" w:space="0" w:color="auto"/>
        <w:right w:val="none" w:sz="0" w:space="0" w:color="auto"/>
      </w:divBdr>
    </w:div>
    <w:div w:id="1718623958">
      <w:bodyDiv w:val="1"/>
      <w:marLeft w:val="0"/>
      <w:marRight w:val="0"/>
      <w:marTop w:val="0"/>
      <w:marBottom w:val="0"/>
      <w:divBdr>
        <w:top w:val="none" w:sz="0" w:space="0" w:color="auto"/>
        <w:left w:val="none" w:sz="0" w:space="0" w:color="auto"/>
        <w:bottom w:val="none" w:sz="0" w:space="0" w:color="auto"/>
        <w:right w:val="none" w:sz="0" w:space="0" w:color="auto"/>
      </w:divBdr>
    </w:div>
    <w:div w:id="187499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ac.gov.au/apply/before-you-apply/application-timelin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6c165d-1334-4e3d-ac4c-cda196070297" xsi:nil="true"/>
    <lcf76f155ced4ddcb4097134ff3c332f xmlns="7ea72d31-b391-468a-afa4-2af449538c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12E266AD69594FAC52E7A8B8B76707" ma:contentTypeVersion="18" ma:contentTypeDescription="Create a new document." ma:contentTypeScope="" ma:versionID="e6235962efdd18122f6ed6aa887dae02">
  <xsd:schema xmlns:xsd="http://www.w3.org/2001/XMLSchema" xmlns:xs="http://www.w3.org/2001/XMLSchema" xmlns:p="http://schemas.microsoft.com/office/2006/metadata/properties" xmlns:ns2="7ea72d31-b391-468a-afa4-2af449538c2c" xmlns:ns3="5e6c165d-1334-4e3d-ac4c-cda196070297" targetNamespace="http://schemas.microsoft.com/office/2006/metadata/properties" ma:root="true" ma:fieldsID="981668f2b5c7a862b11599d517d8f703" ns2:_="" ns3:_="">
    <xsd:import namespace="7ea72d31-b391-468a-afa4-2af449538c2c"/>
    <xsd:import namespace="5e6c165d-1334-4e3d-ac4c-cda1960702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2d31-b391-468a-afa4-2af449538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c165d-1334-4e3d-ac4c-cda1960702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b29e77-610f-4ec0-969b-1efd31da693b}" ma:internalName="TaxCatchAll" ma:showField="CatchAllData" ma:web="5e6c165d-1334-4e3d-ac4c-cda196070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EBF5E-E006-4CB3-B08F-573863B6DC60}">
  <ds:schemaRefs>
    <ds:schemaRef ds:uri="http://schemas.microsoft.com/office/2006/metadata/properties"/>
    <ds:schemaRef ds:uri="http://schemas.microsoft.com/office/infopath/2007/PartnerControls"/>
    <ds:schemaRef ds:uri="5e6c165d-1334-4e3d-ac4c-cda196070297"/>
    <ds:schemaRef ds:uri="7ea72d31-b391-468a-afa4-2af449538c2c"/>
  </ds:schemaRefs>
</ds:datastoreItem>
</file>

<file path=customXml/itemProps2.xml><?xml version="1.0" encoding="utf-8"?>
<ds:datastoreItem xmlns:ds="http://schemas.openxmlformats.org/officeDocument/2006/customXml" ds:itemID="{78D135F1-AB5F-494F-897F-F299C2C823A1}">
  <ds:schemaRefs>
    <ds:schemaRef ds:uri="http://schemas.microsoft.com/sharepoint/v3/contenttype/forms"/>
  </ds:schemaRefs>
</ds:datastoreItem>
</file>

<file path=customXml/itemProps3.xml><?xml version="1.0" encoding="utf-8"?>
<ds:datastoreItem xmlns:ds="http://schemas.openxmlformats.org/officeDocument/2006/customXml" ds:itemID="{096148D4-095F-4529-98FA-D858007B9D7D}">
  <ds:schemaRefs>
    <ds:schemaRef ds:uri="http://schemas.openxmlformats.org/officeDocument/2006/bibliography"/>
  </ds:schemaRefs>
</ds:datastoreItem>
</file>

<file path=customXml/itemProps4.xml><?xml version="1.0" encoding="utf-8"?>
<ds:datastoreItem xmlns:ds="http://schemas.openxmlformats.org/officeDocument/2006/customXml" ds:itemID="{3F70A605-C0A4-4ACE-9F20-4CC60F800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2d31-b391-468a-afa4-2af449538c2c"/>
    <ds:schemaRef ds:uri="5e6c165d-1334-4e3d-ac4c-cda196070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2000</Words>
  <Characters>11345</Characters>
  <Application>Microsoft Office Word</Application>
  <DocSecurity>0</DocSecurity>
  <Lines>283</Lines>
  <Paragraphs>121</Paragraphs>
  <ScaleCrop>false</ScaleCrop>
  <HeadingPairs>
    <vt:vector size="2" baseType="variant">
      <vt:variant>
        <vt:lpstr>Title</vt:lpstr>
      </vt:variant>
      <vt:variant>
        <vt:i4>1</vt:i4>
      </vt:variant>
    </vt:vector>
  </HeadingPairs>
  <TitlesOfParts>
    <vt:vector size="1" baseType="lpstr">
      <vt:lpstr>MSAC reapplication template</vt:lpstr>
    </vt:vector>
  </TitlesOfParts>
  <Company/>
  <LinksUpToDate>false</LinksUpToDate>
  <CharactersWithSpaces>13224</CharactersWithSpaces>
  <SharedDoc>false</SharedDoc>
  <HLinks>
    <vt:vector size="156" baseType="variant">
      <vt:variant>
        <vt:i4>1769549</vt:i4>
      </vt:variant>
      <vt:variant>
        <vt:i4>75</vt:i4>
      </vt:variant>
      <vt:variant>
        <vt:i4>0</vt:i4>
      </vt:variant>
      <vt:variant>
        <vt:i4>5</vt:i4>
      </vt:variant>
      <vt:variant>
        <vt:lpwstr>https://hpp.health.gov.au/termsandcondition/?id=a20dfef2-0e27-46a6-85e2-51a568ddd3b9</vt:lpwstr>
      </vt:variant>
      <vt:variant>
        <vt:lpwstr/>
      </vt:variant>
      <vt:variant>
        <vt:i4>3276897</vt:i4>
      </vt:variant>
      <vt:variant>
        <vt:i4>72</vt:i4>
      </vt:variant>
      <vt:variant>
        <vt:i4>0</vt:i4>
      </vt:variant>
      <vt:variant>
        <vt:i4>5</vt:i4>
      </vt:variant>
      <vt:variant>
        <vt:lpwstr>https://www.msac.gov.au/resources/guidelines-preparing-assessments-msac</vt:lpwstr>
      </vt:variant>
      <vt:variant>
        <vt:lpwstr/>
      </vt:variant>
      <vt:variant>
        <vt:i4>6225977</vt:i4>
      </vt:variant>
      <vt:variant>
        <vt:i4>69</vt:i4>
      </vt:variant>
      <vt:variant>
        <vt:i4>0</vt:i4>
      </vt:variant>
      <vt:variant>
        <vt:i4>5</vt:i4>
      </vt:variant>
      <vt:variant>
        <vt:lpwstr/>
      </vt:variant>
      <vt:variant>
        <vt:lpwstr>_Other_Information_1</vt:lpwstr>
      </vt:variant>
      <vt:variant>
        <vt:i4>6225977</vt:i4>
      </vt:variant>
      <vt:variant>
        <vt:i4>66</vt:i4>
      </vt:variant>
      <vt:variant>
        <vt:i4>0</vt:i4>
      </vt:variant>
      <vt:variant>
        <vt:i4>5</vt:i4>
      </vt:variant>
      <vt:variant>
        <vt:lpwstr/>
      </vt:variant>
      <vt:variant>
        <vt:lpwstr>_Other_Information_1</vt:lpwstr>
      </vt:variant>
      <vt:variant>
        <vt:i4>4456477</vt:i4>
      </vt:variant>
      <vt:variant>
        <vt:i4>63</vt:i4>
      </vt:variant>
      <vt:variant>
        <vt:i4>0</vt:i4>
      </vt:variant>
      <vt:variant>
        <vt:i4>5</vt:i4>
      </vt:variant>
      <vt:variant>
        <vt:lpwstr>https://www.msac.gov.au/resources/framework-msac-assessment-radiopharmaceuticals</vt:lpwstr>
      </vt:variant>
      <vt:variant>
        <vt:lpwstr/>
      </vt:variant>
      <vt:variant>
        <vt:i4>5308480</vt:i4>
      </vt:variant>
      <vt:variant>
        <vt:i4>60</vt:i4>
      </vt:variant>
      <vt:variant>
        <vt:i4>0</vt:i4>
      </vt:variant>
      <vt:variant>
        <vt:i4>5</vt:i4>
      </vt:variant>
      <vt:variant>
        <vt:lpwstr>https://nata.com.au/</vt:lpwstr>
      </vt:variant>
      <vt:variant>
        <vt:lpwstr/>
      </vt:variant>
      <vt:variant>
        <vt:i4>6029369</vt:i4>
      </vt:variant>
      <vt:variant>
        <vt:i4>57</vt:i4>
      </vt:variant>
      <vt:variant>
        <vt:i4>0</vt:i4>
      </vt:variant>
      <vt:variant>
        <vt:i4>5</vt:i4>
      </vt:variant>
      <vt:variant>
        <vt:lpwstr/>
      </vt:variant>
      <vt:variant>
        <vt:lpwstr>_Other_Information_2</vt:lpwstr>
      </vt:variant>
      <vt:variant>
        <vt:i4>1835061</vt:i4>
      </vt:variant>
      <vt:variant>
        <vt:i4>54</vt:i4>
      </vt:variant>
      <vt:variant>
        <vt:i4>0</vt:i4>
      </vt:variant>
      <vt:variant>
        <vt:i4>5</vt:i4>
      </vt:variant>
      <vt:variant>
        <vt:lpwstr/>
      </vt:variant>
      <vt:variant>
        <vt:lpwstr>_Radiopharmaceuticals</vt:lpwstr>
      </vt:variant>
      <vt:variant>
        <vt:i4>458804</vt:i4>
      </vt:variant>
      <vt:variant>
        <vt:i4>51</vt:i4>
      </vt:variant>
      <vt:variant>
        <vt:i4>0</vt:i4>
      </vt:variant>
      <vt:variant>
        <vt:i4>5</vt:i4>
      </vt:variant>
      <vt:variant>
        <vt:lpwstr/>
      </vt:variant>
      <vt:variant>
        <vt:lpwstr>_B2:_NATA_Accreditation</vt:lpwstr>
      </vt:variant>
      <vt:variant>
        <vt:i4>6029369</vt:i4>
      </vt:variant>
      <vt:variant>
        <vt:i4>48</vt:i4>
      </vt:variant>
      <vt:variant>
        <vt:i4>0</vt:i4>
      </vt:variant>
      <vt:variant>
        <vt:i4>5</vt:i4>
      </vt:variant>
      <vt:variant>
        <vt:lpwstr/>
      </vt:variant>
      <vt:variant>
        <vt:lpwstr>_Other_Information_2</vt:lpwstr>
      </vt:variant>
      <vt:variant>
        <vt:i4>1835061</vt:i4>
      </vt:variant>
      <vt:variant>
        <vt:i4>45</vt:i4>
      </vt:variant>
      <vt:variant>
        <vt:i4>0</vt:i4>
      </vt:variant>
      <vt:variant>
        <vt:i4>5</vt:i4>
      </vt:variant>
      <vt:variant>
        <vt:lpwstr/>
      </vt:variant>
      <vt:variant>
        <vt:lpwstr>_Radiopharmaceuticals</vt:lpwstr>
      </vt:variant>
      <vt:variant>
        <vt:i4>458804</vt:i4>
      </vt:variant>
      <vt:variant>
        <vt:i4>42</vt:i4>
      </vt:variant>
      <vt:variant>
        <vt:i4>0</vt:i4>
      </vt:variant>
      <vt:variant>
        <vt:i4>5</vt:i4>
      </vt:variant>
      <vt:variant>
        <vt:lpwstr/>
      </vt:variant>
      <vt:variant>
        <vt:lpwstr>_B2:_NATA_Accreditation</vt:lpwstr>
      </vt:variant>
      <vt:variant>
        <vt:i4>6029369</vt:i4>
      </vt:variant>
      <vt:variant>
        <vt:i4>39</vt:i4>
      </vt:variant>
      <vt:variant>
        <vt:i4>0</vt:i4>
      </vt:variant>
      <vt:variant>
        <vt:i4>5</vt:i4>
      </vt:variant>
      <vt:variant>
        <vt:lpwstr/>
      </vt:variant>
      <vt:variant>
        <vt:lpwstr>_Other_Information_2</vt:lpwstr>
      </vt:variant>
      <vt:variant>
        <vt:i4>1835061</vt:i4>
      </vt:variant>
      <vt:variant>
        <vt:i4>36</vt:i4>
      </vt:variant>
      <vt:variant>
        <vt:i4>0</vt:i4>
      </vt:variant>
      <vt:variant>
        <vt:i4>5</vt:i4>
      </vt:variant>
      <vt:variant>
        <vt:lpwstr/>
      </vt:variant>
      <vt:variant>
        <vt:lpwstr>_Radiopharmaceuticals</vt:lpwstr>
      </vt:variant>
      <vt:variant>
        <vt:i4>458804</vt:i4>
      </vt:variant>
      <vt:variant>
        <vt:i4>33</vt:i4>
      </vt:variant>
      <vt:variant>
        <vt:i4>0</vt:i4>
      </vt:variant>
      <vt:variant>
        <vt:i4>5</vt:i4>
      </vt:variant>
      <vt:variant>
        <vt:lpwstr/>
      </vt:variant>
      <vt:variant>
        <vt:lpwstr>_B2:_NATA_Accreditation</vt:lpwstr>
      </vt:variant>
      <vt:variant>
        <vt:i4>5505032</vt:i4>
      </vt:variant>
      <vt:variant>
        <vt:i4>30</vt:i4>
      </vt:variant>
      <vt:variant>
        <vt:i4>0</vt:i4>
      </vt:variant>
      <vt:variant>
        <vt:i4>5</vt:i4>
      </vt:variant>
      <vt:variant>
        <vt:lpwstr>https://www.msac.gov.au/apply/before-you-apply/application-timelines</vt:lpwstr>
      </vt:variant>
      <vt:variant>
        <vt:lpwstr>regulatory-processes</vt:lpwstr>
      </vt:variant>
      <vt:variant>
        <vt:i4>7209062</vt:i4>
      </vt:variant>
      <vt:variant>
        <vt:i4>27</vt:i4>
      </vt:variant>
      <vt:variant>
        <vt:i4>0</vt:i4>
      </vt:variant>
      <vt:variant>
        <vt:i4>5</vt:i4>
      </vt:variant>
      <vt:variant>
        <vt:lpwstr/>
      </vt:variant>
      <vt:variant>
        <vt:lpwstr>_Other_Information</vt:lpwstr>
      </vt:variant>
      <vt:variant>
        <vt:i4>1835061</vt:i4>
      </vt:variant>
      <vt:variant>
        <vt:i4>24</vt:i4>
      </vt:variant>
      <vt:variant>
        <vt:i4>0</vt:i4>
      </vt:variant>
      <vt:variant>
        <vt:i4>5</vt:i4>
      </vt:variant>
      <vt:variant>
        <vt:lpwstr/>
      </vt:variant>
      <vt:variant>
        <vt:lpwstr>_Radiopharmaceuticals</vt:lpwstr>
      </vt:variant>
      <vt:variant>
        <vt:i4>458804</vt:i4>
      </vt:variant>
      <vt:variant>
        <vt:i4>21</vt:i4>
      </vt:variant>
      <vt:variant>
        <vt:i4>0</vt:i4>
      </vt:variant>
      <vt:variant>
        <vt:i4>5</vt:i4>
      </vt:variant>
      <vt:variant>
        <vt:lpwstr/>
      </vt:variant>
      <vt:variant>
        <vt:lpwstr>_B2:_NATA_Accreditation</vt:lpwstr>
      </vt:variant>
      <vt:variant>
        <vt:i4>3735612</vt:i4>
      </vt:variant>
      <vt:variant>
        <vt:i4>18</vt:i4>
      </vt:variant>
      <vt:variant>
        <vt:i4>0</vt:i4>
      </vt:variant>
      <vt:variant>
        <vt:i4>5</vt:i4>
      </vt:variant>
      <vt:variant>
        <vt:lpwstr/>
      </vt:variant>
      <vt:variant>
        <vt:lpwstr>_ARTG_Listing</vt:lpwstr>
      </vt:variant>
      <vt:variant>
        <vt:i4>6357057</vt:i4>
      </vt:variant>
      <vt:variant>
        <vt:i4>15</vt:i4>
      </vt:variant>
      <vt:variant>
        <vt:i4>0</vt:i4>
      </vt:variant>
      <vt:variant>
        <vt:i4>5</vt:i4>
      </vt:variant>
      <vt:variant>
        <vt:lpwstr>mailto:MSAC.secretariat@health.gov.au</vt:lpwstr>
      </vt:variant>
      <vt:variant>
        <vt:lpwstr/>
      </vt:variant>
      <vt:variant>
        <vt:i4>7602248</vt:i4>
      </vt:variant>
      <vt:variant>
        <vt:i4>12</vt:i4>
      </vt:variant>
      <vt:variant>
        <vt:i4>0</vt:i4>
      </vt:variant>
      <vt:variant>
        <vt:i4>5</vt:i4>
      </vt:variant>
      <vt:variant>
        <vt:lpwstr/>
      </vt:variant>
      <vt:variant>
        <vt:lpwstr>_Table_2:_Summary</vt:lpwstr>
      </vt:variant>
      <vt:variant>
        <vt:i4>262162</vt:i4>
      </vt:variant>
      <vt:variant>
        <vt:i4>9</vt:i4>
      </vt:variant>
      <vt:variant>
        <vt:i4>0</vt:i4>
      </vt:variant>
      <vt:variant>
        <vt:i4>5</vt:i4>
      </vt:variant>
      <vt:variant>
        <vt:lpwstr>https://www.msac.gov.au/resources/how-submit-completed-reapplication-template</vt:lpwstr>
      </vt:variant>
      <vt:variant>
        <vt:lpwstr/>
      </vt:variant>
      <vt:variant>
        <vt:i4>1048669</vt:i4>
      </vt:variant>
      <vt:variant>
        <vt:i4>6</vt:i4>
      </vt:variant>
      <vt:variant>
        <vt:i4>0</vt:i4>
      </vt:variant>
      <vt:variant>
        <vt:i4>5</vt:i4>
      </vt:variant>
      <vt:variant>
        <vt:lpwstr>https://www.msac.gov.au/resources/applicant-developed-assessment-report-adar-template</vt:lpwstr>
      </vt:variant>
      <vt:variant>
        <vt:lpwstr/>
      </vt:variant>
      <vt:variant>
        <vt:i4>1048669</vt:i4>
      </vt:variant>
      <vt:variant>
        <vt:i4>3</vt:i4>
      </vt:variant>
      <vt:variant>
        <vt:i4>0</vt:i4>
      </vt:variant>
      <vt:variant>
        <vt:i4>5</vt:i4>
      </vt:variant>
      <vt:variant>
        <vt:lpwstr>https://www.msac.gov.au/resources/applicant-developed-assessment-report-adar-template</vt:lpwstr>
      </vt:variant>
      <vt:variant>
        <vt:lpwstr/>
      </vt:variant>
      <vt:variant>
        <vt:i4>6357057</vt:i4>
      </vt:variant>
      <vt:variant>
        <vt:i4>0</vt:i4>
      </vt:variant>
      <vt:variant>
        <vt:i4>0</vt:i4>
      </vt:variant>
      <vt:variant>
        <vt:i4>5</vt:i4>
      </vt:variant>
      <vt:variant>
        <vt:lpwstr>mailto:MSAC.secretariat@health.gov.au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MSAC reapplication template</dc:title>
  <dc:subject/>
  <dc:creator>Australian Government Medical Services Advisory Committee</dc:creator>
  <cp:keywords/>
  <dc:description/>
  <cp:lastModifiedBy>WILSON, Cheryl</cp:lastModifiedBy>
  <cp:revision>3</cp:revision>
  <cp:lastPrinted>2025-01-16T03:41:00Z</cp:lastPrinted>
  <dcterms:created xsi:type="dcterms:W3CDTF">2025-10-28T03:28:00Z</dcterms:created>
  <dcterms:modified xsi:type="dcterms:W3CDTF">2025-10-28T03:41:00Z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0x0101000A12E266AD69594FAC52E7A8B8B76707</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1009c553,5bc985e,6f175b9,3f7cb34b</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39ed0bd9,26c17d99,e4db9af,43189581</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2025-10-28T03:27:40Z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ddef2402-66f1-4501-a1f5-632fde6971c4</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